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41A" w:rsidRDefault="0083341A" w:rsidP="00B60631">
      <w:pPr>
        <w:pStyle w:val="Title"/>
      </w:pPr>
      <w:bookmarkStart w:id="0" w:name="_GoBack"/>
      <w:bookmarkEnd w:id="0"/>
    </w:p>
    <w:p w:rsidR="0083341A" w:rsidRDefault="0083341A" w:rsidP="00B60631">
      <w:pPr>
        <w:pStyle w:val="Title"/>
      </w:pPr>
    </w:p>
    <w:p w:rsidR="0083341A" w:rsidRDefault="0083341A" w:rsidP="00B60631">
      <w:pPr>
        <w:pStyle w:val="Title"/>
      </w:pPr>
    </w:p>
    <w:p w:rsidR="0083341A" w:rsidRDefault="0083341A" w:rsidP="00B60631">
      <w:pPr>
        <w:pStyle w:val="Title"/>
      </w:pPr>
    </w:p>
    <w:p w:rsidR="0083341A" w:rsidRDefault="0083341A" w:rsidP="00B60631">
      <w:pPr>
        <w:pStyle w:val="Title"/>
      </w:pPr>
    </w:p>
    <w:p w:rsidR="00D80727" w:rsidRPr="00C44221" w:rsidRDefault="00FA36F1" w:rsidP="00B60631">
      <w:pPr>
        <w:pStyle w:val="Title"/>
      </w:pPr>
      <w:r w:rsidRPr="00C44221">
        <w:t>SUPPORTING STATEMENT</w:t>
      </w:r>
    </w:p>
    <w:p w:rsidR="00364F1A" w:rsidRPr="00C44221" w:rsidRDefault="00364F1A" w:rsidP="00364F1A">
      <w:pPr>
        <w:pStyle w:val="Title"/>
      </w:pPr>
      <w:r w:rsidRPr="00C44221">
        <w:t>Information Collection Request (ICR) for National Primary Drinking Water Regulation for Perchlorate (Proposed Rule)</w:t>
      </w:r>
    </w:p>
    <w:p w:rsidR="00FA36F1" w:rsidRPr="00C44221" w:rsidRDefault="00FA36F1" w:rsidP="00FA36F1">
      <w:pPr>
        <w:pStyle w:val="Header1"/>
        <w:jc w:val="center"/>
        <w:rPr>
          <w:b w:val="0"/>
        </w:rPr>
      </w:pPr>
    </w:p>
    <w:p w:rsidR="00D96FE1" w:rsidRPr="00C44221" w:rsidRDefault="00D96FE1" w:rsidP="00FB4E7B">
      <w:pPr>
        <w:pStyle w:val="Heading1"/>
      </w:pPr>
      <w:bookmarkStart w:id="1" w:name="_Toc160872046"/>
      <w:r w:rsidRPr="00C44221">
        <w:lastRenderedPageBreak/>
        <w:t>IDENTIFICATION OF THE INFORMATION COLLECTION</w:t>
      </w:r>
      <w:bookmarkEnd w:id="1"/>
    </w:p>
    <w:p w:rsidR="00D96FE1" w:rsidRPr="00C44221" w:rsidRDefault="00FA36F1" w:rsidP="00FB4E7B">
      <w:pPr>
        <w:pStyle w:val="Heading2"/>
      </w:pPr>
      <w:bookmarkStart w:id="2" w:name="_Toc160872047"/>
      <w:r w:rsidRPr="00C44221">
        <w:t>Title a</w:t>
      </w:r>
      <w:r w:rsidR="00D96FE1" w:rsidRPr="00C44221">
        <w:t>nd Nu</w:t>
      </w:r>
      <w:r w:rsidR="00BE682D" w:rsidRPr="00C44221">
        <w:t>mber of t</w:t>
      </w:r>
      <w:r w:rsidR="00D96FE1" w:rsidRPr="00C44221">
        <w:t>he Information Collection</w:t>
      </w:r>
      <w:bookmarkEnd w:id="2"/>
    </w:p>
    <w:p w:rsidR="00E13DB8" w:rsidRPr="00C44221" w:rsidRDefault="00D96FE1" w:rsidP="00D96FE1">
      <w:pPr>
        <w:autoSpaceDE w:val="0"/>
        <w:autoSpaceDN w:val="0"/>
        <w:adjustRightInd w:val="0"/>
      </w:pPr>
      <w:r w:rsidRPr="00C44221">
        <w:rPr>
          <w:b/>
          <w:bCs/>
        </w:rPr>
        <w:t>TITLE</w:t>
      </w:r>
      <w:r w:rsidRPr="00C44221">
        <w:rPr>
          <w:bCs/>
        </w:rPr>
        <w:t xml:space="preserve">: </w:t>
      </w:r>
      <w:r w:rsidR="00107E00" w:rsidRPr="00C44221">
        <w:t xml:space="preserve">Information Collection Request (ICR) for </w:t>
      </w:r>
      <w:r w:rsidR="00E13DB8" w:rsidRPr="00C44221">
        <w:t>National Primary Drinking Water Regulation for Perchlorate (Proposed Rule)</w:t>
      </w:r>
    </w:p>
    <w:p w:rsidR="00BE682D" w:rsidRPr="00C44221" w:rsidRDefault="00D96FE1" w:rsidP="00D96FE1">
      <w:pPr>
        <w:autoSpaceDE w:val="0"/>
        <w:autoSpaceDN w:val="0"/>
        <w:adjustRightInd w:val="0"/>
        <w:rPr>
          <w:b/>
          <w:bCs/>
        </w:rPr>
      </w:pPr>
      <w:r w:rsidRPr="00C44221">
        <w:rPr>
          <w:b/>
          <w:bCs/>
        </w:rPr>
        <w:t xml:space="preserve">EPA ICR Number: </w:t>
      </w:r>
      <w:bookmarkStart w:id="3" w:name="skip_nav"/>
      <w:r w:rsidR="00E13DB8" w:rsidRPr="00C44221">
        <w:rPr>
          <w:b/>
          <w:bCs/>
        </w:rPr>
        <w:t>2600.01</w:t>
      </w:r>
      <w:bookmarkEnd w:id="3"/>
    </w:p>
    <w:p w:rsidR="00D96FE1" w:rsidRPr="00C44221" w:rsidRDefault="00D96FE1" w:rsidP="00D96FE1">
      <w:pPr>
        <w:autoSpaceDE w:val="0"/>
        <w:autoSpaceDN w:val="0"/>
        <w:adjustRightInd w:val="0"/>
        <w:rPr>
          <w:b/>
          <w:bCs/>
        </w:rPr>
      </w:pPr>
      <w:r w:rsidRPr="00C44221">
        <w:rPr>
          <w:b/>
          <w:bCs/>
        </w:rPr>
        <w:t>OMB Control Number:</w:t>
      </w:r>
      <w:r w:rsidR="00573F58" w:rsidRPr="00C44221">
        <w:rPr>
          <w:b/>
          <w:bCs/>
        </w:rPr>
        <w:t xml:space="preserve"> </w:t>
      </w:r>
      <w:r w:rsidR="0017180D" w:rsidRPr="00C44221">
        <w:rPr>
          <w:b/>
          <w:bCs/>
        </w:rPr>
        <w:t>2040-</w:t>
      </w:r>
      <w:r w:rsidR="00EF06AF" w:rsidRPr="00C44221">
        <w:rPr>
          <w:b/>
          <w:bCs/>
        </w:rPr>
        <w:t>NEW</w:t>
      </w:r>
    </w:p>
    <w:p w:rsidR="00D96FE1" w:rsidRPr="00C44221" w:rsidRDefault="00D96FE1" w:rsidP="00FB4E7B">
      <w:pPr>
        <w:pStyle w:val="Heading2"/>
      </w:pPr>
      <w:bookmarkStart w:id="4" w:name="_Toc160872048"/>
      <w:r w:rsidRPr="00C44221">
        <w:t>Short Characterization/Abstract</w:t>
      </w:r>
      <w:bookmarkEnd w:id="4"/>
    </w:p>
    <w:p w:rsidR="00107E00" w:rsidRPr="00C44221" w:rsidRDefault="00107E00" w:rsidP="00107E00">
      <w:r w:rsidRPr="00C44221">
        <w:t xml:space="preserve">The U.S. Environmental Protection Agency (EPA) is proposing to regulate perchlorate in drinking water distributed by public water systems (PWS). In 2011, the EPA determined that a national primary drinking water regulation (NPDWR) for perchlorate would result in a meaningful opportunity to reduce health risks (USEPA, 2011). Based on the best available scientific information on the health effects of perchlorate, the EPA is proposing a maximum contaminant level goal (MCLG) of 56 µg/L. The EPA is also proposing an enforceable maximum contaminant level (MCL) of 56 µg/L and compliance monitoring consistent with the Standardized Monitoring Framework for inorganic contaminants in 40 CFR 141.23(c). </w:t>
      </w:r>
    </w:p>
    <w:p w:rsidR="00D60D32" w:rsidRPr="00C44221" w:rsidRDefault="00D60D32" w:rsidP="00D60D32">
      <w:r w:rsidRPr="00C44221">
        <w:t xml:space="preserve">The proposed rule includes several reporting requirements. </w:t>
      </w:r>
      <w:r w:rsidR="00A47249" w:rsidRPr="00C44221">
        <w:t>During</w:t>
      </w:r>
      <w:r w:rsidR="00985FFA" w:rsidRPr="00C44221">
        <w:t xml:space="preserve"> the first three years after rule finalization (i.e.</w:t>
      </w:r>
      <w:r w:rsidR="00A47249" w:rsidRPr="00C44221">
        <w:t>,</w:t>
      </w:r>
      <w:r w:rsidR="00985FFA" w:rsidRPr="00C44221">
        <w:t xml:space="preserve"> the period covered by this ICR), states that have primacy will be required to read and understand the rule </w:t>
      </w:r>
      <w:r w:rsidR="008A20E2" w:rsidRPr="00C44221">
        <w:t xml:space="preserve">and </w:t>
      </w:r>
      <w:r w:rsidR="00985FFA" w:rsidRPr="00C44221">
        <w:t xml:space="preserve">modify their existing regulations to incorporate the relevant requirements. </w:t>
      </w:r>
      <w:r w:rsidR="008A20E2" w:rsidRPr="00C44221">
        <w:t xml:space="preserve">As part of their upfront costs, the EPA also expects that the primacy agencies will provide training to agency staff as well as training and assistance for water systems. </w:t>
      </w:r>
      <w:r w:rsidR="00985FFA" w:rsidRPr="00C44221">
        <w:t xml:space="preserve">After the initial </w:t>
      </w:r>
      <w:r w:rsidR="00A5497A" w:rsidRPr="00C44221">
        <w:t>three</w:t>
      </w:r>
      <w:r w:rsidR="00A47249" w:rsidRPr="00C44221">
        <w:t>-</w:t>
      </w:r>
      <w:r w:rsidR="00985FFA" w:rsidRPr="00C44221">
        <w:t>year period, w</w:t>
      </w:r>
      <w:r w:rsidRPr="00C44221">
        <w:t xml:space="preserve">ater systems </w:t>
      </w:r>
      <w:r w:rsidR="00985FFA" w:rsidRPr="00C44221">
        <w:t>will be required to</w:t>
      </w:r>
      <w:r w:rsidRPr="00C44221">
        <w:t xml:space="preserve"> provide monitoring results to primacy agencies</w:t>
      </w:r>
      <w:r w:rsidR="00985FFA" w:rsidRPr="00C44221">
        <w:t>, which</w:t>
      </w:r>
      <w:r w:rsidRPr="00C44221">
        <w:t xml:space="preserve"> must report violation-related information to the EPA. Systems may also include perchlorate monitoring information in their annual consumer confidence report (CCR). Finally, systems will have public notification requirements in the event of an MCL violation. </w:t>
      </w:r>
    </w:p>
    <w:p w:rsidR="002D4A38" w:rsidRPr="00C44221" w:rsidRDefault="00985FFA" w:rsidP="00D60D32">
      <w:r w:rsidRPr="00C44221">
        <w:t>For the period covered by this ICR (the three years following rule promulgation), the EPA estimates that the reporting burden for</w:t>
      </w:r>
      <w:r w:rsidR="008A20E2" w:rsidRPr="00C44221">
        <w:t xml:space="preserve"> 55 primacy agencies (including 49 states with primacy, one tribal nation, and 5 territories)</w:t>
      </w:r>
      <w:r w:rsidRPr="00C44221">
        <w:t xml:space="preserve"> will be </w:t>
      </w:r>
      <w:r w:rsidR="008A20E2" w:rsidRPr="00C44221">
        <w:t>145,618 hours, or 48,539 hours per year and 2,648 hours per respondent. Total costs for the labor will be approximately $7.38 million, or $2.46 million per year.</w:t>
      </w:r>
      <w:r w:rsidR="00DB3304" w:rsidRPr="00C44221">
        <w:t xml:space="preserve"> Water systems will not incur any </w:t>
      </w:r>
      <w:r w:rsidR="00A47249" w:rsidRPr="00C44221">
        <w:t xml:space="preserve">information collection or </w:t>
      </w:r>
      <w:r w:rsidR="00DB3304" w:rsidRPr="00C44221">
        <w:t>reporting burden during the first three years after rule promulgation.</w:t>
      </w:r>
    </w:p>
    <w:p w:rsidR="002D4A38" w:rsidRPr="00C44221" w:rsidRDefault="002D4A38" w:rsidP="00364F1A">
      <w:pPr>
        <w:pStyle w:val="Heading1"/>
        <w:pageBreakBefore w:val="0"/>
      </w:pPr>
      <w:bookmarkStart w:id="5" w:name="_Toc160872049"/>
      <w:r w:rsidRPr="00C44221">
        <w:t>NEED FOR AND USE OF THE COLLECTION</w:t>
      </w:r>
      <w:bookmarkEnd w:id="5"/>
    </w:p>
    <w:p w:rsidR="002D4A38" w:rsidRPr="00C44221" w:rsidRDefault="002D4A38" w:rsidP="00124529">
      <w:pPr>
        <w:pStyle w:val="Heading2"/>
      </w:pPr>
      <w:bookmarkStart w:id="6" w:name="_Toc160872050"/>
      <w:r w:rsidRPr="00C44221">
        <w:t xml:space="preserve">Need/Authority </w:t>
      </w:r>
      <w:r w:rsidR="007F35A0" w:rsidRPr="00C44221">
        <w:t>for t</w:t>
      </w:r>
      <w:r w:rsidRPr="00C44221">
        <w:t>he Collection</w:t>
      </w:r>
      <w:bookmarkEnd w:id="6"/>
    </w:p>
    <w:p w:rsidR="001F7D01" w:rsidRPr="00C44221" w:rsidRDefault="001F7D01" w:rsidP="00124529">
      <w:r w:rsidRPr="00C44221">
        <w:t xml:space="preserve">This section explains EPA’s need for the information covered in this ICR and identifies the regulatory/statutory authority for the information collection. The recordkeeping and reporting requirements are described in more detail in Section </w:t>
      </w:r>
      <w:r w:rsidR="0017390C" w:rsidRPr="00C44221">
        <w:fldChar w:fldCharType="begin"/>
      </w:r>
      <w:r w:rsidR="0017390C" w:rsidRPr="00C44221">
        <w:instrText xml:space="preserve"> REF _Ref530553973 \r \h </w:instrText>
      </w:r>
      <w:r w:rsidR="00C44221">
        <w:instrText xml:space="preserve"> \* MERGEFORMAT </w:instrText>
      </w:r>
      <w:r w:rsidR="0017390C" w:rsidRPr="00C44221">
        <w:fldChar w:fldCharType="separate"/>
      </w:r>
      <w:r w:rsidR="0017390C" w:rsidRPr="00C44221">
        <w:t>4</w:t>
      </w:r>
      <w:r w:rsidR="0017390C" w:rsidRPr="00C44221">
        <w:fldChar w:fldCharType="end"/>
      </w:r>
      <w:r w:rsidR="0017390C" w:rsidRPr="00C44221">
        <w:t>.</w:t>
      </w:r>
    </w:p>
    <w:p w:rsidR="00235BC2" w:rsidRPr="00C44221" w:rsidRDefault="002D4A38" w:rsidP="00124529">
      <w:r w:rsidRPr="00C44221">
        <w:lastRenderedPageBreak/>
        <w:t xml:space="preserve">EPA needs comprehensive and current information on </w:t>
      </w:r>
      <w:r w:rsidR="00C47595" w:rsidRPr="00C44221">
        <w:t>perchlorate contamination</w:t>
      </w:r>
      <w:r w:rsidRPr="00C44221">
        <w:t xml:space="preserve"> and associated enforcement activities to implement its program oversight and enforcement responsibilities mandated by the Safe Drinking Water Act (SDWA). </w:t>
      </w:r>
      <w:r w:rsidR="00235BC2" w:rsidRPr="00C44221">
        <w:t>Section 1401(1)(D) of the SDWA requires that “there must be criteria and procedures to assure a supply of drinking water which dependably complies with such maximum contaminant levels, including quality control and testing procedures to insure compliance with such levels and to insure proper operation and maintenance of the system.” Furthermore, Section 1445(a)(1) of the SDWA requires that “every person who is a supplier of water...shall establish and maintain such records, make such reports, conduct such monitoring, and provide such information as the Administrator may reasonably require by regulation to assist him in establishing regulations, in determining whether such person has acted or is in compliance with this title.” In addition, Section 1413(a)(3) of the SDWA requires States to “keep such records and make such reports...as the Administrator may require by regulation.”</w:t>
      </w:r>
    </w:p>
    <w:p w:rsidR="00235BC2" w:rsidRPr="00C44221" w:rsidRDefault="00235BC2" w:rsidP="00124529">
      <w:r w:rsidRPr="00C44221">
        <w:t>Section 1412(b) of the SDWA, as amended in 1996, requires the Agency to publish maximum contaminant level goals and promulgate NPDWRs for contaminants that may have an adverse effect on</w:t>
      </w:r>
      <w:r w:rsidR="004B6F37" w:rsidRPr="00C44221">
        <w:t xml:space="preserve"> the health</w:t>
      </w:r>
      <w:r w:rsidRPr="00C44221">
        <w:t xml:space="preserve"> of persons, are known to or anticipated to occur in PWSs, or, in the opinion of the Administrator, present an opportunity for health risk reduction. The NPDWRs specify maximum contaminant levels or treatment techniques for drinking water contaminants (42 USC 300g-1). </w:t>
      </w:r>
    </w:p>
    <w:p w:rsidR="00C01319" w:rsidRPr="00C44221" w:rsidRDefault="00C01319" w:rsidP="001F7D01">
      <w:pPr>
        <w:pStyle w:val="Heading2"/>
      </w:pPr>
      <w:bookmarkStart w:id="7" w:name="_Toc160872051"/>
      <w:r w:rsidRPr="00C44221">
        <w:t>Uses/Users of the Data</w:t>
      </w:r>
      <w:bookmarkEnd w:id="7"/>
    </w:p>
    <w:p w:rsidR="007C7D26" w:rsidRPr="00C44221" w:rsidRDefault="007C7D26" w:rsidP="007C7D26">
      <w:r w:rsidRPr="00C44221">
        <w:t xml:space="preserve">For the first three years following promulgation of the rule (the period covered by this ICR), </w:t>
      </w:r>
      <w:r w:rsidR="00DB3304" w:rsidRPr="00C44221">
        <w:t>primacy agencies</w:t>
      </w:r>
      <w:r w:rsidRPr="00C44221">
        <w:t xml:space="preserve"> will read and understand the rule</w:t>
      </w:r>
      <w:r w:rsidR="00B3151D" w:rsidRPr="00C44221">
        <w:t>,</w:t>
      </w:r>
      <w:r w:rsidRPr="00C44221">
        <w:t xml:space="preserve"> modify existing state regulations to incorporate the rule requirements</w:t>
      </w:r>
      <w:r w:rsidR="00B3151D" w:rsidRPr="00C44221">
        <w:t>, and provide training for agency staff and PWSs</w:t>
      </w:r>
      <w:r w:rsidRPr="00C44221">
        <w:t xml:space="preserve">. </w:t>
      </w:r>
      <w:r w:rsidR="00502D45" w:rsidRPr="00C44221">
        <w:t>This section describes how the resultant information will be used and identifies the expected primary users of the data.</w:t>
      </w:r>
    </w:p>
    <w:p w:rsidR="00C01319" w:rsidRPr="00C44221" w:rsidRDefault="00160FCF" w:rsidP="00C47595">
      <w:pPr>
        <w:pStyle w:val="Heading3"/>
      </w:pPr>
      <w:r w:rsidRPr="00C44221">
        <w:t xml:space="preserve"> </w:t>
      </w:r>
      <w:r w:rsidR="00C01319" w:rsidRPr="00C44221">
        <w:t>Uses of the Data</w:t>
      </w:r>
    </w:p>
    <w:p w:rsidR="007C7D26" w:rsidRPr="00C44221" w:rsidRDefault="00C01319" w:rsidP="00C47595">
      <w:r w:rsidRPr="00C44221">
        <w:t xml:space="preserve">Primary users of the data collected under this ICR are EPA Headquarters, </w:t>
      </w:r>
      <w:r w:rsidR="006C3017" w:rsidRPr="00C44221">
        <w:t>water system</w:t>
      </w:r>
      <w:r w:rsidRPr="00C44221">
        <w:t xml:space="preserve"> managers, </w:t>
      </w:r>
      <w:r w:rsidR="008F74FB" w:rsidRPr="00C44221">
        <w:t xml:space="preserve">consumers, </w:t>
      </w:r>
      <w:r w:rsidRPr="00C44221">
        <w:t xml:space="preserve">and primacy agencies, which include </w:t>
      </w:r>
      <w:r w:rsidR="00BB55A4" w:rsidRPr="00C44221">
        <w:t xml:space="preserve">state, territorial, and tribal regulators </w:t>
      </w:r>
      <w:r w:rsidRPr="00C44221">
        <w:t xml:space="preserve">and, in some instances, EPA Regional Administrators. </w:t>
      </w:r>
      <w:r w:rsidR="007C7D26" w:rsidRPr="00C44221">
        <w:t xml:space="preserve">State reporting is a condition for maintaining primacy. Primacy agencies play a crucial role in implementing the SDWA, and EPA is charged with overseeing the performance of these </w:t>
      </w:r>
      <w:r w:rsidR="009B4B46" w:rsidRPr="00C44221">
        <w:t>agencies</w:t>
      </w:r>
      <w:r w:rsidR="007C7D26" w:rsidRPr="00C44221">
        <w:t>. EPA uses the data provided by primacy agencies to ensure state compliance with and enforcement of the regulations, and to develop summary statistics on state performance.</w:t>
      </w:r>
    </w:p>
    <w:p w:rsidR="00C01319" w:rsidRPr="00C44221" w:rsidRDefault="00C01319" w:rsidP="00C47595">
      <w:pPr>
        <w:pStyle w:val="Heading3"/>
      </w:pPr>
      <w:bookmarkStart w:id="8" w:name="_Toc160872052"/>
      <w:r w:rsidRPr="00C44221">
        <w:t>Users of the Data</w:t>
      </w:r>
      <w:bookmarkEnd w:id="8"/>
    </w:p>
    <w:p w:rsidR="000F6F69" w:rsidRPr="00C44221" w:rsidRDefault="000F6F69" w:rsidP="00C47595">
      <w:r w:rsidRPr="00C44221">
        <w:t xml:space="preserve">Primary users of the data </w:t>
      </w:r>
      <w:r w:rsidR="006C3017" w:rsidRPr="00C44221">
        <w:t>collected under this ICR</w:t>
      </w:r>
      <w:r w:rsidRPr="00C44221">
        <w:t xml:space="preserve"> are </w:t>
      </w:r>
      <w:r w:rsidR="006C3017" w:rsidRPr="00C44221">
        <w:t xml:space="preserve">water </w:t>
      </w:r>
      <w:r w:rsidRPr="00C44221">
        <w:t>systems and their customers, primacy agencies, and EPA</w:t>
      </w:r>
      <w:r w:rsidR="007624F1" w:rsidRPr="00C44221">
        <w:t xml:space="preserve">. </w:t>
      </w:r>
      <w:r w:rsidR="006C3017" w:rsidRPr="00C44221">
        <w:t xml:space="preserve">The information collected by </w:t>
      </w:r>
      <w:r w:rsidR="009E3ED6" w:rsidRPr="00C44221">
        <w:t xml:space="preserve">EPA </w:t>
      </w:r>
      <w:r w:rsidR="006C3017" w:rsidRPr="00C44221">
        <w:t>is available to the public, via EPA’</w:t>
      </w:r>
      <w:r w:rsidR="00CE5FD6" w:rsidRPr="00C44221">
        <w:t>s webs</w:t>
      </w:r>
      <w:r w:rsidR="006C3017" w:rsidRPr="00C44221">
        <w:t>i</w:t>
      </w:r>
      <w:r w:rsidR="00CE5FD6" w:rsidRPr="00C44221">
        <w:t>t</w:t>
      </w:r>
      <w:r w:rsidR="006C3017" w:rsidRPr="00C44221">
        <w:t xml:space="preserve">e </w:t>
      </w:r>
      <w:r w:rsidR="00CE5FD6" w:rsidRPr="00C44221">
        <w:t>or by requesting the data</w:t>
      </w:r>
      <w:r w:rsidR="009E3ED6" w:rsidRPr="00C44221">
        <w:t xml:space="preserve"> under the Freedom of Information Act</w:t>
      </w:r>
      <w:r w:rsidR="003A5675" w:rsidRPr="00C44221">
        <w:t xml:space="preserve"> </w:t>
      </w:r>
      <w:r w:rsidR="009E3ED6" w:rsidRPr="00C44221">
        <w:t xml:space="preserve">(FOIA; 40 CFR, Chapter 1, Part 2). </w:t>
      </w:r>
      <w:r w:rsidRPr="00C44221">
        <w:t xml:space="preserve">Other </w:t>
      </w:r>
      <w:r w:rsidR="00CE5FD6" w:rsidRPr="00C44221">
        <w:t>organizations</w:t>
      </w:r>
      <w:r w:rsidRPr="00C44221">
        <w:t xml:space="preserve"> that may utilize</w:t>
      </w:r>
      <w:r w:rsidR="00CE5FD6" w:rsidRPr="00C44221">
        <w:t xml:space="preserve"> the data include the following:</w:t>
      </w:r>
    </w:p>
    <w:p w:rsidR="003A5675" w:rsidRPr="00C44221" w:rsidRDefault="00CE5FD6" w:rsidP="00EA610D">
      <w:pPr>
        <w:pStyle w:val="ListParagraph"/>
        <w:numPr>
          <w:ilvl w:val="0"/>
          <w:numId w:val="1"/>
        </w:numPr>
      </w:pPr>
      <w:r w:rsidRPr="00C44221">
        <w:t>News o</w:t>
      </w:r>
      <w:r w:rsidR="004B6F37" w:rsidRPr="00C44221">
        <w:t>rganizations</w:t>
      </w:r>
      <w:r w:rsidR="007C4BB7" w:rsidRPr="00C44221">
        <w:t>;</w:t>
      </w:r>
    </w:p>
    <w:p w:rsidR="00763332" w:rsidRPr="00C44221" w:rsidRDefault="00C01319" w:rsidP="00EA610D">
      <w:pPr>
        <w:pStyle w:val="ListParagraph"/>
        <w:numPr>
          <w:ilvl w:val="0"/>
          <w:numId w:val="1"/>
        </w:numPr>
      </w:pPr>
      <w:r w:rsidRPr="00C44221">
        <w:t>Staff from other EPA programs (such as Superfund, the Resource Conservation and</w:t>
      </w:r>
      <w:r w:rsidR="00763332" w:rsidRPr="00C44221">
        <w:t xml:space="preserve"> </w:t>
      </w:r>
      <w:r w:rsidRPr="00C44221">
        <w:t>Recovery Act, and the O</w:t>
      </w:r>
      <w:r w:rsidR="00CE5FD6" w:rsidRPr="00C44221">
        <w:t xml:space="preserve">ffice of </w:t>
      </w:r>
      <w:r w:rsidRPr="00C44221">
        <w:t>E</w:t>
      </w:r>
      <w:r w:rsidR="00CE5FD6" w:rsidRPr="00C44221">
        <w:t>nforcement and Compliance Assurance</w:t>
      </w:r>
      <w:r w:rsidRPr="00C44221">
        <w:t>)</w:t>
      </w:r>
      <w:r w:rsidR="007C4BB7" w:rsidRPr="00C44221">
        <w:t>;</w:t>
      </w:r>
    </w:p>
    <w:p w:rsidR="00763332" w:rsidRPr="00C44221" w:rsidRDefault="00C01319" w:rsidP="00EA610D">
      <w:pPr>
        <w:pStyle w:val="ListParagraph"/>
        <w:numPr>
          <w:ilvl w:val="0"/>
          <w:numId w:val="1"/>
        </w:numPr>
      </w:pPr>
      <w:r w:rsidRPr="00C44221">
        <w:t>The Federal Emergency Management Administration</w:t>
      </w:r>
      <w:r w:rsidR="007C4BB7" w:rsidRPr="00C44221">
        <w:t>;</w:t>
      </w:r>
    </w:p>
    <w:p w:rsidR="00763332" w:rsidRPr="00C44221" w:rsidRDefault="00C01319" w:rsidP="00EA610D">
      <w:pPr>
        <w:pStyle w:val="ListParagraph"/>
        <w:numPr>
          <w:ilvl w:val="0"/>
          <w:numId w:val="1"/>
        </w:numPr>
      </w:pPr>
      <w:r w:rsidRPr="00C44221">
        <w:t>Centers for Disease Control and Prevention (CDC)</w:t>
      </w:r>
      <w:r w:rsidR="007C4BB7" w:rsidRPr="00C44221">
        <w:t>;</w:t>
      </w:r>
    </w:p>
    <w:p w:rsidR="00763332" w:rsidRPr="00C44221" w:rsidRDefault="00C01319" w:rsidP="00EA610D">
      <w:pPr>
        <w:pStyle w:val="ListParagraph"/>
        <w:numPr>
          <w:ilvl w:val="0"/>
          <w:numId w:val="1"/>
        </w:numPr>
      </w:pPr>
      <w:r w:rsidRPr="00C44221">
        <w:t>Military bases</w:t>
      </w:r>
      <w:r w:rsidR="007C4BB7" w:rsidRPr="00C44221">
        <w:t>;</w:t>
      </w:r>
    </w:p>
    <w:p w:rsidR="00763332" w:rsidRPr="00C44221" w:rsidRDefault="00C01319" w:rsidP="00EA610D">
      <w:pPr>
        <w:pStyle w:val="ListParagraph"/>
        <w:numPr>
          <w:ilvl w:val="0"/>
          <w:numId w:val="1"/>
        </w:numPr>
      </w:pPr>
      <w:r w:rsidRPr="00C44221">
        <w:t>Farmers Home Administration</w:t>
      </w:r>
      <w:r w:rsidR="007C4BB7" w:rsidRPr="00C44221">
        <w:t>;</w:t>
      </w:r>
    </w:p>
    <w:p w:rsidR="00763332" w:rsidRPr="00C44221" w:rsidRDefault="00C01319" w:rsidP="00EA610D">
      <w:pPr>
        <w:pStyle w:val="ListParagraph"/>
        <w:numPr>
          <w:ilvl w:val="0"/>
          <w:numId w:val="1"/>
        </w:numPr>
      </w:pPr>
      <w:r w:rsidRPr="00C44221">
        <w:t>Department of Interior</w:t>
      </w:r>
      <w:r w:rsidR="007C4BB7" w:rsidRPr="00C44221">
        <w:t>;</w:t>
      </w:r>
    </w:p>
    <w:p w:rsidR="00763332" w:rsidRPr="00C44221" w:rsidRDefault="00C01319" w:rsidP="00EA610D">
      <w:pPr>
        <w:pStyle w:val="ListParagraph"/>
        <w:numPr>
          <w:ilvl w:val="0"/>
          <w:numId w:val="1"/>
        </w:numPr>
      </w:pPr>
      <w:r w:rsidRPr="00C44221">
        <w:t>Department of Housing and Urban Development</w:t>
      </w:r>
      <w:r w:rsidR="007C4BB7" w:rsidRPr="00C44221">
        <w:t>;</w:t>
      </w:r>
    </w:p>
    <w:p w:rsidR="00763332" w:rsidRPr="00C44221" w:rsidRDefault="00C01319" w:rsidP="00EA610D">
      <w:pPr>
        <w:pStyle w:val="ListParagraph"/>
        <w:numPr>
          <w:ilvl w:val="0"/>
          <w:numId w:val="1"/>
        </w:numPr>
      </w:pPr>
      <w:r w:rsidRPr="00C44221">
        <w:t>U.S. Army Corps of Engineers</w:t>
      </w:r>
      <w:r w:rsidR="007C4BB7" w:rsidRPr="00C44221">
        <w:t>;</w:t>
      </w:r>
    </w:p>
    <w:p w:rsidR="00763332" w:rsidRPr="00C44221" w:rsidRDefault="00C01319" w:rsidP="00EA610D">
      <w:pPr>
        <w:pStyle w:val="ListParagraph"/>
        <w:numPr>
          <w:ilvl w:val="0"/>
          <w:numId w:val="1"/>
        </w:numPr>
      </w:pPr>
      <w:r w:rsidRPr="00C44221">
        <w:t>White House Task Forces</w:t>
      </w:r>
      <w:r w:rsidR="007C4BB7" w:rsidRPr="00C44221">
        <w:t>;</w:t>
      </w:r>
    </w:p>
    <w:p w:rsidR="00763332" w:rsidRPr="00C44221" w:rsidRDefault="00C01319" w:rsidP="00EA610D">
      <w:pPr>
        <w:pStyle w:val="ListParagraph"/>
        <w:numPr>
          <w:ilvl w:val="0"/>
          <w:numId w:val="1"/>
        </w:numPr>
      </w:pPr>
      <w:r w:rsidRPr="00C44221">
        <w:t>American Water Works Association</w:t>
      </w:r>
      <w:r w:rsidR="007C4BB7" w:rsidRPr="00C44221">
        <w:t>;</w:t>
      </w:r>
    </w:p>
    <w:p w:rsidR="00763332" w:rsidRPr="00C44221" w:rsidRDefault="00C01319" w:rsidP="00EA610D">
      <w:pPr>
        <w:pStyle w:val="ListParagraph"/>
        <w:numPr>
          <w:ilvl w:val="0"/>
          <w:numId w:val="1"/>
        </w:numPr>
      </w:pPr>
      <w:r w:rsidRPr="00C44221">
        <w:t>Association of Metropolitan Water Agencies</w:t>
      </w:r>
      <w:r w:rsidR="007C4BB7" w:rsidRPr="00C44221">
        <w:t>;</w:t>
      </w:r>
    </w:p>
    <w:p w:rsidR="00763332" w:rsidRPr="00C44221" w:rsidRDefault="00C01319" w:rsidP="00EA610D">
      <w:pPr>
        <w:pStyle w:val="ListParagraph"/>
        <w:numPr>
          <w:ilvl w:val="0"/>
          <w:numId w:val="1"/>
        </w:numPr>
      </w:pPr>
      <w:r w:rsidRPr="00C44221">
        <w:t>National Rural Water Association</w:t>
      </w:r>
      <w:r w:rsidR="007C4BB7" w:rsidRPr="00C44221">
        <w:t>;</w:t>
      </w:r>
    </w:p>
    <w:p w:rsidR="00763332" w:rsidRPr="00C44221" w:rsidRDefault="00C01319" w:rsidP="00EA610D">
      <w:pPr>
        <w:pStyle w:val="ListParagraph"/>
        <w:numPr>
          <w:ilvl w:val="0"/>
          <w:numId w:val="1"/>
        </w:numPr>
      </w:pPr>
      <w:r w:rsidRPr="00C44221">
        <w:t>National Association of Water Companies</w:t>
      </w:r>
      <w:r w:rsidR="007C4BB7" w:rsidRPr="00C44221">
        <w:t>;</w:t>
      </w:r>
    </w:p>
    <w:p w:rsidR="00763332" w:rsidRPr="00C44221" w:rsidRDefault="00C01319" w:rsidP="00EA610D">
      <w:pPr>
        <w:pStyle w:val="ListParagraph"/>
        <w:numPr>
          <w:ilvl w:val="0"/>
          <w:numId w:val="1"/>
        </w:numPr>
      </w:pPr>
      <w:r w:rsidRPr="00C44221">
        <w:t>Association of State Drinking Water Administrators</w:t>
      </w:r>
      <w:r w:rsidR="007C4BB7" w:rsidRPr="00C44221">
        <w:t>;</w:t>
      </w:r>
    </w:p>
    <w:p w:rsidR="00763332" w:rsidRPr="00C44221" w:rsidRDefault="00C01319" w:rsidP="00EA610D">
      <w:pPr>
        <w:pStyle w:val="ListParagraph"/>
        <w:numPr>
          <w:ilvl w:val="0"/>
          <w:numId w:val="1"/>
        </w:numPr>
      </w:pPr>
      <w:r w:rsidRPr="00C44221">
        <w:t>Natural Resources Defense Council</w:t>
      </w:r>
      <w:r w:rsidR="007C4BB7" w:rsidRPr="00C44221">
        <w:t>; and</w:t>
      </w:r>
    </w:p>
    <w:p w:rsidR="00763332" w:rsidRPr="00C44221" w:rsidRDefault="00C01319" w:rsidP="00EA610D">
      <w:pPr>
        <w:pStyle w:val="ListParagraph"/>
        <w:numPr>
          <w:ilvl w:val="0"/>
          <w:numId w:val="1"/>
        </w:numPr>
      </w:pPr>
      <w:r w:rsidRPr="00C44221">
        <w:t>Consumers Federation of America</w:t>
      </w:r>
      <w:r w:rsidR="00CE5FD6" w:rsidRPr="00C44221">
        <w:t>.</w:t>
      </w:r>
    </w:p>
    <w:p w:rsidR="003A5675" w:rsidRPr="00C44221" w:rsidRDefault="003A5675"/>
    <w:p w:rsidR="003A5675" w:rsidRPr="00C44221" w:rsidRDefault="003A5675" w:rsidP="00C96943">
      <w:pPr>
        <w:pStyle w:val="Heading1"/>
        <w:pageBreakBefore w:val="0"/>
      </w:pPr>
      <w:bookmarkStart w:id="9" w:name="_Toc160872053"/>
      <w:r w:rsidRPr="00C44221">
        <w:t>NON-DUPLICATION, CONSULTATIONS, AND OTHER COLLECTION</w:t>
      </w:r>
      <w:bookmarkEnd w:id="9"/>
      <w:r w:rsidR="00C47595" w:rsidRPr="00C44221">
        <w:t xml:space="preserve"> </w:t>
      </w:r>
      <w:r w:rsidRPr="00C44221">
        <w:t>CRITERIA</w:t>
      </w:r>
    </w:p>
    <w:p w:rsidR="003A5675" w:rsidRPr="00C44221" w:rsidRDefault="003A5675" w:rsidP="00C47595">
      <w:pPr>
        <w:pStyle w:val="Heading2"/>
      </w:pPr>
      <w:bookmarkStart w:id="10" w:name="_Toc160872054"/>
      <w:r w:rsidRPr="00C44221">
        <w:t>Non-duplication</w:t>
      </w:r>
      <w:bookmarkEnd w:id="10"/>
    </w:p>
    <w:p w:rsidR="003A5675" w:rsidRPr="00C44221" w:rsidRDefault="000C03B1" w:rsidP="00C47595">
      <w:r w:rsidRPr="00C44221">
        <w:t>To ensure that the data collection efforts associated with this ICR are not duplicated, EPA</w:t>
      </w:r>
      <w:r w:rsidR="00EA5A71" w:rsidRPr="00C44221">
        <w:t xml:space="preserve"> consulted with other federal agencies, state agencies, industry organizations, water systems, and tribal organizations.</w:t>
      </w:r>
      <w:r w:rsidR="009B4B46" w:rsidRPr="00C44221">
        <w:t xml:space="preserve"> </w:t>
      </w:r>
      <w:r w:rsidR="003A5675" w:rsidRPr="00C44221">
        <w:t>To the best of the Agency's knowledge, data required b</w:t>
      </w:r>
      <w:r w:rsidR="009D42EE" w:rsidRPr="00C44221">
        <w:t xml:space="preserve">y the </w:t>
      </w:r>
      <w:r w:rsidRPr="00C44221">
        <w:t xml:space="preserve">rule </w:t>
      </w:r>
      <w:r w:rsidR="009D42EE" w:rsidRPr="00C44221">
        <w:t xml:space="preserve">are not </w:t>
      </w:r>
      <w:r w:rsidR="003A5675" w:rsidRPr="00C44221">
        <w:t>available from any other source.</w:t>
      </w:r>
    </w:p>
    <w:p w:rsidR="009D42EE" w:rsidRPr="00C44221" w:rsidRDefault="009D42EE" w:rsidP="00C47595">
      <w:pPr>
        <w:pStyle w:val="Heading2"/>
      </w:pPr>
      <w:bookmarkStart w:id="11" w:name="_Toc160872055"/>
      <w:r w:rsidRPr="00C44221">
        <w:t>Public Notice Required Prior to ICR Submission to OMB</w:t>
      </w:r>
      <w:bookmarkEnd w:id="11"/>
    </w:p>
    <w:p w:rsidR="009D42EE" w:rsidRPr="00C44221" w:rsidRDefault="009D42EE" w:rsidP="00C47595">
      <w:r w:rsidRPr="00C44221">
        <w:t xml:space="preserve">To comply with the 1995 Amendments to the Paperwork Reduction Act, the Agency </w:t>
      </w:r>
      <w:r w:rsidR="008E7DC2" w:rsidRPr="00C44221">
        <w:t xml:space="preserve">will </w:t>
      </w:r>
      <w:r w:rsidRPr="00C44221">
        <w:t>solicit</w:t>
      </w:r>
      <w:r w:rsidR="008E7DC2" w:rsidRPr="00C44221">
        <w:t xml:space="preserve"> public comment on this</w:t>
      </w:r>
      <w:r w:rsidRPr="00C44221">
        <w:t xml:space="preserve"> draft ICR during a 60-day public comment period coincident with the comment period for the proposed </w:t>
      </w:r>
      <w:r w:rsidR="008E7DC2" w:rsidRPr="00C44221">
        <w:t>rule</w:t>
      </w:r>
      <w:r w:rsidRPr="00C44221">
        <w:t xml:space="preserve">. </w:t>
      </w:r>
      <w:r w:rsidR="002B7D61" w:rsidRPr="00C44221">
        <w:t xml:space="preserve">In the </w:t>
      </w:r>
      <w:r w:rsidR="002B7D61" w:rsidRPr="00C44221">
        <w:rPr>
          <w:i/>
        </w:rPr>
        <w:t>Federal Register</w:t>
      </w:r>
      <w:r w:rsidR="002B7D61" w:rsidRPr="00C44221">
        <w:t xml:space="preserve"> notice for the proposed rule, EPA will request comment on the estimated respondent burden and other aspects of this information collection. </w:t>
      </w:r>
      <w:r w:rsidRPr="00C44221">
        <w:t xml:space="preserve">Comments received </w:t>
      </w:r>
      <w:r w:rsidR="008E7DC2" w:rsidRPr="00C44221">
        <w:t>will be</w:t>
      </w:r>
      <w:r w:rsidRPr="00C44221">
        <w:t xml:space="preserve"> considered by the Agency and used to adjust the burden and costs estimates presented in </w:t>
      </w:r>
      <w:r w:rsidR="008E7DC2" w:rsidRPr="00C44221">
        <w:t>the final</w:t>
      </w:r>
      <w:r w:rsidRPr="00C44221">
        <w:t xml:space="preserve"> ICR</w:t>
      </w:r>
      <w:r w:rsidR="008E7DC2" w:rsidRPr="00C44221">
        <w:t xml:space="preserve"> prior to submission to OMB</w:t>
      </w:r>
      <w:r w:rsidRPr="00C44221">
        <w:t>.</w:t>
      </w:r>
    </w:p>
    <w:p w:rsidR="00144C78" w:rsidRPr="00C44221" w:rsidRDefault="00144C78" w:rsidP="00C47595">
      <w:pPr>
        <w:pStyle w:val="Heading2"/>
      </w:pPr>
      <w:bookmarkStart w:id="12" w:name="_Toc160872056"/>
      <w:r w:rsidRPr="00C44221">
        <w:t>Consultations</w:t>
      </w:r>
      <w:bookmarkEnd w:id="12"/>
    </w:p>
    <w:p w:rsidR="000C03B1" w:rsidRPr="00C44221" w:rsidRDefault="00A0427B" w:rsidP="00C47595">
      <w:r w:rsidRPr="00C44221">
        <w:t xml:space="preserve">To help shape the </w:t>
      </w:r>
      <w:r w:rsidR="00604B16" w:rsidRPr="00C44221">
        <w:t>perchlorate NPDWR</w:t>
      </w:r>
      <w:r w:rsidRPr="00C44221">
        <w:t xml:space="preserve">, EPA engaged with multiple stakeholders representing a wide range of expertise. </w:t>
      </w:r>
      <w:r w:rsidR="000224CF" w:rsidRPr="00C44221">
        <w:t xml:space="preserve">The EPA conducted consultation with Indian Tribes, which included a public meeting in February 28, 2012 to request input and provide rulemaking information to interested parties. On May 29, 2012, the EPA sought guidance from the EPA Science Advisory Board (SAB) on how best to consider and interpret life stage information, epidemiological and biomonitoring data since the publication of the National Research Council 2005 report, the Agency’s physiologically-based pharmacokinetic (PBPK) analyses, and the totality of perchlorate health information to derive a Maximum Contaminant Level Goal (MCLG) for perchlorate (USEPA, 2012; NRC, 2005). On May 29, 2013, the EPA received significant input from the SAB, summarized in the report, SAB Advice on Approaches to Derive a Maximum Contaminant Level Goal for Perchlorate (USEPA, 2013). In accordance with sections 1412(d) and 1412(e) of the SDWA, the Agency consulted with the National Drinking Water Advisory Council (NDWAC or the Council) and the Secretary of Health and Human Services in addition to the SAB. The Agency consulted with NDWAC during the Council’s October 4-5, 2012 meeting. </w:t>
      </w:r>
      <w:r w:rsidR="007C4BB7" w:rsidRPr="00C44221">
        <w:t>On March 25, 2019, the EPA consulted with the Department of Health and Human Services (HHS), providing draft proposed perchlorate regulation information to HHS officials and considering HHS inputs.</w:t>
      </w:r>
    </w:p>
    <w:p w:rsidR="009F0C3F" w:rsidRPr="00C44221" w:rsidRDefault="009F0C3F" w:rsidP="00C47595">
      <w:pPr>
        <w:pStyle w:val="Heading2"/>
      </w:pPr>
      <w:bookmarkStart w:id="13" w:name="_Toc160872057"/>
      <w:r w:rsidRPr="00C44221">
        <w:t>Effects of Less Frequent Collection</w:t>
      </w:r>
      <w:bookmarkEnd w:id="13"/>
    </w:p>
    <w:p w:rsidR="000C03B1" w:rsidRPr="00C44221" w:rsidRDefault="009F0C3F" w:rsidP="000C03B1">
      <w:r w:rsidRPr="00C44221">
        <w:t xml:space="preserve">EPA has considered a wide range of alternatives for frequency of data collection. EPA has chosen to require the least frequent collection that remains consistent with the overall goal of protecting public health. If data are collected less frequently, </w:t>
      </w:r>
      <w:r w:rsidR="000C03B1" w:rsidRPr="00C44221">
        <w:t xml:space="preserve">EPA and </w:t>
      </w:r>
      <w:r w:rsidRPr="00C44221">
        <w:t>primacy agencies may not identify in a timely fashion significant contaminant concentrations that might threaten the health and safety of drinking water consumers.</w:t>
      </w:r>
      <w:r w:rsidR="00432B6A" w:rsidRPr="00C44221">
        <w:t xml:space="preserve"> </w:t>
      </w:r>
      <w:bookmarkStart w:id="14" w:name="_Toc160872058"/>
    </w:p>
    <w:p w:rsidR="006929D3" w:rsidRPr="00C44221" w:rsidRDefault="006929D3" w:rsidP="000C03B1">
      <w:pPr>
        <w:pStyle w:val="Heading2"/>
      </w:pPr>
      <w:r w:rsidRPr="00C44221">
        <w:t>General Guidelines</w:t>
      </w:r>
      <w:bookmarkEnd w:id="14"/>
    </w:p>
    <w:p w:rsidR="00E70219" w:rsidRPr="00C44221" w:rsidRDefault="003F19BB" w:rsidP="007E013F">
      <w:pPr>
        <w:autoSpaceDE w:val="0"/>
        <w:autoSpaceDN w:val="0"/>
        <w:adjustRightInd w:val="0"/>
      </w:pPr>
      <w:r>
        <w:rPr>
          <w:color w:val="000000"/>
        </w:rPr>
        <w:t>These reporting or recordkeeping requirements do not violate any of the regulations promulgated by OMB under 5 CFR Part 1320.5.</w:t>
      </w:r>
      <w:r w:rsidR="006929D3" w:rsidRPr="00C44221">
        <w:t xml:space="preserve"> </w:t>
      </w:r>
    </w:p>
    <w:p w:rsidR="006929D3" w:rsidRPr="00C44221" w:rsidRDefault="006929D3" w:rsidP="00C47595">
      <w:pPr>
        <w:pStyle w:val="Heading2"/>
      </w:pPr>
      <w:bookmarkStart w:id="15" w:name="_Toc160872059"/>
      <w:r w:rsidRPr="00C44221">
        <w:t>Confidentiality</w:t>
      </w:r>
      <w:bookmarkEnd w:id="15"/>
    </w:p>
    <w:p w:rsidR="006929D3" w:rsidRPr="00C44221" w:rsidRDefault="006714B4" w:rsidP="006929D3">
      <w:pPr>
        <w:autoSpaceDE w:val="0"/>
        <w:autoSpaceDN w:val="0"/>
        <w:adjustRightInd w:val="0"/>
      </w:pPr>
      <w:r w:rsidRPr="00C44221">
        <w:t>No confidential information will be collected as a result of this ICR</w:t>
      </w:r>
      <w:r w:rsidR="006929D3" w:rsidRPr="00C44221">
        <w:t>.</w:t>
      </w:r>
    </w:p>
    <w:p w:rsidR="006929D3" w:rsidRPr="00C44221" w:rsidRDefault="006929D3" w:rsidP="00C47595">
      <w:pPr>
        <w:pStyle w:val="Heading2"/>
      </w:pPr>
      <w:bookmarkStart w:id="16" w:name="_Toc160872060"/>
      <w:r w:rsidRPr="00C44221">
        <w:t>Sensitive Questions</w:t>
      </w:r>
      <w:bookmarkEnd w:id="16"/>
    </w:p>
    <w:p w:rsidR="00561727" w:rsidRPr="00C44221" w:rsidRDefault="000C03B1" w:rsidP="00C96943">
      <w:pPr>
        <w:autoSpaceDE w:val="0"/>
        <w:autoSpaceDN w:val="0"/>
        <w:adjustRightInd w:val="0"/>
      </w:pPr>
      <w:r w:rsidRPr="00C44221">
        <w:t>No information of a sensitive nature will be collected as a result of this ICR</w:t>
      </w:r>
      <w:r w:rsidR="00B9766D" w:rsidRPr="00C44221">
        <w:t>.</w:t>
      </w:r>
    </w:p>
    <w:p w:rsidR="007E013F" w:rsidRPr="00C44221" w:rsidRDefault="007E013F" w:rsidP="00C96943">
      <w:pPr>
        <w:pStyle w:val="Heading1"/>
        <w:pageBreakBefore w:val="0"/>
      </w:pPr>
      <w:bookmarkStart w:id="17" w:name="_Toc160872061"/>
      <w:bookmarkStart w:id="18" w:name="_Ref530553973"/>
      <w:r w:rsidRPr="00C44221">
        <w:t>THE RESPONDENTS AND THE INFORMATION REQUESTED</w:t>
      </w:r>
      <w:bookmarkEnd w:id="17"/>
      <w:bookmarkEnd w:id="18"/>
    </w:p>
    <w:p w:rsidR="007E013F" w:rsidRPr="00C44221" w:rsidRDefault="007E013F" w:rsidP="007E013F">
      <w:pPr>
        <w:autoSpaceDE w:val="0"/>
        <w:autoSpaceDN w:val="0"/>
        <w:adjustRightInd w:val="0"/>
      </w:pPr>
      <w:r w:rsidRPr="00C44221">
        <w:t>The following sections contain information on the respondents and the information they are requested to provide.</w:t>
      </w:r>
    </w:p>
    <w:p w:rsidR="007E013F" w:rsidRPr="00C44221" w:rsidRDefault="007E013F" w:rsidP="00C47595">
      <w:pPr>
        <w:pStyle w:val="Heading2"/>
      </w:pPr>
      <w:bookmarkStart w:id="19" w:name="_Toc160872062"/>
      <w:r w:rsidRPr="00C44221">
        <w:t>Respondents/</w:t>
      </w:r>
      <w:bookmarkEnd w:id="19"/>
      <w:r w:rsidR="00B9766D" w:rsidRPr="00C44221">
        <w:t>North American Industry Classification System (NAICS) Codes</w:t>
      </w:r>
    </w:p>
    <w:p w:rsidR="00B3151D" w:rsidRPr="00C44221" w:rsidRDefault="00B3151D" w:rsidP="00C47595">
      <w:r w:rsidRPr="00C44221">
        <w:t xml:space="preserve">For the period covered by this ICR, information will only be collected from primacy agencies (including states, territories, and tribal nations). The NAICS codes for state agencies that include drinking water programs are 92411 (Administration of Air and Water Resources and Solid Waste Management Programs) or 92312 (Administration of Public Health Programs). </w:t>
      </w:r>
    </w:p>
    <w:p w:rsidR="00B9766D" w:rsidRPr="00C44221" w:rsidRDefault="00B3151D" w:rsidP="00C47595">
      <w:r w:rsidRPr="00C44221">
        <w:t xml:space="preserve">Following the initial </w:t>
      </w:r>
      <w:r w:rsidR="0017180D" w:rsidRPr="00C44221">
        <w:t>three-</w:t>
      </w:r>
      <w:r w:rsidRPr="00C44221">
        <w:t>year period, d</w:t>
      </w:r>
      <w:r w:rsidR="00D26536" w:rsidRPr="00C44221">
        <w:t xml:space="preserve">ata associated with this ICR </w:t>
      </w:r>
      <w:r w:rsidRPr="00C44221">
        <w:t>w</w:t>
      </w:r>
      <w:r w:rsidR="0050660C" w:rsidRPr="00C44221">
        <w:t>ould</w:t>
      </w:r>
      <w:r w:rsidRPr="00C44221">
        <w:t xml:space="preserve"> be</w:t>
      </w:r>
      <w:r w:rsidR="00D26536" w:rsidRPr="00C44221">
        <w:t xml:space="preserve"> collected and maintained at the PWS, </w:t>
      </w:r>
      <w:r w:rsidR="00BB55A4" w:rsidRPr="00C44221">
        <w:t>state</w:t>
      </w:r>
      <w:r w:rsidR="00D26536" w:rsidRPr="00C44221">
        <w:t>, and Fede</w:t>
      </w:r>
      <w:r w:rsidR="00B9766D" w:rsidRPr="00C44221">
        <w:t xml:space="preserve">ral levels. </w:t>
      </w:r>
      <w:r w:rsidRPr="00C44221">
        <w:t>R</w:t>
      </w:r>
      <w:r w:rsidR="00B9766D" w:rsidRPr="00C44221">
        <w:t>espondents</w:t>
      </w:r>
      <w:r w:rsidRPr="00C44221">
        <w:t xml:space="preserve"> will</w:t>
      </w:r>
      <w:r w:rsidR="00B9766D" w:rsidRPr="00C44221">
        <w:t xml:space="preserve"> include</w:t>
      </w:r>
      <w:r w:rsidRPr="00C44221">
        <w:t xml:space="preserve"> the primacy agencies as well as owners/operators of PWSs, who must report to their primacy agencies. </w:t>
      </w:r>
      <w:r w:rsidR="00B9766D" w:rsidRPr="00C44221">
        <w:t>The NAICS code for PWSs is 22131. Ancillary systems (systems where providing water is ancillary to a primary business, e.g., mobile home parks) cannot be categorized in a single NAICS code. For ancillary systems, the NAICS code is that of the primary establishment or industry.</w:t>
      </w:r>
    </w:p>
    <w:p w:rsidR="004C383C" w:rsidRPr="00C44221" w:rsidRDefault="004C383C" w:rsidP="00C47595">
      <w:pPr>
        <w:pStyle w:val="Heading2"/>
      </w:pPr>
      <w:bookmarkStart w:id="20" w:name="_Toc160872063"/>
      <w:r w:rsidRPr="00C44221">
        <w:t>Information Requested</w:t>
      </w:r>
      <w:bookmarkEnd w:id="20"/>
    </w:p>
    <w:p w:rsidR="004C383C" w:rsidRPr="00C44221" w:rsidRDefault="00432B6A" w:rsidP="00C47595">
      <w:pPr>
        <w:pStyle w:val="Heading3"/>
      </w:pPr>
      <w:r w:rsidRPr="00C44221">
        <w:t>Data items</w:t>
      </w:r>
    </w:p>
    <w:p w:rsidR="008515A3" w:rsidRPr="00C44221" w:rsidRDefault="008515A3" w:rsidP="004E2564">
      <w:r w:rsidRPr="00C44221">
        <w:t xml:space="preserve">Primacy agencies are required to coordinate with the EPA during rule implementation, and as such, may be required to submit records of these various activities. The activities covered by this ICR reflect the burden required by primacy agencies to adopt regulatory changes necessary to adhere to the future data collection requirements and provide training and assistance to PWSs and staff to prepare for </w:t>
      </w:r>
      <w:r w:rsidR="00000207" w:rsidRPr="00C44221">
        <w:t xml:space="preserve">perchlorate </w:t>
      </w:r>
      <w:r w:rsidRPr="00C44221">
        <w:t xml:space="preserve">monitoring </w:t>
      </w:r>
      <w:r w:rsidR="00000207" w:rsidRPr="00C44221">
        <w:t>data</w:t>
      </w:r>
      <w:r w:rsidRPr="00C44221">
        <w:t xml:space="preserve"> collection activities.</w:t>
      </w:r>
    </w:p>
    <w:p w:rsidR="004E2564" w:rsidRPr="00C44221" w:rsidRDefault="008515A3" w:rsidP="004E2564">
      <w:r w:rsidRPr="00C44221">
        <w:t>Only primacy agencies will incur reporting costs during the three years covered by this ICR. However, after that period, PWSs will be required to begin monitoring for perchlorate and reporting the results. Specifically, a</w:t>
      </w:r>
      <w:r w:rsidR="004E2564" w:rsidRPr="00C44221">
        <w:t>s required by 40 CFR 141.33, PWSs must either maintain analytical reports or transfer the following information regarding sample results:</w:t>
      </w:r>
    </w:p>
    <w:p w:rsidR="004E2564" w:rsidRPr="00C44221" w:rsidRDefault="004E2564" w:rsidP="004E2564">
      <w:pPr>
        <w:pStyle w:val="ListParagraph"/>
        <w:numPr>
          <w:ilvl w:val="0"/>
          <w:numId w:val="5"/>
        </w:numPr>
      </w:pPr>
      <w:r w:rsidRPr="00C44221">
        <w:t>Date, place, and time of sampling.</w:t>
      </w:r>
    </w:p>
    <w:p w:rsidR="004E2564" w:rsidRPr="00C44221" w:rsidRDefault="004E2564" w:rsidP="004E2564">
      <w:pPr>
        <w:pStyle w:val="ListParagraph"/>
        <w:numPr>
          <w:ilvl w:val="0"/>
          <w:numId w:val="5"/>
        </w:numPr>
      </w:pPr>
      <w:r w:rsidRPr="00C44221">
        <w:t>Name of the person who collected the sample.</w:t>
      </w:r>
    </w:p>
    <w:p w:rsidR="004E2564" w:rsidRPr="00C44221" w:rsidRDefault="004E2564" w:rsidP="004E2564">
      <w:pPr>
        <w:pStyle w:val="ListParagraph"/>
        <w:numPr>
          <w:ilvl w:val="0"/>
          <w:numId w:val="5"/>
        </w:numPr>
      </w:pPr>
      <w:r w:rsidRPr="00C44221">
        <w:t>Identification of the sample as a routine distribution system sample, check sample, raw or process water sample, or other special purpose sample.</w:t>
      </w:r>
    </w:p>
    <w:p w:rsidR="004E2564" w:rsidRPr="00C44221" w:rsidRDefault="004E2564" w:rsidP="004E2564">
      <w:pPr>
        <w:pStyle w:val="ListParagraph"/>
        <w:numPr>
          <w:ilvl w:val="0"/>
          <w:numId w:val="5"/>
        </w:numPr>
      </w:pPr>
      <w:r w:rsidRPr="00C44221">
        <w:t>Date of analysis.</w:t>
      </w:r>
    </w:p>
    <w:p w:rsidR="004E2564" w:rsidRPr="00C44221" w:rsidRDefault="004E2564" w:rsidP="004E2564">
      <w:pPr>
        <w:pStyle w:val="ListParagraph"/>
        <w:numPr>
          <w:ilvl w:val="0"/>
          <w:numId w:val="5"/>
        </w:numPr>
      </w:pPr>
      <w:r w:rsidRPr="00C44221">
        <w:t>Laboratory and person responsible for performing analysis.</w:t>
      </w:r>
    </w:p>
    <w:p w:rsidR="004E2564" w:rsidRPr="00C44221" w:rsidRDefault="004E2564" w:rsidP="004E2564">
      <w:pPr>
        <w:pStyle w:val="ListParagraph"/>
        <w:numPr>
          <w:ilvl w:val="0"/>
          <w:numId w:val="5"/>
        </w:numPr>
      </w:pPr>
      <w:r w:rsidRPr="00C44221">
        <w:t>Contaminants for which the analysis was performed.</w:t>
      </w:r>
    </w:p>
    <w:p w:rsidR="004E2564" w:rsidRPr="00C44221" w:rsidRDefault="004E2564" w:rsidP="004E2564">
      <w:pPr>
        <w:pStyle w:val="ListParagraph"/>
        <w:numPr>
          <w:ilvl w:val="0"/>
          <w:numId w:val="5"/>
        </w:numPr>
      </w:pPr>
      <w:r w:rsidRPr="00C44221">
        <w:t>Analytical technique/method used.</w:t>
      </w:r>
    </w:p>
    <w:p w:rsidR="004E2564" w:rsidRPr="00C44221" w:rsidRDefault="004E2564" w:rsidP="004E2564">
      <w:pPr>
        <w:pStyle w:val="ListParagraph"/>
        <w:numPr>
          <w:ilvl w:val="0"/>
          <w:numId w:val="5"/>
        </w:numPr>
      </w:pPr>
      <w:r w:rsidRPr="00C44221">
        <w:t>Results of the analysis.</w:t>
      </w:r>
    </w:p>
    <w:p w:rsidR="00AC7FF0" w:rsidRPr="00C44221" w:rsidRDefault="008515A3" w:rsidP="00DE2950">
      <w:r w:rsidRPr="00C44221">
        <w:t>Additionally, PWSs will be</w:t>
      </w:r>
      <w:r w:rsidR="004E2564" w:rsidRPr="00C44221">
        <w:t xml:space="preserve"> required to submit and keep records on additional information, such as monitoring plans and waiver applications.</w:t>
      </w:r>
      <w:r w:rsidR="00DE2950" w:rsidRPr="00C44221">
        <w:t xml:space="preserve"> </w:t>
      </w:r>
    </w:p>
    <w:p w:rsidR="00AA1AF8" w:rsidRPr="00C44221" w:rsidRDefault="00DE2950" w:rsidP="00C47595">
      <w:pPr>
        <w:pStyle w:val="Heading3"/>
      </w:pPr>
      <w:r w:rsidRPr="00C44221">
        <w:t xml:space="preserve"> </w:t>
      </w:r>
      <w:r w:rsidR="00A566CB" w:rsidRPr="00C44221">
        <w:t>Respondent Activities</w:t>
      </w:r>
    </w:p>
    <w:p w:rsidR="00C94E5B" w:rsidRPr="00C44221" w:rsidRDefault="004E2564" w:rsidP="00AC39C5">
      <w:r w:rsidRPr="00C44221">
        <w:t>For the period covered by this ICR, information will only be collected from primacy agencies (including states, territories, and tribal nations). Note that monitoring requirements, such as those required for PWSs, are not effective until three years after promulgation and therefore</w:t>
      </w:r>
      <w:r w:rsidR="00DE2950" w:rsidRPr="00C44221">
        <w:t xml:space="preserve"> all activities required of PWSs</w:t>
      </w:r>
      <w:r w:rsidRPr="00C44221">
        <w:t xml:space="preserve"> fall outside of the scope of this ICR. Primacy agencies must complete the activities described below.</w:t>
      </w:r>
    </w:p>
    <w:p w:rsidR="004E2564" w:rsidRPr="00C44221" w:rsidRDefault="004E2564" w:rsidP="004E2564">
      <w:pPr>
        <w:pStyle w:val="ListParagraph"/>
        <w:numPr>
          <w:ilvl w:val="0"/>
          <w:numId w:val="6"/>
        </w:numPr>
      </w:pPr>
      <w:r w:rsidRPr="00C44221">
        <w:t>Coordinate with EPA.</w:t>
      </w:r>
    </w:p>
    <w:p w:rsidR="004E2564" w:rsidRPr="00C44221" w:rsidRDefault="004E2564" w:rsidP="004E2564">
      <w:pPr>
        <w:pStyle w:val="ListParagraph"/>
        <w:numPr>
          <w:ilvl w:val="0"/>
          <w:numId w:val="6"/>
        </w:numPr>
      </w:pPr>
      <w:r w:rsidRPr="00C44221">
        <w:t>Notify systems of requirements.</w:t>
      </w:r>
    </w:p>
    <w:p w:rsidR="004E2564" w:rsidRPr="00C44221" w:rsidRDefault="004E2564" w:rsidP="004E2564">
      <w:pPr>
        <w:pStyle w:val="ListParagraph"/>
        <w:numPr>
          <w:ilvl w:val="0"/>
          <w:numId w:val="6"/>
        </w:numPr>
      </w:pPr>
      <w:r w:rsidRPr="00C44221">
        <w:t>Provide training and technical assistance to PWSs.</w:t>
      </w:r>
    </w:p>
    <w:p w:rsidR="004E2564" w:rsidRPr="00C44221" w:rsidRDefault="004E2564" w:rsidP="004E2564">
      <w:pPr>
        <w:pStyle w:val="ListParagraph"/>
        <w:numPr>
          <w:ilvl w:val="0"/>
          <w:numId w:val="6"/>
        </w:numPr>
      </w:pPr>
      <w:r w:rsidRPr="00C44221">
        <w:t>Maintain data management systems.</w:t>
      </w:r>
    </w:p>
    <w:p w:rsidR="004E2564" w:rsidRPr="00C44221" w:rsidRDefault="004E2564" w:rsidP="004E2564">
      <w:pPr>
        <w:pStyle w:val="ListParagraph"/>
        <w:numPr>
          <w:ilvl w:val="0"/>
          <w:numId w:val="6"/>
        </w:numPr>
      </w:pPr>
      <w:r w:rsidRPr="00C44221">
        <w:t>Establish the monitoring schedules.</w:t>
      </w:r>
    </w:p>
    <w:p w:rsidR="004E2564" w:rsidRPr="00C44221" w:rsidRDefault="004E2564" w:rsidP="004E2564">
      <w:pPr>
        <w:pStyle w:val="ListParagraph"/>
        <w:numPr>
          <w:ilvl w:val="0"/>
          <w:numId w:val="6"/>
        </w:numPr>
      </w:pPr>
      <w:r w:rsidRPr="00C44221">
        <w:t xml:space="preserve">Review </w:t>
      </w:r>
      <w:r w:rsidR="00697865" w:rsidRPr="00C44221">
        <w:t xml:space="preserve">monitoring </w:t>
      </w:r>
      <w:r w:rsidRPr="00C44221">
        <w:t>plans and specifications.</w:t>
      </w:r>
    </w:p>
    <w:p w:rsidR="004E2564" w:rsidRPr="00C44221" w:rsidRDefault="004E2564" w:rsidP="004E2564">
      <w:pPr>
        <w:pStyle w:val="ListParagraph"/>
        <w:numPr>
          <w:ilvl w:val="0"/>
          <w:numId w:val="6"/>
        </w:numPr>
      </w:pPr>
      <w:r w:rsidRPr="00C44221">
        <w:t>Keep records and supporting information, including state determinations and explanations for technical decisions regarding rule implementation.</w:t>
      </w:r>
    </w:p>
    <w:p w:rsidR="004E2564" w:rsidRPr="00C44221" w:rsidRDefault="004E2564" w:rsidP="00C96943">
      <w:r w:rsidRPr="00C44221">
        <w:t xml:space="preserve">Other activities required in future years </w:t>
      </w:r>
      <w:r w:rsidR="007770A2" w:rsidRPr="00C44221">
        <w:t xml:space="preserve">that </w:t>
      </w:r>
      <w:r w:rsidRPr="00C44221">
        <w:t xml:space="preserve">fall outside of the scope of this ICR include </w:t>
      </w:r>
      <w:r w:rsidR="00DE2950" w:rsidRPr="00C44221">
        <w:t xml:space="preserve">making compliance determinations and entering monitoring and enforcement data. </w:t>
      </w:r>
    </w:p>
    <w:p w:rsidR="00484C51" w:rsidRPr="00C44221" w:rsidRDefault="00484C51" w:rsidP="00C96943">
      <w:pPr>
        <w:pStyle w:val="Heading1"/>
        <w:pageBreakBefore w:val="0"/>
      </w:pPr>
      <w:bookmarkStart w:id="21" w:name="_Toc160872065"/>
      <w:r w:rsidRPr="00C44221">
        <w:t>THE INFORMATION COLLECTED—AGENCY ACTIVITIES, COLLECTION METHODOLOGY, AND INFORMATION MANAGEMENT</w:t>
      </w:r>
      <w:bookmarkEnd w:id="21"/>
    </w:p>
    <w:p w:rsidR="00484C51" w:rsidRPr="00C44221" w:rsidRDefault="00484C51" w:rsidP="00AC39C5">
      <w:pPr>
        <w:pStyle w:val="Heading2"/>
      </w:pPr>
      <w:bookmarkStart w:id="22" w:name="_Toc160872066"/>
      <w:r w:rsidRPr="00C44221">
        <w:t>Agency Activities</w:t>
      </w:r>
      <w:bookmarkEnd w:id="22"/>
    </w:p>
    <w:p w:rsidR="00484C51" w:rsidRPr="00C44221" w:rsidRDefault="00484C51" w:rsidP="00484C51">
      <w:pPr>
        <w:autoSpaceDE w:val="0"/>
        <w:autoSpaceDN w:val="0"/>
        <w:adjustRightInd w:val="0"/>
      </w:pPr>
      <w:r w:rsidRPr="00C44221">
        <w:t xml:space="preserve">The Agency is responsible for promulgating and overseeing the implementation of the </w:t>
      </w:r>
      <w:r w:rsidR="005173B4" w:rsidRPr="00C44221">
        <w:t>revision</w:t>
      </w:r>
      <w:r w:rsidR="00266F7C" w:rsidRPr="00C44221">
        <w:t>s</w:t>
      </w:r>
      <w:r w:rsidRPr="00C44221">
        <w:t xml:space="preserve"> to the LCR. The Agency is involved in the following activities that assist </w:t>
      </w:r>
      <w:r w:rsidR="00BB55A4" w:rsidRPr="00C44221">
        <w:t>state</w:t>
      </w:r>
      <w:r w:rsidRPr="00C44221">
        <w:t>s in implementing the modifications:</w:t>
      </w:r>
    </w:p>
    <w:p w:rsidR="00883D78" w:rsidRPr="00C44221" w:rsidRDefault="00883D78" w:rsidP="00AC39C5">
      <w:pPr>
        <w:pStyle w:val="Heading2"/>
      </w:pPr>
      <w:bookmarkStart w:id="23" w:name="_Toc160872067"/>
      <w:r w:rsidRPr="00C44221">
        <w:t>Col</w:t>
      </w:r>
      <w:r w:rsidR="003D2CC4" w:rsidRPr="00C44221">
        <w:t>lection Methodology a</w:t>
      </w:r>
      <w:r w:rsidRPr="00C44221">
        <w:t>nd Management</w:t>
      </w:r>
      <w:bookmarkEnd w:id="23"/>
    </w:p>
    <w:p w:rsidR="00883D78" w:rsidRPr="00C44221" w:rsidRDefault="00883D78" w:rsidP="00883D78">
      <w:pPr>
        <w:autoSpaceDE w:val="0"/>
        <w:autoSpaceDN w:val="0"/>
        <w:adjustRightInd w:val="0"/>
      </w:pPr>
      <w:r w:rsidRPr="00C44221">
        <w:t xml:space="preserve">The data generated as a result of the </w:t>
      </w:r>
      <w:r w:rsidR="00DC717E" w:rsidRPr="00C44221">
        <w:t xml:space="preserve">regulatory changes </w:t>
      </w:r>
      <w:r w:rsidRPr="00C44221">
        <w:t>will be integrated in the existing quarterly SDWIS repo</w:t>
      </w:r>
      <w:r w:rsidR="00DC717E" w:rsidRPr="00C44221">
        <w:t>rting process</w:t>
      </w:r>
      <w:r w:rsidR="007624F1" w:rsidRPr="00C44221">
        <w:t xml:space="preserve">. </w:t>
      </w:r>
    </w:p>
    <w:p w:rsidR="00883D78" w:rsidRPr="00C44221" w:rsidRDefault="00883D78" w:rsidP="00AC39C5">
      <w:pPr>
        <w:pStyle w:val="Heading2"/>
      </w:pPr>
      <w:bookmarkStart w:id="24" w:name="_Toc160872068"/>
      <w:r w:rsidRPr="00C44221">
        <w:t>Small Entity Flexibility</w:t>
      </w:r>
      <w:bookmarkEnd w:id="24"/>
    </w:p>
    <w:p w:rsidR="00266F7C" w:rsidRPr="00C44221" w:rsidRDefault="00266F7C" w:rsidP="00266F7C">
      <w:pPr>
        <w:autoSpaceDE w:val="0"/>
        <w:autoSpaceDN w:val="0"/>
        <w:adjustRightInd w:val="0"/>
      </w:pPr>
      <w:r w:rsidRPr="00C44221">
        <w:t xml:space="preserve">In developing the </w:t>
      </w:r>
      <w:r w:rsidR="008515A3" w:rsidRPr="00C44221">
        <w:t>perchlorate regulation</w:t>
      </w:r>
      <w:r w:rsidRPr="00C44221">
        <w:t>, EPA considered the requirement of the Small Business Regulatory Enforcement Fairness Act (SBREFA) to minimize the burden of information collections on small entities</w:t>
      </w:r>
      <w:r w:rsidR="008515A3" w:rsidRPr="00C44221">
        <w:t>, which include</w:t>
      </w:r>
      <w:r w:rsidR="00B276C0" w:rsidRPr="00C44221">
        <w:t>:</w:t>
      </w:r>
    </w:p>
    <w:p w:rsidR="00B276C0" w:rsidRPr="00C44221" w:rsidRDefault="00266F7C" w:rsidP="00EA610D">
      <w:pPr>
        <w:pStyle w:val="ListParagraph"/>
        <w:numPr>
          <w:ilvl w:val="0"/>
          <w:numId w:val="2"/>
        </w:numPr>
      </w:pPr>
      <w:r w:rsidRPr="00C44221">
        <w:t>A small business is any business that is independently owned and operated and not dominant in its field, as defined by the Small Business Administration regulations under section 3 of the Small Business Act.</w:t>
      </w:r>
    </w:p>
    <w:p w:rsidR="00B276C0" w:rsidRPr="00C44221" w:rsidRDefault="00266F7C" w:rsidP="00EA610D">
      <w:pPr>
        <w:pStyle w:val="ListParagraph"/>
        <w:numPr>
          <w:ilvl w:val="0"/>
          <w:numId w:val="2"/>
        </w:numPr>
      </w:pPr>
      <w:r w:rsidRPr="00C44221">
        <w:t>A small organization is any non-profit enterprise that is independently owned and operated and not dominant in its field.</w:t>
      </w:r>
    </w:p>
    <w:p w:rsidR="00266F7C" w:rsidRPr="00C44221" w:rsidRDefault="00266F7C" w:rsidP="00EA610D">
      <w:pPr>
        <w:pStyle w:val="ListParagraph"/>
        <w:numPr>
          <w:ilvl w:val="0"/>
          <w:numId w:val="2"/>
        </w:numPr>
      </w:pPr>
      <w:r w:rsidRPr="00C44221">
        <w:t xml:space="preserve">A small governmental jurisdiction is the government of a city, county, town, township, village, school district, or special district that has a population of fewer than 50,000. This definition may also include </w:t>
      </w:r>
      <w:r w:rsidR="00B276C0" w:rsidRPr="00C44221">
        <w:t>tribal governments</w:t>
      </w:r>
      <w:r w:rsidRPr="00C44221">
        <w:t>.</w:t>
      </w:r>
    </w:p>
    <w:p w:rsidR="00883D78" w:rsidRPr="00C44221" w:rsidRDefault="00266F7C" w:rsidP="00266F7C">
      <w:pPr>
        <w:autoSpaceDE w:val="0"/>
        <w:autoSpaceDN w:val="0"/>
        <w:adjustRightInd w:val="0"/>
      </w:pPr>
      <w:r w:rsidRPr="00C44221">
        <w:t>The major requirement under SBREFA is a regulatory flexibility analysis of all rules that have a “significant economic impact on a substantial number of small entities.”</w:t>
      </w:r>
      <w:r w:rsidR="00883D78" w:rsidRPr="00C44221">
        <w:t xml:space="preserve"> </w:t>
      </w:r>
      <w:r w:rsidR="008515A3" w:rsidRPr="00C44221">
        <w:t>Since only primacy agencies (including states, territories, and one tribal nation) will incur costs during the three-year period covered by this ICR, no small entities will be impacted.</w:t>
      </w:r>
      <w:r w:rsidR="008515A3" w:rsidRPr="00C44221">
        <w:rPr>
          <w:rStyle w:val="FootnoteReference"/>
        </w:rPr>
        <w:footnoteReference w:id="1"/>
      </w:r>
    </w:p>
    <w:p w:rsidR="00B037A1" w:rsidRPr="00C44221" w:rsidRDefault="00B037A1" w:rsidP="00AC39C5">
      <w:pPr>
        <w:pStyle w:val="Heading2"/>
      </w:pPr>
      <w:bookmarkStart w:id="25" w:name="_Toc160872069"/>
      <w:r w:rsidRPr="00C44221">
        <w:t>Collection Schedule</w:t>
      </w:r>
      <w:bookmarkEnd w:id="25"/>
    </w:p>
    <w:p w:rsidR="00894D5C" w:rsidRPr="00C44221" w:rsidRDefault="008515A3" w:rsidP="00894D5C">
      <w:r w:rsidRPr="00C44221">
        <w:t>During the period covered by this ICR</w:t>
      </w:r>
      <w:r w:rsidR="002D0A4E" w:rsidRPr="00C44221">
        <w:t xml:space="preserve">, primacy agencies </w:t>
      </w:r>
      <w:r w:rsidRPr="00C44221">
        <w:t>will submit</w:t>
      </w:r>
      <w:r w:rsidR="002D0A4E" w:rsidRPr="00C44221">
        <w:t xml:space="preserve"> information to the EPA as needed based on the specific circumstances of activities required for adopting regulatory changes to comply with the proposed rule.</w:t>
      </w:r>
      <w:r w:rsidRPr="00C44221">
        <w:t xml:space="preserve"> Since monitoring requirements, such as those required for PWSs, are not effective until three years after promulgation</w:t>
      </w:r>
      <w:r w:rsidR="00370A9E" w:rsidRPr="00C44221">
        <w:t>,</w:t>
      </w:r>
      <w:r w:rsidRPr="00C44221">
        <w:t xml:space="preserve"> all activities required of PWSs fall outside of the scope of this ICR.</w:t>
      </w:r>
    </w:p>
    <w:p w:rsidR="000B17BF" w:rsidRPr="00C44221" w:rsidRDefault="000B17BF" w:rsidP="00364F1A">
      <w:pPr>
        <w:pStyle w:val="Heading1"/>
        <w:pageBreakBefore w:val="0"/>
      </w:pPr>
      <w:bookmarkStart w:id="26" w:name="_Toc160872070"/>
      <w:r w:rsidRPr="00C44221">
        <w:t>ESTIMATING THE BURDEN AND COST OF THE COLLECTION</w:t>
      </w:r>
      <w:bookmarkEnd w:id="26"/>
    </w:p>
    <w:p w:rsidR="000B17BF" w:rsidRPr="00C44221" w:rsidRDefault="004A3FCE" w:rsidP="00AC39C5">
      <w:r w:rsidRPr="00C44221">
        <w:t>This section describes the estimates of burden and direct costs to</w:t>
      </w:r>
      <w:r w:rsidR="00481139" w:rsidRPr="00C44221">
        <w:t xml:space="preserve"> adopt regulatory changes and provide training for</w:t>
      </w:r>
      <w:r w:rsidRPr="00C44221">
        <w:t xml:space="preserve"> implement</w:t>
      </w:r>
      <w:r w:rsidR="00481139" w:rsidRPr="00C44221">
        <w:t>ing</w:t>
      </w:r>
      <w:r w:rsidRPr="00C44221">
        <w:t xml:space="preserve"> the initial monitoring framework for the perchlorate NPDWR. This ICR only focuses on the incremental changes to burden and costs that will result from the first three years following promulgation of the perchlorate NPDWR. Monitoring requirements, such as those required for PWSs, are not effective until three years after promulgation and therefore fall outside of the scope of this ICR. </w:t>
      </w:r>
    </w:p>
    <w:p w:rsidR="004A3FCE" w:rsidRPr="00C44221" w:rsidRDefault="004A3FCE" w:rsidP="00AC39C5">
      <w:r w:rsidRPr="00C44221">
        <w:t>The burden and cost estimates in this ICR are based on the calculations documented in the Health Risk Reduction and Cost Analysis of the Proposed Perchlorate National Primary Drinking Water Regulation</w:t>
      </w:r>
      <w:r w:rsidR="009C6DB8" w:rsidRPr="00C44221">
        <w:t xml:space="preserve"> (USEPA, 2018), including m</w:t>
      </w:r>
      <w:r w:rsidRPr="00C44221">
        <w:t>ajor underlying assumptions and data sources.</w:t>
      </w:r>
    </w:p>
    <w:p w:rsidR="000B17BF" w:rsidRPr="00C44221" w:rsidRDefault="000B17BF" w:rsidP="00AC39C5">
      <w:pPr>
        <w:pStyle w:val="Heading2"/>
      </w:pPr>
      <w:bookmarkStart w:id="27" w:name="_Toc160872071"/>
      <w:r w:rsidRPr="00C44221">
        <w:t>Estimating Respondent Burden</w:t>
      </w:r>
      <w:bookmarkEnd w:id="27"/>
    </w:p>
    <w:p w:rsidR="005E15D8" w:rsidRPr="00C44221" w:rsidRDefault="00786106" w:rsidP="00D3006F">
      <w:r w:rsidRPr="00C44221">
        <w:t xml:space="preserve">The following sections discuss burden faced by </w:t>
      </w:r>
      <w:r w:rsidR="004A3FCE" w:rsidRPr="00C44221">
        <w:t>primacy agencies</w:t>
      </w:r>
      <w:r w:rsidR="00D60787" w:rsidRPr="00C44221">
        <w:t xml:space="preserve"> during the first three years after rule promulgation</w:t>
      </w:r>
      <w:r w:rsidR="00B276C0" w:rsidRPr="00C44221">
        <w:t xml:space="preserve">. </w:t>
      </w:r>
      <w:r w:rsidR="004A3FCE" w:rsidRPr="00C44221">
        <w:t>This section details the different categories of burden based on the activities required to adhere to this ICR.</w:t>
      </w:r>
      <w:r w:rsidR="001252EF" w:rsidRPr="00C44221">
        <w:t xml:space="preserve"> </w:t>
      </w:r>
      <w:r w:rsidR="000D6DD9" w:rsidRPr="00C44221">
        <w:t>Burden estimates are average values across all respondents</w:t>
      </w:r>
      <w:r w:rsidR="00BC73BF" w:rsidRPr="00C44221">
        <w:t>; the values are based on burden estimates for the arsenic rule promulgated in 2000</w:t>
      </w:r>
      <w:r w:rsidR="00481139" w:rsidRPr="00C44221">
        <w:t xml:space="preserve"> </w:t>
      </w:r>
      <w:r w:rsidR="00481139" w:rsidRPr="00C44221">
        <w:fldChar w:fldCharType="begin"/>
      </w:r>
      <w:r w:rsidR="00697865" w:rsidRPr="00C44221">
        <w:instrText xml:space="preserve"> ADDIN ZOTERO_ITEM CSL_CITATION {"citationID":"kew2TGkf","properties":{"formattedCitation":"(USEPA, 2000)","plainCitation":"(USEPA, 2000)","noteIndex":0},"citationItems":[{"id":1228,"uris":["http://zotero.org/groups/945096/items/R8K9AQQD"],"uri":["http://zotero.org/groups/945096/items/R8K9AQQD"],"itemData":{"id":1228,"type":"report","title":"Arsenic in Drinking Water Rule Economic Analysis","collection-title":"EPA 815-R-00-026","author":[{"literal":"USEPA"}],"issued":{"date-parts":[["2000"]]}}}],"schema":"https://github.com/citation-style-language/schema/raw/master/csl-citation.json"} </w:instrText>
      </w:r>
      <w:r w:rsidR="00481139" w:rsidRPr="00C44221">
        <w:fldChar w:fldCharType="separate"/>
      </w:r>
      <w:r w:rsidR="00481139" w:rsidRPr="00C44221">
        <w:t>(USEPA, 2000)</w:t>
      </w:r>
      <w:r w:rsidR="00481139" w:rsidRPr="00C44221">
        <w:fldChar w:fldCharType="end"/>
      </w:r>
      <w:r w:rsidR="000D6DD9" w:rsidRPr="00C44221">
        <w:t xml:space="preserve">. </w:t>
      </w:r>
      <w:r w:rsidR="00D60787" w:rsidRPr="00C44221">
        <w:t>Activities by primacy agencies under the rule will include:</w:t>
      </w:r>
    </w:p>
    <w:p w:rsidR="004A3FCE" w:rsidRPr="00C44221" w:rsidRDefault="004A3FCE" w:rsidP="00EA610D">
      <w:pPr>
        <w:pStyle w:val="ListParagraph"/>
        <w:numPr>
          <w:ilvl w:val="0"/>
          <w:numId w:val="4"/>
        </w:numPr>
      </w:pPr>
      <w:r w:rsidRPr="00C44221">
        <w:rPr>
          <w:b/>
          <w:i/>
        </w:rPr>
        <w:t>Read and understand the rule, adopt regulatory changes</w:t>
      </w:r>
      <w:r w:rsidR="001252EF" w:rsidRPr="00C44221">
        <w:rPr>
          <w:b/>
          <w:i/>
        </w:rPr>
        <w:t>.</w:t>
      </w:r>
      <w:r w:rsidR="001252EF" w:rsidRPr="00C44221">
        <w:t xml:space="preserve"> </w:t>
      </w:r>
      <w:r w:rsidR="003732C1" w:rsidRPr="00C44221">
        <w:t xml:space="preserve">The </w:t>
      </w:r>
      <w:r w:rsidR="001252EF" w:rsidRPr="00C44221">
        <w:t xml:space="preserve">EPA assumes a burden of 416 hours </w:t>
      </w:r>
      <w:r w:rsidR="000E33C4" w:rsidRPr="00C44221">
        <w:t xml:space="preserve">(0.2 FTE) </w:t>
      </w:r>
      <w:r w:rsidR="001252EF" w:rsidRPr="00C44221">
        <w:t xml:space="preserve">per primacy agency for this activity. Note that California and Massachusetts already regulate perchlorate in drinking water; </w:t>
      </w:r>
      <w:r w:rsidR="003732C1" w:rsidRPr="00C44221">
        <w:t xml:space="preserve">the </w:t>
      </w:r>
      <w:r w:rsidR="001252EF" w:rsidRPr="00C44221">
        <w:t>EPA assumes these primacy agencies</w:t>
      </w:r>
      <w:r w:rsidR="000E33C4" w:rsidRPr="00C44221">
        <w:t>, hereafter referred to as the “excluded” primacy agencies,</w:t>
      </w:r>
      <w:r w:rsidR="001252EF" w:rsidRPr="00C44221">
        <w:t xml:space="preserve"> would not incur most of the burdens under this activity, and instead are assigned a burden of 40 hours each</w:t>
      </w:r>
      <w:r w:rsidR="00C21F98" w:rsidRPr="00C44221">
        <w:t xml:space="preserve"> to ensure that their existing regulations and monitoring requirements satisfy rule requirements</w:t>
      </w:r>
      <w:r w:rsidR="001252EF" w:rsidRPr="00C44221">
        <w:t>.</w:t>
      </w:r>
    </w:p>
    <w:p w:rsidR="001252EF" w:rsidRPr="00C44221" w:rsidRDefault="001252EF" w:rsidP="00EA610D">
      <w:pPr>
        <w:pStyle w:val="ListParagraph"/>
        <w:numPr>
          <w:ilvl w:val="0"/>
          <w:numId w:val="4"/>
        </w:numPr>
      </w:pPr>
      <w:r w:rsidRPr="00C44221">
        <w:rPr>
          <w:b/>
          <w:i/>
        </w:rPr>
        <w:t>Provide training and assistance to PWSs.</w:t>
      </w:r>
      <w:r w:rsidR="000E33C4" w:rsidRPr="00C44221">
        <w:rPr>
          <w:b/>
          <w:i/>
        </w:rPr>
        <w:t xml:space="preserve"> </w:t>
      </w:r>
      <w:r w:rsidR="003732C1" w:rsidRPr="00C44221">
        <w:t xml:space="preserve">The </w:t>
      </w:r>
      <w:r w:rsidR="000E33C4" w:rsidRPr="00C44221">
        <w:t>EPA assumes a burden of 2,080 hours (1 FTE) will be required to provide the proper training and assistance to PWSs in the first three years following rule promulgation. For the two excluded primary agencies, no burden is necessary since PWSs already monitoring and treat for perchlorate.</w:t>
      </w:r>
    </w:p>
    <w:p w:rsidR="001252EF" w:rsidRPr="00C44221" w:rsidRDefault="001252EF" w:rsidP="00EA610D">
      <w:pPr>
        <w:pStyle w:val="ListParagraph"/>
        <w:numPr>
          <w:ilvl w:val="0"/>
          <w:numId w:val="4"/>
        </w:numPr>
      </w:pPr>
      <w:r w:rsidRPr="00C44221">
        <w:rPr>
          <w:b/>
          <w:i/>
        </w:rPr>
        <w:t>Provide training to staff and systems.</w:t>
      </w:r>
      <w:r w:rsidR="000E33C4" w:rsidRPr="00C44221">
        <w:rPr>
          <w:b/>
          <w:i/>
        </w:rPr>
        <w:t xml:space="preserve"> </w:t>
      </w:r>
      <w:r w:rsidR="003732C1" w:rsidRPr="00C44221">
        <w:t xml:space="preserve">The </w:t>
      </w:r>
      <w:r w:rsidR="000E33C4" w:rsidRPr="00C44221">
        <w:t>EPA assumes a burden of 250 hours (0.12 FTE) will be required to provide the proper training for primacy agency staff. For the two excluded primacy agencies, no burden is necessary since staff already understand and manage the requirements associated with a perchlorate drinking water regulation.</w:t>
      </w:r>
    </w:p>
    <w:p w:rsidR="003732C1" w:rsidRPr="00C44221" w:rsidRDefault="003732C1" w:rsidP="00EA610D">
      <w:pPr>
        <w:pStyle w:val="ListParagraph"/>
        <w:numPr>
          <w:ilvl w:val="0"/>
          <w:numId w:val="4"/>
        </w:numPr>
      </w:pPr>
      <w:r w:rsidRPr="00C44221">
        <w:rPr>
          <w:b/>
          <w:i/>
        </w:rPr>
        <w:t>Reviewing monitoring reports and make waiver determinations</w:t>
      </w:r>
      <w:r w:rsidRPr="00C44221">
        <w:t>. Although primacy agencies will be responsible for reviewing monitoring reports from PWSs and making waiver determinations under the perchlorate NPDWR, these activities will begin after the scope of this ICR, and as such, there is no burden associated with these activities</w:t>
      </w:r>
    </w:p>
    <w:p w:rsidR="003732C1" w:rsidRPr="00C44221" w:rsidRDefault="003732C1" w:rsidP="00D3006F">
      <w:pPr>
        <w:ind w:firstLine="0"/>
      </w:pPr>
      <w:r w:rsidRPr="00C44221">
        <w:t xml:space="preserve">A summary of the respondent-level </w:t>
      </w:r>
      <w:r w:rsidR="00DC1F83" w:rsidRPr="00C44221">
        <w:t xml:space="preserve">burdens is included in </w:t>
      </w:r>
      <w:r w:rsidR="00DC1F83" w:rsidRPr="00C44221">
        <w:fldChar w:fldCharType="begin"/>
      </w:r>
      <w:r w:rsidR="00DC1F83" w:rsidRPr="00C44221">
        <w:instrText xml:space="preserve"> REF _Ref531074254 \h </w:instrText>
      </w:r>
      <w:r w:rsidR="00C44221">
        <w:instrText xml:space="preserve"> \* MERGEFORMAT </w:instrText>
      </w:r>
      <w:r w:rsidR="00DC1F83" w:rsidRPr="00C44221">
        <w:fldChar w:fldCharType="separate"/>
      </w:r>
      <w:r w:rsidR="00DC1F83" w:rsidRPr="00C44221">
        <w:t>Table 1</w:t>
      </w:r>
      <w:r w:rsidR="00DC1F83" w:rsidRPr="00C44221">
        <w:fldChar w:fldCharType="end"/>
      </w:r>
      <w:r w:rsidRPr="00C44221">
        <w:t>. Total burden estimates across all resp</w:t>
      </w:r>
      <w:r w:rsidR="00DC1F83" w:rsidRPr="00C44221">
        <w:t>ondents</w:t>
      </w:r>
      <w:r w:rsidR="009C6DB8" w:rsidRPr="00C44221">
        <w:t>, calculated as the hours per agencies times the number of agencies,</w:t>
      </w:r>
      <w:r w:rsidR="00DC1F83" w:rsidRPr="00C44221">
        <w:t xml:space="preserve"> is provided in </w:t>
      </w:r>
      <w:r w:rsidR="00DC1F83" w:rsidRPr="00C44221">
        <w:fldChar w:fldCharType="begin"/>
      </w:r>
      <w:r w:rsidR="00DC1F83" w:rsidRPr="00C44221">
        <w:instrText xml:space="preserve"> REF _Ref531074499 \h </w:instrText>
      </w:r>
      <w:r w:rsidR="00C44221">
        <w:instrText xml:space="preserve"> \* MERGEFORMAT </w:instrText>
      </w:r>
      <w:r w:rsidR="00DC1F83" w:rsidRPr="00C44221">
        <w:fldChar w:fldCharType="separate"/>
      </w:r>
      <w:r w:rsidR="00DC1F83" w:rsidRPr="00C44221">
        <w:t xml:space="preserve">Table </w:t>
      </w:r>
      <w:r w:rsidR="00DC1F83" w:rsidRPr="00C44221">
        <w:rPr>
          <w:noProof/>
        </w:rPr>
        <w:t>2</w:t>
      </w:r>
      <w:r w:rsidR="00DC1F83" w:rsidRPr="00C44221">
        <w:fldChar w:fldCharType="end"/>
      </w:r>
      <w:r w:rsidRPr="00C44221">
        <w:t>.</w:t>
      </w:r>
    </w:p>
    <w:p w:rsidR="00DC1F83" w:rsidRPr="00C44221" w:rsidRDefault="00DC1F83" w:rsidP="002D0A4E">
      <w:pPr>
        <w:pStyle w:val="Caption"/>
      </w:pPr>
      <w:bookmarkStart w:id="28" w:name="_Ref531074254"/>
      <w:r w:rsidRPr="00C44221">
        <w:t xml:space="preserve">Table </w:t>
      </w:r>
      <w:r w:rsidR="005E3502" w:rsidRPr="00C44221">
        <w:rPr>
          <w:noProof/>
        </w:rPr>
        <w:fldChar w:fldCharType="begin"/>
      </w:r>
      <w:r w:rsidR="005E3502" w:rsidRPr="00C44221">
        <w:rPr>
          <w:noProof/>
        </w:rPr>
        <w:instrText xml:space="preserve"> SEQ Table \* ARABIC </w:instrText>
      </w:r>
      <w:r w:rsidR="005E3502" w:rsidRPr="00C44221">
        <w:rPr>
          <w:noProof/>
        </w:rPr>
        <w:fldChar w:fldCharType="separate"/>
      </w:r>
      <w:r w:rsidR="00B62EBA" w:rsidRPr="00C44221">
        <w:rPr>
          <w:noProof/>
        </w:rPr>
        <w:t>1</w:t>
      </w:r>
      <w:r w:rsidR="005E3502" w:rsidRPr="00C44221">
        <w:rPr>
          <w:noProof/>
        </w:rPr>
        <w:fldChar w:fldCharType="end"/>
      </w:r>
      <w:bookmarkEnd w:id="28"/>
      <w:r w:rsidRPr="00C44221">
        <w:t xml:space="preserve">: Labor Hours per Primacy Agency by Administrative Requirement </w:t>
      </w:r>
    </w:p>
    <w:tbl>
      <w:tblPr>
        <w:tblStyle w:val="IWR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070"/>
        <w:gridCol w:w="1890"/>
        <w:gridCol w:w="1998"/>
      </w:tblGrid>
      <w:tr w:rsidR="009C6DB8" w:rsidRPr="00C44221" w:rsidTr="009C6DB8">
        <w:trPr>
          <w:cantSplit/>
          <w:trHeight w:val="288"/>
          <w:tblHeader/>
        </w:trPr>
        <w:tc>
          <w:tcPr>
            <w:tcW w:w="1889" w:type="pct"/>
            <w:shd w:val="clear" w:color="auto" w:fill="C3C6A9"/>
            <w:vAlign w:val="center"/>
            <w:hideMark/>
          </w:tcPr>
          <w:p w:rsidR="009C6DB8" w:rsidRPr="00C44221" w:rsidRDefault="009C6DB8" w:rsidP="002D0A4E">
            <w:pPr>
              <w:pStyle w:val="ExhibitHeading"/>
            </w:pPr>
            <w:r w:rsidRPr="00C44221">
              <w:t>Activity</w:t>
            </w:r>
          </w:p>
        </w:tc>
        <w:tc>
          <w:tcPr>
            <w:tcW w:w="1081" w:type="pct"/>
            <w:shd w:val="clear" w:color="auto" w:fill="C3C6A9"/>
            <w:vAlign w:val="center"/>
          </w:tcPr>
          <w:p w:rsidR="009C6DB8" w:rsidRPr="00C44221" w:rsidRDefault="009C6DB8" w:rsidP="002D0A4E">
            <w:pPr>
              <w:pStyle w:val="ExhibitHeading"/>
            </w:pPr>
            <w:r w:rsidRPr="00C44221">
              <w:t>Frequency</w:t>
            </w:r>
          </w:p>
        </w:tc>
        <w:tc>
          <w:tcPr>
            <w:tcW w:w="987" w:type="pct"/>
            <w:shd w:val="clear" w:color="auto" w:fill="C3C6A9"/>
          </w:tcPr>
          <w:p w:rsidR="009C6DB8" w:rsidRPr="00C44221" w:rsidRDefault="009C6DB8" w:rsidP="002D0A4E">
            <w:pPr>
              <w:pStyle w:val="ExhibitHeading"/>
            </w:pPr>
            <w:r w:rsidRPr="00C44221">
              <w:t>Included Primacy Agencies</w:t>
            </w:r>
          </w:p>
        </w:tc>
        <w:tc>
          <w:tcPr>
            <w:tcW w:w="1043" w:type="pct"/>
            <w:shd w:val="clear" w:color="auto" w:fill="C3C6A9"/>
            <w:vAlign w:val="center"/>
            <w:hideMark/>
          </w:tcPr>
          <w:p w:rsidR="009C6DB8" w:rsidRPr="00C44221" w:rsidRDefault="009C6DB8" w:rsidP="002D0A4E">
            <w:pPr>
              <w:pStyle w:val="ExhibitHeading"/>
              <w:rPr>
                <w:vertAlign w:val="superscript"/>
              </w:rPr>
            </w:pPr>
            <w:r w:rsidRPr="00C44221">
              <w:t>Excluded Primacy Agencies</w:t>
            </w:r>
            <w:r w:rsidRPr="00C44221">
              <w:rPr>
                <w:vertAlign w:val="superscript"/>
              </w:rPr>
              <w:t>1</w:t>
            </w:r>
          </w:p>
        </w:tc>
      </w:tr>
      <w:tr w:rsidR="009C6DB8" w:rsidRPr="00C44221" w:rsidTr="001B1318">
        <w:trPr>
          <w:cantSplit/>
          <w:trHeight w:val="288"/>
        </w:trPr>
        <w:tc>
          <w:tcPr>
            <w:tcW w:w="1889" w:type="pct"/>
            <w:vAlign w:val="center"/>
          </w:tcPr>
          <w:p w:rsidR="009C6DB8" w:rsidRPr="00C44221" w:rsidRDefault="009C6DB8" w:rsidP="002D0A4E">
            <w:pPr>
              <w:pStyle w:val="ExhibitText"/>
            </w:pPr>
            <w:r w:rsidRPr="00C44221">
              <w:t>Read and understand the rule, adopt regulatory changes</w:t>
            </w:r>
          </w:p>
        </w:tc>
        <w:tc>
          <w:tcPr>
            <w:tcW w:w="1081" w:type="pct"/>
            <w:vAlign w:val="center"/>
          </w:tcPr>
          <w:p w:rsidR="009C6DB8" w:rsidRPr="00C44221" w:rsidRDefault="009C6DB8" w:rsidP="002D0A4E">
            <w:pPr>
              <w:pStyle w:val="ExhibitText"/>
            </w:pPr>
            <w:r w:rsidRPr="00C44221">
              <w:t>one time per state</w:t>
            </w:r>
          </w:p>
        </w:tc>
        <w:tc>
          <w:tcPr>
            <w:tcW w:w="987" w:type="pct"/>
            <w:vAlign w:val="center"/>
          </w:tcPr>
          <w:p w:rsidR="009C6DB8" w:rsidRPr="00C44221" w:rsidRDefault="009C6DB8" w:rsidP="002D0A4E">
            <w:pPr>
              <w:pStyle w:val="ExhibitNumber"/>
            </w:pPr>
            <w:r w:rsidRPr="00C44221">
              <w:t>416</w:t>
            </w:r>
          </w:p>
        </w:tc>
        <w:tc>
          <w:tcPr>
            <w:tcW w:w="1043" w:type="pct"/>
            <w:vAlign w:val="center"/>
          </w:tcPr>
          <w:p w:rsidR="009C6DB8" w:rsidRPr="00C44221" w:rsidRDefault="009C6DB8" w:rsidP="002D0A4E">
            <w:pPr>
              <w:pStyle w:val="ExhibitNumber"/>
            </w:pPr>
            <w:r w:rsidRPr="00C44221">
              <w:t>40</w:t>
            </w:r>
          </w:p>
        </w:tc>
      </w:tr>
      <w:tr w:rsidR="009C6DB8" w:rsidRPr="00C44221" w:rsidTr="001B1318">
        <w:trPr>
          <w:cantSplit/>
          <w:trHeight w:val="288"/>
        </w:trPr>
        <w:tc>
          <w:tcPr>
            <w:tcW w:w="1889" w:type="pct"/>
            <w:vAlign w:val="center"/>
          </w:tcPr>
          <w:p w:rsidR="009C6DB8" w:rsidRPr="00C44221" w:rsidRDefault="009C6DB8" w:rsidP="00246DA8">
            <w:pPr>
              <w:pStyle w:val="ExhibitText"/>
            </w:pPr>
            <w:r w:rsidRPr="00C44221">
              <w:t>Provide training and assistance to PWSs</w:t>
            </w:r>
          </w:p>
        </w:tc>
        <w:tc>
          <w:tcPr>
            <w:tcW w:w="1081" w:type="pct"/>
            <w:vAlign w:val="center"/>
          </w:tcPr>
          <w:p w:rsidR="009C6DB8" w:rsidRPr="00C44221" w:rsidRDefault="009C6DB8" w:rsidP="00246DA8">
            <w:pPr>
              <w:pStyle w:val="ExhibitText"/>
            </w:pPr>
            <w:r w:rsidRPr="00C44221">
              <w:t>one time per state</w:t>
            </w:r>
          </w:p>
        </w:tc>
        <w:tc>
          <w:tcPr>
            <w:tcW w:w="987" w:type="pct"/>
            <w:vAlign w:val="center"/>
          </w:tcPr>
          <w:p w:rsidR="009C6DB8" w:rsidRPr="00C44221" w:rsidRDefault="009C6DB8" w:rsidP="00246DA8">
            <w:pPr>
              <w:pStyle w:val="ExhibitNumber"/>
            </w:pPr>
            <w:r w:rsidRPr="00C44221">
              <w:t>2,080</w:t>
            </w:r>
          </w:p>
        </w:tc>
        <w:tc>
          <w:tcPr>
            <w:tcW w:w="1043" w:type="pct"/>
            <w:vAlign w:val="center"/>
          </w:tcPr>
          <w:p w:rsidR="009C6DB8" w:rsidRPr="00C44221" w:rsidRDefault="009C6DB8" w:rsidP="00246DA8">
            <w:pPr>
              <w:pStyle w:val="ExhibitNumber"/>
            </w:pPr>
            <w:r w:rsidRPr="00C44221">
              <w:t>0</w:t>
            </w:r>
          </w:p>
        </w:tc>
      </w:tr>
      <w:tr w:rsidR="009C6DB8" w:rsidRPr="00C44221" w:rsidTr="001B1318">
        <w:trPr>
          <w:cantSplit/>
          <w:trHeight w:val="288"/>
        </w:trPr>
        <w:tc>
          <w:tcPr>
            <w:tcW w:w="1889" w:type="pct"/>
            <w:vAlign w:val="center"/>
          </w:tcPr>
          <w:p w:rsidR="009C6DB8" w:rsidRPr="00C44221" w:rsidRDefault="009C6DB8" w:rsidP="00246DA8">
            <w:pPr>
              <w:pStyle w:val="ExhibitText"/>
            </w:pPr>
            <w:r w:rsidRPr="00C44221">
              <w:t>Provide training to staff and systems</w:t>
            </w:r>
          </w:p>
        </w:tc>
        <w:tc>
          <w:tcPr>
            <w:tcW w:w="1081" w:type="pct"/>
            <w:vAlign w:val="center"/>
          </w:tcPr>
          <w:p w:rsidR="009C6DB8" w:rsidRPr="00C44221" w:rsidRDefault="009C6DB8" w:rsidP="00246DA8">
            <w:pPr>
              <w:pStyle w:val="ExhibitText"/>
            </w:pPr>
            <w:r w:rsidRPr="00C44221">
              <w:t>one time per state</w:t>
            </w:r>
          </w:p>
        </w:tc>
        <w:tc>
          <w:tcPr>
            <w:tcW w:w="987" w:type="pct"/>
            <w:vAlign w:val="center"/>
          </w:tcPr>
          <w:p w:rsidR="009C6DB8" w:rsidRPr="00C44221" w:rsidRDefault="009C6DB8" w:rsidP="00246DA8">
            <w:pPr>
              <w:pStyle w:val="ExhibitNumber"/>
            </w:pPr>
            <w:r w:rsidRPr="00C44221">
              <w:t>250</w:t>
            </w:r>
          </w:p>
        </w:tc>
        <w:tc>
          <w:tcPr>
            <w:tcW w:w="1043" w:type="pct"/>
            <w:vAlign w:val="center"/>
          </w:tcPr>
          <w:p w:rsidR="009C6DB8" w:rsidRPr="00C44221" w:rsidRDefault="009C6DB8" w:rsidP="00246DA8">
            <w:pPr>
              <w:pStyle w:val="ExhibitNumber"/>
            </w:pPr>
            <w:r w:rsidRPr="00C44221">
              <w:t>0</w:t>
            </w:r>
          </w:p>
        </w:tc>
      </w:tr>
      <w:tr w:rsidR="00B62EBA" w:rsidRPr="00C44221" w:rsidTr="001B1318">
        <w:trPr>
          <w:cantSplit/>
          <w:trHeight w:val="288"/>
        </w:trPr>
        <w:tc>
          <w:tcPr>
            <w:tcW w:w="1889" w:type="pct"/>
            <w:vAlign w:val="center"/>
          </w:tcPr>
          <w:p w:rsidR="00B62EBA" w:rsidRPr="00C44221" w:rsidRDefault="00B62EBA" w:rsidP="00246DA8">
            <w:pPr>
              <w:pStyle w:val="ExhibitText"/>
            </w:pPr>
            <w:r w:rsidRPr="00C44221">
              <w:t>TOTAL</w:t>
            </w:r>
          </w:p>
        </w:tc>
        <w:tc>
          <w:tcPr>
            <w:tcW w:w="1081" w:type="pct"/>
            <w:vAlign w:val="center"/>
          </w:tcPr>
          <w:p w:rsidR="00B62EBA" w:rsidRPr="00C44221" w:rsidRDefault="00B62EBA" w:rsidP="00246DA8">
            <w:pPr>
              <w:pStyle w:val="ExhibitText"/>
            </w:pPr>
          </w:p>
        </w:tc>
        <w:tc>
          <w:tcPr>
            <w:tcW w:w="987" w:type="pct"/>
            <w:vAlign w:val="center"/>
          </w:tcPr>
          <w:p w:rsidR="00B62EBA" w:rsidRPr="00C44221" w:rsidRDefault="00B62EBA" w:rsidP="00246DA8">
            <w:pPr>
              <w:pStyle w:val="ExhibitNumber"/>
            </w:pPr>
            <w:r w:rsidRPr="00C44221">
              <w:t>2,746</w:t>
            </w:r>
          </w:p>
        </w:tc>
        <w:tc>
          <w:tcPr>
            <w:tcW w:w="1043" w:type="pct"/>
            <w:vAlign w:val="center"/>
          </w:tcPr>
          <w:p w:rsidR="00B62EBA" w:rsidRPr="00C44221" w:rsidRDefault="00B62EBA" w:rsidP="00246DA8">
            <w:pPr>
              <w:pStyle w:val="ExhibitNumber"/>
            </w:pPr>
            <w:r w:rsidRPr="00C44221">
              <w:t>40</w:t>
            </w:r>
          </w:p>
        </w:tc>
      </w:tr>
    </w:tbl>
    <w:p w:rsidR="00D60787" w:rsidRPr="00C44221" w:rsidRDefault="00D60787" w:rsidP="009C6DB8">
      <w:pPr>
        <w:pStyle w:val="Exhibitsource"/>
      </w:pPr>
      <w:r w:rsidRPr="00C44221">
        <w:t>1</w:t>
      </w:r>
      <w:r w:rsidR="003732C1" w:rsidRPr="00C44221">
        <w:t xml:space="preserve">. The EPA assumes that two states already regulating perchlorate in drinking water (California and Massachusetts) will </w:t>
      </w:r>
      <w:r w:rsidR="009C6DB8" w:rsidRPr="00C44221">
        <w:t>incur a smaller burden for initial activities</w:t>
      </w:r>
      <w:r w:rsidR="003732C1" w:rsidRPr="00C44221">
        <w:t>.</w:t>
      </w:r>
    </w:p>
    <w:p w:rsidR="009C6DB8" w:rsidRPr="00C44221" w:rsidRDefault="009C6DB8" w:rsidP="009C6DB8"/>
    <w:p w:rsidR="00DC1F83" w:rsidRPr="00C44221" w:rsidRDefault="00DC1F83" w:rsidP="00D3006F">
      <w:pPr>
        <w:pStyle w:val="Caption"/>
      </w:pPr>
      <w:bookmarkStart w:id="29" w:name="_Ref531074499"/>
      <w:r w:rsidRPr="00C44221">
        <w:t xml:space="preserve">Table </w:t>
      </w:r>
      <w:r w:rsidR="005E3502" w:rsidRPr="00C44221">
        <w:rPr>
          <w:noProof/>
        </w:rPr>
        <w:fldChar w:fldCharType="begin"/>
      </w:r>
      <w:r w:rsidR="005E3502" w:rsidRPr="00C44221">
        <w:rPr>
          <w:noProof/>
        </w:rPr>
        <w:instrText xml:space="preserve"> SEQ Table \* ARABIC </w:instrText>
      </w:r>
      <w:r w:rsidR="005E3502" w:rsidRPr="00C44221">
        <w:rPr>
          <w:noProof/>
        </w:rPr>
        <w:fldChar w:fldCharType="separate"/>
      </w:r>
      <w:r w:rsidR="00B62EBA" w:rsidRPr="00C44221">
        <w:rPr>
          <w:noProof/>
        </w:rPr>
        <w:t>2</w:t>
      </w:r>
      <w:r w:rsidR="005E3502" w:rsidRPr="00C44221">
        <w:rPr>
          <w:noProof/>
        </w:rPr>
        <w:fldChar w:fldCharType="end"/>
      </w:r>
      <w:bookmarkEnd w:id="29"/>
      <w:r w:rsidRPr="00C44221">
        <w:t>. Total Labor Hours for Primacy Agencies by Administrative Requirement</w:t>
      </w:r>
    </w:p>
    <w:tbl>
      <w:tblPr>
        <w:tblStyle w:val="IWR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160"/>
        <w:gridCol w:w="2160"/>
        <w:gridCol w:w="1998"/>
      </w:tblGrid>
      <w:tr w:rsidR="009E0D7A" w:rsidRPr="00C44221" w:rsidTr="009E0D7A">
        <w:trPr>
          <w:cantSplit/>
          <w:trHeight w:val="288"/>
          <w:tblHeader/>
        </w:trPr>
        <w:tc>
          <w:tcPr>
            <w:tcW w:w="1701" w:type="pct"/>
            <w:shd w:val="clear" w:color="auto" w:fill="C3C6A9"/>
            <w:vAlign w:val="center"/>
            <w:hideMark/>
          </w:tcPr>
          <w:p w:rsidR="00DC1F83" w:rsidRPr="00C44221" w:rsidRDefault="00DC1F83">
            <w:pPr>
              <w:pStyle w:val="ExhibitHeading"/>
            </w:pPr>
            <w:r w:rsidRPr="00C44221">
              <w:t>Activity</w:t>
            </w:r>
          </w:p>
        </w:tc>
        <w:tc>
          <w:tcPr>
            <w:tcW w:w="1128" w:type="pct"/>
            <w:shd w:val="clear" w:color="auto" w:fill="C3C6A9"/>
            <w:vAlign w:val="center"/>
          </w:tcPr>
          <w:p w:rsidR="00DC1F83" w:rsidRPr="00C44221" w:rsidRDefault="00DC1F83">
            <w:pPr>
              <w:pStyle w:val="ExhibitHeading"/>
            </w:pPr>
            <w:r w:rsidRPr="00C44221">
              <w:t>Included Primacy Agencies</w:t>
            </w:r>
            <w:r w:rsidR="00544E6D" w:rsidRPr="00C44221">
              <w:t xml:space="preserve"> (53)</w:t>
            </w:r>
          </w:p>
        </w:tc>
        <w:tc>
          <w:tcPr>
            <w:tcW w:w="1128" w:type="pct"/>
            <w:shd w:val="clear" w:color="auto" w:fill="C3C6A9"/>
            <w:vAlign w:val="center"/>
            <w:hideMark/>
          </w:tcPr>
          <w:p w:rsidR="00DC1F83" w:rsidRPr="00C44221" w:rsidRDefault="00DC1F83">
            <w:pPr>
              <w:pStyle w:val="ExhibitHeading"/>
            </w:pPr>
            <w:r w:rsidRPr="00C44221">
              <w:t>Excluded Primary Agencies</w:t>
            </w:r>
            <w:r w:rsidR="00544E6D" w:rsidRPr="00C44221">
              <w:t xml:space="preserve"> (2)</w:t>
            </w:r>
          </w:p>
        </w:tc>
        <w:tc>
          <w:tcPr>
            <w:tcW w:w="1043" w:type="pct"/>
            <w:shd w:val="clear" w:color="auto" w:fill="C3C6A9"/>
            <w:vAlign w:val="center"/>
          </w:tcPr>
          <w:p w:rsidR="00DC1F83" w:rsidRPr="00C44221" w:rsidRDefault="00DC1F83">
            <w:pPr>
              <w:pStyle w:val="ExhibitHeading"/>
            </w:pPr>
            <w:r w:rsidRPr="00C44221">
              <w:t>All Primacy Agencies</w:t>
            </w:r>
            <w:r w:rsidR="00544E6D" w:rsidRPr="00C44221">
              <w:t xml:space="preserve"> (55)</w:t>
            </w:r>
          </w:p>
        </w:tc>
      </w:tr>
      <w:tr w:rsidR="009E0D7A" w:rsidRPr="00C44221" w:rsidTr="009E0D7A">
        <w:trPr>
          <w:cantSplit/>
          <w:trHeight w:val="288"/>
        </w:trPr>
        <w:tc>
          <w:tcPr>
            <w:tcW w:w="1701" w:type="pct"/>
            <w:vAlign w:val="center"/>
          </w:tcPr>
          <w:p w:rsidR="00DC1F83" w:rsidRPr="00C44221" w:rsidRDefault="00DC1F83" w:rsidP="00246DA8">
            <w:pPr>
              <w:pStyle w:val="ExhibitText"/>
            </w:pPr>
            <w:r w:rsidRPr="00C44221">
              <w:t>Read and understand the rule, adopt regulatory changes</w:t>
            </w:r>
          </w:p>
        </w:tc>
        <w:tc>
          <w:tcPr>
            <w:tcW w:w="1128" w:type="pct"/>
            <w:vAlign w:val="center"/>
          </w:tcPr>
          <w:p w:rsidR="00DC1F83" w:rsidRPr="00C44221" w:rsidRDefault="00DC1F83" w:rsidP="009C6DB8">
            <w:pPr>
              <w:pStyle w:val="ExhibitNumber"/>
            </w:pPr>
            <w:r w:rsidRPr="00C44221">
              <w:t>22,048</w:t>
            </w:r>
          </w:p>
        </w:tc>
        <w:tc>
          <w:tcPr>
            <w:tcW w:w="1128" w:type="pct"/>
            <w:vAlign w:val="center"/>
          </w:tcPr>
          <w:p w:rsidR="00DC1F83" w:rsidRPr="00C44221" w:rsidRDefault="00DC1F83" w:rsidP="009C6DB8">
            <w:pPr>
              <w:pStyle w:val="ExhibitNumber"/>
            </w:pPr>
            <w:r w:rsidRPr="00C44221">
              <w:t>80</w:t>
            </w:r>
          </w:p>
        </w:tc>
        <w:tc>
          <w:tcPr>
            <w:tcW w:w="1043" w:type="pct"/>
            <w:vAlign w:val="center"/>
          </w:tcPr>
          <w:p w:rsidR="00DC1F83" w:rsidRPr="00C44221" w:rsidRDefault="00DC1F83" w:rsidP="009C6DB8">
            <w:pPr>
              <w:pStyle w:val="ExhibitNumber"/>
            </w:pPr>
            <w:r w:rsidRPr="00C44221">
              <w:t>22,128</w:t>
            </w:r>
          </w:p>
        </w:tc>
      </w:tr>
      <w:tr w:rsidR="009E0D7A" w:rsidRPr="00C44221" w:rsidTr="009E0D7A">
        <w:trPr>
          <w:cantSplit/>
          <w:trHeight w:val="288"/>
        </w:trPr>
        <w:tc>
          <w:tcPr>
            <w:tcW w:w="1701" w:type="pct"/>
            <w:vAlign w:val="center"/>
          </w:tcPr>
          <w:p w:rsidR="00DC1F83" w:rsidRPr="00C44221" w:rsidRDefault="00DC1F83" w:rsidP="00246DA8">
            <w:pPr>
              <w:pStyle w:val="ExhibitText"/>
            </w:pPr>
            <w:r w:rsidRPr="00C44221">
              <w:t>Provide training and assistance to PWSs</w:t>
            </w:r>
          </w:p>
        </w:tc>
        <w:tc>
          <w:tcPr>
            <w:tcW w:w="1128" w:type="pct"/>
            <w:vAlign w:val="center"/>
          </w:tcPr>
          <w:p w:rsidR="00DC1F83" w:rsidRPr="00C44221" w:rsidRDefault="00DC1F83" w:rsidP="009C6DB8">
            <w:pPr>
              <w:pStyle w:val="ExhibitNumber"/>
            </w:pPr>
            <w:r w:rsidRPr="00C44221">
              <w:t>110,240</w:t>
            </w:r>
          </w:p>
        </w:tc>
        <w:tc>
          <w:tcPr>
            <w:tcW w:w="1128" w:type="pct"/>
            <w:vAlign w:val="center"/>
          </w:tcPr>
          <w:p w:rsidR="00DC1F83" w:rsidRPr="00C44221" w:rsidRDefault="00DC1F83" w:rsidP="009C6DB8">
            <w:pPr>
              <w:pStyle w:val="ExhibitNumber"/>
            </w:pPr>
            <w:r w:rsidRPr="00C44221">
              <w:t>0</w:t>
            </w:r>
          </w:p>
        </w:tc>
        <w:tc>
          <w:tcPr>
            <w:tcW w:w="1043" w:type="pct"/>
            <w:vAlign w:val="center"/>
          </w:tcPr>
          <w:p w:rsidR="00DC1F83" w:rsidRPr="00C44221" w:rsidRDefault="00DC1F83" w:rsidP="009C6DB8">
            <w:pPr>
              <w:pStyle w:val="ExhibitNumber"/>
            </w:pPr>
            <w:r w:rsidRPr="00C44221">
              <w:t>110,240</w:t>
            </w:r>
          </w:p>
        </w:tc>
      </w:tr>
      <w:tr w:rsidR="009E0D7A" w:rsidRPr="00C44221" w:rsidTr="009E0D7A">
        <w:trPr>
          <w:cantSplit/>
          <w:trHeight w:val="288"/>
        </w:trPr>
        <w:tc>
          <w:tcPr>
            <w:tcW w:w="1701" w:type="pct"/>
            <w:vAlign w:val="center"/>
          </w:tcPr>
          <w:p w:rsidR="00DC1F83" w:rsidRPr="00C44221" w:rsidRDefault="00DC1F83" w:rsidP="00246DA8">
            <w:pPr>
              <w:pStyle w:val="ExhibitText"/>
            </w:pPr>
            <w:r w:rsidRPr="00C44221">
              <w:t>Provide training to staff and systems</w:t>
            </w:r>
          </w:p>
        </w:tc>
        <w:tc>
          <w:tcPr>
            <w:tcW w:w="1128" w:type="pct"/>
            <w:vAlign w:val="center"/>
          </w:tcPr>
          <w:p w:rsidR="00DC1F83" w:rsidRPr="00C44221" w:rsidRDefault="00DC1F83" w:rsidP="009C6DB8">
            <w:pPr>
              <w:pStyle w:val="ExhibitNumber"/>
            </w:pPr>
            <w:r w:rsidRPr="00C44221">
              <w:t>13,250</w:t>
            </w:r>
          </w:p>
        </w:tc>
        <w:tc>
          <w:tcPr>
            <w:tcW w:w="1128" w:type="pct"/>
            <w:vAlign w:val="center"/>
          </w:tcPr>
          <w:p w:rsidR="00DC1F83" w:rsidRPr="00C44221" w:rsidRDefault="00DC1F83" w:rsidP="009C6DB8">
            <w:pPr>
              <w:pStyle w:val="ExhibitNumber"/>
            </w:pPr>
            <w:r w:rsidRPr="00C44221">
              <w:t>0</w:t>
            </w:r>
          </w:p>
        </w:tc>
        <w:tc>
          <w:tcPr>
            <w:tcW w:w="1043" w:type="pct"/>
            <w:vAlign w:val="center"/>
          </w:tcPr>
          <w:p w:rsidR="00DC1F83" w:rsidRPr="00C44221" w:rsidRDefault="00DC1F83" w:rsidP="009C6DB8">
            <w:pPr>
              <w:pStyle w:val="ExhibitNumber"/>
            </w:pPr>
            <w:r w:rsidRPr="00C44221">
              <w:t>13,250</w:t>
            </w:r>
          </w:p>
        </w:tc>
      </w:tr>
      <w:tr w:rsidR="00DC1F83" w:rsidRPr="00C44221" w:rsidTr="00D3006F">
        <w:trPr>
          <w:cantSplit/>
          <w:trHeight w:val="288"/>
        </w:trPr>
        <w:tc>
          <w:tcPr>
            <w:tcW w:w="1701" w:type="pct"/>
            <w:vAlign w:val="center"/>
          </w:tcPr>
          <w:p w:rsidR="00DC1F83" w:rsidRPr="00C44221" w:rsidRDefault="00DC1F83" w:rsidP="00246DA8">
            <w:pPr>
              <w:pStyle w:val="ExhibitText"/>
            </w:pPr>
            <w:r w:rsidRPr="00C44221">
              <w:t>TOTAL</w:t>
            </w:r>
          </w:p>
        </w:tc>
        <w:tc>
          <w:tcPr>
            <w:tcW w:w="1128" w:type="pct"/>
            <w:vAlign w:val="center"/>
          </w:tcPr>
          <w:p w:rsidR="00DC1F83" w:rsidRPr="00C44221" w:rsidRDefault="00DC1F83" w:rsidP="009C6DB8">
            <w:pPr>
              <w:pStyle w:val="ExhibitNumber"/>
            </w:pPr>
            <w:r w:rsidRPr="00C44221">
              <w:t>145,538</w:t>
            </w:r>
          </w:p>
        </w:tc>
        <w:tc>
          <w:tcPr>
            <w:tcW w:w="1128" w:type="pct"/>
            <w:vAlign w:val="center"/>
          </w:tcPr>
          <w:p w:rsidR="00DC1F83" w:rsidRPr="00C44221" w:rsidRDefault="00DC1F83" w:rsidP="009C6DB8">
            <w:pPr>
              <w:pStyle w:val="ExhibitNumber"/>
            </w:pPr>
            <w:r w:rsidRPr="00C44221">
              <w:t>80</w:t>
            </w:r>
          </w:p>
        </w:tc>
        <w:tc>
          <w:tcPr>
            <w:tcW w:w="1043" w:type="pct"/>
            <w:vAlign w:val="center"/>
          </w:tcPr>
          <w:p w:rsidR="00DC1F83" w:rsidRPr="00C44221" w:rsidRDefault="00DC1F83" w:rsidP="009C6DB8">
            <w:pPr>
              <w:pStyle w:val="ExhibitNumber"/>
            </w:pPr>
            <w:r w:rsidRPr="00C44221">
              <w:t>145,618</w:t>
            </w:r>
          </w:p>
        </w:tc>
      </w:tr>
    </w:tbl>
    <w:p w:rsidR="00DC1F83" w:rsidRPr="00C44221" w:rsidRDefault="00DC1F83" w:rsidP="00D3006F">
      <w:pPr>
        <w:ind w:firstLine="0"/>
        <w:rPr>
          <w:sz w:val="20"/>
          <w:szCs w:val="20"/>
        </w:rPr>
      </w:pPr>
    </w:p>
    <w:p w:rsidR="00BD7532" w:rsidRPr="00C44221" w:rsidRDefault="00BD7532" w:rsidP="00AC39C5">
      <w:pPr>
        <w:pStyle w:val="Heading2"/>
      </w:pPr>
      <w:bookmarkStart w:id="30" w:name="_Toc160872075"/>
      <w:r w:rsidRPr="00C44221">
        <w:t>Estimating Respondent Costs</w:t>
      </w:r>
    </w:p>
    <w:p w:rsidR="00DC1F83" w:rsidRPr="00C44221" w:rsidRDefault="00DC1F83" w:rsidP="00D60787">
      <w:r w:rsidRPr="00C44221">
        <w:t xml:space="preserve">State labor rates are based on the mean hourly wage rate </w:t>
      </w:r>
      <w:r w:rsidR="00481139" w:rsidRPr="00C44221">
        <w:t xml:space="preserve">of $31.67 </w:t>
      </w:r>
      <w:r w:rsidRPr="00C44221">
        <w:t>from Bureau of Labor Statistics (BLS) Standard Occupational Classification code 19-2041 (State Government – Environmental Scientists and Specialists, Including Health)</w:t>
      </w:r>
      <w:r w:rsidR="00481139" w:rsidRPr="00C44221">
        <w:t xml:space="preserve"> </w:t>
      </w:r>
      <w:r w:rsidR="00481139" w:rsidRPr="00C44221">
        <w:fldChar w:fldCharType="begin"/>
      </w:r>
      <w:r w:rsidR="00697865" w:rsidRPr="00C44221">
        <w:instrText xml:space="preserve"> ADDIN ZOTERO_ITEM CSL_CITATION {"citationID":"ucYRujGd","properties":{"formattedCitation":"(2018)","plainCitation":"(2018)","noteIndex":0},"citationItems":[{"id":1261,"uris":["http://zotero.org/groups/945096/items/TUC8B6F3"],"uri":["http://zotero.org/groups/945096/items/TUC8B6F3"],"itemData":{"id":1261,"type":"webpage","title":"Occupational Employment Statistics","container-title":"Occuptational Employment and Wages, May 2017: 19-2041 Environmental Scientists and Specialists, Including Health","URL":"https://www.bls.gov/oes/2017/may/oes192041.htm","author":[{"literal":"Bureau of Labor Statistics (BLS)"}],"issued":{"date-parts":[["2018",3,30]]}},"suppress-author":true}],"schema":"https://github.com/citation-style-language/schema/raw/master/csl-citation.json"} </w:instrText>
      </w:r>
      <w:r w:rsidR="00481139" w:rsidRPr="00C44221">
        <w:fldChar w:fldCharType="separate"/>
      </w:r>
      <w:r w:rsidR="00A20E1A" w:rsidRPr="00C44221">
        <w:t>(2018)</w:t>
      </w:r>
      <w:r w:rsidR="00481139" w:rsidRPr="00C44221">
        <w:fldChar w:fldCharType="end"/>
      </w:r>
      <w:r w:rsidRPr="00C44221">
        <w:t xml:space="preserve">. </w:t>
      </w:r>
      <w:r w:rsidR="00697865" w:rsidRPr="00C44221">
        <w:t xml:space="preserve">Consistent with USEPA </w:t>
      </w:r>
      <w:r w:rsidR="00697865" w:rsidRPr="00C44221">
        <w:fldChar w:fldCharType="begin"/>
      </w:r>
      <w:r w:rsidR="00697865" w:rsidRPr="00C44221">
        <w:instrText xml:space="preserve"> ADDIN ZOTERO_ITEM CSL_CITATION {"citationID":"ZRrUiGjt","properties":{"formattedCitation":"(2008)","plainCitation":"(2008)","noteIndex":0},"citationItems":[{"id":998,"uris":["http://zotero.org/groups/945096/items/QSXYHBID"],"uri":["http://zotero.org/groups/945096/items/QSXYHBID"],"itemData":{"id":998,"type":"article","title":"Draft Information Collection Request for the Disinfectants/Disinfection Byproducts, Chemical, and Radionuclides Rule","author":[{"family":"USEPA","given":""}],"issued":{"date-parts":[["2008",6]]}},"suppress-author":true}],"schema":"https://github.com/citation-style-language/schema/raw/master/csl-citation.json"} </w:instrText>
      </w:r>
      <w:r w:rsidR="00697865" w:rsidRPr="00C44221">
        <w:fldChar w:fldCharType="separate"/>
      </w:r>
      <w:r w:rsidR="00697865" w:rsidRPr="00C44221">
        <w:t>(2008)</w:t>
      </w:r>
      <w:r w:rsidR="00697865" w:rsidRPr="00C44221">
        <w:fldChar w:fldCharType="end"/>
      </w:r>
      <w:r w:rsidR="00697865" w:rsidRPr="00C44221">
        <w:t>, w</w:t>
      </w:r>
      <w:r w:rsidRPr="00C44221">
        <w:t>ages are loaded using a factor</w:t>
      </w:r>
      <w:r w:rsidR="00697865" w:rsidRPr="00C44221">
        <w:t xml:space="preserve"> of 60% for environmental scientists</w:t>
      </w:r>
      <w:r w:rsidRPr="00C44221">
        <w:t>, for a fully loaded hourly wage rate for states of $50.67.</w:t>
      </w:r>
      <w:r w:rsidR="002D0A4E" w:rsidRPr="00C44221">
        <w:t xml:space="preserve"> Total costs for primacy agencies based on this loaded hourly wage</w:t>
      </w:r>
      <w:r w:rsidR="00697865" w:rsidRPr="00C44221">
        <w:t xml:space="preserve"> rate and the total labor hours</w:t>
      </w:r>
      <w:r w:rsidR="002D0A4E" w:rsidRPr="00C44221">
        <w:t xml:space="preserve"> in </w:t>
      </w:r>
      <w:r w:rsidR="002D0A4E" w:rsidRPr="00C44221">
        <w:fldChar w:fldCharType="begin"/>
      </w:r>
      <w:r w:rsidR="002D0A4E" w:rsidRPr="00C44221">
        <w:instrText xml:space="preserve"> REF _Ref531074499 \h </w:instrText>
      </w:r>
      <w:r w:rsidR="00C44221">
        <w:instrText xml:space="preserve"> \* MERGEFORMAT </w:instrText>
      </w:r>
      <w:r w:rsidR="002D0A4E" w:rsidRPr="00C44221">
        <w:fldChar w:fldCharType="separate"/>
      </w:r>
      <w:r w:rsidR="002D0A4E" w:rsidRPr="00C44221">
        <w:t xml:space="preserve">Table </w:t>
      </w:r>
      <w:r w:rsidR="002D0A4E" w:rsidRPr="00C44221">
        <w:rPr>
          <w:noProof/>
        </w:rPr>
        <w:t>2</w:t>
      </w:r>
      <w:r w:rsidR="002D0A4E" w:rsidRPr="00C44221">
        <w:fldChar w:fldCharType="end"/>
      </w:r>
      <w:r w:rsidR="002D0A4E" w:rsidRPr="00C44221">
        <w:t xml:space="preserve"> are shown in </w:t>
      </w:r>
      <w:r w:rsidR="002D0A4E" w:rsidRPr="00C44221">
        <w:fldChar w:fldCharType="begin"/>
      </w:r>
      <w:r w:rsidR="002D0A4E" w:rsidRPr="00C44221">
        <w:instrText xml:space="preserve"> REF _Ref532639848 \h </w:instrText>
      </w:r>
      <w:r w:rsidR="00C44221">
        <w:instrText xml:space="preserve"> \* MERGEFORMAT </w:instrText>
      </w:r>
      <w:r w:rsidR="002D0A4E" w:rsidRPr="00C44221">
        <w:fldChar w:fldCharType="separate"/>
      </w:r>
      <w:r w:rsidR="002D0A4E" w:rsidRPr="00C44221">
        <w:t xml:space="preserve">Table </w:t>
      </w:r>
      <w:r w:rsidR="002D0A4E" w:rsidRPr="00C44221">
        <w:rPr>
          <w:noProof/>
        </w:rPr>
        <w:t>3</w:t>
      </w:r>
      <w:r w:rsidR="002D0A4E" w:rsidRPr="00C44221">
        <w:fldChar w:fldCharType="end"/>
      </w:r>
      <w:r w:rsidR="00697865" w:rsidRPr="00C44221">
        <w:t>.</w:t>
      </w:r>
    </w:p>
    <w:p w:rsidR="002D0A4E" w:rsidRPr="00C44221" w:rsidRDefault="002D0A4E" w:rsidP="002D0A4E">
      <w:pPr>
        <w:pStyle w:val="Caption"/>
      </w:pPr>
      <w:bookmarkStart w:id="31" w:name="_Ref532639848"/>
      <w:r w:rsidRPr="00C44221">
        <w:t xml:space="preserve">Table </w:t>
      </w:r>
      <w:r w:rsidR="005E3502" w:rsidRPr="00C44221">
        <w:rPr>
          <w:noProof/>
        </w:rPr>
        <w:fldChar w:fldCharType="begin"/>
      </w:r>
      <w:r w:rsidR="005E3502" w:rsidRPr="00C44221">
        <w:rPr>
          <w:noProof/>
        </w:rPr>
        <w:instrText xml:space="preserve"> SEQ Table \* ARABIC </w:instrText>
      </w:r>
      <w:r w:rsidR="005E3502" w:rsidRPr="00C44221">
        <w:rPr>
          <w:noProof/>
        </w:rPr>
        <w:fldChar w:fldCharType="separate"/>
      </w:r>
      <w:r w:rsidR="00B62EBA" w:rsidRPr="00C44221">
        <w:rPr>
          <w:noProof/>
        </w:rPr>
        <w:t>3</w:t>
      </w:r>
      <w:r w:rsidR="005E3502" w:rsidRPr="00C44221">
        <w:rPr>
          <w:noProof/>
        </w:rPr>
        <w:fldChar w:fldCharType="end"/>
      </w:r>
      <w:bookmarkEnd w:id="31"/>
      <w:r w:rsidRPr="00C44221">
        <w:t>. Total Costs for Primacy Agencies by Administrative Requirement</w:t>
      </w:r>
      <w:r w:rsidR="00BC73BF" w:rsidRPr="00C44221">
        <w:t xml:space="preserve"> (201</w:t>
      </w:r>
      <w:r w:rsidR="00697865" w:rsidRPr="00C44221">
        <w:t>7</w:t>
      </w:r>
      <w:r w:rsidR="00BC73BF" w:rsidRPr="00C44221">
        <w:t>$)</w:t>
      </w:r>
    </w:p>
    <w:tbl>
      <w:tblPr>
        <w:tblStyle w:val="IWR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160"/>
        <w:gridCol w:w="2160"/>
        <w:gridCol w:w="1998"/>
      </w:tblGrid>
      <w:tr w:rsidR="002D0A4E" w:rsidRPr="00C44221" w:rsidTr="002A6A4C">
        <w:trPr>
          <w:cantSplit/>
          <w:trHeight w:val="288"/>
          <w:tblHeader/>
        </w:trPr>
        <w:tc>
          <w:tcPr>
            <w:tcW w:w="1701" w:type="pct"/>
            <w:shd w:val="clear" w:color="auto" w:fill="C3C6A9"/>
            <w:vAlign w:val="center"/>
            <w:hideMark/>
          </w:tcPr>
          <w:p w:rsidR="002D0A4E" w:rsidRPr="00C44221" w:rsidRDefault="002D0A4E" w:rsidP="002A6A4C">
            <w:pPr>
              <w:pStyle w:val="ExhibitHeading"/>
            </w:pPr>
            <w:r w:rsidRPr="00C44221">
              <w:t>Activity</w:t>
            </w:r>
          </w:p>
        </w:tc>
        <w:tc>
          <w:tcPr>
            <w:tcW w:w="1128" w:type="pct"/>
            <w:shd w:val="clear" w:color="auto" w:fill="C3C6A9"/>
            <w:vAlign w:val="center"/>
          </w:tcPr>
          <w:p w:rsidR="002D0A4E" w:rsidRPr="00C44221" w:rsidRDefault="002D0A4E" w:rsidP="002A6A4C">
            <w:pPr>
              <w:pStyle w:val="ExhibitHeading"/>
            </w:pPr>
            <w:r w:rsidRPr="00C44221">
              <w:t>Included Primacy Agencies (53)</w:t>
            </w:r>
          </w:p>
        </w:tc>
        <w:tc>
          <w:tcPr>
            <w:tcW w:w="1128" w:type="pct"/>
            <w:shd w:val="clear" w:color="auto" w:fill="C3C6A9"/>
            <w:vAlign w:val="center"/>
            <w:hideMark/>
          </w:tcPr>
          <w:p w:rsidR="002D0A4E" w:rsidRPr="00C44221" w:rsidRDefault="002D0A4E" w:rsidP="002A6A4C">
            <w:pPr>
              <w:pStyle w:val="ExhibitHeading"/>
            </w:pPr>
            <w:r w:rsidRPr="00C44221">
              <w:t>Excluded Primary Agencies (2)</w:t>
            </w:r>
          </w:p>
        </w:tc>
        <w:tc>
          <w:tcPr>
            <w:tcW w:w="1043" w:type="pct"/>
            <w:shd w:val="clear" w:color="auto" w:fill="C3C6A9"/>
            <w:vAlign w:val="center"/>
          </w:tcPr>
          <w:p w:rsidR="002D0A4E" w:rsidRPr="00C44221" w:rsidRDefault="002D0A4E" w:rsidP="002A6A4C">
            <w:pPr>
              <w:pStyle w:val="ExhibitHeading"/>
            </w:pPr>
            <w:r w:rsidRPr="00C44221">
              <w:t>All Primacy Agencies (55)</w:t>
            </w:r>
          </w:p>
        </w:tc>
      </w:tr>
      <w:tr w:rsidR="00103023" w:rsidRPr="00C44221" w:rsidTr="002A6A4C">
        <w:trPr>
          <w:cantSplit/>
          <w:trHeight w:val="288"/>
        </w:trPr>
        <w:tc>
          <w:tcPr>
            <w:tcW w:w="1701" w:type="pct"/>
            <w:vAlign w:val="center"/>
          </w:tcPr>
          <w:p w:rsidR="00103023" w:rsidRPr="00C44221" w:rsidRDefault="00103023" w:rsidP="002A6A4C">
            <w:pPr>
              <w:pStyle w:val="ExhibitText"/>
            </w:pPr>
            <w:r w:rsidRPr="00C44221">
              <w:t>Read and understand the rule, adopt regulatory changes</w:t>
            </w:r>
          </w:p>
        </w:tc>
        <w:tc>
          <w:tcPr>
            <w:tcW w:w="1128" w:type="pct"/>
            <w:vAlign w:val="center"/>
          </w:tcPr>
          <w:p w:rsidR="00103023" w:rsidRPr="00C44221" w:rsidRDefault="00103023" w:rsidP="002A6A4C">
            <w:pPr>
              <w:pStyle w:val="ExhibitText"/>
              <w:jc w:val="right"/>
            </w:pPr>
            <w:r w:rsidRPr="00C44221">
              <w:rPr>
                <w:szCs w:val="20"/>
              </w:rPr>
              <w:t xml:space="preserve">$1,117,172 </w:t>
            </w:r>
          </w:p>
        </w:tc>
        <w:tc>
          <w:tcPr>
            <w:tcW w:w="1128" w:type="pct"/>
            <w:vAlign w:val="center"/>
          </w:tcPr>
          <w:p w:rsidR="00103023" w:rsidRPr="00C44221" w:rsidRDefault="00103023" w:rsidP="002A6A4C">
            <w:pPr>
              <w:pStyle w:val="ExhibitNumber"/>
            </w:pPr>
            <w:r w:rsidRPr="00C44221">
              <w:rPr>
                <w:rFonts w:cs="Arial"/>
              </w:rPr>
              <w:t xml:space="preserve">$4,054 </w:t>
            </w:r>
          </w:p>
        </w:tc>
        <w:tc>
          <w:tcPr>
            <w:tcW w:w="1043" w:type="pct"/>
            <w:vAlign w:val="center"/>
          </w:tcPr>
          <w:p w:rsidR="00103023" w:rsidRPr="00C44221" w:rsidRDefault="00103023" w:rsidP="002D0A4E">
            <w:pPr>
              <w:pStyle w:val="ExhibitNumber"/>
            </w:pPr>
            <w:r w:rsidRPr="00C44221">
              <w:rPr>
                <w:rFonts w:cs="Arial"/>
              </w:rPr>
              <w:t xml:space="preserve">$1,121,226 </w:t>
            </w:r>
          </w:p>
        </w:tc>
      </w:tr>
      <w:tr w:rsidR="00103023" w:rsidRPr="00C44221" w:rsidTr="002A6A4C">
        <w:trPr>
          <w:cantSplit/>
          <w:trHeight w:val="288"/>
        </w:trPr>
        <w:tc>
          <w:tcPr>
            <w:tcW w:w="1701" w:type="pct"/>
            <w:vAlign w:val="center"/>
          </w:tcPr>
          <w:p w:rsidR="00103023" w:rsidRPr="00C44221" w:rsidRDefault="00103023" w:rsidP="002A6A4C">
            <w:pPr>
              <w:pStyle w:val="ExhibitText"/>
            </w:pPr>
            <w:r w:rsidRPr="00C44221">
              <w:t>Provide training and assistance to PWSs</w:t>
            </w:r>
          </w:p>
        </w:tc>
        <w:tc>
          <w:tcPr>
            <w:tcW w:w="1128" w:type="pct"/>
            <w:vAlign w:val="center"/>
          </w:tcPr>
          <w:p w:rsidR="00103023" w:rsidRPr="00C44221" w:rsidRDefault="00103023" w:rsidP="002A6A4C">
            <w:pPr>
              <w:pStyle w:val="ExhibitText"/>
              <w:jc w:val="right"/>
            </w:pPr>
            <w:r w:rsidRPr="00C44221">
              <w:rPr>
                <w:szCs w:val="20"/>
              </w:rPr>
              <w:t xml:space="preserve">$5,585,861 </w:t>
            </w:r>
          </w:p>
        </w:tc>
        <w:tc>
          <w:tcPr>
            <w:tcW w:w="1128" w:type="pct"/>
            <w:vAlign w:val="center"/>
          </w:tcPr>
          <w:p w:rsidR="00103023" w:rsidRPr="00C44221" w:rsidRDefault="00103023" w:rsidP="002A6A4C">
            <w:pPr>
              <w:pStyle w:val="ExhibitNumber"/>
            </w:pPr>
            <w:r w:rsidRPr="00C44221">
              <w:rPr>
                <w:rFonts w:cs="Arial"/>
              </w:rPr>
              <w:t xml:space="preserve">$0 </w:t>
            </w:r>
          </w:p>
        </w:tc>
        <w:tc>
          <w:tcPr>
            <w:tcW w:w="1043" w:type="pct"/>
            <w:vAlign w:val="center"/>
          </w:tcPr>
          <w:p w:rsidR="00103023" w:rsidRPr="00C44221" w:rsidRDefault="00103023" w:rsidP="002A6A4C">
            <w:pPr>
              <w:pStyle w:val="ExhibitNumber"/>
            </w:pPr>
            <w:r w:rsidRPr="00C44221">
              <w:rPr>
                <w:rFonts w:cs="Arial"/>
              </w:rPr>
              <w:t xml:space="preserve">$5,585,861 </w:t>
            </w:r>
          </w:p>
        </w:tc>
      </w:tr>
      <w:tr w:rsidR="00103023" w:rsidRPr="00C44221" w:rsidTr="002A6A4C">
        <w:trPr>
          <w:cantSplit/>
          <w:trHeight w:val="288"/>
        </w:trPr>
        <w:tc>
          <w:tcPr>
            <w:tcW w:w="1701" w:type="pct"/>
            <w:vAlign w:val="center"/>
          </w:tcPr>
          <w:p w:rsidR="00103023" w:rsidRPr="00C44221" w:rsidRDefault="00103023" w:rsidP="002A6A4C">
            <w:pPr>
              <w:pStyle w:val="ExhibitText"/>
            </w:pPr>
            <w:r w:rsidRPr="00C44221">
              <w:t>Provide training to staff and systems</w:t>
            </w:r>
          </w:p>
        </w:tc>
        <w:tc>
          <w:tcPr>
            <w:tcW w:w="1128" w:type="pct"/>
            <w:vAlign w:val="center"/>
          </w:tcPr>
          <w:p w:rsidR="00103023" w:rsidRPr="00C44221" w:rsidRDefault="00103023" w:rsidP="002A6A4C">
            <w:pPr>
              <w:pStyle w:val="ExhibitText"/>
              <w:jc w:val="right"/>
            </w:pPr>
            <w:r w:rsidRPr="00C44221">
              <w:rPr>
                <w:szCs w:val="20"/>
              </w:rPr>
              <w:t xml:space="preserve">$671,378 </w:t>
            </w:r>
          </w:p>
        </w:tc>
        <w:tc>
          <w:tcPr>
            <w:tcW w:w="1128" w:type="pct"/>
            <w:vAlign w:val="center"/>
          </w:tcPr>
          <w:p w:rsidR="00103023" w:rsidRPr="00C44221" w:rsidRDefault="00103023" w:rsidP="002A6A4C">
            <w:pPr>
              <w:pStyle w:val="ExhibitNumber"/>
            </w:pPr>
            <w:r w:rsidRPr="00C44221">
              <w:rPr>
                <w:rFonts w:cs="Arial"/>
              </w:rPr>
              <w:t xml:space="preserve">$0 </w:t>
            </w:r>
          </w:p>
        </w:tc>
        <w:tc>
          <w:tcPr>
            <w:tcW w:w="1043" w:type="pct"/>
            <w:vAlign w:val="center"/>
          </w:tcPr>
          <w:p w:rsidR="00103023" w:rsidRPr="00C44221" w:rsidRDefault="00103023" w:rsidP="002A6A4C">
            <w:pPr>
              <w:pStyle w:val="ExhibitNumber"/>
            </w:pPr>
            <w:r w:rsidRPr="00C44221">
              <w:rPr>
                <w:rFonts w:cs="Arial"/>
              </w:rPr>
              <w:t xml:space="preserve">$671,378 </w:t>
            </w:r>
          </w:p>
        </w:tc>
      </w:tr>
      <w:tr w:rsidR="00103023" w:rsidRPr="00C44221" w:rsidTr="002A6A4C">
        <w:trPr>
          <w:cantSplit/>
          <w:trHeight w:val="288"/>
        </w:trPr>
        <w:tc>
          <w:tcPr>
            <w:tcW w:w="1701" w:type="pct"/>
            <w:vAlign w:val="center"/>
          </w:tcPr>
          <w:p w:rsidR="00103023" w:rsidRPr="00C44221" w:rsidRDefault="00103023" w:rsidP="002A6A4C">
            <w:pPr>
              <w:pStyle w:val="ExhibitText"/>
              <w:rPr>
                <w:b/>
              </w:rPr>
            </w:pPr>
            <w:r w:rsidRPr="00C44221">
              <w:rPr>
                <w:b/>
              </w:rPr>
              <w:t>TOTAL</w:t>
            </w:r>
          </w:p>
        </w:tc>
        <w:tc>
          <w:tcPr>
            <w:tcW w:w="1128" w:type="pct"/>
            <w:vAlign w:val="center"/>
          </w:tcPr>
          <w:p w:rsidR="00103023" w:rsidRPr="00C44221" w:rsidRDefault="00103023" w:rsidP="002A6A4C">
            <w:pPr>
              <w:pStyle w:val="ExhibitText"/>
              <w:jc w:val="right"/>
            </w:pPr>
            <w:r w:rsidRPr="00C44221">
              <w:rPr>
                <w:szCs w:val="20"/>
              </w:rPr>
              <w:t xml:space="preserve">$7,374,410 </w:t>
            </w:r>
          </w:p>
        </w:tc>
        <w:tc>
          <w:tcPr>
            <w:tcW w:w="1128" w:type="pct"/>
            <w:vAlign w:val="center"/>
          </w:tcPr>
          <w:p w:rsidR="00103023" w:rsidRPr="00C44221" w:rsidRDefault="00103023" w:rsidP="002A6A4C">
            <w:pPr>
              <w:pStyle w:val="ExhibitNumber"/>
            </w:pPr>
            <w:r w:rsidRPr="00C44221">
              <w:rPr>
                <w:rFonts w:cs="Arial"/>
              </w:rPr>
              <w:t xml:space="preserve">$4,054 </w:t>
            </w:r>
          </w:p>
        </w:tc>
        <w:tc>
          <w:tcPr>
            <w:tcW w:w="1043" w:type="pct"/>
            <w:vAlign w:val="center"/>
          </w:tcPr>
          <w:p w:rsidR="00103023" w:rsidRPr="00C44221" w:rsidRDefault="00103023" w:rsidP="002A6A4C">
            <w:pPr>
              <w:pStyle w:val="ExhibitNumber"/>
            </w:pPr>
            <w:r w:rsidRPr="00C44221">
              <w:rPr>
                <w:rFonts w:cs="Arial"/>
              </w:rPr>
              <w:t xml:space="preserve">$7,378,464 </w:t>
            </w:r>
          </w:p>
        </w:tc>
      </w:tr>
    </w:tbl>
    <w:p w:rsidR="002D0A4E" w:rsidRPr="00C44221" w:rsidRDefault="00BC73BF" w:rsidP="00A20E1A">
      <w:pPr>
        <w:pStyle w:val="Exhibitsource"/>
      </w:pPr>
      <w:r w:rsidRPr="00C44221">
        <w:t>Values rounded to nearest dollar. Detail may not add to totals because of independent rounding.</w:t>
      </w:r>
    </w:p>
    <w:p w:rsidR="000B17BF" w:rsidRPr="00C44221" w:rsidRDefault="000B17BF" w:rsidP="00AC39C5">
      <w:pPr>
        <w:pStyle w:val="Heading2"/>
      </w:pPr>
      <w:r w:rsidRPr="00C44221">
        <w:t>Estimating Agency Burden and Cost</w:t>
      </w:r>
      <w:bookmarkEnd w:id="30"/>
    </w:p>
    <w:p w:rsidR="00230BD2" w:rsidRPr="00C44221" w:rsidRDefault="00BD47C9" w:rsidP="00230BD2">
      <w:bookmarkStart w:id="32" w:name="_Toc160872076"/>
      <w:r w:rsidRPr="00C44221">
        <w:t xml:space="preserve">Burden and costs to the federal government are incurred by </w:t>
      </w:r>
      <w:r w:rsidR="003732C1" w:rsidRPr="00C44221">
        <w:t xml:space="preserve">the </w:t>
      </w:r>
      <w:r w:rsidRPr="00C44221">
        <w:t xml:space="preserve">EPA’s drinking water program to assist states in implementing drinking water regulations. </w:t>
      </w:r>
      <w:r w:rsidR="003732C1" w:rsidRPr="00C44221">
        <w:t>B</w:t>
      </w:r>
      <w:r w:rsidRPr="00C44221">
        <w:t xml:space="preserve">urden and costs for general drinking water program implementation activities are accounted for under the PWSS Program ICR. Burden and costs included in the PWSS Program ICR cover all cross-cutting, non-rule specific, regulatory activities associated with compliance tracking, regulatory enforcement, and rule development activities. </w:t>
      </w:r>
    </w:p>
    <w:p w:rsidR="009E59E4" w:rsidRPr="00C44221" w:rsidRDefault="002567F3" w:rsidP="00230BD2">
      <w:pPr>
        <w:pStyle w:val="Heading2"/>
      </w:pPr>
      <w:r w:rsidRPr="00C44221">
        <w:t xml:space="preserve">Estimating the </w:t>
      </w:r>
      <w:r w:rsidR="009E59E4" w:rsidRPr="00C44221">
        <w:t>Respondent Universe</w:t>
      </w:r>
      <w:bookmarkEnd w:id="32"/>
      <w:r w:rsidRPr="00C44221">
        <w:t xml:space="preserve"> and </w:t>
      </w:r>
      <w:r w:rsidR="00B174B7" w:rsidRPr="00C44221">
        <w:t>Total Burden and Cost</w:t>
      </w:r>
    </w:p>
    <w:p w:rsidR="009E59E4" w:rsidRPr="00C44221" w:rsidRDefault="00BD47C9" w:rsidP="00230BD2">
      <w:r w:rsidRPr="00C44221">
        <w:t>Respondents for this ICR include 55 primacy agencies (49 states with primacy, one tribal nation, and 5 territories).</w:t>
      </w:r>
      <w:r w:rsidR="003D6E85" w:rsidRPr="00C44221">
        <w:t xml:space="preserve"> Two of these primacy agencies </w:t>
      </w:r>
      <w:r w:rsidR="009C6DB8" w:rsidRPr="00C44221">
        <w:t xml:space="preserve">(“excluded primacy agencies) </w:t>
      </w:r>
      <w:r w:rsidR="003D6E85" w:rsidRPr="00C44221">
        <w:t>already regulate perchlorate in drinking water.</w:t>
      </w:r>
      <w:r w:rsidRPr="00C44221">
        <w:t xml:space="preserve"> The total costs and burden for these respondents are summarized in</w:t>
      </w:r>
      <w:r w:rsidR="00654706" w:rsidRPr="00C44221">
        <w:rPr>
          <w:rStyle w:val="CommentReference"/>
        </w:rPr>
        <w:t xml:space="preserve"> </w:t>
      </w:r>
      <w:r w:rsidR="00654706" w:rsidRPr="00C44221">
        <w:rPr>
          <w:rStyle w:val="CommentReference"/>
        </w:rPr>
        <w:fldChar w:fldCharType="begin"/>
      </w:r>
      <w:r w:rsidR="00654706" w:rsidRPr="00C44221">
        <w:rPr>
          <w:rStyle w:val="CommentReference"/>
        </w:rPr>
        <w:instrText xml:space="preserve"> REF _Ref532644282 \h </w:instrText>
      </w:r>
      <w:r w:rsidR="00C44221">
        <w:rPr>
          <w:rStyle w:val="CommentReference"/>
        </w:rPr>
        <w:instrText xml:space="preserve"> \* MERGEFORMAT </w:instrText>
      </w:r>
      <w:r w:rsidR="00654706" w:rsidRPr="00C44221">
        <w:rPr>
          <w:rStyle w:val="CommentReference"/>
        </w:rPr>
      </w:r>
      <w:r w:rsidR="00654706" w:rsidRPr="00C44221">
        <w:rPr>
          <w:rStyle w:val="CommentReference"/>
        </w:rPr>
        <w:fldChar w:fldCharType="separate"/>
      </w:r>
      <w:r w:rsidR="00654706" w:rsidRPr="00C44221">
        <w:t xml:space="preserve">Table </w:t>
      </w:r>
      <w:r w:rsidR="00654706" w:rsidRPr="00C44221">
        <w:rPr>
          <w:noProof/>
        </w:rPr>
        <w:t>4</w:t>
      </w:r>
      <w:r w:rsidR="00654706" w:rsidRPr="00C44221">
        <w:rPr>
          <w:rStyle w:val="CommentReference"/>
        </w:rPr>
        <w:fldChar w:fldCharType="end"/>
      </w:r>
      <w:r w:rsidR="00654706" w:rsidRPr="00C44221">
        <w:rPr>
          <w:rStyle w:val="CommentReference"/>
        </w:rPr>
        <w:t>.</w:t>
      </w:r>
    </w:p>
    <w:p w:rsidR="00654706" w:rsidRPr="00C44221" w:rsidRDefault="00654706" w:rsidP="00654706">
      <w:pPr>
        <w:pStyle w:val="Caption"/>
      </w:pPr>
      <w:bookmarkStart w:id="33" w:name="_Ref532644282"/>
      <w:r w:rsidRPr="00C44221">
        <w:t xml:space="preserve">Table </w:t>
      </w:r>
      <w:r w:rsidR="005E3502" w:rsidRPr="00C44221">
        <w:rPr>
          <w:noProof/>
        </w:rPr>
        <w:fldChar w:fldCharType="begin"/>
      </w:r>
      <w:r w:rsidR="005E3502" w:rsidRPr="00C44221">
        <w:rPr>
          <w:noProof/>
        </w:rPr>
        <w:instrText xml:space="preserve"> SEQ Table \* ARABIC </w:instrText>
      </w:r>
      <w:r w:rsidR="005E3502" w:rsidRPr="00C44221">
        <w:rPr>
          <w:noProof/>
        </w:rPr>
        <w:fldChar w:fldCharType="separate"/>
      </w:r>
      <w:r w:rsidR="00B62EBA" w:rsidRPr="00C44221">
        <w:rPr>
          <w:noProof/>
        </w:rPr>
        <w:t>4</w:t>
      </w:r>
      <w:r w:rsidR="005E3502" w:rsidRPr="00C44221">
        <w:rPr>
          <w:noProof/>
        </w:rPr>
        <w:fldChar w:fldCharType="end"/>
      </w:r>
      <w:bookmarkEnd w:id="33"/>
      <w:r w:rsidRPr="00C44221">
        <w:t>. Summary of Respondent Costs and Burdens by Respondent Type</w:t>
      </w:r>
    </w:p>
    <w:tbl>
      <w:tblPr>
        <w:tblStyle w:val="IWR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412"/>
        <w:gridCol w:w="1412"/>
        <w:gridCol w:w="1483"/>
        <w:gridCol w:w="1413"/>
        <w:gridCol w:w="1687"/>
      </w:tblGrid>
      <w:tr w:rsidR="00491D25" w:rsidRPr="00C44221" w:rsidTr="00654706">
        <w:trPr>
          <w:cantSplit/>
          <w:trHeight w:val="288"/>
          <w:tblHeader/>
        </w:trPr>
        <w:tc>
          <w:tcPr>
            <w:tcW w:w="1133" w:type="pct"/>
            <w:shd w:val="clear" w:color="auto" w:fill="C3C6A9"/>
            <w:vAlign w:val="center"/>
            <w:hideMark/>
          </w:tcPr>
          <w:p w:rsidR="00491D25" w:rsidRPr="00C44221" w:rsidRDefault="00491D25" w:rsidP="00491D25">
            <w:pPr>
              <w:pStyle w:val="ExhibitHeading"/>
            </w:pPr>
            <w:r w:rsidRPr="00C44221">
              <w:t>Respondent Type</w:t>
            </w:r>
          </w:p>
        </w:tc>
        <w:tc>
          <w:tcPr>
            <w:tcW w:w="737" w:type="pct"/>
            <w:shd w:val="clear" w:color="auto" w:fill="C3C6A9"/>
            <w:vAlign w:val="center"/>
          </w:tcPr>
          <w:p w:rsidR="00491D25" w:rsidRPr="00C44221" w:rsidRDefault="00491D25" w:rsidP="00491D25">
            <w:pPr>
              <w:pStyle w:val="ExhibitHeading"/>
            </w:pPr>
            <w:r w:rsidRPr="00C44221">
              <w:t>Unit Burden</w:t>
            </w:r>
          </w:p>
        </w:tc>
        <w:tc>
          <w:tcPr>
            <w:tcW w:w="737" w:type="pct"/>
            <w:shd w:val="clear" w:color="auto" w:fill="C3C6A9"/>
            <w:vAlign w:val="center"/>
          </w:tcPr>
          <w:p w:rsidR="00491D25" w:rsidRPr="00C44221" w:rsidRDefault="00491D25" w:rsidP="00491D25">
            <w:pPr>
              <w:pStyle w:val="ExhibitHeading"/>
            </w:pPr>
            <w:r w:rsidRPr="00C44221">
              <w:t>Unit Cost</w:t>
            </w:r>
          </w:p>
        </w:tc>
        <w:tc>
          <w:tcPr>
            <w:tcW w:w="774" w:type="pct"/>
            <w:shd w:val="clear" w:color="auto" w:fill="C3C6A9"/>
            <w:vAlign w:val="center"/>
          </w:tcPr>
          <w:p w:rsidR="00491D25" w:rsidRPr="00C44221" w:rsidRDefault="00491D25" w:rsidP="00491D25">
            <w:pPr>
              <w:pStyle w:val="ExhibitHeading"/>
            </w:pPr>
            <w:r w:rsidRPr="00C44221">
              <w:t>Number of Respondents</w:t>
            </w:r>
          </w:p>
        </w:tc>
        <w:tc>
          <w:tcPr>
            <w:tcW w:w="738" w:type="pct"/>
            <w:shd w:val="clear" w:color="auto" w:fill="C3C6A9"/>
            <w:vAlign w:val="center"/>
            <w:hideMark/>
          </w:tcPr>
          <w:p w:rsidR="00491D25" w:rsidRPr="00C44221" w:rsidRDefault="00491D25" w:rsidP="00491D25">
            <w:pPr>
              <w:pStyle w:val="ExhibitHeading"/>
            </w:pPr>
            <w:r w:rsidRPr="00C44221">
              <w:t>Total Burden</w:t>
            </w:r>
          </w:p>
        </w:tc>
        <w:tc>
          <w:tcPr>
            <w:tcW w:w="881" w:type="pct"/>
            <w:shd w:val="clear" w:color="auto" w:fill="C3C6A9"/>
            <w:vAlign w:val="center"/>
          </w:tcPr>
          <w:p w:rsidR="00491D25" w:rsidRPr="00C44221" w:rsidRDefault="00491D25" w:rsidP="00491D25">
            <w:pPr>
              <w:pStyle w:val="ExhibitHeading"/>
            </w:pPr>
            <w:r w:rsidRPr="00C44221">
              <w:t>Total Cost</w:t>
            </w:r>
          </w:p>
        </w:tc>
      </w:tr>
      <w:tr w:rsidR="00103023" w:rsidRPr="00C44221" w:rsidTr="00654706">
        <w:trPr>
          <w:cantSplit/>
          <w:trHeight w:val="288"/>
        </w:trPr>
        <w:tc>
          <w:tcPr>
            <w:tcW w:w="1133" w:type="pct"/>
            <w:vAlign w:val="center"/>
          </w:tcPr>
          <w:p w:rsidR="00103023" w:rsidRPr="00C44221" w:rsidRDefault="00103023" w:rsidP="002A6A4C">
            <w:pPr>
              <w:pStyle w:val="ExhibitText"/>
            </w:pPr>
            <w:r w:rsidRPr="00C44221">
              <w:t>Included Primacy Agencies</w:t>
            </w:r>
          </w:p>
        </w:tc>
        <w:tc>
          <w:tcPr>
            <w:tcW w:w="737" w:type="pct"/>
            <w:vAlign w:val="center"/>
          </w:tcPr>
          <w:p w:rsidR="00103023" w:rsidRPr="00C44221" w:rsidRDefault="00103023" w:rsidP="00491D25">
            <w:pPr>
              <w:pStyle w:val="ExhibitText"/>
              <w:jc w:val="right"/>
            </w:pPr>
            <w:r w:rsidRPr="00C44221">
              <w:rPr>
                <w:szCs w:val="20"/>
              </w:rPr>
              <w:t>2,746</w:t>
            </w:r>
          </w:p>
        </w:tc>
        <w:tc>
          <w:tcPr>
            <w:tcW w:w="737" w:type="pct"/>
            <w:vAlign w:val="center"/>
          </w:tcPr>
          <w:p w:rsidR="00103023" w:rsidRPr="00C44221" w:rsidRDefault="00103023" w:rsidP="00491D25">
            <w:pPr>
              <w:pStyle w:val="ExhibitNumber"/>
            </w:pPr>
            <w:r w:rsidRPr="00C44221">
              <w:rPr>
                <w:rFonts w:cs="Arial"/>
              </w:rPr>
              <w:t xml:space="preserve">$139,140 </w:t>
            </w:r>
          </w:p>
        </w:tc>
        <w:tc>
          <w:tcPr>
            <w:tcW w:w="774" w:type="pct"/>
            <w:vAlign w:val="center"/>
          </w:tcPr>
          <w:p w:rsidR="00103023" w:rsidRPr="00C44221" w:rsidRDefault="00103023" w:rsidP="00491D25">
            <w:pPr>
              <w:pStyle w:val="ExhibitNumber"/>
            </w:pPr>
            <w:r w:rsidRPr="00C44221">
              <w:rPr>
                <w:rFonts w:cs="Arial"/>
              </w:rPr>
              <w:t>53</w:t>
            </w:r>
          </w:p>
        </w:tc>
        <w:tc>
          <w:tcPr>
            <w:tcW w:w="738" w:type="pct"/>
            <w:vAlign w:val="center"/>
          </w:tcPr>
          <w:p w:rsidR="00103023" w:rsidRPr="00C44221" w:rsidRDefault="00103023" w:rsidP="00491D25">
            <w:pPr>
              <w:pStyle w:val="ExhibitNumber"/>
            </w:pPr>
            <w:r w:rsidRPr="00C44221">
              <w:rPr>
                <w:rFonts w:cs="Arial"/>
              </w:rPr>
              <w:t>145,538</w:t>
            </w:r>
          </w:p>
        </w:tc>
        <w:tc>
          <w:tcPr>
            <w:tcW w:w="881" w:type="pct"/>
            <w:vAlign w:val="center"/>
          </w:tcPr>
          <w:p w:rsidR="00103023" w:rsidRPr="00C44221" w:rsidRDefault="00103023" w:rsidP="00491D25">
            <w:pPr>
              <w:pStyle w:val="ExhibitNumber"/>
            </w:pPr>
            <w:r w:rsidRPr="00C44221">
              <w:rPr>
                <w:rFonts w:cs="Arial"/>
              </w:rPr>
              <w:t xml:space="preserve">$7,374,410 </w:t>
            </w:r>
          </w:p>
        </w:tc>
      </w:tr>
      <w:tr w:rsidR="00103023" w:rsidRPr="00C44221" w:rsidTr="00654706">
        <w:trPr>
          <w:cantSplit/>
          <w:trHeight w:val="288"/>
        </w:trPr>
        <w:tc>
          <w:tcPr>
            <w:tcW w:w="1133" w:type="pct"/>
            <w:tcBorders>
              <w:bottom w:val="single" w:sz="4" w:space="0" w:color="auto"/>
            </w:tcBorders>
            <w:vAlign w:val="center"/>
          </w:tcPr>
          <w:p w:rsidR="00103023" w:rsidRPr="00C44221" w:rsidRDefault="00103023" w:rsidP="002A6A4C">
            <w:pPr>
              <w:pStyle w:val="ExhibitText"/>
            </w:pPr>
            <w:r w:rsidRPr="00C44221">
              <w:t>Excluded Primacy Agencies</w:t>
            </w:r>
          </w:p>
        </w:tc>
        <w:tc>
          <w:tcPr>
            <w:tcW w:w="737" w:type="pct"/>
            <w:tcBorders>
              <w:bottom w:val="single" w:sz="4" w:space="0" w:color="auto"/>
            </w:tcBorders>
            <w:vAlign w:val="center"/>
          </w:tcPr>
          <w:p w:rsidR="00103023" w:rsidRPr="00C44221" w:rsidRDefault="00103023" w:rsidP="00491D25">
            <w:pPr>
              <w:pStyle w:val="ExhibitText"/>
              <w:jc w:val="right"/>
            </w:pPr>
            <w:r w:rsidRPr="00C44221">
              <w:rPr>
                <w:szCs w:val="20"/>
              </w:rPr>
              <w:t>40</w:t>
            </w:r>
          </w:p>
        </w:tc>
        <w:tc>
          <w:tcPr>
            <w:tcW w:w="737" w:type="pct"/>
            <w:tcBorders>
              <w:bottom w:val="single" w:sz="4" w:space="0" w:color="auto"/>
            </w:tcBorders>
            <w:vAlign w:val="center"/>
          </w:tcPr>
          <w:p w:rsidR="00103023" w:rsidRPr="00C44221" w:rsidRDefault="00103023" w:rsidP="00491D25">
            <w:pPr>
              <w:pStyle w:val="ExhibitNumber"/>
            </w:pPr>
            <w:r w:rsidRPr="00C44221">
              <w:rPr>
                <w:rFonts w:cs="Arial"/>
              </w:rPr>
              <w:t xml:space="preserve">$2,027 </w:t>
            </w:r>
          </w:p>
        </w:tc>
        <w:tc>
          <w:tcPr>
            <w:tcW w:w="774" w:type="pct"/>
            <w:vAlign w:val="center"/>
          </w:tcPr>
          <w:p w:rsidR="00103023" w:rsidRPr="00C44221" w:rsidRDefault="00103023" w:rsidP="00491D25">
            <w:pPr>
              <w:pStyle w:val="ExhibitNumber"/>
            </w:pPr>
            <w:r w:rsidRPr="00C44221">
              <w:rPr>
                <w:rFonts w:cs="Arial"/>
              </w:rPr>
              <w:t>2</w:t>
            </w:r>
          </w:p>
        </w:tc>
        <w:tc>
          <w:tcPr>
            <w:tcW w:w="738" w:type="pct"/>
            <w:vAlign w:val="center"/>
          </w:tcPr>
          <w:p w:rsidR="00103023" w:rsidRPr="00C44221" w:rsidRDefault="00103023" w:rsidP="00491D25">
            <w:pPr>
              <w:pStyle w:val="ExhibitNumber"/>
            </w:pPr>
            <w:r w:rsidRPr="00C44221">
              <w:rPr>
                <w:rFonts w:cs="Arial"/>
              </w:rPr>
              <w:t>80</w:t>
            </w:r>
          </w:p>
        </w:tc>
        <w:tc>
          <w:tcPr>
            <w:tcW w:w="881" w:type="pct"/>
            <w:vAlign w:val="center"/>
          </w:tcPr>
          <w:p w:rsidR="00103023" w:rsidRPr="00C44221" w:rsidRDefault="00103023" w:rsidP="00491D25">
            <w:pPr>
              <w:pStyle w:val="ExhibitNumber"/>
            </w:pPr>
            <w:r w:rsidRPr="00C44221">
              <w:rPr>
                <w:rFonts w:cs="Arial"/>
              </w:rPr>
              <w:t xml:space="preserve">$4,054 </w:t>
            </w:r>
          </w:p>
        </w:tc>
      </w:tr>
      <w:tr w:rsidR="00103023" w:rsidRPr="00C44221" w:rsidTr="00654706">
        <w:trPr>
          <w:cantSplit/>
          <w:trHeight w:val="288"/>
        </w:trPr>
        <w:tc>
          <w:tcPr>
            <w:tcW w:w="1133" w:type="pct"/>
            <w:tcBorders>
              <w:top w:val="single" w:sz="4" w:space="0" w:color="auto"/>
              <w:left w:val="single" w:sz="4" w:space="0" w:color="auto"/>
              <w:bottom w:val="single" w:sz="4" w:space="0" w:color="auto"/>
              <w:right w:val="nil"/>
            </w:tcBorders>
            <w:vAlign w:val="center"/>
          </w:tcPr>
          <w:p w:rsidR="00103023" w:rsidRPr="00C44221" w:rsidRDefault="00103023" w:rsidP="002A6A4C">
            <w:pPr>
              <w:pStyle w:val="ExhibitText"/>
              <w:rPr>
                <w:b/>
              </w:rPr>
            </w:pPr>
            <w:r w:rsidRPr="00C44221">
              <w:rPr>
                <w:b/>
              </w:rPr>
              <w:t>TOTAL</w:t>
            </w:r>
          </w:p>
        </w:tc>
        <w:tc>
          <w:tcPr>
            <w:tcW w:w="737" w:type="pct"/>
            <w:tcBorders>
              <w:top w:val="single" w:sz="4" w:space="0" w:color="auto"/>
              <w:left w:val="nil"/>
              <w:bottom w:val="single" w:sz="4" w:space="0" w:color="auto"/>
              <w:right w:val="nil"/>
            </w:tcBorders>
            <w:vAlign w:val="center"/>
          </w:tcPr>
          <w:p w:rsidR="00103023" w:rsidRPr="00C44221" w:rsidRDefault="00103023" w:rsidP="00491D25">
            <w:pPr>
              <w:pStyle w:val="ExhibitText"/>
              <w:jc w:val="right"/>
            </w:pPr>
            <w:r w:rsidRPr="00C44221">
              <w:rPr>
                <w:szCs w:val="20"/>
              </w:rPr>
              <w:t> </w:t>
            </w:r>
          </w:p>
        </w:tc>
        <w:tc>
          <w:tcPr>
            <w:tcW w:w="737" w:type="pct"/>
            <w:tcBorders>
              <w:top w:val="single" w:sz="4" w:space="0" w:color="auto"/>
              <w:left w:val="nil"/>
              <w:bottom w:val="single" w:sz="4" w:space="0" w:color="auto"/>
              <w:right w:val="single" w:sz="4" w:space="0" w:color="auto"/>
            </w:tcBorders>
            <w:vAlign w:val="center"/>
          </w:tcPr>
          <w:p w:rsidR="00103023" w:rsidRPr="00C44221" w:rsidRDefault="00103023" w:rsidP="00491D25">
            <w:pPr>
              <w:pStyle w:val="ExhibitNumber"/>
            </w:pPr>
            <w:r w:rsidRPr="00C44221">
              <w:rPr>
                <w:rFonts w:cs="Arial"/>
              </w:rPr>
              <w:t> </w:t>
            </w:r>
          </w:p>
        </w:tc>
        <w:tc>
          <w:tcPr>
            <w:tcW w:w="774" w:type="pct"/>
            <w:tcBorders>
              <w:left w:val="single" w:sz="4" w:space="0" w:color="auto"/>
            </w:tcBorders>
            <w:vAlign w:val="center"/>
          </w:tcPr>
          <w:p w:rsidR="00103023" w:rsidRPr="00C44221" w:rsidRDefault="00103023" w:rsidP="00491D25">
            <w:pPr>
              <w:pStyle w:val="ExhibitNumber"/>
              <w:rPr>
                <w:b/>
              </w:rPr>
            </w:pPr>
            <w:r w:rsidRPr="00C44221">
              <w:rPr>
                <w:rFonts w:cs="Arial"/>
                <w:b/>
                <w:bCs w:val="0"/>
              </w:rPr>
              <w:t>55</w:t>
            </w:r>
          </w:p>
        </w:tc>
        <w:tc>
          <w:tcPr>
            <w:tcW w:w="738" w:type="pct"/>
            <w:vAlign w:val="center"/>
          </w:tcPr>
          <w:p w:rsidR="00103023" w:rsidRPr="00C44221" w:rsidRDefault="00103023" w:rsidP="00491D25">
            <w:pPr>
              <w:pStyle w:val="ExhibitNumber"/>
              <w:rPr>
                <w:b/>
              </w:rPr>
            </w:pPr>
            <w:r w:rsidRPr="00C44221">
              <w:rPr>
                <w:rFonts w:cs="Arial"/>
                <w:b/>
                <w:bCs w:val="0"/>
              </w:rPr>
              <w:t>145,618</w:t>
            </w:r>
          </w:p>
        </w:tc>
        <w:tc>
          <w:tcPr>
            <w:tcW w:w="881" w:type="pct"/>
            <w:vAlign w:val="center"/>
          </w:tcPr>
          <w:p w:rsidR="00103023" w:rsidRPr="00C44221" w:rsidRDefault="00103023" w:rsidP="00491D25">
            <w:pPr>
              <w:pStyle w:val="ExhibitNumber"/>
              <w:rPr>
                <w:b/>
              </w:rPr>
            </w:pPr>
            <w:r w:rsidRPr="00C44221">
              <w:rPr>
                <w:rFonts w:cs="Arial"/>
                <w:b/>
                <w:bCs w:val="0"/>
              </w:rPr>
              <w:t xml:space="preserve">$7,378,464 </w:t>
            </w:r>
          </w:p>
        </w:tc>
      </w:tr>
    </w:tbl>
    <w:p w:rsidR="00491D25" w:rsidRPr="00C44221" w:rsidRDefault="00491D25" w:rsidP="00491D25">
      <w:pPr>
        <w:ind w:firstLine="0"/>
      </w:pPr>
    </w:p>
    <w:p w:rsidR="0004562C" w:rsidRPr="00C44221" w:rsidRDefault="0004562C" w:rsidP="00230BD2">
      <w:pPr>
        <w:pStyle w:val="Heading2"/>
      </w:pPr>
      <w:bookmarkStart w:id="34" w:name="_Toc160872077"/>
      <w:r w:rsidRPr="00C44221">
        <w:t>Bottom Line Burden Hours and Costs</w:t>
      </w:r>
      <w:bookmarkEnd w:id="34"/>
      <w:r w:rsidR="00B174B7" w:rsidRPr="00C44221">
        <w:t xml:space="preserve"> Tables</w:t>
      </w:r>
    </w:p>
    <w:p w:rsidR="00AA3C3F" w:rsidRPr="00C44221" w:rsidRDefault="0004562C" w:rsidP="00230BD2">
      <w:pPr>
        <w:tabs>
          <w:tab w:val="left" w:pos="-1080"/>
          <w:tab w:val="left" w:pos="-720"/>
          <w:tab w:val="left" w:pos="0"/>
          <w:tab w:val="left" w:pos="720"/>
          <w:tab w:val="left" w:pos="1080"/>
        </w:tabs>
      </w:pPr>
      <w:r w:rsidRPr="00C44221">
        <w:t>This section provides a description of bottom line estimates f</w:t>
      </w:r>
      <w:r w:rsidR="00B174B7" w:rsidRPr="00C44221">
        <w:t xml:space="preserve">or implementation of the rule. </w:t>
      </w:r>
      <w:r w:rsidRPr="00C44221">
        <w:t xml:space="preserve">The bottom line burden hours and costs for systems and </w:t>
      </w:r>
      <w:r w:rsidR="00BB55A4" w:rsidRPr="00C44221">
        <w:t>state</w:t>
      </w:r>
      <w:r w:rsidRPr="00C44221">
        <w:t xml:space="preserve">s are the summaries of the </w:t>
      </w:r>
      <w:r w:rsidR="002E38B0" w:rsidRPr="00C44221">
        <w:t xml:space="preserve">annual </w:t>
      </w:r>
      <w:r w:rsidRPr="00C44221">
        <w:t xml:space="preserve">hours and costs collectively incurred for all activities. </w:t>
      </w:r>
      <w:r w:rsidR="00B62EBA" w:rsidRPr="00C44221">
        <w:t xml:space="preserve">The EPA assumes a uniform distribution of the primacy agency burden and costs over the initial </w:t>
      </w:r>
      <w:r w:rsidR="001045CA" w:rsidRPr="00C44221">
        <w:t>three</w:t>
      </w:r>
      <w:r w:rsidR="00B62EBA" w:rsidRPr="00C44221">
        <w:t xml:space="preserve">-year ICR period. </w:t>
      </w:r>
      <w:r w:rsidR="00B62EBA" w:rsidRPr="00C44221">
        <w:fldChar w:fldCharType="begin"/>
      </w:r>
      <w:r w:rsidR="00B62EBA" w:rsidRPr="00C44221">
        <w:instrText xml:space="preserve"> REF _Ref532999577 \h </w:instrText>
      </w:r>
      <w:r w:rsidR="00C44221">
        <w:instrText xml:space="preserve"> \* MERGEFORMAT </w:instrText>
      </w:r>
      <w:r w:rsidR="00B62EBA" w:rsidRPr="00C44221">
        <w:fldChar w:fldCharType="separate"/>
      </w:r>
      <w:r w:rsidR="00B62EBA" w:rsidRPr="00C44221">
        <w:t xml:space="preserve">Table </w:t>
      </w:r>
      <w:r w:rsidR="00B62EBA" w:rsidRPr="00C44221">
        <w:rPr>
          <w:noProof/>
        </w:rPr>
        <w:t>5</w:t>
      </w:r>
      <w:r w:rsidR="00B62EBA" w:rsidRPr="00C44221">
        <w:fldChar w:fldCharType="end"/>
      </w:r>
      <w:r w:rsidR="00B62EBA" w:rsidRPr="00C44221">
        <w:t xml:space="preserve"> reports the average annual burden and cost by activity.</w:t>
      </w:r>
    </w:p>
    <w:p w:rsidR="00B62EBA" w:rsidRPr="00C44221" w:rsidRDefault="00B62EBA" w:rsidP="001045CA">
      <w:pPr>
        <w:pStyle w:val="Caption"/>
      </w:pPr>
      <w:bookmarkStart w:id="35" w:name="_Ref532999577"/>
      <w:bookmarkStart w:id="36" w:name="_Ref532999558"/>
      <w:r w:rsidRPr="00C44221">
        <w:t xml:space="preserve">Table </w:t>
      </w:r>
      <w:r w:rsidR="005E3502" w:rsidRPr="00C44221">
        <w:rPr>
          <w:noProof/>
        </w:rPr>
        <w:fldChar w:fldCharType="begin"/>
      </w:r>
      <w:r w:rsidR="005E3502" w:rsidRPr="00C44221">
        <w:rPr>
          <w:noProof/>
        </w:rPr>
        <w:instrText xml:space="preserve"> SEQ Table \* ARABIC </w:instrText>
      </w:r>
      <w:r w:rsidR="005E3502" w:rsidRPr="00C44221">
        <w:rPr>
          <w:noProof/>
        </w:rPr>
        <w:fldChar w:fldCharType="separate"/>
      </w:r>
      <w:r w:rsidRPr="00C44221">
        <w:rPr>
          <w:noProof/>
        </w:rPr>
        <w:t>5</w:t>
      </w:r>
      <w:r w:rsidR="005E3502" w:rsidRPr="00C44221">
        <w:rPr>
          <w:noProof/>
        </w:rPr>
        <w:fldChar w:fldCharType="end"/>
      </w:r>
      <w:bookmarkEnd w:id="35"/>
      <w:r w:rsidRPr="00C44221">
        <w:t xml:space="preserve">. Average Annual Burden and Costs for </w:t>
      </w:r>
      <w:r w:rsidR="001045CA" w:rsidRPr="00C44221">
        <w:t>Three</w:t>
      </w:r>
      <w:r w:rsidRPr="00C44221">
        <w:t>-Year ICR Period</w:t>
      </w:r>
      <w:bookmarkEnd w:id="36"/>
    </w:p>
    <w:tbl>
      <w:tblPr>
        <w:tblStyle w:val="IWR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160"/>
        <w:gridCol w:w="2160"/>
        <w:gridCol w:w="1998"/>
      </w:tblGrid>
      <w:tr w:rsidR="00654706" w:rsidRPr="00C44221" w:rsidTr="002A6A4C">
        <w:trPr>
          <w:cantSplit/>
          <w:trHeight w:val="288"/>
          <w:tblHeader/>
        </w:trPr>
        <w:tc>
          <w:tcPr>
            <w:tcW w:w="1701" w:type="pct"/>
            <w:shd w:val="clear" w:color="auto" w:fill="C3C6A9"/>
            <w:vAlign w:val="center"/>
            <w:hideMark/>
          </w:tcPr>
          <w:p w:rsidR="00654706" w:rsidRPr="00C44221" w:rsidRDefault="00654706" w:rsidP="002A6A4C">
            <w:pPr>
              <w:pStyle w:val="ExhibitHeading"/>
            </w:pPr>
            <w:r w:rsidRPr="00C44221">
              <w:t>Activity</w:t>
            </w:r>
          </w:p>
        </w:tc>
        <w:tc>
          <w:tcPr>
            <w:tcW w:w="1128" w:type="pct"/>
            <w:shd w:val="clear" w:color="auto" w:fill="C3C6A9"/>
            <w:vAlign w:val="center"/>
          </w:tcPr>
          <w:p w:rsidR="00654706" w:rsidRPr="00C44221" w:rsidRDefault="00654706" w:rsidP="002A6A4C">
            <w:pPr>
              <w:pStyle w:val="ExhibitHeading"/>
            </w:pPr>
            <w:r w:rsidRPr="00C44221">
              <w:t>Number of Respondents</w:t>
            </w:r>
          </w:p>
        </w:tc>
        <w:tc>
          <w:tcPr>
            <w:tcW w:w="1128" w:type="pct"/>
            <w:shd w:val="clear" w:color="auto" w:fill="C3C6A9"/>
            <w:vAlign w:val="center"/>
            <w:hideMark/>
          </w:tcPr>
          <w:p w:rsidR="00654706" w:rsidRPr="00C44221" w:rsidRDefault="00654706" w:rsidP="002A6A4C">
            <w:pPr>
              <w:pStyle w:val="ExhibitHeading"/>
            </w:pPr>
            <w:r w:rsidRPr="00C44221">
              <w:t>Total Hours Per Year</w:t>
            </w:r>
          </w:p>
        </w:tc>
        <w:tc>
          <w:tcPr>
            <w:tcW w:w="1043" w:type="pct"/>
            <w:shd w:val="clear" w:color="auto" w:fill="C3C6A9"/>
            <w:vAlign w:val="center"/>
          </w:tcPr>
          <w:p w:rsidR="00654706" w:rsidRPr="00C44221" w:rsidRDefault="00654706" w:rsidP="002A6A4C">
            <w:pPr>
              <w:pStyle w:val="ExhibitHeading"/>
            </w:pPr>
            <w:r w:rsidRPr="00C44221">
              <w:t>Total Annual Labor Cost</w:t>
            </w:r>
          </w:p>
        </w:tc>
      </w:tr>
      <w:tr w:rsidR="00103023" w:rsidRPr="00C44221" w:rsidTr="002A6A4C">
        <w:trPr>
          <w:cantSplit/>
          <w:trHeight w:val="288"/>
        </w:trPr>
        <w:tc>
          <w:tcPr>
            <w:tcW w:w="1701" w:type="pct"/>
            <w:vAlign w:val="center"/>
          </w:tcPr>
          <w:p w:rsidR="00103023" w:rsidRPr="00C44221" w:rsidRDefault="00103023" w:rsidP="00654706">
            <w:pPr>
              <w:pStyle w:val="ExhibitText"/>
            </w:pPr>
            <w:r w:rsidRPr="00C44221">
              <w:t>Read and understand the rule, adopt regulatory changes</w:t>
            </w:r>
          </w:p>
        </w:tc>
        <w:tc>
          <w:tcPr>
            <w:tcW w:w="1128" w:type="pct"/>
            <w:vAlign w:val="center"/>
          </w:tcPr>
          <w:p w:rsidR="00103023" w:rsidRPr="00C44221" w:rsidRDefault="00103023" w:rsidP="00654706">
            <w:pPr>
              <w:pStyle w:val="ExhibitText"/>
              <w:jc w:val="right"/>
            </w:pPr>
            <w:r w:rsidRPr="00C44221">
              <w:t>55</w:t>
            </w:r>
          </w:p>
        </w:tc>
        <w:tc>
          <w:tcPr>
            <w:tcW w:w="1128" w:type="pct"/>
            <w:vAlign w:val="center"/>
          </w:tcPr>
          <w:p w:rsidR="00103023" w:rsidRPr="00C44221" w:rsidRDefault="00103023" w:rsidP="00654706">
            <w:pPr>
              <w:pStyle w:val="ExhibitNumber"/>
            </w:pPr>
            <w:r w:rsidRPr="00C44221">
              <w:t>7,376</w:t>
            </w:r>
          </w:p>
        </w:tc>
        <w:tc>
          <w:tcPr>
            <w:tcW w:w="1043" w:type="pct"/>
            <w:vAlign w:val="center"/>
          </w:tcPr>
          <w:p w:rsidR="00103023" w:rsidRPr="00C44221" w:rsidRDefault="00103023" w:rsidP="00654706">
            <w:pPr>
              <w:pStyle w:val="ExhibitNumber"/>
            </w:pPr>
            <w:r w:rsidRPr="00C44221">
              <w:rPr>
                <w:rFonts w:cs="Arial"/>
              </w:rPr>
              <w:t xml:space="preserve">$373,742 </w:t>
            </w:r>
          </w:p>
        </w:tc>
      </w:tr>
      <w:tr w:rsidR="00103023" w:rsidRPr="00C44221" w:rsidTr="002A6A4C">
        <w:trPr>
          <w:cantSplit/>
          <w:trHeight w:val="288"/>
        </w:trPr>
        <w:tc>
          <w:tcPr>
            <w:tcW w:w="1701" w:type="pct"/>
            <w:vAlign w:val="center"/>
          </w:tcPr>
          <w:p w:rsidR="00103023" w:rsidRPr="00C44221" w:rsidRDefault="00103023" w:rsidP="00654706">
            <w:pPr>
              <w:pStyle w:val="ExhibitText"/>
            </w:pPr>
            <w:r w:rsidRPr="00C44221">
              <w:t>Provide training and assistance to PWSs</w:t>
            </w:r>
          </w:p>
        </w:tc>
        <w:tc>
          <w:tcPr>
            <w:tcW w:w="1128" w:type="pct"/>
            <w:vAlign w:val="center"/>
          </w:tcPr>
          <w:p w:rsidR="00103023" w:rsidRPr="00C44221" w:rsidRDefault="00103023" w:rsidP="00654706">
            <w:pPr>
              <w:pStyle w:val="ExhibitText"/>
              <w:jc w:val="right"/>
              <w:rPr>
                <w:vertAlign w:val="superscript"/>
              </w:rPr>
            </w:pPr>
            <w:r w:rsidRPr="00C44221">
              <w:t>53</w:t>
            </w:r>
            <w:r w:rsidRPr="00C44221">
              <w:rPr>
                <w:vertAlign w:val="superscript"/>
              </w:rPr>
              <w:t>1</w:t>
            </w:r>
          </w:p>
        </w:tc>
        <w:tc>
          <w:tcPr>
            <w:tcW w:w="1128" w:type="pct"/>
            <w:vAlign w:val="center"/>
          </w:tcPr>
          <w:p w:rsidR="00103023" w:rsidRPr="00C44221" w:rsidRDefault="00103023" w:rsidP="00654706">
            <w:pPr>
              <w:pStyle w:val="ExhibitNumber"/>
            </w:pPr>
            <w:r w:rsidRPr="00C44221">
              <w:t>36,747</w:t>
            </w:r>
          </w:p>
        </w:tc>
        <w:tc>
          <w:tcPr>
            <w:tcW w:w="1043" w:type="pct"/>
            <w:vAlign w:val="center"/>
          </w:tcPr>
          <w:p w:rsidR="00103023" w:rsidRPr="00C44221" w:rsidRDefault="00103023" w:rsidP="00654706">
            <w:pPr>
              <w:pStyle w:val="ExhibitNumber"/>
            </w:pPr>
            <w:r w:rsidRPr="00C44221">
              <w:rPr>
                <w:rFonts w:cs="Arial"/>
              </w:rPr>
              <w:t xml:space="preserve">$1,861,954 </w:t>
            </w:r>
          </w:p>
        </w:tc>
      </w:tr>
      <w:tr w:rsidR="00103023" w:rsidRPr="00C44221" w:rsidTr="002A6A4C">
        <w:trPr>
          <w:cantSplit/>
          <w:trHeight w:val="288"/>
        </w:trPr>
        <w:tc>
          <w:tcPr>
            <w:tcW w:w="1701" w:type="pct"/>
            <w:vAlign w:val="center"/>
          </w:tcPr>
          <w:p w:rsidR="00103023" w:rsidRPr="00C44221" w:rsidRDefault="00103023" w:rsidP="00654706">
            <w:pPr>
              <w:pStyle w:val="ExhibitText"/>
            </w:pPr>
            <w:r w:rsidRPr="00C44221">
              <w:t>Provide training to staff and systems</w:t>
            </w:r>
          </w:p>
        </w:tc>
        <w:tc>
          <w:tcPr>
            <w:tcW w:w="1128" w:type="pct"/>
            <w:vAlign w:val="center"/>
          </w:tcPr>
          <w:p w:rsidR="00103023" w:rsidRPr="00C44221" w:rsidRDefault="00103023" w:rsidP="00654706">
            <w:pPr>
              <w:pStyle w:val="ExhibitText"/>
              <w:jc w:val="right"/>
              <w:rPr>
                <w:vertAlign w:val="superscript"/>
              </w:rPr>
            </w:pPr>
            <w:r w:rsidRPr="00C44221">
              <w:t>53</w:t>
            </w:r>
            <w:r w:rsidRPr="00C44221">
              <w:rPr>
                <w:vertAlign w:val="superscript"/>
              </w:rPr>
              <w:t>1</w:t>
            </w:r>
          </w:p>
        </w:tc>
        <w:tc>
          <w:tcPr>
            <w:tcW w:w="1128" w:type="pct"/>
            <w:vAlign w:val="center"/>
          </w:tcPr>
          <w:p w:rsidR="00103023" w:rsidRPr="00C44221" w:rsidRDefault="00103023" w:rsidP="00654706">
            <w:pPr>
              <w:pStyle w:val="ExhibitNumber"/>
            </w:pPr>
            <w:r w:rsidRPr="00C44221">
              <w:t>4,417</w:t>
            </w:r>
          </w:p>
        </w:tc>
        <w:tc>
          <w:tcPr>
            <w:tcW w:w="1043" w:type="pct"/>
            <w:vAlign w:val="center"/>
          </w:tcPr>
          <w:p w:rsidR="00103023" w:rsidRPr="00C44221" w:rsidRDefault="00103023" w:rsidP="00654706">
            <w:pPr>
              <w:pStyle w:val="ExhibitNumber"/>
            </w:pPr>
            <w:r w:rsidRPr="00C44221">
              <w:rPr>
                <w:rFonts w:cs="Arial"/>
              </w:rPr>
              <w:t xml:space="preserve">$223,793 </w:t>
            </w:r>
          </w:p>
        </w:tc>
      </w:tr>
      <w:tr w:rsidR="00103023" w:rsidRPr="00C44221" w:rsidTr="002A6A4C">
        <w:trPr>
          <w:cantSplit/>
          <w:trHeight w:val="288"/>
        </w:trPr>
        <w:tc>
          <w:tcPr>
            <w:tcW w:w="1701" w:type="pct"/>
            <w:vAlign w:val="center"/>
          </w:tcPr>
          <w:p w:rsidR="00103023" w:rsidRPr="00C44221" w:rsidRDefault="00103023" w:rsidP="00654706">
            <w:pPr>
              <w:pStyle w:val="ExhibitText"/>
              <w:rPr>
                <w:b/>
              </w:rPr>
            </w:pPr>
            <w:r w:rsidRPr="00C44221">
              <w:rPr>
                <w:b/>
              </w:rPr>
              <w:t>TOTAL</w:t>
            </w:r>
          </w:p>
        </w:tc>
        <w:tc>
          <w:tcPr>
            <w:tcW w:w="1128" w:type="pct"/>
            <w:vAlign w:val="center"/>
          </w:tcPr>
          <w:p w:rsidR="00103023" w:rsidRPr="00C44221" w:rsidRDefault="00103023" w:rsidP="00654706">
            <w:pPr>
              <w:pStyle w:val="ExhibitText"/>
              <w:jc w:val="right"/>
              <w:rPr>
                <w:b/>
              </w:rPr>
            </w:pPr>
            <w:r w:rsidRPr="00C44221">
              <w:rPr>
                <w:b/>
              </w:rPr>
              <w:t>55</w:t>
            </w:r>
          </w:p>
        </w:tc>
        <w:tc>
          <w:tcPr>
            <w:tcW w:w="1128" w:type="pct"/>
            <w:vAlign w:val="center"/>
          </w:tcPr>
          <w:p w:rsidR="00103023" w:rsidRPr="00C44221" w:rsidRDefault="00103023" w:rsidP="00654706">
            <w:pPr>
              <w:pStyle w:val="ExhibitNumber"/>
              <w:rPr>
                <w:b/>
              </w:rPr>
            </w:pPr>
            <w:r w:rsidRPr="00C44221">
              <w:rPr>
                <w:b/>
              </w:rPr>
              <w:t>48,539</w:t>
            </w:r>
          </w:p>
        </w:tc>
        <w:tc>
          <w:tcPr>
            <w:tcW w:w="1043" w:type="pct"/>
            <w:vAlign w:val="center"/>
          </w:tcPr>
          <w:p w:rsidR="00103023" w:rsidRPr="00C44221" w:rsidRDefault="00103023" w:rsidP="00654706">
            <w:pPr>
              <w:pStyle w:val="ExhibitNumber"/>
              <w:rPr>
                <w:b/>
              </w:rPr>
            </w:pPr>
            <w:r w:rsidRPr="00C44221">
              <w:rPr>
                <w:rFonts w:cs="Arial"/>
                <w:b/>
                <w:bCs w:val="0"/>
              </w:rPr>
              <w:t xml:space="preserve">$2,459,488 </w:t>
            </w:r>
          </w:p>
        </w:tc>
      </w:tr>
    </w:tbl>
    <w:p w:rsidR="00654706" w:rsidRPr="00C44221" w:rsidRDefault="00DC6DC1" w:rsidP="00DC6DC1">
      <w:pPr>
        <w:ind w:firstLine="0"/>
        <w:rPr>
          <w:sz w:val="20"/>
          <w:szCs w:val="20"/>
        </w:rPr>
      </w:pPr>
      <w:r w:rsidRPr="00C44221">
        <w:rPr>
          <w:sz w:val="20"/>
          <w:szCs w:val="20"/>
        </w:rPr>
        <w:t>1. The EPA assumes that two states already regulating perchlorate in drinking water (California and Massachusetts) will incur burden of zero hours for these activities.</w:t>
      </w:r>
    </w:p>
    <w:p w:rsidR="00DF6529" w:rsidRPr="00C44221" w:rsidRDefault="00DF6529" w:rsidP="00230BD2">
      <w:pPr>
        <w:pStyle w:val="Heading2"/>
      </w:pPr>
      <w:bookmarkStart w:id="37" w:name="_Toc160872081"/>
      <w:r w:rsidRPr="00C44221">
        <w:t>Reasons for Change in Burden</w:t>
      </w:r>
    </w:p>
    <w:p w:rsidR="00DF6529" w:rsidRPr="00C44221" w:rsidRDefault="00DF6529" w:rsidP="00DF6529">
      <w:r w:rsidRPr="00C44221">
        <w:t xml:space="preserve">This is a new information collection activity, and therefore there is no prior rule or related burden </w:t>
      </w:r>
      <w:r w:rsidR="00581BE1" w:rsidRPr="00C44221">
        <w:t xml:space="preserve">that </w:t>
      </w:r>
      <w:r w:rsidRPr="00C44221">
        <w:t>is modified by the results of this ICR.</w:t>
      </w:r>
    </w:p>
    <w:p w:rsidR="000B17BF" w:rsidRPr="00C44221" w:rsidRDefault="000B17BF" w:rsidP="00230BD2">
      <w:pPr>
        <w:pStyle w:val="Heading2"/>
      </w:pPr>
      <w:r w:rsidRPr="00C44221">
        <w:t>Burden Statement</w:t>
      </w:r>
      <w:bookmarkEnd w:id="37"/>
    </w:p>
    <w:p w:rsidR="00230BD2" w:rsidRPr="00C44221" w:rsidRDefault="00604B16" w:rsidP="00230BD2">
      <w:r w:rsidRPr="00C44221">
        <w:t xml:space="preserve">The public reporting burden for collections included in this ICR is detailed in </w:t>
      </w:r>
      <w:r w:rsidR="00654706" w:rsidRPr="00C44221">
        <w:fldChar w:fldCharType="begin"/>
      </w:r>
      <w:r w:rsidR="00654706" w:rsidRPr="00C44221">
        <w:instrText xml:space="preserve"> REF _Ref532644282 \h </w:instrText>
      </w:r>
      <w:r w:rsidR="00C44221">
        <w:instrText xml:space="preserve"> \* MERGEFORMAT </w:instrText>
      </w:r>
      <w:r w:rsidR="00654706" w:rsidRPr="00C44221">
        <w:fldChar w:fldCharType="separate"/>
      </w:r>
      <w:r w:rsidR="00654706" w:rsidRPr="00C44221">
        <w:t xml:space="preserve">Table </w:t>
      </w:r>
      <w:r w:rsidR="00654706" w:rsidRPr="00C44221">
        <w:rPr>
          <w:noProof/>
        </w:rPr>
        <w:t>4</w:t>
      </w:r>
      <w:r w:rsidR="00654706" w:rsidRPr="00C44221">
        <w:fldChar w:fldCharType="end"/>
      </w:r>
      <w:r w:rsidR="00654706" w:rsidRPr="00C44221">
        <w:t xml:space="preserve"> </w:t>
      </w:r>
      <w:r w:rsidRPr="00C44221">
        <w:t xml:space="preserve">above. The annual respondent burden is estimated to average approximately </w:t>
      </w:r>
      <w:r w:rsidR="0017180D" w:rsidRPr="00C44221">
        <w:t>48,539</w:t>
      </w:r>
      <w:r w:rsidRPr="00C44221">
        <w:t xml:space="preserve"> hours, </w:t>
      </w:r>
      <w:r w:rsidR="0017180D" w:rsidRPr="00C44221">
        <w:t xml:space="preserve">all </w:t>
      </w:r>
      <w:r w:rsidRPr="00C44221">
        <w:t xml:space="preserve">of which are attributable to primacy agencies. These estimates include </w:t>
      </w:r>
      <w:r w:rsidR="0017180D" w:rsidRPr="00C44221">
        <w:t>reading and understanding the rule, modifying existing state regulations to incorporate the rule requirements, and providing training for agency staff and PWSs</w:t>
      </w:r>
      <w:r w:rsidRPr="00C44221">
        <w:t>.</w:t>
      </w:r>
      <w:r w:rsidR="0017180D" w:rsidRPr="00C44221">
        <w:t xml:space="preserve"> Monitoring requirements for PWSs fall outside of the scope of this ICR, and will be incorporated into </w:t>
      </w:r>
      <w:r w:rsidR="00D60787" w:rsidRPr="00C44221">
        <w:t>a future ICR</w:t>
      </w:r>
      <w:r w:rsidR="0017180D" w:rsidRPr="00C44221">
        <w:t>.</w:t>
      </w:r>
    </w:p>
    <w:p w:rsidR="00604B16" w:rsidRPr="00C44221" w:rsidRDefault="00604B16" w:rsidP="00604B16">
      <w:r w:rsidRPr="00C44221">
        <w:t xml:space="preserve">Burden means the total time, effort, or financial resources expended by people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 The OMB control numbers for </w:t>
      </w:r>
      <w:r w:rsidR="003732C1" w:rsidRPr="00C44221">
        <w:t xml:space="preserve">the </w:t>
      </w:r>
      <w:r w:rsidRPr="00C44221">
        <w:t>EPA’s regulations are listed in 40 CFR Part 9 and 48 CFR Chapter 15.</w:t>
      </w:r>
    </w:p>
    <w:p w:rsidR="00604B16" w:rsidRPr="00C44221" w:rsidRDefault="00604B16" w:rsidP="00604B16">
      <w:r w:rsidRPr="00C44221">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EPA-HQ-OW-</w:t>
      </w:r>
      <w:r w:rsidR="007C4BB7" w:rsidRPr="00C44221">
        <w:t>2018-0780</w:t>
      </w:r>
      <w:r w:rsidRPr="00C44221">
        <w:t xml:space="preserve">, which is available for online viewing at www.regulations.gov, or in person viewing at the Water Docket in the EPA Docket Center (EPA/DC), WJC West, Room 3334, 1301 Constitution Ave., NW, Washington, DC. The EPA Docket Center Public Reading Room is open from 8:30 a.m. to 4:30 p.m., Monday through Friday, excluding legal holidays. The telephone number for the Reading Room is (202) 566-1744, and the telephone number for the Water Docket is (202) 566-2426. An electronic version of the public docket is available at </w:t>
      </w:r>
      <w:hyperlink r:id="rId9" w:history="1">
        <w:r w:rsidRPr="00C44221">
          <w:rPr>
            <w:rStyle w:val="Hyperlink"/>
          </w:rPr>
          <w:t>www.regulations.gov</w:t>
        </w:r>
      </w:hyperlink>
      <w:r w:rsidRPr="00C44221">
        <w:t>. This site can be used to submit or view public comments, to access the index listing of the contents of the public docket, and to access those documents in the public docket that are available electronically. When in the system, select “search,” then key in the Docket ID Number identified above. Comments can also be sent to the Office of Information and Regulatory Affairs, Office of Management and Budget, 725 17th Street, NW, Washington, DC 20503, Attention: Desk Officer for EPA. Please include the EPA Docket ID Number (EPA-HQ-OW-</w:t>
      </w:r>
      <w:r w:rsidR="00581BE1" w:rsidRPr="00C44221">
        <w:t>2018-0780</w:t>
      </w:r>
      <w:r w:rsidRPr="00C44221">
        <w:t xml:space="preserve">) and the OMB Control Number </w:t>
      </w:r>
      <w:r w:rsidR="0017180D" w:rsidRPr="00C44221">
        <w:t>2040</w:t>
      </w:r>
      <w:r w:rsidRPr="00C44221">
        <w:t>-</w:t>
      </w:r>
      <w:r w:rsidR="00364F1A" w:rsidRPr="00C44221">
        <w:t>NEW</w:t>
      </w:r>
      <w:r w:rsidRPr="00C44221">
        <w:t xml:space="preserve"> in any correspondence.</w:t>
      </w:r>
    </w:p>
    <w:p w:rsidR="00CD43E2" w:rsidRPr="00C44221" w:rsidRDefault="00CD43E2" w:rsidP="00D3006F">
      <w:pPr>
        <w:pStyle w:val="Heading1"/>
      </w:pPr>
      <w:r w:rsidRPr="00C44221">
        <w:t>REFERENCES</w:t>
      </w:r>
    </w:p>
    <w:p w:rsidR="00697865" w:rsidRPr="00C44221" w:rsidRDefault="00CD43E2" w:rsidP="00697865">
      <w:pPr>
        <w:pStyle w:val="Bibliography"/>
      </w:pPr>
      <w:r w:rsidRPr="00C44221">
        <w:fldChar w:fldCharType="begin"/>
      </w:r>
      <w:r w:rsidR="00697865" w:rsidRPr="00C44221">
        <w:instrText xml:space="preserve"> ADDIN ZOTERO_BIBL {"uncited":[],"omitted":[],"custom":[]} CSL_BIBLIOGRAPHY </w:instrText>
      </w:r>
      <w:r w:rsidRPr="00C44221">
        <w:fldChar w:fldCharType="separate"/>
      </w:r>
      <w:r w:rsidR="00697865" w:rsidRPr="00C44221">
        <w:t>Bureau of Labor Statistics (BLS). (2018, March 30). Occupational Employment Statistics. Retrieved from https://www.bls.gov/oes/2017/may/oes192041.htm</w:t>
      </w:r>
    </w:p>
    <w:p w:rsidR="00697865" w:rsidRPr="00C44221" w:rsidRDefault="00697865" w:rsidP="00697865">
      <w:pPr>
        <w:pStyle w:val="Bibliography"/>
      </w:pPr>
      <w:r w:rsidRPr="00C44221">
        <w:t xml:space="preserve">USEPA. (2000). </w:t>
      </w:r>
      <w:r w:rsidRPr="00C44221">
        <w:rPr>
          <w:i/>
          <w:iCs/>
        </w:rPr>
        <w:t>Arsenic in Drinking Water Rule Economic Analysis</w:t>
      </w:r>
      <w:r w:rsidRPr="00C44221">
        <w:t xml:space="preserve"> (EPA 815-R-00-026).</w:t>
      </w:r>
    </w:p>
    <w:p w:rsidR="00697865" w:rsidRPr="00C44221" w:rsidRDefault="00697865" w:rsidP="00697865">
      <w:pPr>
        <w:pStyle w:val="Bibliography"/>
      </w:pPr>
      <w:r w:rsidRPr="00C44221">
        <w:t>USEPA. (2008, June). Draft Information Collection Request for the Disinfectants/Disinfection Byproducts, Chemical, and Radionuclides Rule.</w:t>
      </w:r>
    </w:p>
    <w:p w:rsidR="00697865" w:rsidRPr="00C44221" w:rsidRDefault="00697865" w:rsidP="00697865">
      <w:pPr>
        <w:pStyle w:val="Bibliography"/>
      </w:pPr>
      <w:r w:rsidRPr="00C44221">
        <w:t>USEPA. (2018). Health Risk Reduction and Cost Analysis of the Proposed Perchlorate National Primary Drinking Water Regulation.</w:t>
      </w:r>
    </w:p>
    <w:p w:rsidR="00CD43E2" w:rsidRPr="00230BD2" w:rsidRDefault="00CD43E2" w:rsidP="00D3006F">
      <w:pPr>
        <w:ind w:firstLine="0"/>
      </w:pPr>
      <w:r w:rsidRPr="00C44221">
        <w:fldChar w:fldCharType="end"/>
      </w:r>
    </w:p>
    <w:sectPr w:rsidR="00CD43E2" w:rsidRPr="00230BD2" w:rsidSect="00C96943">
      <w:footerReference w:type="default" r:id="rId10"/>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502" w:rsidRDefault="005E3502">
      <w:r>
        <w:separator/>
      </w:r>
    </w:p>
  </w:endnote>
  <w:endnote w:type="continuationSeparator" w:id="0">
    <w:p w:rsidR="005E3502" w:rsidRDefault="005E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675629"/>
      <w:docPartObj>
        <w:docPartGallery w:val="Page Numbers (Bottom of Page)"/>
        <w:docPartUnique/>
      </w:docPartObj>
    </w:sdtPr>
    <w:sdtEndPr>
      <w:rPr>
        <w:noProof/>
      </w:rPr>
    </w:sdtEndPr>
    <w:sdtContent>
      <w:p w:rsidR="00B60631" w:rsidRDefault="00B60631">
        <w:pPr>
          <w:pStyle w:val="Footer"/>
          <w:jc w:val="center"/>
        </w:pPr>
        <w:r>
          <w:fldChar w:fldCharType="begin"/>
        </w:r>
        <w:r>
          <w:instrText xml:space="preserve"> PAGE   \* MERGEFORMAT </w:instrText>
        </w:r>
        <w:r>
          <w:fldChar w:fldCharType="separate"/>
        </w:r>
        <w:r w:rsidR="00875C23">
          <w:rPr>
            <w:noProof/>
          </w:rPr>
          <w:t>2</w:t>
        </w:r>
        <w:r>
          <w:rPr>
            <w:noProof/>
          </w:rPr>
          <w:fldChar w:fldCharType="end"/>
        </w:r>
      </w:p>
    </w:sdtContent>
  </w:sdt>
  <w:p w:rsidR="00124529" w:rsidRDefault="00124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502" w:rsidRDefault="005E3502">
      <w:r>
        <w:separator/>
      </w:r>
    </w:p>
  </w:footnote>
  <w:footnote w:type="continuationSeparator" w:id="0">
    <w:p w:rsidR="005E3502" w:rsidRDefault="005E3502">
      <w:r>
        <w:continuationSeparator/>
      </w:r>
    </w:p>
  </w:footnote>
  <w:footnote w:id="1">
    <w:p w:rsidR="008515A3" w:rsidRDefault="008515A3">
      <w:pPr>
        <w:pStyle w:val="FootnoteText"/>
      </w:pPr>
      <w:r>
        <w:rPr>
          <w:rStyle w:val="FootnoteReference"/>
        </w:rPr>
        <w:footnoteRef/>
      </w:r>
      <w:r>
        <w:t xml:space="preserve"> Some small PWSs </w:t>
      </w:r>
      <w:r w:rsidR="00370A9E">
        <w:t xml:space="preserve">– defined as PWS serving ≤10,000 people – </w:t>
      </w:r>
      <w:r>
        <w:t>may incur reporting costs after the initial three year period, which EPA estimated will account for less than 0.1% of average revenues. For more information, see USEPA</w:t>
      </w:r>
      <w:r w:rsidR="000A7FA0">
        <w:t xml:space="preserve"> </w:t>
      </w:r>
      <w:r w:rsidR="000A7FA0">
        <w:fldChar w:fldCharType="begin"/>
      </w:r>
      <w:r w:rsidR="00697865">
        <w:instrText xml:space="preserve"> ADDIN ZOTERO_ITEM CSL_CITATION {"citationID":"UywkoB6T","properties":{"formattedCitation":"(2018)","plainCitation":"(2018)","noteIndex":1},"citationItems":[{"id":1217,"uris":["http://zotero.org/groups/945096/items/P9YD2GRH"],"uri":["http://zotero.org/groups/945096/items/P9YD2GRH"],"itemData":{"id":1217,"type":"article","title":"Health Risk Reduction and Cost Analysis of the Proposed Perchlorate National Primary Drinking Water Regulation","author":[{"family":"USEPA","given":""}],"issued":{"date-parts":[["2018"]]}},"suppress-author":true}],"schema":"https://github.com/citation-style-language/schema/raw/master/csl-citation.json"} </w:instrText>
      </w:r>
      <w:r w:rsidR="000A7FA0">
        <w:fldChar w:fldCharType="separate"/>
      </w:r>
      <w:r w:rsidR="000A7FA0" w:rsidRPr="000A7FA0">
        <w:t>(2018)</w:t>
      </w:r>
      <w:r w:rsidR="000A7FA0">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ED9"/>
    <w:multiLevelType w:val="hybridMultilevel"/>
    <w:tmpl w:val="2BEA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163653"/>
    <w:multiLevelType w:val="hybridMultilevel"/>
    <w:tmpl w:val="9D1A7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EA0BF0"/>
    <w:multiLevelType w:val="hybridMultilevel"/>
    <w:tmpl w:val="52D8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BC5487"/>
    <w:multiLevelType w:val="hybridMultilevel"/>
    <w:tmpl w:val="2D905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A7A29F1"/>
    <w:multiLevelType w:val="hybridMultilevel"/>
    <w:tmpl w:val="77126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62C4F2F"/>
    <w:multiLevelType w:val="multilevel"/>
    <w:tmpl w:val="B8D4131A"/>
    <w:lvl w:ilvl="0">
      <w:start w:val="1"/>
      <w:numFmt w:val="decimal"/>
      <w:pStyle w:val="Heading1"/>
      <w:lvlText w:val="%1"/>
      <w:lvlJc w:val="left"/>
      <w:pPr>
        <w:ind w:left="720" w:hanging="720"/>
      </w:pPr>
      <w:rPr>
        <w:rFonts w:ascii="Times New Roman" w:hAnsi="Times New Roman" w:hint="default"/>
        <w:b/>
        <w:i w:val="0"/>
        <w:sz w:val="28"/>
      </w:rPr>
    </w:lvl>
    <w:lvl w:ilvl="1">
      <w:start w:val="1"/>
      <w:numFmt w:val="lowerLetter"/>
      <w:pStyle w:val="Heading2"/>
      <w:lvlText w:val="%1(%2)"/>
      <w:lvlJc w:val="left"/>
      <w:pPr>
        <w:ind w:left="720" w:hanging="720"/>
      </w:pPr>
      <w:rPr>
        <w:rFonts w:ascii="Times New Roman" w:hAnsi="Times New Roman" w:hint="default"/>
        <w:b/>
        <w:i w:val="0"/>
        <w:sz w:val="24"/>
      </w:rPr>
    </w:lvl>
    <w:lvl w:ilvl="2">
      <w:start w:val="1"/>
      <w:numFmt w:val="lowerRoman"/>
      <w:pStyle w:val="Heading3"/>
      <w:lvlText w:val="%1(%2)(%3)"/>
      <w:lvlJc w:val="left"/>
      <w:pPr>
        <w:ind w:left="720" w:hanging="72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5"/>
  </w:num>
  <w:num w:numId="4">
    <w:abstractNumId w:val="2"/>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6A"/>
    <w:rsid w:val="00000207"/>
    <w:rsid w:val="00000BA7"/>
    <w:rsid w:val="00002255"/>
    <w:rsid w:val="00003A3A"/>
    <w:rsid w:val="00004D18"/>
    <w:rsid w:val="00006B80"/>
    <w:rsid w:val="000107F1"/>
    <w:rsid w:val="00010FE0"/>
    <w:rsid w:val="00011BC8"/>
    <w:rsid w:val="00011E97"/>
    <w:rsid w:val="00011FB1"/>
    <w:rsid w:val="0001242A"/>
    <w:rsid w:val="000136DC"/>
    <w:rsid w:val="00013A61"/>
    <w:rsid w:val="000148E6"/>
    <w:rsid w:val="00015001"/>
    <w:rsid w:val="000224CF"/>
    <w:rsid w:val="0003077B"/>
    <w:rsid w:val="00034B35"/>
    <w:rsid w:val="00040453"/>
    <w:rsid w:val="00041430"/>
    <w:rsid w:val="00044B2B"/>
    <w:rsid w:val="0004562C"/>
    <w:rsid w:val="00045AAA"/>
    <w:rsid w:val="00054267"/>
    <w:rsid w:val="00067189"/>
    <w:rsid w:val="0007094A"/>
    <w:rsid w:val="00071A2D"/>
    <w:rsid w:val="000755DB"/>
    <w:rsid w:val="000756F1"/>
    <w:rsid w:val="00075704"/>
    <w:rsid w:val="00077F71"/>
    <w:rsid w:val="00081277"/>
    <w:rsid w:val="00082BC3"/>
    <w:rsid w:val="0008309A"/>
    <w:rsid w:val="0008444B"/>
    <w:rsid w:val="0009139C"/>
    <w:rsid w:val="00091976"/>
    <w:rsid w:val="000929DC"/>
    <w:rsid w:val="00093A7F"/>
    <w:rsid w:val="000944FC"/>
    <w:rsid w:val="000945AD"/>
    <w:rsid w:val="00094F63"/>
    <w:rsid w:val="00096630"/>
    <w:rsid w:val="000976EE"/>
    <w:rsid w:val="000A010F"/>
    <w:rsid w:val="000A432B"/>
    <w:rsid w:val="000A573A"/>
    <w:rsid w:val="000A72E4"/>
    <w:rsid w:val="000A73A1"/>
    <w:rsid w:val="000A7CBB"/>
    <w:rsid w:val="000A7FA0"/>
    <w:rsid w:val="000B030B"/>
    <w:rsid w:val="000B1718"/>
    <w:rsid w:val="000B17BF"/>
    <w:rsid w:val="000B2207"/>
    <w:rsid w:val="000B289E"/>
    <w:rsid w:val="000C033D"/>
    <w:rsid w:val="000C03B1"/>
    <w:rsid w:val="000C29D2"/>
    <w:rsid w:val="000C768B"/>
    <w:rsid w:val="000D4BE4"/>
    <w:rsid w:val="000D5E7F"/>
    <w:rsid w:val="000D6C1C"/>
    <w:rsid w:val="000D6DD9"/>
    <w:rsid w:val="000D7C3F"/>
    <w:rsid w:val="000E33C4"/>
    <w:rsid w:val="000E4322"/>
    <w:rsid w:val="000E5A44"/>
    <w:rsid w:val="000E77EB"/>
    <w:rsid w:val="000F1680"/>
    <w:rsid w:val="000F36CC"/>
    <w:rsid w:val="000F5A45"/>
    <w:rsid w:val="000F6F69"/>
    <w:rsid w:val="0010300C"/>
    <w:rsid w:val="00103023"/>
    <w:rsid w:val="001045CA"/>
    <w:rsid w:val="00104760"/>
    <w:rsid w:val="001078C1"/>
    <w:rsid w:val="00107E00"/>
    <w:rsid w:val="0011097F"/>
    <w:rsid w:val="00110E7B"/>
    <w:rsid w:val="0011467F"/>
    <w:rsid w:val="00115464"/>
    <w:rsid w:val="00121939"/>
    <w:rsid w:val="00121BBE"/>
    <w:rsid w:val="00124529"/>
    <w:rsid w:val="00124A08"/>
    <w:rsid w:val="001252EF"/>
    <w:rsid w:val="00126883"/>
    <w:rsid w:val="0012794D"/>
    <w:rsid w:val="001308A7"/>
    <w:rsid w:val="00137430"/>
    <w:rsid w:val="00140141"/>
    <w:rsid w:val="001411E5"/>
    <w:rsid w:val="00142C42"/>
    <w:rsid w:val="00143204"/>
    <w:rsid w:val="00144C78"/>
    <w:rsid w:val="00152786"/>
    <w:rsid w:val="00160FCF"/>
    <w:rsid w:val="00164DD1"/>
    <w:rsid w:val="00165292"/>
    <w:rsid w:val="00165705"/>
    <w:rsid w:val="001658EC"/>
    <w:rsid w:val="0017170A"/>
    <w:rsid w:val="0017180D"/>
    <w:rsid w:val="001718A8"/>
    <w:rsid w:val="001727CD"/>
    <w:rsid w:val="0017390C"/>
    <w:rsid w:val="001764C8"/>
    <w:rsid w:val="0017650E"/>
    <w:rsid w:val="00181749"/>
    <w:rsid w:val="001818CA"/>
    <w:rsid w:val="001825E2"/>
    <w:rsid w:val="00183D3D"/>
    <w:rsid w:val="00185F7A"/>
    <w:rsid w:val="00186F4C"/>
    <w:rsid w:val="00190AB4"/>
    <w:rsid w:val="00194809"/>
    <w:rsid w:val="00194D32"/>
    <w:rsid w:val="001A2579"/>
    <w:rsid w:val="001A2A82"/>
    <w:rsid w:val="001A5CB8"/>
    <w:rsid w:val="001A7551"/>
    <w:rsid w:val="001B0711"/>
    <w:rsid w:val="001B1275"/>
    <w:rsid w:val="001B1812"/>
    <w:rsid w:val="001B244F"/>
    <w:rsid w:val="001B48BF"/>
    <w:rsid w:val="001B4C71"/>
    <w:rsid w:val="001B4E6E"/>
    <w:rsid w:val="001B7843"/>
    <w:rsid w:val="001C1AAF"/>
    <w:rsid w:val="001C399C"/>
    <w:rsid w:val="001D1514"/>
    <w:rsid w:val="001D1E9F"/>
    <w:rsid w:val="001D22E4"/>
    <w:rsid w:val="001D3E1F"/>
    <w:rsid w:val="001D53D3"/>
    <w:rsid w:val="001D6711"/>
    <w:rsid w:val="001D75CB"/>
    <w:rsid w:val="001E0D20"/>
    <w:rsid w:val="001E1452"/>
    <w:rsid w:val="001E26DF"/>
    <w:rsid w:val="001E32AD"/>
    <w:rsid w:val="001E630F"/>
    <w:rsid w:val="001E6E1D"/>
    <w:rsid w:val="001F1304"/>
    <w:rsid w:val="001F417C"/>
    <w:rsid w:val="001F61B2"/>
    <w:rsid w:val="001F7D01"/>
    <w:rsid w:val="002000F5"/>
    <w:rsid w:val="0020097A"/>
    <w:rsid w:val="0020272C"/>
    <w:rsid w:val="00204EAF"/>
    <w:rsid w:val="00207382"/>
    <w:rsid w:val="002073D2"/>
    <w:rsid w:val="0021205A"/>
    <w:rsid w:val="00217A33"/>
    <w:rsid w:val="00217A69"/>
    <w:rsid w:val="00224E07"/>
    <w:rsid w:val="00225534"/>
    <w:rsid w:val="002260EC"/>
    <w:rsid w:val="00230327"/>
    <w:rsid w:val="00230BD2"/>
    <w:rsid w:val="00231DAF"/>
    <w:rsid w:val="00231E77"/>
    <w:rsid w:val="00235667"/>
    <w:rsid w:val="00235BBE"/>
    <w:rsid w:val="00235BC2"/>
    <w:rsid w:val="00237E63"/>
    <w:rsid w:val="00240D14"/>
    <w:rsid w:val="00247D4F"/>
    <w:rsid w:val="00250620"/>
    <w:rsid w:val="00250F0F"/>
    <w:rsid w:val="002564C6"/>
    <w:rsid w:val="002567F3"/>
    <w:rsid w:val="002575F7"/>
    <w:rsid w:val="00261643"/>
    <w:rsid w:val="00262661"/>
    <w:rsid w:val="00263C03"/>
    <w:rsid w:val="00266F14"/>
    <w:rsid w:val="00266F7C"/>
    <w:rsid w:val="00270ACD"/>
    <w:rsid w:val="00272E2E"/>
    <w:rsid w:val="00274B90"/>
    <w:rsid w:val="00281FC5"/>
    <w:rsid w:val="00283D46"/>
    <w:rsid w:val="002856C4"/>
    <w:rsid w:val="00286D02"/>
    <w:rsid w:val="00287A56"/>
    <w:rsid w:val="00287EE9"/>
    <w:rsid w:val="00292CBC"/>
    <w:rsid w:val="002B1629"/>
    <w:rsid w:val="002B2570"/>
    <w:rsid w:val="002B40A7"/>
    <w:rsid w:val="002B746B"/>
    <w:rsid w:val="002B7D61"/>
    <w:rsid w:val="002C48C2"/>
    <w:rsid w:val="002D0A4E"/>
    <w:rsid w:val="002D0A93"/>
    <w:rsid w:val="002D3C6B"/>
    <w:rsid w:val="002D3DD1"/>
    <w:rsid w:val="002D4A38"/>
    <w:rsid w:val="002D5402"/>
    <w:rsid w:val="002D5D0E"/>
    <w:rsid w:val="002D5E7C"/>
    <w:rsid w:val="002D6A2E"/>
    <w:rsid w:val="002E2A73"/>
    <w:rsid w:val="002E2E68"/>
    <w:rsid w:val="002E38B0"/>
    <w:rsid w:val="002E42FD"/>
    <w:rsid w:val="002F1354"/>
    <w:rsid w:val="002F434F"/>
    <w:rsid w:val="002F491A"/>
    <w:rsid w:val="002F4B81"/>
    <w:rsid w:val="002F6CA8"/>
    <w:rsid w:val="003061FA"/>
    <w:rsid w:val="00307572"/>
    <w:rsid w:val="00307E04"/>
    <w:rsid w:val="00310DC8"/>
    <w:rsid w:val="00310DD3"/>
    <w:rsid w:val="00312C50"/>
    <w:rsid w:val="0031426D"/>
    <w:rsid w:val="003151F1"/>
    <w:rsid w:val="00316391"/>
    <w:rsid w:val="00317218"/>
    <w:rsid w:val="00317D6B"/>
    <w:rsid w:val="0032028A"/>
    <w:rsid w:val="003211D4"/>
    <w:rsid w:val="0033011C"/>
    <w:rsid w:val="00331375"/>
    <w:rsid w:val="0033340D"/>
    <w:rsid w:val="00335F5C"/>
    <w:rsid w:val="00336EA9"/>
    <w:rsid w:val="0034376C"/>
    <w:rsid w:val="00344BA9"/>
    <w:rsid w:val="00347581"/>
    <w:rsid w:val="003501BE"/>
    <w:rsid w:val="0035066D"/>
    <w:rsid w:val="00354760"/>
    <w:rsid w:val="0036317C"/>
    <w:rsid w:val="00364F1A"/>
    <w:rsid w:val="0036659B"/>
    <w:rsid w:val="00366866"/>
    <w:rsid w:val="00370A9E"/>
    <w:rsid w:val="00370DE1"/>
    <w:rsid w:val="00372F17"/>
    <w:rsid w:val="003732C1"/>
    <w:rsid w:val="00374756"/>
    <w:rsid w:val="0037485A"/>
    <w:rsid w:val="00381F71"/>
    <w:rsid w:val="0038636A"/>
    <w:rsid w:val="00387CC9"/>
    <w:rsid w:val="003906C2"/>
    <w:rsid w:val="003947BF"/>
    <w:rsid w:val="003965DA"/>
    <w:rsid w:val="00396943"/>
    <w:rsid w:val="00397826"/>
    <w:rsid w:val="003A1B1A"/>
    <w:rsid w:val="003A5675"/>
    <w:rsid w:val="003A5E32"/>
    <w:rsid w:val="003A7B36"/>
    <w:rsid w:val="003B005F"/>
    <w:rsid w:val="003B08B4"/>
    <w:rsid w:val="003B1F88"/>
    <w:rsid w:val="003B42BF"/>
    <w:rsid w:val="003B44C6"/>
    <w:rsid w:val="003B7211"/>
    <w:rsid w:val="003C11FA"/>
    <w:rsid w:val="003C1466"/>
    <w:rsid w:val="003C26F7"/>
    <w:rsid w:val="003C2EA0"/>
    <w:rsid w:val="003C3B59"/>
    <w:rsid w:val="003D2036"/>
    <w:rsid w:val="003D2CC4"/>
    <w:rsid w:val="003D2D0D"/>
    <w:rsid w:val="003D3562"/>
    <w:rsid w:val="003D3F95"/>
    <w:rsid w:val="003D5B90"/>
    <w:rsid w:val="003D6E85"/>
    <w:rsid w:val="003D707A"/>
    <w:rsid w:val="003E17DD"/>
    <w:rsid w:val="003E3724"/>
    <w:rsid w:val="003E5E1B"/>
    <w:rsid w:val="003E6A75"/>
    <w:rsid w:val="003F19BB"/>
    <w:rsid w:val="003F3402"/>
    <w:rsid w:val="003F70CB"/>
    <w:rsid w:val="003F7208"/>
    <w:rsid w:val="003F768C"/>
    <w:rsid w:val="0040026D"/>
    <w:rsid w:val="00404816"/>
    <w:rsid w:val="004056C5"/>
    <w:rsid w:val="00413F96"/>
    <w:rsid w:val="0041480F"/>
    <w:rsid w:val="00416C4A"/>
    <w:rsid w:val="00422B00"/>
    <w:rsid w:val="00423550"/>
    <w:rsid w:val="00426155"/>
    <w:rsid w:val="00426815"/>
    <w:rsid w:val="0042767A"/>
    <w:rsid w:val="00431B34"/>
    <w:rsid w:val="00431C7E"/>
    <w:rsid w:val="00432B6A"/>
    <w:rsid w:val="00433A38"/>
    <w:rsid w:val="0043628D"/>
    <w:rsid w:val="004373F6"/>
    <w:rsid w:val="0043786A"/>
    <w:rsid w:val="00437D7D"/>
    <w:rsid w:val="00441AFF"/>
    <w:rsid w:val="00441D5A"/>
    <w:rsid w:val="004455BF"/>
    <w:rsid w:val="004510E5"/>
    <w:rsid w:val="00451DCB"/>
    <w:rsid w:val="0045674A"/>
    <w:rsid w:val="0045786C"/>
    <w:rsid w:val="0046053F"/>
    <w:rsid w:val="004611E9"/>
    <w:rsid w:val="00462B53"/>
    <w:rsid w:val="00465C51"/>
    <w:rsid w:val="00467959"/>
    <w:rsid w:val="00473378"/>
    <w:rsid w:val="00475802"/>
    <w:rsid w:val="00475EF0"/>
    <w:rsid w:val="0047658E"/>
    <w:rsid w:val="00476B09"/>
    <w:rsid w:val="00477BEE"/>
    <w:rsid w:val="0048008A"/>
    <w:rsid w:val="00481139"/>
    <w:rsid w:val="00484C51"/>
    <w:rsid w:val="00485123"/>
    <w:rsid w:val="00487B8D"/>
    <w:rsid w:val="00491D25"/>
    <w:rsid w:val="0049299F"/>
    <w:rsid w:val="00495770"/>
    <w:rsid w:val="0049615B"/>
    <w:rsid w:val="0049714E"/>
    <w:rsid w:val="004A31A0"/>
    <w:rsid w:val="004A3FCE"/>
    <w:rsid w:val="004B6E18"/>
    <w:rsid w:val="004B6F37"/>
    <w:rsid w:val="004C06D3"/>
    <w:rsid w:val="004C0AA2"/>
    <w:rsid w:val="004C0B22"/>
    <w:rsid w:val="004C1310"/>
    <w:rsid w:val="004C1987"/>
    <w:rsid w:val="004C383C"/>
    <w:rsid w:val="004C6BFE"/>
    <w:rsid w:val="004D1CF9"/>
    <w:rsid w:val="004D1EFF"/>
    <w:rsid w:val="004D3E3B"/>
    <w:rsid w:val="004D65C7"/>
    <w:rsid w:val="004D6817"/>
    <w:rsid w:val="004D6D4D"/>
    <w:rsid w:val="004D78B6"/>
    <w:rsid w:val="004D7BCD"/>
    <w:rsid w:val="004E1109"/>
    <w:rsid w:val="004E2564"/>
    <w:rsid w:val="004E4F83"/>
    <w:rsid w:val="004E616F"/>
    <w:rsid w:val="004F0217"/>
    <w:rsid w:val="004F1132"/>
    <w:rsid w:val="004F1234"/>
    <w:rsid w:val="004F1973"/>
    <w:rsid w:val="004F4482"/>
    <w:rsid w:val="00502CD2"/>
    <w:rsid w:val="00502D45"/>
    <w:rsid w:val="0050660C"/>
    <w:rsid w:val="00506D6E"/>
    <w:rsid w:val="00507E41"/>
    <w:rsid w:val="005104C1"/>
    <w:rsid w:val="005119FD"/>
    <w:rsid w:val="00511C3F"/>
    <w:rsid w:val="00512380"/>
    <w:rsid w:val="00514A2F"/>
    <w:rsid w:val="00516174"/>
    <w:rsid w:val="005173B4"/>
    <w:rsid w:val="0052060D"/>
    <w:rsid w:val="00520980"/>
    <w:rsid w:val="00520D48"/>
    <w:rsid w:val="00521AC6"/>
    <w:rsid w:val="00522E92"/>
    <w:rsid w:val="00525B2C"/>
    <w:rsid w:val="005271D6"/>
    <w:rsid w:val="005310C3"/>
    <w:rsid w:val="00531AB3"/>
    <w:rsid w:val="00533261"/>
    <w:rsid w:val="00533936"/>
    <w:rsid w:val="00534C82"/>
    <w:rsid w:val="005350B0"/>
    <w:rsid w:val="00535463"/>
    <w:rsid w:val="005379BF"/>
    <w:rsid w:val="005437E1"/>
    <w:rsid w:val="00543947"/>
    <w:rsid w:val="00543E10"/>
    <w:rsid w:val="00544E15"/>
    <w:rsid w:val="00544E6D"/>
    <w:rsid w:val="00545879"/>
    <w:rsid w:val="00545D41"/>
    <w:rsid w:val="00546682"/>
    <w:rsid w:val="00546AFB"/>
    <w:rsid w:val="005504D4"/>
    <w:rsid w:val="00550FAA"/>
    <w:rsid w:val="005524D7"/>
    <w:rsid w:val="005528BD"/>
    <w:rsid w:val="0055316A"/>
    <w:rsid w:val="0055341E"/>
    <w:rsid w:val="0055392B"/>
    <w:rsid w:val="00553C3D"/>
    <w:rsid w:val="0055419B"/>
    <w:rsid w:val="00557ECC"/>
    <w:rsid w:val="00561313"/>
    <w:rsid w:val="00561727"/>
    <w:rsid w:val="00563BCC"/>
    <w:rsid w:val="005674E2"/>
    <w:rsid w:val="00573F58"/>
    <w:rsid w:val="00575D91"/>
    <w:rsid w:val="00577E4F"/>
    <w:rsid w:val="00577FD9"/>
    <w:rsid w:val="005802E4"/>
    <w:rsid w:val="00581BE1"/>
    <w:rsid w:val="0058537C"/>
    <w:rsid w:val="00586B7A"/>
    <w:rsid w:val="0058707F"/>
    <w:rsid w:val="0058750D"/>
    <w:rsid w:val="00587BED"/>
    <w:rsid w:val="00590BF7"/>
    <w:rsid w:val="00590E0D"/>
    <w:rsid w:val="005911AB"/>
    <w:rsid w:val="005925CA"/>
    <w:rsid w:val="00593103"/>
    <w:rsid w:val="00593C55"/>
    <w:rsid w:val="00593FCC"/>
    <w:rsid w:val="0059483B"/>
    <w:rsid w:val="00597992"/>
    <w:rsid w:val="005A21D6"/>
    <w:rsid w:val="005A34D8"/>
    <w:rsid w:val="005A53B5"/>
    <w:rsid w:val="005B004C"/>
    <w:rsid w:val="005B0250"/>
    <w:rsid w:val="005B267C"/>
    <w:rsid w:val="005B41EE"/>
    <w:rsid w:val="005B4B54"/>
    <w:rsid w:val="005C5080"/>
    <w:rsid w:val="005D235A"/>
    <w:rsid w:val="005D23CF"/>
    <w:rsid w:val="005D3484"/>
    <w:rsid w:val="005D3ED5"/>
    <w:rsid w:val="005D4B1F"/>
    <w:rsid w:val="005E15D8"/>
    <w:rsid w:val="005E2B75"/>
    <w:rsid w:val="005E3502"/>
    <w:rsid w:val="005E6322"/>
    <w:rsid w:val="005E6F19"/>
    <w:rsid w:val="005F0AF1"/>
    <w:rsid w:val="005F1E17"/>
    <w:rsid w:val="005F2818"/>
    <w:rsid w:val="005F596A"/>
    <w:rsid w:val="005F6CF6"/>
    <w:rsid w:val="005F787A"/>
    <w:rsid w:val="006000B4"/>
    <w:rsid w:val="006026F0"/>
    <w:rsid w:val="00602AE7"/>
    <w:rsid w:val="00604B16"/>
    <w:rsid w:val="0060534E"/>
    <w:rsid w:val="0060615D"/>
    <w:rsid w:val="006070B6"/>
    <w:rsid w:val="006076AB"/>
    <w:rsid w:val="00607F81"/>
    <w:rsid w:val="00610FF3"/>
    <w:rsid w:val="00613326"/>
    <w:rsid w:val="00621D95"/>
    <w:rsid w:val="006228AC"/>
    <w:rsid w:val="00623B6C"/>
    <w:rsid w:val="006245EB"/>
    <w:rsid w:val="00625D34"/>
    <w:rsid w:val="0063023D"/>
    <w:rsid w:val="00634FF6"/>
    <w:rsid w:val="0063562F"/>
    <w:rsid w:val="00641167"/>
    <w:rsid w:val="006522CD"/>
    <w:rsid w:val="006532A4"/>
    <w:rsid w:val="00654706"/>
    <w:rsid w:val="006562DB"/>
    <w:rsid w:val="00656E9A"/>
    <w:rsid w:val="006603A4"/>
    <w:rsid w:val="00662342"/>
    <w:rsid w:val="00663AB6"/>
    <w:rsid w:val="006668E1"/>
    <w:rsid w:val="006714B4"/>
    <w:rsid w:val="006726A1"/>
    <w:rsid w:val="00673867"/>
    <w:rsid w:val="00673B7C"/>
    <w:rsid w:val="0067626B"/>
    <w:rsid w:val="00677454"/>
    <w:rsid w:val="00677E39"/>
    <w:rsid w:val="00680537"/>
    <w:rsid w:val="00681E07"/>
    <w:rsid w:val="0068398A"/>
    <w:rsid w:val="00684603"/>
    <w:rsid w:val="006927DF"/>
    <w:rsid w:val="006929D3"/>
    <w:rsid w:val="00693463"/>
    <w:rsid w:val="0069644F"/>
    <w:rsid w:val="00697865"/>
    <w:rsid w:val="006A131F"/>
    <w:rsid w:val="006A2101"/>
    <w:rsid w:val="006A389E"/>
    <w:rsid w:val="006A4170"/>
    <w:rsid w:val="006A43C1"/>
    <w:rsid w:val="006A49B5"/>
    <w:rsid w:val="006A6171"/>
    <w:rsid w:val="006A7D84"/>
    <w:rsid w:val="006B156A"/>
    <w:rsid w:val="006B1DE4"/>
    <w:rsid w:val="006B358D"/>
    <w:rsid w:val="006B4C09"/>
    <w:rsid w:val="006B6576"/>
    <w:rsid w:val="006B73BD"/>
    <w:rsid w:val="006C3017"/>
    <w:rsid w:val="006C5EBD"/>
    <w:rsid w:val="006C7A23"/>
    <w:rsid w:val="006D2C95"/>
    <w:rsid w:val="006D321E"/>
    <w:rsid w:val="006D36B7"/>
    <w:rsid w:val="006D60DB"/>
    <w:rsid w:val="006E263B"/>
    <w:rsid w:val="006E3FEB"/>
    <w:rsid w:val="006F0CB9"/>
    <w:rsid w:val="006F2FBF"/>
    <w:rsid w:val="006F32D8"/>
    <w:rsid w:val="006F399A"/>
    <w:rsid w:val="006F415E"/>
    <w:rsid w:val="006F4C4F"/>
    <w:rsid w:val="006F5350"/>
    <w:rsid w:val="006F556E"/>
    <w:rsid w:val="00701B9F"/>
    <w:rsid w:val="00707357"/>
    <w:rsid w:val="0071108F"/>
    <w:rsid w:val="007119D5"/>
    <w:rsid w:val="007133A0"/>
    <w:rsid w:val="007166E6"/>
    <w:rsid w:val="00716D91"/>
    <w:rsid w:val="007205C1"/>
    <w:rsid w:val="00722576"/>
    <w:rsid w:val="00725DD2"/>
    <w:rsid w:val="0072622B"/>
    <w:rsid w:val="00726285"/>
    <w:rsid w:val="007269DC"/>
    <w:rsid w:val="007271AD"/>
    <w:rsid w:val="00727C9E"/>
    <w:rsid w:val="00727DA2"/>
    <w:rsid w:val="0073171D"/>
    <w:rsid w:val="00731CD1"/>
    <w:rsid w:val="007325E5"/>
    <w:rsid w:val="0073604F"/>
    <w:rsid w:val="007436CB"/>
    <w:rsid w:val="00744BBB"/>
    <w:rsid w:val="00744C79"/>
    <w:rsid w:val="007466DE"/>
    <w:rsid w:val="007507AA"/>
    <w:rsid w:val="00752F88"/>
    <w:rsid w:val="00753984"/>
    <w:rsid w:val="00757247"/>
    <w:rsid w:val="007578A4"/>
    <w:rsid w:val="0076171B"/>
    <w:rsid w:val="00761D18"/>
    <w:rsid w:val="007624F1"/>
    <w:rsid w:val="00762F1B"/>
    <w:rsid w:val="00763332"/>
    <w:rsid w:val="00764BFE"/>
    <w:rsid w:val="007660E0"/>
    <w:rsid w:val="0076630A"/>
    <w:rsid w:val="007701DC"/>
    <w:rsid w:val="00770A02"/>
    <w:rsid w:val="0077119D"/>
    <w:rsid w:val="007725B3"/>
    <w:rsid w:val="00773769"/>
    <w:rsid w:val="007751B6"/>
    <w:rsid w:val="007755FF"/>
    <w:rsid w:val="00775D02"/>
    <w:rsid w:val="007770A2"/>
    <w:rsid w:val="00781CFB"/>
    <w:rsid w:val="00783B5B"/>
    <w:rsid w:val="00785D34"/>
    <w:rsid w:val="00786106"/>
    <w:rsid w:val="0079004B"/>
    <w:rsid w:val="0079196D"/>
    <w:rsid w:val="00792249"/>
    <w:rsid w:val="00795EF5"/>
    <w:rsid w:val="007962FB"/>
    <w:rsid w:val="0079680A"/>
    <w:rsid w:val="007A0847"/>
    <w:rsid w:val="007A5A97"/>
    <w:rsid w:val="007A6595"/>
    <w:rsid w:val="007B18DA"/>
    <w:rsid w:val="007B2F44"/>
    <w:rsid w:val="007C20CE"/>
    <w:rsid w:val="007C2722"/>
    <w:rsid w:val="007C4BB7"/>
    <w:rsid w:val="007C5894"/>
    <w:rsid w:val="007C7D26"/>
    <w:rsid w:val="007D10BC"/>
    <w:rsid w:val="007D144C"/>
    <w:rsid w:val="007D173C"/>
    <w:rsid w:val="007D67D0"/>
    <w:rsid w:val="007D6C2E"/>
    <w:rsid w:val="007E013F"/>
    <w:rsid w:val="007E05D8"/>
    <w:rsid w:val="007E076F"/>
    <w:rsid w:val="007E3541"/>
    <w:rsid w:val="007E4C70"/>
    <w:rsid w:val="007F0253"/>
    <w:rsid w:val="007F23BE"/>
    <w:rsid w:val="007F35A0"/>
    <w:rsid w:val="007F4483"/>
    <w:rsid w:val="00803490"/>
    <w:rsid w:val="00803613"/>
    <w:rsid w:val="008044FF"/>
    <w:rsid w:val="00814B46"/>
    <w:rsid w:val="00817DCF"/>
    <w:rsid w:val="00820282"/>
    <w:rsid w:val="008205D6"/>
    <w:rsid w:val="00820665"/>
    <w:rsid w:val="00820E8C"/>
    <w:rsid w:val="00826EDE"/>
    <w:rsid w:val="00827AE6"/>
    <w:rsid w:val="008303DE"/>
    <w:rsid w:val="008318A5"/>
    <w:rsid w:val="0083341A"/>
    <w:rsid w:val="0083441D"/>
    <w:rsid w:val="00834745"/>
    <w:rsid w:val="00834CBE"/>
    <w:rsid w:val="0083779F"/>
    <w:rsid w:val="0084162F"/>
    <w:rsid w:val="00843683"/>
    <w:rsid w:val="008437D0"/>
    <w:rsid w:val="0084635C"/>
    <w:rsid w:val="00847538"/>
    <w:rsid w:val="00847F36"/>
    <w:rsid w:val="008509CD"/>
    <w:rsid w:val="008514F4"/>
    <w:rsid w:val="008515A3"/>
    <w:rsid w:val="0085280B"/>
    <w:rsid w:val="00861B0E"/>
    <w:rsid w:val="0086283F"/>
    <w:rsid w:val="00862A2B"/>
    <w:rsid w:val="0086651C"/>
    <w:rsid w:val="00867C38"/>
    <w:rsid w:val="008703C6"/>
    <w:rsid w:val="00871D24"/>
    <w:rsid w:val="00873779"/>
    <w:rsid w:val="00875C23"/>
    <w:rsid w:val="00876E47"/>
    <w:rsid w:val="00881DC2"/>
    <w:rsid w:val="00883D78"/>
    <w:rsid w:val="0088455D"/>
    <w:rsid w:val="00886353"/>
    <w:rsid w:val="00886EEE"/>
    <w:rsid w:val="008873CC"/>
    <w:rsid w:val="008877C2"/>
    <w:rsid w:val="00892745"/>
    <w:rsid w:val="00894528"/>
    <w:rsid w:val="00894D5C"/>
    <w:rsid w:val="00895121"/>
    <w:rsid w:val="008954B2"/>
    <w:rsid w:val="00897F4E"/>
    <w:rsid w:val="008A0845"/>
    <w:rsid w:val="008A0CC2"/>
    <w:rsid w:val="008A1E9A"/>
    <w:rsid w:val="008A20E2"/>
    <w:rsid w:val="008A410E"/>
    <w:rsid w:val="008A62A7"/>
    <w:rsid w:val="008B0C4C"/>
    <w:rsid w:val="008B18C1"/>
    <w:rsid w:val="008B222C"/>
    <w:rsid w:val="008B2D50"/>
    <w:rsid w:val="008B3B60"/>
    <w:rsid w:val="008B3D87"/>
    <w:rsid w:val="008B51F6"/>
    <w:rsid w:val="008C3210"/>
    <w:rsid w:val="008C4930"/>
    <w:rsid w:val="008C63B9"/>
    <w:rsid w:val="008C669C"/>
    <w:rsid w:val="008C7D17"/>
    <w:rsid w:val="008D4AA0"/>
    <w:rsid w:val="008E0425"/>
    <w:rsid w:val="008E7DC2"/>
    <w:rsid w:val="008F0759"/>
    <w:rsid w:val="008F5C37"/>
    <w:rsid w:val="008F74FB"/>
    <w:rsid w:val="008F78DE"/>
    <w:rsid w:val="00902B69"/>
    <w:rsid w:val="00904339"/>
    <w:rsid w:val="00911C1F"/>
    <w:rsid w:val="009150F9"/>
    <w:rsid w:val="00917068"/>
    <w:rsid w:val="00917BB2"/>
    <w:rsid w:val="00920E6F"/>
    <w:rsid w:val="009245CD"/>
    <w:rsid w:val="009251EE"/>
    <w:rsid w:val="00930582"/>
    <w:rsid w:val="00931863"/>
    <w:rsid w:val="00931CA8"/>
    <w:rsid w:val="00934231"/>
    <w:rsid w:val="009343C1"/>
    <w:rsid w:val="0093449D"/>
    <w:rsid w:val="00936C2C"/>
    <w:rsid w:val="00937284"/>
    <w:rsid w:val="00941E48"/>
    <w:rsid w:val="009441B6"/>
    <w:rsid w:val="00945FCB"/>
    <w:rsid w:val="00946964"/>
    <w:rsid w:val="009540AB"/>
    <w:rsid w:val="00957048"/>
    <w:rsid w:val="00960F6B"/>
    <w:rsid w:val="00961E46"/>
    <w:rsid w:val="00961F0E"/>
    <w:rsid w:val="00964DA6"/>
    <w:rsid w:val="00973D70"/>
    <w:rsid w:val="009755EF"/>
    <w:rsid w:val="00975908"/>
    <w:rsid w:val="009805AC"/>
    <w:rsid w:val="00980DF8"/>
    <w:rsid w:val="009820CB"/>
    <w:rsid w:val="00985FFA"/>
    <w:rsid w:val="00991461"/>
    <w:rsid w:val="00993AC1"/>
    <w:rsid w:val="009943B2"/>
    <w:rsid w:val="00994ED2"/>
    <w:rsid w:val="00996405"/>
    <w:rsid w:val="00997C3C"/>
    <w:rsid w:val="009A3403"/>
    <w:rsid w:val="009A4521"/>
    <w:rsid w:val="009A6EEF"/>
    <w:rsid w:val="009B047A"/>
    <w:rsid w:val="009B34DB"/>
    <w:rsid w:val="009B4472"/>
    <w:rsid w:val="009B4B46"/>
    <w:rsid w:val="009B5248"/>
    <w:rsid w:val="009C26EA"/>
    <w:rsid w:val="009C4C23"/>
    <w:rsid w:val="009C6DB8"/>
    <w:rsid w:val="009D007F"/>
    <w:rsid w:val="009D16BA"/>
    <w:rsid w:val="009D42EE"/>
    <w:rsid w:val="009D56DD"/>
    <w:rsid w:val="009D5F1C"/>
    <w:rsid w:val="009D750C"/>
    <w:rsid w:val="009E0D7A"/>
    <w:rsid w:val="009E3ED6"/>
    <w:rsid w:val="009E59E4"/>
    <w:rsid w:val="009E5A80"/>
    <w:rsid w:val="009E6027"/>
    <w:rsid w:val="009E6927"/>
    <w:rsid w:val="009F030A"/>
    <w:rsid w:val="009F0C3F"/>
    <w:rsid w:val="009F0E1A"/>
    <w:rsid w:val="009F4A52"/>
    <w:rsid w:val="00A00A2C"/>
    <w:rsid w:val="00A03313"/>
    <w:rsid w:val="00A0427B"/>
    <w:rsid w:val="00A04EF4"/>
    <w:rsid w:val="00A064A7"/>
    <w:rsid w:val="00A06847"/>
    <w:rsid w:val="00A06944"/>
    <w:rsid w:val="00A107C0"/>
    <w:rsid w:val="00A1555B"/>
    <w:rsid w:val="00A1572B"/>
    <w:rsid w:val="00A166EE"/>
    <w:rsid w:val="00A202AB"/>
    <w:rsid w:val="00A208A7"/>
    <w:rsid w:val="00A20E1A"/>
    <w:rsid w:val="00A424FD"/>
    <w:rsid w:val="00A42E72"/>
    <w:rsid w:val="00A46240"/>
    <w:rsid w:val="00A47249"/>
    <w:rsid w:val="00A47C7B"/>
    <w:rsid w:val="00A52B65"/>
    <w:rsid w:val="00A541FE"/>
    <w:rsid w:val="00A5497A"/>
    <w:rsid w:val="00A55FBA"/>
    <w:rsid w:val="00A560D8"/>
    <w:rsid w:val="00A566CB"/>
    <w:rsid w:val="00A57BA6"/>
    <w:rsid w:val="00A60AB2"/>
    <w:rsid w:val="00A616FA"/>
    <w:rsid w:val="00A64316"/>
    <w:rsid w:val="00A665BF"/>
    <w:rsid w:val="00A67350"/>
    <w:rsid w:val="00A70649"/>
    <w:rsid w:val="00A71C78"/>
    <w:rsid w:val="00A7301B"/>
    <w:rsid w:val="00A73B30"/>
    <w:rsid w:val="00A74116"/>
    <w:rsid w:val="00A7562C"/>
    <w:rsid w:val="00A75929"/>
    <w:rsid w:val="00A83711"/>
    <w:rsid w:val="00A83DC8"/>
    <w:rsid w:val="00A84311"/>
    <w:rsid w:val="00A87135"/>
    <w:rsid w:val="00A87956"/>
    <w:rsid w:val="00A9000F"/>
    <w:rsid w:val="00A938EA"/>
    <w:rsid w:val="00A94429"/>
    <w:rsid w:val="00A961EA"/>
    <w:rsid w:val="00AA082E"/>
    <w:rsid w:val="00AA1AF8"/>
    <w:rsid w:val="00AA2BD0"/>
    <w:rsid w:val="00AA3C3F"/>
    <w:rsid w:val="00AA5FDB"/>
    <w:rsid w:val="00AA6F00"/>
    <w:rsid w:val="00AB351A"/>
    <w:rsid w:val="00AB3E13"/>
    <w:rsid w:val="00AB766A"/>
    <w:rsid w:val="00AB781C"/>
    <w:rsid w:val="00AC1C1E"/>
    <w:rsid w:val="00AC39C5"/>
    <w:rsid w:val="00AC3C61"/>
    <w:rsid w:val="00AC556A"/>
    <w:rsid w:val="00AC7FF0"/>
    <w:rsid w:val="00AD0D21"/>
    <w:rsid w:val="00AD11A7"/>
    <w:rsid w:val="00AD31E8"/>
    <w:rsid w:val="00AD52D0"/>
    <w:rsid w:val="00AE0A27"/>
    <w:rsid w:val="00AE41F0"/>
    <w:rsid w:val="00AE5C8A"/>
    <w:rsid w:val="00AF0FD9"/>
    <w:rsid w:val="00AF5571"/>
    <w:rsid w:val="00B00BE0"/>
    <w:rsid w:val="00B0181B"/>
    <w:rsid w:val="00B037A1"/>
    <w:rsid w:val="00B06F7F"/>
    <w:rsid w:val="00B11081"/>
    <w:rsid w:val="00B128E9"/>
    <w:rsid w:val="00B12F11"/>
    <w:rsid w:val="00B13063"/>
    <w:rsid w:val="00B13ACF"/>
    <w:rsid w:val="00B140FD"/>
    <w:rsid w:val="00B174B7"/>
    <w:rsid w:val="00B231AA"/>
    <w:rsid w:val="00B23AE8"/>
    <w:rsid w:val="00B245BE"/>
    <w:rsid w:val="00B25DD2"/>
    <w:rsid w:val="00B273F9"/>
    <w:rsid w:val="00B276C0"/>
    <w:rsid w:val="00B3151D"/>
    <w:rsid w:val="00B37961"/>
    <w:rsid w:val="00B426D5"/>
    <w:rsid w:val="00B44D7F"/>
    <w:rsid w:val="00B45008"/>
    <w:rsid w:val="00B4730F"/>
    <w:rsid w:val="00B50ABE"/>
    <w:rsid w:val="00B50B44"/>
    <w:rsid w:val="00B519A7"/>
    <w:rsid w:val="00B537C1"/>
    <w:rsid w:val="00B54253"/>
    <w:rsid w:val="00B5640A"/>
    <w:rsid w:val="00B60631"/>
    <w:rsid w:val="00B62EBA"/>
    <w:rsid w:val="00B65303"/>
    <w:rsid w:val="00B65826"/>
    <w:rsid w:val="00B73673"/>
    <w:rsid w:val="00B73C14"/>
    <w:rsid w:val="00B742A4"/>
    <w:rsid w:val="00B74833"/>
    <w:rsid w:val="00B749EC"/>
    <w:rsid w:val="00B74D1F"/>
    <w:rsid w:val="00B75720"/>
    <w:rsid w:val="00B84642"/>
    <w:rsid w:val="00B86014"/>
    <w:rsid w:val="00B86D5F"/>
    <w:rsid w:val="00B876F9"/>
    <w:rsid w:val="00B87DC5"/>
    <w:rsid w:val="00B90CED"/>
    <w:rsid w:val="00B93D2D"/>
    <w:rsid w:val="00B954E8"/>
    <w:rsid w:val="00B96502"/>
    <w:rsid w:val="00B9656E"/>
    <w:rsid w:val="00B9766D"/>
    <w:rsid w:val="00BB02B4"/>
    <w:rsid w:val="00BB1F44"/>
    <w:rsid w:val="00BB2E1B"/>
    <w:rsid w:val="00BB55A4"/>
    <w:rsid w:val="00BB7E93"/>
    <w:rsid w:val="00BC14C8"/>
    <w:rsid w:val="00BC1AE7"/>
    <w:rsid w:val="00BC313A"/>
    <w:rsid w:val="00BC4716"/>
    <w:rsid w:val="00BC476E"/>
    <w:rsid w:val="00BC73BF"/>
    <w:rsid w:val="00BC78F3"/>
    <w:rsid w:val="00BC7A99"/>
    <w:rsid w:val="00BD0EC9"/>
    <w:rsid w:val="00BD117D"/>
    <w:rsid w:val="00BD383F"/>
    <w:rsid w:val="00BD47C9"/>
    <w:rsid w:val="00BD5023"/>
    <w:rsid w:val="00BD5DF5"/>
    <w:rsid w:val="00BD7532"/>
    <w:rsid w:val="00BD7626"/>
    <w:rsid w:val="00BD7DE8"/>
    <w:rsid w:val="00BD7F82"/>
    <w:rsid w:val="00BE50B1"/>
    <w:rsid w:val="00BE66F2"/>
    <w:rsid w:val="00BE682D"/>
    <w:rsid w:val="00BF278B"/>
    <w:rsid w:val="00BF3935"/>
    <w:rsid w:val="00BF3F7E"/>
    <w:rsid w:val="00BF4B2B"/>
    <w:rsid w:val="00BF706B"/>
    <w:rsid w:val="00BF7675"/>
    <w:rsid w:val="00C00257"/>
    <w:rsid w:val="00C01319"/>
    <w:rsid w:val="00C01CAF"/>
    <w:rsid w:val="00C03C45"/>
    <w:rsid w:val="00C1528F"/>
    <w:rsid w:val="00C16019"/>
    <w:rsid w:val="00C170C5"/>
    <w:rsid w:val="00C21F98"/>
    <w:rsid w:val="00C247AF"/>
    <w:rsid w:val="00C26E49"/>
    <w:rsid w:val="00C275CD"/>
    <w:rsid w:val="00C27BB6"/>
    <w:rsid w:val="00C3367A"/>
    <w:rsid w:val="00C34F91"/>
    <w:rsid w:val="00C40D8D"/>
    <w:rsid w:val="00C437B2"/>
    <w:rsid w:val="00C44221"/>
    <w:rsid w:val="00C4480A"/>
    <w:rsid w:val="00C45063"/>
    <w:rsid w:val="00C47595"/>
    <w:rsid w:val="00C52109"/>
    <w:rsid w:val="00C5314E"/>
    <w:rsid w:val="00C54BDB"/>
    <w:rsid w:val="00C55483"/>
    <w:rsid w:val="00C571F8"/>
    <w:rsid w:val="00C57255"/>
    <w:rsid w:val="00C61B81"/>
    <w:rsid w:val="00C70729"/>
    <w:rsid w:val="00C71098"/>
    <w:rsid w:val="00C72EC6"/>
    <w:rsid w:val="00C72F27"/>
    <w:rsid w:val="00C758CA"/>
    <w:rsid w:val="00C7680D"/>
    <w:rsid w:val="00C77EC2"/>
    <w:rsid w:val="00C90CF0"/>
    <w:rsid w:val="00C93A78"/>
    <w:rsid w:val="00C94C27"/>
    <w:rsid w:val="00C94E5B"/>
    <w:rsid w:val="00C96943"/>
    <w:rsid w:val="00C97531"/>
    <w:rsid w:val="00C97BD5"/>
    <w:rsid w:val="00CA01A0"/>
    <w:rsid w:val="00CA126F"/>
    <w:rsid w:val="00CA2C01"/>
    <w:rsid w:val="00CB410D"/>
    <w:rsid w:val="00CB57EF"/>
    <w:rsid w:val="00CC1A9E"/>
    <w:rsid w:val="00CC31CF"/>
    <w:rsid w:val="00CC5312"/>
    <w:rsid w:val="00CD43E2"/>
    <w:rsid w:val="00CD4AF9"/>
    <w:rsid w:val="00CE5FD6"/>
    <w:rsid w:val="00CE75B5"/>
    <w:rsid w:val="00CF027C"/>
    <w:rsid w:val="00CF0B16"/>
    <w:rsid w:val="00CF3BFC"/>
    <w:rsid w:val="00CF61DE"/>
    <w:rsid w:val="00D0055A"/>
    <w:rsid w:val="00D01793"/>
    <w:rsid w:val="00D03C4E"/>
    <w:rsid w:val="00D04D77"/>
    <w:rsid w:val="00D050D1"/>
    <w:rsid w:val="00D056B5"/>
    <w:rsid w:val="00D07293"/>
    <w:rsid w:val="00D07BBF"/>
    <w:rsid w:val="00D12DE0"/>
    <w:rsid w:val="00D1305E"/>
    <w:rsid w:val="00D13A2E"/>
    <w:rsid w:val="00D1450E"/>
    <w:rsid w:val="00D178E5"/>
    <w:rsid w:val="00D20D08"/>
    <w:rsid w:val="00D22143"/>
    <w:rsid w:val="00D26536"/>
    <w:rsid w:val="00D26C60"/>
    <w:rsid w:val="00D27947"/>
    <w:rsid w:val="00D3006F"/>
    <w:rsid w:val="00D32587"/>
    <w:rsid w:val="00D35E7F"/>
    <w:rsid w:val="00D36167"/>
    <w:rsid w:val="00D37D84"/>
    <w:rsid w:val="00D40F27"/>
    <w:rsid w:val="00D41A35"/>
    <w:rsid w:val="00D5122B"/>
    <w:rsid w:val="00D52A2C"/>
    <w:rsid w:val="00D5395F"/>
    <w:rsid w:val="00D55BD4"/>
    <w:rsid w:val="00D606FF"/>
    <w:rsid w:val="00D60787"/>
    <w:rsid w:val="00D60D32"/>
    <w:rsid w:val="00D61BE0"/>
    <w:rsid w:val="00D6677B"/>
    <w:rsid w:val="00D67BCB"/>
    <w:rsid w:val="00D71230"/>
    <w:rsid w:val="00D7123C"/>
    <w:rsid w:val="00D73220"/>
    <w:rsid w:val="00D761BE"/>
    <w:rsid w:val="00D80727"/>
    <w:rsid w:val="00D81CE0"/>
    <w:rsid w:val="00D8388D"/>
    <w:rsid w:val="00D86C48"/>
    <w:rsid w:val="00D95BEA"/>
    <w:rsid w:val="00D96FE1"/>
    <w:rsid w:val="00DA1368"/>
    <w:rsid w:val="00DA209B"/>
    <w:rsid w:val="00DA22C8"/>
    <w:rsid w:val="00DA603E"/>
    <w:rsid w:val="00DB126F"/>
    <w:rsid w:val="00DB2DCA"/>
    <w:rsid w:val="00DB3304"/>
    <w:rsid w:val="00DB4A73"/>
    <w:rsid w:val="00DB4CE1"/>
    <w:rsid w:val="00DB5CE8"/>
    <w:rsid w:val="00DB7111"/>
    <w:rsid w:val="00DB7ED1"/>
    <w:rsid w:val="00DB7F88"/>
    <w:rsid w:val="00DC0296"/>
    <w:rsid w:val="00DC14C7"/>
    <w:rsid w:val="00DC1F83"/>
    <w:rsid w:val="00DC237F"/>
    <w:rsid w:val="00DC4ADF"/>
    <w:rsid w:val="00DC4B8F"/>
    <w:rsid w:val="00DC6DC1"/>
    <w:rsid w:val="00DC717E"/>
    <w:rsid w:val="00DC738B"/>
    <w:rsid w:val="00DD11E4"/>
    <w:rsid w:val="00DD36EB"/>
    <w:rsid w:val="00DD400C"/>
    <w:rsid w:val="00DD460E"/>
    <w:rsid w:val="00DE0CA3"/>
    <w:rsid w:val="00DE2950"/>
    <w:rsid w:val="00DE2EB8"/>
    <w:rsid w:val="00DE306D"/>
    <w:rsid w:val="00DE384C"/>
    <w:rsid w:val="00DE57EA"/>
    <w:rsid w:val="00DE74EF"/>
    <w:rsid w:val="00DF6529"/>
    <w:rsid w:val="00DF6C65"/>
    <w:rsid w:val="00E02157"/>
    <w:rsid w:val="00E02F4B"/>
    <w:rsid w:val="00E0498B"/>
    <w:rsid w:val="00E0677C"/>
    <w:rsid w:val="00E13DB8"/>
    <w:rsid w:val="00E165BD"/>
    <w:rsid w:val="00E169C3"/>
    <w:rsid w:val="00E16E0D"/>
    <w:rsid w:val="00E23E83"/>
    <w:rsid w:val="00E25FEE"/>
    <w:rsid w:val="00E30278"/>
    <w:rsid w:val="00E30483"/>
    <w:rsid w:val="00E30D31"/>
    <w:rsid w:val="00E31D73"/>
    <w:rsid w:val="00E32175"/>
    <w:rsid w:val="00E356BD"/>
    <w:rsid w:val="00E36525"/>
    <w:rsid w:val="00E42280"/>
    <w:rsid w:val="00E43733"/>
    <w:rsid w:val="00E43DB1"/>
    <w:rsid w:val="00E4610B"/>
    <w:rsid w:val="00E46C76"/>
    <w:rsid w:val="00E471D0"/>
    <w:rsid w:val="00E52B5D"/>
    <w:rsid w:val="00E60D80"/>
    <w:rsid w:val="00E626E6"/>
    <w:rsid w:val="00E62BBA"/>
    <w:rsid w:val="00E635C2"/>
    <w:rsid w:val="00E64F33"/>
    <w:rsid w:val="00E64F81"/>
    <w:rsid w:val="00E70219"/>
    <w:rsid w:val="00E729C7"/>
    <w:rsid w:val="00E730EA"/>
    <w:rsid w:val="00E73614"/>
    <w:rsid w:val="00E76002"/>
    <w:rsid w:val="00E7635B"/>
    <w:rsid w:val="00E77611"/>
    <w:rsid w:val="00E77C6E"/>
    <w:rsid w:val="00E8016A"/>
    <w:rsid w:val="00E804E6"/>
    <w:rsid w:val="00E82C11"/>
    <w:rsid w:val="00E87399"/>
    <w:rsid w:val="00E87DD3"/>
    <w:rsid w:val="00E91C09"/>
    <w:rsid w:val="00E950E7"/>
    <w:rsid w:val="00E967D9"/>
    <w:rsid w:val="00E9692D"/>
    <w:rsid w:val="00EA478C"/>
    <w:rsid w:val="00EA5A71"/>
    <w:rsid w:val="00EA610D"/>
    <w:rsid w:val="00EB41B0"/>
    <w:rsid w:val="00EC1C12"/>
    <w:rsid w:val="00EC2054"/>
    <w:rsid w:val="00EC4820"/>
    <w:rsid w:val="00EC52AE"/>
    <w:rsid w:val="00EC735F"/>
    <w:rsid w:val="00EC738B"/>
    <w:rsid w:val="00EE00A7"/>
    <w:rsid w:val="00EE00CE"/>
    <w:rsid w:val="00EE01F6"/>
    <w:rsid w:val="00EE0253"/>
    <w:rsid w:val="00EE0F2E"/>
    <w:rsid w:val="00EE0FA5"/>
    <w:rsid w:val="00EE37E7"/>
    <w:rsid w:val="00EE393C"/>
    <w:rsid w:val="00EE6A43"/>
    <w:rsid w:val="00EE781C"/>
    <w:rsid w:val="00EE7A4E"/>
    <w:rsid w:val="00EE7C32"/>
    <w:rsid w:val="00EF06AF"/>
    <w:rsid w:val="00EF3D45"/>
    <w:rsid w:val="00EF3ED2"/>
    <w:rsid w:val="00EF5454"/>
    <w:rsid w:val="00EF5D18"/>
    <w:rsid w:val="00EF669B"/>
    <w:rsid w:val="00F052BE"/>
    <w:rsid w:val="00F06F1D"/>
    <w:rsid w:val="00F06F40"/>
    <w:rsid w:val="00F121F9"/>
    <w:rsid w:val="00F15D92"/>
    <w:rsid w:val="00F16B66"/>
    <w:rsid w:val="00F1703F"/>
    <w:rsid w:val="00F21E82"/>
    <w:rsid w:val="00F23935"/>
    <w:rsid w:val="00F23DFC"/>
    <w:rsid w:val="00F2552D"/>
    <w:rsid w:val="00F257D4"/>
    <w:rsid w:val="00F31F3E"/>
    <w:rsid w:val="00F32B3B"/>
    <w:rsid w:val="00F376CD"/>
    <w:rsid w:val="00F4070B"/>
    <w:rsid w:val="00F41F38"/>
    <w:rsid w:val="00F45A14"/>
    <w:rsid w:val="00F471C3"/>
    <w:rsid w:val="00F47391"/>
    <w:rsid w:val="00F47DD5"/>
    <w:rsid w:val="00F519AD"/>
    <w:rsid w:val="00F54DA0"/>
    <w:rsid w:val="00F55725"/>
    <w:rsid w:val="00F56931"/>
    <w:rsid w:val="00F61EC7"/>
    <w:rsid w:val="00F66815"/>
    <w:rsid w:val="00F708DB"/>
    <w:rsid w:val="00F72E02"/>
    <w:rsid w:val="00F75F7A"/>
    <w:rsid w:val="00F76B69"/>
    <w:rsid w:val="00F81A9D"/>
    <w:rsid w:val="00F81BEB"/>
    <w:rsid w:val="00F81C2B"/>
    <w:rsid w:val="00F8429F"/>
    <w:rsid w:val="00F93AB8"/>
    <w:rsid w:val="00F94892"/>
    <w:rsid w:val="00F967F6"/>
    <w:rsid w:val="00F97643"/>
    <w:rsid w:val="00F97FA6"/>
    <w:rsid w:val="00FA36F1"/>
    <w:rsid w:val="00FA5E36"/>
    <w:rsid w:val="00FA670C"/>
    <w:rsid w:val="00FA6BE7"/>
    <w:rsid w:val="00FB0128"/>
    <w:rsid w:val="00FB0654"/>
    <w:rsid w:val="00FB4E7B"/>
    <w:rsid w:val="00FB5E81"/>
    <w:rsid w:val="00FB7460"/>
    <w:rsid w:val="00FB7532"/>
    <w:rsid w:val="00FC2DF4"/>
    <w:rsid w:val="00FC34CF"/>
    <w:rsid w:val="00FC6CEE"/>
    <w:rsid w:val="00FC7368"/>
    <w:rsid w:val="00FD0BF7"/>
    <w:rsid w:val="00FD1D57"/>
    <w:rsid w:val="00FD2D01"/>
    <w:rsid w:val="00FD643F"/>
    <w:rsid w:val="00FE138D"/>
    <w:rsid w:val="00FE246F"/>
    <w:rsid w:val="00FF0099"/>
    <w:rsid w:val="00FF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529"/>
    <w:pPr>
      <w:ind w:firstLine="720"/>
    </w:pPr>
    <w:rPr>
      <w:sz w:val="24"/>
      <w:szCs w:val="24"/>
    </w:rPr>
  </w:style>
  <w:style w:type="paragraph" w:styleId="Heading1">
    <w:name w:val="heading 1"/>
    <w:basedOn w:val="Normal"/>
    <w:next w:val="Normal"/>
    <w:qFormat/>
    <w:rsid w:val="00C47595"/>
    <w:pPr>
      <w:keepNext/>
      <w:pageBreakBefore/>
      <w:numPr>
        <w:numId w:val="3"/>
      </w:numPr>
      <w:outlineLvl w:val="0"/>
    </w:pPr>
    <w:rPr>
      <w:rFonts w:cs="Arial"/>
      <w:b/>
      <w:bCs/>
      <w:kern w:val="32"/>
      <w:sz w:val="28"/>
      <w:szCs w:val="32"/>
    </w:rPr>
  </w:style>
  <w:style w:type="paragraph" w:styleId="Heading2">
    <w:name w:val="heading 2"/>
    <w:basedOn w:val="Normal"/>
    <w:next w:val="Normal"/>
    <w:qFormat/>
    <w:rsid w:val="00C47595"/>
    <w:pPr>
      <w:keepNext/>
      <w:numPr>
        <w:ilvl w:val="1"/>
        <w:numId w:val="3"/>
      </w:numPr>
      <w:outlineLvl w:val="1"/>
    </w:pPr>
    <w:rPr>
      <w:rFonts w:cs="Arial"/>
      <w:b/>
      <w:bCs/>
      <w:iCs/>
      <w:szCs w:val="28"/>
    </w:rPr>
  </w:style>
  <w:style w:type="paragraph" w:styleId="Heading3">
    <w:name w:val="heading 3"/>
    <w:basedOn w:val="Normal"/>
    <w:next w:val="Normal"/>
    <w:qFormat/>
    <w:rsid w:val="00C47595"/>
    <w:pPr>
      <w:keepNext/>
      <w:numPr>
        <w:ilvl w:val="2"/>
        <w:numId w:val="3"/>
      </w:numPr>
      <w:outlineLvl w:val="2"/>
    </w:pPr>
    <w:rPr>
      <w:rFonts w:cs="Arial"/>
      <w:b/>
      <w:bCs/>
      <w:szCs w:val="26"/>
    </w:rPr>
  </w:style>
  <w:style w:type="paragraph" w:styleId="Heading4">
    <w:name w:val="heading 4"/>
    <w:basedOn w:val="Normal"/>
    <w:next w:val="Normal"/>
    <w:link w:val="Heading4Char"/>
    <w:unhideWhenUsed/>
    <w:qFormat/>
    <w:rsid w:val="00AC39C5"/>
    <w:pPr>
      <w:keepNext/>
      <w:keepLines/>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84311"/>
    <w:rPr>
      <w:sz w:val="20"/>
      <w:szCs w:val="20"/>
    </w:rPr>
  </w:style>
  <w:style w:type="character" w:styleId="FootnoteReference">
    <w:name w:val="footnote reference"/>
    <w:basedOn w:val="DefaultParagraphFont"/>
    <w:semiHidden/>
    <w:rsid w:val="00A84311"/>
    <w:rPr>
      <w:vertAlign w:val="superscript"/>
    </w:rPr>
  </w:style>
  <w:style w:type="paragraph" w:customStyle="1" w:styleId="Level1">
    <w:name w:val="Level 1"/>
    <w:basedOn w:val="Normal"/>
    <w:rsid w:val="003B42BF"/>
    <w:pPr>
      <w:widowControl w:val="0"/>
    </w:pPr>
    <w:rPr>
      <w:szCs w:val="20"/>
    </w:rPr>
  </w:style>
  <w:style w:type="paragraph" w:styleId="Footer">
    <w:name w:val="footer"/>
    <w:basedOn w:val="Normal"/>
    <w:link w:val="FooterChar"/>
    <w:uiPriority w:val="99"/>
    <w:rsid w:val="00B60631"/>
    <w:pPr>
      <w:tabs>
        <w:tab w:val="center" w:pos="4320"/>
        <w:tab w:val="right" w:pos="8640"/>
      </w:tabs>
    </w:pPr>
    <w:rPr>
      <w:iCs/>
      <w:sz w:val="20"/>
    </w:rPr>
  </w:style>
  <w:style w:type="paragraph" w:styleId="BodyText">
    <w:name w:val="Body Text"/>
    <w:basedOn w:val="Normal"/>
    <w:link w:val="BodyTextChar"/>
    <w:rsid w:val="006000B4"/>
    <w:rPr>
      <w:iCs/>
      <w:color w:val="FF6600"/>
    </w:rPr>
  </w:style>
  <w:style w:type="paragraph" w:styleId="BodyTextIndent2">
    <w:name w:val="Body Text Indent 2"/>
    <w:basedOn w:val="Normal"/>
    <w:rsid w:val="006000B4"/>
    <w:pPr>
      <w:ind w:left="720"/>
    </w:pPr>
    <w:rPr>
      <w:iCs/>
    </w:rPr>
  </w:style>
  <w:style w:type="paragraph" w:styleId="HTMLPreformatted">
    <w:name w:val="HTML Preformatted"/>
    <w:basedOn w:val="Normal"/>
    <w:rsid w:val="00886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table" w:styleId="TableGrid">
    <w:name w:val="Table Grid"/>
    <w:basedOn w:val="TableNormal"/>
    <w:rsid w:val="004C3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A1AF8"/>
    <w:rPr>
      <w:sz w:val="16"/>
      <w:szCs w:val="16"/>
    </w:rPr>
  </w:style>
  <w:style w:type="paragraph" w:styleId="CommentText">
    <w:name w:val="annotation text"/>
    <w:basedOn w:val="Normal"/>
    <w:semiHidden/>
    <w:rsid w:val="00AA1AF8"/>
    <w:rPr>
      <w:sz w:val="20"/>
      <w:szCs w:val="20"/>
    </w:rPr>
  </w:style>
  <w:style w:type="character" w:styleId="Hyperlink">
    <w:name w:val="Hyperlink"/>
    <w:basedOn w:val="DefaultParagraphFont"/>
    <w:rsid w:val="00AA1AF8"/>
    <w:rPr>
      <w:color w:val="0000FF"/>
      <w:u w:val="single"/>
    </w:rPr>
  </w:style>
  <w:style w:type="paragraph" w:styleId="BalloonText">
    <w:name w:val="Balloon Text"/>
    <w:basedOn w:val="Normal"/>
    <w:semiHidden/>
    <w:rsid w:val="00AA1AF8"/>
    <w:rPr>
      <w:rFonts w:ascii="Tahoma" w:hAnsi="Tahoma" w:cs="Tahoma"/>
      <w:sz w:val="16"/>
      <w:szCs w:val="16"/>
    </w:rPr>
  </w:style>
  <w:style w:type="character" w:styleId="PageNumber">
    <w:name w:val="page number"/>
    <w:basedOn w:val="DefaultParagraphFont"/>
    <w:rsid w:val="00602AE7"/>
  </w:style>
  <w:style w:type="paragraph" w:customStyle="1" w:styleId="Exhibit">
    <w:name w:val="Exhibit"/>
    <w:basedOn w:val="Normal"/>
    <w:rsid w:val="000B17BF"/>
    <w:pPr>
      <w:jc w:val="center"/>
    </w:pPr>
    <w:rPr>
      <w:b/>
      <w:bCs/>
      <w:color w:val="000000"/>
      <w:szCs w:val="20"/>
    </w:rPr>
  </w:style>
  <w:style w:type="paragraph" w:styleId="Header">
    <w:name w:val="header"/>
    <w:basedOn w:val="Normal"/>
    <w:rsid w:val="0036317C"/>
    <w:pPr>
      <w:tabs>
        <w:tab w:val="center" w:pos="4320"/>
        <w:tab w:val="right" w:pos="8640"/>
      </w:tabs>
    </w:pPr>
  </w:style>
  <w:style w:type="paragraph" w:customStyle="1" w:styleId="subsection">
    <w:name w:val="subsection"/>
    <w:basedOn w:val="Normal"/>
    <w:rsid w:val="00AE5C8A"/>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i/>
      <w:szCs w:val="20"/>
    </w:rPr>
  </w:style>
  <w:style w:type="paragraph" w:customStyle="1" w:styleId="Header1">
    <w:name w:val="Header 1"/>
    <w:basedOn w:val="Normal"/>
    <w:rsid w:val="00B37961"/>
    <w:pPr>
      <w:autoSpaceDE w:val="0"/>
      <w:autoSpaceDN w:val="0"/>
      <w:adjustRightInd w:val="0"/>
    </w:pPr>
    <w:rPr>
      <w:b/>
      <w:bCs/>
    </w:rPr>
  </w:style>
  <w:style w:type="paragraph" w:customStyle="1" w:styleId="Header2">
    <w:name w:val="Header 2"/>
    <w:basedOn w:val="Normal"/>
    <w:rsid w:val="00B37961"/>
    <w:pPr>
      <w:autoSpaceDE w:val="0"/>
      <w:autoSpaceDN w:val="0"/>
      <w:adjustRightInd w:val="0"/>
    </w:pPr>
    <w:rPr>
      <w:b/>
      <w:bCs/>
    </w:rPr>
  </w:style>
  <w:style w:type="paragraph" w:customStyle="1" w:styleId="Header3">
    <w:name w:val="Header 3"/>
    <w:basedOn w:val="Normal"/>
    <w:rsid w:val="00B37961"/>
    <w:pPr>
      <w:keepNext/>
      <w:autoSpaceDE w:val="0"/>
      <w:autoSpaceDN w:val="0"/>
      <w:adjustRightInd w:val="0"/>
    </w:pPr>
    <w:rPr>
      <w:b/>
      <w:bCs/>
    </w:rPr>
  </w:style>
  <w:style w:type="paragraph" w:styleId="TOC1">
    <w:name w:val="toc 1"/>
    <w:basedOn w:val="Normal"/>
    <w:next w:val="Normal"/>
    <w:autoRedefine/>
    <w:semiHidden/>
    <w:rsid w:val="0043628D"/>
  </w:style>
  <w:style w:type="paragraph" w:styleId="TOC2">
    <w:name w:val="toc 2"/>
    <w:basedOn w:val="Normal"/>
    <w:next w:val="Normal"/>
    <w:autoRedefine/>
    <w:semiHidden/>
    <w:rsid w:val="0043628D"/>
    <w:pPr>
      <w:ind w:left="240"/>
    </w:pPr>
  </w:style>
  <w:style w:type="paragraph" w:styleId="TOC3">
    <w:name w:val="toc 3"/>
    <w:basedOn w:val="Normal"/>
    <w:next w:val="Normal"/>
    <w:autoRedefine/>
    <w:semiHidden/>
    <w:rsid w:val="0043628D"/>
    <w:pPr>
      <w:ind w:left="480"/>
    </w:pPr>
  </w:style>
  <w:style w:type="paragraph" w:styleId="CommentSubject">
    <w:name w:val="annotation subject"/>
    <w:basedOn w:val="CommentText"/>
    <w:next w:val="CommentText"/>
    <w:semiHidden/>
    <w:rsid w:val="00573F58"/>
    <w:rPr>
      <w:b/>
      <w:bCs/>
    </w:rPr>
  </w:style>
  <w:style w:type="paragraph" w:styleId="Caption">
    <w:name w:val="caption"/>
    <w:basedOn w:val="Normal"/>
    <w:next w:val="Normal"/>
    <w:unhideWhenUsed/>
    <w:qFormat/>
    <w:rsid w:val="00DC1F83"/>
    <w:pPr>
      <w:keepNext/>
      <w:spacing w:after="0"/>
      <w:ind w:firstLine="0"/>
    </w:pPr>
    <w:rPr>
      <w:rFonts w:ascii="Arial" w:hAnsi="Arial" w:cs="Arial"/>
      <w:b/>
      <w:bCs/>
      <w:sz w:val="22"/>
      <w:szCs w:val="22"/>
    </w:rPr>
  </w:style>
  <w:style w:type="paragraph" w:styleId="ListParagraph">
    <w:name w:val="List Paragraph"/>
    <w:basedOn w:val="Normal"/>
    <w:uiPriority w:val="34"/>
    <w:qFormat/>
    <w:rsid w:val="00A0427B"/>
    <w:pPr>
      <w:ind w:left="720"/>
      <w:contextualSpacing/>
    </w:pPr>
  </w:style>
  <w:style w:type="character" w:styleId="FollowedHyperlink">
    <w:name w:val="FollowedHyperlink"/>
    <w:basedOn w:val="DefaultParagraphFont"/>
    <w:semiHidden/>
    <w:unhideWhenUsed/>
    <w:rsid w:val="00F81A9D"/>
    <w:rPr>
      <w:color w:val="800080" w:themeColor="followedHyperlink"/>
      <w:u w:val="single"/>
    </w:rPr>
  </w:style>
  <w:style w:type="paragraph" w:styleId="Revision">
    <w:name w:val="Revision"/>
    <w:hidden/>
    <w:uiPriority w:val="99"/>
    <w:semiHidden/>
    <w:rsid w:val="008514F4"/>
    <w:rPr>
      <w:sz w:val="24"/>
      <w:szCs w:val="24"/>
    </w:rPr>
  </w:style>
  <w:style w:type="paragraph" w:customStyle="1" w:styleId="Footnote">
    <w:name w:val="Footnote"/>
    <w:basedOn w:val="Normal"/>
    <w:rsid w:val="00FB4E7B"/>
    <w:pPr>
      <w:autoSpaceDE w:val="0"/>
      <w:autoSpaceDN w:val="0"/>
      <w:adjustRightInd w:val="0"/>
      <w:spacing w:after="120"/>
      <w:ind w:firstLine="0"/>
    </w:pPr>
    <w:rPr>
      <w:sz w:val="20"/>
    </w:rPr>
  </w:style>
  <w:style w:type="character" w:customStyle="1" w:styleId="Heading4Char">
    <w:name w:val="Heading 4 Char"/>
    <w:basedOn w:val="DefaultParagraphFont"/>
    <w:link w:val="Heading4"/>
    <w:rsid w:val="00AC39C5"/>
    <w:rPr>
      <w:rFonts w:eastAsiaTheme="majorEastAsia" w:cstheme="majorBidi"/>
      <w:b/>
      <w:bCs/>
      <w:i/>
      <w:iCs/>
      <w:sz w:val="24"/>
      <w:szCs w:val="24"/>
    </w:rPr>
  </w:style>
  <w:style w:type="paragraph" w:styleId="Title">
    <w:name w:val="Title"/>
    <w:basedOn w:val="Normal"/>
    <w:next w:val="Normal"/>
    <w:link w:val="TitleChar"/>
    <w:qFormat/>
    <w:rsid w:val="00B60631"/>
    <w:pPr>
      <w:spacing w:after="300"/>
      <w:jc w:val="center"/>
    </w:pPr>
    <w:rPr>
      <w:rFonts w:eastAsiaTheme="majorEastAsia" w:cstheme="majorBidi"/>
      <w:b/>
      <w:spacing w:val="5"/>
      <w:kern w:val="28"/>
      <w:sz w:val="36"/>
      <w:szCs w:val="52"/>
    </w:rPr>
  </w:style>
  <w:style w:type="character" w:customStyle="1" w:styleId="BodyTextChar">
    <w:name w:val="Body Text Char"/>
    <w:basedOn w:val="DefaultParagraphFont"/>
    <w:link w:val="BodyText"/>
    <w:rsid w:val="00B60631"/>
    <w:rPr>
      <w:iCs/>
      <w:color w:val="FF6600"/>
      <w:sz w:val="24"/>
      <w:szCs w:val="24"/>
    </w:rPr>
  </w:style>
  <w:style w:type="character" w:customStyle="1" w:styleId="TitleChar">
    <w:name w:val="Title Char"/>
    <w:basedOn w:val="DefaultParagraphFont"/>
    <w:link w:val="Title"/>
    <w:rsid w:val="00B60631"/>
    <w:rPr>
      <w:rFonts w:eastAsiaTheme="majorEastAsia" w:cstheme="majorBidi"/>
      <w:b/>
      <w:spacing w:val="5"/>
      <w:kern w:val="28"/>
      <w:sz w:val="36"/>
      <w:szCs w:val="52"/>
    </w:rPr>
  </w:style>
  <w:style w:type="character" w:customStyle="1" w:styleId="FooterChar">
    <w:name w:val="Footer Char"/>
    <w:basedOn w:val="DefaultParagraphFont"/>
    <w:link w:val="Footer"/>
    <w:uiPriority w:val="99"/>
    <w:rsid w:val="00B60631"/>
    <w:rPr>
      <w:iCs/>
      <w:szCs w:val="24"/>
    </w:rPr>
  </w:style>
  <w:style w:type="paragraph" w:styleId="Bibliography">
    <w:name w:val="Bibliography"/>
    <w:basedOn w:val="Normal"/>
    <w:next w:val="Normal"/>
    <w:uiPriority w:val="37"/>
    <w:unhideWhenUsed/>
    <w:rsid w:val="00CD43E2"/>
    <w:pPr>
      <w:spacing w:after="0" w:line="480" w:lineRule="auto"/>
      <w:ind w:left="720" w:hanging="720"/>
    </w:pPr>
  </w:style>
  <w:style w:type="paragraph" w:customStyle="1" w:styleId="ExhibitText">
    <w:name w:val="Exhibit Text"/>
    <w:basedOn w:val="Normal"/>
    <w:link w:val="ExhibitTextChar"/>
    <w:qFormat/>
    <w:rsid w:val="00697865"/>
    <w:pPr>
      <w:keepNext/>
      <w:spacing w:after="0"/>
      <w:ind w:firstLine="0"/>
    </w:pPr>
    <w:rPr>
      <w:rFonts w:ascii="Arial" w:hAnsi="Arial" w:cs="Arial"/>
      <w:bCs/>
      <w:color w:val="000000"/>
      <w:sz w:val="20"/>
    </w:rPr>
  </w:style>
  <w:style w:type="character" w:customStyle="1" w:styleId="ExhibitTextChar">
    <w:name w:val="Exhibit Text Char"/>
    <w:link w:val="ExhibitText"/>
    <w:locked/>
    <w:rsid w:val="00697865"/>
    <w:rPr>
      <w:rFonts w:ascii="Arial" w:hAnsi="Arial" w:cs="Arial"/>
      <w:bCs/>
      <w:color w:val="000000"/>
      <w:szCs w:val="24"/>
    </w:rPr>
  </w:style>
  <w:style w:type="paragraph" w:customStyle="1" w:styleId="ExhibitNumber">
    <w:name w:val="Exhibit Number"/>
    <w:link w:val="ExhibitNumberChar"/>
    <w:uiPriority w:val="14"/>
    <w:qFormat/>
    <w:rsid w:val="009C6DB8"/>
    <w:pPr>
      <w:keepNext/>
      <w:jc w:val="right"/>
    </w:pPr>
    <w:rPr>
      <w:rFonts w:ascii="Arial" w:eastAsiaTheme="minorHAnsi" w:hAnsi="Arial"/>
      <w:bCs/>
      <w:color w:val="000000"/>
    </w:rPr>
  </w:style>
  <w:style w:type="character" w:customStyle="1" w:styleId="ExhibitNumberChar">
    <w:name w:val="Exhibit Number Char"/>
    <w:basedOn w:val="DefaultParagraphFont"/>
    <w:link w:val="ExhibitNumber"/>
    <w:uiPriority w:val="14"/>
    <w:rsid w:val="009C6DB8"/>
    <w:rPr>
      <w:rFonts w:ascii="Arial" w:eastAsiaTheme="minorHAnsi" w:hAnsi="Arial"/>
      <w:bCs/>
      <w:color w:val="000000"/>
    </w:rPr>
  </w:style>
  <w:style w:type="paragraph" w:customStyle="1" w:styleId="ExhibitHeading">
    <w:name w:val="Exhibit Heading"/>
    <w:link w:val="ExhibitHeadingChar"/>
    <w:uiPriority w:val="9"/>
    <w:qFormat/>
    <w:rsid w:val="003732C1"/>
    <w:pPr>
      <w:keepNext/>
      <w:keepLines/>
      <w:jc w:val="center"/>
    </w:pPr>
    <w:rPr>
      <w:rFonts w:ascii="Arial" w:hAnsi="Arial" w:cs="Arial"/>
      <w:b/>
      <w:bCs/>
      <w:color w:val="000000"/>
      <w:szCs w:val="18"/>
    </w:rPr>
  </w:style>
  <w:style w:type="character" w:customStyle="1" w:styleId="ExhibitHeadingChar">
    <w:name w:val="Exhibit Heading Char"/>
    <w:basedOn w:val="DefaultParagraphFont"/>
    <w:link w:val="ExhibitHeading"/>
    <w:uiPriority w:val="9"/>
    <w:rsid w:val="003732C1"/>
    <w:rPr>
      <w:rFonts w:ascii="Arial" w:hAnsi="Arial" w:cs="Arial"/>
      <w:b/>
      <w:bCs/>
      <w:color w:val="000000"/>
      <w:szCs w:val="18"/>
    </w:rPr>
  </w:style>
  <w:style w:type="table" w:customStyle="1" w:styleId="IWRTable">
    <w:name w:val="IWR Table"/>
    <w:basedOn w:val="TableNormal"/>
    <w:uiPriority w:val="99"/>
    <w:rsid w:val="003732C1"/>
    <w:rPr>
      <w:rFonts w:ascii="Arial" w:hAnsi="Arial"/>
    </w:rPr>
    <w:tblPr>
      <w:tblInd w:w="0" w:type="nil"/>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style>
  <w:style w:type="paragraph" w:customStyle="1" w:styleId="Exhibitsource">
    <w:name w:val="Exhibit source"/>
    <w:basedOn w:val="Normal"/>
    <w:rsid w:val="009C6DB8"/>
    <w:pPr>
      <w:keepNext/>
      <w:ind w:firstLine="0"/>
    </w:pPr>
    <w:rPr>
      <w:sz w:val="20"/>
      <w:szCs w:val="20"/>
    </w:rPr>
  </w:style>
  <w:style w:type="character" w:styleId="LineNumber">
    <w:name w:val="line number"/>
    <w:basedOn w:val="DefaultParagraphFont"/>
    <w:semiHidden/>
    <w:unhideWhenUsed/>
    <w:rsid w:val="00C96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529"/>
    <w:pPr>
      <w:ind w:firstLine="720"/>
    </w:pPr>
    <w:rPr>
      <w:sz w:val="24"/>
      <w:szCs w:val="24"/>
    </w:rPr>
  </w:style>
  <w:style w:type="paragraph" w:styleId="Heading1">
    <w:name w:val="heading 1"/>
    <w:basedOn w:val="Normal"/>
    <w:next w:val="Normal"/>
    <w:qFormat/>
    <w:rsid w:val="00C47595"/>
    <w:pPr>
      <w:keepNext/>
      <w:pageBreakBefore/>
      <w:numPr>
        <w:numId w:val="3"/>
      </w:numPr>
      <w:outlineLvl w:val="0"/>
    </w:pPr>
    <w:rPr>
      <w:rFonts w:cs="Arial"/>
      <w:b/>
      <w:bCs/>
      <w:kern w:val="32"/>
      <w:sz w:val="28"/>
      <w:szCs w:val="32"/>
    </w:rPr>
  </w:style>
  <w:style w:type="paragraph" w:styleId="Heading2">
    <w:name w:val="heading 2"/>
    <w:basedOn w:val="Normal"/>
    <w:next w:val="Normal"/>
    <w:qFormat/>
    <w:rsid w:val="00C47595"/>
    <w:pPr>
      <w:keepNext/>
      <w:numPr>
        <w:ilvl w:val="1"/>
        <w:numId w:val="3"/>
      </w:numPr>
      <w:outlineLvl w:val="1"/>
    </w:pPr>
    <w:rPr>
      <w:rFonts w:cs="Arial"/>
      <w:b/>
      <w:bCs/>
      <w:iCs/>
      <w:szCs w:val="28"/>
    </w:rPr>
  </w:style>
  <w:style w:type="paragraph" w:styleId="Heading3">
    <w:name w:val="heading 3"/>
    <w:basedOn w:val="Normal"/>
    <w:next w:val="Normal"/>
    <w:qFormat/>
    <w:rsid w:val="00C47595"/>
    <w:pPr>
      <w:keepNext/>
      <w:numPr>
        <w:ilvl w:val="2"/>
        <w:numId w:val="3"/>
      </w:numPr>
      <w:outlineLvl w:val="2"/>
    </w:pPr>
    <w:rPr>
      <w:rFonts w:cs="Arial"/>
      <w:b/>
      <w:bCs/>
      <w:szCs w:val="26"/>
    </w:rPr>
  </w:style>
  <w:style w:type="paragraph" w:styleId="Heading4">
    <w:name w:val="heading 4"/>
    <w:basedOn w:val="Normal"/>
    <w:next w:val="Normal"/>
    <w:link w:val="Heading4Char"/>
    <w:unhideWhenUsed/>
    <w:qFormat/>
    <w:rsid w:val="00AC39C5"/>
    <w:pPr>
      <w:keepNext/>
      <w:keepLines/>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84311"/>
    <w:rPr>
      <w:sz w:val="20"/>
      <w:szCs w:val="20"/>
    </w:rPr>
  </w:style>
  <w:style w:type="character" w:styleId="FootnoteReference">
    <w:name w:val="footnote reference"/>
    <w:basedOn w:val="DefaultParagraphFont"/>
    <w:semiHidden/>
    <w:rsid w:val="00A84311"/>
    <w:rPr>
      <w:vertAlign w:val="superscript"/>
    </w:rPr>
  </w:style>
  <w:style w:type="paragraph" w:customStyle="1" w:styleId="Level1">
    <w:name w:val="Level 1"/>
    <w:basedOn w:val="Normal"/>
    <w:rsid w:val="003B42BF"/>
    <w:pPr>
      <w:widowControl w:val="0"/>
    </w:pPr>
    <w:rPr>
      <w:szCs w:val="20"/>
    </w:rPr>
  </w:style>
  <w:style w:type="paragraph" w:styleId="Footer">
    <w:name w:val="footer"/>
    <w:basedOn w:val="Normal"/>
    <w:link w:val="FooterChar"/>
    <w:uiPriority w:val="99"/>
    <w:rsid w:val="00B60631"/>
    <w:pPr>
      <w:tabs>
        <w:tab w:val="center" w:pos="4320"/>
        <w:tab w:val="right" w:pos="8640"/>
      </w:tabs>
    </w:pPr>
    <w:rPr>
      <w:iCs/>
      <w:sz w:val="20"/>
    </w:rPr>
  </w:style>
  <w:style w:type="paragraph" w:styleId="BodyText">
    <w:name w:val="Body Text"/>
    <w:basedOn w:val="Normal"/>
    <w:link w:val="BodyTextChar"/>
    <w:rsid w:val="006000B4"/>
    <w:rPr>
      <w:iCs/>
      <w:color w:val="FF6600"/>
    </w:rPr>
  </w:style>
  <w:style w:type="paragraph" w:styleId="BodyTextIndent2">
    <w:name w:val="Body Text Indent 2"/>
    <w:basedOn w:val="Normal"/>
    <w:rsid w:val="006000B4"/>
    <w:pPr>
      <w:ind w:left="720"/>
    </w:pPr>
    <w:rPr>
      <w:iCs/>
    </w:rPr>
  </w:style>
  <w:style w:type="paragraph" w:styleId="HTMLPreformatted">
    <w:name w:val="HTML Preformatted"/>
    <w:basedOn w:val="Normal"/>
    <w:rsid w:val="00886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table" w:styleId="TableGrid">
    <w:name w:val="Table Grid"/>
    <w:basedOn w:val="TableNormal"/>
    <w:rsid w:val="004C3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A1AF8"/>
    <w:rPr>
      <w:sz w:val="16"/>
      <w:szCs w:val="16"/>
    </w:rPr>
  </w:style>
  <w:style w:type="paragraph" w:styleId="CommentText">
    <w:name w:val="annotation text"/>
    <w:basedOn w:val="Normal"/>
    <w:semiHidden/>
    <w:rsid w:val="00AA1AF8"/>
    <w:rPr>
      <w:sz w:val="20"/>
      <w:szCs w:val="20"/>
    </w:rPr>
  </w:style>
  <w:style w:type="character" w:styleId="Hyperlink">
    <w:name w:val="Hyperlink"/>
    <w:basedOn w:val="DefaultParagraphFont"/>
    <w:rsid w:val="00AA1AF8"/>
    <w:rPr>
      <w:color w:val="0000FF"/>
      <w:u w:val="single"/>
    </w:rPr>
  </w:style>
  <w:style w:type="paragraph" w:styleId="BalloonText">
    <w:name w:val="Balloon Text"/>
    <w:basedOn w:val="Normal"/>
    <w:semiHidden/>
    <w:rsid w:val="00AA1AF8"/>
    <w:rPr>
      <w:rFonts w:ascii="Tahoma" w:hAnsi="Tahoma" w:cs="Tahoma"/>
      <w:sz w:val="16"/>
      <w:szCs w:val="16"/>
    </w:rPr>
  </w:style>
  <w:style w:type="character" w:styleId="PageNumber">
    <w:name w:val="page number"/>
    <w:basedOn w:val="DefaultParagraphFont"/>
    <w:rsid w:val="00602AE7"/>
  </w:style>
  <w:style w:type="paragraph" w:customStyle="1" w:styleId="Exhibit">
    <w:name w:val="Exhibit"/>
    <w:basedOn w:val="Normal"/>
    <w:rsid w:val="000B17BF"/>
    <w:pPr>
      <w:jc w:val="center"/>
    </w:pPr>
    <w:rPr>
      <w:b/>
      <w:bCs/>
      <w:color w:val="000000"/>
      <w:szCs w:val="20"/>
    </w:rPr>
  </w:style>
  <w:style w:type="paragraph" w:styleId="Header">
    <w:name w:val="header"/>
    <w:basedOn w:val="Normal"/>
    <w:rsid w:val="0036317C"/>
    <w:pPr>
      <w:tabs>
        <w:tab w:val="center" w:pos="4320"/>
        <w:tab w:val="right" w:pos="8640"/>
      </w:tabs>
    </w:pPr>
  </w:style>
  <w:style w:type="paragraph" w:customStyle="1" w:styleId="subsection">
    <w:name w:val="subsection"/>
    <w:basedOn w:val="Normal"/>
    <w:rsid w:val="00AE5C8A"/>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i/>
      <w:szCs w:val="20"/>
    </w:rPr>
  </w:style>
  <w:style w:type="paragraph" w:customStyle="1" w:styleId="Header1">
    <w:name w:val="Header 1"/>
    <w:basedOn w:val="Normal"/>
    <w:rsid w:val="00B37961"/>
    <w:pPr>
      <w:autoSpaceDE w:val="0"/>
      <w:autoSpaceDN w:val="0"/>
      <w:adjustRightInd w:val="0"/>
    </w:pPr>
    <w:rPr>
      <w:b/>
      <w:bCs/>
    </w:rPr>
  </w:style>
  <w:style w:type="paragraph" w:customStyle="1" w:styleId="Header2">
    <w:name w:val="Header 2"/>
    <w:basedOn w:val="Normal"/>
    <w:rsid w:val="00B37961"/>
    <w:pPr>
      <w:autoSpaceDE w:val="0"/>
      <w:autoSpaceDN w:val="0"/>
      <w:adjustRightInd w:val="0"/>
    </w:pPr>
    <w:rPr>
      <w:b/>
      <w:bCs/>
    </w:rPr>
  </w:style>
  <w:style w:type="paragraph" w:customStyle="1" w:styleId="Header3">
    <w:name w:val="Header 3"/>
    <w:basedOn w:val="Normal"/>
    <w:rsid w:val="00B37961"/>
    <w:pPr>
      <w:keepNext/>
      <w:autoSpaceDE w:val="0"/>
      <w:autoSpaceDN w:val="0"/>
      <w:adjustRightInd w:val="0"/>
    </w:pPr>
    <w:rPr>
      <w:b/>
      <w:bCs/>
    </w:rPr>
  </w:style>
  <w:style w:type="paragraph" w:styleId="TOC1">
    <w:name w:val="toc 1"/>
    <w:basedOn w:val="Normal"/>
    <w:next w:val="Normal"/>
    <w:autoRedefine/>
    <w:semiHidden/>
    <w:rsid w:val="0043628D"/>
  </w:style>
  <w:style w:type="paragraph" w:styleId="TOC2">
    <w:name w:val="toc 2"/>
    <w:basedOn w:val="Normal"/>
    <w:next w:val="Normal"/>
    <w:autoRedefine/>
    <w:semiHidden/>
    <w:rsid w:val="0043628D"/>
    <w:pPr>
      <w:ind w:left="240"/>
    </w:pPr>
  </w:style>
  <w:style w:type="paragraph" w:styleId="TOC3">
    <w:name w:val="toc 3"/>
    <w:basedOn w:val="Normal"/>
    <w:next w:val="Normal"/>
    <w:autoRedefine/>
    <w:semiHidden/>
    <w:rsid w:val="0043628D"/>
    <w:pPr>
      <w:ind w:left="480"/>
    </w:pPr>
  </w:style>
  <w:style w:type="paragraph" w:styleId="CommentSubject">
    <w:name w:val="annotation subject"/>
    <w:basedOn w:val="CommentText"/>
    <w:next w:val="CommentText"/>
    <w:semiHidden/>
    <w:rsid w:val="00573F58"/>
    <w:rPr>
      <w:b/>
      <w:bCs/>
    </w:rPr>
  </w:style>
  <w:style w:type="paragraph" w:styleId="Caption">
    <w:name w:val="caption"/>
    <w:basedOn w:val="Normal"/>
    <w:next w:val="Normal"/>
    <w:unhideWhenUsed/>
    <w:qFormat/>
    <w:rsid w:val="00DC1F83"/>
    <w:pPr>
      <w:keepNext/>
      <w:spacing w:after="0"/>
      <w:ind w:firstLine="0"/>
    </w:pPr>
    <w:rPr>
      <w:rFonts w:ascii="Arial" w:hAnsi="Arial" w:cs="Arial"/>
      <w:b/>
      <w:bCs/>
      <w:sz w:val="22"/>
      <w:szCs w:val="22"/>
    </w:rPr>
  </w:style>
  <w:style w:type="paragraph" w:styleId="ListParagraph">
    <w:name w:val="List Paragraph"/>
    <w:basedOn w:val="Normal"/>
    <w:uiPriority w:val="34"/>
    <w:qFormat/>
    <w:rsid w:val="00A0427B"/>
    <w:pPr>
      <w:ind w:left="720"/>
      <w:contextualSpacing/>
    </w:pPr>
  </w:style>
  <w:style w:type="character" w:styleId="FollowedHyperlink">
    <w:name w:val="FollowedHyperlink"/>
    <w:basedOn w:val="DefaultParagraphFont"/>
    <w:semiHidden/>
    <w:unhideWhenUsed/>
    <w:rsid w:val="00F81A9D"/>
    <w:rPr>
      <w:color w:val="800080" w:themeColor="followedHyperlink"/>
      <w:u w:val="single"/>
    </w:rPr>
  </w:style>
  <w:style w:type="paragraph" w:styleId="Revision">
    <w:name w:val="Revision"/>
    <w:hidden/>
    <w:uiPriority w:val="99"/>
    <w:semiHidden/>
    <w:rsid w:val="008514F4"/>
    <w:rPr>
      <w:sz w:val="24"/>
      <w:szCs w:val="24"/>
    </w:rPr>
  </w:style>
  <w:style w:type="paragraph" w:customStyle="1" w:styleId="Footnote">
    <w:name w:val="Footnote"/>
    <w:basedOn w:val="Normal"/>
    <w:rsid w:val="00FB4E7B"/>
    <w:pPr>
      <w:autoSpaceDE w:val="0"/>
      <w:autoSpaceDN w:val="0"/>
      <w:adjustRightInd w:val="0"/>
      <w:spacing w:after="120"/>
      <w:ind w:firstLine="0"/>
    </w:pPr>
    <w:rPr>
      <w:sz w:val="20"/>
    </w:rPr>
  </w:style>
  <w:style w:type="character" w:customStyle="1" w:styleId="Heading4Char">
    <w:name w:val="Heading 4 Char"/>
    <w:basedOn w:val="DefaultParagraphFont"/>
    <w:link w:val="Heading4"/>
    <w:rsid w:val="00AC39C5"/>
    <w:rPr>
      <w:rFonts w:eastAsiaTheme="majorEastAsia" w:cstheme="majorBidi"/>
      <w:b/>
      <w:bCs/>
      <w:i/>
      <w:iCs/>
      <w:sz w:val="24"/>
      <w:szCs w:val="24"/>
    </w:rPr>
  </w:style>
  <w:style w:type="paragraph" w:styleId="Title">
    <w:name w:val="Title"/>
    <w:basedOn w:val="Normal"/>
    <w:next w:val="Normal"/>
    <w:link w:val="TitleChar"/>
    <w:qFormat/>
    <w:rsid w:val="00B60631"/>
    <w:pPr>
      <w:spacing w:after="300"/>
      <w:jc w:val="center"/>
    </w:pPr>
    <w:rPr>
      <w:rFonts w:eastAsiaTheme="majorEastAsia" w:cstheme="majorBidi"/>
      <w:b/>
      <w:spacing w:val="5"/>
      <w:kern w:val="28"/>
      <w:sz w:val="36"/>
      <w:szCs w:val="52"/>
    </w:rPr>
  </w:style>
  <w:style w:type="character" w:customStyle="1" w:styleId="BodyTextChar">
    <w:name w:val="Body Text Char"/>
    <w:basedOn w:val="DefaultParagraphFont"/>
    <w:link w:val="BodyText"/>
    <w:rsid w:val="00B60631"/>
    <w:rPr>
      <w:iCs/>
      <w:color w:val="FF6600"/>
      <w:sz w:val="24"/>
      <w:szCs w:val="24"/>
    </w:rPr>
  </w:style>
  <w:style w:type="character" w:customStyle="1" w:styleId="TitleChar">
    <w:name w:val="Title Char"/>
    <w:basedOn w:val="DefaultParagraphFont"/>
    <w:link w:val="Title"/>
    <w:rsid w:val="00B60631"/>
    <w:rPr>
      <w:rFonts w:eastAsiaTheme="majorEastAsia" w:cstheme="majorBidi"/>
      <w:b/>
      <w:spacing w:val="5"/>
      <w:kern w:val="28"/>
      <w:sz w:val="36"/>
      <w:szCs w:val="52"/>
    </w:rPr>
  </w:style>
  <w:style w:type="character" w:customStyle="1" w:styleId="FooterChar">
    <w:name w:val="Footer Char"/>
    <w:basedOn w:val="DefaultParagraphFont"/>
    <w:link w:val="Footer"/>
    <w:uiPriority w:val="99"/>
    <w:rsid w:val="00B60631"/>
    <w:rPr>
      <w:iCs/>
      <w:szCs w:val="24"/>
    </w:rPr>
  </w:style>
  <w:style w:type="paragraph" w:styleId="Bibliography">
    <w:name w:val="Bibliography"/>
    <w:basedOn w:val="Normal"/>
    <w:next w:val="Normal"/>
    <w:uiPriority w:val="37"/>
    <w:unhideWhenUsed/>
    <w:rsid w:val="00CD43E2"/>
    <w:pPr>
      <w:spacing w:after="0" w:line="480" w:lineRule="auto"/>
      <w:ind w:left="720" w:hanging="720"/>
    </w:pPr>
  </w:style>
  <w:style w:type="paragraph" w:customStyle="1" w:styleId="ExhibitText">
    <w:name w:val="Exhibit Text"/>
    <w:basedOn w:val="Normal"/>
    <w:link w:val="ExhibitTextChar"/>
    <w:qFormat/>
    <w:rsid w:val="00697865"/>
    <w:pPr>
      <w:keepNext/>
      <w:spacing w:after="0"/>
      <w:ind w:firstLine="0"/>
    </w:pPr>
    <w:rPr>
      <w:rFonts w:ascii="Arial" w:hAnsi="Arial" w:cs="Arial"/>
      <w:bCs/>
      <w:color w:val="000000"/>
      <w:sz w:val="20"/>
    </w:rPr>
  </w:style>
  <w:style w:type="character" w:customStyle="1" w:styleId="ExhibitTextChar">
    <w:name w:val="Exhibit Text Char"/>
    <w:link w:val="ExhibitText"/>
    <w:locked/>
    <w:rsid w:val="00697865"/>
    <w:rPr>
      <w:rFonts w:ascii="Arial" w:hAnsi="Arial" w:cs="Arial"/>
      <w:bCs/>
      <w:color w:val="000000"/>
      <w:szCs w:val="24"/>
    </w:rPr>
  </w:style>
  <w:style w:type="paragraph" w:customStyle="1" w:styleId="ExhibitNumber">
    <w:name w:val="Exhibit Number"/>
    <w:link w:val="ExhibitNumberChar"/>
    <w:uiPriority w:val="14"/>
    <w:qFormat/>
    <w:rsid w:val="009C6DB8"/>
    <w:pPr>
      <w:keepNext/>
      <w:jc w:val="right"/>
    </w:pPr>
    <w:rPr>
      <w:rFonts w:ascii="Arial" w:eastAsiaTheme="minorHAnsi" w:hAnsi="Arial"/>
      <w:bCs/>
      <w:color w:val="000000"/>
    </w:rPr>
  </w:style>
  <w:style w:type="character" w:customStyle="1" w:styleId="ExhibitNumberChar">
    <w:name w:val="Exhibit Number Char"/>
    <w:basedOn w:val="DefaultParagraphFont"/>
    <w:link w:val="ExhibitNumber"/>
    <w:uiPriority w:val="14"/>
    <w:rsid w:val="009C6DB8"/>
    <w:rPr>
      <w:rFonts w:ascii="Arial" w:eastAsiaTheme="minorHAnsi" w:hAnsi="Arial"/>
      <w:bCs/>
      <w:color w:val="000000"/>
    </w:rPr>
  </w:style>
  <w:style w:type="paragraph" w:customStyle="1" w:styleId="ExhibitHeading">
    <w:name w:val="Exhibit Heading"/>
    <w:link w:val="ExhibitHeadingChar"/>
    <w:uiPriority w:val="9"/>
    <w:qFormat/>
    <w:rsid w:val="003732C1"/>
    <w:pPr>
      <w:keepNext/>
      <w:keepLines/>
      <w:jc w:val="center"/>
    </w:pPr>
    <w:rPr>
      <w:rFonts w:ascii="Arial" w:hAnsi="Arial" w:cs="Arial"/>
      <w:b/>
      <w:bCs/>
      <w:color w:val="000000"/>
      <w:szCs w:val="18"/>
    </w:rPr>
  </w:style>
  <w:style w:type="character" w:customStyle="1" w:styleId="ExhibitHeadingChar">
    <w:name w:val="Exhibit Heading Char"/>
    <w:basedOn w:val="DefaultParagraphFont"/>
    <w:link w:val="ExhibitHeading"/>
    <w:uiPriority w:val="9"/>
    <w:rsid w:val="003732C1"/>
    <w:rPr>
      <w:rFonts w:ascii="Arial" w:hAnsi="Arial" w:cs="Arial"/>
      <w:b/>
      <w:bCs/>
      <w:color w:val="000000"/>
      <w:szCs w:val="18"/>
    </w:rPr>
  </w:style>
  <w:style w:type="table" w:customStyle="1" w:styleId="IWRTable">
    <w:name w:val="IWR Table"/>
    <w:basedOn w:val="TableNormal"/>
    <w:uiPriority w:val="99"/>
    <w:rsid w:val="003732C1"/>
    <w:rPr>
      <w:rFonts w:ascii="Arial" w:hAnsi="Arial"/>
    </w:rPr>
    <w:tblPr>
      <w:tblInd w:w="0" w:type="nil"/>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style>
  <w:style w:type="paragraph" w:customStyle="1" w:styleId="Exhibitsource">
    <w:name w:val="Exhibit source"/>
    <w:basedOn w:val="Normal"/>
    <w:rsid w:val="009C6DB8"/>
    <w:pPr>
      <w:keepNext/>
      <w:ind w:firstLine="0"/>
    </w:pPr>
    <w:rPr>
      <w:sz w:val="20"/>
      <w:szCs w:val="20"/>
    </w:rPr>
  </w:style>
  <w:style w:type="character" w:styleId="LineNumber">
    <w:name w:val="line number"/>
    <w:basedOn w:val="DefaultParagraphFont"/>
    <w:semiHidden/>
    <w:unhideWhenUsed/>
    <w:rsid w:val="00C96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690">
      <w:bodyDiv w:val="1"/>
      <w:marLeft w:val="0"/>
      <w:marRight w:val="0"/>
      <w:marTop w:val="0"/>
      <w:marBottom w:val="0"/>
      <w:divBdr>
        <w:top w:val="none" w:sz="0" w:space="0" w:color="auto"/>
        <w:left w:val="none" w:sz="0" w:space="0" w:color="auto"/>
        <w:bottom w:val="none" w:sz="0" w:space="0" w:color="auto"/>
        <w:right w:val="none" w:sz="0" w:space="0" w:color="auto"/>
      </w:divBdr>
    </w:div>
    <w:div w:id="29768588">
      <w:bodyDiv w:val="1"/>
      <w:marLeft w:val="0"/>
      <w:marRight w:val="0"/>
      <w:marTop w:val="0"/>
      <w:marBottom w:val="0"/>
      <w:divBdr>
        <w:top w:val="none" w:sz="0" w:space="0" w:color="auto"/>
        <w:left w:val="none" w:sz="0" w:space="0" w:color="auto"/>
        <w:bottom w:val="none" w:sz="0" w:space="0" w:color="auto"/>
        <w:right w:val="none" w:sz="0" w:space="0" w:color="auto"/>
      </w:divBdr>
    </w:div>
    <w:div w:id="42796715">
      <w:bodyDiv w:val="1"/>
      <w:marLeft w:val="0"/>
      <w:marRight w:val="0"/>
      <w:marTop w:val="0"/>
      <w:marBottom w:val="0"/>
      <w:divBdr>
        <w:top w:val="none" w:sz="0" w:space="0" w:color="auto"/>
        <w:left w:val="none" w:sz="0" w:space="0" w:color="auto"/>
        <w:bottom w:val="none" w:sz="0" w:space="0" w:color="auto"/>
        <w:right w:val="none" w:sz="0" w:space="0" w:color="auto"/>
      </w:divBdr>
    </w:div>
    <w:div w:id="51855087">
      <w:bodyDiv w:val="1"/>
      <w:marLeft w:val="0"/>
      <w:marRight w:val="0"/>
      <w:marTop w:val="0"/>
      <w:marBottom w:val="0"/>
      <w:divBdr>
        <w:top w:val="none" w:sz="0" w:space="0" w:color="auto"/>
        <w:left w:val="none" w:sz="0" w:space="0" w:color="auto"/>
        <w:bottom w:val="none" w:sz="0" w:space="0" w:color="auto"/>
        <w:right w:val="none" w:sz="0" w:space="0" w:color="auto"/>
      </w:divBdr>
    </w:div>
    <w:div w:id="60100982">
      <w:bodyDiv w:val="1"/>
      <w:marLeft w:val="0"/>
      <w:marRight w:val="0"/>
      <w:marTop w:val="0"/>
      <w:marBottom w:val="0"/>
      <w:divBdr>
        <w:top w:val="none" w:sz="0" w:space="0" w:color="auto"/>
        <w:left w:val="none" w:sz="0" w:space="0" w:color="auto"/>
        <w:bottom w:val="none" w:sz="0" w:space="0" w:color="auto"/>
        <w:right w:val="none" w:sz="0" w:space="0" w:color="auto"/>
      </w:divBdr>
    </w:div>
    <w:div w:id="67581529">
      <w:bodyDiv w:val="1"/>
      <w:marLeft w:val="0"/>
      <w:marRight w:val="0"/>
      <w:marTop w:val="0"/>
      <w:marBottom w:val="0"/>
      <w:divBdr>
        <w:top w:val="none" w:sz="0" w:space="0" w:color="auto"/>
        <w:left w:val="none" w:sz="0" w:space="0" w:color="auto"/>
        <w:bottom w:val="none" w:sz="0" w:space="0" w:color="auto"/>
        <w:right w:val="none" w:sz="0" w:space="0" w:color="auto"/>
      </w:divBdr>
    </w:div>
    <w:div w:id="84157927">
      <w:bodyDiv w:val="1"/>
      <w:marLeft w:val="0"/>
      <w:marRight w:val="0"/>
      <w:marTop w:val="0"/>
      <w:marBottom w:val="0"/>
      <w:divBdr>
        <w:top w:val="none" w:sz="0" w:space="0" w:color="auto"/>
        <w:left w:val="none" w:sz="0" w:space="0" w:color="auto"/>
        <w:bottom w:val="none" w:sz="0" w:space="0" w:color="auto"/>
        <w:right w:val="none" w:sz="0" w:space="0" w:color="auto"/>
      </w:divBdr>
    </w:div>
    <w:div w:id="85463782">
      <w:bodyDiv w:val="1"/>
      <w:marLeft w:val="0"/>
      <w:marRight w:val="0"/>
      <w:marTop w:val="0"/>
      <w:marBottom w:val="0"/>
      <w:divBdr>
        <w:top w:val="none" w:sz="0" w:space="0" w:color="auto"/>
        <w:left w:val="none" w:sz="0" w:space="0" w:color="auto"/>
        <w:bottom w:val="none" w:sz="0" w:space="0" w:color="auto"/>
        <w:right w:val="none" w:sz="0" w:space="0" w:color="auto"/>
      </w:divBdr>
    </w:div>
    <w:div w:id="87773039">
      <w:bodyDiv w:val="1"/>
      <w:marLeft w:val="0"/>
      <w:marRight w:val="0"/>
      <w:marTop w:val="0"/>
      <w:marBottom w:val="0"/>
      <w:divBdr>
        <w:top w:val="none" w:sz="0" w:space="0" w:color="auto"/>
        <w:left w:val="none" w:sz="0" w:space="0" w:color="auto"/>
        <w:bottom w:val="none" w:sz="0" w:space="0" w:color="auto"/>
        <w:right w:val="none" w:sz="0" w:space="0" w:color="auto"/>
      </w:divBdr>
    </w:div>
    <w:div w:id="111291540">
      <w:bodyDiv w:val="1"/>
      <w:marLeft w:val="0"/>
      <w:marRight w:val="0"/>
      <w:marTop w:val="0"/>
      <w:marBottom w:val="0"/>
      <w:divBdr>
        <w:top w:val="none" w:sz="0" w:space="0" w:color="auto"/>
        <w:left w:val="none" w:sz="0" w:space="0" w:color="auto"/>
        <w:bottom w:val="none" w:sz="0" w:space="0" w:color="auto"/>
        <w:right w:val="none" w:sz="0" w:space="0" w:color="auto"/>
      </w:divBdr>
    </w:div>
    <w:div w:id="125970938">
      <w:bodyDiv w:val="1"/>
      <w:marLeft w:val="0"/>
      <w:marRight w:val="0"/>
      <w:marTop w:val="0"/>
      <w:marBottom w:val="0"/>
      <w:divBdr>
        <w:top w:val="none" w:sz="0" w:space="0" w:color="auto"/>
        <w:left w:val="none" w:sz="0" w:space="0" w:color="auto"/>
        <w:bottom w:val="none" w:sz="0" w:space="0" w:color="auto"/>
        <w:right w:val="none" w:sz="0" w:space="0" w:color="auto"/>
      </w:divBdr>
    </w:div>
    <w:div w:id="126356667">
      <w:bodyDiv w:val="1"/>
      <w:marLeft w:val="0"/>
      <w:marRight w:val="0"/>
      <w:marTop w:val="0"/>
      <w:marBottom w:val="0"/>
      <w:divBdr>
        <w:top w:val="none" w:sz="0" w:space="0" w:color="auto"/>
        <w:left w:val="none" w:sz="0" w:space="0" w:color="auto"/>
        <w:bottom w:val="none" w:sz="0" w:space="0" w:color="auto"/>
        <w:right w:val="none" w:sz="0" w:space="0" w:color="auto"/>
      </w:divBdr>
    </w:div>
    <w:div w:id="128712792">
      <w:bodyDiv w:val="1"/>
      <w:marLeft w:val="0"/>
      <w:marRight w:val="0"/>
      <w:marTop w:val="0"/>
      <w:marBottom w:val="0"/>
      <w:divBdr>
        <w:top w:val="none" w:sz="0" w:space="0" w:color="auto"/>
        <w:left w:val="none" w:sz="0" w:space="0" w:color="auto"/>
        <w:bottom w:val="none" w:sz="0" w:space="0" w:color="auto"/>
        <w:right w:val="none" w:sz="0" w:space="0" w:color="auto"/>
      </w:divBdr>
    </w:div>
    <w:div w:id="131755131">
      <w:bodyDiv w:val="1"/>
      <w:marLeft w:val="0"/>
      <w:marRight w:val="0"/>
      <w:marTop w:val="0"/>
      <w:marBottom w:val="0"/>
      <w:divBdr>
        <w:top w:val="none" w:sz="0" w:space="0" w:color="auto"/>
        <w:left w:val="none" w:sz="0" w:space="0" w:color="auto"/>
        <w:bottom w:val="none" w:sz="0" w:space="0" w:color="auto"/>
        <w:right w:val="none" w:sz="0" w:space="0" w:color="auto"/>
      </w:divBdr>
    </w:div>
    <w:div w:id="140853104">
      <w:bodyDiv w:val="1"/>
      <w:marLeft w:val="0"/>
      <w:marRight w:val="0"/>
      <w:marTop w:val="0"/>
      <w:marBottom w:val="0"/>
      <w:divBdr>
        <w:top w:val="none" w:sz="0" w:space="0" w:color="auto"/>
        <w:left w:val="none" w:sz="0" w:space="0" w:color="auto"/>
        <w:bottom w:val="none" w:sz="0" w:space="0" w:color="auto"/>
        <w:right w:val="none" w:sz="0" w:space="0" w:color="auto"/>
      </w:divBdr>
    </w:div>
    <w:div w:id="171190148">
      <w:bodyDiv w:val="1"/>
      <w:marLeft w:val="0"/>
      <w:marRight w:val="0"/>
      <w:marTop w:val="0"/>
      <w:marBottom w:val="0"/>
      <w:divBdr>
        <w:top w:val="none" w:sz="0" w:space="0" w:color="auto"/>
        <w:left w:val="none" w:sz="0" w:space="0" w:color="auto"/>
        <w:bottom w:val="none" w:sz="0" w:space="0" w:color="auto"/>
        <w:right w:val="none" w:sz="0" w:space="0" w:color="auto"/>
      </w:divBdr>
    </w:div>
    <w:div w:id="190145140">
      <w:bodyDiv w:val="1"/>
      <w:marLeft w:val="0"/>
      <w:marRight w:val="0"/>
      <w:marTop w:val="0"/>
      <w:marBottom w:val="0"/>
      <w:divBdr>
        <w:top w:val="none" w:sz="0" w:space="0" w:color="auto"/>
        <w:left w:val="none" w:sz="0" w:space="0" w:color="auto"/>
        <w:bottom w:val="none" w:sz="0" w:space="0" w:color="auto"/>
        <w:right w:val="none" w:sz="0" w:space="0" w:color="auto"/>
      </w:divBdr>
    </w:div>
    <w:div w:id="196891558">
      <w:bodyDiv w:val="1"/>
      <w:marLeft w:val="0"/>
      <w:marRight w:val="0"/>
      <w:marTop w:val="0"/>
      <w:marBottom w:val="0"/>
      <w:divBdr>
        <w:top w:val="none" w:sz="0" w:space="0" w:color="auto"/>
        <w:left w:val="none" w:sz="0" w:space="0" w:color="auto"/>
        <w:bottom w:val="none" w:sz="0" w:space="0" w:color="auto"/>
        <w:right w:val="none" w:sz="0" w:space="0" w:color="auto"/>
      </w:divBdr>
    </w:div>
    <w:div w:id="205410126">
      <w:bodyDiv w:val="1"/>
      <w:marLeft w:val="0"/>
      <w:marRight w:val="0"/>
      <w:marTop w:val="0"/>
      <w:marBottom w:val="0"/>
      <w:divBdr>
        <w:top w:val="none" w:sz="0" w:space="0" w:color="auto"/>
        <w:left w:val="none" w:sz="0" w:space="0" w:color="auto"/>
        <w:bottom w:val="none" w:sz="0" w:space="0" w:color="auto"/>
        <w:right w:val="none" w:sz="0" w:space="0" w:color="auto"/>
      </w:divBdr>
    </w:div>
    <w:div w:id="208612019">
      <w:bodyDiv w:val="1"/>
      <w:marLeft w:val="0"/>
      <w:marRight w:val="0"/>
      <w:marTop w:val="0"/>
      <w:marBottom w:val="0"/>
      <w:divBdr>
        <w:top w:val="none" w:sz="0" w:space="0" w:color="auto"/>
        <w:left w:val="none" w:sz="0" w:space="0" w:color="auto"/>
        <w:bottom w:val="none" w:sz="0" w:space="0" w:color="auto"/>
        <w:right w:val="none" w:sz="0" w:space="0" w:color="auto"/>
      </w:divBdr>
    </w:div>
    <w:div w:id="223026496">
      <w:bodyDiv w:val="1"/>
      <w:marLeft w:val="0"/>
      <w:marRight w:val="0"/>
      <w:marTop w:val="0"/>
      <w:marBottom w:val="0"/>
      <w:divBdr>
        <w:top w:val="none" w:sz="0" w:space="0" w:color="auto"/>
        <w:left w:val="none" w:sz="0" w:space="0" w:color="auto"/>
        <w:bottom w:val="none" w:sz="0" w:space="0" w:color="auto"/>
        <w:right w:val="none" w:sz="0" w:space="0" w:color="auto"/>
      </w:divBdr>
    </w:div>
    <w:div w:id="247231593">
      <w:bodyDiv w:val="1"/>
      <w:marLeft w:val="0"/>
      <w:marRight w:val="0"/>
      <w:marTop w:val="0"/>
      <w:marBottom w:val="0"/>
      <w:divBdr>
        <w:top w:val="none" w:sz="0" w:space="0" w:color="auto"/>
        <w:left w:val="none" w:sz="0" w:space="0" w:color="auto"/>
        <w:bottom w:val="none" w:sz="0" w:space="0" w:color="auto"/>
        <w:right w:val="none" w:sz="0" w:space="0" w:color="auto"/>
      </w:divBdr>
    </w:div>
    <w:div w:id="254483235">
      <w:bodyDiv w:val="1"/>
      <w:marLeft w:val="0"/>
      <w:marRight w:val="0"/>
      <w:marTop w:val="0"/>
      <w:marBottom w:val="0"/>
      <w:divBdr>
        <w:top w:val="none" w:sz="0" w:space="0" w:color="auto"/>
        <w:left w:val="none" w:sz="0" w:space="0" w:color="auto"/>
        <w:bottom w:val="none" w:sz="0" w:space="0" w:color="auto"/>
        <w:right w:val="none" w:sz="0" w:space="0" w:color="auto"/>
      </w:divBdr>
      <w:divsChild>
        <w:div w:id="2125034771">
          <w:marLeft w:val="0"/>
          <w:marRight w:val="0"/>
          <w:marTop w:val="0"/>
          <w:marBottom w:val="0"/>
          <w:divBdr>
            <w:top w:val="none" w:sz="0" w:space="0" w:color="auto"/>
            <w:left w:val="none" w:sz="0" w:space="0" w:color="auto"/>
            <w:bottom w:val="none" w:sz="0" w:space="0" w:color="auto"/>
            <w:right w:val="none" w:sz="0" w:space="0" w:color="auto"/>
          </w:divBdr>
        </w:div>
      </w:divsChild>
    </w:div>
    <w:div w:id="275017693">
      <w:bodyDiv w:val="1"/>
      <w:marLeft w:val="0"/>
      <w:marRight w:val="0"/>
      <w:marTop w:val="0"/>
      <w:marBottom w:val="0"/>
      <w:divBdr>
        <w:top w:val="none" w:sz="0" w:space="0" w:color="auto"/>
        <w:left w:val="none" w:sz="0" w:space="0" w:color="auto"/>
        <w:bottom w:val="none" w:sz="0" w:space="0" w:color="auto"/>
        <w:right w:val="none" w:sz="0" w:space="0" w:color="auto"/>
      </w:divBdr>
    </w:div>
    <w:div w:id="291445223">
      <w:bodyDiv w:val="1"/>
      <w:marLeft w:val="0"/>
      <w:marRight w:val="0"/>
      <w:marTop w:val="0"/>
      <w:marBottom w:val="0"/>
      <w:divBdr>
        <w:top w:val="none" w:sz="0" w:space="0" w:color="auto"/>
        <w:left w:val="none" w:sz="0" w:space="0" w:color="auto"/>
        <w:bottom w:val="none" w:sz="0" w:space="0" w:color="auto"/>
        <w:right w:val="none" w:sz="0" w:space="0" w:color="auto"/>
      </w:divBdr>
    </w:div>
    <w:div w:id="314578233">
      <w:bodyDiv w:val="1"/>
      <w:marLeft w:val="0"/>
      <w:marRight w:val="0"/>
      <w:marTop w:val="0"/>
      <w:marBottom w:val="0"/>
      <w:divBdr>
        <w:top w:val="none" w:sz="0" w:space="0" w:color="auto"/>
        <w:left w:val="none" w:sz="0" w:space="0" w:color="auto"/>
        <w:bottom w:val="none" w:sz="0" w:space="0" w:color="auto"/>
        <w:right w:val="none" w:sz="0" w:space="0" w:color="auto"/>
      </w:divBdr>
    </w:div>
    <w:div w:id="317854783">
      <w:bodyDiv w:val="1"/>
      <w:marLeft w:val="0"/>
      <w:marRight w:val="0"/>
      <w:marTop w:val="0"/>
      <w:marBottom w:val="0"/>
      <w:divBdr>
        <w:top w:val="none" w:sz="0" w:space="0" w:color="auto"/>
        <w:left w:val="none" w:sz="0" w:space="0" w:color="auto"/>
        <w:bottom w:val="none" w:sz="0" w:space="0" w:color="auto"/>
        <w:right w:val="none" w:sz="0" w:space="0" w:color="auto"/>
      </w:divBdr>
    </w:div>
    <w:div w:id="318463564">
      <w:bodyDiv w:val="1"/>
      <w:marLeft w:val="0"/>
      <w:marRight w:val="0"/>
      <w:marTop w:val="0"/>
      <w:marBottom w:val="0"/>
      <w:divBdr>
        <w:top w:val="none" w:sz="0" w:space="0" w:color="auto"/>
        <w:left w:val="none" w:sz="0" w:space="0" w:color="auto"/>
        <w:bottom w:val="none" w:sz="0" w:space="0" w:color="auto"/>
        <w:right w:val="none" w:sz="0" w:space="0" w:color="auto"/>
      </w:divBdr>
    </w:div>
    <w:div w:id="352616133">
      <w:bodyDiv w:val="1"/>
      <w:marLeft w:val="0"/>
      <w:marRight w:val="0"/>
      <w:marTop w:val="0"/>
      <w:marBottom w:val="0"/>
      <w:divBdr>
        <w:top w:val="none" w:sz="0" w:space="0" w:color="auto"/>
        <w:left w:val="none" w:sz="0" w:space="0" w:color="auto"/>
        <w:bottom w:val="none" w:sz="0" w:space="0" w:color="auto"/>
        <w:right w:val="none" w:sz="0" w:space="0" w:color="auto"/>
      </w:divBdr>
    </w:div>
    <w:div w:id="359673230">
      <w:bodyDiv w:val="1"/>
      <w:marLeft w:val="0"/>
      <w:marRight w:val="0"/>
      <w:marTop w:val="0"/>
      <w:marBottom w:val="0"/>
      <w:divBdr>
        <w:top w:val="none" w:sz="0" w:space="0" w:color="auto"/>
        <w:left w:val="none" w:sz="0" w:space="0" w:color="auto"/>
        <w:bottom w:val="none" w:sz="0" w:space="0" w:color="auto"/>
        <w:right w:val="none" w:sz="0" w:space="0" w:color="auto"/>
      </w:divBdr>
    </w:div>
    <w:div w:id="376779513">
      <w:bodyDiv w:val="1"/>
      <w:marLeft w:val="0"/>
      <w:marRight w:val="0"/>
      <w:marTop w:val="0"/>
      <w:marBottom w:val="0"/>
      <w:divBdr>
        <w:top w:val="none" w:sz="0" w:space="0" w:color="auto"/>
        <w:left w:val="none" w:sz="0" w:space="0" w:color="auto"/>
        <w:bottom w:val="none" w:sz="0" w:space="0" w:color="auto"/>
        <w:right w:val="none" w:sz="0" w:space="0" w:color="auto"/>
      </w:divBdr>
    </w:div>
    <w:div w:id="379481116">
      <w:bodyDiv w:val="1"/>
      <w:marLeft w:val="0"/>
      <w:marRight w:val="0"/>
      <w:marTop w:val="0"/>
      <w:marBottom w:val="0"/>
      <w:divBdr>
        <w:top w:val="none" w:sz="0" w:space="0" w:color="auto"/>
        <w:left w:val="none" w:sz="0" w:space="0" w:color="auto"/>
        <w:bottom w:val="none" w:sz="0" w:space="0" w:color="auto"/>
        <w:right w:val="none" w:sz="0" w:space="0" w:color="auto"/>
      </w:divBdr>
    </w:div>
    <w:div w:id="390230230">
      <w:bodyDiv w:val="1"/>
      <w:marLeft w:val="0"/>
      <w:marRight w:val="0"/>
      <w:marTop w:val="0"/>
      <w:marBottom w:val="0"/>
      <w:divBdr>
        <w:top w:val="none" w:sz="0" w:space="0" w:color="auto"/>
        <w:left w:val="none" w:sz="0" w:space="0" w:color="auto"/>
        <w:bottom w:val="none" w:sz="0" w:space="0" w:color="auto"/>
        <w:right w:val="none" w:sz="0" w:space="0" w:color="auto"/>
      </w:divBdr>
    </w:div>
    <w:div w:id="410078708">
      <w:bodyDiv w:val="1"/>
      <w:marLeft w:val="0"/>
      <w:marRight w:val="0"/>
      <w:marTop w:val="0"/>
      <w:marBottom w:val="0"/>
      <w:divBdr>
        <w:top w:val="none" w:sz="0" w:space="0" w:color="auto"/>
        <w:left w:val="none" w:sz="0" w:space="0" w:color="auto"/>
        <w:bottom w:val="none" w:sz="0" w:space="0" w:color="auto"/>
        <w:right w:val="none" w:sz="0" w:space="0" w:color="auto"/>
      </w:divBdr>
    </w:div>
    <w:div w:id="433092921">
      <w:bodyDiv w:val="1"/>
      <w:marLeft w:val="0"/>
      <w:marRight w:val="0"/>
      <w:marTop w:val="0"/>
      <w:marBottom w:val="0"/>
      <w:divBdr>
        <w:top w:val="none" w:sz="0" w:space="0" w:color="auto"/>
        <w:left w:val="none" w:sz="0" w:space="0" w:color="auto"/>
        <w:bottom w:val="none" w:sz="0" w:space="0" w:color="auto"/>
        <w:right w:val="none" w:sz="0" w:space="0" w:color="auto"/>
      </w:divBdr>
    </w:div>
    <w:div w:id="438911691">
      <w:bodyDiv w:val="1"/>
      <w:marLeft w:val="0"/>
      <w:marRight w:val="0"/>
      <w:marTop w:val="0"/>
      <w:marBottom w:val="0"/>
      <w:divBdr>
        <w:top w:val="none" w:sz="0" w:space="0" w:color="auto"/>
        <w:left w:val="none" w:sz="0" w:space="0" w:color="auto"/>
        <w:bottom w:val="none" w:sz="0" w:space="0" w:color="auto"/>
        <w:right w:val="none" w:sz="0" w:space="0" w:color="auto"/>
      </w:divBdr>
    </w:div>
    <w:div w:id="481699492">
      <w:bodyDiv w:val="1"/>
      <w:marLeft w:val="0"/>
      <w:marRight w:val="0"/>
      <w:marTop w:val="0"/>
      <w:marBottom w:val="0"/>
      <w:divBdr>
        <w:top w:val="none" w:sz="0" w:space="0" w:color="auto"/>
        <w:left w:val="none" w:sz="0" w:space="0" w:color="auto"/>
        <w:bottom w:val="none" w:sz="0" w:space="0" w:color="auto"/>
        <w:right w:val="none" w:sz="0" w:space="0" w:color="auto"/>
      </w:divBdr>
    </w:div>
    <w:div w:id="491532246">
      <w:bodyDiv w:val="1"/>
      <w:marLeft w:val="0"/>
      <w:marRight w:val="0"/>
      <w:marTop w:val="0"/>
      <w:marBottom w:val="0"/>
      <w:divBdr>
        <w:top w:val="none" w:sz="0" w:space="0" w:color="auto"/>
        <w:left w:val="none" w:sz="0" w:space="0" w:color="auto"/>
        <w:bottom w:val="none" w:sz="0" w:space="0" w:color="auto"/>
        <w:right w:val="none" w:sz="0" w:space="0" w:color="auto"/>
      </w:divBdr>
    </w:div>
    <w:div w:id="498499423">
      <w:bodyDiv w:val="1"/>
      <w:marLeft w:val="0"/>
      <w:marRight w:val="0"/>
      <w:marTop w:val="0"/>
      <w:marBottom w:val="0"/>
      <w:divBdr>
        <w:top w:val="none" w:sz="0" w:space="0" w:color="auto"/>
        <w:left w:val="none" w:sz="0" w:space="0" w:color="auto"/>
        <w:bottom w:val="none" w:sz="0" w:space="0" w:color="auto"/>
        <w:right w:val="none" w:sz="0" w:space="0" w:color="auto"/>
      </w:divBdr>
    </w:div>
    <w:div w:id="513766989">
      <w:bodyDiv w:val="1"/>
      <w:marLeft w:val="0"/>
      <w:marRight w:val="0"/>
      <w:marTop w:val="0"/>
      <w:marBottom w:val="0"/>
      <w:divBdr>
        <w:top w:val="none" w:sz="0" w:space="0" w:color="auto"/>
        <w:left w:val="none" w:sz="0" w:space="0" w:color="auto"/>
        <w:bottom w:val="none" w:sz="0" w:space="0" w:color="auto"/>
        <w:right w:val="none" w:sz="0" w:space="0" w:color="auto"/>
      </w:divBdr>
    </w:div>
    <w:div w:id="514224272">
      <w:bodyDiv w:val="1"/>
      <w:marLeft w:val="0"/>
      <w:marRight w:val="0"/>
      <w:marTop w:val="0"/>
      <w:marBottom w:val="0"/>
      <w:divBdr>
        <w:top w:val="none" w:sz="0" w:space="0" w:color="auto"/>
        <w:left w:val="none" w:sz="0" w:space="0" w:color="auto"/>
        <w:bottom w:val="none" w:sz="0" w:space="0" w:color="auto"/>
        <w:right w:val="none" w:sz="0" w:space="0" w:color="auto"/>
      </w:divBdr>
    </w:div>
    <w:div w:id="541327536">
      <w:bodyDiv w:val="1"/>
      <w:marLeft w:val="0"/>
      <w:marRight w:val="0"/>
      <w:marTop w:val="0"/>
      <w:marBottom w:val="0"/>
      <w:divBdr>
        <w:top w:val="none" w:sz="0" w:space="0" w:color="auto"/>
        <w:left w:val="none" w:sz="0" w:space="0" w:color="auto"/>
        <w:bottom w:val="none" w:sz="0" w:space="0" w:color="auto"/>
        <w:right w:val="none" w:sz="0" w:space="0" w:color="auto"/>
      </w:divBdr>
    </w:div>
    <w:div w:id="555045136">
      <w:bodyDiv w:val="1"/>
      <w:marLeft w:val="0"/>
      <w:marRight w:val="0"/>
      <w:marTop w:val="0"/>
      <w:marBottom w:val="0"/>
      <w:divBdr>
        <w:top w:val="none" w:sz="0" w:space="0" w:color="auto"/>
        <w:left w:val="none" w:sz="0" w:space="0" w:color="auto"/>
        <w:bottom w:val="none" w:sz="0" w:space="0" w:color="auto"/>
        <w:right w:val="none" w:sz="0" w:space="0" w:color="auto"/>
      </w:divBdr>
    </w:div>
    <w:div w:id="575020004">
      <w:bodyDiv w:val="1"/>
      <w:marLeft w:val="0"/>
      <w:marRight w:val="0"/>
      <w:marTop w:val="0"/>
      <w:marBottom w:val="0"/>
      <w:divBdr>
        <w:top w:val="none" w:sz="0" w:space="0" w:color="auto"/>
        <w:left w:val="none" w:sz="0" w:space="0" w:color="auto"/>
        <w:bottom w:val="none" w:sz="0" w:space="0" w:color="auto"/>
        <w:right w:val="none" w:sz="0" w:space="0" w:color="auto"/>
      </w:divBdr>
    </w:div>
    <w:div w:id="575825019">
      <w:bodyDiv w:val="1"/>
      <w:marLeft w:val="0"/>
      <w:marRight w:val="0"/>
      <w:marTop w:val="0"/>
      <w:marBottom w:val="0"/>
      <w:divBdr>
        <w:top w:val="none" w:sz="0" w:space="0" w:color="auto"/>
        <w:left w:val="none" w:sz="0" w:space="0" w:color="auto"/>
        <w:bottom w:val="none" w:sz="0" w:space="0" w:color="auto"/>
        <w:right w:val="none" w:sz="0" w:space="0" w:color="auto"/>
      </w:divBdr>
    </w:div>
    <w:div w:id="614559772">
      <w:bodyDiv w:val="1"/>
      <w:marLeft w:val="0"/>
      <w:marRight w:val="0"/>
      <w:marTop w:val="0"/>
      <w:marBottom w:val="0"/>
      <w:divBdr>
        <w:top w:val="none" w:sz="0" w:space="0" w:color="auto"/>
        <w:left w:val="none" w:sz="0" w:space="0" w:color="auto"/>
        <w:bottom w:val="none" w:sz="0" w:space="0" w:color="auto"/>
        <w:right w:val="none" w:sz="0" w:space="0" w:color="auto"/>
      </w:divBdr>
    </w:div>
    <w:div w:id="615865324">
      <w:bodyDiv w:val="1"/>
      <w:marLeft w:val="0"/>
      <w:marRight w:val="0"/>
      <w:marTop w:val="0"/>
      <w:marBottom w:val="0"/>
      <w:divBdr>
        <w:top w:val="none" w:sz="0" w:space="0" w:color="auto"/>
        <w:left w:val="none" w:sz="0" w:space="0" w:color="auto"/>
        <w:bottom w:val="none" w:sz="0" w:space="0" w:color="auto"/>
        <w:right w:val="none" w:sz="0" w:space="0" w:color="auto"/>
      </w:divBdr>
    </w:div>
    <w:div w:id="616109451">
      <w:bodyDiv w:val="1"/>
      <w:marLeft w:val="0"/>
      <w:marRight w:val="0"/>
      <w:marTop w:val="0"/>
      <w:marBottom w:val="0"/>
      <w:divBdr>
        <w:top w:val="none" w:sz="0" w:space="0" w:color="auto"/>
        <w:left w:val="none" w:sz="0" w:space="0" w:color="auto"/>
        <w:bottom w:val="none" w:sz="0" w:space="0" w:color="auto"/>
        <w:right w:val="none" w:sz="0" w:space="0" w:color="auto"/>
      </w:divBdr>
    </w:div>
    <w:div w:id="623535831">
      <w:bodyDiv w:val="1"/>
      <w:marLeft w:val="0"/>
      <w:marRight w:val="0"/>
      <w:marTop w:val="0"/>
      <w:marBottom w:val="0"/>
      <w:divBdr>
        <w:top w:val="none" w:sz="0" w:space="0" w:color="auto"/>
        <w:left w:val="none" w:sz="0" w:space="0" w:color="auto"/>
        <w:bottom w:val="none" w:sz="0" w:space="0" w:color="auto"/>
        <w:right w:val="none" w:sz="0" w:space="0" w:color="auto"/>
      </w:divBdr>
    </w:div>
    <w:div w:id="629366131">
      <w:bodyDiv w:val="1"/>
      <w:marLeft w:val="0"/>
      <w:marRight w:val="0"/>
      <w:marTop w:val="0"/>
      <w:marBottom w:val="0"/>
      <w:divBdr>
        <w:top w:val="none" w:sz="0" w:space="0" w:color="auto"/>
        <w:left w:val="none" w:sz="0" w:space="0" w:color="auto"/>
        <w:bottom w:val="none" w:sz="0" w:space="0" w:color="auto"/>
        <w:right w:val="none" w:sz="0" w:space="0" w:color="auto"/>
      </w:divBdr>
    </w:div>
    <w:div w:id="652218945">
      <w:bodyDiv w:val="1"/>
      <w:marLeft w:val="0"/>
      <w:marRight w:val="0"/>
      <w:marTop w:val="0"/>
      <w:marBottom w:val="0"/>
      <w:divBdr>
        <w:top w:val="none" w:sz="0" w:space="0" w:color="auto"/>
        <w:left w:val="none" w:sz="0" w:space="0" w:color="auto"/>
        <w:bottom w:val="none" w:sz="0" w:space="0" w:color="auto"/>
        <w:right w:val="none" w:sz="0" w:space="0" w:color="auto"/>
      </w:divBdr>
    </w:div>
    <w:div w:id="659161604">
      <w:bodyDiv w:val="1"/>
      <w:marLeft w:val="0"/>
      <w:marRight w:val="0"/>
      <w:marTop w:val="0"/>
      <w:marBottom w:val="0"/>
      <w:divBdr>
        <w:top w:val="none" w:sz="0" w:space="0" w:color="auto"/>
        <w:left w:val="none" w:sz="0" w:space="0" w:color="auto"/>
        <w:bottom w:val="none" w:sz="0" w:space="0" w:color="auto"/>
        <w:right w:val="none" w:sz="0" w:space="0" w:color="auto"/>
      </w:divBdr>
    </w:div>
    <w:div w:id="666058444">
      <w:bodyDiv w:val="1"/>
      <w:marLeft w:val="0"/>
      <w:marRight w:val="0"/>
      <w:marTop w:val="0"/>
      <w:marBottom w:val="0"/>
      <w:divBdr>
        <w:top w:val="none" w:sz="0" w:space="0" w:color="auto"/>
        <w:left w:val="none" w:sz="0" w:space="0" w:color="auto"/>
        <w:bottom w:val="none" w:sz="0" w:space="0" w:color="auto"/>
        <w:right w:val="none" w:sz="0" w:space="0" w:color="auto"/>
      </w:divBdr>
    </w:div>
    <w:div w:id="675158845">
      <w:bodyDiv w:val="1"/>
      <w:marLeft w:val="0"/>
      <w:marRight w:val="0"/>
      <w:marTop w:val="0"/>
      <w:marBottom w:val="0"/>
      <w:divBdr>
        <w:top w:val="none" w:sz="0" w:space="0" w:color="auto"/>
        <w:left w:val="none" w:sz="0" w:space="0" w:color="auto"/>
        <w:bottom w:val="none" w:sz="0" w:space="0" w:color="auto"/>
        <w:right w:val="none" w:sz="0" w:space="0" w:color="auto"/>
      </w:divBdr>
    </w:div>
    <w:div w:id="675351427">
      <w:bodyDiv w:val="1"/>
      <w:marLeft w:val="0"/>
      <w:marRight w:val="0"/>
      <w:marTop w:val="0"/>
      <w:marBottom w:val="0"/>
      <w:divBdr>
        <w:top w:val="none" w:sz="0" w:space="0" w:color="auto"/>
        <w:left w:val="none" w:sz="0" w:space="0" w:color="auto"/>
        <w:bottom w:val="none" w:sz="0" w:space="0" w:color="auto"/>
        <w:right w:val="none" w:sz="0" w:space="0" w:color="auto"/>
      </w:divBdr>
    </w:div>
    <w:div w:id="684986580">
      <w:bodyDiv w:val="1"/>
      <w:marLeft w:val="0"/>
      <w:marRight w:val="0"/>
      <w:marTop w:val="0"/>
      <w:marBottom w:val="0"/>
      <w:divBdr>
        <w:top w:val="none" w:sz="0" w:space="0" w:color="auto"/>
        <w:left w:val="none" w:sz="0" w:space="0" w:color="auto"/>
        <w:bottom w:val="none" w:sz="0" w:space="0" w:color="auto"/>
        <w:right w:val="none" w:sz="0" w:space="0" w:color="auto"/>
      </w:divBdr>
    </w:div>
    <w:div w:id="688331536">
      <w:bodyDiv w:val="1"/>
      <w:marLeft w:val="0"/>
      <w:marRight w:val="0"/>
      <w:marTop w:val="0"/>
      <w:marBottom w:val="0"/>
      <w:divBdr>
        <w:top w:val="none" w:sz="0" w:space="0" w:color="auto"/>
        <w:left w:val="none" w:sz="0" w:space="0" w:color="auto"/>
        <w:bottom w:val="none" w:sz="0" w:space="0" w:color="auto"/>
        <w:right w:val="none" w:sz="0" w:space="0" w:color="auto"/>
      </w:divBdr>
    </w:div>
    <w:div w:id="719862795">
      <w:bodyDiv w:val="1"/>
      <w:marLeft w:val="0"/>
      <w:marRight w:val="0"/>
      <w:marTop w:val="0"/>
      <w:marBottom w:val="0"/>
      <w:divBdr>
        <w:top w:val="none" w:sz="0" w:space="0" w:color="auto"/>
        <w:left w:val="none" w:sz="0" w:space="0" w:color="auto"/>
        <w:bottom w:val="none" w:sz="0" w:space="0" w:color="auto"/>
        <w:right w:val="none" w:sz="0" w:space="0" w:color="auto"/>
      </w:divBdr>
    </w:div>
    <w:div w:id="737947628">
      <w:bodyDiv w:val="1"/>
      <w:marLeft w:val="0"/>
      <w:marRight w:val="0"/>
      <w:marTop w:val="0"/>
      <w:marBottom w:val="0"/>
      <w:divBdr>
        <w:top w:val="none" w:sz="0" w:space="0" w:color="auto"/>
        <w:left w:val="none" w:sz="0" w:space="0" w:color="auto"/>
        <w:bottom w:val="none" w:sz="0" w:space="0" w:color="auto"/>
        <w:right w:val="none" w:sz="0" w:space="0" w:color="auto"/>
      </w:divBdr>
    </w:div>
    <w:div w:id="739792948">
      <w:bodyDiv w:val="1"/>
      <w:marLeft w:val="0"/>
      <w:marRight w:val="0"/>
      <w:marTop w:val="0"/>
      <w:marBottom w:val="0"/>
      <w:divBdr>
        <w:top w:val="none" w:sz="0" w:space="0" w:color="auto"/>
        <w:left w:val="none" w:sz="0" w:space="0" w:color="auto"/>
        <w:bottom w:val="none" w:sz="0" w:space="0" w:color="auto"/>
        <w:right w:val="none" w:sz="0" w:space="0" w:color="auto"/>
      </w:divBdr>
    </w:div>
    <w:div w:id="781195211">
      <w:bodyDiv w:val="1"/>
      <w:marLeft w:val="0"/>
      <w:marRight w:val="0"/>
      <w:marTop w:val="0"/>
      <w:marBottom w:val="0"/>
      <w:divBdr>
        <w:top w:val="none" w:sz="0" w:space="0" w:color="auto"/>
        <w:left w:val="none" w:sz="0" w:space="0" w:color="auto"/>
        <w:bottom w:val="none" w:sz="0" w:space="0" w:color="auto"/>
        <w:right w:val="none" w:sz="0" w:space="0" w:color="auto"/>
      </w:divBdr>
    </w:div>
    <w:div w:id="782577245">
      <w:bodyDiv w:val="1"/>
      <w:marLeft w:val="0"/>
      <w:marRight w:val="0"/>
      <w:marTop w:val="0"/>
      <w:marBottom w:val="0"/>
      <w:divBdr>
        <w:top w:val="none" w:sz="0" w:space="0" w:color="auto"/>
        <w:left w:val="none" w:sz="0" w:space="0" w:color="auto"/>
        <w:bottom w:val="none" w:sz="0" w:space="0" w:color="auto"/>
        <w:right w:val="none" w:sz="0" w:space="0" w:color="auto"/>
      </w:divBdr>
    </w:div>
    <w:div w:id="786659980">
      <w:bodyDiv w:val="1"/>
      <w:marLeft w:val="0"/>
      <w:marRight w:val="0"/>
      <w:marTop w:val="0"/>
      <w:marBottom w:val="0"/>
      <w:divBdr>
        <w:top w:val="none" w:sz="0" w:space="0" w:color="auto"/>
        <w:left w:val="none" w:sz="0" w:space="0" w:color="auto"/>
        <w:bottom w:val="none" w:sz="0" w:space="0" w:color="auto"/>
        <w:right w:val="none" w:sz="0" w:space="0" w:color="auto"/>
      </w:divBdr>
    </w:div>
    <w:div w:id="788010719">
      <w:bodyDiv w:val="1"/>
      <w:marLeft w:val="0"/>
      <w:marRight w:val="0"/>
      <w:marTop w:val="0"/>
      <w:marBottom w:val="0"/>
      <w:divBdr>
        <w:top w:val="none" w:sz="0" w:space="0" w:color="auto"/>
        <w:left w:val="none" w:sz="0" w:space="0" w:color="auto"/>
        <w:bottom w:val="none" w:sz="0" w:space="0" w:color="auto"/>
        <w:right w:val="none" w:sz="0" w:space="0" w:color="auto"/>
      </w:divBdr>
    </w:div>
    <w:div w:id="804809410">
      <w:bodyDiv w:val="1"/>
      <w:marLeft w:val="0"/>
      <w:marRight w:val="0"/>
      <w:marTop w:val="0"/>
      <w:marBottom w:val="0"/>
      <w:divBdr>
        <w:top w:val="none" w:sz="0" w:space="0" w:color="auto"/>
        <w:left w:val="none" w:sz="0" w:space="0" w:color="auto"/>
        <w:bottom w:val="none" w:sz="0" w:space="0" w:color="auto"/>
        <w:right w:val="none" w:sz="0" w:space="0" w:color="auto"/>
      </w:divBdr>
    </w:div>
    <w:div w:id="876746509">
      <w:bodyDiv w:val="1"/>
      <w:marLeft w:val="0"/>
      <w:marRight w:val="0"/>
      <w:marTop w:val="0"/>
      <w:marBottom w:val="0"/>
      <w:divBdr>
        <w:top w:val="none" w:sz="0" w:space="0" w:color="auto"/>
        <w:left w:val="none" w:sz="0" w:space="0" w:color="auto"/>
        <w:bottom w:val="none" w:sz="0" w:space="0" w:color="auto"/>
        <w:right w:val="none" w:sz="0" w:space="0" w:color="auto"/>
      </w:divBdr>
    </w:div>
    <w:div w:id="958223702">
      <w:bodyDiv w:val="1"/>
      <w:marLeft w:val="0"/>
      <w:marRight w:val="0"/>
      <w:marTop w:val="0"/>
      <w:marBottom w:val="0"/>
      <w:divBdr>
        <w:top w:val="none" w:sz="0" w:space="0" w:color="auto"/>
        <w:left w:val="none" w:sz="0" w:space="0" w:color="auto"/>
        <w:bottom w:val="none" w:sz="0" w:space="0" w:color="auto"/>
        <w:right w:val="none" w:sz="0" w:space="0" w:color="auto"/>
      </w:divBdr>
    </w:div>
    <w:div w:id="962156029">
      <w:bodyDiv w:val="1"/>
      <w:marLeft w:val="0"/>
      <w:marRight w:val="0"/>
      <w:marTop w:val="0"/>
      <w:marBottom w:val="0"/>
      <w:divBdr>
        <w:top w:val="none" w:sz="0" w:space="0" w:color="auto"/>
        <w:left w:val="none" w:sz="0" w:space="0" w:color="auto"/>
        <w:bottom w:val="none" w:sz="0" w:space="0" w:color="auto"/>
        <w:right w:val="none" w:sz="0" w:space="0" w:color="auto"/>
      </w:divBdr>
    </w:div>
    <w:div w:id="966355066">
      <w:bodyDiv w:val="1"/>
      <w:marLeft w:val="0"/>
      <w:marRight w:val="0"/>
      <w:marTop w:val="0"/>
      <w:marBottom w:val="0"/>
      <w:divBdr>
        <w:top w:val="none" w:sz="0" w:space="0" w:color="auto"/>
        <w:left w:val="none" w:sz="0" w:space="0" w:color="auto"/>
        <w:bottom w:val="none" w:sz="0" w:space="0" w:color="auto"/>
        <w:right w:val="none" w:sz="0" w:space="0" w:color="auto"/>
      </w:divBdr>
    </w:div>
    <w:div w:id="986476636">
      <w:bodyDiv w:val="1"/>
      <w:marLeft w:val="0"/>
      <w:marRight w:val="0"/>
      <w:marTop w:val="0"/>
      <w:marBottom w:val="0"/>
      <w:divBdr>
        <w:top w:val="none" w:sz="0" w:space="0" w:color="auto"/>
        <w:left w:val="none" w:sz="0" w:space="0" w:color="auto"/>
        <w:bottom w:val="none" w:sz="0" w:space="0" w:color="auto"/>
        <w:right w:val="none" w:sz="0" w:space="0" w:color="auto"/>
      </w:divBdr>
    </w:div>
    <w:div w:id="1065953575">
      <w:bodyDiv w:val="1"/>
      <w:marLeft w:val="0"/>
      <w:marRight w:val="0"/>
      <w:marTop w:val="0"/>
      <w:marBottom w:val="0"/>
      <w:divBdr>
        <w:top w:val="none" w:sz="0" w:space="0" w:color="auto"/>
        <w:left w:val="none" w:sz="0" w:space="0" w:color="auto"/>
        <w:bottom w:val="none" w:sz="0" w:space="0" w:color="auto"/>
        <w:right w:val="none" w:sz="0" w:space="0" w:color="auto"/>
      </w:divBdr>
    </w:div>
    <w:div w:id="1103652766">
      <w:bodyDiv w:val="1"/>
      <w:marLeft w:val="0"/>
      <w:marRight w:val="0"/>
      <w:marTop w:val="0"/>
      <w:marBottom w:val="0"/>
      <w:divBdr>
        <w:top w:val="none" w:sz="0" w:space="0" w:color="auto"/>
        <w:left w:val="none" w:sz="0" w:space="0" w:color="auto"/>
        <w:bottom w:val="none" w:sz="0" w:space="0" w:color="auto"/>
        <w:right w:val="none" w:sz="0" w:space="0" w:color="auto"/>
      </w:divBdr>
    </w:div>
    <w:div w:id="1113551771">
      <w:bodyDiv w:val="1"/>
      <w:marLeft w:val="0"/>
      <w:marRight w:val="0"/>
      <w:marTop w:val="0"/>
      <w:marBottom w:val="0"/>
      <w:divBdr>
        <w:top w:val="none" w:sz="0" w:space="0" w:color="auto"/>
        <w:left w:val="none" w:sz="0" w:space="0" w:color="auto"/>
        <w:bottom w:val="none" w:sz="0" w:space="0" w:color="auto"/>
        <w:right w:val="none" w:sz="0" w:space="0" w:color="auto"/>
      </w:divBdr>
    </w:div>
    <w:div w:id="1148591319">
      <w:bodyDiv w:val="1"/>
      <w:marLeft w:val="0"/>
      <w:marRight w:val="0"/>
      <w:marTop w:val="0"/>
      <w:marBottom w:val="0"/>
      <w:divBdr>
        <w:top w:val="none" w:sz="0" w:space="0" w:color="auto"/>
        <w:left w:val="none" w:sz="0" w:space="0" w:color="auto"/>
        <w:bottom w:val="none" w:sz="0" w:space="0" w:color="auto"/>
        <w:right w:val="none" w:sz="0" w:space="0" w:color="auto"/>
      </w:divBdr>
    </w:div>
    <w:div w:id="1169978977">
      <w:bodyDiv w:val="1"/>
      <w:marLeft w:val="0"/>
      <w:marRight w:val="0"/>
      <w:marTop w:val="0"/>
      <w:marBottom w:val="0"/>
      <w:divBdr>
        <w:top w:val="none" w:sz="0" w:space="0" w:color="auto"/>
        <w:left w:val="none" w:sz="0" w:space="0" w:color="auto"/>
        <w:bottom w:val="none" w:sz="0" w:space="0" w:color="auto"/>
        <w:right w:val="none" w:sz="0" w:space="0" w:color="auto"/>
      </w:divBdr>
    </w:div>
    <w:div w:id="1191455690">
      <w:bodyDiv w:val="1"/>
      <w:marLeft w:val="0"/>
      <w:marRight w:val="0"/>
      <w:marTop w:val="0"/>
      <w:marBottom w:val="0"/>
      <w:divBdr>
        <w:top w:val="none" w:sz="0" w:space="0" w:color="auto"/>
        <w:left w:val="none" w:sz="0" w:space="0" w:color="auto"/>
        <w:bottom w:val="none" w:sz="0" w:space="0" w:color="auto"/>
        <w:right w:val="none" w:sz="0" w:space="0" w:color="auto"/>
      </w:divBdr>
    </w:div>
    <w:div w:id="1203716037">
      <w:bodyDiv w:val="1"/>
      <w:marLeft w:val="0"/>
      <w:marRight w:val="0"/>
      <w:marTop w:val="0"/>
      <w:marBottom w:val="0"/>
      <w:divBdr>
        <w:top w:val="none" w:sz="0" w:space="0" w:color="auto"/>
        <w:left w:val="none" w:sz="0" w:space="0" w:color="auto"/>
        <w:bottom w:val="none" w:sz="0" w:space="0" w:color="auto"/>
        <w:right w:val="none" w:sz="0" w:space="0" w:color="auto"/>
      </w:divBdr>
    </w:div>
    <w:div w:id="1205563098">
      <w:bodyDiv w:val="1"/>
      <w:marLeft w:val="0"/>
      <w:marRight w:val="0"/>
      <w:marTop w:val="0"/>
      <w:marBottom w:val="0"/>
      <w:divBdr>
        <w:top w:val="none" w:sz="0" w:space="0" w:color="auto"/>
        <w:left w:val="none" w:sz="0" w:space="0" w:color="auto"/>
        <w:bottom w:val="none" w:sz="0" w:space="0" w:color="auto"/>
        <w:right w:val="none" w:sz="0" w:space="0" w:color="auto"/>
      </w:divBdr>
    </w:div>
    <w:div w:id="1218319276">
      <w:bodyDiv w:val="1"/>
      <w:marLeft w:val="0"/>
      <w:marRight w:val="0"/>
      <w:marTop w:val="0"/>
      <w:marBottom w:val="0"/>
      <w:divBdr>
        <w:top w:val="none" w:sz="0" w:space="0" w:color="auto"/>
        <w:left w:val="none" w:sz="0" w:space="0" w:color="auto"/>
        <w:bottom w:val="none" w:sz="0" w:space="0" w:color="auto"/>
        <w:right w:val="none" w:sz="0" w:space="0" w:color="auto"/>
      </w:divBdr>
    </w:div>
    <w:div w:id="1291984290">
      <w:bodyDiv w:val="1"/>
      <w:marLeft w:val="0"/>
      <w:marRight w:val="0"/>
      <w:marTop w:val="0"/>
      <w:marBottom w:val="0"/>
      <w:divBdr>
        <w:top w:val="none" w:sz="0" w:space="0" w:color="auto"/>
        <w:left w:val="none" w:sz="0" w:space="0" w:color="auto"/>
        <w:bottom w:val="none" w:sz="0" w:space="0" w:color="auto"/>
        <w:right w:val="none" w:sz="0" w:space="0" w:color="auto"/>
      </w:divBdr>
    </w:div>
    <w:div w:id="1296058487">
      <w:bodyDiv w:val="1"/>
      <w:marLeft w:val="0"/>
      <w:marRight w:val="0"/>
      <w:marTop w:val="0"/>
      <w:marBottom w:val="0"/>
      <w:divBdr>
        <w:top w:val="none" w:sz="0" w:space="0" w:color="auto"/>
        <w:left w:val="none" w:sz="0" w:space="0" w:color="auto"/>
        <w:bottom w:val="none" w:sz="0" w:space="0" w:color="auto"/>
        <w:right w:val="none" w:sz="0" w:space="0" w:color="auto"/>
      </w:divBdr>
    </w:div>
    <w:div w:id="1321736144">
      <w:bodyDiv w:val="1"/>
      <w:marLeft w:val="0"/>
      <w:marRight w:val="0"/>
      <w:marTop w:val="0"/>
      <w:marBottom w:val="0"/>
      <w:divBdr>
        <w:top w:val="none" w:sz="0" w:space="0" w:color="auto"/>
        <w:left w:val="none" w:sz="0" w:space="0" w:color="auto"/>
        <w:bottom w:val="none" w:sz="0" w:space="0" w:color="auto"/>
        <w:right w:val="none" w:sz="0" w:space="0" w:color="auto"/>
      </w:divBdr>
    </w:div>
    <w:div w:id="1325738832">
      <w:bodyDiv w:val="1"/>
      <w:marLeft w:val="0"/>
      <w:marRight w:val="0"/>
      <w:marTop w:val="0"/>
      <w:marBottom w:val="0"/>
      <w:divBdr>
        <w:top w:val="none" w:sz="0" w:space="0" w:color="auto"/>
        <w:left w:val="none" w:sz="0" w:space="0" w:color="auto"/>
        <w:bottom w:val="none" w:sz="0" w:space="0" w:color="auto"/>
        <w:right w:val="none" w:sz="0" w:space="0" w:color="auto"/>
      </w:divBdr>
    </w:div>
    <w:div w:id="1362321979">
      <w:bodyDiv w:val="1"/>
      <w:marLeft w:val="0"/>
      <w:marRight w:val="0"/>
      <w:marTop w:val="0"/>
      <w:marBottom w:val="0"/>
      <w:divBdr>
        <w:top w:val="none" w:sz="0" w:space="0" w:color="auto"/>
        <w:left w:val="none" w:sz="0" w:space="0" w:color="auto"/>
        <w:bottom w:val="none" w:sz="0" w:space="0" w:color="auto"/>
        <w:right w:val="none" w:sz="0" w:space="0" w:color="auto"/>
      </w:divBdr>
    </w:div>
    <w:div w:id="1428620632">
      <w:bodyDiv w:val="1"/>
      <w:marLeft w:val="0"/>
      <w:marRight w:val="0"/>
      <w:marTop w:val="0"/>
      <w:marBottom w:val="0"/>
      <w:divBdr>
        <w:top w:val="none" w:sz="0" w:space="0" w:color="auto"/>
        <w:left w:val="none" w:sz="0" w:space="0" w:color="auto"/>
        <w:bottom w:val="none" w:sz="0" w:space="0" w:color="auto"/>
        <w:right w:val="none" w:sz="0" w:space="0" w:color="auto"/>
      </w:divBdr>
    </w:div>
    <w:div w:id="1447890909">
      <w:bodyDiv w:val="1"/>
      <w:marLeft w:val="0"/>
      <w:marRight w:val="0"/>
      <w:marTop w:val="0"/>
      <w:marBottom w:val="0"/>
      <w:divBdr>
        <w:top w:val="none" w:sz="0" w:space="0" w:color="auto"/>
        <w:left w:val="none" w:sz="0" w:space="0" w:color="auto"/>
        <w:bottom w:val="none" w:sz="0" w:space="0" w:color="auto"/>
        <w:right w:val="none" w:sz="0" w:space="0" w:color="auto"/>
      </w:divBdr>
    </w:div>
    <w:div w:id="1459370917">
      <w:bodyDiv w:val="1"/>
      <w:marLeft w:val="0"/>
      <w:marRight w:val="0"/>
      <w:marTop w:val="0"/>
      <w:marBottom w:val="0"/>
      <w:divBdr>
        <w:top w:val="none" w:sz="0" w:space="0" w:color="auto"/>
        <w:left w:val="none" w:sz="0" w:space="0" w:color="auto"/>
        <w:bottom w:val="none" w:sz="0" w:space="0" w:color="auto"/>
        <w:right w:val="none" w:sz="0" w:space="0" w:color="auto"/>
      </w:divBdr>
    </w:div>
    <w:div w:id="1500467008">
      <w:bodyDiv w:val="1"/>
      <w:marLeft w:val="0"/>
      <w:marRight w:val="0"/>
      <w:marTop w:val="0"/>
      <w:marBottom w:val="0"/>
      <w:divBdr>
        <w:top w:val="none" w:sz="0" w:space="0" w:color="auto"/>
        <w:left w:val="none" w:sz="0" w:space="0" w:color="auto"/>
        <w:bottom w:val="none" w:sz="0" w:space="0" w:color="auto"/>
        <w:right w:val="none" w:sz="0" w:space="0" w:color="auto"/>
      </w:divBdr>
    </w:div>
    <w:div w:id="1528913172">
      <w:bodyDiv w:val="1"/>
      <w:marLeft w:val="0"/>
      <w:marRight w:val="0"/>
      <w:marTop w:val="0"/>
      <w:marBottom w:val="0"/>
      <w:divBdr>
        <w:top w:val="none" w:sz="0" w:space="0" w:color="auto"/>
        <w:left w:val="none" w:sz="0" w:space="0" w:color="auto"/>
        <w:bottom w:val="none" w:sz="0" w:space="0" w:color="auto"/>
        <w:right w:val="none" w:sz="0" w:space="0" w:color="auto"/>
      </w:divBdr>
    </w:div>
    <w:div w:id="1534347568">
      <w:bodyDiv w:val="1"/>
      <w:marLeft w:val="0"/>
      <w:marRight w:val="0"/>
      <w:marTop w:val="0"/>
      <w:marBottom w:val="0"/>
      <w:divBdr>
        <w:top w:val="none" w:sz="0" w:space="0" w:color="auto"/>
        <w:left w:val="none" w:sz="0" w:space="0" w:color="auto"/>
        <w:bottom w:val="none" w:sz="0" w:space="0" w:color="auto"/>
        <w:right w:val="none" w:sz="0" w:space="0" w:color="auto"/>
      </w:divBdr>
    </w:div>
    <w:div w:id="1549217350">
      <w:bodyDiv w:val="1"/>
      <w:marLeft w:val="0"/>
      <w:marRight w:val="0"/>
      <w:marTop w:val="0"/>
      <w:marBottom w:val="0"/>
      <w:divBdr>
        <w:top w:val="none" w:sz="0" w:space="0" w:color="auto"/>
        <w:left w:val="none" w:sz="0" w:space="0" w:color="auto"/>
        <w:bottom w:val="none" w:sz="0" w:space="0" w:color="auto"/>
        <w:right w:val="none" w:sz="0" w:space="0" w:color="auto"/>
      </w:divBdr>
    </w:div>
    <w:div w:id="1577129642">
      <w:bodyDiv w:val="1"/>
      <w:marLeft w:val="0"/>
      <w:marRight w:val="0"/>
      <w:marTop w:val="0"/>
      <w:marBottom w:val="0"/>
      <w:divBdr>
        <w:top w:val="none" w:sz="0" w:space="0" w:color="auto"/>
        <w:left w:val="none" w:sz="0" w:space="0" w:color="auto"/>
        <w:bottom w:val="none" w:sz="0" w:space="0" w:color="auto"/>
        <w:right w:val="none" w:sz="0" w:space="0" w:color="auto"/>
      </w:divBdr>
    </w:div>
    <w:div w:id="1581141282">
      <w:bodyDiv w:val="1"/>
      <w:marLeft w:val="0"/>
      <w:marRight w:val="0"/>
      <w:marTop w:val="0"/>
      <w:marBottom w:val="0"/>
      <w:divBdr>
        <w:top w:val="none" w:sz="0" w:space="0" w:color="auto"/>
        <w:left w:val="none" w:sz="0" w:space="0" w:color="auto"/>
        <w:bottom w:val="none" w:sz="0" w:space="0" w:color="auto"/>
        <w:right w:val="none" w:sz="0" w:space="0" w:color="auto"/>
      </w:divBdr>
    </w:div>
    <w:div w:id="1594820012">
      <w:bodyDiv w:val="1"/>
      <w:marLeft w:val="0"/>
      <w:marRight w:val="0"/>
      <w:marTop w:val="0"/>
      <w:marBottom w:val="0"/>
      <w:divBdr>
        <w:top w:val="none" w:sz="0" w:space="0" w:color="auto"/>
        <w:left w:val="none" w:sz="0" w:space="0" w:color="auto"/>
        <w:bottom w:val="none" w:sz="0" w:space="0" w:color="auto"/>
        <w:right w:val="none" w:sz="0" w:space="0" w:color="auto"/>
      </w:divBdr>
    </w:div>
    <w:div w:id="1600989592">
      <w:bodyDiv w:val="1"/>
      <w:marLeft w:val="0"/>
      <w:marRight w:val="0"/>
      <w:marTop w:val="0"/>
      <w:marBottom w:val="0"/>
      <w:divBdr>
        <w:top w:val="none" w:sz="0" w:space="0" w:color="auto"/>
        <w:left w:val="none" w:sz="0" w:space="0" w:color="auto"/>
        <w:bottom w:val="none" w:sz="0" w:space="0" w:color="auto"/>
        <w:right w:val="none" w:sz="0" w:space="0" w:color="auto"/>
      </w:divBdr>
    </w:div>
    <w:div w:id="1623725907">
      <w:bodyDiv w:val="1"/>
      <w:marLeft w:val="0"/>
      <w:marRight w:val="0"/>
      <w:marTop w:val="0"/>
      <w:marBottom w:val="0"/>
      <w:divBdr>
        <w:top w:val="none" w:sz="0" w:space="0" w:color="auto"/>
        <w:left w:val="none" w:sz="0" w:space="0" w:color="auto"/>
        <w:bottom w:val="none" w:sz="0" w:space="0" w:color="auto"/>
        <w:right w:val="none" w:sz="0" w:space="0" w:color="auto"/>
      </w:divBdr>
    </w:div>
    <w:div w:id="1627078529">
      <w:bodyDiv w:val="1"/>
      <w:marLeft w:val="0"/>
      <w:marRight w:val="0"/>
      <w:marTop w:val="0"/>
      <w:marBottom w:val="0"/>
      <w:divBdr>
        <w:top w:val="none" w:sz="0" w:space="0" w:color="auto"/>
        <w:left w:val="none" w:sz="0" w:space="0" w:color="auto"/>
        <w:bottom w:val="none" w:sz="0" w:space="0" w:color="auto"/>
        <w:right w:val="none" w:sz="0" w:space="0" w:color="auto"/>
      </w:divBdr>
    </w:div>
    <w:div w:id="1651590851">
      <w:bodyDiv w:val="1"/>
      <w:marLeft w:val="0"/>
      <w:marRight w:val="0"/>
      <w:marTop w:val="0"/>
      <w:marBottom w:val="0"/>
      <w:divBdr>
        <w:top w:val="none" w:sz="0" w:space="0" w:color="auto"/>
        <w:left w:val="none" w:sz="0" w:space="0" w:color="auto"/>
        <w:bottom w:val="none" w:sz="0" w:space="0" w:color="auto"/>
        <w:right w:val="none" w:sz="0" w:space="0" w:color="auto"/>
      </w:divBdr>
    </w:div>
    <w:div w:id="1659071803">
      <w:bodyDiv w:val="1"/>
      <w:marLeft w:val="0"/>
      <w:marRight w:val="0"/>
      <w:marTop w:val="0"/>
      <w:marBottom w:val="0"/>
      <w:divBdr>
        <w:top w:val="none" w:sz="0" w:space="0" w:color="auto"/>
        <w:left w:val="none" w:sz="0" w:space="0" w:color="auto"/>
        <w:bottom w:val="none" w:sz="0" w:space="0" w:color="auto"/>
        <w:right w:val="none" w:sz="0" w:space="0" w:color="auto"/>
      </w:divBdr>
    </w:div>
    <w:div w:id="1665862955">
      <w:bodyDiv w:val="1"/>
      <w:marLeft w:val="0"/>
      <w:marRight w:val="0"/>
      <w:marTop w:val="0"/>
      <w:marBottom w:val="0"/>
      <w:divBdr>
        <w:top w:val="none" w:sz="0" w:space="0" w:color="auto"/>
        <w:left w:val="none" w:sz="0" w:space="0" w:color="auto"/>
        <w:bottom w:val="none" w:sz="0" w:space="0" w:color="auto"/>
        <w:right w:val="none" w:sz="0" w:space="0" w:color="auto"/>
      </w:divBdr>
    </w:div>
    <w:div w:id="1679114045">
      <w:bodyDiv w:val="1"/>
      <w:marLeft w:val="0"/>
      <w:marRight w:val="0"/>
      <w:marTop w:val="0"/>
      <w:marBottom w:val="0"/>
      <w:divBdr>
        <w:top w:val="none" w:sz="0" w:space="0" w:color="auto"/>
        <w:left w:val="none" w:sz="0" w:space="0" w:color="auto"/>
        <w:bottom w:val="none" w:sz="0" w:space="0" w:color="auto"/>
        <w:right w:val="none" w:sz="0" w:space="0" w:color="auto"/>
      </w:divBdr>
    </w:div>
    <w:div w:id="1692948611">
      <w:bodyDiv w:val="1"/>
      <w:marLeft w:val="0"/>
      <w:marRight w:val="0"/>
      <w:marTop w:val="0"/>
      <w:marBottom w:val="0"/>
      <w:divBdr>
        <w:top w:val="none" w:sz="0" w:space="0" w:color="auto"/>
        <w:left w:val="none" w:sz="0" w:space="0" w:color="auto"/>
        <w:bottom w:val="none" w:sz="0" w:space="0" w:color="auto"/>
        <w:right w:val="none" w:sz="0" w:space="0" w:color="auto"/>
      </w:divBdr>
    </w:div>
    <w:div w:id="1703364185">
      <w:bodyDiv w:val="1"/>
      <w:marLeft w:val="0"/>
      <w:marRight w:val="0"/>
      <w:marTop w:val="0"/>
      <w:marBottom w:val="0"/>
      <w:divBdr>
        <w:top w:val="none" w:sz="0" w:space="0" w:color="auto"/>
        <w:left w:val="none" w:sz="0" w:space="0" w:color="auto"/>
        <w:bottom w:val="none" w:sz="0" w:space="0" w:color="auto"/>
        <w:right w:val="none" w:sz="0" w:space="0" w:color="auto"/>
      </w:divBdr>
    </w:div>
    <w:div w:id="1742605326">
      <w:bodyDiv w:val="1"/>
      <w:marLeft w:val="0"/>
      <w:marRight w:val="0"/>
      <w:marTop w:val="0"/>
      <w:marBottom w:val="0"/>
      <w:divBdr>
        <w:top w:val="none" w:sz="0" w:space="0" w:color="auto"/>
        <w:left w:val="none" w:sz="0" w:space="0" w:color="auto"/>
        <w:bottom w:val="none" w:sz="0" w:space="0" w:color="auto"/>
        <w:right w:val="none" w:sz="0" w:space="0" w:color="auto"/>
      </w:divBdr>
    </w:div>
    <w:div w:id="1757629412">
      <w:bodyDiv w:val="1"/>
      <w:marLeft w:val="0"/>
      <w:marRight w:val="0"/>
      <w:marTop w:val="0"/>
      <w:marBottom w:val="0"/>
      <w:divBdr>
        <w:top w:val="none" w:sz="0" w:space="0" w:color="auto"/>
        <w:left w:val="none" w:sz="0" w:space="0" w:color="auto"/>
        <w:bottom w:val="none" w:sz="0" w:space="0" w:color="auto"/>
        <w:right w:val="none" w:sz="0" w:space="0" w:color="auto"/>
      </w:divBdr>
    </w:div>
    <w:div w:id="1768844700">
      <w:bodyDiv w:val="1"/>
      <w:marLeft w:val="0"/>
      <w:marRight w:val="0"/>
      <w:marTop w:val="0"/>
      <w:marBottom w:val="0"/>
      <w:divBdr>
        <w:top w:val="none" w:sz="0" w:space="0" w:color="auto"/>
        <w:left w:val="none" w:sz="0" w:space="0" w:color="auto"/>
        <w:bottom w:val="none" w:sz="0" w:space="0" w:color="auto"/>
        <w:right w:val="none" w:sz="0" w:space="0" w:color="auto"/>
      </w:divBdr>
    </w:div>
    <w:div w:id="1770928263">
      <w:bodyDiv w:val="1"/>
      <w:marLeft w:val="0"/>
      <w:marRight w:val="0"/>
      <w:marTop w:val="0"/>
      <w:marBottom w:val="0"/>
      <w:divBdr>
        <w:top w:val="none" w:sz="0" w:space="0" w:color="auto"/>
        <w:left w:val="none" w:sz="0" w:space="0" w:color="auto"/>
        <w:bottom w:val="none" w:sz="0" w:space="0" w:color="auto"/>
        <w:right w:val="none" w:sz="0" w:space="0" w:color="auto"/>
      </w:divBdr>
    </w:div>
    <w:div w:id="1772972109">
      <w:bodyDiv w:val="1"/>
      <w:marLeft w:val="0"/>
      <w:marRight w:val="0"/>
      <w:marTop w:val="0"/>
      <w:marBottom w:val="0"/>
      <w:divBdr>
        <w:top w:val="none" w:sz="0" w:space="0" w:color="auto"/>
        <w:left w:val="none" w:sz="0" w:space="0" w:color="auto"/>
        <w:bottom w:val="none" w:sz="0" w:space="0" w:color="auto"/>
        <w:right w:val="none" w:sz="0" w:space="0" w:color="auto"/>
      </w:divBdr>
    </w:div>
    <w:div w:id="1776972215">
      <w:bodyDiv w:val="1"/>
      <w:marLeft w:val="0"/>
      <w:marRight w:val="0"/>
      <w:marTop w:val="0"/>
      <w:marBottom w:val="0"/>
      <w:divBdr>
        <w:top w:val="none" w:sz="0" w:space="0" w:color="auto"/>
        <w:left w:val="none" w:sz="0" w:space="0" w:color="auto"/>
        <w:bottom w:val="none" w:sz="0" w:space="0" w:color="auto"/>
        <w:right w:val="none" w:sz="0" w:space="0" w:color="auto"/>
      </w:divBdr>
    </w:div>
    <w:div w:id="1793862087">
      <w:bodyDiv w:val="1"/>
      <w:marLeft w:val="0"/>
      <w:marRight w:val="0"/>
      <w:marTop w:val="0"/>
      <w:marBottom w:val="0"/>
      <w:divBdr>
        <w:top w:val="none" w:sz="0" w:space="0" w:color="auto"/>
        <w:left w:val="none" w:sz="0" w:space="0" w:color="auto"/>
        <w:bottom w:val="none" w:sz="0" w:space="0" w:color="auto"/>
        <w:right w:val="none" w:sz="0" w:space="0" w:color="auto"/>
      </w:divBdr>
    </w:div>
    <w:div w:id="1844857683">
      <w:bodyDiv w:val="1"/>
      <w:marLeft w:val="0"/>
      <w:marRight w:val="0"/>
      <w:marTop w:val="0"/>
      <w:marBottom w:val="0"/>
      <w:divBdr>
        <w:top w:val="none" w:sz="0" w:space="0" w:color="auto"/>
        <w:left w:val="none" w:sz="0" w:space="0" w:color="auto"/>
        <w:bottom w:val="none" w:sz="0" w:space="0" w:color="auto"/>
        <w:right w:val="none" w:sz="0" w:space="0" w:color="auto"/>
      </w:divBdr>
    </w:div>
    <w:div w:id="1855611255">
      <w:bodyDiv w:val="1"/>
      <w:marLeft w:val="0"/>
      <w:marRight w:val="0"/>
      <w:marTop w:val="0"/>
      <w:marBottom w:val="0"/>
      <w:divBdr>
        <w:top w:val="none" w:sz="0" w:space="0" w:color="auto"/>
        <w:left w:val="none" w:sz="0" w:space="0" w:color="auto"/>
        <w:bottom w:val="none" w:sz="0" w:space="0" w:color="auto"/>
        <w:right w:val="none" w:sz="0" w:space="0" w:color="auto"/>
      </w:divBdr>
    </w:div>
    <w:div w:id="1866403886">
      <w:bodyDiv w:val="1"/>
      <w:marLeft w:val="0"/>
      <w:marRight w:val="0"/>
      <w:marTop w:val="0"/>
      <w:marBottom w:val="0"/>
      <w:divBdr>
        <w:top w:val="none" w:sz="0" w:space="0" w:color="auto"/>
        <w:left w:val="none" w:sz="0" w:space="0" w:color="auto"/>
        <w:bottom w:val="none" w:sz="0" w:space="0" w:color="auto"/>
        <w:right w:val="none" w:sz="0" w:space="0" w:color="auto"/>
      </w:divBdr>
    </w:div>
    <w:div w:id="1867016346">
      <w:bodyDiv w:val="1"/>
      <w:marLeft w:val="0"/>
      <w:marRight w:val="0"/>
      <w:marTop w:val="0"/>
      <w:marBottom w:val="0"/>
      <w:divBdr>
        <w:top w:val="none" w:sz="0" w:space="0" w:color="auto"/>
        <w:left w:val="none" w:sz="0" w:space="0" w:color="auto"/>
        <w:bottom w:val="none" w:sz="0" w:space="0" w:color="auto"/>
        <w:right w:val="none" w:sz="0" w:space="0" w:color="auto"/>
      </w:divBdr>
    </w:div>
    <w:div w:id="1916207680">
      <w:bodyDiv w:val="1"/>
      <w:marLeft w:val="0"/>
      <w:marRight w:val="0"/>
      <w:marTop w:val="0"/>
      <w:marBottom w:val="0"/>
      <w:divBdr>
        <w:top w:val="none" w:sz="0" w:space="0" w:color="auto"/>
        <w:left w:val="none" w:sz="0" w:space="0" w:color="auto"/>
        <w:bottom w:val="none" w:sz="0" w:space="0" w:color="auto"/>
        <w:right w:val="none" w:sz="0" w:space="0" w:color="auto"/>
      </w:divBdr>
    </w:div>
    <w:div w:id="1919702817">
      <w:bodyDiv w:val="1"/>
      <w:marLeft w:val="0"/>
      <w:marRight w:val="0"/>
      <w:marTop w:val="0"/>
      <w:marBottom w:val="0"/>
      <w:divBdr>
        <w:top w:val="none" w:sz="0" w:space="0" w:color="auto"/>
        <w:left w:val="none" w:sz="0" w:space="0" w:color="auto"/>
        <w:bottom w:val="none" w:sz="0" w:space="0" w:color="auto"/>
        <w:right w:val="none" w:sz="0" w:space="0" w:color="auto"/>
      </w:divBdr>
    </w:div>
    <w:div w:id="1971591014">
      <w:bodyDiv w:val="1"/>
      <w:marLeft w:val="0"/>
      <w:marRight w:val="0"/>
      <w:marTop w:val="0"/>
      <w:marBottom w:val="0"/>
      <w:divBdr>
        <w:top w:val="none" w:sz="0" w:space="0" w:color="auto"/>
        <w:left w:val="none" w:sz="0" w:space="0" w:color="auto"/>
        <w:bottom w:val="none" w:sz="0" w:space="0" w:color="auto"/>
        <w:right w:val="none" w:sz="0" w:space="0" w:color="auto"/>
      </w:divBdr>
    </w:div>
    <w:div w:id="1973749099">
      <w:bodyDiv w:val="1"/>
      <w:marLeft w:val="0"/>
      <w:marRight w:val="0"/>
      <w:marTop w:val="0"/>
      <w:marBottom w:val="0"/>
      <w:divBdr>
        <w:top w:val="none" w:sz="0" w:space="0" w:color="auto"/>
        <w:left w:val="none" w:sz="0" w:space="0" w:color="auto"/>
        <w:bottom w:val="none" w:sz="0" w:space="0" w:color="auto"/>
        <w:right w:val="none" w:sz="0" w:space="0" w:color="auto"/>
      </w:divBdr>
    </w:div>
    <w:div w:id="2007587810">
      <w:bodyDiv w:val="1"/>
      <w:marLeft w:val="0"/>
      <w:marRight w:val="0"/>
      <w:marTop w:val="0"/>
      <w:marBottom w:val="0"/>
      <w:divBdr>
        <w:top w:val="none" w:sz="0" w:space="0" w:color="auto"/>
        <w:left w:val="none" w:sz="0" w:space="0" w:color="auto"/>
        <w:bottom w:val="none" w:sz="0" w:space="0" w:color="auto"/>
        <w:right w:val="none" w:sz="0" w:space="0" w:color="auto"/>
      </w:divBdr>
    </w:div>
    <w:div w:id="2031636751">
      <w:bodyDiv w:val="1"/>
      <w:marLeft w:val="0"/>
      <w:marRight w:val="0"/>
      <w:marTop w:val="0"/>
      <w:marBottom w:val="0"/>
      <w:divBdr>
        <w:top w:val="none" w:sz="0" w:space="0" w:color="auto"/>
        <w:left w:val="none" w:sz="0" w:space="0" w:color="auto"/>
        <w:bottom w:val="none" w:sz="0" w:space="0" w:color="auto"/>
        <w:right w:val="none" w:sz="0" w:space="0" w:color="auto"/>
      </w:divBdr>
    </w:div>
    <w:div w:id="2035770360">
      <w:bodyDiv w:val="1"/>
      <w:marLeft w:val="0"/>
      <w:marRight w:val="0"/>
      <w:marTop w:val="0"/>
      <w:marBottom w:val="0"/>
      <w:divBdr>
        <w:top w:val="none" w:sz="0" w:space="0" w:color="auto"/>
        <w:left w:val="none" w:sz="0" w:space="0" w:color="auto"/>
        <w:bottom w:val="none" w:sz="0" w:space="0" w:color="auto"/>
        <w:right w:val="none" w:sz="0" w:space="0" w:color="auto"/>
      </w:divBdr>
    </w:div>
    <w:div w:id="20597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betfilesrv02\redirected$\peppingt\Desktop\Task%203%20ICR\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21496-B265-447D-A85C-72F67C9C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4335</Words>
  <Characters>24715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Environomics</Company>
  <LinksUpToDate>false</LinksUpToDate>
  <CharactersWithSpaces>28993</CharactersWithSpaces>
  <SharedDoc>false</SharedDoc>
  <HLinks>
    <vt:vector size="228" baseType="variant">
      <vt:variant>
        <vt:i4>3342352</vt:i4>
      </vt:variant>
      <vt:variant>
        <vt:i4>224</vt:i4>
      </vt:variant>
      <vt:variant>
        <vt:i4>0</vt:i4>
      </vt:variant>
      <vt:variant>
        <vt:i4>5</vt:i4>
      </vt:variant>
      <vt:variant>
        <vt:lpwstr>http://www.epa.gov/safewater/lcrmr/pdfs/summary_lcmr_review_lead_line_replacement_workshop_10-26-04.pdf</vt:lpwstr>
      </vt:variant>
      <vt:variant>
        <vt:lpwstr/>
      </vt:variant>
      <vt:variant>
        <vt:i4>2490472</vt:i4>
      </vt:variant>
      <vt:variant>
        <vt:i4>221</vt:i4>
      </vt:variant>
      <vt:variant>
        <vt:i4>0</vt:i4>
      </vt:variant>
      <vt:variant>
        <vt:i4>5</vt:i4>
      </vt:variant>
      <vt:variant>
        <vt:lpwstr>http://www.epa.gov/safewater/data/pivottables.html</vt:lpwstr>
      </vt:variant>
      <vt:variant>
        <vt:lpwstr/>
      </vt:variant>
      <vt:variant>
        <vt:i4>1245238</vt:i4>
      </vt:variant>
      <vt:variant>
        <vt:i4>212</vt:i4>
      </vt:variant>
      <vt:variant>
        <vt:i4>0</vt:i4>
      </vt:variant>
      <vt:variant>
        <vt:i4>5</vt:i4>
      </vt:variant>
      <vt:variant>
        <vt:lpwstr/>
      </vt:variant>
      <vt:variant>
        <vt:lpwstr>_Toc160872081</vt:lpwstr>
      </vt:variant>
      <vt:variant>
        <vt:i4>1245238</vt:i4>
      </vt:variant>
      <vt:variant>
        <vt:i4>206</vt:i4>
      </vt:variant>
      <vt:variant>
        <vt:i4>0</vt:i4>
      </vt:variant>
      <vt:variant>
        <vt:i4>5</vt:i4>
      </vt:variant>
      <vt:variant>
        <vt:lpwstr/>
      </vt:variant>
      <vt:variant>
        <vt:lpwstr>_Toc160872080</vt:lpwstr>
      </vt:variant>
      <vt:variant>
        <vt:i4>1835062</vt:i4>
      </vt:variant>
      <vt:variant>
        <vt:i4>200</vt:i4>
      </vt:variant>
      <vt:variant>
        <vt:i4>0</vt:i4>
      </vt:variant>
      <vt:variant>
        <vt:i4>5</vt:i4>
      </vt:variant>
      <vt:variant>
        <vt:lpwstr/>
      </vt:variant>
      <vt:variant>
        <vt:lpwstr>_Toc160872079</vt:lpwstr>
      </vt:variant>
      <vt:variant>
        <vt:i4>1835062</vt:i4>
      </vt:variant>
      <vt:variant>
        <vt:i4>194</vt:i4>
      </vt:variant>
      <vt:variant>
        <vt:i4>0</vt:i4>
      </vt:variant>
      <vt:variant>
        <vt:i4>5</vt:i4>
      </vt:variant>
      <vt:variant>
        <vt:lpwstr/>
      </vt:variant>
      <vt:variant>
        <vt:lpwstr>_Toc160872078</vt:lpwstr>
      </vt:variant>
      <vt:variant>
        <vt:i4>1835062</vt:i4>
      </vt:variant>
      <vt:variant>
        <vt:i4>188</vt:i4>
      </vt:variant>
      <vt:variant>
        <vt:i4>0</vt:i4>
      </vt:variant>
      <vt:variant>
        <vt:i4>5</vt:i4>
      </vt:variant>
      <vt:variant>
        <vt:lpwstr/>
      </vt:variant>
      <vt:variant>
        <vt:lpwstr>_Toc160872077</vt:lpwstr>
      </vt:variant>
      <vt:variant>
        <vt:i4>1835062</vt:i4>
      </vt:variant>
      <vt:variant>
        <vt:i4>182</vt:i4>
      </vt:variant>
      <vt:variant>
        <vt:i4>0</vt:i4>
      </vt:variant>
      <vt:variant>
        <vt:i4>5</vt:i4>
      </vt:variant>
      <vt:variant>
        <vt:lpwstr/>
      </vt:variant>
      <vt:variant>
        <vt:lpwstr>_Toc160872076</vt:lpwstr>
      </vt:variant>
      <vt:variant>
        <vt:i4>1835062</vt:i4>
      </vt:variant>
      <vt:variant>
        <vt:i4>176</vt:i4>
      </vt:variant>
      <vt:variant>
        <vt:i4>0</vt:i4>
      </vt:variant>
      <vt:variant>
        <vt:i4>5</vt:i4>
      </vt:variant>
      <vt:variant>
        <vt:lpwstr/>
      </vt:variant>
      <vt:variant>
        <vt:lpwstr>_Toc160872075</vt:lpwstr>
      </vt:variant>
      <vt:variant>
        <vt:i4>1835062</vt:i4>
      </vt:variant>
      <vt:variant>
        <vt:i4>170</vt:i4>
      </vt:variant>
      <vt:variant>
        <vt:i4>0</vt:i4>
      </vt:variant>
      <vt:variant>
        <vt:i4>5</vt:i4>
      </vt:variant>
      <vt:variant>
        <vt:lpwstr/>
      </vt:variant>
      <vt:variant>
        <vt:lpwstr>_Toc160872074</vt:lpwstr>
      </vt:variant>
      <vt:variant>
        <vt:i4>1835062</vt:i4>
      </vt:variant>
      <vt:variant>
        <vt:i4>164</vt:i4>
      </vt:variant>
      <vt:variant>
        <vt:i4>0</vt:i4>
      </vt:variant>
      <vt:variant>
        <vt:i4>5</vt:i4>
      </vt:variant>
      <vt:variant>
        <vt:lpwstr/>
      </vt:variant>
      <vt:variant>
        <vt:lpwstr>_Toc160872073</vt:lpwstr>
      </vt:variant>
      <vt:variant>
        <vt:i4>1835062</vt:i4>
      </vt:variant>
      <vt:variant>
        <vt:i4>158</vt:i4>
      </vt:variant>
      <vt:variant>
        <vt:i4>0</vt:i4>
      </vt:variant>
      <vt:variant>
        <vt:i4>5</vt:i4>
      </vt:variant>
      <vt:variant>
        <vt:lpwstr/>
      </vt:variant>
      <vt:variant>
        <vt:lpwstr>_Toc160872072</vt:lpwstr>
      </vt:variant>
      <vt:variant>
        <vt:i4>1835062</vt:i4>
      </vt:variant>
      <vt:variant>
        <vt:i4>152</vt:i4>
      </vt:variant>
      <vt:variant>
        <vt:i4>0</vt:i4>
      </vt:variant>
      <vt:variant>
        <vt:i4>5</vt:i4>
      </vt:variant>
      <vt:variant>
        <vt:lpwstr/>
      </vt:variant>
      <vt:variant>
        <vt:lpwstr>_Toc160872071</vt:lpwstr>
      </vt:variant>
      <vt:variant>
        <vt:i4>1835062</vt:i4>
      </vt:variant>
      <vt:variant>
        <vt:i4>146</vt:i4>
      </vt:variant>
      <vt:variant>
        <vt:i4>0</vt:i4>
      </vt:variant>
      <vt:variant>
        <vt:i4>5</vt:i4>
      </vt:variant>
      <vt:variant>
        <vt:lpwstr/>
      </vt:variant>
      <vt:variant>
        <vt:lpwstr>_Toc160872070</vt:lpwstr>
      </vt:variant>
      <vt:variant>
        <vt:i4>1900598</vt:i4>
      </vt:variant>
      <vt:variant>
        <vt:i4>140</vt:i4>
      </vt:variant>
      <vt:variant>
        <vt:i4>0</vt:i4>
      </vt:variant>
      <vt:variant>
        <vt:i4>5</vt:i4>
      </vt:variant>
      <vt:variant>
        <vt:lpwstr/>
      </vt:variant>
      <vt:variant>
        <vt:lpwstr>_Toc160872069</vt:lpwstr>
      </vt:variant>
      <vt:variant>
        <vt:i4>1900598</vt:i4>
      </vt:variant>
      <vt:variant>
        <vt:i4>134</vt:i4>
      </vt:variant>
      <vt:variant>
        <vt:i4>0</vt:i4>
      </vt:variant>
      <vt:variant>
        <vt:i4>5</vt:i4>
      </vt:variant>
      <vt:variant>
        <vt:lpwstr/>
      </vt:variant>
      <vt:variant>
        <vt:lpwstr>_Toc160872068</vt:lpwstr>
      </vt:variant>
      <vt:variant>
        <vt:i4>1900598</vt:i4>
      </vt:variant>
      <vt:variant>
        <vt:i4>128</vt:i4>
      </vt:variant>
      <vt:variant>
        <vt:i4>0</vt:i4>
      </vt:variant>
      <vt:variant>
        <vt:i4>5</vt:i4>
      </vt:variant>
      <vt:variant>
        <vt:lpwstr/>
      </vt:variant>
      <vt:variant>
        <vt:lpwstr>_Toc160872067</vt:lpwstr>
      </vt:variant>
      <vt:variant>
        <vt:i4>1900598</vt:i4>
      </vt:variant>
      <vt:variant>
        <vt:i4>122</vt:i4>
      </vt:variant>
      <vt:variant>
        <vt:i4>0</vt:i4>
      </vt:variant>
      <vt:variant>
        <vt:i4>5</vt:i4>
      </vt:variant>
      <vt:variant>
        <vt:lpwstr/>
      </vt:variant>
      <vt:variant>
        <vt:lpwstr>_Toc160872066</vt:lpwstr>
      </vt:variant>
      <vt:variant>
        <vt:i4>1900598</vt:i4>
      </vt:variant>
      <vt:variant>
        <vt:i4>116</vt:i4>
      </vt:variant>
      <vt:variant>
        <vt:i4>0</vt:i4>
      </vt:variant>
      <vt:variant>
        <vt:i4>5</vt:i4>
      </vt:variant>
      <vt:variant>
        <vt:lpwstr/>
      </vt:variant>
      <vt:variant>
        <vt:lpwstr>_Toc160872065</vt:lpwstr>
      </vt:variant>
      <vt:variant>
        <vt:i4>1900598</vt:i4>
      </vt:variant>
      <vt:variant>
        <vt:i4>110</vt:i4>
      </vt:variant>
      <vt:variant>
        <vt:i4>0</vt:i4>
      </vt:variant>
      <vt:variant>
        <vt:i4>5</vt:i4>
      </vt:variant>
      <vt:variant>
        <vt:lpwstr/>
      </vt:variant>
      <vt:variant>
        <vt:lpwstr>_Toc160872064</vt:lpwstr>
      </vt:variant>
      <vt:variant>
        <vt:i4>1900598</vt:i4>
      </vt:variant>
      <vt:variant>
        <vt:i4>104</vt:i4>
      </vt:variant>
      <vt:variant>
        <vt:i4>0</vt:i4>
      </vt:variant>
      <vt:variant>
        <vt:i4>5</vt:i4>
      </vt:variant>
      <vt:variant>
        <vt:lpwstr/>
      </vt:variant>
      <vt:variant>
        <vt:lpwstr>_Toc160872063</vt:lpwstr>
      </vt:variant>
      <vt:variant>
        <vt:i4>1900598</vt:i4>
      </vt:variant>
      <vt:variant>
        <vt:i4>98</vt:i4>
      </vt:variant>
      <vt:variant>
        <vt:i4>0</vt:i4>
      </vt:variant>
      <vt:variant>
        <vt:i4>5</vt:i4>
      </vt:variant>
      <vt:variant>
        <vt:lpwstr/>
      </vt:variant>
      <vt:variant>
        <vt:lpwstr>_Toc160872062</vt:lpwstr>
      </vt:variant>
      <vt:variant>
        <vt:i4>1900598</vt:i4>
      </vt:variant>
      <vt:variant>
        <vt:i4>92</vt:i4>
      </vt:variant>
      <vt:variant>
        <vt:i4>0</vt:i4>
      </vt:variant>
      <vt:variant>
        <vt:i4>5</vt:i4>
      </vt:variant>
      <vt:variant>
        <vt:lpwstr/>
      </vt:variant>
      <vt:variant>
        <vt:lpwstr>_Toc160872061</vt:lpwstr>
      </vt:variant>
      <vt:variant>
        <vt:i4>1900598</vt:i4>
      </vt:variant>
      <vt:variant>
        <vt:i4>86</vt:i4>
      </vt:variant>
      <vt:variant>
        <vt:i4>0</vt:i4>
      </vt:variant>
      <vt:variant>
        <vt:i4>5</vt:i4>
      </vt:variant>
      <vt:variant>
        <vt:lpwstr/>
      </vt:variant>
      <vt:variant>
        <vt:lpwstr>_Toc160872060</vt:lpwstr>
      </vt:variant>
      <vt:variant>
        <vt:i4>1966134</vt:i4>
      </vt:variant>
      <vt:variant>
        <vt:i4>80</vt:i4>
      </vt:variant>
      <vt:variant>
        <vt:i4>0</vt:i4>
      </vt:variant>
      <vt:variant>
        <vt:i4>5</vt:i4>
      </vt:variant>
      <vt:variant>
        <vt:lpwstr/>
      </vt:variant>
      <vt:variant>
        <vt:lpwstr>_Toc160872059</vt:lpwstr>
      </vt:variant>
      <vt:variant>
        <vt:i4>1966134</vt:i4>
      </vt:variant>
      <vt:variant>
        <vt:i4>74</vt:i4>
      </vt:variant>
      <vt:variant>
        <vt:i4>0</vt:i4>
      </vt:variant>
      <vt:variant>
        <vt:i4>5</vt:i4>
      </vt:variant>
      <vt:variant>
        <vt:lpwstr/>
      </vt:variant>
      <vt:variant>
        <vt:lpwstr>_Toc160872058</vt:lpwstr>
      </vt:variant>
      <vt:variant>
        <vt:i4>1966134</vt:i4>
      </vt:variant>
      <vt:variant>
        <vt:i4>68</vt:i4>
      </vt:variant>
      <vt:variant>
        <vt:i4>0</vt:i4>
      </vt:variant>
      <vt:variant>
        <vt:i4>5</vt:i4>
      </vt:variant>
      <vt:variant>
        <vt:lpwstr/>
      </vt:variant>
      <vt:variant>
        <vt:lpwstr>_Toc160872057</vt:lpwstr>
      </vt:variant>
      <vt:variant>
        <vt:i4>1966134</vt:i4>
      </vt:variant>
      <vt:variant>
        <vt:i4>62</vt:i4>
      </vt:variant>
      <vt:variant>
        <vt:i4>0</vt:i4>
      </vt:variant>
      <vt:variant>
        <vt:i4>5</vt:i4>
      </vt:variant>
      <vt:variant>
        <vt:lpwstr/>
      </vt:variant>
      <vt:variant>
        <vt:lpwstr>_Toc160872056</vt:lpwstr>
      </vt:variant>
      <vt:variant>
        <vt:i4>1966134</vt:i4>
      </vt:variant>
      <vt:variant>
        <vt:i4>56</vt:i4>
      </vt:variant>
      <vt:variant>
        <vt:i4>0</vt:i4>
      </vt:variant>
      <vt:variant>
        <vt:i4>5</vt:i4>
      </vt:variant>
      <vt:variant>
        <vt:lpwstr/>
      </vt:variant>
      <vt:variant>
        <vt:lpwstr>_Toc160872055</vt:lpwstr>
      </vt:variant>
      <vt:variant>
        <vt:i4>1966134</vt:i4>
      </vt:variant>
      <vt:variant>
        <vt:i4>50</vt:i4>
      </vt:variant>
      <vt:variant>
        <vt:i4>0</vt:i4>
      </vt:variant>
      <vt:variant>
        <vt:i4>5</vt:i4>
      </vt:variant>
      <vt:variant>
        <vt:lpwstr/>
      </vt:variant>
      <vt:variant>
        <vt:lpwstr>_Toc160872054</vt:lpwstr>
      </vt:variant>
      <vt:variant>
        <vt:i4>1966134</vt:i4>
      </vt:variant>
      <vt:variant>
        <vt:i4>44</vt:i4>
      </vt:variant>
      <vt:variant>
        <vt:i4>0</vt:i4>
      </vt:variant>
      <vt:variant>
        <vt:i4>5</vt:i4>
      </vt:variant>
      <vt:variant>
        <vt:lpwstr/>
      </vt:variant>
      <vt:variant>
        <vt:lpwstr>_Toc160872053</vt:lpwstr>
      </vt:variant>
      <vt:variant>
        <vt:i4>1966134</vt:i4>
      </vt:variant>
      <vt:variant>
        <vt:i4>38</vt:i4>
      </vt:variant>
      <vt:variant>
        <vt:i4>0</vt:i4>
      </vt:variant>
      <vt:variant>
        <vt:i4>5</vt:i4>
      </vt:variant>
      <vt:variant>
        <vt:lpwstr/>
      </vt:variant>
      <vt:variant>
        <vt:lpwstr>_Toc160872052</vt:lpwstr>
      </vt:variant>
      <vt:variant>
        <vt:i4>1966134</vt:i4>
      </vt:variant>
      <vt:variant>
        <vt:i4>32</vt:i4>
      </vt:variant>
      <vt:variant>
        <vt:i4>0</vt:i4>
      </vt:variant>
      <vt:variant>
        <vt:i4>5</vt:i4>
      </vt:variant>
      <vt:variant>
        <vt:lpwstr/>
      </vt:variant>
      <vt:variant>
        <vt:lpwstr>_Toc160872051</vt:lpwstr>
      </vt:variant>
      <vt:variant>
        <vt:i4>1966134</vt:i4>
      </vt:variant>
      <vt:variant>
        <vt:i4>26</vt:i4>
      </vt:variant>
      <vt:variant>
        <vt:i4>0</vt:i4>
      </vt:variant>
      <vt:variant>
        <vt:i4>5</vt:i4>
      </vt:variant>
      <vt:variant>
        <vt:lpwstr/>
      </vt:variant>
      <vt:variant>
        <vt:lpwstr>_Toc160872050</vt:lpwstr>
      </vt:variant>
      <vt:variant>
        <vt:i4>2031670</vt:i4>
      </vt:variant>
      <vt:variant>
        <vt:i4>20</vt:i4>
      </vt:variant>
      <vt:variant>
        <vt:i4>0</vt:i4>
      </vt:variant>
      <vt:variant>
        <vt:i4>5</vt:i4>
      </vt:variant>
      <vt:variant>
        <vt:lpwstr/>
      </vt:variant>
      <vt:variant>
        <vt:lpwstr>_Toc160872049</vt:lpwstr>
      </vt:variant>
      <vt:variant>
        <vt:i4>2031670</vt:i4>
      </vt:variant>
      <vt:variant>
        <vt:i4>14</vt:i4>
      </vt:variant>
      <vt:variant>
        <vt:i4>0</vt:i4>
      </vt:variant>
      <vt:variant>
        <vt:i4>5</vt:i4>
      </vt:variant>
      <vt:variant>
        <vt:lpwstr/>
      </vt:variant>
      <vt:variant>
        <vt:lpwstr>_Toc160872048</vt:lpwstr>
      </vt:variant>
      <vt:variant>
        <vt:i4>2031670</vt:i4>
      </vt:variant>
      <vt:variant>
        <vt:i4>8</vt:i4>
      </vt:variant>
      <vt:variant>
        <vt:i4>0</vt:i4>
      </vt:variant>
      <vt:variant>
        <vt:i4>5</vt:i4>
      </vt:variant>
      <vt:variant>
        <vt:lpwstr/>
      </vt:variant>
      <vt:variant>
        <vt:lpwstr>_Toc160872047</vt:lpwstr>
      </vt:variant>
      <vt:variant>
        <vt:i4>2031670</vt:i4>
      </vt:variant>
      <vt:variant>
        <vt:i4>2</vt:i4>
      </vt:variant>
      <vt:variant>
        <vt:i4>0</vt:i4>
      </vt:variant>
      <vt:variant>
        <vt:i4>5</vt:i4>
      </vt:variant>
      <vt:variant>
        <vt:lpwstr/>
      </vt:variant>
      <vt:variant>
        <vt:lpwstr>_Toc160872046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Glidden-Lyon</dc:creator>
  <cp:lastModifiedBy>SYSTEM</cp:lastModifiedBy>
  <cp:revision>2</cp:revision>
  <cp:lastPrinted>2007-05-01T13:26:00Z</cp:lastPrinted>
  <dcterms:created xsi:type="dcterms:W3CDTF">2019-06-28T00:14:00Z</dcterms:created>
  <dcterms:modified xsi:type="dcterms:W3CDTF">2019-06-28T00:14:00Z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zotero-version="5.0.59"&gt;&lt;session id="Cnbi7peB"/&gt;&lt;style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