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E7925" w14:textId="412612D7" w:rsidR="003B437B" w:rsidRDefault="005B3296" w:rsidP="00593DD4">
      <w:pPr>
        <w:jc w:val="center"/>
        <w:rPr>
          <w:b/>
          <w:sz w:val="10"/>
          <w:szCs w:val="28"/>
        </w:rPr>
      </w:pPr>
      <w:bookmarkStart w:id="0" w:name="_GoBack"/>
      <w:bookmarkEnd w:id="0"/>
      <w:r>
        <w:rPr>
          <w:b/>
          <w:sz w:val="10"/>
          <w:szCs w:val="28"/>
        </w:rPr>
        <w:t xml:space="preserve"> </w:t>
      </w:r>
    </w:p>
    <w:p w14:paraId="619A4C6B" w14:textId="77777777" w:rsidR="00654EA2" w:rsidRDefault="00654EA2" w:rsidP="00593DD4">
      <w:pPr>
        <w:jc w:val="center"/>
        <w:rPr>
          <w:b/>
          <w:sz w:val="28"/>
          <w:szCs w:val="28"/>
        </w:rPr>
      </w:pPr>
    </w:p>
    <w:p w14:paraId="777285C0" w14:textId="77777777" w:rsidR="00412BAB" w:rsidRPr="000357D9" w:rsidRDefault="00717C3E" w:rsidP="00593DD4">
      <w:pPr>
        <w:jc w:val="center"/>
        <w:rPr>
          <w:b/>
          <w:sz w:val="28"/>
          <w:szCs w:val="28"/>
        </w:rPr>
      </w:pPr>
      <w:r>
        <w:rPr>
          <w:b/>
          <w:sz w:val="28"/>
          <w:szCs w:val="28"/>
        </w:rPr>
        <w:t>D</w:t>
      </w:r>
      <w:r w:rsidR="0099384A">
        <w:rPr>
          <w:b/>
          <w:sz w:val="28"/>
          <w:szCs w:val="28"/>
        </w:rPr>
        <w:t>e</w:t>
      </w:r>
      <w:r w:rsidR="00412BAB" w:rsidRPr="000357D9">
        <w:rPr>
          <w:b/>
          <w:sz w:val="28"/>
          <w:szCs w:val="28"/>
        </w:rPr>
        <w:t>partment of Transportation</w:t>
      </w:r>
    </w:p>
    <w:p w14:paraId="7F8211A1" w14:textId="77777777" w:rsidR="00412BAB" w:rsidRPr="000357D9" w:rsidRDefault="00412BAB" w:rsidP="00412BAB">
      <w:pPr>
        <w:jc w:val="center"/>
        <w:rPr>
          <w:b/>
          <w:sz w:val="28"/>
          <w:szCs w:val="28"/>
        </w:rPr>
      </w:pPr>
      <w:r w:rsidRPr="000357D9">
        <w:rPr>
          <w:b/>
          <w:sz w:val="28"/>
          <w:szCs w:val="28"/>
        </w:rPr>
        <w:t>Office of the Chief Information Officer</w:t>
      </w:r>
    </w:p>
    <w:p w14:paraId="3BEB497F" w14:textId="77777777" w:rsidR="00412BAB" w:rsidRPr="000357D9" w:rsidRDefault="00412BAB" w:rsidP="00412BAB">
      <w:pPr>
        <w:jc w:val="center"/>
        <w:rPr>
          <w:b/>
          <w:szCs w:val="28"/>
        </w:rPr>
      </w:pPr>
    </w:p>
    <w:p w14:paraId="4C6F584A" w14:textId="77777777" w:rsidR="00412BAB" w:rsidRDefault="00412BAB" w:rsidP="00412BAB">
      <w:pPr>
        <w:jc w:val="center"/>
        <w:rPr>
          <w:szCs w:val="28"/>
        </w:rPr>
      </w:pPr>
      <w:r w:rsidRPr="000357D9">
        <w:rPr>
          <w:b/>
          <w:szCs w:val="28"/>
        </w:rPr>
        <w:t>SUPPORTING STATEMENT</w:t>
      </w:r>
    </w:p>
    <w:p w14:paraId="669AEFD7" w14:textId="77777777" w:rsidR="00F60C4F" w:rsidRPr="00F933E7" w:rsidRDefault="00F60C4F" w:rsidP="00412BAB">
      <w:pPr>
        <w:jc w:val="center"/>
        <w:rPr>
          <w:szCs w:val="28"/>
        </w:rPr>
      </w:pPr>
    </w:p>
    <w:p w14:paraId="60EFE697" w14:textId="77777777" w:rsidR="00412BAB" w:rsidRPr="00F60C4F" w:rsidRDefault="00412BAB" w:rsidP="00412BAB">
      <w:pPr>
        <w:jc w:val="center"/>
        <w:rPr>
          <w:b/>
          <w:szCs w:val="28"/>
        </w:rPr>
      </w:pPr>
      <w:r w:rsidRPr="00F60C4F">
        <w:rPr>
          <w:b/>
          <w:szCs w:val="28"/>
        </w:rPr>
        <w:t>Hours</w:t>
      </w:r>
      <w:r w:rsidR="005B770A" w:rsidRPr="00F60C4F">
        <w:rPr>
          <w:b/>
          <w:szCs w:val="28"/>
        </w:rPr>
        <w:t xml:space="preserve"> </w:t>
      </w:r>
      <w:r w:rsidRPr="00F60C4F">
        <w:rPr>
          <w:b/>
          <w:szCs w:val="28"/>
        </w:rPr>
        <w:t>of</w:t>
      </w:r>
      <w:r w:rsidR="005B770A" w:rsidRPr="00F60C4F">
        <w:rPr>
          <w:b/>
          <w:szCs w:val="28"/>
        </w:rPr>
        <w:t xml:space="preserve"> </w:t>
      </w:r>
      <w:r w:rsidRPr="00F60C4F">
        <w:rPr>
          <w:b/>
          <w:szCs w:val="28"/>
        </w:rPr>
        <w:t xml:space="preserve">Service </w:t>
      </w:r>
      <w:r w:rsidR="00F733D7">
        <w:rPr>
          <w:b/>
          <w:szCs w:val="28"/>
        </w:rPr>
        <w:t xml:space="preserve">(HOS) </w:t>
      </w:r>
      <w:r w:rsidRPr="00F60C4F">
        <w:rPr>
          <w:b/>
          <w:szCs w:val="28"/>
        </w:rPr>
        <w:t>of Drivers Regulations</w:t>
      </w:r>
    </w:p>
    <w:p w14:paraId="6E6E26BD" w14:textId="77777777" w:rsidR="00E63558" w:rsidRPr="00F60C4F" w:rsidRDefault="00E63558" w:rsidP="00412BAB">
      <w:pPr>
        <w:jc w:val="center"/>
        <w:rPr>
          <w:b/>
          <w:szCs w:val="28"/>
        </w:rPr>
      </w:pPr>
    </w:p>
    <w:p w14:paraId="12D1127B" w14:textId="77777777" w:rsidR="00412BAB" w:rsidRPr="006A1651" w:rsidRDefault="00412BAB" w:rsidP="00412BAB">
      <w:pPr>
        <w:pStyle w:val="PlainText"/>
        <w:rPr>
          <w:rFonts w:ascii="Times New Roman" w:hAnsi="Times New Roman"/>
          <w:b/>
          <w:sz w:val="24"/>
          <w:szCs w:val="24"/>
          <w:u w:val="single"/>
        </w:rPr>
      </w:pPr>
      <w:r w:rsidRPr="006A1651">
        <w:rPr>
          <w:rFonts w:ascii="Times New Roman" w:hAnsi="Times New Roman"/>
          <w:b/>
          <w:sz w:val="24"/>
          <w:szCs w:val="24"/>
          <w:u w:val="single"/>
        </w:rPr>
        <w:t>INTRODUCTION</w:t>
      </w:r>
    </w:p>
    <w:p w14:paraId="79BEA8DC" w14:textId="77777777" w:rsidR="00412BAB" w:rsidRPr="00F933E7" w:rsidRDefault="00412BAB" w:rsidP="00412BAB">
      <w:pPr>
        <w:pStyle w:val="PlainText"/>
        <w:rPr>
          <w:rFonts w:ascii="Times New Roman" w:hAnsi="Times New Roman"/>
          <w:sz w:val="24"/>
          <w:szCs w:val="24"/>
          <w:u w:val="single"/>
        </w:rPr>
      </w:pPr>
    </w:p>
    <w:p w14:paraId="2260F842" w14:textId="535E0717" w:rsidR="005C7D02" w:rsidRDefault="002811EF" w:rsidP="002811EF">
      <w:r w:rsidRPr="00F933E7">
        <w:t>This is to request the Office of Management and Budget</w:t>
      </w:r>
      <w:r>
        <w:t>’s (</w:t>
      </w:r>
      <w:r w:rsidRPr="00F933E7">
        <w:t xml:space="preserve">OMB) </w:t>
      </w:r>
      <w:r w:rsidR="00F90BBE">
        <w:t xml:space="preserve">approval for the </w:t>
      </w:r>
      <w:r w:rsidR="00DF03C4">
        <w:t>renewal of</w:t>
      </w:r>
      <w:r w:rsidR="00F90BBE">
        <w:t xml:space="preserve"> the OMB Control Number 2126-0001</w:t>
      </w:r>
      <w:r w:rsidR="00D13D2C">
        <w:t>,</w:t>
      </w:r>
      <w:r>
        <w:t xml:space="preserve"> </w:t>
      </w:r>
      <w:r w:rsidRPr="00F933E7">
        <w:t>information collection</w:t>
      </w:r>
      <w:r w:rsidR="00304AE6">
        <w:t xml:space="preserve"> request</w:t>
      </w:r>
      <w:r w:rsidRPr="00F933E7">
        <w:t xml:space="preserve"> (IC</w:t>
      </w:r>
      <w:r w:rsidR="00304AE6">
        <w:t>R</w:t>
      </w:r>
      <w:r w:rsidRPr="00F933E7">
        <w:t xml:space="preserve">) titled, “Hours of Service </w:t>
      </w:r>
      <w:r>
        <w:t xml:space="preserve">(HOS) </w:t>
      </w:r>
      <w:r w:rsidRPr="00F933E7">
        <w:t>of Drivers Regulations”</w:t>
      </w:r>
      <w:r w:rsidR="00F90BBE">
        <w:t xml:space="preserve"> expiring on</w:t>
      </w:r>
      <w:r w:rsidR="006B3753">
        <w:t xml:space="preserve"> June 30, 2019</w:t>
      </w:r>
      <w:r w:rsidRPr="00F933E7">
        <w:t>.</w:t>
      </w:r>
      <w:r w:rsidR="003060ED">
        <w:rPr>
          <w:rStyle w:val="FootnoteReference"/>
        </w:rPr>
        <w:footnoteReference w:id="2"/>
      </w:r>
      <w:r>
        <w:t xml:space="preserve"> The Federal Motor Carrier Safety Administration (FMCSA or the Agency)</w:t>
      </w:r>
      <w:r w:rsidRPr="00F933E7">
        <w:t xml:space="preserve"> </w:t>
      </w:r>
      <w:r w:rsidR="00F90BBE">
        <w:t xml:space="preserve">has updated its estimate of </w:t>
      </w:r>
      <w:r w:rsidR="00F90BBE" w:rsidRPr="00966010">
        <w:t xml:space="preserve">the number of commercial motor vehicle (CMV) drivers </w:t>
      </w:r>
      <w:r w:rsidR="00FF25E7">
        <w:t>subject to the</w:t>
      </w:r>
      <w:r w:rsidR="00F90BBE">
        <w:t xml:space="preserve"> HOS </w:t>
      </w:r>
      <w:r w:rsidR="004D7C20">
        <w:t>recordkeeping requirements and the associated cost of installing and operating electronic logging devices</w:t>
      </w:r>
      <w:r w:rsidR="0055172C">
        <w:t xml:space="preserve"> (ELDs)</w:t>
      </w:r>
      <w:r w:rsidR="004D7C20">
        <w:t xml:space="preserve">. </w:t>
      </w:r>
      <w:r w:rsidR="00F90BBE">
        <w:t>The</w:t>
      </w:r>
      <w:r w:rsidR="00161E01">
        <w:t xml:space="preserve"> currently</w:t>
      </w:r>
      <w:r w:rsidR="00F90BBE">
        <w:t xml:space="preserve"> approved burden of this IC</w:t>
      </w:r>
      <w:r w:rsidR="00E36841">
        <w:t>R</w:t>
      </w:r>
      <w:r w:rsidR="00F90BBE">
        <w:t xml:space="preserve"> is</w:t>
      </w:r>
      <w:r w:rsidR="00AB0660">
        <w:t xml:space="preserve"> </w:t>
      </w:r>
      <w:r w:rsidR="00F90BBE">
        <w:t>99.46 million hours</w:t>
      </w:r>
      <w:r w:rsidR="0048140E">
        <w:t>.</w:t>
      </w:r>
      <w:r w:rsidR="00D34F8D">
        <w:t xml:space="preserve"> </w:t>
      </w:r>
      <w:r w:rsidR="00F90BBE">
        <w:t xml:space="preserve">FMCSA </w:t>
      </w:r>
      <w:r w:rsidR="009A42B0">
        <w:t>request</w:t>
      </w:r>
      <w:r w:rsidR="00CB322A">
        <w:t xml:space="preserve">s OMB approval </w:t>
      </w:r>
      <w:r w:rsidR="005A6542">
        <w:t>of our revised estimate of</w:t>
      </w:r>
      <w:r w:rsidR="00AB0660" w:rsidRPr="00263B39">
        <w:t xml:space="preserve"> </w:t>
      </w:r>
      <w:r w:rsidR="00B82DAE">
        <w:t>41.0</w:t>
      </w:r>
      <w:r w:rsidR="00DB2AD8">
        <w:t>4</w:t>
      </w:r>
      <w:r w:rsidR="00B82DAE">
        <w:t xml:space="preserve"> </w:t>
      </w:r>
      <w:r w:rsidR="006B3753" w:rsidRPr="00263B39">
        <w:t>million</w:t>
      </w:r>
      <w:r w:rsidR="00AB0660" w:rsidRPr="00263B39">
        <w:t xml:space="preserve"> </w:t>
      </w:r>
      <w:r w:rsidR="006B3753" w:rsidRPr="00263B39">
        <w:t>hours</w:t>
      </w:r>
      <w:r w:rsidR="005A6542">
        <w:t xml:space="preserve"> for the annual burden of this ICR</w:t>
      </w:r>
      <w:r w:rsidR="005E087D" w:rsidRPr="00263B39">
        <w:t xml:space="preserve">. </w:t>
      </w:r>
      <w:r w:rsidR="00161E01">
        <w:t xml:space="preserve">The proposed reduction </w:t>
      </w:r>
      <w:r w:rsidR="00F96DEB">
        <w:t xml:space="preserve">of </w:t>
      </w:r>
      <w:r w:rsidR="004C2B90">
        <w:t>58.4</w:t>
      </w:r>
      <w:r w:rsidR="00DB2AD8">
        <w:t>2</w:t>
      </w:r>
      <w:r w:rsidR="004C2B90">
        <w:t xml:space="preserve"> </w:t>
      </w:r>
      <w:r w:rsidR="00F96DEB">
        <w:t>million</w:t>
      </w:r>
      <w:r w:rsidR="00161E01">
        <w:t xml:space="preserve"> burden hours is discussed in section 15, below.</w:t>
      </w:r>
    </w:p>
    <w:p w14:paraId="7D20CB06" w14:textId="77777777" w:rsidR="005C7D02" w:rsidRDefault="005C7D02" w:rsidP="002811EF"/>
    <w:p w14:paraId="6E199738" w14:textId="1CDA163E" w:rsidR="0027506E" w:rsidRDefault="004D7C20" w:rsidP="002811EF">
      <w:r>
        <w:t xml:space="preserve">The Agency estimates </w:t>
      </w:r>
      <w:r w:rsidR="00116523">
        <w:t xml:space="preserve">the </w:t>
      </w:r>
      <w:r w:rsidR="00387577">
        <w:t xml:space="preserve">total </w:t>
      </w:r>
      <w:r w:rsidR="00116523">
        <w:t xml:space="preserve">average annual cost of this ICR at </w:t>
      </w:r>
      <w:r w:rsidR="00767C28">
        <w:t>$</w:t>
      </w:r>
      <w:r w:rsidR="004C2B90">
        <w:t>2</w:t>
      </w:r>
      <w:r w:rsidR="000C68FA">
        <w:t>,</w:t>
      </w:r>
      <w:r w:rsidR="004C2B90">
        <w:t>898.</w:t>
      </w:r>
      <w:r w:rsidR="0020326C">
        <w:t>50</w:t>
      </w:r>
      <w:r w:rsidR="004C2B90">
        <w:t xml:space="preserve"> </w:t>
      </w:r>
      <w:r w:rsidR="00210BC9">
        <w:t>m</w:t>
      </w:r>
      <w:r w:rsidR="00387577">
        <w:t xml:space="preserve">illion, which consists of </w:t>
      </w:r>
      <w:r w:rsidR="00387577" w:rsidRPr="00263B39">
        <w:t>$</w:t>
      </w:r>
      <w:r w:rsidR="004C2B90">
        <w:t>1,50</w:t>
      </w:r>
      <w:r w:rsidR="002F66AC">
        <w:t>7</w:t>
      </w:r>
      <w:r w:rsidR="004C2B90">
        <w:t>.7</w:t>
      </w:r>
      <w:r w:rsidR="0020326C">
        <w:t>5</w:t>
      </w:r>
      <w:r w:rsidR="004C2B90">
        <w:t xml:space="preserve"> </w:t>
      </w:r>
      <w:r w:rsidR="00210BC9">
        <w:t>m</w:t>
      </w:r>
      <w:r w:rsidR="00387577">
        <w:t xml:space="preserve">illion of </w:t>
      </w:r>
      <w:r w:rsidR="005E087D" w:rsidRPr="00263B39">
        <w:t>monetized burden hours</w:t>
      </w:r>
      <w:r w:rsidR="004C2B90">
        <w:t xml:space="preserve"> incurred by drivers and motor carriers</w:t>
      </w:r>
      <w:r w:rsidR="00387577" w:rsidRPr="001C160E">
        <w:t>,</w:t>
      </w:r>
      <w:r w:rsidR="005E087D" w:rsidRPr="001C160E">
        <w:t xml:space="preserve"> </w:t>
      </w:r>
      <w:r w:rsidR="00387577" w:rsidRPr="001C160E">
        <w:t>$</w:t>
      </w:r>
      <w:r w:rsidR="00767C28">
        <w:t>1,366.</w:t>
      </w:r>
      <w:r w:rsidR="0020326C">
        <w:t>25</w:t>
      </w:r>
      <w:r w:rsidR="00D563AB" w:rsidRPr="001C160E">
        <w:t xml:space="preserve"> </w:t>
      </w:r>
      <w:r w:rsidR="00D563AB">
        <w:t>m</w:t>
      </w:r>
      <w:r w:rsidR="00387577">
        <w:t>illion for the installed cost of new ELDs, plus annual data management service charges paid to ELD vendors, and $</w:t>
      </w:r>
      <w:r w:rsidR="00767C28">
        <w:t xml:space="preserve">24.5 </w:t>
      </w:r>
      <w:r w:rsidR="00387577">
        <w:t xml:space="preserve">million to </w:t>
      </w:r>
      <w:r w:rsidR="00FF25E7">
        <w:t>supply drivers with backup paper logbooks</w:t>
      </w:r>
      <w:r w:rsidR="00387577">
        <w:t>.</w:t>
      </w:r>
      <w:r w:rsidR="00CF3034">
        <w:t xml:space="preserve"> </w:t>
      </w:r>
    </w:p>
    <w:p w14:paraId="66CB2ADD" w14:textId="77777777" w:rsidR="00387577" w:rsidRDefault="00387577" w:rsidP="002811EF"/>
    <w:p w14:paraId="1B38534D" w14:textId="27C0236F" w:rsidR="006E13A1" w:rsidRDefault="0027506E" w:rsidP="0027506E">
      <w:r w:rsidRPr="007E46D0">
        <w:t xml:space="preserve">The </w:t>
      </w:r>
      <w:r w:rsidR="006B3753" w:rsidRPr="007E46D0">
        <w:t xml:space="preserve">previous </w:t>
      </w:r>
      <w:r w:rsidRPr="007E46D0">
        <w:t xml:space="preserve">supporting statement </w:t>
      </w:r>
      <w:r w:rsidR="006B3753" w:rsidRPr="007E46D0">
        <w:t xml:space="preserve">approved by </w:t>
      </w:r>
      <w:r w:rsidRPr="007E46D0">
        <w:t xml:space="preserve">OMB </w:t>
      </w:r>
      <w:r w:rsidR="006B3753" w:rsidRPr="007E46D0">
        <w:t xml:space="preserve">accompanied </w:t>
      </w:r>
      <w:r w:rsidRPr="007E46D0">
        <w:t>FMCSA’s final rule titled “</w:t>
      </w:r>
      <w:r w:rsidRPr="007E46D0">
        <w:rPr>
          <w:bCs/>
        </w:rPr>
        <w:t>Electronic Logging Devices and Hours of Service Supporting Documents,</w:t>
      </w:r>
      <w:r w:rsidRPr="007E46D0">
        <w:t>” published on</w:t>
      </w:r>
      <w:r w:rsidRPr="00BA12D4">
        <w:t xml:space="preserve"> </w:t>
      </w:r>
      <w:r>
        <w:t>December 16, 2015</w:t>
      </w:r>
      <w:r w:rsidRPr="00BA12D4">
        <w:t xml:space="preserve"> (80 FR </w:t>
      </w:r>
      <w:r>
        <w:t>78292)</w:t>
      </w:r>
      <w:r w:rsidRPr="00FE43AF">
        <w:t xml:space="preserve"> </w:t>
      </w:r>
      <w:r>
        <w:t xml:space="preserve">(“The ELD rule”). </w:t>
      </w:r>
      <w:r w:rsidR="00AC5A46">
        <w:t xml:space="preserve">The </w:t>
      </w:r>
      <w:r>
        <w:t xml:space="preserve">ELD rule </w:t>
      </w:r>
      <w:r w:rsidR="00AC5A46">
        <w:t xml:space="preserve">compliance date </w:t>
      </w:r>
      <w:r w:rsidR="0020326C">
        <w:t xml:space="preserve">resulted in mandatory use of </w:t>
      </w:r>
      <w:r>
        <w:t>ELD</w:t>
      </w:r>
      <w:r w:rsidR="0020326C">
        <w:t>s</w:t>
      </w:r>
      <w:r>
        <w:t xml:space="preserve"> in the third year of the </w:t>
      </w:r>
      <w:r w:rsidR="00AB0660">
        <w:t>current</w:t>
      </w:r>
      <w:r w:rsidR="00CF753B">
        <w:t>ly approved</w:t>
      </w:r>
      <w:r w:rsidR="00AB0660">
        <w:t xml:space="preserve"> </w:t>
      </w:r>
      <w:r w:rsidR="0020326C">
        <w:t>ICR.</w:t>
      </w:r>
      <w:r w:rsidR="0067570F">
        <w:t xml:space="preserve"> </w:t>
      </w:r>
      <w:r w:rsidR="00A509C1">
        <w:t>For the first two years of the information collection period,</w:t>
      </w:r>
      <w:r w:rsidR="006E13A1">
        <w:t xml:space="preserve"> the </w:t>
      </w:r>
      <w:r w:rsidR="00AC5A46">
        <w:t>Agency</w:t>
      </w:r>
      <w:r w:rsidR="006E13A1">
        <w:t xml:space="preserve"> </w:t>
      </w:r>
      <w:r w:rsidR="008F3AAD">
        <w:t xml:space="preserve">assumed voluntary </w:t>
      </w:r>
      <w:r w:rsidR="00AB0660">
        <w:t>use of ELD</w:t>
      </w:r>
      <w:r w:rsidR="003C5E95">
        <w:t>s</w:t>
      </w:r>
      <w:r w:rsidR="00AB0660">
        <w:t xml:space="preserve"> at 20 percent of the </w:t>
      </w:r>
      <w:r w:rsidR="005E087D">
        <w:t xml:space="preserve">affected </w:t>
      </w:r>
      <w:r w:rsidR="00AB0660">
        <w:t xml:space="preserve">driver population </w:t>
      </w:r>
      <w:r w:rsidR="005E087D">
        <w:t>for</w:t>
      </w:r>
      <w:r w:rsidR="00AB0660">
        <w:t xml:space="preserve"> Year 1 and 22 percent in Year 2.</w:t>
      </w:r>
      <w:r w:rsidR="005E087D">
        <w:t xml:space="preserve"> The remaining population of drivers were assumed to continue using paper logbooks to comply with the HOS rules. </w:t>
      </w:r>
      <w:r w:rsidR="00AB0660">
        <w:t>In Year 3</w:t>
      </w:r>
      <w:r w:rsidR="005E087D">
        <w:t xml:space="preserve">, burden hours were estimated </w:t>
      </w:r>
      <w:r w:rsidR="0049185D">
        <w:t>based on all</w:t>
      </w:r>
      <w:r w:rsidR="005E087D">
        <w:t xml:space="preserve"> affected drivers operating ELD</w:t>
      </w:r>
      <w:r w:rsidR="00161E01">
        <w:t>-</w:t>
      </w:r>
      <w:r w:rsidR="005E087D">
        <w:t>equipped CMVs</w:t>
      </w:r>
      <w:r w:rsidR="0049185D">
        <w:t>.</w:t>
      </w:r>
      <w:r w:rsidR="0049185D" w:rsidDel="0049185D">
        <w:t xml:space="preserve"> </w:t>
      </w:r>
    </w:p>
    <w:p w14:paraId="707219F7" w14:textId="06B97217" w:rsidR="00E138CE" w:rsidRPr="00BD60BC" w:rsidRDefault="00D34F8D" w:rsidP="00E138CE">
      <w:pPr>
        <w:spacing w:before="150" w:after="150"/>
        <w:ind w:right="750"/>
        <w:jc w:val="both"/>
      </w:pPr>
      <w:r>
        <w:t xml:space="preserve">The </w:t>
      </w:r>
      <w:r w:rsidR="009346E2">
        <w:t xml:space="preserve">estimate of </w:t>
      </w:r>
      <w:r w:rsidR="00F90BBE">
        <w:t xml:space="preserve">burden </w:t>
      </w:r>
      <w:r>
        <w:t>hours</w:t>
      </w:r>
      <w:r w:rsidR="006E13A1">
        <w:t xml:space="preserve"> </w:t>
      </w:r>
      <w:r w:rsidR="009346E2">
        <w:t xml:space="preserve">in this </w:t>
      </w:r>
      <w:r w:rsidR="00DF4856">
        <w:t xml:space="preserve">supporting statement </w:t>
      </w:r>
      <w:r w:rsidR="009346E2">
        <w:t xml:space="preserve">is </w:t>
      </w:r>
      <w:r w:rsidR="00DF4856">
        <w:t xml:space="preserve">a </w:t>
      </w:r>
      <w:r w:rsidR="007B2BEC">
        <w:t>three-year</w:t>
      </w:r>
      <w:r w:rsidR="00DF4856">
        <w:t xml:space="preserve"> average of annual burden hours </w:t>
      </w:r>
      <w:r w:rsidR="009346E2">
        <w:t xml:space="preserve">for </w:t>
      </w:r>
      <w:r w:rsidR="00464E4F">
        <w:t xml:space="preserve">the </w:t>
      </w:r>
      <w:r w:rsidR="00464E4F" w:rsidRPr="001E2437">
        <w:t xml:space="preserve">segment of the </w:t>
      </w:r>
      <w:r w:rsidR="009346E2">
        <w:t xml:space="preserve">total </w:t>
      </w:r>
      <w:r w:rsidR="00CF753B" w:rsidRPr="001E2437">
        <w:t>driver population operat</w:t>
      </w:r>
      <w:r w:rsidR="00464E4F" w:rsidRPr="001E2437">
        <w:t>ing</w:t>
      </w:r>
      <w:r w:rsidR="00CF753B" w:rsidRPr="00C54A57">
        <w:t xml:space="preserve"> ELD</w:t>
      </w:r>
      <w:r w:rsidR="00730637" w:rsidRPr="00643156">
        <w:t>-</w:t>
      </w:r>
      <w:r w:rsidR="00CF753B" w:rsidRPr="00643156">
        <w:t xml:space="preserve">equipped CMVs </w:t>
      </w:r>
      <w:r w:rsidR="00C47961" w:rsidRPr="00643156">
        <w:t>for the</w:t>
      </w:r>
      <w:r w:rsidR="00CF753B" w:rsidRPr="00643156">
        <w:t xml:space="preserve"> </w:t>
      </w:r>
      <w:r w:rsidR="00C82E31">
        <w:t>2019-2021</w:t>
      </w:r>
      <w:r w:rsidR="009346E2">
        <w:t xml:space="preserve"> </w:t>
      </w:r>
      <w:r w:rsidR="00C47961" w:rsidRPr="000A15F1">
        <w:t>information collection period</w:t>
      </w:r>
      <w:r w:rsidR="009346E2">
        <w:t>.</w:t>
      </w:r>
      <w:r w:rsidR="00C82E31">
        <w:t xml:space="preserve"> Drivers operating under short-haul exemptions are required to prepare time cards</w:t>
      </w:r>
      <w:r w:rsidR="009346E2">
        <w:t>, and do so in accordance with Department of Labor regulations.</w:t>
      </w:r>
      <w:r w:rsidR="00BC6F12">
        <w:rPr>
          <w:rStyle w:val="FootnoteReference"/>
        </w:rPr>
        <w:footnoteReference w:id="3"/>
      </w:r>
      <w:r w:rsidR="009346E2">
        <w:t xml:space="preserve"> </w:t>
      </w:r>
      <w:r w:rsidR="00E41E17">
        <w:t>Section 395.8(a)(1)(iii)(A)(</w:t>
      </w:r>
      <w:r w:rsidR="00E41E17">
        <w:rPr>
          <w:i/>
        </w:rPr>
        <w:t>1</w:t>
      </w:r>
      <w:r w:rsidR="00FB52A1">
        <w:rPr>
          <w:i/>
        </w:rPr>
        <w:t>-4</w:t>
      </w:r>
      <w:r w:rsidR="00E41E17">
        <w:t xml:space="preserve">) </w:t>
      </w:r>
      <w:r w:rsidR="00E138CE" w:rsidRPr="00414A1C">
        <w:t>also provides that a</w:t>
      </w:r>
      <w:r w:rsidR="00E138CE" w:rsidRPr="00BD60BC">
        <w:t xml:space="preserve"> motor carrier may require a driver to record the driver</w:t>
      </w:r>
      <w:r w:rsidR="00E138CE" w:rsidRPr="00BD60BC">
        <w:rPr>
          <w:rFonts w:hint="eastAsia"/>
        </w:rPr>
        <w:t>’</w:t>
      </w:r>
      <w:r w:rsidR="00E138CE" w:rsidRPr="00BD60BC">
        <w:t xml:space="preserve">s duty status manually rather </w:t>
      </w:r>
      <w:r w:rsidR="00E138CE" w:rsidRPr="00BD60BC">
        <w:lastRenderedPageBreak/>
        <w:t>than require the use of an ELD, if the driver is operating a CMV (1) In a manner requiring completion of a record of duty status on not more than 8 days within any 30-day period;</w:t>
      </w:r>
      <w:r w:rsidR="00E138CE">
        <w:t xml:space="preserve"> </w:t>
      </w:r>
      <w:r w:rsidR="00E138CE" w:rsidRPr="00BD60BC">
        <w:t>(2) In a driveaway-towaway operation in which the vehicle being driven is part of the shipment being delivered; (3) In a driveaway-towaway operation in which the vehicle being transported is a motor home or a recreation vehicle trailer; or (4) That was manufactured before model year 2000, as reflected in the vehicle identification number as shown on the vehicle's registration.</w:t>
      </w:r>
    </w:p>
    <w:p w14:paraId="50AAB02D" w14:textId="7A63F895" w:rsidR="0050029B" w:rsidRDefault="006E13A1" w:rsidP="006A0DBE">
      <w:r>
        <w:t>Additionally, in this</w:t>
      </w:r>
      <w:r w:rsidR="00BA458E">
        <w:t xml:space="preserve"> ICR</w:t>
      </w:r>
      <w:r>
        <w:t xml:space="preserve">, the Agency </w:t>
      </w:r>
      <w:r w:rsidR="00CF753B">
        <w:t>monetizes</w:t>
      </w:r>
      <w:r>
        <w:t xml:space="preserve"> </w:t>
      </w:r>
      <w:r w:rsidR="006112A4">
        <w:t xml:space="preserve">driver </w:t>
      </w:r>
      <w:r w:rsidR="00CF753B">
        <w:t xml:space="preserve">burden hours based on </w:t>
      </w:r>
      <w:r w:rsidR="00FC70B1">
        <w:t>hourly wage rates, including benefits</w:t>
      </w:r>
      <w:r w:rsidR="00C47961">
        <w:t xml:space="preserve"> and </w:t>
      </w:r>
      <w:r w:rsidR="006112A4">
        <w:t xml:space="preserve">motor carrier </w:t>
      </w:r>
      <w:r w:rsidR="00C47961">
        <w:t>overhead</w:t>
      </w:r>
      <w:r w:rsidR="006112A4">
        <w:t>.</w:t>
      </w:r>
      <w:r w:rsidR="00FC70B1">
        <w:t xml:space="preserve"> </w:t>
      </w:r>
      <w:r w:rsidR="00CB322A">
        <w:t xml:space="preserve">ELD </w:t>
      </w:r>
      <w:r w:rsidR="00C47961">
        <w:t xml:space="preserve">fixed </w:t>
      </w:r>
      <w:r w:rsidR="00CB322A">
        <w:t>equipment</w:t>
      </w:r>
      <w:r w:rsidR="00C47961">
        <w:t xml:space="preserve"> </w:t>
      </w:r>
      <w:r w:rsidR="00CB322A">
        <w:t xml:space="preserve">and </w:t>
      </w:r>
      <w:r w:rsidR="00C47961">
        <w:t xml:space="preserve">variable </w:t>
      </w:r>
      <w:r w:rsidR="00CB322A">
        <w:t>operating costs and the cost of backup paper logbooks are also included in the estimate</w:t>
      </w:r>
      <w:r w:rsidR="006112A4">
        <w:t xml:space="preserve"> of </w:t>
      </w:r>
      <w:r w:rsidR="00CA5AA6">
        <w:t xml:space="preserve">this </w:t>
      </w:r>
      <w:r w:rsidR="006112A4">
        <w:t>IC</w:t>
      </w:r>
      <w:r w:rsidR="00CA5AA6">
        <w:t>R</w:t>
      </w:r>
      <w:r w:rsidR="006112A4">
        <w:t>.</w:t>
      </w:r>
    </w:p>
    <w:p w14:paraId="722ECB42" w14:textId="3EE41FF4" w:rsidR="0008468E" w:rsidRDefault="00CB322A" w:rsidP="006A0DBE">
      <w:r>
        <w:t xml:space="preserve"> </w:t>
      </w:r>
    </w:p>
    <w:p w14:paraId="03111533" w14:textId="77777777" w:rsidR="00412BAB" w:rsidRPr="006A1651" w:rsidRDefault="006A1651" w:rsidP="00412BAB">
      <w:pPr>
        <w:rPr>
          <w:b/>
          <w:u w:val="single"/>
        </w:rPr>
      </w:pPr>
      <w:r w:rsidRPr="006A1651">
        <w:rPr>
          <w:b/>
          <w:u w:val="single"/>
        </w:rPr>
        <w:t>PART A.  JUSTIFICATION</w:t>
      </w:r>
    </w:p>
    <w:p w14:paraId="4166E96B" w14:textId="77777777" w:rsidR="00751239" w:rsidRPr="00F933E7" w:rsidRDefault="00751239" w:rsidP="00412BAB"/>
    <w:p w14:paraId="241587F0" w14:textId="2364718F" w:rsidR="006E37F1" w:rsidRDefault="00F933E7" w:rsidP="00412BAB">
      <w:pPr>
        <w:rPr>
          <w:b/>
        </w:rPr>
      </w:pPr>
      <w:r w:rsidRPr="00751239">
        <w:rPr>
          <w:b/>
        </w:rPr>
        <w:t xml:space="preserve">1.  </w:t>
      </w:r>
      <w:r w:rsidR="009E39CC" w:rsidRPr="00751239">
        <w:rPr>
          <w:b/>
        </w:rPr>
        <w:t>Circumstances that make the collection of information necessary</w:t>
      </w:r>
    </w:p>
    <w:p w14:paraId="690CD967" w14:textId="77777777" w:rsidR="009E39CC" w:rsidRPr="00751239" w:rsidRDefault="009E39CC" w:rsidP="00412BAB">
      <w:pPr>
        <w:rPr>
          <w:b/>
        </w:rPr>
      </w:pPr>
      <w:r w:rsidRPr="00751239">
        <w:rPr>
          <w:b/>
        </w:rPr>
        <w:t xml:space="preserve"> </w:t>
      </w:r>
    </w:p>
    <w:p w14:paraId="75B1CB9A" w14:textId="77777777" w:rsidR="002C4935" w:rsidRDefault="00751239" w:rsidP="002C4935">
      <w:pPr>
        <w:autoSpaceDE w:val="0"/>
        <w:autoSpaceDN w:val="0"/>
        <w:adjustRightInd w:val="0"/>
        <w:rPr>
          <w:rFonts w:cs="Arial"/>
          <w:szCs w:val="20"/>
        </w:rPr>
      </w:pPr>
      <w:r>
        <w:rPr>
          <w:rFonts w:cs="Arial"/>
          <w:szCs w:val="20"/>
        </w:rPr>
        <w:t>S</w:t>
      </w:r>
      <w:r w:rsidR="009C7855" w:rsidRPr="00F933E7">
        <w:rPr>
          <w:rFonts w:cs="Arial"/>
          <w:szCs w:val="20"/>
        </w:rPr>
        <w:t>ection 390.5</w:t>
      </w:r>
      <w:r w:rsidR="009F64AC">
        <w:rPr>
          <w:rFonts w:cs="Arial"/>
          <w:szCs w:val="20"/>
        </w:rPr>
        <w:t>T</w:t>
      </w:r>
      <w:r w:rsidR="009C7855" w:rsidRPr="00F933E7">
        <w:rPr>
          <w:rFonts w:cs="Arial"/>
          <w:szCs w:val="20"/>
        </w:rPr>
        <w:t xml:space="preserve"> of the Federal Motor Carrier Safety Regulations (FMCSRs) (49 CFR 350 </w:t>
      </w:r>
      <w:r w:rsidR="009C7855" w:rsidRPr="00751239">
        <w:rPr>
          <w:rFonts w:cs="Arial"/>
          <w:i/>
          <w:szCs w:val="20"/>
        </w:rPr>
        <w:t>et seq</w:t>
      </w:r>
      <w:r w:rsidR="009C7855" w:rsidRPr="00F933E7">
        <w:rPr>
          <w:rFonts w:cs="Arial"/>
          <w:szCs w:val="20"/>
        </w:rPr>
        <w:t>.</w:t>
      </w:r>
      <w:r w:rsidR="00CB395F" w:rsidRPr="00F933E7">
        <w:rPr>
          <w:rFonts w:cs="Arial"/>
          <w:szCs w:val="20"/>
        </w:rPr>
        <w:t>)</w:t>
      </w:r>
      <w:r w:rsidR="00F75C04">
        <w:t xml:space="preserve"> </w:t>
      </w:r>
      <w:r w:rsidR="009C7855" w:rsidRPr="00F933E7">
        <w:rPr>
          <w:rFonts w:cs="Arial"/>
          <w:szCs w:val="20"/>
        </w:rPr>
        <w:t>define</w:t>
      </w:r>
      <w:r w:rsidR="009A3B6C">
        <w:rPr>
          <w:rFonts w:cs="Arial"/>
          <w:szCs w:val="20"/>
        </w:rPr>
        <w:t>s</w:t>
      </w:r>
      <w:r w:rsidR="009C7855" w:rsidRPr="00F933E7">
        <w:rPr>
          <w:rFonts w:cs="Arial"/>
          <w:szCs w:val="20"/>
        </w:rPr>
        <w:t xml:space="preserve"> the term “commercial motor vehicle” </w:t>
      </w:r>
      <w:r w:rsidR="004C637F">
        <w:rPr>
          <w:rFonts w:cs="Arial"/>
          <w:szCs w:val="20"/>
        </w:rPr>
        <w:t xml:space="preserve">(CMV) </w:t>
      </w:r>
      <w:r w:rsidR="009C7855" w:rsidRPr="00F933E7">
        <w:rPr>
          <w:rFonts w:cs="Arial"/>
          <w:szCs w:val="20"/>
        </w:rPr>
        <w:t>as</w:t>
      </w:r>
      <w:r w:rsidR="005643FC">
        <w:rPr>
          <w:rFonts w:cs="Arial"/>
          <w:szCs w:val="20"/>
        </w:rPr>
        <w:t xml:space="preserve"> </w:t>
      </w:r>
      <w:r w:rsidR="005643FC" w:rsidRPr="002C4935">
        <w:rPr>
          <w:i/>
          <w:iCs/>
          <w:color w:val="000000"/>
        </w:rPr>
        <w:t>Commercial motor vehicle</w:t>
      </w:r>
      <w:r w:rsidR="005643FC" w:rsidRPr="002C4935">
        <w:rPr>
          <w:color w:val="000000"/>
        </w:rPr>
        <w:t> means any self-propelled or towed motor vehicle used on a highway in interstate commerce to transport passengers or property when the vehicle—(1) Has a gross vehicle weight rating or gross combination weight rating, or gross vehicle weight or gross combination weight, of 4,536 kg (10,001 pounds) or more, whichever is greater; or (2) Is designed or used to transport more than 8 passengers (including the driver) for compensation; or (3) Is designed or used to transport more than 15 passengers, including the driver, and is not used to transport passengers for compensation; or (4) Is used in transporting material found by the Secretary of Transportation to be hazardous under 49 U.S.C. 5103 and transported in a quantity requiring placarding under regulations prescribed by the Secretary under 49 CFR, subtitle B, chapter I, subchapter C.</w:t>
      </w:r>
      <w:r w:rsidR="002C4935">
        <w:rPr>
          <w:color w:val="000000"/>
        </w:rPr>
        <w:t xml:space="preserve"> </w:t>
      </w:r>
      <w:r w:rsidR="002C4935" w:rsidRPr="00E67522">
        <w:rPr>
          <w:rFonts w:cs="Arial"/>
          <w:szCs w:val="20"/>
        </w:rPr>
        <w:t>(</w:t>
      </w:r>
      <w:r w:rsidR="002C4935" w:rsidRPr="00E67522">
        <w:t>Attachment A).</w:t>
      </w:r>
      <w:r w:rsidR="002C4935">
        <w:t xml:space="preserve"> </w:t>
      </w:r>
      <w:r w:rsidR="002C4935">
        <w:rPr>
          <w:rFonts w:cs="Arial"/>
          <w:szCs w:val="20"/>
        </w:rPr>
        <w:t xml:space="preserve"> </w:t>
      </w:r>
    </w:p>
    <w:p w14:paraId="0823B222" w14:textId="77777777" w:rsidR="004D7DE5" w:rsidRDefault="004D7DE5" w:rsidP="009E7680">
      <w:pPr>
        <w:autoSpaceDE w:val="0"/>
        <w:autoSpaceDN w:val="0"/>
        <w:adjustRightInd w:val="0"/>
      </w:pPr>
    </w:p>
    <w:p w14:paraId="29A908A4" w14:textId="68E0838D" w:rsidR="004E6CA4" w:rsidRPr="009E7680" w:rsidRDefault="00071BF7" w:rsidP="009E7680">
      <w:pPr>
        <w:autoSpaceDE w:val="0"/>
        <w:autoSpaceDN w:val="0"/>
        <w:adjustRightInd w:val="0"/>
        <w:rPr>
          <w:rFonts w:cs="Arial"/>
          <w:szCs w:val="20"/>
        </w:rPr>
      </w:pPr>
      <w:r w:rsidRPr="00F933E7">
        <w:t xml:space="preserve">The FMCSRs are applicable to individuals </w:t>
      </w:r>
      <w:r w:rsidR="00751239">
        <w:t>who</w:t>
      </w:r>
      <w:r w:rsidRPr="00F933E7">
        <w:t xml:space="preserve"> drive </w:t>
      </w:r>
      <w:r w:rsidR="004C637F">
        <w:t xml:space="preserve">CMVs </w:t>
      </w:r>
      <w:r w:rsidRPr="00F933E7">
        <w:t>in interstate commerce, and to the motor carriers that employ those individuals</w:t>
      </w:r>
      <w:r w:rsidR="00E67522">
        <w:t xml:space="preserve"> 49 CFR 390.3</w:t>
      </w:r>
      <w:r w:rsidR="00D63EBD">
        <w:t>T</w:t>
      </w:r>
      <w:r w:rsidR="00E67522">
        <w:t>(a)) (Attachment B).</w:t>
      </w:r>
      <w:r w:rsidRPr="00F933E7">
        <w:t xml:space="preserve"> </w:t>
      </w:r>
      <w:r w:rsidR="00D1406E">
        <w:t xml:space="preserve">The </w:t>
      </w:r>
      <w:r w:rsidR="00FB057F" w:rsidRPr="000F2829">
        <w:t xml:space="preserve">estimates that follow, however, </w:t>
      </w:r>
      <w:r w:rsidR="00D1406E">
        <w:t xml:space="preserve">include drivers and motor carriers in both interstate and intrastate commerce </w:t>
      </w:r>
      <w:r w:rsidR="004B6AEF">
        <w:t xml:space="preserve">pursuant to an </w:t>
      </w:r>
      <w:r w:rsidR="00DF38E5">
        <w:t>OMB direct</w:t>
      </w:r>
      <w:r w:rsidR="004B6AEF">
        <w:t>ive that</w:t>
      </w:r>
      <w:r w:rsidR="00DF38E5">
        <w:t xml:space="preserve"> the </w:t>
      </w:r>
      <w:r w:rsidR="00FB057F" w:rsidRPr="000F2829">
        <w:t xml:space="preserve">Agency </w:t>
      </w:r>
      <w:r w:rsidR="00DF38E5" w:rsidRPr="0020628B">
        <w:t>include</w:t>
      </w:r>
      <w:r w:rsidR="00DF38E5">
        <w:t xml:space="preserve"> </w:t>
      </w:r>
      <w:r w:rsidR="00D1406E">
        <w:t xml:space="preserve">intrastate entities in its burden </w:t>
      </w:r>
      <w:r w:rsidR="00DF38E5">
        <w:t>es</w:t>
      </w:r>
      <w:r w:rsidR="00D1406E">
        <w:t xml:space="preserve">timate.  </w:t>
      </w:r>
      <w:r w:rsidR="002B5C53">
        <w:t xml:space="preserve">Further detail is provided under </w:t>
      </w:r>
      <w:r w:rsidR="008F0637">
        <w:t>“</w:t>
      </w:r>
      <w:r w:rsidR="008F0637" w:rsidRPr="000F2829">
        <w:t>Compliance with 5 CFR 1320.8</w:t>
      </w:r>
      <w:r w:rsidR="008F0637">
        <w:t>,</w:t>
      </w:r>
      <w:r w:rsidR="008F0637" w:rsidRPr="000F2829">
        <w:t>”</w:t>
      </w:r>
      <w:r w:rsidR="008F0637">
        <w:rPr>
          <w:b/>
        </w:rPr>
        <w:t xml:space="preserve"> </w:t>
      </w:r>
      <w:r w:rsidR="00D1406E">
        <w:t xml:space="preserve">Item 8 </w:t>
      </w:r>
      <w:r w:rsidR="002B5C53">
        <w:t>below.</w:t>
      </w:r>
      <w:r w:rsidR="00FB057F" w:rsidRPr="000F2829">
        <w:t xml:space="preserve"> </w:t>
      </w:r>
    </w:p>
    <w:p w14:paraId="54BD4F7F" w14:textId="77777777" w:rsidR="004E6CA4" w:rsidRDefault="004E6CA4" w:rsidP="00D17F16"/>
    <w:p w14:paraId="7D9FA5C2" w14:textId="1C32FCF2" w:rsidR="005155DB" w:rsidRDefault="008B0320" w:rsidP="00E67522">
      <w:pPr>
        <w:tabs>
          <w:tab w:val="left" w:pos="6930"/>
        </w:tabs>
      </w:pPr>
      <w:r w:rsidRPr="00F933E7">
        <w:t xml:space="preserve">The </w:t>
      </w:r>
      <w:r w:rsidR="00952DDE">
        <w:t xml:space="preserve">HOS </w:t>
      </w:r>
      <w:r w:rsidR="005E087D">
        <w:t>r</w:t>
      </w:r>
      <w:r w:rsidR="00952DDE">
        <w:t>ules</w:t>
      </w:r>
      <w:r w:rsidR="00EA3EEF">
        <w:t xml:space="preserve"> </w:t>
      </w:r>
      <w:r w:rsidR="00717A70">
        <w:t>apply to both property and passenger motor carriers</w:t>
      </w:r>
      <w:r w:rsidR="006F1498">
        <w:t xml:space="preserve">. The HOS rules </w:t>
      </w:r>
      <w:r w:rsidRPr="00F933E7">
        <w:t xml:space="preserve">set </w:t>
      </w:r>
      <w:r w:rsidR="00071BF7" w:rsidRPr="00F933E7">
        <w:t xml:space="preserve">limits on the on-duty </w:t>
      </w:r>
      <w:r w:rsidR="0022750C" w:rsidRPr="00F933E7">
        <w:t xml:space="preserve">time </w:t>
      </w:r>
      <w:r w:rsidRPr="00F933E7">
        <w:t>and driving time</w:t>
      </w:r>
      <w:r w:rsidR="0022750C" w:rsidRPr="00F933E7">
        <w:t xml:space="preserve"> </w:t>
      </w:r>
      <w:r w:rsidR="00071BF7" w:rsidRPr="00F933E7">
        <w:t xml:space="preserve">of CMV drivers, and mandate the amount and frequency of </w:t>
      </w:r>
      <w:r w:rsidRPr="00F933E7">
        <w:t xml:space="preserve">the time </w:t>
      </w:r>
      <w:r w:rsidR="00071BF7" w:rsidRPr="00F933E7">
        <w:t xml:space="preserve">off-duty </w:t>
      </w:r>
      <w:r w:rsidRPr="00F933E7">
        <w:t xml:space="preserve">that such </w:t>
      </w:r>
      <w:r w:rsidR="00071BF7" w:rsidRPr="00F933E7">
        <w:t>drivers must receive</w:t>
      </w:r>
      <w:r w:rsidR="008C52BB">
        <w:t xml:space="preserve">.  </w:t>
      </w:r>
      <w:r w:rsidR="0045277A" w:rsidRPr="00F933E7">
        <w:t xml:space="preserve">Two types of information are collected under this </w:t>
      </w:r>
      <w:r w:rsidR="006D42FE" w:rsidRPr="00F933E7">
        <w:t>IC</w:t>
      </w:r>
      <w:r w:rsidR="0045277A" w:rsidRPr="00F933E7">
        <w:t xml:space="preserve">: </w:t>
      </w:r>
      <w:r w:rsidR="0083401D" w:rsidRPr="00F933E7">
        <w:t xml:space="preserve">(1) </w:t>
      </w:r>
      <w:r w:rsidR="00EA3EEF">
        <w:t xml:space="preserve">drivers’ daily </w:t>
      </w:r>
      <w:r w:rsidR="0083401D" w:rsidRPr="00F933E7">
        <w:t xml:space="preserve">record of </w:t>
      </w:r>
      <w:r w:rsidR="0045277A" w:rsidRPr="00F933E7">
        <w:t>duty status (RODS</w:t>
      </w:r>
      <w:r w:rsidR="0090310D">
        <w:t xml:space="preserve">) </w:t>
      </w:r>
      <w:r w:rsidR="00D63EBD">
        <w:t>(electronic records or, in some cases, paper logbooks)</w:t>
      </w:r>
      <w:r w:rsidR="0090310D">
        <w:t>,</w:t>
      </w:r>
      <w:r w:rsidR="0045277A" w:rsidRPr="00F933E7">
        <w:t xml:space="preserve"> </w:t>
      </w:r>
      <w:r w:rsidR="0083401D" w:rsidRPr="00F933E7">
        <w:t xml:space="preserve">and (2) </w:t>
      </w:r>
      <w:r w:rsidR="006254E3">
        <w:t xml:space="preserve">supporting </w:t>
      </w:r>
      <w:r w:rsidR="0045277A" w:rsidRPr="00F933E7">
        <w:t xml:space="preserve">documents, such as </w:t>
      </w:r>
      <w:r w:rsidR="00D63EBD">
        <w:t>fuel</w:t>
      </w:r>
      <w:r w:rsidR="00D63EBD" w:rsidRPr="00F933E7">
        <w:t xml:space="preserve"> </w:t>
      </w:r>
      <w:r w:rsidR="00224416">
        <w:t xml:space="preserve">and toll </w:t>
      </w:r>
      <w:r w:rsidR="0045277A" w:rsidRPr="00F933E7">
        <w:t xml:space="preserve">receipts, that </w:t>
      </w:r>
      <w:r w:rsidR="000D1E3B">
        <w:t xml:space="preserve">may be used </w:t>
      </w:r>
      <w:r w:rsidR="00CA6537">
        <w:t xml:space="preserve">by motor carriers </w:t>
      </w:r>
      <w:r w:rsidR="000D1E3B">
        <w:t>to verify the accuracy of the RODS</w:t>
      </w:r>
      <w:r w:rsidR="0006550F">
        <w:t xml:space="preserve"> and to document expense deductions taken in the determination of taxable income</w:t>
      </w:r>
      <w:r w:rsidR="000D1E3B">
        <w:t>.</w:t>
      </w:r>
      <w:r w:rsidR="009A60C1">
        <w:t xml:space="preserve"> </w:t>
      </w:r>
      <w:r w:rsidR="00F53372">
        <w:t xml:space="preserve">Before </w:t>
      </w:r>
      <w:r w:rsidR="009A60C1">
        <w:t>December 18,</w:t>
      </w:r>
      <w:r w:rsidR="00CB322A">
        <w:t xml:space="preserve"> 2017,</w:t>
      </w:r>
      <w:r w:rsidR="009A60C1">
        <w:t xml:space="preserve"> drivers </w:t>
      </w:r>
      <w:r w:rsidR="0023076D">
        <w:t xml:space="preserve">were required to </w:t>
      </w:r>
      <w:r w:rsidR="00704796">
        <w:t xml:space="preserve">maintain </w:t>
      </w:r>
      <w:r w:rsidR="009A60C1">
        <w:t xml:space="preserve">a paper logbook to meet the </w:t>
      </w:r>
      <w:r w:rsidR="00CC7789">
        <w:t xml:space="preserve">HOS rule </w:t>
      </w:r>
      <w:r w:rsidR="00704796">
        <w:t xml:space="preserve">daily </w:t>
      </w:r>
      <w:r w:rsidR="005E087D">
        <w:t xml:space="preserve">reporting requirement of </w:t>
      </w:r>
      <w:r w:rsidR="009A60C1">
        <w:t>RODS</w:t>
      </w:r>
      <w:r w:rsidR="00B70C86">
        <w:t>.</w:t>
      </w:r>
      <w:r w:rsidR="00EA3EEF">
        <w:t xml:space="preserve"> Now,</w:t>
      </w:r>
      <w:r w:rsidR="00F53372">
        <w:t xml:space="preserve"> </w:t>
      </w:r>
      <w:r w:rsidR="00B70C86">
        <w:t>CMV drivers</w:t>
      </w:r>
      <w:r w:rsidR="00EA3EEF">
        <w:t xml:space="preserve"> </w:t>
      </w:r>
      <w:r w:rsidR="003C40A7">
        <w:t xml:space="preserve">that are not exempt from maintaining RODS under </w:t>
      </w:r>
      <w:r w:rsidR="00EA3EEF">
        <w:t xml:space="preserve">the </w:t>
      </w:r>
      <w:r w:rsidR="00952DDE">
        <w:t xml:space="preserve">HOS </w:t>
      </w:r>
      <w:r w:rsidR="008163E7">
        <w:t>r</w:t>
      </w:r>
      <w:r w:rsidR="00952DDE">
        <w:t>ules</w:t>
      </w:r>
      <w:r w:rsidR="00B70C86">
        <w:t xml:space="preserve"> </w:t>
      </w:r>
      <w:r w:rsidR="00F53372">
        <w:t>must</w:t>
      </w:r>
      <w:r w:rsidR="00B70C86">
        <w:t xml:space="preserve"> </w:t>
      </w:r>
      <w:r w:rsidR="00F53372">
        <w:t xml:space="preserve">use </w:t>
      </w:r>
      <w:r w:rsidR="00B70C86">
        <w:t xml:space="preserve">ELDs to meet the RODS </w:t>
      </w:r>
      <w:r w:rsidR="008163E7">
        <w:t xml:space="preserve">reporting </w:t>
      </w:r>
      <w:r w:rsidR="00B70C86">
        <w:t xml:space="preserve">requirement. </w:t>
      </w:r>
      <w:r w:rsidR="00110971">
        <w:t>An ELD system require</w:t>
      </w:r>
      <w:r w:rsidR="00625297">
        <w:t>s</w:t>
      </w:r>
      <w:r w:rsidR="00110971">
        <w:t xml:space="preserve"> the driver to enter information</w:t>
      </w:r>
      <w:r w:rsidR="00F53372">
        <w:t xml:space="preserve"> </w:t>
      </w:r>
      <w:r w:rsidR="00D63EBD">
        <w:t xml:space="preserve">regarding </w:t>
      </w:r>
      <w:r w:rsidR="00F53372">
        <w:t>on duty/driving time, on-duty/not driving time, off-duty time and sleeper b</w:t>
      </w:r>
      <w:r w:rsidR="00161E01">
        <w:t>e</w:t>
      </w:r>
      <w:r w:rsidR="00F53372">
        <w:t xml:space="preserve">rth </w:t>
      </w:r>
      <w:r w:rsidR="00F53372" w:rsidRPr="00E67522">
        <w:t>time</w:t>
      </w:r>
      <w:r w:rsidR="007A13E3" w:rsidRPr="00E67522">
        <w:t xml:space="preserve"> (49 CFR 395.2</w:t>
      </w:r>
      <w:r w:rsidR="00A33463" w:rsidRPr="00E67522">
        <w:t>4</w:t>
      </w:r>
      <w:r w:rsidR="007A13E3" w:rsidRPr="00E67522">
        <w:t xml:space="preserve">) (Attachment </w:t>
      </w:r>
      <w:r w:rsidR="00A33463" w:rsidRPr="00E67522">
        <w:t>C</w:t>
      </w:r>
      <w:r w:rsidR="007A13E3" w:rsidRPr="00E67522">
        <w:t>)</w:t>
      </w:r>
      <w:r w:rsidR="00110971" w:rsidRPr="00E67522">
        <w:t>.</w:t>
      </w:r>
      <w:r w:rsidR="00066B29">
        <w:t xml:space="preserve"> </w:t>
      </w:r>
      <w:r w:rsidR="00F53372">
        <w:t>T</w:t>
      </w:r>
      <w:r w:rsidR="00E0676B">
        <w:t xml:space="preserve">he ELD must </w:t>
      </w:r>
      <w:r w:rsidR="00F53372">
        <w:t xml:space="preserve">be </w:t>
      </w:r>
      <w:r w:rsidR="00C47961">
        <w:t xml:space="preserve">able to </w:t>
      </w:r>
      <w:r w:rsidR="00F53372">
        <w:t>produc</w:t>
      </w:r>
      <w:r w:rsidR="00C47961">
        <w:t>e</w:t>
      </w:r>
      <w:r w:rsidR="00F53372">
        <w:t xml:space="preserve"> </w:t>
      </w:r>
      <w:r w:rsidR="00E0676B" w:rsidRPr="00E0676B">
        <w:t>a</w:t>
      </w:r>
      <w:r w:rsidR="00E0676B" w:rsidRPr="005155DB">
        <w:t xml:space="preserve"> graph grid of </w:t>
      </w:r>
      <w:r w:rsidR="00E0676B" w:rsidRPr="005155DB">
        <w:lastRenderedPageBreak/>
        <w:t>the driver’s daily duty status changes either on a display unit or printout.</w:t>
      </w:r>
      <w:r w:rsidR="00144587">
        <w:rPr>
          <w:rStyle w:val="FootnoteReference"/>
        </w:rPr>
        <w:footnoteReference w:id="4"/>
      </w:r>
      <w:r w:rsidR="008174A9">
        <w:t xml:space="preserve"> </w:t>
      </w:r>
      <w:r w:rsidR="00542B17">
        <w:t>T</w:t>
      </w:r>
      <w:r w:rsidR="008174A9">
        <w:t xml:space="preserve">he </w:t>
      </w:r>
      <w:r w:rsidR="00542B17">
        <w:t xml:space="preserve">driver burden hours estimated in </w:t>
      </w:r>
      <w:r w:rsidR="005718E7">
        <w:t>the</w:t>
      </w:r>
      <w:r w:rsidR="0008468E">
        <w:t xml:space="preserve"> supporting statement for </w:t>
      </w:r>
      <w:r w:rsidR="003B42BF">
        <w:t xml:space="preserve">the </w:t>
      </w:r>
      <w:r w:rsidR="0008468E">
        <w:t>currently approved</w:t>
      </w:r>
      <w:r w:rsidR="00BA458E">
        <w:t xml:space="preserve"> ICR </w:t>
      </w:r>
      <w:r w:rsidR="00542B17">
        <w:t>assume</w:t>
      </w:r>
      <w:r w:rsidR="0008468E">
        <w:t>s</w:t>
      </w:r>
      <w:r w:rsidR="00542B17">
        <w:t xml:space="preserve"> it t</w:t>
      </w:r>
      <w:r w:rsidR="0008468E">
        <w:t>a</w:t>
      </w:r>
      <w:r w:rsidR="00542B17">
        <w:t>k</w:t>
      </w:r>
      <w:r w:rsidR="0008468E">
        <w:t>es</w:t>
      </w:r>
      <w:r w:rsidR="00542B17">
        <w:t xml:space="preserve"> </w:t>
      </w:r>
      <w:r w:rsidR="00EA3EEF">
        <w:t>6.5 minutes</w:t>
      </w:r>
      <w:r w:rsidR="00542B17">
        <w:t xml:space="preserve"> to complete a paper RODS</w:t>
      </w:r>
      <w:r w:rsidR="00EA3EEF">
        <w:t xml:space="preserve"> including a daily grid graph</w:t>
      </w:r>
      <w:r w:rsidR="00F33F6D">
        <w:t>,</w:t>
      </w:r>
      <w:r w:rsidR="0090310D">
        <w:t xml:space="preserve"> and </w:t>
      </w:r>
      <w:r w:rsidR="008D51E3">
        <w:t>2</w:t>
      </w:r>
      <w:r w:rsidR="0090310D">
        <w:t xml:space="preserve"> minutes to input duty status </w:t>
      </w:r>
      <w:r w:rsidR="00A509C1">
        <w:t xml:space="preserve">to an </w:t>
      </w:r>
      <w:r w:rsidR="0090310D">
        <w:t>ELD</w:t>
      </w:r>
      <w:r w:rsidR="00EA3EEF">
        <w:t>.</w:t>
      </w:r>
      <w:r w:rsidR="0006550F">
        <w:t xml:space="preserve"> This</w:t>
      </w:r>
      <w:r w:rsidR="00BA458E">
        <w:t xml:space="preserve"> ICR </w:t>
      </w:r>
      <w:r w:rsidR="0006550F">
        <w:t>estimates RODS-related burden hours based on 2 minutes of driver time to input duty status.</w:t>
      </w:r>
      <w:r w:rsidR="00C67A0D">
        <w:rPr>
          <w:rStyle w:val="FootnoteReference"/>
        </w:rPr>
        <w:footnoteReference w:id="5"/>
      </w:r>
    </w:p>
    <w:p w14:paraId="70A6EF85" w14:textId="53AC9E33" w:rsidR="005155DB" w:rsidRDefault="005155DB" w:rsidP="002B3EDB"/>
    <w:p w14:paraId="4F3FBED2" w14:textId="66C7C3A3" w:rsidR="00A51D4F" w:rsidRDefault="00AF2312" w:rsidP="00A51D4F">
      <w:r>
        <w:t xml:space="preserve">Motor carriers </w:t>
      </w:r>
      <w:r w:rsidR="00BE6DC6">
        <w:t xml:space="preserve">must </w:t>
      </w:r>
      <w:r w:rsidR="00A40D05">
        <w:t xml:space="preserve">retain </w:t>
      </w:r>
      <w:r>
        <w:t>d</w:t>
      </w:r>
      <w:r w:rsidR="00542B17">
        <w:t>rivers</w:t>
      </w:r>
      <w:r w:rsidR="00A40D05">
        <w:t xml:space="preserve">’ RODS and </w:t>
      </w:r>
      <w:r w:rsidR="000D1E3B">
        <w:t xml:space="preserve">supporting documents </w:t>
      </w:r>
      <w:r>
        <w:t xml:space="preserve">for no less than 6 months </w:t>
      </w:r>
      <w:bookmarkStart w:id="1" w:name="_Hlk527970029"/>
      <w:r>
        <w:t>(49 CFR 395.8(k)(1</w:t>
      </w:r>
      <w:r w:rsidRPr="008163E7">
        <w:t>))</w:t>
      </w:r>
      <w:bookmarkEnd w:id="1"/>
      <w:r w:rsidR="00A33463" w:rsidRPr="008163E7">
        <w:t xml:space="preserve"> (Attachment </w:t>
      </w:r>
      <w:r w:rsidR="00162F87" w:rsidRPr="008163E7">
        <w:t>D).</w:t>
      </w:r>
      <w:r w:rsidR="00A40482" w:rsidRPr="00A40482">
        <w:t xml:space="preserve"> </w:t>
      </w:r>
      <w:r w:rsidR="00A51D4F">
        <w:t xml:space="preserve">Drivers must retain copies of </w:t>
      </w:r>
      <w:r w:rsidR="005757EE">
        <w:t>RODS</w:t>
      </w:r>
      <w:r w:rsidR="00A51D4F">
        <w:t xml:space="preserve"> for the previous seven days and make them available for inspection (49 CFR 395.8(k)(2)) (</w:t>
      </w:r>
      <w:r w:rsidR="00A51D4F" w:rsidRPr="008163E7">
        <w:t>Attachment D).</w:t>
      </w:r>
      <w:r w:rsidR="00A51D4F">
        <w:t xml:space="preserve"> </w:t>
      </w:r>
    </w:p>
    <w:p w14:paraId="5B8861B8" w14:textId="77777777" w:rsidR="009014EC" w:rsidRPr="00F933E7" w:rsidRDefault="009014EC" w:rsidP="00A51D4F"/>
    <w:p w14:paraId="1A19AB1C" w14:textId="77777777" w:rsidR="008B0320" w:rsidRPr="00F933E7" w:rsidRDefault="00A40482" w:rsidP="002B3EDB">
      <w:r>
        <w:t>The HOS rules require drivers to submit supporting documents generated or received that verify the driver’s RODS. F</w:t>
      </w:r>
      <w:r w:rsidRPr="00F933E7">
        <w:t xml:space="preserve">or example, a toll receipt may verify that at the time stamped on the receipt the driver was “on duty/driving,” and </w:t>
      </w:r>
      <w:r>
        <w:t xml:space="preserve">where the vehicle was located </w:t>
      </w:r>
      <w:r w:rsidRPr="00F933E7">
        <w:t xml:space="preserve">at that time.  Of course, it may indicate </w:t>
      </w:r>
      <w:r>
        <w:t>that the RODS are inaccurate</w:t>
      </w:r>
      <w:r w:rsidRPr="00F933E7">
        <w:t>; for instance, the toll receipt may indicate that at a certain time that the driver recorded as “off duty” on the RODS, he or she wa</w:t>
      </w:r>
      <w:r>
        <w:t>s “on duty/driving.” The driver must submit the supporting documents to the motor carrier within 13 days of either the 24-hour period to which the supporting documents pertain or when the documents become available to the driver</w:t>
      </w:r>
      <w:r w:rsidR="003E2596">
        <w:t>, whichever is later.</w:t>
      </w:r>
      <w:r>
        <w:t xml:space="preserve"> (49 CFR 395.11(b)) (Attachment E). </w:t>
      </w:r>
      <w:r w:rsidR="00162F87">
        <w:t xml:space="preserve"> </w:t>
      </w:r>
    </w:p>
    <w:p w14:paraId="65C60DC9" w14:textId="77777777" w:rsidR="00C92C7C" w:rsidRPr="00F933E7" w:rsidRDefault="00C92C7C" w:rsidP="00D17F16"/>
    <w:p w14:paraId="7A0BD632" w14:textId="5FDAE88A" w:rsidR="005A1633" w:rsidRDefault="00D17F16" w:rsidP="00AB191B">
      <w:r w:rsidRPr="00F933E7">
        <w:t>Both the driver and the motor carrier must ensure that the RODS are accurate.</w:t>
      </w:r>
      <w:r w:rsidR="001621E4">
        <w:t xml:space="preserve"> </w:t>
      </w:r>
      <w:r w:rsidRPr="00F933E7">
        <w:t xml:space="preserve">If RODS </w:t>
      </w:r>
      <w:r w:rsidR="0020326C">
        <w:t>are</w:t>
      </w:r>
      <w:r w:rsidRPr="00F933E7">
        <w:t xml:space="preserve"> </w:t>
      </w:r>
      <w:r w:rsidR="008B0320" w:rsidRPr="00F933E7">
        <w:t xml:space="preserve">inaccurate or </w:t>
      </w:r>
      <w:r w:rsidRPr="00F933E7">
        <w:t>falsified, both the driver and the motor carrier are in violation of the FMCSRs, and subject to the</w:t>
      </w:r>
      <w:r w:rsidR="00177B82">
        <w:t xml:space="preserve"> applicable</w:t>
      </w:r>
      <w:r w:rsidRPr="00F933E7">
        <w:t xml:space="preserve"> penalties </w:t>
      </w:r>
      <w:r w:rsidR="00C92C7C" w:rsidRPr="00F933E7">
        <w:t>(49 CFR 395.8(e</w:t>
      </w:r>
      <w:r w:rsidR="00C92C7C" w:rsidRPr="008163E7">
        <w:t xml:space="preserve">)) (Attachment </w:t>
      </w:r>
      <w:r w:rsidR="00427CFC" w:rsidRPr="008163E7">
        <w:t>F</w:t>
      </w:r>
      <w:r w:rsidR="007E5D7B" w:rsidRPr="008163E7">
        <w:t>).</w:t>
      </w:r>
    </w:p>
    <w:p w14:paraId="332537DF" w14:textId="77777777" w:rsidR="00F933E7" w:rsidRPr="00F933E7" w:rsidRDefault="00F933E7" w:rsidP="00AB191B"/>
    <w:p w14:paraId="46C69527" w14:textId="6E3300AA" w:rsidR="00731FC4" w:rsidRPr="00F933E7" w:rsidRDefault="00F46873" w:rsidP="00731FC4">
      <w:pPr>
        <w:tabs>
          <w:tab w:val="left" w:pos="1710"/>
        </w:tabs>
      </w:pPr>
      <w:r w:rsidRPr="00F933E7">
        <w:t xml:space="preserve">CMV drivers who travel limited distances during their duty day are </w:t>
      </w:r>
      <w:r w:rsidR="00D16DE4">
        <w:t xml:space="preserve">not required to maintain </w:t>
      </w:r>
      <w:r w:rsidRPr="00F933E7">
        <w:t>RODS</w:t>
      </w:r>
      <w:r w:rsidR="00C92C7C" w:rsidRPr="00F933E7">
        <w:t xml:space="preserve"> </w:t>
      </w:r>
      <w:r w:rsidR="00D16DE4">
        <w:t>because their activities qualify as “Short</w:t>
      </w:r>
      <w:r w:rsidR="00E23F2D">
        <w:t>-</w:t>
      </w:r>
      <w:r w:rsidR="00D16DE4">
        <w:t xml:space="preserve">Haul Operations” under section </w:t>
      </w:r>
      <w:r w:rsidR="00C92C7C" w:rsidRPr="005649D3">
        <w:t>395.1</w:t>
      </w:r>
      <w:r w:rsidR="007E5D7B" w:rsidRPr="005649D3">
        <w:t>(e)</w:t>
      </w:r>
      <w:r w:rsidR="005839FF">
        <w:t xml:space="preserve"> </w:t>
      </w:r>
      <w:r w:rsidR="007E5D7B" w:rsidRPr="008163E7">
        <w:t xml:space="preserve">(Attachment </w:t>
      </w:r>
      <w:r w:rsidR="0036620F" w:rsidRPr="008163E7">
        <w:t>G</w:t>
      </w:r>
      <w:r w:rsidR="00E42EAD" w:rsidRPr="008163E7">
        <w:t>)</w:t>
      </w:r>
      <w:r w:rsidRPr="008163E7">
        <w:t>.</w:t>
      </w:r>
      <w:r w:rsidRPr="00F933E7">
        <w:t xml:space="preserve"> In lieu of the RODS, however, </w:t>
      </w:r>
      <w:r w:rsidR="003E2596">
        <w:t xml:space="preserve">these CMV drivers </w:t>
      </w:r>
      <w:r w:rsidRPr="00F933E7">
        <w:t xml:space="preserve">must </w:t>
      </w:r>
      <w:r w:rsidR="00CB395F" w:rsidRPr="00F933E7">
        <w:t xml:space="preserve">track </w:t>
      </w:r>
      <w:r w:rsidR="00CB395F">
        <w:t>four</w:t>
      </w:r>
      <w:r w:rsidRPr="00F933E7">
        <w:t xml:space="preserve"> pieces of information by means of a “time card” </w:t>
      </w:r>
      <w:r w:rsidR="00457D3C">
        <w:t xml:space="preserve">maintained </w:t>
      </w:r>
      <w:r w:rsidRPr="00F933E7">
        <w:t xml:space="preserve">at the motor carrier’s place of business: the time </w:t>
      </w:r>
      <w:r w:rsidR="00FE6F4D" w:rsidRPr="00F933E7">
        <w:t xml:space="preserve">they </w:t>
      </w:r>
      <w:r w:rsidRPr="00F933E7">
        <w:t xml:space="preserve">reported </w:t>
      </w:r>
      <w:r w:rsidR="00FE6F4D" w:rsidRPr="00F933E7">
        <w:t xml:space="preserve">for </w:t>
      </w:r>
      <w:r w:rsidRPr="00F933E7">
        <w:t xml:space="preserve">duty, the time </w:t>
      </w:r>
      <w:r w:rsidR="00FE6F4D" w:rsidRPr="00F933E7">
        <w:t xml:space="preserve">they were </w:t>
      </w:r>
      <w:r w:rsidRPr="00F933E7">
        <w:t>released from duty</w:t>
      </w:r>
      <w:r w:rsidR="00CB395F" w:rsidRPr="00F933E7">
        <w:t>, the</w:t>
      </w:r>
      <w:r w:rsidRPr="00F933E7">
        <w:t xml:space="preserve"> total hours </w:t>
      </w:r>
      <w:r w:rsidR="00FE6F4D" w:rsidRPr="00F933E7">
        <w:t xml:space="preserve">they were </w:t>
      </w:r>
      <w:r w:rsidRPr="00F933E7">
        <w:t>on duty</w:t>
      </w:r>
      <w:r w:rsidR="00FE6F4D" w:rsidRPr="00F933E7">
        <w:t xml:space="preserve"> that workday</w:t>
      </w:r>
      <w:r w:rsidR="00D867BD">
        <w:t>, and the total time for the proceeding seven days for drivers used for the first time or intermittently</w:t>
      </w:r>
      <w:r w:rsidR="00C92C7C" w:rsidRPr="00F933E7">
        <w:t>.</w:t>
      </w:r>
      <w:r w:rsidR="003E2596">
        <w:t xml:space="preserve"> </w:t>
      </w:r>
      <w:r w:rsidR="00731FC4" w:rsidRPr="00F933E7" w:rsidDel="00464E4F">
        <w:t>The time</w:t>
      </w:r>
      <w:r w:rsidR="00457D3C">
        <w:t xml:space="preserve"> </w:t>
      </w:r>
      <w:r w:rsidR="00731FC4" w:rsidRPr="00F933E7" w:rsidDel="00464E4F">
        <w:t>card record is required by</w:t>
      </w:r>
      <w:r w:rsidR="00EF6929">
        <w:t xml:space="preserve"> the</w:t>
      </w:r>
      <w:r w:rsidR="00731FC4" w:rsidRPr="00F933E7" w:rsidDel="00464E4F">
        <w:t xml:space="preserve"> </w:t>
      </w:r>
      <w:r w:rsidR="00731FC4" w:rsidDel="00464E4F">
        <w:t>U</w:t>
      </w:r>
      <w:r w:rsidR="00BC6F12">
        <w:t>nited States</w:t>
      </w:r>
      <w:r w:rsidR="00731FC4" w:rsidDel="00464E4F">
        <w:t xml:space="preserve"> Department of </w:t>
      </w:r>
      <w:r w:rsidR="00731FC4" w:rsidRPr="007C4E1E" w:rsidDel="00464E4F">
        <w:t>Labor (DOL)</w:t>
      </w:r>
      <w:r w:rsidR="00731FC4" w:rsidDel="00464E4F">
        <w:t xml:space="preserve"> </w:t>
      </w:r>
      <w:r w:rsidR="00BC6F12">
        <w:t>regulations.</w:t>
      </w:r>
      <w:r w:rsidR="00BC6F12">
        <w:rPr>
          <w:rStyle w:val="FootnoteReference"/>
        </w:rPr>
        <w:footnoteReference w:id="6"/>
      </w:r>
      <w:r w:rsidR="00731FC4" w:rsidDel="00464E4F">
        <w:t xml:space="preserve"> </w:t>
      </w:r>
      <w:r w:rsidR="00BC6F12">
        <w:t xml:space="preserve">Thus, </w:t>
      </w:r>
      <w:r w:rsidR="00731FC4" w:rsidRPr="00F933E7" w:rsidDel="00464E4F">
        <w:t xml:space="preserve">FMCSA does not </w:t>
      </w:r>
      <w:r w:rsidR="00457D3C">
        <w:t xml:space="preserve">estimate </w:t>
      </w:r>
      <w:r w:rsidR="00731FC4" w:rsidRPr="00F933E7" w:rsidDel="00464E4F">
        <w:t xml:space="preserve">burden </w:t>
      </w:r>
      <w:r w:rsidR="00457D3C">
        <w:t>hours for drivers with a short-haul exemption.</w:t>
      </w:r>
      <w:r w:rsidR="00731FC4">
        <w:t xml:space="preserve"> </w:t>
      </w:r>
    </w:p>
    <w:p w14:paraId="5D5E3F81" w14:textId="77777777" w:rsidR="00982AAF" w:rsidRPr="00F933E7" w:rsidRDefault="00982AAF" w:rsidP="00AB191B"/>
    <w:p w14:paraId="03B72005" w14:textId="2C8B3C1A" w:rsidR="00174484" w:rsidRPr="00B9624C" w:rsidRDefault="00174484" w:rsidP="00174484">
      <w:pPr>
        <w:rPr>
          <w:b/>
        </w:rPr>
      </w:pPr>
      <w:r w:rsidRPr="00B9624C">
        <w:rPr>
          <w:b/>
        </w:rPr>
        <w:t xml:space="preserve">2. </w:t>
      </w:r>
      <w:r w:rsidR="00F933E7" w:rsidRPr="00B9624C">
        <w:rPr>
          <w:b/>
        </w:rPr>
        <w:t xml:space="preserve"> </w:t>
      </w:r>
      <w:r w:rsidRPr="00B9624C">
        <w:rPr>
          <w:b/>
        </w:rPr>
        <w:t>How, by whom, and for what purpose the information is used:</w:t>
      </w:r>
    </w:p>
    <w:p w14:paraId="2353FF5D" w14:textId="77777777" w:rsidR="00B9624C" w:rsidRPr="00F933E7" w:rsidRDefault="00B9624C" w:rsidP="00174484"/>
    <w:p w14:paraId="68785851" w14:textId="735E5537" w:rsidR="00C74A65" w:rsidRPr="00F933E7" w:rsidRDefault="002A0255" w:rsidP="00B0691A">
      <w:r w:rsidRPr="00F933E7">
        <w:t xml:space="preserve">The primary mission of the FMCSA is to reduce crashes, injuries and fatalities involving large trucks and buses. </w:t>
      </w:r>
      <w:r w:rsidR="005200CB" w:rsidRPr="00F933E7">
        <w:t xml:space="preserve">The Secretary of Transportation has delegated </w:t>
      </w:r>
      <w:r w:rsidR="00F71661" w:rsidRPr="00F933E7">
        <w:t xml:space="preserve">to FMCSA </w:t>
      </w:r>
      <w:r w:rsidR="00C74A65" w:rsidRPr="00F933E7">
        <w:t xml:space="preserve">its </w:t>
      </w:r>
      <w:r w:rsidR="005200CB" w:rsidRPr="00F933E7">
        <w:t xml:space="preserve">responsibility </w:t>
      </w:r>
      <w:r w:rsidR="00C74A65" w:rsidRPr="00F933E7">
        <w:t xml:space="preserve">under </w:t>
      </w:r>
      <w:r w:rsidR="005200CB" w:rsidRPr="00F933E7">
        <w:t xml:space="preserve">49 U.S.C. §§ 31136 and 31502 </w:t>
      </w:r>
      <w:r w:rsidR="005200CB" w:rsidRPr="008163E7">
        <w:t>(</w:t>
      </w:r>
      <w:r w:rsidR="00FA0FBF" w:rsidRPr="008163E7">
        <w:t>Attachments</w:t>
      </w:r>
      <w:r w:rsidR="008F0A5C" w:rsidRPr="008163E7">
        <w:t xml:space="preserve"> </w:t>
      </w:r>
      <w:r w:rsidR="00AB2E6D" w:rsidRPr="008163E7">
        <w:t>H</w:t>
      </w:r>
      <w:r w:rsidR="0036620F" w:rsidRPr="008163E7">
        <w:t xml:space="preserve"> and I</w:t>
      </w:r>
      <w:r w:rsidR="005200CB" w:rsidRPr="008163E7">
        <w:t>)</w:t>
      </w:r>
      <w:r w:rsidR="00F933E7">
        <w:t xml:space="preserve"> </w:t>
      </w:r>
      <w:r w:rsidR="005200CB" w:rsidRPr="00F933E7">
        <w:t xml:space="preserve">to prescribe regulations that ensure that </w:t>
      </w:r>
      <w:r w:rsidR="004C637F">
        <w:t xml:space="preserve">CMVs </w:t>
      </w:r>
      <w:r w:rsidR="005200CB" w:rsidRPr="00F933E7">
        <w:t>are operated safely</w:t>
      </w:r>
      <w:r w:rsidR="005757EE">
        <w:t xml:space="preserve"> (49 CFR 1.87)</w:t>
      </w:r>
      <w:r w:rsidR="005200CB" w:rsidRPr="00F933E7">
        <w:t xml:space="preserve">.  </w:t>
      </w:r>
    </w:p>
    <w:p w14:paraId="6BE10AD7" w14:textId="43DFA99A" w:rsidR="00DF414D" w:rsidRDefault="00DF414D">
      <w:r>
        <w:br w:type="page"/>
      </w:r>
    </w:p>
    <w:p w14:paraId="3369DE21" w14:textId="77777777" w:rsidR="00B0691A" w:rsidRPr="00F933E7" w:rsidRDefault="00B0691A" w:rsidP="00B0691A">
      <w:r w:rsidRPr="00F933E7">
        <w:t xml:space="preserve">The </w:t>
      </w:r>
      <w:r w:rsidR="00F41C43">
        <w:t xml:space="preserve">FMCSRs </w:t>
      </w:r>
      <w:r w:rsidRPr="00F933E7">
        <w:t>state</w:t>
      </w:r>
      <w:r w:rsidR="00161E01">
        <w:t xml:space="preserve"> in part</w:t>
      </w:r>
      <w:r w:rsidRPr="00F933E7">
        <w:t>:</w:t>
      </w:r>
    </w:p>
    <w:p w14:paraId="7F7B73EC" w14:textId="77777777" w:rsidR="007A552F" w:rsidRDefault="007A552F" w:rsidP="00B0691A">
      <w:pPr>
        <w:ind w:left="720" w:right="720"/>
      </w:pPr>
    </w:p>
    <w:p w14:paraId="3E1B2011" w14:textId="6DBC2255" w:rsidR="00B0691A" w:rsidRPr="00F933E7" w:rsidRDefault="00B0691A" w:rsidP="00B0691A">
      <w:pPr>
        <w:ind w:left="720" w:right="720"/>
      </w:pPr>
      <w:r w:rsidRPr="00F933E7">
        <w:t>“No driver shall operate a commercial motor vehicle, and a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w:t>
      </w:r>
      <w:r w:rsidR="005757EE">
        <w:t>….</w:t>
      </w:r>
      <w:r w:rsidR="00161E01">
        <w:t>”</w:t>
      </w:r>
      <w:r w:rsidRPr="00F933E7">
        <w:t xml:space="preserve"> (49 CFR 392.3) </w:t>
      </w:r>
      <w:r w:rsidRPr="008163E7">
        <w:t xml:space="preserve">(Attachment </w:t>
      </w:r>
      <w:r w:rsidR="0036620F" w:rsidRPr="008163E7">
        <w:t>J</w:t>
      </w:r>
      <w:r w:rsidRPr="008163E7">
        <w:t>).</w:t>
      </w:r>
    </w:p>
    <w:p w14:paraId="31AA056B" w14:textId="77777777" w:rsidR="00A461B7" w:rsidRPr="00F933E7" w:rsidRDefault="00A461B7" w:rsidP="00B0691A">
      <w:pPr>
        <w:ind w:left="720" w:right="720"/>
      </w:pPr>
    </w:p>
    <w:p w14:paraId="629E9A28" w14:textId="4D5E2973" w:rsidR="00770D39" w:rsidRPr="00F933E7" w:rsidRDefault="00730637" w:rsidP="00770D39">
      <w:r>
        <w:t>F</w:t>
      </w:r>
      <w:r w:rsidR="00770D39">
        <w:t xml:space="preserve">atigued drivers operating CMVs pose a </w:t>
      </w:r>
      <w:r w:rsidR="00B9624C">
        <w:t>serious</w:t>
      </w:r>
      <w:r w:rsidR="005D077C" w:rsidRPr="00F933E7">
        <w:t xml:space="preserve"> </w:t>
      </w:r>
      <w:r w:rsidR="005200CB" w:rsidRPr="00F933E7">
        <w:t>safety</w:t>
      </w:r>
      <w:r w:rsidR="005D077C" w:rsidRPr="00F933E7">
        <w:t xml:space="preserve"> problem</w:t>
      </w:r>
      <w:r w:rsidR="005200CB" w:rsidRPr="00F933E7">
        <w:t>.</w:t>
      </w:r>
      <w:r w:rsidR="00770D39">
        <w:t xml:space="preserve"> </w:t>
      </w:r>
      <w:r w:rsidR="00770D39" w:rsidRPr="00F933E7">
        <w:t xml:space="preserve">The RODS and supporting documents of the HOS rules have historically provided the Agency with its most effective tool in combating driver fatigue.  Enforcement officials at roadside employ the RODS and supporting documents to determine the amount of </w:t>
      </w:r>
      <w:r w:rsidR="005757EE">
        <w:t>time</w:t>
      </w:r>
      <w:r w:rsidR="005757EE" w:rsidRPr="00F933E7">
        <w:t xml:space="preserve"> </w:t>
      </w:r>
      <w:r w:rsidR="00770D39" w:rsidRPr="00F933E7">
        <w:t xml:space="preserve">a driver has </w:t>
      </w:r>
      <w:r w:rsidR="005757EE">
        <w:t>spent off duty</w:t>
      </w:r>
      <w:r w:rsidR="005757EE" w:rsidRPr="00F933E7">
        <w:t xml:space="preserve"> </w:t>
      </w:r>
      <w:r w:rsidR="00770D39" w:rsidRPr="00F933E7">
        <w:t xml:space="preserve">prior to the driver’s current duty day. They also determine the amount of time the driver has been on duty that duty day, and the amount of time the driver has been behind the wheel driving during the duty day. Finally, </w:t>
      </w:r>
      <w:r w:rsidR="00770D39">
        <w:t xml:space="preserve">enforcement officials </w:t>
      </w:r>
      <w:r w:rsidR="00770D39" w:rsidRPr="00F933E7">
        <w:t xml:space="preserve">examine the RODS for as many as </w:t>
      </w:r>
      <w:r w:rsidR="005757EE">
        <w:t>seven</w:t>
      </w:r>
      <w:r w:rsidR="005757EE" w:rsidRPr="00F933E7">
        <w:t xml:space="preserve"> </w:t>
      </w:r>
      <w:r w:rsidR="00770D39" w:rsidRPr="00F933E7">
        <w:t xml:space="preserve">of the immediately preceding days to determine compliance with the HOS rules.  The RODS </w:t>
      </w:r>
      <w:r w:rsidR="00770D39">
        <w:t>are</w:t>
      </w:r>
      <w:r w:rsidR="00770D39" w:rsidRPr="00F933E7">
        <w:t xml:space="preserve"> an invaluable tool </w:t>
      </w:r>
      <w:r w:rsidR="00D00A05">
        <w:t xml:space="preserve">used to </w:t>
      </w:r>
      <w:r w:rsidR="00770D39" w:rsidRPr="00F933E7">
        <w:t>detect inaccurate and falsified logs</w:t>
      </w:r>
      <w:r w:rsidR="00D00A05">
        <w:t xml:space="preserve"> that</w:t>
      </w:r>
      <w:r w:rsidR="00770D39" w:rsidRPr="00F933E7">
        <w:t xml:space="preserve"> </w:t>
      </w:r>
      <w:r w:rsidR="00D00A05">
        <w:t>facilitates</w:t>
      </w:r>
      <w:r w:rsidR="00770D39" w:rsidRPr="00F933E7">
        <w:t xml:space="preserve"> </w:t>
      </w:r>
      <w:r w:rsidR="00161E01">
        <w:t>removing</w:t>
      </w:r>
      <w:r w:rsidR="00770D39" w:rsidRPr="00F933E7">
        <w:t xml:space="preserve"> fatigued, unsafe drivers off the road.</w:t>
      </w:r>
    </w:p>
    <w:p w14:paraId="798CEAE3" w14:textId="77777777" w:rsidR="005D077C" w:rsidRPr="00F933E7" w:rsidRDefault="005D077C" w:rsidP="0089725E"/>
    <w:p w14:paraId="2E1BF80F" w14:textId="5B1A4998" w:rsidR="00677900" w:rsidRPr="00F933E7" w:rsidRDefault="001A2E9D" w:rsidP="00677900">
      <w:r w:rsidRPr="00F933E7">
        <w:t>In addition, e</w:t>
      </w:r>
      <w:r w:rsidR="005D077C" w:rsidRPr="00F933E7">
        <w:t>nforcement officials</w:t>
      </w:r>
      <w:r w:rsidR="0087440D" w:rsidRPr="00F933E7">
        <w:t xml:space="preserve"> </w:t>
      </w:r>
      <w:r w:rsidR="003726ED" w:rsidRPr="00F933E7">
        <w:t>employ the RODS and supporting documents retained by the motor carrier</w:t>
      </w:r>
      <w:r w:rsidR="0087440D" w:rsidRPr="00F933E7">
        <w:t xml:space="preserve"> when conducting on-site </w:t>
      </w:r>
      <w:r w:rsidR="00785B56">
        <w:t xml:space="preserve">investigative reviews </w:t>
      </w:r>
      <w:r w:rsidR="0087440D" w:rsidRPr="00F933E7">
        <w:t>of motor carriers</w:t>
      </w:r>
      <w:r w:rsidR="00AF4C77">
        <w:t>.</w:t>
      </w:r>
      <w:r w:rsidR="00B93917">
        <w:t xml:space="preserve"> </w:t>
      </w:r>
      <w:r w:rsidR="00677900" w:rsidRPr="00F933E7">
        <w:t xml:space="preserve">The </w:t>
      </w:r>
      <w:r w:rsidR="003726ED" w:rsidRPr="00F933E7">
        <w:t xml:space="preserve">safety </w:t>
      </w:r>
      <w:r w:rsidR="00677900" w:rsidRPr="00F933E7">
        <w:t xml:space="preserve">assessments </w:t>
      </w:r>
      <w:r w:rsidR="003726ED" w:rsidRPr="00F933E7">
        <w:t xml:space="preserve">that result from such reviews </w:t>
      </w:r>
      <w:r w:rsidR="00677900" w:rsidRPr="00F933E7">
        <w:t>are public information, and m</w:t>
      </w:r>
      <w:r w:rsidR="003726ED" w:rsidRPr="00F933E7">
        <w:t xml:space="preserve">any shippers </w:t>
      </w:r>
      <w:r w:rsidRPr="00F933E7">
        <w:t xml:space="preserve">routinely </w:t>
      </w:r>
      <w:r w:rsidR="003726ED" w:rsidRPr="00F933E7">
        <w:t xml:space="preserve">examine the assessments, as </w:t>
      </w:r>
      <w:r w:rsidR="00677900" w:rsidRPr="00F933E7">
        <w:t>well as crash and regulatory compliance record</w:t>
      </w:r>
      <w:r w:rsidRPr="00F933E7">
        <w:t>s, when selecting a motor carrier</w:t>
      </w:r>
      <w:r w:rsidR="00D00A05">
        <w:t>.</w:t>
      </w:r>
      <w:r w:rsidR="003726ED" w:rsidRPr="00F933E7">
        <w:t xml:space="preserve"> </w:t>
      </w:r>
      <w:r w:rsidR="00677900" w:rsidRPr="00F933E7">
        <w:t>A negative rating on a</w:t>
      </w:r>
      <w:r w:rsidR="003632BB">
        <w:t>n investigative review</w:t>
      </w:r>
      <w:r w:rsidR="00677900" w:rsidRPr="00F933E7">
        <w:t xml:space="preserve"> can be damaging to a motor carrier’s </w:t>
      </w:r>
      <w:r w:rsidR="0087440D" w:rsidRPr="00F933E7">
        <w:t xml:space="preserve">business. </w:t>
      </w:r>
      <w:r w:rsidR="00677900" w:rsidRPr="00F933E7">
        <w:t xml:space="preserve">In </w:t>
      </w:r>
      <w:r w:rsidR="00161E01">
        <w:t>enforcement actions of HOS violations</w:t>
      </w:r>
      <w:r w:rsidR="00677900" w:rsidRPr="00F933E7">
        <w:t xml:space="preserve">, courts </w:t>
      </w:r>
      <w:r w:rsidRPr="00F933E7">
        <w:t xml:space="preserve">of law typically find </w:t>
      </w:r>
      <w:r w:rsidR="003632BB">
        <w:t>investigative review</w:t>
      </w:r>
      <w:r w:rsidR="00677900" w:rsidRPr="00F933E7">
        <w:t xml:space="preserve"> assessments </w:t>
      </w:r>
      <w:r w:rsidR="00706659">
        <w:t>important evidence</w:t>
      </w:r>
      <w:r w:rsidR="0087440D" w:rsidRPr="00F933E7">
        <w:t>.</w:t>
      </w:r>
    </w:p>
    <w:p w14:paraId="02081904" w14:textId="77777777" w:rsidR="00677900" w:rsidRPr="00F933E7" w:rsidRDefault="00677900" w:rsidP="00677900"/>
    <w:p w14:paraId="0BB45F76" w14:textId="77777777" w:rsidR="00677900" w:rsidRPr="00F933E7" w:rsidRDefault="0087440D" w:rsidP="00677900">
      <w:r w:rsidRPr="00F933E7">
        <w:t>Furthermore,</w:t>
      </w:r>
      <w:r w:rsidR="004E6CA4">
        <w:t xml:space="preserve"> the</w:t>
      </w:r>
      <w:r w:rsidRPr="00F933E7">
        <w:t xml:space="preserve"> </w:t>
      </w:r>
      <w:r w:rsidR="00D00A05">
        <w:t>Motor Carrier Safety Assistance Program (</w:t>
      </w:r>
      <w:r w:rsidRPr="00F933E7">
        <w:t>MCSAP</w:t>
      </w:r>
      <w:r w:rsidR="00D00A05">
        <w:t xml:space="preserve">) </w:t>
      </w:r>
      <w:r w:rsidRPr="00F933E7">
        <w:t>requires States, as a condition of receiving grant funding, to adopt and enforce State CMV safety laws and regulations that are compatible with the FMCSRs</w:t>
      </w:r>
      <w:r w:rsidR="009941B0">
        <w:t xml:space="preserve"> </w:t>
      </w:r>
      <w:r w:rsidR="00FA0FBF">
        <w:t>(49 CFR 350.201(a</w:t>
      </w:r>
      <w:r w:rsidR="00FA0FBF" w:rsidRPr="00770D39">
        <w:t>))</w:t>
      </w:r>
      <w:r w:rsidR="007B2BEC" w:rsidRPr="00770D39">
        <w:t xml:space="preserve"> </w:t>
      </w:r>
      <w:r w:rsidR="00FA0FBF" w:rsidRPr="00770D39">
        <w:t xml:space="preserve">(Attachment </w:t>
      </w:r>
      <w:r w:rsidR="0036620F" w:rsidRPr="00770D39">
        <w:t>K</w:t>
      </w:r>
      <w:r w:rsidR="009941B0" w:rsidRPr="00770D39">
        <w:t>).</w:t>
      </w:r>
      <w:r w:rsidR="009941B0">
        <w:t xml:space="preserve"> These include the HOS rules. States embrace the</w:t>
      </w:r>
      <w:r w:rsidR="009A3B6C">
        <w:t xml:space="preserve"> </w:t>
      </w:r>
      <w:r w:rsidR="005D4D61" w:rsidRPr="00F933E7">
        <w:t>Federal enforcement scheme for regulating safety in the operation of CMVs</w:t>
      </w:r>
      <w:r w:rsidRPr="00F933E7">
        <w:t xml:space="preserve">, and work closely with Federal investigators in enforcing the HOS rules.  </w:t>
      </w:r>
    </w:p>
    <w:p w14:paraId="21BEDD68" w14:textId="77777777" w:rsidR="00677900" w:rsidRPr="00F933E7" w:rsidRDefault="00677900" w:rsidP="0089725E"/>
    <w:p w14:paraId="32409758" w14:textId="64889FB1" w:rsidR="000538B9" w:rsidRPr="00F933E7" w:rsidRDefault="005D4D61" w:rsidP="00174484">
      <w:r w:rsidRPr="00F933E7">
        <w:t xml:space="preserve">Motor carriers also help FMCSA </w:t>
      </w:r>
      <w:r w:rsidR="0087440D" w:rsidRPr="00F933E7">
        <w:t xml:space="preserve">detect fatigued drivers. </w:t>
      </w:r>
      <w:r w:rsidRPr="00F933E7">
        <w:t xml:space="preserve">It is in their interest to </w:t>
      </w:r>
      <w:r w:rsidR="0087440D" w:rsidRPr="00F933E7">
        <w:t xml:space="preserve">be proactive in </w:t>
      </w:r>
      <w:r w:rsidRPr="00F933E7">
        <w:t>detect</w:t>
      </w:r>
      <w:r w:rsidR="0087440D" w:rsidRPr="00F933E7">
        <w:t xml:space="preserve">ing </w:t>
      </w:r>
      <w:r w:rsidR="00625FDE" w:rsidRPr="00F933E7">
        <w:t xml:space="preserve">inaccuracy or </w:t>
      </w:r>
      <w:r w:rsidRPr="00F933E7">
        <w:t>falsification of RODS by their CMV drivers</w:t>
      </w:r>
      <w:r w:rsidR="00625FDE" w:rsidRPr="00F933E7">
        <w:t xml:space="preserve"> </w:t>
      </w:r>
      <w:r w:rsidRPr="00F933E7">
        <w:t xml:space="preserve">to avoid the penalties </w:t>
      </w:r>
      <w:r w:rsidR="00625FDE" w:rsidRPr="00F933E7">
        <w:t xml:space="preserve">resulting from such </w:t>
      </w:r>
      <w:r w:rsidRPr="00F933E7">
        <w:t>infractions</w:t>
      </w:r>
      <w:r w:rsidR="00625FDE" w:rsidRPr="00F933E7">
        <w:t>.</w:t>
      </w:r>
      <w:r w:rsidR="007A552F">
        <w:t xml:space="preserve"> Replacing paper RODS with electronic RODS enhances the accuracy and minimizes the falsification of RODS.</w:t>
      </w:r>
      <w:r w:rsidR="00625FDE" w:rsidRPr="00F933E7">
        <w:t xml:space="preserve"> Motor carriers </w:t>
      </w:r>
      <w:r w:rsidR="007A552F">
        <w:t xml:space="preserve">will continue to </w:t>
      </w:r>
      <w:r w:rsidR="00625FDE" w:rsidRPr="00F933E7">
        <w:t xml:space="preserve">examine </w:t>
      </w:r>
      <w:r w:rsidRPr="00F933E7">
        <w:t xml:space="preserve">the supporting documents, </w:t>
      </w:r>
      <w:r w:rsidR="00625FDE" w:rsidRPr="00F933E7">
        <w:t xml:space="preserve">such as </w:t>
      </w:r>
      <w:r w:rsidR="00677900" w:rsidRPr="00F933E7">
        <w:t xml:space="preserve">fuel receipts, toll receipts, </w:t>
      </w:r>
      <w:r w:rsidRPr="00F933E7">
        <w:t xml:space="preserve">bills of lading, </w:t>
      </w:r>
      <w:r w:rsidR="00285657" w:rsidRPr="00F933E7">
        <w:t>repair</w:t>
      </w:r>
      <w:r w:rsidR="00677900" w:rsidRPr="00F933E7">
        <w:t xml:space="preserve"> invoices</w:t>
      </w:r>
      <w:r w:rsidRPr="00F933E7">
        <w:t>, and compare them to the entries on the RODS</w:t>
      </w:r>
      <w:r w:rsidR="00677900" w:rsidRPr="00F933E7">
        <w:t xml:space="preserve">. </w:t>
      </w:r>
      <w:r w:rsidR="006952FA">
        <w:t>C</w:t>
      </w:r>
      <w:r w:rsidRPr="00F933E7">
        <w:t>ompari</w:t>
      </w:r>
      <w:r w:rsidR="006952FA">
        <w:t>ng</w:t>
      </w:r>
      <w:r w:rsidRPr="00F933E7">
        <w:t xml:space="preserve"> </w:t>
      </w:r>
      <w:r w:rsidR="00677900" w:rsidRPr="00F933E7">
        <w:t xml:space="preserve">supporting documents to the RODS </w:t>
      </w:r>
      <w:r w:rsidRPr="00F933E7">
        <w:t xml:space="preserve">helps the motor carrier </w:t>
      </w:r>
      <w:r w:rsidR="00677900" w:rsidRPr="00F933E7">
        <w:t xml:space="preserve">verify the accuracy of the HOS reported by their </w:t>
      </w:r>
      <w:r w:rsidRPr="00F933E7">
        <w:t xml:space="preserve">CMV drivers. </w:t>
      </w:r>
      <w:r w:rsidR="005A678A" w:rsidRPr="00F933E7">
        <w:t xml:space="preserve">Motor carrier </w:t>
      </w:r>
      <w:r w:rsidRPr="00F933E7">
        <w:t xml:space="preserve">use of the RODS and </w:t>
      </w:r>
      <w:r w:rsidR="006952FA">
        <w:t xml:space="preserve">driver-supplied </w:t>
      </w:r>
      <w:r w:rsidRPr="00F933E7">
        <w:t xml:space="preserve">supporting documents enhances </w:t>
      </w:r>
      <w:r w:rsidR="006952FA">
        <w:t xml:space="preserve">driver </w:t>
      </w:r>
      <w:r w:rsidRPr="00F933E7">
        <w:t xml:space="preserve">adherence to the HOS rules, keeps fatigued drivers off the road, and </w:t>
      </w:r>
      <w:r w:rsidR="00677900" w:rsidRPr="00F933E7">
        <w:t>helps FMCSA protect the public</w:t>
      </w:r>
      <w:r w:rsidR="005A678A" w:rsidRPr="00F933E7">
        <w:t>.</w:t>
      </w:r>
      <w:r w:rsidR="006952FA">
        <w:t xml:space="preserve"> Finally, t</w:t>
      </w:r>
      <w:r w:rsidR="0089725E" w:rsidRPr="00F933E7">
        <w:t>his</w:t>
      </w:r>
      <w:r w:rsidR="00BA458E">
        <w:t xml:space="preserve"> ICR </w:t>
      </w:r>
      <w:r w:rsidR="0089725E" w:rsidRPr="00F933E7">
        <w:t>supports the Depar</w:t>
      </w:r>
      <w:r w:rsidR="00F41C43">
        <w:t xml:space="preserve">tment of Transportation’s </w:t>
      </w:r>
      <w:r w:rsidR="0089725E" w:rsidRPr="00F933E7">
        <w:t xml:space="preserve">Strategic Goal of Safety because the information helps the Agency improve the safety of drivers operating CMVs on our Nation’s highways.  </w:t>
      </w:r>
    </w:p>
    <w:p w14:paraId="1CABCC02" w14:textId="0883B8E6" w:rsidR="00EF64D3" w:rsidRDefault="00EF64D3" w:rsidP="00EF64D3">
      <w:pPr>
        <w:rPr>
          <w:b/>
        </w:rPr>
      </w:pPr>
      <w:r w:rsidRPr="00B71FAF">
        <w:rPr>
          <w:b/>
        </w:rPr>
        <w:t>3. Extent of automated information collection:</w:t>
      </w:r>
    </w:p>
    <w:p w14:paraId="40590461" w14:textId="77777777" w:rsidR="00643156" w:rsidRDefault="00643156" w:rsidP="00EF64D3">
      <w:pPr>
        <w:rPr>
          <w:b/>
        </w:rPr>
      </w:pPr>
    </w:p>
    <w:p w14:paraId="27225134" w14:textId="3701F5C2" w:rsidR="00C67A0D" w:rsidRDefault="006705F3" w:rsidP="00C67A0D">
      <w:r>
        <w:t xml:space="preserve">The </w:t>
      </w:r>
      <w:r w:rsidR="007E0E5C">
        <w:t>FMCSA</w:t>
      </w:r>
      <w:r>
        <w:t xml:space="preserve"> </w:t>
      </w:r>
      <w:r w:rsidR="00F863DF">
        <w:t xml:space="preserve">amended </w:t>
      </w:r>
      <w:r w:rsidR="00F863DF" w:rsidRPr="00AB2183">
        <w:t>the FMCSRs to establish</w:t>
      </w:r>
      <w:r w:rsidR="00F863DF">
        <w:t xml:space="preserve"> m</w:t>
      </w:r>
      <w:r w:rsidR="00F863DF" w:rsidRPr="00AB2183">
        <w:t>inimum performance and design standards for ELD</w:t>
      </w:r>
      <w:r w:rsidR="003A1C65">
        <w:t>s</w:t>
      </w:r>
      <w:r w:rsidR="007E0E5C">
        <w:t xml:space="preserve"> and</w:t>
      </w:r>
      <w:r w:rsidR="005757EE">
        <w:t>, subject to certain exceptions,</w:t>
      </w:r>
      <w:r w:rsidR="007E0E5C">
        <w:t xml:space="preserve"> the mandatory</w:t>
      </w:r>
      <w:r w:rsidR="00F863DF">
        <w:t xml:space="preserve"> </w:t>
      </w:r>
      <w:r w:rsidR="00F863DF" w:rsidRPr="00AB2183">
        <w:t xml:space="preserve">use of </w:t>
      </w:r>
      <w:r w:rsidR="007E0E5C">
        <w:t>these devices</w:t>
      </w:r>
      <w:r w:rsidR="007E0E5C" w:rsidRPr="00AB2183">
        <w:t xml:space="preserve"> </w:t>
      </w:r>
      <w:r w:rsidR="00F863DF" w:rsidRPr="00AB2183">
        <w:t xml:space="preserve">by drivers </w:t>
      </w:r>
      <w:r w:rsidR="00F863DF">
        <w:t xml:space="preserve">who </w:t>
      </w:r>
      <w:r w:rsidR="003A1C65">
        <w:t>are subject to the HOS reporting requirements.</w:t>
      </w:r>
      <w:r w:rsidR="00F863DF" w:rsidRPr="00AB2183">
        <w:t xml:space="preserve"> </w:t>
      </w:r>
      <w:r>
        <w:t xml:space="preserve"> </w:t>
      </w:r>
      <w:r w:rsidR="000D1DED">
        <w:t>E</w:t>
      </w:r>
      <w:r w:rsidR="00050296">
        <w:t>LD</w:t>
      </w:r>
      <w:r w:rsidR="000D1DED">
        <w:t xml:space="preserve"> technology reduces the</w:t>
      </w:r>
      <w:r w:rsidR="00BA458E">
        <w:t xml:space="preserve"> ICR </w:t>
      </w:r>
      <w:r w:rsidR="000D1DED">
        <w:t xml:space="preserve">burden of the </w:t>
      </w:r>
      <w:r w:rsidR="00952DDE">
        <w:t>HOS</w:t>
      </w:r>
      <w:r w:rsidR="003A1C65">
        <w:t xml:space="preserve"> reporting requirements</w:t>
      </w:r>
      <w:r w:rsidR="000D1DED">
        <w:t>.</w:t>
      </w:r>
      <w:r w:rsidR="00491D39">
        <w:t xml:space="preserve">  </w:t>
      </w:r>
      <w:r w:rsidR="00C95A3A">
        <w:t xml:space="preserve">Absent a malfunction of the ELD that requires a driver to maintain a paper RODS, all RODS transactions will be conducted electronically. </w:t>
      </w:r>
      <w:r w:rsidR="00491D39">
        <w:t xml:space="preserve">The Agency estimates that the </w:t>
      </w:r>
      <w:r w:rsidR="00AC2F47">
        <w:t>ELD rule</w:t>
      </w:r>
      <w:r w:rsidR="004B0918">
        <w:t xml:space="preserve"> </w:t>
      </w:r>
      <w:r w:rsidR="00B95F93">
        <w:t xml:space="preserve">will </w:t>
      </w:r>
      <w:r w:rsidR="004B0918">
        <w:t>reduce</w:t>
      </w:r>
      <w:r w:rsidR="00B95F93">
        <w:t xml:space="preserve"> </w:t>
      </w:r>
      <w:r w:rsidR="00165923">
        <w:t>burden hours</w:t>
      </w:r>
      <w:r w:rsidR="00D65C2D">
        <w:t xml:space="preserve"> from </w:t>
      </w:r>
      <w:r w:rsidR="00EB2286">
        <w:t>the</w:t>
      </w:r>
      <w:r w:rsidR="004102E4">
        <w:t xml:space="preserve"> current</w:t>
      </w:r>
      <w:r w:rsidR="00B82DAE">
        <w:t xml:space="preserve">ly approved </w:t>
      </w:r>
      <w:r w:rsidR="00F006B6">
        <w:t xml:space="preserve">99.46 </w:t>
      </w:r>
      <w:r w:rsidR="00EB2286" w:rsidRPr="00CA1260">
        <w:t xml:space="preserve">million </w:t>
      </w:r>
      <w:r w:rsidR="00EB2286" w:rsidRPr="00B01DCE">
        <w:t xml:space="preserve">hours to </w:t>
      </w:r>
      <w:r w:rsidR="00435919">
        <w:t>41.04</w:t>
      </w:r>
      <w:r w:rsidR="00B82DAE">
        <w:t xml:space="preserve"> </w:t>
      </w:r>
      <w:r w:rsidR="00165923">
        <w:t xml:space="preserve">million hours </w:t>
      </w:r>
      <w:r w:rsidR="00C67A0D">
        <w:t xml:space="preserve">given </w:t>
      </w:r>
      <w:r w:rsidR="00165923">
        <w:t>that the projected driver population</w:t>
      </w:r>
      <w:r w:rsidR="00557315">
        <w:t xml:space="preserve"> subject to</w:t>
      </w:r>
      <w:r w:rsidR="003060ED">
        <w:t xml:space="preserve"> the ELD mandate.</w:t>
      </w:r>
      <w:r w:rsidR="00557315">
        <w:t xml:space="preserve"> </w:t>
      </w:r>
    </w:p>
    <w:p w14:paraId="237C2140" w14:textId="1C092D7A" w:rsidR="00AF4C77" w:rsidRDefault="00412BAB" w:rsidP="00643156">
      <w:pPr>
        <w:spacing w:before="240"/>
        <w:rPr>
          <w:b/>
        </w:rPr>
      </w:pPr>
      <w:r w:rsidRPr="00B25202">
        <w:rPr>
          <w:b/>
        </w:rPr>
        <w:t xml:space="preserve">4. </w:t>
      </w:r>
      <w:r w:rsidR="00F933E7" w:rsidRPr="00B25202">
        <w:rPr>
          <w:b/>
        </w:rPr>
        <w:t xml:space="preserve"> </w:t>
      </w:r>
      <w:r w:rsidRPr="00B25202">
        <w:rPr>
          <w:b/>
        </w:rPr>
        <w:t>Describe efforts to identify duplication:</w:t>
      </w:r>
    </w:p>
    <w:p w14:paraId="6C1453B6" w14:textId="77777777" w:rsidR="00B25202" w:rsidRPr="00B25202" w:rsidRDefault="00B25202" w:rsidP="00CB4422">
      <w:pPr>
        <w:rPr>
          <w:b/>
        </w:rPr>
      </w:pPr>
    </w:p>
    <w:p w14:paraId="62DC678C" w14:textId="0E70486B" w:rsidR="00421441" w:rsidRDefault="000F2752" w:rsidP="004B0918">
      <w:pPr>
        <w:spacing w:after="240"/>
      </w:pPr>
      <w:r>
        <w:t xml:space="preserve">As explained in Item 1, </w:t>
      </w:r>
      <w:r w:rsidR="001C2BAF" w:rsidRPr="00F933E7">
        <w:t xml:space="preserve">the information on the </w:t>
      </w:r>
      <w:r w:rsidR="008C52BB">
        <w:t xml:space="preserve">employee’s </w:t>
      </w:r>
      <w:r w:rsidR="00A616F6">
        <w:t xml:space="preserve">payroll </w:t>
      </w:r>
      <w:r w:rsidR="001C2BAF" w:rsidRPr="00F933E7">
        <w:t xml:space="preserve">time card satisfies the HOS </w:t>
      </w:r>
      <w:r w:rsidR="00165923">
        <w:t xml:space="preserve">reporting </w:t>
      </w:r>
      <w:r w:rsidR="001C2BAF" w:rsidRPr="00F933E7">
        <w:t>requirements</w:t>
      </w:r>
      <w:r>
        <w:t xml:space="preserve"> of </w:t>
      </w:r>
      <w:r w:rsidR="00050296">
        <w:t>certain</w:t>
      </w:r>
      <w:r>
        <w:t xml:space="preserve"> short-haul drivers</w:t>
      </w:r>
      <w:r w:rsidR="001C2BAF" w:rsidRPr="00F933E7">
        <w:t xml:space="preserve">. </w:t>
      </w:r>
      <w:r w:rsidR="00412BAB" w:rsidRPr="00F933E7">
        <w:t xml:space="preserve">The FMCSA does not dictate the form </w:t>
      </w:r>
      <w:r w:rsidR="000E46C3">
        <w:t xml:space="preserve">with </w:t>
      </w:r>
      <w:r w:rsidR="00412BAB" w:rsidRPr="00F933E7">
        <w:t xml:space="preserve">which the data required by the “time </w:t>
      </w:r>
      <w:r w:rsidR="00911C3D" w:rsidRPr="00F933E7">
        <w:t>card</w:t>
      </w:r>
      <w:r w:rsidR="00412BAB" w:rsidRPr="00F933E7">
        <w:t xml:space="preserve">” </w:t>
      </w:r>
      <w:r w:rsidR="000E46C3" w:rsidRPr="00F933E7">
        <w:t>exception</w:t>
      </w:r>
      <w:r w:rsidR="000E46C3">
        <w:t xml:space="preserve"> is collected </w:t>
      </w:r>
      <w:r w:rsidR="00CC6E5C">
        <w:t>(49 CFR 395.1(e))</w:t>
      </w:r>
      <w:r w:rsidR="000E46C3">
        <w:t>.</w:t>
      </w:r>
      <w:r w:rsidR="00412BAB" w:rsidRPr="00F933E7">
        <w:t xml:space="preserve"> </w:t>
      </w:r>
      <w:r w:rsidR="00AB47CA">
        <w:t xml:space="preserve">Department of Labor </w:t>
      </w:r>
      <w:r w:rsidR="00557315">
        <w:t>regulations</w:t>
      </w:r>
      <w:r w:rsidR="0068119E">
        <w:t xml:space="preserve"> </w:t>
      </w:r>
      <w:r w:rsidR="00412BAB" w:rsidRPr="00F933E7">
        <w:t>require the employer to maintain this information</w:t>
      </w:r>
      <w:r w:rsidR="0068119E">
        <w:t xml:space="preserve"> </w:t>
      </w:r>
      <w:r w:rsidR="00412BAB" w:rsidRPr="00F933E7">
        <w:t>(29 CFR 516.2) (</w:t>
      </w:r>
      <w:r w:rsidR="00412BAB" w:rsidRPr="00454897">
        <w:t xml:space="preserve">Attachment </w:t>
      </w:r>
      <w:r w:rsidR="0036620F">
        <w:t>L</w:t>
      </w:r>
      <w:r w:rsidR="00412BAB" w:rsidRPr="00F933E7">
        <w:t xml:space="preserve">).  </w:t>
      </w:r>
    </w:p>
    <w:p w14:paraId="3C7D5E92" w14:textId="77777777" w:rsidR="00412BAB" w:rsidRPr="00C80340" w:rsidRDefault="00412BAB" w:rsidP="00C80340">
      <w:pPr>
        <w:spacing w:before="240" w:after="240"/>
        <w:rPr>
          <w:b/>
        </w:rPr>
      </w:pPr>
      <w:r w:rsidRPr="00C80340">
        <w:rPr>
          <w:b/>
        </w:rPr>
        <w:t xml:space="preserve">5. </w:t>
      </w:r>
      <w:r w:rsidR="00F933E7" w:rsidRPr="00C80340">
        <w:rPr>
          <w:b/>
        </w:rPr>
        <w:t xml:space="preserve"> </w:t>
      </w:r>
      <w:r w:rsidRPr="00C80340">
        <w:rPr>
          <w:b/>
        </w:rPr>
        <w:t>Efforts to minimize the burden on small businesses:</w:t>
      </w:r>
    </w:p>
    <w:p w14:paraId="03174530" w14:textId="33F36127" w:rsidR="004D6EB2" w:rsidRDefault="00E36841" w:rsidP="00412BAB">
      <w:r w:rsidRPr="00E36841">
        <w:t>Based on Small Business Administration size standards, FMCSA has determined that motor carriers of property with 148 power units or fewer, and passenger carriers with 93 power units or fewer, are small businesses.</w:t>
      </w:r>
      <w:r>
        <w:rPr>
          <w:rStyle w:val="FootnoteReference"/>
        </w:rPr>
        <w:footnoteReference w:id="7"/>
      </w:r>
      <w:r w:rsidR="00AD2603">
        <w:t xml:space="preserve">  The operations of many small motor carriers qualify as “short haul” operations under section 395.1(e).  For the three-year period covered by this ICR, the Agency estimates on average </w:t>
      </w:r>
      <w:r w:rsidR="00AD2603" w:rsidRPr="000A15F1">
        <w:t>that 3.0</w:t>
      </w:r>
      <w:r w:rsidR="00BC6F12">
        <w:t>1</w:t>
      </w:r>
      <w:r w:rsidR="00AD2603">
        <w:t xml:space="preserve"> million drivers conducting these operations are exempt from the requirement of the HOS rules that drivers maintain </w:t>
      </w:r>
      <w:r w:rsidR="008B5883">
        <w:t>RODS</w:t>
      </w:r>
      <w:r w:rsidR="00AD2603">
        <w:t xml:space="preserve"> and supporting documents on board the CMV. These drivers are not the primary focus of the HOS rules because accident data indicate that fatigue is not prevalent in this segment of the trucking industry.  Moreover, these vehicles are under-represented in truck-related fatal crashes.</w:t>
      </w:r>
      <w:r w:rsidR="004D6EB2">
        <w:t xml:space="preserve">  </w:t>
      </w:r>
    </w:p>
    <w:p w14:paraId="1E50B744" w14:textId="77777777" w:rsidR="004D6EB2" w:rsidRDefault="004D6EB2" w:rsidP="00412BAB"/>
    <w:p w14:paraId="11BD65A4" w14:textId="59FEC822" w:rsidR="00412BAB" w:rsidRPr="00CD3A7F" w:rsidRDefault="00412BAB" w:rsidP="00412BAB">
      <w:pPr>
        <w:rPr>
          <w:b/>
        </w:rPr>
      </w:pPr>
      <w:r w:rsidRPr="00CD3A7F">
        <w:rPr>
          <w:b/>
        </w:rPr>
        <w:t xml:space="preserve">6. </w:t>
      </w:r>
      <w:r w:rsidR="00F933E7" w:rsidRPr="00CD3A7F">
        <w:rPr>
          <w:b/>
        </w:rPr>
        <w:t xml:space="preserve"> </w:t>
      </w:r>
      <w:r w:rsidRPr="00CD3A7F">
        <w:rPr>
          <w:b/>
        </w:rPr>
        <w:t>Impact of less frequent collection of information:</w:t>
      </w:r>
    </w:p>
    <w:p w14:paraId="29F0F0DD" w14:textId="77777777" w:rsidR="00CD3A7F" w:rsidRPr="00F933E7" w:rsidRDefault="00CD3A7F" w:rsidP="00412BAB"/>
    <w:p w14:paraId="1B550F2D" w14:textId="362F1434" w:rsidR="00FA6721" w:rsidRDefault="00412BAB" w:rsidP="00412BAB">
      <w:r w:rsidRPr="00F933E7">
        <w:t>The FMCSRs require CMV drivers to “keep their RODS current to the time shown for the last change of duty status” (49 CFR 395.8(f</w:t>
      </w:r>
      <w:r w:rsidR="00454897" w:rsidRPr="00F933E7">
        <w:t>)(</w:t>
      </w:r>
      <w:r w:rsidRPr="00F933E7">
        <w:t>1))</w:t>
      </w:r>
      <w:r w:rsidR="00CD3A7F">
        <w:t xml:space="preserve"> </w:t>
      </w:r>
      <w:r w:rsidRPr="0077399A">
        <w:t>(Attachment</w:t>
      </w:r>
      <w:r w:rsidR="008F0A5C" w:rsidRPr="0077399A">
        <w:t xml:space="preserve"> </w:t>
      </w:r>
      <w:r w:rsidR="0036620F" w:rsidRPr="0077399A">
        <w:t>M</w:t>
      </w:r>
      <w:r w:rsidRPr="0077399A">
        <w:t>).</w:t>
      </w:r>
      <w:r w:rsidRPr="00F933E7">
        <w:t xml:space="preserve"> For example, if a driver begins the day working in an activity other than driving a CMV</w:t>
      </w:r>
      <w:r w:rsidR="006951AC">
        <w:t xml:space="preserve"> (e.g., loading or unloading a CMV)</w:t>
      </w:r>
      <w:r w:rsidRPr="00F933E7">
        <w:t xml:space="preserve">, the appropriate </w:t>
      </w:r>
      <w:r w:rsidR="003A6223">
        <w:t>e</w:t>
      </w:r>
      <w:r w:rsidR="003A6223" w:rsidRPr="00F933E7">
        <w:t>ntry</w:t>
      </w:r>
      <w:r w:rsidRPr="00F933E7">
        <w:t xml:space="preserve"> is “on duty/not driving.”  If the driver operates a CMV</w:t>
      </w:r>
      <w:r w:rsidR="00F067B7" w:rsidRPr="00F933E7">
        <w:t xml:space="preserve"> later </w:t>
      </w:r>
      <w:r w:rsidR="0024633A" w:rsidRPr="00F933E7">
        <w:t xml:space="preserve">that </w:t>
      </w:r>
      <w:r w:rsidR="00F067B7" w:rsidRPr="00F933E7">
        <w:t>day</w:t>
      </w:r>
      <w:r w:rsidRPr="00F933E7">
        <w:t xml:space="preserve">, the </w:t>
      </w:r>
      <w:r w:rsidR="00F067B7" w:rsidRPr="00F933E7">
        <w:t xml:space="preserve">appropriate </w:t>
      </w:r>
      <w:r w:rsidRPr="00F933E7">
        <w:t xml:space="preserve">entry </w:t>
      </w:r>
      <w:r w:rsidR="00F067B7" w:rsidRPr="00F933E7">
        <w:t xml:space="preserve">for that activity is </w:t>
      </w:r>
      <w:r w:rsidRPr="00F933E7">
        <w:t xml:space="preserve">“on-duty/driving.” </w:t>
      </w:r>
      <w:r w:rsidR="00127DFF">
        <w:t>E</w:t>
      </w:r>
      <w:r w:rsidRPr="00F933E7">
        <w:t xml:space="preserve">ach change of duty status </w:t>
      </w:r>
      <w:r w:rsidR="00127DFF">
        <w:t xml:space="preserve">must be recorded </w:t>
      </w:r>
      <w:r w:rsidRPr="00F933E7">
        <w:t xml:space="preserve">when it occurs, and </w:t>
      </w:r>
      <w:r w:rsidR="00127DFF">
        <w:t xml:space="preserve">the driver must </w:t>
      </w:r>
      <w:r w:rsidRPr="00F933E7">
        <w:t xml:space="preserve">retain for the motor carrier any supporting documents generated during the duty tour. </w:t>
      </w:r>
      <w:r w:rsidR="00FA6721">
        <w:t xml:space="preserve">In the </w:t>
      </w:r>
      <w:r w:rsidR="00AC2F47">
        <w:t>ELD rule</w:t>
      </w:r>
      <w:r w:rsidR="00FA6721">
        <w:t xml:space="preserve">, the </w:t>
      </w:r>
      <w:r w:rsidR="00CC6E5C">
        <w:t xml:space="preserve">Agency </w:t>
      </w:r>
      <w:r w:rsidR="00FA6721">
        <w:t xml:space="preserve">amended </w:t>
      </w:r>
      <w:r w:rsidR="00817F19">
        <w:t xml:space="preserve">the HOS rules to </w:t>
      </w:r>
      <w:r w:rsidR="004B2A05">
        <w:t xml:space="preserve">clarify </w:t>
      </w:r>
      <w:r w:rsidR="00937D00">
        <w:t>the requirements for HOS supporting documents</w:t>
      </w:r>
      <w:r w:rsidR="00FA6721">
        <w:t xml:space="preserve">.  </w:t>
      </w:r>
    </w:p>
    <w:p w14:paraId="2933F05D" w14:textId="77777777" w:rsidR="004B2A05" w:rsidRPr="006D38CD" w:rsidRDefault="004B2A05" w:rsidP="00412BAB">
      <w:pPr>
        <w:rPr>
          <w:u w:val="single"/>
        </w:rPr>
      </w:pPr>
    </w:p>
    <w:p w14:paraId="4898F068" w14:textId="77777777" w:rsidR="00E942B1" w:rsidRPr="00F933E7" w:rsidRDefault="00412BAB" w:rsidP="00412BAB">
      <w:r w:rsidRPr="00F933E7">
        <w:t>The</w:t>
      </w:r>
      <w:r w:rsidR="0078556F">
        <w:rPr>
          <w:rStyle w:val="CommentReference"/>
        </w:rPr>
        <w:t xml:space="preserve"> </w:t>
      </w:r>
      <w:r w:rsidRPr="00F933E7">
        <w:t xml:space="preserve">FMCSA believes </w:t>
      </w:r>
      <w:r w:rsidR="00937D00">
        <w:t xml:space="preserve">that the value of </w:t>
      </w:r>
      <w:r w:rsidRPr="00F933E7">
        <w:t xml:space="preserve">this </w:t>
      </w:r>
      <w:r w:rsidR="00CD3A7F">
        <w:t xml:space="preserve">RODS information </w:t>
      </w:r>
      <w:r w:rsidRPr="00F933E7">
        <w:t xml:space="preserve">to State and FMCSA enforcement personnel </w:t>
      </w:r>
      <w:r w:rsidR="00937D00">
        <w:t xml:space="preserve">is substantially enhanced </w:t>
      </w:r>
      <w:r w:rsidRPr="00F933E7">
        <w:t xml:space="preserve">when it </w:t>
      </w:r>
      <w:r w:rsidR="00937D00">
        <w:t xml:space="preserve">must be </w:t>
      </w:r>
      <w:r w:rsidRPr="00F933E7">
        <w:t xml:space="preserve">entered </w:t>
      </w:r>
      <w:r w:rsidR="00937D00">
        <w:t xml:space="preserve">by the driver at the time of the </w:t>
      </w:r>
      <w:r w:rsidR="0024633A" w:rsidRPr="00F933E7">
        <w:t xml:space="preserve">change of duty status. </w:t>
      </w:r>
      <w:r w:rsidRPr="00F933E7">
        <w:t xml:space="preserve">This practice </w:t>
      </w:r>
      <w:r w:rsidR="00F067B7" w:rsidRPr="00F933E7">
        <w:t xml:space="preserve">increases </w:t>
      </w:r>
      <w:r w:rsidRPr="00F933E7">
        <w:t xml:space="preserve">the likelihood that the </w:t>
      </w:r>
      <w:r w:rsidR="00F067B7" w:rsidRPr="00F933E7">
        <w:t xml:space="preserve">RODS </w:t>
      </w:r>
      <w:r w:rsidRPr="00F933E7">
        <w:t xml:space="preserve">will </w:t>
      </w:r>
      <w:r w:rsidR="00F067B7" w:rsidRPr="00F933E7">
        <w:t xml:space="preserve">not </w:t>
      </w:r>
      <w:r w:rsidRPr="00F933E7">
        <w:t xml:space="preserve">be altered to </w:t>
      </w:r>
      <w:r w:rsidR="00F067B7" w:rsidRPr="00F933E7">
        <w:t xml:space="preserve">fraudulently </w:t>
      </w:r>
      <w:r w:rsidRPr="00F933E7">
        <w:t xml:space="preserve">gain driving </w:t>
      </w:r>
      <w:r w:rsidR="00F067B7" w:rsidRPr="00F933E7">
        <w:t xml:space="preserve">time </w:t>
      </w:r>
      <w:r w:rsidRPr="00F933E7">
        <w:t>or on-duty time</w:t>
      </w:r>
      <w:r w:rsidR="00F067B7" w:rsidRPr="00F933E7">
        <w:t xml:space="preserve">. </w:t>
      </w:r>
      <w:r w:rsidRPr="00F933E7">
        <w:t xml:space="preserve">If the information were collected less frequently, </w:t>
      </w:r>
      <w:r w:rsidR="00E942B1" w:rsidRPr="00F933E7">
        <w:t xml:space="preserve">the task of identifying violations of the </w:t>
      </w:r>
      <w:r w:rsidRPr="00F933E7">
        <w:t>HOS rules</w:t>
      </w:r>
      <w:r w:rsidR="00E942B1" w:rsidRPr="00F933E7">
        <w:t>, especially during roadside inspections, would be considerably more difficult</w:t>
      </w:r>
      <w:r w:rsidR="009A3B6C" w:rsidRPr="00F933E7">
        <w:t>.</w:t>
      </w:r>
      <w:r w:rsidR="009A3B6C">
        <w:t xml:space="preserve"> </w:t>
      </w:r>
      <w:r w:rsidR="006951AC">
        <w:t>In addition, safety would be compr</w:t>
      </w:r>
      <w:r w:rsidR="009E6639">
        <w:t>om</w:t>
      </w:r>
      <w:r w:rsidR="006951AC">
        <w:t>ised.</w:t>
      </w:r>
    </w:p>
    <w:p w14:paraId="2E4BB0B5" w14:textId="77777777" w:rsidR="00412BAB" w:rsidRPr="00F933E7" w:rsidRDefault="00412BAB" w:rsidP="00412BAB"/>
    <w:p w14:paraId="28C6CAF3" w14:textId="77777777" w:rsidR="00412BAB" w:rsidRPr="00CD3A7F" w:rsidRDefault="00412BAB" w:rsidP="00412BAB">
      <w:pPr>
        <w:rPr>
          <w:b/>
        </w:rPr>
      </w:pPr>
      <w:r w:rsidRPr="00CD3A7F">
        <w:rPr>
          <w:b/>
        </w:rPr>
        <w:t xml:space="preserve">7. </w:t>
      </w:r>
      <w:r w:rsidR="00F933E7" w:rsidRPr="00CD3A7F">
        <w:rPr>
          <w:b/>
        </w:rPr>
        <w:t xml:space="preserve"> </w:t>
      </w:r>
      <w:r w:rsidRPr="00CD3A7F">
        <w:rPr>
          <w:b/>
        </w:rPr>
        <w:t>Special circumstances:</w:t>
      </w:r>
    </w:p>
    <w:p w14:paraId="6D6492C8" w14:textId="77777777" w:rsidR="00CD3A7F" w:rsidRPr="00F933E7" w:rsidRDefault="00CD3A7F" w:rsidP="00412BAB"/>
    <w:p w14:paraId="465FFFF0" w14:textId="77777777" w:rsidR="00C51C65" w:rsidRDefault="00412BAB" w:rsidP="00412BAB">
      <w:r w:rsidRPr="00F933E7">
        <w:t>There are no special circumstances related to this information collection.</w:t>
      </w:r>
    </w:p>
    <w:p w14:paraId="6BEA68A3" w14:textId="77777777" w:rsidR="00B150D7" w:rsidRPr="00F933E7" w:rsidRDefault="00B150D7" w:rsidP="00412BAB"/>
    <w:p w14:paraId="1ABD15E0" w14:textId="77777777" w:rsidR="00412BAB" w:rsidRPr="00507BC8" w:rsidRDefault="00412BAB" w:rsidP="00412BAB">
      <w:pPr>
        <w:rPr>
          <w:b/>
        </w:rPr>
      </w:pPr>
      <w:r w:rsidRPr="00507BC8">
        <w:rPr>
          <w:b/>
        </w:rPr>
        <w:t xml:space="preserve">8. </w:t>
      </w:r>
      <w:r w:rsidR="00F933E7" w:rsidRPr="00507BC8">
        <w:rPr>
          <w:b/>
        </w:rPr>
        <w:t xml:space="preserve"> </w:t>
      </w:r>
      <w:r w:rsidRPr="00507BC8">
        <w:rPr>
          <w:b/>
        </w:rPr>
        <w:t>Compliance with 5 CFR 1320.8:</w:t>
      </w:r>
    </w:p>
    <w:p w14:paraId="62FCF223" w14:textId="77777777" w:rsidR="00507BC8" w:rsidRPr="00F933E7" w:rsidRDefault="00507BC8" w:rsidP="00412BAB"/>
    <w:p w14:paraId="1CE218A9" w14:textId="3EA996D4" w:rsidR="00872B06" w:rsidRDefault="00872B06" w:rsidP="00872B06">
      <w:pPr>
        <w:pStyle w:val="BodyText"/>
      </w:pPr>
      <w:r>
        <w:t xml:space="preserve">On </w:t>
      </w:r>
      <w:r w:rsidR="00861418">
        <w:t>March 8</w:t>
      </w:r>
      <w:r>
        <w:t>, 201</w:t>
      </w:r>
      <w:r w:rsidR="002D61E2">
        <w:t>9</w:t>
      </w:r>
      <w:r w:rsidR="0072555D">
        <w:t>,</w:t>
      </w:r>
      <w:r w:rsidR="00457D3C">
        <w:t xml:space="preserve"> </w:t>
      </w:r>
      <w:r>
        <w:t>FMCSA published a notice in the Federal Register with a 60-day public comment period to announce this proposed information collection</w:t>
      </w:r>
      <w:r w:rsidR="00457D3C">
        <w:t xml:space="preserve"> (84 FR 8563)</w:t>
      </w:r>
      <w:r w:rsidR="0072555D">
        <w:t>.</w:t>
      </w:r>
      <w:r>
        <w:t xml:space="preserve"> </w:t>
      </w:r>
    </w:p>
    <w:p w14:paraId="23975F95" w14:textId="2511583E" w:rsidR="008328E8" w:rsidRDefault="008328E8" w:rsidP="008328E8">
      <w:r>
        <w:t xml:space="preserve">The Agency received three comments in response to the 60-day notice. Aaron Pettigrew expressed concern that the ELDs and vendor fees for data management service vendors are burdensome to small companies. </w:t>
      </w:r>
      <w:r w:rsidR="00FC1B06">
        <w:t xml:space="preserve">Mr. Pettigrew did not comment on the reasonableness of </w:t>
      </w:r>
      <w:r w:rsidR="009C0273">
        <w:t xml:space="preserve">FMCSA’s </w:t>
      </w:r>
      <w:r w:rsidR="00FC1B06">
        <w:t>estimate</w:t>
      </w:r>
      <w:r w:rsidR="00C10F57">
        <w:t xml:space="preserve"> of</w:t>
      </w:r>
      <w:r w:rsidR="009C0273">
        <w:t xml:space="preserve"> the cost of ELDs or fees for data management services</w:t>
      </w:r>
      <w:r w:rsidR="00FC1B06">
        <w:t>.</w:t>
      </w:r>
      <w:r w:rsidR="009C0273">
        <w:t xml:space="preserve"> </w:t>
      </w:r>
      <w:r>
        <w:t>The Agency finds that the benefits and costs of complying with the ELD rule are outside the scope of a request for approval of this information collection request. Th</w:t>
      </w:r>
      <w:r w:rsidR="00954252">
        <w:t>is</w:t>
      </w:r>
      <w:r>
        <w:t xml:space="preserve"> supporting statement includes an estimate of the cost of ELDs and data management fees used </w:t>
      </w:r>
      <w:r w:rsidR="00C10F57">
        <w:t xml:space="preserve">to </w:t>
      </w:r>
      <w:r>
        <w:t>estimate non-labor related costs of the ICR. Th</w:t>
      </w:r>
      <w:r w:rsidR="002C6607">
        <w:t>is</w:t>
      </w:r>
      <w:r>
        <w:t xml:space="preserve"> supporting statement include</w:t>
      </w:r>
      <w:r w:rsidR="002C6607">
        <w:t>s</w:t>
      </w:r>
      <w:r>
        <w:t xml:space="preserve"> equipment costs and data management fees posted on vendors’ web sites. </w:t>
      </w:r>
    </w:p>
    <w:p w14:paraId="37050EA5" w14:textId="77777777" w:rsidR="008328E8" w:rsidRDefault="008328E8" w:rsidP="008328E8"/>
    <w:p w14:paraId="43E4023C" w14:textId="1FF125DD" w:rsidR="00FC1B06" w:rsidRDefault="008328E8" w:rsidP="00FC1B06">
      <w:r>
        <w:t>Two commenters</w:t>
      </w:r>
      <w:r w:rsidR="00FC1B06">
        <w:t>, Toni Smith and TruckerNation</w:t>
      </w:r>
      <w:r>
        <w:t xml:space="preserve"> </w:t>
      </w:r>
      <w:r w:rsidR="00FC1B06">
        <w:t>stated</w:t>
      </w:r>
      <w:r>
        <w:t xml:space="preserve"> that the 2-minute response time for collecting and filing records underestimates the burden hours and costs of complying with the HOS reporting and recordkeeping requirements. </w:t>
      </w:r>
      <w:r w:rsidR="00FC1B06">
        <w:t>Mr.</w:t>
      </w:r>
      <w:r>
        <w:t xml:space="preserve"> Smith stated that the 2-minute response time is not sufficient to account for the time to audit and file RODS and supporting documents.</w:t>
      </w:r>
      <w:r w:rsidR="009C0273">
        <w:t xml:space="preserve"> </w:t>
      </w:r>
      <w:r w:rsidR="00FC1B06">
        <w:t>TruckerNation submitted the results of a survey in which 62 percent of respondents indicated it takes more than 6.5 minutes to input daily duty status to complete electronic RODS. The Agency finds that TruckerNation did not provide a discussion of the survey methods, the margin of error, or a mean response time that is statistically significant and different from a 2-minute response time.</w:t>
      </w:r>
    </w:p>
    <w:p w14:paraId="65936E39" w14:textId="77777777" w:rsidR="00FC1B06" w:rsidRDefault="00FC1B06" w:rsidP="008328E8"/>
    <w:p w14:paraId="04FA3518" w14:textId="77777777" w:rsidR="007843BB" w:rsidRDefault="007843BB" w:rsidP="007843BB">
      <w:r>
        <w:t xml:space="preserve">With respect to Mr. Smith’s comments, the Agency finds that the 2-minute response time in this supporting statement is applied to driver burden hours to monetize the cost of drivers’ time on task to prepare daily RODS. It is applicable to administrative time incurred by motor carrier staff to audit RODS. The commenter provided a schedule of administrative staff weekly activities associated with HOS, which included tasks not adequately defined to be considered reporting and recordkeeping activities for purposes of estimating burden hours. Additionally, no estimates of response times for each task contained in the schedule of weekly activities were offered.  </w:t>
      </w:r>
    </w:p>
    <w:p w14:paraId="0DD39930" w14:textId="77777777" w:rsidR="007843BB" w:rsidRDefault="007843BB" w:rsidP="007843BB">
      <w:pPr>
        <w:pStyle w:val="BodyText"/>
      </w:pPr>
    </w:p>
    <w:p w14:paraId="20416A1D" w14:textId="77777777" w:rsidR="00412BAB" w:rsidRPr="00507BC8" w:rsidRDefault="00412BAB" w:rsidP="00412BAB">
      <w:pPr>
        <w:rPr>
          <w:b/>
        </w:rPr>
      </w:pPr>
      <w:r w:rsidRPr="00507BC8">
        <w:rPr>
          <w:b/>
        </w:rPr>
        <w:t xml:space="preserve">9. </w:t>
      </w:r>
      <w:r w:rsidR="00F933E7" w:rsidRPr="00507BC8">
        <w:rPr>
          <w:b/>
        </w:rPr>
        <w:t xml:space="preserve"> </w:t>
      </w:r>
      <w:r w:rsidRPr="00507BC8">
        <w:rPr>
          <w:b/>
        </w:rPr>
        <w:t>Payments or gifts to respondents:</w:t>
      </w:r>
    </w:p>
    <w:p w14:paraId="0890A432" w14:textId="77777777" w:rsidR="00507BC8" w:rsidRDefault="00507BC8" w:rsidP="00412BAB"/>
    <w:p w14:paraId="2FF7B47C" w14:textId="77777777" w:rsidR="002D15F6" w:rsidRDefault="00412BAB" w:rsidP="00412BAB">
      <w:r w:rsidRPr="00F933E7">
        <w:t>There is no payment or gift to respondents associated with this collection.</w:t>
      </w:r>
    </w:p>
    <w:p w14:paraId="4CD3B3DD" w14:textId="77777777" w:rsidR="002D15F6" w:rsidRDefault="002D15F6" w:rsidP="00412BAB"/>
    <w:p w14:paraId="70A815AD" w14:textId="5F85287D" w:rsidR="00412BAB" w:rsidRDefault="00412BAB" w:rsidP="00412BAB">
      <w:pPr>
        <w:rPr>
          <w:b/>
        </w:rPr>
      </w:pPr>
      <w:r w:rsidRPr="00507BC8">
        <w:rPr>
          <w:b/>
        </w:rPr>
        <w:t xml:space="preserve">10. </w:t>
      </w:r>
      <w:r w:rsidR="00F933E7" w:rsidRPr="00507BC8">
        <w:rPr>
          <w:b/>
        </w:rPr>
        <w:t xml:space="preserve"> </w:t>
      </w:r>
      <w:r w:rsidRPr="00507BC8">
        <w:rPr>
          <w:b/>
        </w:rPr>
        <w:t>Assurance of confidentiality:</w:t>
      </w:r>
    </w:p>
    <w:p w14:paraId="126F2F3C" w14:textId="77777777" w:rsidR="00BA67CC" w:rsidRPr="00507BC8" w:rsidRDefault="00BA67CC" w:rsidP="00412BAB">
      <w:pPr>
        <w:rPr>
          <w:b/>
        </w:rPr>
      </w:pPr>
    </w:p>
    <w:p w14:paraId="72C0FE29" w14:textId="77777777" w:rsidR="00F82CC1" w:rsidRDefault="00F82CC1" w:rsidP="00F82CC1">
      <w:r>
        <w:t xml:space="preserve">Personally Identifiable Information (PII) will be protected to the extent allowed by the Freedom of Information Act, 5 U.S.C. 552, as </w:t>
      </w:r>
      <w:r w:rsidRPr="0077399A">
        <w:t xml:space="preserve">amended </w:t>
      </w:r>
      <w:r w:rsidR="00E91EBB" w:rsidRPr="0077399A">
        <w:t>(Atta</w:t>
      </w:r>
      <w:r w:rsidR="0036620F" w:rsidRPr="0077399A">
        <w:t>chment N</w:t>
      </w:r>
      <w:r w:rsidR="00823132" w:rsidRPr="0077399A">
        <w:t xml:space="preserve">) </w:t>
      </w:r>
      <w:r w:rsidRPr="0077399A">
        <w:t>and the Privacy Act of 1974</w:t>
      </w:r>
      <w:r w:rsidR="00886072" w:rsidRPr="0077399A">
        <w:t xml:space="preserve"> (Attachment </w:t>
      </w:r>
      <w:r w:rsidR="0036620F" w:rsidRPr="0077399A">
        <w:t>O).</w:t>
      </w:r>
    </w:p>
    <w:p w14:paraId="70E36433" w14:textId="77777777" w:rsidR="00F82CC1" w:rsidRPr="00F933E7" w:rsidRDefault="00F82CC1" w:rsidP="00412BAB"/>
    <w:p w14:paraId="5E87FBBA" w14:textId="77777777" w:rsidR="00412BAB" w:rsidRPr="00507BC8" w:rsidRDefault="00412BAB" w:rsidP="00412BAB">
      <w:pPr>
        <w:rPr>
          <w:b/>
        </w:rPr>
      </w:pPr>
      <w:r w:rsidRPr="00507BC8">
        <w:rPr>
          <w:b/>
        </w:rPr>
        <w:t xml:space="preserve">11. </w:t>
      </w:r>
      <w:r w:rsidR="00F933E7" w:rsidRPr="00507BC8">
        <w:rPr>
          <w:b/>
        </w:rPr>
        <w:t xml:space="preserve"> </w:t>
      </w:r>
      <w:r w:rsidRPr="00507BC8">
        <w:rPr>
          <w:b/>
        </w:rPr>
        <w:t>Justification for collection of sensitive information:</w:t>
      </w:r>
    </w:p>
    <w:p w14:paraId="21D0EA82" w14:textId="77777777" w:rsidR="00507BC8" w:rsidRDefault="00507BC8" w:rsidP="00412BAB"/>
    <w:p w14:paraId="66C15231" w14:textId="77777777" w:rsidR="00817610" w:rsidRDefault="00E57FBF" w:rsidP="00E57FBF">
      <w:r>
        <w:t xml:space="preserve">The HOS rules require </w:t>
      </w:r>
      <w:r w:rsidR="00986EA7">
        <w:t xml:space="preserve">motor carriers </w:t>
      </w:r>
      <w:r w:rsidR="005C403E">
        <w:t xml:space="preserve">obtain driver identification data that includes the driver’s name as it appears on the driver’s license, license number and the issuing State or jurisdiction </w:t>
      </w:r>
      <w:bookmarkStart w:id="2" w:name="_Hlk528143157"/>
      <w:r w:rsidR="005C403E">
        <w:t>(49 CFR 395.22(c</w:t>
      </w:r>
      <w:r w:rsidR="005C403E" w:rsidRPr="0077399A">
        <w:t>))</w:t>
      </w:r>
      <w:r w:rsidR="007C06B1" w:rsidRPr="0077399A">
        <w:t xml:space="preserve"> (Attachment P)</w:t>
      </w:r>
      <w:bookmarkEnd w:id="2"/>
      <w:r w:rsidR="005C403E" w:rsidRPr="0077399A">
        <w:t>. Driver</w:t>
      </w:r>
      <w:r w:rsidR="00817610" w:rsidRPr="0077399A">
        <w:t>s</w:t>
      </w:r>
      <w:r w:rsidR="00817610">
        <w:t xml:space="preserve"> are required to provide this information to the motor carrier</w:t>
      </w:r>
      <w:r w:rsidR="005C403E">
        <w:t xml:space="preserve"> (49 CFR 395.24(a))</w:t>
      </w:r>
      <w:r w:rsidR="007C06B1">
        <w:t xml:space="preserve"> </w:t>
      </w:r>
      <w:r w:rsidR="00817610">
        <w:t xml:space="preserve">so that </w:t>
      </w:r>
      <w:r w:rsidR="00153DAD">
        <w:t xml:space="preserve">the motor carrier </w:t>
      </w:r>
      <w:r w:rsidR="00C43CDF">
        <w:t>can</w:t>
      </w:r>
      <w:r w:rsidR="005C403E">
        <w:t xml:space="preserve"> establish</w:t>
      </w:r>
      <w:r w:rsidR="00153DAD">
        <w:t xml:space="preserve"> </w:t>
      </w:r>
      <w:r w:rsidR="007E7667">
        <w:t>the</w:t>
      </w:r>
      <w:r w:rsidR="00153DAD">
        <w:t xml:space="preserve"> driver’s </w:t>
      </w:r>
      <w:r w:rsidR="00F24B1A">
        <w:t xml:space="preserve">secure </w:t>
      </w:r>
      <w:r w:rsidR="00153DAD">
        <w:t>account and log-in credentials</w:t>
      </w:r>
      <w:r w:rsidR="00817610">
        <w:t xml:space="preserve"> to authenticate individuals </w:t>
      </w:r>
      <w:r w:rsidR="007E7667">
        <w:t xml:space="preserve">accessing their account. </w:t>
      </w:r>
      <w:r w:rsidR="001C0282">
        <w:t>When d</w:t>
      </w:r>
      <w:r w:rsidR="00017242">
        <w:t xml:space="preserve">rivers certify </w:t>
      </w:r>
      <w:r w:rsidR="001C0282">
        <w:t>their</w:t>
      </w:r>
      <w:r w:rsidR="00017242">
        <w:t xml:space="preserve"> RODS</w:t>
      </w:r>
      <w:r w:rsidR="00050296">
        <w:t>,</w:t>
      </w:r>
      <w:r w:rsidR="001C0282">
        <w:t xml:space="preserve"> data elements are automatically recorded</w:t>
      </w:r>
      <w:r w:rsidR="00050296">
        <w:t xml:space="preserve"> by the </w:t>
      </w:r>
      <w:r w:rsidR="00050296" w:rsidRPr="00F33F6D">
        <w:t>ELDs</w:t>
      </w:r>
      <w:r w:rsidR="001C0282" w:rsidRPr="00F33F6D">
        <w:t>, including the driver’s or authenticated user identification data (49 CFR 395.26(b) and (f)</w:t>
      </w:r>
      <w:r w:rsidR="00443E64" w:rsidRPr="00F33F6D">
        <w:t>)</w:t>
      </w:r>
      <w:r w:rsidR="001C0282" w:rsidRPr="00F33F6D">
        <w:t xml:space="preserve"> (Attachment Q).</w:t>
      </w:r>
    </w:p>
    <w:p w14:paraId="217B2142" w14:textId="77777777" w:rsidR="005C403E" w:rsidRDefault="005C403E" w:rsidP="00E57FBF">
      <w:r>
        <w:t xml:space="preserve"> </w:t>
      </w:r>
    </w:p>
    <w:p w14:paraId="0BB79355" w14:textId="5BB0BD21" w:rsidR="00E57FBF" w:rsidRDefault="00817610" w:rsidP="00E57FBF">
      <w:r>
        <w:t>In the event of an ELD malfunction</w:t>
      </w:r>
      <w:r w:rsidR="002D15F6">
        <w:t>,</w:t>
      </w:r>
      <w:r w:rsidR="007E7667">
        <w:t xml:space="preserve"> the</w:t>
      </w:r>
      <w:r w:rsidR="00F006B6">
        <w:t xml:space="preserve"> driver must prepare a paper RODS. This requires the driver, </w:t>
      </w:r>
      <w:r w:rsidR="00E57FBF">
        <w:t xml:space="preserve">at the end of their duty day, </w:t>
      </w:r>
      <w:r w:rsidR="00F006B6">
        <w:t xml:space="preserve">to </w:t>
      </w:r>
      <w:r w:rsidR="00E57FBF">
        <w:t xml:space="preserve">verify the accuracy of the RODS by placing their signature </w:t>
      </w:r>
      <w:r w:rsidR="00B21F2F">
        <w:t xml:space="preserve">on </w:t>
      </w:r>
      <w:r w:rsidR="00E57FBF">
        <w:t>the RODS</w:t>
      </w:r>
      <w:r w:rsidR="006951AC">
        <w:t xml:space="preserve"> (49 CFR 395.8(d))</w:t>
      </w:r>
      <w:r w:rsidR="00E57FBF">
        <w:t xml:space="preserve">. Entry of the driver’s name </w:t>
      </w:r>
      <w:r w:rsidR="00412F23">
        <w:t xml:space="preserve">creates </w:t>
      </w:r>
      <w:r w:rsidR="00412F23" w:rsidRPr="00E82FBF">
        <w:t>sensitive information</w:t>
      </w:r>
      <w:r w:rsidR="00412F23">
        <w:t xml:space="preserve">, but </w:t>
      </w:r>
      <w:r w:rsidR="00C972E1">
        <w:t xml:space="preserve">is necessary to identify </w:t>
      </w:r>
      <w:r w:rsidR="00412F23">
        <w:t xml:space="preserve">the driver </w:t>
      </w:r>
      <w:r w:rsidR="00C972E1">
        <w:t xml:space="preserve">who completed the RODS. </w:t>
      </w:r>
      <w:r w:rsidR="00E57FBF">
        <w:t xml:space="preserve">The other </w:t>
      </w:r>
      <w:r w:rsidR="00E57FBF" w:rsidRPr="00F933E7">
        <w:t>information collected under this IC</w:t>
      </w:r>
      <w:r w:rsidR="00886072">
        <w:t>R</w:t>
      </w:r>
      <w:r w:rsidR="00E57FBF">
        <w:t xml:space="preserve"> --</w:t>
      </w:r>
      <w:r w:rsidR="00E57FBF" w:rsidRPr="00F933E7">
        <w:t xml:space="preserve"> </w:t>
      </w:r>
      <w:r w:rsidR="00E57FBF">
        <w:t>“supporting documents” (</w:t>
      </w:r>
      <w:r w:rsidR="00050296">
        <w:t xml:space="preserve">e.g., </w:t>
      </w:r>
      <w:r w:rsidR="005220E2">
        <w:t>fuel</w:t>
      </w:r>
      <w:r w:rsidR="005220E2" w:rsidRPr="00F933E7">
        <w:t xml:space="preserve"> </w:t>
      </w:r>
      <w:r w:rsidR="00E57FBF">
        <w:t xml:space="preserve">and toll </w:t>
      </w:r>
      <w:r w:rsidR="00E57FBF" w:rsidRPr="00F933E7">
        <w:t>receipts</w:t>
      </w:r>
      <w:r w:rsidR="00E57FBF">
        <w:t xml:space="preserve">) -- does not contain PII.  </w:t>
      </w:r>
    </w:p>
    <w:p w14:paraId="1C9BD9C1" w14:textId="77777777" w:rsidR="00E52F0C" w:rsidRDefault="00E52F0C"/>
    <w:p w14:paraId="21FD8B98" w14:textId="77777777" w:rsidR="009E7468" w:rsidRDefault="000D6D7B" w:rsidP="000D6D7B">
      <w:r>
        <w:t>As explained in Item 2 above, law e</w:t>
      </w:r>
      <w:r w:rsidRPr="00F933E7">
        <w:t xml:space="preserve">nforcement officials at roadside employ the </w:t>
      </w:r>
      <w:r>
        <w:t xml:space="preserve">CMV driver’s </w:t>
      </w:r>
      <w:r w:rsidRPr="00F933E7">
        <w:t xml:space="preserve">RODS </w:t>
      </w:r>
      <w:r>
        <w:t xml:space="preserve">as the primary tool </w:t>
      </w:r>
      <w:r w:rsidR="009A76D3">
        <w:t xml:space="preserve">for determining </w:t>
      </w:r>
      <w:r>
        <w:t xml:space="preserve">if </w:t>
      </w:r>
      <w:r w:rsidRPr="00F933E7">
        <w:t xml:space="preserve">the driver </w:t>
      </w:r>
      <w:r w:rsidR="00050296">
        <w:t>is</w:t>
      </w:r>
      <w:r w:rsidRPr="00F933E7">
        <w:t xml:space="preserve"> </w:t>
      </w:r>
      <w:r w:rsidR="00211102">
        <w:t>compl</w:t>
      </w:r>
      <w:r w:rsidR="00050296">
        <w:t>ying</w:t>
      </w:r>
      <w:r w:rsidR="009A76D3">
        <w:t xml:space="preserve"> with </w:t>
      </w:r>
      <w:r w:rsidR="00211102">
        <w:t xml:space="preserve">the HOS rules. </w:t>
      </w:r>
      <w:r>
        <w:t xml:space="preserve">In addition, State and FMCSA </w:t>
      </w:r>
      <w:r w:rsidR="009A76D3">
        <w:t xml:space="preserve">investigators </w:t>
      </w:r>
      <w:r w:rsidR="00E57FBF">
        <w:t xml:space="preserve">use the RODS </w:t>
      </w:r>
      <w:r w:rsidR="004E4FE4">
        <w:t xml:space="preserve">and supporting documents </w:t>
      </w:r>
      <w:r w:rsidR="00E57FBF">
        <w:t xml:space="preserve">of a </w:t>
      </w:r>
      <w:r w:rsidR="004E4FE4">
        <w:t xml:space="preserve">driver and </w:t>
      </w:r>
      <w:r w:rsidR="00E57FBF">
        <w:t xml:space="preserve">motor carrier as the primary tool </w:t>
      </w:r>
      <w:r w:rsidR="00896CD2">
        <w:t xml:space="preserve">for </w:t>
      </w:r>
      <w:r w:rsidR="00E57FBF">
        <w:t xml:space="preserve">assessing compliance with the HOS rules.  </w:t>
      </w:r>
    </w:p>
    <w:p w14:paraId="16E10ED4" w14:textId="77777777" w:rsidR="00896CD2" w:rsidRDefault="00896CD2" w:rsidP="000D6D7B"/>
    <w:p w14:paraId="53028EDD" w14:textId="77777777" w:rsidR="00E52F0C" w:rsidRDefault="009E7468">
      <w:r>
        <w:t xml:space="preserve">Violations of the HOS rules subject drivers and motor carriers to penalties prescribed by law.  </w:t>
      </w:r>
      <w:r w:rsidR="001D511A">
        <w:t>To</w:t>
      </w:r>
      <w:r>
        <w:t xml:space="preserve"> </w:t>
      </w:r>
      <w:r w:rsidR="00050296">
        <w:t>enforce</w:t>
      </w:r>
      <w:r>
        <w:t xml:space="preserve"> these violations, whether at roadside or by other legal action, </w:t>
      </w:r>
      <w:r w:rsidR="00C972E1">
        <w:t>the Agency must be able to identify the driver.</w:t>
      </w:r>
    </w:p>
    <w:p w14:paraId="242FA8CD" w14:textId="77777777" w:rsidR="00AC06F2" w:rsidRDefault="00AC06F2"/>
    <w:p w14:paraId="536B8542" w14:textId="77777777" w:rsidR="00412BAB" w:rsidRDefault="00412BAB" w:rsidP="00412BAB">
      <w:pPr>
        <w:rPr>
          <w:b/>
        </w:rPr>
      </w:pPr>
      <w:r w:rsidRPr="00507BC8">
        <w:rPr>
          <w:b/>
        </w:rPr>
        <w:t xml:space="preserve">12. </w:t>
      </w:r>
      <w:r w:rsidR="00F933E7" w:rsidRPr="00507BC8">
        <w:rPr>
          <w:b/>
        </w:rPr>
        <w:t xml:space="preserve"> </w:t>
      </w:r>
      <w:r w:rsidRPr="00507BC8">
        <w:rPr>
          <w:b/>
        </w:rPr>
        <w:t>Estimate of burden hours for information requested:</w:t>
      </w:r>
    </w:p>
    <w:p w14:paraId="5EE40513" w14:textId="77777777" w:rsidR="00F35364" w:rsidRDefault="00F35364" w:rsidP="00412BAB">
      <w:pPr>
        <w:rPr>
          <w:b/>
        </w:rPr>
      </w:pPr>
    </w:p>
    <w:p w14:paraId="6CA38A68" w14:textId="659921FD" w:rsidR="0009706B" w:rsidRDefault="00F35364" w:rsidP="0025053A">
      <w:r w:rsidRPr="00F933E7">
        <w:t xml:space="preserve">The HOS rules require </w:t>
      </w:r>
      <w:r>
        <w:t xml:space="preserve">most CMV drivers to record their duty status and to have the RODS and supporting documents on-board the CMV. </w:t>
      </w:r>
      <w:r w:rsidR="001D511A" w:rsidRPr="002850C0">
        <w:rPr>
          <w:rFonts w:eastAsiaTheme="minorHAnsi"/>
        </w:rPr>
        <w:t xml:space="preserve">Drivers required to use ELDs are permitted to manually record their duty status </w:t>
      </w:r>
      <w:r w:rsidR="001D511A">
        <w:rPr>
          <w:rFonts w:eastAsiaTheme="minorHAnsi"/>
        </w:rPr>
        <w:t>in the event an ELD malfunctions</w:t>
      </w:r>
      <w:r w:rsidR="004000C2">
        <w:rPr>
          <w:rFonts w:eastAsiaTheme="minorHAnsi"/>
        </w:rPr>
        <w:t xml:space="preserve"> (</w:t>
      </w:r>
      <w:r w:rsidR="001D511A" w:rsidRPr="002850C0">
        <w:rPr>
          <w:rFonts w:eastAsiaTheme="minorHAnsi"/>
        </w:rPr>
        <w:t>49 CFR 395.34</w:t>
      </w:r>
      <w:r w:rsidR="004000C2">
        <w:rPr>
          <w:rFonts w:eastAsiaTheme="minorHAnsi"/>
        </w:rPr>
        <w:t>)</w:t>
      </w:r>
      <w:r w:rsidR="00A40482">
        <w:rPr>
          <w:rFonts w:eastAsiaTheme="minorHAnsi"/>
        </w:rPr>
        <w:t xml:space="preserve"> (Attachment R)</w:t>
      </w:r>
      <w:r w:rsidR="001D511A">
        <w:rPr>
          <w:rFonts w:eastAsiaTheme="minorHAnsi"/>
        </w:rPr>
        <w:t xml:space="preserve">. The Agency does not have data on </w:t>
      </w:r>
      <w:r w:rsidR="00B10F84">
        <w:rPr>
          <w:rFonts w:eastAsiaTheme="minorHAnsi"/>
        </w:rPr>
        <w:t xml:space="preserve">the frequency </w:t>
      </w:r>
      <w:r w:rsidR="0004151F">
        <w:rPr>
          <w:rFonts w:eastAsiaTheme="minorHAnsi"/>
        </w:rPr>
        <w:t xml:space="preserve">or duration of </w:t>
      </w:r>
      <w:r w:rsidR="00B10F84">
        <w:rPr>
          <w:rFonts w:eastAsiaTheme="minorHAnsi"/>
        </w:rPr>
        <w:t xml:space="preserve">ELD malfunction rates </w:t>
      </w:r>
      <w:r w:rsidR="0004151F">
        <w:rPr>
          <w:rFonts w:eastAsiaTheme="minorHAnsi"/>
        </w:rPr>
        <w:t xml:space="preserve">that is necessary to estimate burden hours </w:t>
      </w:r>
      <w:r w:rsidR="00B82DAE">
        <w:rPr>
          <w:rFonts w:eastAsiaTheme="minorHAnsi"/>
        </w:rPr>
        <w:t xml:space="preserve">that </w:t>
      </w:r>
      <w:r w:rsidR="0004151F">
        <w:rPr>
          <w:rFonts w:eastAsiaTheme="minorHAnsi"/>
        </w:rPr>
        <w:t>drivers m</w:t>
      </w:r>
      <w:r w:rsidR="004000C2">
        <w:rPr>
          <w:rFonts w:eastAsiaTheme="minorHAnsi"/>
        </w:rPr>
        <w:t>ay</w:t>
      </w:r>
      <w:r w:rsidR="0004151F">
        <w:rPr>
          <w:rFonts w:eastAsiaTheme="minorHAnsi"/>
        </w:rPr>
        <w:t xml:space="preserve"> incur to prepare paper RODS because of an ELD malfunction.</w:t>
      </w:r>
      <w:r w:rsidR="001D511A">
        <w:rPr>
          <w:rFonts w:eastAsiaTheme="minorHAnsi"/>
        </w:rPr>
        <w:t xml:space="preserve"> </w:t>
      </w:r>
      <w:r>
        <w:t xml:space="preserve">Short-haul drivers </w:t>
      </w:r>
      <w:r w:rsidRPr="00F933E7">
        <w:t>are permitted to employ time cards in lieu of the RODS and</w:t>
      </w:r>
      <w:r>
        <w:t xml:space="preserve"> are not required to maintain</w:t>
      </w:r>
      <w:r w:rsidRPr="00F933E7">
        <w:t xml:space="preserve"> supporting documents. </w:t>
      </w:r>
      <w:r>
        <w:t xml:space="preserve">The </w:t>
      </w:r>
      <w:r w:rsidRPr="00F933E7">
        <w:t xml:space="preserve">Agency does not report </w:t>
      </w:r>
      <w:r>
        <w:t>an</w:t>
      </w:r>
      <w:r w:rsidR="00BA458E">
        <w:t xml:space="preserve"> ICR </w:t>
      </w:r>
      <w:r w:rsidRPr="00F933E7">
        <w:t>burden for the time card information because the DOL already accounts for th</w:t>
      </w:r>
      <w:r>
        <w:t xml:space="preserve">e </w:t>
      </w:r>
      <w:r w:rsidRPr="00F933E7">
        <w:t xml:space="preserve">burden associated with </w:t>
      </w:r>
      <w:r>
        <w:t xml:space="preserve">collection and retention of </w:t>
      </w:r>
      <w:r w:rsidRPr="00F933E7">
        <w:t>that information</w:t>
      </w:r>
      <w:r>
        <w:t xml:space="preserve"> (See Item 4)</w:t>
      </w:r>
      <w:r w:rsidRPr="00F933E7">
        <w:t>.</w:t>
      </w:r>
    </w:p>
    <w:p w14:paraId="5901B62F" w14:textId="77777777" w:rsidR="003D301A" w:rsidRDefault="00F35364" w:rsidP="0025053A">
      <w:pPr>
        <w:rPr>
          <w:i/>
        </w:rPr>
      </w:pPr>
      <w:r>
        <w:t xml:space="preserve"> </w:t>
      </w:r>
    </w:p>
    <w:p w14:paraId="31B71366" w14:textId="77777777" w:rsidR="00434C1B" w:rsidRPr="00F17FD4" w:rsidRDefault="004D075B" w:rsidP="0025053A">
      <w:pPr>
        <w:rPr>
          <w:i/>
        </w:rPr>
      </w:pPr>
      <w:r>
        <w:rPr>
          <w:i/>
        </w:rPr>
        <w:t>Effect of ELD Technology on HOS Burden Hours</w:t>
      </w:r>
      <w:r w:rsidR="0036003F" w:rsidRPr="00F17FD4">
        <w:rPr>
          <w:i/>
        </w:rPr>
        <w:t xml:space="preserve"> </w:t>
      </w:r>
    </w:p>
    <w:p w14:paraId="5770003A" w14:textId="77777777" w:rsidR="0036003F" w:rsidRDefault="0036003F" w:rsidP="0025053A"/>
    <w:p w14:paraId="0FD08832" w14:textId="4A9E3E45" w:rsidR="00EA2097" w:rsidRDefault="004D075B" w:rsidP="0036003F">
      <w:r>
        <w:t xml:space="preserve">The FMCSA’s final rule </w:t>
      </w:r>
      <w:r w:rsidR="008965DF" w:rsidRPr="004D075B">
        <w:rPr>
          <w:i/>
        </w:rPr>
        <w:t xml:space="preserve">The </w:t>
      </w:r>
      <w:r w:rsidR="00D32365" w:rsidRPr="004D075B">
        <w:rPr>
          <w:i/>
        </w:rPr>
        <w:t>Electronic Logging Devices and Hours of Service Supporting Documents;</w:t>
      </w:r>
      <w:r w:rsidR="00D32365">
        <w:t xml:space="preserve"> </w:t>
      </w:r>
      <w:r w:rsidR="00CC0AA4">
        <w:t>(80 FR 78292)</w:t>
      </w:r>
      <w:r w:rsidR="008965DF" w:rsidRPr="00F933E7">
        <w:t xml:space="preserve"> require</w:t>
      </w:r>
      <w:r w:rsidR="007B1315">
        <w:t>s</w:t>
      </w:r>
      <w:r w:rsidR="008965DF" w:rsidRPr="00F933E7">
        <w:t xml:space="preserve"> </w:t>
      </w:r>
      <w:r w:rsidR="00817F19">
        <w:t xml:space="preserve">most </w:t>
      </w:r>
      <w:r w:rsidR="00F075C4">
        <w:t xml:space="preserve">CMV </w:t>
      </w:r>
      <w:r w:rsidR="009C68EC">
        <w:t>drivers to record their duty status</w:t>
      </w:r>
      <w:r w:rsidR="0052101F">
        <w:t xml:space="preserve"> using ELDs</w:t>
      </w:r>
      <w:r w:rsidR="00116BE9">
        <w:t xml:space="preserve"> no later than December 17, 2017</w:t>
      </w:r>
      <w:r w:rsidR="00DE465B">
        <w:t xml:space="preserve"> (49 CFR 395.8(a)(1)(i)</w:t>
      </w:r>
      <w:r w:rsidR="007C0B6D">
        <w:t>)</w:t>
      </w:r>
      <w:r w:rsidR="00DE465B">
        <w:t>. Th</w:t>
      </w:r>
      <w:r w:rsidR="00B20F3A">
        <w:t xml:space="preserve">erefore, this is </w:t>
      </w:r>
      <w:r w:rsidR="00CC0AA4">
        <w:t>the first</w:t>
      </w:r>
      <w:r w:rsidR="00B718E7">
        <w:t xml:space="preserve"> request for the </w:t>
      </w:r>
      <w:r w:rsidR="00CC0AA4">
        <w:t>HOS</w:t>
      </w:r>
      <w:r w:rsidR="00BA458E">
        <w:t xml:space="preserve"> ICR </w:t>
      </w:r>
      <w:r w:rsidR="00B718E7">
        <w:t xml:space="preserve">in which </w:t>
      </w:r>
      <w:r w:rsidR="00CC0AA4">
        <w:t>the burden</w:t>
      </w:r>
      <w:r w:rsidR="00CD56F6">
        <w:t xml:space="preserve"> </w:t>
      </w:r>
      <w:r w:rsidR="002D15F6">
        <w:t xml:space="preserve">hours </w:t>
      </w:r>
      <w:r w:rsidR="00CD56F6">
        <w:t>estimate for drivers and motor carriers i</w:t>
      </w:r>
      <w:r w:rsidR="00CC0AA4">
        <w:t xml:space="preserve">s based on </w:t>
      </w:r>
      <w:r w:rsidR="00B20F3A">
        <w:t>100 percent compliance with the ELD rule</w:t>
      </w:r>
      <w:r w:rsidR="009C0273">
        <w:t xml:space="preserve"> </w:t>
      </w:r>
      <w:r w:rsidR="00B20F3A">
        <w:t xml:space="preserve">for the </w:t>
      </w:r>
      <w:r w:rsidR="00DE465B">
        <w:t xml:space="preserve">entire </w:t>
      </w:r>
      <w:r w:rsidR="007B2BEC">
        <w:t>three-year</w:t>
      </w:r>
      <w:r w:rsidR="00BA458E">
        <w:t xml:space="preserve"> ICR </w:t>
      </w:r>
      <w:r w:rsidR="00F22AC5">
        <w:t xml:space="preserve">collection </w:t>
      </w:r>
      <w:r w:rsidR="00B718E7">
        <w:t>period</w:t>
      </w:r>
      <w:r w:rsidR="0075020B">
        <w:t xml:space="preserve"> for those drivers that do not have either short-haul exemption</w:t>
      </w:r>
      <w:r w:rsidR="00EA2097">
        <w:t>s</w:t>
      </w:r>
      <w:r w:rsidR="0075020B">
        <w:t xml:space="preserve"> or are performing exempt activities under 49 CFR 395.8(a)(1)(iii)(A)(</w:t>
      </w:r>
      <w:r w:rsidR="0075020B">
        <w:rPr>
          <w:i/>
        </w:rPr>
        <w:t>1</w:t>
      </w:r>
      <w:r w:rsidR="0075020B">
        <w:t xml:space="preserve">). </w:t>
      </w:r>
      <w:r w:rsidR="00075374">
        <w:t xml:space="preserve">The Agency estimates </w:t>
      </w:r>
      <w:r w:rsidR="00F22AC5">
        <w:t xml:space="preserve">a three-year </w:t>
      </w:r>
      <w:r w:rsidR="00075374">
        <w:t xml:space="preserve">average paperwork burden </w:t>
      </w:r>
      <w:r w:rsidR="00F22AC5">
        <w:t>based on a three-year average of the estimated driver population operating ELD-equipped CMVs</w:t>
      </w:r>
      <w:r w:rsidR="00834630">
        <w:t xml:space="preserve"> </w:t>
      </w:r>
      <w:r w:rsidR="00F22AC5">
        <w:t xml:space="preserve">from 2019 through 2021. </w:t>
      </w:r>
    </w:p>
    <w:p w14:paraId="66DAFF21" w14:textId="77777777" w:rsidR="00676C6F" w:rsidRDefault="00676C6F" w:rsidP="0036003F"/>
    <w:p w14:paraId="7A7A72F2" w14:textId="77777777" w:rsidR="00676C6F" w:rsidRDefault="00676C6F" w:rsidP="00676C6F">
      <w:r>
        <w:rPr>
          <w:i/>
        </w:rPr>
        <w:t xml:space="preserve">Driver and Motor Carrier </w:t>
      </w:r>
      <w:r w:rsidRPr="00AA1C79">
        <w:rPr>
          <w:i/>
        </w:rPr>
        <w:t xml:space="preserve">Information-Collection Tasks </w:t>
      </w:r>
      <w:r>
        <w:rPr>
          <w:i/>
        </w:rPr>
        <w:t xml:space="preserve">and Estimated HOS Rule Burden Hours </w:t>
      </w:r>
    </w:p>
    <w:p w14:paraId="4698A593" w14:textId="77777777" w:rsidR="00676C6F" w:rsidRDefault="00676C6F" w:rsidP="00676C6F"/>
    <w:p w14:paraId="6914D563" w14:textId="1B4CDA17" w:rsidR="00676C6F" w:rsidRDefault="00676C6F" w:rsidP="00676C6F">
      <w:r>
        <w:t>Table 1 summarizes the scope of the tasks by drivers before and after the compliance dat</w:t>
      </w:r>
      <w:r w:rsidR="00A40482">
        <w:t>e</w:t>
      </w:r>
      <w:r>
        <w:t xml:space="preserve"> of the ELD rule. Prior to the ELD rule compliance date, driver tasks consisted of filling out RODS</w:t>
      </w:r>
      <w:r w:rsidR="00A40482">
        <w:t xml:space="preserve"> (driver Task 1)</w:t>
      </w:r>
      <w:r>
        <w:t>, forwarding RODS to the motor carrier</w:t>
      </w:r>
      <w:r w:rsidR="00A40482">
        <w:t xml:space="preserve"> (driver Task 2)</w:t>
      </w:r>
      <w:r>
        <w:t xml:space="preserve"> and forwarding supporting documents to the motor carrier</w:t>
      </w:r>
      <w:r w:rsidR="00A40482">
        <w:t xml:space="preserve"> (driver Task 3)</w:t>
      </w:r>
      <w:r>
        <w:t>. ELDs reduce the time required to complete RODS</w:t>
      </w:r>
      <w:r w:rsidR="002F66AC">
        <w:t xml:space="preserve"> daily</w:t>
      </w:r>
      <w:r>
        <w:t xml:space="preserve"> from 6.5 minutes to 2 minutes. The 5 minutes required for drivers to forward their paper RODS to motor carriers is eliminated because the ELD performs this function. The time required for drivers to forward </w:t>
      </w:r>
      <w:r w:rsidR="006841B2">
        <w:t>supporting</w:t>
      </w:r>
      <w:r>
        <w:t xml:space="preserve"> documents to motor carriers is not included in the estimate of burden hours</w:t>
      </w:r>
      <w:r w:rsidR="0009706B">
        <w:t>, consistent with the currently approved IC</w:t>
      </w:r>
      <w:r w:rsidR="00B82DAE">
        <w:t>R</w:t>
      </w:r>
      <w:r w:rsidR="0009706B">
        <w:t>.</w:t>
      </w:r>
    </w:p>
    <w:p w14:paraId="5F4B20C3" w14:textId="77777777" w:rsidR="0024594C" w:rsidRDefault="0024594C" w:rsidP="00676C6F"/>
    <w:tbl>
      <w:tblPr>
        <w:tblpPr w:leftFromText="3024" w:rightFromText="3024" w:topFromText="288" w:bottomFromText="288" w:vertAnchor="text" w:horzAnchor="page" w:tblpX="1435" w:tblpY="18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1861"/>
        <w:gridCol w:w="1896"/>
        <w:gridCol w:w="3112"/>
      </w:tblGrid>
      <w:tr w:rsidR="00676C6F" w:rsidRPr="004D7604" w:rsidDel="002932BD" w14:paraId="180E3AD1" w14:textId="77777777" w:rsidTr="006C26B6">
        <w:trPr>
          <w:trHeight w:val="315"/>
        </w:trPr>
        <w:tc>
          <w:tcPr>
            <w:tcW w:w="9720" w:type="dxa"/>
            <w:gridSpan w:val="4"/>
            <w:tcBorders>
              <w:top w:val="nil"/>
              <w:left w:val="nil"/>
              <w:right w:val="nil"/>
            </w:tcBorders>
            <w:shd w:val="clear" w:color="auto" w:fill="auto"/>
            <w:vAlign w:val="bottom"/>
          </w:tcPr>
          <w:p w14:paraId="6034C4F6" w14:textId="77777777" w:rsidR="00676C6F" w:rsidRPr="004D7604" w:rsidRDefault="00676C6F" w:rsidP="00F648E9">
            <w:pPr>
              <w:jc w:val="center"/>
              <w:rPr>
                <w:b/>
                <w:bCs/>
                <w:color w:val="000000"/>
                <w:sz w:val="20"/>
                <w:szCs w:val="20"/>
              </w:rPr>
            </w:pPr>
            <w:r w:rsidRPr="004D7604">
              <w:rPr>
                <w:b/>
                <w:bCs/>
                <w:color w:val="000000"/>
                <w:sz w:val="20"/>
                <w:szCs w:val="20"/>
              </w:rPr>
              <w:t>Table 1</w:t>
            </w:r>
          </w:p>
          <w:p w14:paraId="6374EF53" w14:textId="77777777" w:rsidR="00676C6F" w:rsidRPr="004D7604" w:rsidDel="002932BD" w:rsidRDefault="00676C6F" w:rsidP="00F648E9">
            <w:pPr>
              <w:jc w:val="center"/>
              <w:rPr>
                <w:b/>
                <w:bCs/>
                <w:color w:val="000000"/>
                <w:sz w:val="20"/>
                <w:szCs w:val="20"/>
              </w:rPr>
            </w:pPr>
            <w:r w:rsidRPr="004D7604">
              <w:rPr>
                <w:b/>
                <w:bCs/>
                <w:color w:val="000000"/>
                <w:sz w:val="20"/>
                <w:szCs w:val="20"/>
              </w:rPr>
              <w:t>Driver HOS Information Collection Tasks Before and After ELD Rule</w:t>
            </w:r>
          </w:p>
        </w:tc>
      </w:tr>
      <w:tr w:rsidR="00676C6F" w:rsidRPr="004D7604" w:rsidDel="002932BD" w14:paraId="7682D69B" w14:textId="77777777" w:rsidTr="006C26B6">
        <w:trPr>
          <w:trHeight w:val="315"/>
        </w:trPr>
        <w:tc>
          <w:tcPr>
            <w:tcW w:w="2851" w:type="dxa"/>
            <w:shd w:val="clear" w:color="auto" w:fill="D9D9D9" w:themeFill="background1" w:themeFillShade="D9"/>
            <w:vAlign w:val="bottom"/>
          </w:tcPr>
          <w:p w14:paraId="74F31A78" w14:textId="77777777" w:rsidR="00676C6F" w:rsidRPr="004D7604" w:rsidDel="002932BD" w:rsidRDefault="00676C6F" w:rsidP="00F648E9">
            <w:pPr>
              <w:jc w:val="center"/>
              <w:rPr>
                <w:b/>
                <w:bCs/>
                <w:color w:val="000000"/>
                <w:sz w:val="20"/>
                <w:szCs w:val="20"/>
              </w:rPr>
            </w:pPr>
            <w:r w:rsidRPr="004D7604" w:rsidDel="002932BD">
              <w:rPr>
                <w:b/>
                <w:bCs/>
                <w:color w:val="000000"/>
                <w:sz w:val="20"/>
                <w:szCs w:val="20"/>
              </w:rPr>
              <w:t>IC</w:t>
            </w:r>
            <w:r w:rsidR="00B82DAE" w:rsidRPr="004D7604">
              <w:rPr>
                <w:b/>
                <w:bCs/>
                <w:color w:val="000000"/>
                <w:sz w:val="20"/>
                <w:szCs w:val="20"/>
              </w:rPr>
              <w:t>R</w:t>
            </w:r>
            <w:r w:rsidRPr="004D7604" w:rsidDel="002932BD">
              <w:rPr>
                <w:b/>
                <w:bCs/>
                <w:color w:val="000000"/>
                <w:sz w:val="20"/>
                <w:szCs w:val="20"/>
              </w:rPr>
              <w:t xml:space="preserve"> Period</w:t>
            </w:r>
          </w:p>
        </w:tc>
        <w:tc>
          <w:tcPr>
            <w:tcW w:w="1861" w:type="dxa"/>
            <w:shd w:val="clear" w:color="auto" w:fill="D9D9D9" w:themeFill="background1" w:themeFillShade="D9"/>
            <w:vAlign w:val="bottom"/>
            <w:hideMark/>
          </w:tcPr>
          <w:p w14:paraId="2D4B76CA" w14:textId="77777777" w:rsidR="00676C6F" w:rsidRPr="004D7604" w:rsidDel="002932BD" w:rsidRDefault="00676C6F" w:rsidP="00F648E9">
            <w:pPr>
              <w:jc w:val="center"/>
              <w:rPr>
                <w:b/>
                <w:bCs/>
                <w:color w:val="000000"/>
                <w:sz w:val="20"/>
                <w:szCs w:val="20"/>
              </w:rPr>
            </w:pPr>
            <w:r w:rsidRPr="004D7604" w:rsidDel="002932BD">
              <w:rPr>
                <w:b/>
                <w:bCs/>
                <w:color w:val="000000"/>
                <w:sz w:val="20"/>
                <w:szCs w:val="20"/>
              </w:rPr>
              <w:t xml:space="preserve">Task 1 </w:t>
            </w:r>
          </w:p>
          <w:p w14:paraId="4318ED56" w14:textId="77777777" w:rsidR="00676C6F" w:rsidRPr="004D7604" w:rsidDel="002932BD" w:rsidRDefault="00676C6F" w:rsidP="00F648E9">
            <w:pPr>
              <w:jc w:val="center"/>
              <w:rPr>
                <w:b/>
                <w:bCs/>
                <w:color w:val="000000"/>
                <w:sz w:val="20"/>
                <w:szCs w:val="20"/>
              </w:rPr>
            </w:pPr>
            <w:r w:rsidRPr="004D7604" w:rsidDel="002932BD">
              <w:rPr>
                <w:b/>
                <w:color w:val="000000"/>
                <w:sz w:val="20"/>
                <w:szCs w:val="20"/>
              </w:rPr>
              <w:t>Filling Out RODS</w:t>
            </w:r>
            <w:r w:rsidRPr="004D7604" w:rsidDel="002932BD">
              <w:rPr>
                <w:b/>
                <w:bCs/>
                <w:color w:val="000000"/>
                <w:sz w:val="20"/>
                <w:szCs w:val="20"/>
              </w:rPr>
              <w:t xml:space="preserve"> </w:t>
            </w:r>
          </w:p>
        </w:tc>
        <w:tc>
          <w:tcPr>
            <w:tcW w:w="1896" w:type="dxa"/>
            <w:shd w:val="clear" w:color="auto" w:fill="D9D9D9" w:themeFill="background1" w:themeFillShade="D9"/>
            <w:vAlign w:val="bottom"/>
            <w:hideMark/>
          </w:tcPr>
          <w:p w14:paraId="2E55E0CC" w14:textId="77777777" w:rsidR="00676C6F" w:rsidRPr="004D7604" w:rsidDel="002932BD" w:rsidRDefault="00676C6F" w:rsidP="00F648E9">
            <w:pPr>
              <w:jc w:val="center"/>
              <w:rPr>
                <w:b/>
                <w:bCs/>
                <w:color w:val="000000"/>
                <w:sz w:val="20"/>
                <w:szCs w:val="20"/>
              </w:rPr>
            </w:pPr>
            <w:r w:rsidRPr="004D7604" w:rsidDel="002932BD">
              <w:rPr>
                <w:b/>
                <w:bCs/>
                <w:color w:val="000000"/>
                <w:sz w:val="20"/>
                <w:szCs w:val="20"/>
              </w:rPr>
              <w:t>Task 2</w:t>
            </w:r>
          </w:p>
          <w:p w14:paraId="2F9DC2CF" w14:textId="77777777" w:rsidR="00676C6F" w:rsidRPr="004D7604" w:rsidDel="002932BD" w:rsidRDefault="00676C6F" w:rsidP="00F648E9">
            <w:pPr>
              <w:jc w:val="center"/>
              <w:rPr>
                <w:b/>
                <w:bCs/>
                <w:color w:val="000000"/>
                <w:sz w:val="20"/>
                <w:szCs w:val="20"/>
              </w:rPr>
            </w:pPr>
            <w:r w:rsidRPr="004D7604" w:rsidDel="002932BD">
              <w:rPr>
                <w:b/>
                <w:color w:val="000000"/>
                <w:sz w:val="20"/>
                <w:szCs w:val="20"/>
              </w:rPr>
              <w:t xml:space="preserve"> Forwarding RODS to the Motor Carrier</w:t>
            </w:r>
          </w:p>
        </w:tc>
        <w:tc>
          <w:tcPr>
            <w:tcW w:w="3112" w:type="dxa"/>
            <w:shd w:val="clear" w:color="auto" w:fill="D9D9D9" w:themeFill="background1" w:themeFillShade="D9"/>
            <w:vAlign w:val="center"/>
            <w:hideMark/>
          </w:tcPr>
          <w:p w14:paraId="52474ABA" w14:textId="77777777" w:rsidR="00676C6F" w:rsidRPr="004D7604" w:rsidDel="002932BD" w:rsidRDefault="00676C6F" w:rsidP="00F648E9">
            <w:pPr>
              <w:jc w:val="center"/>
              <w:rPr>
                <w:b/>
                <w:bCs/>
                <w:color w:val="000000"/>
                <w:sz w:val="20"/>
                <w:szCs w:val="20"/>
              </w:rPr>
            </w:pPr>
            <w:r w:rsidRPr="004D7604" w:rsidDel="002932BD">
              <w:rPr>
                <w:b/>
                <w:bCs/>
                <w:color w:val="000000"/>
                <w:sz w:val="20"/>
                <w:szCs w:val="20"/>
              </w:rPr>
              <w:t>Task 3</w:t>
            </w:r>
          </w:p>
          <w:p w14:paraId="140A9F02" w14:textId="77777777" w:rsidR="00676C6F" w:rsidRPr="004D7604" w:rsidDel="002932BD" w:rsidRDefault="00676C6F" w:rsidP="00F648E9">
            <w:pPr>
              <w:jc w:val="center"/>
              <w:rPr>
                <w:b/>
                <w:bCs/>
                <w:color w:val="000000"/>
                <w:sz w:val="20"/>
                <w:szCs w:val="20"/>
              </w:rPr>
            </w:pPr>
            <w:r w:rsidRPr="004D7604" w:rsidDel="002932BD">
              <w:rPr>
                <w:b/>
                <w:color w:val="000000"/>
                <w:sz w:val="20"/>
                <w:szCs w:val="20"/>
              </w:rPr>
              <w:t xml:space="preserve"> Forwarding Supporting Documents to the Motor Carrier</w:t>
            </w:r>
          </w:p>
        </w:tc>
      </w:tr>
      <w:tr w:rsidR="00676C6F" w:rsidRPr="004D7604" w:rsidDel="002932BD" w14:paraId="026FE805" w14:textId="77777777" w:rsidTr="006C26B6">
        <w:trPr>
          <w:trHeight w:hRule="exact" w:val="1008"/>
        </w:trPr>
        <w:tc>
          <w:tcPr>
            <w:tcW w:w="2851" w:type="dxa"/>
            <w:vAlign w:val="center"/>
          </w:tcPr>
          <w:p w14:paraId="146FF212" w14:textId="77777777" w:rsidR="00676C6F" w:rsidRPr="004D7604" w:rsidDel="002932BD" w:rsidRDefault="00676C6F" w:rsidP="00F648E9">
            <w:pPr>
              <w:jc w:val="center"/>
              <w:rPr>
                <w:b/>
                <w:color w:val="000000"/>
                <w:sz w:val="20"/>
                <w:szCs w:val="20"/>
              </w:rPr>
            </w:pPr>
            <w:r w:rsidRPr="004D7604" w:rsidDel="002932BD">
              <w:rPr>
                <w:b/>
                <w:color w:val="000000"/>
                <w:sz w:val="20"/>
                <w:szCs w:val="20"/>
              </w:rPr>
              <w:t>Pre-ELD</w:t>
            </w:r>
          </w:p>
        </w:tc>
        <w:tc>
          <w:tcPr>
            <w:tcW w:w="1861" w:type="dxa"/>
            <w:shd w:val="clear" w:color="auto" w:fill="auto"/>
            <w:vAlign w:val="center"/>
          </w:tcPr>
          <w:p w14:paraId="25A65676" w14:textId="77777777" w:rsidR="00676C6F" w:rsidRPr="004D7604" w:rsidDel="002932BD" w:rsidRDefault="00676C6F" w:rsidP="00F648E9">
            <w:pPr>
              <w:rPr>
                <w:color w:val="000000"/>
                <w:sz w:val="20"/>
                <w:szCs w:val="20"/>
              </w:rPr>
            </w:pPr>
            <w:r w:rsidRPr="004D7604" w:rsidDel="002932BD">
              <w:rPr>
                <w:color w:val="000000"/>
                <w:sz w:val="20"/>
                <w:szCs w:val="20"/>
              </w:rPr>
              <w:t>6.5 minutes for paper RODS</w:t>
            </w:r>
          </w:p>
          <w:p w14:paraId="794FB000" w14:textId="77777777" w:rsidR="00676C6F" w:rsidRPr="004D7604" w:rsidDel="002932BD" w:rsidRDefault="00676C6F" w:rsidP="00F648E9">
            <w:pPr>
              <w:jc w:val="center"/>
              <w:rPr>
                <w:color w:val="000000"/>
                <w:sz w:val="20"/>
                <w:szCs w:val="20"/>
              </w:rPr>
            </w:pPr>
          </w:p>
        </w:tc>
        <w:tc>
          <w:tcPr>
            <w:tcW w:w="1896" w:type="dxa"/>
            <w:shd w:val="clear" w:color="auto" w:fill="auto"/>
            <w:vAlign w:val="center"/>
          </w:tcPr>
          <w:p w14:paraId="011FE69E" w14:textId="77777777" w:rsidR="00676C6F" w:rsidRPr="004D7604" w:rsidDel="002932BD" w:rsidRDefault="00676C6F" w:rsidP="00F648E9">
            <w:pPr>
              <w:rPr>
                <w:color w:val="000000"/>
                <w:sz w:val="20"/>
                <w:szCs w:val="20"/>
              </w:rPr>
            </w:pPr>
            <w:r w:rsidRPr="004D7604" w:rsidDel="002932BD">
              <w:rPr>
                <w:color w:val="000000"/>
                <w:sz w:val="20"/>
                <w:szCs w:val="20"/>
              </w:rPr>
              <w:t>5 minutes for paper RODS</w:t>
            </w:r>
          </w:p>
          <w:p w14:paraId="3FDEDD31" w14:textId="77777777" w:rsidR="00676C6F" w:rsidRPr="004D7604" w:rsidDel="002932BD" w:rsidRDefault="00676C6F" w:rsidP="00F648E9">
            <w:pPr>
              <w:jc w:val="center"/>
              <w:rPr>
                <w:color w:val="000000"/>
                <w:sz w:val="20"/>
                <w:szCs w:val="20"/>
              </w:rPr>
            </w:pPr>
          </w:p>
        </w:tc>
        <w:tc>
          <w:tcPr>
            <w:tcW w:w="3112" w:type="dxa"/>
            <w:shd w:val="clear" w:color="auto" w:fill="auto"/>
            <w:vAlign w:val="center"/>
          </w:tcPr>
          <w:p w14:paraId="63D87791" w14:textId="77777777" w:rsidR="00676C6F" w:rsidRPr="004D7604" w:rsidDel="002932BD" w:rsidRDefault="00676C6F" w:rsidP="00F648E9">
            <w:pPr>
              <w:rPr>
                <w:color w:val="000000"/>
                <w:sz w:val="20"/>
                <w:szCs w:val="20"/>
              </w:rPr>
            </w:pPr>
            <w:r w:rsidRPr="004D7604" w:rsidDel="002932BD">
              <w:rPr>
                <w:color w:val="000000"/>
                <w:sz w:val="20"/>
                <w:szCs w:val="20"/>
              </w:rPr>
              <w:t xml:space="preserve">Excluded as a usual and customary activity per </w:t>
            </w:r>
            <w:r w:rsidRPr="004D7604" w:rsidDel="002932BD">
              <w:rPr>
                <w:color w:val="000000"/>
                <w:sz w:val="20"/>
                <w:szCs w:val="20"/>
              </w:rPr>
              <w:br/>
              <w:t>5 CFR 1320.3(b)(2)</w:t>
            </w:r>
          </w:p>
        </w:tc>
      </w:tr>
      <w:tr w:rsidR="00676C6F" w:rsidRPr="004D7604" w:rsidDel="002932BD" w14:paraId="040C750D" w14:textId="77777777" w:rsidTr="000A15F1">
        <w:trPr>
          <w:trHeight w:hRule="exact" w:val="1296"/>
        </w:trPr>
        <w:tc>
          <w:tcPr>
            <w:tcW w:w="2851" w:type="dxa"/>
            <w:tcBorders>
              <w:bottom w:val="single" w:sz="4" w:space="0" w:color="auto"/>
            </w:tcBorders>
            <w:vAlign w:val="center"/>
          </w:tcPr>
          <w:p w14:paraId="1A24C257" w14:textId="77777777" w:rsidR="00676C6F" w:rsidRPr="004D7604" w:rsidDel="002932BD" w:rsidRDefault="00676C6F" w:rsidP="00F648E9">
            <w:pPr>
              <w:jc w:val="center"/>
              <w:rPr>
                <w:b/>
                <w:color w:val="000000"/>
                <w:sz w:val="20"/>
                <w:szCs w:val="20"/>
              </w:rPr>
            </w:pPr>
            <w:r w:rsidRPr="004D7604" w:rsidDel="002932BD">
              <w:rPr>
                <w:b/>
                <w:color w:val="000000"/>
                <w:sz w:val="20"/>
                <w:szCs w:val="20"/>
              </w:rPr>
              <w:t>Post-ELD</w:t>
            </w:r>
          </w:p>
        </w:tc>
        <w:tc>
          <w:tcPr>
            <w:tcW w:w="1861" w:type="dxa"/>
            <w:tcBorders>
              <w:bottom w:val="single" w:sz="4" w:space="0" w:color="auto"/>
            </w:tcBorders>
            <w:shd w:val="clear" w:color="auto" w:fill="auto"/>
            <w:vAlign w:val="center"/>
          </w:tcPr>
          <w:p w14:paraId="0F4031C4" w14:textId="77777777" w:rsidR="00676C6F" w:rsidRPr="004D7604" w:rsidDel="002932BD" w:rsidRDefault="00676C6F" w:rsidP="00F648E9">
            <w:pPr>
              <w:rPr>
                <w:color w:val="000000"/>
                <w:sz w:val="20"/>
                <w:szCs w:val="20"/>
              </w:rPr>
            </w:pPr>
            <w:r w:rsidRPr="004D7604" w:rsidDel="002932BD">
              <w:rPr>
                <w:color w:val="000000"/>
                <w:sz w:val="20"/>
                <w:szCs w:val="20"/>
              </w:rPr>
              <w:t>2 minutes for electronic RODS</w:t>
            </w:r>
          </w:p>
        </w:tc>
        <w:tc>
          <w:tcPr>
            <w:tcW w:w="1896" w:type="dxa"/>
            <w:tcBorders>
              <w:bottom w:val="single" w:sz="4" w:space="0" w:color="auto"/>
            </w:tcBorders>
            <w:shd w:val="clear" w:color="auto" w:fill="auto"/>
            <w:vAlign w:val="center"/>
          </w:tcPr>
          <w:p w14:paraId="2CC1F27D" w14:textId="32A58E8A" w:rsidR="00676C6F" w:rsidRPr="000A15F1" w:rsidDel="002932BD" w:rsidRDefault="00676C6F" w:rsidP="00F648E9">
            <w:pPr>
              <w:rPr>
                <w:color w:val="000000"/>
                <w:sz w:val="20"/>
                <w:szCs w:val="20"/>
                <w:vertAlign w:val="superscript"/>
              </w:rPr>
            </w:pPr>
            <w:r w:rsidRPr="004D7604" w:rsidDel="002932BD">
              <w:rPr>
                <w:color w:val="000000"/>
                <w:sz w:val="20"/>
                <w:szCs w:val="20"/>
              </w:rPr>
              <w:t xml:space="preserve">Task </w:t>
            </w:r>
            <w:r w:rsidR="004D7604" w:rsidRPr="004D7604">
              <w:rPr>
                <w:color w:val="000000"/>
                <w:sz w:val="20"/>
                <w:szCs w:val="20"/>
              </w:rPr>
              <w:t>e</w:t>
            </w:r>
            <w:r w:rsidRPr="004D7604" w:rsidDel="002932BD">
              <w:rPr>
                <w:color w:val="000000"/>
                <w:sz w:val="20"/>
                <w:szCs w:val="20"/>
              </w:rPr>
              <w:t>liminated by ELD</w:t>
            </w:r>
            <w:r w:rsidR="004D7604" w:rsidRPr="004D7604">
              <w:rPr>
                <w:color w:val="000000"/>
                <w:sz w:val="20"/>
                <w:szCs w:val="20"/>
              </w:rPr>
              <w:t xml:space="preserve">, or otherwise </w:t>
            </w:r>
            <w:r w:rsidR="00022790" w:rsidRPr="004D7604">
              <w:rPr>
                <w:color w:val="000000"/>
                <w:sz w:val="20"/>
                <w:szCs w:val="20"/>
              </w:rPr>
              <w:t>d</w:t>
            </w:r>
            <w:r w:rsidR="00AB47CA">
              <w:rPr>
                <w:color w:val="000000"/>
                <w:sz w:val="20"/>
                <w:szCs w:val="20"/>
              </w:rPr>
              <w:t xml:space="preserve">e </w:t>
            </w:r>
            <w:r w:rsidR="00022790" w:rsidRPr="004D7604">
              <w:rPr>
                <w:color w:val="000000"/>
                <w:sz w:val="20"/>
                <w:szCs w:val="20"/>
              </w:rPr>
              <w:t>min</w:t>
            </w:r>
            <w:r w:rsidR="00AB47CA">
              <w:rPr>
                <w:color w:val="000000"/>
                <w:sz w:val="20"/>
                <w:szCs w:val="20"/>
              </w:rPr>
              <w:t>im</w:t>
            </w:r>
            <w:r w:rsidR="00022790" w:rsidRPr="004D7604">
              <w:rPr>
                <w:color w:val="000000"/>
                <w:sz w:val="20"/>
                <w:szCs w:val="20"/>
              </w:rPr>
              <w:t>is</w:t>
            </w:r>
            <w:r w:rsidR="00022790" w:rsidRPr="004D7604">
              <w:rPr>
                <w:color w:val="000000"/>
                <w:sz w:val="20"/>
                <w:szCs w:val="20"/>
                <w:vertAlign w:val="superscript"/>
              </w:rPr>
              <w:t>(</w:t>
            </w:r>
            <w:r w:rsidR="004D7604" w:rsidRPr="004D7604">
              <w:rPr>
                <w:color w:val="000000"/>
                <w:sz w:val="20"/>
                <w:szCs w:val="20"/>
                <w:vertAlign w:val="superscript"/>
              </w:rPr>
              <w:t>a)</w:t>
            </w:r>
          </w:p>
        </w:tc>
        <w:tc>
          <w:tcPr>
            <w:tcW w:w="3112" w:type="dxa"/>
            <w:tcBorders>
              <w:bottom w:val="single" w:sz="4" w:space="0" w:color="auto"/>
            </w:tcBorders>
            <w:shd w:val="clear" w:color="auto" w:fill="auto"/>
            <w:vAlign w:val="center"/>
          </w:tcPr>
          <w:p w14:paraId="2780676C" w14:textId="77777777" w:rsidR="00676C6F" w:rsidRPr="004D7604" w:rsidDel="002932BD" w:rsidRDefault="00676C6F" w:rsidP="00F648E9">
            <w:pPr>
              <w:rPr>
                <w:color w:val="000000"/>
                <w:sz w:val="20"/>
                <w:szCs w:val="20"/>
              </w:rPr>
            </w:pPr>
            <w:r w:rsidRPr="004D7604" w:rsidDel="002932BD">
              <w:rPr>
                <w:color w:val="000000"/>
                <w:sz w:val="20"/>
                <w:szCs w:val="20"/>
              </w:rPr>
              <w:t>Excluded as a usual and customary activity per 5 CFR 1320.3(b)(2)</w:t>
            </w:r>
          </w:p>
        </w:tc>
      </w:tr>
      <w:tr w:rsidR="004D7604" w:rsidRPr="004D7604" w:rsidDel="002932BD" w14:paraId="01079E42" w14:textId="77777777" w:rsidTr="000A15F1">
        <w:trPr>
          <w:trHeight w:hRule="exact" w:val="576"/>
        </w:trPr>
        <w:tc>
          <w:tcPr>
            <w:tcW w:w="9720" w:type="dxa"/>
            <w:gridSpan w:val="4"/>
            <w:tcBorders>
              <w:left w:val="nil"/>
              <w:bottom w:val="nil"/>
              <w:right w:val="nil"/>
            </w:tcBorders>
            <w:vAlign w:val="center"/>
          </w:tcPr>
          <w:p w14:paraId="33FCB710" w14:textId="6F32E26B" w:rsidR="004D7604" w:rsidRPr="004D7604" w:rsidDel="002932BD" w:rsidRDefault="004D7604" w:rsidP="00F648E9">
            <w:pPr>
              <w:rPr>
                <w:color w:val="000000"/>
                <w:sz w:val="20"/>
                <w:szCs w:val="20"/>
              </w:rPr>
            </w:pPr>
            <w:r w:rsidRPr="004D7604">
              <w:rPr>
                <w:color w:val="000000"/>
                <w:sz w:val="20"/>
                <w:szCs w:val="20"/>
                <w:vertAlign w:val="superscript"/>
              </w:rPr>
              <w:t xml:space="preserve">(a) </w:t>
            </w:r>
            <w:r w:rsidRPr="004D7604">
              <w:rPr>
                <w:color w:val="000000"/>
                <w:sz w:val="20"/>
                <w:szCs w:val="20"/>
              </w:rPr>
              <w:t xml:space="preserve">The </w:t>
            </w:r>
            <w:r w:rsidRPr="00BA67CC">
              <w:rPr>
                <w:color w:val="000000"/>
                <w:sz w:val="20"/>
                <w:szCs w:val="20"/>
              </w:rPr>
              <w:t>Agency is aware that some ELDs may not automatically forward electronic RODS to motor carriers. The Agency believes the time required for this task is de minim</w:t>
            </w:r>
            <w:r w:rsidR="00AB47CA" w:rsidRPr="00BA67CC">
              <w:rPr>
                <w:color w:val="000000"/>
                <w:sz w:val="20"/>
                <w:szCs w:val="20"/>
              </w:rPr>
              <w:t>i</w:t>
            </w:r>
            <w:r w:rsidRPr="00BA67CC">
              <w:rPr>
                <w:color w:val="000000"/>
                <w:sz w:val="20"/>
                <w:szCs w:val="20"/>
              </w:rPr>
              <w:t>s.</w:t>
            </w:r>
          </w:p>
        </w:tc>
      </w:tr>
    </w:tbl>
    <w:p w14:paraId="4E145291" w14:textId="77777777" w:rsidR="000A15F1" w:rsidRDefault="005C4D64" w:rsidP="00676C6F">
      <w:r>
        <w:t>For this</w:t>
      </w:r>
      <w:r w:rsidR="0024594C">
        <w:t xml:space="preserve"> IC</w:t>
      </w:r>
      <w:r w:rsidR="003D301A">
        <w:t>R</w:t>
      </w:r>
      <w:r w:rsidR="00573188">
        <w:t>, like the currently approved IC</w:t>
      </w:r>
      <w:r w:rsidR="00B82DAE">
        <w:t>R</w:t>
      </w:r>
      <w:r w:rsidR="00573188">
        <w:t>,</w:t>
      </w:r>
      <w:r>
        <w:t xml:space="preserve"> the Agency believes that the drivers</w:t>
      </w:r>
      <w:r w:rsidR="00573188">
        <w:t>’</w:t>
      </w:r>
      <w:r>
        <w:t xml:space="preserve"> </w:t>
      </w:r>
      <w:r w:rsidR="00573188">
        <w:t xml:space="preserve">Task 3 </w:t>
      </w:r>
      <w:r>
        <w:t xml:space="preserve">burden </w:t>
      </w:r>
      <w:r w:rsidR="00573188">
        <w:t xml:space="preserve">hours </w:t>
      </w:r>
      <w:r w:rsidR="002D15F6">
        <w:t xml:space="preserve">associated </w:t>
      </w:r>
      <w:r>
        <w:t>with</w:t>
      </w:r>
      <w:r w:rsidR="00676C6F">
        <w:t xml:space="preserve"> forwarding the supporting documents </w:t>
      </w:r>
      <w:r w:rsidR="0024594C">
        <w:t xml:space="preserve">to motor carriers </w:t>
      </w:r>
      <w:r w:rsidR="00676C6F">
        <w:t xml:space="preserve">should be excluded from the burden hours </w:t>
      </w:r>
      <w:r w:rsidR="0024594C">
        <w:t xml:space="preserve">because </w:t>
      </w:r>
      <w:r w:rsidR="00D44814">
        <w:t xml:space="preserve">the document forwarding is </w:t>
      </w:r>
      <w:r w:rsidR="001C160E">
        <w:t>a “</w:t>
      </w:r>
      <w:r w:rsidR="00676C6F">
        <w:t xml:space="preserve">usual and customary” activity. </w:t>
      </w:r>
      <w:r w:rsidR="0024594C">
        <w:t xml:space="preserve">The Paperwork Reduction Act regulations at </w:t>
      </w:r>
      <w:r w:rsidR="00676C6F">
        <w:t xml:space="preserve">5 CFR 1320.3(b)(2) (Attachment </w:t>
      </w:r>
      <w:r w:rsidR="0024594C">
        <w:t>S</w:t>
      </w:r>
      <w:r w:rsidR="00676C6F">
        <w:t>) states as follows:</w:t>
      </w:r>
    </w:p>
    <w:p w14:paraId="6CF32CE4" w14:textId="2D3E6779" w:rsidR="00676C6F" w:rsidRDefault="00676C6F" w:rsidP="00676C6F">
      <w:r>
        <w:t xml:space="preserve"> </w:t>
      </w:r>
    </w:p>
    <w:p w14:paraId="480E175F" w14:textId="77777777" w:rsidR="00676C6F" w:rsidRDefault="00676C6F" w:rsidP="00676C6F">
      <w:pPr>
        <w:ind w:left="720" w:right="1440"/>
        <w:jc w:val="both"/>
      </w:pPr>
      <w:r>
        <w:t xml:space="preserve">“the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w:t>
      </w:r>
    </w:p>
    <w:p w14:paraId="5FA36AC1" w14:textId="145A05FF" w:rsidR="00676C6F" w:rsidRDefault="00676C6F" w:rsidP="00676C6F">
      <w:pPr>
        <w:ind w:left="720" w:right="720"/>
      </w:pPr>
    </w:p>
    <w:p w14:paraId="1B4366C0" w14:textId="27984191" w:rsidR="00676C6F" w:rsidRDefault="00676C6F" w:rsidP="00676C6F">
      <w:r>
        <w:t xml:space="preserve">The FMCSA believes that CMV drivers would still forward these supporting documents to their employing motor carrier in the absence of the HOS reporting requirement because, as a condition of employment, motor carriers require drivers to maintain and provide these documents.  Motor carriers use these records to satisfy other legal obligations. One example is that motor carriers that itemize allowable expense deductions for Federal income tax purposes retain receipts to document such deductions. In the motor carrier environment, these records include receipts for </w:t>
      </w:r>
      <w:r w:rsidR="005220E2">
        <w:t>fuel</w:t>
      </w:r>
      <w:r>
        <w:t>, lodging, repair, and toll expenses</w:t>
      </w:r>
      <w:r w:rsidR="003D301A">
        <w:t>.</w:t>
      </w:r>
      <w:r w:rsidR="00253514">
        <w:t xml:space="preserve"> These documents must be retained by the motor carrier so that it can substantiate its deductions for business expenses.</w:t>
      </w:r>
      <w:r>
        <w:t xml:space="preserve"> (Motor carriers customarily reimburse their driver-employees for such expenses.) </w:t>
      </w:r>
      <w:r w:rsidR="002D13E9">
        <w:t xml:space="preserve"> The income taxation laws of most </w:t>
      </w:r>
      <w:r>
        <w:t>States also require retention of documents to substantiate deductions from state business income taxes.</w:t>
      </w:r>
    </w:p>
    <w:p w14:paraId="03C9982A" w14:textId="77777777" w:rsidR="00676C6F" w:rsidRDefault="00676C6F" w:rsidP="0036003F"/>
    <w:p w14:paraId="67DF3083" w14:textId="77777777" w:rsidR="008965DF" w:rsidRDefault="008965DF" w:rsidP="008965DF">
      <w:pPr>
        <w:rPr>
          <w:i/>
        </w:rPr>
      </w:pPr>
      <w:r w:rsidRPr="00F73ABA">
        <w:rPr>
          <w:i/>
        </w:rPr>
        <w:t>Population of CMV Driver</w:t>
      </w:r>
      <w:r w:rsidR="007F3058">
        <w:rPr>
          <w:i/>
        </w:rPr>
        <w:t>s Subject to HOS IC</w:t>
      </w:r>
      <w:r w:rsidR="00B82DAE">
        <w:rPr>
          <w:i/>
        </w:rPr>
        <w:t>R</w:t>
      </w:r>
      <w:r w:rsidR="007F3058">
        <w:rPr>
          <w:i/>
        </w:rPr>
        <w:t xml:space="preserve"> Requirements</w:t>
      </w:r>
    </w:p>
    <w:p w14:paraId="785506B3" w14:textId="77777777" w:rsidR="004D21C8" w:rsidRPr="00F73ABA" w:rsidRDefault="004D21C8" w:rsidP="008965DF">
      <w:pPr>
        <w:rPr>
          <w:i/>
        </w:rPr>
      </w:pPr>
    </w:p>
    <w:p w14:paraId="70EEFD8E" w14:textId="4A88BFE7" w:rsidR="006A6295" w:rsidRDefault="00B235AC" w:rsidP="003444E7">
      <w:r w:rsidRPr="00387577">
        <w:t xml:space="preserve">FMCSA </w:t>
      </w:r>
      <w:r w:rsidR="0075020B">
        <w:t>projected</w:t>
      </w:r>
      <w:r w:rsidR="0045062F">
        <w:t xml:space="preserve"> the driver population subject to the ELD requirements of the HOS regulations based on a query of </w:t>
      </w:r>
      <w:r w:rsidR="0045062F" w:rsidRPr="004642F5">
        <w:t>Motor Carrier Management Information System (MCMIS)</w:t>
      </w:r>
      <w:r w:rsidR="0045062F">
        <w:t xml:space="preserve"> on December 27, 2017</w:t>
      </w:r>
      <w:r w:rsidR="0045062F" w:rsidRPr="004642F5">
        <w:t>.</w:t>
      </w:r>
      <w:r w:rsidR="0045062F">
        <w:t xml:space="preserve"> </w:t>
      </w:r>
      <w:r w:rsidR="00343C3A">
        <w:t>On that date</w:t>
      </w:r>
      <w:r w:rsidR="0075020B">
        <w:t>,</w:t>
      </w:r>
      <w:r w:rsidR="00343C3A">
        <w:t xml:space="preserve"> the total driver population was estimated at 6.32 million and the number of drivers with short-haul ex</w:t>
      </w:r>
      <w:r w:rsidR="00C13423">
        <w:t>ceptions</w:t>
      </w:r>
      <w:r w:rsidR="00343C3A">
        <w:t xml:space="preserve"> was estimated at 2.96 million. </w:t>
      </w:r>
      <w:r w:rsidR="0075020B">
        <w:t xml:space="preserve">Short-haul </w:t>
      </w:r>
      <w:r w:rsidR="00343C3A">
        <w:t xml:space="preserve">drivers </w:t>
      </w:r>
      <w:r w:rsidR="0075020B">
        <w:t xml:space="preserve">are </w:t>
      </w:r>
      <w:r w:rsidR="00343C3A">
        <w:t>excluded from the estimate of burden hours to avoid duplication</w:t>
      </w:r>
      <w:r w:rsidR="0075020B">
        <w:t xml:space="preserve"> of burden hours for short-haul drivers that maintain time cards pursuant to </w:t>
      </w:r>
      <w:r w:rsidR="00343C3A">
        <w:t xml:space="preserve">Department of Labor regulations. Thus, </w:t>
      </w:r>
      <w:r w:rsidR="0045062F">
        <w:t xml:space="preserve">of the </w:t>
      </w:r>
      <w:r w:rsidR="006D25DD">
        <w:t xml:space="preserve">population of 6.32 million interstate and intrastate drivers on December 27, 2017, </w:t>
      </w:r>
      <w:r w:rsidR="00C47D93">
        <w:t xml:space="preserve">3.36 million drivers </w:t>
      </w:r>
      <w:r w:rsidR="00C13423">
        <w:t xml:space="preserve">were </w:t>
      </w:r>
      <w:r w:rsidR="00D629FA">
        <w:t xml:space="preserve">subject to </w:t>
      </w:r>
      <w:r w:rsidR="000A15F1">
        <w:t>the ELD</w:t>
      </w:r>
      <w:r w:rsidR="00D629FA">
        <w:t xml:space="preserve"> requirements </w:t>
      </w:r>
      <w:r w:rsidR="000A15F1">
        <w:t>of the HOS regulations</w:t>
      </w:r>
      <w:r w:rsidR="00A426A0">
        <w:t xml:space="preserve">. </w:t>
      </w:r>
      <w:r w:rsidR="004855CA">
        <w:t>A</w:t>
      </w:r>
      <w:r w:rsidR="00A426A0">
        <w:t xml:space="preserve"> 0.596 percent </w:t>
      </w:r>
      <w:r w:rsidR="00F4618B">
        <w:t xml:space="preserve">annual </w:t>
      </w:r>
      <w:r w:rsidR="00A426A0">
        <w:t xml:space="preserve">growth rate was applied to the </w:t>
      </w:r>
      <w:r w:rsidR="00F4618B">
        <w:t xml:space="preserve">2017 total </w:t>
      </w:r>
      <w:r w:rsidR="00A426A0">
        <w:t>driver population</w:t>
      </w:r>
      <w:r w:rsidR="00F4618B">
        <w:t xml:space="preserve"> and 2017 short-haul driver population to estimate the annual and average values for the 2019-2021 projection period. </w:t>
      </w:r>
    </w:p>
    <w:p w14:paraId="1B822C98" w14:textId="77777777" w:rsidR="00711ACA" w:rsidRDefault="00711ACA" w:rsidP="006A6295"/>
    <w:p w14:paraId="6BF58E5F" w14:textId="464936E2" w:rsidR="006A6295" w:rsidRPr="006A6295" w:rsidRDefault="00BA5664" w:rsidP="006A6295">
      <w:r>
        <w:t>T</w:t>
      </w:r>
      <w:r w:rsidR="0087022D">
        <w:t xml:space="preserve">he </w:t>
      </w:r>
      <w:r w:rsidR="00441907">
        <w:t xml:space="preserve">0.596 percent </w:t>
      </w:r>
      <w:r w:rsidR="0087022D">
        <w:t xml:space="preserve">growth </w:t>
      </w:r>
      <w:r>
        <w:t xml:space="preserve">rate used in this </w:t>
      </w:r>
      <w:r w:rsidR="00B14AE0">
        <w:t xml:space="preserve">was </w:t>
      </w:r>
      <w:r>
        <w:t>derived from Bureau of Labor Statistics</w:t>
      </w:r>
      <w:r w:rsidR="00441907">
        <w:t xml:space="preserve"> (BLS) occupation</w:t>
      </w:r>
      <w:r w:rsidR="00AB47CA">
        <w:t>-</w:t>
      </w:r>
      <w:r w:rsidR="00441907">
        <w:t>specific growth rates between 2016 and 2026.</w:t>
      </w:r>
      <w:r w:rsidR="00441907" w:rsidRPr="00441907">
        <w:rPr>
          <w:vertAlign w:val="superscript"/>
        </w:rPr>
        <w:t xml:space="preserve"> </w:t>
      </w:r>
      <w:r w:rsidR="00441907" w:rsidRPr="006A6295">
        <w:rPr>
          <w:vertAlign w:val="superscript"/>
        </w:rPr>
        <w:footnoteReference w:id="8"/>
      </w:r>
      <w:r w:rsidR="00441907">
        <w:t xml:space="preserve"> A weight</w:t>
      </w:r>
      <w:r w:rsidR="00AB47CA">
        <w:t>ed</w:t>
      </w:r>
      <w:r w:rsidR="00441907">
        <w:t xml:space="preserve"> average growth rate was estimated from </w:t>
      </w:r>
      <w:r w:rsidR="006A6295" w:rsidRPr="006A6295">
        <w:t>BLS employment projections for the following standard occupational classifications</w:t>
      </w:r>
      <w:r w:rsidR="00441907">
        <w:t>:</w:t>
      </w:r>
    </w:p>
    <w:p w14:paraId="4663B378" w14:textId="77777777" w:rsidR="006A6295" w:rsidRPr="006A6295" w:rsidRDefault="006A6295" w:rsidP="006A6295"/>
    <w:p w14:paraId="79E8DE3A" w14:textId="77777777" w:rsidR="00B14AE0" w:rsidRDefault="00B14AE0" w:rsidP="00AB1801">
      <w:pPr>
        <w:ind w:left="720"/>
      </w:pPr>
      <w:bookmarkStart w:id="3" w:name="_Hlk531595910"/>
      <w:r>
        <w:t>BLS SOC</w:t>
      </w:r>
      <w:r w:rsidR="00EE1DE9">
        <w:t xml:space="preserve"> </w:t>
      </w:r>
      <w:r>
        <w:t>53-</w:t>
      </w:r>
      <w:r w:rsidR="00C9301D">
        <w:t>3</w:t>
      </w:r>
      <w:r>
        <w:t xml:space="preserve">021 </w:t>
      </w:r>
      <w:r w:rsidR="00EE1DE9">
        <w:t>(</w:t>
      </w:r>
      <w:r>
        <w:t>Bus drivers, transit and in</w:t>
      </w:r>
      <w:r w:rsidR="00EE1DE9">
        <w:t>t</w:t>
      </w:r>
      <w:r>
        <w:t>e</w:t>
      </w:r>
      <w:r w:rsidR="001C2890">
        <w:t>r</w:t>
      </w:r>
      <w:r>
        <w:t>city</w:t>
      </w:r>
      <w:r w:rsidR="00EE1DE9">
        <w:t>)</w:t>
      </w:r>
    </w:p>
    <w:bookmarkEnd w:id="3"/>
    <w:p w14:paraId="75A25CE4" w14:textId="77777777" w:rsidR="00EE1DE9" w:rsidRDefault="00EE1DE9" w:rsidP="00AB1801">
      <w:pPr>
        <w:ind w:left="720"/>
      </w:pPr>
      <w:r>
        <w:t>BLS SOC 53-</w:t>
      </w:r>
      <w:r w:rsidR="00C9301D">
        <w:t>3</w:t>
      </w:r>
      <w:r>
        <w:t>022 (</w:t>
      </w:r>
      <w:bookmarkStart w:id="4" w:name="_Hlk531596760"/>
      <w:r>
        <w:t>Bus drivers, school and special client</w:t>
      </w:r>
      <w:bookmarkEnd w:id="4"/>
      <w:r>
        <w:t>)</w:t>
      </w:r>
    </w:p>
    <w:p w14:paraId="70D2808D" w14:textId="77777777" w:rsidR="006A6295" w:rsidRPr="006A6295" w:rsidRDefault="006A6295" w:rsidP="00AB1801">
      <w:pPr>
        <w:ind w:left="720"/>
      </w:pPr>
      <w:r w:rsidRPr="006A6295">
        <w:t>BLS SOC 53-3032 (Heavy and tractor-trailer truck drivers)</w:t>
      </w:r>
    </w:p>
    <w:p w14:paraId="569A8673" w14:textId="77777777" w:rsidR="006A6295" w:rsidRDefault="006A6295" w:rsidP="00AB1801">
      <w:pPr>
        <w:ind w:left="720"/>
      </w:pPr>
      <w:r w:rsidRPr="006A6295">
        <w:t>BLS SOC 53-3023 (Light truck or delivery service drivers)</w:t>
      </w:r>
    </w:p>
    <w:p w14:paraId="0124D2E8" w14:textId="77777777" w:rsidR="006A6295" w:rsidRPr="006A6295" w:rsidRDefault="006A6295" w:rsidP="006A6295"/>
    <w:p w14:paraId="697D0898" w14:textId="38B28B7F" w:rsidR="003C277C" w:rsidRDefault="006A6295" w:rsidP="006A6295">
      <w:pPr>
        <w:rPr>
          <w:u w:val="single"/>
        </w:rPr>
      </w:pPr>
      <w:r w:rsidRPr="006A6295">
        <w:t>The projected net growth in total employment for BLS SOC 53-30</w:t>
      </w:r>
      <w:r w:rsidR="00C9301D">
        <w:t>21</w:t>
      </w:r>
      <w:r w:rsidRPr="006A6295">
        <w:t xml:space="preserve"> (</w:t>
      </w:r>
      <w:r w:rsidR="001C2890">
        <w:t>Bus drivers, transit and intercity</w:t>
      </w:r>
      <w:r w:rsidRPr="006A6295">
        <w:t xml:space="preserve">) from 2016 to 2026 is </w:t>
      </w:r>
      <w:r w:rsidR="001C2890">
        <w:t>9.0</w:t>
      </w:r>
      <w:r w:rsidR="00BF4298">
        <w:t xml:space="preserve"> percent</w:t>
      </w:r>
      <w:r w:rsidRPr="006A6295">
        <w:t>, which equates to a 0.</w:t>
      </w:r>
      <w:r w:rsidR="001C2890">
        <w:t>864</w:t>
      </w:r>
      <w:r w:rsidR="00BF4298">
        <w:t xml:space="preserve"> percent </w:t>
      </w:r>
      <w:r w:rsidRPr="006A6295">
        <w:t>annual compound growth rate. The projected net growth in total employment for BLS SOC 53-30</w:t>
      </w:r>
      <w:r w:rsidR="001C2890">
        <w:t>22</w:t>
      </w:r>
      <w:r w:rsidRPr="006A6295">
        <w:t xml:space="preserve"> (</w:t>
      </w:r>
      <w:r w:rsidR="001C2890">
        <w:t>Bus drivers, school and special client</w:t>
      </w:r>
      <w:r w:rsidRPr="006A6295">
        <w:t xml:space="preserve">) from 2016 to 2026 is </w:t>
      </w:r>
      <w:r w:rsidR="001C2890">
        <w:t>5.4 percent</w:t>
      </w:r>
      <w:r w:rsidRPr="006A6295">
        <w:t>, which equates to a 0.</w:t>
      </w:r>
      <w:r w:rsidR="001C2890">
        <w:t>525 percent</w:t>
      </w:r>
      <w:r w:rsidRPr="006A6295">
        <w:t xml:space="preserve"> annual compound growth rate.</w:t>
      </w:r>
      <w:r w:rsidR="00327E17">
        <w:t xml:space="preserve"> </w:t>
      </w:r>
      <w:r w:rsidR="001C2890" w:rsidRPr="006A6295">
        <w:t xml:space="preserve">The projected net growth in total employment for BLS SOC 53-3032 (Heavy and tractor-trailer truck drivers) from 2016 to 2026 is </w:t>
      </w:r>
      <w:r w:rsidR="001C2890">
        <w:t>5.8 percent</w:t>
      </w:r>
      <w:r w:rsidR="001C2890" w:rsidRPr="006A6295">
        <w:t>, which equates to a 0.</w:t>
      </w:r>
      <w:r w:rsidR="001C2890">
        <w:t>568 percent</w:t>
      </w:r>
      <w:r w:rsidR="001C2890" w:rsidRPr="006A6295">
        <w:t xml:space="preserve"> annual compound growth rate. The projected net growth in total employment for </w:t>
      </w:r>
      <w:r w:rsidR="001C2890" w:rsidRPr="001C2890">
        <w:t>BLS SOC 53-3023 (Light truck or delivery service drivers)</w:t>
      </w:r>
      <w:r w:rsidR="001C2890">
        <w:t xml:space="preserve"> </w:t>
      </w:r>
      <w:r w:rsidR="00711F9E" w:rsidRPr="006A6295">
        <w:t>is</w:t>
      </w:r>
      <w:r w:rsidR="00711F9E">
        <w:t xml:space="preserve"> </w:t>
      </w:r>
      <w:r w:rsidR="001C2890">
        <w:t>6.5 percent</w:t>
      </w:r>
      <w:r w:rsidR="001C2890" w:rsidRPr="006A6295">
        <w:t>, which equates to a 0.</w:t>
      </w:r>
      <w:r w:rsidR="001C2890">
        <w:t>634 percent</w:t>
      </w:r>
      <w:r w:rsidR="001C2890" w:rsidRPr="006A6295">
        <w:t xml:space="preserve"> annual compound growth rate. </w:t>
      </w:r>
      <w:r w:rsidRPr="006A6295">
        <w:t xml:space="preserve">FMCSA then computed a weighted average annual compound growth rate </w:t>
      </w:r>
      <w:r w:rsidR="001C2890">
        <w:t>o</w:t>
      </w:r>
      <w:r w:rsidRPr="006A6295">
        <w:t>f 0.5</w:t>
      </w:r>
      <w:r w:rsidR="001C2890">
        <w:t>95 percent</w:t>
      </w:r>
      <w:r w:rsidRPr="006A6295">
        <w:t xml:space="preserve"> </w:t>
      </w:r>
      <w:r w:rsidR="00BF4298">
        <w:t xml:space="preserve">using the BLS 2016 estimates of employment </w:t>
      </w:r>
      <w:r w:rsidRPr="006A6295">
        <w:t xml:space="preserve">for these </w:t>
      </w:r>
      <w:r w:rsidR="00BF4298">
        <w:t xml:space="preserve">four </w:t>
      </w:r>
      <w:r w:rsidRPr="006A6295">
        <w:t>occupational categories.</w:t>
      </w:r>
      <w:r w:rsidR="00F4618B">
        <w:rPr>
          <w:rStyle w:val="FootnoteReference"/>
        </w:rPr>
        <w:footnoteReference w:id="9"/>
      </w:r>
      <w:r w:rsidR="003E4E83">
        <w:t xml:space="preserve"> As shown in Table 2, t</w:t>
      </w:r>
      <w:r w:rsidR="00BF4298">
        <w:t>he weighted average annual compound growth rate is applied to the</w:t>
      </w:r>
      <w:r w:rsidR="003E4E83">
        <w:t xml:space="preserve"> 6.32 million 2017 total driver projection and 2.96 million drivers with short-haul</w:t>
      </w:r>
      <w:r w:rsidR="004855CA">
        <w:t xml:space="preserve"> exemptions</w:t>
      </w:r>
      <w:r w:rsidR="003E4E83">
        <w:t xml:space="preserve">. The </w:t>
      </w:r>
      <w:r w:rsidR="00F22AC5">
        <w:t xml:space="preserve">average of the difference between </w:t>
      </w:r>
      <w:r w:rsidR="003E4E83">
        <w:t xml:space="preserve">the annual </w:t>
      </w:r>
      <w:r w:rsidR="00F22AC5">
        <w:t>values projected for 2019 through 2021 results in a 3.42 million population for drivers operating ELD equipped CMVs.</w:t>
      </w:r>
    </w:p>
    <w:tbl>
      <w:tblPr>
        <w:tblpPr w:leftFromText="187" w:rightFromText="187" w:topFromText="288" w:bottomFromText="288" w:vertAnchor="text" w:tblpXSpec="center" w:tblpY="1"/>
        <w:tblOverlap w:val="never"/>
        <w:tblW w:w="7920" w:type="dxa"/>
        <w:tblLook w:val="04A0" w:firstRow="1" w:lastRow="0" w:firstColumn="1" w:lastColumn="0" w:noHBand="0" w:noVBand="1"/>
      </w:tblPr>
      <w:tblGrid>
        <w:gridCol w:w="2031"/>
        <w:gridCol w:w="2029"/>
        <w:gridCol w:w="1930"/>
        <w:gridCol w:w="1930"/>
      </w:tblGrid>
      <w:tr w:rsidR="003E4E83" w14:paraId="6A72EB95" w14:textId="77777777" w:rsidTr="00AB47CA">
        <w:trPr>
          <w:trHeight w:hRule="exact" w:val="288"/>
        </w:trPr>
        <w:tc>
          <w:tcPr>
            <w:tcW w:w="7920" w:type="dxa"/>
            <w:gridSpan w:val="4"/>
            <w:tcBorders>
              <w:bottom w:val="single" w:sz="4" w:space="0" w:color="auto"/>
            </w:tcBorders>
            <w:shd w:val="clear" w:color="auto" w:fill="auto"/>
            <w:noWrap/>
            <w:vAlign w:val="bottom"/>
          </w:tcPr>
          <w:p w14:paraId="39180B36" w14:textId="382C72C5" w:rsidR="003E4E83" w:rsidRDefault="003E4E83" w:rsidP="00AB47CA">
            <w:pPr>
              <w:jc w:val="center"/>
              <w:rPr>
                <w:b/>
                <w:bCs/>
                <w:color w:val="000000"/>
                <w:sz w:val="20"/>
                <w:szCs w:val="20"/>
              </w:rPr>
            </w:pPr>
            <w:r>
              <w:rPr>
                <w:b/>
                <w:bCs/>
                <w:color w:val="000000"/>
                <w:sz w:val="20"/>
                <w:szCs w:val="20"/>
              </w:rPr>
              <w:t xml:space="preserve">Table 2. Estimate of </w:t>
            </w:r>
            <w:r w:rsidR="00F22AC5">
              <w:rPr>
                <w:b/>
                <w:bCs/>
                <w:color w:val="000000"/>
                <w:sz w:val="20"/>
                <w:szCs w:val="20"/>
              </w:rPr>
              <w:t>Driver Population Operating ELD-Equipped CMVs</w:t>
            </w:r>
            <w:r>
              <w:rPr>
                <w:b/>
                <w:bCs/>
                <w:color w:val="000000"/>
                <w:sz w:val="20"/>
                <w:szCs w:val="20"/>
              </w:rPr>
              <w:t xml:space="preserve"> </w:t>
            </w:r>
          </w:p>
        </w:tc>
      </w:tr>
      <w:tr w:rsidR="003C277C" w14:paraId="76C27331" w14:textId="77777777" w:rsidTr="00AB47CA">
        <w:trPr>
          <w:trHeight w:val="1290"/>
        </w:trPr>
        <w:tc>
          <w:tcPr>
            <w:tcW w:w="20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02D43A" w14:textId="77777777" w:rsidR="003C277C" w:rsidRDefault="003C277C" w:rsidP="00AB47CA">
            <w:pPr>
              <w:jc w:val="center"/>
              <w:rPr>
                <w:b/>
                <w:bCs/>
                <w:color w:val="000000"/>
                <w:sz w:val="20"/>
                <w:szCs w:val="20"/>
              </w:rPr>
            </w:pPr>
            <w:r>
              <w:rPr>
                <w:b/>
                <w:bCs/>
                <w:color w:val="000000"/>
                <w:sz w:val="20"/>
                <w:szCs w:val="20"/>
              </w:rPr>
              <w:t>Year</w:t>
            </w:r>
          </w:p>
        </w:tc>
        <w:tc>
          <w:tcPr>
            <w:tcW w:w="2029" w:type="dxa"/>
            <w:tcBorders>
              <w:top w:val="single" w:sz="4" w:space="0" w:color="auto"/>
              <w:left w:val="nil"/>
              <w:bottom w:val="single" w:sz="4" w:space="0" w:color="auto"/>
              <w:right w:val="single" w:sz="4" w:space="0" w:color="auto"/>
            </w:tcBorders>
            <w:shd w:val="clear" w:color="000000" w:fill="D9D9D9"/>
            <w:vAlign w:val="bottom"/>
            <w:hideMark/>
          </w:tcPr>
          <w:p w14:paraId="214A843A" w14:textId="69970E8A" w:rsidR="003C277C" w:rsidRDefault="003C277C" w:rsidP="00AB47CA">
            <w:pPr>
              <w:jc w:val="center"/>
              <w:rPr>
                <w:b/>
                <w:bCs/>
                <w:color w:val="000000"/>
                <w:sz w:val="20"/>
                <w:szCs w:val="20"/>
              </w:rPr>
            </w:pPr>
            <w:r>
              <w:rPr>
                <w:b/>
                <w:bCs/>
                <w:color w:val="000000"/>
                <w:sz w:val="20"/>
                <w:szCs w:val="20"/>
              </w:rPr>
              <w:t>A</w:t>
            </w:r>
          </w:p>
          <w:p w14:paraId="079468D0" w14:textId="5F92E43B" w:rsidR="003C277C" w:rsidRDefault="003C277C" w:rsidP="00AB47CA">
            <w:pPr>
              <w:jc w:val="center"/>
              <w:rPr>
                <w:b/>
                <w:bCs/>
                <w:color w:val="000000"/>
                <w:sz w:val="20"/>
                <w:szCs w:val="20"/>
              </w:rPr>
            </w:pPr>
            <w:r>
              <w:rPr>
                <w:b/>
                <w:bCs/>
                <w:color w:val="000000"/>
                <w:sz w:val="20"/>
                <w:szCs w:val="20"/>
              </w:rPr>
              <w:t>Total Population Projected at a 0.596% Annual Growth Rate</w:t>
            </w:r>
          </w:p>
        </w:tc>
        <w:tc>
          <w:tcPr>
            <w:tcW w:w="1930" w:type="dxa"/>
            <w:tcBorders>
              <w:top w:val="single" w:sz="4" w:space="0" w:color="auto"/>
              <w:left w:val="nil"/>
              <w:bottom w:val="single" w:sz="4" w:space="0" w:color="auto"/>
              <w:right w:val="single" w:sz="4" w:space="0" w:color="auto"/>
            </w:tcBorders>
            <w:shd w:val="clear" w:color="000000" w:fill="D9D9D9"/>
            <w:vAlign w:val="bottom"/>
            <w:hideMark/>
          </w:tcPr>
          <w:p w14:paraId="3FF1B880" w14:textId="18DA51B8" w:rsidR="003C277C" w:rsidRDefault="003C277C" w:rsidP="00AB47CA">
            <w:pPr>
              <w:jc w:val="center"/>
              <w:rPr>
                <w:b/>
                <w:bCs/>
                <w:color w:val="000000"/>
                <w:sz w:val="20"/>
                <w:szCs w:val="20"/>
              </w:rPr>
            </w:pPr>
            <w:r>
              <w:rPr>
                <w:b/>
                <w:bCs/>
                <w:color w:val="000000"/>
                <w:sz w:val="20"/>
                <w:szCs w:val="20"/>
              </w:rPr>
              <w:t>B</w:t>
            </w:r>
          </w:p>
          <w:p w14:paraId="6385A414" w14:textId="71874664" w:rsidR="003C277C" w:rsidRDefault="003C277C" w:rsidP="00AB47CA">
            <w:pPr>
              <w:jc w:val="center"/>
              <w:rPr>
                <w:b/>
                <w:bCs/>
                <w:color w:val="000000"/>
                <w:sz w:val="20"/>
                <w:szCs w:val="20"/>
              </w:rPr>
            </w:pPr>
            <w:r>
              <w:rPr>
                <w:b/>
                <w:bCs/>
                <w:color w:val="000000"/>
                <w:sz w:val="20"/>
                <w:szCs w:val="20"/>
              </w:rPr>
              <w:t>Drivers Exempt from Operating ELD</w:t>
            </w:r>
            <w:r w:rsidR="008B55C9">
              <w:rPr>
                <w:b/>
                <w:bCs/>
                <w:color w:val="000000"/>
                <w:sz w:val="20"/>
                <w:szCs w:val="20"/>
              </w:rPr>
              <w:t>-</w:t>
            </w:r>
            <w:r>
              <w:rPr>
                <w:b/>
                <w:bCs/>
                <w:color w:val="000000"/>
                <w:sz w:val="20"/>
                <w:szCs w:val="20"/>
              </w:rPr>
              <w:t>Equipped Vehicles Projected at a 0.596% Annual Growth Rate</w:t>
            </w:r>
          </w:p>
        </w:tc>
        <w:tc>
          <w:tcPr>
            <w:tcW w:w="1930" w:type="dxa"/>
            <w:tcBorders>
              <w:top w:val="single" w:sz="4" w:space="0" w:color="auto"/>
              <w:left w:val="nil"/>
              <w:bottom w:val="single" w:sz="4" w:space="0" w:color="auto"/>
              <w:right w:val="single" w:sz="4" w:space="0" w:color="auto"/>
            </w:tcBorders>
            <w:shd w:val="clear" w:color="000000" w:fill="D9D9D9"/>
            <w:vAlign w:val="bottom"/>
            <w:hideMark/>
          </w:tcPr>
          <w:p w14:paraId="1B204EEA" w14:textId="77777777" w:rsidR="003C277C" w:rsidRDefault="003C277C" w:rsidP="00AB47CA">
            <w:pPr>
              <w:jc w:val="center"/>
              <w:rPr>
                <w:b/>
                <w:bCs/>
                <w:color w:val="000000"/>
                <w:sz w:val="20"/>
                <w:szCs w:val="20"/>
              </w:rPr>
            </w:pPr>
            <w:r>
              <w:rPr>
                <w:b/>
                <w:bCs/>
                <w:color w:val="000000"/>
                <w:sz w:val="20"/>
                <w:szCs w:val="20"/>
              </w:rPr>
              <w:t>C = Col. A – Col. B.</w:t>
            </w:r>
          </w:p>
          <w:p w14:paraId="18F47F40" w14:textId="1ECA729A" w:rsidR="003C277C" w:rsidRDefault="003C277C" w:rsidP="00AB47CA">
            <w:pPr>
              <w:jc w:val="center"/>
              <w:rPr>
                <w:b/>
                <w:bCs/>
                <w:color w:val="000000"/>
                <w:sz w:val="20"/>
                <w:szCs w:val="20"/>
              </w:rPr>
            </w:pPr>
            <w:r>
              <w:rPr>
                <w:b/>
                <w:bCs/>
                <w:color w:val="000000"/>
                <w:sz w:val="20"/>
                <w:szCs w:val="20"/>
              </w:rPr>
              <w:t>Drivers Operating ELD</w:t>
            </w:r>
            <w:r w:rsidR="003E4E83">
              <w:rPr>
                <w:b/>
                <w:bCs/>
                <w:color w:val="000000"/>
                <w:sz w:val="20"/>
                <w:szCs w:val="20"/>
              </w:rPr>
              <w:t>-</w:t>
            </w:r>
            <w:r>
              <w:rPr>
                <w:b/>
                <w:bCs/>
                <w:color w:val="000000"/>
                <w:sz w:val="20"/>
                <w:szCs w:val="20"/>
              </w:rPr>
              <w:t>Equipped Vehicles</w:t>
            </w:r>
          </w:p>
        </w:tc>
      </w:tr>
      <w:tr w:rsidR="003C277C" w14:paraId="0ED18694" w14:textId="77777777" w:rsidTr="00AB47CA">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14:paraId="1CCA20CE" w14:textId="77777777" w:rsidR="003C277C" w:rsidRDefault="003C277C" w:rsidP="00AB47CA">
            <w:pPr>
              <w:jc w:val="center"/>
              <w:rPr>
                <w:color w:val="000000"/>
                <w:sz w:val="20"/>
                <w:szCs w:val="20"/>
              </w:rPr>
            </w:pPr>
            <w:r>
              <w:rPr>
                <w:color w:val="000000"/>
                <w:sz w:val="20"/>
                <w:szCs w:val="20"/>
              </w:rPr>
              <w:t>2017</w:t>
            </w:r>
          </w:p>
        </w:tc>
        <w:tc>
          <w:tcPr>
            <w:tcW w:w="2029" w:type="dxa"/>
            <w:tcBorders>
              <w:top w:val="nil"/>
              <w:left w:val="nil"/>
              <w:bottom w:val="single" w:sz="4" w:space="0" w:color="auto"/>
              <w:right w:val="single" w:sz="4" w:space="0" w:color="auto"/>
            </w:tcBorders>
            <w:shd w:val="clear" w:color="auto" w:fill="auto"/>
            <w:noWrap/>
            <w:vAlign w:val="bottom"/>
            <w:hideMark/>
          </w:tcPr>
          <w:p w14:paraId="11593802" w14:textId="77777777" w:rsidR="003C277C" w:rsidRDefault="003C277C" w:rsidP="00AB47CA">
            <w:pPr>
              <w:jc w:val="center"/>
              <w:rPr>
                <w:color w:val="000000"/>
                <w:sz w:val="20"/>
                <w:szCs w:val="20"/>
              </w:rPr>
            </w:pPr>
            <w:r>
              <w:rPr>
                <w:color w:val="000000"/>
                <w:sz w:val="20"/>
                <w:szCs w:val="20"/>
              </w:rPr>
              <w:t>6.32</w:t>
            </w:r>
          </w:p>
        </w:tc>
        <w:tc>
          <w:tcPr>
            <w:tcW w:w="1930" w:type="dxa"/>
            <w:tcBorders>
              <w:top w:val="nil"/>
              <w:left w:val="nil"/>
              <w:bottom w:val="single" w:sz="4" w:space="0" w:color="auto"/>
              <w:right w:val="single" w:sz="4" w:space="0" w:color="auto"/>
            </w:tcBorders>
            <w:shd w:val="clear" w:color="auto" w:fill="auto"/>
            <w:noWrap/>
            <w:vAlign w:val="bottom"/>
            <w:hideMark/>
          </w:tcPr>
          <w:p w14:paraId="26C66EE8" w14:textId="77777777" w:rsidR="003C277C" w:rsidRDefault="003C277C" w:rsidP="00AB47CA">
            <w:pPr>
              <w:jc w:val="center"/>
              <w:rPr>
                <w:color w:val="000000"/>
                <w:sz w:val="20"/>
                <w:szCs w:val="20"/>
              </w:rPr>
            </w:pPr>
            <w:r>
              <w:rPr>
                <w:color w:val="000000"/>
                <w:sz w:val="20"/>
                <w:szCs w:val="20"/>
              </w:rPr>
              <w:t>2.96</w:t>
            </w:r>
          </w:p>
        </w:tc>
        <w:tc>
          <w:tcPr>
            <w:tcW w:w="1930" w:type="dxa"/>
            <w:tcBorders>
              <w:top w:val="nil"/>
              <w:left w:val="nil"/>
              <w:bottom w:val="single" w:sz="4" w:space="0" w:color="auto"/>
              <w:right w:val="single" w:sz="4" w:space="0" w:color="auto"/>
            </w:tcBorders>
            <w:shd w:val="clear" w:color="auto" w:fill="auto"/>
            <w:noWrap/>
            <w:vAlign w:val="bottom"/>
            <w:hideMark/>
          </w:tcPr>
          <w:p w14:paraId="25998D61" w14:textId="77777777" w:rsidR="003C277C" w:rsidRDefault="003C277C" w:rsidP="00AB47CA">
            <w:pPr>
              <w:jc w:val="center"/>
              <w:rPr>
                <w:color w:val="000000"/>
                <w:sz w:val="20"/>
                <w:szCs w:val="20"/>
              </w:rPr>
            </w:pPr>
            <w:r>
              <w:rPr>
                <w:color w:val="000000"/>
                <w:sz w:val="20"/>
                <w:szCs w:val="20"/>
              </w:rPr>
              <w:t>3.36</w:t>
            </w:r>
          </w:p>
        </w:tc>
      </w:tr>
      <w:tr w:rsidR="003C277C" w14:paraId="02FE013F" w14:textId="77777777" w:rsidTr="00AB47CA">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14:paraId="1724820F" w14:textId="77777777" w:rsidR="003C277C" w:rsidRDefault="003C277C" w:rsidP="00AB47CA">
            <w:pPr>
              <w:jc w:val="center"/>
              <w:rPr>
                <w:color w:val="000000"/>
                <w:sz w:val="20"/>
                <w:szCs w:val="20"/>
              </w:rPr>
            </w:pPr>
            <w:r>
              <w:rPr>
                <w:color w:val="000000"/>
                <w:sz w:val="20"/>
                <w:szCs w:val="20"/>
              </w:rPr>
              <w:t>2018</w:t>
            </w:r>
          </w:p>
        </w:tc>
        <w:tc>
          <w:tcPr>
            <w:tcW w:w="2029" w:type="dxa"/>
            <w:tcBorders>
              <w:top w:val="nil"/>
              <w:left w:val="nil"/>
              <w:bottom w:val="single" w:sz="4" w:space="0" w:color="auto"/>
              <w:right w:val="single" w:sz="4" w:space="0" w:color="auto"/>
            </w:tcBorders>
            <w:shd w:val="clear" w:color="auto" w:fill="auto"/>
            <w:noWrap/>
            <w:vAlign w:val="bottom"/>
            <w:hideMark/>
          </w:tcPr>
          <w:p w14:paraId="6E9E25F4" w14:textId="77777777" w:rsidR="003C277C" w:rsidRDefault="003C277C" w:rsidP="00AB47CA">
            <w:pPr>
              <w:jc w:val="center"/>
              <w:rPr>
                <w:color w:val="000000"/>
                <w:sz w:val="20"/>
                <w:szCs w:val="20"/>
              </w:rPr>
            </w:pPr>
            <w:r>
              <w:rPr>
                <w:color w:val="000000"/>
                <w:sz w:val="20"/>
                <w:szCs w:val="20"/>
              </w:rPr>
              <w:t>6.35</w:t>
            </w:r>
          </w:p>
        </w:tc>
        <w:tc>
          <w:tcPr>
            <w:tcW w:w="1930" w:type="dxa"/>
            <w:tcBorders>
              <w:top w:val="nil"/>
              <w:left w:val="nil"/>
              <w:bottom w:val="single" w:sz="4" w:space="0" w:color="auto"/>
              <w:right w:val="single" w:sz="4" w:space="0" w:color="auto"/>
            </w:tcBorders>
            <w:shd w:val="clear" w:color="auto" w:fill="auto"/>
            <w:noWrap/>
            <w:vAlign w:val="bottom"/>
            <w:hideMark/>
          </w:tcPr>
          <w:p w14:paraId="4422FDCC" w14:textId="77777777" w:rsidR="003C277C" w:rsidRDefault="003C277C" w:rsidP="00AB47CA">
            <w:pPr>
              <w:jc w:val="center"/>
              <w:rPr>
                <w:color w:val="000000"/>
                <w:sz w:val="20"/>
                <w:szCs w:val="20"/>
              </w:rPr>
            </w:pPr>
            <w:r>
              <w:rPr>
                <w:color w:val="000000"/>
                <w:sz w:val="20"/>
                <w:szCs w:val="20"/>
              </w:rPr>
              <w:t>2.98</w:t>
            </w:r>
          </w:p>
        </w:tc>
        <w:tc>
          <w:tcPr>
            <w:tcW w:w="1930" w:type="dxa"/>
            <w:tcBorders>
              <w:top w:val="nil"/>
              <w:left w:val="nil"/>
              <w:bottom w:val="single" w:sz="4" w:space="0" w:color="auto"/>
              <w:right w:val="single" w:sz="4" w:space="0" w:color="auto"/>
            </w:tcBorders>
            <w:shd w:val="clear" w:color="auto" w:fill="auto"/>
            <w:noWrap/>
            <w:vAlign w:val="bottom"/>
            <w:hideMark/>
          </w:tcPr>
          <w:p w14:paraId="0D6F5434" w14:textId="77777777" w:rsidR="003C277C" w:rsidRDefault="003C277C" w:rsidP="00AB47CA">
            <w:pPr>
              <w:jc w:val="center"/>
              <w:rPr>
                <w:color w:val="000000"/>
                <w:sz w:val="20"/>
                <w:szCs w:val="20"/>
              </w:rPr>
            </w:pPr>
            <w:r>
              <w:rPr>
                <w:color w:val="000000"/>
                <w:sz w:val="20"/>
                <w:szCs w:val="20"/>
              </w:rPr>
              <w:t>3.38</w:t>
            </w:r>
          </w:p>
        </w:tc>
      </w:tr>
      <w:tr w:rsidR="003C277C" w14:paraId="26983EDE" w14:textId="77777777" w:rsidTr="00AB47CA">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14:paraId="658283C2" w14:textId="43E80178" w:rsidR="003C277C" w:rsidRDefault="00AB47CA" w:rsidP="00AB47CA">
            <w:pPr>
              <w:jc w:val="center"/>
              <w:rPr>
                <w:color w:val="000000"/>
                <w:sz w:val="20"/>
                <w:szCs w:val="20"/>
              </w:rPr>
            </w:pPr>
            <w:r>
              <w:rPr>
                <w:color w:val="000000"/>
                <w:sz w:val="20"/>
                <w:szCs w:val="20"/>
              </w:rPr>
              <w:t>Year 1 (</w:t>
            </w:r>
            <w:r w:rsidR="003C277C">
              <w:rPr>
                <w:color w:val="000000"/>
                <w:sz w:val="20"/>
                <w:szCs w:val="20"/>
              </w:rPr>
              <w:t>2019</w:t>
            </w:r>
            <w:r>
              <w:rPr>
                <w:color w:val="000000"/>
                <w:sz w:val="20"/>
                <w:szCs w:val="20"/>
              </w:rPr>
              <w:t>)</w:t>
            </w:r>
          </w:p>
        </w:tc>
        <w:tc>
          <w:tcPr>
            <w:tcW w:w="2029" w:type="dxa"/>
            <w:tcBorders>
              <w:top w:val="nil"/>
              <w:left w:val="nil"/>
              <w:bottom w:val="single" w:sz="4" w:space="0" w:color="auto"/>
              <w:right w:val="single" w:sz="4" w:space="0" w:color="auto"/>
            </w:tcBorders>
            <w:shd w:val="clear" w:color="auto" w:fill="auto"/>
            <w:noWrap/>
            <w:vAlign w:val="bottom"/>
            <w:hideMark/>
          </w:tcPr>
          <w:p w14:paraId="5B059A52" w14:textId="77777777" w:rsidR="003C277C" w:rsidRDefault="003C277C" w:rsidP="00AB47CA">
            <w:pPr>
              <w:jc w:val="center"/>
              <w:rPr>
                <w:color w:val="000000"/>
                <w:sz w:val="20"/>
                <w:szCs w:val="20"/>
              </w:rPr>
            </w:pPr>
            <w:r>
              <w:rPr>
                <w:color w:val="000000"/>
                <w:sz w:val="20"/>
                <w:szCs w:val="20"/>
              </w:rPr>
              <w:t>6.39</w:t>
            </w:r>
          </w:p>
        </w:tc>
        <w:tc>
          <w:tcPr>
            <w:tcW w:w="1930" w:type="dxa"/>
            <w:tcBorders>
              <w:top w:val="nil"/>
              <w:left w:val="nil"/>
              <w:bottom w:val="single" w:sz="4" w:space="0" w:color="auto"/>
              <w:right w:val="single" w:sz="4" w:space="0" w:color="auto"/>
            </w:tcBorders>
            <w:shd w:val="clear" w:color="auto" w:fill="auto"/>
            <w:noWrap/>
            <w:vAlign w:val="bottom"/>
            <w:hideMark/>
          </w:tcPr>
          <w:p w14:paraId="00FE1B67" w14:textId="77777777" w:rsidR="003C277C" w:rsidRDefault="003C277C" w:rsidP="00AB47CA">
            <w:pPr>
              <w:jc w:val="center"/>
              <w:rPr>
                <w:color w:val="000000"/>
                <w:sz w:val="20"/>
                <w:szCs w:val="20"/>
              </w:rPr>
            </w:pPr>
            <w:r>
              <w:rPr>
                <w:color w:val="000000"/>
                <w:sz w:val="20"/>
                <w:szCs w:val="20"/>
              </w:rPr>
              <w:t>2.99</w:t>
            </w:r>
          </w:p>
        </w:tc>
        <w:tc>
          <w:tcPr>
            <w:tcW w:w="1930" w:type="dxa"/>
            <w:tcBorders>
              <w:top w:val="nil"/>
              <w:left w:val="nil"/>
              <w:bottom w:val="single" w:sz="4" w:space="0" w:color="auto"/>
              <w:right w:val="single" w:sz="4" w:space="0" w:color="auto"/>
            </w:tcBorders>
            <w:shd w:val="clear" w:color="auto" w:fill="auto"/>
            <w:noWrap/>
            <w:vAlign w:val="bottom"/>
            <w:hideMark/>
          </w:tcPr>
          <w:p w14:paraId="2F6DE934" w14:textId="77777777" w:rsidR="003C277C" w:rsidRDefault="003C277C" w:rsidP="00AB47CA">
            <w:pPr>
              <w:jc w:val="center"/>
              <w:rPr>
                <w:color w:val="000000"/>
                <w:sz w:val="20"/>
                <w:szCs w:val="20"/>
              </w:rPr>
            </w:pPr>
            <w:r>
              <w:rPr>
                <w:color w:val="000000"/>
                <w:sz w:val="20"/>
                <w:szCs w:val="20"/>
              </w:rPr>
              <w:t>3.40</w:t>
            </w:r>
          </w:p>
        </w:tc>
      </w:tr>
      <w:tr w:rsidR="003C277C" w14:paraId="46F993E3" w14:textId="77777777" w:rsidTr="00AB47CA">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14:paraId="39B09ADC" w14:textId="5ADE864F" w:rsidR="003C277C" w:rsidRDefault="00AB47CA" w:rsidP="00AB47CA">
            <w:pPr>
              <w:jc w:val="center"/>
              <w:rPr>
                <w:color w:val="000000"/>
                <w:sz w:val="20"/>
                <w:szCs w:val="20"/>
              </w:rPr>
            </w:pPr>
            <w:r>
              <w:rPr>
                <w:color w:val="000000"/>
                <w:sz w:val="20"/>
                <w:szCs w:val="20"/>
              </w:rPr>
              <w:t>Year 2 (</w:t>
            </w:r>
            <w:r w:rsidR="003C277C">
              <w:rPr>
                <w:color w:val="000000"/>
                <w:sz w:val="20"/>
                <w:szCs w:val="20"/>
              </w:rPr>
              <w:t>2020</w:t>
            </w:r>
            <w:r>
              <w:rPr>
                <w:color w:val="000000"/>
                <w:sz w:val="20"/>
                <w:szCs w:val="20"/>
              </w:rPr>
              <w:t>)</w:t>
            </w:r>
          </w:p>
        </w:tc>
        <w:tc>
          <w:tcPr>
            <w:tcW w:w="2029" w:type="dxa"/>
            <w:tcBorders>
              <w:top w:val="nil"/>
              <w:left w:val="nil"/>
              <w:bottom w:val="single" w:sz="4" w:space="0" w:color="auto"/>
              <w:right w:val="single" w:sz="4" w:space="0" w:color="auto"/>
            </w:tcBorders>
            <w:shd w:val="clear" w:color="auto" w:fill="auto"/>
            <w:noWrap/>
            <w:vAlign w:val="bottom"/>
            <w:hideMark/>
          </w:tcPr>
          <w:p w14:paraId="4731C1B3" w14:textId="77777777" w:rsidR="003C277C" w:rsidRDefault="003C277C" w:rsidP="00AB47CA">
            <w:pPr>
              <w:jc w:val="center"/>
              <w:rPr>
                <w:color w:val="000000"/>
                <w:sz w:val="20"/>
                <w:szCs w:val="20"/>
              </w:rPr>
            </w:pPr>
            <w:r>
              <w:rPr>
                <w:color w:val="000000"/>
                <w:sz w:val="20"/>
                <w:szCs w:val="20"/>
              </w:rPr>
              <w:t>6.43</w:t>
            </w:r>
          </w:p>
        </w:tc>
        <w:tc>
          <w:tcPr>
            <w:tcW w:w="1930" w:type="dxa"/>
            <w:tcBorders>
              <w:top w:val="nil"/>
              <w:left w:val="nil"/>
              <w:bottom w:val="single" w:sz="4" w:space="0" w:color="auto"/>
              <w:right w:val="single" w:sz="4" w:space="0" w:color="auto"/>
            </w:tcBorders>
            <w:shd w:val="clear" w:color="auto" w:fill="auto"/>
            <w:noWrap/>
            <w:vAlign w:val="bottom"/>
            <w:hideMark/>
          </w:tcPr>
          <w:p w14:paraId="5AE0D508" w14:textId="77777777" w:rsidR="003C277C" w:rsidRDefault="003C277C" w:rsidP="00AB47CA">
            <w:pPr>
              <w:jc w:val="center"/>
              <w:rPr>
                <w:color w:val="000000"/>
                <w:sz w:val="20"/>
                <w:szCs w:val="20"/>
              </w:rPr>
            </w:pPr>
            <w:r>
              <w:rPr>
                <w:color w:val="000000"/>
                <w:sz w:val="20"/>
                <w:szCs w:val="20"/>
              </w:rPr>
              <w:t>3.01</w:t>
            </w:r>
          </w:p>
        </w:tc>
        <w:tc>
          <w:tcPr>
            <w:tcW w:w="1930" w:type="dxa"/>
            <w:tcBorders>
              <w:top w:val="nil"/>
              <w:left w:val="nil"/>
              <w:bottom w:val="single" w:sz="4" w:space="0" w:color="auto"/>
              <w:right w:val="single" w:sz="4" w:space="0" w:color="auto"/>
            </w:tcBorders>
            <w:shd w:val="clear" w:color="auto" w:fill="auto"/>
            <w:noWrap/>
            <w:vAlign w:val="bottom"/>
            <w:hideMark/>
          </w:tcPr>
          <w:p w14:paraId="7E59680C" w14:textId="77777777" w:rsidR="003C277C" w:rsidRDefault="003C277C" w:rsidP="00AB47CA">
            <w:pPr>
              <w:jc w:val="center"/>
              <w:rPr>
                <w:color w:val="000000"/>
                <w:sz w:val="20"/>
                <w:szCs w:val="20"/>
              </w:rPr>
            </w:pPr>
            <w:r>
              <w:rPr>
                <w:color w:val="000000"/>
                <w:sz w:val="20"/>
                <w:szCs w:val="20"/>
              </w:rPr>
              <w:t>3.42</w:t>
            </w:r>
          </w:p>
        </w:tc>
      </w:tr>
      <w:tr w:rsidR="003C277C" w14:paraId="439A66AE" w14:textId="77777777" w:rsidTr="00AB47CA">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14:paraId="6FAB4B4C" w14:textId="5721D71C" w:rsidR="003C277C" w:rsidRDefault="00AB47CA" w:rsidP="00AB47CA">
            <w:pPr>
              <w:jc w:val="center"/>
              <w:rPr>
                <w:color w:val="000000"/>
                <w:sz w:val="20"/>
                <w:szCs w:val="20"/>
              </w:rPr>
            </w:pPr>
            <w:r>
              <w:rPr>
                <w:color w:val="000000"/>
                <w:sz w:val="20"/>
                <w:szCs w:val="20"/>
              </w:rPr>
              <w:t>Year 3(</w:t>
            </w:r>
            <w:r w:rsidR="003C277C">
              <w:rPr>
                <w:color w:val="000000"/>
                <w:sz w:val="20"/>
                <w:szCs w:val="20"/>
              </w:rPr>
              <w:t>2021</w:t>
            </w:r>
            <w:r>
              <w:rPr>
                <w:color w:val="000000"/>
                <w:sz w:val="20"/>
                <w:szCs w:val="20"/>
              </w:rPr>
              <w:t>)</w:t>
            </w:r>
          </w:p>
        </w:tc>
        <w:tc>
          <w:tcPr>
            <w:tcW w:w="2029" w:type="dxa"/>
            <w:tcBorders>
              <w:top w:val="nil"/>
              <w:left w:val="nil"/>
              <w:bottom w:val="single" w:sz="4" w:space="0" w:color="auto"/>
              <w:right w:val="single" w:sz="4" w:space="0" w:color="auto"/>
            </w:tcBorders>
            <w:shd w:val="clear" w:color="auto" w:fill="auto"/>
            <w:noWrap/>
            <w:vAlign w:val="bottom"/>
            <w:hideMark/>
          </w:tcPr>
          <w:p w14:paraId="197488AA" w14:textId="77777777" w:rsidR="003C277C" w:rsidRDefault="003C277C" w:rsidP="00AB47CA">
            <w:pPr>
              <w:jc w:val="center"/>
              <w:rPr>
                <w:color w:val="000000"/>
                <w:sz w:val="20"/>
                <w:szCs w:val="20"/>
              </w:rPr>
            </w:pPr>
            <w:r>
              <w:rPr>
                <w:color w:val="000000"/>
                <w:sz w:val="20"/>
                <w:szCs w:val="20"/>
              </w:rPr>
              <w:t>6.47</w:t>
            </w:r>
          </w:p>
        </w:tc>
        <w:tc>
          <w:tcPr>
            <w:tcW w:w="1930" w:type="dxa"/>
            <w:tcBorders>
              <w:top w:val="nil"/>
              <w:left w:val="nil"/>
              <w:bottom w:val="single" w:sz="4" w:space="0" w:color="auto"/>
              <w:right w:val="single" w:sz="4" w:space="0" w:color="auto"/>
            </w:tcBorders>
            <w:shd w:val="clear" w:color="auto" w:fill="auto"/>
            <w:noWrap/>
            <w:vAlign w:val="bottom"/>
            <w:hideMark/>
          </w:tcPr>
          <w:p w14:paraId="26ABA485" w14:textId="77777777" w:rsidR="003C277C" w:rsidRDefault="003C277C" w:rsidP="00AB47CA">
            <w:pPr>
              <w:jc w:val="center"/>
              <w:rPr>
                <w:color w:val="000000"/>
                <w:sz w:val="20"/>
                <w:szCs w:val="20"/>
              </w:rPr>
            </w:pPr>
            <w:r>
              <w:rPr>
                <w:color w:val="000000"/>
                <w:sz w:val="20"/>
                <w:szCs w:val="20"/>
              </w:rPr>
              <w:t>3.03</w:t>
            </w:r>
          </w:p>
        </w:tc>
        <w:tc>
          <w:tcPr>
            <w:tcW w:w="1930" w:type="dxa"/>
            <w:tcBorders>
              <w:top w:val="nil"/>
              <w:left w:val="nil"/>
              <w:bottom w:val="single" w:sz="4" w:space="0" w:color="auto"/>
              <w:right w:val="single" w:sz="4" w:space="0" w:color="auto"/>
            </w:tcBorders>
            <w:shd w:val="clear" w:color="auto" w:fill="auto"/>
            <w:noWrap/>
            <w:vAlign w:val="bottom"/>
            <w:hideMark/>
          </w:tcPr>
          <w:p w14:paraId="21D35617" w14:textId="77777777" w:rsidR="003C277C" w:rsidRDefault="003C277C" w:rsidP="00AB47CA">
            <w:pPr>
              <w:jc w:val="center"/>
              <w:rPr>
                <w:color w:val="000000"/>
                <w:sz w:val="20"/>
                <w:szCs w:val="20"/>
              </w:rPr>
            </w:pPr>
            <w:r>
              <w:rPr>
                <w:color w:val="000000"/>
                <w:sz w:val="20"/>
                <w:szCs w:val="20"/>
              </w:rPr>
              <w:t>3.44</w:t>
            </w:r>
          </w:p>
        </w:tc>
      </w:tr>
      <w:tr w:rsidR="003C277C" w14:paraId="038EBBA5" w14:textId="77777777" w:rsidTr="00AB47CA">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14:paraId="1561EF24" w14:textId="3A9A2E45" w:rsidR="003C277C" w:rsidRDefault="003C277C" w:rsidP="00AB47CA">
            <w:pPr>
              <w:jc w:val="center"/>
              <w:rPr>
                <w:color w:val="000000"/>
                <w:sz w:val="20"/>
                <w:szCs w:val="20"/>
              </w:rPr>
            </w:pPr>
            <w:r>
              <w:rPr>
                <w:color w:val="000000"/>
                <w:sz w:val="20"/>
                <w:szCs w:val="20"/>
              </w:rPr>
              <w:t>Three-Year Average (2019-2021)</w:t>
            </w:r>
          </w:p>
        </w:tc>
        <w:tc>
          <w:tcPr>
            <w:tcW w:w="2029" w:type="dxa"/>
            <w:tcBorders>
              <w:top w:val="nil"/>
              <w:left w:val="nil"/>
              <w:bottom w:val="single" w:sz="4" w:space="0" w:color="auto"/>
              <w:right w:val="single" w:sz="4" w:space="0" w:color="auto"/>
            </w:tcBorders>
            <w:shd w:val="clear" w:color="auto" w:fill="auto"/>
            <w:noWrap/>
            <w:vAlign w:val="bottom"/>
            <w:hideMark/>
          </w:tcPr>
          <w:p w14:paraId="691FE7F5" w14:textId="77777777" w:rsidR="003C277C" w:rsidRDefault="003C277C" w:rsidP="00AB47CA">
            <w:pPr>
              <w:jc w:val="center"/>
              <w:rPr>
                <w:color w:val="000000"/>
                <w:sz w:val="20"/>
                <w:szCs w:val="20"/>
              </w:rPr>
            </w:pPr>
            <w:r>
              <w:rPr>
                <w:color w:val="000000"/>
                <w:sz w:val="20"/>
                <w:szCs w:val="20"/>
              </w:rPr>
              <w:t>6.43</w:t>
            </w:r>
          </w:p>
        </w:tc>
        <w:tc>
          <w:tcPr>
            <w:tcW w:w="1930" w:type="dxa"/>
            <w:tcBorders>
              <w:top w:val="nil"/>
              <w:left w:val="nil"/>
              <w:bottom w:val="single" w:sz="4" w:space="0" w:color="auto"/>
              <w:right w:val="single" w:sz="4" w:space="0" w:color="auto"/>
            </w:tcBorders>
            <w:shd w:val="clear" w:color="auto" w:fill="auto"/>
            <w:noWrap/>
            <w:vAlign w:val="bottom"/>
            <w:hideMark/>
          </w:tcPr>
          <w:p w14:paraId="08127E78" w14:textId="77777777" w:rsidR="003C277C" w:rsidRDefault="003C277C" w:rsidP="00AB47CA">
            <w:pPr>
              <w:jc w:val="center"/>
              <w:rPr>
                <w:color w:val="000000"/>
                <w:sz w:val="20"/>
                <w:szCs w:val="20"/>
              </w:rPr>
            </w:pPr>
            <w:r>
              <w:rPr>
                <w:color w:val="000000"/>
                <w:sz w:val="20"/>
                <w:szCs w:val="20"/>
              </w:rPr>
              <w:t>3.01</w:t>
            </w:r>
          </w:p>
        </w:tc>
        <w:tc>
          <w:tcPr>
            <w:tcW w:w="1930" w:type="dxa"/>
            <w:tcBorders>
              <w:top w:val="nil"/>
              <w:left w:val="nil"/>
              <w:bottom w:val="single" w:sz="4" w:space="0" w:color="auto"/>
              <w:right w:val="single" w:sz="4" w:space="0" w:color="auto"/>
            </w:tcBorders>
            <w:shd w:val="clear" w:color="auto" w:fill="auto"/>
            <w:noWrap/>
            <w:vAlign w:val="bottom"/>
            <w:hideMark/>
          </w:tcPr>
          <w:p w14:paraId="488A7A9D" w14:textId="77777777" w:rsidR="003C277C" w:rsidRDefault="003C277C" w:rsidP="00AB47CA">
            <w:pPr>
              <w:jc w:val="center"/>
              <w:rPr>
                <w:color w:val="000000"/>
                <w:sz w:val="20"/>
                <w:szCs w:val="20"/>
              </w:rPr>
            </w:pPr>
            <w:r>
              <w:rPr>
                <w:color w:val="000000"/>
                <w:sz w:val="20"/>
                <w:szCs w:val="20"/>
              </w:rPr>
              <w:t>3.42</w:t>
            </w:r>
          </w:p>
        </w:tc>
      </w:tr>
    </w:tbl>
    <w:p w14:paraId="491C2BA0" w14:textId="77777777" w:rsidR="001D65ED" w:rsidRPr="00AB47CA" w:rsidRDefault="001D65ED" w:rsidP="006A6295">
      <w:pPr>
        <w:rPr>
          <w:u w:val="single"/>
        </w:rPr>
      </w:pPr>
    </w:p>
    <w:p w14:paraId="1DB38D4E" w14:textId="77777777" w:rsidR="00B029E5" w:rsidRDefault="006734EF" w:rsidP="00B029E5">
      <w:pPr>
        <w:rPr>
          <w:rFonts w:ascii="Calibri" w:hAnsi="Calibri"/>
          <w:color w:val="000000"/>
          <w:sz w:val="18"/>
          <w:szCs w:val="18"/>
        </w:rPr>
      </w:pPr>
      <w:r>
        <w:t xml:space="preserve">Table 3 summarizes the calculations of drivers’ annual and three-year average burden hours for </w:t>
      </w:r>
      <w:r w:rsidR="004D5578">
        <w:t xml:space="preserve">driver </w:t>
      </w:r>
      <w:r w:rsidRPr="004C35CE">
        <w:t>Task 1</w:t>
      </w:r>
      <w:r>
        <w:t xml:space="preserve">. </w:t>
      </w:r>
      <w:r w:rsidR="00745B90">
        <w:t xml:space="preserve">The Agency assumes </w:t>
      </w:r>
      <w:r w:rsidR="002E7B31">
        <w:t>it takes drivers 2 minutes</w:t>
      </w:r>
      <w:r w:rsidR="00F17FD4">
        <w:t xml:space="preserve"> </w:t>
      </w:r>
      <w:r w:rsidR="00812451">
        <w:t xml:space="preserve">to </w:t>
      </w:r>
      <w:r w:rsidR="00F17FD4">
        <w:t>enter the applicable duty status</w:t>
      </w:r>
      <w:r w:rsidR="00DF63C8">
        <w:t xml:space="preserve"> term or code number, m</w:t>
      </w:r>
      <w:r w:rsidR="00F17FD4">
        <w:t xml:space="preserve">anual </w:t>
      </w:r>
      <w:r w:rsidR="00DF63C8">
        <w:t>inputs</w:t>
      </w:r>
      <w:r w:rsidR="00CA2220">
        <w:t xml:space="preserve"> identifying the CMV and miscellaneous data</w:t>
      </w:r>
      <w:r w:rsidR="00DF63C8">
        <w:t>.</w:t>
      </w:r>
      <w:r w:rsidR="00AC2F02">
        <w:rPr>
          <w:rStyle w:val="FootnoteReference"/>
        </w:rPr>
        <w:footnoteReference w:id="10"/>
      </w:r>
      <w:r w:rsidR="00DF63C8">
        <w:t xml:space="preserve"> </w:t>
      </w:r>
      <w:r w:rsidR="00EB35CB">
        <w:t>The estimate</w:t>
      </w:r>
      <w:r w:rsidR="002D3147">
        <w:t>s</w:t>
      </w:r>
      <w:r w:rsidR="00EB35CB">
        <w:t xml:space="preserve"> of </w:t>
      </w:r>
      <w:r w:rsidR="00A3584F">
        <w:t xml:space="preserve">annual </w:t>
      </w:r>
      <w:r w:rsidR="00EB35CB">
        <w:t xml:space="preserve">total </w:t>
      </w:r>
      <w:r w:rsidR="00AC2F02">
        <w:t xml:space="preserve">minutes per day </w:t>
      </w:r>
      <w:r w:rsidR="00EB35CB">
        <w:t xml:space="preserve">drivers spend on </w:t>
      </w:r>
      <w:r w:rsidR="00783C33">
        <w:t>driver Task 1</w:t>
      </w:r>
      <w:r w:rsidR="00EB35CB">
        <w:t xml:space="preserve"> </w:t>
      </w:r>
      <w:r w:rsidR="002D3147">
        <w:t>are</w:t>
      </w:r>
      <w:r w:rsidR="00CB382B">
        <w:t xml:space="preserve"> </w:t>
      </w:r>
      <w:r w:rsidR="00775AC6">
        <w:t xml:space="preserve">6.80 </w:t>
      </w:r>
      <w:r w:rsidR="006730E9">
        <w:rPr>
          <w:color w:val="000000"/>
        </w:rPr>
        <w:t>million minutes</w:t>
      </w:r>
    </w:p>
    <w:p w14:paraId="43DB4227" w14:textId="77777777" w:rsidR="00E01684" w:rsidRDefault="00EB35CB" w:rsidP="00131E8B">
      <w:r w:rsidRPr="003530E8">
        <w:t>in Year 1</w:t>
      </w:r>
      <w:r w:rsidR="003530E8" w:rsidRPr="003530E8">
        <w:t>,</w:t>
      </w:r>
      <w:r w:rsidRPr="003530E8">
        <w:t xml:space="preserve"> </w:t>
      </w:r>
      <w:r w:rsidR="00775AC6">
        <w:t>6.84</w:t>
      </w:r>
      <w:r w:rsidR="006730E9">
        <w:rPr>
          <w:color w:val="000000"/>
        </w:rPr>
        <w:t xml:space="preserve"> million minutes </w:t>
      </w:r>
      <w:r w:rsidR="00783C33" w:rsidRPr="003530E8" w:rsidDel="003530E8">
        <w:t>in Year 2</w:t>
      </w:r>
      <w:r w:rsidR="00783C33" w:rsidRPr="00783C33" w:rsidDel="003530E8">
        <w:t xml:space="preserve"> </w:t>
      </w:r>
      <w:r w:rsidR="00783C33" w:rsidRPr="003530E8" w:rsidDel="003530E8">
        <w:t xml:space="preserve">and </w:t>
      </w:r>
      <w:r w:rsidR="00775AC6">
        <w:t>6.88</w:t>
      </w:r>
      <w:r w:rsidR="006730E9">
        <w:rPr>
          <w:color w:val="000000"/>
        </w:rPr>
        <w:t xml:space="preserve"> million minutes </w:t>
      </w:r>
      <w:r w:rsidR="00783C33" w:rsidRPr="003530E8">
        <w:t>in Year 3.</w:t>
      </w:r>
      <w:r w:rsidR="00783C33">
        <w:t xml:space="preserve"> </w:t>
      </w:r>
      <w:r w:rsidR="004D5578" w:rsidRPr="003530E8">
        <w:t xml:space="preserve">The three-year average is </w:t>
      </w:r>
      <w:r w:rsidR="00775AC6">
        <w:t xml:space="preserve">6.84 </w:t>
      </w:r>
      <w:r w:rsidR="006730E9">
        <w:t xml:space="preserve">million minutes. </w:t>
      </w:r>
      <w:r w:rsidR="007E4A2F" w:rsidRPr="003530E8">
        <w:t xml:space="preserve">Based on a 240-day work year, drivers are estimated to </w:t>
      </w:r>
      <w:r w:rsidR="007E4A2F">
        <w:t xml:space="preserve">spend on </w:t>
      </w:r>
      <w:r w:rsidR="007E4A2F" w:rsidRPr="003530E8">
        <w:t xml:space="preserve">average </w:t>
      </w:r>
      <w:r w:rsidR="00775AC6">
        <w:t>1,641.</w:t>
      </w:r>
      <w:r w:rsidR="00FB645C">
        <w:t>36</w:t>
      </w:r>
      <w:r w:rsidR="00775AC6">
        <w:t xml:space="preserve"> </w:t>
      </w:r>
      <w:r w:rsidR="006730E9">
        <w:rPr>
          <w:color w:val="000000"/>
        </w:rPr>
        <w:t xml:space="preserve">million </w:t>
      </w:r>
      <w:r w:rsidR="007E4A2F" w:rsidRPr="003530E8">
        <w:t xml:space="preserve">minutes </w:t>
      </w:r>
      <w:r w:rsidR="00F33F6D">
        <w:t>or</w:t>
      </w:r>
      <w:r w:rsidR="006730E9">
        <w:t xml:space="preserve"> </w:t>
      </w:r>
      <w:r w:rsidR="00775AC6">
        <w:t xml:space="preserve">27.36 </w:t>
      </w:r>
      <w:r w:rsidR="006730E9">
        <w:t>million hours</w:t>
      </w:r>
      <w:r w:rsidR="00F33F6D">
        <w:t>,</w:t>
      </w:r>
      <w:r w:rsidR="006730E9">
        <w:t xml:space="preserve"> </w:t>
      </w:r>
      <w:r w:rsidR="007E4A2F" w:rsidRPr="003530E8">
        <w:t>performing this task</w:t>
      </w:r>
      <w:r w:rsidR="006730E9">
        <w:t>.</w:t>
      </w:r>
    </w:p>
    <w:p w14:paraId="0C40AB5A" w14:textId="3B8A4DE6" w:rsidR="00387577" w:rsidRDefault="006730E9" w:rsidP="00131E8B">
      <w:r>
        <w:t xml:space="preserve"> </w:t>
      </w:r>
      <w:r w:rsidR="004D5578" w:rsidRPr="003530E8">
        <w:t xml:space="preserve"> </w:t>
      </w:r>
    </w:p>
    <w:tbl>
      <w:tblPr>
        <w:tblpPr w:leftFromText="4464" w:rightFromText="4464" w:topFromText="288" w:bottomFromText="288" w:vertAnchor="text" w:horzAnchor="margin" w:tblpY="-143"/>
        <w:tblOverlap w:val="never"/>
        <w:tblW w:w="0" w:type="auto"/>
        <w:tblLook w:val="04A0" w:firstRow="1" w:lastRow="0" w:firstColumn="1" w:lastColumn="0" w:noHBand="0" w:noVBand="1"/>
      </w:tblPr>
      <w:tblGrid>
        <w:gridCol w:w="927"/>
        <w:gridCol w:w="1407"/>
        <w:gridCol w:w="1410"/>
        <w:gridCol w:w="1610"/>
        <w:gridCol w:w="1362"/>
        <w:gridCol w:w="1699"/>
        <w:gridCol w:w="1161"/>
      </w:tblGrid>
      <w:tr w:rsidR="00253514" w:rsidRPr="0078220C" w14:paraId="48E17AFA" w14:textId="77777777" w:rsidTr="00972A00">
        <w:trPr>
          <w:trHeight w:hRule="exact" w:val="432"/>
        </w:trPr>
        <w:tc>
          <w:tcPr>
            <w:tcW w:w="0" w:type="auto"/>
            <w:gridSpan w:val="7"/>
            <w:tcBorders>
              <w:bottom w:val="single" w:sz="4" w:space="0" w:color="auto"/>
            </w:tcBorders>
            <w:shd w:val="clear" w:color="auto" w:fill="FFFFFF" w:themeFill="background1"/>
            <w:noWrap/>
            <w:vAlign w:val="bottom"/>
          </w:tcPr>
          <w:p w14:paraId="27FA5026" w14:textId="77777777" w:rsidR="00253514" w:rsidRPr="005479BE" w:rsidRDefault="00253514" w:rsidP="00972A00">
            <w:pPr>
              <w:jc w:val="center"/>
              <w:rPr>
                <w:b/>
                <w:bCs/>
                <w:sz w:val="20"/>
                <w:szCs w:val="20"/>
              </w:rPr>
            </w:pPr>
            <w:r>
              <w:rPr>
                <w:b/>
                <w:bCs/>
                <w:sz w:val="20"/>
                <w:szCs w:val="20"/>
              </w:rPr>
              <w:t xml:space="preserve">Table 3. </w:t>
            </w:r>
            <w:r w:rsidRPr="005479BE">
              <w:rPr>
                <w:b/>
                <w:bCs/>
                <w:sz w:val="20"/>
                <w:szCs w:val="20"/>
              </w:rPr>
              <w:t xml:space="preserve">Driver Task 1 Burden Hours for Filling Out Electronic RODS </w:t>
            </w:r>
          </w:p>
        </w:tc>
      </w:tr>
      <w:tr w:rsidR="00253514" w:rsidRPr="0078220C" w14:paraId="755C8305" w14:textId="77777777" w:rsidTr="00972A00">
        <w:trPr>
          <w:trHeight w:val="97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D379301" w14:textId="77777777" w:rsidR="00253514" w:rsidRPr="005479BE" w:rsidRDefault="00253514" w:rsidP="00972A00">
            <w:pPr>
              <w:rPr>
                <w:color w:val="F2F2F2" w:themeColor="background1" w:themeShade="F2"/>
                <w:sz w:val="20"/>
                <w:szCs w:val="20"/>
              </w:rPr>
            </w:pPr>
            <w:r w:rsidRPr="005479BE">
              <w:rPr>
                <w:color w:val="F2F2F2" w:themeColor="background1" w:themeShade="F2"/>
                <w:sz w:val="20"/>
                <w:szCs w:val="20"/>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280F3A19" w14:textId="77777777" w:rsidR="00253514" w:rsidRDefault="00253514" w:rsidP="00972A00">
            <w:pPr>
              <w:jc w:val="center"/>
              <w:rPr>
                <w:b/>
                <w:bCs/>
                <w:sz w:val="20"/>
                <w:szCs w:val="20"/>
              </w:rPr>
            </w:pPr>
            <w:r w:rsidRPr="005479BE">
              <w:rPr>
                <w:b/>
                <w:bCs/>
                <w:sz w:val="20"/>
                <w:szCs w:val="20"/>
              </w:rPr>
              <w:t>Daily: Number of RODS</w:t>
            </w:r>
          </w:p>
          <w:p w14:paraId="6B34956A" w14:textId="77777777" w:rsidR="00253514" w:rsidRPr="005479BE" w:rsidRDefault="00253514" w:rsidP="00972A00">
            <w:pPr>
              <w:jc w:val="center"/>
              <w:rPr>
                <w:b/>
                <w:bCs/>
                <w:sz w:val="20"/>
                <w:szCs w:val="20"/>
              </w:rPr>
            </w:pPr>
            <w:r>
              <w:rPr>
                <w:b/>
                <w:bCs/>
                <w:sz w:val="20"/>
                <w:szCs w:val="20"/>
              </w:rPr>
              <w:t>(millions)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5B54F685" w14:textId="77777777" w:rsidR="00253514" w:rsidRPr="005479BE" w:rsidRDefault="00253514" w:rsidP="00972A00">
            <w:pPr>
              <w:jc w:val="center"/>
              <w:rPr>
                <w:b/>
                <w:bCs/>
                <w:sz w:val="20"/>
                <w:szCs w:val="20"/>
              </w:rPr>
            </w:pPr>
            <w:r w:rsidRPr="005479BE">
              <w:rPr>
                <w:b/>
                <w:bCs/>
                <w:sz w:val="20"/>
                <w:szCs w:val="20"/>
              </w:rPr>
              <w:t>Minutes Per RODS on Task</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658245A0" w14:textId="77777777" w:rsidR="00253514" w:rsidRPr="005479BE" w:rsidRDefault="00253514" w:rsidP="00972A00">
            <w:pPr>
              <w:jc w:val="center"/>
              <w:rPr>
                <w:b/>
                <w:bCs/>
                <w:sz w:val="20"/>
                <w:szCs w:val="20"/>
              </w:rPr>
            </w:pPr>
            <w:r w:rsidRPr="005479BE">
              <w:rPr>
                <w:b/>
                <w:bCs/>
                <w:sz w:val="20"/>
                <w:szCs w:val="20"/>
              </w:rPr>
              <w:t>Daily Minutes on Task</w:t>
            </w:r>
            <w:r>
              <w:rPr>
                <w:b/>
                <w:bCs/>
                <w:sz w:val="20"/>
                <w:szCs w:val="20"/>
              </w:rPr>
              <w:t xml:space="preserve"> (millions)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51B5E7E3" w14:textId="77777777" w:rsidR="00253514" w:rsidRPr="005479BE" w:rsidRDefault="00253514" w:rsidP="00972A00">
            <w:pPr>
              <w:jc w:val="center"/>
              <w:rPr>
                <w:b/>
                <w:bCs/>
                <w:sz w:val="20"/>
                <w:szCs w:val="20"/>
              </w:rPr>
            </w:pPr>
            <w:r w:rsidRPr="005479BE">
              <w:rPr>
                <w:b/>
                <w:bCs/>
                <w:sz w:val="20"/>
                <w:szCs w:val="20"/>
              </w:rPr>
              <w:t>Working Days Per Year</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4A8DC45C" w14:textId="77777777" w:rsidR="00253514" w:rsidRPr="005479BE" w:rsidRDefault="00253514" w:rsidP="00972A00">
            <w:pPr>
              <w:jc w:val="center"/>
              <w:rPr>
                <w:b/>
                <w:bCs/>
                <w:sz w:val="20"/>
                <w:szCs w:val="20"/>
              </w:rPr>
            </w:pPr>
          </w:p>
          <w:p w14:paraId="3BB2CF8B" w14:textId="77777777" w:rsidR="00253514" w:rsidRPr="005479BE" w:rsidRDefault="00253514" w:rsidP="00972A00">
            <w:pPr>
              <w:jc w:val="center"/>
              <w:rPr>
                <w:b/>
                <w:bCs/>
                <w:sz w:val="20"/>
                <w:szCs w:val="20"/>
              </w:rPr>
            </w:pPr>
            <w:r w:rsidRPr="005479BE">
              <w:rPr>
                <w:b/>
                <w:bCs/>
                <w:sz w:val="20"/>
                <w:szCs w:val="20"/>
              </w:rPr>
              <w:t>Minutes on Task per Year</w:t>
            </w:r>
            <w:r>
              <w:rPr>
                <w:b/>
                <w:bCs/>
                <w:sz w:val="20"/>
                <w:szCs w:val="20"/>
              </w:rPr>
              <w:t xml:space="preserve"> (millions)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55D0E455" w14:textId="77777777" w:rsidR="00253514" w:rsidRDefault="00253514" w:rsidP="00972A00">
            <w:pPr>
              <w:jc w:val="center"/>
              <w:rPr>
                <w:b/>
                <w:bCs/>
                <w:sz w:val="20"/>
                <w:szCs w:val="20"/>
              </w:rPr>
            </w:pPr>
            <w:r w:rsidRPr="005479BE">
              <w:rPr>
                <w:b/>
                <w:bCs/>
                <w:sz w:val="20"/>
                <w:szCs w:val="20"/>
              </w:rPr>
              <w:t>Hours on Task</w:t>
            </w:r>
          </w:p>
          <w:p w14:paraId="49D46CBE" w14:textId="77777777" w:rsidR="00253514" w:rsidRPr="005479BE" w:rsidRDefault="00253514" w:rsidP="00972A00">
            <w:pPr>
              <w:jc w:val="center"/>
              <w:rPr>
                <w:b/>
                <w:bCs/>
                <w:sz w:val="20"/>
                <w:szCs w:val="20"/>
              </w:rPr>
            </w:pPr>
            <w:r>
              <w:rPr>
                <w:b/>
                <w:bCs/>
                <w:sz w:val="20"/>
                <w:szCs w:val="20"/>
              </w:rPr>
              <w:t>(millions)</w:t>
            </w:r>
            <w:r w:rsidRPr="005479BE">
              <w:rPr>
                <w:b/>
                <w:bCs/>
                <w:sz w:val="20"/>
                <w:szCs w:val="20"/>
              </w:rPr>
              <w:t xml:space="preserve"> </w:t>
            </w:r>
          </w:p>
        </w:tc>
      </w:tr>
      <w:tr w:rsidR="00FB645C" w:rsidRPr="00425D60" w14:paraId="02B08444" w14:textId="77777777" w:rsidTr="00110974">
        <w:trPr>
          <w:trHeight w:val="2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1B5A63" w14:textId="77777777" w:rsidR="00FB645C" w:rsidRPr="006A0DBE" w:rsidRDefault="00FB645C" w:rsidP="00110974">
            <w:pPr>
              <w:jc w:val="center"/>
              <w:rPr>
                <w:bCs/>
                <w:color w:val="000000"/>
                <w:sz w:val="20"/>
                <w:szCs w:val="20"/>
              </w:rPr>
            </w:pPr>
            <w:r w:rsidRPr="006A0DBE">
              <w:rPr>
                <w:bCs/>
                <w:color w:val="000000"/>
                <w:sz w:val="20"/>
                <w:szCs w:val="20"/>
              </w:rPr>
              <w:t>Year 1</w:t>
            </w:r>
          </w:p>
        </w:tc>
        <w:tc>
          <w:tcPr>
            <w:tcW w:w="0" w:type="auto"/>
            <w:tcBorders>
              <w:top w:val="nil"/>
              <w:left w:val="nil"/>
              <w:bottom w:val="single" w:sz="4" w:space="0" w:color="auto"/>
              <w:right w:val="single" w:sz="4" w:space="0" w:color="auto"/>
            </w:tcBorders>
            <w:shd w:val="clear" w:color="auto" w:fill="auto"/>
            <w:noWrap/>
            <w:vAlign w:val="bottom"/>
          </w:tcPr>
          <w:p w14:paraId="296786AC" w14:textId="77777777" w:rsidR="00FB645C" w:rsidRPr="00C75299" w:rsidRDefault="00FB645C" w:rsidP="00FB645C">
            <w:pPr>
              <w:jc w:val="center"/>
              <w:rPr>
                <w:color w:val="000000"/>
                <w:sz w:val="20"/>
                <w:szCs w:val="20"/>
              </w:rPr>
            </w:pPr>
            <w:r w:rsidRPr="00C75299">
              <w:rPr>
                <w:sz w:val="20"/>
                <w:szCs w:val="20"/>
              </w:rPr>
              <w:t>3.40</w:t>
            </w:r>
          </w:p>
        </w:tc>
        <w:tc>
          <w:tcPr>
            <w:tcW w:w="0" w:type="auto"/>
            <w:tcBorders>
              <w:top w:val="nil"/>
              <w:left w:val="nil"/>
              <w:bottom w:val="single" w:sz="4" w:space="0" w:color="auto"/>
              <w:right w:val="single" w:sz="4" w:space="0" w:color="auto"/>
            </w:tcBorders>
            <w:shd w:val="clear" w:color="auto" w:fill="auto"/>
            <w:noWrap/>
            <w:vAlign w:val="bottom"/>
          </w:tcPr>
          <w:p w14:paraId="03A62DF5" w14:textId="77777777" w:rsidR="00FB645C" w:rsidRPr="00425D60" w:rsidRDefault="00FB645C" w:rsidP="00FB645C">
            <w:pPr>
              <w:jc w:val="center"/>
              <w:rPr>
                <w:color w:val="000000"/>
                <w:sz w:val="20"/>
                <w:szCs w:val="20"/>
              </w:rPr>
            </w:pPr>
            <w:r w:rsidRPr="00425D60">
              <w:rPr>
                <w:sz w:val="20"/>
                <w:szCs w:val="20"/>
              </w:rPr>
              <w:t>2</w:t>
            </w:r>
          </w:p>
        </w:tc>
        <w:tc>
          <w:tcPr>
            <w:tcW w:w="0" w:type="auto"/>
            <w:tcBorders>
              <w:top w:val="nil"/>
              <w:left w:val="nil"/>
              <w:bottom w:val="single" w:sz="4" w:space="0" w:color="auto"/>
              <w:right w:val="single" w:sz="4" w:space="0" w:color="auto"/>
            </w:tcBorders>
            <w:shd w:val="clear" w:color="auto" w:fill="auto"/>
            <w:noWrap/>
            <w:vAlign w:val="bottom"/>
          </w:tcPr>
          <w:p w14:paraId="193DCFB2" w14:textId="77777777" w:rsidR="00FB645C" w:rsidRPr="00C75299" w:rsidRDefault="00FB645C" w:rsidP="00FB645C">
            <w:pPr>
              <w:jc w:val="center"/>
              <w:rPr>
                <w:color w:val="000000"/>
                <w:sz w:val="20"/>
                <w:szCs w:val="20"/>
              </w:rPr>
            </w:pPr>
            <w:r w:rsidRPr="002474E3">
              <w:rPr>
                <w:sz w:val="20"/>
                <w:szCs w:val="20"/>
              </w:rPr>
              <w:t>6.80</w:t>
            </w:r>
          </w:p>
        </w:tc>
        <w:tc>
          <w:tcPr>
            <w:tcW w:w="0" w:type="auto"/>
            <w:tcBorders>
              <w:top w:val="nil"/>
              <w:left w:val="nil"/>
              <w:bottom w:val="single" w:sz="4" w:space="0" w:color="auto"/>
              <w:right w:val="single" w:sz="4" w:space="0" w:color="auto"/>
            </w:tcBorders>
            <w:shd w:val="clear" w:color="auto" w:fill="auto"/>
            <w:noWrap/>
            <w:vAlign w:val="bottom"/>
          </w:tcPr>
          <w:p w14:paraId="7355A246" w14:textId="77777777" w:rsidR="00FB645C" w:rsidRPr="00425D60" w:rsidRDefault="00FB645C" w:rsidP="00FB645C">
            <w:pPr>
              <w:jc w:val="center"/>
              <w:rPr>
                <w:color w:val="000000"/>
                <w:sz w:val="20"/>
                <w:szCs w:val="20"/>
              </w:rPr>
            </w:pPr>
            <w:r w:rsidRPr="00425D60">
              <w:rPr>
                <w:color w:val="000000"/>
                <w:sz w:val="20"/>
                <w:szCs w:val="20"/>
              </w:rPr>
              <w:t>240</w:t>
            </w:r>
          </w:p>
        </w:tc>
        <w:tc>
          <w:tcPr>
            <w:tcW w:w="0" w:type="auto"/>
            <w:tcBorders>
              <w:top w:val="nil"/>
              <w:left w:val="nil"/>
              <w:bottom w:val="single" w:sz="4" w:space="0" w:color="auto"/>
              <w:right w:val="single" w:sz="4" w:space="0" w:color="auto"/>
            </w:tcBorders>
            <w:shd w:val="clear" w:color="auto" w:fill="auto"/>
            <w:noWrap/>
            <w:vAlign w:val="bottom"/>
          </w:tcPr>
          <w:p w14:paraId="373F43A1" w14:textId="77777777" w:rsidR="00FB645C" w:rsidRPr="00110974" w:rsidRDefault="00FB645C" w:rsidP="00FB645C">
            <w:pPr>
              <w:jc w:val="center"/>
              <w:rPr>
                <w:color w:val="000000"/>
                <w:sz w:val="20"/>
                <w:szCs w:val="20"/>
              </w:rPr>
            </w:pPr>
            <w:r w:rsidRPr="00110974">
              <w:rPr>
                <w:sz w:val="20"/>
                <w:szCs w:val="20"/>
              </w:rPr>
              <w:t>1,631.64</w:t>
            </w:r>
          </w:p>
        </w:tc>
        <w:tc>
          <w:tcPr>
            <w:tcW w:w="0" w:type="auto"/>
            <w:tcBorders>
              <w:top w:val="nil"/>
              <w:left w:val="nil"/>
              <w:bottom w:val="single" w:sz="4" w:space="0" w:color="auto"/>
              <w:right w:val="single" w:sz="4" w:space="0" w:color="auto"/>
            </w:tcBorders>
            <w:shd w:val="clear" w:color="auto" w:fill="auto"/>
            <w:noWrap/>
            <w:vAlign w:val="bottom"/>
          </w:tcPr>
          <w:p w14:paraId="1112360E" w14:textId="77777777" w:rsidR="00FB645C" w:rsidRPr="002474E3" w:rsidRDefault="00FB645C" w:rsidP="00FB645C">
            <w:pPr>
              <w:jc w:val="center"/>
              <w:rPr>
                <w:color w:val="000000"/>
                <w:sz w:val="20"/>
                <w:szCs w:val="20"/>
              </w:rPr>
            </w:pPr>
            <w:r w:rsidRPr="002474E3">
              <w:rPr>
                <w:sz w:val="20"/>
                <w:szCs w:val="20"/>
              </w:rPr>
              <w:t>27.19</w:t>
            </w:r>
          </w:p>
        </w:tc>
      </w:tr>
      <w:tr w:rsidR="00FB645C" w:rsidRPr="00425D60" w14:paraId="6C1169EB" w14:textId="77777777" w:rsidTr="00110974">
        <w:trPr>
          <w:trHeight w:val="2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CEDBA0" w14:textId="77777777" w:rsidR="00FB645C" w:rsidRPr="006A0DBE" w:rsidRDefault="00FB645C" w:rsidP="00110974">
            <w:pPr>
              <w:jc w:val="center"/>
              <w:rPr>
                <w:bCs/>
                <w:color w:val="000000"/>
                <w:sz w:val="20"/>
                <w:szCs w:val="20"/>
              </w:rPr>
            </w:pPr>
            <w:r w:rsidRPr="006A0DBE">
              <w:rPr>
                <w:bCs/>
                <w:color w:val="000000"/>
                <w:sz w:val="20"/>
                <w:szCs w:val="20"/>
              </w:rPr>
              <w:t>Year 2</w:t>
            </w:r>
          </w:p>
        </w:tc>
        <w:tc>
          <w:tcPr>
            <w:tcW w:w="0" w:type="auto"/>
            <w:tcBorders>
              <w:top w:val="nil"/>
              <w:left w:val="nil"/>
              <w:bottom w:val="single" w:sz="4" w:space="0" w:color="auto"/>
              <w:right w:val="single" w:sz="4" w:space="0" w:color="auto"/>
            </w:tcBorders>
            <w:shd w:val="clear" w:color="auto" w:fill="auto"/>
            <w:noWrap/>
            <w:vAlign w:val="bottom"/>
          </w:tcPr>
          <w:p w14:paraId="42CC6870" w14:textId="77777777" w:rsidR="00FB645C" w:rsidRPr="00C75299" w:rsidRDefault="00FB645C" w:rsidP="00FB645C">
            <w:pPr>
              <w:jc w:val="center"/>
              <w:rPr>
                <w:color w:val="000000"/>
                <w:sz w:val="20"/>
                <w:szCs w:val="20"/>
              </w:rPr>
            </w:pPr>
            <w:r w:rsidRPr="00C75299">
              <w:rPr>
                <w:sz w:val="20"/>
                <w:szCs w:val="20"/>
              </w:rPr>
              <w:t>3.42</w:t>
            </w:r>
          </w:p>
        </w:tc>
        <w:tc>
          <w:tcPr>
            <w:tcW w:w="0" w:type="auto"/>
            <w:tcBorders>
              <w:top w:val="nil"/>
              <w:left w:val="nil"/>
              <w:bottom w:val="single" w:sz="4" w:space="0" w:color="auto"/>
              <w:right w:val="single" w:sz="4" w:space="0" w:color="auto"/>
            </w:tcBorders>
            <w:shd w:val="clear" w:color="auto" w:fill="auto"/>
            <w:noWrap/>
            <w:vAlign w:val="bottom"/>
          </w:tcPr>
          <w:p w14:paraId="36CF5CF7" w14:textId="77777777" w:rsidR="00FB645C" w:rsidRPr="00425D60" w:rsidRDefault="00FB645C" w:rsidP="00FB645C">
            <w:pPr>
              <w:jc w:val="center"/>
              <w:rPr>
                <w:color w:val="000000"/>
                <w:sz w:val="20"/>
                <w:szCs w:val="20"/>
              </w:rPr>
            </w:pPr>
            <w:r w:rsidRPr="00425D60">
              <w:rPr>
                <w:sz w:val="20"/>
                <w:szCs w:val="20"/>
              </w:rPr>
              <w:t>2</w:t>
            </w:r>
          </w:p>
        </w:tc>
        <w:tc>
          <w:tcPr>
            <w:tcW w:w="0" w:type="auto"/>
            <w:tcBorders>
              <w:top w:val="nil"/>
              <w:left w:val="nil"/>
              <w:bottom w:val="single" w:sz="4" w:space="0" w:color="auto"/>
              <w:right w:val="single" w:sz="4" w:space="0" w:color="auto"/>
            </w:tcBorders>
            <w:shd w:val="clear" w:color="auto" w:fill="auto"/>
            <w:noWrap/>
            <w:vAlign w:val="bottom"/>
          </w:tcPr>
          <w:p w14:paraId="4C2E461F" w14:textId="77777777" w:rsidR="00FB645C" w:rsidRPr="00C75299" w:rsidRDefault="00FB645C" w:rsidP="00FB645C">
            <w:pPr>
              <w:jc w:val="center"/>
              <w:rPr>
                <w:color w:val="000000"/>
                <w:sz w:val="20"/>
                <w:szCs w:val="20"/>
              </w:rPr>
            </w:pPr>
            <w:r w:rsidRPr="002474E3">
              <w:rPr>
                <w:sz w:val="20"/>
                <w:szCs w:val="20"/>
              </w:rPr>
              <w:t>6.84</w:t>
            </w:r>
          </w:p>
        </w:tc>
        <w:tc>
          <w:tcPr>
            <w:tcW w:w="0" w:type="auto"/>
            <w:tcBorders>
              <w:top w:val="nil"/>
              <w:left w:val="nil"/>
              <w:bottom w:val="single" w:sz="4" w:space="0" w:color="auto"/>
              <w:right w:val="single" w:sz="4" w:space="0" w:color="auto"/>
            </w:tcBorders>
            <w:shd w:val="clear" w:color="auto" w:fill="auto"/>
            <w:noWrap/>
            <w:vAlign w:val="bottom"/>
          </w:tcPr>
          <w:p w14:paraId="2644FDA9" w14:textId="77777777" w:rsidR="00FB645C" w:rsidRPr="00425D60" w:rsidRDefault="00FB645C" w:rsidP="00FB645C">
            <w:pPr>
              <w:jc w:val="center"/>
              <w:rPr>
                <w:color w:val="000000"/>
                <w:sz w:val="20"/>
                <w:szCs w:val="20"/>
              </w:rPr>
            </w:pPr>
            <w:r w:rsidRPr="00425D60">
              <w:rPr>
                <w:color w:val="000000"/>
                <w:sz w:val="20"/>
                <w:szCs w:val="20"/>
              </w:rPr>
              <w:t>240</w:t>
            </w:r>
          </w:p>
        </w:tc>
        <w:tc>
          <w:tcPr>
            <w:tcW w:w="0" w:type="auto"/>
            <w:tcBorders>
              <w:top w:val="nil"/>
              <w:left w:val="nil"/>
              <w:bottom w:val="single" w:sz="4" w:space="0" w:color="auto"/>
              <w:right w:val="single" w:sz="4" w:space="0" w:color="auto"/>
            </w:tcBorders>
            <w:shd w:val="clear" w:color="auto" w:fill="auto"/>
            <w:noWrap/>
            <w:vAlign w:val="bottom"/>
          </w:tcPr>
          <w:p w14:paraId="3FC41389" w14:textId="77777777" w:rsidR="00FB645C" w:rsidRPr="00110974" w:rsidRDefault="00FB645C" w:rsidP="00FB645C">
            <w:pPr>
              <w:jc w:val="center"/>
              <w:rPr>
                <w:color w:val="000000"/>
                <w:sz w:val="20"/>
                <w:szCs w:val="20"/>
              </w:rPr>
            </w:pPr>
            <w:r w:rsidRPr="00110974">
              <w:rPr>
                <w:sz w:val="20"/>
                <w:szCs w:val="20"/>
              </w:rPr>
              <w:t>1,641.34</w:t>
            </w:r>
          </w:p>
        </w:tc>
        <w:tc>
          <w:tcPr>
            <w:tcW w:w="0" w:type="auto"/>
            <w:tcBorders>
              <w:top w:val="nil"/>
              <w:left w:val="nil"/>
              <w:bottom w:val="single" w:sz="4" w:space="0" w:color="auto"/>
              <w:right w:val="single" w:sz="4" w:space="0" w:color="auto"/>
            </w:tcBorders>
            <w:shd w:val="clear" w:color="auto" w:fill="auto"/>
            <w:noWrap/>
            <w:vAlign w:val="bottom"/>
          </w:tcPr>
          <w:p w14:paraId="602E521F" w14:textId="77777777" w:rsidR="00FB645C" w:rsidRPr="002474E3" w:rsidRDefault="00FB645C" w:rsidP="00FB645C">
            <w:pPr>
              <w:jc w:val="center"/>
              <w:rPr>
                <w:color w:val="000000"/>
                <w:sz w:val="20"/>
                <w:szCs w:val="20"/>
              </w:rPr>
            </w:pPr>
            <w:r w:rsidRPr="002474E3">
              <w:rPr>
                <w:sz w:val="20"/>
                <w:szCs w:val="20"/>
              </w:rPr>
              <w:t>27.36</w:t>
            </w:r>
          </w:p>
        </w:tc>
      </w:tr>
      <w:tr w:rsidR="00FB645C" w:rsidRPr="00425D60" w14:paraId="01F91C23" w14:textId="77777777" w:rsidTr="00110974">
        <w:trPr>
          <w:trHeight w:val="2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194378" w14:textId="77777777" w:rsidR="00FB645C" w:rsidRPr="006A0DBE" w:rsidRDefault="00FB645C" w:rsidP="00110974">
            <w:pPr>
              <w:jc w:val="center"/>
              <w:rPr>
                <w:bCs/>
                <w:color w:val="000000"/>
                <w:sz w:val="20"/>
                <w:szCs w:val="20"/>
              </w:rPr>
            </w:pPr>
            <w:r w:rsidRPr="006A0DBE">
              <w:rPr>
                <w:bCs/>
                <w:color w:val="000000"/>
                <w:sz w:val="20"/>
                <w:szCs w:val="20"/>
              </w:rPr>
              <w:t>Year 3</w:t>
            </w:r>
          </w:p>
        </w:tc>
        <w:tc>
          <w:tcPr>
            <w:tcW w:w="0" w:type="auto"/>
            <w:tcBorders>
              <w:top w:val="nil"/>
              <w:left w:val="nil"/>
              <w:bottom w:val="single" w:sz="4" w:space="0" w:color="auto"/>
              <w:right w:val="single" w:sz="4" w:space="0" w:color="auto"/>
            </w:tcBorders>
            <w:shd w:val="clear" w:color="auto" w:fill="auto"/>
            <w:noWrap/>
            <w:vAlign w:val="bottom"/>
          </w:tcPr>
          <w:p w14:paraId="2B3E5066" w14:textId="77777777" w:rsidR="00FB645C" w:rsidRPr="00C75299" w:rsidRDefault="00FB645C" w:rsidP="00FB645C">
            <w:pPr>
              <w:jc w:val="center"/>
              <w:rPr>
                <w:color w:val="000000"/>
                <w:sz w:val="20"/>
                <w:szCs w:val="20"/>
              </w:rPr>
            </w:pPr>
            <w:r w:rsidRPr="00C75299">
              <w:rPr>
                <w:sz w:val="20"/>
                <w:szCs w:val="20"/>
              </w:rPr>
              <w:t>3.44</w:t>
            </w:r>
          </w:p>
        </w:tc>
        <w:tc>
          <w:tcPr>
            <w:tcW w:w="0" w:type="auto"/>
            <w:tcBorders>
              <w:top w:val="nil"/>
              <w:left w:val="nil"/>
              <w:bottom w:val="single" w:sz="4" w:space="0" w:color="auto"/>
              <w:right w:val="single" w:sz="4" w:space="0" w:color="auto"/>
            </w:tcBorders>
            <w:shd w:val="clear" w:color="auto" w:fill="auto"/>
            <w:noWrap/>
            <w:vAlign w:val="bottom"/>
          </w:tcPr>
          <w:p w14:paraId="109F31FF" w14:textId="77777777" w:rsidR="00FB645C" w:rsidRPr="00425D60" w:rsidRDefault="00FB645C" w:rsidP="00FB645C">
            <w:pPr>
              <w:jc w:val="center"/>
              <w:rPr>
                <w:color w:val="000000"/>
                <w:sz w:val="20"/>
                <w:szCs w:val="20"/>
              </w:rPr>
            </w:pPr>
            <w:r w:rsidRPr="00425D60">
              <w:rPr>
                <w:sz w:val="20"/>
                <w:szCs w:val="20"/>
              </w:rPr>
              <w:t>2</w:t>
            </w:r>
          </w:p>
        </w:tc>
        <w:tc>
          <w:tcPr>
            <w:tcW w:w="0" w:type="auto"/>
            <w:tcBorders>
              <w:top w:val="nil"/>
              <w:left w:val="nil"/>
              <w:bottom w:val="single" w:sz="4" w:space="0" w:color="auto"/>
              <w:right w:val="single" w:sz="4" w:space="0" w:color="auto"/>
            </w:tcBorders>
            <w:shd w:val="clear" w:color="auto" w:fill="auto"/>
            <w:noWrap/>
            <w:vAlign w:val="bottom"/>
          </w:tcPr>
          <w:p w14:paraId="464DCE6A" w14:textId="77777777" w:rsidR="00FB645C" w:rsidRPr="00C75299" w:rsidRDefault="00FB645C" w:rsidP="00FB645C">
            <w:pPr>
              <w:jc w:val="center"/>
              <w:rPr>
                <w:color w:val="000000"/>
                <w:sz w:val="20"/>
                <w:szCs w:val="20"/>
              </w:rPr>
            </w:pPr>
            <w:r w:rsidRPr="002474E3">
              <w:rPr>
                <w:sz w:val="20"/>
                <w:szCs w:val="20"/>
              </w:rPr>
              <w:t>6.88</w:t>
            </w:r>
          </w:p>
        </w:tc>
        <w:tc>
          <w:tcPr>
            <w:tcW w:w="0" w:type="auto"/>
            <w:tcBorders>
              <w:top w:val="nil"/>
              <w:left w:val="nil"/>
              <w:bottom w:val="single" w:sz="4" w:space="0" w:color="auto"/>
              <w:right w:val="single" w:sz="4" w:space="0" w:color="auto"/>
            </w:tcBorders>
            <w:shd w:val="clear" w:color="auto" w:fill="auto"/>
            <w:noWrap/>
            <w:vAlign w:val="bottom"/>
          </w:tcPr>
          <w:p w14:paraId="31F49CFD" w14:textId="77777777" w:rsidR="00FB645C" w:rsidRPr="00425D60" w:rsidRDefault="00FB645C" w:rsidP="00FB645C">
            <w:pPr>
              <w:jc w:val="center"/>
              <w:rPr>
                <w:color w:val="000000"/>
                <w:sz w:val="20"/>
                <w:szCs w:val="20"/>
              </w:rPr>
            </w:pPr>
            <w:r w:rsidRPr="00425D60">
              <w:rPr>
                <w:color w:val="000000"/>
                <w:sz w:val="20"/>
                <w:szCs w:val="20"/>
              </w:rPr>
              <w:t>240</w:t>
            </w:r>
          </w:p>
        </w:tc>
        <w:tc>
          <w:tcPr>
            <w:tcW w:w="0" w:type="auto"/>
            <w:tcBorders>
              <w:top w:val="nil"/>
              <w:left w:val="nil"/>
              <w:bottom w:val="single" w:sz="4" w:space="0" w:color="auto"/>
              <w:right w:val="single" w:sz="4" w:space="0" w:color="auto"/>
            </w:tcBorders>
            <w:shd w:val="clear" w:color="auto" w:fill="auto"/>
            <w:noWrap/>
            <w:vAlign w:val="bottom"/>
          </w:tcPr>
          <w:p w14:paraId="10375FA5" w14:textId="77777777" w:rsidR="00FB645C" w:rsidRPr="00110974" w:rsidRDefault="00FB645C" w:rsidP="00FB645C">
            <w:pPr>
              <w:jc w:val="center"/>
              <w:rPr>
                <w:color w:val="000000"/>
                <w:sz w:val="20"/>
                <w:szCs w:val="20"/>
              </w:rPr>
            </w:pPr>
            <w:r w:rsidRPr="00110974">
              <w:rPr>
                <w:sz w:val="20"/>
                <w:szCs w:val="20"/>
              </w:rPr>
              <w:t>1,651.10</w:t>
            </w:r>
          </w:p>
        </w:tc>
        <w:tc>
          <w:tcPr>
            <w:tcW w:w="0" w:type="auto"/>
            <w:tcBorders>
              <w:top w:val="nil"/>
              <w:left w:val="nil"/>
              <w:bottom w:val="single" w:sz="4" w:space="0" w:color="auto"/>
              <w:right w:val="single" w:sz="4" w:space="0" w:color="auto"/>
            </w:tcBorders>
            <w:shd w:val="clear" w:color="auto" w:fill="auto"/>
            <w:noWrap/>
            <w:vAlign w:val="bottom"/>
          </w:tcPr>
          <w:p w14:paraId="375CE63A" w14:textId="77777777" w:rsidR="00FB645C" w:rsidRPr="002474E3" w:rsidRDefault="00FB645C" w:rsidP="00FB645C">
            <w:pPr>
              <w:jc w:val="center"/>
              <w:rPr>
                <w:color w:val="000000"/>
                <w:sz w:val="20"/>
                <w:szCs w:val="20"/>
              </w:rPr>
            </w:pPr>
            <w:r w:rsidRPr="002474E3">
              <w:rPr>
                <w:sz w:val="20"/>
                <w:szCs w:val="20"/>
              </w:rPr>
              <w:t>27.52</w:t>
            </w:r>
          </w:p>
        </w:tc>
      </w:tr>
      <w:tr w:rsidR="00FB645C" w:rsidRPr="00425D60" w14:paraId="21CA4561" w14:textId="77777777" w:rsidTr="00110974">
        <w:trPr>
          <w:trHeight w:val="2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B90EC1" w14:textId="77777777" w:rsidR="00FB645C" w:rsidRPr="006A0DBE" w:rsidRDefault="00FB645C" w:rsidP="00110974">
            <w:pPr>
              <w:jc w:val="center"/>
              <w:rPr>
                <w:b/>
                <w:bCs/>
                <w:color w:val="000000"/>
                <w:sz w:val="20"/>
                <w:szCs w:val="20"/>
              </w:rPr>
            </w:pPr>
            <w:r w:rsidRPr="006A0DBE">
              <w:rPr>
                <w:b/>
                <w:bCs/>
                <w:color w:val="000000"/>
                <w:sz w:val="20"/>
                <w:szCs w:val="20"/>
              </w:rPr>
              <w:t>Average</w:t>
            </w:r>
          </w:p>
        </w:tc>
        <w:tc>
          <w:tcPr>
            <w:tcW w:w="0" w:type="auto"/>
            <w:tcBorders>
              <w:top w:val="nil"/>
              <w:left w:val="nil"/>
              <w:bottom w:val="single" w:sz="4" w:space="0" w:color="auto"/>
              <w:right w:val="single" w:sz="4" w:space="0" w:color="auto"/>
            </w:tcBorders>
            <w:shd w:val="clear" w:color="auto" w:fill="auto"/>
            <w:noWrap/>
            <w:vAlign w:val="bottom"/>
          </w:tcPr>
          <w:p w14:paraId="7277EA1D" w14:textId="77777777" w:rsidR="00FB645C" w:rsidRPr="00C75299" w:rsidRDefault="00FB645C" w:rsidP="00FB645C">
            <w:pPr>
              <w:jc w:val="center"/>
              <w:rPr>
                <w:color w:val="000000"/>
                <w:sz w:val="20"/>
                <w:szCs w:val="20"/>
              </w:rPr>
            </w:pPr>
            <w:r w:rsidRPr="00C75299">
              <w:rPr>
                <w:sz w:val="20"/>
                <w:szCs w:val="20"/>
              </w:rPr>
              <w:t>3.42</w:t>
            </w:r>
          </w:p>
        </w:tc>
        <w:tc>
          <w:tcPr>
            <w:tcW w:w="0" w:type="auto"/>
            <w:tcBorders>
              <w:top w:val="nil"/>
              <w:left w:val="nil"/>
              <w:bottom w:val="single" w:sz="4" w:space="0" w:color="auto"/>
              <w:right w:val="single" w:sz="4" w:space="0" w:color="auto"/>
            </w:tcBorders>
            <w:shd w:val="clear" w:color="auto" w:fill="auto"/>
            <w:noWrap/>
            <w:vAlign w:val="bottom"/>
          </w:tcPr>
          <w:p w14:paraId="7D5D4FDF" w14:textId="77777777" w:rsidR="00FB645C" w:rsidRPr="00425D60" w:rsidRDefault="00FB645C" w:rsidP="00FB645C">
            <w:pPr>
              <w:jc w:val="center"/>
              <w:rPr>
                <w:color w:val="000000"/>
                <w:sz w:val="20"/>
                <w:szCs w:val="20"/>
              </w:rPr>
            </w:pPr>
            <w:r w:rsidRPr="00425D60">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bottom"/>
          </w:tcPr>
          <w:p w14:paraId="7FCE093B" w14:textId="77777777" w:rsidR="00FB645C" w:rsidRPr="00C75299" w:rsidRDefault="00FB645C" w:rsidP="00FB645C">
            <w:pPr>
              <w:jc w:val="center"/>
              <w:rPr>
                <w:color w:val="000000"/>
                <w:sz w:val="20"/>
                <w:szCs w:val="20"/>
              </w:rPr>
            </w:pPr>
            <w:r w:rsidRPr="002474E3">
              <w:rPr>
                <w:sz w:val="20"/>
                <w:szCs w:val="20"/>
              </w:rPr>
              <w:t>6.84</w:t>
            </w:r>
          </w:p>
        </w:tc>
        <w:tc>
          <w:tcPr>
            <w:tcW w:w="0" w:type="auto"/>
            <w:tcBorders>
              <w:top w:val="nil"/>
              <w:left w:val="nil"/>
              <w:bottom w:val="single" w:sz="4" w:space="0" w:color="auto"/>
              <w:right w:val="single" w:sz="4" w:space="0" w:color="auto"/>
            </w:tcBorders>
            <w:shd w:val="clear" w:color="auto" w:fill="auto"/>
            <w:vAlign w:val="bottom"/>
          </w:tcPr>
          <w:p w14:paraId="1E4519F1" w14:textId="77777777" w:rsidR="00FB645C" w:rsidRPr="00425D60" w:rsidRDefault="00FB645C" w:rsidP="00FB645C">
            <w:pPr>
              <w:jc w:val="center"/>
              <w:rPr>
                <w:color w:val="000000"/>
                <w:sz w:val="20"/>
                <w:szCs w:val="20"/>
              </w:rPr>
            </w:pPr>
            <w:r w:rsidRPr="00425D60">
              <w:rPr>
                <w:color w:val="000000"/>
                <w:sz w:val="20"/>
                <w:szCs w:val="20"/>
              </w:rPr>
              <w:t>240</w:t>
            </w:r>
          </w:p>
        </w:tc>
        <w:tc>
          <w:tcPr>
            <w:tcW w:w="0" w:type="auto"/>
            <w:tcBorders>
              <w:top w:val="nil"/>
              <w:left w:val="nil"/>
              <w:bottom w:val="single" w:sz="4" w:space="0" w:color="auto"/>
              <w:right w:val="single" w:sz="4" w:space="0" w:color="auto"/>
            </w:tcBorders>
            <w:shd w:val="clear" w:color="auto" w:fill="auto"/>
            <w:vAlign w:val="bottom"/>
          </w:tcPr>
          <w:p w14:paraId="5C00EF9E" w14:textId="77777777" w:rsidR="00FB645C" w:rsidRPr="00110974" w:rsidRDefault="00FB645C" w:rsidP="00FB645C">
            <w:pPr>
              <w:jc w:val="center"/>
              <w:rPr>
                <w:color w:val="000000"/>
                <w:sz w:val="20"/>
                <w:szCs w:val="20"/>
              </w:rPr>
            </w:pPr>
            <w:r w:rsidRPr="00110974">
              <w:rPr>
                <w:sz w:val="20"/>
                <w:szCs w:val="20"/>
              </w:rPr>
              <w:t>1,641.36</w:t>
            </w:r>
          </w:p>
        </w:tc>
        <w:tc>
          <w:tcPr>
            <w:tcW w:w="0" w:type="auto"/>
            <w:tcBorders>
              <w:top w:val="nil"/>
              <w:left w:val="nil"/>
              <w:bottom w:val="single" w:sz="4" w:space="0" w:color="auto"/>
              <w:right w:val="single" w:sz="4" w:space="0" w:color="auto"/>
            </w:tcBorders>
            <w:shd w:val="clear" w:color="auto" w:fill="auto"/>
            <w:noWrap/>
            <w:vAlign w:val="bottom"/>
          </w:tcPr>
          <w:p w14:paraId="2AF55BAA" w14:textId="77777777" w:rsidR="00FB645C" w:rsidRPr="002474E3" w:rsidRDefault="00FB645C" w:rsidP="00FB645C">
            <w:pPr>
              <w:jc w:val="center"/>
              <w:rPr>
                <w:color w:val="000000"/>
                <w:sz w:val="20"/>
                <w:szCs w:val="20"/>
              </w:rPr>
            </w:pPr>
            <w:r w:rsidRPr="002474E3">
              <w:rPr>
                <w:sz w:val="20"/>
                <w:szCs w:val="20"/>
              </w:rPr>
              <w:t>27.36</w:t>
            </w:r>
          </w:p>
        </w:tc>
      </w:tr>
    </w:tbl>
    <w:p w14:paraId="56689AA5" w14:textId="0F7985D2" w:rsidR="00F173B4" w:rsidRDefault="00047228" w:rsidP="0078220C">
      <w:r>
        <w:t>The current</w:t>
      </w:r>
      <w:r w:rsidR="00B82DAE">
        <w:t>ly approved</w:t>
      </w:r>
      <w:r>
        <w:t xml:space="preserve"> IC</w:t>
      </w:r>
      <w:r w:rsidR="00B82DAE">
        <w:t>R</w:t>
      </w:r>
      <w:r>
        <w:t xml:space="preserve"> estimate</w:t>
      </w:r>
      <w:r w:rsidR="008103A8">
        <w:t xml:space="preserve">d </w:t>
      </w:r>
      <w:r>
        <w:t xml:space="preserve">driver burden hours </w:t>
      </w:r>
      <w:r w:rsidR="00DD1E8A">
        <w:t>assum</w:t>
      </w:r>
      <w:r w:rsidR="008103A8">
        <w:t>ing</w:t>
      </w:r>
      <w:r w:rsidR="00DD1E8A">
        <w:t xml:space="preserve"> voluntary use of ELDs in Year 1 and Year 2, which immediately precede</w:t>
      </w:r>
      <w:r w:rsidR="00240E54">
        <w:t>d</w:t>
      </w:r>
      <w:r w:rsidR="00DD1E8A">
        <w:t xml:space="preserve"> the </w:t>
      </w:r>
      <w:r>
        <w:t>ELD rule compliance date</w:t>
      </w:r>
      <w:r w:rsidR="004D5578">
        <w:t xml:space="preserve"> for a fraction of the affected driver population</w:t>
      </w:r>
      <w:r w:rsidR="008103A8">
        <w:t>.</w:t>
      </w:r>
      <w:r w:rsidR="00DD1E8A">
        <w:t xml:space="preserve"> In Year 1</w:t>
      </w:r>
      <w:r w:rsidR="004D5578">
        <w:t>,</w:t>
      </w:r>
      <w:r>
        <w:t xml:space="preserve"> </w:t>
      </w:r>
      <w:r w:rsidR="00DD1E8A">
        <w:t xml:space="preserve">20 percent of the driver population </w:t>
      </w:r>
      <w:r w:rsidR="00425D60">
        <w:t xml:space="preserve">was </w:t>
      </w:r>
      <w:r w:rsidR="00DD1E8A">
        <w:t>assumed to operate ELD equipped CMVs. In Year 2, 22 percent</w:t>
      </w:r>
      <w:r w:rsidR="00775AC6">
        <w:t xml:space="preserve"> of the population was</w:t>
      </w:r>
      <w:r w:rsidR="00DD1E8A">
        <w:t xml:space="preserve"> assumed to operate ELD equipped CMVs</w:t>
      </w:r>
      <w:r>
        <w:t>.</w:t>
      </w:r>
      <w:r w:rsidR="00DD1E8A">
        <w:t xml:space="preserve"> </w:t>
      </w:r>
      <w:r w:rsidR="008103A8">
        <w:t xml:space="preserve">Year 3 assumed 100 percent compliance with the ELD rule. Thus, </w:t>
      </w:r>
      <w:r w:rsidR="00425D60">
        <w:t xml:space="preserve">driver </w:t>
      </w:r>
      <w:r w:rsidR="00F424D2">
        <w:t>Task 2</w:t>
      </w:r>
      <w:r w:rsidR="008103A8">
        <w:t xml:space="preserve"> burden hours for Year 1 and Year 2 </w:t>
      </w:r>
      <w:r w:rsidR="00425D60">
        <w:t xml:space="preserve">were </w:t>
      </w:r>
      <w:r w:rsidR="008103A8">
        <w:t xml:space="preserve">estimated burden hours for </w:t>
      </w:r>
      <w:r w:rsidR="007A4C7F">
        <w:t xml:space="preserve">roughly </w:t>
      </w:r>
      <w:r w:rsidR="008103A8">
        <w:t xml:space="preserve">80 percent of the driver population </w:t>
      </w:r>
      <w:r w:rsidR="007A4C7F">
        <w:t xml:space="preserve">that continued to </w:t>
      </w:r>
      <w:r w:rsidR="008103A8">
        <w:t>forward paper RODS</w:t>
      </w:r>
      <w:r w:rsidR="007A4C7F">
        <w:t xml:space="preserve"> to motor carriers</w:t>
      </w:r>
      <w:r w:rsidR="008103A8">
        <w:t xml:space="preserve">. Burden hours were eliminated for the portion of the driver population operating CMVs </w:t>
      </w:r>
      <w:r w:rsidR="007A4C7F">
        <w:t xml:space="preserve">voluntarily </w:t>
      </w:r>
      <w:r w:rsidR="008103A8">
        <w:t xml:space="preserve">equipped </w:t>
      </w:r>
      <w:r w:rsidR="007A4C7F">
        <w:t>with ELD</w:t>
      </w:r>
      <w:r w:rsidR="006841B2">
        <w:t>s</w:t>
      </w:r>
      <w:r w:rsidR="007A4C7F">
        <w:t xml:space="preserve">. </w:t>
      </w:r>
      <w:r w:rsidR="008103A8">
        <w:t xml:space="preserve">In Year 3, </w:t>
      </w:r>
      <w:r w:rsidR="007A4C7F">
        <w:t xml:space="preserve">driver </w:t>
      </w:r>
      <w:r w:rsidR="008103A8">
        <w:t xml:space="preserve">burden hours for forwarding RODS to motor carriers </w:t>
      </w:r>
      <w:r w:rsidR="004855CA">
        <w:t>is de minim</w:t>
      </w:r>
      <w:r w:rsidR="00AB47CA">
        <w:t>i</w:t>
      </w:r>
      <w:r w:rsidR="004855CA">
        <w:t>s</w:t>
      </w:r>
      <w:r w:rsidR="008B55C9">
        <w:t>.</w:t>
      </w:r>
      <w:r w:rsidR="008103A8">
        <w:t xml:space="preserve"> </w:t>
      </w:r>
      <w:r w:rsidR="004855CA">
        <w:t xml:space="preserve">Although ELDs will record electronic </w:t>
      </w:r>
      <w:r w:rsidR="00AC14AE">
        <w:t>RODS</w:t>
      </w:r>
      <w:r w:rsidR="004855CA">
        <w:t>, some do not transfer them automatically.</w:t>
      </w:r>
      <w:r w:rsidR="00E01684">
        <w:t xml:space="preserve"> The Agency is unable to quantify the number of ELDs that require driver intervention to transfer RODS to their employer, but it believes that the time required to perform this task is de minimis.</w:t>
      </w:r>
      <w:r w:rsidR="008103A8">
        <w:t xml:space="preserve"> </w:t>
      </w:r>
      <w:r w:rsidR="004D5578">
        <w:t>The Agency assumes in this ICR</w:t>
      </w:r>
      <w:r w:rsidR="007C6E66">
        <w:t xml:space="preserve"> drivers </w:t>
      </w:r>
      <w:r w:rsidR="00AC14AE">
        <w:t xml:space="preserve">will no longer have to </w:t>
      </w:r>
      <w:r w:rsidR="00F173B4">
        <w:t>spend time to forward RODS to motor carriers</w:t>
      </w:r>
      <w:r w:rsidR="000A3A43">
        <w:t xml:space="preserve">. </w:t>
      </w:r>
      <w:r w:rsidR="00B82DAE">
        <w:t>Thus</w:t>
      </w:r>
      <w:r w:rsidR="000A3A43">
        <w:t xml:space="preserve">, </w:t>
      </w:r>
      <w:r w:rsidR="00F173B4">
        <w:t>driver burden hours for Task 2 are eliminated</w:t>
      </w:r>
      <w:r w:rsidR="002F5EFC">
        <w:t xml:space="preserve"> </w:t>
      </w:r>
      <w:r w:rsidR="007A4C7F">
        <w:t xml:space="preserve">in this </w:t>
      </w:r>
      <w:r w:rsidR="002F5EFC">
        <w:t>ICR</w:t>
      </w:r>
      <w:r w:rsidR="00F173B4">
        <w:t xml:space="preserve">. Like the </w:t>
      </w:r>
      <w:r w:rsidR="005479BE">
        <w:t xml:space="preserve">current </w:t>
      </w:r>
      <w:r w:rsidR="00F173B4">
        <w:t>IC</w:t>
      </w:r>
      <w:r w:rsidR="00E01684">
        <w:t>R</w:t>
      </w:r>
      <w:r w:rsidR="007C6E66">
        <w:t>,</w:t>
      </w:r>
      <w:r w:rsidR="00F173B4">
        <w:t xml:space="preserve"> the Agency find</w:t>
      </w:r>
      <w:r w:rsidR="007C6E66">
        <w:t>s</w:t>
      </w:r>
      <w:r w:rsidR="007A4C7F">
        <w:t xml:space="preserve"> it appropriate to exclude </w:t>
      </w:r>
      <w:r w:rsidR="00F173B4">
        <w:t>driver</w:t>
      </w:r>
      <w:r w:rsidR="007C6E66">
        <w:t xml:space="preserve"> </w:t>
      </w:r>
      <w:r w:rsidR="00F173B4">
        <w:t>Task 3 burden hours to forward supporting documents to motor carriers</w:t>
      </w:r>
      <w:r w:rsidR="006841B2">
        <w:t xml:space="preserve"> under the same rationale previously described</w:t>
      </w:r>
      <w:r w:rsidR="007A4C7F">
        <w:t>.</w:t>
      </w:r>
      <w:r w:rsidR="00F173B4">
        <w:t xml:space="preserve"> </w:t>
      </w:r>
      <w:r w:rsidR="007A4C7F">
        <w:t>Thus, the estimated annual burden for the driver population</w:t>
      </w:r>
      <w:r w:rsidR="00E01684">
        <w:t xml:space="preserve"> operating ELD-equipped CMVs</w:t>
      </w:r>
      <w:r w:rsidR="007A4C7F">
        <w:t xml:space="preserve"> to comply with the HOS rules </w:t>
      </w:r>
      <w:r w:rsidR="005479BE">
        <w:t xml:space="preserve">is </w:t>
      </w:r>
      <w:r w:rsidR="00D25053">
        <w:t xml:space="preserve">27.36 </w:t>
      </w:r>
      <w:r w:rsidR="007A5039">
        <w:t>million hours</w:t>
      </w:r>
      <w:r w:rsidR="007A4C7F">
        <w:t>, as shown in Table 3, above.</w:t>
      </w:r>
    </w:p>
    <w:p w14:paraId="06018183" w14:textId="77777777" w:rsidR="004D21C8" w:rsidRDefault="004D21C8" w:rsidP="0078220C"/>
    <w:tbl>
      <w:tblPr>
        <w:tblStyle w:val="TableGrid"/>
        <w:tblpPr w:leftFromText="4032" w:rightFromText="3168" w:topFromText="288" w:bottomFromText="288" w:vertAnchor="text" w:horzAnchor="page" w:tblpX="1423" w:tblpY="865"/>
        <w:tblOverlap w:val="never"/>
        <w:tblW w:w="9450" w:type="dxa"/>
        <w:tblLook w:val="04A0" w:firstRow="1" w:lastRow="0" w:firstColumn="1" w:lastColumn="0" w:noHBand="0" w:noVBand="1"/>
      </w:tblPr>
      <w:tblGrid>
        <w:gridCol w:w="2250"/>
        <w:gridCol w:w="2750"/>
        <w:gridCol w:w="1870"/>
        <w:gridCol w:w="2580"/>
      </w:tblGrid>
      <w:tr w:rsidR="000D5476" w14:paraId="5755AB23" w14:textId="77777777" w:rsidTr="00C02E66">
        <w:tc>
          <w:tcPr>
            <w:tcW w:w="9450" w:type="dxa"/>
            <w:gridSpan w:val="4"/>
            <w:tcBorders>
              <w:top w:val="nil"/>
              <w:left w:val="nil"/>
              <w:right w:val="nil"/>
            </w:tcBorders>
            <w:shd w:val="clear" w:color="auto" w:fill="auto"/>
          </w:tcPr>
          <w:p w14:paraId="02D242B4" w14:textId="77777777" w:rsidR="000D5476" w:rsidRPr="00C02E66" w:rsidRDefault="00C02E66" w:rsidP="00397FD3">
            <w:pPr>
              <w:jc w:val="center"/>
              <w:rPr>
                <w:b/>
                <w:sz w:val="20"/>
                <w:szCs w:val="20"/>
              </w:rPr>
            </w:pPr>
            <w:r>
              <w:rPr>
                <w:b/>
                <w:sz w:val="20"/>
                <w:szCs w:val="20"/>
              </w:rPr>
              <w:t xml:space="preserve">Table 4. </w:t>
            </w:r>
            <w:r w:rsidR="000D5476" w:rsidRPr="00C02E66">
              <w:rPr>
                <w:b/>
                <w:sz w:val="20"/>
                <w:szCs w:val="20"/>
              </w:rPr>
              <w:t>Motor Carrier Information Collection Tasks</w:t>
            </w:r>
          </w:p>
        </w:tc>
      </w:tr>
      <w:tr w:rsidR="000D5476" w14:paraId="0B767FCF" w14:textId="77777777" w:rsidTr="00C02E66">
        <w:tc>
          <w:tcPr>
            <w:tcW w:w="2250" w:type="dxa"/>
            <w:shd w:val="clear" w:color="auto" w:fill="D9D9D9" w:themeFill="background1" w:themeFillShade="D9"/>
            <w:vAlign w:val="bottom"/>
          </w:tcPr>
          <w:p w14:paraId="0C933CF4" w14:textId="77777777" w:rsidR="000D5476" w:rsidRPr="00C02E66" w:rsidRDefault="000D5476" w:rsidP="00397FD3">
            <w:pPr>
              <w:jc w:val="center"/>
              <w:rPr>
                <w:b/>
                <w:sz w:val="20"/>
                <w:szCs w:val="20"/>
              </w:rPr>
            </w:pPr>
          </w:p>
        </w:tc>
        <w:tc>
          <w:tcPr>
            <w:tcW w:w="2750" w:type="dxa"/>
            <w:shd w:val="clear" w:color="auto" w:fill="D9D9D9" w:themeFill="background1" w:themeFillShade="D9"/>
            <w:vAlign w:val="bottom"/>
          </w:tcPr>
          <w:p w14:paraId="079621F4" w14:textId="77777777" w:rsidR="000D5476" w:rsidRPr="00C02E66" w:rsidRDefault="000D5476" w:rsidP="00397FD3">
            <w:pPr>
              <w:jc w:val="center"/>
              <w:rPr>
                <w:b/>
                <w:sz w:val="20"/>
                <w:szCs w:val="20"/>
              </w:rPr>
            </w:pPr>
            <w:r w:rsidRPr="00C02E66">
              <w:rPr>
                <w:b/>
                <w:sz w:val="20"/>
                <w:szCs w:val="20"/>
              </w:rPr>
              <w:t>Task 1</w:t>
            </w:r>
          </w:p>
          <w:p w14:paraId="25A141CB" w14:textId="77777777" w:rsidR="000D5476" w:rsidRPr="00C02E66" w:rsidRDefault="000D5476" w:rsidP="00397FD3">
            <w:pPr>
              <w:jc w:val="center"/>
              <w:rPr>
                <w:b/>
                <w:sz w:val="20"/>
                <w:szCs w:val="20"/>
              </w:rPr>
            </w:pPr>
            <w:r w:rsidRPr="00C02E66">
              <w:rPr>
                <w:b/>
                <w:sz w:val="20"/>
                <w:szCs w:val="20"/>
              </w:rPr>
              <w:t xml:space="preserve"> Reviewing RODS</w:t>
            </w:r>
          </w:p>
        </w:tc>
        <w:tc>
          <w:tcPr>
            <w:tcW w:w="1870" w:type="dxa"/>
            <w:shd w:val="clear" w:color="auto" w:fill="D9D9D9" w:themeFill="background1" w:themeFillShade="D9"/>
            <w:vAlign w:val="bottom"/>
          </w:tcPr>
          <w:p w14:paraId="3665CC68" w14:textId="77777777" w:rsidR="000D5476" w:rsidRPr="00C02E66" w:rsidRDefault="000D5476" w:rsidP="00397FD3">
            <w:pPr>
              <w:jc w:val="center"/>
              <w:rPr>
                <w:b/>
                <w:sz w:val="20"/>
                <w:szCs w:val="20"/>
              </w:rPr>
            </w:pPr>
            <w:r w:rsidRPr="00C02E66">
              <w:rPr>
                <w:b/>
                <w:sz w:val="20"/>
                <w:szCs w:val="20"/>
              </w:rPr>
              <w:t>Task 2</w:t>
            </w:r>
          </w:p>
          <w:p w14:paraId="7A5F8C71" w14:textId="77777777" w:rsidR="000D5476" w:rsidRPr="00C02E66" w:rsidRDefault="000D5476" w:rsidP="00397FD3">
            <w:pPr>
              <w:jc w:val="center"/>
              <w:rPr>
                <w:b/>
                <w:sz w:val="20"/>
                <w:szCs w:val="20"/>
              </w:rPr>
            </w:pPr>
            <w:r w:rsidRPr="00C02E66">
              <w:rPr>
                <w:b/>
                <w:sz w:val="20"/>
                <w:szCs w:val="20"/>
              </w:rPr>
              <w:t xml:space="preserve"> Maintaining RODS</w:t>
            </w:r>
          </w:p>
        </w:tc>
        <w:tc>
          <w:tcPr>
            <w:tcW w:w="2580" w:type="dxa"/>
            <w:shd w:val="clear" w:color="auto" w:fill="D9D9D9" w:themeFill="background1" w:themeFillShade="D9"/>
            <w:vAlign w:val="bottom"/>
          </w:tcPr>
          <w:p w14:paraId="3E9BC303" w14:textId="77777777" w:rsidR="000D5476" w:rsidRPr="00C02E66" w:rsidRDefault="000D5476" w:rsidP="00397FD3">
            <w:pPr>
              <w:jc w:val="center"/>
              <w:rPr>
                <w:b/>
                <w:sz w:val="20"/>
                <w:szCs w:val="20"/>
              </w:rPr>
            </w:pPr>
            <w:r w:rsidRPr="00C02E66">
              <w:rPr>
                <w:b/>
                <w:sz w:val="20"/>
                <w:szCs w:val="20"/>
              </w:rPr>
              <w:t>Task 3</w:t>
            </w:r>
          </w:p>
          <w:p w14:paraId="78951C95" w14:textId="77777777" w:rsidR="000D5476" w:rsidRPr="00C02E66" w:rsidRDefault="000D5476" w:rsidP="00397FD3">
            <w:pPr>
              <w:jc w:val="center"/>
              <w:rPr>
                <w:b/>
                <w:sz w:val="20"/>
                <w:szCs w:val="20"/>
              </w:rPr>
            </w:pPr>
            <w:r w:rsidRPr="00C02E66">
              <w:rPr>
                <w:b/>
                <w:sz w:val="20"/>
                <w:szCs w:val="20"/>
              </w:rPr>
              <w:t>Maintaining Supporting Documents</w:t>
            </w:r>
          </w:p>
        </w:tc>
      </w:tr>
      <w:tr w:rsidR="000D5476" w14:paraId="54495B5A" w14:textId="77777777" w:rsidTr="00C02E66">
        <w:tc>
          <w:tcPr>
            <w:tcW w:w="2250" w:type="dxa"/>
            <w:vAlign w:val="center"/>
          </w:tcPr>
          <w:p w14:paraId="5C11EF74" w14:textId="77777777" w:rsidR="000D5476" w:rsidRPr="00C02E66" w:rsidRDefault="000D5476" w:rsidP="00397FD3">
            <w:pPr>
              <w:jc w:val="center"/>
              <w:rPr>
                <w:sz w:val="20"/>
                <w:szCs w:val="20"/>
              </w:rPr>
            </w:pPr>
            <w:r w:rsidRPr="00C02E66">
              <w:rPr>
                <w:sz w:val="20"/>
                <w:szCs w:val="20"/>
              </w:rPr>
              <w:t xml:space="preserve">Current </w:t>
            </w:r>
            <w:r w:rsidR="007E084F" w:rsidRPr="00C02E66">
              <w:rPr>
                <w:sz w:val="20"/>
                <w:szCs w:val="20"/>
              </w:rPr>
              <w:t>IC</w:t>
            </w:r>
            <w:r w:rsidR="00C12058">
              <w:rPr>
                <w:sz w:val="20"/>
                <w:szCs w:val="20"/>
              </w:rPr>
              <w:t>R</w:t>
            </w:r>
            <w:r w:rsidR="007E084F" w:rsidRPr="00C02E66">
              <w:rPr>
                <w:sz w:val="20"/>
                <w:szCs w:val="20"/>
              </w:rPr>
              <w:t xml:space="preserve"> </w:t>
            </w:r>
          </w:p>
        </w:tc>
        <w:tc>
          <w:tcPr>
            <w:tcW w:w="2750" w:type="dxa"/>
            <w:vAlign w:val="center"/>
          </w:tcPr>
          <w:p w14:paraId="371C2B61" w14:textId="349E6699" w:rsidR="000D5476" w:rsidRPr="00C02E66" w:rsidRDefault="000D5476" w:rsidP="00F96400">
            <w:pPr>
              <w:rPr>
                <w:sz w:val="20"/>
                <w:szCs w:val="20"/>
              </w:rPr>
            </w:pPr>
            <w:r w:rsidRPr="00C02E66">
              <w:rPr>
                <w:color w:val="000000"/>
                <w:sz w:val="20"/>
                <w:szCs w:val="20"/>
              </w:rPr>
              <w:t>Review 50% RODS</w:t>
            </w:r>
            <w:r w:rsidR="008719D4">
              <w:rPr>
                <w:color w:val="000000"/>
                <w:sz w:val="20"/>
                <w:szCs w:val="20"/>
              </w:rPr>
              <w:t xml:space="preserve"> at 6.5 minutes for paper and 2 minutes for</w:t>
            </w:r>
            <w:r w:rsidRPr="00C02E66">
              <w:rPr>
                <w:color w:val="000000"/>
                <w:sz w:val="20"/>
                <w:szCs w:val="20"/>
              </w:rPr>
              <w:t xml:space="preserve"> </w:t>
            </w:r>
            <w:r w:rsidR="008719D4">
              <w:rPr>
                <w:color w:val="000000"/>
                <w:sz w:val="20"/>
                <w:szCs w:val="20"/>
              </w:rPr>
              <w:t>electronic</w:t>
            </w:r>
            <w:r w:rsidR="00B82DAE">
              <w:rPr>
                <w:color w:val="000000"/>
                <w:sz w:val="20"/>
                <w:szCs w:val="20"/>
              </w:rPr>
              <w:t xml:space="preserve"> RODS</w:t>
            </w:r>
          </w:p>
        </w:tc>
        <w:tc>
          <w:tcPr>
            <w:tcW w:w="1870" w:type="dxa"/>
          </w:tcPr>
          <w:p w14:paraId="4EB8F3D7" w14:textId="77777777" w:rsidR="000D5476" w:rsidRPr="00C02E66" w:rsidRDefault="000D5476" w:rsidP="00397FD3">
            <w:pPr>
              <w:rPr>
                <w:sz w:val="20"/>
                <w:szCs w:val="20"/>
              </w:rPr>
            </w:pPr>
            <w:r w:rsidRPr="00C02E66">
              <w:rPr>
                <w:sz w:val="20"/>
                <w:szCs w:val="20"/>
              </w:rPr>
              <w:t>1 minute per paper ROD. No burden hours incurred for maintaining electronic RODS.</w:t>
            </w:r>
          </w:p>
        </w:tc>
        <w:tc>
          <w:tcPr>
            <w:tcW w:w="2580" w:type="dxa"/>
            <w:vAlign w:val="center"/>
          </w:tcPr>
          <w:p w14:paraId="286F6383" w14:textId="3D33FCD4" w:rsidR="000D5476" w:rsidRPr="00C02E66" w:rsidRDefault="000D5476" w:rsidP="00397FD3">
            <w:pPr>
              <w:rPr>
                <w:sz w:val="20"/>
                <w:szCs w:val="20"/>
              </w:rPr>
            </w:pPr>
            <w:r w:rsidRPr="00C02E66">
              <w:rPr>
                <w:color w:val="000000"/>
                <w:sz w:val="20"/>
                <w:szCs w:val="20"/>
              </w:rPr>
              <w:t xml:space="preserve">1 minute per paper </w:t>
            </w:r>
            <w:r w:rsidR="00B82DAE">
              <w:rPr>
                <w:color w:val="000000"/>
                <w:sz w:val="20"/>
                <w:szCs w:val="20"/>
              </w:rPr>
              <w:t>RODS</w:t>
            </w:r>
          </w:p>
        </w:tc>
      </w:tr>
      <w:tr w:rsidR="000D5476" w14:paraId="6F1F2DA7" w14:textId="77777777" w:rsidTr="00C02E66">
        <w:tc>
          <w:tcPr>
            <w:tcW w:w="2250" w:type="dxa"/>
            <w:vAlign w:val="center"/>
          </w:tcPr>
          <w:p w14:paraId="1D425F78" w14:textId="0E77229E" w:rsidR="000D5476" w:rsidRPr="00C02E66" w:rsidRDefault="000D5476" w:rsidP="00397FD3">
            <w:pPr>
              <w:jc w:val="center"/>
              <w:rPr>
                <w:sz w:val="20"/>
                <w:szCs w:val="20"/>
              </w:rPr>
            </w:pPr>
            <w:r w:rsidRPr="00C02E66">
              <w:rPr>
                <w:sz w:val="20"/>
                <w:szCs w:val="20"/>
              </w:rPr>
              <w:t xml:space="preserve">Proposed </w:t>
            </w:r>
            <w:r w:rsidR="007E084F" w:rsidRPr="00C02E66">
              <w:rPr>
                <w:sz w:val="20"/>
                <w:szCs w:val="20"/>
              </w:rPr>
              <w:t>IC</w:t>
            </w:r>
            <w:r w:rsidR="007366B3">
              <w:rPr>
                <w:sz w:val="20"/>
                <w:szCs w:val="20"/>
              </w:rPr>
              <w:t>R</w:t>
            </w:r>
            <w:r w:rsidR="007E084F" w:rsidRPr="00C02E66">
              <w:rPr>
                <w:sz w:val="20"/>
                <w:szCs w:val="20"/>
              </w:rPr>
              <w:t xml:space="preserve"> </w:t>
            </w:r>
          </w:p>
        </w:tc>
        <w:tc>
          <w:tcPr>
            <w:tcW w:w="2750" w:type="dxa"/>
            <w:vAlign w:val="bottom"/>
          </w:tcPr>
          <w:p w14:paraId="165534EB" w14:textId="0B77B376" w:rsidR="000D5476" w:rsidRPr="00C02E66" w:rsidRDefault="008719D4" w:rsidP="00397FD3">
            <w:pPr>
              <w:rPr>
                <w:sz w:val="20"/>
                <w:szCs w:val="20"/>
              </w:rPr>
            </w:pPr>
            <w:r>
              <w:rPr>
                <w:color w:val="000000"/>
                <w:sz w:val="20"/>
                <w:szCs w:val="20"/>
              </w:rPr>
              <w:t xml:space="preserve">All RODS are electronic. </w:t>
            </w:r>
            <w:r w:rsidR="006C6930" w:rsidRPr="00C02E66">
              <w:rPr>
                <w:color w:val="000000"/>
                <w:sz w:val="20"/>
                <w:szCs w:val="20"/>
              </w:rPr>
              <w:t>Review 50% of RODS at 2 minutes per</w:t>
            </w:r>
            <w:r w:rsidR="00B82DAE">
              <w:rPr>
                <w:color w:val="000000"/>
                <w:sz w:val="20"/>
                <w:szCs w:val="20"/>
              </w:rPr>
              <w:t xml:space="preserve"> </w:t>
            </w:r>
            <w:r>
              <w:rPr>
                <w:color w:val="000000"/>
                <w:sz w:val="20"/>
                <w:szCs w:val="20"/>
              </w:rPr>
              <w:t>RODS</w:t>
            </w:r>
            <w:r w:rsidR="006C6930" w:rsidRPr="00C02E66" w:rsidDel="006C6930">
              <w:rPr>
                <w:sz w:val="20"/>
                <w:szCs w:val="20"/>
              </w:rPr>
              <w:t xml:space="preserve"> </w:t>
            </w:r>
          </w:p>
        </w:tc>
        <w:tc>
          <w:tcPr>
            <w:tcW w:w="1870" w:type="dxa"/>
            <w:vAlign w:val="bottom"/>
          </w:tcPr>
          <w:p w14:paraId="5DDBE94C" w14:textId="0BD4D9B4" w:rsidR="000D5476" w:rsidRPr="00C02E66" w:rsidRDefault="000C06B4" w:rsidP="00397FD3">
            <w:pPr>
              <w:rPr>
                <w:sz w:val="20"/>
                <w:szCs w:val="20"/>
              </w:rPr>
            </w:pPr>
            <w:r w:rsidRPr="004D7604" w:rsidDel="002932BD">
              <w:rPr>
                <w:color w:val="000000"/>
                <w:sz w:val="20"/>
                <w:szCs w:val="20"/>
              </w:rPr>
              <w:t xml:space="preserve">Task </w:t>
            </w:r>
            <w:r w:rsidRPr="004D7604">
              <w:rPr>
                <w:color w:val="000000"/>
                <w:sz w:val="20"/>
                <w:szCs w:val="20"/>
              </w:rPr>
              <w:t>e</w:t>
            </w:r>
            <w:r w:rsidRPr="004D7604" w:rsidDel="002932BD">
              <w:rPr>
                <w:color w:val="000000"/>
                <w:sz w:val="20"/>
                <w:szCs w:val="20"/>
              </w:rPr>
              <w:t>liminated by ELD</w:t>
            </w:r>
            <w:r w:rsidRPr="004D7604">
              <w:rPr>
                <w:color w:val="000000"/>
                <w:sz w:val="20"/>
                <w:szCs w:val="20"/>
              </w:rPr>
              <w:t>, or otherwise</w:t>
            </w:r>
            <w:r w:rsidR="00E87B9C">
              <w:rPr>
                <w:color w:val="000000"/>
                <w:sz w:val="20"/>
                <w:szCs w:val="20"/>
              </w:rPr>
              <w:t xml:space="preserve"> de</w:t>
            </w:r>
            <w:r w:rsidRPr="004D7604">
              <w:rPr>
                <w:color w:val="000000"/>
                <w:sz w:val="20"/>
                <w:szCs w:val="20"/>
              </w:rPr>
              <w:t xml:space="preserve"> mini</w:t>
            </w:r>
            <w:r w:rsidR="00E87B9C">
              <w:rPr>
                <w:color w:val="000000"/>
                <w:sz w:val="20"/>
                <w:szCs w:val="20"/>
              </w:rPr>
              <w:t>mi</w:t>
            </w:r>
            <w:r w:rsidRPr="004D7604">
              <w:rPr>
                <w:color w:val="000000"/>
                <w:sz w:val="20"/>
                <w:szCs w:val="20"/>
              </w:rPr>
              <w:t>s.</w:t>
            </w:r>
            <w:r w:rsidRPr="004D7604">
              <w:rPr>
                <w:color w:val="000000"/>
                <w:sz w:val="20"/>
                <w:szCs w:val="20"/>
                <w:vertAlign w:val="superscript"/>
              </w:rPr>
              <w:t xml:space="preserve"> </w:t>
            </w:r>
          </w:p>
        </w:tc>
        <w:tc>
          <w:tcPr>
            <w:tcW w:w="2580" w:type="dxa"/>
            <w:vAlign w:val="bottom"/>
          </w:tcPr>
          <w:p w14:paraId="5891DEDA" w14:textId="77777777" w:rsidR="000D5476" w:rsidRPr="00C02E66" w:rsidRDefault="000D5476" w:rsidP="00397FD3">
            <w:pPr>
              <w:rPr>
                <w:sz w:val="20"/>
                <w:szCs w:val="20"/>
              </w:rPr>
            </w:pPr>
            <w:r w:rsidRPr="00C02E66">
              <w:rPr>
                <w:sz w:val="20"/>
                <w:szCs w:val="20"/>
              </w:rPr>
              <w:t>Usual and customary activity excluded from burden hours</w:t>
            </w:r>
          </w:p>
        </w:tc>
      </w:tr>
    </w:tbl>
    <w:p w14:paraId="1A27656B" w14:textId="5589351C" w:rsidR="008B0927" w:rsidRDefault="00B53660" w:rsidP="00131E8B">
      <w:r>
        <w:t xml:space="preserve">Table </w:t>
      </w:r>
      <w:r w:rsidR="007A4C7F">
        <w:t>4</w:t>
      </w:r>
      <w:r>
        <w:t xml:space="preserve"> </w:t>
      </w:r>
      <w:r w:rsidR="00522C0B">
        <w:t xml:space="preserve">compares </w:t>
      </w:r>
      <w:r>
        <w:t xml:space="preserve">motor carriers’ information collection </w:t>
      </w:r>
      <w:r w:rsidR="00727094">
        <w:t>tasks accounted for in the current IC</w:t>
      </w:r>
      <w:r w:rsidR="00B82DAE">
        <w:t>R</w:t>
      </w:r>
      <w:r w:rsidR="00727094">
        <w:t xml:space="preserve"> and in this IC</w:t>
      </w:r>
      <w:r w:rsidR="007C6E66">
        <w:t>R</w:t>
      </w:r>
      <w:r w:rsidR="00727094">
        <w:t>.</w:t>
      </w:r>
      <w:r>
        <w:t xml:space="preserve"> </w:t>
      </w:r>
    </w:p>
    <w:p w14:paraId="0BC75243" w14:textId="77777777" w:rsidR="00BA2284" w:rsidRDefault="00BA2284" w:rsidP="00131E8B"/>
    <w:p w14:paraId="3344F1BF" w14:textId="7FB07726" w:rsidR="00FA342E" w:rsidRDefault="00BF0F46" w:rsidP="00BF0F46">
      <w:r>
        <w:t xml:space="preserve">Motor carriers </w:t>
      </w:r>
      <w:r w:rsidR="00E9022E">
        <w:t xml:space="preserve">and drivers must not falsify </w:t>
      </w:r>
      <w:r w:rsidR="00E9022E" w:rsidRPr="00F434E0">
        <w:t>reporting of duty status</w:t>
      </w:r>
      <w:r w:rsidR="00E9022E">
        <w:t xml:space="preserve"> (49 </w:t>
      </w:r>
      <w:r w:rsidR="00E9022E" w:rsidRPr="00B71FAF">
        <w:t>CFR 395.8(e)</w:t>
      </w:r>
      <w:r w:rsidR="00E9022E">
        <w:t>) (</w:t>
      </w:r>
      <w:r w:rsidR="00E9022E" w:rsidRPr="00454897">
        <w:t xml:space="preserve">Attachment </w:t>
      </w:r>
      <w:r w:rsidR="00E9022E">
        <w:t>F).</w:t>
      </w:r>
      <w:r w:rsidR="00F50B33">
        <w:t xml:space="preserve"> </w:t>
      </w:r>
      <w:r w:rsidR="00E9022E">
        <w:t xml:space="preserve"> </w:t>
      </w:r>
      <w:r w:rsidR="00F50B33">
        <w:t>Drivers must submit RODS to motor carriers, who must retain them under 49 CFR 395.8(k)(1)</w:t>
      </w:r>
      <w:r w:rsidR="00561864">
        <w:t xml:space="preserve"> (Attachment D). M</w:t>
      </w:r>
      <w:r w:rsidR="00F50B33">
        <w:t>otor carriers are responsible for drivers</w:t>
      </w:r>
      <w:r w:rsidR="00F434E0">
        <w:t>’</w:t>
      </w:r>
      <w:r w:rsidR="00F50B33">
        <w:t xml:space="preserve"> compliance </w:t>
      </w:r>
      <w:r w:rsidR="00BA2284">
        <w:t xml:space="preserve">with </w:t>
      </w:r>
      <w:r w:rsidR="00561864">
        <w:t xml:space="preserve">the FMCSRs </w:t>
      </w:r>
      <w:r w:rsidR="00F50B33">
        <w:t>under 49 CFR 390.11, which is applicable to part 395.</w:t>
      </w:r>
      <w:r w:rsidR="00FA342E">
        <w:t xml:space="preserve"> Thus, the Agency expects motor carriers to review</w:t>
      </w:r>
      <w:r>
        <w:t xml:space="preserve"> </w:t>
      </w:r>
      <w:r w:rsidR="00FA342E">
        <w:t>RODS to comply with these requir</w:t>
      </w:r>
      <w:r w:rsidR="00561864">
        <w:t>e</w:t>
      </w:r>
      <w:r w:rsidR="00FA342E">
        <w:t>ments.</w:t>
      </w:r>
      <w:r w:rsidR="00561864">
        <w:t xml:space="preserve"> I</w:t>
      </w:r>
      <w:r>
        <w:t xml:space="preserve">t is common practice for motor carriers to systematically </w:t>
      </w:r>
      <w:r w:rsidR="00F50B33">
        <w:t xml:space="preserve">review </w:t>
      </w:r>
      <w:r>
        <w:t xml:space="preserve">a portion of the RODS of their drivers for consistency with the corresponding supporting documents. Based upon its experience conducting </w:t>
      </w:r>
      <w:r w:rsidR="003632BB">
        <w:t>investigative</w:t>
      </w:r>
      <w:r>
        <w:t xml:space="preserve"> reviews of motor carriers, the FMCSA </w:t>
      </w:r>
      <w:r w:rsidDel="0009397E">
        <w:t>estimates</w:t>
      </w:r>
      <w:r>
        <w:t xml:space="preserve"> that motor carriers review approximately 50</w:t>
      </w:r>
      <w:r w:rsidR="00E9022E">
        <w:t xml:space="preserve"> percent</w:t>
      </w:r>
      <w:r>
        <w:t xml:space="preserve"> of their drivers’ RODS.</w:t>
      </w:r>
      <w:r w:rsidR="00FA342E">
        <w:t xml:space="preserve"> </w:t>
      </w:r>
    </w:p>
    <w:p w14:paraId="76FAEBD9" w14:textId="77777777" w:rsidR="00FA342E" w:rsidRDefault="00FA342E" w:rsidP="00BF0F46"/>
    <w:p w14:paraId="3AF9A90D" w14:textId="4D5273A4" w:rsidR="0004410D" w:rsidRDefault="00561864" w:rsidP="0004410D">
      <w:r>
        <w:t xml:space="preserve">Table 5 summarizes the calculations of motor carriers annual and three-year average burden hours for motor carrier </w:t>
      </w:r>
      <w:r w:rsidRPr="004C35CE">
        <w:t>Task 1</w:t>
      </w:r>
      <w:r>
        <w:t>. The Agency assumes it takes motor carriers two minutes to</w:t>
      </w:r>
      <w:r w:rsidR="004C2B90">
        <w:t xml:space="preserve"> evaluate the accuracy of a RODS when compared with </w:t>
      </w:r>
      <w:r>
        <w:t xml:space="preserve">accompanying supporting documents. The estimates of annual total minutes per day motor carriers spend on driver Task 1 are 3.40 </w:t>
      </w:r>
      <w:r>
        <w:rPr>
          <w:color w:val="000000"/>
        </w:rPr>
        <w:t>million minutes</w:t>
      </w:r>
      <w:r w:rsidR="00BA2284">
        <w:rPr>
          <w:color w:val="000000"/>
        </w:rPr>
        <w:t xml:space="preserve"> </w:t>
      </w:r>
      <w:r w:rsidRPr="003530E8">
        <w:t xml:space="preserve">in Year 1, </w:t>
      </w:r>
      <w:r>
        <w:t>3.42</w:t>
      </w:r>
      <w:r>
        <w:rPr>
          <w:color w:val="000000"/>
        </w:rPr>
        <w:t xml:space="preserve"> million minutes </w:t>
      </w:r>
      <w:r w:rsidRPr="003530E8" w:rsidDel="003530E8">
        <w:t>in Year 2</w:t>
      </w:r>
      <w:r w:rsidRPr="00783C33" w:rsidDel="003530E8">
        <w:t xml:space="preserve"> </w:t>
      </w:r>
      <w:r w:rsidRPr="003530E8" w:rsidDel="003530E8">
        <w:t xml:space="preserve">and </w:t>
      </w:r>
      <w:r>
        <w:t>3.44</w:t>
      </w:r>
      <w:r>
        <w:rPr>
          <w:color w:val="000000"/>
        </w:rPr>
        <w:t xml:space="preserve"> million minutes </w:t>
      </w:r>
      <w:r w:rsidRPr="003530E8">
        <w:t>in Year 3.</w:t>
      </w:r>
      <w:r>
        <w:t xml:space="preserve"> </w:t>
      </w:r>
      <w:r w:rsidRPr="003530E8">
        <w:t>The three-year</w:t>
      </w:r>
      <w:r w:rsidR="0004410D">
        <w:t xml:space="preserve"> </w:t>
      </w:r>
      <w:r w:rsidR="0004410D" w:rsidRPr="003530E8">
        <w:t xml:space="preserve">average is </w:t>
      </w:r>
      <w:r w:rsidR="0004410D">
        <w:t xml:space="preserve">3.42 million minutes. </w:t>
      </w:r>
      <w:r w:rsidR="0004410D" w:rsidRPr="003530E8">
        <w:t xml:space="preserve">Based on a 240-day work year, </w:t>
      </w:r>
      <w:r w:rsidR="0004410D">
        <w:t xml:space="preserve">motor carriers </w:t>
      </w:r>
      <w:r w:rsidR="0004410D" w:rsidRPr="003530E8">
        <w:t xml:space="preserve">are estimated to </w:t>
      </w:r>
      <w:r w:rsidR="0004410D">
        <w:t xml:space="preserve">spend on </w:t>
      </w:r>
      <w:r w:rsidR="0004410D" w:rsidRPr="003530E8">
        <w:t xml:space="preserve">average </w:t>
      </w:r>
      <w:r w:rsidR="0004410D">
        <w:t>820.</w:t>
      </w:r>
      <w:r w:rsidR="00110974">
        <w:t>68</w:t>
      </w:r>
      <w:r w:rsidR="0004410D">
        <w:t xml:space="preserve"> </w:t>
      </w:r>
      <w:r w:rsidR="0004410D">
        <w:rPr>
          <w:color w:val="000000"/>
        </w:rPr>
        <w:t xml:space="preserve">million </w:t>
      </w:r>
      <w:r w:rsidR="0004410D" w:rsidRPr="003530E8">
        <w:t>minutes</w:t>
      </w:r>
      <w:r w:rsidR="0004410D">
        <w:t>, which is the equivalent of</w:t>
      </w:r>
      <w:r w:rsidR="0004410D" w:rsidRPr="003530E8">
        <w:t xml:space="preserve"> </w:t>
      </w:r>
      <w:r w:rsidR="00F434E0">
        <w:t>13</w:t>
      </w:r>
      <w:r w:rsidR="0004410D">
        <w:t>.</w:t>
      </w:r>
      <w:r w:rsidR="00F434E0">
        <w:t>68</w:t>
      </w:r>
      <w:r w:rsidR="0004410D">
        <w:t xml:space="preserve"> million hours </w:t>
      </w:r>
      <w:r w:rsidR="00110974">
        <w:t xml:space="preserve">per year </w:t>
      </w:r>
      <w:r w:rsidR="0004410D" w:rsidRPr="003530E8">
        <w:t>performing this task</w:t>
      </w:r>
      <w:r w:rsidR="0004410D">
        <w:t xml:space="preserve">. </w:t>
      </w:r>
      <w:r w:rsidR="0004410D" w:rsidRPr="003530E8">
        <w:t xml:space="preserve"> </w:t>
      </w:r>
    </w:p>
    <w:p w14:paraId="16D7231A" w14:textId="77777777" w:rsidR="00BF0F46" w:rsidRDefault="00BF0F46" w:rsidP="00561864"/>
    <w:tbl>
      <w:tblPr>
        <w:tblpPr w:leftFromText="1872" w:rightFromText="1872" w:topFromText="288" w:bottomFromText="288" w:vertAnchor="text" w:tblpXSpec="center" w:tblpY="1"/>
        <w:tblOverlap w:val="never"/>
        <w:tblW w:w="8053" w:type="dxa"/>
        <w:tblLook w:val="04A0" w:firstRow="1" w:lastRow="0" w:firstColumn="1" w:lastColumn="0" w:noHBand="0" w:noVBand="1"/>
      </w:tblPr>
      <w:tblGrid>
        <w:gridCol w:w="960"/>
        <w:gridCol w:w="1028"/>
        <w:gridCol w:w="1038"/>
        <w:gridCol w:w="960"/>
        <w:gridCol w:w="1028"/>
        <w:gridCol w:w="983"/>
        <w:gridCol w:w="1028"/>
        <w:gridCol w:w="1028"/>
      </w:tblGrid>
      <w:tr w:rsidR="00B05048" w14:paraId="4BBBF20A" w14:textId="77777777" w:rsidTr="00BA67CC">
        <w:trPr>
          <w:trHeight w:hRule="exact" w:val="288"/>
        </w:trPr>
        <w:tc>
          <w:tcPr>
            <w:tcW w:w="8053" w:type="dxa"/>
            <w:gridSpan w:val="8"/>
            <w:tcBorders>
              <w:bottom w:val="single" w:sz="4" w:space="0" w:color="auto"/>
            </w:tcBorders>
            <w:shd w:val="clear" w:color="auto" w:fill="auto"/>
            <w:vAlign w:val="bottom"/>
          </w:tcPr>
          <w:p w14:paraId="566A6BF1" w14:textId="77777777" w:rsidR="00B05048" w:rsidRPr="00B05048" w:rsidRDefault="00B05048" w:rsidP="005C5B23">
            <w:pPr>
              <w:jc w:val="center"/>
              <w:rPr>
                <w:b/>
                <w:bCs/>
                <w:color w:val="000000"/>
                <w:sz w:val="20"/>
                <w:szCs w:val="20"/>
              </w:rPr>
            </w:pPr>
            <w:r>
              <w:rPr>
                <w:b/>
                <w:bCs/>
                <w:sz w:val="20"/>
                <w:szCs w:val="20"/>
              </w:rPr>
              <w:t>Table 5. Motor Carrier</w:t>
            </w:r>
            <w:r w:rsidRPr="005479BE">
              <w:rPr>
                <w:b/>
                <w:bCs/>
                <w:sz w:val="20"/>
                <w:szCs w:val="20"/>
              </w:rPr>
              <w:t xml:space="preserve"> Task 1 </w:t>
            </w:r>
            <w:r>
              <w:rPr>
                <w:b/>
                <w:bCs/>
                <w:sz w:val="20"/>
                <w:szCs w:val="20"/>
              </w:rPr>
              <w:t>Reviewing RODS</w:t>
            </w:r>
          </w:p>
        </w:tc>
      </w:tr>
      <w:tr w:rsidR="005C5B23" w14:paraId="35B1C9D8" w14:textId="77777777" w:rsidTr="00110974">
        <w:trPr>
          <w:trHeight w:hRule="exact" w:val="1296"/>
        </w:trPr>
        <w:tc>
          <w:tcPr>
            <w:tcW w:w="96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4413C48" w14:textId="77777777" w:rsidR="002351C9" w:rsidRPr="00110974" w:rsidRDefault="002351C9" w:rsidP="005C5B23">
            <w:pPr>
              <w:jc w:val="center"/>
              <w:rPr>
                <w:b/>
                <w:bCs/>
                <w:color w:val="000000"/>
                <w:sz w:val="20"/>
                <w:szCs w:val="20"/>
              </w:rPr>
            </w:pPr>
            <w:r w:rsidRPr="00110974">
              <w:rPr>
                <w:b/>
                <w:bCs/>
                <w:color w:val="000000"/>
                <w:sz w:val="20"/>
                <w:szCs w:val="20"/>
              </w:rPr>
              <w:t> </w:t>
            </w:r>
          </w:p>
        </w:tc>
        <w:tc>
          <w:tcPr>
            <w:tcW w:w="1028" w:type="dxa"/>
            <w:tcBorders>
              <w:top w:val="single" w:sz="4" w:space="0" w:color="auto"/>
              <w:left w:val="nil"/>
              <w:bottom w:val="single" w:sz="4" w:space="0" w:color="auto"/>
              <w:right w:val="single" w:sz="4" w:space="0" w:color="auto"/>
            </w:tcBorders>
            <w:shd w:val="clear" w:color="000000" w:fill="D9D9D9"/>
            <w:vAlign w:val="bottom"/>
            <w:hideMark/>
          </w:tcPr>
          <w:p w14:paraId="55B2570B" w14:textId="77777777" w:rsidR="002351C9" w:rsidRDefault="002351C9" w:rsidP="005C5B23">
            <w:pPr>
              <w:jc w:val="center"/>
              <w:rPr>
                <w:b/>
                <w:bCs/>
                <w:color w:val="000000"/>
                <w:sz w:val="20"/>
                <w:szCs w:val="20"/>
              </w:rPr>
            </w:pPr>
            <w:r w:rsidRPr="00110974">
              <w:rPr>
                <w:b/>
                <w:bCs/>
                <w:color w:val="000000"/>
                <w:sz w:val="20"/>
                <w:szCs w:val="20"/>
              </w:rPr>
              <w:t>D</w:t>
            </w:r>
            <w:r w:rsidR="00561864">
              <w:rPr>
                <w:b/>
                <w:bCs/>
                <w:color w:val="000000"/>
                <w:sz w:val="20"/>
                <w:szCs w:val="20"/>
              </w:rPr>
              <w:t>aily:</w:t>
            </w:r>
            <w:r w:rsidRPr="00110974">
              <w:rPr>
                <w:b/>
                <w:bCs/>
                <w:color w:val="000000"/>
                <w:sz w:val="20"/>
                <w:szCs w:val="20"/>
              </w:rPr>
              <w:t xml:space="preserve"> Number of RODS</w:t>
            </w:r>
          </w:p>
          <w:p w14:paraId="35C22660" w14:textId="77777777" w:rsidR="00561864" w:rsidRPr="00110974" w:rsidRDefault="00561864" w:rsidP="005C5B23">
            <w:pPr>
              <w:jc w:val="center"/>
              <w:rPr>
                <w:b/>
                <w:bCs/>
                <w:color w:val="000000"/>
                <w:sz w:val="20"/>
                <w:szCs w:val="20"/>
              </w:rPr>
            </w:pPr>
            <w:r>
              <w:rPr>
                <w:b/>
                <w:bCs/>
                <w:color w:val="000000"/>
                <w:sz w:val="20"/>
                <w:szCs w:val="20"/>
              </w:rPr>
              <w:t>(millions)</w:t>
            </w:r>
          </w:p>
        </w:tc>
        <w:tc>
          <w:tcPr>
            <w:tcW w:w="1038" w:type="dxa"/>
            <w:tcBorders>
              <w:top w:val="single" w:sz="4" w:space="0" w:color="auto"/>
              <w:left w:val="nil"/>
              <w:bottom w:val="single" w:sz="4" w:space="0" w:color="auto"/>
              <w:right w:val="single" w:sz="4" w:space="0" w:color="auto"/>
            </w:tcBorders>
            <w:shd w:val="clear" w:color="000000" w:fill="D9D9D9"/>
            <w:vAlign w:val="bottom"/>
            <w:hideMark/>
          </w:tcPr>
          <w:p w14:paraId="7447017F" w14:textId="77777777" w:rsidR="002351C9" w:rsidRDefault="002351C9" w:rsidP="005C5B23">
            <w:pPr>
              <w:jc w:val="center"/>
              <w:rPr>
                <w:b/>
                <w:bCs/>
                <w:color w:val="000000"/>
                <w:sz w:val="20"/>
                <w:szCs w:val="20"/>
              </w:rPr>
            </w:pPr>
            <w:r w:rsidRPr="00110974">
              <w:rPr>
                <w:b/>
                <w:bCs/>
                <w:color w:val="000000"/>
                <w:sz w:val="20"/>
                <w:szCs w:val="20"/>
              </w:rPr>
              <w:t>Daily</w:t>
            </w:r>
            <w:r w:rsidR="00561864">
              <w:rPr>
                <w:b/>
                <w:bCs/>
                <w:color w:val="000000"/>
                <w:sz w:val="20"/>
                <w:szCs w:val="20"/>
              </w:rPr>
              <w:t>:</w:t>
            </w:r>
            <w:r w:rsidRPr="00110974">
              <w:rPr>
                <w:b/>
                <w:bCs/>
                <w:color w:val="000000"/>
                <w:sz w:val="20"/>
                <w:szCs w:val="20"/>
              </w:rPr>
              <w:t xml:space="preserve"> Number of RODS Reviewed</w:t>
            </w:r>
          </w:p>
          <w:p w14:paraId="6311500F" w14:textId="77777777" w:rsidR="00561864" w:rsidRPr="00110974" w:rsidRDefault="00561864" w:rsidP="005C5B23">
            <w:pPr>
              <w:jc w:val="center"/>
              <w:rPr>
                <w:b/>
                <w:bCs/>
                <w:color w:val="000000"/>
                <w:sz w:val="20"/>
                <w:szCs w:val="20"/>
              </w:rPr>
            </w:pPr>
            <w:r>
              <w:rPr>
                <w:b/>
                <w:bCs/>
                <w:color w:val="000000"/>
                <w:sz w:val="20"/>
                <w:szCs w:val="20"/>
              </w:rPr>
              <w:t>(millions)</w:t>
            </w:r>
          </w:p>
        </w:tc>
        <w:tc>
          <w:tcPr>
            <w:tcW w:w="960" w:type="dxa"/>
            <w:tcBorders>
              <w:top w:val="single" w:sz="4" w:space="0" w:color="auto"/>
              <w:left w:val="nil"/>
              <w:bottom w:val="single" w:sz="4" w:space="0" w:color="auto"/>
              <w:right w:val="single" w:sz="4" w:space="0" w:color="auto"/>
            </w:tcBorders>
            <w:shd w:val="clear" w:color="000000" w:fill="D9D9D9"/>
            <w:vAlign w:val="bottom"/>
            <w:hideMark/>
          </w:tcPr>
          <w:p w14:paraId="2A393115" w14:textId="77777777" w:rsidR="002351C9" w:rsidRPr="00110974" w:rsidRDefault="002351C9" w:rsidP="005C5B23">
            <w:pPr>
              <w:jc w:val="center"/>
              <w:rPr>
                <w:b/>
                <w:bCs/>
                <w:color w:val="000000"/>
                <w:sz w:val="20"/>
                <w:szCs w:val="20"/>
              </w:rPr>
            </w:pPr>
            <w:r w:rsidRPr="00110974">
              <w:rPr>
                <w:b/>
                <w:bCs/>
                <w:color w:val="000000"/>
                <w:sz w:val="20"/>
                <w:szCs w:val="20"/>
              </w:rPr>
              <w:t>Minutes Per RODS on Task</w:t>
            </w:r>
          </w:p>
        </w:tc>
        <w:tc>
          <w:tcPr>
            <w:tcW w:w="1028" w:type="dxa"/>
            <w:tcBorders>
              <w:top w:val="single" w:sz="4" w:space="0" w:color="auto"/>
              <w:left w:val="nil"/>
              <w:bottom w:val="single" w:sz="4" w:space="0" w:color="auto"/>
              <w:right w:val="single" w:sz="4" w:space="0" w:color="auto"/>
            </w:tcBorders>
            <w:shd w:val="clear" w:color="000000" w:fill="D9D9D9"/>
            <w:vAlign w:val="bottom"/>
            <w:hideMark/>
          </w:tcPr>
          <w:p w14:paraId="6F1CC01A" w14:textId="77777777" w:rsidR="002351C9" w:rsidRDefault="002351C9" w:rsidP="005C5B23">
            <w:pPr>
              <w:jc w:val="center"/>
              <w:rPr>
                <w:b/>
                <w:bCs/>
                <w:color w:val="000000"/>
                <w:sz w:val="20"/>
                <w:szCs w:val="20"/>
              </w:rPr>
            </w:pPr>
            <w:r w:rsidRPr="00110974">
              <w:rPr>
                <w:b/>
                <w:bCs/>
                <w:color w:val="000000"/>
                <w:sz w:val="20"/>
                <w:szCs w:val="20"/>
              </w:rPr>
              <w:t>DAILY Minutes on Task</w:t>
            </w:r>
          </w:p>
          <w:p w14:paraId="3D029E9B" w14:textId="77777777" w:rsidR="00561864" w:rsidRPr="00110974" w:rsidRDefault="00561864" w:rsidP="005C5B23">
            <w:pPr>
              <w:jc w:val="center"/>
              <w:rPr>
                <w:b/>
                <w:bCs/>
                <w:color w:val="000000"/>
                <w:sz w:val="20"/>
                <w:szCs w:val="20"/>
              </w:rPr>
            </w:pPr>
            <w:r>
              <w:rPr>
                <w:b/>
                <w:bCs/>
                <w:color w:val="000000"/>
                <w:sz w:val="20"/>
                <w:szCs w:val="20"/>
              </w:rPr>
              <w:t>(millions)</w:t>
            </w:r>
          </w:p>
        </w:tc>
        <w:tc>
          <w:tcPr>
            <w:tcW w:w="983" w:type="dxa"/>
            <w:tcBorders>
              <w:top w:val="single" w:sz="4" w:space="0" w:color="auto"/>
              <w:left w:val="nil"/>
              <w:bottom w:val="single" w:sz="4" w:space="0" w:color="auto"/>
              <w:right w:val="single" w:sz="4" w:space="0" w:color="auto"/>
            </w:tcBorders>
            <w:shd w:val="clear" w:color="000000" w:fill="D9D9D9"/>
            <w:vAlign w:val="bottom"/>
            <w:hideMark/>
          </w:tcPr>
          <w:p w14:paraId="288B6F36" w14:textId="77777777" w:rsidR="002351C9" w:rsidRPr="00110974" w:rsidRDefault="002351C9" w:rsidP="005C5B23">
            <w:pPr>
              <w:jc w:val="center"/>
              <w:rPr>
                <w:b/>
                <w:bCs/>
                <w:color w:val="000000"/>
                <w:sz w:val="20"/>
                <w:szCs w:val="20"/>
              </w:rPr>
            </w:pPr>
            <w:r w:rsidRPr="00110974">
              <w:rPr>
                <w:b/>
                <w:bCs/>
                <w:color w:val="000000"/>
                <w:sz w:val="20"/>
                <w:szCs w:val="20"/>
              </w:rPr>
              <w:t>Working Days Per Year</w:t>
            </w:r>
          </w:p>
        </w:tc>
        <w:tc>
          <w:tcPr>
            <w:tcW w:w="1028" w:type="dxa"/>
            <w:tcBorders>
              <w:top w:val="single" w:sz="4" w:space="0" w:color="auto"/>
              <w:left w:val="nil"/>
              <w:bottom w:val="single" w:sz="4" w:space="0" w:color="auto"/>
              <w:right w:val="single" w:sz="4" w:space="0" w:color="auto"/>
            </w:tcBorders>
            <w:shd w:val="clear" w:color="000000" w:fill="D9D9D9"/>
            <w:vAlign w:val="bottom"/>
            <w:hideMark/>
          </w:tcPr>
          <w:p w14:paraId="0836285D" w14:textId="77777777" w:rsidR="002351C9" w:rsidRDefault="002351C9" w:rsidP="005C5B23">
            <w:pPr>
              <w:jc w:val="center"/>
              <w:rPr>
                <w:b/>
                <w:bCs/>
                <w:color w:val="000000"/>
                <w:sz w:val="20"/>
                <w:szCs w:val="20"/>
              </w:rPr>
            </w:pPr>
            <w:r w:rsidRPr="00110974">
              <w:rPr>
                <w:b/>
                <w:bCs/>
                <w:color w:val="000000"/>
                <w:sz w:val="20"/>
                <w:szCs w:val="20"/>
              </w:rPr>
              <w:t>Minutes on Task per Year</w:t>
            </w:r>
          </w:p>
          <w:p w14:paraId="20B71EAD" w14:textId="77777777" w:rsidR="00561864" w:rsidRPr="00110974" w:rsidRDefault="00561864" w:rsidP="005C5B23">
            <w:pPr>
              <w:jc w:val="center"/>
              <w:rPr>
                <w:b/>
                <w:bCs/>
                <w:color w:val="000000"/>
                <w:sz w:val="20"/>
                <w:szCs w:val="20"/>
              </w:rPr>
            </w:pPr>
            <w:r>
              <w:rPr>
                <w:b/>
                <w:bCs/>
                <w:color w:val="000000"/>
                <w:sz w:val="20"/>
                <w:szCs w:val="20"/>
              </w:rPr>
              <w:t>(millions)</w:t>
            </w:r>
          </w:p>
        </w:tc>
        <w:tc>
          <w:tcPr>
            <w:tcW w:w="1028" w:type="dxa"/>
            <w:tcBorders>
              <w:top w:val="single" w:sz="4" w:space="0" w:color="auto"/>
              <w:left w:val="nil"/>
              <w:bottom w:val="single" w:sz="4" w:space="0" w:color="auto"/>
              <w:right w:val="single" w:sz="4" w:space="0" w:color="auto"/>
            </w:tcBorders>
            <w:shd w:val="clear" w:color="000000" w:fill="D9D9D9"/>
            <w:vAlign w:val="bottom"/>
            <w:hideMark/>
          </w:tcPr>
          <w:p w14:paraId="2C2090BD" w14:textId="77777777" w:rsidR="00561864" w:rsidRDefault="002351C9" w:rsidP="005C5B23">
            <w:pPr>
              <w:jc w:val="center"/>
              <w:rPr>
                <w:b/>
                <w:bCs/>
                <w:color w:val="000000"/>
                <w:sz w:val="20"/>
                <w:szCs w:val="20"/>
              </w:rPr>
            </w:pPr>
            <w:r w:rsidRPr="00110974">
              <w:rPr>
                <w:b/>
                <w:bCs/>
                <w:color w:val="000000"/>
                <w:sz w:val="20"/>
                <w:szCs w:val="20"/>
              </w:rPr>
              <w:t>Hours on Task Per Year</w:t>
            </w:r>
          </w:p>
          <w:p w14:paraId="785D7DD8" w14:textId="77777777" w:rsidR="002351C9" w:rsidRPr="00110974" w:rsidRDefault="00561864" w:rsidP="005C5B23">
            <w:pPr>
              <w:jc w:val="center"/>
              <w:rPr>
                <w:b/>
                <w:bCs/>
                <w:color w:val="000000"/>
                <w:sz w:val="20"/>
                <w:szCs w:val="20"/>
              </w:rPr>
            </w:pPr>
            <w:r>
              <w:rPr>
                <w:b/>
                <w:bCs/>
                <w:color w:val="000000"/>
                <w:sz w:val="20"/>
                <w:szCs w:val="20"/>
              </w:rPr>
              <w:t>(millions)</w:t>
            </w:r>
            <w:r w:rsidR="002351C9" w:rsidRPr="00110974">
              <w:rPr>
                <w:b/>
                <w:bCs/>
                <w:color w:val="000000"/>
                <w:sz w:val="20"/>
                <w:szCs w:val="20"/>
              </w:rPr>
              <w:t xml:space="preserve"> </w:t>
            </w:r>
          </w:p>
        </w:tc>
      </w:tr>
      <w:tr w:rsidR="00FB645C" w14:paraId="0BC5CFE8" w14:textId="77777777" w:rsidTr="00110974">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993F69" w14:textId="77777777" w:rsidR="00FB645C" w:rsidRPr="00110974" w:rsidRDefault="00FB645C" w:rsidP="00FB645C">
            <w:pPr>
              <w:jc w:val="center"/>
              <w:rPr>
                <w:bCs/>
                <w:color w:val="000000"/>
                <w:sz w:val="18"/>
                <w:szCs w:val="18"/>
              </w:rPr>
            </w:pPr>
            <w:r w:rsidRPr="00110974">
              <w:rPr>
                <w:bCs/>
                <w:color w:val="000000"/>
                <w:sz w:val="18"/>
                <w:szCs w:val="18"/>
              </w:rPr>
              <w:t>Year 1</w:t>
            </w:r>
          </w:p>
        </w:tc>
        <w:tc>
          <w:tcPr>
            <w:tcW w:w="1028" w:type="dxa"/>
            <w:tcBorders>
              <w:top w:val="nil"/>
              <w:left w:val="nil"/>
              <w:bottom w:val="single" w:sz="4" w:space="0" w:color="auto"/>
              <w:right w:val="single" w:sz="4" w:space="0" w:color="auto"/>
            </w:tcBorders>
            <w:shd w:val="clear" w:color="auto" w:fill="auto"/>
            <w:noWrap/>
            <w:vAlign w:val="bottom"/>
            <w:hideMark/>
          </w:tcPr>
          <w:p w14:paraId="12224DC1" w14:textId="77777777" w:rsidR="00FB645C" w:rsidRPr="00110974" w:rsidRDefault="00FB645C" w:rsidP="00FB645C">
            <w:pPr>
              <w:jc w:val="right"/>
              <w:rPr>
                <w:color w:val="000000"/>
                <w:sz w:val="18"/>
                <w:szCs w:val="18"/>
              </w:rPr>
            </w:pPr>
            <w:r w:rsidRPr="00110974">
              <w:rPr>
                <w:color w:val="000000"/>
                <w:sz w:val="18"/>
                <w:szCs w:val="18"/>
              </w:rPr>
              <w:t>3.40</w:t>
            </w:r>
          </w:p>
        </w:tc>
        <w:tc>
          <w:tcPr>
            <w:tcW w:w="1038" w:type="dxa"/>
            <w:tcBorders>
              <w:top w:val="nil"/>
              <w:left w:val="nil"/>
              <w:bottom w:val="single" w:sz="4" w:space="0" w:color="auto"/>
              <w:right w:val="single" w:sz="4" w:space="0" w:color="auto"/>
            </w:tcBorders>
            <w:shd w:val="clear" w:color="auto" w:fill="auto"/>
            <w:noWrap/>
            <w:vAlign w:val="bottom"/>
            <w:hideMark/>
          </w:tcPr>
          <w:p w14:paraId="490D97D7" w14:textId="77777777" w:rsidR="00FB645C" w:rsidRPr="00110974" w:rsidRDefault="00FB645C" w:rsidP="00FB645C">
            <w:pPr>
              <w:jc w:val="right"/>
              <w:rPr>
                <w:color w:val="000000"/>
                <w:sz w:val="18"/>
                <w:szCs w:val="18"/>
              </w:rPr>
            </w:pPr>
            <w:r w:rsidRPr="00110974">
              <w:rPr>
                <w:color w:val="000000"/>
                <w:sz w:val="18"/>
                <w:szCs w:val="18"/>
              </w:rPr>
              <w:t>1.70</w:t>
            </w:r>
          </w:p>
        </w:tc>
        <w:tc>
          <w:tcPr>
            <w:tcW w:w="960" w:type="dxa"/>
            <w:tcBorders>
              <w:top w:val="nil"/>
              <w:left w:val="nil"/>
              <w:bottom w:val="single" w:sz="4" w:space="0" w:color="auto"/>
              <w:right w:val="single" w:sz="4" w:space="0" w:color="auto"/>
            </w:tcBorders>
            <w:shd w:val="clear" w:color="auto" w:fill="auto"/>
            <w:noWrap/>
            <w:vAlign w:val="bottom"/>
            <w:hideMark/>
          </w:tcPr>
          <w:p w14:paraId="2986F753" w14:textId="77777777" w:rsidR="00FB645C" w:rsidRPr="00110974" w:rsidRDefault="00FB645C" w:rsidP="00FB645C">
            <w:pPr>
              <w:jc w:val="right"/>
              <w:rPr>
                <w:color w:val="000000"/>
                <w:sz w:val="20"/>
                <w:szCs w:val="20"/>
              </w:rPr>
            </w:pPr>
            <w:r w:rsidRPr="00110974">
              <w:rPr>
                <w:color w:val="000000"/>
                <w:sz w:val="20"/>
                <w:szCs w:val="20"/>
              </w:rPr>
              <w:t>2</w:t>
            </w:r>
          </w:p>
        </w:tc>
        <w:tc>
          <w:tcPr>
            <w:tcW w:w="1028" w:type="dxa"/>
            <w:tcBorders>
              <w:top w:val="nil"/>
              <w:left w:val="nil"/>
              <w:bottom w:val="single" w:sz="4" w:space="0" w:color="auto"/>
              <w:right w:val="single" w:sz="4" w:space="0" w:color="auto"/>
            </w:tcBorders>
            <w:shd w:val="clear" w:color="auto" w:fill="auto"/>
            <w:noWrap/>
            <w:vAlign w:val="bottom"/>
            <w:hideMark/>
          </w:tcPr>
          <w:p w14:paraId="39CAEFA3" w14:textId="77777777" w:rsidR="00FB645C" w:rsidRPr="00110974" w:rsidRDefault="00FB645C" w:rsidP="00FB645C">
            <w:pPr>
              <w:jc w:val="right"/>
              <w:rPr>
                <w:color w:val="000000"/>
                <w:sz w:val="20"/>
                <w:szCs w:val="20"/>
              </w:rPr>
            </w:pPr>
            <w:r w:rsidRPr="00110974">
              <w:rPr>
                <w:color w:val="000000"/>
                <w:sz w:val="20"/>
                <w:szCs w:val="20"/>
              </w:rPr>
              <w:t>3.40</w:t>
            </w:r>
          </w:p>
        </w:tc>
        <w:tc>
          <w:tcPr>
            <w:tcW w:w="983" w:type="dxa"/>
            <w:tcBorders>
              <w:top w:val="nil"/>
              <w:left w:val="nil"/>
              <w:bottom w:val="single" w:sz="4" w:space="0" w:color="auto"/>
              <w:right w:val="single" w:sz="4" w:space="0" w:color="auto"/>
            </w:tcBorders>
            <w:shd w:val="clear" w:color="auto" w:fill="auto"/>
            <w:noWrap/>
            <w:vAlign w:val="bottom"/>
            <w:hideMark/>
          </w:tcPr>
          <w:p w14:paraId="39581ACE" w14:textId="77777777" w:rsidR="00FB645C" w:rsidRPr="00110974" w:rsidRDefault="00FB645C" w:rsidP="00FB645C">
            <w:pPr>
              <w:jc w:val="right"/>
              <w:rPr>
                <w:color w:val="000000"/>
                <w:sz w:val="20"/>
                <w:szCs w:val="20"/>
              </w:rPr>
            </w:pPr>
            <w:r w:rsidRPr="00110974">
              <w:rPr>
                <w:color w:val="000000"/>
                <w:sz w:val="20"/>
                <w:szCs w:val="20"/>
              </w:rPr>
              <w:t>240</w:t>
            </w:r>
          </w:p>
        </w:tc>
        <w:tc>
          <w:tcPr>
            <w:tcW w:w="1028" w:type="dxa"/>
            <w:tcBorders>
              <w:top w:val="nil"/>
              <w:left w:val="nil"/>
              <w:bottom w:val="single" w:sz="4" w:space="0" w:color="auto"/>
              <w:right w:val="single" w:sz="4" w:space="0" w:color="auto"/>
            </w:tcBorders>
            <w:shd w:val="clear" w:color="auto" w:fill="auto"/>
            <w:noWrap/>
            <w:vAlign w:val="bottom"/>
          </w:tcPr>
          <w:p w14:paraId="04091B78" w14:textId="77777777" w:rsidR="00FB645C" w:rsidRPr="00110974" w:rsidRDefault="00FB645C" w:rsidP="00FB645C">
            <w:pPr>
              <w:jc w:val="right"/>
              <w:rPr>
                <w:color w:val="000000"/>
                <w:sz w:val="20"/>
                <w:szCs w:val="20"/>
              </w:rPr>
            </w:pPr>
            <w:r w:rsidRPr="00110974">
              <w:rPr>
                <w:sz w:val="20"/>
                <w:szCs w:val="20"/>
              </w:rPr>
              <w:t>815.82</w:t>
            </w:r>
          </w:p>
        </w:tc>
        <w:tc>
          <w:tcPr>
            <w:tcW w:w="1028" w:type="dxa"/>
            <w:tcBorders>
              <w:top w:val="nil"/>
              <w:left w:val="nil"/>
              <w:bottom w:val="single" w:sz="4" w:space="0" w:color="auto"/>
              <w:right w:val="single" w:sz="4" w:space="0" w:color="auto"/>
            </w:tcBorders>
            <w:shd w:val="clear" w:color="auto" w:fill="auto"/>
            <w:noWrap/>
            <w:vAlign w:val="bottom"/>
          </w:tcPr>
          <w:p w14:paraId="6C6F7AC5" w14:textId="77777777" w:rsidR="00FB645C" w:rsidRPr="00110974" w:rsidRDefault="00FB645C" w:rsidP="00FB645C">
            <w:pPr>
              <w:jc w:val="right"/>
              <w:rPr>
                <w:color w:val="000000"/>
                <w:sz w:val="20"/>
                <w:szCs w:val="20"/>
              </w:rPr>
            </w:pPr>
            <w:r w:rsidRPr="00110974">
              <w:rPr>
                <w:sz w:val="20"/>
                <w:szCs w:val="20"/>
              </w:rPr>
              <w:t>13.60</w:t>
            </w:r>
          </w:p>
        </w:tc>
      </w:tr>
      <w:tr w:rsidR="00FB645C" w14:paraId="5AEBE5D2" w14:textId="77777777" w:rsidTr="00110974">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C59FF8" w14:textId="77777777" w:rsidR="00FB645C" w:rsidRPr="00110974" w:rsidRDefault="00FB645C" w:rsidP="00FB645C">
            <w:pPr>
              <w:jc w:val="center"/>
              <w:rPr>
                <w:bCs/>
                <w:color w:val="000000"/>
                <w:sz w:val="18"/>
                <w:szCs w:val="18"/>
              </w:rPr>
            </w:pPr>
            <w:r w:rsidRPr="00110974">
              <w:rPr>
                <w:bCs/>
                <w:color w:val="000000"/>
                <w:sz w:val="18"/>
                <w:szCs w:val="18"/>
              </w:rPr>
              <w:t>Year 2</w:t>
            </w:r>
          </w:p>
        </w:tc>
        <w:tc>
          <w:tcPr>
            <w:tcW w:w="1028" w:type="dxa"/>
            <w:tcBorders>
              <w:top w:val="nil"/>
              <w:left w:val="nil"/>
              <w:bottom w:val="single" w:sz="4" w:space="0" w:color="auto"/>
              <w:right w:val="single" w:sz="4" w:space="0" w:color="auto"/>
            </w:tcBorders>
            <w:shd w:val="clear" w:color="auto" w:fill="auto"/>
            <w:noWrap/>
            <w:vAlign w:val="bottom"/>
            <w:hideMark/>
          </w:tcPr>
          <w:p w14:paraId="3E96B8C6" w14:textId="77777777" w:rsidR="00FB645C" w:rsidRPr="00110974" w:rsidRDefault="00FB645C" w:rsidP="00FB645C">
            <w:pPr>
              <w:jc w:val="right"/>
              <w:rPr>
                <w:color w:val="000000"/>
                <w:sz w:val="20"/>
                <w:szCs w:val="20"/>
              </w:rPr>
            </w:pPr>
            <w:r w:rsidRPr="00110974">
              <w:rPr>
                <w:color w:val="000000"/>
                <w:sz w:val="20"/>
                <w:szCs w:val="20"/>
              </w:rPr>
              <w:t>3.42</w:t>
            </w:r>
          </w:p>
        </w:tc>
        <w:tc>
          <w:tcPr>
            <w:tcW w:w="1038" w:type="dxa"/>
            <w:tcBorders>
              <w:top w:val="nil"/>
              <w:left w:val="nil"/>
              <w:bottom w:val="single" w:sz="4" w:space="0" w:color="auto"/>
              <w:right w:val="single" w:sz="4" w:space="0" w:color="auto"/>
            </w:tcBorders>
            <w:shd w:val="clear" w:color="auto" w:fill="auto"/>
            <w:noWrap/>
            <w:vAlign w:val="bottom"/>
            <w:hideMark/>
          </w:tcPr>
          <w:p w14:paraId="373B48F1" w14:textId="77777777" w:rsidR="00FB645C" w:rsidRPr="00110974" w:rsidRDefault="00FB645C" w:rsidP="00FB645C">
            <w:pPr>
              <w:jc w:val="right"/>
              <w:rPr>
                <w:color w:val="000000"/>
                <w:sz w:val="20"/>
                <w:szCs w:val="20"/>
              </w:rPr>
            </w:pPr>
            <w:r w:rsidRPr="00110974">
              <w:rPr>
                <w:color w:val="000000"/>
                <w:sz w:val="20"/>
                <w:szCs w:val="20"/>
              </w:rPr>
              <w:t>1.71</w:t>
            </w:r>
          </w:p>
        </w:tc>
        <w:tc>
          <w:tcPr>
            <w:tcW w:w="960" w:type="dxa"/>
            <w:tcBorders>
              <w:top w:val="nil"/>
              <w:left w:val="nil"/>
              <w:bottom w:val="single" w:sz="4" w:space="0" w:color="auto"/>
              <w:right w:val="single" w:sz="4" w:space="0" w:color="auto"/>
            </w:tcBorders>
            <w:shd w:val="clear" w:color="auto" w:fill="auto"/>
            <w:noWrap/>
            <w:vAlign w:val="bottom"/>
            <w:hideMark/>
          </w:tcPr>
          <w:p w14:paraId="786A0430" w14:textId="77777777" w:rsidR="00FB645C" w:rsidRPr="00110974" w:rsidRDefault="00FB645C" w:rsidP="00FB645C">
            <w:pPr>
              <w:jc w:val="right"/>
              <w:rPr>
                <w:color w:val="000000"/>
                <w:sz w:val="20"/>
                <w:szCs w:val="20"/>
              </w:rPr>
            </w:pPr>
            <w:r w:rsidRPr="00110974">
              <w:rPr>
                <w:color w:val="000000"/>
                <w:sz w:val="20"/>
                <w:szCs w:val="20"/>
              </w:rPr>
              <w:t>2</w:t>
            </w:r>
          </w:p>
        </w:tc>
        <w:tc>
          <w:tcPr>
            <w:tcW w:w="1028" w:type="dxa"/>
            <w:tcBorders>
              <w:top w:val="nil"/>
              <w:left w:val="nil"/>
              <w:bottom w:val="single" w:sz="4" w:space="0" w:color="auto"/>
              <w:right w:val="single" w:sz="4" w:space="0" w:color="auto"/>
            </w:tcBorders>
            <w:shd w:val="clear" w:color="auto" w:fill="auto"/>
            <w:noWrap/>
            <w:vAlign w:val="bottom"/>
            <w:hideMark/>
          </w:tcPr>
          <w:p w14:paraId="162F9FF3" w14:textId="77777777" w:rsidR="00FB645C" w:rsidRPr="00110974" w:rsidRDefault="00FB645C" w:rsidP="00FB645C">
            <w:pPr>
              <w:jc w:val="right"/>
              <w:rPr>
                <w:color w:val="000000"/>
                <w:sz w:val="20"/>
                <w:szCs w:val="20"/>
              </w:rPr>
            </w:pPr>
            <w:r w:rsidRPr="00110974">
              <w:rPr>
                <w:color w:val="000000"/>
                <w:sz w:val="20"/>
                <w:szCs w:val="20"/>
              </w:rPr>
              <w:t>3.42</w:t>
            </w:r>
          </w:p>
        </w:tc>
        <w:tc>
          <w:tcPr>
            <w:tcW w:w="983" w:type="dxa"/>
            <w:tcBorders>
              <w:top w:val="nil"/>
              <w:left w:val="nil"/>
              <w:bottom w:val="single" w:sz="4" w:space="0" w:color="auto"/>
              <w:right w:val="single" w:sz="4" w:space="0" w:color="auto"/>
            </w:tcBorders>
            <w:shd w:val="clear" w:color="auto" w:fill="auto"/>
            <w:noWrap/>
            <w:vAlign w:val="bottom"/>
            <w:hideMark/>
          </w:tcPr>
          <w:p w14:paraId="3C17E027" w14:textId="77777777" w:rsidR="00FB645C" w:rsidRPr="00110974" w:rsidRDefault="00FB645C" w:rsidP="00FB645C">
            <w:pPr>
              <w:jc w:val="right"/>
              <w:rPr>
                <w:color w:val="000000"/>
                <w:sz w:val="20"/>
                <w:szCs w:val="20"/>
              </w:rPr>
            </w:pPr>
            <w:r w:rsidRPr="00110974">
              <w:rPr>
                <w:color w:val="000000"/>
                <w:sz w:val="20"/>
                <w:szCs w:val="20"/>
              </w:rPr>
              <w:t>240</w:t>
            </w:r>
          </w:p>
        </w:tc>
        <w:tc>
          <w:tcPr>
            <w:tcW w:w="1028" w:type="dxa"/>
            <w:tcBorders>
              <w:top w:val="nil"/>
              <w:left w:val="nil"/>
              <w:bottom w:val="single" w:sz="4" w:space="0" w:color="auto"/>
              <w:right w:val="single" w:sz="4" w:space="0" w:color="auto"/>
            </w:tcBorders>
            <w:shd w:val="clear" w:color="auto" w:fill="auto"/>
            <w:noWrap/>
            <w:vAlign w:val="bottom"/>
          </w:tcPr>
          <w:p w14:paraId="7AFF1ED1" w14:textId="77777777" w:rsidR="00FB645C" w:rsidRPr="00110974" w:rsidRDefault="00FB645C" w:rsidP="00FB645C">
            <w:pPr>
              <w:jc w:val="right"/>
              <w:rPr>
                <w:color w:val="000000"/>
                <w:sz w:val="20"/>
                <w:szCs w:val="20"/>
              </w:rPr>
            </w:pPr>
            <w:r w:rsidRPr="00110974">
              <w:rPr>
                <w:sz w:val="20"/>
                <w:szCs w:val="20"/>
              </w:rPr>
              <w:t>820.67</w:t>
            </w:r>
          </w:p>
        </w:tc>
        <w:tc>
          <w:tcPr>
            <w:tcW w:w="1028" w:type="dxa"/>
            <w:tcBorders>
              <w:top w:val="nil"/>
              <w:left w:val="nil"/>
              <w:bottom w:val="single" w:sz="4" w:space="0" w:color="auto"/>
              <w:right w:val="single" w:sz="4" w:space="0" w:color="auto"/>
            </w:tcBorders>
            <w:shd w:val="clear" w:color="auto" w:fill="auto"/>
            <w:noWrap/>
            <w:vAlign w:val="bottom"/>
          </w:tcPr>
          <w:p w14:paraId="284E3249" w14:textId="77777777" w:rsidR="00FB645C" w:rsidRPr="00110974" w:rsidRDefault="00FB645C" w:rsidP="00FB645C">
            <w:pPr>
              <w:jc w:val="right"/>
              <w:rPr>
                <w:color w:val="000000"/>
                <w:sz w:val="20"/>
                <w:szCs w:val="20"/>
              </w:rPr>
            </w:pPr>
            <w:r w:rsidRPr="00110974">
              <w:rPr>
                <w:sz w:val="20"/>
                <w:szCs w:val="20"/>
              </w:rPr>
              <w:t>13.68</w:t>
            </w:r>
          </w:p>
        </w:tc>
      </w:tr>
      <w:tr w:rsidR="00FB645C" w14:paraId="519AD72E" w14:textId="77777777" w:rsidTr="000C68FA">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DC982F" w14:textId="77777777" w:rsidR="00FB645C" w:rsidRPr="000C68FA" w:rsidRDefault="00FB645C" w:rsidP="00FB645C">
            <w:pPr>
              <w:jc w:val="center"/>
              <w:rPr>
                <w:bCs/>
                <w:color w:val="000000"/>
                <w:sz w:val="18"/>
                <w:szCs w:val="18"/>
              </w:rPr>
            </w:pPr>
            <w:r w:rsidRPr="000C68FA">
              <w:rPr>
                <w:bCs/>
                <w:color w:val="000000"/>
                <w:sz w:val="18"/>
                <w:szCs w:val="18"/>
              </w:rPr>
              <w:t>Year 3</w:t>
            </w:r>
          </w:p>
        </w:tc>
        <w:tc>
          <w:tcPr>
            <w:tcW w:w="1028" w:type="dxa"/>
            <w:tcBorders>
              <w:top w:val="nil"/>
              <w:left w:val="nil"/>
              <w:bottom w:val="single" w:sz="4" w:space="0" w:color="auto"/>
              <w:right w:val="single" w:sz="4" w:space="0" w:color="auto"/>
            </w:tcBorders>
            <w:shd w:val="clear" w:color="auto" w:fill="auto"/>
            <w:noWrap/>
            <w:vAlign w:val="bottom"/>
            <w:hideMark/>
          </w:tcPr>
          <w:p w14:paraId="77C71651" w14:textId="77777777" w:rsidR="00FB645C" w:rsidRPr="000C68FA" w:rsidRDefault="00FB645C" w:rsidP="00FB645C">
            <w:pPr>
              <w:jc w:val="right"/>
              <w:rPr>
                <w:color w:val="000000"/>
                <w:sz w:val="20"/>
                <w:szCs w:val="20"/>
              </w:rPr>
            </w:pPr>
            <w:r w:rsidRPr="000C68FA">
              <w:rPr>
                <w:color w:val="000000"/>
                <w:sz w:val="20"/>
                <w:szCs w:val="20"/>
              </w:rPr>
              <w:t>3.44</w:t>
            </w:r>
          </w:p>
        </w:tc>
        <w:tc>
          <w:tcPr>
            <w:tcW w:w="1038" w:type="dxa"/>
            <w:tcBorders>
              <w:top w:val="nil"/>
              <w:left w:val="nil"/>
              <w:bottom w:val="single" w:sz="4" w:space="0" w:color="auto"/>
              <w:right w:val="single" w:sz="4" w:space="0" w:color="auto"/>
            </w:tcBorders>
            <w:shd w:val="clear" w:color="auto" w:fill="auto"/>
            <w:noWrap/>
            <w:vAlign w:val="bottom"/>
            <w:hideMark/>
          </w:tcPr>
          <w:p w14:paraId="2BB01A10" w14:textId="77777777" w:rsidR="00FB645C" w:rsidRPr="000C68FA" w:rsidRDefault="00FB645C" w:rsidP="00FB645C">
            <w:pPr>
              <w:jc w:val="right"/>
              <w:rPr>
                <w:color w:val="000000"/>
                <w:sz w:val="20"/>
                <w:szCs w:val="20"/>
              </w:rPr>
            </w:pPr>
            <w:r w:rsidRPr="000C68FA">
              <w:rPr>
                <w:color w:val="000000"/>
                <w:sz w:val="20"/>
                <w:szCs w:val="20"/>
              </w:rPr>
              <w:t>1.72</w:t>
            </w:r>
          </w:p>
        </w:tc>
        <w:tc>
          <w:tcPr>
            <w:tcW w:w="960" w:type="dxa"/>
            <w:tcBorders>
              <w:top w:val="nil"/>
              <w:left w:val="nil"/>
              <w:bottom w:val="single" w:sz="4" w:space="0" w:color="auto"/>
              <w:right w:val="single" w:sz="4" w:space="0" w:color="auto"/>
            </w:tcBorders>
            <w:shd w:val="clear" w:color="auto" w:fill="auto"/>
            <w:noWrap/>
            <w:vAlign w:val="bottom"/>
            <w:hideMark/>
          </w:tcPr>
          <w:p w14:paraId="1DE49C60" w14:textId="77777777" w:rsidR="00FB645C" w:rsidRPr="000C68FA" w:rsidRDefault="00FB645C" w:rsidP="00FB645C">
            <w:pPr>
              <w:jc w:val="right"/>
              <w:rPr>
                <w:color w:val="000000"/>
                <w:sz w:val="20"/>
                <w:szCs w:val="20"/>
              </w:rPr>
            </w:pPr>
            <w:r w:rsidRPr="000C68FA">
              <w:rPr>
                <w:color w:val="000000"/>
                <w:sz w:val="20"/>
                <w:szCs w:val="20"/>
              </w:rPr>
              <w:t>2</w:t>
            </w:r>
          </w:p>
        </w:tc>
        <w:tc>
          <w:tcPr>
            <w:tcW w:w="1028" w:type="dxa"/>
            <w:tcBorders>
              <w:top w:val="nil"/>
              <w:left w:val="nil"/>
              <w:bottom w:val="single" w:sz="4" w:space="0" w:color="auto"/>
              <w:right w:val="single" w:sz="4" w:space="0" w:color="auto"/>
            </w:tcBorders>
            <w:shd w:val="clear" w:color="auto" w:fill="auto"/>
            <w:noWrap/>
            <w:vAlign w:val="bottom"/>
            <w:hideMark/>
          </w:tcPr>
          <w:p w14:paraId="664FCA11" w14:textId="77777777" w:rsidR="00FB645C" w:rsidRPr="000C68FA" w:rsidRDefault="00FB645C" w:rsidP="00FB645C">
            <w:pPr>
              <w:jc w:val="right"/>
              <w:rPr>
                <w:color w:val="000000"/>
                <w:sz w:val="20"/>
                <w:szCs w:val="20"/>
              </w:rPr>
            </w:pPr>
            <w:r w:rsidRPr="000C68FA">
              <w:rPr>
                <w:color w:val="000000"/>
                <w:sz w:val="20"/>
                <w:szCs w:val="20"/>
              </w:rPr>
              <w:t>3.44</w:t>
            </w:r>
          </w:p>
        </w:tc>
        <w:tc>
          <w:tcPr>
            <w:tcW w:w="983" w:type="dxa"/>
            <w:tcBorders>
              <w:top w:val="nil"/>
              <w:left w:val="nil"/>
              <w:bottom w:val="single" w:sz="4" w:space="0" w:color="auto"/>
              <w:right w:val="single" w:sz="4" w:space="0" w:color="auto"/>
            </w:tcBorders>
            <w:shd w:val="clear" w:color="auto" w:fill="auto"/>
            <w:noWrap/>
            <w:vAlign w:val="bottom"/>
            <w:hideMark/>
          </w:tcPr>
          <w:p w14:paraId="1E07DB0D" w14:textId="77777777" w:rsidR="00FB645C" w:rsidRPr="000C68FA" w:rsidRDefault="00FB645C" w:rsidP="00FB645C">
            <w:pPr>
              <w:jc w:val="right"/>
              <w:rPr>
                <w:color w:val="000000"/>
                <w:sz w:val="20"/>
                <w:szCs w:val="20"/>
              </w:rPr>
            </w:pPr>
            <w:r w:rsidRPr="000C68FA">
              <w:rPr>
                <w:color w:val="000000"/>
                <w:sz w:val="20"/>
                <w:szCs w:val="20"/>
              </w:rPr>
              <w:t>240</w:t>
            </w:r>
          </w:p>
        </w:tc>
        <w:tc>
          <w:tcPr>
            <w:tcW w:w="1028" w:type="dxa"/>
            <w:tcBorders>
              <w:top w:val="nil"/>
              <w:left w:val="nil"/>
              <w:bottom w:val="single" w:sz="4" w:space="0" w:color="auto"/>
              <w:right w:val="single" w:sz="4" w:space="0" w:color="auto"/>
            </w:tcBorders>
            <w:shd w:val="clear" w:color="auto" w:fill="auto"/>
            <w:noWrap/>
            <w:vAlign w:val="bottom"/>
          </w:tcPr>
          <w:p w14:paraId="2E6B3247" w14:textId="77777777" w:rsidR="00FB645C" w:rsidRPr="000C68FA" w:rsidRDefault="00FB645C" w:rsidP="00FB645C">
            <w:pPr>
              <w:jc w:val="right"/>
              <w:rPr>
                <w:color w:val="000000"/>
                <w:sz w:val="20"/>
                <w:szCs w:val="20"/>
              </w:rPr>
            </w:pPr>
            <w:r w:rsidRPr="000C68FA">
              <w:rPr>
                <w:sz w:val="20"/>
                <w:szCs w:val="20"/>
              </w:rPr>
              <w:t>825.55</w:t>
            </w:r>
          </w:p>
        </w:tc>
        <w:tc>
          <w:tcPr>
            <w:tcW w:w="1028" w:type="dxa"/>
            <w:tcBorders>
              <w:top w:val="nil"/>
              <w:left w:val="nil"/>
              <w:bottom w:val="single" w:sz="4" w:space="0" w:color="auto"/>
              <w:right w:val="single" w:sz="4" w:space="0" w:color="auto"/>
            </w:tcBorders>
            <w:shd w:val="clear" w:color="auto" w:fill="auto"/>
            <w:noWrap/>
            <w:vAlign w:val="bottom"/>
          </w:tcPr>
          <w:p w14:paraId="61749C3E" w14:textId="77777777" w:rsidR="00FB645C" w:rsidRPr="000C68FA" w:rsidRDefault="00FB645C" w:rsidP="00FB645C">
            <w:pPr>
              <w:jc w:val="right"/>
              <w:rPr>
                <w:color w:val="000000"/>
                <w:sz w:val="20"/>
                <w:szCs w:val="20"/>
              </w:rPr>
            </w:pPr>
            <w:r w:rsidRPr="000C68FA">
              <w:rPr>
                <w:sz w:val="20"/>
                <w:szCs w:val="20"/>
              </w:rPr>
              <w:t>13.76</w:t>
            </w:r>
          </w:p>
        </w:tc>
      </w:tr>
      <w:tr w:rsidR="00FB645C" w14:paraId="204DF95A" w14:textId="77777777" w:rsidTr="000C68FA">
        <w:trPr>
          <w:trHeight w:hRule="exac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3DE5B0" w14:textId="77777777" w:rsidR="00FB645C" w:rsidRPr="00B05048" w:rsidRDefault="00FB645C" w:rsidP="00FB645C">
            <w:pPr>
              <w:jc w:val="center"/>
              <w:rPr>
                <w:b/>
                <w:bCs/>
                <w:color w:val="000000"/>
                <w:sz w:val="18"/>
                <w:szCs w:val="18"/>
              </w:rPr>
            </w:pPr>
            <w:r w:rsidRPr="00B05048">
              <w:rPr>
                <w:b/>
                <w:bCs/>
                <w:color w:val="000000"/>
                <w:sz w:val="18"/>
                <w:szCs w:val="18"/>
              </w:rPr>
              <w:t>Average</w:t>
            </w:r>
          </w:p>
        </w:tc>
        <w:tc>
          <w:tcPr>
            <w:tcW w:w="1028" w:type="dxa"/>
            <w:tcBorders>
              <w:top w:val="nil"/>
              <w:left w:val="nil"/>
              <w:bottom w:val="single" w:sz="4" w:space="0" w:color="auto"/>
              <w:right w:val="single" w:sz="4" w:space="0" w:color="auto"/>
            </w:tcBorders>
            <w:shd w:val="clear" w:color="auto" w:fill="auto"/>
            <w:noWrap/>
            <w:vAlign w:val="bottom"/>
            <w:hideMark/>
          </w:tcPr>
          <w:p w14:paraId="2DA172F2" w14:textId="77777777" w:rsidR="00FB645C" w:rsidRPr="000C68FA" w:rsidRDefault="00FB645C" w:rsidP="00FB645C">
            <w:pPr>
              <w:jc w:val="right"/>
              <w:rPr>
                <w:color w:val="000000"/>
                <w:sz w:val="20"/>
                <w:szCs w:val="20"/>
              </w:rPr>
            </w:pPr>
            <w:r w:rsidRPr="000C68FA">
              <w:rPr>
                <w:color w:val="000000"/>
                <w:sz w:val="20"/>
                <w:szCs w:val="20"/>
              </w:rPr>
              <w:t>3.42</w:t>
            </w:r>
          </w:p>
        </w:tc>
        <w:tc>
          <w:tcPr>
            <w:tcW w:w="1038" w:type="dxa"/>
            <w:tcBorders>
              <w:top w:val="nil"/>
              <w:left w:val="nil"/>
              <w:bottom w:val="single" w:sz="4" w:space="0" w:color="auto"/>
              <w:right w:val="single" w:sz="4" w:space="0" w:color="auto"/>
            </w:tcBorders>
            <w:shd w:val="clear" w:color="auto" w:fill="auto"/>
            <w:noWrap/>
            <w:vAlign w:val="bottom"/>
            <w:hideMark/>
          </w:tcPr>
          <w:p w14:paraId="25C377DF" w14:textId="77777777" w:rsidR="00FB645C" w:rsidRPr="000C68FA" w:rsidRDefault="00FB645C" w:rsidP="00FB645C">
            <w:pPr>
              <w:jc w:val="right"/>
              <w:rPr>
                <w:color w:val="000000"/>
                <w:sz w:val="20"/>
                <w:szCs w:val="20"/>
              </w:rPr>
            </w:pPr>
            <w:r w:rsidRPr="000C68FA">
              <w:rPr>
                <w:color w:val="000000"/>
                <w:sz w:val="20"/>
                <w:szCs w:val="20"/>
              </w:rPr>
              <w:t>1.71</w:t>
            </w:r>
          </w:p>
        </w:tc>
        <w:tc>
          <w:tcPr>
            <w:tcW w:w="960" w:type="dxa"/>
            <w:tcBorders>
              <w:top w:val="nil"/>
              <w:left w:val="nil"/>
              <w:bottom w:val="single" w:sz="4" w:space="0" w:color="auto"/>
              <w:right w:val="single" w:sz="4" w:space="0" w:color="auto"/>
            </w:tcBorders>
            <w:shd w:val="clear" w:color="auto" w:fill="auto"/>
            <w:noWrap/>
            <w:vAlign w:val="bottom"/>
            <w:hideMark/>
          </w:tcPr>
          <w:p w14:paraId="56DA6433" w14:textId="77777777" w:rsidR="00FB645C" w:rsidRPr="000C68FA" w:rsidRDefault="00FB645C" w:rsidP="00FB645C">
            <w:pPr>
              <w:jc w:val="right"/>
              <w:rPr>
                <w:color w:val="000000"/>
                <w:sz w:val="20"/>
                <w:szCs w:val="20"/>
              </w:rPr>
            </w:pPr>
            <w:r w:rsidRPr="000C68FA">
              <w:rPr>
                <w:color w:val="000000"/>
                <w:sz w:val="20"/>
                <w:szCs w:val="20"/>
              </w:rPr>
              <w:t>2</w:t>
            </w:r>
          </w:p>
        </w:tc>
        <w:tc>
          <w:tcPr>
            <w:tcW w:w="1028" w:type="dxa"/>
            <w:tcBorders>
              <w:top w:val="nil"/>
              <w:left w:val="nil"/>
              <w:bottom w:val="single" w:sz="4" w:space="0" w:color="auto"/>
              <w:right w:val="single" w:sz="4" w:space="0" w:color="auto"/>
            </w:tcBorders>
            <w:shd w:val="clear" w:color="auto" w:fill="auto"/>
            <w:noWrap/>
            <w:vAlign w:val="bottom"/>
            <w:hideMark/>
          </w:tcPr>
          <w:p w14:paraId="1342EF97" w14:textId="77777777" w:rsidR="00FB645C" w:rsidRPr="000C68FA" w:rsidRDefault="00FB645C" w:rsidP="00FB645C">
            <w:pPr>
              <w:jc w:val="right"/>
              <w:rPr>
                <w:color w:val="000000"/>
                <w:sz w:val="20"/>
                <w:szCs w:val="20"/>
              </w:rPr>
            </w:pPr>
            <w:r w:rsidRPr="000C68FA">
              <w:rPr>
                <w:color w:val="000000"/>
                <w:sz w:val="20"/>
                <w:szCs w:val="20"/>
              </w:rPr>
              <w:t>3.42</w:t>
            </w:r>
          </w:p>
        </w:tc>
        <w:tc>
          <w:tcPr>
            <w:tcW w:w="983" w:type="dxa"/>
            <w:tcBorders>
              <w:top w:val="nil"/>
              <w:left w:val="nil"/>
              <w:bottom w:val="single" w:sz="4" w:space="0" w:color="auto"/>
              <w:right w:val="single" w:sz="4" w:space="0" w:color="auto"/>
            </w:tcBorders>
            <w:shd w:val="clear" w:color="auto" w:fill="auto"/>
            <w:noWrap/>
            <w:vAlign w:val="bottom"/>
            <w:hideMark/>
          </w:tcPr>
          <w:p w14:paraId="09EE3F63" w14:textId="77777777" w:rsidR="00FB645C" w:rsidRPr="000C68FA" w:rsidRDefault="00FB645C" w:rsidP="00FB645C">
            <w:pPr>
              <w:jc w:val="right"/>
              <w:rPr>
                <w:color w:val="000000"/>
                <w:sz w:val="20"/>
                <w:szCs w:val="20"/>
              </w:rPr>
            </w:pPr>
            <w:r w:rsidRPr="000C68FA">
              <w:rPr>
                <w:color w:val="000000"/>
                <w:sz w:val="20"/>
                <w:szCs w:val="20"/>
              </w:rPr>
              <w:t>240</w:t>
            </w:r>
          </w:p>
        </w:tc>
        <w:tc>
          <w:tcPr>
            <w:tcW w:w="1028" w:type="dxa"/>
            <w:tcBorders>
              <w:top w:val="nil"/>
              <w:left w:val="nil"/>
              <w:bottom w:val="single" w:sz="4" w:space="0" w:color="auto"/>
              <w:right w:val="single" w:sz="4" w:space="0" w:color="auto"/>
            </w:tcBorders>
            <w:shd w:val="clear" w:color="auto" w:fill="auto"/>
            <w:noWrap/>
            <w:vAlign w:val="bottom"/>
          </w:tcPr>
          <w:p w14:paraId="1402700A" w14:textId="77777777" w:rsidR="00FB645C" w:rsidRPr="000C68FA" w:rsidRDefault="00FB645C" w:rsidP="00FB645C">
            <w:pPr>
              <w:jc w:val="right"/>
              <w:rPr>
                <w:color w:val="000000"/>
                <w:sz w:val="20"/>
                <w:szCs w:val="20"/>
              </w:rPr>
            </w:pPr>
            <w:r w:rsidRPr="000C68FA">
              <w:rPr>
                <w:sz w:val="20"/>
                <w:szCs w:val="20"/>
              </w:rPr>
              <w:t>820.68</w:t>
            </w:r>
          </w:p>
        </w:tc>
        <w:tc>
          <w:tcPr>
            <w:tcW w:w="1028" w:type="dxa"/>
            <w:tcBorders>
              <w:top w:val="nil"/>
              <w:left w:val="nil"/>
              <w:bottom w:val="single" w:sz="4" w:space="0" w:color="auto"/>
              <w:right w:val="single" w:sz="4" w:space="0" w:color="auto"/>
            </w:tcBorders>
            <w:shd w:val="clear" w:color="auto" w:fill="auto"/>
            <w:noWrap/>
            <w:vAlign w:val="bottom"/>
          </w:tcPr>
          <w:p w14:paraId="3C90F684" w14:textId="77777777" w:rsidR="00FB645C" w:rsidRPr="000C68FA" w:rsidRDefault="00FB645C" w:rsidP="00FB645C">
            <w:pPr>
              <w:jc w:val="right"/>
              <w:rPr>
                <w:color w:val="000000"/>
                <w:sz w:val="20"/>
                <w:szCs w:val="20"/>
              </w:rPr>
            </w:pPr>
            <w:r w:rsidRPr="000C68FA">
              <w:rPr>
                <w:sz w:val="20"/>
                <w:szCs w:val="20"/>
              </w:rPr>
              <w:t>13.68</w:t>
            </w:r>
          </w:p>
        </w:tc>
      </w:tr>
    </w:tbl>
    <w:p w14:paraId="6A63AB8A" w14:textId="00BC0305" w:rsidR="000D5476" w:rsidRDefault="001C0D1E" w:rsidP="00131E8B">
      <w:r>
        <w:t>In the current IC</w:t>
      </w:r>
      <w:r w:rsidR="00AC3514">
        <w:t>R</w:t>
      </w:r>
      <w:r w:rsidR="009B79D6">
        <w:t>,</w:t>
      </w:r>
      <w:r>
        <w:t xml:space="preserve"> </w:t>
      </w:r>
      <w:r w:rsidR="00727094">
        <w:t xml:space="preserve">motor carrier </w:t>
      </w:r>
      <w:r w:rsidR="00E74232">
        <w:t xml:space="preserve">Task 2 </w:t>
      </w:r>
      <w:r>
        <w:t>burden hours were eliminated for a</w:t>
      </w:r>
      <w:r w:rsidR="009B79D6">
        <w:t xml:space="preserve"> </w:t>
      </w:r>
      <w:r>
        <w:t xml:space="preserve">percentage of </w:t>
      </w:r>
      <w:r w:rsidR="00F8395E">
        <w:t xml:space="preserve">drivers operating CMVs </w:t>
      </w:r>
      <w:r w:rsidR="00727094">
        <w:t>v</w:t>
      </w:r>
      <w:r w:rsidR="005374C3">
        <w:t xml:space="preserve">oluntarily equipped with ELDs in </w:t>
      </w:r>
      <w:r w:rsidR="00727094">
        <w:t xml:space="preserve">Year 1 and Year 2. </w:t>
      </w:r>
      <w:r w:rsidR="00F8395E">
        <w:t>Thus, in Year 1 and Year 2 motor carrier burden hours were reduced to reflect the electronic transfer and storage of electronic RODS</w:t>
      </w:r>
      <w:r w:rsidR="005374C3">
        <w:t xml:space="preserve"> by </w:t>
      </w:r>
      <w:r w:rsidR="000D5476">
        <w:t xml:space="preserve">roughly 20 percent of the affected </w:t>
      </w:r>
      <w:r w:rsidR="005374C3">
        <w:t>driver population</w:t>
      </w:r>
      <w:r w:rsidR="00306FC1">
        <w:t xml:space="preserve"> required to maintain RODS </w:t>
      </w:r>
      <w:r w:rsidR="000D5476">
        <w:t xml:space="preserve">operating </w:t>
      </w:r>
      <w:r w:rsidR="00306FC1">
        <w:t xml:space="preserve">ELD-equipped </w:t>
      </w:r>
      <w:r w:rsidR="000D5476">
        <w:t>CMVs</w:t>
      </w:r>
      <w:r w:rsidR="00306FC1">
        <w:t>.</w:t>
      </w:r>
      <w:r w:rsidR="005374C3">
        <w:t xml:space="preserve"> In Year 3</w:t>
      </w:r>
      <w:r w:rsidR="00AC3514">
        <w:t>,</w:t>
      </w:r>
      <w:r w:rsidR="005374C3">
        <w:t xml:space="preserve"> </w:t>
      </w:r>
      <w:r w:rsidR="00E74232">
        <w:t xml:space="preserve">it was </w:t>
      </w:r>
      <w:r w:rsidR="005374C3">
        <w:t xml:space="preserve">assumed </w:t>
      </w:r>
      <w:r w:rsidR="00E74232">
        <w:t xml:space="preserve">that </w:t>
      </w:r>
      <w:r w:rsidR="005374C3">
        <w:t>100 percent</w:t>
      </w:r>
      <w:r w:rsidR="00E74232">
        <w:t xml:space="preserve"> of the driver population </w:t>
      </w:r>
      <w:r w:rsidR="00306FC1">
        <w:t xml:space="preserve">required to maintain RODS would </w:t>
      </w:r>
      <w:r w:rsidR="00E74232">
        <w:t xml:space="preserve">operate </w:t>
      </w:r>
      <w:r w:rsidR="00306FC1">
        <w:t>ELD-</w:t>
      </w:r>
      <w:r w:rsidR="00E74232">
        <w:t xml:space="preserve">equipped </w:t>
      </w:r>
      <w:r w:rsidR="00306FC1">
        <w:t>CMVs</w:t>
      </w:r>
      <w:r w:rsidR="00E74232">
        <w:t xml:space="preserve"> and that all RODs would be</w:t>
      </w:r>
      <w:r w:rsidR="00F8395E">
        <w:t xml:space="preserve"> transferred and stored electronically</w:t>
      </w:r>
      <w:r w:rsidR="000D5476">
        <w:t>.</w:t>
      </w:r>
      <w:r w:rsidR="00E74232">
        <w:t xml:space="preserve"> </w:t>
      </w:r>
      <w:r w:rsidR="000D5476">
        <w:t xml:space="preserve">Because the driver population </w:t>
      </w:r>
      <w:r w:rsidR="00306FC1">
        <w:t xml:space="preserve">subject to the ELD mandate </w:t>
      </w:r>
      <w:r w:rsidR="000D5476">
        <w:t>in this ICR is required to operate ELD</w:t>
      </w:r>
      <w:r w:rsidR="00306FC1">
        <w:t>-</w:t>
      </w:r>
      <w:r w:rsidR="000D5476">
        <w:t xml:space="preserve">equipped CMVs, motor carriers no longer are required to perform Task 2 RODS </w:t>
      </w:r>
      <w:r w:rsidR="00D560D5">
        <w:t xml:space="preserve">for </w:t>
      </w:r>
      <w:r w:rsidR="000D5476">
        <w:t>recordkeeping activities.</w:t>
      </w:r>
      <w:r w:rsidR="00F8395E">
        <w:t xml:space="preserve"> </w:t>
      </w:r>
      <w:r w:rsidR="00D600BB">
        <w:t xml:space="preserve">While motor carrier burden hours are </w:t>
      </w:r>
      <w:r w:rsidR="00306FC1">
        <w:t xml:space="preserve">essentially </w:t>
      </w:r>
      <w:r w:rsidR="00D600BB">
        <w:t>eliminated because ELDs</w:t>
      </w:r>
      <w:r w:rsidR="00B66AED">
        <w:t xml:space="preserve"> provide for the electronic transfer of RODS to motor carriers, the cost to motor carriers to equip vehicles with ELDs includes a</w:t>
      </w:r>
      <w:r w:rsidR="00D600BB">
        <w:t xml:space="preserve"> monthly service charge</w:t>
      </w:r>
      <w:r w:rsidR="00B66AED">
        <w:t xml:space="preserve"> paid</w:t>
      </w:r>
      <w:r w:rsidR="00D600BB">
        <w:t xml:space="preserve"> to ELD vendors for data management services. These costs are estimated and accounted for in Item 13.</w:t>
      </w:r>
    </w:p>
    <w:p w14:paraId="0CB8AFAB" w14:textId="77777777" w:rsidR="00E61E6C" w:rsidRDefault="00D600BB" w:rsidP="00131E8B">
      <w:r>
        <w:t xml:space="preserve"> </w:t>
      </w:r>
      <w:r w:rsidR="00F8395E">
        <w:t xml:space="preserve">  </w:t>
      </w:r>
    </w:p>
    <w:p w14:paraId="2437E121" w14:textId="3671EFB1" w:rsidR="004C3202" w:rsidRDefault="000A3A43" w:rsidP="00131E8B">
      <w:r>
        <w:t>T</w:t>
      </w:r>
      <w:r w:rsidR="00E60EFE">
        <w:t xml:space="preserve">he Agency </w:t>
      </w:r>
      <w:r w:rsidR="00B66AED">
        <w:t xml:space="preserve">has </w:t>
      </w:r>
      <w:r w:rsidR="00E60EFE">
        <w:t xml:space="preserve">reconsidered </w:t>
      </w:r>
      <w:r w:rsidR="00AC22BA">
        <w:t xml:space="preserve">whether </w:t>
      </w:r>
      <w:r w:rsidR="00B66AED">
        <w:t xml:space="preserve">it is appropriate to </w:t>
      </w:r>
      <w:r w:rsidR="00AC22BA">
        <w:t xml:space="preserve">continue to </w:t>
      </w:r>
      <w:r w:rsidR="00E60EFE">
        <w:t>includ</w:t>
      </w:r>
      <w:r w:rsidR="00AC22BA">
        <w:t>e</w:t>
      </w:r>
      <w:r w:rsidR="00E60EFE">
        <w:t xml:space="preserve"> </w:t>
      </w:r>
      <w:r w:rsidR="00886EB7">
        <w:t>motor carriers’</w:t>
      </w:r>
      <w:r>
        <w:t xml:space="preserve"> burden hours</w:t>
      </w:r>
      <w:r w:rsidR="00886EB7">
        <w:t xml:space="preserve"> </w:t>
      </w:r>
      <w:r w:rsidR="00E60EFE">
        <w:t>spent on</w:t>
      </w:r>
      <w:r>
        <w:t xml:space="preserve"> </w:t>
      </w:r>
      <w:r w:rsidR="00AC22BA">
        <w:t>maintaining drivers</w:t>
      </w:r>
      <w:r w:rsidR="00D560D5">
        <w:t>’</w:t>
      </w:r>
      <w:r w:rsidR="00AC22BA">
        <w:t xml:space="preserve"> supporting documents (motor carrier </w:t>
      </w:r>
      <w:r>
        <w:t>Task 3</w:t>
      </w:r>
      <w:r w:rsidR="00AC22BA">
        <w:t>).</w:t>
      </w:r>
      <w:r w:rsidR="00E60EFE">
        <w:t xml:space="preserve"> </w:t>
      </w:r>
      <w:r w:rsidR="00110974">
        <w:t>In this ICR, t</w:t>
      </w:r>
      <w:r>
        <w:t>he Agency finds that</w:t>
      </w:r>
      <w:r w:rsidR="004C781F">
        <w:t xml:space="preserve"> it is not appropriate to </w:t>
      </w:r>
      <w:r w:rsidR="00AC22BA">
        <w:t xml:space="preserve">continue to </w:t>
      </w:r>
      <w:r w:rsidR="00110974">
        <w:t xml:space="preserve">estimate </w:t>
      </w:r>
      <w:r w:rsidR="004C781F">
        <w:t xml:space="preserve">burden hours </w:t>
      </w:r>
      <w:r w:rsidR="000D5476">
        <w:t>associated with this activity</w:t>
      </w:r>
      <w:r w:rsidR="00110974">
        <w:t>.</w:t>
      </w:r>
      <w:r w:rsidR="004C781F">
        <w:t xml:space="preserve"> </w:t>
      </w:r>
      <w:r w:rsidR="007C6E66" w:rsidRPr="00FB52A1">
        <w:t>As discussed above, t</w:t>
      </w:r>
      <w:r w:rsidR="00BF7851" w:rsidRPr="00FB52A1">
        <w:t>he Agency f</w:t>
      </w:r>
      <w:r w:rsidR="00110974" w:rsidRPr="00FB52A1">
        <w:t>inds</w:t>
      </w:r>
      <w:r w:rsidR="00BF7851" w:rsidRPr="00FB52A1">
        <w:t xml:space="preserve"> that motor carriers require drivers to forward </w:t>
      </w:r>
      <w:r w:rsidR="007C6E66" w:rsidRPr="00FB52A1">
        <w:t xml:space="preserve">supporting documents </w:t>
      </w:r>
      <w:r w:rsidR="00BF7851" w:rsidRPr="00FB52A1">
        <w:t>as a condition of employment</w:t>
      </w:r>
      <w:r w:rsidR="000C06B4">
        <w:t>. In addition to using supporting documents to verify RODs, motor carriers may require supporting documents for other business purposes. For example</w:t>
      </w:r>
      <w:r w:rsidR="0074068E">
        <w:t>,</w:t>
      </w:r>
      <w:r w:rsidR="00BF7851">
        <w:t xml:space="preserve"> </w:t>
      </w:r>
      <w:r w:rsidR="000C06B4">
        <w:t>time stamped receipts</w:t>
      </w:r>
      <w:r w:rsidR="00BA67CC">
        <w:t xml:space="preserve"> for expenses</w:t>
      </w:r>
      <w:r w:rsidR="000C06B4">
        <w:t xml:space="preserve"> can be used to verify RODS </w:t>
      </w:r>
      <w:r w:rsidR="00BF7851">
        <w:t xml:space="preserve">and </w:t>
      </w:r>
      <w:r w:rsidR="000C06B4">
        <w:t>be used by</w:t>
      </w:r>
      <w:r w:rsidR="00AB47CA">
        <w:t xml:space="preserve"> </w:t>
      </w:r>
      <w:r w:rsidR="00BF7851">
        <w:t>motor carrier</w:t>
      </w:r>
      <w:r w:rsidR="00AB47CA">
        <w:t>s</w:t>
      </w:r>
      <w:r w:rsidR="00BF7851">
        <w:t xml:space="preserve"> to support expense</w:t>
      </w:r>
      <w:r w:rsidR="00AB47CA">
        <w:t>s</w:t>
      </w:r>
      <w:r w:rsidR="00BF7851">
        <w:t xml:space="preserve"> deduct</w:t>
      </w:r>
      <w:r w:rsidR="00A866DE">
        <w:t>ed</w:t>
      </w:r>
      <w:r w:rsidR="00AB47CA">
        <w:t xml:space="preserve"> for purposes of estimating </w:t>
      </w:r>
      <w:r w:rsidR="00BF7851">
        <w:t xml:space="preserve">taxable </w:t>
      </w:r>
      <w:r w:rsidR="00CC726E">
        <w:t>income</w:t>
      </w:r>
      <w:r w:rsidR="000C06B4">
        <w:t xml:space="preserve">. </w:t>
      </w:r>
      <w:r w:rsidR="006F0623">
        <w:t>RODS may also be used for payroll records.</w:t>
      </w:r>
      <w:r w:rsidR="006F0623">
        <w:rPr>
          <w:rStyle w:val="FootnoteReference"/>
        </w:rPr>
        <w:footnoteReference w:id="11"/>
      </w:r>
      <w:r w:rsidR="006F0623">
        <w:t xml:space="preserve"> </w:t>
      </w:r>
      <w:r w:rsidR="000C06B4">
        <w:t xml:space="preserve">Thus, the Agency expects that </w:t>
      </w:r>
      <w:r w:rsidR="00A866DE">
        <w:t xml:space="preserve">for </w:t>
      </w:r>
      <w:r w:rsidR="000C06B4">
        <w:t>this</w:t>
      </w:r>
      <w:r w:rsidR="00BF7851">
        <w:t xml:space="preserve"> data collection activity </w:t>
      </w:r>
      <w:r w:rsidR="00C40ED9">
        <w:t xml:space="preserve">motor carriers would require </w:t>
      </w:r>
      <w:r w:rsidR="00CC726E">
        <w:t xml:space="preserve">drivers </w:t>
      </w:r>
      <w:r w:rsidR="00C40ED9">
        <w:t xml:space="preserve">to </w:t>
      </w:r>
      <w:r w:rsidR="00E01684">
        <w:t xml:space="preserve">provide supporting documents to their employers in the absence of </w:t>
      </w:r>
      <w:r w:rsidR="00BF7851">
        <w:t xml:space="preserve">HOS </w:t>
      </w:r>
      <w:r w:rsidR="00E01684">
        <w:t>reporting and recordkeeping requirements.</w:t>
      </w:r>
      <w:r w:rsidR="00BF7851">
        <w:t xml:space="preserve"> </w:t>
      </w:r>
      <w:r w:rsidR="007C6E66">
        <w:t>Accordingly, t</w:t>
      </w:r>
      <w:r w:rsidR="00CC726E">
        <w:t xml:space="preserve">he Agency </w:t>
      </w:r>
      <w:r w:rsidR="00B3574A">
        <w:t xml:space="preserve">is excluding </w:t>
      </w:r>
      <w:r w:rsidR="007C6E66">
        <w:t xml:space="preserve">this </w:t>
      </w:r>
      <w:r w:rsidR="00C40ED9">
        <w:t>motor</w:t>
      </w:r>
      <w:r w:rsidR="00A866DE">
        <w:t xml:space="preserve"> carrier</w:t>
      </w:r>
      <w:r w:rsidR="00C40ED9">
        <w:t xml:space="preserve"> </w:t>
      </w:r>
      <w:r w:rsidR="007C6E66">
        <w:t xml:space="preserve">recordkeeping activity from burden hours because it </w:t>
      </w:r>
      <w:r w:rsidR="00EA5961">
        <w:t>i</w:t>
      </w:r>
      <w:r w:rsidR="00CC726E">
        <w:t xml:space="preserve">s a “usual and customary” activity under 5 CFR 1320.3(b)(2). </w:t>
      </w:r>
      <w:r w:rsidR="00C40ED9">
        <w:t>Moreover, t</w:t>
      </w:r>
      <w:r w:rsidR="00886EB7">
        <w:t>h</w:t>
      </w:r>
      <w:r w:rsidR="00CC726E">
        <w:t>e Agency finds that there is no justification for the asymmetric treatment of supporting document activities between drivers and motor carriers</w:t>
      </w:r>
      <w:r w:rsidR="00AB47CA">
        <w:t xml:space="preserve"> in the current ICR.</w:t>
      </w:r>
      <w:r w:rsidR="00C40ED9">
        <w:t xml:space="preserve"> If it is usual and customary for drivers to forward supporting documents to motor carriers it </w:t>
      </w:r>
      <w:r w:rsidR="00306FC1">
        <w:t>f</w:t>
      </w:r>
      <w:r w:rsidR="00C40ED9">
        <w:t>ollow</w:t>
      </w:r>
      <w:r w:rsidR="00306FC1">
        <w:t>s</w:t>
      </w:r>
      <w:r w:rsidR="00C40ED9">
        <w:t xml:space="preserve"> </w:t>
      </w:r>
      <w:r w:rsidR="00306FC1">
        <w:t xml:space="preserve">that </w:t>
      </w:r>
      <w:r w:rsidR="00C40ED9">
        <w:t xml:space="preserve">the burden hours motor carriers incur to maintain supporting documents </w:t>
      </w:r>
      <w:r w:rsidR="00EB48C9">
        <w:t xml:space="preserve">are </w:t>
      </w:r>
      <w:r w:rsidR="00A866DE">
        <w:t xml:space="preserve">a </w:t>
      </w:r>
      <w:r w:rsidR="00C40ED9">
        <w:t xml:space="preserve">usual and customary task. </w:t>
      </w:r>
      <w:r w:rsidR="009544B4">
        <w:t xml:space="preserve"> </w:t>
      </w:r>
      <w:r w:rsidR="00C40ED9">
        <w:t>For example, if</w:t>
      </w:r>
      <w:r w:rsidR="00AB47CA">
        <w:t xml:space="preserve"> </w:t>
      </w:r>
      <w:r w:rsidR="00C40ED9">
        <w:t>motor carriers</w:t>
      </w:r>
      <w:r w:rsidR="00AB47CA">
        <w:t xml:space="preserve"> </w:t>
      </w:r>
      <w:r w:rsidR="00886EB7">
        <w:t>maintain the support</w:t>
      </w:r>
      <w:r w:rsidR="00DB2A5A">
        <w:t>ing</w:t>
      </w:r>
      <w:r w:rsidR="00886EB7">
        <w:t xml:space="preserve"> documents for tax purposes</w:t>
      </w:r>
      <w:r w:rsidR="00C40ED9">
        <w:t>,</w:t>
      </w:r>
      <w:r w:rsidR="000655EB">
        <w:t xml:space="preserve"> in the absence </w:t>
      </w:r>
      <w:r w:rsidR="00AC22BA">
        <w:t xml:space="preserve">of the six-month minimum record retention requirement set forth by </w:t>
      </w:r>
      <w:r w:rsidR="00D83692">
        <w:t>49 CFR 395.8(k)(1)</w:t>
      </w:r>
      <w:r w:rsidR="00C40ED9">
        <w:t xml:space="preserve"> they would retain the documents consistent with </w:t>
      </w:r>
      <w:r w:rsidR="00BA67CC">
        <w:t xml:space="preserve">best </w:t>
      </w:r>
      <w:r w:rsidR="00C40ED9">
        <w:t xml:space="preserve">practices </w:t>
      </w:r>
      <w:r w:rsidR="00BA67CC">
        <w:t>recommended by the Internal Revenue Service.</w:t>
      </w:r>
      <w:r w:rsidR="00B54DA3">
        <w:rPr>
          <w:rStyle w:val="FootnoteReference"/>
        </w:rPr>
        <w:footnoteReference w:id="12"/>
      </w:r>
      <w:r w:rsidR="00D83692">
        <w:t xml:space="preserve"> Accordingly, the Agency is excluding </w:t>
      </w:r>
      <w:r w:rsidR="00B3574A">
        <w:t xml:space="preserve">motor carrier </w:t>
      </w:r>
      <w:r w:rsidR="00D83692">
        <w:t xml:space="preserve">Task 3 burden hours from the estimated </w:t>
      </w:r>
      <w:r>
        <w:t xml:space="preserve">motor carrier </w:t>
      </w:r>
      <w:r w:rsidR="00D83692">
        <w:t>burden hours in this ICR.</w:t>
      </w:r>
      <w:r w:rsidR="008C407F">
        <w:t xml:space="preserve"> </w:t>
      </w:r>
    </w:p>
    <w:p w14:paraId="0EC476B3" w14:textId="77777777" w:rsidR="006D4F74" w:rsidRDefault="006D4F74" w:rsidP="00131E8B"/>
    <w:p w14:paraId="220A5DFD" w14:textId="77777777" w:rsidR="006D4F74" w:rsidRPr="00C50FCC" w:rsidRDefault="006D4F74" w:rsidP="006D4F74">
      <w:pPr>
        <w:spacing w:after="120"/>
        <w:rPr>
          <w:i/>
        </w:rPr>
      </w:pPr>
      <w:r w:rsidRPr="00C50FCC">
        <w:rPr>
          <w:i/>
        </w:rPr>
        <w:t>Mon</w:t>
      </w:r>
      <w:r>
        <w:rPr>
          <w:i/>
        </w:rPr>
        <w:t>e</w:t>
      </w:r>
      <w:r w:rsidRPr="00C50FCC">
        <w:rPr>
          <w:i/>
        </w:rPr>
        <w:t xml:space="preserve">tized value of drivers’ </w:t>
      </w:r>
      <w:r w:rsidR="00224432">
        <w:rPr>
          <w:i/>
        </w:rPr>
        <w:t>burden hours</w:t>
      </w:r>
    </w:p>
    <w:p w14:paraId="02C465CA" w14:textId="77777777" w:rsidR="006D4F74" w:rsidRDefault="006D4F74" w:rsidP="006D4F74">
      <w:pPr>
        <w:autoSpaceDE w:val="0"/>
        <w:autoSpaceDN w:val="0"/>
        <w:adjustRightInd w:val="0"/>
      </w:pPr>
      <w:r>
        <w:t xml:space="preserve">The three-year average of the monetized value of drivers’ time to complete daily electronic RODS is estimated as the product of the three-year average of driver burden hours and the weighted average of median hourly wages for </w:t>
      </w:r>
      <w:r>
        <w:rPr>
          <w:rFonts w:eastAsiaTheme="minorHAnsi"/>
        </w:rPr>
        <w:t xml:space="preserve">four </w:t>
      </w:r>
      <w:r w:rsidRPr="00872822">
        <w:rPr>
          <w:rFonts w:eastAsiaTheme="minorHAnsi"/>
        </w:rPr>
        <w:t>Bureau of Labor Statistics (BLS)</w:t>
      </w:r>
      <w:r>
        <w:t xml:space="preserve"> commercial driver occupations.</w:t>
      </w:r>
      <w:r w:rsidRPr="00872822">
        <w:rPr>
          <w:rFonts w:eastAsiaTheme="minorHAnsi"/>
          <w:vertAlign w:val="superscript"/>
        </w:rPr>
        <w:footnoteReference w:id="13"/>
      </w:r>
      <w:r>
        <w:t xml:space="preserve"> The median hourly wage is adjusted to include fringe benefits and motor carriers’ overhead. </w:t>
      </w:r>
      <w:r w:rsidRPr="00982CD5">
        <w:t>BLS does not publish data on fringe benefits for specific occupations</w:t>
      </w:r>
      <w:r>
        <w:t>.</w:t>
      </w:r>
    </w:p>
    <w:p w14:paraId="6249B87B" w14:textId="1CACBFFB" w:rsidR="006D4F74" w:rsidRDefault="006D4F74" w:rsidP="006D4F74">
      <w:pPr>
        <w:autoSpaceDE w:val="0"/>
        <w:autoSpaceDN w:val="0"/>
        <w:adjustRightInd w:val="0"/>
        <w:rPr>
          <w:rFonts w:eastAsiaTheme="minorHAnsi"/>
        </w:rPr>
      </w:pPr>
      <w:r>
        <w:t>BLS</w:t>
      </w:r>
      <w:r w:rsidRPr="00982CD5">
        <w:t xml:space="preserve"> does </w:t>
      </w:r>
      <w:r>
        <w:t xml:space="preserve">publish fringe benefit data </w:t>
      </w:r>
      <w:r w:rsidRPr="00982CD5">
        <w:t xml:space="preserve">for the broad industry groups in its </w:t>
      </w:r>
      <w:r w:rsidRPr="003C7AF5">
        <w:rPr>
          <w:i/>
        </w:rPr>
        <w:t>Employer Costs for Employee Compensation</w:t>
      </w:r>
      <w:r w:rsidRPr="00982CD5">
        <w:t xml:space="preserve"> (ECEC) </w:t>
      </w:r>
      <w:r>
        <w:t>quarterly new releases.</w:t>
      </w:r>
      <w:r w:rsidRPr="00982CD5">
        <w:t xml:space="preserve"> For </w:t>
      </w:r>
      <w:r>
        <w:t>this analysis, the average hourly wage is $25.80 and the average hourly fringe benefit is $14.69 for private industry workers in the “transportation and warehousing industries,” which yields a 56.9 percent fringe benefit rate (56.9 percent = $14.34/$25.80).</w:t>
      </w:r>
      <w:r w:rsidRPr="00982CD5">
        <w:rPr>
          <w:vertAlign w:val="superscript"/>
        </w:rPr>
        <w:footnoteReference w:id="14"/>
      </w:r>
      <w:r>
        <w:t xml:space="preserve"> The hourly wage rate with fringe benefits is increased</w:t>
      </w:r>
      <w:r w:rsidR="00DB2A5A">
        <w:t xml:space="preserve"> </w:t>
      </w:r>
      <w:r>
        <w:t xml:space="preserve">an additional </w:t>
      </w:r>
      <w:r>
        <w:rPr>
          <w:rFonts w:eastAsiaTheme="minorHAnsi"/>
        </w:rPr>
        <w:t xml:space="preserve">24.7 percent to account for </w:t>
      </w:r>
      <w:r w:rsidRPr="00872822">
        <w:rPr>
          <w:rFonts w:eastAsiaTheme="minorHAnsi"/>
        </w:rPr>
        <w:t>motor carrier overhead</w:t>
      </w:r>
      <w:r>
        <w:rPr>
          <w:rFonts w:eastAsiaTheme="minorHAnsi"/>
        </w:rPr>
        <w:t xml:space="preserve">. The overhead rate comes from a study prepared by the </w:t>
      </w:r>
      <w:r w:rsidRPr="00872822">
        <w:rPr>
          <w:rFonts w:eastAsiaTheme="minorHAnsi"/>
        </w:rPr>
        <w:t>North Dakota State University Upper Great Plains Transportation Institute</w:t>
      </w:r>
      <w:r>
        <w:rPr>
          <w:rFonts w:eastAsiaTheme="minorHAnsi"/>
        </w:rPr>
        <w:t>.</w:t>
      </w:r>
      <w:r w:rsidRPr="00872822">
        <w:rPr>
          <w:rFonts w:eastAsiaTheme="minorHAnsi"/>
          <w:vertAlign w:val="superscript"/>
        </w:rPr>
        <w:footnoteReference w:id="15"/>
      </w:r>
      <w:r w:rsidRPr="00872822">
        <w:rPr>
          <w:rFonts w:eastAsiaTheme="minorHAnsi"/>
          <w:sz w:val="13"/>
          <w:szCs w:val="13"/>
        </w:rPr>
        <w:t xml:space="preserve"> </w:t>
      </w:r>
      <w:r>
        <w:rPr>
          <w:rFonts w:eastAsiaTheme="minorHAnsi"/>
          <w:sz w:val="13"/>
          <w:szCs w:val="13"/>
        </w:rPr>
        <w:t xml:space="preserve"> </w:t>
      </w:r>
      <w:r w:rsidR="00DB2A5A">
        <w:rPr>
          <w:rFonts w:eastAsiaTheme="minorHAnsi"/>
        </w:rPr>
        <w:t xml:space="preserve"> </w:t>
      </w:r>
      <w:r>
        <w:rPr>
          <w:rFonts w:eastAsiaTheme="minorHAnsi"/>
        </w:rPr>
        <w:t xml:space="preserve">Table </w:t>
      </w:r>
      <w:r w:rsidR="0004410D">
        <w:rPr>
          <w:rFonts w:eastAsiaTheme="minorHAnsi"/>
        </w:rPr>
        <w:t>6</w:t>
      </w:r>
      <w:r>
        <w:rPr>
          <w:rFonts w:eastAsiaTheme="minorHAnsi"/>
        </w:rPr>
        <w:t xml:space="preserve"> shows the computation of the $36.25 hourly wage used to monetize driver burden hours.</w:t>
      </w:r>
    </w:p>
    <w:p w14:paraId="7C2977DD" w14:textId="77777777" w:rsidR="006D4F74" w:rsidRDefault="006D4F74" w:rsidP="00E61F90">
      <w:pPr>
        <w:rPr>
          <w:rFonts w:eastAsiaTheme="minorHAnsi"/>
        </w:rPr>
      </w:pPr>
    </w:p>
    <w:tbl>
      <w:tblPr>
        <w:tblpPr w:leftFromText="187" w:rightFromText="187" w:vertAnchor="text" w:tblpXSpec="center" w:tblpY="1"/>
        <w:tblOverlap w:val="never"/>
        <w:tblW w:w="9610" w:type="dxa"/>
        <w:tblLook w:val="04A0" w:firstRow="1" w:lastRow="0" w:firstColumn="1" w:lastColumn="0" w:noHBand="0" w:noVBand="1"/>
      </w:tblPr>
      <w:tblGrid>
        <w:gridCol w:w="2430"/>
        <w:gridCol w:w="1020"/>
        <w:gridCol w:w="960"/>
        <w:gridCol w:w="960"/>
        <w:gridCol w:w="1180"/>
        <w:gridCol w:w="960"/>
        <w:gridCol w:w="1061"/>
        <w:gridCol w:w="1039"/>
      </w:tblGrid>
      <w:tr w:rsidR="006D4F74" w14:paraId="357EA501" w14:textId="77777777" w:rsidTr="007C622B">
        <w:trPr>
          <w:trHeight w:hRule="exact" w:val="80"/>
        </w:trPr>
        <w:tc>
          <w:tcPr>
            <w:tcW w:w="9610" w:type="dxa"/>
            <w:gridSpan w:val="8"/>
            <w:shd w:val="clear" w:color="auto" w:fill="auto"/>
            <w:noWrap/>
            <w:vAlign w:val="bottom"/>
          </w:tcPr>
          <w:p w14:paraId="5DE857D6" w14:textId="77777777" w:rsidR="006D4F74" w:rsidRPr="00981364" w:rsidRDefault="006D4F74" w:rsidP="007C622B">
            <w:pPr>
              <w:jc w:val="center"/>
              <w:rPr>
                <w:rFonts w:eastAsiaTheme="minorHAnsi"/>
                <w:b/>
                <w:bCs/>
                <w:color w:val="000000"/>
                <w:sz w:val="20"/>
                <w:szCs w:val="20"/>
              </w:rPr>
            </w:pPr>
          </w:p>
        </w:tc>
      </w:tr>
      <w:tr w:rsidR="006D4F74" w14:paraId="6ECDD4B3" w14:textId="77777777" w:rsidTr="007C622B">
        <w:trPr>
          <w:trHeight w:hRule="exact" w:val="216"/>
        </w:trPr>
        <w:tc>
          <w:tcPr>
            <w:tcW w:w="9610" w:type="dxa"/>
            <w:gridSpan w:val="8"/>
            <w:tcBorders>
              <w:bottom w:val="single" w:sz="4" w:space="0" w:color="auto"/>
            </w:tcBorders>
            <w:shd w:val="clear" w:color="auto" w:fill="auto"/>
            <w:noWrap/>
            <w:vAlign w:val="bottom"/>
          </w:tcPr>
          <w:p w14:paraId="568CDF4B" w14:textId="77777777" w:rsidR="006D4F74" w:rsidRPr="00981364" w:rsidRDefault="006D4F74" w:rsidP="007C622B">
            <w:pPr>
              <w:jc w:val="center"/>
              <w:rPr>
                <w:rFonts w:eastAsiaTheme="minorHAnsi"/>
                <w:b/>
                <w:bCs/>
                <w:color w:val="000000"/>
                <w:sz w:val="20"/>
                <w:szCs w:val="20"/>
              </w:rPr>
            </w:pPr>
            <w:r>
              <w:rPr>
                <w:rFonts w:eastAsiaTheme="minorHAnsi"/>
                <w:b/>
                <w:bCs/>
                <w:color w:val="000000"/>
                <w:sz w:val="20"/>
                <w:szCs w:val="20"/>
              </w:rPr>
              <w:t xml:space="preserve">Table </w:t>
            </w:r>
            <w:r w:rsidR="00F66084">
              <w:rPr>
                <w:rFonts w:eastAsiaTheme="minorHAnsi"/>
                <w:b/>
                <w:bCs/>
                <w:color w:val="000000"/>
                <w:sz w:val="20"/>
                <w:szCs w:val="20"/>
              </w:rPr>
              <w:t>6</w:t>
            </w:r>
            <w:r>
              <w:rPr>
                <w:rFonts w:eastAsiaTheme="minorHAnsi"/>
                <w:b/>
                <w:bCs/>
                <w:color w:val="000000"/>
                <w:sz w:val="20"/>
                <w:szCs w:val="20"/>
              </w:rPr>
              <w:t xml:space="preserve">. </w:t>
            </w:r>
            <w:r w:rsidRPr="00981364">
              <w:rPr>
                <w:rFonts w:eastAsiaTheme="minorHAnsi"/>
                <w:b/>
                <w:bCs/>
                <w:color w:val="000000"/>
                <w:sz w:val="20"/>
                <w:szCs w:val="20"/>
              </w:rPr>
              <w:t>Driver Hourly Wage Including Fringe Benefits and Motor Carrier Overhead</w:t>
            </w:r>
          </w:p>
          <w:p w14:paraId="755F2878" w14:textId="77777777" w:rsidR="006D4F74" w:rsidRPr="00981364" w:rsidRDefault="006D4F74" w:rsidP="007C622B">
            <w:pPr>
              <w:jc w:val="center"/>
              <w:rPr>
                <w:rFonts w:eastAsiaTheme="minorHAnsi"/>
                <w:b/>
                <w:bCs/>
                <w:color w:val="000000"/>
                <w:sz w:val="20"/>
                <w:szCs w:val="20"/>
              </w:rPr>
            </w:pPr>
          </w:p>
          <w:p w14:paraId="5EA076D5" w14:textId="77777777" w:rsidR="006D4F74" w:rsidRPr="00981364" w:rsidRDefault="006D4F74" w:rsidP="007C622B">
            <w:pPr>
              <w:jc w:val="center"/>
              <w:rPr>
                <w:rFonts w:eastAsiaTheme="minorHAnsi"/>
                <w:b/>
                <w:bCs/>
                <w:color w:val="000000"/>
                <w:sz w:val="20"/>
                <w:szCs w:val="20"/>
              </w:rPr>
            </w:pPr>
          </w:p>
          <w:p w14:paraId="4CFBB14E" w14:textId="77777777" w:rsidR="006D4F74" w:rsidRPr="00981364" w:rsidRDefault="006D4F74" w:rsidP="007C622B">
            <w:pPr>
              <w:jc w:val="center"/>
              <w:rPr>
                <w:b/>
                <w:bCs/>
                <w:color w:val="000000"/>
                <w:sz w:val="20"/>
                <w:szCs w:val="20"/>
              </w:rPr>
            </w:pPr>
          </w:p>
        </w:tc>
      </w:tr>
      <w:tr w:rsidR="006D4F74" w14:paraId="44AEB52A" w14:textId="77777777" w:rsidTr="007C622B">
        <w:trPr>
          <w:cantSplit/>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965CF49" w14:textId="77777777" w:rsidR="006D4F74" w:rsidRPr="00981364" w:rsidRDefault="006D4F74" w:rsidP="007C622B">
            <w:pPr>
              <w:jc w:val="center"/>
              <w:rPr>
                <w:b/>
                <w:bCs/>
                <w:color w:val="000000"/>
                <w:sz w:val="20"/>
                <w:szCs w:val="20"/>
              </w:rPr>
            </w:pPr>
            <w:r w:rsidRPr="00981364">
              <w:rPr>
                <w:b/>
                <w:bCs/>
                <w:color w:val="000000"/>
                <w:sz w:val="20"/>
                <w:szCs w:val="20"/>
              </w:rPr>
              <w:t>Occupational Title</w:t>
            </w:r>
            <w:r w:rsidRPr="00981364">
              <w:rPr>
                <w:b/>
                <w:bCs/>
                <w:color w:val="000000"/>
                <w:sz w:val="20"/>
                <w:szCs w:val="20"/>
              </w:rPr>
              <w:br/>
              <w:t xml:space="preserve"> (BLS Code Number)</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1CE11E5" w14:textId="77777777" w:rsidR="006D4F74" w:rsidRPr="00981364" w:rsidRDefault="006D4F74" w:rsidP="007C622B">
            <w:pPr>
              <w:jc w:val="center"/>
              <w:rPr>
                <w:b/>
                <w:bCs/>
                <w:color w:val="000000"/>
                <w:sz w:val="20"/>
                <w:szCs w:val="20"/>
              </w:rPr>
            </w:pPr>
            <w:r w:rsidRPr="00981364">
              <w:rPr>
                <w:b/>
                <w:bCs/>
                <w:color w:val="000000"/>
                <w:sz w:val="20"/>
                <w:szCs w:val="20"/>
              </w:rPr>
              <w:t>Total Drivers</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99120A8" w14:textId="77777777" w:rsidR="006D4F74" w:rsidRPr="00981364" w:rsidRDefault="006D4F74" w:rsidP="007C622B">
            <w:pPr>
              <w:jc w:val="center"/>
              <w:rPr>
                <w:b/>
                <w:bCs/>
                <w:color w:val="000000"/>
                <w:sz w:val="20"/>
                <w:szCs w:val="20"/>
              </w:rPr>
            </w:pPr>
            <w:r w:rsidRPr="00981364">
              <w:rPr>
                <w:b/>
                <w:bCs/>
                <w:color w:val="000000"/>
                <w:sz w:val="20"/>
                <w:szCs w:val="20"/>
              </w:rPr>
              <w:t>% of Total Drivers</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F9EBC27" w14:textId="77777777" w:rsidR="006D4F74" w:rsidRPr="00981364" w:rsidRDefault="006D4F74" w:rsidP="007C622B">
            <w:pPr>
              <w:jc w:val="center"/>
              <w:rPr>
                <w:b/>
                <w:bCs/>
                <w:color w:val="000000"/>
                <w:sz w:val="20"/>
                <w:szCs w:val="20"/>
              </w:rPr>
            </w:pPr>
            <w:r w:rsidRPr="00981364">
              <w:rPr>
                <w:b/>
                <w:bCs/>
                <w:color w:val="000000"/>
                <w:sz w:val="20"/>
                <w:szCs w:val="20"/>
              </w:rPr>
              <w:t>Median Hourly Base Wage</w:t>
            </w:r>
          </w:p>
        </w:tc>
        <w:tc>
          <w:tcPr>
            <w:tcW w:w="11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7A4FCF4" w14:textId="77777777" w:rsidR="006D4F74" w:rsidRPr="00981364" w:rsidRDefault="006D4F74" w:rsidP="007C622B">
            <w:pPr>
              <w:jc w:val="center"/>
              <w:rPr>
                <w:b/>
                <w:bCs/>
                <w:color w:val="000000"/>
                <w:sz w:val="20"/>
                <w:szCs w:val="20"/>
              </w:rPr>
            </w:pPr>
            <w:r w:rsidRPr="00981364">
              <w:rPr>
                <w:b/>
                <w:bCs/>
                <w:color w:val="000000"/>
                <w:sz w:val="20"/>
                <w:szCs w:val="20"/>
              </w:rPr>
              <w:t>Weighted Hourly Wage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F892636" w14:textId="77777777" w:rsidR="006D4F74" w:rsidRPr="00981364" w:rsidRDefault="006D4F74" w:rsidP="007C622B">
            <w:pPr>
              <w:jc w:val="center"/>
              <w:rPr>
                <w:b/>
                <w:bCs/>
                <w:color w:val="000000"/>
                <w:sz w:val="20"/>
                <w:szCs w:val="20"/>
              </w:rPr>
            </w:pPr>
            <w:r w:rsidRPr="00981364">
              <w:rPr>
                <w:b/>
                <w:bCs/>
                <w:color w:val="000000"/>
                <w:sz w:val="20"/>
                <w:szCs w:val="20"/>
              </w:rPr>
              <w:t>Fringe Benefits Rate</w:t>
            </w:r>
          </w:p>
        </w:tc>
        <w:tc>
          <w:tcPr>
            <w:tcW w:w="106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B8BABFA" w14:textId="77777777" w:rsidR="006D4F74" w:rsidRPr="00981364" w:rsidRDefault="006D4F74" w:rsidP="007C622B">
            <w:pPr>
              <w:jc w:val="center"/>
              <w:rPr>
                <w:b/>
                <w:bCs/>
                <w:color w:val="000000"/>
                <w:sz w:val="20"/>
                <w:szCs w:val="20"/>
              </w:rPr>
            </w:pPr>
            <w:r w:rsidRPr="00981364">
              <w:rPr>
                <w:b/>
                <w:bCs/>
                <w:color w:val="000000"/>
                <w:sz w:val="20"/>
                <w:szCs w:val="20"/>
              </w:rPr>
              <w:t>Overhead Rate</w:t>
            </w:r>
          </w:p>
        </w:tc>
        <w:tc>
          <w:tcPr>
            <w:tcW w:w="103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8515ECD" w14:textId="77777777" w:rsidR="006D4F74" w:rsidRPr="00981364" w:rsidRDefault="006D4F74" w:rsidP="007C622B">
            <w:pPr>
              <w:jc w:val="center"/>
              <w:rPr>
                <w:b/>
                <w:bCs/>
                <w:color w:val="000000"/>
                <w:sz w:val="20"/>
                <w:szCs w:val="20"/>
              </w:rPr>
            </w:pPr>
            <w:r w:rsidRPr="00981364">
              <w:rPr>
                <w:b/>
                <w:bCs/>
                <w:color w:val="000000"/>
                <w:sz w:val="20"/>
                <w:szCs w:val="20"/>
              </w:rPr>
              <w:t>Weighted Average Hourly Cost</w:t>
            </w:r>
          </w:p>
        </w:tc>
      </w:tr>
      <w:tr w:rsidR="006D4F74" w14:paraId="055307EE" w14:textId="77777777" w:rsidTr="007C622B">
        <w:trPr>
          <w:trHeight w:hRule="exact" w:val="576"/>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7D68EC2A" w14:textId="77777777" w:rsidR="006D4F74" w:rsidRPr="00981364" w:rsidRDefault="006D4F74" w:rsidP="007C622B">
            <w:pPr>
              <w:rPr>
                <w:color w:val="000000"/>
                <w:sz w:val="20"/>
                <w:szCs w:val="20"/>
              </w:rPr>
            </w:pPr>
            <w:r w:rsidRPr="00981364">
              <w:rPr>
                <w:color w:val="000000"/>
                <w:sz w:val="20"/>
                <w:szCs w:val="20"/>
              </w:rPr>
              <w:t>Heavy and Tractor Trailer drivers (53-3032)</w:t>
            </w:r>
          </w:p>
        </w:tc>
        <w:tc>
          <w:tcPr>
            <w:tcW w:w="1020" w:type="dxa"/>
            <w:tcBorders>
              <w:top w:val="nil"/>
              <w:left w:val="nil"/>
              <w:bottom w:val="single" w:sz="4" w:space="0" w:color="auto"/>
              <w:right w:val="single" w:sz="4" w:space="0" w:color="auto"/>
            </w:tcBorders>
            <w:shd w:val="clear" w:color="auto" w:fill="auto"/>
            <w:noWrap/>
            <w:vAlign w:val="bottom"/>
            <w:hideMark/>
          </w:tcPr>
          <w:p w14:paraId="3D38F447" w14:textId="77777777" w:rsidR="006D4F74" w:rsidRPr="00981364" w:rsidRDefault="006D4F74" w:rsidP="007C622B">
            <w:pPr>
              <w:jc w:val="right"/>
              <w:rPr>
                <w:color w:val="000000"/>
                <w:sz w:val="20"/>
                <w:szCs w:val="20"/>
              </w:rPr>
            </w:pPr>
            <w:r w:rsidRPr="00981364">
              <w:rPr>
                <w:color w:val="000000"/>
                <w:sz w:val="20"/>
                <w:szCs w:val="20"/>
              </w:rPr>
              <w:t xml:space="preserve">1,748,140 </w:t>
            </w:r>
          </w:p>
        </w:tc>
        <w:tc>
          <w:tcPr>
            <w:tcW w:w="960" w:type="dxa"/>
            <w:tcBorders>
              <w:top w:val="nil"/>
              <w:left w:val="nil"/>
              <w:bottom w:val="single" w:sz="4" w:space="0" w:color="auto"/>
              <w:right w:val="single" w:sz="4" w:space="0" w:color="auto"/>
            </w:tcBorders>
            <w:shd w:val="clear" w:color="auto" w:fill="auto"/>
            <w:noWrap/>
            <w:vAlign w:val="bottom"/>
            <w:hideMark/>
          </w:tcPr>
          <w:p w14:paraId="4D002CB9" w14:textId="77777777" w:rsidR="006D4F74" w:rsidRPr="00981364" w:rsidRDefault="006D4F74" w:rsidP="007C622B">
            <w:pPr>
              <w:jc w:val="right"/>
              <w:rPr>
                <w:color w:val="000000"/>
                <w:sz w:val="20"/>
                <w:szCs w:val="20"/>
              </w:rPr>
            </w:pPr>
            <w:r w:rsidRPr="00981364">
              <w:rPr>
                <w:color w:val="000000"/>
                <w:sz w:val="20"/>
                <w:szCs w:val="20"/>
              </w:rPr>
              <w:t>52.8%</w:t>
            </w:r>
          </w:p>
        </w:tc>
        <w:tc>
          <w:tcPr>
            <w:tcW w:w="960" w:type="dxa"/>
            <w:tcBorders>
              <w:top w:val="nil"/>
              <w:left w:val="nil"/>
              <w:bottom w:val="single" w:sz="4" w:space="0" w:color="auto"/>
              <w:right w:val="single" w:sz="4" w:space="0" w:color="auto"/>
            </w:tcBorders>
            <w:shd w:val="clear" w:color="auto" w:fill="auto"/>
            <w:noWrap/>
            <w:vAlign w:val="bottom"/>
            <w:hideMark/>
          </w:tcPr>
          <w:p w14:paraId="1AC08263" w14:textId="77777777" w:rsidR="006D4F74" w:rsidRPr="00981364" w:rsidRDefault="006D4F74" w:rsidP="007C622B">
            <w:pPr>
              <w:jc w:val="right"/>
              <w:rPr>
                <w:color w:val="000000"/>
                <w:sz w:val="20"/>
                <w:szCs w:val="20"/>
              </w:rPr>
            </w:pPr>
            <w:r w:rsidRPr="00981364">
              <w:rPr>
                <w:color w:val="000000"/>
                <w:sz w:val="20"/>
                <w:szCs w:val="20"/>
              </w:rPr>
              <w:t xml:space="preserve">$20.42 </w:t>
            </w:r>
          </w:p>
        </w:tc>
        <w:tc>
          <w:tcPr>
            <w:tcW w:w="1180" w:type="dxa"/>
            <w:tcBorders>
              <w:top w:val="nil"/>
              <w:left w:val="nil"/>
              <w:bottom w:val="single" w:sz="4" w:space="0" w:color="auto"/>
              <w:right w:val="single" w:sz="4" w:space="0" w:color="auto"/>
            </w:tcBorders>
            <w:shd w:val="clear" w:color="auto" w:fill="auto"/>
            <w:noWrap/>
            <w:vAlign w:val="bottom"/>
            <w:hideMark/>
          </w:tcPr>
          <w:p w14:paraId="6656C6E3" w14:textId="77777777" w:rsidR="006D4F74" w:rsidRPr="00981364" w:rsidRDefault="006D4F74" w:rsidP="007C622B">
            <w:pPr>
              <w:jc w:val="right"/>
              <w:rPr>
                <w:color w:val="000000"/>
                <w:sz w:val="20"/>
                <w:szCs w:val="20"/>
              </w:rPr>
            </w:pPr>
            <w:r w:rsidRPr="00981364">
              <w:rPr>
                <w:color w:val="000000"/>
                <w:sz w:val="20"/>
                <w:szCs w:val="20"/>
              </w:rPr>
              <w:t xml:space="preserve">$10.79 </w:t>
            </w:r>
          </w:p>
        </w:tc>
        <w:tc>
          <w:tcPr>
            <w:tcW w:w="960" w:type="dxa"/>
            <w:tcBorders>
              <w:top w:val="nil"/>
              <w:left w:val="nil"/>
              <w:bottom w:val="single" w:sz="4" w:space="0" w:color="auto"/>
              <w:right w:val="single" w:sz="4" w:space="0" w:color="auto"/>
            </w:tcBorders>
            <w:shd w:val="clear" w:color="auto" w:fill="auto"/>
            <w:noWrap/>
            <w:vAlign w:val="bottom"/>
            <w:hideMark/>
          </w:tcPr>
          <w:p w14:paraId="2A18D1C6" w14:textId="77777777" w:rsidR="006D4F74" w:rsidRPr="00981364" w:rsidRDefault="006D4F74" w:rsidP="007C622B">
            <w:pPr>
              <w:jc w:val="right"/>
              <w:rPr>
                <w:color w:val="000000"/>
                <w:sz w:val="20"/>
                <w:szCs w:val="20"/>
              </w:rPr>
            </w:pPr>
            <w:r w:rsidRPr="00981364">
              <w:rPr>
                <w:color w:val="000000"/>
                <w:sz w:val="20"/>
                <w:szCs w:val="20"/>
              </w:rPr>
              <w:t>56.9%</w:t>
            </w:r>
          </w:p>
        </w:tc>
        <w:tc>
          <w:tcPr>
            <w:tcW w:w="1061" w:type="dxa"/>
            <w:tcBorders>
              <w:top w:val="nil"/>
              <w:left w:val="nil"/>
              <w:bottom w:val="single" w:sz="4" w:space="0" w:color="auto"/>
              <w:right w:val="single" w:sz="4" w:space="0" w:color="auto"/>
            </w:tcBorders>
            <w:shd w:val="clear" w:color="auto" w:fill="auto"/>
            <w:noWrap/>
            <w:vAlign w:val="bottom"/>
            <w:hideMark/>
          </w:tcPr>
          <w:p w14:paraId="15347492" w14:textId="77777777" w:rsidR="006D4F74" w:rsidRPr="00981364" w:rsidRDefault="006D4F74" w:rsidP="007C622B">
            <w:pPr>
              <w:jc w:val="right"/>
              <w:rPr>
                <w:color w:val="000000"/>
                <w:sz w:val="20"/>
                <w:szCs w:val="20"/>
              </w:rPr>
            </w:pPr>
            <w:r w:rsidRPr="00981364">
              <w:rPr>
                <w:color w:val="000000"/>
                <w:sz w:val="20"/>
                <w:szCs w:val="20"/>
              </w:rPr>
              <w:t>27.4%</w:t>
            </w:r>
          </w:p>
        </w:tc>
        <w:tc>
          <w:tcPr>
            <w:tcW w:w="1039" w:type="dxa"/>
            <w:tcBorders>
              <w:top w:val="nil"/>
              <w:left w:val="nil"/>
              <w:bottom w:val="single" w:sz="4" w:space="0" w:color="auto"/>
              <w:right w:val="single" w:sz="4" w:space="0" w:color="auto"/>
            </w:tcBorders>
            <w:shd w:val="clear" w:color="auto" w:fill="auto"/>
            <w:noWrap/>
            <w:vAlign w:val="bottom"/>
            <w:hideMark/>
          </w:tcPr>
          <w:p w14:paraId="1868BE23" w14:textId="77777777" w:rsidR="006D4F74" w:rsidRPr="00981364" w:rsidRDefault="006D4F74" w:rsidP="007C622B">
            <w:pPr>
              <w:jc w:val="right"/>
              <w:rPr>
                <w:color w:val="000000"/>
                <w:sz w:val="20"/>
                <w:szCs w:val="20"/>
              </w:rPr>
            </w:pPr>
            <w:r w:rsidRPr="00981364">
              <w:rPr>
                <w:color w:val="000000"/>
                <w:sz w:val="20"/>
                <w:szCs w:val="20"/>
              </w:rPr>
              <w:t>$21.57</w:t>
            </w:r>
          </w:p>
        </w:tc>
      </w:tr>
      <w:tr w:rsidR="006D4F74" w14:paraId="153CA1B6" w14:textId="77777777" w:rsidTr="007C622B">
        <w:trPr>
          <w:trHeight w:hRule="exact" w:val="576"/>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D63E650" w14:textId="77777777" w:rsidR="006D4F74" w:rsidRPr="00981364" w:rsidRDefault="006D4F74" w:rsidP="007C622B">
            <w:pPr>
              <w:rPr>
                <w:color w:val="000000"/>
                <w:sz w:val="20"/>
                <w:szCs w:val="20"/>
              </w:rPr>
            </w:pPr>
            <w:r w:rsidRPr="00981364">
              <w:rPr>
                <w:color w:val="000000"/>
                <w:sz w:val="20"/>
                <w:szCs w:val="20"/>
              </w:rPr>
              <w:t>Light truck and delivery Service Drivers (53-3033)</w:t>
            </w:r>
          </w:p>
        </w:tc>
        <w:tc>
          <w:tcPr>
            <w:tcW w:w="1020" w:type="dxa"/>
            <w:tcBorders>
              <w:top w:val="nil"/>
              <w:left w:val="nil"/>
              <w:bottom w:val="single" w:sz="4" w:space="0" w:color="auto"/>
              <w:right w:val="single" w:sz="4" w:space="0" w:color="auto"/>
            </w:tcBorders>
            <w:shd w:val="clear" w:color="auto" w:fill="auto"/>
            <w:noWrap/>
            <w:vAlign w:val="bottom"/>
            <w:hideMark/>
          </w:tcPr>
          <w:p w14:paraId="5C877562" w14:textId="77777777" w:rsidR="006D4F74" w:rsidRPr="00981364" w:rsidRDefault="006D4F74" w:rsidP="007C622B">
            <w:pPr>
              <w:jc w:val="right"/>
              <w:rPr>
                <w:color w:val="000000"/>
                <w:sz w:val="20"/>
                <w:szCs w:val="20"/>
              </w:rPr>
            </w:pPr>
            <w:r w:rsidRPr="00981364">
              <w:rPr>
                <w:color w:val="000000"/>
                <w:sz w:val="20"/>
                <w:szCs w:val="20"/>
              </w:rPr>
              <w:t xml:space="preserve">877,670 </w:t>
            </w:r>
          </w:p>
        </w:tc>
        <w:tc>
          <w:tcPr>
            <w:tcW w:w="960" w:type="dxa"/>
            <w:tcBorders>
              <w:top w:val="nil"/>
              <w:left w:val="nil"/>
              <w:bottom w:val="single" w:sz="4" w:space="0" w:color="auto"/>
              <w:right w:val="single" w:sz="4" w:space="0" w:color="auto"/>
            </w:tcBorders>
            <w:shd w:val="clear" w:color="auto" w:fill="auto"/>
            <w:noWrap/>
            <w:vAlign w:val="bottom"/>
            <w:hideMark/>
          </w:tcPr>
          <w:p w14:paraId="53AF2723" w14:textId="77777777" w:rsidR="006D4F74" w:rsidRPr="00981364" w:rsidRDefault="006D4F74" w:rsidP="007C622B">
            <w:pPr>
              <w:jc w:val="right"/>
              <w:rPr>
                <w:color w:val="000000"/>
                <w:sz w:val="20"/>
                <w:szCs w:val="20"/>
              </w:rPr>
            </w:pPr>
            <w:r w:rsidRPr="00981364">
              <w:rPr>
                <w:color w:val="000000"/>
                <w:sz w:val="20"/>
                <w:szCs w:val="20"/>
              </w:rPr>
              <w:t>26.5%</w:t>
            </w:r>
          </w:p>
        </w:tc>
        <w:tc>
          <w:tcPr>
            <w:tcW w:w="960" w:type="dxa"/>
            <w:tcBorders>
              <w:top w:val="nil"/>
              <w:left w:val="nil"/>
              <w:bottom w:val="single" w:sz="4" w:space="0" w:color="auto"/>
              <w:right w:val="single" w:sz="4" w:space="0" w:color="auto"/>
            </w:tcBorders>
            <w:shd w:val="clear" w:color="auto" w:fill="auto"/>
            <w:noWrap/>
            <w:vAlign w:val="bottom"/>
            <w:hideMark/>
          </w:tcPr>
          <w:p w14:paraId="017D5132" w14:textId="77777777" w:rsidR="006D4F74" w:rsidRPr="00981364" w:rsidRDefault="006D4F74" w:rsidP="007C622B">
            <w:pPr>
              <w:jc w:val="right"/>
              <w:rPr>
                <w:color w:val="000000"/>
                <w:sz w:val="20"/>
                <w:szCs w:val="20"/>
              </w:rPr>
            </w:pPr>
            <w:r w:rsidRPr="00981364">
              <w:rPr>
                <w:color w:val="000000"/>
                <w:sz w:val="20"/>
                <w:szCs w:val="20"/>
              </w:rPr>
              <w:t xml:space="preserve">$15.12 </w:t>
            </w:r>
          </w:p>
        </w:tc>
        <w:tc>
          <w:tcPr>
            <w:tcW w:w="1180" w:type="dxa"/>
            <w:tcBorders>
              <w:top w:val="nil"/>
              <w:left w:val="nil"/>
              <w:bottom w:val="single" w:sz="4" w:space="0" w:color="auto"/>
              <w:right w:val="single" w:sz="4" w:space="0" w:color="auto"/>
            </w:tcBorders>
            <w:shd w:val="clear" w:color="auto" w:fill="auto"/>
            <w:noWrap/>
            <w:vAlign w:val="bottom"/>
            <w:hideMark/>
          </w:tcPr>
          <w:p w14:paraId="3FA098B9" w14:textId="77777777" w:rsidR="006D4F74" w:rsidRPr="00981364" w:rsidRDefault="006D4F74" w:rsidP="007C622B">
            <w:pPr>
              <w:jc w:val="right"/>
              <w:rPr>
                <w:color w:val="000000"/>
                <w:sz w:val="20"/>
                <w:szCs w:val="20"/>
              </w:rPr>
            </w:pPr>
            <w:r w:rsidRPr="00981364">
              <w:rPr>
                <w:color w:val="000000"/>
                <w:sz w:val="20"/>
                <w:szCs w:val="20"/>
              </w:rPr>
              <w:t xml:space="preserve">$4.01 </w:t>
            </w:r>
          </w:p>
        </w:tc>
        <w:tc>
          <w:tcPr>
            <w:tcW w:w="960" w:type="dxa"/>
            <w:tcBorders>
              <w:top w:val="nil"/>
              <w:left w:val="nil"/>
              <w:bottom w:val="single" w:sz="4" w:space="0" w:color="auto"/>
              <w:right w:val="single" w:sz="4" w:space="0" w:color="auto"/>
            </w:tcBorders>
            <w:shd w:val="clear" w:color="auto" w:fill="auto"/>
            <w:noWrap/>
            <w:vAlign w:val="bottom"/>
            <w:hideMark/>
          </w:tcPr>
          <w:p w14:paraId="0F0FB579" w14:textId="77777777" w:rsidR="006D4F74" w:rsidRPr="00981364" w:rsidRDefault="006D4F74" w:rsidP="007C622B">
            <w:pPr>
              <w:jc w:val="right"/>
              <w:rPr>
                <w:color w:val="000000"/>
                <w:sz w:val="20"/>
                <w:szCs w:val="20"/>
              </w:rPr>
            </w:pPr>
            <w:r w:rsidRPr="00981364">
              <w:rPr>
                <w:color w:val="000000"/>
                <w:sz w:val="20"/>
                <w:szCs w:val="20"/>
              </w:rPr>
              <w:t>56.9%</w:t>
            </w:r>
          </w:p>
        </w:tc>
        <w:tc>
          <w:tcPr>
            <w:tcW w:w="1061" w:type="dxa"/>
            <w:tcBorders>
              <w:top w:val="nil"/>
              <w:left w:val="nil"/>
              <w:bottom w:val="single" w:sz="4" w:space="0" w:color="auto"/>
              <w:right w:val="single" w:sz="4" w:space="0" w:color="auto"/>
            </w:tcBorders>
            <w:shd w:val="clear" w:color="auto" w:fill="auto"/>
            <w:noWrap/>
            <w:vAlign w:val="bottom"/>
            <w:hideMark/>
          </w:tcPr>
          <w:p w14:paraId="68B18DBD" w14:textId="77777777" w:rsidR="006D4F74" w:rsidRPr="00981364" w:rsidRDefault="006D4F74" w:rsidP="007C622B">
            <w:pPr>
              <w:jc w:val="right"/>
              <w:rPr>
                <w:color w:val="000000"/>
                <w:sz w:val="20"/>
                <w:szCs w:val="20"/>
              </w:rPr>
            </w:pPr>
            <w:r w:rsidRPr="00981364">
              <w:rPr>
                <w:color w:val="000000"/>
                <w:sz w:val="20"/>
                <w:szCs w:val="20"/>
              </w:rPr>
              <w:t>27.4%</w:t>
            </w:r>
          </w:p>
        </w:tc>
        <w:tc>
          <w:tcPr>
            <w:tcW w:w="1039" w:type="dxa"/>
            <w:tcBorders>
              <w:top w:val="nil"/>
              <w:left w:val="nil"/>
              <w:bottom w:val="single" w:sz="4" w:space="0" w:color="auto"/>
              <w:right w:val="single" w:sz="4" w:space="0" w:color="auto"/>
            </w:tcBorders>
            <w:shd w:val="clear" w:color="auto" w:fill="auto"/>
            <w:noWrap/>
            <w:vAlign w:val="bottom"/>
            <w:hideMark/>
          </w:tcPr>
          <w:p w14:paraId="7E9780FF" w14:textId="77777777" w:rsidR="006D4F74" w:rsidRPr="00981364" w:rsidRDefault="006D4F74" w:rsidP="007C622B">
            <w:pPr>
              <w:jc w:val="right"/>
              <w:rPr>
                <w:color w:val="000000"/>
                <w:sz w:val="20"/>
                <w:szCs w:val="20"/>
              </w:rPr>
            </w:pPr>
            <w:r w:rsidRPr="00981364">
              <w:rPr>
                <w:color w:val="000000"/>
                <w:sz w:val="20"/>
                <w:szCs w:val="20"/>
              </w:rPr>
              <w:t>$8.02</w:t>
            </w:r>
          </w:p>
        </w:tc>
      </w:tr>
      <w:tr w:rsidR="006D4F74" w14:paraId="55742E5E" w14:textId="77777777" w:rsidTr="007C622B">
        <w:trPr>
          <w:trHeight w:hRule="exact" w:val="576"/>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2148C52" w14:textId="77777777" w:rsidR="006D4F74" w:rsidRPr="00981364" w:rsidRDefault="006D4F74" w:rsidP="007C622B">
            <w:pPr>
              <w:rPr>
                <w:color w:val="000000"/>
                <w:sz w:val="20"/>
                <w:szCs w:val="20"/>
              </w:rPr>
            </w:pPr>
            <w:r w:rsidRPr="00981364">
              <w:rPr>
                <w:color w:val="000000"/>
                <w:sz w:val="20"/>
                <w:szCs w:val="20"/>
              </w:rPr>
              <w:t>Bus drivers, school and or special client (53-3022)</w:t>
            </w:r>
          </w:p>
        </w:tc>
        <w:tc>
          <w:tcPr>
            <w:tcW w:w="1020" w:type="dxa"/>
            <w:tcBorders>
              <w:top w:val="nil"/>
              <w:left w:val="nil"/>
              <w:bottom w:val="single" w:sz="4" w:space="0" w:color="auto"/>
              <w:right w:val="single" w:sz="4" w:space="0" w:color="auto"/>
            </w:tcBorders>
            <w:shd w:val="clear" w:color="auto" w:fill="auto"/>
            <w:noWrap/>
            <w:vAlign w:val="bottom"/>
            <w:hideMark/>
          </w:tcPr>
          <w:p w14:paraId="79581162" w14:textId="77777777" w:rsidR="006D4F74" w:rsidRPr="00981364" w:rsidRDefault="006D4F74" w:rsidP="007C622B">
            <w:pPr>
              <w:jc w:val="right"/>
              <w:rPr>
                <w:color w:val="000000"/>
                <w:sz w:val="20"/>
                <w:szCs w:val="20"/>
              </w:rPr>
            </w:pPr>
            <w:r w:rsidRPr="00981364">
              <w:rPr>
                <w:color w:val="000000"/>
                <w:sz w:val="20"/>
                <w:szCs w:val="20"/>
              </w:rPr>
              <w:t xml:space="preserve">176,140 </w:t>
            </w:r>
          </w:p>
        </w:tc>
        <w:tc>
          <w:tcPr>
            <w:tcW w:w="960" w:type="dxa"/>
            <w:tcBorders>
              <w:top w:val="nil"/>
              <w:left w:val="nil"/>
              <w:bottom w:val="single" w:sz="4" w:space="0" w:color="auto"/>
              <w:right w:val="single" w:sz="4" w:space="0" w:color="auto"/>
            </w:tcBorders>
            <w:shd w:val="clear" w:color="auto" w:fill="auto"/>
            <w:noWrap/>
            <w:vAlign w:val="bottom"/>
            <w:hideMark/>
          </w:tcPr>
          <w:p w14:paraId="429FD683" w14:textId="77777777" w:rsidR="006D4F74" w:rsidRPr="00981364" w:rsidRDefault="006D4F74" w:rsidP="007C622B">
            <w:pPr>
              <w:jc w:val="right"/>
              <w:rPr>
                <w:color w:val="000000"/>
                <w:sz w:val="20"/>
                <w:szCs w:val="20"/>
              </w:rPr>
            </w:pPr>
            <w:r w:rsidRPr="00981364">
              <w:rPr>
                <w:color w:val="000000"/>
                <w:sz w:val="20"/>
                <w:szCs w:val="20"/>
              </w:rPr>
              <w:t>5.3%</w:t>
            </w:r>
          </w:p>
        </w:tc>
        <w:tc>
          <w:tcPr>
            <w:tcW w:w="960" w:type="dxa"/>
            <w:tcBorders>
              <w:top w:val="nil"/>
              <w:left w:val="nil"/>
              <w:bottom w:val="single" w:sz="4" w:space="0" w:color="auto"/>
              <w:right w:val="single" w:sz="4" w:space="0" w:color="auto"/>
            </w:tcBorders>
            <w:shd w:val="clear" w:color="auto" w:fill="auto"/>
            <w:noWrap/>
            <w:vAlign w:val="bottom"/>
            <w:hideMark/>
          </w:tcPr>
          <w:p w14:paraId="08F52773" w14:textId="77777777" w:rsidR="006D4F74" w:rsidRPr="00981364" w:rsidRDefault="006D4F74" w:rsidP="007C622B">
            <w:pPr>
              <w:jc w:val="right"/>
              <w:rPr>
                <w:color w:val="000000"/>
                <w:sz w:val="20"/>
                <w:szCs w:val="20"/>
              </w:rPr>
            </w:pPr>
            <w:r w:rsidRPr="00981364">
              <w:rPr>
                <w:color w:val="000000"/>
                <w:sz w:val="20"/>
                <w:szCs w:val="20"/>
              </w:rPr>
              <w:t xml:space="preserve">$19.61 </w:t>
            </w:r>
          </w:p>
        </w:tc>
        <w:tc>
          <w:tcPr>
            <w:tcW w:w="1180" w:type="dxa"/>
            <w:tcBorders>
              <w:top w:val="nil"/>
              <w:left w:val="nil"/>
              <w:bottom w:val="single" w:sz="4" w:space="0" w:color="auto"/>
              <w:right w:val="single" w:sz="4" w:space="0" w:color="auto"/>
            </w:tcBorders>
            <w:shd w:val="clear" w:color="auto" w:fill="auto"/>
            <w:noWrap/>
            <w:vAlign w:val="bottom"/>
            <w:hideMark/>
          </w:tcPr>
          <w:p w14:paraId="3FF721AC" w14:textId="77777777" w:rsidR="006D4F74" w:rsidRPr="00981364" w:rsidRDefault="006D4F74" w:rsidP="007C622B">
            <w:pPr>
              <w:jc w:val="right"/>
              <w:rPr>
                <w:color w:val="000000"/>
                <w:sz w:val="20"/>
                <w:szCs w:val="20"/>
              </w:rPr>
            </w:pPr>
            <w:r w:rsidRPr="00981364">
              <w:rPr>
                <w:color w:val="000000"/>
                <w:sz w:val="20"/>
                <w:szCs w:val="20"/>
              </w:rPr>
              <w:t xml:space="preserve">$1.04 </w:t>
            </w:r>
          </w:p>
        </w:tc>
        <w:tc>
          <w:tcPr>
            <w:tcW w:w="960" w:type="dxa"/>
            <w:tcBorders>
              <w:top w:val="nil"/>
              <w:left w:val="nil"/>
              <w:bottom w:val="single" w:sz="4" w:space="0" w:color="auto"/>
              <w:right w:val="single" w:sz="4" w:space="0" w:color="auto"/>
            </w:tcBorders>
            <w:shd w:val="clear" w:color="auto" w:fill="auto"/>
            <w:noWrap/>
            <w:vAlign w:val="bottom"/>
            <w:hideMark/>
          </w:tcPr>
          <w:p w14:paraId="06D3947C" w14:textId="77777777" w:rsidR="006D4F74" w:rsidRPr="00981364" w:rsidRDefault="006D4F74" w:rsidP="007C622B">
            <w:pPr>
              <w:jc w:val="right"/>
              <w:rPr>
                <w:color w:val="000000"/>
                <w:sz w:val="20"/>
                <w:szCs w:val="20"/>
              </w:rPr>
            </w:pPr>
            <w:r w:rsidRPr="00981364">
              <w:rPr>
                <w:color w:val="000000"/>
                <w:sz w:val="20"/>
                <w:szCs w:val="20"/>
              </w:rPr>
              <w:t>56.9%</w:t>
            </w:r>
          </w:p>
        </w:tc>
        <w:tc>
          <w:tcPr>
            <w:tcW w:w="1061" w:type="dxa"/>
            <w:tcBorders>
              <w:top w:val="nil"/>
              <w:left w:val="nil"/>
              <w:bottom w:val="single" w:sz="4" w:space="0" w:color="auto"/>
              <w:right w:val="single" w:sz="4" w:space="0" w:color="auto"/>
            </w:tcBorders>
            <w:shd w:val="clear" w:color="auto" w:fill="auto"/>
            <w:noWrap/>
            <w:vAlign w:val="bottom"/>
            <w:hideMark/>
          </w:tcPr>
          <w:p w14:paraId="7DF41A15" w14:textId="77777777" w:rsidR="006D4F74" w:rsidRPr="00981364" w:rsidRDefault="006D4F74" w:rsidP="007C622B">
            <w:pPr>
              <w:jc w:val="right"/>
              <w:rPr>
                <w:color w:val="000000"/>
                <w:sz w:val="20"/>
                <w:szCs w:val="20"/>
              </w:rPr>
            </w:pPr>
            <w:r w:rsidRPr="00981364">
              <w:rPr>
                <w:color w:val="000000"/>
                <w:sz w:val="20"/>
                <w:szCs w:val="20"/>
              </w:rPr>
              <w:t>27.4%</w:t>
            </w:r>
          </w:p>
        </w:tc>
        <w:tc>
          <w:tcPr>
            <w:tcW w:w="1039" w:type="dxa"/>
            <w:tcBorders>
              <w:top w:val="nil"/>
              <w:left w:val="nil"/>
              <w:bottom w:val="single" w:sz="4" w:space="0" w:color="auto"/>
              <w:right w:val="single" w:sz="4" w:space="0" w:color="auto"/>
            </w:tcBorders>
            <w:shd w:val="clear" w:color="auto" w:fill="auto"/>
            <w:noWrap/>
            <w:vAlign w:val="bottom"/>
            <w:hideMark/>
          </w:tcPr>
          <w:p w14:paraId="18998AF2" w14:textId="77777777" w:rsidR="006D4F74" w:rsidRPr="00981364" w:rsidRDefault="006D4F74" w:rsidP="007C622B">
            <w:pPr>
              <w:jc w:val="right"/>
              <w:rPr>
                <w:color w:val="000000"/>
                <w:sz w:val="20"/>
                <w:szCs w:val="20"/>
              </w:rPr>
            </w:pPr>
            <w:r w:rsidRPr="00981364">
              <w:rPr>
                <w:color w:val="000000"/>
                <w:sz w:val="20"/>
                <w:szCs w:val="20"/>
              </w:rPr>
              <w:t>$2.09</w:t>
            </w:r>
          </w:p>
        </w:tc>
      </w:tr>
      <w:tr w:rsidR="006D4F74" w14:paraId="7C3696FC" w14:textId="77777777" w:rsidTr="007C622B">
        <w:trPr>
          <w:trHeight w:hRule="exact" w:val="576"/>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6523BEC9" w14:textId="77777777" w:rsidR="006D4F74" w:rsidRPr="00981364" w:rsidRDefault="006D4F74" w:rsidP="007C622B">
            <w:pPr>
              <w:rPr>
                <w:color w:val="000000"/>
                <w:sz w:val="20"/>
                <w:szCs w:val="20"/>
              </w:rPr>
            </w:pPr>
            <w:r w:rsidRPr="00981364">
              <w:rPr>
                <w:color w:val="000000"/>
                <w:sz w:val="20"/>
                <w:szCs w:val="20"/>
              </w:rPr>
              <w:t>Bus drivers, transit and intercity (53-3021)</w:t>
            </w:r>
          </w:p>
        </w:tc>
        <w:tc>
          <w:tcPr>
            <w:tcW w:w="1020" w:type="dxa"/>
            <w:tcBorders>
              <w:top w:val="nil"/>
              <w:left w:val="nil"/>
              <w:bottom w:val="single" w:sz="4" w:space="0" w:color="auto"/>
              <w:right w:val="single" w:sz="4" w:space="0" w:color="auto"/>
            </w:tcBorders>
            <w:shd w:val="clear" w:color="auto" w:fill="auto"/>
            <w:noWrap/>
            <w:vAlign w:val="bottom"/>
            <w:hideMark/>
          </w:tcPr>
          <w:p w14:paraId="275B21C7" w14:textId="77777777" w:rsidR="006D4F74" w:rsidRPr="00981364" w:rsidRDefault="006D4F74" w:rsidP="007C622B">
            <w:pPr>
              <w:jc w:val="right"/>
              <w:rPr>
                <w:color w:val="000000"/>
                <w:sz w:val="20"/>
                <w:szCs w:val="20"/>
              </w:rPr>
            </w:pPr>
            <w:r w:rsidRPr="00981364">
              <w:rPr>
                <w:color w:val="000000"/>
                <w:sz w:val="20"/>
                <w:szCs w:val="20"/>
              </w:rPr>
              <w:t xml:space="preserve">507,340 </w:t>
            </w:r>
          </w:p>
        </w:tc>
        <w:tc>
          <w:tcPr>
            <w:tcW w:w="960" w:type="dxa"/>
            <w:tcBorders>
              <w:top w:val="nil"/>
              <w:left w:val="nil"/>
              <w:bottom w:val="single" w:sz="4" w:space="0" w:color="auto"/>
              <w:right w:val="single" w:sz="4" w:space="0" w:color="auto"/>
            </w:tcBorders>
            <w:shd w:val="clear" w:color="auto" w:fill="auto"/>
            <w:noWrap/>
            <w:vAlign w:val="bottom"/>
            <w:hideMark/>
          </w:tcPr>
          <w:p w14:paraId="6E2B9353" w14:textId="77777777" w:rsidR="006D4F74" w:rsidRPr="00981364" w:rsidRDefault="006D4F74" w:rsidP="007C622B">
            <w:pPr>
              <w:jc w:val="right"/>
              <w:rPr>
                <w:color w:val="000000"/>
                <w:sz w:val="20"/>
                <w:szCs w:val="20"/>
              </w:rPr>
            </w:pPr>
            <w:r w:rsidRPr="00981364">
              <w:rPr>
                <w:color w:val="000000"/>
                <w:sz w:val="20"/>
                <w:szCs w:val="20"/>
              </w:rPr>
              <w:t>15.3%</w:t>
            </w:r>
          </w:p>
        </w:tc>
        <w:tc>
          <w:tcPr>
            <w:tcW w:w="960" w:type="dxa"/>
            <w:tcBorders>
              <w:top w:val="nil"/>
              <w:left w:val="nil"/>
              <w:bottom w:val="single" w:sz="4" w:space="0" w:color="auto"/>
              <w:right w:val="single" w:sz="4" w:space="0" w:color="auto"/>
            </w:tcBorders>
            <w:shd w:val="clear" w:color="auto" w:fill="auto"/>
            <w:noWrap/>
            <w:vAlign w:val="bottom"/>
            <w:hideMark/>
          </w:tcPr>
          <w:p w14:paraId="18BFD4A9" w14:textId="77777777" w:rsidR="006D4F74" w:rsidRPr="00981364" w:rsidRDefault="006D4F74" w:rsidP="007C622B">
            <w:pPr>
              <w:jc w:val="right"/>
              <w:rPr>
                <w:color w:val="000000"/>
                <w:sz w:val="20"/>
                <w:szCs w:val="20"/>
              </w:rPr>
            </w:pPr>
            <w:r w:rsidRPr="00981364">
              <w:rPr>
                <w:color w:val="000000"/>
                <w:sz w:val="20"/>
                <w:szCs w:val="20"/>
              </w:rPr>
              <w:t xml:space="preserve">$14.93 </w:t>
            </w:r>
          </w:p>
        </w:tc>
        <w:tc>
          <w:tcPr>
            <w:tcW w:w="1180" w:type="dxa"/>
            <w:tcBorders>
              <w:top w:val="nil"/>
              <w:left w:val="nil"/>
              <w:bottom w:val="single" w:sz="4" w:space="0" w:color="auto"/>
              <w:right w:val="single" w:sz="4" w:space="0" w:color="auto"/>
            </w:tcBorders>
            <w:shd w:val="clear" w:color="auto" w:fill="auto"/>
            <w:noWrap/>
            <w:vAlign w:val="bottom"/>
            <w:hideMark/>
          </w:tcPr>
          <w:p w14:paraId="124E1477" w14:textId="77777777" w:rsidR="006D4F74" w:rsidRPr="00981364" w:rsidRDefault="006D4F74" w:rsidP="007C622B">
            <w:pPr>
              <w:jc w:val="right"/>
              <w:rPr>
                <w:color w:val="000000"/>
                <w:sz w:val="20"/>
                <w:szCs w:val="20"/>
              </w:rPr>
            </w:pPr>
            <w:r w:rsidRPr="00981364">
              <w:rPr>
                <w:color w:val="000000"/>
                <w:sz w:val="20"/>
                <w:szCs w:val="20"/>
              </w:rPr>
              <w:t xml:space="preserve">$2.29 </w:t>
            </w:r>
          </w:p>
        </w:tc>
        <w:tc>
          <w:tcPr>
            <w:tcW w:w="960" w:type="dxa"/>
            <w:tcBorders>
              <w:top w:val="nil"/>
              <w:left w:val="nil"/>
              <w:bottom w:val="single" w:sz="4" w:space="0" w:color="auto"/>
              <w:right w:val="single" w:sz="4" w:space="0" w:color="auto"/>
            </w:tcBorders>
            <w:shd w:val="clear" w:color="auto" w:fill="auto"/>
            <w:noWrap/>
            <w:vAlign w:val="bottom"/>
            <w:hideMark/>
          </w:tcPr>
          <w:p w14:paraId="5873CE21" w14:textId="77777777" w:rsidR="006D4F74" w:rsidRPr="00981364" w:rsidRDefault="006D4F74" w:rsidP="007C622B">
            <w:pPr>
              <w:jc w:val="right"/>
              <w:rPr>
                <w:color w:val="000000"/>
                <w:sz w:val="20"/>
                <w:szCs w:val="20"/>
              </w:rPr>
            </w:pPr>
            <w:r w:rsidRPr="00981364">
              <w:rPr>
                <w:color w:val="000000"/>
                <w:sz w:val="20"/>
                <w:szCs w:val="20"/>
              </w:rPr>
              <w:t>56.9%</w:t>
            </w:r>
          </w:p>
        </w:tc>
        <w:tc>
          <w:tcPr>
            <w:tcW w:w="1061" w:type="dxa"/>
            <w:tcBorders>
              <w:top w:val="nil"/>
              <w:left w:val="nil"/>
              <w:bottom w:val="single" w:sz="4" w:space="0" w:color="auto"/>
              <w:right w:val="single" w:sz="4" w:space="0" w:color="auto"/>
            </w:tcBorders>
            <w:shd w:val="clear" w:color="auto" w:fill="auto"/>
            <w:noWrap/>
            <w:vAlign w:val="bottom"/>
            <w:hideMark/>
          </w:tcPr>
          <w:p w14:paraId="6DB7AAF7" w14:textId="77777777" w:rsidR="006D4F74" w:rsidRPr="00981364" w:rsidRDefault="006D4F74" w:rsidP="007C622B">
            <w:pPr>
              <w:jc w:val="right"/>
              <w:rPr>
                <w:color w:val="000000"/>
                <w:sz w:val="20"/>
                <w:szCs w:val="20"/>
              </w:rPr>
            </w:pPr>
            <w:r w:rsidRPr="00981364">
              <w:rPr>
                <w:color w:val="000000"/>
                <w:sz w:val="20"/>
                <w:szCs w:val="20"/>
              </w:rPr>
              <w:t>27.4%</w:t>
            </w:r>
          </w:p>
        </w:tc>
        <w:tc>
          <w:tcPr>
            <w:tcW w:w="1039" w:type="dxa"/>
            <w:tcBorders>
              <w:top w:val="nil"/>
              <w:left w:val="nil"/>
              <w:bottom w:val="single" w:sz="4" w:space="0" w:color="auto"/>
              <w:right w:val="single" w:sz="4" w:space="0" w:color="auto"/>
            </w:tcBorders>
            <w:shd w:val="clear" w:color="auto" w:fill="auto"/>
            <w:noWrap/>
            <w:vAlign w:val="bottom"/>
            <w:hideMark/>
          </w:tcPr>
          <w:p w14:paraId="3A26C3E9" w14:textId="77777777" w:rsidR="006D4F74" w:rsidRPr="00981364" w:rsidRDefault="006D4F74" w:rsidP="007C622B">
            <w:pPr>
              <w:jc w:val="right"/>
              <w:rPr>
                <w:color w:val="000000"/>
                <w:sz w:val="20"/>
                <w:szCs w:val="20"/>
              </w:rPr>
            </w:pPr>
            <w:r w:rsidRPr="00981364">
              <w:rPr>
                <w:color w:val="000000"/>
                <w:sz w:val="20"/>
                <w:szCs w:val="20"/>
              </w:rPr>
              <w:t>$4.58</w:t>
            </w:r>
          </w:p>
        </w:tc>
      </w:tr>
      <w:tr w:rsidR="006D4F74" w14:paraId="1E0E189A" w14:textId="77777777" w:rsidTr="007C622B">
        <w:trPr>
          <w:trHeight w:hRule="exact" w:val="432"/>
        </w:trPr>
        <w:tc>
          <w:tcPr>
            <w:tcW w:w="8571" w:type="dxa"/>
            <w:gridSpan w:val="7"/>
            <w:tcBorders>
              <w:top w:val="nil"/>
              <w:left w:val="single" w:sz="4" w:space="0" w:color="auto"/>
              <w:bottom w:val="single" w:sz="4" w:space="0" w:color="auto"/>
              <w:right w:val="single" w:sz="4" w:space="0" w:color="auto"/>
            </w:tcBorders>
            <w:shd w:val="clear" w:color="auto" w:fill="auto"/>
            <w:noWrap/>
            <w:vAlign w:val="bottom"/>
          </w:tcPr>
          <w:p w14:paraId="554B3D7A" w14:textId="77777777" w:rsidR="006D4F74" w:rsidRPr="00981364" w:rsidRDefault="006D4F74" w:rsidP="007C622B">
            <w:pPr>
              <w:rPr>
                <w:b/>
                <w:color w:val="000000"/>
                <w:sz w:val="20"/>
                <w:szCs w:val="20"/>
              </w:rPr>
            </w:pPr>
            <w:r w:rsidRPr="00981364">
              <w:rPr>
                <w:b/>
                <w:color w:val="000000"/>
                <w:sz w:val="20"/>
                <w:szCs w:val="20"/>
              </w:rPr>
              <w:t>Weighted Driver Wage</w:t>
            </w:r>
          </w:p>
        </w:tc>
        <w:tc>
          <w:tcPr>
            <w:tcW w:w="1039" w:type="dxa"/>
            <w:tcBorders>
              <w:top w:val="nil"/>
              <w:left w:val="nil"/>
              <w:bottom w:val="single" w:sz="4" w:space="0" w:color="auto"/>
              <w:right w:val="single" w:sz="4" w:space="0" w:color="auto"/>
            </w:tcBorders>
            <w:shd w:val="clear" w:color="auto" w:fill="auto"/>
            <w:noWrap/>
            <w:vAlign w:val="bottom"/>
          </w:tcPr>
          <w:p w14:paraId="42825BF2" w14:textId="77777777" w:rsidR="006D4F74" w:rsidRPr="00981364" w:rsidRDefault="006D4F74" w:rsidP="007C622B">
            <w:pPr>
              <w:jc w:val="right"/>
              <w:rPr>
                <w:b/>
                <w:color w:val="000000"/>
                <w:sz w:val="20"/>
                <w:szCs w:val="20"/>
              </w:rPr>
            </w:pPr>
            <w:r w:rsidRPr="00981364">
              <w:rPr>
                <w:b/>
                <w:color w:val="000000"/>
                <w:sz w:val="20"/>
                <w:szCs w:val="20"/>
              </w:rPr>
              <w:t>$36.25</w:t>
            </w:r>
          </w:p>
        </w:tc>
      </w:tr>
    </w:tbl>
    <w:p w14:paraId="1DD27C94" w14:textId="77777777" w:rsidR="006D4F74" w:rsidRDefault="006D4F74" w:rsidP="006D4F74">
      <w:pPr>
        <w:autoSpaceDE w:val="0"/>
        <w:autoSpaceDN w:val="0"/>
        <w:adjustRightInd w:val="0"/>
        <w:rPr>
          <w:rFonts w:eastAsiaTheme="minorHAnsi"/>
        </w:rPr>
      </w:pPr>
    </w:p>
    <w:p w14:paraId="2F01E8D2" w14:textId="025B175A" w:rsidR="006D4F74" w:rsidRDefault="006D4F74" w:rsidP="006D4F74">
      <w:pPr>
        <w:autoSpaceDE w:val="0"/>
        <w:autoSpaceDN w:val="0"/>
        <w:adjustRightInd w:val="0"/>
        <w:rPr>
          <w:rFonts w:eastAsiaTheme="minorHAnsi"/>
        </w:rPr>
      </w:pPr>
      <w:r w:rsidRPr="00EE3552">
        <w:rPr>
          <w:rFonts w:eastAsiaTheme="minorHAnsi"/>
        </w:rPr>
        <w:t xml:space="preserve">Table </w:t>
      </w:r>
      <w:r w:rsidR="00C12058">
        <w:rPr>
          <w:rFonts w:eastAsiaTheme="minorHAnsi"/>
        </w:rPr>
        <w:t>7</w:t>
      </w:r>
      <w:r w:rsidRPr="00EE3552">
        <w:rPr>
          <w:rFonts w:eastAsiaTheme="minorHAnsi"/>
        </w:rPr>
        <w:t xml:space="preserve"> shows</w:t>
      </w:r>
      <w:r>
        <w:rPr>
          <w:rFonts w:eastAsiaTheme="minorHAnsi"/>
        </w:rPr>
        <w:t xml:space="preserve"> the annual and average burden hours and cost incurred by drivers to complete their electronic RODS. Based on a $36.25 hourly wage and average annual burden of </w:t>
      </w:r>
      <w:r w:rsidR="00110974">
        <w:rPr>
          <w:rFonts w:eastAsiaTheme="minorHAnsi"/>
        </w:rPr>
        <w:t xml:space="preserve">27.36 million </w:t>
      </w:r>
      <w:r>
        <w:rPr>
          <w:rFonts w:eastAsiaTheme="minorHAnsi"/>
        </w:rPr>
        <w:t>hours, the cost for drivers to complete electronic RODS is estimated at $991.6</w:t>
      </w:r>
      <w:r w:rsidR="00A4682C">
        <w:rPr>
          <w:rFonts w:eastAsiaTheme="minorHAnsi"/>
        </w:rPr>
        <w:t>8</w:t>
      </w:r>
      <w:r>
        <w:rPr>
          <w:rFonts w:eastAsiaTheme="minorHAnsi"/>
        </w:rPr>
        <w:t xml:space="preserve"> million ($991.6</w:t>
      </w:r>
      <w:r w:rsidR="00A4682C">
        <w:rPr>
          <w:rFonts w:eastAsiaTheme="minorHAnsi"/>
        </w:rPr>
        <w:t>8</w:t>
      </w:r>
      <w:r>
        <w:rPr>
          <w:rFonts w:eastAsiaTheme="minorHAnsi"/>
        </w:rPr>
        <w:t xml:space="preserve"> million = (27.36 </w:t>
      </w:r>
      <w:r w:rsidR="00110974">
        <w:rPr>
          <w:rFonts w:eastAsiaTheme="minorHAnsi"/>
        </w:rPr>
        <w:t xml:space="preserve">million hours </w:t>
      </w:r>
      <w:r>
        <w:rPr>
          <w:rFonts w:eastAsiaTheme="minorHAnsi"/>
        </w:rPr>
        <w:t>x $36.25</w:t>
      </w:r>
      <w:r w:rsidR="00110974">
        <w:rPr>
          <w:rFonts w:eastAsiaTheme="minorHAnsi"/>
        </w:rPr>
        <w:t xml:space="preserve"> per hour</w:t>
      </w:r>
      <w:r>
        <w:rPr>
          <w:rFonts w:eastAsiaTheme="minorHAnsi"/>
        </w:rPr>
        <w:t xml:space="preserve">, rounded to the nearest one hundred thousand).  </w:t>
      </w:r>
    </w:p>
    <w:tbl>
      <w:tblPr>
        <w:tblpPr w:leftFromText="5328" w:rightFromText="5328" w:topFromText="144" w:bottomFromText="144" w:vertAnchor="text" w:horzAnchor="margin" w:tblpXSpec="center" w:tblpY="262"/>
        <w:tblOverlap w:val="never"/>
        <w:tblW w:w="8200" w:type="dxa"/>
        <w:tblLook w:val="04A0" w:firstRow="1" w:lastRow="0" w:firstColumn="1" w:lastColumn="0" w:noHBand="0" w:noVBand="1"/>
      </w:tblPr>
      <w:tblGrid>
        <w:gridCol w:w="2250"/>
        <w:gridCol w:w="2970"/>
        <w:gridCol w:w="2980"/>
      </w:tblGrid>
      <w:tr w:rsidR="00110974" w:rsidRPr="00652687" w14:paraId="50D662CA" w14:textId="77777777" w:rsidTr="000C68FA">
        <w:trPr>
          <w:trHeight w:hRule="exact" w:val="216"/>
        </w:trPr>
        <w:tc>
          <w:tcPr>
            <w:tcW w:w="8200" w:type="dxa"/>
            <w:gridSpan w:val="3"/>
            <w:tcBorders>
              <w:bottom w:val="single" w:sz="4" w:space="0" w:color="auto"/>
            </w:tcBorders>
            <w:shd w:val="clear" w:color="auto" w:fill="auto"/>
            <w:noWrap/>
            <w:vAlign w:val="bottom"/>
          </w:tcPr>
          <w:p w14:paraId="066E4EEC" w14:textId="77777777" w:rsidR="00110974" w:rsidRPr="00E53890" w:rsidRDefault="00110974" w:rsidP="00110974">
            <w:pPr>
              <w:jc w:val="center"/>
              <w:rPr>
                <w:b/>
                <w:bCs/>
                <w:color w:val="000000"/>
                <w:sz w:val="20"/>
                <w:szCs w:val="20"/>
              </w:rPr>
            </w:pPr>
            <w:r>
              <w:rPr>
                <w:rFonts w:eastAsiaTheme="minorHAnsi"/>
                <w:b/>
                <w:bCs/>
                <w:color w:val="000000"/>
                <w:sz w:val="20"/>
                <w:szCs w:val="20"/>
              </w:rPr>
              <w:t xml:space="preserve">Table 7. </w:t>
            </w:r>
            <w:r w:rsidRPr="00E53890">
              <w:rPr>
                <w:rFonts w:eastAsiaTheme="minorHAnsi"/>
                <w:b/>
                <w:bCs/>
                <w:color w:val="000000"/>
                <w:sz w:val="20"/>
                <w:szCs w:val="20"/>
              </w:rPr>
              <w:t xml:space="preserve">Total Driver Burden Hours and Cost </w:t>
            </w:r>
          </w:p>
        </w:tc>
      </w:tr>
      <w:tr w:rsidR="00110974" w:rsidRPr="00652687" w14:paraId="54C7BE84" w14:textId="77777777" w:rsidTr="000C68FA">
        <w:trPr>
          <w:trHeight w:hRule="exact" w:val="576"/>
        </w:trPr>
        <w:tc>
          <w:tcPr>
            <w:tcW w:w="22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B98BBEB" w14:textId="77777777" w:rsidR="00110974" w:rsidRPr="00E53890" w:rsidRDefault="00110974" w:rsidP="00110974">
            <w:pPr>
              <w:rPr>
                <w:color w:val="000000"/>
                <w:sz w:val="20"/>
                <w:szCs w:val="20"/>
              </w:rPr>
            </w:pPr>
            <w:r w:rsidRPr="00E53890">
              <w:rPr>
                <w:color w:val="000000"/>
                <w:sz w:val="20"/>
                <w:szCs w:val="20"/>
              </w:rPr>
              <w:t> </w:t>
            </w:r>
          </w:p>
        </w:tc>
        <w:tc>
          <w:tcPr>
            <w:tcW w:w="297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D6E0CB9" w14:textId="77777777" w:rsidR="00110974" w:rsidRPr="00E53890" w:rsidRDefault="00110974" w:rsidP="00110974">
            <w:pPr>
              <w:jc w:val="center"/>
              <w:rPr>
                <w:b/>
                <w:bCs/>
                <w:color w:val="000000"/>
                <w:sz w:val="20"/>
                <w:szCs w:val="20"/>
              </w:rPr>
            </w:pPr>
            <w:r w:rsidRPr="00E53890">
              <w:rPr>
                <w:b/>
                <w:bCs/>
                <w:color w:val="000000"/>
                <w:sz w:val="20"/>
                <w:szCs w:val="20"/>
              </w:rPr>
              <w:t>Burden Hours</w:t>
            </w:r>
            <w:r>
              <w:rPr>
                <w:b/>
                <w:bCs/>
                <w:color w:val="000000"/>
                <w:sz w:val="20"/>
                <w:szCs w:val="20"/>
              </w:rPr>
              <w:br/>
            </w:r>
            <w:r w:rsidRPr="00E53890">
              <w:rPr>
                <w:b/>
                <w:bCs/>
                <w:color w:val="000000"/>
                <w:sz w:val="20"/>
                <w:szCs w:val="20"/>
              </w:rPr>
              <w:t xml:space="preserve"> </w:t>
            </w:r>
            <w:r>
              <w:rPr>
                <w:b/>
                <w:bCs/>
                <w:color w:val="000000"/>
                <w:sz w:val="20"/>
                <w:szCs w:val="20"/>
              </w:rPr>
              <w:t>(millions)</w:t>
            </w:r>
          </w:p>
        </w:tc>
        <w:tc>
          <w:tcPr>
            <w:tcW w:w="2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1EAF3B1" w14:textId="77777777" w:rsidR="00110974" w:rsidRPr="00E53890" w:rsidRDefault="00110974" w:rsidP="00110974">
            <w:pPr>
              <w:jc w:val="center"/>
              <w:rPr>
                <w:b/>
                <w:bCs/>
                <w:color w:val="000000"/>
                <w:sz w:val="20"/>
                <w:szCs w:val="20"/>
              </w:rPr>
            </w:pPr>
            <w:r w:rsidRPr="00E53890">
              <w:rPr>
                <w:b/>
                <w:bCs/>
                <w:color w:val="000000"/>
                <w:sz w:val="20"/>
                <w:szCs w:val="20"/>
              </w:rPr>
              <w:t>Total Cost</w:t>
            </w:r>
          </w:p>
          <w:p w14:paraId="6D93A903" w14:textId="77777777" w:rsidR="00110974" w:rsidRPr="00E53890" w:rsidRDefault="00110974" w:rsidP="00110974">
            <w:pPr>
              <w:jc w:val="center"/>
              <w:rPr>
                <w:b/>
                <w:bCs/>
                <w:color w:val="000000"/>
                <w:sz w:val="20"/>
                <w:szCs w:val="20"/>
              </w:rPr>
            </w:pPr>
            <w:r w:rsidRPr="00E53890">
              <w:rPr>
                <w:b/>
                <w:bCs/>
                <w:color w:val="000000"/>
                <w:sz w:val="20"/>
                <w:szCs w:val="20"/>
              </w:rPr>
              <w:t xml:space="preserve"> ($ </w:t>
            </w:r>
            <w:r>
              <w:rPr>
                <w:b/>
                <w:bCs/>
                <w:color w:val="000000"/>
                <w:sz w:val="20"/>
                <w:szCs w:val="20"/>
              </w:rPr>
              <w:t>m</w:t>
            </w:r>
            <w:r w:rsidRPr="00E53890">
              <w:rPr>
                <w:b/>
                <w:bCs/>
                <w:color w:val="000000"/>
                <w:sz w:val="20"/>
                <w:szCs w:val="20"/>
              </w:rPr>
              <w:t>illion</w:t>
            </w:r>
            <w:r>
              <w:rPr>
                <w:b/>
                <w:bCs/>
                <w:color w:val="000000"/>
                <w:sz w:val="20"/>
                <w:szCs w:val="20"/>
              </w:rPr>
              <w:t>s</w:t>
            </w:r>
            <w:r w:rsidRPr="00E53890">
              <w:rPr>
                <w:b/>
                <w:bCs/>
                <w:color w:val="000000"/>
                <w:sz w:val="20"/>
                <w:szCs w:val="20"/>
              </w:rPr>
              <w:t>)</w:t>
            </w:r>
          </w:p>
        </w:tc>
      </w:tr>
      <w:tr w:rsidR="002F66AC" w:rsidRPr="00652687" w14:paraId="118CFA33" w14:textId="77777777" w:rsidTr="00A4682C">
        <w:trPr>
          <w:trHeight w:hRule="exact" w:val="288"/>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4B37C" w14:textId="77777777" w:rsidR="00A4682C" w:rsidRPr="006A0DBE" w:rsidRDefault="00A4682C" w:rsidP="00A4682C">
            <w:pPr>
              <w:jc w:val="center"/>
              <w:rPr>
                <w:bCs/>
                <w:color w:val="000000"/>
                <w:sz w:val="20"/>
                <w:szCs w:val="20"/>
              </w:rPr>
            </w:pPr>
            <w:r w:rsidRPr="006A0DBE">
              <w:rPr>
                <w:bCs/>
                <w:color w:val="000000"/>
                <w:sz w:val="20"/>
                <w:szCs w:val="20"/>
              </w:rPr>
              <w:t>Year 1</w:t>
            </w:r>
          </w:p>
        </w:tc>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6543F" w14:textId="77777777" w:rsidR="00A4682C" w:rsidRPr="008C2D2A" w:rsidRDefault="00A4682C" w:rsidP="00A4682C">
            <w:pPr>
              <w:jc w:val="center"/>
              <w:rPr>
                <w:color w:val="000000"/>
                <w:sz w:val="20"/>
                <w:szCs w:val="20"/>
              </w:rPr>
            </w:pPr>
            <w:r w:rsidRPr="008C2D2A">
              <w:rPr>
                <w:sz w:val="20"/>
                <w:szCs w:val="20"/>
              </w:rPr>
              <w:t>27.19</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AB134" w14:textId="77777777" w:rsidR="00A4682C" w:rsidRPr="002F66AC" w:rsidRDefault="00A4682C" w:rsidP="00A4682C">
            <w:pPr>
              <w:jc w:val="center"/>
              <w:rPr>
                <w:color w:val="000000"/>
                <w:sz w:val="20"/>
                <w:szCs w:val="20"/>
              </w:rPr>
            </w:pPr>
            <w:r w:rsidRPr="000C68FA">
              <w:rPr>
                <w:sz w:val="20"/>
                <w:szCs w:val="20"/>
              </w:rPr>
              <w:t>$985.64</w:t>
            </w:r>
          </w:p>
        </w:tc>
      </w:tr>
      <w:tr w:rsidR="002F66AC" w:rsidRPr="00652687" w14:paraId="3386F610" w14:textId="77777777" w:rsidTr="00A4682C">
        <w:trPr>
          <w:trHeight w:hRule="exact" w:val="288"/>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735FD" w14:textId="77777777" w:rsidR="00A4682C" w:rsidRPr="006A0DBE" w:rsidRDefault="00A4682C" w:rsidP="00A4682C">
            <w:pPr>
              <w:jc w:val="center"/>
              <w:rPr>
                <w:bCs/>
                <w:color w:val="000000"/>
                <w:sz w:val="20"/>
                <w:szCs w:val="20"/>
              </w:rPr>
            </w:pPr>
            <w:r w:rsidRPr="006A0DBE">
              <w:rPr>
                <w:bCs/>
                <w:color w:val="000000"/>
                <w:sz w:val="20"/>
                <w:szCs w:val="20"/>
              </w:rPr>
              <w:t>Year 2</w:t>
            </w:r>
          </w:p>
        </w:tc>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F2557" w14:textId="77777777" w:rsidR="00A4682C" w:rsidRPr="008C2D2A" w:rsidRDefault="00A4682C" w:rsidP="00A4682C">
            <w:pPr>
              <w:jc w:val="center"/>
              <w:rPr>
                <w:color w:val="000000"/>
                <w:sz w:val="20"/>
                <w:szCs w:val="20"/>
              </w:rPr>
            </w:pPr>
            <w:r w:rsidRPr="008C2D2A">
              <w:rPr>
                <w:sz w:val="20"/>
                <w:szCs w:val="20"/>
              </w:rPr>
              <w:t>27.36</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8732A" w14:textId="77777777" w:rsidR="00A4682C" w:rsidRPr="002F66AC" w:rsidRDefault="00A4682C" w:rsidP="00A4682C">
            <w:pPr>
              <w:jc w:val="center"/>
              <w:rPr>
                <w:color w:val="000000"/>
                <w:sz w:val="20"/>
                <w:szCs w:val="20"/>
              </w:rPr>
            </w:pPr>
            <w:r w:rsidRPr="000C68FA">
              <w:rPr>
                <w:sz w:val="20"/>
                <w:szCs w:val="20"/>
              </w:rPr>
              <w:t>$991.80</w:t>
            </w:r>
          </w:p>
        </w:tc>
      </w:tr>
      <w:tr w:rsidR="002F66AC" w:rsidRPr="00652687" w14:paraId="53A9022F" w14:textId="77777777" w:rsidTr="00A4682C">
        <w:trPr>
          <w:trHeight w:hRule="exact" w:val="288"/>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A9B8D" w14:textId="77777777" w:rsidR="00A4682C" w:rsidRPr="006A0DBE" w:rsidRDefault="00A4682C" w:rsidP="00A4682C">
            <w:pPr>
              <w:jc w:val="center"/>
              <w:rPr>
                <w:bCs/>
                <w:color w:val="000000"/>
                <w:sz w:val="20"/>
                <w:szCs w:val="20"/>
              </w:rPr>
            </w:pPr>
            <w:r w:rsidRPr="006A0DBE">
              <w:rPr>
                <w:bCs/>
                <w:color w:val="000000"/>
                <w:sz w:val="20"/>
                <w:szCs w:val="20"/>
              </w:rPr>
              <w:t>Year 3</w:t>
            </w:r>
          </w:p>
        </w:tc>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E64F6" w14:textId="77777777" w:rsidR="00A4682C" w:rsidRPr="008C2D2A" w:rsidRDefault="00A4682C" w:rsidP="00A4682C">
            <w:pPr>
              <w:jc w:val="center"/>
              <w:rPr>
                <w:color w:val="000000"/>
                <w:sz w:val="20"/>
                <w:szCs w:val="20"/>
              </w:rPr>
            </w:pPr>
            <w:r w:rsidRPr="008C2D2A">
              <w:rPr>
                <w:sz w:val="20"/>
                <w:szCs w:val="20"/>
              </w:rPr>
              <w:t>27.52</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40B0F" w14:textId="77777777" w:rsidR="00A4682C" w:rsidRPr="002F66AC" w:rsidRDefault="00A4682C" w:rsidP="00A4682C">
            <w:pPr>
              <w:jc w:val="center"/>
              <w:rPr>
                <w:color w:val="000000"/>
                <w:sz w:val="20"/>
                <w:szCs w:val="20"/>
              </w:rPr>
            </w:pPr>
            <w:r w:rsidRPr="000C68FA">
              <w:rPr>
                <w:sz w:val="20"/>
                <w:szCs w:val="20"/>
              </w:rPr>
              <w:t>$997.60</w:t>
            </w:r>
          </w:p>
        </w:tc>
      </w:tr>
      <w:tr w:rsidR="002F66AC" w:rsidRPr="00652687" w14:paraId="710EBB41" w14:textId="77777777" w:rsidTr="00A4682C">
        <w:trPr>
          <w:trHeight w:hRule="exact" w:val="288"/>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A6B5" w14:textId="77777777" w:rsidR="00A4682C" w:rsidRPr="00E53890" w:rsidRDefault="00A4682C" w:rsidP="00A4682C">
            <w:pPr>
              <w:jc w:val="center"/>
              <w:rPr>
                <w:b/>
                <w:bCs/>
                <w:color w:val="000000"/>
                <w:sz w:val="20"/>
                <w:szCs w:val="20"/>
              </w:rPr>
            </w:pPr>
            <w:r w:rsidRPr="00E53890">
              <w:rPr>
                <w:b/>
                <w:bCs/>
                <w:color w:val="000000"/>
                <w:sz w:val="20"/>
                <w:szCs w:val="20"/>
              </w:rPr>
              <w:t>Average</w:t>
            </w:r>
          </w:p>
        </w:tc>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93B3A" w14:textId="77777777" w:rsidR="00A4682C" w:rsidRPr="008C2D2A" w:rsidRDefault="00A4682C" w:rsidP="00A4682C">
            <w:pPr>
              <w:jc w:val="center"/>
              <w:rPr>
                <w:color w:val="000000"/>
                <w:sz w:val="20"/>
                <w:szCs w:val="20"/>
              </w:rPr>
            </w:pPr>
            <w:r w:rsidRPr="008C2D2A">
              <w:rPr>
                <w:sz w:val="20"/>
                <w:szCs w:val="20"/>
              </w:rPr>
              <w:t>27.36</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2193B" w14:textId="77777777" w:rsidR="00A4682C" w:rsidRPr="002F66AC" w:rsidRDefault="00A4682C" w:rsidP="00A4682C">
            <w:pPr>
              <w:jc w:val="center"/>
              <w:rPr>
                <w:color w:val="000000"/>
                <w:sz w:val="20"/>
                <w:szCs w:val="20"/>
              </w:rPr>
            </w:pPr>
            <w:r w:rsidRPr="000C68FA">
              <w:rPr>
                <w:sz w:val="20"/>
                <w:szCs w:val="20"/>
              </w:rPr>
              <w:t>$991.68</w:t>
            </w:r>
          </w:p>
        </w:tc>
      </w:tr>
    </w:tbl>
    <w:p w14:paraId="7C9B19FB" w14:textId="77777777" w:rsidR="00224432" w:rsidRDefault="00224432" w:rsidP="00224432">
      <w:pPr>
        <w:spacing w:after="120"/>
        <w:rPr>
          <w:i/>
        </w:rPr>
      </w:pPr>
      <w:r w:rsidRPr="00C50FCC">
        <w:rPr>
          <w:i/>
        </w:rPr>
        <w:t>Mon</w:t>
      </w:r>
      <w:r>
        <w:rPr>
          <w:i/>
        </w:rPr>
        <w:t>e</w:t>
      </w:r>
      <w:r w:rsidRPr="00C50FCC">
        <w:rPr>
          <w:i/>
        </w:rPr>
        <w:t xml:space="preserve">tized value of </w:t>
      </w:r>
      <w:r>
        <w:rPr>
          <w:i/>
        </w:rPr>
        <w:t>motor carriers</w:t>
      </w:r>
      <w:r w:rsidR="00E35EB9">
        <w:rPr>
          <w:i/>
        </w:rPr>
        <w:t>’</w:t>
      </w:r>
      <w:r>
        <w:rPr>
          <w:i/>
        </w:rPr>
        <w:t xml:space="preserve"> burden hours</w:t>
      </w:r>
    </w:p>
    <w:p w14:paraId="65409D08" w14:textId="0E00E9A1" w:rsidR="0065594C" w:rsidRDefault="00224432" w:rsidP="00E35EB9">
      <w:pPr>
        <w:rPr>
          <w:color w:val="000000"/>
        </w:rPr>
      </w:pPr>
      <w:r>
        <w:t xml:space="preserve">The average </w:t>
      </w:r>
      <w:r w:rsidR="00AC3514">
        <w:t xml:space="preserve">annual </w:t>
      </w:r>
      <w:r>
        <w:t xml:space="preserve">burden hours incurred by motor carriers to review 50 percent of </w:t>
      </w:r>
      <w:r w:rsidR="00AC3514">
        <w:t xml:space="preserve">all </w:t>
      </w:r>
      <w:r>
        <w:t xml:space="preserve">RODS is estimated at </w:t>
      </w:r>
      <w:r w:rsidR="00E35EB9">
        <w:t xml:space="preserve">13.68 million hours. These burden hours are monetized using the BLS OES median wage for </w:t>
      </w:r>
      <w:r w:rsidR="00E35EB9" w:rsidRPr="000C68FA">
        <w:rPr>
          <w:color w:val="000000"/>
        </w:rPr>
        <w:t>Bookkeeping Accounting and Auditing Clerk</w:t>
      </w:r>
      <w:r w:rsidR="00E35EB9">
        <w:rPr>
          <w:color w:val="000000"/>
        </w:rPr>
        <w:t xml:space="preserve"> of $18.87 per hour. Fringe benefits and motor carrier overhead </w:t>
      </w:r>
      <w:r w:rsidR="00E61F90">
        <w:rPr>
          <w:color w:val="000000"/>
        </w:rPr>
        <w:t xml:space="preserve">are calculated </w:t>
      </w:r>
      <w:r w:rsidR="00E35EB9">
        <w:rPr>
          <w:color w:val="000000"/>
        </w:rPr>
        <w:t xml:space="preserve">at the same rates used to estimate the hourly wage for drivers shown in Table 7. This results in an average hourly </w:t>
      </w:r>
      <w:r w:rsidR="001B6C85">
        <w:rPr>
          <w:color w:val="000000"/>
        </w:rPr>
        <w:t xml:space="preserve">wage </w:t>
      </w:r>
      <w:r w:rsidR="00E35EB9">
        <w:rPr>
          <w:color w:val="000000"/>
        </w:rPr>
        <w:t>of $37.73 per hour. Thus, the monetized value of motor carriers’ burden hours is estimated at $516.</w:t>
      </w:r>
      <w:r w:rsidR="00A4682C">
        <w:rPr>
          <w:color w:val="000000"/>
        </w:rPr>
        <w:t>07</w:t>
      </w:r>
      <w:r w:rsidR="00E35EB9">
        <w:rPr>
          <w:color w:val="000000"/>
        </w:rPr>
        <w:t xml:space="preserve"> million</w:t>
      </w:r>
      <w:r w:rsidR="0065594C">
        <w:rPr>
          <w:color w:val="000000"/>
        </w:rPr>
        <w:t>, as shown in Table 8.</w:t>
      </w:r>
    </w:p>
    <w:p w14:paraId="7AD516A4" w14:textId="000B8190" w:rsidR="00AC3514" w:rsidRDefault="00AC3514">
      <w:pPr>
        <w:rPr>
          <w:color w:val="000000"/>
        </w:rPr>
      </w:pPr>
    </w:p>
    <w:tbl>
      <w:tblPr>
        <w:tblW w:w="4752" w:type="dxa"/>
        <w:jc w:val="center"/>
        <w:tblLook w:val="04A0" w:firstRow="1" w:lastRow="0" w:firstColumn="1" w:lastColumn="0" w:noHBand="0" w:noVBand="1"/>
      </w:tblPr>
      <w:tblGrid>
        <w:gridCol w:w="1491"/>
        <w:gridCol w:w="1412"/>
        <w:gridCol w:w="1849"/>
      </w:tblGrid>
      <w:tr w:rsidR="0065594C" w14:paraId="37FE99AD" w14:textId="77777777" w:rsidTr="000C68FA">
        <w:trPr>
          <w:trHeight w:hRule="exact" w:val="288"/>
          <w:jc w:val="center"/>
        </w:trPr>
        <w:tc>
          <w:tcPr>
            <w:tcW w:w="4752" w:type="dxa"/>
            <w:gridSpan w:val="3"/>
            <w:tcBorders>
              <w:bottom w:val="single" w:sz="4" w:space="0" w:color="auto"/>
            </w:tcBorders>
            <w:shd w:val="clear" w:color="auto" w:fill="auto"/>
            <w:noWrap/>
            <w:vAlign w:val="center"/>
            <w:hideMark/>
          </w:tcPr>
          <w:p w14:paraId="5BD29081" w14:textId="77777777" w:rsidR="0065594C" w:rsidRDefault="00AC3514">
            <w:pPr>
              <w:jc w:val="center"/>
              <w:rPr>
                <w:b/>
                <w:bCs/>
                <w:color w:val="000000"/>
                <w:sz w:val="18"/>
                <w:szCs w:val="18"/>
              </w:rPr>
            </w:pPr>
            <w:r>
              <w:rPr>
                <w:b/>
                <w:bCs/>
                <w:color w:val="000000"/>
                <w:sz w:val="18"/>
                <w:szCs w:val="18"/>
              </w:rPr>
              <w:t>Table 8.</w:t>
            </w:r>
            <w:r w:rsidR="0065594C">
              <w:rPr>
                <w:b/>
                <w:bCs/>
                <w:color w:val="000000"/>
                <w:sz w:val="18"/>
                <w:szCs w:val="18"/>
              </w:rPr>
              <w:t xml:space="preserve"> Motor Carrier Total Burden Hours and Cost </w:t>
            </w:r>
          </w:p>
        </w:tc>
      </w:tr>
      <w:tr w:rsidR="00AC3514" w14:paraId="3B2987F7" w14:textId="77777777" w:rsidTr="000C68FA">
        <w:trPr>
          <w:trHeight w:val="710"/>
          <w:jc w:val="center"/>
        </w:trPr>
        <w:tc>
          <w:tcPr>
            <w:tcW w:w="149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5A6281" w14:textId="77777777" w:rsidR="0065594C" w:rsidRDefault="0065594C">
            <w:pPr>
              <w:rPr>
                <w:color w:val="000000"/>
                <w:sz w:val="18"/>
                <w:szCs w:val="18"/>
              </w:rPr>
            </w:pPr>
            <w:r>
              <w:rPr>
                <w:color w:val="000000"/>
                <w:sz w:val="18"/>
                <w:szCs w:val="18"/>
              </w:rPr>
              <w:t> </w:t>
            </w:r>
          </w:p>
        </w:tc>
        <w:tc>
          <w:tcPr>
            <w:tcW w:w="1412" w:type="dxa"/>
            <w:tcBorders>
              <w:top w:val="single" w:sz="4" w:space="0" w:color="auto"/>
              <w:left w:val="nil"/>
              <w:bottom w:val="single" w:sz="4" w:space="0" w:color="auto"/>
              <w:right w:val="single" w:sz="4" w:space="0" w:color="auto"/>
            </w:tcBorders>
            <w:shd w:val="clear" w:color="000000" w:fill="D9D9D9"/>
            <w:vAlign w:val="bottom"/>
            <w:hideMark/>
          </w:tcPr>
          <w:p w14:paraId="4F81D4D7" w14:textId="77777777" w:rsidR="0065594C" w:rsidRDefault="0065594C">
            <w:pPr>
              <w:jc w:val="center"/>
              <w:rPr>
                <w:b/>
                <w:bCs/>
                <w:color w:val="000000"/>
                <w:sz w:val="18"/>
                <w:szCs w:val="18"/>
              </w:rPr>
            </w:pPr>
            <w:r>
              <w:rPr>
                <w:b/>
                <w:bCs/>
                <w:color w:val="000000"/>
                <w:sz w:val="18"/>
                <w:szCs w:val="18"/>
              </w:rPr>
              <w:t>Burden Hours (millions)</w:t>
            </w:r>
          </w:p>
        </w:tc>
        <w:tc>
          <w:tcPr>
            <w:tcW w:w="1849" w:type="dxa"/>
            <w:tcBorders>
              <w:top w:val="single" w:sz="4" w:space="0" w:color="auto"/>
              <w:left w:val="nil"/>
              <w:bottom w:val="single" w:sz="4" w:space="0" w:color="auto"/>
              <w:right w:val="single" w:sz="4" w:space="0" w:color="auto"/>
            </w:tcBorders>
            <w:shd w:val="clear" w:color="000000" w:fill="D9D9D9"/>
            <w:vAlign w:val="bottom"/>
            <w:hideMark/>
          </w:tcPr>
          <w:p w14:paraId="42CF1E1D" w14:textId="77777777" w:rsidR="004C2B90" w:rsidRDefault="0065594C">
            <w:pPr>
              <w:jc w:val="center"/>
              <w:rPr>
                <w:b/>
                <w:bCs/>
                <w:color w:val="000000"/>
                <w:sz w:val="18"/>
                <w:szCs w:val="18"/>
              </w:rPr>
            </w:pPr>
            <w:r>
              <w:rPr>
                <w:b/>
                <w:bCs/>
                <w:color w:val="000000"/>
                <w:sz w:val="18"/>
                <w:szCs w:val="18"/>
              </w:rPr>
              <w:t xml:space="preserve">Total Cost </w:t>
            </w:r>
          </w:p>
          <w:p w14:paraId="1EC3087E" w14:textId="77777777" w:rsidR="0065594C" w:rsidRDefault="0065594C">
            <w:pPr>
              <w:jc w:val="center"/>
              <w:rPr>
                <w:b/>
                <w:bCs/>
                <w:color w:val="000000"/>
                <w:sz w:val="18"/>
                <w:szCs w:val="18"/>
              </w:rPr>
            </w:pPr>
            <w:r>
              <w:rPr>
                <w:b/>
                <w:bCs/>
                <w:color w:val="000000"/>
                <w:sz w:val="18"/>
                <w:szCs w:val="18"/>
              </w:rPr>
              <w:t xml:space="preserve"> ($</w:t>
            </w:r>
            <w:r w:rsidR="004C2B90">
              <w:rPr>
                <w:b/>
                <w:bCs/>
                <w:color w:val="000000"/>
                <w:sz w:val="18"/>
                <w:szCs w:val="18"/>
              </w:rPr>
              <w:t xml:space="preserve"> </w:t>
            </w:r>
            <w:r>
              <w:rPr>
                <w:b/>
                <w:bCs/>
                <w:color w:val="000000"/>
                <w:sz w:val="18"/>
                <w:szCs w:val="18"/>
              </w:rPr>
              <w:t>m</w:t>
            </w:r>
            <w:r w:rsidR="00AC3514">
              <w:rPr>
                <w:b/>
                <w:bCs/>
                <w:color w:val="000000"/>
                <w:sz w:val="18"/>
                <w:szCs w:val="18"/>
              </w:rPr>
              <w:t>i</w:t>
            </w:r>
            <w:r>
              <w:rPr>
                <w:b/>
                <w:bCs/>
                <w:color w:val="000000"/>
                <w:sz w:val="18"/>
                <w:szCs w:val="18"/>
              </w:rPr>
              <w:t>llions)</w:t>
            </w:r>
          </w:p>
        </w:tc>
      </w:tr>
      <w:tr w:rsidR="00A4682C" w14:paraId="1A709DB8" w14:textId="77777777" w:rsidTr="000C68FA">
        <w:trPr>
          <w:trHeight w:val="255"/>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14:paraId="4351DF6E" w14:textId="77777777" w:rsidR="00A4682C" w:rsidRPr="000C68FA" w:rsidRDefault="00A4682C" w:rsidP="000C68FA">
            <w:pPr>
              <w:jc w:val="center"/>
              <w:rPr>
                <w:bCs/>
                <w:color w:val="000000"/>
                <w:sz w:val="18"/>
                <w:szCs w:val="18"/>
              </w:rPr>
            </w:pPr>
            <w:r w:rsidRPr="000C68FA">
              <w:rPr>
                <w:bCs/>
                <w:color w:val="000000"/>
                <w:sz w:val="18"/>
                <w:szCs w:val="18"/>
              </w:rPr>
              <w:t>Year 1</w:t>
            </w:r>
          </w:p>
        </w:tc>
        <w:tc>
          <w:tcPr>
            <w:tcW w:w="1412" w:type="dxa"/>
            <w:tcBorders>
              <w:top w:val="nil"/>
              <w:left w:val="nil"/>
              <w:bottom w:val="single" w:sz="4" w:space="0" w:color="auto"/>
              <w:right w:val="single" w:sz="4" w:space="0" w:color="auto"/>
            </w:tcBorders>
            <w:shd w:val="clear" w:color="auto" w:fill="auto"/>
            <w:noWrap/>
            <w:vAlign w:val="bottom"/>
            <w:hideMark/>
          </w:tcPr>
          <w:p w14:paraId="36F54A7D" w14:textId="77777777" w:rsidR="00A4682C" w:rsidRDefault="00A4682C" w:rsidP="00A4682C">
            <w:pPr>
              <w:jc w:val="center"/>
              <w:rPr>
                <w:color w:val="000000"/>
                <w:sz w:val="18"/>
                <w:szCs w:val="18"/>
              </w:rPr>
            </w:pPr>
            <w:r>
              <w:rPr>
                <w:color w:val="000000"/>
                <w:sz w:val="18"/>
                <w:szCs w:val="18"/>
              </w:rPr>
              <w:t>13.60</w:t>
            </w:r>
          </w:p>
        </w:tc>
        <w:tc>
          <w:tcPr>
            <w:tcW w:w="1849" w:type="dxa"/>
            <w:tcBorders>
              <w:top w:val="nil"/>
              <w:left w:val="nil"/>
              <w:bottom w:val="single" w:sz="4" w:space="0" w:color="auto"/>
              <w:right w:val="single" w:sz="4" w:space="0" w:color="auto"/>
            </w:tcBorders>
            <w:shd w:val="clear" w:color="auto" w:fill="auto"/>
            <w:noWrap/>
            <w:vAlign w:val="bottom"/>
          </w:tcPr>
          <w:p w14:paraId="7B377AD8" w14:textId="577D33C3" w:rsidR="00A4682C" w:rsidRPr="000C68FA" w:rsidRDefault="00A4682C" w:rsidP="00A4682C">
            <w:pPr>
              <w:jc w:val="center"/>
              <w:rPr>
                <w:color w:val="000000"/>
                <w:sz w:val="20"/>
                <w:szCs w:val="20"/>
              </w:rPr>
            </w:pPr>
            <w:r w:rsidRPr="000C68FA">
              <w:rPr>
                <w:sz w:val="20"/>
                <w:szCs w:val="20"/>
              </w:rPr>
              <w:t>$513.01</w:t>
            </w:r>
          </w:p>
        </w:tc>
      </w:tr>
      <w:tr w:rsidR="00A4682C" w14:paraId="129346FD" w14:textId="77777777" w:rsidTr="000C68FA">
        <w:trPr>
          <w:trHeight w:val="255"/>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14:paraId="6D5F4906" w14:textId="77777777" w:rsidR="00A4682C" w:rsidRPr="000C68FA" w:rsidRDefault="00A4682C" w:rsidP="000C68FA">
            <w:pPr>
              <w:jc w:val="center"/>
              <w:rPr>
                <w:bCs/>
                <w:color w:val="000000"/>
                <w:sz w:val="18"/>
                <w:szCs w:val="18"/>
              </w:rPr>
            </w:pPr>
            <w:r w:rsidRPr="000C68FA">
              <w:rPr>
                <w:bCs/>
                <w:color w:val="000000"/>
                <w:sz w:val="18"/>
                <w:szCs w:val="18"/>
              </w:rPr>
              <w:t>Year 2</w:t>
            </w:r>
          </w:p>
        </w:tc>
        <w:tc>
          <w:tcPr>
            <w:tcW w:w="1412" w:type="dxa"/>
            <w:tcBorders>
              <w:top w:val="nil"/>
              <w:left w:val="nil"/>
              <w:bottom w:val="single" w:sz="4" w:space="0" w:color="auto"/>
              <w:right w:val="single" w:sz="4" w:space="0" w:color="auto"/>
            </w:tcBorders>
            <w:shd w:val="clear" w:color="auto" w:fill="auto"/>
            <w:noWrap/>
            <w:vAlign w:val="bottom"/>
            <w:hideMark/>
          </w:tcPr>
          <w:p w14:paraId="7B815952" w14:textId="77777777" w:rsidR="00A4682C" w:rsidRDefault="00A4682C" w:rsidP="00A4682C">
            <w:pPr>
              <w:jc w:val="center"/>
              <w:rPr>
                <w:color w:val="000000"/>
                <w:sz w:val="18"/>
                <w:szCs w:val="18"/>
              </w:rPr>
            </w:pPr>
            <w:r>
              <w:rPr>
                <w:color w:val="000000"/>
                <w:sz w:val="18"/>
                <w:szCs w:val="18"/>
              </w:rPr>
              <w:t>13.68</w:t>
            </w:r>
          </w:p>
        </w:tc>
        <w:tc>
          <w:tcPr>
            <w:tcW w:w="1849" w:type="dxa"/>
            <w:tcBorders>
              <w:top w:val="nil"/>
              <w:left w:val="nil"/>
              <w:bottom w:val="single" w:sz="4" w:space="0" w:color="auto"/>
              <w:right w:val="single" w:sz="4" w:space="0" w:color="auto"/>
            </w:tcBorders>
            <w:shd w:val="clear" w:color="auto" w:fill="auto"/>
            <w:noWrap/>
            <w:vAlign w:val="bottom"/>
          </w:tcPr>
          <w:p w14:paraId="2C4C9F98" w14:textId="79379C13" w:rsidR="00A4682C" w:rsidRPr="000C68FA" w:rsidRDefault="00A4682C" w:rsidP="00A4682C">
            <w:pPr>
              <w:jc w:val="center"/>
              <w:rPr>
                <w:color w:val="000000"/>
                <w:sz w:val="20"/>
                <w:szCs w:val="20"/>
              </w:rPr>
            </w:pPr>
            <w:r w:rsidRPr="000C68FA">
              <w:rPr>
                <w:sz w:val="20"/>
                <w:szCs w:val="20"/>
              </w:rPr>
              <w:t>$516.06</w:t>
            </w:r>
          </w:p>
        </w:tc>
      </w:tr>
      <w:tr w:rsidR="00A4682C" w14:paraId="7D849CC5" w14:textId="77777777" w:rsidTr="000C68FA">
        <w:trPr>
          <w:trHeight w:val="255"/>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14:paraId="3717174D" w14:textId="77777777" w:rsidR="00A4682C" w:rsidRPr="000C68FA" w:rsidRDefault="00A4682C" w:rsidP="000C68FA">
            <w:pPr>
              <w:jc w:val="center"/>
              <w:rPr>
                <w:bCs/>
                <w:color w:val="000000"/>
                <w:sz w:val="18"/>
                <w:szCs w:val="18"/>
              </w:rPr>
            </w:pPr>
            <w:r w:rsidRPr="000C68FA">
              <w:rPr>
                <w:bCs/>
                <w:color w:val="000000"/>
                <w:sz w:val="18"/>
                <w:szCs w:val="18"/>
              </w:rPr>
              <w:t>Year 3</w:t>
            </w:r>
          </w:p>
        </w:tc>
        <w:tc>
          <w:tcPr>
            <w:tcW w:w="1412" w:type="dxa"/>
            <w:tcBorders>
              <w:top w:val="nil"/>
              <w:left w:val="nil"/>
              <w:bottom w:val="single" w:sz="4" w:space="0" w:color="auto"/>
              <w:right w:val="single" w:sz="4" w:space="0" w:color="auto"/>
            </w:tcBorders>
            <w:shd w:val="clear" w:color="auto" w:fill="auto"/>
            <w:noWrap/>
            <w:vAlign w:val="bottom"/>
            <w:hideMark/>
          </w:tcPr>
          <w:p w14:paraId="0BE5B214" w14:textId="77777777" w:rsidR="00A4682C" w:rsidRDefault="00A4682C" w:rsidP="00A4682C">
            <w:pPr>
              <w:jc w:val="center"/>
              <w:rPr>
                <w:color w:val="000000"/>
                <w:sz w:val="18"/>
                <w:szCs w:val="18"/>
              </w:rPr>
            </w:pPr>
            <w:r>
              <w:rPr>
                <w:color w:val="000000"/>
                <w:sz w:val="18"/>
                <w:szCs w:val="18"/>
              </w:rPr>
              <w:t>13.76</w:t>
            </w:r>
          </w:p>
        </w:tc>
        <w:tc>
          <w:tcPr>
            <w:tcW w:w="1849" w:type="dxa"/>
            <w:tcBorders>
              <w:top w:val="nil"/>
              <w:left w:val="nil"/>
              <w:bottom w:val="single" w:sz="4" w:space="0" w:color="auto"/>
              <w:right w:val="single" w:sz="4" w:space="0" w:color="auto"/>
            </w:tcBorders>
            <w:shd w:val="clear" w:color="auto" w:fill="auto"/>
            <w:noWrap/>
            <w:vAlign w:val="bottom"/>
          </w:tcPr>
          <w:p w14:paraId="05ED5939" w14:textId="656B75BE" w:rsidR="00A4682C" w:rsidRPr="000C68FA" w:rsidRDefault="00A4682C" w:rsidP="00A4682C">
            <w:pPr>
              <w:jc w:val="center"/>
              <w:rPr>
                <w:color w:val="000000"/>
                <w:sz w:val="20"/>
                <w:szCs w:val="20"/>
              </w:rPr>
            </w:pPr>
            <w:r w:rsidRPr="000C68FA">
              <w:rPr>
                <w:sz w:val="20"/>
                <w:szCs w:val="20"/>
              </w:rPr>
              <w:t>$519.13</w:t>
            </w:r>
          </w:p>
        </w:tc>
      </w:tr>
      <w:tr w:rsidR="00A4682C" w14:paraId="0320E416" w14:textId="77777777" w:rsidTr="000C68FA">
        <w:trPr>
          <w:trHeight w:val="255"/>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14:paraId="637F3331" w14:textId="77777777" w:rsidR="00A4682C" w:rsidRDefault="00A4682C" w:rsidP="000C68FA">
            <w:pPr>
              <w:jc w:val="center"/>
              <w:rPr>
                <w:b/>
                <w:bCs/>
                <w:color w:val="000000"/>
                <w:sz w:val="18"/>
                <w:szCs w:val="18"/>
              </w:rPr>
            </w:pPr>
            <w:r>
              <w:rPr>
                <w:b/>
                <w:bCs/>
                <w:color w:val="000000"/>
                <w:sz w:val="18"/>
                <w:szCs w:val="18"/>
              </w:rPr>
              <w:t>Average</w:t>
            </w:r>
          </w:p>
        </w:tc>
        <w:tc>
          <w:tcPr>
            <w:tcW w:w="1412" w:type="dxa"/>
            <w:tcBorders>
              <w:top w:val="nil"/>
              <w:left w:val="nil"/>
              <w:bottom w:val="single" w:sz="4" w:space="0" w:color="auto"/>
              <w:right w:val="single" w:sz="4" w:space="0" w:color="auto"/>
            </w:tcBorders>
            <w:shd w:val="clear" w:color="auto" w:fill="auto"/>
            <w:noWrap/>
            <w:vAlign w:val="bottom"/>
            <w:hideMark/>
          </w:tcPr>
          <w:p w14:paraId="21DBC1EF" w14:textId="77777777" w:rsidR="00A4682C" w:rsidRDefault="00A4682C" w:rsidP="00A4682C">
            <w:pPr>
              <w:jc w:val="center"/>
              <w:rPr>
                <w:color w:val="000000"/>
                <w:sz w:val="18"/>
                <w:szCs w:val="18"/>
              </w:rPr>
            </w:pPr>
            <w:r>
              <w:rPr>
                <w:color w:val="000000"/>
                <w:sz w:val="18"/>
                <w:szCs w:val="18"/>
              </w:rPr>
              <w:t>13.68</w:t>
            </w:r>
          </w:p>
        </w:tc>
        <w:tc>
          <w:tcPr>
            <w:tcW w:w="1849" w:type="dxa"/>
            <w:tcBorders>
              <w:top w:val="nil"/>
              <w:left w:val="nil"/>
              <w:bottom w:val="single" w:sz="4" w:space="0" w:color="auto"/>
              <w:right w:val="single" w:sz="4" w:space="0" w:color="auto"/>
            </w:tcBorders>
            <w:shd w:val="clear" w:color="auto" w:fill="auto"/>
            <w:noWrap/>
            <w:vAlign w:val="bottom"/>
          </w:tcPr>
          <w:p w14:paraId="06ABAD38" w14:textId="6690E924" w:rsidR="00A4682C" w:rsidRPr="000C68FA" w:rsidRDefault="00A4682C" w:rsidP="00A4682C">
            <w:pPr>
              <w:jc w:val="center"/>
              <w:rPr>
                <w:color w:val="000000"/>
                <w:sz w:val="20"/>
                <w:szCs w:val="20"/>
              </w:rPr>
            </w:pPr>
            <w:r w:rsidRPr="000C68FA">
              <w:rPr>
                <w:sz w:val="20"/>
                <w:szCs w:val="20"/>
              </w:rPr>
              <w:t>$516.07</w:t>
            </w:r>
          </w:p>
        </w:tc>
      </w:tr>
    </w:tbl>
    <w:p w14:paraId="1FDACFF3" w14:textId="77777777" w:rsidR="00E35EB9" w:rsidRPr="000C68FA" w:rsidRDefault="00E35EB9" w:rsidP="000C68FA">
      <w:pPr>
        <w:jc w:val="center"/>
        <w:rPr>
          <w:color w:val="000000"/>
        </w:rPr>
      </w:pPr>
    </w:p>
    <w:p w14:paraId="3F00DBB6" w14:textId="60513B69" w:rsidR="00743651" w:rsidRDefault="00743651" w:rsidP="00131E8B">
      <w:pPr>
        <w:rPr>
          <w:b/>
          <w:i/>
        </w:rPr>
      </w:pPr>
      <w:r>
        <w:rPr>
          <w:b/>
          <w:i/>
        </w:rPr>
        <w:t>Summary Burden Hour Statistics</w:t>
      </w:r>
    </w:p>
    <w:p w14:paraId="1EF9ADC2" w14:textId="77777777" w:rsidR="00EB5EF3" w:rsidRDefault="00EB5EF3" w:rsidP="00131E8B"/>
    <w:p w14:paraId="6E389654" w14:textId="3BC22EB1" w:rsidR="009A0996" w:rsidRDefault="009808DB" w:rsidP="00F61F56">
      <w:pPr>
        <w:widowControl w:val="0"/>
        <w:autoSpaceDE w:val="0"/>
        <w:autoSpaceDN w:val="0"/>
        <w:adjustRightInd w:val="0"/>
      </w:pPr>
      <w:r w:rsidRPr="009A0996">
        <w:rPr>
          <w:b/>
        </w:rPr>
        <w:t xml:space="preserve">IC1 - </w:t>
      </w:r>
      <w:r w:rsidR="0060395A" w:rsidRPr="009A0996">
        <w:rPr>
          <w:b/>
        </w:rPr>
        <w:t xml:space="preserve">Respondents: </w:t>
      </w:r>
      <w:r w:rsidR="0060395A" w:rsidRPr="009A0996">
        <w:t xml:space="preserve"> </w:t>
      </w:r>
      <w:r w:rsidR="009A0996" w:rsidRPr="009A0996">
        <w:t>Drivers of CMVs.</w:t>
      </w:r>
    </w:p>
    <w:p w14:paraId="47C3991D" w14:textId="5615A645" w:rsidR="009808DB" w:rsidRPr="009A0996" w:rsidRDefault="007655DC" w:rsidP="00F61F56">
      <w:pPr>
        <w:widowControl w:val="0"/>
        <w:autoSpaceDE w:val="0"/>
        <w:autoSpaceDN w:val="0"/>
        <w:adjustRightInd w:val="0"/>
      </w:pPr>
      <w:r>
        <w:rPr>
          <w:b/>
        </w:rPr>
        <w:t>IC</w:t>
      </w:r>
      <w:r w:rsidR="009808DB" w:rsidRPr="009A0996">
        <w:rPr>
          <w:b/>
        </w:rPr>
        <w:t xml:space="preserve">1 Estimated Number of Respondents: </w:t>
      </w:r>
      <w:r w:rsidR="009808DB" w:rsidRPr="009A0996">
        <w:t xml:space="preserve"> 3.42 million </w:t>
      </w:r>
      <w:r w:rsidR="00F61F56" w:rsidRPr="009A0996">
        <w:t>CMV drivers.</w:t>
      </w:r>
      <w:r w:rsidR="009808DB" w:rsidRPr="009A0996">
        <w:t xml:space="preserve"> </w:t>
      </w:r>
    </w:p>
    <w:p w14:paraId="40622EE7" w14:textId="6A6CF3B8" w:rsidR="00F61F56" w:rsidRPr="009A0996" w:rsidRDefault="00F61F56" w:rsidP="00F61F56">
      <w:pPr>
        <w:widowControl w:val="0"/>
        <w:tabs>
          <w:tab w:val="left" w:pos="90"/>
        </w:tabs>
        <w:autoSpaceDE w:val="0"/>
        <w:autoSpaceDN w:val="0"/>
        <w:adjustRightInd w:val="0"/>
      </w:pPr>
      <w:r w:rsidRPr="009A0996">
        <w:rPr>
          <w:b/>
        </w:rPr>
        <w:t>Frequency of Respons</w:t>
      </w:r>
      <w:r w:rsidR="007655DC">
        <w:rPr>
          <w:b/>
        </w:rPr>
        <w:t xml:space="preserve">e </w:t>
      </w:r>
      <w:r w:rsidR="007655DC" w:rsidRPr="007655DC">
        <w:rPr>
          <w:b/>
        </w:rPr>
        <w:t xml:space="preserve">for </w:t>
      </w:r>
      <w:r w:rsidRPr="007655DC">
        <w:rPr>
          <w:b/>
        </w:rPr>
        <w:t>Drivers:</w:t>
      </w:r>
      <w:r w:rsidRPr="009A0996">
        <w:t xml:space="preserve"> 240 days per year.</w:t>
      </w:r>
    </w:p>
    <w:p w14:paraId="198E0B23" w14:textId="77777777" w:rsidR="00F61F56" w:rsidRPr="009A0996" w:rsidRDefault="00F61F56" w:rsidP="00F61F56">
      <w:pPr>
        <w:widowControl w:val="0"/>
        <w:tabs>
          <w:tab w:val="left" w:pos="90"/>
        </w:tabs>
        <w:autoSpaceDE w:val="0"/>
        <w:autoSpaceDN w:val="0"/>
        <w:adjustRightInd w:val="0"/>
      </w:pPr>
      <w:r w:rsidRPr="009A0996">
        <w:rPr>
          <w:b/>
        </w:rPr>
        <w:t>Estimated Time per Response:</w:t>
      </w:r>
      <w:r w:rsidRPr="009A0996">
        <w:t xml:space="preserve">  CMV drivers using technology: 2 minutes per RODS. </w:t>
      </w:r>
    </w:p>
    <w:p w14:paraId="5F48E3C8" w14:textId="49749ADF" w:rsidR="00F61F56" w:rsidRDefault="00F61F56" w:rsidP="00F61F56">
      <w:pPr>
        <w:widowControl w:val="0"/>
        <w:autoSpaceDE w:val="0"/>
        <w:autoSpaceDN w:val="0"/>
        <w:adjustRightInd w:val="0"/>
        <w:ind w:left="720" w:hanging="720"/>
      </w:pPr>
      <w:r w:rsidRPr="009A0996">
        <w:rPr>
          <w:b/>
        </w:rPr>
        <w:t xml:space="preserve">Driver Burden Hours: </w:t>
      </w:r>
      <w:r w:rsidRPr="009A0996">
        <w:t xml:space="preserve">27.36 million = 3.42 million RODS x 2 minutes/60 x 240 days </w:t>
      </w:r>
    </w:p>
    <w:p w14:paraId="506934C0" w14:textId="03E991C9" w:rsidR="00E761CD" w:rsidRPr="009A0996" w:rsidRDefault="00E761CD" w:rsidP="00E761CD">
      <w:pPr>
        <w:widowControl w:val="0"/>
        <w:autoSpaceDE w:val="0"/>
        <w:autoSpaceDN w:val="0"/>
        <w:adjustRightInd w:val="0"/>
        <w:rPr>
          <w:b/>
          <w:bCs/>
          <w:color w:val="000000"/>
        </w:rPr>
      </w:pPr>
      <w:r>
        <w:rPr>
          <w:b/>
          <w:bCs/>
          <w:color w:val="000000"/>
        </w:rPr>
        <w:t>Driver</w:t>
      </w:r>
      <w:r w:rsidRPr="009A0996">
        <w:rPr>
          <w:b/>
          <w:bCs/>
          <w:color w:val="000000"/>
        </w:rPr>
        <w:t xml:space="preserve"> Total Burden Costs: </w:t>
      </w:r>
      <w:r w:rsidRPr="009A0996">
        <w:rPr>
          <w:bCs/>
          <w:color w:val="000000"/>
        </w:rPr>
        <w:t>$</w:t>
      </w:r>
      <w:r>
        <w:rPr>
          <w:bCs/>
          <w:color w:val="000000"/>
        </w:rPr>
        <w:t>991.68</w:t>
      </w:r>
      <w:r w:rsidRPr="009A0996">
        <w:rPr>
          <w:bCs/>
          <w:color w:val="000000"/>
        </w:rPr>
        <w:t xml:space="preserve"> million</w:t>
      </w:r>
    </w:p>
    <w:p w14:paraId="45921152" w14:textId="4C45460E" w:rsidR="00F61F56" w:rsidRPr="009A0996" w:rsidRDefault="00F61F56" w:rsidP="00F61F56">
      <w:pPr>
        <w:widowControl w:val="0"/>
        <w:tabs>
          <w:tab w:val="left" w:pos="90"/>
        </w:tabs>
        <w:autoSpaceDE w:val="0"/>
        <w:autoSpaceDN w:val="0"/>
        <w:adjustRightInd w:val="0"/>
      </w:pPr>
      <w:r w:rsidRPr="009A0996">
        <w:t xml:space="preserve"> </w:t>
      </w:r>
    </w:p>
    <w:p w14:paraId="4F726E21" w14:textId="13FE8518" w:rsidR="00F61F56" w:rsidRPr="009A0996" w:rsidRDefault="009808DB" w:rsidP="00F61F56">
      <w:pPr>
        <w:widowControl w:val="0"/>
        <w:autoSpaceDE w:val="0"/>
        <w:autoSpaceDN w:val="0"/>
        <w:adjustRightInd w:val="0"/>
      </w:pPr>
      <w:r w:rsidRPr="009A0996">
        <w:rPr>
          <w:b/>
        </w:rPr>
        <w:t>IC2 – Respondents:</w:t>
      </w:r>
      <w:r w:rsidRPr="009A0996">
        <w:t xml:space="preserve"> </w:t>
      </w:r>
      <w:r w:rsidR="009A0996" w:rsidRPr="009A0996">
        <w:t>Motor Carriers of Property and Passengers</w:t>
      </w:r>
      <w:r w:rsidR="009A0996">
        <w:t>.</w:t>
      </w:r>
    </w:p>
    <w:p w14:paraId="369393F7" w14:textId="17B94465" w:rsidR="00F61F56" w:rsidRPr="009A0996" w:rsidRDefault="007655DC" w:rsidP="00F61F56">
      <w:pPr>
        <w:widowControl w:val="0"/>
        <w:autoSpaceDE w:val="0"/>
        <w:autoSpaceDN w:val="0"/>
        <w:adjustRightInd w:val="0"/>
      </w:pPr>
      <w:r>
        <w:rPr>
          <w:b/>
        </w:rPr>
        <w:t>IC</w:t>
      </w:r>
      <w:r w:rsidR="009808DB" w:rsidRPr="009A0996">
        <w:rPr>
          <w:b/>
        </w:rPr>
        <w:t xml:space="preserve">2 Estimated Number of Respondents: </w:t>
      </w:r>
      <w:r w:rsidR="009808DB" w:rsidRPr="009A0996">
        <w:t xml:space="preserve"> 540,000 Motor Carriers. </w:t>
      </w:r>
    </w:p>
    <w:p w14:paraId="223CE3C8" w14:textId="29FFECB0" w:rsidR="00F61F56" w:rsidRPr="009A0996" w:rsidRDefault="00A24B13" w:rsidP="00F61F56">
      <w:pPr>
        <w:widowControl w:val="0"/>
        <w:autoSpaceDE w:val="0"/>
        <w:autoSpaceDN w:val="0"/>
        <w:adjustRightInd w:val="0"/>
      </w:pPr>
      <w:r>
        <w:rPr>
          <w:b/>
        </w:rPr>
        <w:t xml:space="preserve">Frequency of Response for </w:t>
      </w:r>
      <w:r w:rsidR="00F61F56" w:rsidRPr="00A24B13">
        <w:rPr>
          <w:b/>
        </w:rPr>
        <w:t>Motor carriers</w:t>
      </w:r>
      <w:r w:rsidRPr="00A24B13">
        <w:rPr>
          <w:b/>
        </w:rPr>
        <w:t>:</w:t>
      </w:r>
      <w:r w:rsidR="00F61F56" w:rsidRPr="009A0996">
        <w:t xml:space="preserve"> 240 days per year.</w:t>
      </w:r>
    </w:p>
    <w:p w14:paraId="14380B02" w14:textId="28C04F8A" w:rsidR="0060395A" w:rsidRPr="009A0996" w:rsidRDefault="0060395A" w:rsidP="00F61F56">
      <w:pPr>
        <w:widowControl w:val="0"/>
        <w:autoSpaceDE w:val="0"/>
        <w:autoSpaceDN w:val="0"/>
        <w:adjustRightInd w:val="0"/>
      </w:pPr>
      <w:r w:rsidRPr="009A0996">
        <w:rPr>
          <w:b/>
        </w:rPr>
        <w:t>Estimated Time per Response:</w:t>
      </w:r>
      <w:r w:rsidRPr="009A0996">
        <w:t xml:space="preserve"> Motor Carriers reviewing 50 percent of RODS: 2 minutes</w:t>
      </w:r>
      <w:r w:rsidR="002707D6" w:rsidRPr="009A0996">
        <w:t xml:space="preserve"> per RODS</w:t>
      </w:r>
      <w:r w:rsidRPr="009A0996">
        <w:t>.</w:t>
      </w:r>
    </w:p>
    <w:p w14:paraId="0E46E14C" w14:textId="77777777" w:rsidR="009A0996" w:rsidRPr="009A0996" w:rsidRDefault="0060395A" w:rsidP="009A0996">
      <w:pPr>
        <w:widowControl w:val="0"/>
        <w:autoSpaceDE w:val="0"/>
        <w:autoSpaceDN w:val="0"/>
        <w:adjustRightInd w:val="0"/>
        <w:rPr>
          <w:b/>
        </w:rPr>
      </w:pPr>
      <w:r w:rsidRPr="009A0996">
        <w:rPr>
          <w:b/>
        </w:rPr>
        <w:t xml:space="preserve">Motor Carrier Burden Hours: </w:t>
      </w:r>
      <w:r w:rsidRPr="009A0996">
        <w:t>13.68 million = 27.</w:t>
      </w:r>
      <w:r w:rsidR="00DB2AD8" w:rsidRPr="009A0996">
        <w:t>36</w:t>
      </w:r>
      <w:r w:rsidRPr="009A0996">
        <w:t xml:space="preserve"> million x 50%</w:t>
      </w:r>
      <w:r w:rsidRPr="009A0996">
        <w:rPr>
          <w:b/>
        </w:rPr>
        <w:t xml:space="preserve"> </w:t>
      </w:r>
    </w:p>
    <w:p w14:paraId="0B4A09C7" w14:textId="3AE49240" w:rsidR="009A0996" w:rsidRPr="009A0996" w:rsidRDefault="009A0996" w:rsidP="009A0996">
      <w:pPr>
        <w:widowControl w:val="0"/>
        <w:autoSpaceDE w:val="0"/>
        <w:autoSpaceDN w:val="0"/>
        <w:adjustRightInd w:val="0"/>
        <w:rPr>
          <w:b/>
          <w:bCs/>
          <w:color w:val="000000"/>
        </w:rPr>
      </w:pPr>
      <w:r w:rsidRPr="009A0996">
        <w:rPr>
          <w:b/>
          <w:bCs/>
          <w:color w:val="000000"/>
        </w:rPr>
        <w:t xml:space="preserve">Motor Carrier Total Burden Costs: </w:t>
      </w:r>
      <w:r w:rsidRPr="009A0996">
        <w:rPr>
          <w:bCs/>
          <w:color w:val="000000"/>
        </w:rPr>
        <w:t>$516.07 million</w:t>
      </w:r>
    </w:p>
    <w:p w14:paraId="6DCB6ECC" w14:textId="77777777" w:rsidR="009A0996" w:rsidRPr="009A0996" w:rsidRDefault="009A0996" w:rsidP="009A0996">
      <w:pPr>
        <w:widowControl w:val="0"/>
        <w:autoSpaceDE w:val="0"/>
        <w:autoSpaceDN w:val="0"/>
        <w:adjustRightInd w:val="0"/>
        <w:rPr>
          <w:b/>
        </w:rPr>
      </w:pPr>
    </w:p>
    <w:p w14:paraId="66387B77" w14:textId="6D0B2A56" w:rsidR="00A24B13" w:rsidRDefault="0060395A" w:rsidP="00A24B13">
      <w:pPr>
        <w:widowControl w:val="0"/>
        <w:autoSpaceDE w:val="0"/>
        <w:autoSpaceDN w:val="0"/>
        <w:adjustRightInd w:val="0"/>
        <w:rPr>
          <w:b/>
        </w:rPr>
      </w:pPr>
      <w:r w:rsidRPr="009A0996">
        <w:rPr>
          <w:b/>
        </w:rPr>
        <w:t>Estimated Total Annual Burden:</w:t>
      </w:r>
      <w:r w:rsidRPr="009A0996">
        <w:t xml:space="preserve">  41.0</w:t>
      </w:r>
      <w:r w:rsidR="00DB2AD8" w:rsidRPr="009A0996">
        <w:t>4</w:t>
      </w:r>
      <w:r w:rsidR="00A24B13">
        <w:t xml:space="preserve"> million hours </w:t>
      </w:r>
      <w:r w:rsidRPr="009A0996">
        <w:rPr>
          <w:b/>
        </w:rPr>
        <w:t xml:space="preserve">= </w:t>
      </w:r>
      <w:r w:rsidRPr="00A24B13">
        <w:t>27.</w:t>
      </w:r>
      <w:r w:rsidR="00DB2AD8" w:rsidRPr="00A24B13">
        <w:t>36</w:t>
      </w:r>
      <w:r w:rsidRPr="00A24B13">
        <w:t xml:space="preserve"> million + 13.68 million</w:t>
      </w:r>
    </w:p>
    <w:p w14:paraId="01E88F3A" w14:textId="431A3122" w:rsidR="00A24B13" w:rsidRPr="009A0996" w:rsidRDefault="00A24B13" w:rsidP="00A24B13">
      <w:pPr>
        <w:widowControl w:val="0"/>
        <w:autoSpaceDE w:val="0"/>
        <w:autoSpaceDN w:val="0"/>
        <w:adjustRightInd w:val="0"/>
        <w:rPr>
          <w:b/>
          <w:bCs/>
          <w:color w:val="000000"/>
        </w:rPr>
      </w:pPr>
      <w:r w:rsidRPr="009A0996">
        <w:rPr>
          <w:b/>
        </w:rPr>
        <w:t>Estimated Total Burden</w:t>
      </w:r>
      <w:r>
        <w:rPr>
          <w:b/>
        </w:rPr>
        <w:t xml:space="preserve"> Costs</w:t>
      </w:r>
      <w:r w:rsidRPr="009A0996">
        <w:rPr>
          <w:b/>
        </w:rPr>
        <w:t>:</w:t>
      </w:r>
      <w:r w:rsidRPr="009A0996">
        <w:t xml:space="preserve">  </w:t>
      </w:r>
      <w:r>
        <w:t>$1507.75 million</w:t>
      </w:r>
      <w:r w:rsidRPr="009A0996">
        <w:rPr>
          <w:b/>
        </w:rPr>
        <w:t xml:space="preserve"> =</w:t>
      </w:r>
      <w:r>
        <w:rPr>
          <w:b/>
        </w:rPr>
        <w:t xml:space="preserve"> </w:t>
      </w:r>
      <w:r w:rsidRPr="009A0996">
        <w:rPr>
          <w:bCs/>
          <w:color w:val="000000"/>
        </w:rPr>
        <w:t>$</w:t>
      </w:r>
      <w:r>
        <w:rPr>
          <w:bCs/>
          <w:color w:val="000000"/>
        </w:rPr>
        <w:t>991.68</w:t>
      </w:r>
      <w:r w:rsidRPr="009A0996">
        <w:rPr>
          <w:bCs/>
          <w:color w:val="000000"/>
        </w:rPr>
        <w:t xml:space="preserve"> million</w:t>
      </w:r>
      <w:r>
        <w:rPr>
          <w:bCs/>
          <w:color w:val="000000"/>
        </w:rPr>
        <w:t xml:space="preserve"> + </w:t>
      </w:r>
      <w:r w:rsidRPr="009A0996">
        <w:rPr>
          <w:bCs/>
          <w:color w:val="000000"/>
        </w:rPr>
        <w:t>$516.07 million</w:t>
      </w:r>
    </w:p>
    <w:p w14:paraId="62697481" w14:textId="320A3EF4" w:rsidR="00A24B13" w:rsidRPr="009A0996" w:rsidRDefault="00A24B13" w:rsidP="00A24B13">
      <w:pPr>
        <w:widowControl w:val="0"/>
        <w:autoSpaceDE w:val="0"/>
        <w:autoSpaceDN w:val="0"/>
        <w:adjustRightInd w:val="0"/>
        <w:rPr>
          <w:b/>
        </w:rPr>
      </w:pPr>
    </w:p>
    <w:p w14:paraId="63932D12" w14:textId="77777777" w:rsidR="0065594C" w:rsidRPr="007C7815" w:rsidRDefault="0065594C" w:rsidP="00131E8B">
      <w:pPr>
        <w:rPr>
          <w:b/>
        </w:rPr>
      </w:pPr>
    </w:p>
    <w:p w14:paraId="6BBB8F66" w14:textId="77777777" w:rsidR="00890E1E" w:rsidRDefault="00455AD2" w:rsidP="00455AD2">
      <w:pPr>
        <w:spacing w:after="120"/>
        <w:rPr>
          <w:b/>
        </w:rPr>
      </w:pPr>
      <w:r w:rsidRPr="00943E9C">
        <w:rPr>
          <w:b/>
        </w:rPr>
        <w:t>13.  Estimate of total annual costs to respondents:</w:t>
      </w:r>
    </w:p>
    <w:p w14:paraId="15793C1D" w14:textId="77777777" w:rsidR="00351565" w:rsidRDefault="00351565" w:rsidP="00351565">
      <w:pPr>
        <w:autoSpaceDE w:val="0"/>
        <w:autoSpaceDN w:val="0"/>
        <w:adjustRightInd w:val="0"/>
        <w:rPr>
          <w:rFonts w:eastAsiaTheme="minorHAnsi"/>
        </w:rPr>
      </w:pPr>
      <w:bookmarkStart w:id="5" w:name="_Hlk528662324"/>
    </w:p>
    <w:p w14:paraId="1840CB40" w14:textId="1E5E1DEC" w:rsidR="00D47977" w:rsidRDefault="00642712" w:rsidP="00642712">
      <w:pPr>
        <w:rPr>
          <w:i/>
        </w:rPr>
      </w:pPr>
      <w:r>
        <w:rPr>
          <w:i/>
        </w:rPr>
        <w:t>Motor Carrier R</w:t>
      </w:r>
      <w:r w:rsidRPr="0041754E">
        <w:rPr>
          <w:i/>
        </w:rPr>
        <w:t>ecordkeeping</w:t>
      </w:r>
      <w:r>
        <w:rPr>
          <w:i/>
        </w:rPr>
        <w:t xml:space="preserve"> Costs</w:t>
      </w:r>
    </w:p>
    <w:p w14:paraId="08C20A7B" w14:textId="77777777" w:rsidR="00596BD9" w:rsidRDefault="00596BD9" w:rsidP="00596BD9">
      <w:pPr>
        <w:rPr>
          <w:i/>
        </w:rPr>
      </w:pPr>
    </w:p>
    <w:p w14:paraId="1718B4F4" w14:textId="383F7187" w:rsidR="0083146F" w:rsidRDefault="00596BD9" w:rsidP="00E53890">
      <w:r>
        <w:t>The ELD rule requires motor carriers to provide drivers with paper logbooks with graph grids to allow drivers to prepare paper RODS for a minimum of 8 days if an ELD malfunctions (49 CFR 395.22(h)(4) (Attachment T)</w:t>
      </w:r>
      <w:r w:rsidR="00B22D8A">
        <w:t>)</w:t>
      </w:r>
      <w:r>
        <w:t xml:space="preserve">.  </w:t>
      </w:r>
      <w:r w:rsidRPr="00943E9C">
        <w:t xml:space="preserve">The Agency </w:t>
      </w:r>
      <w:r>
        <w:t xml:space="preserve">does not have data on the frequency or duration of ELD malfunctions to estimate </w:t>
      </w:r>
      <w:r w:rsidR="00D47977">
        <w:t xml:space="preserve">the number of </w:t>
      </w:r>
      <w:r w:rsidR="00A25BB3" w:rsidRPr="000C68FA">
        <w:t xml:space="preserve">days </w:t>
      </w:r>
      <w:r w:rsidR="00D47977">
        <w:t xml:space="preserve">that </w:t>
      </w:r>
      <w:r w:rsidR="00A25BB3" w:rsidRPr="000C68FA">
        <w:t xml:space="preserve">drivers </w:t>
      </w:r>
      <w:r w:rsidRPr="007B4369">
        <w:t xml:space="preserve">must </w:t>
      </w:r>
      <w:r>
        <w:t xml:space="preserve">rely on </w:t>
      </w:r>
      <w:r w:rsidR="0031356C">
        <w:t xml:space="preserve">backup </w:t>
      </w:r>
      <w:r>
        <w:t>paper logbooks to report their daily RODS. The Agency does</w:t>
      </w:r>
      <w:r w:rsidR="00F96DEB">
        <w:t>, however,</w:t>
      </w:r>
      <w:r>
        <w:t xml:space="preserve"> estimate the cost to motor carriers for supplying drivers with backup logbooks. The Agency assumes that each driver is supplied with two paper logbooks per</w:t>
      </w:r>
      <w:r w:rsidR="00F96DEB">
        <w:t xml:space="preserve"> </w:t>
      </w:r>
      <w:bookmarkEnd w:id="5"/>
      <w:r w:rsidR="00A72D89">
        <w:t>year</w:t>
      </w:r>
      <w:r w:rsidR="007E084F">
        <w:t xml:space="preserve"> at an average per unit cost of $3.58.</w:t>
      </w:r>
      <w:r w:rsidR="007E084F">
        <w:rPr>
          <w:rStyle w:val="FootnoteReference"/>
        </w:rPr>
        <w:footnoteReference w:id="16"/>
      </w:r>
      <w:r w:rsidR="0031356C">
        <w:t xml:space="preserve"> That is, each driver is assumed to use one backup logbook</w:t>
      </w:r>
      <w:r w:rsidR="00E0033E">
        <w:t xml:space="preserve"> per year</w:t>
      </w:r>
      <w:r w:rsidR="0031356C">
        <w:t xml:space="preserve"> to cover an </w:t>
      </w:r>
      <w:r w:rsidR="00E0033E">
        <w:t xml:space="preserve">eight day </w:t>
      </w:r>
      <w:r w:rsidR="0031356C">
        <w:t>ELD malfunction</w:t>
      </w:r>
      <w:r w:rsidR="00E0033E">
        <w:t>. Therefore,</w:t>
      </w:r>
      <w:r w:rsidR="0031356C">
        <w:t xml:space="preserve"> a second backup logbook is provided by the motor carrier as a precaution against a subsequent malfunction. The Agency</w:t>
      </w:r>
      <w:r w:rsidR="00E0033E">
        <w:t xml:space="preserve"> believes this to be a cautious and conservative estimate.</w:t>
      </w:r>
      <w:r w:rsidR="0031356C">
        <w:t xml:space="preserve"> </w:t>
      </w:r>
      <w:r w:rsidR="00C82D79">
        <w:t xml:space="preserve">Based on the average of </w:t>
      </w:r>
      <w:r w:rsidR="007116EA">
        <w:t xml:space="preserve">3.42 </w:t>
      </w:r>
      <w:r w:rsidR="00C82D79">
        <w:t>million drivers operating ELD equipped CMVs, motor carriers are estimated to spend an average of $</w:t>
      </w:r>
      <w:r w:rsidR="007116EA">
        <w:t>24.50</w:t>
      </w:r>
      <w:r w:rsidR="00C82D79">
        <w:t xml:space="preserve"> million on backup logbooks ($</w:t>
      </w:r>
      <w:r w:rsidR="007116EA">
        <w:t>24.50</w:t>
      </w:r>
      <w:r w:rsidR="00C82D79">
        <w:t xml:space="preserve"> million = </w:t>
      </w:r>
      <w:r w:rsidR="007116EA">
        <w:t>3.42</w:t>
      </w:r>
      <w:r w:rsidR="00151F52">
        <w:t xml:space="preserve"> million drivers x 2 backup logbooks per driver x $3.58, rounded to the nearest 10 thousand).</w:t>
      </w:r>
      <w:r w:rsidR="00791F33">
        <w:t xml:space="preserve"> </w:t>
      </w:r>
      <w:r w:rsidR="00A25BB3">
        <w:t>The current ICR estimates motor carrier annual recordkeeping costs at $78.18 million consisting of $</w:t>
      </w:r>
      <w:r w:rsidR="00A25BB3" w:rsidRPr="004C3202">
        <w:t>76.44 million to supply logbooks to drivers preparing paper RODS and $1.74 million for the cost of filing cabinets required to store paper</w:t>
      </w:r>
      <w:r w:rsidR="00A25BB3">
        <w:t xml:space="preserve"> </w:t>
      </w:r>
      <w:r w:rsidR="00A25BB3" w:rsidRPr="004C3202">
        <w:t>RODS.</w:t>
      </w:r>
      <w:r w:rsidR="00A25BB3">
        <w:t xml:space="preserve"> </w:t>
      </w:r>
      <w:r w:rsidR="00D46791">
        <w:t>T</w:t>
      </w:r>
      <w:r w:rsidR="00A25BB3">
        <w:t xml:space="preserve">his ICR </w:t>
      </w:r>
      <w:r w:rsidR="00D46791">
        <w:t xml:space="preserve">eliminates </w:t>
      </w:r>
      <w:r w:rsidR="00A25BB3">
        <w:t>$53.68 million in recordkeeping cost savings per year</w:t>
      </w:r>
      <w:r w:rsidR="00D46791">
        <w:t xml:space="preserve"> (i.e., </w:t>
      </w:r>
      <w:r w:rsidR="00E0033E">
        <w:t>$78.18 million versus $24.50 million)</w:t>
      </w:r>
      <w:r w:rsidR="00D46791">
        <w:t>.</w:t>
      </w:r>
      <w:r w:rsidR="00A25BB3">
        <w:t xml:space="preserve"> </w:t>
      </w:r>
    </w:p>
    <w:p w14:paraId="29E2A4D2" w14:textId="77777777" w:rsidR="00E53890" w:rsidRDefault="00E53890" w:rsidP="00E53890"/>
    <w:p w14:paraId="76D9DE42" w14:textId="77777777" w:rsidR="004C1A41" w:rsidRPr="004C3202" w:rsidRDefault="00F55A9F" w:rsidP="004367CC">
      <w:pPr>
        <w:rPr>
          <w:i/>
        </w:rPr>
      </w:pPr>
      <w:r w:rsidRPr="004C3202">
        <w:rPr>
          <w:i/>
        </w:rPr>
        <w:t xml:space="preserve">Cost </w:t>
      </w:r>
      <w:r w:rsidR="004C3202" w:rsidRPr="004C3202">
        <w:rPr>
          <w:i/>
        </w:rPr>
        <w:t xml:space="preserve">to Install and Operate </w:t>
      </w:r>
      <w:r w:rsidRPr="004C3202">
        <w:rPr>
          <w:i/>
        </w:rPr>
        <w:t>ELDs</w:t>
      </w:r>
    </w:p>
    <w:p w14:paraId="1F307F3E" w14:textId="77777777" w:rsidR="00F55A9F" w:rsidRDefault="00F55A9F" w:rsidP="004367CC">
      <w:pPr>
        <w:rPr>
          <w:b/>
          <w:i/>
        </w:rPr>
      </w:pPr>
    </w:p>
    <w:p w14:paraId="228E2B57" w14:textId="6A60B419" w:rsidR="00F55A9F" w:rsidRDefault="00F55A9F" w:rsidP="004367CC">
      <w:r w:rsidRPr="008D420B">
        <w:t xml:space="preserve">ELD </w:t>
      </w:r>
      <w:r w:rsidR="00151F52">
        <w:t xml:space="preserve">costs </w:t>
      </w:r>
      <w:r w:rsidRPr="008D420B">
        <w:t xml:space="preserve">consist of </w:t>
      </w:r>
      <w:r w:rsidR="00B805FE" w:rsidRPr="008D420B">
        <w:t>the purchase price, installation cost and monthly service charge</w:t>
      </w:r>
      <w:r w:rsidR="008F1662">
        <w:t>s</w:t>
      </w:r>
      <w:r w:rsidR="00B805FE" w:rsidRPr="008D420B">
        <w:t xml:space="preserve"> paid to ELD vendors for data</w:t>
      </w:r>
      <w:r w:rsidR="00043949">
        <w:t xml:space="preserve"> </w:t>
      </w:r>
      <w:r w:rsidR="00151F52">
        <w:t xml:space="preserve">management </w:t>
      </w:r>
      <w:r w:rsidR="00043949">
        <w:t>services</w:t>
      </w:r>
      <w:r w:rsidR="00B805FE" w:rsidRPr="008D420B">
        <w:t>.</w:t>
      </w:r>
      <w:r w:rsidR="007116EA">
        <w:t xml:space="preserve"> </w:t>
      </w:r>
      <w:r w:rsidR="00B805FE">
        <w:t xml:space="preserve">The Agency </w:t>
      </w:r>
      <w:r w:rsidR="008D420B">
        <w:t>obtained</w:t>
      </w:r>
      <w:r w:rsidR="00B805FE">
        <w:t xml:space="preserve"> </w:t>
      </w:r>
      <w:r w:rsidR="003438D3">
        <w:t xml:space="preserve">ELD </w:t>
      </w:r>
      <w:r w:rsidR="00B805FE">
        <w:t xml:space="preserve">price points and monthly service charges posted on </w:t>
      </w:r>
      <w:r w:rsidR="00043949">
        <w:t xml:space="preserve">vendor </w:t>
      </w:r>
      <w:r w:rsidR="00B805FE">
        <w:t>websites</w:t>
      </w:r>
      <w:r w:rsidR="00B805FE">
        <w:rPr>
          <w:rStyle w:val="FootnoteReference"/>
        </w:rPr>
        <w:footnoteReference w:id="17"/>
      </w:r>
      <w:r w:rsidR="00B805FE">
        <w:t xml:space="preserve"> and an online survey </w:t>
      </w:r>
      <w:r w:rsidR="00151F52">
        <w:t xml:space="preserve">published by </w:t>
      </w:r>
      <w:r w:rsidR="00B805FE" w:rsidRPr="00151F52">
        <w:rPr>
          <w:i/>
        </w:rPr>
        <w:t>ELD Ratings.</w:t>
      </w:r>
      <w:r w:rsidR="008D420B">
        <w:rPr>
          <w:rStyle w:val="FootnoteReference"/>
        </w:rPr>
        <w:footnoteReference w:id="18"/>
      </w:r>
      <w:r w:rsidR="00B805FE">
        <w:t xml:space="preserve"> </w:t>
      </w:r>
      <w:r w:rsidR="00043949">
        <w:t>ELD</w:t>
      </w:r>
      <w:r w:rsidR="008D420B">
        <w:t xml:space="preserve"> </w:t>
      </w:r>
      <w:r w:rsidR="00043949">
        <w:t>prices</w:t>
      </w:r>
      <w:r w:rsidR="008D420B">
        <w:t xml:space="preserve"> ranged from $99 to $955</w:t>
      </w:r>
      <w:r w:rsidR="007116EA">
        <w:t xml:space="preserve">, with a median value of </w:t>
      </w:r>
      <w:r w:rsidR="008D420B">
        <w:t>$450</w:t>
      </w:r>
      <w:r w:rsidR="007116EA">
        <w:t xml:space="preserve"> per unit.</w:t>
      </w:r>
      <w:r w:rsidR="008D420B">
        <w:t xml:space="preserve"> </w:t>
      </w:r>
      <w:r w:rsidR="00151F52">
        <w:t>The Agency used the</w:t>
      </w:r>
      <w:r w:rsidR="00B6629C">
        <w:t xml:space="preserve"> median </w:t>
      </w:r>
      <w:r w:rsidR="00151F52">
        <w:t xml:space="preserve">price point, plus $150 installation </w:t>
      </w:r>
      <w:r w:rsidR="007116EA">
        <w:t xml:space="preserve">cost </w:t>
      </w:r>
      <w:r w:rsidR="00151F52">
        <w:t xml:space="preserve">to estimate the </w:t>
      </w:r>
      <w:r w:rsidR="007116EA">
        <w:t xml:space="preserve">installed cost </w:t>
      </w:r>
      <w:r w:rsidR="0087436B">
        <w:t>incurred by</w:t>
      </w:r>
      <w:r w:rsidR="00151F52">
        <w:t xml:space="preserve"> motor carriers</w:t>
      </w:r>
      <w:r w:rsidR="0087436B">
        <w:t>.</w:t>
      </w:r>
      <w:r w:rsidR="00151F52">
        <w:rPr>
          <w:rStyle w:val="FootnoteReference"/>
        </w:rPr>
        <w:footnoteReference w:id="19"/>
      </w:r>
      <w:r w:rsidR="00151F52">
        <w:t xml:space="preserve"> </w:t>
      </w:r>
      <w:r w:rsidR="008D420B">
        <w:t xml:space="preserve">Monthly service charges for data </w:t>
      </w:r>
      <w:r w:rsidR="00151F52">
        <w:t xml:space="preserve">management </w:t>
      </w:r>
      <w:r w:rsidR="008D420B">
        <w:t xml:space="preserve">services ranged from $15 to $55 </w:t>
      </w:r>
      <w:r w:rsidR="00151F52">
        <w:t xml:space="preserve">with a median cost of </w:t>
      </w:r>
      <w:r w:rsidR="008D420B">
        <w:t>$</w:t>
      </w:r>
      <w:r w:rsidR="006B28B8">
        <w:t>33</w:t>
      </w:r>
      <w:r w:rsidR="00CB666A">
        <w:t xml:space="preserve"> per month</w:t>
      </w:r>
      <w:r w:rsidR="00151F52">
        <w:t>.</w:t>
      </w:r>
      <w:r w:rsidR="00A16E99">
        <w:rPr>
          <w:rStyle w:val="FootnoteReference"/>
        </w:rPr>
        <w:footnoteReference w:id="20"/>
      </w:r>
      <w:r w:rsidR="00A16E99">
        <w:t xml:space="preserve"> </w:t>
      </w:r>
      <w:r w:rsidR="00086A8C">
        <w:t xml:space="preserve"> </w:t>
      </w:r>
      <w:r w:rsidR="00D334B9">
        <w:t xml:space="preserve">ELD installed costs are estimated based on the average annual growth </w:t>
      </w:r>
      <w:r w:rsidR="00C303B8">
        <w:t xml:space="preserve">of </w:t>
      </w:r>
      <w:r w:rsidR="00D334B9">
        <w:t>the driver population</w:t>
      </w:r>
      <w:r w:rsidR="00B6629C">
        <w:t xml:space="preserve">, as opposed to the total driver population because </w:t>
      </w:r>
      <w:r w:rsidR="00D334B9">
        <w:t>the compliance date of the ELD rule coincided with the final year of the current IC</w:t>
      </w:r>
      <w:r w:rsidR="0027360D">
        <w:t>R</w:t>
      </w:r>
      <w:r w:rsidR="00D334B9">
        <w:t xml:space="preserve">. </w:t>
      </w:r>
      <w:r w:rsidR="00B6629C">
        <w:t>However, a</w:t>
      </w:r>
      <w:r w:rsidR="006B28B8">
        <w:t>nnual service charges are incurred by the total driver population</w:t>
      </w:r>
      <w:r w:rsidR="00356E3F">
        <w:t xml:space="preserve"> requiring ELDs</w:t>
      </w:r>
      <w:r w:rsidR="006B28B8">
        <w:t xml:space="preserve">. </w:t>
      </w:r>
      <w:r w:rsidR="00D334B9">
        <w:t xml:space="preserve">As shown in </w:t>
      </w:r>
      <w:r w:rsidR="00EB4385">
        <w:t xml:space="preserve">Table </w:t>
      </w:r>
      <w:r w:rsidR="00AC3514">
        <w:t>9</w:t>
      </w:r>
      <w:r w:rsidR="00D334B9">
        <w:t>, the average annual cost for newly installed ELDs is $1</w:t>
      </w:r>
      <w:r w:rsidR="0087436B">
        <w:t>2.13</w:t>
      </w:r>
      <w:r w:rsidR="00D334B9">
        <w:t xml:space="preserve"> million and the average annual service charges </w:t>
      </w:r>
      <w:r w:rsidR="00AC3514">
        <w:t>are</w:t>
      </w:r>
      <w:r w:rsidR="00D334B9">
        <w:t xml:space="preserve"> estimated at $</w:t>
      </w:r>
      <w:r w:rsidR="0087436B">
        <w:t>1,354.1</w:t>
      </w:r>
      <w:r w:rsidR="00D334B9">
        <w:t xml:space="preserve"> </w:t>
      </w:r>
      <w:r w:rsidR="00D5356F">
        <w:t>m</w:t>
      </w:r>
      <w:r w:rsidR="00D334B9">
        <w:t>illion for a total average annual cost at $1</w:t>
      </w:r>
      <w:r w:rsidR="00153E24">
        <w:t>,</w:t>
      </w:r>
      <w:r w:rsidR="0087436B">
        <w:t>366.</w:t>
      </w:r>
      <w:r w:rsidR="0027360D">
        <w:t>25</w:t>
      </w:r>
      <w:r w:rsidR="0087436B">
        <w:t xml:space="preserve"> </w:t>
      </w:r>
      <w:r w:rsidR="00D5356F">
        <w:t>m</w:t>
      </w:r>
      <w:r w:rsidR="00D334B9">
        <w:t>illion.</w:t>
      </w:r>
      <w:r w:rsidR="00EB4385">
        <w:t xml:space="preserve"> </w:t>
      </w:r>
    </w:p>
    <w:p w14:paraId="43217CD3" w14:textId="5C8BB18C" w:rsidR="004D21C8" w:rsidRDefault="004D21C8" w:rsidP="004367CC"/>
    <w:tbl>
      <w:tblPr>
        <w:tblpPr w:leftFromText="2592" w:rightFromText="2592" w:vertAnchor="text" w:horzAnchor="margin" w:tblpXSpec="center" w:tblpY="-239"/>
        <w:tblOverlap w:val="never"/>
        <w:tblW w:w="8605" w:type="dxa"/>
        <w:tblLook w:val="04A0" w:firstRow="1" w:lastRow="0" w:firstColumn="1" w:lastColumn="0" w:noHBand="0" w:noVBand="1"/>
      </w:tblPr>
      <w:tblGrid>
        <w:gridCol w:w="955"/>
        <w:gridCol w:w="1251"/>
        <w:gridCol w:w="1625"/>
        <w:gridCol w:w="1465"/>
        <w:gridCol w:w="1876"/>
        <w:gridCol w:w="1433"/>
      </w:tblGrid>
      <w:tr w:rsidR="004D21C8" w14:paraId="06DF1C96" w14:textId="77777777" w:rsidTr="001D4B3E">
        <w:trPr>
          <w:trHeight w:hRule="exact" w:val="216"/>
        </w:trPr>
        <w:tc>
          <w:tcPr>
            <w:tcW w:w="8605" w:type="dxa"/>
            <w:gridSpan w:val="6"/>
            <w:shd w:val="clear" w:color="auto" w:fill="auto"/>
            <w:noWrap/>
            <w:vAlign w:val="bottom"/>
            <w:hideMark/>
          </w:tcPr>
          <w:p w14:paraId="76BE8AC8" w14:textId="77777777" w:rsidR="004D21C8" w:rsidRPr="00F44432" w:rsidRDefault="004D21C8" w:rsidP="004D21C8">
            <w:pPr>
              <w:jc w:val="center"/>
              <w:rPr>
                <w:b/>
                <w:bCs/>
                <w:color w:val="000000"/>
                <w:sz w:val="20"/>
                <w:szCs w:val="20"/>
              </w:rPr>
            </w:pPr>
          </w:p>
        </w:tc>
      </w:tr>
      <w:tr w:rsidR="004D21C8" w14:paraId="305252D6" w14:textId="77777777" w:rsidTr="001D4B3E">
        <w:trPr>
          <w:trHeight w:hRule="exact" w:val="216"/>
        </w:trPr>
        <w:tc>
          <w:tcPr>
            <w:tcW w:w="8605" w:type="dxa"/>
            <w:gridSpan w:val="6"/>
            <w:tcBorders>
              <w:bottom w:val="single" w:sz="4" w:space="0" w:color="auto"/>
            </w:tcBorders>
            <w:shd w:val="clear" w:color="auto" w:fill="auto"/>
            <w:noWrap/>
            <w:vAlign w:val="bottom"/>
            <w:hideMark/>
          </w:tcPr>
          <w:p w14:paraId="385858C5" w14:textId="324EC3FF" w:rsidR="004D21C8" w:rsidRPr="00F44432" w:rsidRDefault="004D21C8" w:rsidP="004D21C8">
            <w:pPr>
              <w:jc w:val="center"/>
              <w:rPr>
                <w:b/>
                <w:bCs/>
                <w:color w:val="000000"/>
                <w:sz w:val="20"/>
                <w:szCs w:val="20"/>
              </w:rPr>
            </w:pPr>
            <w:r>
              <w:rPr>
                <w:b/>
                <w:bCs/>
                <w:color w:val="000000"/>
                <w:sz w:val="20"/>
                <w:szCs w:val="20"/>
              </w:rPr>
              <w:t xml:space="preserve">Table </w:t>
            </w:r>
            <w:r w:rsidR="00AC3514">
              <w:rPr>
                <w:b/>
                <w:bCs/>
                <w:color w:val="000000"/>
                <w:sz w:val="20"/>
                <w:szCs w:val="20"/>
              </w:rPr>
              <w:t>9</w:t>
            </w:r>
            <w:r w:rsidR="00BA67CC">
              <w:rPr>
                <w:b/>
                <w:bCs/>
                <w:color w:val="000000"/>
                <w:sz w:val="20"/>
                <w:szCs w:val="20"/>
              </w:rPr>
              <w:t>.</w:t>
            </w:r>
            <w:r>
              <w:rPr>
                <w:b/>
                <w:bCs/>
                <w:color w:val="000000"/>
                <w:sz w:val="20"/>
                <w:szCs w:val="20"/>
              </w:rPr>
              <w:t xml:space="preserve"> </w:t>
            </w:r>
            <w:r w:rsidRPr="00F44432">
              <w:rPr>
                <w:b/>
                <w:bCs/>
                <w:color w:val="000000"/>
                <w:sz w:val="20"/>
                <w:szCs w:val="20"/>
              </w:rPr>
              <w:t>Annual ELD Costs</w:t>
            </w:r>
          </w:p>
        </w:tc>
      </w:tr>
      <w:tr w:rsidR="004D21C8" w14:paraId="358AF79C" w14:textId="77777777" w:rsidTr="001D4B3E">
        <w:trPr>
          <w:trHeight w:hRule="exact" w:val="720"/>
        </w:trPr>
        <w:tc>
          <w:tcPr>
            <w:tcW w:w="955" w:type="dxa"/>
            <w:tcBorders>
              <w:top w:val="nil"/>
              <w:left w:val="single" w:sz="4" w:space="0" w:color="auto"/>
              <w:bottom w:val="single" w:sz="4" w:space="0" w:color="auto"/>
              <w:right w:val="single" w:sz="4" w:space="0" w:color="auto"/>
            </w:tcBorders>
            <w:shd w:val="clear" w:color="000000" w:fill="D9D9D9"/>
            <w:noWrap/>
            <w:vAlign w:val="bottom"/>
            <w:hideMark/>
          </w:tcPr>
          <w:p w14:paraId="6140AA57" w14:textId="77777777" w:rsidR="004D21C8" w:rsidRPr="002127B1" w:rsidRDefault="004D21C8" w:rsidP="004D21C8">
            <w:pPr>
              <w:rPr>
                <w:b/>
                <w:bCs/>
                <w:color w:val="000000"/>
                <w:sz w:val="20"/>
                <w:szCs w:val="20"/>
              </w:rPr>
            </w:pPr>
            <w:r w:rsidRPr="002127B1">
              <w:rPr>
                <w:b/>
                <w:bCs/>
                <w:color w:val="000000"/>
                <w:sz w:val="20"/>
                <w:szCs w:val="20"/>
              </w:rPr>
              <w:t> </w:t>
            </w:r>
          </w:p>
        </w:tc>
        <w:tc>
          <w:tcPr>
            <w:tcW w:w="1251" w:type="dxa"/>
            <w:tcBorders>
              <w:top w:val="nil"/>
              <w:left w:val="nil"/>
              <w:bottom w:val="single" w:sz="4" w:space="0" w:color="auto"/>
              <w:right w:val="single" w:sz="4" w:space="0" w:color="auto"/>
            </w:tcBorders>
            <w:shd w:val="clear" w:color="000000" w:fill="D9D9D9"/>
            <w:vAlign w:val="bottom"/>
            <w:hideMark/>
          </w:tcPr>
          <w:p w14:paraId="08D3BA34" w14:textId="77777777" w:rsidR="004D21C8" w:rsidRPr="002127B1" w:rsidRDefault="004D21C8" w:rsidP="004D21C8">
            <w:pPr>
              <w:jc w:val="center"/>
              <w:rPr>
                <w:b/>
                <w:bCs/>
                <w:color w:val="000000"/>
                <w:sz w:val="20"/>
                <w:szCs w:val="20"/>
              </w:rPr>
            </w:pPr>
            <w:r w:rsidRPr="002127B1">
              <w:rPr>
                <w:b/>
                <w:bCs/>
                <w:color w:val="000000"/>
                <w:sz w:val="20"/>
                <w:szCs w:val="20"/>
              </w:rPr>
              <w:t xml:space="preserve">Drivers </w:t>
            </w:r>
          </w:p>
        </w:tc>
        <w:tc>
          <w:tcPr>
            <w:tcW w:w="1625" w:type="dxa"/>
            <w:tcBorders>
              <w:top w:val="nil"/>
              <w:left w:val="nil"/>
              <w:bottom w:val="single" w:sz="4" w:space="0" w:color="auto"/>
              <w:right w:val="single" w:sz="4" w:space="0" w:color="auto"/>
            </w:tcBorders>
            <w:shd w:val="clear" w:color="000000" w:fill="D9D9D9"/>
            <w:vAlign w:val="bottom"/>
            <w:hideMark/>
          </w:tcPr>
          <w:p w14:paraId="3D9B1443" w14:textId="77777777" w:rsidR="004D21C8" w:rsidRPr="002127B1" w:rsidRDefault="004D21C8" w:rsidP="004D21C8">
            <w:pPr>
              <w:jc w:val="center"/>
              <w:rPr>
                <w:b/>
                <w:bCs/>
                <w:color w:val="000000"/>
                <w:sz w:val="20"/>
                <w:szCs w:val="20"/>
              </w:rPr>
            </w:pPr>
            <w:r w:rsidRPr="002127B1">
              <w:rPr>
                <w:b/>
                <w:bCs/>
                <w:color w:val="000000"/>
                <w:sz w:val="20"/>
                <w:szCs w:val="20"/>
              </w:rPr>
              <w:t xml:space="preserve">New Drivers </w:t>
            </w:r>
          </w:p>
        </w:tc>
        <w:tc>
          <w:tcPr>
            <w:tcW w:w="1465" w:type="dxa"/>
            <w:tcBorders>
              <w:top w:val="nil"/>
              <w:left w:val="nil"/>
              <w:bottom w:val="single" w:sz="4" w:space="0" w:color="auto"/>
              <w:right w:val="single" w:sz="4" w:space="0" w:color="auto"/>
            </w:tcBorders>
            <w:shd w:val="clear" w:color="000000" w:fill="D9D9D9"/>
            <w:vAlign w:val="bottom"/>
            <w:hideMark/>
          </w:tcPr>
          <w:p w14:paraId="01653119" w14:textId="77777777" w:rsidR="004D21C8" w:rsidRPr="002127B1" w:rsidRDefault="004D21C8" w:rsidP="004D21C8">
            <w:pPr>
              <w:jc w:val="center"/>
              <w:rPr>
                <w:b/>
                <w:bCs/>
                <w:color w:val="000000"/>
                <w:sz w:val="20"/>
                <w:szCs w:val="20"/>
              </w:rPr>
            </w:pPr>
            <w:r w:rsidRPr="002127B1">
              <w:rPr>
                <w:b/>
                <w:bCs/>
                <w:color w:val="000000"/>
                <w:sz w:val="20"/>
                <w:szCs w:val="20"/>
              </w:rPr>
              <w:t>New ELD Installed Cost ($ million</w:t>
            </w:r>
            <w:r>
              <w:rPr>
                <w:b/>
                <w:bCs/>
                <w:color w:val="000000"/>
                <w:sz w:val="20"/>
                <w:szCs w:val="20"/>
              </w:rPr>
              <w:t>s</w:t>
            </w:r>
            <w:r w:rsidRPr="002127B1">
              <w:rPr>
                <w:b/>
                <w:bCs/>
                <w:color w:val="000000"/>
                <w:sz w:val="20"/>
                <w:szCs w:val="20"/>
              </w:rPr>
              <w:t>)</w:t>
            </w:r>
          </w:p>
        </w:tc>
        <w:tc>
          <w:tcPr>
            <w:tcW w:w="1876" w:type="dxa"/>
            <w:tcBorders>
              <w:top w:val="nil"/>
              <w:left w:val="nil"/>
              <w:bottom w:val="single" w:sz="4" w:space="0" w:color="auto"/>
              <w:right w:val="single" w:sz="4" w:space="0" w:color="auto"/>
            </w:tcBorders>
            <w:shd w:val="clear" w:color="000000" w:fill="D9D9D9"/>
            <w:vAlign w:val="bottom"/>
            <w:hideMark/>
          </w:tcPr>
          <w:p w14:paraId="22194EFF" w14:textId="77777777" w:rsidR="004D21C8" w:rsidRPr="002127B1" w:rsidRDefault="004D21C8" w:rsidP="004D21C8">
            <w:pPr>
              <w:jc w:val="center"/>
              <w:rPr>
                <w:b/>
                <w:bCs/>
                <w:color w:val="000000"/>
                <w:sz w:val="20"/>
                <w:szCs w:val="20"/>
              </w:rPr>
            </w:pPr>
            <w:r w:rsidRPr="002127B1">
              <w:rPr>
                <w:b/>
                <w:bCs/>
                <w:color w:val="000000"/>
                <w:sz w:val="20"/>
                <w:szCs w:val="20"/>
              </w:rPr>
              <w:t xml:space="preserve">Annual Service Charges </w:t>
            </w:r>
          </w:p>
          <w:p w14:paraId="3FF847FB" w14:textId="77777777" w:rsidR="004D21C8" w:rsidRPr="002127B1" w:rsidRDefault="004D21C8" w:rsidP="004D21C8">
            <w:pPr>
              <w:jc w:val="center"/>
              <w:rPr>
                <w:b/>
                <w:bCs/>
                <w:color w:val="000000"/>
                <w:sz w:val="20"/>
                <w:szCs w:val="20"/>
              </w:rPr>
            </w:pPr>
            <w:r w:rsidRPr="002127B1">
              <w:rPr>
                <w:b/>
                <w:bCs/>
                <w:color w:val="000000"/>
                <w:sz w:val="20"/>
                <w:szCs w:val="20"/>
              </w:rPr>
              <w:t>($ billion)</w:t>
            </w:r>
          </w:p>
        </w:tc>
        <w:tc>
          <w:tcPr>
            <w:tcW w:w="1433" w:type="dxa"/>
            <w:tcBorders>
              <w:top w:val="nil"/>
              <w:left w:val="nil"/>
              <w:bottom w:val="single" w:sz="4" w:space="0" w:color="auto"/>
              <w:right w:val="single" w:sz="4" w:space="0" w:color="auto"/>
            </w:tcBorders>
            <w:shd w:val="clear" w:color="000000" w:fill="D9D9D9"/>
            <w:noWrap/>
            <w:vAlign w:val="bottom"/>
            <w:hideMark/>
          </w:tcPr>
          <w:p w14:paraId="32EE4821" w14:textId="77777777" w:rsidR="004D21C8" w:rsidRPr="002127B1" w:rsidRDefault="004D21C8" w:rsidP="004D21C8">
            <w:pPr>
              <w:jc w:val="center"/>
              <w:rPr>
                <w:b/>
                <w:bCs/>
                <w:color w:val="000000"/>
                <w:sz w:val="20"/>
                <w:szCs w:val="20"/>
              </w:rPr>
            </w:pPr>
            <w:r w:rsidRPr="002127B1">
              <w:rPr>
                <w:b/>
                <w:bCs/>
                <w:color w:val="000000"/>
                <w:sz w:val="20"/>
                <w:szCs w:val="20"/>
              </w:rPr>
              <w:t>Annual Cost</w:t>
            </w:r>
          </w:p>
          <w:p w14:paraId="7A51F758" w14:textId="77777777" w:rsidR="004D21C8" w:rsidRPr="002127B1" w:rsidRDefault="004D21C8" w:rsidP="004D21C8">
            <w:pPr>
              <w:jc w:val="center"/>
              <w:rPr>
                <w:b/>
                <w:bCs/>
                <w:color w:val="000000"/>
                <w:sz w:val="20"/>
                <w:szCs w:val="20"/>
              </w:rPr>
            </w:pPr>
            <w:r w:rsidRPr="002127B1">
              <w:rPr>
                <w:b/>
                <w:bCs/>
                <w:color w:val="000000"/>
                <w:sz w:val="20"/>
                <w:szCs w:val="20"/>
              </w:rPr>
              <w:t xml:space="preserve">($ </w:t>
            </w:r>
            <w:r>
              <w:rPr>
                <w:b/>
                <w:bCs/>
                <w:color w:val="000000"/>
                <w:sz w:val="20"/>
                <w:szCs w:val="20"/>
              </w:rPr>
              <w:t>m</w:t>
            </w:r>
            <w:r w:rsidRPr="002127B1">
              <w:rPr>
                <w:b/>
                <w:bCs/>
                <w:color w:val="000000"/>
                <w:sz w:val="20"/>
                <w:szCs w:val="20"/>
              </w:rPr>
              <w:t>illion</w:t>
            </w:r>
            <w:r>
              <w:rPr>
                <w:b/>
                <w:bCs/>
                <w:color w:val="000000"/>
                <w:sz w:val="20"/>
                <w:szCs w:val="20"/>
              </w:rPr>
              <w:t>s</w:t>
            </w:r>
            <w:r w:rsidRPr="002127B1">
              <w:rPr>
                <w:b/>
                <w:bCs/>
                <w:color w:val="000000"/>
                <w:sz w:val="20"/>
                <w:szCs w:val="20"/>
              </w:rPr>
              <w:t>)</w:t>
            </w:r>
          </w:p>
        </w:tc>
      </w:tr>
      <w:tr w:rsidR="001D4B3E" w:rsidRPr="00F44432" w14:paraId="6626ED67" w14:textId="77777777" w:rsidTr="000C68FA">
        <w:trPr>
          <w:trHeight w:val="276"/>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F49F344" w14:textId="77777777" w:rsidR="001D4B3E" w:rsidRPr="00F44432" w:rsidRDefault="001D4B3E" w:rsidP="001D4B3E">
            <w:pPr>
              <w:rPr>
                <w:bCs/>
                <w:color w:val="000000"/>
                <w:sz w:val="20"/>
                <w:szCs w:val="20"/>
              </w:rPr>
            </w:pPr>
            <w:r w:rsidRPr="00F44432">
              <w:rPr>
                <w:bCs/>
                <w:color w:val="000000"/>
                <w:sz w:val="20"/>
                <w:szCs w:val="20"/>
              </w:rPr>
              <w:t>Year 1</w:t>
            </w:r>
          </w:p>
        </w:tc>
        <w:tc>
          <w:tcPr>
            <w:tcW w:w="1251" w:type="dxa"/>
            <w:tcBorders>
              <w:top w:val="nil"/>
              <w:left w:val="nil"/>
              <w:bottom w:val="single" w:sz="4" w:space="0" w:color="auto"/>
              <w:right w:val="single" w:sz="4" w:space="0" w:color="auto"/>
            </w:tcBorders>
            <w:shd w:val="clear" w:color="auto" w:fill="auto"/>
            <w:noWrap/>
            <w:vAlign w:val="bottom"/>
          </w:tcPr>
          <w:p w14:paraId="43063824" w14:textId="77777777" w:rsidR="001D4B3E" w:rsidRPr="008C2D2A" w:rsidRDefault="001D4B3E" w:rsidP="001D4B3E">
            <w:pPr>
              <w:jc w:val="center"/>
              <w:rPr>
                <w:color w:val="000000"/>
                <w:sz w:val="20"/>
                <w:szCs w:val="20"/>
              </w:rPr>
            </w:pPr>
            <w:r w:rsidRPr="008C2D2A">
              <w:rPr>
                <w:sz w:val="20"/>
                <w:szCs w:val="20"/>
              </w:rPr>
              <w:t>3.40</w:t>
            </w:r>
          </w:p>
        </w:tc>
        <w:tc>
          <w:tcPr>
            <w:tcW w:w="1625" w:type="dxa"/>
            <w:tcBorders>
              <w:top w:val="nil"/>
              <w:left w:val="nil"/>
              <w:bottom w:val="single" w:sz="4" w:space="0" w:color="auto"/>
              <w:right w:val="single" w:sz="4" w:space="0" w:color="auto"/>
            </w:tcBorders>
            <w:shd w:val="clear" w:color="auto" w:fill="auto"/>
            <w:noWrap/>
            <w:vAlign w:val="bottom"/>
          </w:tcPr>
          <w:p w14:paraId="60A49F02" w14:textId="77777777" w:rsidR="001D4B3E" w:rsidRPr="008C2D2A" w:rsidRDefault="001D4B3E" w:rsidP="001D4B3E">
            <w:pPr>
              <w:jc w:val="center"/>
              <w:rPr>
                <w:color w:val="000000"/>
                <w:sz w:val="20"/>
                <w:szCs w:val="20"/>
              </w:rPr>
            </w:pPr>
            <w:r w:rsidRPr="008C2D2A">
              <w:rPr>
                <w:sz w:val="20"/>
                <w:szCs w:val="20"/>
              </w:rPr>
              <w:t>20,095</w:t>
            </w:r>
          </w:p>
        </w:tc>
        <w:tc>
          <w:tcPr>
            <w:tcW w:w="1465" w:type="dxa"/>
            <w:tcBorders>
              <w:top w:val="nil"/>
              <w:left w:val="nil"/>
              <w:bottom w:val="single" w:sz="4" w:space="0" w:color="auto"/>
              <w:right w:val="single" w:sz="4" w:space="0" w:color="auto"/>
            </w:tcBorders>
            <w:shd w:val="clear" w:color="auto" w:fill="auto"/>
            <w:noWrap/>
            <w:vAlign w:val="bottom"/>
          </w:tcPr>
          <w:p w14:paraId="2674F914" w14:textId="77777777" w:rsidR="001D4B3E" w:rsidRPr="008C2D2A" w:rsidRDefault="001D4B3E" w:rsidP="001D4B3E">
            <w:pPr>
              <w:jc w:val="center"/>
              <w:rPr>
                <w:color w:val="000000"/>
                <w:sz w:val="20"/>
                <w:szCs w:val="20"/>
              </w:rPr>
            </w:pPr>
            <w:r w:rsidRPr="008C2D2A">
              <w:rPr>
                <w:sz w:val="20"/>
                <w:szCs w:val="20"/>
              </w:rPr>
              <w:t>$12.06</w:t>
            </w:r>
          </w:p>
        </w:tc>
        <w:tc>
          <w:tcPr>
            <w:tcW w:w="1876" w:type="dxa"/>
            <w:tcBorders>
              <w:top w:val="nil"/>
              <w:left w:val="nil"/>
              <w:bottom w:val="single" w:sz="4" w:space="0" w:color="auto"/>
              <w:right w:val="single" w:sz="4" w:space="0" w:color="auto"/>
            </w:tcBorders>
            <w:shd w:val="clear" w:color="auto" w:fill="auto"/>
            <w:noWrap/>
            <w:vAlign w:val="bottom"/>
          </w:tcPr>
          <w:p w14:paraId="70843693" w14:textId="1E03B5B6" w:rsidR="001D4B3E" w:rsidRPr="002F66AC" w:rsidRDefault="001D4B3E" w:rsidP="001D4B3E">
            <w:pPr>
              <w:jc w:val="center"/>
              <w:rPr>
                <w:color w:val="000000"/>
                <w:sz w:val="20"/>
                <w:szCs w:val="20"/>
              </w:rPr>
            </w:pPr>
            <w:r w:rsidRPr="000C68FA">
              <w:rPr>
                <w:sz w:val="20"/>
                <w:szCs w:val="20"/>
              </w:rPr>
              <w:t>$1,346.10</w:t>
            </w:r>
          </w:p>
        </w:tc>
        <w:tc>
          <w:tcPr>
            <w:tcW w:w="1433" w:type="dxa"/>
            <w:tcBorders>
              <w:top w:val="nil"/>
              <w:left w:val="nil"/>
              <w:bottom w:val="single" w:sz="4" w:space="0" w:color="auto"/>
              <w:right w:val="single" w:sz="4" w:space="0" w:color="auto"/>
            </w:tcBorders>
            <w:shd w:val="clear" w:color="auto" w:fill="auto"/>
            <w:noWrap/>
            <w:vAlign w:val="bottom"/>
          </w:tcPr>
          <w:p w14:paraId="1B2E9C17" w14:textId="0F5EBFD7" w:rsidR="001D4B3E" w:rsidRPr="002F66AC" w:rsidRDefault="001D4B3E" w:rsidP="001D4B3E">
            <w:pPr>
              <w:jc w:val="center"/>
              <w:rPr>
                <w:color w:val="000000"/>
                <w:sz w:val="20"/>
                <w:szCs w:val="20"/>
              </w:rPr>
            </w:pPr>
            <w:r w:rsidRPr="000C68FA">
              <w:rPr>
                <w:sz w:val="20"/>
                <w:szCs w:val="20"/>
              </w:rPr>
              <w:t>$1,358.16</w:t>
            </w:r>
          </w:p>
        </w:tc>
      </w:tr>
      <w:tr w:rsidR="001D4B3E" w:rsidRPr="00F44432" w14:paraId="2DD5DA27" w14:textId="77777777" w:rsidTr="000C68FA">
        <w:trPr>
          <w:trHeight w:val="276"/>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E6E7A75" w14:textId="77777777" w:rsidR="001D4B3E" w:rsidRPr="00F44432" w:rsidRDefault="001D4B3E" w:rsidP="001D4B3E">
            <w:pPr>
              <w:rPr>
                <w:bCs/>
                <w:color w:val="000000"/>
                <w:sz w:val="20"/>
                <w:szCs w:val="20"/>
              </w:rPr>
            </w:pPr>
            <w:r w:rsidRPr="00F44432">
              <w:rPr>
                <w:bCs/>
                <w:color w:val="000000"/>
                <w:sz w:val="20"/>
                <w:szCs w:val="20"/>
              </w:rPr>
              <w:t>Year 2</w:t>
            </w:r>
          </w:p>
        </w:tc>
        <w:tc>
          <w:tcPr>
            <w:tcW w:w="1251" w:type="dxa"/>
            <w:tcBorders>
              <w:top w:val="nil"/>
              <w:left w:val="nil"/>
              <w:bottom w:val="single" w:sz="4" w:space="0" w:color="auto"/>
              <w:right w:val="single" w:sz="4" w:space="0" w:color="auto"/>
            </w:tcBorders>
            <w:shd w:val="clear" w:color="auto" w:fill="auto"/>
            <w:noWrap/>
            <w:vAlign w:val="bottom"/>
          </w:tcPr>
          <w:p w14:paraId="6F5CC5E0" w14:textId="77777777" w:rsidR="001D4B3E" w:rsidRPr="008C2D2A" w:rsidRDefault="001D4B3E" w:rsidP="001D4B3E">
            <w:pPr>
              <w:jc w:val="center"/>
              <w:rPr>
                <w:color w:val="000000"/>
                <w:sz w:val="20"/>
                <w:szCs w:val="20"/>
              </w:rPr>
            </w:pPr>
            <w:r w:rsidRPr="008C2D2A">
              <w:rPr>
                <w:sz w:val="20"/>
                <w:szCs w:val="20"/>
              </w:rPr>
              <w:t>3.42</w:t>
            </w:r>
          </w:p>
        </w:tc>
        <w:tc>
          <w:tcPr>
            <w:tcW w:w="1625" w:type="dxa"/>
            <w:tcBorders>
              <w:top w:val="nil"/>
              <w:left w:val="nil"/>
              <w:bottom w:val="single" w:sz="4" w:space="0" w:color="auto"/>
              <w:right w:val="single" w:sz="4" w:space="0" w:color="auto"/>
            </w:tcBorders>
            <w:shd w:val="clear" w:color="auto" w:fill="auto"/>
            <w:noWrap/>
            <w:vAlign w:val="bottom"/>
          </w:tcPr>
          <w:p w14:paraId="55200774" w14:textId="77777777" w:rsidR="001D4B3E" w:rsidRPr="008C2D2A" w:rsidRDefault="001D4B3E" w:rsidP="001D4B3E">
            <w:pPr>
              <w:jc w:val="center"/>
              <w:rPr>
                <w:color w:val="000000"/>
                <w:sz w:val="20"/>
                <w:szCs w:val="20"/>
              </w:rPr>
            </w:pPr>
            <w:r w:rsidRPr="008C2D2A">
              <w:rPr>
                <w:sz w:val="20"/>
                <w:szCs w:val="20"/>
              </w:rPr>
              <w:t>20,215</w:t>
            </w:r>
          </w:p>
        </w:tc>
        <w:tc>
          <w:tcPr>
            <w:tcW w:w="1465" w:type="dxa"/>
            <w:tcBorders>
              <w:top w:val="nil"/>
              <w:left w:val="nil"/>
              <w:bottom w:val="single" w:sz="4" w:space="0" w:color="auto"/>
              <w:right w:val="single" w:sz="4" w:space="0" w:color="auto"/>
            </w:tcBorders>
            <w:shd w:val="clear" w:color="auto" w:fill="auto"/>
            <w:noWrap/>
            <w:vAlign w:val="bottom"/>
          </w:tcPr>
          <w:p w14:paraId="48CAC854" w14:textId="77777777" w:rsidR="001D4B3E" w:rsidRPr="008C2D2A" w:rsidRDefault="001D4B3E" w:rsidP="001D4B3E">
            <w:pPr>
              <w:jc w:val="center"/>
              <w:rPr>
                <w:color w:val="000000"/>
                <w:sz w:val="20"/>
                <w:szCs w:val="20"/>
              </w:rPr>
            </w:pPr>
            <w:r w:rsidRPr="008C2D2A">
              <w:rPr>
                <w:sz w:val="20"/>
                <w:szCs w:val="20"/>
              </w:rPr>
              <w:t>$12.13</w:t>
            </w:r>
          </w:p>
        </w:tc>
        <w:tc>
          <w:tcPr>
            <w:tcW w:w="1876" w:type="dxa"/>
            <w:tcBorders>
              <w:top w:val="nil"/>
              <w:left w:val="nil"/>
              <w:bottom w:val="single" w:sz="4" w:space="0" w:color="auto"/>
              <w:right w:val="single" w:sz="4" w:space="0" w:color="auto"/>
            </w:tcBorders>
            <w:shd w:val="clear" w:color="auto" w:fill="auto"/>
            <w:noWrap/>
            <w:vAlign w:val="bottom"/>
          </w:tcPr>
          <w:p w14:paraId="26741A88" w14:textId="40F261D7" w:rsidR="001D4B3E" w:rsidRPr="002F66AC" w:rsidRDefault="001D4B3E" w:rsidP="001D4B3E">
            <w:pPr>
              <w:jc w:val="center"/>
              <w:rPr>
                <w:color w:val="000000"/>
                <w:sz w:val="20"/>
                <w:szCs w:val="20"/>
              </w:rPr>
            </w:pPr>
            <w:r w:rsidRPr="000C68FA">
              <w:rPr>
                <w:sz w:val="20"/>
                <w:szCs w:val="20"/>
              </w:rPr>
              <w:t>$1,354.11</w:t>
            </w:r>
          </w:p>
        </w:tc>
        <w:tc>
          <w:tcPr>
            <w:tcW w:w="1433" w:type="dxa"/>
            <w:tcBorders>
              <w:top w:val="nil"/>
              <w:left w:val="nil"/>
              <w:bottom w:val="single" w:sz="4" w:space="0" w:color="auto"/>
              <w:right w:val="single" w:sz="4" w:space="0" w:color="auto"/>
            </w:tcBorders>
            <w:shd w:val="clear" w:color="auto" w:fill="auto"/>
            <w:noWrap/>
            <w:vAlign w:val="bottom"/>
          </w:tcPr>
          <w:p w14:paraId="4F2A88FB" w14:textId="2DA03A91" w:rsidR="001D4B3E" w:rsidRPr="002F66AC" w:rsidRDefault="001D4B3E" w:rsidP="001D4B3E">
            <w:pPr>
              <w:jc w:val="center"/>
              <w:rPr>
                <w:color w:val="000000"/>
                <w:sz w:val="20"/>
                <w:szCs w:val="20"/>
              </w:rPr>
            </w:pPr>
            <w:r w:rsidRPr="000C68FA">
              <w:rPr>
                <w:sz w:val="20"/>
                <w:szCs w:val="20"/>
              </w:rPr>
              <w:t>$1,366.23</w:t>
            </w:r>
          </w:p>
        </w:tc>
      </w:tr>
      <w:tr w:rsidR="001D4B3E" w:rsidRPr="00F44432" w14:paraId="7F8F91D3" w14:textId="77777777" w:rsidTr="000C68FA">
        <w:trPr>
          <w:trHeight w:val="276"/>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01EE343" w14:textId="77777777" w:rsidR="001D4B3E" w:rsidRPr="00F44432" w:rsidRDefault="001D4B3E" w:rsidP="001D4B3E">
            <w:pPr>
              <w:rPr>
                <w:bCs/>
                <w:color w:val="000000"/>
                <w:sz w:val="20"/>
                <w:szCs w:val="20"/>
              </w:rPr>
            </w:pPr>
            <w:r w:rsidRPr="00F44432">
              <w:rPr>
                <w:bCs/>
                <w:color w:val="000000"/>
                <w:sz w:val="20"/>
                <w:szCs w:val="20"/>
              </w:rPr>
              <w:t>Year 3</w:t>
            </w:r>
          </w:p>
        </w:tc>
        <w:tc>
          <w:tcPr>
            <w:tcW w:w="1251" w:type="dxa"/>
            <w:tcBorders>
              <w:top w:val="nil"/>
              <w:left w:val="nil"/>
              <w:bottom w:val="single" w:sz="4" w:space="0" w:color="auto"/>
              <w:right w:val="single" w:sz="4" w:space="0" w:color="auto"/>
            </w:tcBorders>
            <w:shd w:val="clear" w:color="auto" w:fill="auto"/>
            <w:noWrap/>
            <w:vAlign w:val="bottom"/>
          </w:tcPr>
          <w:p w14:paraId="3C0133B1" w14:textId="77777777" w:rsidR="001D4B3E" w:rsidRPr="008C2D2A" w:rsidRDefault="001D4B3E" w:rsidP="001D4B3E">
            <w:pPr>
              <w:jc w:val="center"/>
              <w:rPr>
                <w:color w:val="000000"/>
                <w:sz w:val="20"/>
                <w:szCs w:val="20"/>
              </w:rPr>
            </w:pPr>
            <w:r w:rsidRPr="008C2D2A">
              <w:rPr>
                <w:sz w:val="20"/>
                <w:szCs w:val="20"/>
              </w:rPr>
              <w:t>3.44</w:t>
            </w:r>
          </w:p>
        </w:tc>
        <w:tc>
          <w:tcPr>
            <w:tcW w:w="1625" w:type="dxa"/>
            <w:tcBorders>
              <w:top w:val="nil"/>
              <w:left w:val="nil"/>
              <w:bottom w:val="single" w:sz="4" w:space="0" w:color="auto"/>
              <w:right w:val="single" w:sz="4" w:space="0" w:color="auto"/>
            </w:tcBorders>
            <w:shd w:val="clear" w:color="auto" w:fill="auto"/>
            <w:noWrap/>
            <w:vAlign w:val="bottom"/>
          </w:tcPr>
          <w:p w14:paraId="1528E98B" w14:textId="77777777" w:rsidR="001D4B3E" w:rsidRPr="008C2D2A" w:rsidRDefault="001D4B3E" w:rsidP="001D4B3E">
            <w:pPr>
              <w:jc w:val="center"/>
              <w:rPr>
                <w:color w:val="000000"/>
                <w:sz w:val="20"/>
                <w:szCs w:val="20"/>
              </w:rPr>
            </w:pPr>
            <w:r w:rsidRPr="008C2D2A">
              <w:rPr>
                <w:sz w:val="20"/>
                <w:szCs w:val="20"/>
              </w:rPr>
              <w:t>20,335</w:t>
            </w:r>
          </w:p>
        </w:tc>
        <w:tc>
          <w:tcPr>
            <w:tcW w:w="1465" w:type="dxa"/>
            <w:tcBorders>
              <w:top w:val="nil"/>
              <w:left w:val="nil"/>
              <w:bottom w:val="single" w:sz="4" w:space="0" w:color="auto"/>
              <w:right w:val="single" w:sz="4" w:space="0" w:color="auto"/>
            </w:tcBorders>
            <w:shd w:val="clear" w:color="auto" w:fill="auto"/>
            <w:noWrap/>
            <w:vAlign w:val="bottom"/>
          </w:tcPr>
          <w:p w14:paraId="5D942BFF" w14:textId="77777777" w:rsidR="001D4B3E" w:rsidRPr="008C2D2A" w:rsidRDefault="001D4B3E" w:rsidP="001D4B3E">
            <w:pPr>
              <w:jc w:val="center"/>
              <w:rPr>
                <w:color w:val="000000"/>
                <w:sz w:val="20"/>
                <w:szCs w:val="20"/>
              </w:rPr>
            </w:pPr>
            <w:r w:rsidRPr="008C2D2A">
              <w:rPr>
                <w:sz w:val="20"/>
                <w:szCs w:val="20"/>
              </w:rPr>
              <w:t>$12.20</w:t>
            </w:r>
          </w:p>
        </w:tc>
        <w:tc>
          <w:tcPr>
            <w:tcW w:w="1876" w:type="dxa"/>
            <w:tcBorders>
              <w:top w:val="nil"/>
              <w:left w:val="nil"/>
              <w:bottom w:val="single" w:sz="4" w:space="0" w:color="auto"/>
              <w:right w:val="single" w:sz="4" w:space="0" w:color="auto"/>
            </w:tcBorders>
            <w:shd w:val="clear" w:color="auto" w:fill="auto"/>
            <w:noWrap/>
            <w:vAlign w:val="bottom"/>
          </w:tcPr>
          <w:p w14:paraId="1868BFD0" w14:textId="76F38EC2" w:rsidR="001D4B3E" w:rsidRPr="002F66AC" w:rsidRDefault="001D4B3E" w:rsidP="001D4B3E">
            <w:pPr>
              <w:jc w:val="center"/>
              <w:rPr>
                <w:color w:val="000000"/>
                <w:sz w:val="20"/>
                <w:szCs w:val="20"/>
              </w:rPr>
            </w:pPr>
            <w:r w:rsidRPr="000C68FA">
              <w:rPr>
                <w:sz w:val="20"/>
                <w:szCs w:val="20"/>
              </w:rPr>
              <w:t>$1,362.16</w:t>
            </w:r>
          </w:p>
        </w:tc>
        <w:tc>
          <w:tcPr>
            <w:tcW w:w="1433" w:type="dxa"/>
            <w:tcBorders>
              <w:top w:val="nil"/>
              <w:left w:val="nil"/>
              <w:bottom w:val="single" w:sz="4" w:space="0" w:color="auto"/>
              <w:right w:val="single" w:sz="4" w:space="0" w:color="auto"/>
            </w:tcBorders>
            <w:shd w:val="clear" w:color="auto" w:fill="auto"/>
            <w:noWrap/>
            <w:vAlign w:val="bottom"/>
          </w:tcPr>
          <w:p w14:paraId="059350CE" w14:textId="78B8B09E" w:rsidR="001D4B3E" w:rsidRPr="002F66AC" w:rsidRDefault="001D4B3E" w:rsidP="001D4B3E">
            <w:pPr>
              <w:jc w:val="center"/>
              <w:rPr>
                <w:color w:val="000000"/>
                <w:sz w:val="20"/>
                <w:szCs w:val="20"/>
              </w:rPr>
            </w:pPr>
            <w:r w:rsidRPr="000C68FA">
              <w:rPr>
                <w:sz w:val="20"/>
                <w:szCs w:val="20"/>
              </w:rPr>
              <w:t>$1,374.36</w:t>
            </w:r>
          </w:p>
        </w:tc>
      </w:tr>
      <w:tr w:rsidR="001D4B3E" w:rsidRPr="00F44432" w14:paraId="31BBB91B" w14:textId="77777777" w:rsidTr="000C68FA">
        <w:trPr>
          <w:trHeight w:val="276"/>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41DA4530" w14:textId="77777777" w:rsidR="001D4B3E" w:rsidRPr="00F44432" w:rsidRDefault="001D4B3E" w:rsidP="001D4B3E">
            <w:pPr>
              <w:rPr>
                <w:b/>
                <w:bCs/>
                <w:color w:val="000000"/>
                <w:sz w:val="20"/>
                <w:szCs w:val="20"/>
              </w:rPr>
            </w:pPr>
            <w:r w:rsidRPr="00F44432">
              <w:rPr>
                <w:b/>
                <w:bCs/>
                <w:color w:val="000000"/>
                <w:sz w:val="20"/>
                <w:szCs w:val="20"/>
              </w:rPr>
              <w:t>Average</w:t>
            </w:r>
          </w:p>
        </w:tc>
        <w:tc>
          <w:tcPr>
            <w:tcW w:w="1251" w:type="dxa"/>
            <w:tcBorders>
              <w:top w:val="nil"/>
              <w:left w:val="nil"/>
              <w:bottom w:val="single" w:sz="4" w:space="0" w:color="auto"/>
              <w:right w:val="single" w:sz="4" w:space="0" w:color="auto"/>
            </w:tcBorders>
            <w:shd w:val="clear" w:color="auto" w:fill="auto"/>
            <w:noWrap/>
            <w:vAlign w:val="bottom"/>
          </w:tcPr>
          <w:p w14:paraId="6D9D0DE3" w14:textId="77777777" w:rsidR="001D4B3E" w:rsidRPr="008C2D2A" w:rsidRDefault="001D4B3E" w:rsidP="001D4B3E">
            <w:pPr>
              <w:jc w:val="center"/>
              <w:rPr>
                <w:color w:val="000000"/>
                <w:sz w:val="20"/>
                <w:szCs w:val="20"/>
              </w:rPr>
            </w:pPr>
            <w:r w:rsidRPr="008C2D2A">
              <w:rPr>
                <w:sz w:val="20"/>
                <w:szCs w:val="20"/>
              </w:rPr>
              <w:t>3.42</w:t>
            </w:r>
          </w:p>
        </w:tc>
        <w:tc>
          <w:tcPr>
            <w:tcW w:w="1625" w:type="dxa"/>
            <w:tcBorders>
              <w:top w:val="nil"/>
              <w:left w:val="nil"/>
              <w:bottom w:val="single" w:sz="4" w:space="0" w:color="auto"/>
              <w:right w:val="single" w:sz="4" w:space="0" w:color="auto"/>
            </w:tcBorders>
            <w:shd w:val="clear" w:color="auto" w:fill="auto"/>
            <w:noWrap/>
            <w:vAlign w:val="bottom"/>
          </w:tcPr>
          <w:p w14:paraId="3D2ABA4C" w14:textId="77777777" w:rsidR="001D4B3E" w:rsidRPr="008C2D2A" w:rsidRDefault="001D4B3E" w:rsidP="001D4B3E">
            <w:pPr>
              <w:jc w:val="center"/>
              <w:rPr>
                <w:color w:val="000000"/>
                <w:sz w:val="20"/>
                <w:szCs w:val="20"/>
              </w:rPr>
            </w:pPr>
            <w:r w:rsidRPr="008C2D2A">
              <w:rPr>
                <w:sz w:val="20"/>
                <w:szCs w:val="20"/>
              </w:rPr>
              <w:t xml:space="preserve">20,215 </w:t>
            </w:r>
          </w:p>
        </w:tc>
        <w:tc>
          <w:tcPr>
            <w:tcW w:w="1465" w:type="dxa"/>
            <w:tcBorders>
              <w:top w:val="nil"/>
              <w:left w:val="nil"/>
              <w:bottom w:val="single" w:sz="4" w:space="0" w:color="auto"/>
              <w:right w:val="single" w:sz="4" w:space="0" w:color="auto"/>
            </w:tcBorders>
            <w:shd w:val="clear" w:color="auto" w:fill="auto"/>
            <w:noWrap/>
            <w:vAlign w:val="bottom"/>
          </w:tcPr>
          <w:p w14:paraId="2B39C0C4" w14:textId="77777777" w:rsidR="001D4B3E" w:rsidRPr="008C2D2A" w:rsidRDefault="001D4B3E" w:rsidP="001D4B3E">
            <w:pPr>
              <w:jc w:val="center"/>
              <w:rPr>
                <w:color w:val="000000"/>
                <w:sz w:val="20"/>
                <w:szCs w:val="20"/>
              </w:rPr>
            </w:pPr>
            <w:r w:rsidRPr="008C2D2A">
              <w:rPr>
                <w:sz w:val="20"/>
                <w:szCs w:val="20"/>
              </w:rPr>
              <w:t>$12.13</w:t>
            </w:r>
          </w:p>
        </w:tc>
        <w:tc>
          <w:tcPr>
            <w:tcW w:w="1876" w:type="dxa"/>
            <w:tcBorders>
              <w:top w:val="nil"/>
              <w:left w:val="nil"/>
              <w:bottom w:val="single" w:sz="4" w:space="0" w:color="auto"/>
              <w:right w:val="single" w:sz="4" w:space="0" w:color="auto"/>
            </w:tcBorders>
            <w:shd w:val="clear" w:color="auto" w:fill="auto"/>
            <w:noWrap/>
            <w:vAlign w:val="bottom"/>
          </w:tcPr>
          <w:p w14:paraId="61A4D9CC" w14:textId="605C9F3F" w:rsidR="001D4B3E" w:rsidRPr="002F66AC" w:rsidRDefault="001D4B3E" w:rsidP="001D4B3E">
            <w:pPr>
              <w:jc w:val="center"/>
              <w:rPr>
                <w:color w:val="000000"/>
                <w:sz w:val="20"/>
                <w:szCs w:val="20"/>
              </w:rPr>
            </w:pPr>
            <w:r w:rsidRPr="000C68FA">
              <w:rPr>
                <w:sz w:val="20"/>
                <w:szCs w:val="20"/>
              </w:rPr>
              <w:t>$1,354.12</w:t>
            </w:r>
          </w:p>
        </w:tc>
        <w:tc>
          <w:tcPr>
            <w:tcW w:w="1433" w:type="dxa"/>
            <w:tcBorders>
              <w:top w:val="nil"/>
              <w:left w:val="nil"/>
              <w:bottom w:val="single" w:sz="4" w:space="0" w:color="auto"/>
              <w:right w:val="single" w:sz="4" w:space="0" w:color="auto"/>
            </w:tcBorders>
            <w:shd w:val="clear" w:color="auto" w:fill="auto"/>
            <w:noWrap/>
            <w:vAlign w:val="bottom"/>
          </w:tcPr>
          <w:p w14:paraId="0C44429A" w14:textId="5C562BD8" w:rsidR="001D4B3E" w:rsidRPr="002F66AC" w:rsidRDefault="001D4B3E" w:rsidP="001D4B3E">
            <w:pPr>
              <w:jc w:val="center"/>
              <w:rPr>
                <w:color w:val="000000"/>
                <w:sz w:val="20"/>
                <w:szCs w:val="20"/>
              </w:rPr>
            </w:pPr>
            <w:r w:rsidRPr="000C68FA">
              <w:rPr>
                <w:sz w:val="20"/>
                <w:szCs w:val="20"/>
              </w:rPr>
              <w:t>$1,366.25</w:t>
            </w:r>
          </w:p>
        </w:tc>
      </w:tr>
    </w:tbl>
    <w:p w14:paraId="3B1C8BD4" w14:textId="77777777" w:rsidR="00433EA8" w:rsidRDefault="00433EA8" w:rsidP="004367CC">
      <w:pPr>
        <w:rPr>
          <w:b/>
        </w:rPr>
      </w:pPr>
    </w:p>
    <w:p w14:paraId="0BE19C35" w14:textId="298A5646" w:rsidR="004367CC" w:rsidRDefault="004367CC" w:rsidP="004367CC">
      <w:r w:rsidRPr="00C7348B">
        <w:rPr>
          <w:b/>
        </w:rPr>
        <w:t xml:space="preserve">14.  Estimate of </w:t>
      </w:r>
      <w:r>
        <w:rPr>
          <w:b/>
        </w:rPr>
        <w:t>a</w:t>
      </w:r>
      <w:r w:rsidRPr="00C7348B">
        <w:rPr>
          <w:b/>
        </w:rPr>
        <w:t>nnual cost to the Federal government</w:t>
      </w:r>
      <w:r w:rsidRPr="00C7348B">
        <w:t>:</w:t>
      </w:r>
    </w:p>
    <w:p w14:paraId="693249E9" w14:textId="77777777" w:rsidR="004367CC" w:rsidRDefault="004367CC" w:rsidP="004367CC"/>
    <w:p w14:paraId="494A5360" w14:textId="77777777" w:rsidR="00596BD9" w:rsidRDefault="0026674F" w:rsidP="004367CC">
      <w:r>
        <w:t>I</w:t>
      </w:r>
      <w:r w:rsidR="00F52B08">
        <w:t xml:space="preserve">nformation </w:t>
      </w:r>
      <w:r>
        <w:t xml:space="preserve">recorded and </w:t>
      </w:r>
      <w:r w:rsidR="00F52B08">
        <w:t xml:space="preserve">collected </w:t>
      </w:r>
      <w:r>
        <w:t xml:space="preserve">by drivers and motor carriers pursuant to Federal and State HOS requirements </w:t>
      </w:r>
      <w:r w:rsidR="00F52B08">
        <w:t xml:space="preserve">is not submitted to the </w:t>
      </w:r>
      <w:r>
        <w:t>FMCSA</w:t>
      </w:r>
      <w:r w:rsidR="008665CE">
        <w:t>.</w:t>
      </w:r>
      <w:r>
        <w:t xml:space="preserve"> </w:t>
      </w:r>
      <w:r w:rsidR="008665CE">
        <w:t>Thus, the Federal government does not incur labor, contractor, data</w:t>
      </w:r>
      <w:r w:rsidRPr="00C7348B">
        <w:t xml:space="preserve"> </w:t>
      </w:r>
      <w:r>
        <w:t xml:space="preserve">collection, transmission or storage </w:t>
      </w:r>
      <w:r w:rsidRPr="00C7348B">
        <w:t>cost</w:t>
      </w:r>
      <w:r>
        <w:t>s</w:t>
      </w:r>
      <w:r w:rsidR="008665CE">
        <w:t>.</w:t>
      </w:r>
    </w:p>
    <w:p w14:paraId="436D5AA6" w14:textId="77777777" w:rsidR="00596BD9" w:rsidRDefault="00596BD9" w:rsidP="004367CC"/>
    <w:p w14:paraId="553B64CD" w14:textId="77777777" w:rsidR="00330546" w:rsidRDefault="004367CC" w:rsidP="004367CC">
      <w:pPr>
        <w:rPr>
          <w:b/>
        </w:rPr>
      </w:pPr>
      <w:r w:rsidRPr="00C56C84">
        <w:rPr>
          <w:b/>
        </w:rPr>
        <w:t>15.  Explanation of program changes or adjustments:</w:t>
      </w:r>
    </w:p>
    <w:p w14:paraId="6296E5C9" w14:textId="77777777" w:rsidR="00330546" w:rsidRDefault="00330546" w:rsidP="004367CC">
      <w:pPr>
        <w:rPr>
          <w:b/>
        </w:rPr>
      </w:pPr>
    </w:p>
    <w:p w14:paraId="51FA3DA4" w14:textId="70DCF640" w:rsidR="002200D8" w:rsidRDefault="008423E2" w:rsidP="00330546">
      <w:r w:rsidRPr="00472920">
        <w:t xml:space="preserve">Table </w:t>
      </w:r>
      <w:r w:rsidR="00AC3514">
        <w:t>10</w:t>
      </w:r>
      <w:r w:rsidRPr="00472920">
        <w:t xml:space="preserve"> summarizes the </w:t>
      </w:r>
      <w:r w:rsidR="002200D8">
        <w:t>adjustment to burden hours for program changes and adjustments</w:t>
      </w:r>
      <w:r w:rsidR="00212877">
        <w:t xml:space="preserve"> made in this ICR relative to the current</w:t>
      </w:r>
      <w:r w:rsidR="00AC3514">
        <w:t>ly approved</w:t>
      </w:r>
      <w:r w:rsidR="00212877">
        <w:t xml:space="preserve"> IC</w:t>
      </w:r>
      <w:r w:rsidR="00AC3514">
        <w:t>R</w:t>
      </w:r>
      <w:r w:rsidR="002200D8">
        <w:t xml:space="preserve">. </w:t>
      </w:r>
    </w:p>
    <w:p w14:paraId="081B8C75" w14:textId="77777777" w:rsidR="002200D8" w:rsidRDefault="002200D8" w:rsidP="00330546"/>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4190"/>
        <w:gridCol w:w="4406"/>
      </w:tblGrid>
      <w:tr w:rsidR="002200D8" w:rsidRPr="00721D60" w14:paraId="17CAA26E" w14:textId="77777777" w:rsidTr="004D21C8">
        <w:trPr>
          <w:trHeight w:hRule="exact" w:val="576"/>
          <w:tblHeader/>
          <w:jc w:val="center"/>
        </w:trPr>
        <w:tc>
          <w:tcPr>
            <w:tcW w:w="10023" w:type="dxa"/>
            <w:gridSpan w:val="3"/>
            <w:tcBorders>
              <w:top w:val="nil"/>
              <w:left w:val="nil"/>
              <w:right w:val="nil"/>
            </w:tcBorders>
            <w:shd w:val="clear" w:color="auto" w:fill="auto"/>
            <w:vAlign w:val="bottom"/>
          </w:tcPr>
          <w:p w14:paraId="23E809BF" w14:textId="67DFEDF5" w:rsidR="002200D8" w:rsidRPr="004E3B7E" w:rsidRDefault="004D21C8" w:rsidP="00CF3034">
            <w:pPr>
              <w:jc w:val="center"/>
              <w:rPr>
                <w:b/>
                <w:bCs/>
                <w:color w:val="000000"/>
                <w:sz w:val="20"/>
                <w:szCs w:val="20"/>
              </w:rPr>
            </w:pPr>
            <w:bookmarkStart w:id="6" w:name="OLE_LINK2"/>
            <w:r>
              <w:rPr>
                <w:b/>
                <w:bCs/>
                <w:color w:val="000000"/>
                <w:sz w:val="20"/>
                <w:szCs w:val="20"/>
              </w:rPr>
              <w:t xml:space="preserve">Table </w:t>
            </w:r>
            <w:r w:rsidR="00AC3514">
              <w:rPr>
                <w:b/>
                <w:bCs/>
                <w:color w:val="000000"/>
                <w:sz w:val="20"/>
                <w:szCs w:val="20"/>
              </w:rPr>
              <w:t>10</w:t>
            </w:r>
            <w:r>
              <w:rPr>
                <w:b/>
                <w:bCs/>
                <w:color w:val="000000"/>
                <w:sz w:val="20"/>
                <w:szCs w:val="20"/>
              </w:rPr>
              <w:t xml:space="preserve">. </w:t>
            </w:r>
            <w:r w:rsidR="00212877" w:rsidRPr="004E3B7E">
              <w:rPr>
                <w:b/>
                <w:bCs/>
                <w:color w:val="000000"/>
                <w:sz w:val="20"/>
                <w:szCs w:val="20"/>
              </w:rPr>
              <w:t>Program Adjustments</w:t>
            </w:r>
          </w:p>
        </w:tc>
      </w:tr>
      <w:tr w:rsidR="00741315" w:rsidRPr="00721D60" w14:paraId="588AD43A" w14:textId="77777777" w:rsidTr="002200D8">
        <w:trPr>
          <w:trHeight w:val="773"/>
          <w:tblHeader/>
          <w:jc w:val="center"/>
        </w:trPr>
        <w:tc>
          <w:tcPr>
            <w:tcW w:w="1427" w:type="dxa"/>
            <w:shd w:val="clear" w:color="auto" w:fill="D9D9D9" w:themeFill="background1" w:themeFillShade="D9"/>
            <w:vAlign w:val="center"/>
          </w:tcPr>
          <w:p w14:paraId="53C618B9" w14:textId="77777777" w:rsidR="002200D8" w:rsidRPr="004E3B7E" w:rsidRDefault="002200D8" w:rsidP="00CF3034">
            <w:pPr>
              <w:jc w:val="center"/>
              <w:rPr>
                <w:bCs/>
                <w:color w:val="000000"/>
                <w:sz w:val="20"/>
                <w:szCs w:val="20"/>
              </w:rPr>
            </w:pPr>
          </w:p>
        </w:tc>
        <w:tc>
          <w:tcPr>
            <w:tcW w:w="4190" w:type="dxa"/>
            <w:shd w:val="clear" w:color="auto" w:fill="D9D9D9" w:themeFill="background1" w:themeFillShade="D9"/>
            <w:vAlign w:val="center"/>
          </w:tcPr>
          <w:p w14:paraId="71AF44F9" w14:textId="77777777" w:rsidR="002200D8" w:rsidRPr="004E3B7E" w:rsidRDefault="002200D8" w:rsidP="00CF3034">
            <w:pPr>
              <w:jc w:val="center"/>
              <w:rPr>
                <w:b/>
                <w:bCs/>
                <w:color w:val="000000"/>
                <w:sz w:val="20"/>
                <w:szCs w:val="20"/>
              </w:rPr>
            </w:pPr>
            <w:r w:rsidRPr="004E3B7E">
              <w:rPr>
                <w:b/>
                <w:bCs/>
                <w:color w:val="000000"/>
                <w:sz w:val="20"/>
                <w:szCs w:val="20"/>
              </w:rPr>
              <w:t>OMB Approval of December 21, 2015</w:t>
            </w:r>
          </w:p>
        </w:tc>
        <w:tc>
          <w:tcPr>
            <w:tcW w:w="4406" w:type="dxa"/>
            <w:shd w:val="clear" w:color="auto" w:fill="D9D9D9" w:themeFill="background1" w:themeFillShade="D9"/>
            <w:vAlign w:val="center"/>
          </w:tcPr>
          <w:p w14:paraId="6BF60781" w14:textId="77777777" w:rsidR="002200D8" w:rsidRPr="004E3B7E" w:rsidRDefault="002200D8" w:rsidP="00CF3034">
            <w:pPr>
              <w:jc w:val="center"/>
              <w:rPr>
                <w:b/>
                <w:bCs/>
                <w:color w:val="000000"/>
                <w:sz w:val="20"/>
                <w:szCs w:val="20"/>
              </w:rPr>
            </w:pPr>
            <w:r w:rsidRPr="004E3B7E">
              <w:rPr>
                <w:b/>
                <w:bCs/>
                <w:color w:val="000000"/>
                <w:sz w:val="20"/>
                <w:szCs w:val="20"/>
              </w:rPr>
              <w:t>This ICR</w:t>
            </w:r>
          </w:p>
        </w:tc>
      </w:tr>
      <w:tr w:rsidR="00741315" w:rsidRPr="00721D60" w14:paraId="229F2205" w14:textId="77777777" w:rsidTr="00CF3034">
        <w:trPr>
          <w:trHeight w:val="1538"/>
          <w:jc w:val="center"/>
        </w:trPr>
        <w:tc>
          <w:tcPr>
            <w:tcW w:w="1427" w:type="dxa"/>
            <w:shd w:val="clear" w:color="auto" w:fill="auto"/>
            <w:vAlign w:val="center"/>
          </w:tcPr>
          <w:p w14:paraId="60FC925B" w14:textId="77777777" w:rsidR="002200D8" w:rsidRPr="004E3B7E" w:rsidRDefault="002200D8" w:rsidP="00CF3034">
            <w:pPr>
              <w:jc w:val="center"/>
              <w:rPr>
                <w:bCs/>
                <w:color w:val="000000"/>
                <w:sz w:val="20"/>
                <w:szCs w:val="20"/>
              </w:rPr>
            </w:pPr>
            <w:r w:rsidRPr="004E3B7E">
              <w:rPr>
                <w:bCs/>
                <w:color w:val="000000"/>
                <w:sz w:val="20"/>
                <w:szCs w:val="20"/>
              </w:rPr>
              <w:t>CMV Drivers Subject to HOS Recordkeeping Requirements</w:t>
            </w:r>
          </w:p>
        </w:tc>
        <w:tc>
          <w:tcPr>
            <w:tcW w:w="4190" w:type="dxa"/>
            <w:vAlign w:val="center"/>
          </w:tcPr>
          <w:p w14:paraId="54878C5E" w14:textId="77777777" w:rsidR="002200D8" w:rsidRPr="004E3B7E" w:rsidRDefault="002200D8" w:rsidP="00CF3034">
            <w:pPr>
              <w:jc w:val="center"/>
              <w:rPr>
                <w:bCs/>
                <w:color w:val="000000"/>
                <w:sz w:val="20"/>
                <w:szCs w:val="20"/>
              </w:rPr>
            </w:pPr>
            <w:r w:rsidRPr="004E3B7E">
              <w:rPr>
                <w:bCs/>
                <w:color w:val="000000"/>
                <w:sz w:val="20"/>
                <w:szCs w:val="20"/>
              </w:rPr>
              <w:t xml:space="preserve"> Year 1:  3.44 million</w:t>
            </w:r>
          </w:p>
          <w:p w14:paraId="6F20CDC8" w14:textId="77777777" w:rsidR="002200D8" w:rsidRPr="004E3B7E" w:rsidRDefault="002200D8" w:rsidP="00CF3034">
            <w:pPr>
              <w:jc w:val="center"/>
              <w:rPr>
                <w:bCs/>
                <w:color w:val="000000"/>
                <w:sz w:val="20"/>
                <w:szCs w:val="20"/>
              </w:rPr>
            </w:pPr>
            <w:r w:rsidRPr="004E3B7E">
              <w:rPr>
                <w:bCs/>
                <w:color w:val="000000"/>
                <w:sz w:val="20"/>
                <w:szCs w:val="20"/>
              </w:rPr>
              <w:t>Year 2:  3.48 million</w:t>
            </w:r>
          </w:p>
          <w:p w14:paraId="5883777A" w14:textId="77777777" w:rsidR="002200D8" w:rsidRPr="004E3B7E" w:rsidRDefault="002200D8" w:rsidP="00CF3034">
            <w:pPr>
              <w:jc w:val="center"/>
              <w:rPr>
                <w:bCs/>
                <w:color w:val="000000"/>
                <w:sz w:val="20"/>
                <w:szCs w:val="20"/>
              </w:rPr>
            </w:pPr>
            <w:r w:rsidRPr="004E3B7E">
              <w:rPr>
                <w:bCs/>
                <w:color w:val="000000"/>
                <w:sz w:val="20"/>
                <w:szCs w:val="20"/>
              </w:rPr>
              <w:t>Year 3:  3.51 million</w:t>
            </w:r>
          </w:p>
          <w:p w14:paraId="468B6D0B" w14:textId="77777777" w:rsidR="002200D8" w:rsidRPr="004E3B7E" w:rsidRDefault="002200D8" w:rsidP="00CF3034">
            <w:pPr>
              <w:jc w:val="center"/>
              <w:rPr>
                <w:bCs/>
                <w:color w:val="000000"/>
                <w:sz w:val="20"/>
                <w:szCs w:val="20"/>
              </w:rPr>
            </w:pPr>
            <w:r w:rsidRPr="004E3B7E">
              <w:rPr>
                <w:bCs/>
                <w:color w:val="000000"/>
                <w:sz w:val="20"/>
                <w:szCs w:val="20"/>
              </w:rPr>
              <w:t>Average: 3.48 million</w:t>
            </w:r>
          </w:p>
        </w:tc>
        <w:tc>
          <w:tcPr>
            <w:tcW w:w="4406" w:type="dxa"/>
            <w:shd w:val="clear" w:color="auto" w:fill="auto"/>
            <w:vAlign w:val="center"/>
          </w:tcPr>
          <w:p w14:paraId="6DE32426" w14:textId="14B8C1D3" w:rsidR="002200D8" w:rsidRPr="004E3B7E" w:rsidRDefault="002200D8" w:rsidP="00CF3034">
            <w:pPr>
              <w:jc w:val="center"/>
              <w:rPr>
                <w:bCs/>
                <w:color w:val="000000"/>
                <w:sz w:val="20"/>
                <w:szCs w:val="20"/>
              </w:rPr>
            </w:pPr>
            <w:r w:rsidRPr="004E3B7E">
              <w:rPr>
                <w:bCs/>
                <w:color w:val="000000"/>
                <w:sz w:val="20"/>
                <w:szCs w:val="20"/>
              </w:rPr>
              <w:t xml:space="preserve">Year 1: </w:t>
            </w:r>
            <w:r w:rsidR="008C2D2A">
              <w:rPr>
                <w:bCs/>
                <w:color w:val="000000"/>
                <w:sz w:val="20"/>
                <w:szCs w:val="20"/>
              </w:rPr>
              <w:t>3</w:t>
            </w:r>
            <w:r w:rsidR="00F96DEB">
              <w:rPr>
                <w:bCs/>
                <w:color w:val="000000"/>
                <w:sz w:val="20"/>
                <w:szCs w:val="20"/>
              </w:rPr>
              <w:t>.</w:t>
            </w:r>
            <w:r w:rsidR="008C2D2A">
              <w:rPr>
                <w:bCs/>
                <w:color w:val="000000"/>
                <w:sz w:val="20"/>
                <w:szCs w:val="20"/>
              </w:rPr>
              <w:t xml:space="preserve">40 </w:t>
            </w:r>
            <w:r w:rsidRPr="004E3B7E">
              <w:rPr>
                <w:bCs/>
                <w:color w:val="000000"/>
                <w:sz w:val="20"/>
                <w:szCs w:val="20"/>
              </w:rPr>
              <w:t xml:space="preserve">million </w:t>
            </w:r>
          </w:p>
          <w:p w14:paraId="3DEEA7E3" w14:textId="77777777" w:rsidR="002200D8" w:rsidRPr="004E3B7E" w:rsidRDefault="002200D8" w:rsidP="00CF3034">
            <w:pPr>
              <w:jc w:val="center"/>
              <w:rPr>
                <w:bCs/>
                <w:color w:val="000000"/>
                <w:sz w:val="20"/>
                <w:szCs w:val="20"/>
              </w:rPr>
            </w:pPr>
            <w:r w:rsidRPr="004E3B7E">
              <w:rPr>
                <w:bCs/>
                <w:color w:val="000000"/>
                <w:sz w:val="20"/>
                <w:szCs w:val="20"/>
              </w:rPr>
              <w:t xml:space="preserve">Year 2:  </w:t>
            </w:r>
            <w:r w:rsidR="008C2D2A">
              <w:rPr>
                <w:bCs/>
                <w:color w:val="000000"/>
                <w:sz w:val="20"/>
                <w:szCs w:val="20"/>
              </w:rPr>
              <w:t>3.42</w:t>
            </w:r>
            <w:r w:rsidRPr="004E3B7E">
              <w:rPr>
                <w:bCs/>
                <w:color w:val="000000"/>
                <w:sz w:val="20"/>
                <w:szCs w:val="20"/>
              </w:rPr>
              <w:t xml:space="preserve"> million</w:t>
            </w:r>
          </w:p>
          <w:p w14:paraId="07AB8077" w14:textId="77777777" w:rsidR="002200D8" w:rsidRPr="004E3B7E" w:rsidRDefault="002200D8" w:rsidP="00CF3034">
            <w:pPr>
              <w:jc w:val="center"/>
              <w:rPr>
                <w:bCs/>
                <w:color w:val="000000"/>
                <w:sz w:val="20"/>
                <w:szCs w:val="20"/>
              </w:rPr>
            </w:pPr>
            <w:r w:rsidRPr="004E3B7E">
              <w:rPr>
                <w:bCs/>
                <w:color w:val="000000"/>
                <w:sz w:val="20"/>
                <w:szCs w:val="20"/>
              </w:rPr>
              <w:t xml:space="preserve">Year 3: </w:t>
            </w:r>
            <w:r w:rsidR="008C2D2A">
              <w:rPr>
                <w:bCs/>
                <w:color w:val="000000"/>
                <w:sz w:val="20"/>
                <w:szCs w:val="20"/>
              </w:rPr>
              <w:t>3.44</w:t>
            </w:r>
            <w:r w:rsidRPr="004E3B7E">
              <w:rPr>
                <w:bCs/>
                <w:color w:val="000000"/>
                <w:sz w:val="20"/>
                <w:szCs w:val="20"/>
              </w:rPr>
              <w:t xml:space="preserve"> million</w:t>
            </w:r>
          </w:p>
          <w:p w14:paraId="596C1644" w14:textId="77777777" w:rsidR="002200D8" w:rsidRPr="004E3B7E" w:rsidRDefault="002200D8" w:rsidP="00CF3034">
            <w:pPr>
              <w:jc w:val="center"/>
              <w:rPr>
                <w:bCs/>
                <w:color w:val="000000"/>
                <w:sz w:val="20"/>
                <w:szCs w:val="20"/>
              </w:rPr>
            </w:pPr>
            <w:r w:rsidRPr="004E3B7E">
              <w:rPr>
                <w:bCs/>
                <w:color w:val="000000"/>
                <w:sz w:val="20"/>
                <w:szCs w:val="20"/>
              </w:rPr>
              <w:t xml:space="preserve">Average: </w:t>
            </w:r>
            <w:r w:rsidR="008C2D2A">
              <w:rPr>
                <w:bCs/>
                <w:color w:val="000000"/>
                <w:sz w:val="20"/>
                <w:szCs w:val="20"/>
              </w:rPr>
              <w:t>3.42</w:t>
            </w:r>
            <w:r w:rsidRPr="004E3B7E">
              <w:rPr>
                <w:bCs/>
                <w:color w:val="000000"/>
                <w:sz w:val="20"/>
                <w:szCs w:val="20"/>
              </w:rPr>
              <w:t xml:space="preserve"> million</w:t>
            </w:r>
          </w:p>
        </w:tc>
      </w:tr>
      <w:tr w:rsidR="00741315" w:rsidRPr="00721D60" w14:paraId="0D183EA4" w14:textId="77777777" w:rsidTr="004E3B7E">
        <w:trPr>
          <w:trHeight w:hRule="exact" w:val="1152"/>
          <w:jc w:val="center"/>
        </w:trPr>
        <w:tc>
          <w:tcPr>
            <w:tcW w:w="1427" w:type="dxa"/>
            <w:shd w:val="clear" w:color="auto" w:fill="auto"/>
            <w:vAlign w:val="center"/>
          </w:tcPr>
          <w:p w14:paraId="4DE8E232" w14:textId="77777777" w:rsidR="008719D4" w:rsidRDefault="008719D4" w:rsidP="00CF3034">
            <w:pPr>
              <w:jc w:val="center"/>
              <w:rPr>
                <w:bCs/>
                <w:color w:val="000000"/>
                <w:sz w:val="20"/>
                <w:szCs w:val="20"/>
              </w:rPr>
            </w:pPr>
            <w:r w:rsidRPr="004E3B7E">
              <w:rPr>
                <w:bCs/>
                <w:color w:val="000000"/>
                <w:sz w:val="20"/>
                <w:szCs w:val="20"/>
              </w:rPr>
              <w:t>Mandatory Electronic RODS</w:t>
            </w:r>
          </w:p>
        </w:tc>
        <w:tc>
          <w:tcPr>
            <w:tcW w:w="4190" w:type="dxa"/>
            <w:vAlign w:val="center"/>
          </w:tcPr>
          <w:p w14:paraId="7A3A83D5" w14:textId="429A39E4" w:rsidR="008719D4" w:rsidRDefault="008719D4" w:rsidP="008719D4">
            <w:pPr>
              <w:rPr>
                <w:bCs/>
                <w:color w:val="000000"/>
                <w:sz w:val="20"/>
                <w:szCs w:val="20"/>
              </w:rPr>
            </w:pPr>
            <w:r w:rsidRPr="004E3B7E">
              <w:rPr>
                <w:bCs/>
                <w:color w:val="000000"/>
                <w:sz w:val="20"/>
                <w:szCs w:val="20"/>
              </w:rPr>
              <w:t>Assumed voluntary use of ELD for 20 percent</w:t>
            </w:r>
            <w:r w:rsidR="0066723A">
              <w:rPr>
                <w:bCs/>
                <w:color w:val="000000"/>
                <w:sz w:val="20"/>
                <w:szCs w:val="20"/>
              </w:rPr>
              <w:t xml:space="preserve"> of</w:t>
            </w:r>
            <w:r w:rsidRPr="004E3B7E">
              <w:rPr>
                <w:bCs/>
                <w:color w:val="000000"/>
                <w:sz w:val="20"/>
                <w:szCs w:val="20"/>
              </w:rPr>
              <w:t xml:space="preserve"> the driver population in Year 1 and 22 percent in Year 2.</w:t>
            </w:r>
            <w:r>
              <w:rPr>
                <w:bCs/>
                <w:color w:val="000000"/>
                <w:sz w:val="20"/>
                <w:szCs w:val="20"/>
              </w:rPr>
              <w:t xml:space="preserve"> </w:t>
            </w:r>
            <w:r w:rsidRPr="004E3B7E">
              <w:rPr>
                <w:bCs/>
                <w:color w:val="000000"/>
                <w:sz w:val="20"/>
                <w:szCs w:val="20"/>
              </w:rPr>
              <w:t>Electronic RODS mandatory in Year 3</w:t>
            </w:r>
          </w:p>
        </w:tc>
        <w:tc>
          <w:tcPr>
            <w:tcW w:w="4406" w:type="dxa"/>
            <w:shd w:val="clear" w:color="auto" w:fill="auto"/>
            <w:vAlign w:val="center"/>
          </w:tcPr>
          <w:p w14:paraId="31E08342" w14:textId="77777777" w:rsidR="008719D4" w:rsidRPr="004E3B7E" w:rsidRDefault="00051842" w:rsidP="00CF3034">
            <w:pPr>
              <w:rPr>
                <w:bCs/>
                <w:color w:val="000000"/>
                <w:sz w:val="20"/>
                <w:szCs w:val="20"/>
              </w:rPr>
            </w:pPr>
            <w:r w:rsidRPr="004E3B7E">
              <w:rPr>
                <w:bCs/>
                <w:color w:val="000000"/>
                <w:sz w:val="20"/>
                <w:szCs w:val="20"/>
              </w:rPr>
              <w:t>Affected drivers must submit electronic RODS for the entire collection period for this ICR.</w:t>
            </w:r>
          </w:p>
        </w:tc>
      </w:tr>
      <w:tr w:rsidR="00741315" w:rsidRPr="00721D60" w14:paraId="4A45E406" w14:textId="77777777" w:rsidTr="004E3B7E">
        <w:trPr>
          <w:trHeight w:hRule="exact" w:val="1152"/>
          <w:jc w:val="center"/>
        </w:trPr>
        <w:tc>
          <w:tcPr>
            <w:tcW w:w="1427" w:type="dxa"/>
            <w:shd w:val="clear" w:color="auto" w:fill="auto"/>
            <w:vAlign w:val="center"/>
          </w:tcPr>
          <w:p w14:paraId="7627CDE0" w14:textId="77777777" w:rsidR="001D0DB8" w:rsidRDefault="001D0DB8" w:rsidP="00CF3034">
            <w:pPr>
              <w:jc w:val="center"/>
              <w:rPr>
                <w:bCs/>
                <w:color w:val="000000"/>
                <w:sz w:val="20"/>
                <w:szCs w:val="20"/>
              </w:rPr>
            </w:pPr>
            <w:r>
              <w:rPr>
                <w:bCs/>
                <w:color w:val="000000"/>
                <w:sz w:val="20"/>
                <w:szCs w:val="20"/>
              </w:rPr>
              <w:t>Motor Carriers</w:t>
            </w:r>
          </w:p>
          <w:p w14:paraId="70120255" w14:textId="77777777" w:rsidR="001D0DB8" w:rsidRPr="004E3B7E" w:rsidRDefault="001D0DB8" w:rsidP="00CF3034">
            <w:pPr>
              <w:jc w:val="center"/>
              <w:rPr>
                <w:bCs/>
                <w:color w:val="000000"/>
                <w:sz w:val="20"/>
                <w:szCs w:val="20"/>
              </w:rPr>
            </w:pPr>
            <w:r>
              <w:rPr>
                <w:bCs/>
                <w:color w:val="000000"/>
                <w:sz w:val="20"/>
                <w:szCs w:val="20"/>
              </w:rPr>
              <w:t xml:space="preserve">Review 50% of RODS </w:t>
            </w:r>
          </w:p>
        </w:tc>
        <w:tc>
          <w:tcPr>
            <w:tcW w:w="4190" w:type="dxa"/>
            <w:vAlign w:val="center"/>
          </w:tcPr>
          <w:p w14:paraId="7DF06FBC" w14:textId="3EE58DB4" w:rsidR="001D0DB8" w:rsidRPr="004E3B7E" w:rsidRDefault="00B14425" w:rsidP="00CF3034">
            <w:pPr>
              <w:rPr>
                <w:bCs/>
                <w:color w:val="000000"/>
                <w:sz w:val="20"/>
                <w:szCs w:val="20"/>
              </w:rPr>
            </w:pPr>
            <w:r w:rsidRPr="00B14425">
              <w:rPr>
                <w:bCs/>
                <w:color w:val="000000"/>
                <w:sz w:val="20"/>
                <w:szCs w:val="20"/>
              </w:rPr>
              <w:t>Three-year average burden hours estimated at 13.</w:t>
            </w:r>
            <w:r>
              <w:rPr>
                <w:bCs/>
                <w:color w:val="000000"/>
                <w:sz w:val="20"/>
                <w:szCs w:val="20"/>
              </w:rPr>
              <w:t>91</w:t>
            </w:r>
            <w:r w:rsidRPr="00B14425">
              <w:rPr>
                <w:bCs/>
                <w:color w:val="000000"/>
                <w:sz w:val="20"/>
                <w:szCs w:val="20"/>
              </w:rPr>
              <w:t xml:space="preserve"> </w:t>
            </w:r>
            <w:r>
              <w:rPr>
                <w:bCs/>
                <w:color w:val="000000"/>
                <w:sz w:val="20"/>
                <w:szCs w:val="20"/>
              </w:rPr>
              <w:t>million hours</w:t>
            </w:r>
          </w:p>
        </w:tc>
        <w:tc>
          <w:tcPr>
            <w:tcW w:w="4406" w:type="dxa"/>
            <w:shd w:val="clear" w:color="auto" w:fill="auto"/>
            <w:vAlign w:val="center"/>
          </w:tcPr>
          <w:p w14:paraId="0BFB7F0E" w14:textId="73034FC3" w:rsidR="001D0DB8" w:rsidRPr="004E3B7E" w:rsidRDefault="00051842" w:rsidP="00CF3034">
            <w:pPr>
              <w:rPr>
                <w:bCs/>
                <w:color w:val="000000"/>
                <w:sz w:val="20"/>
                <w:szCs w:val="20"/>
              </w:rPr>
            </w:pPr>
            <w:r>
              <w:rPr>
                <w:bCs/>
                <w:color w:val="000000"/>
                <w:sz w:val="20"/>
                <w:szCs w:val="20"/>
              </w:rPr>
              <w:t xml:space="preserve">Three-year average burden hours estimated at 13.68 million </w:t>
            </w:r>
            <w:r w:rsidR="00B14425">
              <w:rPr>
                <w:bCs/>
                <w:color w:val="000000"/>
                <w:sz w:val="20"/>
                <w:szCs w:val="20"/>
              </w:rPr>
              <w:t>hours. The downward revision is the result of a revised estimate of the driver population shown above.</w:t>
            </w:r>
          </w:p>
        </w:tc>
      </w:tr>
      <w:tr w:rsidR="00741315" w:rsidRPr="00721D60" w14:paraId="24112462" w14:textId="77777777" w:rsidTr="004E3B7E">
        <w:trPr>
          <w:trHeight w:hRule="exact" w:val="1152"/>
          <w:jc w:val="center"/>
        </w:trPr>
        <w:tc>
          <w:tcPr>
            <w:tcW w:w="1427" w:type="dxa"/>
            <w:shd w:val="clear" w:color="auto" w:fill="auto"/>
            <w:vAlign w:val="center"/>
          </w:tcPr>
          <w:p w14:paraId="76498CE6" w14:textId="77777777" w:rsidR="002200D8" w:rsidRPr="004E3B7E" w:rsidRDefault="002200D8" w:rsidP="00CF3034">
            <w:pPr>
              <w:jc w:val="center"/>
              <w:rPr>
                <w:bCs/>
                <w:color w:val="000000"/>
                <w:sz w:val="20"/>
                <w:szCs w:val="20"/>
              </w:rPr>
            </w:pPr>
            <w:r w:rsidRPr="004E3B7E">
              <w:rPr>
                <w:bCs/>
                <w:color w:val="000000"/>
                <w:sz w:val="20"/>
                <w:szCs w:val="20"/>
              </w:rPr>
              <w:t xml:space="preserve">Motor Carriers Subject to </w:t>
            </w:r>
            <w:r w:rsidR="00741315">
              <w:rPr>
                <w:bCs/>
                <w:color w:val="000000"/>
                <w:sz w:val="20"/>
                <w:szCs w:val="20"/>
              </w:rPr>
              <w:t xml:space="preserve">RODS </w:t>
            </w:r>
            <w:r w:rsidRPr="004E3B7E">
              <w:rPr>
                <w:bCs/>
                <w:color w:val="000000"/>
                <w:sz w:val="20"/>
                <w:szCs w:val="20"/>
              </w:rPr>
              <w:t>Recordkeeping Requirements</w:t>
            </w:r>
          </w:p>
        </w:tc>
        <w:tc>
          <w:tcPr>
            <w:tcW w:w="4190" w:type="dxa"/>
            <w:vAlign w:val="center"/>
          </w:tcPr>
          <w:p w14:paraId="7EAF41C5" w14:textId="77777777" w:rsidR="002200D8" w:rsidRPr="004E3B7E" w:rsidRDefault="002200D8" w:rsidP="00CF3034">
            <w:pPr>
              <w:rPr>
                <w:bCs/>
                <w:color w:val="000000"/>
                <w:sz w:val="20"/>
                <w:szCs w:val="20"/>
              </w:rPr>
            </w:pPr>
            <w:r w:rsidRPr="004E3B7E">
              <w:rPr>
                <w:bCs/>
                <w:color w:val="000000"/>
                <w:sz w:val="20"/>
                <w:szCs w:val="20"/>
              </w:rPr>
              <w:t>540,000</w:t>
            </w:r>
          </w:p>
        </w:tc>
        <w:tc>
          <w:tcPr>
            <w:tcW w:w="4406" w:type="dxa"/>
            <w:shd w:val="clear" w:color="auto" w:fill="auto"/>
            <w:vAlign w:val="center"/>
          </w:tcPr>
          <w:p w14:paraId="247B2A43" w14:textId="77777777" w:rsidR="002200D8" w:rsidRPr="004E3B7E" w:rsidRDefault="002200D8" w:rsidP="00CF3034">
            <w:pPr>
              <w:rPr>
                <w:bCs/>
                <w:color w:val="000000"/>
                <w:sz w:val="20"/>
                <w:szCs w:val="20"/>
              </w:rPr>
            </w:pPr>
            <w:r w:rsidRPr="004E3B7E">
              <w:rPr>
                <w:bCs/>
                <w:color w:val="000000"/>
                <w:sz w:val="20"/>
                <w:szCs w:val="20"/>
              </w:rPr>
              <w:t xml:space="preserve">Motor carrier </w:t>
            </w:r>
            <w:r w:rsidR="00741315">
              <w:rPr>
                <w:bCs/>
                <w:color w:val="000000"/>
                <w:sz w:val="20"/>
                <w:szCs w:val="20"/>
              </w:rPr>
              <w:t xml:space="preserve">RODS recordkeeping task eliminated </w:t>
            </w:r>
            <w:r w:rsidR="00D93B4B">
              <w:rPr>
                <w:bCs/>
                <w:color w:val="000000"/>
                <w:sz w:val="20"/>
                <w:szCs w:val="20"/>
              </w:rPr>
              <w:t xml:space="preserve">based on 100 percent compliance with the ELD </w:t>
            </w:r>
          </w:p>
        </w:tc>
      </w:tr>
      <w:tr w:rsidR="005473EC" w:rsidRPr="00721D60" w14:paraId="065CCB67" w14:textId="77777777" w:rsidTr="000C68FA">
        <w:trPr>
          <w:trHeight w:hRule="exact" w:val="1612"/>
          <w:jc w:val="center"/>
        </w:trPr>
        <w:tc>
          <w:tcPr>
            <w:tcW w:w="1427" w:type="dxa"/>
            <w:shd w:val="clear" w:color="auto" w:fill="auto"/>
            <w:vAlign w:val="center"/>
          </w:tcPr>
          <w:p w14:paraId="40AD877D" w14:textId="579AF87D" w:rsidR="005473EC" w:rsidRPr="004E3B7E" w:rsidRDefault="005473EC" w:rsidP="005473EC">
            <w:pPr>
              <w:jc w:val="center"/>
              <w:rPr>
                <w:bCs/>
                <w:color w:val="000000"/>
                <w:sz w:val="20"/>
                <w:szCs w:val="20"/>
              </w:rPr>
            </w:pPr>
            <w:r w:rsidRPr="004E3B7E">
              <w:rPr>
                <w:bCs/>
                <w:color w:val="000000"/>
                <w:sz w:val="20"/>
                <w:szCs w:val="20"/>
              </w:rPr>
              <w:t xml:space="preserve">Motor Carrier Supporting Document Recordkeeping </w:t>
            </w:r>
          </w:p>
        </w:tc>
        <w:tc>
          <w:tcPr>
            <w:tcW w:w="4190" w:type="dxa"/>
            <w:vAlign w:val="center"/>
          </w:tcPr>
          <w:p w14:paraId="5C338F9D" w14:textId="6F3BB4BD" w:rsidR="005473EC" w:rsidRPr="004E3B7E" w:rsidRDefault="005473EC" w:rsidP="005473EC">
            <w:pPr>
              <w:rPr>
                <w:bCs/>
                <w:color w:val="000000"/>
                <w:sz w:val="20"/>
                <w:szCs w:val="20"/>
              </w:rPr>
            </w:pPr>
            <w:r w:rsidRPr="004E3B7E">
              <w:rPr>
                <w:bCs/>
                <w:color w:val="000000"/>
                <w:sz w:val="20"/>
                <w:szCs w:val="20"/>
              </w:rPr>
              <w:t>Included in estimate of motor carrier burden hours.</w:t>
            </w:r>
          </w:p>
        </w:tc>
        <w:tc>
          <w:tcPr>
            <w:tcW w:w="4406" w:type="dxa"/>
            <w:shd w:val="clear" w:color="auto" w:fill="auto"/>
            <w:vAlign w:val="center"/>
          </w:tcPr>
          <w:p w14:paraId="411965A2" w14:textId="2907B1AE" w:rsidR="005473EC" w:rsidRPr="004E3B7E" w:rsidRDefault="005473EC" w:rsidP="005473EC">
            <w:pPr>
              <w:rPr>
                <w:bCs/>
                <w:color w:val="000000"/>
                <w:sz w:val="20"/>
                <w:szCs w:val="20"/>
              </w:rPr>
            </w:pPr>
            <w:r w:rsidRPr="004E3B7E">
              <w:rPr>
                <w:bCs/>
                <w:color w:val="000000"/>
                <w:sz w:val="20"/>
                <w:szCs w:val="20"/>
              </w:rPr>
              <w:t>Excluded from motor carrier burden hours as a “usual and customary” activity required to</w:t>
            </w:r>
            <w:r>
              <w:rPr>
                <w:bCs/>
                <w:color w:val="000000"/>
                <w:sz w:val="20"/>
                <w:szCs w:val="20"/>
              </w:rPr>
              <w:t xml:space="preserve"> determine </w:t>
            </w:r>
            <w:r w:rsidRPr="004E3B7E">
              <w:rPr>
                <w:bCs/>
                <w:color w:val="000000"/>
                <w:sz w:val="20"/>
                <w:szCs w:val="20"/>
              </w:rPr>
              <w:t>taxable income.</w:t>
            </w:r>
          </w:p>
        </w:tc>
      </w:tr>
      <w:tr w:rsidR="005473EC" w:rsidRPr="00721D60" w14:paraId="166595BA" w14:textId="77777777" w:rsidTr="004E3B7E">
        <w:trPr>
          <w:trHeight w:hRule="exact" w:val="1261"/>
          <w:jc w:val="center"/>
        </w:trPr>
        <w:tc>
          <w:tcPr>
            <w:tcW w:w="1427" w:type="dxa"/>
            <w:shd w:val="clear" w:color="auto" w:fill="auto"/>
            <w:vAlign w:val="bottom"/>
          </w:tcPr>
          <w:p w14:paraId="30F3CFD6" w14:textId="77777777" w:rsidR="005473EC" w:rsidRPr="004E3B7E" w:rsidRDefault="005473EC" w:rsidP="005473EC">
            <w:pPr>
              <w:jc w:val="center"/>
              <w:rPr>
                <w:bCs/>
                <w:color w:val="000000"/>
                <w:sz w:val="20"/>
                <w:szCs w:val="20"/>
              </w:rPr>
            </w:pPr>
            <w:r w:rsidRPr="004E3B7E">
              <w:rPr>
                <w:bCs/>
                <w:color w:val="000000"/>
                <w:sz w:val="20"/>
                <w:szCs w:val="20"/>
              </w:rPr>
              <w:t>Monetized Driver and Motor Carrier Burden Hours</w:t>
            </w:r>
          </w:p>
          <w:p w14:paraId="14791F09" w14:textId="77777777" w:rsidR="005473EC" w:rsidRPr="004E3B7E" w:rsidRDefault="005473EC" w:rsidP="005473EC">
            <w:pPr>
              <w:jc w:val="center"/>
              <w:rPr>
                <w:bCs/>
                <w:color w:val="000000"/>
                <w:sz w:val="20"/>
                <w:szCs w:val="20"/>
              </w:rPr>
            </w:pPr>
          </w:p>
        </w:tc>
        <w:tc>
          <w:tcPr>
            <w:tcW w:w="4190" w:type="dxa"/>
            <w:vAlign w:val="center"/>
          </w:tcPr>
          <w:p w14:paraId="05A84B07" w14:textId="77777777" w:rsidR="005473EC" w:rsidRPr="004E3B7E" w:rsidRDefault="005473EC" w:rsidP="005473EC">
            <w:pPr>
              <w:rPr>
                <w:bCs/>
                <w:color w:val="000000"/>
                <w:sz w:val="20"/>
                <w:szCs w:val="20"/>
              </w:rPr>
            </w:pPr>
            <w:r w:rsidRPr="004E3B7E">
              <w:rPr>
                <w:bCs/>
                <w:color w:val="000000"/>
                <w:sz w:val="20"/>
                <w:szCs w:val="20"/>
              </w:rPr>
              <w:t>Not Monetized</w:t>
            </w:r>
          </w:p>
        </w:tc>
        <w:tc>
          <w:tcPr>
            <w:tcW w:w="4406" w:type="dxa"/>
            <w:shd w:val="clear" w:color="auto" w:fill="auto"/>
            <w:vAlign w:val="center"/>
          </w:tcPr>
          <w:p w14:paraId="24530C35" w14:textId="77777777" w:rsidR="005473EC" w:rsidRPr="004E3B7E" w:rsidRDefault="005473EC" w:rsidP="005473EC">
            <w:pPr>
              <w:rPr>
                <w:bCs/>
                <w:color w:val="000000"/>
                <w:sz w:val="20"/>
                <w:szCs w:val="20"/>
              </w:rPr>
            </w:pPr>
          </w:p>
          <w:p w14:paraId="21081DBB" w14:textId="15219035" w:rsidR="005473EC" w:rsidRPr="004E3B7E" w:rsidRDefault="005473EC" w:rsidP="005473EC">
            <w:pPr>
              <w:rPr>
                <w:bCs/>
                <w:color w:val="000000"/>
                <w:sz w:val="20"/>
                <w:szCs w:val="20"/>
              </w:rPr>
            </w:pPr>
            <w:r w:rsidRPr="004E3B7E">
              <w:rPr>
                <w:bCs/>
                <w:color w:val="000000"/>
                <w:sz w:val="20"/>
                <w:szCs w:val="20"/>
              </w:rPr>
              <w:t xml:space="preserve">Driver burden hours monetized at $36.25 per hour including fringe benefits and motor carrier overhead. </w:t>
            </w:r>
            <w:r>
              <w:rPr>
                <w:bCs/>
                <w:color w:val="000000"/>
                <w:sz w:val="20"/>
                <w:szCs w:val="20"/>
              </w:rPr>
              <w:t>M</w:t>
            </w:r>
            <w:r w:rsidRPr="004E3B7E">
              <w:rPr>
                <w:bCs/>
                <w:color w:val="000000"/>
                <w:sz w:val="20"/>
                <w:szCs w:val="20"/>
              </w:rPr>
              <w:t xml:space="preserve">otor carrier burden hours </w:t>
            </w:r>
            <w:r>
              <w:rPr>
                <w:bCs/>
                <w:color w:val="000000"/>
                <w:sz w:val="20"/>
                <w:szCs w:val="20"/>
              </w:rPr>
              <w:t>are monetized at $37.73 per hour</w:t>
            </w:r>
          </w:p>
          <w:p w14:paraId="4F69458E" w14:textId="77777777" w:rsidR="005473EC" w:rsidRPr="004E3B7E" w:rsidRDefault="005473EC" w:rsidP="005473EC">
            <w:pPr>
              <w:rPr>
                <w:bCs/>
                <w:color w:val="000000"/>
                <w:sz w:val="20"/>
                <w:szCs w:val="20"/>
              </w:rPr>
            </w:pPr>
          </w:p>
          <w:p w14:paraId="149E4263" w14:textId="77777777" w:rsidR="005473EC" w:rsidRPr="004E3B7E" w:rsidRDefault="005473EC" w:rsidP="005473EC">
            <w:pPr>
              <w:rPr>
                <w:bCs/>
                <w:color w:val="000000"/>
                <w:sz w:val="20"/>
                <w:szCs w:val="20"/>
              </w:rPr>
            </w:pPr>
          </w:p>
        </w:tc>
      </w:tr>
      <w:tr w:rsidR="005473EC" w:rsidRPr="00721D60" w14:paraId="17134CB0" w14:textId="77777777" w:rsidTr="000C68FA">
        <w:trPr>
          <w:trHeight w:hRule="exact" w:val="720"/>
          <w:jc w:val="center"/>
        </w:trPr>
        <w:tc>
          <w:tcPr>
            <w:tcW w:w="1427" w:type="dxa"/>
            <w:shd w:val="clear" w:color="auto" w:fill="auto"/>
            <w:vAlign w:val="center"/>
          </w:tcPr>
          <w:p w14:paraId="2F2365CA" w14:textId="77777777" w:rsidR="005473EC" w:rsidRDefault="005473EC" w:rsidP="005473EC">
            <w:pPr>
              <w:jc w:val="center"/>
              <w:rPr>
                <w:bCs/>
                <w:color w:val="000000"/>
                <w:sz w:val="20"/>
                <w:szCs w:val="20"/>
              </w:rPr>
            </w:pPr>
            <w:r w:rsidRPr="004E3B7E">
              <w:rPr>
                <w:bCs/>
                <w:color w:val="000000"/>
                <w:sz w:val="20"/>
                <w:szCs w:val="20"/>
              </w:rPr>
              <w:t xml:space="preserve">Cost of Paper Logbook </w:t>
            </w:r>
          </w:p>
          <w:p w14:paraId="7C04D3F7" w14:textId="77777777" w:rsidR="005473EC" w:rsidRPr="004E3B7E" w:rsidRDefault="005473EC" w:rsidP="005473EC">
            <w:pPr>
              <w:jc w:val="center"/>
              <w:rPr>
                <w:bCs/>
                <w:color w:val="000000"/>
                <w:sz w:val="20"/>
                <w:szCs w:val="20"/>
              </w:rPr>
            </w:pPr>
          </w:p>
        </w:tc>
        <w:tc>
          <w:tcPr>
            <w:tcW w:w="4190" w:type="dxa"/>
            <w:vAlign w:val="bottom"/>
          </w:tcPr>
          <w:p w14:paraId="6044A5E9" w14:textId="77777777" w:rsidR="005473EC" w:rsidRPr="004E3B7E" w:rsidRDefault="005473EC" w:rsidP="005473EC">
            <w:pPr>
              <w:rPr>
                <w:bCs/>
                <w:color w:val="000000"/>
                <w:sz w:val="20"/>
                <w:szCs w:val="20"/>
              </w:rPr>
            </w:pPr>
            <w:r w:rsidRPr="004E3B7E">
              <w:rPr>
                <w:bCs/>
                <w:color w:val="000000"/>
                <w:sz w:val="20"/>
                <w:szCs w:val="20"/>
              </w:rPr>
              <w:t>Motor carriers required to provide paper logbooks to those drivers not using ELDs prior to compliance date.</w:t>
            </w:r>
          </w:p>
        </w:tc>
        <w:tc>
          <w:tcPr>
            <w:tcW w:w="4406" w:type="dxa"/>
            <w:shd w:val="clear" w:color="auto" w:fill="auto"/>
            <w:vAlign w:val="center"/>
          </w:tcPr>
          <w:p w14:paraId="74D47ED9" w14:textId="47B23ADE" w:rsidR="005473EC" w:rsidRPr="004E3B7E" w:rsidRDefault="005473EC" w:rsidP="002F66AC">
            <w:pPr>
              <w:rPr>
                <w:bCs/>
                <w:color w:val="000000"/>
                <w:sz w:val="20"/>
                <w:szCs w:val="20"/>
              </w:rPr>
            </w:pPr>
            <w:r w:rsidRPr="004E3B7E">
              <w:rPr>
                <w:bCs/>
                <w:color w:val="000000"/>
                <w:sz w:val="20"/>
                <w:szCs w:val="20"/>
              </w:rPr>
              <w:t>Motor carriers provide</w:t>
            </w:r>
            <w:r w:rsidR="00D93B4B">
              <w:rPr>
                <w:bCs/>
                <w:color w:val="000000"/>
                <w:sz w:val="20"/>
                <w:szCs w:val="20"/>
              </w:rPr>
              <w:t xml:space="preserve"> drivers</w:t>
            </w:r>
            <w:r>
              <w:rPr>
                <w:bCs/>
                <w:color w:val="000000"/>
                <w:sz w:val="20"/>
                <w:szCs w:val="20"/>
              </w:rPr>
              <w:t xml:space="preserve"> two</w:t>
            </w:r>
            <w:r w:rsidRPr="004E3B7E">
              <w:rPr>
                <w:bCs/>
                <w:color w:val="000000"/>
                <w:sz w:val="20"/>
                <w:szCs w:val="20"/>
              </w:rPr>
              <w:t xml:space="preserve"> backup logbooks</w:t>
            </w:r>
            <w:r>
              <w:rPr>
                <w:bCs/>
                <w:color w:val="000000"/>
                <w:sz w:val="20"/>
                <w:szCs w:val="20"/>
              </w:rPr>
              <w:t xml:space="preserve"> </w:t>
            </w:r>
          </w:p>
        </w:tc>
      </w:tr>
      <w:tr w:rsidR="005473EC" w:rsidRPr="00721D60" w14:paraId="0D04025F" w14:textId="77777777" w:rsidTr="004E3B7E">
        <w:trPr>
          <w:trHeight w:hRule="exact" w:val="1296"/>
          <w:jc w:val="center"/>
        </w:trPr>
        <w:tc>
          <w:tcPr>
            <w:tcW w:w="1427" w:type="dxa"/>
            <w:shd w:val="clear" w:color="auto" w:fill="auto"/>
            <w:vAlign w:val="center"/>
          </w:tcPr>
          <w:p w14:paraId="5A71A72B" w14:textId="77777777" w:rsidR="005473EC" w:rsidRPr="004E3B7E" w:rsidRDefault="005473EC" w:rsidP="005473EC">
            <w:pPr>
              <w:jc w:val="center"/>
              <w:rPr>
                <w:bCs/>
                <w:color w:val="000000"/>
                <w:sz w:val="20"/>
                <w:szCs w:val="20"/>
              </w:rPr>
            </w:pPr>
            <w:r w:rsidRPr="004E3B7E">
              <w:rPr>
                <w:bCs/>
                <w:color w:val="000000"/>
                <w:sz w:val="20"/>
                <w:szCs w:val="20"/>
              </w:rPr>
              <w:t>Motor Carrier Cost to Maintain Paper Records</w:t>
            </w:r>
          </w:p>
        </w:tc>
        <w:tc>
          <w:tcPr>
            <w:tcW w:w="4190" w:type="dxa"/>
            <w:vAlign w:val="center"/>
          </w:tcPr>
          <w:p w14:paraId="55271568" w14:textId="77777777" w:rsidR="005473EC" w:rsidRPr="004E3B7E" w:rsidRDefault="005473EC" w:rsidP="005473EC">
            <w:pPr>
              <w:rPr>
                <w:bCs/>
                <w:color w:val="000000"/>
                <w:sz w:val="20"/>
                <w:szCs w:val="20"/>
              </w:rPr>
            </w:pPr>
            <w:r w:rsidRPr="004E3B7E">
              <w:rPr>
                <w:bCs/>
                <w:color w:val="000000"/>
                <w:sz w:val="20"/>
                <w:szCs w:val="20"/>
              </w:rPr>
              <w:t>Motor carriers incur cost for filing cabinets to store paper RODS and supporting documents.</w:t>
            </w:r>
          </w:p>
        </w:tc>
        <w:tc>
          <w:tcPr>
            <w:tcW w:w="4406" w:type="dxa"/>
            <w:shd w:val="clear" w:color="auto" w:fill="auto"/>
            <w:vAlign w:val="center"/>
          </w:tcPr>
          <w:p w14:paraId="576D0920" w14:textId="28171187" w:rsidR="005473EC" w:rsidRPr="004E3B7E" w:rsidRDefault="005473EC" w:rsidP="005473EC">
            <w:pPr>
              <w:rPr>
                <w:bCs/>
                <w:color w:val="000000"/>
                <w:sz w:val="20"/>
                <w:szCs w:val="20"/>
              </w:rPr>
            </w:pPr>
            <w:r w:rsidRPr="004E3B7E">
              <w:rPr>
                <w:bCs/>
                <w:color w:val="000000"/>
                <w:sz w:val="20"/>
                <w:szCs w:val="20"/>
              </w:rPr>
              <w:t xml:space="preserve">Monthly service charges to ELD vendor data management services eliminate paper recordkeeping storage requirements. Retention of supporting documents is a “usual and customary” activity for </w:t>
            </w:r>
            <w:r w:rsidR="00E054B2">
              <w:rPr>
                <w:bCs/>
                <w:color w:val="000000"/>
                <w:sz w:val="20"/>
                <w:szCs w:val="20"/>
              </w:rPr>
              <w:t xml:space="preserve">business </w:t>
            </w:r>
            <w:r w:rsidRPr="004E3B7E">
              <w:rPr>
                <w:bCs/>
                <w:color w:val="000000"/>
                <w:sz w:val="20"/>
                <w:szCs w:val="20"/>
              </w:rPr>
              <w:t>purposes.</w:t>
            </w:r>
          </w:p>
        </w:tc>
      </w:tr>
      <w:tr w:rsidR="005473EC" w:rsidRPr="00721D60" w14:paraId="48A8F98F" w14:textId="77777777" w:rsidTr="002200D8">
        <w:trPr>
          <w:trHeight w:hRule="exact" w:val="1513"/>
          <w:jc w:val="center"/>
        </w:trPr>
        <w:tc>
          <w:tcPr>
            <w:tcW w:w="1427" w:type="dxa"/>
            <w:shd w:val="clear" w:color="auto" w:fill="auto"/>
            <w:vAlign w:val="center"/>
          </w:tcPr>
          <w:p w14:paraId="6DDB9FA5" w14:textId="77777777" w:rsidR="005473EC" w:rsidRPr="004E3B7E" w:rsidRDefault="005473EC" w:rsidP="005473EC">
            <w:pPr>
              <w:jc w:val="center"/>
              <w:rPr>
                <w:bCs/>
                <w:color w:val="000000"/>
                <w:sz w:val="20"/>
                <w:szCs w:val="20"/>
              </w:rPr>
            </w:pPr>
            <w:r w:rsidRPr="004E3B7E">
              <w:rPr>
                <w:bCs/>
                <w:color w:val="000000"/>
                <w:sz w:val="20"/>
                <w:szCs w:val="20"/>
              </w:rPr>
              <w:t>ELD Cost</w:t>
            </w:r>
          </w:p>
        </w:tc>
        <w:tc>
          <w:tcPr>
            <w:tcW w:w="4190" w:type="dxa"/>
            <w:vAlign w:val="center"/>
          </w:tcPr>
          <w:p w14:paraId="1D88726E" w14:textId="77777777" w:rsidR="005473EC" w:rsidRPr="004E3B7E" w:rsidRDefault="005473EC" w:rsidP="005473EC">
            <w:pPr>
              <w:rPr>
                <w:bCs/>
                <w:color w:val="000000"/>
                <w:sz w:val="20"/>
                <w:szCs w:val="20"/>
              </w:rPr>
            </w:pPr>
            <w:r w:rsidRPr="004E3B7E">
              <w:rPr>
                <w:bCs/>
                <w:color w:val="000000"/>
                <w:sz w:val="20"/>
                <w:szCs w:val="20"/>
              </w:rPr>
              <w:t xml:space="preserve">ELD installed cost, plus monthly services charges applied to less than the total population of drivers prior to mandatory compliance in Year 3. </w:t>
            </w:r>
          </w:p>
        </w:tc>
        <w:tc>
          <w:tcPr>
            <w:tcW w:w="4406" w:type="dxa"/>
            <w:shd w:val="clear" w:color="auto" w:fill="auto"/>
            <w:vAlign w:val="center"/>
          </w:tcPr>
          <w:p w14:paraId="169AB89C" w14:textId="77777777" w:rsidR="005473EC" w:rsidRPr="004E3B7E" w:rsidRDefault="005473EC" w:rsidP="005473EC">
            <w:pPr>
              <w:rPr>
                <w:bCs/>
                <w:color w:val="000000"/>
                <w:sz w:val="20"/>
                <w:szCs w:val="20"/>
              </w:rPr>
            </w:pPr>
            <w:r w:rsidRPr="004E3B7E">
              <w:rPr>
                <w:bCs/>
                <w:color w:val="000000"/>
                <w:sz w:val="20"/>
                <w:szCs w:val="20"/>
              </w:rPr>
              <w:t>Installed cost of ELD plus data management fees updated to reflect current prices for ELD vendors’ devices and services. New costs incurred to equip the growth component of the driver population, plus monthly services charges for data management applicable to the total driver population</w:t>
            </w:r>
            <w:r>
              <w:rPr>
                <w:bCs/>
                <w:color w:val="000000"/>
                <w:sz w:val="20"/>
                <w:szCs w:val="20"/>
              </w:rPr>
              <w:t>.</w:t>
            </w:r>
            <w:r w:rsidRPr="004E3B7E">
              <w:rPr>
                <w:bCs/>
                <w:color w:val="000000"/>
                <w:sz w:val="20"/>
                <w:szCs w:val="20"/>
              </w:rPr>
              <w:t xml:space="preserve"> </w:t>
            </w:r>
          </w:p>
        </w:tc>
      </w:tr>
      <w:bookmarkEnd w:id="6"/>
    </w:tbl>
    <w:p w14:paraId="157AC855" w14:textId="77777777" w:rsidR="002200D8" w:rsidRDefault="002200D8" w:rsidP="00212877">
      <w:pPr>
        <w:jc w:val="center"/>
      </w:pPr>
    </w:p>
    <w:p w14:paraId="22640F24" w14:textId="77777777" w:rsidR="002200D8" w:rsidRDefault="002200D8" w:rsidP="00330546"/>
    <w:p w14:paraId="767F4496" w14:textId="243C4AB0" w:rsidR="003924BE" w:rsidRPr="002200D8" w:rsidRDefault="00212877" w:rsidP="00472920">
      <w:r>
        <w:t xml:space="preserve">Table </w:t>
      </w:r>
      <w:r w:rsidR="005473EC">
        <w:t>11</w:t>
      </w:r>
      <w:r>
        <w:t xml:space="preserve"> summarizes the adjustments made in this ICR in the estimate of burden hours relative to the current</w:t>
      </w:r>
      <w:r w:rsidR="00D93B4B">
        <w:t>ly approved</w:t>
      </w:r>
      <w:r>
        <w:t xml:space="preserve"> IC</w:t>
      </w:r>
      <w:r w:rsidR="00D93B4B">
        <w:t>R</w:t>
      </w:r>
      <w:r>
        <w:t xml:space="preserve">. </w:t>
      </w:r>
      <w:r w:rsidR="00B6629C">
        <w:t xml:space="preserve">In this </w:t>
      </w:r>
      <w:r w:rsidR="002200D8" w:rsidRPr="00472920">
        <w:t>ICR</w:t>
      </w:r>
      <w:r w:rsidR="00D93B4B">
        <w:t>,</w:t>
      </w:r>
      <w:r w:rsidR="002200D8" w:rsidRPr="00472920">
        <w:t xml:space="preserve"> the total average burden hours</w:t>
      </w:r>
      <w:r w:rsidR="00B6629C">
        <w:t xml:space="preserve"> are reduced</w:t>
      </w:r>
      <w:r w:rsidR="002200D8" w:rsidRPr="00472920">
        <w:t xml:space="preserve"> from 99.46 million to </w:t>
      </w:r>
      <w:r w:rsidR="00D93B4B">
        <w:t xml:space="preserve">41.03 </w:t>
      </w:r>
      <w:r w:rsidR="002200D8" w:rsidRPr="00472920">
        <w:t>million</w:t>
      </w:r>
      <w:r w:rsidR="00F2482D">
        <w:t>,</w:t>
      </w:r>
      <w:r w:rsidR="002200D8" w:rsidRPr="00472920">
        <w:t xml:space="preserve"> a reduction of </w:t>
      </w:r>
      <w:r w:rsidR="00435919">
        <w:t>58.42</w:t>
      </w:r>
      <w:r w:rsidR="00D93B4B">
        <w:t xml:space="preserve"> </w:t>
      </w:r>
      <w:r w:rsidR="002200D8" w:rsidRPr="00472920">
        <w:t>million burden hours</w:t>
      </w:r>
      <w:r w:rsidR="002200D8" w:rsidRPr="002200D8">
        <w:t xml:space="preserve">. </w:t>
      </w:r>
      <w:r w:rsidR="00504306" w:rsidRPr="002200D8">
        <w:t>Driver Task 1 burden hours reflect</w:t>
      </w:r>
      <w:r w:rsidR="00BA67CC">
        <w:t>s</w:t>
      </w:r>
      <w:r w:rsidR="00504306" w:rsidRPr="002200D8">
        <w:t xml:space="preserve"> th</w:t>
      </w:r>
      <w:r w:rsidR="00503900">
        <w:t xml:space="preserve">at the ELD mandate is in effect for the entire three-year information collection period and is applicable to those drivers that are </w:t>
      </w:r>
      <w:r w:rsidR="00EB48C9">
        <w:t xml:space="preserve">not </w:t>
      </w:r>
      <w:r w:rsidR="00503900">
        <w:t xml:space="preserve">subject to the short-haul exemption or are not required to operate ELD-equipped vehicles if they are engaged in the activities </w:t>
      </w:r>
      <w:r w:rsidR="009707BD">
        <w:t>listed in</w:t>
      </w:r>
      <w:r w:rsidR="00503900">
        <w:t xml:space="preserve"> </w:t>
      </w:r>
      <w:r w:rsidR="00F83AF8">
        <w:t>49 CFR 395.8(a)(1)(iii)(A)(</w:t>
      </w:r>
      <w:r w:rsidR="00F83AF8">
        <w:rPr>
          <w:i/>
        </w:rPr>
        <w:t>1</w:t>
      </w:r>
      <w:r w:rsidR="00FB52A1">
        <w:rPr>
          <w:i/>
        </w:rPr>
        <w:t>-4</w:t>
      </w:r>
      <w:r w:rsidR="00F83AF8">
        <w:t>)</w:t>
      </w:r>
      <w:r w:rsidR="00503900">
        <w:t>.</w:t>
      </w:r>
      <w:r w:rsidR="00504306" w:rsidRPr="002200D8">
        <w:t xml:space="preserve"> </w:t>
      </w:r>
      <w:r w:rsidR="00730D40">
        <w:t>The</w:t>
      </w:r>
      <w:r w:rsidR="00504306" w:rsidRPr="002200D8">
        <w:t xml:space="preserve"> current IC</w:t>
      </w:r>
      <w:r w:rsidR="005B3032">
        <w:t>R</w:t>
      </w:r>
      <w:r w:rsidR="00504306" w:rsidRPr="002200D8">
        <w:t xml:space="preserve"> average burden hours include</w:t>
      </w:r>
      <w:r w:rsidR="00503900">
        <w:t>s</w:t>
      </w:r>
      <w:r w:rsidR="00504306" w:rsidRPr="002200D8">
        <w:t xml:space="preserve"> driver burden hours to complete paper RODS at 6.5 minutes per day</w:t>
      </w:r>
      <w:r w:rsidR="005B3032">
        <w:t xml:space="preserve"> and </w:t>
      </w:r>
      <w:r w:rsidR="00730D40">
        <w:t>two</w:t>
      </w:r>
      <w:r w:rsidR="005B3032">
        <w:t xml:space="preserve"> minutes per RODS for those drivers that transitioned to ELDs during the three-year collection period</w:t>
      </w:r>
      <w:r w:rsidR="00504306" w:rsidRPr="002200D8">
        <w:t xml:space="preserve">. </w:t>
      </w:r>
      <w:r w:rsidR="006C004F">
        <w:t xml:space="preserve">The </w:t>
      </w:r>
      <w:r w:rsidR="00EB48C9">
        <w:t>Agency assumes in t</w:t>
      </w:r>
      <w:r w:rsidR="00504306" w:rsidRPr="002200D8">
        <w:t xml:space="preserve">his ICR that it takes </w:t>
      </w:r>
      <w:r w:rsidR="00730D40">
        <w:t>driver</w:t>
      </w:r>
      <w:r w:rsidR="00F83AF8">
        <w:t>s required to operate ELD-equipped vehicles</w:t>
      </w:r>
      <w:r w:rsidR="00730D40">
        <w:t xml:space="preserve"> </w:t>
      </w:r>
      <w:r w:rsidR="007A51A9">
        <w:t xml:space="preserve">two </w:t>
      </w:r>
      <w:r w:rsidR="00504306" w:rsidRPr="002200D8">
        <w:t>minutes to</w:t>
      </w:r>
      <w:r w:rsidR="005B3032">
        <w:t xml:space="preserve"> input changes in their duty status in </w:t>
      </w:r>
      <w:r w:rsidR="00504306" w:rsidRPr="002200D8">
        <w:t>electronic RODS</w:t>
      </w:r>
      <w:r w:rsidR="00652FA4">
        <w:t>.</w:t>
      </w:r>
      <w:r w:rsidR="0073200F">
        <w:t xml:space="preserve"> </w:t>
      </w:r>
      <w:r w:rsidR="00504306" w:rsidRPr="002200D8">
        <w:t>Thus, the reduction in driver Task 1 burden hours, after accounting for estimated growth</w:t>
      </w:r>
      <w:r w:rsidR="00730D40">
        <w:t xml:space="preserve"> in the driver population</w:t>
      </w:r>
      <w:r w:rsidR="00504306" w:rsidRPr="002200D8">
        <w:t xml:space="preserve">, is estimated at </w:t>
      </w:r>
      <w:r w:rsidR="0053784E">
        <w:t xml:space="preserve">33.22 </w:t>
      </w:r>
      <w:r w:rsidR="00504306" w:rsidRPr="002200D8">
        <w:t xml:space="preserve">million hours. Driver Task 2 burden hours reflects </w:t>
      </w:r>
      <w:r w:rsidR="00652FA4">
        <w:t xml:space="preserve">that the ELD mandate is applicable to all three years of the information collection period. The ELD mandate did not become effective until the third year of the current ICR collection period. In the current ICR the Agency assumed approximately 20 percent of the drivers </w:t>
      </w:r>
      <w:r w:rsidR="00385666">
        <w:t xml:space="preserve">that are subject to HOS reporting requirements would operate ELD equipped CMVs. This supporting statement reflects the ELD mandate is in effect for the entire collection period for those drivers required to operate ELD-equipped vehicles. </w:t>
      </w:r>
      <w:r w:rsidR="00385666" w:rsidRPr="002200D8">
        <w:t>This</w:t>
      </w:r>
      <w:r w:rsidR="00385666">
        <w:t xml:space="preserve"> results in the </w:t>
      </w:r>
      <w:r w:rsidR="00385666" w:rsidRPr="002200D8">
        <w:t>eliminat</w:t>
      </w:r>
      <w:r w:rsidR="00385666">
        <w:t xml:space="preserve">ion </w:t>
      </w:r>
      <w:r w:rsidR="00765718">
        <w:t xml:space="preserve">of </w:t>
      </w:r>
      <w:r w:rsidR="00385666" w:rsidRPr="002200D8">
        <w:t>3.79 million burden hours</w:t>
      </w:r>
      <w:r w:rsidR="00385666">
        <w:t xml:space="preserve">. As noted above, some ELD may not automatically transfer RODs and will require driver intervention to perform this task. The Agency believes this task is de minimis. </w:t>
      </w:r>
    </w:p>
    <w:p w14:paraId="0B771359" w14:textId="77777777" w:rsidR="003924BE" w:rsidRPr="002200D8" w:rsidRDefault="003924BE" w:rsidP="00472920"/>
    <w:p w14:paraId="722E03B0" w14:textId="41A1EBD2" w:rsidR="00330546" w:rsidRDefault="003924BE" w:rsidP="002200D8">
      <w:r w:rsidRPr="002200D8">
        <w:t xml:space="preserve">Motor carrier Task 1 </w:t>
      </w:r>
      <w:r w:rsidR="005473EC">
        <w:t xml:space="preserve">burden hours are reduced by 0.2 million hours because </w:t>
      </w:r>
      <w:r w:rsidR="00B14425">
        <w:t xml:space="preserve">of a downward revision to the estimate of the </w:t>
      </w:r>
      <w:r w:rsidR="007A51A9">
        <w:t xml:space="preserve">affected </w:t>
      </w:r>
      <w:r w:rsidR="00B14425">
        <w:t>driver population.</w:t>
      </w:r>
      <w:r w:rsidR="005473EC">
        <w:t xml:space="preserve"> </w:t>
      </w:r>
      <w:r w:rsidR="007A51A9" w:rsidRPr="002200D8">
        <w:t xml:space="preserve">Motor carrier Task 2 burden hours </w:t>
      </w:r>
      <w:r w:rsidR="007A51A9">
        <w:t xml:space="preserve">are </w:t>
      </w:r>
      <w:r w:rsidR="007A51A9" w:rsidRPr="002200D8">
        <w:t xml:space="preserve">eliminated </w:t>
      </w:r>
      <w:r w:rsidR="007A51A9">
        <w:t xml:space="preserve">in this ICR </w:t>
      </w:r>
      <w:r w:rsidR="007A51A9" w:rsidRPr="002200D8">
        <w:t>because of the data management services provided by ELD vendors.</w:t>
      </w:r>
      <w:r w:rsidR="007A51A9">
        <w:t xml:space="preserve"> This eliminates 7.28 million burden hours relative to the currently approved ICR.</w:t>
      </w:r>
      <w:r w:rsidR="007A51A9" w:rsidRPr="002200D8">
        <w:t xml:space="preserve"> </w:t>
      </w:r>
      <w:r w:rsidR="007A51A9">
        <w:t>Motor carrier T</w:t>
      </w:r>
      <w:r w:rsidRPr="002200D8">
        <w:t xml:space="preserve">ask 3 burden hours are not included in this ICR because they are </w:t>
      </w:r>
      <w:r w:rsidR="0043119B">
        <w:t xml:space="preserve">treated as </w:t>
      </w:r>
      <w:r w:rsidRPr="002200D8">
        <w:t xml:space="preserve">usual and customary </w:t>
      </w:r>
      <w:r w:rsidR="0043119B">
        <w:t xml:space="preserve">activity </w:t>
      </w:r>
      <w:r w:rsidRPr="002200D8">
        <w:t xml:space="preserve">that motor carriers </w:t>
      </w:r>
      <w:r w:rsidR="0053784E">
        <w:t xml:space="preserve">use to document the determination of </w:t>
      </w:r>
      <w:r w:rsidR="002200D8" w:rsidRPr="002200D8">
        <w:t xml:space="preserve">taxable income. These adjustments result in the elimination of an average of </w:t>
      </w:r>
      <w:r w:rsidR="00B14425">
        <w:t>21.4</w:t>
      </w:r>
      <w:r w:rsidR="0043119B">
        <w:t>2</w:t>
      </w:r>
      <w:r w:rsidR="00B14425">
        <w:t xml:space="preserve"> </w:t>
      </w:r>
      <w:r w:rsidR="002200D8" w:rsidRPr="002200D8">
        <w:t>million burden hours (</w:t>
      </w:r>
      <w:r w:rsidR="00B14425">
        <w:t>21.4</w:t>
      </w:r>
      <w:r w:rsidR="0043119B">
        <w:t>2</w:t>
      </w:r>
      <w:r w:rsidR="00B14425">
        <w:t xml:space="preserve"> </w:t>
      </w:r>
      <w:r w:rsidR="002200D8" w:rsidRPr="002200D8">
        <w:t xml:space="preserve">million hours = </w:t>
      </w:r>
      <w:r w:rsidR="00B14425">
        <w:t>0.2</w:t>
      </w:r>
      <w:r w:rsidR="0043119B">
        <w:t>3</w:t>
      </w:r>
      <w:r w:rsidR="00B14425">
        <w:t xml:space="preserve"> </w:t>
      </w:r>
      <w:r w:rsidR="002200D8" w:rsidRPr="002200D8">
        <w:t xml:space="preserve">million </w:t>
      </w:r>
      <w:r w:rsidR="002200D8">
        <w:t>m</w:t>
      </w:r>
      <w:r w:rsidR="002200D8" w:rsidRPr="002200D8">
        <w:t>otor carrier Task 1 hours + 7.</w:t>
      </w:r>
      <w:r w:rsidR="0043119B">
        <w:t>28</w:t>
      </w:r>
      <w:r w:rsidR="002200D8" w:rsidRPr="002200D8">
        <w:t xml:space="preserve"> million </w:t>
      </w:r>
      <w:r w:rsidR="0073200F">
        <w:t xml:space="preserve">motor carrier </w:t>
      </w:r>
      <w:r w:rsidR="002200D8" w:rsidRPr="002200D8">
        <w:t xml:space="preserve">Task 2 hours + 13.91 </w:t>
      </w:r>
      <w:r w:rsidR="0073200F">
        <w:t xml:space="preserve">motor carrier </w:t>
      </w:r>
      <w:r w:rsidR="002200D8" w:rsidRPr="002200D8">
        <w:t>Task 3 million hours</w:t>
      </w:r>
      <w:r w:rsidR="00212877">
        <w:t>)</w:t>
      </w:r>
      <w:r w:rsidR="002200D8" w:rsidRPr="002200D8">
        <w:t>.</w:t>
      </w:r>
      <w:r w:rsidR="00504306" w:rsidRPr="002200D8">
        <w:t xml:space="preserve"> </w:t>
      </w:r>
      <w:r w:rsidR="0043119B">
        <w:t xml:space="preserve"> </w:t>
      </w:r>
    </w:p>
    <w:p w14:paraId="6A506647" w14:textId="77777777" w:rsidR="002200D8" w:rsidRDefault="002200D8" w:rsidP="004367CC"/>
    <w:tbl>
      <w:tblPr>
        <w:tblpPr w:leftFromText="4752" w:rightFromText="4752" w:topFromText="144" w:bottomFromText="144" w:vertAnchor="text" w:horzAnchor="page" w:tblpX="2641" w:tblpY="-57"/>
        <w:tblOverlap w:val="never"/>
        <w:tblW w:w="6473" w:type="dxa"/>
        <w:tblLook w:val="04A0" w:firstRow="1" w:lastRow="0" w:firstColumn="1" w:lastColumn="0" w:noHBand="0" w:noVBand="1"/>
      </w:tblPr>
      <w:tblGrid>
        <w:gridCol w:w="5165"/>
        <w:gridCol w:w="1308"/>
      </w:tblGrid>
      <w:tr w:rsidR="009C5687" w:rsidRPr="00472920" w14:paraId="62F65A7B" w14:textId="77777777" w:rsidTr="009C5687">
        <w:trPr>
          <w:trHeight w:hRule="exact" w:val="432"/>
        </w:trPr>
        <w:tc>
          <w:tcPr>
            <w:tcW w:w="6473" w:type="dxa"/>
            <w:gridSpan w:val="2"/>
            <w:tcBorders>
              <w:top w:val="nil"/>
              <w:left w:val="nil"/>
              <w:bottom w:val="single" w:sz="4" w:space="0" w:color="auto"/>
              <w:right w:val="nil"/>
            </w:tcBorders>
            <w:shd w:val="clear" w:color="auto" w:fill="auto"/>
            <w:noWrap/>
            <w:vAlign w:val="bottom"/>
            <w:hideMark/>
          </w:tcPr>
          <w:p w14:paraId="2970AF00" w14:textId="7BE0B745" w:rsidR="009C5687" w:rsidRPr="00783CD2" w:rsidRDefault="00783CD2" w:rsidP="009C5687">
            <w:pPr>
              <w:jc w:val="center"/>
              <w:rPr>
                <w:b/>
                <w:bCs/>
                <w:color w:val="000000"/>
                <w:sz w:val="20"/>
                <w:szCs w:val="20"/>
              </w:rPr>
            </w:pPr>
            <w:r>
              <w:rPr>
                <w:b/>
                <w:bCs/>
                <w:color w:val="000000"/>
                <w:sz w:val="20"/>
                <w:szCs w:val="20"/>
              </w:rPr>
              <w:t xml:space="preserve">Table </w:t>
            </w:r>
            <w:r w:rsidR="00FA342E">
              <w:rPr>
                <w:b/>
                <w:bCs/>
                <w:color w:val="000000"/>
                <w:sz w:val="20"/>
                <w:szCs w:val="20"/>
              </w:rPr>
              <w:t>1</w:t>
            </w:r>
            <w:r w:rsidR="005473EC">
              <w:rPr>
                <w:b/>
                <w:bCs/>
                <w:color w:val="000000"/>
                <w:sz w:val="20"/>
                <w:szCs w:val="20"/>
              </w:rPr>
              <w:t>1</w:t>
            </w:r>
            <w:r>
              <w:rPr>
                <w:b/>
                <w:bCs/>
                <w:color w:val="000000"/>
                <w:sz w:val="20"/>
                <w:szCs w:val="20"/>
              </w:rPr>
              <w:t xml:space="preserve">. </w:t>
            </w:r>
            <w:r w:rsidR="009C5687" w:rsidRPr="00783CD2">
              <w:rPr>
                <w:b/>
                <w:bCs/>
                <w:color w:val="000000"/>
                <w:sz w:val="20"/>
                <w:szCs w:val="20"/>
              </w:rPr>
              <w:t>Average Annual Burden Hour Adjustments</w:t>
            </w:r>
            <w:r>
              <w:rPr>
                <w:b/>
                <w:bCs/>
                <w:color w:val="000000"/>
                <w:sz w:val="20"/>
                <w:szCs w:val="20"/>
              </w:rPr>
              <w:t>-Burden Hour Reductions by Task</w:t>
            </w:r>
          </w:p>
        </w:tc>
      </w:tr>
      <w:tr w:rsidR="009C5687" w:rsidRPr="00B661BE" w14:paraId="6B31921F" w14:textId="77777777" w:rsidTr="009C5687">
        <w:trPr>
          <w:trHeight w:val="480"/>
        </w:trPr>
        <w:tc>
          <w:tcPr>
            <w:tcW w:w="516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FFA0577" w14:textId="77777777" w:rsidR="009C5687" w:rsidRPr="00783CD2" w:rsidRDefault="009C5687" w:rsidP="009C5687">
            <w:pPr>
              <w:jc w:val="center"/>
              <w:rPr>
                <w:b/>
                <w:bCs/>
                <w:color w:val="000000"/>
                <w:sz w:val="20"/>
                <w:szCs w:val="20"/>
              </w:rPr>
            </w:pPr>
            <w:r w:rsidRPr="00783CD2">
              <w:rPr>
                <w:b/>
                <w:bCs/>
                <w:color w:val="000000"/>
                <w:sz w:val="20"/>
                <w:szCs w:val="20"/>
              </w:rPr>
              <w:t>Burden Hour Adjustment by Task</w:t>
            </w:r>
          </w:p>
        </w:tc>
        <w:tc>
          <w:tcPr>
            <w:tcW w:w="1308" w:type="dxa"/>
            <w:tcBorders>
              <w:top w:val="nil"/>
              <w:left w:val="nil"/>
              <w:bottom w:val="single" w:sz="4" w:space="0" w:color="auto"/>
              <w:right w:val="single" w:sz="4" w:space="0" w:color="auto"/>
            </w:tcBorders>
            <w:shd w:val="clear" w:color="000000" w:fill="D9D9D9"/>
            <w:vAlign w:val="bottom"/>
            <w:hideMark/>
          </w:tcPr>
          <w:p w14:paraId="55B06578" w14:textId="77777777" w:rsidR="009C5687" w:rsidRPr="00783CD2" w:rsidRDefault="009A5AD0" w:rsidP="009C5687">
            <w:pPr>
              <w:jc w:val="center"/>
              <w:rPr>
                <w:b/>
                <w:bCs/>
                <w:color w:val="000000"/>
                <w:sz w:val="20"/>
                <w:szCs w:val="20"/>
              </w:rPr>
            </w:pPr>
            <w:r>
              <w:rPr>
                <w:b/>
                <w:bCs/>
                <w:color w:val="000000"/>
                <w:sz w:val="20"/>
                <w:szCs w:val="20"/>
              </w:rPr>
              <w:t xml:space="preserve">Burden </w:t>
            </w:r>
            <w:r w:rsidR="009C5687" w:rsidRPr="00783CD2">
              <w:rPr>
                <w:b/>
                <w:bCs/>
                <w:color w:val="000000"/>
                <w:sz w:val="20"/>
                <w:szCs w:val="20"/>
              </w:rPr>
              <w:t>Hour</w:t>
            </w:r>
            <w:r>
              <w:rPr>
                <w:b/>
                <w:bCs/>
                <w:color w:val="000000"/>
                <w:sz w:val="20"/>
                <w:szCs w:val="20"/>
              </w:rPr>
              <w:t xml:space="preserve"> Reductions</w:t>
            </w:r>
            <w:r w:rsidR="009C5687" w:rsidRPr="00783CD2">
              <w:rPr>
                <w:b/>
                <w:bCs/>
                <w:color w:val="000000"/>
                <w:sz w:val="20"/>
                <w:szCs w:val="20"/>
              </w:rPr>
              <w:t xml:space="preserve"> (million</w:t>
            </w:r>
            <w:r w:rsidR="00C16991">
              <w:rPr>
                <w:b/>
                <w:bCs/>
                <w:color w:val="000000"/>
                <w:sz w:val="20"/>
                <w:szCs w:val="20"/>
              </w:rPr>
              <w:t>s</w:t>
            </w:r>
            <w:r w:rsidR="009C5687" w:rsidRPr="00783CD2">
              <w:rPr>
                <w:b/>
                <w:bCs/>
                <w:color w:val="000000"/>
                <w:sz w:val="20"/>
                <w:szCs w:val="20"/>
              </w:rPr>
              <w:t>)</w:t>
            </w:r>
          </w:p>
        </w:tc>
      </w:tr>
      <w:tr w:rsidR="005B3032" w:rsidRPr="00B661BE" w14:paraId="232F3325" w14:textId="77777777" w:rsidTr="000C68FA">
        <w:trPr>
          <w:trHeight w:val="276"/>
        </w:trPr>
        <w:tc>
          <w:tcPr>
            <w:tcW w:w="5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BF8DD2" w14:textId="77777777" w:rsidR="005B3032" w:rsidRPr="00783CD2" w:rsidRDefault="005B3032" w:rsidP="005B3032">
            <w:pPr>
              <w:rPr>
                <w:color w:val="000000"/>
                <w:sz w:val="20"/>
                <w:szCs w:val="20"/>
              </w:rPr>
            </w:pPr>
            <w:r w:rsidRPr="00783CD2">
              <w:rPr>
                <w:color w:val="000000"/>
                <w:sz w:val="20"/>
                <w:szCs w:val="20"/>
              </w:rPr>
              <w:t>Driver Task 1 completion, review and edit RODs</w:t>
            </w:r>
          </w:p>
        </w:tc>
        <w:tc>
          <w:tcPr>
            <w:tcW w:w="1308" w:type="dxa"/>
            <w:tcBorders>
              <w:top w:val="nil"/>
              <w:left w:val="nil"/>
              <w:bottom w:val="single" w:sz="4" w:space="0" w:color="auto"/>
              <w:right w:val="single" w:sz="4" w:space="0" w:color="auto"/>
            </w:tcBorders>
            <w:shd w:val="clear" w:color="auto" w:fill="auto"/>
            <w:noWrap/>
            <w:vAlign w:val="bottom"/>
          </w:tcPr>
          <w:p w14:paraId="3AB0941F" w14:textId="76E3C60D" w:rsidR="005B3032" w:rsidRPr="00110974" w:rsidRDefault="005B3032" w:rsidP="005B3032">
            <w:pPr>
              <w:jc w:val="right"/>
              <w:rPr>
                <w:color w:val="000000"/>
                <w:sz w:val="20"/>
                <w:szCs w:val="20"/>
              </w:rPr>
            </w:pPr>
            <w:r w:rsidRPr="000C68FA">
              <w:rPr>
                <w:sz w:val="20"/>
                <w:szCs w:val="20"/>
              </w:rPr>
              <w:t>33.22</w:t>
            </w:r>
          </w:p>
        </w:tc>
      </w:tr>
      <w:tr w:rsidR="005B3032" w:rsidRPr="00B661BE" w14:paraId="3A751FEB" w14:textId="77777777" w:rsidTr="000C68FA">
        <w:trPr>
          <w:trHeight w:val="276"/>
        </w:trPr>
        <w:tc>
          <w:tcPr>
            <w:tcW w:w="5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C9C9A9" w14:textId="77777777" w:rsidR="005B3032" w:rsidRPr="00783CD2" w:rsidRDefault="005B3032" w:rsidP="005B3032">
            <w:pPr>
              <w:rPr>
                <w:color w:val="000000"/>
                <w:sz w:val="20"/>
                <w:szCs w:val="20"/>
              </w:rPr>
            </w:pPr>
            <w:r w:rsidRPr="00783CD2">
              <w:rPr>
                <w:color w:val="000000"/>
                <w:sz w:val="20"/>
                <w:szCs w:val="20"/>
              </w:rPr>
              <w:t>Driver Task 2 electronic transmittal of RODS</w:t>
            </w:r>
          </w:p>
        </w:tc>
        <w:tc>
          <w:tcPr>
            <w:tcW w:w="1308" w:type="dxa"/>
            <w:tcBorders>
              <w:top w:val="nil"/>
              <w:left w:val="nil"/>
              <w:bottom w:val="single" w:sz="4" w:space="0" w:color="auto"/>
              <w:right w:val="single" w:sz="4" w:space="0" w:color="auto"/>
            </w:tcBorders>
            <w:shd w:val="clear" w:color="auto" w:fill="auto"/>
            <w:noWrap/>
            <w:vAlign w:val="bottom"/>
          </w:tcPr>
          <w:p w14:paraId="2C4A5394" w14:textId="1B31E7D2" w:rsidR="005B3032" w:rsidRPr="00110974" w:rsidRDefault="005B3032" w:rsidP="005B3032">
            <w:pPr>
              <w:jc w:val="right"/>
              <w:rPr>
                <w:color w:val="000000"/>
                <w:sz w:val="20"/>
                <w:szCs w:val="20"/>
              </w:rPr>
            </w:pPr>
            <w:r w:rsidRPr="000C68FA">
              <w:rPr>
                <w:sz w:val="20"/>
                <w:szCs w:val="20"/>
              </w:rPr>
              <w:t>3.79</w:t>
            </w:r>
          </w:p>
        </w:tc>
      </w:tr>
      <w:tr w:rsidR="005B3032" w:rsidRPr="00B661BE" w14:paraId="2E33D4E3" w14:textId="77777777" w:rsidTr="000C68FA">
        <w:trPr>
          <w:trHeight w:val="276"/>
        </w:trPr>
        <w:tc>
          <w:tcPr>
            <w:tcW w:w="516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A565B54" w14:textId="77777777" w:rsidR="005B3032" w:rsidRPr="00783CD2" w:rsidRDefault="005B3032" w:rsidP="005B3032">
            <w:pPr>
              <w:rPr>
                <w:b/>
                <w:color w:val="000000"/>
                <w:sz w:val="20"/>
                <w:szCs w:val="20"/>
              </w:rPr>
            </w:pPr>
            <w:r w:rsidRPr="00783CD2">
              <w:rPr>
                <w:b/>
                <w:color w:val="000000"/>
                <w:sz w:val="20"/>
                <w:szCs w:val="20"/>
              </w:rPr>
              <w:t>Total reduction of driver burden hours</w:t>
            </w:r>
          </w:p>
        </w:tc>
        <w:tc>
          <w:tcPr>
            <w:tcW w:w="1308" w:type="dxa"/>
            <w:tcBorders>
              <w:top w:val="nil"/>
              <w:left w:val="nil"/>
              <w:bottom w:val="single" w:sz="4" w:space="0" w:color="auto"/>
              <w:right w:val="single" w:sz="4" w:space="0" w:color="auto"/>
            </w:tcBorders>
            <w:shd w:val="clear" w:color="auto" w:fill="auto"/>
            <w:noWrap/>
            <w:vAlign w:val="bottom"/>
          </w:tcPr>
          <w:p w14:paraId="1DFA8101" w14:textId="649729F2" w:rsidR="005B3032" w:rsidRPr="00110974" w:rsidRDefault="005B3032" w:rsidP="005B3032">
            <w:pPr>
              <w:jc w:val="right"/>
              <w:rPr>
                <w:b/>
                <w:color w:val="000000"/>
                <w:sz w:val="20"/>
                <w:szCs w:val="20"/>
              </w:rPr>
            </w:pPr>
            <w:r w:rsidRPr="000C68FA">
              <w:rPr>
                <w:sz w:val="20"/>
                <w:szCs w:val="20"/>
              </w:rPr>
              <w:t>37.01</w:t>
            </w:r>
          </w:p>
        </w:tc>
      </w:tr>
      <w:tr w:rsidR="005B3032" w:rsidRPr="00B661BE" w14:paraId="15C6671D" w14:textId="77777777" w:rsidTr="000C68FA">
        <w:trPr>
          <w:trHeight w:val="276"/>
        </w:trPr>
        <w:tc>
          <w:tcPr>
            <w:tcW w:w="5165" w:type="dxa"/>
            <w:tcBorders>
              <w:top w:val="single" w:sz="4" w:space="0" w:color="auto"/>
              <w:left w:val="single" w:sz="4" w:space="0" w:color="auto"/>
              <w:bottom w:val="single" w:sz="4" w:space="0" w:color="auto"/>
              <w:right w:val="single" w:sz="4" w:space="0" w:color="000000"/>
            </w:tcBorders>
            <w:shd w:val="clear" w:color="auto" w:fill="auto"/>
            <w:vAlign w:val="bottom"/>
          </w:tcPr>
          <w:p w14:paraId="157AD3EC" w14:textId="77777777" w:rsidR="005B3032" w:rsidRPr="00783CD2" w:rsidRDefault="005B3032" w:rsidP="005B3032">
            <w:pPr>
              <w:rPr>
                <w:color w:val="000000"/>
                <w:sz w:val="20"/>
                <w:szCs w:val="20"/>
              </w:rPr>
            </w:pPr>
            <w:r w:rsidRPr="00783CD2">
              <w:rPr>
                <w:color w:val="000000"/>
                <w:sz w:val="20"/>
                <w:szCs w:val="20"/>
              </w:rPr>
              <w:t>Motor Carrier Task 1 motor carrier review of RODS</w:t>
            </w:r>
          </w:p>
        </w:tc>
        <w:tc>
          <w:tcPr>
            <w:tcW w:w="1308" w:type="dxa"/>
            <w:tcBorders>
              <w:top w:val="nil"/>
              <w:left w:val="nil"/>
              <w:bottom w:val="single" w:sz="4" w:space="0" w:color="auto"/>
              <w:right w:val="single" w:sz="4" w:space="0" w:color="auto"/>
            </w:tcBorders>
            <w:shd w:val="clear" w:color="auto" w:fill="auto"/>
            <w:noWrap/>
            <w:vAlign w:val="bottom"/>
          </w:tcPr>
          <w:p w14:paraId="2420B4D7" w14:textId="72EA04C5" w:rsidR="005B3032" w:rsidRPr="00110974" w:rsidRDefault="005B3032" w:rsidP="005B3032">
            <w:pPr>
              <w:jc w:val="right"/>
              <w:rPr>
                <w:color w:val="000000"/>
                <w:sz w:val="20"/>
                <w:szCs w:val="20"/>
              </w:rPr>
            </w:pPr>
            <w:r w:rsidRPr="000C68FA">
              <w:rPr>
                <w:sz w:val="20"/>
                <w:szCs w:val="20"/>
              </w:rPr>
              <w:t>0.23</w:t>
            </w:r>
          </w:p>
        </w:tc>
      </w:tr>
      <w:tr w:rsidR="005B3032" w:rsidRPr="00B661BE" w14:paraId="50A29141" w14:textId="77777777" w:rsidTr="000C68FA">
        <w:trPr>
          <w:trHeight w:val="276"/>
        </w:trPr>
        <w:tc>
          <w:tcPr>
            <w:tcW w:w="5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6E7030" w14:textId="77777777" w:rsidR="005B3032" w:rsidRPr="00783CD2" w:rsidRDefault="005B3032" w:rsidP="005B3032">
            <w:pPr>
              <w:rPr>
                <w:color w:val="000000"/>
                <w:sz w:val="20"/>
                <w:szCs w:val="20"/>
              </w:rPr>
            </w:pPr>
            <w:r w:rsidRPr="00783CD2">
              <w:rPr>
                <w:color w:val="000000"/>
                <w:sz w:val="20"/>
                <w:szCs w:val="20"/>
              </w:rPr>
              <w:t>Motor Carrier Task 2 retention of RODS</w:t>
            </w:r>
          </w:p>
        </w:tc>
        <w:tc>
          <w:tcPr>
            <w:tcW w:w="1308" w:type="dxa"/>
            <w:tcBorders>
              <w:top w:val="nil"/>
              <w:left w:val="nil"/>
              <w:bottom w:val="single" w:sz="4" w:space="0" w:color="auto"/>
              <w:right w:val="single" w:sz="4" w:space="0" w:color="auto"/>
            </w:tcBorders>
            <w:shd w:val="clear" w:color="auto" w:fill="auto"/>
            <w:noWrap/>
            <w:vAlign w:val="bottom"/>
          </w:tcPr>
          <w:p w14:paraId="62D2EB87" w14:textId="16C60157" w:rsidR="005B3032" w:rsidRPr="00110974" w:rsidRDefault="005B3032" w:rsidP="005B3032">
            <w:pPr>
              <w:jc w:val="right"/>
              <w:rPr>
                <w:color w:val="000000"/>
                <w:sz w:val="20"/>
                <w:szCs w:val="20"/>
              </w:rPr>
            </w:pPr>
            <w:r w:rsidRPr="000C68FA">
              <w:rPr>
                <w:sz w:val="20"/>
                <w:szCs w:val="20"/>
              </w:rPr>
              <w:t>7.28</w:t>
            </w:r>
          </w:p>
        </w:tc>
      </w:tr>
      <w:tr w:rsidR="005B3032" w:rsidRPr="00B661BE" w14:paraId="7C02DE7F" w14:textId="77777777" w:rsidTr="000C68FA">
        <w:trPr>
          <w:trHeight w:val="276"/>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B4415" w14:textId="77777777" w:rsidR="005B3032" w:rsidRPr="00783CD2" w:rsidRDefault="005B3032" w:rsidP="005B3032">
            <w:pPr>
              <w:rPr>
                <w:color w:val="000000"/>
                <w:sz w:val="20"/>
                <w:szCs w:val="20"/>
              </w:rPr>
            </w:pPr>
            <w:r w:rsidRPr="00783CD2">
              <w:rPr>
                <w:color w:val="000000"/>
                <w:sz w:val="20"/>
                <w:szCs w:val="20"/>
              </w:rPr>
              <w:t xml:space="preserve">Motor Carrier Task 3 retention of supporting documents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F8875" w14:textId="452E1F2D" w:rsidR="005B3032" w:rsidRPr="00110974" w:rsidRDefault="005B3032" w:rsidP="005B3032">
            <w:pPr>
              <w:jc w:val="right"/>
              <w:rPr>
                <w:color w:val="000000"/>
                <w:sz w:val="20"/>
                <w:szCs w:val="20"/>
              </w:rPr>
            </w:pPr>
            <w:r w:rsidRPr="000C68FA">
              <w:rPr>
                <w:sz w:val="20"/>
                <w:szCs w:val="20"/>
              </w:rPr>
              <w:t>13.91</w:t>
            </w:r>
          </w:p>
        </w:tc>
      </w:tr>
      <w:tr w:rsidR="005B3032" w:rsidRPr="00B661BE" w14:paraId="4E0B15BC" w14:textId="77777777" w:rsidTr="000C68FA">
        <w:trPr>
          <w:trHeight w:val="276"/>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A0DB" w14:textId="77777777" w:rsidR="005B3032" w:rsidRPr="00783CD2" w:rsidRDefault="005B3032" w:rsidP="005B3032">
            <w:pPr>
              <w:rPr>
                <w:b/>
                <w:color w:val="000000"/>
                <w:sz w:val="20"/>
                <w:szCs w:val="20"/>
              </w:rPr>
            </w:pPr>
            <w:r w:rsidRPr="00783CD2">
              <w:rPr>
                <w:b/>
                <w:color w:val="000000"/>
                <w:sz w:val="20"/>
                <w:szCs w:val="20"/>
              </w:rPr>
              <w:t>Total reduction in motor carrier burden hours</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DA8A1" w14:textId="156EE082" w:rsidR="005B3032" w:rsidRPr="00110974" w:rsidRDefault="005B3032" w:rsidP="005B3032">
            <w:pPr>
              <w:jc w:val="right"/>
              <w:rPr>
                <w:b/>
                <w:color w:val="000000"/>
                <w:sz w:val="20"/>
                <w:szCs w:val="20"/>
              </w:rPr>
            </w:pPr>
            <w:r w:rsidRPr="000C68FA">
              <w:rPr>
                <w:sz w:val="20"/>
                <w:szCs w:val="20"/>
              </w:rPr>
              <w:t>21.42</w:t>
            </w:r>
          </w:p>
        </w:tc>
      </w:tr>
      <w:tr w:rsidR="005B3032" w:rsidRPr="00B661BE" w14:paraId="27A70BC2" w14:textId="77777777" w:rsidTr="000C68FA">
        <w:trPr>
          <w:trHeight w:val="276"/>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DA0B2" w14:textId="77777777" w:rsidR="005B3032" w:rsidRPr="00783CD2" w:rsidRDefault="005B3032" w:rsidP="005B3032">
            <w:pPr>
              <w:rPr>
                <w:b/>
                <w:color w:val="000000"/>
                <w:sz w:val="20"/>
                <w:szCs w:val="20"/>
              </w:rPr>
            </w:pPr>
            <w:r w:rsidRPr="00783CD2">
              <w:rPr>
                <w:b/>
                <w:color w:val="000000"/>
                <w:sz w:val="20"/>
                <w:szCs w:val="20"/>
              </w:rPr>
              <w:t>Average reduction of burden hours</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A8683" w14:textId="642C0E47" w:rsidR="005B3032" w:rsidRPr="00110974" w:rsidRDefault="005B3032" w:rsidP="005B3032">
            <w:pPr>
              <w:jc w:val="right"/>
              <w:rPr>
                <w:b/>
                <w:color w:val="000000"/>
                <w:sz w:val="20"/>
                <w:szCs w:val="20"/>
              </w:rPr>
            </w:pPr>
            <w:r w:rsidRPr="000C68FA">
              <w:rPr>
                <w:sz w:val="20"/>
                <w:szCs w:val="20"/>
              </w:rPr>
              <w:t>58.4</w:t>
            </w:r>
            <w:r w:rsidR="00435919">
              <w:rPr>
                <w:sz w:val="20"/>
                <w:szCs w:val="20"/>
              </w:rPr>
              <w:t>2</w:t>
            </w:r>
          </w:p>
        </w:tc>
      </w:tr>
    </w:tbl>
    <w:p w14:paraId="686CEA73" w14:textId="34D2301E" w:rsidR="00B24B57" w:rsidRDefault="00B24B57" w:rsidP="00F32C7C">
      <w:r>
        <w:t>The current IC</w:t>
      </w:r>
      <w:r w:rsidR="003A7C13">
        <w:t>R</w:t>
      </w:r>
      <w:r>
        <w:t xml:space="preserve"> did not monetize driver and motor carrier burden hours. </w:t>
      </w:r>
      <w:r w:rsidR="00201C4F">
        <w:t xml:space="preserve">This ICR monetizes </w:t>
      </w:r>
      <w:r w:rsidR="0043119B">
        <w:t xml:space="preserve">driver </w:t>
      </w:r>
      <w:r w:rsidR="00201C4F">
        <w:t>burden hours at $</w:t>
      </w:r>
      <w:r w:rsidR="00CB0B36">
        <w:t>991.6</w:t>
      </w:r>
      <w:r w:rsidR="00277EFE">
        <w:t>8</w:t>
      </w:r>
      <w:r w:rsidR="00CB0B36">
        <w:t xml:space="preserve"> </w:t>
      </w:r>
      <w:r w:rsidR="00D563AB">
        <w:t>m</w:t>
      </w:r>
      <w:r w:rsidR="00201C4F">
        <w:t xml:space="preserve">illion, which is the product of </w:t>
      </w:r>
      <w:r w:rsidR="0043119B">
        <w:t xml:space="preserve">the </w:t>
      </w:r>
      <w:r w:rsidR="00201C4F">
        <w:t>$36.25 weight average hourly wage</w:t>
      </w:r>
      <w:r w:rsidR="0043119B">
        <w:t xml:space="preserve"> </w:t>
      </w:r>
      <w:r w:rsidR="0001168F">
        <w:t xml:space="preserve">times </w:t>
      </w:r>
      <w:r w:rsidR="00CB0B36">
        <w:t xml:space="preserve">27.36 </w:t>
      </w:r>
      <w:r w:rsidR="00B46930">
        <w:t>million burden hours for drivers to perform reporting activities required by the HOS rules</w:t>
      </w:r>
      <w:r w:rsidR="0043119B">
        <w:t xml:space="preserve"> ($991.6</w:t>
      </w:r>
      <w:r w:rsidR="00277EFE">
        <w:t>8</w:t>
      </w:r>
      <w:r w:rsidR="0043119B">
        <w:t xml:space="preserve"> million = 27.36 million hours x $36.25 per hour). Motor carrier monetized burden hours for reviewing 50 percent of RODS is estimated at $516.</w:t>
      </w:r>
      <w:r w:rsidR="00277EFE">
        <w:t>07</w:t>
      </w:r>
      <w:r w:rsidR="0043119B">
        <w:t xml:space="preserve"> million based on an average of 13.68 million burden hours and a $37.73 hourly wage for </w:t>
      </w:r>
      <w:r w:rsidR="00422858">
        <w:t xml:space="preserve">a motor carrier administrative employee. </w:t>
      </w:r>
      <w:r w:rsidR="0043119B">
        <w:t xml:space="preserve"> </w:t>
      </w:r>
      <w:r w:rsidR="00596BD9">
        <w:t xml:space="preserve"> </w:t>
      </w:r>
    </w:p>
    <w:p w14:paraId="356B3D62" w14:textId="77777777" w:rsidR="00B46930" w:rsidRDefault="00B46930" w:rsidP="00F32C7C"/>
    <w:p w14:paraId="6E1E98E3" w14:textId="259B6F1A" w:rsidR="00B46930" w:rsidRDefault="00A92E9A" w:rsidP="00F32C7C">
      <w:r>
        <w:t xml:space="preserve">The Agency estimates that motor carriers will incur </w:t>
      </w:r>
      <w:r w:rsidR="00422858">
        <w:t>o</w:t>
      </w:r>
      <w:r>
        <w:t>n average $</w:t>
      </w:r>
      <w:r w:rsidR="00CB0B36">
        <w:t>24.50</w:t>
      </w:r>
      <w:r>
        <w:t xml:space="preserve"> million</w:t>
      </w:r>
      <w:r w:rsidR="00422858">
        <w:t xml:space="preserve"> per year</w:t>
      </w:r>
      <w:r>
        <w:t xml:space="preserve"> cost to supply drivers with backup logbooks required by the HOS rules</w:t>
      </w:r>
      <w:r w:rsidR="00422858">
        <w:t>. The backup logbooks are</w:t>
      </w:r>
      <w:r>
        <w:t xml:space="preserve"> to be used in the event of ELD malfunctions. The current IC</w:t>
      </w:r>
      <w:r w:rsidR="00422858">
        <w:t>R</w:t>
      </w:r>
      <w:r>
        <w:t xml:space="preserve"> estimated the cost to supply logbooks at $76.44 million. The $</w:t>
      </w:r>
      <w:r w:rsidR="00CB0B36">
        <w:t xml:space="preserve">52.94 </w:t>
      </w:r>
      <w:r>
        <w:t xml:space="preserve">million </w:t>
      </w:r>
      <w:r w:rsidR="007D419A">
        <w:t xml:space="preserve">cost </w:t>
      </w:r>
      <w:r>
        <w:t xml:space="preserve">reduction reflects the </w:t>
      </w:r>
      <w:r w:rsidR="00422858">
        <w:t xml:space="preserve">limited use of paper logbooks because of the use of ELDs. Now </w:t>
      </w:r>
      <w:r w:rsidR="00A4073F">
        <w:t xml:space="preserve">motor carriers </w:t>
      </w:r>
      <w:r w:rsidR="00422858">
        <w:t xml:space="preserve">need only </w:t>
      </w:r>
      <w:r w:rsidR="00A4073F">
        <w:t>supply drivers with</w:t>
      </w:r>
      <w:r>
        <w:t xml:space="preserve"> paper </w:t>
      </w:r>
      <w:r w:rsidR="00422858">
        <w:t xml:space="preserve">backup </w:t>
      </w:r>
      <w:r>
        <w:t>logbooks</w:t>
      </w:r>
      <w:r w:rsidR="00422858">
        <w:t xml:space="preserve">. </w:t>
      </w:r>
      <w:r w:rsidR="007D419A">
        <w:t xml:space="preserve">Additionally, the electronic storage of RODS </w:t>
      </w:r>
      <w:r w:rsidR="008852B5">
        <w:t xml:space="preserve">minimizes the need for </w:t>
      </w:r>
      <w:r w:rsidR="007D419A">
        <w:t xml:space="preserve">motor carriers </w:t>
      </w:r>
      <w:r w:rsidR="00E6667C">
        <w:t xml:space="preserve">to </w:t>
      </w:r>
      <w:r w:rsidR="008852B5">
        <w:t xml:space="preserve">purchase filing </w:t>
      </w:r>
      <w:r w:rsidR="007D419A">
        <w:t>cabinets</w:t>
      </w:r>
      <w:r w:rsidR="008852B5">
        <w:t xml:space="preserve"> to store paper RODS that drivers must complete in the event of an ELD malfunction. The Agency believes that the cost to store paper RODS is de minimis. </w:t>
      </w:r>
      <w:r w:rsidR="007D419A">
        <w:t xml:space="preserve"> </w:t>
      </w:r>
      <w:r w:rsidR="008852B5">
        <w:t>Therefore, the</w:t>
      </w:r>
      <w:r w:rsidR="007D419A">
        <w:t xml:space="preserve"> estimated </w:t>
      </w:r>
      <w:r w:rsidR="008852B5">
        <w:t xml:space="preserve">$1.74 million </w:t>
      </w:r>
      <w:r w:rsidR="007D419A">
        <w:t xml:space="preserve">cost </w:t>
      </w:r>
      <w:r w:rsidR="008852B5">
        <w:t>for filing cabinets included in the</w:t>
      </w:r>
      <w:r w:rsidR="007D419A">
        <w:t xml:space="preserve"> current IC</w:t>
      </w:r>
      <w:r w:rsidR="00422858">
        <w:t>R</w:t>
      </w:r>
      <w:r w:rsidR="008852B5">
        <w:t xml:space="preserve"> is eliminated</w:t>
      </w:r>
      <w:r w:rsidR="007D419A">
        <w:t>.</w:t>
      </w:r>
      <w:r w:rsidR="00BA458E">
        <w:rPr>
          <w:rStyle w:val="FootnoteReference"/>
        </w:rPr>
        <w:footnoteReference w:id="21"/>
      </w:r>
    </w:p>
    <w:p w14:paraId="26DC36D3" w14:textId="77777777" w:rsidR="00F32C7C" w:rsidRDefault="00F32C7C" w:rsidP="00F32C7C"/>
    <w:p w14:paraId="693007F4" w14:textId="77777777" w:rsidR="00B6629C" w:rsidRDefault="007D419A" w:rsidP="004367CC">
      <w:r>
        <w:t>Lastly, this ICR updated the installed cost and data management fees for devices and services based on a review of prices quoted on vendors’ web sites. The current IC</w:t>
      </w:r>
      <w:r w:rsidR="00422858">
        <w:t>R</w:t>
      </w:r>
      <w:r>
        <w:t xml:space="preserve"> developed costs in 2013 dollar</w:t>
      </w:r>
      <w:r w:rsidR="004941C9">
        <w:t>s</w:t>
      </w:r>
      <w:r>
        <w:t xml:space="preserve">. This analysis reflects 2018 </w:t>
      </w:r>
      <w:r w:rsidR="00D563AB">
        <w:t xml:space="preserve">ELD vendor </w:t>
      </w:r>
      <w:r>
        <w:t>price quotes. The current IC</w:t>
      </w:r>
      <w:r w:rsidR="00FB645C">
        <w:t>R</w:t>
      </w:r>
      <w:r>
        <w:t xml:space="preserve"> estimated the average annual cost at $488.54</w:t>
      </w:r>
      <w:r w:rsidR="004941C9">
        <w:t xml:space="preserve"> million</w:t>
      </w:r>
      <w:r>
        <w:t>. This ICR estimate</w:t>
      </w:r>
      <w:r w:rsidR="00CB0B36">
        <w:t>s the average annual cost at $1,366</w:t>
      </w:r>
      <w:r w:rsidR="00277EFE">
        <w:t>.</w:t>
      </w:r>
      <w:r w:rsidR="00CB0B36">
        <w:t xml:space="preserve">25 </w:t>
      </w:r>
      <w:r w:rsidR="00D563AB">
        <w:t>m</w:t>
      </w:r>
      <w:r>
        <w:t>illion. The $</w:t>
      </w:r>
      <w:r w:rsidR="00CB0B36">
        <w:t xml:space="preserve">887.71 </w:t>
      </w:r>
      <w:r w:rsidR="00D563AB">
        <w:t>m</w:t>
      </w:r>
      <w:r>
        <w:t>illion difference reflects</w:t>
      </w:r>
      <w:r w:rsidR="00FE20B9">
        <w:t xml:space="preserve"> </w:t>
      </w:r>
      <w:r w:rsidR="00CB0B36">
        <w:t xml:space="preserve">an updated cost </w:t>
      </w:r>
      <w:r w:rsidR="00FE20B9">
        <w:t xml:space="preserve">to install and operate ELDs, </w:t>
      </w:r>
      <w:r w:rsidR="00D563AB">
        <w:t xml:space="preserve">plus growth in the number of drivers required </w:t>
      </w:r>
      <w:r w:rsidR="00B6629C">
        <w:t>to</w:t>
      </w:r>
      <w:r w:rsidR="00FE20B9">
        <w:t xml:space="preserve"> </w:t>
      </w:r>
      <w:r w:rsidR="00D563AB">
        <w:t>operate ELD equipped CMVs.</w:t>
      </w:r>
    </w:p>
    <w:p w14:paraId="72AE0A88" w14:textId="77777777" w:rsidR="00551794" w:rsidRDefault="00551794" w:rsidP="004367CC">
      <w:r>
        <w:t xml:space="preserve"> </w:t>
      </w:r>
      <w:r w:rsidR="00FE20B9">
        <w:t xml:space="preserve"> </w:t>
      </w:r>
    </w:p>
    <w:p w14:paraId="19D6FD04" w14:textId="6D6BCFC7" w:rsidR="004367CC" w:rsidRPr="00C56C84" w:rsidRDefault="004367CC" w:rsidP="004367CC">
      <w:pPr>
        <w:rPr>
          <w:b/>
        </w:rPr>
      </w:pPr>
      <w:r w:rsidRPr="00C56C84">
        <w:rPr>
          <w:b/>
        </w:rPr>
        <w:t>16.  Publication of results of data collection:</w:t>
      </w:r>
    </w:p>
    <w:p w14:paraId="67B554CC" w14:textId="77777777" w:rsidR="004367CC" w:rsidRDefault="004367CC" w:rsidP="004367CC"/>
    <w:p w14:paraId="328307DA" w14:textId="77777777" w:rsidR="004367CC" w:rsidRPr="00F933E7" w:rsidRDefault="004367CC" w:rsidP="004367CC">
      <w:r w:rsidRPr="00F933E7">
        <w:t>There are no plans to publish this collection of information.</w:t>
      </w:r>
    </w:p>
    <w:p w14:paraId="67D105B1" w14:textId="77777777" w:rsidR="004367CC" w:rsidRPr="00F933E7" w:rsidRDefault="004367CC" w:rsidP="004367CC"/>
    <w:p w14:paraId="58D44CCA" w14:textId="77777777" w:rsidR="004367CC" w:rsidRPr="00C56C84" w:rsidRDefault="004367CC" w:rsidP="004367CC">
      <w:pPr>
        <w:rPr>
          <w:b/>
        </w:rPr>
      </w:pPr>
      <w:r w:rsidRPr="00C56C84">
        <w:rPr>
          <w:b/>
        </w:rPr>
        <w:t>17.  Approval for not displaying the expiration date for OMB approval:</w:t>
      </w:r>
    </w:p>
    <w:p w14:paraId="6392B407" w14:textId="77777777" w:rsidR="004367CC" w:rsidRDefault="004367CC" w:rsidP="004367CC"/>
    <w:p w14:paraId="0E1157CC" w14:textId="77777777" w:rsidR="004367CC" w:rsidRDefault="004367CC" w:rsidP="004367CC">
      <w:r w:rsidRPr="00F933E7">
        <w:t xml:space="preserve">The FMCSA is not seeking </w:t>
      </w:r>
      <w:r>
        <w:t xml:space="preserve">this </w:t>
      </w:r>
      <w:r w:rsidRPr="00F933E7">
        <w:t>approval.</w:t>
      </w:r>
    </w:p>
    <w:p w14:paraId="4A61EC20" w14:textId="77777777" w:rsidR="004367CC" w:rsidRPr="00F933E7" w:rsidRDefault="004367CC" w:rsidP="004367CC"/>
    <w:p w14:paraId="29AC5840" w14:textId="77777777" w:rsidR="004367CC" w:rsidRPr="00C56C84" w:rsidRDefault="004367CC" w:rsidP="004367CC">
      <w:pPr>
        <w:rPr>
          <w:b/>
        </w:rPr>
      </w:pPr>
      <w:r w:rsidRPr="00C56C84">
        <w:rPr>
          <w:b/>
        </w:rPr>
        <w:t>18.  Exceptions to certification statement:</w:t>
      </w:r>
    </w:p>
    <w:p w14:paraId="53C253CF" w14:textId="77777777" w:rsidR="004367CC" w:rsidRDefault="004367CC" w:rsidP="004367CC"/>
    <w:p w14:paraId="61160DC1" w14:textId="6EA53253" w:rsidR="00306772" w:rsidRDefault="004367CC" w:rsidP="00791FC7">
      <w:r w:rsidRPr="00F933E7">
        <w:t>The FMCSA is claiming no exception to any element of the certification statement</w:t>
      </w:r>
      <w:r w:rsidR="002707D6">
        <w:t>.</w:t>
      </w:r>
      <w:r w:rsidRPr="00F933E7">
        <w:t xml:space="preserve"> </w:t>
      </w:r>
    </w:p>
    <w:p w14:paraId="261A91FC" w14:textId="77777777" w:rsidR="00F4495F" w:rsidRDefault="00F4495F" w:rsidP="00791FC7"/>
    <w:p w14:paraId="645F4776" w14:textId="77777777" w:rsidR="00F4495F" w:rsidRDefault="00F4495F" w:rsidP="00791FC7">
      <w:r>
        <w:t>Attachments</w:t>
      </w:r>
      <w:r w:rsidR="00ED3388">
        <w:t>:</w:t>
      </w:r>
    </w:p>
    <w:p w14:paraId="36456EAE" w14:textId="77777777" w:rsidR="00F4495F" w:rsidRDefault="00F4495F" w:rsidP="00791FC7"/>
    <w:p w14:paraId="20B3E9DF" w14:textId="77777777" w:rsidR="00F4495F" w:rsidRDefault="00031F4F" w:rsidP="00791FC7">
      <w:r>
        <w:t xml:space="preserve">A.  </w:t>
      </w:r>
      <w:r w:rsidR="00D32ED1">
        <w:t>49</w:t>
      </w:r>
      <w:r>
        <w:t xml:space="preserve"> </w:t>
      </w:r>
      <w:r w:rsidR="00B13A81">
        <w:t>U</w:t>
      </w:r>
      <w:r w:rsidR="00BF5D6D">
        <w:t>.</w:t>
      </w:r>
      <w:r w:rsidR="00B13A81">
        <w:t>S</w:t>
      </w:r>
      <w:r w:rsidR="00BF5D6D">
        <w:t>.</w:t>
      </w:r>
      <w:r w:rsidR="00B13A81">
        <w:t>C</w:t>
      </w:r>
      <w:r w:rsidR="00BF5D6D">
        <w:t>.</w:t>
      </w:r>
      <w:r w:rsidR="00B13A81">
        <w:t xml:space="preserve"> 5103, General regulatory authority</w:t>
      </w:r>
      <w:r w:rsidR="002E00D9">
        <w:t>.</w:t>
      </w:r>
    </w:p>
    <w:p w14:paraId="311FCFA1" w14:textId="77777777" w:rsidR="00B13A81" w:rsidRDefault="00B13A81" w:rsidP="00791FC7">
      <w:r>
        <w:t>B.  49 CFR 390.3</w:t>
      </w:r>
      <w:r w:rsidR="00240CD5">
        <w:t>,</w:t>
      </w:r>
      <w:r>
        <w:t xml:space="preserve"> General applicability</w:t>
      </w:r>
      <w:r w:rsidR="002E00D9">
        <w:t>.</w:t>
      </w:r>
    </w:p>
    <w:p w14:paraId="2C6D0F22" w14:textId="77777777" w:rsidR="00B13A81" w:rsidRDefault="00B13A81" w:rsidP="00791FC7">
      <w:r>
        <w:t>C.  49 CFR 395.24, Driver responsibilit</w:t>
      </w:r>
      <w:r w:rsidR="00D32ED1">
        <w:t>ies- In general</w:t>
      </w:r>
      <w:r w:rsidR="002E00D9">
        <w:t>.</w:t>
      </w:r>
    </w:p>
    <w:p w14:paraId="6EEA554E" w14:textId="77777777" w:rsidR="00B13A81" w:rsidRDefault="00B13A81" w:rsidP="00791FC7">
      <w:r>
        <w:t xml:space="preserve">D.  49 CFR 395.8(k)(1), </w:t>
      </w:r>
      <w:r w:rsidR="00F2482D">
        <w:t>Retention of d</w:t>
      </w:r>
      <w:r>
        <w:t>river’s record of duty status</w:t>
      </w:r>
      <w:r w:rsidR="00D32ED1">
        <w:t xml:space="preserve"> and supporting documents</w:t>
      </w:r>
      <w:r w:rsidR="002E00D9">
        <w:t>.</w:t>
      </w:r>
    </w:p>
    <w:p w14:paraId="2ED775E4" w14:textId="77777777" w:rsidR="00B13A81" w:rsidRDefault="00B13A81" w:rsidP="00791FC7">
      <w:r>
        <w:t>E.  49 CFR 395.11, Supporting documents</w:t>
      </w:r>
      <w:r w:rsidR="002E00D9">
        <w:t>.</w:t>
      </w:r>
    </w:p>
    <w:p w14:paraId="1AD27CAE" w14:textId="77777777" w:rsidR="00B13A81" w:rsidRDefault="00B13A81" w:rsidP="00791FC7">
      <w:r>
        <w:t>F.  49 CFR 395.8(e), Drivers record of duty status</w:t>
      </w:r>
      <w:r w:rsidR="002E00D9">
        <w:t>.</w:t>
      </w:r>
    </w:p>
    <w:p w14:paraId="1805D251" w14:textId="77777777" w:rsidR="00031F4F" w:rsidRDefault="00B13A81" w:rsidP="00791FC7">
      <w:r>
        <w:t>G.  49 CFR 395.1</w:t>
      </w:r>
      <w:r w:rsidR="00240CD5">
        <w:t>,</w:t>
      </w:r>
      <w:r w:rsidR="00BF5D6D">
        <w:t xml:space="preserve"> Scope of rules</w:t>
      </w:r>
      <w:r w:rsidR="00D32ED1">
        <w:t xml:space="preserve"> in this part</w:t>
      </w:r>
      <w:r w:rsidR="002E00D9">
        <w:t>.</w:t>
      </w:r>
    </w:p>
    <w:p w14:paraId="32621C42" w14:textId="77777777" w:rsidR="00BF5D6D" w:rsidRDefault="00BF5D6D" w:rsidP="00791FC7">
      <w:r>
        <w:t>H.  49 U.S.C. 31136, Uni</w:t>
      </w:r>
      <w:r w:rsidR="00F62CB0">
        <w:t>ted States Government regulations</w:t>
      </w:r>
      <w:r w:rsidR="002E00D9">
        <w:t>.</w:t>
      </w:r>
    </w:p>
    <w:p w14:paraId="78E2D79B" w14:textId="77777777" w:rsidR="00F62CB0" w:rsidRDefault="00F62CB0" w:rsidP="00791FC7">
      <w:r>
        <w:t>I.  49 U.S.C. 31502, Requirements for qualifications, hours of service, safety, and equipment standards</w:t>
      </w:r>
      <w:r w:rsidR="002E00D9">
        <w:t>.</w:t>
      </w:r>
    </w:p>
    <w:p w14:paraId="31764806" w14:textId="77777777" w:rsidR="00F62CB0" w:rsidRDefault="00F62CB0" w:rsidP="00791FC7">
      <w:r>
        <w:t>J.  49 CFR 392.3, Ill or fatigued operator</w:t>
      </w:r>
      <w:r w:rsidR="002E00D9">
        <w:t>.</w:t>
      </w:r>
    </w:p>
    <w:p w14:paraId="21B5EB9E" w14:textId="77777777" w:rsidR="00F62CB0" w:rsidRDefault="00F62CB0" w:rsidP="00791FC7">
      <w:r>
        <w:t>K.  49 CFR 350.201, What conditions must a State meet to qualify for MCSAP funds?</w:t>
      </w:r>
    </w:p>
    <w:p w14:paraId="5B1CD347" w14:textId="77777777" w:rsidR="00F62CB0" w:rsidRDefault="00F62CB0" w:rsidP="00791FC7">
      <w:r>
        <w:t>L.  29 CFR 516.2, Employees subject to minimum wage or minimum wage and overtime provisions</w:t>
      </w:r>
      <w:r w:rsidR="00D32ED1">
        <w:t xml:space="preserve"> pursuant to section 6 or sections 6 and 7(a) of the Act</w:t>
      </w:r>
      <w:r w:rsidR="002E00D9">
        <w:t>.</w:t>
      </w:r>
    </w:p>
    <w:p w14:paraId="7BE2448C" w14:textId="77777777" w:rsidR="00F62CB0" w:rsidRDefault="00F62CB0" w:rsidP="00791FC7">
      <w:r>
        <w:t>M.  49 CFR 395.8</w:t>
      </w:r>
      <w:r w:rsidR="00AA791E">
        <w:t>(f)(1)</w:t>
      </w:r>
      <w:r>
        <w:t>, Drivers record of duty status</w:t>
      </w:r>
      <w:r w:rsidR="002E00D9">
        <w:t>.</w:t>
      </w:r>
    </w:p>
    <w:p w14:paraId="326CB56F" w14:textId="77777777" w:rsidR="00AA791E" w:rsidRDefault="00AA791E" w:rsidP="00791FC7">
      <w:r>
        <w:t>N.  49 U.S.C. 552, Public Information; agency rules, opinion, orders, records, and proceedings</w:t>
      </w:r>
      <w:r w:rsidR="002E00D9">
        <w:t>.</w:t>
      </w:r>
    </w:p>
    <w:p w14:paraId="0F791F7F" w14:textId="77777777" w:rsidR="00AA791E" w:rsidRDefault="00AA791E" w:rsidP="00791FC7">
      <w:r>
        <w:t>O.  49 U.S.C.</w:t>
      </w:r>
      <w:r w:rsidR="00D32ED1">
        <w:t xml:space="preserve"> </w:t>
      </w:r>
      <w:r>
        <w:t>552.</w:t>
      </w:r>
      <w:r w:rsidR="00D32ED1">
        <w:t>a</w:t>
      </w:r>
      <w:r>
        <w:t xml:space="preserve">, </w:t>
      </w:r>
      <w:r w:rsidR="00D32ED1">
        <w:t>Codification of t</w:t>
      </w:r>
      <w:r>
        <w:t>he Privacy Act of 1974</w:t>
      </w:r>
      <w:r w:rsidR="002E00D9">
        <w:t>.</w:t>
      </w:r>
    </w:p>
    <w:p w14:paraId="34B9F925" w14:textId="77777777" w:rsidR="00AA791E" w:rsidRDefault="00AA791E" w:rsidP="00791FC7">
      <w:r>
        <w:t>P.  49 CFR 395.22, Motor carrier responsibilities</w:t>
      </w:r>
      <w:r w:rsidR="00D32ED1">
        <w:t>- In general</w:t>
      </w:r>
      <w:r w:rsidR="002E00D9">
        <w:t>.</w:t>
      </w:r>
    </w:p>
    <w:p w14:paraId="5D97C825" w14:textId="77777777" w:rsidR="00AA791E" w:rsidRDefault="00AA791E" w:rsidP="00791FC7">
      <w:r>
        <w:t>Q.  49 CFR 395.26, ELD data automatically recorded</w:t>
      </w:r>
      <w:r w:rsidR="002E00D9">
        <w:t>.</w:t>
      </w:r>
    </w:p>
    <w:p w14:paraId="22E62D21" w14:textId="77777777" w:rsidR="00AA791E" w:rsidRDefault="00AA791E" w:rsidP="00791FC7">
      <w:r>
        <w:t>R.  49 CFR 395.34, ELD malfunctions and data diagnostic events</w:t>
      </w:r>
      <w:r w:rsidR="002E00D9">
        <w:t>.</w:t>
      </w:r>
    </w:p>
    <w:p w14:paraId="45BE6442" w14:textId="77777777" w:rsidR="00DA64DE" w:rsidRDefault="00AA791E" w:rsidP="00791FC7">
      <w:r>
        <w:t>S.  5 CFR 1320.3(b), Definition</w:t>
      </w:r>
      <w:r w:rsidR="00D32ED1">
        <w:t>s,</w:t>
      </w:r>
      <w:r>
        <w:t xml:space="preserve"> burden</w:t>
      </w:r>
      <w:r w:rsidR="002E00D9">
        <w:t>.</w:t>
      </w:r>
    </w:p>
    <w:p w14:paraId="77E0EDEF" w14:textId="457F6742" w:rsidR="00031F4F" w:rsidRDefault="00DA64DE" w:rsidP="00791FC7">
      <w:r>
        <w:t xml:space="preserve">T.  49 CFR 395.22(h)(4), Supply of blank </w:t>
      </w:r>
      <w:r w:rsidR="00BD4514">
        <w:t>paper</w:t>
      </w:r>
      <w:r w:rsidR="00733418">
        <w:t xml:space="preserve"> </w:t>
      </w:r>
      <w:r>
        <w:t>RODSs.</w:t>
      </w:r>
      <w:r w:rsidR="00CB0B36">
        <w:t xml:space="preserve"> </w:t>
      </w:r>
    </w:p>
    <w:sectPr w:rsidR="00031F4F" w:rsidSect="00067FB5">
      <w:footerReference w:type="even" r:id="rId9"/>
      <w:footerReference w:type="default" r:id="rId10"/>
      <w:footerReference w:type="first" r:id="rId1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94A8B" w14:textId="77777777" w:rsidR="005B3296" w:rsidRDefault="005B3296">
      <w:r>
        <w:separator/>
      </w:r>
    </w:p>
  </w:endnote>
  <w:endnote w:type="continuationSeparator" w:id="0">
    <w:p w14:paraId="5C696E8F" w14:textId="77777777" w:rsidR="005B3296" w:rsidRDefault="005B3296">
      <w:r>
        <w:continuationSeparator/>
      </w:r>
    </w:p>
  </w:endnote>
  <w:endnote w:type="continuationNotice" w:id="1">
    <w:p w14:paraId="0372982E" w14:textId="77777777" w:rsidR="005B3296" w:rsidRDefault="005B3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6DBE" w14:textId="77777777" w:rsidR="005B3296" w:rsidRDefault="005B3296" w:rsidP="00B2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C11B4" w14:textId="77777777" w:rsidR="005B3296" w:rsidRDefault="005B3296" w:rsidP="00B24C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CC92E" w14:textId="569B78C5" w:rsidR="005B3296" w:rsidRDefault="00677FF4">
    <w:pPr>
      <w:pStyle w:val="Footer"/>
      <w:jc w:val="center"/>
    </w:pPr>
    <w:sdt>
      <w:sdtPr>
        <w:id w:val="-1600721108"/>
        <w:docPartObj>
          <w:docPartGallery w:val="Page Numbers (Bottom of Page)"/>
          <w:docPartUnique/>
        </w:docPartObj>
      </w:sdtPr>
      <w:sdtEndPr>
        <w:rPr>
          <w:noProof/>
        </w:rPr>
      </w:sdtEndPr>
      <w:sdtContent>
        <w:r w:rsidR="005B3296">
          <w:fldChar w:fldCharType="begin"/>
        </w:r>
        <w:r w:rsidR="005B3296">
          <w:instrText xml:space="preserve"> PAGE   \* MERGEFORMAT </w:instrText>
        </w:r>
        <w:r w:rsidR="005B3296">
          <w:fldChar w:fldCharType="separate"/>
        </w:r>
        <w:r>
          <w:rPr>
            <w:noProof/>
          </w:rPr>
          <w:t>2</w:t>
        </w:r>
        <w:r w:rsidR="005B3296">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32055"/>
      <w:docPartObj>
        <w:docPartGallery w:val="Page Numbers (Bottom of Page)"/>
        <w:docPartUnique/>
      </w:docPartObj>
    </w:sdtPr>
    <w:sdtEndPr>
      <w:rPr>
        <w:noProof/>
      </w:rPr>
    </w:sdtEndPr>
    <w:sdtContent>
      <w:p w14:paraId="79FEA277" w14:textId="35B569D2" w:rsidR="005B3296" w:rsidRDefault="005B3296">
        <w:pPr>
          <w:pStyle w:val="Footer"/>
          <w:jc w:val="center"/>
        </w:pPr>
        <w:r>
          <w:fldChar w:fldCharType="begin"/>
        </w:r>
        <w:r>
          <w:instrText xml:space="preserve"> PAGE   \* MERGEFORMAT </w:instrText>
        </w:r>
        <w:r>
          <w:fldChar w:fldCharType="separate"/>
        </w:r>
        <w:r w:rsidR="00677FF4">
          <w:rPr>
            <w:noProof/>
          </w:rPr>
          <w:t>1</w:t>
        </w:r>
        <w:r>
          <w:rPr>
            <w:noProof/>
          </w:rPr>
          <w:fldChar w:fldCharType="end"/>
        </w:r>
      </w:p>
    </w:sdtContent>
  </w:sdt>
  <w:p w14:paraId="38AB985B" w14:textId="77777777" w:rsidR="005B3296" w:rsidRDefault="005B3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AD600" w14:textId="77777777" w:rsidR="005B3296" w:rsidRDefault="005B3296">
      <w:r>
        <w:separator/>
      </w:r>
    </w:p>
  </w:footnote>
  <w:footnote w:type="continuationSeparator" w:id="0">
    <w:p w14:paraId="0686291F" w14:textId="77777777" w:rsidR="005B3296" w:rsidRDefault="005B3296">
      <w:r>
        <w:continuationSeparator/>
      </w:r>
    </w:p>
  </w:footnote>
  <w:footnote w:type="continuationNotice" w:id="1">
    <w:p w14:paraId="472401B1" w14:textId="77777777" w:rsidR="005B3296" w:rsidRDefault="005B3296"/>
  </w:footnote>
  <w:footnote w:id="2">
    <w:p w14:paraId="66463800" w14:textId="78488719" w:rsidR="005B3296" w:rsidRDefault="005B3296">
      <w:pPr>
        <w:pStyle w:val="FootnoteText"/>
      </w:pPr>
      <w:r>
        <w:rPr>
          <w:rStyle w:val="FootnoteReference"/>
        </w:rPr>
        <w:footnoteRef/>
      </w:r>
      <w:r>
        <w:t xml:space="preserve"> The Agency recognizes that some drivers may still be operating CMVs equipped with automated on-board recorders (AOBRDs) until the grandfather provision set forth in 49 CFR 395.15(a) expires December 16, 2019. The number of AOBRDs still in use is not known.</w:t>
      </w:r>
    </w:p>
    <w:p w14:paraId="7BE28849" w14:textId="77777777" w:rsidR="005B3296" w:rsidRDefault="005B3296">
      <w:pPr>
        <w:pStyle w:val="FootnoteText"/>
      </w:pPr>
    </w:p>
  </w:footnote>
  <w:footnote w:id="3">
    <w:p w14:paraId="15B622AB" w14:textId="7E187480" w:rsidR="005B3296" w:rsidRDefault="005B3296">
      <w:pPr>
        <w:pStyle w:val="FootnoteText"/>
      </w:pPr>
      <w:r>
        <w:rPr>
          <w:rStyle w:val="FootnoteReference"/>
        </w:rPr>
        <w:footnoteRef/>
      </w:r>
      <w:r>
        <w:t xml:space="preserve"> 29 CFR 512.</w:t>
      </w:r>
    </w:p>
  </w:footnote>
  <w:footnote w:id="4">
    <w:p w14:paraId="55894C35" w14:textId="77777777" w:rsidR="005B3296" w:rsidRDefault="005B3296">
      <w:pPr>
        <w:pStyle w:val="FootnoteText"/>
      </w:pPr>
      <w:r>
        <w:rPr>
          <w:rStyle w:val="FootnoteReference"/>
        </w:rPr>
        <w:footnoteRef/>
      </w:r>
      <w:r>
        <w:t xml:space="preserve"> Appendix A to subpart B of part 395-Functional Specifications for all Electronic Logging Devices (ELDs), Section 4.8.1.3. Information to be Shown on the Printout and Display at Roadside.</w:t>
      </w:r>
    </w:p>
  </w:footnote>
  <w:footnote w:id="5">
    <w:p w14:paraId="21106585" w14:textId="372F98A0" w:rsidR="005B3296" w:rsidRDefault="005B3296" w:rsidP="00C67A0D">
      <w:pPr>
        <w:pStyle w:val="FootnoteText"/>
      </w:pPr>
      <w:r>
        <w:rPr>
          <w:rStyle w:val="FootnoteReference"/>
        </w:rPr>
        <w:footnoteRef/>
      </w:r>
      <w:r>
        <w:t xml:space="preserve"> The Agency is aware that some ELDs automatically capture driver’s duty status. Therefore, the response time for some drivers to input their duty status may be less than 2 minutes.</w:t>
      </w:r>
    </w:p>
  </w:footnote>
  <w:footnote w:id="6">
    <w:p w14:paraId="44E95585" w14:textId="77777777" w:rsidR="005B3296" w:rsidRDefault="005B3296" w:rsidP="00BC6F12">
      <w:pPr>
        <w:pStyle w:val="FootnoteText"/>
      </w:pPr>
      <w:r>
        <w:rPr>
          <w:rStyle w:val="FootnoteReference"/>
        </w:rPr>
        <w:footnoteRef/>
      </w:r>
      <w:r>
        <w:t xml:space="preserve"> 29 CFR 512.</w:t>
      </w:r>
    </w:p>
  </w:footnote>
  <w:footnote w:id="7">
    <w:p w14:paraId="0F3D63F3" w14:textId="77777777" w:rsidR="005B3296" w:rsidRDefault="005B3296">
      <w:pPr>
        <w:pStyle w:val="FootnoteText"/>
      </w:pPr>
      <w:r>
        <w:rPr>
          <w:rStyle w:val="FootnoteReference"/>
        </w:rPr>
        <w:footnoteRef/>
      </w:r>
      <w:r>
        <w:t xml:space="preserve"> </w:t>
      </w:r>
      <w:r w:rsidRPr="00E36841">
        <w:t>FMCSA Carrier Safety Fitness Determination Notice of Proposed Rulemaking.  See 81 FR 3596, Thursday, January 21, 2016, available at https://www.gpo.gov/fdsys/pkg/FR-2016-01-21/pdf/2015-33153.pdf</w:t>
      </w:r>
    </w:p>
  </w:footnote>
  <w:footnote w:id="8">
    <w:p w14:paraId="5F8F9075" w14:textId="29C781FD" w:rsidR="005B3296" w:rsidRDefault="005B3296" w:rsidP="00441907">
      <w:pPr>
        <w:pStyle w:val="FootnoteText"/>
      </w:pPr>
      <w:r w:rsidRPr="00314D5F">
        <w:rPr>
          <w:rStyle w:val="FootnoteReference"/>
        </w:rPr>
        <w:footnoteRef/>
      </w:r>
      <w:r w:rsidRPr="00314D5F">
        <w:t xml:space="preserve"> U</w:t>
      </w:r>
      <w:r>
        <w:t>nited States Department of Labor,</w:t>
      </w:r>
      <w:r w:rsidRPr="00314D5F">
        <w:t xml:space="preserve"> </w:t>
      </w:r>
      <w:r>
        <w:t xml:space="preserve">BLS. </w:t>
      </w:r>
      <w:r w:rsidRPr="00314D5F">
        <w:t xml:space="preserve">Employment Projections </w:t>
      </w:r>
      <w:r>
        <w:t>P</w:t>
      </w:r>
      <w:r w:rsidRPr="00314D5F">
        <w:t xml:space="preserve">rogram. </w:t>
      </w:r>
      <w:r w:rsidRPr="006B53C7">
        <w:rPr>
          <w:i/>
        </w:rPr>
        <w:t>Table 1.2: Employm</w:t>
      </w:r>
      <w:r>
        <w:rPr>
          <w:i/>
        </w:rPr>
        <w:t>ent by detailed occupation, 2016</w:t>
      </w:r>
      <w:r w:rsidRPr="006B53C7">
        <w:rPr>
          <w:i/>
        </w:rPr>
        <w:t xml:space="preserve"> and projected 202</w:t>
      </w:r>
      <w:r>
        <w:rPr>
          <w:i/>
        </w:rPr>
        <w:t>6</w:t>
      </w:r>
      <w:r w:rsidRPr="00D95FB5">
        <w:t xml:space="preserve">. </w:t>
      </w:r>
      <w:r w:rsidRPr="00314D5F">
        <w:t xml:space="preserve">Available at: </w:t>
      </w:r>
      <w:r w:rsidRPr="00D95FB5">
        <w:t>http://www.bls.gov/emp/ind-occ-matrix/occupation.xlsx</w:t>
      </w:r>
      <w:r w:rsidRPr="00314D5F">
        <w:t xml:space="preserve"> (accessed</w:t>
      </w:r>
      <w:r>
        <w:t xml:space="preserve"> October 29, 2018</w:t>
      </w:r>
      <w:r w:rsidRPr="00314D5F">
        <w:t>).</w:t>
      </w:r>
    </w:p>
  </w:footnote>
  <w:footnote w:id="9">
    <w:p w14:paraId="0C6C23A3" w14:textId="5F1C0E06" w:rsidR="005B3296" w:rsidRDefault="005B3296" w:rsidP="00F4618B">
      <w:pPr>
        <w:pStyle w:val="FootnoteText"/>
      </w:pPr>
      <w:r>
        <w:rPr>
          <w:rStyle w:val="FootnoteReference"/>
        </w:rPr>
        <w:footnoteRef/>
      </w:r>
      <w:r>
        <w:t xml:space="preserve"> The number of drivers that have short-haul exemptions is difficult to quantify because drivers can shift from being exempt to non-exempt depending on the length of the route driven on any given day. Thus, the driver population projections used in this analysis assumes that the relative share of drivers with short-haul exemptions on December 27, 2017, is held constant for purposes of projecting the population of drivers that are subject to the ELD mandate for the three-year period covered by this ICR. </w:t>
      </w:r>
    </w:p>
  </w:footnote>
  <w:footnote w:id="10">
    <w:p w14:paraId="6D81D74F" w14:textId="77777777" w:rsidR="005B3296" w:rsidRDefault="005B3296" w:rsidP="00AC2F02">
      <w:pPr>
        <w:pStyle w:val="FootnoteText"/>
      </w:pPr>
      <w:r>
        <w:rPr>
          <w:rStyle w:val="FootnoteReference"/>
        </w:rPr>
        <w:footnoteRef/>
      </w:r>
      <w:r>
        <w:t xml:space="preserve"> Drivers are required to record four categories of duty status using text (e.g., off duty), abbreviations or code numbers listed in 49 CFR 395.24(b)(1) through (4). </w:t>
      </w:r>
    </w:p>
  </w:footnote>
  <w:footnote w:id="11">
    <w:p w14:paraId="70FF6248" w14:textId="17C858DC" w:rsidR="005B3296" w:rsidRDefault="005B3296">
      <w:pPr>
        <w:pStyle w:val="FootnoteText"/>
      </w:pPr>
      <w:r>
        <w:rPr>
          <w:rStyle w:val="FootnoteReference"/>
        </w:rPr>
        <w:footnoteRef/>
      </w:r>
      <w:r>
        <w:t xml:space="preserve">The number of supporting documents a carrier must keep for each driver’s workday is subject to a cap (49 CFR 395.11(d) </w:t>
      </w:r>
    </w:p>
  </w:footnote>
  <w:footnote w:id="12">
    <w:p w14:paraId="292DD68E" w14:textId="4400AA76" w:rsidR="005B3296" w:rsidRPr="000C39E6" w:rsidRDefault="005B3296">
      <w:pPr>
        <w:pStyle w:val="FootnoteText"/>
      </w:pPr>
      <w:r w:rsidRPr="000C39E6">
        <w:rPr>
          <w:rStyle w:val="FootnoteReference"/>
        </w:rPr>
        <w:footnoteRef/>
      </w:r>
      <w:r w:rsidRPr="000C39E6">
        <w:t xml:space="preserve"> </w:t>
      </w:r>
      <w:r>
        <w:t>The IRS advises businesses to retain supporting documents for items of income and expenses until the period of limitations expire. The period of limitations ranges from two years to no time limit depending on the applicable provision of the Internal Revenue Code at issue. For example, if the taxpayer owes additional tax, the limitation period is three years. If a taxpayer files a fraudulent tax return, there is no limitation period.</w:t>
      </w:r>
      <w:r w:rsidRPr="000C39E6">
        <w:t xml:space="preserve"> See Internal Revenue Service, Publication 583, Starting a Business and Keeping Records, https://www.irs.gov/pub/irs-pdf/p583.pdf </w:t>
      </w:r>
      <w:r>
        <w:t>(a</w:t>
      </w:r>
      <w:r w:rsidRPr="000C39E6">
        <w:t>ccessed October 25, 2018</w:t>
      </w:r>
      <w:r>
        <w:t>)</w:t>
      </w:r>
      <w:r w:rsidRPr="000C39E6">
        <w:t>.</w:t>
      </w:r>
    </w:p>
  </w:footnote>
  <w:footnote w:id="13">
    <w:p w14:paraId="5E8CCBF1" w14:textId="77777777" w:rsidR="005B3296" w:rsidRDefault="005B3296" w:rsidP="006D4F74">
      <w:pPr>
        <w:autoSpaceDE w:val="0"/>
        <w:autoSpaceDN w:val="0"/>
        <w:adjustRightInd w:val="0"/>
      </w:pPr>
      <w:r>
        <w:rPr>
          <w:rStyle w:val="FootnoteReference"/>
        </w:rPr>
        <w:footnoteRef/>
      </w:r>
      <w:r>
        <w:t xml:space="preserve"> </w:t>
      </w:r>
      <w:r>
        <w:rPr>
          <w:sz w:val="20"/>
          <w:szCs w:val="20"/>
        </w:rPr>
        <w:t xml:space="preserve">Bureau of Labor Statistics (BLS), </w:t>
      </w:r>
      <w:r>
        <w:rPr>
          <w:i/>
          <w:iCs/>
          <w:sz w:val="20"/>
          <w:szCs w:val="20"/>
        </w:rPr>
        <w:t>Occupational Employment Statistics (OES),</w:t>
      </w:r>
      <w:r>
        <w:rPr>
          <w:sz w:val="20"/>
          <w:szCs w:val="20"/>
        </w:rPr>
        <w:t xml:space="preserve"> May 2017 Occupational Profiles, </w:t>
      </w:r>
      <w:r w:rsidRPr="00352D6B">
        <w:rPr>
          <w:sz w:val="20"/>
          <w:szCs w:val="20"/>
        </w:rPr>
        <w:t xml:space="preserve">https://www.bls.gov/oes/current/oes_nat.htm </w:t>
      </w:r>
      <w:r>
        <w:rPr>
          <w:sz w:val="20"/>
          <w:szCs w:val="20"/>
        </w:rPr>
        <w:t>(accessed October 29, 2018).</w:t>
      </w:r>
    </w:p>
  </w:footnote>
  <w:footnote w:id="14">
    <w:p w14:paraId="5A78CBE5" w14:textId="77777777" w:rsidR="005B3296" w:rsidRPr="0088219F" w:rsidRDefault="005B3296" w:rsidP="006D4F74">
      <w:pPr>
        <w:pStyle w:val="FootnoteText"/>
      </w:pPr>
      <w:r w:rsidRPr="0088219F">
        <w:rPr>
          <w:vertAlign w:val="superscript"/>
        </w:rPr>
        <w:footnoteRef/>
      </w:r>
      <w:r w:rsidRPr="0088219F">
        <w:t xml:space="preserve"> </w:t>
      </w:r>
      <w:r>
        <w:t>U.S. DOL</w:t>
      </w:r>
      <w:r w:rsidRPr="002110CA">
        <w:t xml:space="preserve">, </w:t>
      </w:r>
      <w:r>
        <w:t xml:space="preserve">BLS. </w:t>
      </w:r>
      <w:r w:rsidRPr="0088219F">
        <w:rPr>
          <w:i/>
        </w:rPr>
        <w:t>Table 10:</w:t>
      </w:r>
      <w:r w:rsidRPr="0088219F">
        <w:t xml:space="preserve"> </w:t>
      </w:r>
      <w:r w:rsidRPr="0088219F">
        <w:rPr>
          <w:i/>
        </w:rPr>
        <w:t>Employer costs per hour worked for employee compensation and costs as a percent of total compensation: Private industry workers, by industry group</w:t>
      </w:r>
      <w:r>
        <w:rPr>
          <w:i/>
        </w:rPr>
        <w:t>. June 2018.</w:t>
      </w:r>
      <w:r>
        <w:t xml:space="preserve"> Available at </w:t>
      </w:r>
      <w:r w:rsidRPr="00BA37B1">
        <w:t>https://www.bls.gov/news.release/archives/ecec</w:t>
      </w:r>
      <w:r>
        <w:rPr>
          <w:i/>
        </w:rPr>
        <w:t xml:space="preserve"> </w:t>
      </w:r>
      <w:r w:rsidRPr="00714070">
        <w:t>(</w:t>
      </w:r>
      <w:r>
        <w:t xml:space="preserve">accessed October 26, 2018). </w:t>
      </w:r>
    </w:p>
  </w:footnote>
  <w:footnote w:id="15">
    <w:p w14:paraId="6732E6E2" w14:textId="77777777" w:rsidR="005B3296" w:rsidRDefault="005B3296" w:rsidP="006D4F74">
      <w:pPr>
        <w:autoSpaceDE w:val="0"/>
        <w:autoSpaceDN w:val="0"/>
        <w:adjustRightInd w:val="0"/>
        <w:rPr>
          <w:sz w:val="20"/>
          <w:szCs w:val="20"/>
        </w:rPr>
      </w:pPr>
      <w:r>
        <w:rPr>
          <w:rStyle w:val="FootnoteReference"/>
        </w:rPr>
        <w:footnoteRef/>
      </w:r>
      <w:r>
        <w:t xml:space="preserve"> </w:t>
      </w:r>
      <w:r>
        <w:rPr>
          <w:sz w:val="20"/>
          <w:szCs w:val="20"/>
        </w:rPr>
        <w:t xml:space="preserve">Berwick, Farooq. </w:t>
      </w:r>
      <w:r>
        <w:rPr>
          <w:i/>
          <w:iCs/>
          <w:sz w:val="20"/>
          <w:szCs w:val="20"/>
        </w:rPr>
        <w:t>Truck Costing Model for Transportation Managers,</w:t>
      </w:r>
      <w:r>
        <w:rPr>
          <w:sz w:val="20"/>
          <w:szCs w:val="20"/>
        </w:rPr>
        <w:t xml:space="preserve"> North Dakota State University, Upper</w:t>
      </w:r>
    </w:p>
    <w:p w14:paraId="26D04C03" w14:textId="77777777" w:rsidR="005B3296" w:rsidRDefault="005B3296" w:rsidP="006D4F74">
      <w:pPr>
        <w:autoSpaceDE w:val="0"/>
        <w:autoSpaceDN w:val="0"/>
        <w:adjustRightInd w:val="0"/>
      </w:pPr>
      <w:r>
        <w:rPr>
          <w:sz w:val="20"/>
          <w:szCs w:val="20"/>
        </w:rPr>
        <w:t xml:space="preserve">Great Plains Transportation Institute, 2003. Appendix A, pp. 42-47. </w:t>
      </w:r>
      <w:r w:rsidRPr="00E705C5">
        <w:rPr>
          <w:rFonts w:eastAsiaTheme="minorHAnsi"/>
          <w:sz w:val="20"/>
          <w:szCs w:val="20"/>
        </w:rPr>
        <w:t xml:space="preserve">This </w:t>
      </w:r>
      <w:r>
        <w:rPr>
          <w:rFonts w:eastAsiaTheme="minorHAnsi"/>
          <w:sz w:val="20"/>
          <w:szCs w:val="20"/>
        </w:rPr>
        <w:t>estimate is based on an</w:t>
      </w:r>
      <w:r w:rsidRPr="00E705C5">
        <w:rPr>
          <w:rFonts w:eastAsiaTheme="minorHAnsi"/>
          <w:sz w:val="20"/>
          <w:szCs w:val="20"/>
        </w:rPr>
        <w:t xml:space="preserve"> average cost of $0.107 per mile of CMV operation for management and overhead, and $0.39 per mile for labor</w:t>
      </w:r>
      <w:r>
        <w:rPr>
          <w:rFonts w:eastAsiaTheme="minorHAnsi"/>
          <w:sz w:val="20"/>
          <w:szCs w:val="20"/>
        </w:rPr>
        <w:t>. The ratio of these values results in an estimated 27.4 percent overhead rate</w:t>
      </w:r>
      <w:r w:rsidRPr="00E705C5">
        <w:rPr>
          <w:rFonts w:eastAsiaTheme="minorHAnsi"/>
          <w:sz w:val="20"/>
          <w:szCs w:val="20"/>
        </w:rPr>
        <w:t xml:space="preserve"> (</w:t>
      </w:r>
      <w:r>
        <w:rPr>
          <w:rFonts w:eastAsiaTheme="minorHAnsi"/>
          <w:sz w:val="20"/>
          <w:szCs w:val="20"/>
        </w:rPr>
        <w:t xml:space="preserve">27.4 percent = </w:t>
      </w:r>
      <w:r w:rsidRPr="00E705C5">
        <w:rPr>
          <w:rFonts w:eastAsiaTheme="minorHAnsi"/>
          <w:sz w:val="20"/>
          <w:szCs w:val="20"/>
        </w:rPr>
        <w:t>$0.107 ÷ $0.39).</w:t>
      </w:r>
      <w:r>
        <w:rPr>
          <w:sz w:val="20"/>
          <w:szCs w:val="20"/>
        </w:rPr>
        <w:t xml:space="preserve">  </w:t>
      </w:r>
      <w:r w:rsidRPr="00352D6B">
        <w:rPr>
          <w:sz w:val="20"/>
          <w:szCs w:val="20"/>
        </w:rPr>
        <w:t>https://www.ugpti.org/resources/reports/details.php?id=475</w:t>
      </w:r>
      <w:r>
        <w:rPr>
          <w:sz w:val="20"/>
          <w:szCs w:val="20"/>
        </w:rPr>
        <w:t xml:space="preserve"> (accessed October 29, 2018).</w:t>
      </w:r>
    </w:p>
    <w:p w14:paraId="2000D5C0" w14:textId="77777777" w:rsidR="005B3296" w:rsidRDefault="005B3296" w:rsidP="006D4F74">
      <w:pPr>
        <w:pStyle w:val="FootnoteText"/>
      </w:pPr>
    </w:p>
  </w:footnote>
  <w:footnote w:id="16">
    <w:p w14:paraId="5B14E53D" w14:textId="6898575E" w:rsidR="005B3296" w:rsidRDefault="005B3296">
      <w:pPr>
        <w:pStyle w:val="FootnoteText"/>
      </w:pPr>
      <w:r>
        <w:rPr>
          <w:rStyle w:val="FootnoteReference"/>
        </w:rPr>
        <w:footnoteRef/>
      </w:r>
      <w:r>
        <w:t xml:space="preserve"> </w:t>
      </w:r>
      <w:r w:rsidRPr="007E084F">
        <w:t>J.J. Keller sells backup logbooks</w:t>
      </w:r>
      <w:r>
        <w:t xml:space="preserve"> that contains 10 RODS sheets</w:t>
      </w:r>
      <w:r w:rsidRPr="007E084F">
        <w:t>. The unit price ranges with the quantity of purchases from $4.98 (1 to 99 units) to $3.43 (500 to 999 units). The midpoint price is $4.13 (200 to 299 units).  The Missouri Trucking Association sells the J.J. Keller backup logbook for $4.25 and DirectDepot sells it for $2.66. For purposes of this analysis, the Agency uses an average price of $3.58 per backup logbook ($3.58 = ($4.13 + $4.25 + $2.66)/3).</w:t>
      </w:r>
      <w:r>
        <w:t xml:space="preserve"> These price quotes were available from the following web sites:</w:t>
      </w:r>
      <w:r w:rsidRPr="007E084F">
        <w:t xml:space="preserve"> </w:t>
      </w:r>
      <w:r>
        <w:t xml:space="preserve"> </w:t>
      </w:r>
      <w:r w:rsidRPr="00D07563">
        <w:t>www.jjkeller.com/shop/Product/ELD-Backup-Log-Book-with-Detailed-DVIR-2-Ply-with-Recap-Stock#Pricing</w:t>
      </w:r>
      <w:r>
        <w:t xml:space="preserve">, </w:t>
      </w:r>
      <w:r w:rsidRPr="00D07563">
        <w:t>www.motrucking.worldsecuresystems.com/hours-of-service/log-books/51944-eld-backup-log-book-with-detailed-dvir-2-ply-with-recap</w:t>
      </w:r>
      <w:r>
        <w:rPr>
          <w:color w:val="000000"/>
        </w:rPr>
        <w:t xml:space="preserve">, and </w:t>
      </w:r>
      <w:r w:rsidRPr="00E53890">
        <w:rPr>
          <w:color w:val="000000"/>
        </w:rPr>
        <w:t>www.directdepot.net/product-info.php/product-model/51944?gclid=EAIaIQobChMI6uSTsNGu3gIVhR-GCh0iOAY9EAQYAiABEgLn8vD_BwE</w:t>
      </w:r>
      <w:r>
        <w:rPr>
          <w:color w:val="000000"/>
        </w:rPr>
        <w:t xml:space="preserve"> (accessed November 16, 2018).</w:t>
      </w:r>
    </w:p>
  </w:footnote>
  <w:footnote w:id="17">
    <w:p w14:paraId="4BAB41BB" w14:textId="77777777" w:rsidR="005B3296" w:rsidRDefault="005B3296" w:rsidP="00086A8C">
      <w:r w:rsidRPr="00086A8C">
        <w:rPr>
          <w:rStyle w:val="FootnoteReference"/>
          <w:sz w:val="20"/>
          <w:szCs w:val="20"/>
        </w:rPr>
        <w:footnoteRef/>
      </w:r>
      <w:r w:rsidRPr="00086A8C">
        <w:rPr>
          <w:sz w:val="20"/>
          <w:szCs w:val="20"/>
        </w:rPr>
        <w:t xml:space="preserve"> Vendor websites include</w:t>
      </w:r>
      <w:r>
        <w:rPr>
          <w:sz w:val="20"/>
          <w:szCs w:val="20"/>
        </w:rPr>
        <w:t xml:space="preserve"> Carmalink (</w:t>
      </w:r>
      <w:r w:rsidRPr="00086A8C" w:rsidDel="00086A8C">
        <w:rPr>
          <w:color w:val="000000"/>
          <w:sz w:val="20"/>
          <w:szCs w:val="20"/>
        </w:rPr>
        <w:t>www.carmalink.com/pricing/</w:t>
      </w:r>
      <w:r w:rsidRPr="00086A8C">
        <w:rPr>
          <w:color w:val="000000"/>
          <w:sz w:val="20"/>
          <w:szCs w:val="20"/>
        </w:rPr>
        <w:t>www.carmalink.com/pricing/</w:t>
      </w:r>
      <w:r>
        <w:rPr>
          <w:color w:val="000000"/>
          <w:sz w:val="20"/>
          <w:szCs w:val="20"/>
        </w:rPr>
        <w:t>)</w:t>
      </w:r>
      <w:r w:rsidRPr="00086A8C">
        <w:rPr>
          <w:color w:val="000000"/>
          <w:sz w:val="20"/>
          <w:szCs w:val="20"/>
        </w:rPr>
        <w:t xml:space="preserve">, </w:t>
      </w:r>
      <w:r>
        <w:rPr>
          <w:color w:val="000000"/>
          <w:sz w:val="20"/>
          <w:szCs w:val="20"/>
        </w:rPr>
        <w:t xml:space="preserve">DataSmart ELD </w:t>
      </w:r>
      <w:r w:rsidRPr="00086A8C">
        <w:rPr>
          <w:color w:val="000000"/>
          <w:sz w:val="20"/>
          <w:szCs w:val="20"/>
        </w:rPr>
        <w:t>(</w:t>
      </w:r>
      <w:r w:rsidRPr="00C875AA">
        <w:rPr>
          <w:color w:val="000000" w:themeColor="text1"/>
          <w:sz w:val="20"/>
          <w:szCs w:val="20"/>
        </w:rPr>
        <w:t>www.datasmart4trucks.co/electronic-logbooks.html</w:t>
      </w:r>
      <w:r>
        <w:rPr>
          <w:color w:val="0563C1"/>
          <w:sz w:val="20"/>
          <w:szCs w:val="20"/>
          <w:u w:val="single"/>
        </w:rPr>
        <w:t>)</w:t>
      </w:r>
      <w:r w:rsidRPr="00086A8C">
        <w:rPr>
          <w:color w:val="000000"/>
          <w:sz w:val="20"/>
          <w:szCs w:val="20"/>
        </w:rPr>
        <w:t xml:space="preserve"> and </w:t>
      </w:r>
      <w:r>
        <w:rPr>
          <w:color w:val="000000"/>
          <w:sz w:val="20"/>
          <w:szCs w:val="20"/>
        </w:rPr>
        <w:t>MasTrack (</w:t>
      </w:r>
      <w:r w:rsidRPr="00D07563">
        <w:rPr>
          <w:color w:val="000000"/>
          <w:sz w:val="20"/>
          <w:szCs w:val="20"/>
        </w:rPr>
        <w:t>www.mastrack.com/eldbundle</w:t>
      </w:r>
      <w:r>
        <w:rPr>
          <w:color w:val="000000"/>
          <w:sz w:val="20"/>
          <w:szCs w:val="20"/>
        </w:rPr>
        <w:t>) (accessed November 16, 2018).</w:t>
      </w:r>
      <w:r>
        <w:rPr>
          <w:rFonts w:ascii="Calibri" w:hAnsi="Calibri"/>
          <w:color w:val="000000"/>
          <w:sz w:val="20"/>
          <w:szCs w:val="20"/>
        </w:rPr>
        <w:t xml:space="preserve"> </w:t>
      </w:r>
    </w:p>
  </w:footnote>
  <w:footnote w:id="18">
    <w:p w14:paraId="04058458" w14:textId="77777777" w:rsidR="005B3296" w:rsidRPr="008D420B" w:rsidRDefault="005B3296" w:rsidP="00086A8C">
      <w:pPr>
        <w:rPr>
          <w:sz w:val="20"/>
          <w:szCs w:val="20"/>
        </w:rPr>
      </w:pPr>
      <w:r>
        <w:rPr>
          <w:rStyle w:val="FootnoteReference"/>
        </w:rPr>
        <w:footnoteRef/>
      </w:r>
      <w:r>
        <w:t xml:space="preserve"> </w:t>
      </w:r>
      <w:r w:rsidRPr="00086A8C">
        <w:rPr>
          <w:sz w:val="20"/>
          <w:szCs w:val="20"/>
        </w:rPr>
        <w:t>See</w:t>
      </w:r>
      <w:r>
        <w:t xml:space="preserve"> </w:t>
      </w:r>
      <w:r w:rsidRPr="00086A8C">
        <w:rPr>
          <w:color w:val="000000"/>
          <w:sz w:val="20"/>
          <w:szCs w:val="20"/>
        </w:rPr>
        <w:t>http://eldratings.com/bluetree/</w:t>
      </w:r>
      <w:r>
        <w:rPr>
          <w:color w:val="000000"/>
          <w:sz w:val="20"/>
          <w:szCs w:val="20"/>
        </w:rPr>
        <w:t xml:space="preserve"> (accessed November 16, 2018).</w:t>
      </w:r>
    </w:p>
  </w:footnote>
  <w:footnote w:id="19">
    <w:p w14:paraId="62B2DC8A" w14:textId="77777777" w:rsidR="005B3296" w:rsidRDefault="005B3296" w:rsidP="00151F52">
      <w:pPr>
        <w:pStyle w:val="FootnoteText"/>
      </w:pPr>
      <w:r>
        <w:rPr>
          <w:rStyle w:val="FootnoteReference"/>
        </w:rPr>
        <w:footnoteRef/>
      </w:r>
      <w:r>
        <w:t xml:space="preserve"> See Federal Motor Carrier Safety Administration, “Attitudes of Truck Drivers and Carriers on the Use of Electronic Logging Devices and Driver Harassment,” page 65, Table 57, November 2014, </w:t>
      </w:r>
      <w:r w:rsidRPr="00A16E99">
        <w:t>https://rosap.ntl.bts.gov/view/dot/192</w:t>
      </w:r>
      <w:r>
        <w:t xml:space="preserve"> (accessed November 16, 2018).</w:t>
      </w:r>
    </w:p>
  </w:footnote>
  <w:footnote w:id="20">
    <w:p w14:paraId="02C3794C" w14:textId="101C73F5" w:rsidR="005B3296" w:rsidRPr="00472920" w:rsidRDefault="005B3296" w:rsidP="00A16E99">
      <w:pPr>
        <w:rPr>
          <w:sz w:val="18"/>
          <w:szCs w:val="18"/>
        </w:rPr>
      </w:pPr>
      <w:r w:rsidRPr="00086A8C">
        <w:rPr>
          <w:rStyle w:val="FootnoteReference"/>
          <w:sz w:val="20"/>
          <w:szCs w:val="20"/>
        </w:rPr>
        <w:footnoteRef/>
      </w:r>
      <w:r>
        <w:rPr>
          <w:sz w:val="20"/>
          <w:szCs w:val="20"/>
        </w:rPr>
        <w:t xml:space="preserve"> </w:t>
      </w:r>
      <w:r w:rsidRPr="00086A8C">
        <w:rPr>
          <w:sz w:val="20"/>
          <w:szCs w:val="20"/>
        </w:rPr>
        <w:t xml:space="preserve">Some vendors only sell ELD applications with monthly service charges for data services.  These are </w:t>
      </w:r>
      <w:r>
        <w:rPr>
          <w:sz w:val="20"/>
          <w:szCs w:val="20"/>
        </w:rPr>
        <w:t>“</w:t>
      </w:r>
      <w:r w:rsidRPr="00086A8C">
        <w:rPr>
          <w:sz w:val="20"/>
          <w:szCs w:val="20"/>
        </w:rPr>
        <w:t>bring your own device</w:t>
      </w:r>
      <w:r>
        <w:rPr>
          <w:sz w:val="20"/>
          <w:szCs w:val="20"/>
        </w:rPr>
        <w:t>”</w:t>
      </w:r>
      <w:r w:rsidRPr="00086A8C">
        <w:rPr>
          <w:sz w:val="20"/>
          <w:szCs w:val="20"/>
        </w:rPr>
        <w:t xml:space="preserve"> services that require either a smart phone or tablet.</w:t>
      </w:r>
      <w:r>
        <w:rPr>
          <w:sz w:val="20"/>
          <w:szCs w:val="20"/>
        </w:rPr>
        <w:t xml:space="preserve"> Given that smart phone and tablet prices are comparable to ELD prices, ELD costs were estimated using the price points for the vendors selling the ELD and providing data services.</w:t>
      </w:r>
      <w:r w:rsidRPr="001A353B">
        <w:rPr>
          <w:sz w:val="20"/>
          <w:szCs w:val="20"/>
        </w:rPr>
        <w:t xml:space="preserve"> </w:t>
      </w:r>
      <w:r>
        <w:t xml:space="preserve"> </w:t>
      </w:r>
    </w:p>
  </w:footnote>
  <w:footnote w:id="21">
    <w:p w14:paraId="4737CE9E" w14:textId="77777777" w:rsidR="005B3296" w:rsidRDefault="005B3296">
      <w:pPr>
        <w:pStyle w:val="FootnoteText"/>
      </w:pPr>
      <w:r>
        <w:rPr>
          <w:rStyle w:val="FootnoteReference"/>
        </w:rPr>
        <w:footnoteRef/>
      </w:r>
      <w:r>
        <w:t xml:space="preserve"> Because all motor carriers subject to the ELD rules are assumed to be operating ELD-equipped vehicles, the Agency believes that the filing space required to retain paper logs completed because of an ELD malfunction will be de minimis. Pursuant to 49 CFR 395.8(k)(1), motor carriers must retain RODS and supporting documents for no less than six months. Assuming motor carriers eliminate paper RODS currently in storage after six months, they should have adequate capacity in existing filing cabinets to store paper RODS drivers prepare in response to an ELD malfunction.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08FDD0"/>
    <w:lvl w:ilvl="0">
      <w:start w:val="1"/>
      <w:numFmt w:val="decimal"/>
      <w:lvlText w:val="%1."/>
      <w:lvlJc w:val="left"/>
      <w:pPr>
        <w:tabs>
          <w:tab w:val="num" w:pos="1800"/>
        </w:tabs>
        <w:ind w:left="1800" w:hanging="360"/>
      </w:pPr>
    </w:lvl>
  </w:abstractNum>
  <w:abstractNum w:abstractNumId="1">
    <w:nsid w:val="FFFFFF7D"/>
    <w:multiLevelType w:val="singleLevel"/>
    <w:tmpl w:val="F6A23032"/>
    <w:lvl w:ilvl="0">
      <w:start w:val="1"/>
      <w:numFmt w:val="decimal"/>
      <w:lvlText w:val="%1."/>
      <w:lvlJc w:val="left"/>
      <w:pPr>
        <w:tabs>
          <w:tab w:val="num" w:pos="1440"/>
        </w:tabs>
        <w:ind w:left="1440" w:hanging="360"/>
      </w:pPr>
    </w:lvl>
  </w:abstractNum>
  <w:abstractNum w:abstractNumId="2">
    <w:nsid w:val="FFFFFF7E"/>
    <w:multiLevelType w:val="singleLevel"/>
    <w:tmpl w:val="066A7F9A"/>
    <w:lvl w:ilvl="0">
      <w:start w:val="1"/>
      <w:numFmt w:val="decimal"/>
      <w:lvlText w:val="%1."/>
      <w:lvlJc w:val="left"/>
      <w:pPr>
        <w:tabs>
          <w:tab w:val="num" w:pos="1080"/>
        </w:tabs>
        <w:ind w:left="1080" w:hanging="360"/>
      </w:pPr>
    </w:lvl>
  </w:abstractNum>
  <w:abstractNum w:abstractNumId="3">
    <w:nsid w:val="FFFFFF7F"/>
    <w:multiLevelType w:val="singleLevel"/>
    <w:tmpl w:val="F5CE6978"/>
    <w:lvl w:ilvl="0">
      <w:start w:val="1"/>
      <w:numFmt w:val="decimal"/>
      <w:lvlText w:val="%1."/>
      <w:lvlJc w:val="left"/>
      <w:pPr>
        <w:tabs>
          <w:tab w:val="num" w:pos="720"/>
        </w:tabs>
        <w:ind w:left="720" w:hanging="360"/>
      </w:pPr>
    </w:lvl>
  </w:abstractNum>
  <w:abstractNum w:abstractNumId="4">
    <w:nsid w:val="FFFFFF80"/>
    <w:multiLevelType w:val="singleLevel"/>
    <w:tmpl w:val="A386D5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E629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A261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56D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B2CD4C"/>
    <w:lvl w:ilvl="0">
      <w:start w:val="1"/>
      <w:numFmt w:val="decimal"/>
      <w:lvlText w:val="%1."/>
      <w:lvlJc w:val="left"/>
      <w:pPr>
        <w:tabs>
          <w:tab w:val="num" w:pos="360"/>
        </w:tabs>
        <w:ind w:left="360" w:hanging="360"/>
      </w:pPr>
    </w:lvl>
  </w:abstractNum>
  <w:abstractNum w:abstractNumId="9">
    <w:nsid w:val="FFFFFF89"/>
    <w:multiLevelType w:val="singleLevel"/>
    <w:tmpl w:val="90E632FA"/>
    <w:lvl w:ilvl="0">
      <w:start w:val="1"/>
      <w:numFmt w:val="bullet"/>
      <w:lvlText w:val=""/>
      <w:lvlJc w:val="left"/>
      <w:pPr>
        <w:tabs>
          <w:tab w:val="num" w:pos="360"/>
        </w:tabs>
        <w:ind w:left="360" w:hanging="360"/>
      </w:pPr>
      <w:rPr>
        <w:rFonts w:ascii="Symbol" w:hAnsi="Symbol" w:hint="default"/>
      </w:rPr>
    </w:lvl>
  </w:abstractNum>
  <w:abstractNum w:abstractNumId="10">
    <w:nsid w:val="02EC52B4"/>
    <w:multiLevelType w:val="hybridMultilevel"/>
    <w:tmpl w:val="6CD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3A3684"/>
    <w:multiLevelType w:val="hybridMultilevel"/>
    <w:tmpl w:val="51C8BFCA"/>
    <w:lvl w:ilvl="0" w:tplc="343083F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BB41A7"/>
    <w:multiLevelType w:val="hybridMultilevel"/>
    <w:tmpl w:val="D85CC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ED6518A"/>
    <w:multiLevelType w:val="hybridMultilevel"/>
    <w:tmpl w:val="AC1EB1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2B447D1"/>
    <w:multiLevelType w:val="hybridMultilevel"/>
    <w:tmpl w:val="D92A9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7E0F21"/>
    <w:multiLevelType w:val="hybridMultilevel"/>
    <w:tmpl w:val="545A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62EEC"/>
    <w:multiLevelType w:val="hybridMultilevel"/>
    <w:tmpl w:val="F6BAD4EC"/>
    <w:lvl w:ilvl="0" w:tplc="BBECF6AE">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7930D93"/>
    <w:multiLevelType w:val="hybridMultilevel"/>
    <w:tmpl w:val="8AD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C171AC"/>
    <w:multiLevelType w:val="hybridMultilevel"/>
    <w:tmpl w:val="CE88BF1A"/>
    <w:lvl w:ilvl="0" w:tplc="94C49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D64B68"/>
    <w:multiLevelType w:val="hybridMultilevel"/>
    <w:tmpl w:val="76FAC2A0"/>
    <w:lvl w:ilvl="0" w:tplc="FE84979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B4F4B53"/>
    <w:multiLevelType w:val="hybridMultilevel"/>
    <w:tmpl w:val="E95273F2"/>
    <w:lvl w:ilvl="0" w:tplc="4AAC1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214D83"/>
    <w:multiLevelType w:val="hybridMultilevel"/>
    <w:tmpl w:val="E95273F2"/>
    <w:lvl w:ilvl="0" w:tplc="4AAC1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258DE"/>
    <w:multiLevelType w:val="hybridMultilevel"/>
    <w:tmpl w:val="A54E2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32282A"/>
    <w:multiLevelType w:val="hybridMultilevel"/>
    <w:tmpl w:val="053ABF1A"/>
    <w:lvl w:ilvl="0" w:tplc="AF586EE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FEB0CFA"/>
    <w:multiLevelType w:val="hybridMultilevel"/>
    <w:tmpl w:val="22FC76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4F3DDD"/>
    <w:multiLevelType w:val="hybridMultilevel"/>
    <w:tmpl w:val="21483E52"/>
    <w:lvl w:ilvl="0" w:tplc="D0306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85255E"/>
    <w:multiLevelType w:val="hybridMultilevel"/>
    <w:tmpl w:val="CBBEE590"/>
    <w:lvl w:ilvl="0" w:tplc="272048CA">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567229A"/>
    <w:multiLevelType w:val="hybridMultilevel"/>
    <w:tmpl w:val="C374EEC2"/>
    <w:lvl w:ilvl="0" w:tplc="2230D324">
      <w:start w:val="15"/>
      <w:numFmt w:val="upp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862162"/>
    <w:multiLevelType w:val="hybridMultilevel"/>
    <w:tmpl w:val="89945230"/>
    <w:lvl w:ilvl="0" w:tplc="592A2F5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9D2ECB"/>
    <w:multiLevelType w:val="hybridMultilevel"/>
    <w:tmpl w:val="850A6E74"/>
    <w:lvl w:ilvl="0" w:tplc="6C6AB5DA">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F4E35D0"/>
    <w:multiLevelType w:val="hybridMultilevel"/>
    <w:tmpl w:val="7236041C"/>
    <w:lvl w:ilvl="0" w:tplc="81A403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5"/>
  </w:num>
  <w:num w:numId="13">
    <w:abstractNumId w:val="23"/>
  </w:num>
  <w:num w:numId="14">
    <w:abstractNumId w:val="28"/>
  </w:num>
  <w:num w:numId="15">
    <w:abstractNumId w:val="11"/>
  </w:num>
  <w:num w:numId="16">
    <w:abstractNumId w:val="19"/>
  </w:num>
  <w:num w:numId="17">
    <w:abstractNumId w:val="26"/>
  </w:num>
  <w:num w:numId="18">
    <w:abstractNumId w:val="30"/>
  </w:num>
  <w:num w:numId="19">
    <w:abstractNumId w:val="14"/>
  </w:num>
  <w:num w:numId="20">
    <w:abstractNumId w:val="27"/>
  </w:num>
  <w:num w:numId="21">
    <w:abstractNumId w:val="16"/>
  </w:num>
  <w:num w:numId="22">
    <w:abstractNumId w:val="24"/>
  </w:num>
  <w:num w:numId="23">
    <w:abstractNumId w:val="10"/>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3"/>
  </w:num>
  <w:num w:numId="28">
    <w:abstractNumId w:val="18"/>
  </w:num>
  <w:num w:numId="29">
    <w:abstractNumId w:val="22"/>
  </w:num>
  <w:num w:numId="30">
    <w:abstractNumId w:val="20"/>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AB"/>
    <w:rsid w:val="00002A9D"/>
    <w:rsid w:val="0000369A"/>
    <w:rsid w:val="0000468C"/>
    <w:rsid w:val="000048E2"/>
    <w:rsid w:val="00006FDF"/>
    <w:rsid w:val="0001168F"/>
    <w:rsid w:val="0001218F"/>
    <w:rsid w:val="00013C1B"/>
    <w:rsid w:val="00015CD3"/>
    <w:rsid w:val="00016FB7"/>
    <w:rsid w:val="00017242"/>
    <w:rsid w:val="000177BD"/>
    <w:rsid w:val="00021B4D"/>
    <w:rsid w:val="000224EC"/>
    <w:rsid w:val="00022790"/>
    <w:rsid w:val="00022E37"/>
    <w:rsid w:val="0002433E"/>
    <w:rsid w:val="0002705A"/>
    <w:rsid w:val="0002762A"/>
    <w:rsid w:val="00027797"/>
    <w:rsid w:val="00027C3E"/>
    <w:rsid w:val="00031F4F"/>
    <w:rsid w:val="00033485"/>
    <w:rsid w:val="000349CC"/>
    <w:rsid w:val="000357D9"/>
    <w:rsid w:val="00035BCB"/>
    <w:rsid w:val="000367E6"/>
    <w:rsid w:val="00040D52"/>
    <w:rsid w:val="0004151F"/>
    <w:rsid w:val="00043949"/>
    <w:rsid w:val="00043B22"/>
    <w:rsid w:val="0004410D"/>
    <w:rsid w:val="00044CD7"/>
    <w:rsid w:val="000456B4"/>
    <w:rsid w:val="000456FE"/>
    <w:rsid w:val="000465C6"/>
    <w:rsid w:val="00046934"/>
    <w:rsid w:val="00047228"/>
    <w:rsid w:val="000475C1"/>
    <w:rsid w:val="00050296"/>
    <w:rsid w:val="00050BC2"/>
    <w:rsid w:val="00051842"/>
    <w:rsid w:val="0005221E"/>
    <w:rsid w:val="00052909"/>
    <w:rsid w:val="00052B41"/>
    <w:rsid w:val="000531CF"/>
    <w:rsid w:val="000538B9"/>
    <w:rsid w:val="000542B2"/>
    <w:rsid w:val="00054679"/>
    <w:rsid w:val="00055520"/>
    <w:rsid w:val="00055DFB"/>
    <w:rsid w:val="000564A3"/>
    <w:rsid w:val="000568DE"/>
    <w:rsid w:val="00057110"/>
    <w:rsid w:val="00057B9D"/>
    <w:rsid w:val="00057DE7"/>
    <w:rsid w:val="000601C4"/>
    <w:rsid w:val="000639A1"/>
    <w:rsid w:val="000646A2"/>
    <w:rsid w:val="00064829"/>
    <w:rsid w:val="0006550F"/>
    <w:rsid w:val="000655EB"/>
    <w:rsid w:val="00066B29"/>
    <w:rsid w:val="00067FB5"/>
    <w:rsid w:val="00067FBD"/>
    <w:rsid w:val="00070287"/>
    <w:rsid w:val="00071BF7"/>
    <w:rsid w:val="00072E44"/>
    <w:rsid w:val="00073645"/>
    <w:rsid w:val="000747CA"/>
    <w:rsid w:val="00074C1A"/>
    <w:rsid w:val="00075374"/>
    <w:rsid w:val="00076709"/>
    <w:rsid w:val="00076F19"/>
    <w:rsid w:val="00077362"/>
    <w:rsid w:val="00080999"/>
    <w:rsid w:val="00080B78"/>
    <w:rsid w:val="00080F81"/>
    <w:rsid w:val="000817E5"/>
    <w:rsid w:val="00082001"/>
    <w:rsid w:val="00084010"/>
    <w:rsid w:val="0008468E"/>
    <w:rsid w:val="000855BD"/>
    <w:rsid w:val="00085A59"/>
    <w:rsid w:val="0008665B"/>
    <w:rsid w:val="000867B5"/>
    <w:rsid w:val="000867D2"/>
    <w:rsid w:val="00086A8C"/>
    <w:rsid w:val="000871B9"/>
    <w:rsid w:val="00087BDC"/>
    <w:rsid w:val="00087E8D"/>
    <w:rsid w:val="0009311C"/>
    <w:rsid w:val="000945B0"/>
    <w:rsid w:val="0009509F"/>
    <w:rsid w:val="000964DA"/>
    <w:rsid w:val="0009706B"/>
    <w:rsid w:val="000970A1"/>
    <w:rsid w:val="00097966"/>
    <w:rsid w:val="000A0E02"/>
    <w:rsid w:val="000A1224"/>
    <w:rsid w:val="000A15F1"/>
    <w:rsid w:val="000A2215"/>
    <w:rsid w:val="000A289F"/>
    <w:rsid w:val="000A33EA"/>
    <w:rsid w:val="000A3A43"/>
    <w:rsid w:val="000A3B0E"/>
    <w:rsid w:val="000A49AC"/>
    <w:rsid w:val="000A56EF"/>
    <w:rsid w:val="000A6FC4"/>
    <w:rsid w:val="000B04EA"/>
    <w:rsid w:val="000B0B48"/>
    <w:rsid w:val="000B1A54"/>
    <w:rsid w:val="000B217B"/>
    <w:rsid w:val="000B4D55"/>
    <w:rsid w:val="000B6305"/>
    <w:rsid w:val="000B6C20"/>
    <w:rsid w:val="000C06B4"/>
    <w:rsid w:val="000C1B68"/>
    <w:rsid w:val="000C281F"/>
    <w:rsid w:val="000C2AA5"/>
    <w:rsid w:val="000C2F27"/>
    <w:rsid w:val="000C30A4"/>
    <w:rsid w:val="000C39E6"/>
    <w:rsid w:val="000C4EB5"/>
    <w:rsid w:val="000C6204"/>
    <w:rsid w:val="000C68FA"/>
    <w:rsid w:val="000C7EFE"/>
    <w:rsid w:val="000D0E53"/>
    <w:rsid w:val="000D10EA"/>
    <w:rsid w:val="000D1DED"/>
    <w:rsid w:val="000D1E3B"/>
    <w:rsid w:val="000D27C2"/>
    <w:rsid w:val="000D3975"/>
    <w:rsid w:val="000D44D0"/>
    <w:rsid w:val="000D4692"/>
    <w:rsid w:val="000D5476"/>
    <w:rsid w:val="000D6292"/>
    <w:rsid w:val="000D677F"/>
    <w:rsid w:val="000D6D7B"/>
    <w:rsid w:val="000E0AF4"/>
    <w:rsid w:val="000E12FF"/>
    <w:rsid w:val="000E2743"/>
    <w:rsid w:val="000E30BD"/>
    <w:rsid w:val="000E46C3"/>
    <w:rsid w:val="000E5753"/>
    <w:rsid w:val="000E7CE7"/>
    <w:rsid w:val="000F0E63"/>
    <w:rsid w:val="000F1EDF"/>
    <w:rsid w:val="000F2290"/>
    <w:rsid w:val="000F2565"/>
    <w:rsid w:val="000F2752"/>
    <w:rsid w:val="000F2829"/>
    <w:rsid w:val="000F3E58"/>
    <w:rsid w:val="000F45ED"/>
    <w:rsid w:val="000F4D3E"/>
    <w:rsid w:val="000F514F"/>
    <w:rsid w:val="000F5582"/>
    <w:rsid w:val="000F6D35"/>
    <w:rsid w:val="000F7060"/>
    <w:rsid w:val="000F7E60"/>
    <w:rsid w:val="00100260"/>
    <w:rsid w:val="00101E3D"/>
    <w:rsid w:val="0010244C"/>
    <w:rsid w:val="00103079"/>
    <w:rsid w:val="00104044"/>
    <w:rsid w:val="001045F6"/>
    <w:rsid w:val="001049DB"/>
    <w:rsid w:val="00104CFF"/>
    <w:rsid w:val="00110971"/>
    <w:rsid w:val="00110974"/>
    <w:rsid w:val="00110AF5"/>
    <w:rsid w:val="00110FB8"/>
    <w:rsid w:val="00112C20"/>
    <w:rsid w:val="00113BDF"/>
    <w:rsid w:val="0011429B"/>
    <w:rsid w:val="0011574F"/>
    <w:rsid w:val="00115DF8"/>
    <w:rsid w:val="00116523"/>
    <w:rsid w:val="00116556"/>
    <w:rsid w:val="001166E6"/>
    <w:rsid w:val="00116BE9"/>
    <w:rsid w:val="00116F17"/>
    <w:rsid w:val="00121152"/>
    <w:rsid w:val="00122018"/>
    <w:rsid w:val="00122EF6"/>
    <w:rsid w:val="00123409"/>
    <w:rsid w:val="00123915"/>
    <w:rsid w:val="00123E59"/>
    <w:rsid w:val="001244F3"/>
    <w:rsid w:val="00124B62"/>
    <w:rsid w:val="001262D7"/>
    <w:rsid w:val="001265A0"/>
    <w:rsid w:val="00126D85"/>
    <w:rsid w:val="00127DFF"/>
    <w:rsid w:val="0013138E"/>
    <w:rsid w:val="00131E8B"/>
    <w:rsid w:val="00132AD9"/>
    <w:rsid w:val="001337EA"/>
    <w:rsid w:val="00133C6D"/>
    <w:rsid w:val="001344E6"/>
    <w:rsid w:val="00135E63"/>
    <w:rsid w:val="00136598"/>
    <w:rsid w:val="00136DDA"/>
    <w:rsid w:val="00137225"/>
    <w:rsid w:val="001403D8"/>
    <w:rsid w:val="00140E74"/>
    <w:rsid w:val="00141E34"/>
    <w:rsid w:val="00144587"/>
    <w:rsid w:val="00145663"/>
    <w:rsid w:val="00145D9B"/>
    <w:rsid w:val="00147F93"/>
    <w:rsid w:val="00150173"/>
    <w:rsid w:val="001507C1"/>
    <w:rsid w:val="00151A86"/>
    <w:rsid w:val="00151CC3"/>
    <w:rsid w:val="00151DC1"/>
    <w:rsid w:val="00151F52"/>
    <w:rsid w:val="0015214E"/>
    <w:rsid w:val="00152EA3"/>
    <w:rsid w:val="00153DAD"/>
    <w:rsid w:val="00153E24"/>
    <w:rsid w:val="00154020"/>
    <w:rsid w:val="001544B3"/>
    <w:rsid w:val="00154D4C"/>
    <w:rsid w:val="00155D2F"/>
    <w:rsid w:val="00155F1D"/>
    <w:rsid w:val="00156771"/>
    <w:rsid w:val="001568D9"/>
    <w:rsid w:val="00157FDA"/>
    <w:rsid w:val="0016051A"/>
    <w:rsid w:val="00161623"/>
    <w:rsid w:val="00161E01"/>
    <w:rsid w:val="001621E4"/>
    <w:rsid w:val="00162656"/>
    <w:rsid w:val="00162F87"/>
    <w:rsid w:val="0016401D"/>
    <w:rsid w:val="00165923"/>
    <w:rsid w:val="00166AC2"/>
    <w:rsid w:val="00170AC4"/>
    <w:rsid w:val="0017155C"/>
    <w:rsid w:val="00171BE5"/>
    <w:rsid w:val="00173240"/>
    <w:rsid w:val="00173AB1"/>
    <w:rsid w:val="00174484"/>
    <w:rsid w:val="00175164"/>
    <w:rsid w:val="001752AB"/>
    <w:rsid w:val="00175590"/>
    <w:rsid w:val="0017567B"/>
    <w:rsid w:val="00177687"/>
    <w:rsid w:val="00177B82"/>
    <w:rsid w:val="00180C67"/>
    <w:rsid w:val="00182D96"/>
    <w:rsid w:val="00183326"/>
    <w:rsid w:val="00185220"/>
    <w:rsid w:val="00185844"/>
    <w:rsid w:val="00186368"/>
    <w:rsid w:val="00186E35"/>
    <w:rsid w:val="001918AE"/>
    <w:rsid w:val="001919F5"/>
    <w:rsid w:val="001920D6"/>
    <w:rsid w:val="001920F8"/>
    <w:rsid w:val="001931BC"/>
    <w:rsid w:val="001948F1"/>
    <w:rsid w:val="0019538E"/>
    <w:rsid w:val="00195DD7"/>
    <w:rsid w:val="00196241"/>
    <w:rsid w:val="0019734B"/>
    <w:rsid w:val="001A05F0"/>
    <w:rsid w:val="001A1BF6"/>
    <w:rsid w:val="001A2E9D"/>
    <w:rsid w:val="001A3002"/>
    <w:rsid w:val="001A5865"/>
    <w:rsid w:val="001A587E"/>
    <w:rsid w:val="001A63ED"/>
    <w:rsid w:val="001A6F64"/>
    <w:rsid w:val="001A704E"/>
    <w:rsid w:val="001B050F"/>
    <w:rsid w:val="001B18D9"/>
    <w:rsid w:val="001B1CC1"/>
    <w:rsid w:val="001B1CEA"/>
    <w:rsid w:val="001B3CF6"/>
    <w:rsid w:val="001B6C85"/>
    <w:rsid w:val="001B7393"/>
    <w:rsid w:val="001B7E19"/>
    <w:rsid w:val="001C0282"/>
    <w:rsid w:val="001C0D1E"/>
    <w:rsid w:val="001C160E"/>
    <w:rsid w:val="001C269C"/>
    <w:rsid w:val="001C2890"/>
    <w:rsid w:val="001C2BAF"/>
    <w:rsid w:val="001C30C1"/>
    <w:rsid w:val="001C341C"/>
    <w:rsid w:val="001C47D0"/>
    <w:rsid w:val="001C4AFE"/>
    <w:rsid w:val="001C4E77"/>
    <w:rsid w:val="001C5610"/>
    <w:rsid w:val="001C61E1"/>
    <w:rsid w:val="001C713A"/>
    <w:rsid w:val="001D0AC4"/>
    <w:rsid w:val="001D0DB8"/>
    <w:rsid w:val="001D175D"/>
    <w:rsid w:val="001D3B97"/>
    <w:rsid w:val="001D3E29"/>
    <w:rsid w:val="001D4B3E"/>
    <w:rsid w:val="001D511A"/>
    <w:rsid w:val="001D548A"/>
    <w:rsid w:val="001D5F5C"/>
    <w:rsid w:val="001D621C"/>
    <w:rsid w:val="001D65ED"/>
    <w:rsid w:val="001E093A"/>
    <w:rsid w:val="001E2437"/>
    <w:rsid w:val="001E51BC"/>
    <w:rsid w:val="001E5C21"/>
    <w:rsid w:val="001E5DCB"/>
    <w:rsid w:val="001E6DC0"/>
    <w:rsid w:val="001E77F9"/>
    <w:rsid w:val="001E7B93"/>
    <w:rsid w:val="001F1F38"/>
    <w:rsid w:val="001F2082"/>
    <w:rsid w:val="001F3385"/>
    <w:rsid w:val="001F3B2A"/>
    <w:rsid w:val="001F42D9"/>
    <w:rsid w:val="001F4A21"/>
    <w:rsid w:val="001F5281"/>
    <w:rsid w:val="001F55C3"/>
    <w:rsid w:val="001F576C"/>
    <w:rsid w:val="001F60F2"/>
    <w:rsid w:val="001F6288"/>
    <w:rsid w:val="001F67B9"/>
    <w:rsid w:val="001F708A"/>
    <w:rsid w:val="002008D2"/>
    <w:rsid w:val="00201C4F"/>
    <w:rsid w:val="00201EE9"/>
    <w:rsid w:val="0020326C"/>
    <w:rsid w:val="0020477A"/>
    <w:rsid w:val="00205B91"/>
    <w:rsid w:val="00205E17"/>
    <w:rsid w:val="00205F84"/>
    <w:rsid w:val="0020628B"/>
    <w:rsid w:val="00206AFC"/>
    <w:rsid w:val="00207D46"/>
    <w:rsid w:val="00207E23"/>
    <w:rsid w:val="00210BC9"/>
    <w:rsid w:val="00211102"/>
    <w:rsid w:val="002113BE"/>
    <w:rsid w:val="00211756"/>
    <w:rsid w:val="00211EF4"/>
    <w:rsid w:val="00211FF3"/>
    <w:rsid w:val="002127B1"/>
    <w:rsid w:val="00212877"/>
    <w:rsid w:val="00213747"/>
    <w:rsid w:val="0021393C"/>
    <w:rsid w:val="0021589F"/>
    <w:rsid w:val="00215DF8"/>
    <w:rsid w:val="00215F78"/>
    <w:rsid w:val="00216527"/>
    <w:rsid w:val="002167FB"/>
    <w:rsid w:val="00217BD2"/>
    <w:rsid w:val="002200D8"/>
    <w:rsid w:val="00220D4F"/>
    <w:rsid w:val="00221539"/>
    <w:rsid w:val="002221DA"/>
    <w:rsid w:val="00222C83"/>
    <w:rsid w:val="00222FF2"/>
    <w:rsid w:val="002243B0"/>
    <w:rsid w:val="00224416"/>
    <w:rsid w:val="00224432"/>
    <w:rsid w:val="002248C8"/>
    <w:rsid w:val="00225061"/>
    <w:rsid w:val="00226389"/>
    <w:rsid w:val="002266A7"/>
    <w:rsid w:val="0022731B"/>
    <w:rsid w:val="0022750C"/>
    <w:rsid w:val="00227C07"/>
    <w:rsid w:val="0023076D"/>
    <w:rsid w:val="00230E3B"/>
    <w:rsid w:val="002310EB"/>
    <w:rsid w:val="00232560"/>
    <w:rsid w:val="00234D2C"/>
    <w:rsid w:val="002351C9"/>
    <w:rsid w:val="0023523D"/>
    <w:rsid w:val="00240305"/>
    <w:rsid w:val="002409D6"/>
    <w:rsid w:val="00240B30"/>
    <w:rsid w:val="00240CD5"/>
    <w:rsid w:val="00240E54"/>
    <w:rsid w:val="00241710"/>
    <w:rsid w:val="002419D9"/>
    <w:rsid w:val="00242A33"/>
    <w:rsid w:val="002443A6"/>
    <w:rsid w:val="0024594C"/>
    <w:rsid w:val="00245A59"/>
    <w:rsid w:val="00245E2E"/>
    <w:rsid w:val="00246136"/>
    <w:rsid w:val="0024633A"/>
    <w:rsid w:val="00246E6D"/>
    <w:rsid w:val="002474E3"/>
    <w:rsid w:val="00247779"/>
    <w:rsid w:val="0025053A"/>
    <w:rsid w:val="00250C97"/>
    <w:rsid w:val="002520EC"/>
    <w:rsid w:val="00253514"/>
    <w:rsid w:val="002539E8"/>
    <w:rsid w:val="00253B38"/>
    <w:rsid w:val="002554D1"/>
    <w:rsid w:val="00255BD0"/>
    <w:rsid w:val="00256327"/>
    <w:rsid w:val="00256B03"/>
    <w:rsid w:val="00256CB6"/>
    <w:rsid w:val="0025776C"/>
    <w:rsid w:val="0026028A"/>
    <w:rsid w:val="00260470"/>
    <w:rsid w:val="00263B39"/>
    <w:rsid w:val="0026522F"/>
    <w:rsid w:val="002653AB"/>
    <w:rsid w:val="0026585B"/>
    <w:rsid w:val="0026674F"/>
    <w:rsid w:val="00266B9A"/>
    <w:rsid w:val="00266C44"/>
    <w:rsid w:val="00266E85"/>
    <w:rsid w:val="002707D6"/>
    <w:rsid w:val="00270C18"/>
    <w:rsid w:val="00271840"/>
    <w:rsid w:val="00271D95"/>
    <w:rsid w:val="002726AE"/>
    <w:rsid w:val="00272C52"/>
    <w:rsid w:val="00273371"/>
    <w:rsid w:val="0027360D"/>
    <w:rsid w:val="0027443C"/>
    <w:rsid w:val="00275048"/>
    <w:rsid w:val="0027506E"/>
    <w:rsid w:val="00275424"/>
    <w:rsid w:val="00276C85"/>
    <w:rsid w:val="00277179"/>
    <w:rsid w:val="00277DA2"/>
    <w:rsid w:val="00277EFE"/>
    <w:rsid w:val="002811EF"/>
    <w:rsid w:val="00283705"/>
    <w:rsid w:val="00283769"/>
    <w:rsid w:val="00283E7A"/>
    <w:rsid w:val="002846F6"/>
    <w:rsid w:val="0028558E"/>
    <w:rsid w:val="00285657"/>
    <w:rsid w:val="00287018"/>
    <w:rsid w:val="0028735C"/>
    <w:rsid w:val="002875BA"/>
    <w:rsid w:val="002914B3"/>
    <w:rsid w:val="0029323F"/>
    <w:rsid w:val="002932BD"/>
    <w:rsid w:val="00293A8C"/>
    <w:rsid w:val="002951A7"/>
    <w:rsid w:val="0029522B"/>
    <w:rsid w:val="002954DC"/>
    <w:rsid w:val="002A0255"/>
    <w:rsid w:val="002A0F26"/>
    <w:rsid w:val="002A173F"/>
    <w:rsid w:val="002A57A7"/>
    <w:rsid w:val="002A600C"/>
    <w:rsid w:val="002A624B"/>
    <w:rsid w:val="002A6D95"/>
    <w:rsid w:val="002A7F5D"/>
    <w:rsid w:val="002B0310"/>
    <w:rsid w:val="002B2337"/>
    <w:rsid w:val="002B340A"/>
    <w:rsid w:val="002B3EDB"/>
    <w:rsid w:val="002B4384"/>
    <w:rsid w:val="002B5C53"/>
    <w:rsid w:val="002B64B0"/>
    <w:rsid w:val="002C0602"/>
    <w:rsid w:val="002C06B4"/>
    <w:rsid w:val="002C22AC"/>
    <w:rsid w:val="002C38F5"/>
    <w:rsid w:val="002C3B1F"/>
    <w:rsid w:val="002C4935"/>
    <w:rsid w:val="002C5535"/>
    <w:rsid w:val="002C6607"/>
    <w:rsid w:val="002C7774"/>
    <w:rsid w:val="002C781A"/>
    <w:rsid w:val="002C7ADC"/>
    <w:rsid w:val="002D13E9"/>
    <w:rsid w:val="002D15F6"/>
    <w:rsid w:val="002D1776"/>
    <w:rsid w:val="002D1F3F"/>
    <w:rsid w:val="002D26DF"/>
    <w:rsid w:val="002D2889"/>
    <w:rsid w:val="002D2BA5"/>
    <w:rsid w:val="002D3147"/>
    <w:rsid w:val="002D3EC3"/>
    <w:rsid w:val="002D46D6"/>
    <w:rsid w:val="002D4BA7"/>
    <w:rsid w:val="002D5F10"/>
    <w:rsid w:val="002D61E2"/>
    <w:rsid w:val="002D6E4D"/>
    <w:rsid w:val="002D7F07"/>
    <w:rsid w:val="002E00D9"/>
    <w:rsid w:val="002E029E"/>
    <w:rsid w:val="002E122D"/>
    <w:rsid w:val="002E39A5"/>
    <w:rsid w:val="002E7B10"/>
    <w:rsid w:val="002E7B31"/>
    <w:rsid w:val="002F0730"/>
    <w:rsid w:val="002F26B7"/>
    <w:rsid w:val="002F3930"/>
    <w:rsid w:val="002F434A"/>
    <w:rsid w:val="002F5BC2"/>
    <w:rsid w:val="002F5EFC"/>
    <w:rsid w:val="002F66AC"/>
    <w:rsid w:val="002F6CBA"/>
    <w:rsid w:val="00300112"/>
    <w:rsid w:val="00300390"/>
    <w:rsid w:val="00300DE7"/>
    <w:rsid w:val="00302378"/>
    <w:rsid w:val="00302E21"/>
    <w:rsid w:val="00303219"/>
    <w:rsid w:val="00304AE6"/>
    <w:rsid w:val="00305057"/>
    <w:rsid w:val="003060ED"/>
    <w:rsid w:val="00306772"/>
    <w:rsid w:val="00306FC1"/>
    <w:rsid w:val="00307675"/>
    <w:rsid w:val="00307719"/>
    <w:rsid w:val="00310251"/>
    <w:rsid w:val="00310857"/>
    <w:rsid w:val="00310D39"/>
    <w:rsid w:val="00312BD5"/>
    <w:rsid w:val="0031356C"/>
    <w:rsid w:val="00313C37"/>
    <w:rsid w:val="003145F3"/>
    <w:rsid w:val="003146C2"/>
    <w:rsid w:val="00316FAE"/>
    <w:rsid w:val="003176E9"/>
    <w:rsid w:val="0032131E"/>
    <w:rsid w:val="0032256E"/>
    <w:rsid w:val="00322C3B"/>
    <w:rsid w:val="00323704"/>
    <w:rsid w:val="00324B91"/>
    <w:rsid w:val="00324CFC"/>
    <w:rsid w:val="00325DF0"/>
    <w:rsid w:val="00325EEE"/>
    <w:rsid w:val="00326BC1"/>
    <w:rsid w:val="00327E17"/>
    <w:rsid w:val="00330121"/>
    <w:rsid w:val="00330546"/>
    <w:rsid w:val="00330B69"/>
    <w:rsid w:val="00330EFC"/>
    <w:rsid w:val="003319C5"/>
    <w:rsid w:val="00332752"/>
    <w:rsid w:val="00332B21"/>
    <w:rsid w:val="00334223"/>
    <w:rsid w:val="0033469C"/>
    <w:rsid w:val="00335D80"/>
    <w:rsid w:val="0034009A"/>
    <w:rsid w:val="003407C0"/>
    <w:rsid w:val="00340E4A"/>
    <w:rsid w:val="00341B01"/>
    <w:rsid w:val="003438D3"/>
    <w:rsid w:val="00343C3A"/>
    <w:rsid w:val="00343E38"/>
    <w:rsid w:val="003444E7"/>
    <w:rsid w:val="003445C7"/>
    <w:rsid w:val="0034507A"/>
    <w:rsid w:val="00345217"/>
    <w:rsid w:val="00345602"/>
    <w:rsid w:val="00345842"/>
    <w:rsid w:val="003467D7"/>
    <w:rsid w:val="00350159"/>
    <w:rsid w:val="0035029C"/>
    <w:rsid w:val="003509D0"/>
    <w:rsid w:val="00350F5B"/>
    <w:rsid w:val="00351565"/>
    <w:rsid w:val="003530E8"/>
    <w:rsid w:val="0035330A"/>
    <w:rsid w:val="003537BF"/>
    <w:rsid w:val="00353977"/>
    <w:rsid w:val="00355690"/>
    <w:rsid w:val="003567EA"/>
    <w:rsid w:val="00356A3E"/>
    <w:rsid w:val="00356E3F"/>
    <w:rsid w:val="00357007"/>
    <w:rsid w:val="0036003F"/>
    <w:rsid w:val="0036147A"/>
    <w:rsid w:val="00362B26"/>
    <w:rsid w:val="003632BB"/>
    <w:rsid w:val="003649CB"/>
    <w:rsid w:val="00364DD9"/>
    <w:rsid w:val="00365189"/>
    <w:rsid w:val="0036620F"/>
    <w:rsid w:val="00366683"/>
    <w:rsid w:val="00370182"/>
    <w:rsid w:val="003701B3"/>
    <w:rsid w:val="00370D9D"/>
    <w:rsid w:val="00371492"/>
    <w:rsid w:val="00371CDB"/>
    <w:rsid w:val="003726ED"/>
    <w:rsid w:val="003727E2"/>
    <w:rsid w:val="0037301B"/>
    <w:rsid w:val="0037571C"/>
    <w:rsid w:val="00375B33"/>
    <w:rsid w:val="00376E0A"/>
    <w:rsid w:val="003818EA"/>
    <w:rsid w:val="00381F48"/>
    <w:rsid w:val="0038389A"/>
    <w:rsid w:val="00385070"/>
    <w:rsid w:val="00385666"/>
    <w:rsid w:val="00386D1F"/>
    <w:rsid w:val="00387577"/>
    <w:rsid w:val="0039044C"/>
    <w:rsid w:val="00390538"/>
    <w:rsid w:val="003905E7"/>
    <w:rsid w:val="003924BE"/>
    <w:rsid w:val="0039295F"/>
    <w:rsid w:val="00392F11"/>
    <w:rsid w:val="003944D0"/>
    <w:rsid w:val="0039477E"/>
    <w:rsid w:val="003956AE"/>
    <w:rsid w:val="00396691"/>
    <w:rsid w:val="00396979"/>
    <w:rsid w:val="00396C11"/>
    <w:rsid w:val="00397FD3"/>
    <w:rsid w:val="003A1C65"/>
    <w:rsid w:val="003A216F"/>
    <w:rsid w:val="003A21AE"/>
    <w:rsid w:val="003A298F"/>
    <w:rsid w:val="003A32F8"/>
    <w:rsid w:val="003A3424"/>
    <w:rsid w:val="003A3E30"/>
    <w:rsid w:val="003A4BBA"/>
    <w:rsid w:val="003A5ADF"/>
    <w:rsid w:val="003A6223"/>
    <w:rsid w:val="003A6C04"/>
    <w:rsid w:val="003A6C31"/>
    <w:rsid w:val="003A7247"/>
    <w:rsid w:val="003A7C13"/>
    <w:rsid w:val="003B00BF"/>
    <w:rsid w:val="003B0712"/>
    <w:rsid w:val="003B07DC"/>
    <w:rsid w:val="003B10D3"/>
    <w:rsid w:val="003B3E9D"/>
    <w:rsid w:val="003B42BF"/>
    <w:rsid w:val="003B437B"/>
    <w:rsid w:val="003B4B61"/>
    <w:rsid w:val="003B4F22"/>
    <w:rsid w:val="003B6329"/>
    <w:rsid w:val="003B7658"/>
    <w:rsid w:val="003B7AB4"/>
    <w:rsid w:val="003C0088"/>
    <w:rsid w:val="003C22C5"/>
    <w:rsid w:val="003C259E"/>
    <w:rsid w:val="003C277C"/>
    <w:rsid w:val="003C40A7"/>
    <w:rsid w:val="003C49EB"/>
    <w:rsid w:val="003C54D1"/>
    <w:rsid w:val="003C5E95"/>
    <w:rsid w:val="003C7AF5"/>
    <w:rsid w:val="003D0971"/>
    <w:rsid w:val="003D16EF"/>
    <w:rsid w:val="003D18D6"/>
    <w:rsid w:val="003D21CE"/>
    <w:rsid w:val="003D299F"/>
    <w:rsid w:val="003D2F8E"/>
    <w:rsid w:val="003D301A"/>
    <w:rsid w:val="003D6C6E"/>
    <w:rsid w:val="003E042E"/>
    <w:rsid w:val="003E1645"/>
    <w:rsid w:val="003E2596"/>
    <w:rsid w:val="003E3694"/>
    <w:rsid w:val="003E38BC"/>
    <w:rsid w:val="003E4E83"/>
    <w:rsid w:val="003E6818"/>
    <w:rsid w:val="003E79E7"/>
    <w:rsid w:val="003F0DF9"/>
    <w:rsid w:val="003F24D2"/>
    <w:rsid w:val="003F27FA"/>
    <w:rsid w:val="003F2F00"/>
    <w:rsid w:val="003F322C"/>
    <w:rsid w:val="003F3410"/>
    <w:rsid w:val="003F5016"/>
    <w:rsid w:val="003F6673"/>
    <w:rsid w:val="004000C2"/>
    <w:rsid w:val="00400470"/>
    <w:rsid w:val="004016FF"/>
    <w:rsid w:val="0040280E"/>
    <w:rsid w:val="00403E97"/>
    <w:rsid w:val="0040494B"/>
    <w:rsid w:val="0040600F"/>
    <w:rsid w:val="00410102"/>
    <w:rsid w:val="004102E4"/>
    <w:rsid w:val="00411B58"/>
    <w:rsid w:val="00412BAB"/>
    <w:rsid w:val="00412F23"/>
    <w:rsid w:val="0041690A"/>
    <w:rsid w:val="0041754E"/>
    <w:rsid w:val="00417FE2"/>
    <w:rsid w:val="00421397"/>
    <w:rsid w:val="00421441"/>
    <w:rsid w:val="004217F3"/>
    <w:rsid w:val="004223E9"/>
    <w:rsid w:val="00422858"/>
    <w:rsid w:val="00422F4F"/>
    <w:rsid w:val="0042541F"/>
    <w:rsid w:val="00425C5C"/>
    <w:rsid w:val="00425D60"/>
    <w:rsid w:val="00427364"/>
    <w:rsid w:val="00427CFC"/>
    <w:rsid w:val="00430B2C"/>
    <w:rsid w:val="00430D3E"/>
    <w:rsid w:val="0043119B"/>
    <w:rsid w:val="0043309F"/>
    <w:rsid w:val="00433593"/>
    <w:rsid w:val="00433EA8"/>
    <w:rsid w:val="004344FD"/>
    <w:rsid w:val="004347C4"/>
    <w:rsid w:val="00434C1B"/>
    <w:rsid w:val="00435919"/>
    <w:rsid w:val="004360B8"/>
    <w:rsid w:val="004367CC"/>
    <w:rsid w:val="00440159"/>
    <w:rsid w:val="004404A9"/>
    <w:rsid w:val="00440E23"/>
    <w:rsid w:val="00441907"/>
    <w:rsid w:val="00442AE6"/>
    <w:rsid w:val="00443E64"/>
    <w:rsid w:val="004442EC"/>
    <w:rsid w:val="00444D7A"/>
    <w:rsid w:val="00447332"/>
    <w:rsid w:val="004503AC"/>
    <w:rsid w:val="0045062F"/>
    <w:rsid w:val="00450D60"/>
    <w:rsid w:val="004519C8"/>
    <w:rsid w:val="004522A1"/>
    <w:rsid w:val="0045277A"/>
    <w:rsid w:val="00454897"/>
    <w:rsid w:val="004548BA"/>
    <w:rsid w:val="00455AD2"/>
    <w:rsid w:val="00457A2A"/>
    <w:rsid w:val="00457A9D"/>
    <w:rsid w:val="00457B55"/>
    <w:rsid w:val="00457D3C"/>
    <w:rsid w:val="004601DC"/>
    <w:rsid w:val="00460B8B"/>
    <w:rsid w:val="00461044"/>
    <w:rsid w:val="00461443"/>
    <w:rsid w:val="004639D2"/>
    <w:rsid w:val="00464155"/>
    <w:rsid w:val="004642F5"/>
    <w:rsid w:val="00464E4F"/>
    <w:rsid w:val="00464FAE"/>
    <w:rsid w:val="00465446"/>
    <w:rsid w:val="00465FED"/>
    <w:rsid w:val="00466764"/>
    <w:rsid w:val="00467F00"/>
    <w:rsid w:val="00467F52"/>
    <w:rsid w:val="004708A1"/>
    <w:rsid w:val="00471409"/>
    <w:rsid w:val="004718A5"/>
    <w:rsid w:val="00472920"/>
    <w:rsid w:val="0047355D"/>
    <w:rsid w:val="00474E70"/>
    <w:rsid w:val="00475456"/>
    <w:rsid w:val="00477506"/>
    <w:rsid w:val="00480249"/>
    <w:rsid w:val="00480E8C"/>
    <w:rsid w:val="0048140E"/>
    <w:rsid w:val="00481B90"/>
    <w:rsid w:val="00481F81"/>
    <w:rsid w:val="00483A3F"/>
    <w:rsid w:val="00484760"/>
    <w:rsid w:val="00484A1A"/>
    <w:rsid w:val="004855CA"/>
    <w:rsid w:val="00490820"/>
    <w:rsid w:val="00491004"/>
    <w:rsid w:val="0049185D"/>
    <w:rsid w:val="00491D39"/>
    <w:rsid w:val="0049366E"/>
    <w:rsid w:val="00493910"/>
    <w:rsid w:val="00493B0B"/>
    <w:rsid w:val="004941C9"/>
    <w:rsid w:val="00494E4A"/>
    <w:rsid w:val="00495410"/>
    <w:rsid w:val="00497B64"/>
    <w:rsid w:val="00497E24"/>
    <w:rsid w:val="004A0372"/>
    <w:rsid w:val="004A1201"/>
    <w:rsid w:val="004A25A7"/>
    <w:rsid w:val="004A26F3"/>
    <w:rsid w:val="004A2B45"/>
    <w:rsid w:val="004A3DD0"/>
    <w:rsid w:val="004A55B4"/>
    <w:rsid w:val="004A5632"/>
    <w:rsid w:val="004A6A72"/>
    <w:rsid w:val="004A76F4"/>
    <w:rsid w:val="004B0918"/>
    <w:rsid w:val="004B0A22"/>
    <w:rsid w:val="004B1AAB"/>
    <w:rsid w:val="004B2A05"/>
    <w:rsid w:val="004B2D89"/>
    <w:rsid w:val="004B2F2C"/>
    <w:rsid w:val="004B361B"/>
    <w:rsid w:val="004B4518"/>
    <w:rsid w:val="004B48F6"/>
    <w:rsid w:val="004B4E5B"/>
    <w:rsid w:val="004B63CC"/>
    <w:rsid w:val="004B65CA"/>
    <w:rsid w:val="004B66E4"/>
    <w:rsid w:val="004B6AEF"/>
    <w:rsid w:val="004B6F82"/>
    <w:rsid w:val="004C0836"/>
    <w:rsid w:val="004C11AA"/>
    <w:rsid w:val="004C1A41"/>
    <w:rsid w:val="004C2B90"/>
    <w:rsid w:val="004C3202"/>
    <w:rsid w:val="004C436C"/>
    <w:rsid w:val="004C5595"/>
    <w:rsid w:val="004C62FC"/>
    <w:rsid w:val="004C637F"/>
    <w:rsid w:val="004C781F"/>
    <w:rsid w:val="004C7A65"/>
    <w:rsid w:val="004D075B"/>
    <w:rsid w:val="004D21C8"/>
    <w:rsid w:val="004D3E80"/>
    <w:rsid w:val="004D5578"/>
    <w:rsid w:val="004D6EB2"/>
    <w:rsid w:val="004D7604"/>
    <w:rsid w:val="004D7C20"/>
    <w:rsid w:val="004D7C9F"/>
    <w:rsid w:val="004D7DE5"/>
    <w:rsid w:val="004E0145"/>
    <w:rsid w:val="004E02FE"/>
    <w:rsid w:val="004E05E7"/>
    <w:rsid w:val="004E1C40"/>
    <w:rsid w:val="004E3B7E"/>
    <w:rsid w:val="004E4FE4"/>
    <w:rsid w:val="004E6CA4"/>
    <w:rsid w:val="004F109C"/>
    <w:rsid w:val="004F23E8"/>
    <w:rsid w:val="004F3C87"/>
    <w:rsid w:val="004F5EBA"/>
    <w:rsid w:val="004F5EC1"/>
    <w:rsid w:val="004F5EF3"/>
    <w:rsid w:val="004F6130"/>
    <w:rsid w:val="004F689E"/>
    <w:rsid w:val="004F6F84"/>
    <w:rsid w:val="004F7C33"/>
    <w:rsid w:val="005000BC"/>
    <w:rsid w:val="0050029B"/>
    <w:rsid w:val="00500ED7"/>
    <w:rsid w:val="00502151"/>
    <w:rsid w:val="0050322E"/>
    <w:rsid w:val="005038A6"/>
    <w:rsid w:val="00503900"/>
    <w:rsid w:val="00504306"/>
    <w:rsid w:val="005063A0"/>
    <w:rsid w:val="005068F2"/>
    <w:rsid w:val="00507BC8"/>
    <w:rsid w:val="00512278"/>
    <w:rsid w:val="005125A7"/>
    <w:rsid w:val="00512EC4"/>
    <w:rsid w:val="00513952"/>
    <w:rsid w:val="00513E62"/>
    <w:rsid w:val="005155DB"/>
    <w:rsid w:val="00515CFD"/>
    <w:rsid w:val="00515E5A"/>
    <w:rsid w:val="00516E10"/>
    <w:rsid w:val="00516FCA"/>
    <w:rsid w:val="005200CB"/>
    <w:rsid w:val="0052094D"/>
    <w:rsid w:val="0052101F"/>
    <w:rsid w:val="00521292"/>
    <w:rsid w:val="005220A5"/>
    <w:rsid w:val="005220E2"/>
    <w:rsid w:val="00522982"/>
    <w:rsid w:val="00522C0B"/>
    <w:rsid w:val="005234A1"/>
    <w:rsid w:val="00523F45"/>
    <w:rsid w:val="0052454E"/>
    <w:rsid w:val="00526F09"/>
    <w:rsid w:val="00527F9C"/>
    <w:rsid w:val="005304FA"/>
    <w:rsid w:val="0053146B"/>
    <w:rsid w:val="005321D4"/>
    <w:rsid w:val="00534B60"/>
    <w:rsid w:val="00535B3F"/>
    <w:rsid w:val="00535C00"/>
    <w:rsid w:val="00536EDB"/>
    <w:rsid w:val="005374C3"/>
    <w:rsid w:val="0053768F"/>
    <w:rsid w:val="0053784E"/>
    <w:rsid w:val="00537BB9"/>
    <w:rsid w:val="00540273"/>
    <w:rsid w:val="00541C89"/>
    <w:rsid w:val="00542B17"/>
    <w:rsid w:val="005473EC"/>
    <w:rsid w:val="005479BE"/>
    <w:rsid w:val="005501AA"/>
    <w:rsid w:val="00550847"/>
    <w:rsid w:val="0055172C"/>
    <w:rsid w:val="00551794"/>
    <w:rsid w:val="005518D8"/>
    <w:rsid w:val="00554B95"/>
    <w:rsid w:val="00554E2E"/>
    <w:rsid w:val="005552F8"/>
    <w:rsid w:val="0055544A"/>
    <w:rsid w:val="00557315"/>
    <w:rsid w:val="00557B96"/>
    <w:rsid w:val="005609C1"/>
    <w:rsid w:val="00561414"/>
    <w:rsid w:val="00561597"/>
    <w:rsid w:val="0056163A"/>
    <w:rsid w:val="00561864"/>
    <w:rsid w:val="0056410E"/>
    <w:rsid w:val="005643FC"/>
    <w:rsid w:val="005649D3"/>
    <w:rsid w:val="00565F57"/>
    <w:rsid w:val="0056621C"/>
    <w:rsid w:val="0056727D"/>
    <w:rsid w:val="00567AB7"/>
    <w:rsid w:val="00570555"/>
    <w:rsid w:val="00570854"/>
    <w:rsid w:val="00571313"/>
    <w:rsid w:val="005718E7"/>
    <w:rsid w:val="00571C4A"/>
    <w:rsid w:val="00571CE9"/>
    <w:rsid w:val="00573188"/>
    <w:rsid w:val="005747A8"/>
    <w:rsid w:val="00575148"/>
    <w:rsid w:val="005757EE"/>
    <w:rsid w:val="00576CF3"/>
    <w:rsid w:val="00576DBD"/>
    <w:rsid w:val="00580F3C"/>
    <w:rsid w:val="00581A2E"/>
    <w:rsid w:val="00583291"/>
    <w:rsid w:val="005839FF"/>
    <w:rsid w:val="00584501"/>
    <w:rsid w:val="0058584E"/>
    <w:rsid w:val="0058791A"/>
    <w:rsid w:val="00587F5A"/>
    <w:rsid w:val="00590051"/>
    <w:rsid w:val="005906E9"/>
    <w:rsid w:val="00591921"/>
    <w:rsid w:val="00591C13"/>
    <w:rsid w:val="0059347A"/>
    <w:rsid w:val="00593DD4"/>
    <w:rsid w:val="00595353"/>
    <w:rsid w:val="00596BD9"/>
    <w:rsid w:val="00596E3E"/>
    <w:rsid w:val="005A01CE"/>
    <w:rsid w:val="005A08D3"/>
    <w:rsid w:val="005A0A07"/>
    <w:rsid w:val="005A1633"/>
    <w:rsid w:val="005A1AD7"/>
    <w:rsid w:val="005A1D8A"/>
    <w:rsid w:val="005A1F5A"/>
    <w:rsid w:val="005A34A4"/>
    <w:rsid w:val="005A6542"/>
    <w:rsid w:val="005A678A"/>
    <w:rsid w:val="005B1656"/>
    <w:rsid w:val="005B3032"/>
    <w:rsid w:val="005B3296"/>
    <w:rsid w:val="005B4CF2"/>
    <w:rsid w:val="005B5C20"/>
    <w:rsid w:val="005B770A"/>
    <w:rsid w:val="005B79A5"/>
    <w:rsid w:val="005C0445"/>
    <w:rsid w:val="005C0D47"/>
    <w:rsid w:val="005C15A3"/>
    <w:rsid w:val="005C343D"/>
    <w:rsid w:val="005C403E"/>
    <w:rsid w:val="005C4D64"/>
    <w:rsid w:val="005C4ED8"/>
    <w:rsid w:val="005C59F3"/>
    <w:rsid w:val="005C5B23"/>
    <w:rsid w:val="005C5C58"/>
    <w:rsid w:val="005C5D65"/>
    <w:rsid w:val="005C70F7"/>
    <w:rsid w:val="005C7D02"/>
    <w:rsid w:val="005D077C"/>
    <w:rsid w:val="005D142B"/>
    <w:rsid w:val="005D4D61"/>
    <w:rsid w:val="005D4D67"/>
    <w:rsid w:val="005D50F9"/>
    <w:rsid w:val="005D5B2D"/>
    <w:rsid w:val="005D69B2"/>
    <w:rsid w:val="005D6E7A"/>
    <w:rsid w:val="005D7E33"/>
    <w:rsid w:val="005E087D"/>
    <w:rsid w:val="005E0D9E"/>
    <w:rsid w:val="005E1996"/>
    <w:rsid w:val="005E19B8"/>
    <w:rsid w:val="005E1E9A"/>
    <w:rsid w:val="005E2045"/>
    <w:rsid w:val="005E2411"/>
    <w:rsid w:val="005E273D"/>
    <w:rsid w:val="005E2AF7"/>
    <w:rsid w:val="005E3E3A"/>
    <w:rsid w:val="005E5D21"/>
    <w:rsid w:val="005E5F58"/>
    <w:rsid w:val="005E7D54"/>
    <w:rsid w:val="005F0BF0"/>
    <w:rsid w:val="005F25A6"/>
    <w:rsid w:val="005F3B96"/>
    <w:rsid w:val="005F49D8"/>
    <w:rsid w:val="005F5DC4"/>
    <w:rsid w:val="00600EFF"/>
    <w:rsid w:val="0060144E"/>
    <w:rsid w:val="006020EC"/>
    <w:rsid w:val="006036AE"/>
    <w:rsid w:val="0060395A"/>
    <w:rsid w:val="00603C1F"/>
    <w:rsid w:val="006048B5"/>
    <w:rsid w:val="006051C1"/>
    <w:rsid w:val="006055DC"/>
    <w:rsid w:val="00605B37"/>
    <w:rsid w:val="00606438"/>
    <w:rsid w:val="00611094"/>
    <w:rsid w:val="006112A4"/>
    <w:rsid w:val="00613C2A"/>
    <w:rsid w:val="006146BE"/>
    <w:rsid w:val="00614FC4"/>
    <w:rsid w:val="0061582E"/>
    <w:rsid w:val="00615B4B"/>
    <w:rsid w:val="006164B1"/>
    <w:rsid w:val="00616A96"/>
    <w:rsid w:val="00617170"/>
    <w:rsid w:val="00617780"/>
    <w:rsid w:val="00620B40"/>
    <w:rsid w:val="0062300D"/>
    <w:rsid w:val="0062353F"/>
    <w:rsid w:val="006246CB"/>
    <w:rsid w:val="00625176"/>
    <w:rsid w:val="006251B0"/>
    <w:rsid w:val="00625297"/>
    <w:rsid w:val="006254E3"/>
    <w:rsid w:val="006256F5"/>
    <w:rsid w:val="00625D33"/>
    <w:rsid w:val="00625FDE"/>
    <w:rsid w:val="006268F8"/>
    <w:rsid w:val="00630C7F"/>
    <w:rsid w:val="006318F7"/>
    <w:rsid w:val="00631B09"/>
    <w:rsid w:val="00632569"/>
    <w:rsid w:val="00633673"/>
    <w:rsid w:val="00633B0D"/>
    <w:rsid w:val="00633B9F"/>
    <w:rsid w:val="006342FD"/>
    <w:rsid w:val="0063460E"/>
    <w:rsid w:val="00637707"/>
    <w:rsid w:val="00640679"/>
    <w:rsid w:val="0064165E"/>
    <w:rsid w:val="00642712"/>
    <w:rsid w:val="006429F7"/>
    <w:rsid w:val="00642FDE"/>
    <w:rsid w:val="00643156"/>
    <w:rsid w:val="0064324F"/>
    <w:rsid w:val="0064337A"/>
    <w:rsid w:val="00644AF5"/>
    <w:rsid w:val="0064599A"/>
    <w:rsid w:val="006461D4"/>
    <w:rsid w:val="006464E7"/>
    <w:rsid w:val="006466B5"/>
    <w:rsid w:val="00646A76"/>
    <w:rsid w:val="00647647"/>
    <w:rsid w:val="00647859"/>
    <w:rsid w:val="006478D0"/>
    <w:rsid w:val="00652590"/>
    <w:rsid w:val="00652687"/>
    <w:rsid w:val="00652C45"/>
    <w:rsid w:val="00652FA4"/>
    <w:rsid w:val="006534D4"/>
    <w:rsid w:val="00654EA2"/>
    <w:rsid w:val="0065594C"/>
    <w:rsid w:val="00657CE4"/>
    <w:rsid w:val="00660C69"/>
    <w:rsid w:val="006633BE"/>
    <w:rsid w:val="006633C1"/>
    <w:rsid w:val="006654D7"/>
    <w:rsid w:val="006658F9"/>
    <w:rsid w:val="00665A6C"/>
    <w:rsid w:val="0066723A"/>
    <w:rsid w:val="0066728E"/>
    <w:rsid w:val="006679D6"/>
    <w:rsid w:val="006705F3"/>
    <w:rsid w:val="006711FE"/>
    <w:rsid w:val="00671D87"/>
    <w:rsid w:val="006730E9"/>
    <w:rsid w:val="00673425"/>
    <w:rsid w:val="006734EF"/>
    <w:rsid w:val="00673C2C"/>
    <w:rsid w:val="00673CCF"/>
    <w:rsid w:val="00673F00"/>
    <w:rsid w:val="006748E9"/>
    <w:rsid w:val="0067570F"/>
    <w:rsid w:val="00675D26"/>
    <w:rsid w:val="006763EE"/>
    <w:rsid w:val="00676C6F"/>
    <w:rsid w:val="00677900"/>
    <w:rsid w:val="00677F24"/>
    <w:rsid w:val="00677FF4"/>
    <w:rsid w:val="0068119E"/>
    <w:rsid w:val="00681827"/>
    <w:rsid w:val="006825CB"/>
    <w:rsid w:val="006832EE"/>
    <w:rsid w:val="006841B2"/>
    <w:rsid w:val="00684BC8"/>
    <w:rsid w:val="00691D9A"/>
    <w:rsid w:val="0069268D"/>
    <w:rsid w:val="00692BD2"/>
    <w:rsid w:val="00693592"/>
    <w:rsid w:val="0069396B"/>
    <w:rsid w:val="00694179"/>
    <w:rsid w:val="006951AC"/>
    <w:rsid w:val="006952FA"/>
    <w:rsid w:val="006964BE"/>
    <w:rsid w:val="00696D55"/>
    <w:rsid w:val="006972F0"/>
    <w:rsid w:val="006A01F9"/>
    <w:rsid w:val="006A0DBE"/>
    <w:rsid w:val="006A1651"/>
    <w:rsid w:val="006A1876"/>
    <w:rsid w:val="006A1B16"/>
    <w:rsid w:val="006A1F1A"/>
    <w:rsid w:val="006A282D"/>
    <w:rsid w:val="006A572A"/>
    <w:rsid w:val="006A6295"/>
    <w:rsid w:val="006A7994"/>
    <w:rsid w:val="006B046F"/>
    <w:rsid w:val="006B0679"/>
    <w:rsid w:val="006B06E9"/>
    <w:rsid w:val="006B18DD"/>
    <w:rsid w:val="006B28B8"/>
    <w:rsid w:val="006B3753"/>
    <w:rsid w:val="006B4BF3"/>
    <w:rsid w:val="006B5406"/>
    <w:rsid w:val="006B5ABA"/>
    <w:rsid w:val="006B7713"/>
    <w:rsid w:val="006C004F"/>
    <w:rsid w:val="006C26B6"/>
    <w:rsid w:val="006C2C9C"/>
    <w:rsid w:val="006C470B"/>
    <w:rsid w:val="006C5996"/>
    <w:rsid w:val="006C6930"/>
    <w:rsid w:val="006C7181"/>
    <w:rsid w:val="006D0BD9"/>
    <w:rsid w:val="006D25DD"/>
    <w:rsid w:val="006D27AD"/>
    <w:rsid w:val="006D38CD"/>
    <w:rsid w:val="006D42FE"/>
    <w:rsid w:val="006D46B3"/>
    <w:rsid w:val="006D4706"/>
    <w:rsid w:val="006D47B8"/>
    <w:rsid w:val="006D4F74"/>
    <w:rsid w:val="006D5A5B"/>
    <w:rsid w:val="006D76C3"/>
    <w:rsid w:val="006E13A1"/>
    <w:rsid w:val="006E37F1"/>
    <w:rsid w:val="006E7A7A"/>
    <w:rsid w:val="006F0623"/>
    <w:rsid w:val="006F1498"/>
    <w:rsid w:val="006F1CD4"/>
    <w:rsid w:val="006F2BD5"/>
    <w:rsid w:val="006F31BA"/>
    <w:rsid w:val="006F3821"/>
    <w:rsid w:val="006F3A51"/>
    <w:rsid w:val="006F43F2"/>
    <w:rsid w:val="006F46D5"/>
    <w:rsid w:val="006F4B67"/>
    <w:rsid w:val="006F4B7F"/>
    <w:rsid w:val="006F5675"/>
    <w:rsid w:val="006F58AC"/>
    <w:rsid w:val="006F63D8"/>
    <w:rsid w:val="007001D5"/>
    <w:rsid w:val="00700234"/>
    <w:rsid w:val="0070446C"/>
    <w:rsid w:val="00704796"/>
    <w:rsid w:val="007055A7"/>
    <w:rsid w:val="00705F3F"/>
    <w:rsid w:val="007060DC"/>
    <w:rsid w:val="00706110"/>
    <w:rsid w:val="00706659"/>
    <w:rsid w:val="0070763E"/>
    <w:rsid w:val="00707CAC"/>
    <w:rsid w:val="007102AD"/>
    <w:rsid w:val="00710D78"/>
    <w:rsid w:val="00710F13"/>
    <w:rsid w:val="007116EA"/>
    <w:rsid w:val="00711ACA"/>
    <w:rsid w:val="00711B3C"/>
    <w:rsid w:val="00711F9E"/>
    <w:rsid w:val="007125F3"/>
    <w:rsid w:val="0071263A"/>
    <w:rsid w:val="007130B2"/>
    <w:rsid w:val="00713241"/>
    <w:rsid w:val="00713520"/>
    <w:rsid w:val="0071375B"/>
    <w:rsid w:val="007148C7"/>
    <w:rsid w:val="00714DE6"/>
    <w:rsid w:val="00714E3C"/>
    <w:rsid w:val="0071555B"/>
    <w:rsid w:val="007159C6"/>
    <w:rsid w:val="00715B0F"/>
    <w:rsid w:val="007165D1"/>
    <w:rsid w:val="007179AE"/>
    <w:rsid w:val="00717A70"/>
    <w:rsid w:val="00717C3E"/>
    <w:rsid w:val="00720670"/>
    <w:rsid w:val="007218A6"/>
    <w:rsid w:val="00721D60"/>
    <w:rsid w:val="007234AC"/>
    <w:rsid w:val="0072422B"/>
    <w:rsid w:val="0072555D"/>
    <w:rsid w:val="00726B09"/>
    <w:rsid w:val="00727094"/>
    <w:rsid w:val="00727AAB"/>
    <w:rsid w:val="007305B7"/>
    <w:rsid w:val="00730637"/>
    <w:rsid w:val="00730D40"/>
    <w:rsid w:val="00731FC4"/>
    <w:rsid w:val="0073200F"/>
    <w:rsid w:val="00732A9D"/>
    <w:rsid w:val="00732E7C"/>
    <w:rsid w:val="00733418"/>
    <w:rsid w:val="00735A7A"/>
    <w:rsid w:val="007366B3"/>
    <w:rsid w:val="0074068E"/>
    <w:rsid w:val="00741315"/>
    <w:rsid w:val="00742657"/>
    <w:rsid w:val="00742D26"/>
    <w:rsid w:val="007432FD"/>
    <w:rsid w:val="00743651"/>
    <w:rsid w:val="00744FDD"/>
    <w:rsid w:val="00745299"/>
    <w:rsid w:val="00745B90"/>
    <w:rsid w:val="00746047"/>
    <w:rsid w:val="007467D8"/>
    <w:rsid w:val="00746AF6"/>
    <w:rsid w:val="007500B7"/>
    <w:rsid w:val="0075015B"/>
    <w:rsid w:val="0075020B"/>
    <w:rsid w:val="00750BB6"/>
    <w:rsid w:val="00751239"/>
    <w:rsid w:val="007519EB"/>
    <w:rsid w:val="00751AA7"/>
    <w:rsid w:val="00753050"/>
    <w:rsid w:val="00753987"/>
    <w:rsid w:val="0075583F"/>
    <w:rsid w:val="00755EFC"/>
    <w:rsid w:val="00757929"/>
    <w:rsid w:val="00757D75"/>
    <w:rsid w:val="00757FBE"/>
    <w:rsid w:val="00760E35"/>
    <w:rsid w:val="00761426"/>
    <w:rsid w:val="00761A51"/>
    <w:rsid w:val="00763E4C"/>
    <w:rsid w:val="007655DC"/>
    <w:rsid w:val="00765718"/>
    <w:rsid w:val="00767C28"/>
    <w:rsid w:val="007700F4"/>
    <w:rsid w:val="00770D39"/>
    <w:rsid w:val="00771559"/>
    <w:rsid w:val="00772363"/>
    <w:rsid w:val="0077340C"/>
    <w:rsid w:val="00773954"/>
    <w:rsid w:val="0077399A"/>
    <w:rsid w:val="00774220"/>
    <w:rsid w:val="00774964"/>
    <w:rsid w:val="00775AC6"/>
    <w:rsid w:val="00776771"/>
    <w:rsid w:val="00781058"/>
    <w:rsid w:val="007817A5"/>
    <w:rsid w:val="00781813"/>
    <w:rsid w:val="00781ED0"/>
    <w:rsid w:val="0078220C"/>
    <w:rsid w:val="00783C33"/>
    <w:rsid w:val="00783CD2"/>
    <w:rsid w:val="00783E65"/>
    <w:rsid w:val="007843BB"/>
    <w:rsid w:val="0078556F"/>
    <w:rsid w:val="00785B56"/>
    <w:rsid w:val="00785D27"/>
    <w:rsid w:val="00786045"/>
    <w:rsid w:val="007873E1"/>
    <w:rsid w:val="00791F33"/>
    <w:rsid w:val="00791FC7"/>
    <w:rsid w:val="0079207D"/>
    <w:rsid w:val="00793953"/>
    <w:rsid w:val="007944B6"/>
    <w:rsid w:val="00794B61"/>
    <w:rsid w:val="0079583C"/>
    <w:rsid w:val="00795912"/>
    <w:rsid w:val="007969A2"/>
    <w:rsid w:val="00797085"/>
    <w:rsid w:val="00797395"/>
    <w:rsid w:val="0079789D"/>
    <w:rsid w:val="00797A49"/>
    <w:rsid w:val="007A13E3"/>
    <w:rsid w:val="007A1508"/>
    <w:rsid w:val="007A155F"/>
    <w:rsid w:val="007A1599"/>
    <w:rsid w:val="007A21D2"/>
    <w:rsid w:val="007A3A15"/>
    <w:rsid w:val="007A4C7F"/>
    <w:rsid w:val="007A4D4D"/>
    <w:rsid w:val="007A5039"/>
    <w:rsid w:val="007A51A9"/>
    <w:rsid w:val="007A522C"/>
    <w:rsid w:val="007A552F"/>
    <w:rsid w:val="007A701A"/>
    <w:rsid w:val="007A76FA"/>
    <w:rsid w:val="007A792A"/>
    <w:rsid w:val="007B1315"/>
    <w:rsid w:val="007B1833"/>
    <w:rsid w:val="007B2507"/>
    <w:rsid w:val="007B2BEC"/>
    <w:rsid w:val="007B3856"/>
    <w:rsid w:val="007B4369"/>
    <w:rsid w:val="007B5FC2"/>
    <w:rsid w:val="007B6173"/>
    <w:rsid w:val="007B6A5C"/>
    <w:rsid w:val="007B7342"/>
    <w:rsid w:val="007B76BD"/>
    <w:rsid w:val="007C06B1"/>
    <w:rsid w:val="007C0AE0"/>
    <w:rsid w:val="007C0B6D"/>
    <w:rsid w:val="007C171C"/>
    <w:rsid w:val="007C237E"/>
    <w:rsid w:val="007C3010"/>
    <w:rsid w:val="007C40FA"/>
    <w:rsid w:val="007C4158"/>
    <w:rsid w:val="007C4E1E"/>
    <w:rsid w:val="007C519F"/>
    <w:rsid w:val="007C555F"/>
    <w:rsid w:val="007C584B"/>
    <w:rsid w:val="007C5A95"/>
    <w:rsid w:val="007C622B"/>
    <w:rsid w:val="007C6A88"/>
    <w:rsid w:val="007C6E66"/>
    <w:rsid w:val="007C7815"/>
    <w:rsid w:val="007D12FA"/>
    <w:rsid w:val="007D192E"/>
    <w:rsid w:val="007D2212"/>
    <w:rsid w:val="007D226B"/>
    <w:rsid w:val="007D419A"/>
    <w:rsid w:val="007D4A8A"/>
    <w:rsid w:val="007D4F43"/>
    <w:rsid w:val="007D576A"/>
    <w:rsid w:val="007D6920"/>
    <w:rsid w:val="007D73D0"/>
    <w:rsid w:val="007E084F"/>
    <w:rsid w:val="007E0A12"/>
    <w:rsid w:val="007E0E5C"/>
    <w:rsid w:val="007E16D6"/>
    <w:rsid w:val="007E187D"/>
    <w:rsid w:val="007E1A4B"/>
    <w:rsid w:val="007E248F"/>
    <w:rsid w:val="007E283C"/>
    <w:rsid w:val="007E36E9"/>
    <w:rsid w:val="007E46D0"/>
    <w:rsid w:val="007E4A2F"/>
    <w:rsid w:val="007E5D7B"/>
    <w:rsid w:val="007E759F"/>
    <w:rsid w:val="007E7667"/>
    <w:rsid w:val="007E7802"/>
    <w:rsid w:val="007F176C"/>
    <w:rsid w:val="007F192F"/>
    <w:rsid w:val="007F1D7B"/>
    <w:rsid w:val="007F20A9"/>
    <w:rsid w:val="007F22D4"/>
    <w:rsid w:val="007F3058"/>
    <w:rsid w:val="007F31B6"/>
    <w:rsid w:val="007F3A44"/>
    <w:rsid w:val="007F4446"/>
    <w:rsid w:val="007F449D"/>
    <w:rsid w:val="007F690D"/>
    <w:rsid w:val="007F7B8C"/>
    <w:rsid w:val="008001CE"/>
    <w:rsid w:val="0080048C"/>
    <w:rsid w:val="00801386"/>
    <w:rsid w:val="00801B75"/>
    <w:rsid w:val="00801D52"/>
    <w:rsid w:val="008021B6"/>
    <w:rsid w:val="00803E6D"/>
    <w:rsid w:val="00805DAA"/>
    <w:rsid w:val="00806505"/>
    <w:rsid w:val="008068AB"/>
    <w:rsid w:val="00806A96"/>
    <w:rsid w:val="0081006A"/>
    <w:rsid w:val="00810381"/>
    <w:rsid w:val="008103A8"/>
    <w:rsid w:val="00810774"/>
    <w:rsid w:val="00811A07"/>
    <w:rsid w:val="00811B72"/>
    <w:rsid w:val="00812451"/>
    <w:rsid w:val="00813978"/>
    <w:rsid w:val="00813D46"/>
    <w:rsid w:val="008140EC"/>
    <w:rsid w:val="0081523C"/>
    <w:rsid w:val="00815A70"/>
    <w:rsid w:val="008163E7"/>
    <w:rsid w:val="008174A9"/>
    <w:rsid w:val="00817610"/>
    <w:rsid w:val="00817F19"/>
    <w:rsid w:val="00823132"/>
    <w:rsid w:val="00823246"/>
    <w:rsid w:val="008233EA"/>
    <w:rsid w:val="0082434D"/>
    <w:rsid w:val="00824D05"/>
    <w:rsid w:val="00824FA9"/>
    <w:rsid w:val="00825FDD"/>
    <w:rsid w:val="008265B2"/>
    <w:rsid w:val="00827D1D"/>
    <w:rsid w:val="0083023B"/>
    <w:rsid w:val="008309BA"/>
    <w:rsid w:val="0083146F"/>
    <w:rsid w:val="008328E8"/>
    <w:rsid w:val="00832E0A"/>
    <w:rsid w:val="0083401D"/>
    <w:rsid w:val="008341C7"/>
    <w:rsid w:val="00834630"/>
    <w:rsid w:val="00835D7D"/>
    <w:rsid w:val="00836E16"/>
    <w:rsid w:val="00837A39"/>
    <w:rsid w:val="0084094D"/>
    <w:rsid w:val="00841FCE"/>
    <w:rsid w:val="008423E2"/>
    <w:rsid w:val="00844296"/>
    <w:rsid w:val="00844D93"/>
    <w:rsid w:val="008470AA"/>
    <w:rsid w:val="00847229"/>
    <w:rsid w:val="00847315"/>
    <w:rsid w:val="00847957"/>
    <w:rsid w:val="00850AC9"/>
    <w:rsid w:val="00851892"/>
    <w:rsid w:val="00852BBD"/>
    <w:rsid w:val="00853101"/>
    <w:rsid w:val="00854199"/>
    <w:rsid w:val="00856595"/>
    <w:rsid w:val="00857283"/>
    <w:rsid w:val="008603C5"/>
    <w:rsid w:val="00860533"/>
    <w:rsid w:val="008613C4"/>
    <w:rsid w:val="00861418"/>
    <w:rsid w:val="00861441"/>
    <w:rsid w:val="008616FE"/>
    <w:rsid w:val="008622E5"/>
    <w:rsid w:val="00862A5F"/>
    <w:rsid w:val="00863560"/>
    <w:rsid w:val="0086595A"/>
    <w:rsid w:val="00865D44"/>
    <w:rsid w:val="008665CE"/>
    <w:rsid w:val="00866E04"/>
    <w:rsid w:val="008672C0"/>
    <w:rsid w:val="00867439"/>
    <w:rsid w:val="008701B1"/>
    <w:rsid w:val="0087022D"/>
    <w:rsid w:val="008706B2"/>
    <w:rsid w:val="008719D4"/>
    <w:rsid w:val="008720BA"/>
    <w:rsid w:val="00872822"/>
    <w:rsid w:val="00872B06"/>
    <w:rsid w:val="00872B2F"/>
    <w:rsid w:val="0087436B"/>
    <w:rsid w:val="0087440D"/>
    <w:rsid w:val="00874706"/>
    <w:rsid w:val="00874880"/>
    <w:rsid w:val="0087531E"/>
    <w:rsid w:val="008755AD"/>
    <w:rsid w:val="0088160C"/>
    <w:rsid w:val="00881DB6"/>
    <w:rsid w:val="008822AF"/>
    <w:rsid w:val="008827DB"/>
    <w:rsid w:val="00884828"/>
    <w:rsid w:val="008852B5"/>
    <w:rsid w:val="00885E08"/>
    <w:rsid w:val="00886072"/>
    <w:rsid w:val="00886EB7"/>
    <w:rsid w:val="0089098A"/>
    <w:rsid w:val="00890E1E"/>
    <w:rsid w:val="008910CA"/>
    <w:rsid w:val="008915E7"/>
    <w:rsid w:val="00891DA0"/>
    <w:rsid w:val="008924AE"/>
    <w:rsid w:val="008924F8"/>
    <w:rsid w:val="0089457A"/>
    <w:rsid w:val="008965DF"/>
    <w:rsid w:val="00896CD2"/>
    <w:rsid w:val="00896E11"/>
    <w:rsid w:val="0089725E"/>
    <w:rsid w:val="00897397"/>
    <w:rsid w:val="00897BEF"/>
    <w:rsid w:val="00897D66"/>
    <w:rsid w:val="008A0B9B"/>
    <w:rsid w:val="008A0C0B"/>
    <w:rsid w:val="008A23B9"/>
    <w:rsid w:val="008A31DF"/>
    <w:rsid w:val="008A3F1D"/>
    <w:rsid w:val="008A50C6"/>
    <w:rsid w:val="008A68B4"/>
    <w:rsid w:val="008B0320"/>
    <w:rsid w:val="008B0927"/>
    <w:rsid w:val="008B116E"/>
    <w:rsid w:val="008B127D"/>
    <w:rsid w:val="008B2C50"/>
    <w:rsid w:val="008B3405"/>
    <w:rsid w:val="008B4A50"/>
    <w:rsid w:val="008B4B01"/>
    <w:rsid w:val="008B55C9"/>
    <w:rsid w:val="008B5883"/>
    <w:rsid w:val="008B6435"/>
    <w:rsid w:val="008C17F4"/>
    <w:rsid w:val="008C1E9D"/>
    <w:rsid w:val="008C28A2"/>
    <w:rsid w:val="008C2D2A"/>
    <w:rsid w:val="008C3605"/>
    <w:rsid w:val="008C3856"/>
    <w:rsid w:val="008C407F"/>
    <w:rsid w:val="008C419E"/>
    <w:rsid w:val="008C4F0E"/>
    <w:rsid w:val="008C52BB"/>
    <w:rsid w:val="008C5359"/>
    <w:rsid w:val="008C5EEB"/>
    <w:rsid w:val="008C605A"/>
    <w:rsid w:val="008C63A8"/>
    <w:rsid w:val="008C6838"/>
    <w:rsid w:val="008C720A"/>
    <w:rsid w:val="008C75BA"/>
    <w:rsid w:val="008C7CB9"/>
    <w:rsid w:val="008C7F47"/>
    <w:rsid w:val="008D0DB0"/>
    <w:rsid w:val="008D16C0"/>
    <w:rsid w:val="008D1774"/>
    <w:rsid w:val="008D29BA"/>
    <w:rsid w:val="008D420B"/>
    <w:rsid w:val="008D46F4"/>
    <w:rsid w:val="008D489D"/>
    <w:rsid w:val="008D51E3"/>
    <w:rsid w:val="008D6598"/>
    <w:rsid w:val="008D67D0"/>
    <w:rsid w:val="008D7296"/>
    <w:rsid w:val="008D7E77"/>
    <w:rsid w:val="008D7E9A"/>
    <w:rsid w:val="008E018E"/>
    <w:rsid w:val="008E1387"/>
    <w:rsid w:val="008E47EA"/>
    <w:rsid w:val="008E4FF9"/>
    <w:rsid w:val="008E7DFA"/>
    <w:rsid w:val="008F0637"/>
    <w:rsid w:val="008F0A5C"/>
    <w:rsid w:val="008F123B"/>
    <w:rsid w:val="008F1662"/>
    <w:rsid w:val="008F35CF"/>
    <w:rsid w:val="008F36D6"/>
    <w:rsid w:val="008F3AAD"/>
    <w:rsid w:val="008F57D0"/>
    <w:rsid w:val="008F6C9F"/>
    <w:rsid w:val="009014EC"/>
    <w:rsid w:val="0090310D"/>
    <w:rsid w:val="009061F3"/>
    <w:rsid w:val="009066FB"/>
    <w:rsid w:val="009074D7"/>
    <w:rsid w:val="009076A9"/>
    <w:rsid w:val="00911C3D"/>
    <w:rsid w:val="00911CFE"/>
    <w:rsid w:val="00912403"/>
    <w:rsid w:val="0091246D"/>
    <w:rsid w:val="00912B4C"/>
    <w:rsid w:val="00914B72"/>
    <w:rsid w:val="009159F0"/>
    <w:rsid w:val="00916681"/>
    <w:rsid w:val="00916E46"/>
    <w:rsid w:val="00917F27"/>
    <w:rsid w:val="0092194B"/>
    <w:rsid w:val="009221F4"/>
    <w:rsid w:val="0092250C"/>
    <w:rsid w:val="00922620"/>
    <w:rsid w:val="00922753"/>
    <w:rsid w:val="00924E71"/>
    <w:rsid w:val="0092715B"/>
    <w:rsid w:val="00927387"/>
    <w:rsid w:val="0092751F"/>
    <w:rsid w:val="009278DF"/>
    <w:rsid w:val="009279ED"/>
    <w:rsid w:val="009313E4"/>
    <w:rsid w:val="00932621"/>
    <w:rsid w:val="0093278C"/>
    <w:rsid w:val="009333AA"/>
    <w:rsid w:val="0093382F"/>
    <w:rsid w:val="009338EF"/>
    <w:rsid w:val="00933D1F"/>
    <w:rsid w:val="009340FB"/>
    <w:rsid w:val="009346E2"/>
    <w:rsid w:val="00935160"/>
    <w:rsid w:val="009355E1"/>
    <w:rsid w:val="00937CAB"/>
    <w:rsid w:val="00937D00"/>
    <w:rsid w:val="00937F9D"/>
    <w:rsid w:val="009410EF"/>
    <w:rsid w:val="00943F73"/>
    <w:rsid w:val="009452EA"/>
    <w:rsid w:val="00945480"/>
    <w:rsid w:val="00946258"/>
    <w:rsid w:val="00946AA7"/>
    <w:rsid w:val="009473DA"/>
    <w:rsid w:val="00947E0A"/>
    <w:rsid w:val="00952DDE"/>
    <w:rsid w:val="0095355F"/>
    <w:rsid w:val="00953FB1"/>
    <w:rsid w:val="0095410A"/>
    <w:rsid w:val="00954252"/>
    <w:rsid w:val="009543DF"/>
    <w:rsid w:val="009544B4"/>
    <w:rsid w:val="0095499B"/>
    <w:rsid w:val="00954CAE"/>
    <w:rsid w:val="00954FE0"/>
    <w:rsid w:val="00955B6A"/>
    <w:rsid w:val="00956E4F"/>
    <w:rsid w:val="00956F1B"/>
    <w:rsid w:val="00957017"/>
    <w:rsid w:val="009579AB"/>
    <w:rsid w:val="009579F9"/>
    <w:rsid w:val="0096182B"/>
    <w:rsid w:val="00963B9E"/>
    <w:rsid w:val="009646CD"/>
    <w:rsid w:val="009663D4"/>
    <w:rsid w:val="0096672B"/>
    <w:rsid w:val="00967869"/>
    <w:rsid w:val="00967B0E"/>
    <w:rsid w:val="00967DDA"/>
    <w:rsid w:val="00970074"/>
    <w:rsid w:val="00970264"/>
    <w:rsid w:val="009707BD"/>
    <w:rsid w:val="00970FBA"/>
    <w:rsid w:val="00972650"/>
    <w:rsid w:val="00972A00"/>
    <w:rsid w:val="009749F2"/>
    <w:rsid w:val="00975034"/>
    <w:rsid w:val="00975B98"/>
    <w:rsid w:val="009760FB"/>
    <w:rsid w:val="00977E87"/>
    <w:rsid w:val="00980748"/>
    <w:rsid w:val="009808DB"/>
    <w:rsid w:val="00981364"/>
    <w:rsid w:val="00982AAF"/>
    <w:rsid w:val="00982CD5"/>
    <w:rsid w:val="00984DCE"/>
    <w:rsid w:val="00984F1B"/>
    <w:rsid w:val="00985909"/>
    <w:rsid w:val="00986272"/>
    <w:rsid w:val="00986EA7"/>
    <w:rsid w:val="00986F69"/>
    <w:rsid w:val="00987593"/>
    <w:rsid w:val="009909FD"/>
    <w:rsid w:val="00990F36"/>
    <w:rsid w:val="0099384A"/>
    <w:rsid w:val="009941B0"/>
    <w:rsid w:val="00995482"/>
    <w:rsid w:val="00995D6C"/>
    <w:rsid w:val="00996251"/>
    <w:rsid w:val="009967BF"/>
    <w:rsid w:val="009969DD"/>
    <w:rsid w:val="0099709D"/>
    <w:rsid w:val="009975B5"/>
    <w:rsid w:val="00997F09"/>
    <w:rsid w:val="009A0996"/>
    <w:rsid w:val="009A3B6C"/>
    <w:rsid w:val="009A42B0"/>
    <w:rsid w:val="009A5AD0"/>
    <w:rsid w:val="009A5EEB"/>
    <w:rsid w:val="009A5EED"/>
    <w:rsid w:val="009A60C1"/>
    <w:rsid w:val="009A642E"/>
    <w:rsid w:val="009A76D3"/>
    <w:rsid w:val="009B083B"/>
    <w:rsid w:val="009B259E"/>
    <w:rsid w:val="009B3F5A"/>
    <w:rsid w:val="009B61C8"/>
    <w:rsid w:val="009B79D6"/>
    <w:rsid w:val="009C0273"/>
    <w:rsid w:val="009C0867"/>
    <w:rsid w:val="009C0E9B"/>
    <w:rsid w:val="009C18F4"/>
    <w:rsid w:val="009C226D"/>
    <w:rsid w:val="009C499C"/>
    <w:rsid w:val="009C52BA"/>
    <w:rsid w:val="009C5687"/>
    <w:rsid w:val="009C618C"/>
    <w:rsid w:val="009C6346"/>
    <w:rsid w:val="009C68EC"/>
    <w:rsid w:val="009C77B9"/>
    <w:rsid w:val="009C7855"/>
    <w:rsid w:val="009C7B02"/>
    <w:rsid w:val="009D0904"/>
    <w:rsid w:val="009D0DF2"/>
    <w:rsid w:val="009D14F9"/>
    <w:rsid w:val="009D1D5C"/>
    <w:rsid w:val="009D2BEF"/>
    <w:rsid w:val="009D3CA2"/>
    <w:rsid w:val="009D4501"/>
    <w:rsid w:val="009D4515"/>
    <w:rsid w:val="009D4C19"/>
    <w:rsid w:val="009D5A9D"/>
    <w:rsid w:val="009D702F"/>
    <w:rsid w:val="009D7898"/>
    <w:rsid w:val="009E07E9"/>
    <w:rsid w:val="009E30A7"/>
    <w:rsid w:val="009E39CC"/>
    <w:rsid w:val="009E4482"/>
    <w:rsid w:val="009E51AB"/>
    <w:rsid w:val="009E5478"/>
    <w:rsid w:val="009E6639"/>
    <w:rsid w:val="009E6F95"/>
    <w:rsid w:val="009E7468"/>
    <w:rsid w:val="009E7680"/>
    <w:rsid w:val="009F0268"/>
    <w:rsid w:val="009F0786"/>
    <w:rsid w:val="009F0A4E"/>
    <w:rsid w:val="009F1868"/>
    <w:rsid w:val="009F1F56"/>
    <w:rsid w:val="009F4528"/>
    <w:rsid w:val="009F457F"/>
    <w:rsid w:val="009F5AFE"/>
    <w:rsid w:val="009F64AC"/>
    <w:rsid w:val="00A00306"/>
    <w:rsid w:val="00A00A26"/>
    <w:rsid w:val="00A011F3"/>
    <w:rsid w:val="00A01FAA"/>
    <w:rsid w:val="00A022FA"/>
    <w:rsid w:val="00A02F2E"/>
    <w:rsid w:val="00A044AD"/>
    <w:rsid w:val="00A0513E"/>
    <w:rsid w:val="00A0728C"/>
    <w:rsid w:val="00A075FD"/>
    <w:rsid w:val="00A10148"/>
    <w:rsid w:val="00A101D2"/>
    <w:rsid w:val="00A1052F"/>
    <w:rsid w:val="00A124A0"/>
    <w:rsid w:val="00A13170"/>
    <w:rsid w:val="00A139BC"/>
    <w:rsid w:val="00A16666"/>
    <w:rsid w:val="00A16E99"/>
    <w:rsid w:val="00A174ED"/>
    <w:rsid w:val="00A17D1D"/>
    <w:rsid w:val="00A20CC9"/>
    <w:rsid w:val="00A210AC"/>
    <w:rsid w:val="00A21945"/>
    <w:rsid w:val="00A227B8"/>
    <w:rsid w:val="00A2289F"/>
    <w:rsid w:val="00A237CF"/>
    <w:rsid w:val="00A23A69"/>
    <w:rsid w:val="00A23C18"/>
    <w:rsid w:val="00A24386"/>
    <w:rsid w:val="00A24B13"/>
    <w:rsid w:val="00A25BB3"/>
    <w:rsid w:val="00A261C2"/>
    <w:rsid w:val="00A26988"/>
    <w:rsid w:val="00A269B9"/>
    <w:rsid w:val="00A26C6B"/>
    <w:rsid w:val="00A3088C"/>
    <w:rsid w:val="00A30D72"/>
    <w:rsid w:val="00A32C0E"/>
    <w:rsid w:val="00A33463"/>
    <w:rsid w:val="00A3477D"/>
    <w:rsid w:val="00A3584F"/>
    <w:rsid w:val="00A35C2D"/>
    <w:rsid w:val="00A36208"/>
    <w:rsid w:val="00A3633B"/>
    <w:rsid w:val="00A364E1"/>
    <w:rsid w:val="00A37673"/>
    <w:rsid w:val="00A3768B"/>
    <w:rsid w:val="00A37BBF"/>
    <w:rsid w:val="00A40482"/>
    <w:rsid w:val="00A4073F"/>
    <w:rsid w:val="00A40A16"/>
    <w:rsid w:val="00A40CC3"/>
    <w:rsid w:val="00A40D05"/>
    <w:rsid w:val="00A40E01"/>
    <w:rsid w:val="00A417B6"/>
    <w:rsid w:val="00A42349"/>
    <w:rsid w:val="00A42461"/>
    <w:rsid w:val="00A426A0"/>
    <w:rsid w:val="00A4445D"/>
    <w:rsid w:val="00A461B7"/>
    <w:rsid w:val="00A4682C"/>
    <w:rsid w:val="00A46B97"/>
    <w:rsid w:val="00A509C1"/>
    <w:rsid w:val="00A50C91"/>
    <w:rsid w:val="00A50FF6"/>
    <w:rsid w:val="00A51D4F"/>
    <w:rsid w:val="00A5272A"/>
    <w:rsid w:val="00A52C60"/>
    <w:rsid w:val="00A53952"/>
    <w:rsid w:val="00A53BE4"/>
    <w:rsid w:val="00A55986"/>
    <w:rsid w:val="00A560E6"/>
    <w:rsid w:val="00A56D2E"/>
    <w:rsid w:val="00A57B7E"/>
    <w:rsid w:val="00A57F52"/>
    <w:rsid w:val="00A6093E"/>
    <w:rsid w:val="00A60A9F"/>
    <w:rsid w:val="00A60D52"/>
    <w:rsid w:val="00A616F6"/>
    <w:rsid w:val="00A625B7"/>
    <w:rsid w:val="00A63B06"/>
    <w:rsid w:val="00A64A7F"/>
    <w:rsid w:val="00A65A1A"/>
    <w:rsid w:val="00A6681A"/>
    <w:rsid w:val="00A70968"/>
    <w:rsid w:val="00A726AC"/>
    <w:rsid w:val="00A72D89"/>
    <w:rsid w:val="00A7321F"/>
    <w:rsid w:val="00A7357D"/>
    <w:rsid w:val="00A7393E"/>
    <w:rsid w:val="00A75DEE"/>
    <w:rsid w:val="00A77C96"/>
    <w:rsid w:val="00A8010B"/>
    <w:rsid w:val="00A801BB"/>
    <w:rsid w:val="00A804B9"/>
    <w:rsid w:val="00A8076F"/>
    <w:rsid w:val="00A80EC6"/>
    <w:rsid w:val="00A81353"/>
    <w:rsid w:val="00A81999"/>
    <w:rsid w:val="00A83287"/>
    <w:rsid w:val="00A866DE"/>
    <w:rsid w:val="00A8678E"/>
    <w:rsid w:val="00A868B5"/>
    <w:rsid w:val="00A911E3"/>
    <w:rsid w:val="00A91404"/>
    <w:rsid w:val="00A91611"/>
    <w:rsid w:val="00A92E9A"/>
    <w:rsid w:val="00A92EC7"/>
    <w:rsid w:val="00A9470E"/>
    <w:rsid w:val="00A94DE4"/>
    <w:rsid w:val="00A9594A"/>
    <w:rsid w:val="00A95EF2"/>
    <w:rsid w:val="00AA2041"/>
    <w:rsid w:val="00AA2B66"/>
    <w:rsid w:val="00AA317D"/>
    <w:rsid w:val="00AA50C3"/>
    <w:rsid w:val="00AA5413"/>
    <w:rsid w:val="00AA5F15"/>
    <w:rsid w:val="00AA75C7"/>
    <w:rsid w:val="00AA791E"/>
    <w:rsid w:val="00AA7A81"/>
    <w:rsid w:val="00AB0660"/>
    <w:rsid w:val="00AB0726"/>
    <w:rsid w:val="00AB1277"/>
    <w:rsid w:val="00AB1801"/>
    <w:rsid w:val="00AB191B"/>
    <w:rsid w:val="00AB1B58"/>
    <w:rsid w:val="00AB2B6B"/>
    <w:rsid w:val="00AB2C0D"/>
    <w:rsid w:val="00AB2E6D"/>
    <w:rsid w:val="00AB47CA"/>
    <w:rsid w:val="00AB768E"/>
    <w:rsid w:val="00AB7872"/>
    <w:rsid w:val="00AC0520"/>
    <w:rsid w:val="00AC06F2"/>
    <w:rsid w:val="00AC14AE"/>
    <w:rsid w:val="00AC22BA"/>
    <w:rsid w:val="00AC2361"/>
    <w:rsid w:val="00AC2F02"/>
    <w:rsid w:val="00AC2F47"/>
    <w:rsid w:val="00AC3514"/>
    <w:rsid w:val="00AC355E"/>
    <w:rsid w:val="00AC510F"/>
    <w:rsid w:val="00AC5A46"/>
    <w:rsid w:val="00AC6410"/>
    <w:rsid w:val="00AC73BC"/>
    <w:rsid w:val="00AC780F"/>
    <w:rsid w:val="00AC783B"/>
    <w:rsid w:val="00AC7C6B"/>
    <w:rsid w:val="00AD01D2"/>
    <w:rsid w:val="00AD030C"/>
    <w:rsid w:val="00AD107F"/>
    <w:rsid w:val="00AD18BE"/>
    <w:rsid w:val="00AD220E"/>
    <w:rsid w:val="00AD22E8"/>
    <w:rsid w:val="00AD2603"/>
    <w:rsid w:val="00AD2810"/>
    <w:rsid w:val="00AD4C62"/>
    <w:rsid w:val="00AD6A71"/>
    <w:rsid w:val="00AD6C0A"/>
    <w:rsid w:val="00AD6CDA"/>
    <w:rsid w:val="00AD70EF"/>
    <w:rsid w:val="00AD7178"/>
    <w:rsid w:val="00AD7184"/>
    <w:rsid w:val="00AD7CE2"/>
    <w:rsid w:val="00AE02B2"/>
    <w:rsid w:val="00AE1B02"/>
    <w:rsid w:val="00AE202C"/>
    <w:rsid w:val="00AE2608"/>
    <w:rsid w:val="00AE2F17"/>
    <w:rsid w:val="00AE317A"/>
    <w:rsid w:val="00AE3A8F"/>
    <w:rsid w:val="00AE3D32"/>
    <w:rsid w:val="00AE4E3C"/>
    <w:rsid w:val="00AE4F64"/>
    <w:rsid w:val="00AE6634"/>
    <w:rsid w:val="00AE688A"/>
    <w:rsid w:val="00AF11B7"/>
    <w:rsid w:val="00AF12E1"/>
    <w:rsid w:val="00AF191D"/>
    <w:rsid w:val="00AF2312"/>
    <w:rsid w:val="00AF2A71"/>
    <w:rsid w:val="00AF3106"/>
    <w:rsid w:val="00AF42E7"/>
    <w:rsid w:val="00AF4664"/>
    <w:rsid w:val="00AF487C"/>
    <w:rsid w:val="00AF4BDC"/>
    <w:rsid w:val="00AF4C77"/>
    <w:rsid w:val="00AF511B"/>
    <w:rsid w:val="00AF5F89"/>
    <w:rsid w:val="00AF61AD"/>
    <w:rsid w:val="00AF7B9F"/>
    <w:rsid w:val="00B009A3"/>
    <w:rsid w:val="00B00D3A"/>
    <w:rsid w:val="00B01DCE"/>
    <w:rsid w:val="00B029E5"/>
    <w:rsid w:val="00B0303A"/>
    <w:rsid w:val="00B031CE"/>
    <w:rsid w:val="00B03B9C"/>
    <w:rsid w:val="00B04B76"/>
    <w:rsid w:val="00B05048"/>
    <w:rsid w:val="00B06177"/>
    <w:rsid w:val="00B0691A"/>
    <w:rsid w:val="00B06E49"/>
    <w:rsid w:val="00B1052D"/>
    <w:rsid w:val="00B10F84"/>
    <w:rsid w:val="00B12F03"/>
    <w:rsid w:val="00B13A81"/>
    <w:rsid w:val="00B14425"/>
    <w:rsid w:val="00B14432"/>
    <w:rsid w:val="00B14AE0"/>
    <w:rsid w:val="00B150D7"/>
    <w:rsid w:val="00B16358"/>
    <w:rsid w:val="00B16430"/>
    <w:rsid w:val="00B167EC"/>
    <w:rsid w:val="00B179F6"/>
    <w:rsid w:val="00B20F3A"/>
    <w:rsid w:val="00B21F2F"/>
    <w:rsid w:val="00B229C0"/>
    <w:rsid w:val="00B22D8A"/>
    <w:rsid w:val="00B235AC"/>
    <w:rsid w:val="00B24B57"/>
    <w:rsid w:val="00B24C01"/>
    <w:rsid w:val="00B25202"/>
    <w:rsid w:val="00B25FA3"/>
    <w:rsid w:val="00B31125"/>
    <w:rsid w:val="00B33E7B"/>
    <w:rsid w:val="00B3450B"/>
    <w:rsid w:val="00B3563B"/>
    <w:rsid w:val="00B3574A"/>
    <w:rsid w:val="00B378D3"/>
    <w:rsid w:val="00B40854"/>
    <w:rsid w:val="00B40AED"/>
    <w:rsid w:val="00B412D1"/>
    <w:rsid w:val="00B431DC"/>
    <w:rsid w:val="00B43310"/>
    <w:rsid w:val="00B43A0B"/>
    <w:rsid w:val="00B446CB"/>
    <w:rsid w:val="00B4602B"/>
    <w:rsid w:val="00B466E2"/>
    <w:rsid w:val="00B46930"/>
    <w:rsid w:val="00B47351"/>
    <w:rsid w:val="00B477E9"/>
    <w:rsid w:val="00B47D50"/>
    <w:rsid w:val="00B47FDE"/>
    <w:rsid w:val="00B51084"/>
    <w:rsid w:val="00B5259E"/>
    <w:rsid w:val="00B52B73"/>
    <w:rsid w:val="00B53660"/>
    <w:rsid w:val="00B53AA0"/>
    <w:rsid w:val="00B54DA3"/>
    <w:rsid w:val="00B56433"/>
    <w:rsid w:val="00B57E50"/>
    <w:rsid w:val="00B61E6E"/>
    <w:rsid w:val="00B628C7"/>
    <w:rsid w:val="00B63A7A"/>
    <w:rsid w:val="00B6441F"/>
    <w:rsid w:val="00B6629C"/>
    <w:rsid w:val="00B66540"/>
    <w:rsid w:val="00B66AED"/>
    <w:rsid w:val="00B66EE7"/>
    <w:rsid w:val="00B67F7E"/>
    <w:rsid w:val="00B70C86"/>
    <w:rsid w:val="00B718E7"/>
    <w:rsid w:val="00B740A1"/>
    <w:rsid w:val="00B74612"/>
    <w:rsid w:val="00B74A4F"/>
    <w:rsid w:val="00B76B07"/>
    <w:rsid w:val="00B77658"/>
    <w:rsid w:val="00B805FE"/>
    <w:rsid w:val="00B80C9B"/>
    <w:rsid w:val="00B81921"/>
    <w:rsid w:val="00B82306"/>
    <w:rsid w:val="00B82518"/>
    <w:rsid w:val="00B82DAE"/>
    <w:rsid w:val="00B83ED4"/>
    <w:rsid w:val="00B844C8"/>
    <w:rsid w:val="00B84576"/>
    <w:rsid w:val="00B84DB9"/>
    <w:rsid w:val="00B85708"/>
    <w:rsid w:val="00B85BAE"/>
    <w:rsid w:val="00B86475"/>
    <w:rsid w:val="00B87ACE"/>
    <w:rsid w:val="00B919DA"/>
    <w:rsid w:val="00B9212F"/>
    <w:rsid w:val="00B93917"/>
    <w:rsid w:val="00B956DE"/>
    <w:rsid w:val="00B95F93"/>
    <w:rsid w:val="00B9624C"/>
    <w:rsid w:val="00B9688D"/>
    <w:rsid w:val="00BA12D4"/>
    <w:rsid w:val="00BA2284"/>
    <w:rsid w:val="00BA37B1"/>
    <w:rsid w:val="00BA4103"/>
    <w:rsid w:val="00BA44AF"/>
    <w:rsid w:val="00BA458E"/>
    <w:rsid w:val="00BA5664"/>
    <w:rsid w:val="00BA56CC"/>
    <w:rsid w:val="00BA5D13"/>
    <w:rsid w:val="00BA67CC"/>
    <w:rsid w:val="00BA7182"/>
    <w:rsid w:val="00BA782B"/>
    <w:rsid w:val="00BB118D"/>
    <w:rsid w:val="00BB19B5"/>
    <w:rsid w:val="00BB1D18"/>
    <w:rsid w:val="00BB1DCC"/>
    <w:rsid w:val="00BB22AD"/>
    <w:rsid w:val="00BB2590"/>
    <w:rsid w:val="00BB44C6"/>
    <w:rsid w:val="00BB4A23"/>
    <w:rsid w:val="00BB6850"/>
    <w:rsid w:val="00BC0311"/>
    <w:rsid w:val="00BC084F"/>
    <w:rsid w:val="00BC1E94"/>
    <w:rsid w:val="00BC2A67"/>
    <w:rsid w:val="00BC4016"/>
    <w:rsid w:val="00BC4D26"/>
    <w:rsid w:val="00BC4D36"/>
    <w:rsid w:val="00BC52B9"/>
    <w:rsid w:val="00BC57A9"/>
    <w:rsid w:val="00BC59B2"/>
    <w:rsid w:val="00BC629E"/>
    <w:rsid w:val="00BC6F12"/>
    <w:rsid w:val="00BC724A"/>
    <w:rsid w:val="00BC7658"/>
    <w:rsid w:val="00BD237A"/>
    <w:rsid w:val="00BD2938"/>
    <w:rsid w:val="00BD338E"/>
    <w:rsid w:val="00BD4052"/>
    <w:rsid w:val="00BD4514"/>
    <w:rsid w:val="00BE0CF3"/>
    <w:rsid w:val="00BE0D89"/>
    <w:rsid w:val="00BE1828"/>
    <w:rsid w:val="00BE6DC6"/>
    <w:rsid w:val="00BE7762"/>
    <w:rsid w:val="00BE7F42"/>
    <w:rsid w:val="00BF0007"/>
    <w:rsid w:val="00BF04A6"/>
    <w:rsid w:val="00BF0E49"/>
    <w:rsid w:val="00BF0F46"/>
    <w:rsid w:val="00BF1166"/>
    <w:rsid w:val="00BF16FC"/>
    <w:rsid w:val="00BF41E3"/>
    <w:rsid w:val="00BF4298"/>
    <w:rsid w:val="00BF58E1"/>
    <w:rsid w:val="00BF5D6D"/>
    <w:rsid w:val="00BF5D8F"/>
    <w:rsid w:val="00BF636B"/>
    <w:rsid w:val="00BF6AA3"/>
    <w:rsid w:val="00BF6B29"/>
    <w:rsid w:val="00BF6E35"/>
    <w:rsid w:val="00BF7005"/>
    <w:rsid w:val="00BF7851"/>
    <w:rsid w:val="00C005F2"/>
    <w:rsid w:val="00C01468"/>
    <w:rsid w:val="00C02E66"/>
    <w:rsid w:val="00C03A38"/>
    <w:rsid w:val="00C03F32"/>
    <w:rsid w:val="00C04038"/>
    <w:rsid w:val="00C055EF"/>
    <w:rsid w:val="00C06F04"/>
    <w:rsid w:val="00C10502"/>
    <w:rsid w:val="00C10F57"/>
    <w:rsid w:val="00C11AF7"/>
    <w:rsid w:val="00C12058"/>
    <w:rsid w:val="00C13423"/>
    <w:rsid w:val="00C13B35"/>
    <w:rsid w:val="00C1530F"/>
    <w:rsid w:val="00C15E38"/>
    <w:rsid w:val="00C15E99"/>
    <w:rsid w:val="00C16991"/>
    <w:rsid w:val="00C17024"/>
    <w:rsid w:val="00C17C49"/>
    <w:rsid w:val="00C2002F"/>
    <w:rsid w:val="00C20E91"/>
    <w:rsid w:val="00C21AC1"/>
    <w:rsid w:val="00C21E8A"/>
    <w:rsid w:val="00C22BAF"/>
    <w:rsid w:val="00C23B32"/>
    <w:rsid w:val="00C24662"/>
    <w:rsid w:val="00C24AD5"/>
    <w:rsid w:val="00C25827"/>
    <w:rsid w:val="00C259C0"/>
    <w:rsid w:val="00C25E8F"/>
    <w:rsid w:val="00C25F5C"/>
    <w:rsid w:val="00C26373"/>
    <w:rsid w:val="00C30163"/>
    <w:rsid w:val="00C303B8"/>
    <w:rsid w:val="00C31B9B"/>
    <w:rsid w:val="00C32EFC"/>
    <w:rsid w:val="00C3357E"/>
    <w:rsid w:val="00C339CB"/>
    <w:rsid w:val="00C33A8B"/>
    <w:rsid w:val="00C35E57"/>
    <w:rsid w:val="00C36B72"/>
    <w:rsid w:val="00C40B80"/>
    <w:rsid w:val="00C40ED9"/>
    <w:rsid w:val="00C414D0"/>
    <w:rsid w:val="00C414E3"/>
    <w:rsid w:val="00C41DCE"/>
    <w:rsid w:val="00C41EA8"/>
    <w:rsid w:val="00C43CDF"/>
    <w:rsid w:val="00C4495F"/>
    <w:rsid w:val="00C471B5"/>
    <w:rsid w:val="00C47422"/>
    <w:rsid w:val="00C47961"/>
    <w:rsid w:val="00C47D93"/>
    <w:rsid w:val="00C50479"/>
    <w:rsid w:val="00C50FCC"/>
    <w:rsid w:val="00C5151C"/>
    <w:rsid w:val="00C51C65"/>
    <w:rsid w:val="00C52B47"/>
    <w:rsid w:val="00C539A9"/>
    <w:rsid w:val="00C54A57"/>
    <w:rsid w:val="00C5677F"/>
    <w:rsid w:val="00C56C84"/>
    <w:rsid w:val="00C57474"/>
    <w:rsid w:val="00C57CD4"/>
    <w:rsid w:val="00C6016A"/>
    <w:rsid w:val="00C608A5"/>
    <w:rsid w:val="00C61D6C"/>
    <w:rsid w:val="00C64DA6"/>
    <w:rsid w:val="00C65258"/>
    <w:rsid w:val="00C6526A"/>
    <w:rsid w:val="00C65607"/>
    <w:rsid w:val="00C6617B"/>
    <w:rsid w:val="00C67A0D"/>
    <w:rsid w:val="00C67E6E"/>
    <w:rsid w:val="00C700AF"/>
    <w:rsid w:val="00C70B9D"/>
    <w:rsid w:val="00C7253D"/>
    <w:rsid w:val="00C72975"/>
    <w:rsid w:val="00C736E1"/>
    <w:rsid w:val="00C73741"/>
    <w:rsid w:val="00C74733"/>
    <w:rsid w:val="00C74A65"/>
    <w:rsid w:val="00C74EB4"/>
    <w:rsid w:val="00C75299"/>
    <w:rsid w:val="00C756C0"/>
    <w:rsid w:val="00C75C19"/>
    <w:rsid w:val="00C75C74"/>
    <w:rsid w:val="00C75CCA"/>
    <w:rsid w:val="00C80340"/>
    <w:rsid w:val="00C808D3"/>
    <w:rsid w:val="00C82D79"/>
    <w:rsid w:val="00C82E31"/>
    <w:rsid w:val="00C83C2B"/>
    <w:rsid w:val="00C84172"/>
    <w:rsid w:val="00C8447D"/>
    <w:rsid w:val="00C84DC4"/>
    <w:rsid w:val="00C84E5D"/>
    <w:rsid w:val="00C85F83"/>
    <w:rsid w:val="00C8684B"/>
    <w:rsid w:val="00C875AA"/>
    <w:rsid w:val="00C91EBB"/>
    <w:rsid w:val="00C926F9"/>
    <w:rsid w:val="00C92C7C"/>
    <w:rsid w:val="00C92FDF"/>
    <w:rsid w:val="00C9301D"/>
    <w:rsid w:val="00C94BCF"/>
    <w:rsid w:val="00C95167"/>
    <w:rsid w:val="00C95A3A"/>
    <w:rsid w:val="00C95C4F"/>
    <w:rsid w:val="00C96C8A"/>
    <w:rsid w:val="00C972E1"/>
    <w:rsid w:val="00CA0A73"/>
    <w:rsid w:val="00CA1260"/>
    <w:rsid w:val="00CA2220"/>
    <w:rsid w:val="00CA3242"/>
    <w:rsid w:val="00CA35B9"/>
    <w:rsid w:val="00CA3711"/>
    <w:rsid w:val="00CA38DD"/>
    <w:rsid w:val="00CA5AA6"/>
    <w:rsid w:val="00CA6537"/>
    <w:rsid w:val="00CA667C"/>
    <w:rsid w:val="00CA7676"/>
    <w:rsid w:val="00CB02E2"/>
    <w:rsid w:val="00CB0867"/>
    <w:rsid w:val="00CB0B36"/>
    <w:rsid w:val="00CB1F32"/>
    <w:rsid w:val="00CB2CBB"/>
    <w:rsid w:val="00CB322A"/>
    <w:rsid w:val="00CB382B"/>
    <w:rsid w:val="00CB395F"/>
    <w:rsid w:val="00CB4422"/>
    <w:rsid w:val="00CB49A1"/>
    <w:rsid w:val="00CB5DEE"/>
    <w:rsid w:val="00CB666A"/>
    <w:rsid w:val="00CB79CA"/>
    <w:rsid w:val="00CC01FF"/>
    <w:rsid w:val="00CC0AA4"/>
    <w:rsid w:val="00CC0AAB"/>
    <w:rsid w:val="00CC11C2"/>
    <w:rsid w:val="00CC11C6"/>
    <w:rsid w:val="00CC128F"/>
    <w:rsid w:val="00CC1BA4"/>
    <w:rsid w:val="00CC2EA7"/>
    <w:rsid w:val="00CC5F20"/>
    <w:rsid w:val="00CC6285"/>
    <w:rsid w:val="00CC685D"/>
    <w:rsid w:val="00CC697C"/>
    <w:rsid w:val="00CC6AC4"/>
    <w:rsid w:val="00CC6BB4"/>
    <w:rsid w:val="00CC6BB5"/>
    <w:rsid w:val="00CC6E5C"/>
    <w:rsid w:val="00CC7049"/>
    <w:rsid w:val="00CC726E"/>
    <w:rsid w:val="00CC7495"/>
    <w:rsid w:val="00CC7789"/>
    <w:rsid w:val="00CC7B7A"/>
    <w:rsid w:val="00CD0882"/>
    <w:rsid w:val="00CD1B1C"/>
    <w:rsid w:val="00CD2766"/>
    <w:rsid w:val="00CD3A7F"/>
    <w:rsid w:val="00CD3C29"/>
    <w:rsid w:val="00CD5520"/>
    <w:rsid w:val="00CD56F6"/>
    <w:rsid w:val="00CD5C88"/>
    <w:rsid w:val="00CD69D3"/>
    <w:rsid w:val="00CD6D19"/>
    <w:rsid w:val="00CD79B1"/>
    <w:rsid w:val="00CD7FE9"/>
    <w:rsid w:val="00CE0301"/>
    <w:rsid w:val="00CE15D8"/>
    <w:rsid w:val="00CE1A41"/>
    <w:rsid w:val="00CE2941"/>
    <w:rsid w:val="00CE33CD"/>
    <w:rsid w:val="00CE3848"/>
    <w:rsid w:val="00CE4442"/>
    <w:rsid w:val="00CE4B6E"/>
    <w:rsid w:val="00CE6CDB"/>
    <w:rsid w:val="00CE7291"/>
    <w:rsid w:val="00CF3034"/>
    <w:rsid w:val="00CF3631"/>
    <w:rsid w:val="00CF48A4"/>
    <w:rsid w:val="00CF4CDD"/>
    <w:rsid w:val="00CF5716"/>
    <w:rsid w:val="00CF608A"/>
    <w:rsid w:val="00CF65D2"/>
    <w:rsid w:val="00CF7497"/>
    <w:rsid w:val="00CF753B"/>
    <w:rsid w:val="00D00A05"/>
    <w:rsid w:val="00D00E54"/>
    <w:rsid w:val="00D03C57"/>
    <w:rsid w:val="00D04379"/>
    <w:rsid w:val="00D062FD"/>
    <w:rsid w:val="00D07563"/>
    <w:rsid w:val="00D075EC"/>
    <w:rsid w:val="00D10045"/>
    <w:rsid w:val="00D10ADB"/>
    <w:rsid w:val="00D1360A"/>
    <w:rsid w:val="00D13D2C"/>
    <w:rsid w:val="00D1406E"/>
    <w:rsid w:val="00D14B0F"/>
    <w:rsid w:val="00D15C1F"/>
    <w:rsid w:val="00D15C2C"/>
    <w:rsid w:val="00D16878"/>
    <w:rsid w:val="00D16B99"/>
    <w:rsid w:val="00D16DE4"/>
    <w:rsid w:val="00D17B49"/>
    <w:rsid w:val="00D17F16"/>
    <w:rsid w:val="00D20731"/>
    <w:rsid w:val="00D20981"/>
    <w:rsid w:val="00D2269E"/>
    <w:rsid w:val="00D233FA"/>
    <w:rsid w:val="00D2384B"/>
    <w:rsid w:val="00D24008"/>
    <w:rsid w:val="00D25053"/>
    <w:rsid w:val="00D26276"/>
    <w:rsid w:val="00D26FAA"/>
    <w:rsid w:val="00D303B1"/>
    <w:rsid w:val="00D31599"/>
    <w:rsid w:val="00D320CB"/>
    <w:rsid w:val="00D32365"/>
    <w:rsid w:val="00D326B0"/>
    <w:rsid w:val="00D32A46"/>
    <w:rsid w:val="00D32ED1"/>
    <w:rsid w:val="00D334B9"/>
    <w:rsid w:val="00D33727"/>
    <w:rsid w:val="00D338E3"/>
    <w:rsid w:val="00D33945"/>
    <w:rsid w:val="00D34F8D"/>
    <w:rsid w:val="00D3683C"/>
    <w:rsid w:val="00D41397"/>
    <w:rsid w:val="00D41480"/>
    <w:rsid w:val="00D43DD4"/>
    <w:rsid w:val="00D44814"/>
    <w:rsid w:val="00D457A2"/>
    <w:rsid w:val="00D4598C"/>
    <w:rsid w:val="00D45BF3"/>
    <w:rsid w:val="00D45CC7"/>
    <w:rsid w:val="00D46791"/>
    <w:rsid w:val="00D47977"/>
    <w:rsid w:val="00D512C4"/>
    <w:rsid w:val="00D522B1"/>
    <w:rsid w:val="00D52FF6"/>
    <w:rsid w:val="00D5356F"/>
    <w:rsid w:val="00D560D5"/>
    <w:rsid w:val="00D56156"/>
    <w:rsid w:val="00D563AB"/>
    <w:rsid w:val="00D56951"/>
    <w:rsid w:val="00D56FDA"/>
    <w:rsid w:val="00D57229"/>
    <w:rsid w:val="00D600BB"/>
    <w:rsid w:val="00D6067E"/>
    <w:rsid w:val="00D60C17"/>
    <w:rsid w:val="00D61997"/>
    <w:rsid w:val="00D6238E"/>
    <w:rsid w:val="00D629FA"/>
    <w:rsid w:val="00D62DDF"/>
    <w:rsid w:val="00D63399"/>
    <w:rsid w:val="00D63EBD"/>
    <w:rsid w:val="00D63EC7"/>
    <w:rsid w:val="00D6425B"/>
    <w:rsid w:val="00D644A2"/>
    <w:rsid w:val="00D64561"/>
    <w:rsid w:val="00D651FF"/>
    <w:rsid w:val="00D6521B"/>
    <w:rsid w:val="00D655AE"/>
    <w:rsid w:val="00D65C2D"/>
    <w:rsid w:val="00D662FA"/>
    <w:rsid w:val="00D664D9"/>
    <w:rsid w:val="00D66A21"/>
    <w:rsid w:val="00D6774F"/>
    <w:rsid w:val="00D67C98"/>
    <w:rsid w:val="00D70799"/>
    <w:rsid w:val="00D719CF"/>
    <w:rsid w:val="00D72212"/>
    <w:rsid w:val="00D74053"/>
    <w:rsid w:val="00D7460F"/>
    <w:rsid w:val="00D746C6"/>
    <w:rsid w:val="00D746D4"/>
    <w:rsid w:val="00D7549D"/>
    <w:rsid w:val="00D76709"/>
    <w:rsid w:val="00D768A1"/>
    <w:rsid w:val="00D80286"/>
    <w:rsid w:val="00D82111"/>
    <w:rsid w:val="00D8293B"/>
    <w:rsid w:val="00D83692"/>
    <w:rsid w:val="00D86624"/>
    <w:rsid w:val="00D867BD"/>
    <w:rsid w:val="00D86B92"/>
    <w:rsid w:val="00D8742B"/>
    <w:rsid w:val="00D874FB"/>
    <w:rsid w:val="00D90143"/>
    <w:rsid w:val="00D90DC9"/>
    <w:rsid w:val="00D910C1"/>
    <w:rsid w:val="00D911E4"/>
    <w:rsid w:val="00D91482"/>
    <w:rsid w:val="00D91537"/>
    <w:rsid w:val="00D91740"/>
    <w:rsid w:val="00D91DF2"/>
    <w:rsid w:val="00D91F53"/>
    <w:rsid w:val="00D92117"/>
    <w:rsid w:val="00D93B4B"/>
    <w:rsid w:val="00D95EBD"/>
    <w:rsid w:val="00D96F03"/>
    <w:rsid w:val="00D9711B"/>
    <w:rsid w:val="00DA338D"/>
    <w:rsid w:val="00DA3914"/>
    <w:rsid w:val="00DA3C67"/>
    <w:rsid w:val="00DA3CBE"/>
    <w:rsid w:val="00DA408B"/>
    <w:rsid w:val="00DA429D"/>
    <w:rsid w:val="00DA553F"/>
    <w:rsid w:val="00DA64DE"/>
    <w:rsid w:val="00DA732B"/>
    <w:rsid w:val="00DA7943"/>
    <w:rsid w:val="00DA7AC7"/>
    <w:rsid w:val="00DB2505"/>
    <w:rsid w:val="00DB2A5A"/>
    <w:rsid w:val="00DB2AD8"/>
    <w:rsid w:val="00DB2CC2"/>
    <w:rsid w:val="00DB2D9C"/>
    <w:rsid w:val="00DB330F"/>
    <w:rsid w:val="00DB491C"/>
    <w:rsid w:val="00DB4C08"/>
    <w:rsid w:val="00DB5ADF"/>
    <w:rsid w:val="00DB6DD3"/>
    <w:rsid w:val="00DB6FF5"/>
    <w:rsid w:val="00DB7502"/>
    <w:rsid w:val="00DC16D1"/>
    <w:rsid w:val="00DC28E6"/>
    <w:rsid w:val="00DC2C36"/>
    <w:rsid w:val="00DC2E6D"/>
    <w:rsid w:val="00DC5CF4"/>
    <w:rsid w:val="00DC7ECC"/>
    <w:rsid w:val="00DD114A"/>
    <w:rsid w:val="00DD13E1"/>
    <w:rsid w:val="00DD1531"/>
    <w:rsid w:val="00DD1DA0"/>
    <w:rsid w:val="00DD1E8A"/>
    <w:rsid w:val="00DD1F22"/>
    <w:rsid w:val="00DD2E34"/>
    <w:rsid w:val="00DD361D"/>
    <w:rsid w:val="00DD4396"/>
    <w:rsid w:val="00DD6890"/>
    <w:rsid w:val="00DD7EBD"/>
    <w:rsid w:val="00DE1935"/>
    <w:rsid w:val="00DE1B04"/>
    <w:rsid w:val="00DE2083"/>
    <w:rsid w:val="00DE347F"/>
    <w:rsid w:val="00DE465B"/>
    <w:rsid w:val="00DF03C4"/>
    <w:rsid w:val="00DF14B0"/>
    <w:rsid w:val="00DF38E5"/>
    <w:rsid w:val="00DF3A7C"/>
    <w:rsid w:val="00DF414D"/>
    <w:rsid w:val="00DF4856"/>
    <w:rsid w:val="00DF4AC8"/>
    <w:rsid w:val="00DF5009"/>
    <w:rsid w:val="00DF63C8"/>
    <w:rsid w:val="00DF6678"/>
    <w:rsid w:val="00DF678D"/>
    <w:rsid w:val="00E0033E"/>
    <w:rsid w:val="00E012AB"/>
    <w:rsid w:val="00E01684"/>
    <w:rsid w:val="00E032F6"/>
    <w:rsid w:val="00E03908"/>
    <w:rsid w:val="00E0441A"/>
    <w:rsid w:val="00E04FB1"/>
    <w:rsid w:val="00E054B2"/>
    <w:rsid w:val="00E05A64"/>
    <w:rsid w:val="00E0676B"/>
    <w:rsid w:val="00E0797A"/>
    <w:rsid w:val="00E07DEE"/>
    <w:rsid w:val="00E116A6"/>
    <w:rsid w:val="00E11CBA"/>
    <w:rsid w:val="00E124A9"/>
    <w:rsid w:val="00E138CE"/>
    <w:rsid w:val="00E13D32"/>
    <w:rsid w:val="00E16B99"/>
    <w:rsid w:val="00E17050"/>
    <w:rsid w:val="00E171A9"/>
    <w:rsid w:val="00E208DA"/>
    <w:rsid w:val="00E20BA9"/>
    <w:rsid w:val="00E21494"/>
    <w:rsid w:val="00E2160E"/>
    <w:rsid w:val="00E21B53"/>
    <w:rsid w:val="00E21DA7"/>
    <w:rsid w:val="00E223BA"/>
    <w:rsid w:val="00E23F2D"/>
    <w:rsid w:val="00E2586B"/>
    <w:rsid w:val="00E25A5A"/>
    <w:rsid w:val="00E301B1"/>
    <w:rsid w:val="00E302AF"/>
    <w:rsid w:val="00E32152"/>
    <w:rsid w:val="00E32E38"/>
    <w:rsid w:val="00E32FF4"/>
    <w:rsid w:val="00E332FA"/>
    <w:rsid w:val="00E3337A"/>
    <w:rsid w:val="00E34777"/>
    <w:rsid w:val="00E34CC6"/>
    <w:rsid w:val="00E34EAE"/>
    <w:rsid w:val="00E35EB9"/>
    <w:rsid w:val="00E36841"/>
    <w:rsid w:val="00E409AF"/>
    <w:rsid w:val="00E41E17"/>
    <w:rsid w:val="00E42474"/>
    <w:rsid w:val="00E42EAD"/>
    <w:rsid w:val="00E4408F"/>
    <w:rsid w:val="00E4428E"/>
    <w:rsid w:val="00E4509B"/>
    <w:rsid w:val="00E45FE9"/>
    <w:rsid w:val="00E4659A"/>
    <w:rsid w:val="00E47298"/>
    <w:rsid w:val="00E501E7"/>
    <w:rsid w:val="00E501FD"/>
    <w:rsid w:val="00E51457"/>
    <w:rsid w:val="00E51E96"/>
    <w:rsid w:val="00E51F3B"/>
    <w:rsid w:val="00E52F0C"/>
    <w:rsid w:val="00E52F85"/>
    <w:rsid w:val="00E53384"/>
    <w:rsid w:val="00E53890"/>
    <w:rsid w:val="00E54895"/>
    <w:rsid w:val="00E57FBF"/>
    <w:rsid w:val="00E60EFE"/>
    <w:rsid w:val="00E61872"/>
    <w:rsid w:val="00E61E6C"/>
    <w:rsid w:val="00E61F90"/>
    <w:rsid w:val="00E63558"/>
    <w:rsid w:val="00E637CC"/>
    <w:rsid w:val="00E63A8E"/>
    <w:rsid w:val="00E63E91"/>
    <w:rsid w:val="00E6552C"/>
    <w:rsid w:val="00E661D3"/>
    <w:rsid w:val="00E6635D"/>
    <w:rsid w:val="00E6667C"/>
    <w:rsid w:val="00E66825"/>
    <w:rsid w:val="00E67522"/>
    <w:rsid w:val="00E67AD8"/>
    <w:rsid w:val="00E67B55"/>
    <w:rsid w:val="00E67D56"/>
    <w:rsid w:val="00E72CF4"/>
    <w:rsid w:val="00E7304A"/>
    <w:rsid w:val="00E74232"/>
    <w:rsid w:val="00E74A56"/>
    <w:rsid w:val="00E754F8"/>
    <w:rsid w:val="00E7578B"/>
    <w:rsid w:val="00E75D04"/>
    <w:rsid w:val="00E761CD"/>
    <w:rsid w:val="00E76B06"/>
    <w:rsid w:val="00E76FF9"/>
    <w:rsid w:val="00E7777B"/>
    <w:rsid w:val="00E807F1"/>
    <w:rsid w:val="00E809A2"/>
    <w:rsid w:val="00E83FD6"/>
    <w:rsid w:val="00E8581B"/>
    <w:rsid w:val="00E861B6"/>
    <w:rsid w:val="00E8754D"/>
    <w:rsid w:val="00E87B9C"/>
    <w:rsid w:val="00E901AF"/>
    <w:rsid w:val="00E9022E"/>
    <w:rsid w:val="00E90C6E"/>
    <w:rsid w:val="00E912ED"/>
    <w:rsid w:val="00E91EBB"/>
    <w:rsid w:val="00E92334"/>
    <w:rsid w:val="00E93812"/>
    <w:rsid w:val="00E93BC8"/>
    <w:rsid w:val="00E93BF2"/>
    <w:rsid w:val="00E942B1"/>
    <w:rsid w:val="00E95C74"/>
    <w:rsid w:val="00E95EE6"/>
    <w:rsid w:val="00E9613D"/>
    <w:rsid w:val="00E96EFE"/>
    <w:rsid w:val="00EA01B9"/>
    <w:rsid w:val="00EA1153"/>
    <w:rsid w:val="00EA2097"/>
    <w:rsid w:val="00EA3D27"/>
    <w:rsid w:val="00EA3EEF"/>
    <w:rsid w:val="00EA4C28"/>
    <w:rsid w:val="00EA5104"/>
    <w:rsid w:val="00EA5375"/>
    <w:rsid w:val="00EA58E4"/>
    <w:rsid w:val="00EA5961"/>
    <w:rsid w:val="00EA59F5"/>
    <w:rsid w:val="00EA668E"/>
    <w:rsid w:val="00EA6D01"/>
    <w:rsid w:val="00EB00EB"/>
    <w:rsid w:val="00EB2190"/>
    <w:rsid w:val="00EB2286"/>
    <w:rsid w:val="00EB23D9"/>
    <w:rsid w:val="00EB35CB"/>
    <w:rsid w:val="00EB3D22"/>
    <w:rsid w:val="00EB413C"/>
    <w:rsid w:val="00EB4385"/>
    <w:rsid w:val="00EB46FC"/>
    <w:rsid w:val="00EB48C9"/>
    <w:rsid w:val="00EB4AA7"/>
    <w:rsid w:val="00EB508F"/>
    <w:rsid w:val="00EB520E"/>
    <w:rsid w:val="00EB5252"/>
    <w:rsid w:val="00EB5EF3"/>
    <w:rsid w:val="00EB74F0"/>
    <w:rsid w:val="00EC0874"/>
    <w:rsid w:val="00EC0A83"/>
    <w:rsid w:val="00EC4CF9"/>
    <w:rsid w:val="00EC57CB"/>
    <w:rsid w:val="00EC58D2"/>
    <w:rsid w:val="00EC6B92"/>
    <w:rsid w:val="00EC6C7B"/>
    <w:rsid w:val="00EC6E69"/>
    <w:rsid w:val="00ED0C95"/>
    <w:rsid w:val="00ED3007"/>
    <w:rsid w:val="00ED3388"/>
    <w:rsid w:val="00ED4091"/>
    <w:rsid w:val="00ED4625"/>
    <w:rsid w:val="00ED5C21"/>
    <w:rsid w:val="00EE029D"/>
    <w:rsid w:val="00EE074F"/>
    <w:rsid w:val="00EE08B7"/>
    <w:rsid w:val="00EE0D73"/>
    <w:rsid w:val="00EE0E98"/>
    <w:rsid w:val="00EE134A"/>
    <w:rsid w:val="00EE1747"/>
    <w:rsid w:val="00EE1DE9"/>
    <w:rsid w:val="00EE261D"/>
    <w:rsid w:val="00EE3552"/>
    <w:rsid w:val="00EE3AA1"/>
    <w:rsid w:val="00EE541E"/>
    <w:rsid w:val="00EE579C"/>
    <w:rsid w:val="00EE6520"/>
    <w:rsid w:val="00EE6604"/>
    <w:rsid w:val="00EE70D6"/>
    <w:rsid w:val="00EF06D6"/>
    <w:rsid w:val="00EF2484"/>
    <w:rsid w:val="00EF2E77"/>
    <w:rsid w:val="00EF3837"/>
    <w:rsid w:val="00EF3C5C"/>
    <w:rsid w:val="00EF4262"/>
    <w:rsid w:val="00EF46F4"/>
    <w:rsid w:val="00EF4DE9"/>
    <w:rsid w:val="00EF5047"/>
    <w:rsid w:val="00EF5E82"/>
    <w:rsid w:val="00EF64AE"/>
    <w:rsid w:val="00EF64D3"/>
    <w:rsid w:val="00EF658D"/>
    <w:rsid w:val="00EF6929"/>
    <w:rsid w:val="00EF7B25"/>
    <w:rsid w:val="00F006B6"/>
    <w:rsid w:val="00F0192A"/>
    <w:rsid w:val="00F01E80"/>
    <w:rsid w:val="00F02CF2"/>
    <w:rsid w:val="00F02E07"/>
    <w:rsid w:val="00F030A1"/>
    <w:rsid w:val="00F034F0"/>
    <w:rsid w:val="00F0362F"/>
    <w:rsid w:val="00F03D38"/>
    <w:rsid w:val="00F04971"/>
    <w:rsid w:val="00F04A29"/>
    <w:rsid w:val="00F05A30"/>
    <w:rsid w:val="00F05CBA"/>
    <w:rsid w:val="00F060D7"/>
    <w:rsid w:val="00F067B7"/>
    <w:rsid w:val="00F075C4"/>
    <w:rsid w:val="00F0761E"/>
    <w:rsid w:val="00F10399"/>
    <w:rsid w:val="00F105BB"/>
    <w:rsid w:val="00F1480E"/>
    <w:rsid w:val="00F14967"/>
    <w:rsid w:val="00F14D97"/>
    <w:rsid w:val="00F16FBF"/>
    <w:rsid w:val="00F17113"/>
    <w:rsid w:val="00F173B4"/>
    <w:rsid w:val="00F17FD4"/>
    <w:rsid w:val="00F20790"/>
    <w:rsid w:val="00F21654"/>
    <w:rsid w:val="00F22AC5"/>
    <w:rsid w:val="00F23DE7"/>
    <w:rsid w:val="00F24139"/>
    <w:rsid w:val="00F2482D"/>
    <w:rsid w:val="00F24B1A"/>
    <w:rsid w:val="00F25678"/>
    <w:rsid w:val="00F26C3D"/>
    <w:rsid w:val="00F26FBF"/>
    <w:rsid w:val="00F277B2"/>
    <w:rsid w:val="00F30585"/>
    <w:rsid w:val="00F31092"/>
    <w:rsid w:val="00F311CC"/>
    <w:rsid w:val="00F3145D"/>
    <w:rsid w:val="00F32726"/>
    <w:rsid w:val="00F32C7C"/>
    <w:rsid w:val="00F33F6D"/>
    <w:rsid w:val="00F3422D"/>
    <w:rsid w:val="00F35364"/>
    <w:rsid w:val="00F372E5"/>
    <w:rsid w:val="00F40222"/>
    <w:rsid w:val="00F40541"/>
    <w:rsid w:val="00F409E5"/>
    <w:rsid w:val="00F41C43"/>
    <w:rsid w:val="00F424D2"/>
    <w:rsid w:val="00F42B86"/>
    <w:rsid w:val="00F434E0"/>
    <w:rsid w:val="00F4379A"/>
    <w:rsid w:val="00F44432"/>
    <w:rsid w:val="00F44922"/>
    <w:rsid w:val="00F4495F"/>
    <w:rsid w:val="00F44C78"/>
    <w:rsid w:val="00F4618B"/>
    <w:rsid w:val="00F46873"/>
    <w:rsid w:val="00F47A76"/>
    <w:rsid w:val="00F50B33"/>
    <w:rsid w:val="00F5264A"/>
    <w:rsid w:val="00F52B08"/>
    <w:rsid w:val="00F53372"/>
    <w:rsid w:val="00F5364C"/>
    <w:rsid w:val="00F54024"/>
    <w:rsid w:val="00F54344"/>
    <w:rsid w:val="00F544DD"/>
    <w:rsid w:val="00F55603"/>
    <w:rsid w:val="00F55A9F"/>
    <w:rsid w:val="00F56A30"/>
    <w:rsid w:val="00F602D9"/>
    <w:rsid w:val="00F60A20"/>
    <w:rsid w:val="00F60C4F"/>
    <w:rsid w:val="00F61F56"/>
    <w:rsid w:val="00F62307"/>
    <w:rsid w:val="00F62638"/>
    <w:rsid w:val="00F62B4A"/>
    <w:rsid w:val="00F62CB0"/>
    <w:rsid w:val="00F63B60"/>
    <w:rsid w:val="00F644F2"/>
    <w:rsid w:val="00F64679"/>
    <w:rsid w:val="00F648E9"/>
    <w:rsid w:val="00F64909"/>
    <w:rsid w:val="00F64CC1"/>
    <w:rsid w:val="00F65155"/>
    <w:rsid w:val="00F66084"/>
    <w:rsid w:val="00F66198"/>
    <w:rsid w:val="00F661A8"/>
    <w:rsid w:val="00F66748"/>
    <w:rsid w:val="00F6699B"/>
    <w:rsid w:val="00F67C20"/>
    <w:rsid w:val="00F70094"/>
    <w:rsid w:val="00F71661"/>
    <w:rsid w:val="00F72F5F"/>
    <w:rsid w:val="00F733D7"/>
    <w:rsid w:val="00F7383D"/>
    <w:rsid w:val="00F7546C"/>
    <w:rsid w:val="00F75C04"/>
    <w:rsid w:val="00F75DD9"/>
    <w:rsid w:val="00F76215"/>
    <w:rsid w:val="00F7689C"/>
    <w:rsid w:val="00F76E59"/>
    <w:rsid w:val="00F775EA"/>
    <w:rsid w:val="00F819AF"/>
    <w:rsid w:val="00F81E67"/>
    <w:rsid w:val="00F82CC1"/>
    <w:rsid w:val="00F82FF1"/>
    <w:rsid w:val="00F8395E"/>
    <w:rsid w:val="00F83AF8"/>
    <w:rsid w:val="00F83EAB"/>
    <w:rsid w:val="00F848D9"/>
    <w:rsid w:val="00F84EE9"/>
    <w:rsid w:val="00F8555C"/>
    <w:rsid w:val="00F86148"/>
    <w:rsid w:val="00F863DF"/>
    <w:rsid w:val="00F86AF8"/>
    <w:rsid w:val="00F86CE2"/>
    <w:rsid w:val="00F90BBE"/>
    <w:rsid w:val="00F90D17"/>
    <w:rsid w:val="00F927FE"/>
    <w:rsid w:val="00F9308C"/>
    <w:rsid w:val="00F933E7"/>
    <w:rsid w:val="00F95189"/>
    <w:rsid w:val="00F96400"/>
    <w:rsid w:val="00F96DEB"/>
    <w:rsid w:val="00FA0FBF"/>
    <w:rsid w:val="00FA1541"/>
    <w:rsid w:val="00FA31EF"/>
    <w:rsid w:val="00FA342E"/>
    <w:rsid w:val="00FA5415"/>
    <w:rsid w:val="00FA5DFC"/>
    <w:rsid w:val="00FA6721"/>
    <w:rsid w:val="00FA691D"/>
    <w:rsid w:val="00FA6BAF"/>
    <w:rsid w:val="00FA70D3"/>
    <w:rsid w:val="00FB028B"/>
    <w:rsid w:val="00FB057F"/>
    <w:rsid w:val="00FB122D"/>
    <w:rsid w:val="00FB16F5"/>
    <w:rsid w:val="00FB2CB8"/>
    <w:rsid w:val="00FB362A"/>
    <w:rsid w:val="00FB3837"/>
    <w:rsid w:val="00FB3C3A"/>
    <w:rsid w:val="00FB4F1F"/>
    <w:rsid w:val="00FB52A1"/>
    <w:rsid w:val="00FB53DD"/>
    <w:rsid w:val="00FB5F59"/>
    <w:rsid w:val="00FB6336"/>
    <w:rsid w:val="00FB645C"/>
    <w:rsid w:val="00FB6490"/>
    <w:rsid w:val="00FB6FE7"/>
    <w:rsid w:val="00FB70C9"/>
    <w:rsid w:val="00FC1B06"/>
    <w:rsid w:val="00FC5351"/>
    <w:rsid w:val="00FC70B1"/>
    <w:rsid w:val="00FD14E7"/>
    <w:rsid w:val="00FD2A40"/>
    <w:rsid w:val="00FD2A6E"/>
    <w:rsid w:val="00FD2C44"/>
    <w:rsid w:val="00FD46C1"/>
    <w:rsid w:val="00FD54A2"/>
    <w:rsid w:val="00FE083E"/>
    <w:rsid w:val="00FE0C82"/>
    <w:rsid w:val="00FE0DA7"/>
    <w:rsid w:val="00FE20B9"/>
    <w:rsid w:val="00FE257E"/>
    <w:rsid w:val="00FE2968"/>
    <w:rsid w:val="00FE3536"/>
    <w:rsid w:val="00FE4110"/>
    <w:rsid w:val="00FE43AF"/>
    <w:rsid w:val="00FE4810"/>
    <w:rsid w:val="00FE498E"/>
    <w:rsid w:val="00FE548C"/>
    <w:rsid w:val="00FE6F4D"/>
    <w:rsid w:val="00FE7279"/>
    <w:rsid w:val="00FE770F"/>
    <w:rsid w:val="00FE78D2"/>
    <w:rsid w:val="00FF134F"/>
    <w:rsid w:val="00FF1425"/>
    <w:rsid w:val="00FF153F"/>
    <w:rsid w:val="00FF25E7"/>
    <w:rsid w:val="00FF2961"/>
    <w:rsid w:val="00FF56A3"/>
    <w:rsid w:val="00FF650E"/>
    <w:rsid w:val="00FF6A16"/>
    <w:rsid w:val="00FF6C4C"/>
    <w:rsid w:val="00FF7171"/>
    <w:rsid w:val="00F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484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uiPriority w:val="99"/>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link w:val="HeaderChar"/>
    <w:uiPriority w:val="99"/>
    <w:rsid w:val="00412BAB"/>
    <w:pPr>
      <w:tabs>
        <w:tab w:val="center" w:pos="4320"/>
        <w:tab w:val="right" w:pos="8640"/>
      </w:tabs>
    </w:pPr>
  </w:style>
  <w:style w:type="character" w:styleId="CommentReference">
    <w:name w:val="annotation reference"/>
    <w:uiPriority w:val="99"/>
    <w:semiHidden/>
    <w:rsid w:val="00E76FF9"/>
    <w:rPr>
      <w:sz w:val="16"/>
      <w:szCs w:val="16"/>
    </w:rPr>
  </w:style>
  <w:style w:type="paragraph" w:styleId="CommentText">
    <w:name w:val="annotation text"/>
    <w:basedOn w:val="Normal"/>
    <w:semiHidden/>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styleId="ListParagraph">
    <w:name w:val="List Paragraph"/>
    <w:basedOn w:val="Normal"/>
    <w:uiPriority w:val="34"/>
    <w:qFormat/>
    <w:rsid w:val="00535B3F"/>
    <w:pPr>
      <w:ind w:left="720"/>
      <w:contextualSpacing/>
    </w:pPr>
  </w:style>
  <w:style w:type="paragraph" w:customStyle="1" w:styleId="Pa1">
    <w:name w:val="Pa1"/>
    <w:basedOn w:val="Default"/>
    <w:next w:val="Default"/>
    <w:uiPriority w:val="99"/>
    <w:rsid w:val="00461044"/>
    <w:pPr>
      <w:adjustRightInd w:val="0"/>
      <w:spacing w:line="241" w:lineRule="atLeast"/>
    </w:pPr>
    <w:rPr>
      <w:rFonts w:ascii="Arial Narrow" w:eastAsia="Times New Roman" w:hAnsi="Arial Narrow" w:cs="Times New Roman"/>
      <w:color w:val="auto"/>
    </w:rPr>
  </w:style>
  <w:style w:type="character" w:customStyle="1" w:styleId="A10">
    <w:name w:val="A10"/>
    <w:uiPriority w:val="99"/>
    <w:rsid w:val="00461044"/>
    <w:rPr>
      <w:rFonts w:cs="Arial Narrow"/>
      <w:color w:val="000000"/>
      <w:sz w:val="16"/>
      <w:szCs w:val="16"/>
    </w:rPr>
  </w:style>
  <w:style w:type="paragraph" w:customStyle="1" w:styleId="RIACoverTitleDate">
    <w:name w:val="RIA Cover Title Date"/>
    <w:basedOn w:val="Normal"/>
    <w:rsid w:val="00C414E3"/>
    <w:pPr>
      <w:widowControl w:val="0"/>
      <w:suppressAutoHyphens/>
      <w:adjustRightInd w:val="0"/>
      <w:spacing w:after="200" w:line="360" w:lineRule="auto"/>
      <w:jc w:val="center"/>
      <w:textAlignment w:val="baseline"/>
    </w:pPr>
    <w:rPr>
      <w:rFonts w:asciiTheme="minorHAnsi" w:eastAsiaTheme="minorHAnsi" w:hAnsiTheme="minorHAnsi" w:cstheme="minorBidi"/>
      <w:b/>
      <w:sz w:val="48"/>
      <w:szCs w:val="44"/>
    </w:rPr>
  </w:style>
  <w:style w:type="paragraph" w:styleId="BodyText">
    <w:name w:val="Body Text"/>
    <w:basedOn w:val="Normal"/>
    <w:link w:val="BodyTextChar"/>
    <w:unhideWhenUsed/>
    <w:rsid w:val="00FA1541"/>
    <w:pPr>
      <w:widowControl w:val="0"/>
      <w:autoSpaceDE w:val="0"/>
      <w:autoSpaceDN w:val="0"/>
      <w:adjustRightInd w:val="0"/>
    </w:pPr>
  </w:style>
  <w:style w:type="character" w:customStyle="1" w:styleId="BodyTextChar">
    <w:name w:val="Body Text Char"/>
    <w:basedOn w:val="DefaultParagraphFont"/>
    <w:link w:val="BodyText"/>
    <w:rsid w:val="00FA1541"/>
    <w:rPr>
      <w:sz w:val="24"/>
      <w:szCs w:val="24"/>
    </w:rPr>
  </w:style>
  <w:style w:type="paragraph" w:styleId="FootnoteText">
    <w:name w:val="footnote text"/>
    <w:basedOn w:val="Normal"/>
    <w:link w:val="FootnoteTextChar"/>
    <w:unhideWhenUsed/>
    <w:rsid w:val="00BD338E"/>
    <w:rPr>
      <w:sz w:val="20"/>
      <w:szCs w:val="20"/>
    </w:rPr>
  </w:style>
  <w:style w:type="character" w:customStyle="1" w:styleId="FootnoteTextChar">
    <w:name w:val="Footnote Text Char"/>
    <w:basedOn w:val="DefaultParagraphFont"/>
    <w:link w:val="FootnoteText"/>
    <w:rsid w:val="00BD338E"/>
  </w:style>
  <w:style w:type="character" w:styleId="FootnoteReference">
    <w:name w:val="footnote reference"/>
    <w:basedOn w:val="DefaultParagraphFont"/>
    <w:uiPriority w:val="99"/>
    <w:semiHidden/>
    <w:unhideWhenUsed/>
    <w:rsid w:val="00BD338E"/>
    <w:rPr>
      <w:vertAlign w:val="superscript"/>
    </w:rPr>
  </w:style>
  <w:style w:type="character" w:customStyle="1" w:styleId="UnresolvedMention1">
    <w:name w:val="Unresolved Mention1"/>
    <w:basedOn w:val="DefaultParagraphFont"/>
    <w:uiPriority w:val="99"/>
    <w:semiHidden/>
    <w:unhideWhenUsed/>
    <w:rsid w:val="00CD3C29"/>
    <w:rPr>
      <w:color w:val="808080"/>
      <w:shd w:val="clear" w:color="auto" w:fill="E6E6E6"/>
    </w:rPr>
  </w:style>
  <w:style w:type="character" w:styleId="FollowedHyperlink">
    <w:name w:val="FollowedHyperlink"/>
    <w:basedOn w:val="DefaultParagraphFont"/>
    <w:semiHidden/>
    <w:unhideWhenUsed/>
    <w:rsid w:val="009A42B0"/>
    <w:rPr>
      <w:color w:val="800080" w:themeColor="followedHyperlink"/>
      <w:u w:val="single"/>
    </w:rPr>
  </w:style>
  <w:style w:type="character" w:styleId="Strong">
    <w:name w:val="Strong"/>
    <w:basedOn w:val="DefaultParagraphFont"/>
    <w:uiPriority w:val="22"/>
    <w:qFormat/>
    <w:rsid w:val="001F67B9"/>
    <w:rPr>
      <w:b/>
      <w:bCs/>
    </w:rPr>
  </w:style>
  <w:style w:type="character" w:styleId="PlaceholderText">
    <w:name w:val="Placeholder Text"/>
    <w:basedOn w:val="DefaultParagraphFont"/>
    <w:uiPriority w:val="99"/>
    <w:semiHidden/>
    <w:rsid w:val="00B47D50"/>
    <w:rPr>
      <w:color w:val="808080"/>
    </w:rPr>
  </w:style>
  <w:style w:type="character" w:customStyle="1" w:styleId="FooterChar">
    <w:name w:val="Footer Char"/>
    <w:basedOn w:val="DefaultParagraphFont"/>
    <w:link w:val="Footer"/>
    <w:uiPriority w:val="99"/>
    <w:rsid w:val="00E61E6C"/>
    <w:rPr>
      <w:sz w:val="24"/>
      <w:szCs w:val="24"/>
    </w:rPr>
  </w:style>
  <w:style w:type="character" w:customStyle="1" w:styleId="UnresolvedMention2">
    <w:name w:val="Unresolved Mention2"/>
    <w:basedOn w:val="DefaultParagraphFont"/>
    <w:uiPriority w:val="99"/>
    <w:semiHidden/>
    <w:unhideWhenUsed/>
    <w:rsid w:val="00BF58E1"/>
    <w:rPr>
      <w:color w:val="808080"/>
      <w:shd w:val="clear" w:color="auto" w:fill="E6E6E6"/>
    </w:rPr>
  </w:style>
  <w:style w:type="paragraph" w:customStyle="1" w:styleId="MC-PREBodyText">
    <w:name w:val="MC-PRE Body Text"/>
    <w:basedOn w:val="Normal"/>
    <w:qFormat/>
    <w:rsid w:val="00982CD5"/>
  </w:style>
  <w:style w:type="character" w:customStyle="1" w:styleId="HeaderChar">
    <w:name w:val="Header Char"/>
    <w:basedOn w:val="DefaultParagraphFont"/>
    <w:link w:val="Header"/>
    <w:uiPriority w:val="99"/>
    <w:rsid w:val="00D13D2C"/>
    <w:rPr>
      <w:sz w:val="24"/>
      <w:szCs w:val="24"/>
    </w:rPr>
  </w:style>
  <w:style w:type="character" w:customStyle="1" w:styleId="UnresolvedMention3">
    <w:name w:val="Unresolved Mention3"/>
    <w:basedOn w:val="DefaultParagraphFont"/>
    <w:uiPriority w:val="99"/>
    <w:semiHidden/>
    <w:unhideWhenUsed/>
    <w:rsid w:val="00E5389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uiPriority w:val="99"/>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link w:val="HeaderChar"/>
    <w:uiPriority w:val="99"/>
    <w:rsid w:val="00412BAB"/>
    <w:pPr>
      <w:tabs>
        <w:tab w:val="center" w:pos="4320"/>
        <w:tab w:val="right" w:pos="8640"/>
      </w:tabs>
    </w:pPr>
  </w:style>
  <w:style w:type="character" w:styleId="CommentReference">
    <w:name w:val="annotation reference"/>
    <w:uiPriority w:val="99"/>
    <w:semiHidden/>
    <w:rsid w:val="00E76FF9"/>
    <w:rPr>
      <w:sz w:val="16"/>
      <w:szCs w:val="16"/>
    </w:rPr>
  </w:style>
  <w:style w:type="paragraph" w:styleId="CommentText">
    <w:name w:val="annotation text"/>
    <w:basedOn w:val="Normal"/>
    <w:semiHidden/>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styleId="ListParagraph">
    <w:name w:val="List Paragraph"/>
    <w:basedOn w:val="Normal"/>
    <w:uiPriority w:val="34"/>
    <w:qFormat/>
    <w:rsid w:val="00535B3F"/>
    <w:pPr>
      <w:ind w:left="720"/>
      <w:contextualSpacing/>
    </w:pPr>
  </w:style>
  <w:style w:type="paragraph" w:customStyle="1" w:styleId="Pa1">
    <w:name w:val="Pa1"/>
    <w:basedOn w:val="Default"/>
    <w:next w:val="Default"/>
    <w:uiPriority w:val="99"/>
    <w:rsid w:val="00461044"/>
    <w:pPr>
      <w:adjustRightInd w:val="0"/>
      <w:spacing w:line="241" w:lineRule="atLeast"/>
    </w:pPr>
    <w:rPr>
      <w:rFonts w:ascii="Arial Narrow" w:eastAsia="Times New Roman" w:hAnsi="Arial Narrow" w:cs="Times New Roman"/>
      <w:color w:val="auto"/>
    </w:rPr>
  </w:style>
  <w:style w:type="character" w:customStyle="1" w:styleId="A10">
    <w:name w:val="A10"/>
    <w:uiPriority w:val="99"/>
    <w:rsid w:val="00461044"/>
    <w:rPr>
      <w:rFonts w:cs="Arial Narrow"/>
      <w:color w:val="000000"/>
      <w:sz w:val="16"/>
      <w:szCs w:val="16"/>
    </w:rPr>
  </w:style>
  <w:style w:type="paragraph" w:customStyle="1" w:styleId="RIACoverTitleDate">
    <w:name w:val="RIA Cover Title Date"/>
    <w:basedOn w:val="Normal"/>
    <w:rsid w:val="00C414E3"/>
    <w:pPr>
      <w:widowControl w:val="0"/>
      <w:suppressAutoHyphens/>
      <w:adjustRightInd w:val="0"/>
      <w:spacing w:after="200" w:line="360" w:lineRule="auto"/>
      <w:jc w:val="center"/>
      <w:textAlignment w:val="baseline"/>
    </w:pPr>
    <w:rPr>
      <w:rFonts w:asciiTheme="minorHAnsi" w:eastAsiaTheme="minorHAnsi" w:hAnsiTheme="minorHAnsi" w:cstheme="minorBidi"/>
      <w:b/>
      <w:sz w:val="48"/>
      <w:szCs w:val="44"/>
    </w:rPr>
  </w:style>
  <w:style w:type="paragraph" w:styleId="BodyText">
    <w:name w:val="Body Text"/>
    <w:basedOn w:val="Normal"/>
    <w:link w:val="BodyTextChar"/>
    <w:unhideWhenUsed/>
    <w:rsid w:val="00FA1541"/>
    <w:pPr>
      <w:widowControl w:val="0"/>
      <w:autoSpaceDE w:val="0"/>
      <w:autoSpaceDN w:val="0"/>
      <w:adjustRightInd w:val="0"/>
    </w:pPr>
  </w:style>
  <w:style w:type="character" w:customStyle="1" w:styleId="BodyTextChar">
    <w:name w:val="Body Text Char"/>
    <w:basedOn w:val="DefaultParagraphFont"/>
    <w:link w:val="BodyText"/>
    <w:rsid w:val="00FA1541"/>
    <w:rPr>
      <w:sz w:val="24"/>
      <w:szCs w:val="24"/>
    </w:rPr>
  </w:style>
  <w:style w:type="paragraph" w:styleId="FootnoteText">
    <w:name w:val="footnote text"/>
    <w:basedOn w:val="Normal"/>
    <w:link w:val="FootnoteTextChar"/>
    <w:unhideWhenUsed/>
    <w:rsid w:val="00BD338E"/>
    <w:rPr>
      <w:sz w:val="20"/>
      <w:szCs w:val="20"/>
    </w:rPr>
  </w:style>
  <w:style w:type="character" w:customStyle="1" w:styleId="FootnoteTextChar">
    <w:name w:val="Footnote Text Char"/>
    <w:basedOn w:val="DefaultParagraphFont"/>
    <w:link w:val="FootnoteText"/>
    <w:rsid w:val="00BD338E"/>
  </w:style>
  <w:style w:type="character" w:styleId="FootnoteReference">
    <w:name w:val="footnote reference"/>
    <w:basedOn w:val="DefaultParagraphFont"/>
    <w:uiPriority w:val="99"/>
    <w:semiHidden/>
    <w:unhideWhenUsed/>
    <w:rsid w:val="00BD338E"/>
    <w:rPr>
      <w:vertAlign w:val="superscript"/>
    </w:rPr>
  </w:style>
  <w:style w:type="character" w:customStyle="1" w:styleId="UnresolvedMention1">
    <w:name w:val="Unresolved Mention1"/>
    <w:basedOn w:val="DefaultParagraphFont"/>
    <w:uiPriority w:val="99"/>
    <w:semiHidden/>
    <w:unhideWhenUsed/>
    <w:rsid w:val="00CD3C29"/>
    <w:rPr>
      <w:color w:val="808080"/>
      <w:shd w:val="clear" w:color="auto" w:fill="E6E6E6"/>
    </w:rPr>
  </w:style>
  <w:style w:type="character" w:styleId="FollowedHyperlink">
    <w:name w:val="FollowedHyperlink"/>
    <w:basedOn w:val="DefaultParagraphFont"/>
    <w:semiHidden/>
    <w:unhideWhenUsed/>
    <w:rsid w:val="009A42B0"/>
    <w:rPr>
      <w:color w:val="800080" w:themeColor="followedHyperlink"/>
      <w:u w:val="single"/>
    </w:rPr>
  </w:style>
  <w:style w:type="character" w:styleId="Strong">
    <w:name w:val="Strong"/>
    <w:basedOn w:val="DefaultParagraphFont"/>
    <w:uiPriority w:val="22"/>
    <w:qFormat/>
    <w:rsid w:val="001F67B9"/>
    <w:rPr>
      <w:b/>
      <w:bCs/>
    </w:rPr>
  </w:style>
  <w:style w:type="character" w:styleId="PlaceholderText">
    <w:name w:val="Placeholder Text"/>
    <w:basedOn w:val="DefaultParagraphFont"/>
    <w:uiPriority w:val="99"/>
    <w:semiHidden/>
    <w:rsid w:val="00B47D50"/>
    <w:rPr>
      <w:color w:val="808080"/>
    </w:rPr>
  </w:style>
  <w:style w:type="character" w:customStyle="1" w:styleId="FooterChar">
    <w:name w:val="Footer Char"/>
    <w:basedOn w:val="DefaultParagraphFont"/>
    <w:link w:val="Footer"/>
    <w:uiPriority w:val="99"/>
    <w:rsid w:val="00E61E6C"/>
    <w:rPr>
      <w:sz w:val="24"/>
      <w:szCs w:val="24"/>
    </w:rPr>
  </w:style>
  <w:style w:type="character" w:customStyle="1" w:styleId="UnresolvedMention2">
    <w:name w:val="Unresolved Mention2"/>
    <w:basedOn w:val="DefaultParagraphFont"/>
    <w:uiPriority w:val="99"/>
    <w:semiHidden/>
    <w:unhideWhenUsed/>
    <w:rsid w:val="00BF58E1"/>
    <w:rPr>
      <w:color w:val="808080"/>
      <w:shd w:val="clear" w:color="auto" w:fill="E6E6E6"/>
    </w:rPr>
  </w:style>
  <w:style w:type="paragraph" w:customStyle="1" w:styleId="MC-PREBodyText">
    <w:name w:val="MC-PRE Body Text"/>
    <w:basedOn w:val="Normal"/>
    <w:qFormat/>
    <w:rsid w:val="00982CD5"/>
  </w:style>
  <w:style w:type="character" w:customStyle="1" w:styleId="HeaderChar">
    <w:name w:val="Header Char"/>
    <w:basedOn w:val="DefaultParagraphFont"/>
    <w:link w:val="Header"/>
    <w:uiPriority w:val="99"/>
    <w:rsid w:val="00D13D2C"/>
    <w:rPr>
      <w:sz w:val="24"/>
      <w:szCs w:val="24"/>
    </w:rPr>
  </w:style>
  <w:style w:type="character" w:customStyle="1" w:styleId="UnresolvedMention3">
    <w:name w:val="Unresolved Mention3"/>
    <w:basedOn w:val="DefaultParagraphFont"/>
    <w:uiPriority w:val="99"/>
    <w:semiHidden/>
    <w:unhideWhenUsed/>
    <w:rsid w:val="00E538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6230">
      <w:bodyDiv w:val="1"/>
      <w:marLeft w:val="0"/>
      <w:marRight w:val="0"/>
      <w:marTop w:val="0"/>
      <w:marBottom w:val="0"/>
      <w:divBdr>
        <w:top w:val="none" w:sz="0" w:space="0" w:color="auto"/>
        <w:left w:val="none" w:sz="0" w:space="0" w:color="auto"/>
        <w:bottom w:val="none" w:sz="0" w:space="0" w:color="auto"/>
        <w:right w:val="none" w:sz="0" w:space="0" w:color="auto"/>
      </w:divBdr>
    </w:div>
    <w:div w:id="97145985">
      <w:bodyDiv w:val="1"/>
      <w:marLeft w:val="0"/>
      <w:marRight w:val="0"/>
      <w:marTop w:val="0"/>
      <w:marBottom w:val="0"/>
      <w:divBdr>
        <w:top w:val="none" w:sz="0" w:space="0" w:color="auto"/>
        <w:left w:val="none" w:sz="0" w:space="0" w:color="auto"/>
        <w:bottom w:val="none" w:sz="0" w:space="0" w:color="auto"/>
        <w:right w:val="none" w:sz="0" w:space="0" w:color="auto"/>
      </w:divBdr>
    </w:div>
    <w:div w:id="180898582">
      <w:bodyDiv w:val="1"/>
      <w:marLeft w:val="0"/>
      <w:marRight w:val="0"/>
      <w:marTop w:val="0"/>
      <w:marBottom w:val="0"/>
      <w:divBdr>
        <w:top w:val="none" w:sz="0" w:space="0" w:color="auto"/>
        <w:left w:val="none" w:sz="0" w:space="0" w:color="auto"/>
        <w:bottom w:val="none" w:sz="0" w:space="0" w:color="auto"/>
        <w:right w:val="none" w:sz="0" w:space="0" w:color="auto"/>
      </w:divBdr>
    </w:div>
    <w:div w:id="202987748">
      <w:bodyDiv w:val="1"/>
      <w:marLeft w:val="0"/>
      <w:marRight w:val="0"/>
      <w:marTop w:val="0"/>
      <w:marBottom w:val="0"/>
      <w:divBdr>
        <w:top w:val="none" w:sz="0" w:space="0" w:color="auto"/>
        <w:left w:val="none" w:sz="0" w:space="0" w:color="auto"/>
        <w:bottom w:val="none" w:sz="0" w:space="0" w:color="auto"/>
        <w:right w:val="none" w:sz="0" w:space="0" w:color="auto"/>
      </w:divBdr>
    </w:div>
    <w:div w:id="212469426">
      <w:bodyDiv w:val="1"/>
      <w:marLeft w:val="0"/>
      <w:marRight w:val="0"/>
      <w:marTop w:val="0"/>
      <w:marBottom w:val="0"/>
      <w:divBdr>
        <w:top w:val="none" w:sz="0" w:space="0" w:color="auto"/>
        <w:left w:val="none" w:sz="0" w:space="0" w:color="auto"/>
        <w:bottom w:val="none" w:sz="0" w:space="0" w:color="auto"/>
        <w:right w:val="none" w:sz="0" w:space="0" w:color="auto"/>
      </w:divBdr>
    </w:div>
    <w:div w:id="228539349">
      <w:bodyDiv w:val="1"/>
      <w:marLeft w:val="0"/>
      <w:marRight w:val="0"/>
      <w:marTop w:val="0"/>
      <w:marBottom w:val="0"/>
      <w:divBdr>
        <w:top w:val="none" w:sz="0" w:space="0" w:color="auto"/>
        <w:left w:val="none" w:sz="0" w:space="0" w:color="auto"/>
        <w:bottom w:val="none" w:sz="0" w:space="0" w:color="auto"/>
        <w:right w:val="none" w:sz="0" w:space="0" w:color="auto"/>
      </w:divBdr>
    </w:div>
    <w:div w:id="234052362">
      <w:bodyDiv w:val="1"/>
      <w:marLeft w:val="0"/>
      <w:marRight w:val="0"/>
      <w:marTop w:val="0"/>
      <w:marBottom w:val="0"/>
      <w:divBdr>
        <w:top w:val="none" w:sz="0" w:space="0" w:color="auto"/>
        <w:left w:val="none" w:sz="0" w:space="0" w:color="auto"/>
        <w:bottom w:val="none" w:sz="0" w:space="0" w:color="auto"/>
        <w:right w:val="none" w:sz="0" w:space="0" w:color="auto"/>
      </w:divBdr>
    </w:div>
    <w:div w:id="252055881">
      <w:bodyDiv w:val="1"/>
      <w:marLeft w:val="0"/>
      <w:marRight w:val="0"/>
      <w:marTop w:val="0"/>
      <w:marBottom w:val="0"/>
      <w:divBdr>
        <w:top w:val="none" w:sz="0" w:space="0" w:color="auto"/>
        <w:left w:val="none" w:sz="0" w:space="0" w:color="auto"/>
        <w:bottom w:val="none" w:sz="0" w:space="0" w:color="auto"/>
        <w:right w:val="none" w:sz="0" w:space="0" w:color="auto"/>
      </w:divBdr>
    </w:div>
    <w:div w:id="252860996">
      <w:bodyDiv w:val="1"/>
      <w:marLeft w:val="0"/>
      <w:marRight w:val="0"/>
      <w:marTop w:val="0"/>
      <w:marBottom w:val="0"/>
      <w:divBdr>
        <w:top w:val="none" w:sz="0" w:space="0" w:color="auto"/>
        <w:left w:val="none" w:sz="0" w:space="0" w:color="auto"/>
        <w:bottom w:val="none" w:sz="0" w:space="0" w:color="auto"/>
        <w:right w:val="none" w:sz="0" w:space="0" w:color="auto"/>
      </w:divBdr>
    </w:div>
    <w:div w:id="264314038">
      <w:bodyDiv w:val="1"/>
      <w:marLeft w:val="0"/>
      <w:marRight w:val="0"/>
      <w:marTop w:val="0"/>
      <w:marBottom w:val="0"/>
      <w:divBdr>
        <w:top w:val="none" w:sz="0" w:space="0" w:color="auto"/>
        <w:left w:val="none" w:sz="0" w:space="0" w:color="auto"/>
        <w:bottom w:val="none" w:sz="0" w:space="0" w:color="auto"/>
        <w:right w:val="none" w:sz="0" w:space="0" w:color="auto"/>
      </w:divBdr>
    </w:div>
    <w:div w:id="267468995">
      <w:bodyDiv w:val="1"/>
      <w:marLeft w:val="0"/>
      <w:marRight w:val="0"/>
      <w:marTop w:val="0"/>
      <w:marBottom w:val="0"/>
      <w:divBdr>
        <w:top w:val="none" w:sz="0" w:space="0" w:color="auto"/>
        <w:left w:val="none" w:sz="0" w:space="0" w:color="auto"/>
        <w:bottom w:val="none" w:sz="0" w:space="0" w:color="auto"/>
        <w:right w:val="none" w:sz="0" w:space="0" w:color="auto"/>
      </w:divBdr>
    </w:div>
    <w:div w:id="317736502">
      <w:bodyDiv w:val="1"/>
      <w:marLeft w:val="0"/>
      <w:marRight w:val="0"/>
      <w:marTop w:val="0"/>
      <w:marBottom w:val="0"/>
      <w:divBdr>
        <w:top w:val="none" w:sz="0" w:space="0" w:color="auto"/>
        <w:left w:val="none" w:sz="0" w:space="0" w:color="auto"/>
        <w:bottom w:val="none" w:sz="0" w:space="0" w:color="auto"/>
        <w:right w:val="none" w:sz="0" w:space="0" w:color="auto"/>
      </w:divBdr>
    </w:div>
    <w:div w:id="326635112">
      <w:bodyDiv w:val="1"/>
      <w:marLeft w:val="0"/>
      <w:marRight w:val="0"/>
      <w:marTop w:val="0"/>
      <w:marBottom w:val="0"/>
      <w:divBdr>
        <w:top w:val="none" w:sz="0" w:space="0" w:color="auto"/>
        <w:left w:val="none" w:sz="0" w:space="0" w:color="auto"/>
        <w:bottom w:val="none" w:sz="0" w:space="0" w:color="auto"/>
        <w:right w:val="none" w:sz="0" w:space="0" w:color="auto"/>
      </w:divBdr>
    </w:div>
    <w:div w:id="357199997">
      <w:bodyDiv w:val="1"/>
      <w:marLeft w:val="0"/>
      <w:marRight w:val="0"/>
      <w:marTop w:val="0"/>
      <w:marBottom w:val="0"/>
      <w:divBdr>
        <w:top w:val="none" w:sz="0" w:space="0" w:color="auto"/>
        <w:left w:val="none" w:sz="0" w:space="0" w:color="auto"/>
        <w:bottom w:val="none" w:sz="0" w:space="0" w:color="auto"/>
        <w:right w:val="none" w:sz="0" w:space="0" w:color="auto"/>
      </w:divBdr>
    </w:div>
    <w:div w:id="373189469">
      <w:bodyDiv w:val="1"/>
      <w:marLeft w:val="0"/>
      <w:marRight w:val="0"/>
      <w:marTop w:val="0"/>
      <w:marBottom w:val="0"/>
      <w:divBdr>
        <w:top w:val="none" w:sz="0" w:space="0" w:color="auto"/>
        <w:left w:val="none" w:sz="0" w:space="0" w:color="auto"/>
        <w:bottom w:val="none" w:sz="0" w:space="0" w:color="auto"/>
        <w:right w:val="none" w:sz="0" w:space="0" w:color="auto"/>
      </w:divBdr>
    </w:div>
    <w:div w:id="387611485">
      <w:bodyDiv w:val="1"/>
      <w:marLeft w:val="0"/>
      <w:marRight w:val="0"/>
      <w:marTop w:val="0"/>
      <w:marBottom w:val="0"/>
      <w:divBdr>
        <w:top w:val="none" w:sz="0" w:space="0" w:color="auto"/>
        <w:left w:val="none" w:sz="0" w:space="0" w:color="auto"/>
        <w:bottom w:val="none" w:sz="0" w:space="0" w:color="auto"/>
        <w:right w:val="none" w:sz="0" w:space="0" w:color="auto"/>
      </w:divBdr>
    </w:div>
    <w:div w:id="398943879">
      <w:bodyDiv w:val="1"/>
      <w:marLeft w:val="0"/>
      <w:marRight w:val="0"/>
      <w:marTop w:val="0"/>
      <w:marBottom w:val="0"/>
      <w:divBdr>
        <w:top w:val="none" w:sz="0" w:space="0" w:color="auto"/>
        <w:left w:val="none" w:sz="0" w:space="0" w:color="auto"/>
        <w:bottom w:val="none" w:sz="0" w:space="0" w:color="auto"/>
        <w:right w:val="none" w:sz="0" w:space="0" w:color="auto"/>
      </w:divBdr>
    </w:div>
    <w:div w:id="508060870">
      <w:bodyDiv w:val="1"/>
      <w:marLeft w:val="0"/>
      <w:marRight w:val="0"/>
      <w:marTop w:val="0"/>
      <w:marBottom w:val="0"/>
      <w:divBdr>
        <w:top w:val="none" w:sz="0" w:space="0" w:color="auto"/>
        <w:left w:val="none" w:sz="0" w:space="0" w:color="auto"/>
        <w:bottom w:val="none" w:sz="0" w:space="0" w:color="auto"/>
        <w:right w:val="none" w:sz="0" w:space="0" w:color="auto"/>
      </w:divBdr>
    </w:div>
    <w:div w:id="564418289">
      <w:bodyDiv w:val="1"/>
      <w:marLeft w:val="0"/>
      <w:marRight w:val="0"/>
      <w:marTop w:val="0"/>
      <w:marBottom w:val="0"/>
      <w:divBdr>
        <w:top w:val="none" w:sz="0" w:space="0" w:color="auto"/>
        <w:left w:val="none" w:sz="0" w:space="0" w:color="auto"/>
        <w:bottom w:val="none" w:sz="0" w:space="0" w:color="auto"/>
        <w:right w:val="none" w:sz="0" w:space="0" w:color="auto"/>
      </w:divBdr>
    </w:div>
    <w:div w:id="566764699">
      <w:bodyDiv w:val="1"/>
      <w:marLeft w:val="0"/>
      <w:marRight w:val="0"/>
      <w:marTop w:val="0"/>
      <w:marBottom w:val="0"/>
      <w:divBdr>
        <w:top w:val="none" w:sz="0" w:space="0" w:color="auto"/>
        <w:left w:val="none" w:sz="0" w:space="0" w:color="auto"/>
        <w:bottom w:val="none" w:sz="0" w:space="0" w:color="auto"/>
        <w:right w:val="none" w:sz="0" w:space="0" w:color="auto"/>
      </w:divBdr>
    </w:div>
    <w:div w:id="620234589">
      <w:bodyDiv w:val="1"/>
      <w:marLeft w:val="0"/>
      <w:marRight w:val="0"/>
      <w:marTop w:val="0"/>
      <w:marBottom w:val="0"/>
      <w:divBdr>
        <w:top w:val="none" w:sz="0" w:space="0" w:color="auto"/>
        <w:left w:val="none" w:sz="0" w:space="0" w:color="auto"/>
        <w:bottom w:val="none" w:sz="0" w:space="0" w:color="auto"/>
        <w:right w:val="none" w:sz="0" w:space="0" w:color="auto"/>
      </w:divBdr>
    </w:div>
    <w:div w:id="633602637">
      <w:bodyDiv w:val="1"/>
      <w:marLeft w:val="0"/>
      <w:marRight w:val="0"/>
      <w:marTop w:val="0"/>
      <w:marBottom w:val="0"/>
      <w:divBdr>
        <w:top w:val="none" w:sz="0" w:space="0" w:color="auto"/>
        <w:left w:val="none" w:sz="0" w:space="0" w:color="auto"/>
        <w:bottom w:val="none" w:sz="0" w:space="0" w:color="auto"/>
        <w:right w:val="none" w:sz="0" w:space="0" w:color="auto"/>
      </w:divBdr>
    </w:div>
    <w:div w:id="676465498">
      <w:bodyDiv w:val="1"/>
      <w:marLeft w:val="0"/>
      <w:marRight w:val="0"/>
      <w:marTop w:val="0"/>
      <w:marBottom w:val="0"/>
      <w:divBdr>
        <w:top w:val="none" w:sz="0" w:space="0" w:color="auto"/>
        <w:left w:val="none" w:sz="0" w:space="0" w:color="auto"/>
        <w:bottom w:val="none" w:sz="0" w:space="0" w:color="auto"/>
        <w:right w:val="none" w:sz="0" w:space="0" w:color="auto"/>
      </w:divBdr>
    </w:div>
    <w:div w:id="679165598">
      <w:bodyDiv w:val="1"/>
      <w:marLeft w:val="0"/>
      <w:marRight w:val="0"/>
      <w:marTop w:val="0"/>
      <w:marBottom w:val="0"/>
      <w:divBdr>
        <w:top w:val="none" w:sz="0" w:space="0" w:color="auto"/>
        <w:left w:val="none" w:sz="0" w:space="0" w:color="auto"/>
        <w:bottom w:val="none" w:sz="0" w:space="0" w:color="auto"/>
        <w:right w:val="none" w:sz="0" w:space="0" w:color="auto"/>
      </w:divBdr>
    </w:div>
    <w:div w:id="682322997">
      <w:bodyDiv w:val="1"/>
      <w:marLeft w:val="0"/>
      <w:marRight w:val="0"/>
      <w:marTop w:val="0"/>
      <w:marBottom w:val="0"/>
      <w:divBdr>
        <w:top w:val="none" w:sz="0" w:space="0" w:color="auto"/>
        <w:left w:val="none" w:sz="0" w:space="0" w:color="auto"/>
        <w:bottom w:val="none" w:sz="0" w:space="0" w:color="auto"/>
        <w:right w:val="none" w:sz="0" w:space="0" w:color="auto"/>
      </w:divBdr>
    </w:div>
    <w:div w:id="685253737">
      <w:bodyDiv w:val="1"/>
      <w:marLeft w:val="0"/>
      <w:marRight w:val="0"/>
      <w:marTop w:val="0"/>
      <w:marBottom w:val="0"/>
      <w:divBdr>
        <w:top w:val="none" w:sz="0" w:space="0" w:color="auto"/>
        <w:left w:val="none" w:sz="0" w:space="0" w:color="auto"/>
        <w:bottom w:val="none" w:sz="0" w:space="0" w:color="auto"/>
        <w:right w:val="none" w:sz="0" w:space="0" w:color="auto"/>
      </w:divBdr>
    </w:div>
    <w:div w:id="703334467">
      <w:bodyDiv w:val="1"/>
      <w:marLeft w:val="0"/>
      <w:marRight w:val="0"/>
      <w:marTop w:val="0"/>
      <w:marBottom w:val="0"/>
      <w:divBdr>
        <w:top w:val="none" w:sz="0" w:space="0" w:color="auto"/>
        <w:left w:val="none" w:sz="0" w:space="0" w:color="auto"/>
        <w:bottom w:val="none" w:sz="0" w:space="0" w:color="auto"/>
        <w:right w:val="none" w:sz="0" w:space="0" w:color="auto"/>
      </w:divBdr>
    </w:div>
    <w:div w:id="720447804">
      <w:bodyDiv w:val="1"/>
      <w:marLeft w:val="0"/>
      <w:marRight w:val="0"/>
      <w:marTop w:val="0"/>
      <w:marBottom w:val="0"/>
      <w:divBdr>
        <w:top w:val="none" w:sz="0" w:space="0" w:color="auto"/>
        <w:left w:val="none" w:sz="0" w:space="0" w:color="auto"/>
        <w:bottom w:val="none" w:sz="0" w:space="0" w:color="auto"/>
        <w:right w:val="none" w:sz="0" w:space="0" w:color="auto"/>
      </w:divBdr>
    </w:div>
    <w:div w:id="744759794">
      <w:bodyDiv w:val="1"/>
      <w:marLeft w:val="0"/>
      <w:marRight w:val="0"/>
      <w:marTop w:val="0"/>
      <w:marBottom w:val="0"/>
      <w:divBdr>
        <w:top w:val="none" w:sz="0" w:space="0" w:color="auto"/>
        <w:left w:val="none" w:sz="0" w:space="0" w:color="auto"/>
        <w:bottom w:val="none" w:sz="0" w:space="0" w:color="auto"/>
        <w:right w:val="none" w:sz="0" w:space="0" w:color="auto"/>
      </w:divBdr>
    </w:div>
    <w:div w:id="807167887">
      <w:bodyDiv w:val="1"/>
      <w:marLeft w:val="0"/>
      <w:marRight w:val="0"/>
      <w:marTop w:val="0"/>
      <w:marBottom w:val="0"/>
      <w:divBdr>
        <w:top w:val="none" w:sz="0" w:space="0" w:color="auto"/>
        <w:left w:val="none" w:sz="0" w:space="0" w:color="auto"/>
        <w:bottom w:val="none" w:sz="0" w:space="0" w:color="auto"/>
        <w:right w:val="none" w:sz="0" w:space="0" w:color="auto"/>
      </w:divBdr>
    </w:div>
    <w:div w:id="812987155">
      <w:bodyDiv w:val="1"/>
      <w:marLeft w:val="0"/>
      <w:marRight w:val="0"/>
      <w:marTop w:val="0"/>
      <w:marBottom w:val="0"/>
      <w:divBdr>
        <w:top w:val="none" w:sz="0" w:space="0" w:color="auto"/>
        <w:left w:val="none" w:sz="0" w:space="0" w:color="auto"/>
        <w:bottom w:val="none" w:sz="0" w:space="0" w:color="auto"/>
        <w:right w:val="none" w:sz="0" w:space="0" w:color="auto"/>
      </w:divBdr>
    </w:div>
    <w:div w:id="827672045">
      <w:bodyDiv w:val="1"/>
      <w:marLeft w:val="0"/>
      <w:marRight w:val="0"/>
      <w:marTop w:val="0"/>
      <w:marBottom w:val="0"/>
      <w:divBdr>
        <w:top w:val="none" w:sz="0" w:space="0" w:color="auto"/>
        <w:left w:val="none" w:sz="0" w:space="0" w:color="auto"/>
        <w:bottom w:val="none" w:sz="0" w:space="0" w:color="auto"/>
        <w:right w:val="none" w:sz="0" w:space="0" w:color="auto"/>
      </w:divBdr>
    </w:div>
    <w:div w:id="833033188">
      <w:bodyDiv w:val="1"/>
      <w:marLeft w:val="0"/>
      <w:marRight w:val="0"/>
      <w:marTop w:val="0"/>
      <w:marBottom w:val="0"/>
      <w:divBdr>
        <w:top w:val="none" w:sz="0" w:space="0" w:color="auto"/>
        <w:left w:val="none" w:sz="0" w:space="0" w:color="auto"/>
        <w:bottom w:val="none" w:sz="0" w:space="0" w:color="auto"/>
        <w:right w:val="none" w:sz="0" w:space="0" w:color="auto"/>
      </w:divBdr>
    </w:div>
    <w:div w:id="892428577">
      <w:bodyDiv w:val="1"/>
      <w:marLeft w:val="0"/>
      <w:marRight w:val="0"/>
      <w:marTop w:val="0"/>
      <w:marBottom w:val="0"/>
      <w:divBdr>
        <w:top w:val="none" w:sz="0" w:space="0" w:color="auto"/>
        <w:left w:val="none" w:sz="0" w:space="0" w:color="auto"/>
        <w:bottom w:val="none" w:sz="0" w:space="0" w:color="auto"/>
        <w:right w:val="none" w:sz="0" w:space="0" w:color="auto"/>
      </w:divBdr>
    </w:div>
    <w:div w:id="907805158">
      <w:bodyDiv w:val="1"/>
      <w:marLeft w:val="0"/>
      <w:marRight w:val="0"/>
      <w:marTop w:val="0"/>
      <w:marBottom w:val="0"/>
      <w:divBdr>
        <w:top w:val="none" w:sz="0" w:space="0" w:color="auto"/>
        <w:left w:val="none" w:sz="0" w:space="0" w:color="auto"/>
        <w:bottom w:val="none" w:sz="0" w:space="0" w:color="auto"/>
        <w:right w:val="none" w:sz="0" w:space="0" w:color="auto"/>
      </w:divBdr>
    </w:div>
    <w:div w:id="911698052">
      <w:bodyDiv w:val="1"/>
      <w:marLeft w:val="0"/>
      <w:marRight w:val="0"/>
      <w:marTop w:val="0"/>
      <w:marBottom w:val="0"/>
      <w:divBdr>
        <w:top w:val="none" w:sz="0" w:space="0" w:color="auto"/>
        <w:left w:val="none" w:sz="0" w:space="0" w:color="auto"/>
        <w:bottom w:val="none" w:sz="0" w:space="0" w:color="auto"/>
        <w:right w:val="none" w:sz="0" w:space="0" w:color="auto"/>
      </w:divBdr>
    </w:div>
    <w:div w:id="986206626">
      <w:bodyDiv w:val="1"/>
      <w:marLeft w:val="0"/>
      <w:marRight w:val="0"/>
      <w:marTop w:val="0"/>
      <w:marBottom w:val="0"/>
      <w:divBdr>
        <w:top w:val="none" w:sz="0" w:space="0" w:color="auto"/>
        <w:left w:val="none" w:sz="0" w:space="0" w:color="auto"/>
        <w:bottom w:val="none" w:sz="0" w:space="0" w:color="auto"/>
        <w:right w:val="none" w:sz="0" w:space="0" w:color="auto"/>
      </w:divBdr>
    </w:div>
    <w:div w:id="1072234771">
      <w:bodyDiv w:val="1"/>
      <w:marLeft w:val="0"/>
      <w:marRight w:val="0"/>
      <w:marTop w:val="0"/>
      <w:marBottom w:val="0"/>
      <w:divBdr>
        <w:top w:val="none" w:sz="0" w:space="0" w:color="auto"/>
        <w:left w:val="none" w:sz="0" w:space="0" w:color="auto"/>
        <w:bottom w:val="none" w:sz="0" w:space="0" w:color="auto"/>
        <w:right w:val="none" w:sz="0" w:space="0" w:color="auto"/>
      </w:divBdr>
    </w:div>
    <w:div w:id="1119908683">
      <w:bodyDiv w:val="1"/>
      <w:marLeft w:val="0"/>
      <w:marRight w:val="0"/>
      <w:marTop w:val="0"/>
      <w:marBottom w:val="0"/>
      <w:divBdr>
        <w:top w:val="none" w:sz="0" w:space="0" w:color="auto"/>
        <w:left w:val="none" w:sz="0" w:space="0" w:color="auto"/>
        <w:bottom w:val="none" w:sz="0" w:space="0" w:color="auto"/>
        <w:right w:val="none" w:sz="0" w:space="0" w:color="auto"/>
      </w:divBdr>
    </w:div>
    <w:div w:id="1130902942">
      <w:bodyDiv w:val="1"/>
      <w:marLeft w:val="0"/>
      <w:marRight w:val="0"/>
      <w:marTop w:val="0"/>
      <w:marBottom w:val="0"/>
      <w:divBdr>
        <w:top w:val="none" w:sz="0" w:space="0" w:color="auto"/>
        <w:left w:val="none" w:sz="0" w:space="0" w:color="auto"/>
        <w:bottom w:val="none" w:sz="0" w:space="0" w:color="auto"/>
        <w:right w:val="none" w:sz="0" w:space="0" w:color="auto"/>
      </w:divBdr>
    </w:div>
    <w:div w:id="1141532858">
      <w:bodyDiv w:val="1"/>
      <w:marLeft w:val="0"/>
      <w:marRight w:val="0"/>
      <w:marTop w:val="0"/>
      <w:marBottom w:val="0"/>
      <w:divBdr>
        <w:top w:val="none" w:sz="0" w:space="0" w:color="auto"/>
        <w:left w:val="none" w:sz="0" w:space="0" w:color="auto"/>
        <w:bottom w:val="none" w:sz="0" w:space="0" w:color="auto"/>
        <w:right w:val="none" w:sz="0" w:space="0" w:color="auto"/>
      </w:divBdr>
    </w:div>
    <w:div w:id="1193568043">
      <w:bodyDiv w:val="1"/>
      <w:marLeft w:val="0"/>
      <w:marRight w:val="0"/>
      <w:marTop w:val="0"/>
      <w:marBottom w:val="0"/>
      <w:divBdr>
        <w:top w:val="none" w:sz="0" w:space="0" w:color="auto"/>
        <w:left w:val="none" w:sz="0" w:space="0" w:color="auto"/>
        <w:bottom w:val="none" w:sz="0" w:space="0" w:color="auto"/>
        <w:right w:val="none" w:sz="0" w:space="0" w:color="auto"/>
      </w:divBdr>
    </w:div>
    <w:div w:id="1225683181">
      <w:bodyDiv w:val="1"/>
      <w:marLeft w:val="0"/>
      <w:marRight w:val="0"/>
      <w:marTop w:val="0"/>
      <w:marBottom w:val="0"/>
      <w:divBdr>
        <w:top w:val="none" w:sz="0" w:space="0" w:color="auto"/>
        <w:left w:val="none" w:sz="0" w:space="0" w:color="auto"/>
        <w:bottom w:val="none" w:sz="0" w:space="0" w:color="auto"/>
        <w:right w:val="none" w:sz="0" w:space="0" w:color="auto"/>
      </w:divBdr>
    </w:div>
    <w:div w:id="1278097089">
      <w:bodyDiv w:val="1"/>
      <w:marLeft w:val="0"/>
      <w:marRight w:val="0"/>
      <w:marTop w:val="0"/>
      <w:marBottom w:val="0"/>
      <w:divBdr>
        <w:top w:val="none" w:sz="0" w:space="0" w:color="auto"/>
        <w:left w:val="none" w:sz="0" w:space="0" w:color="auto"/>
        <w:bottom w:val="none" w:sz="0" w:space="0" w:color="auto"/>
        <w:right w:val="none" w:sz="0" w:space="0" w:color="auto"/>
      </w:divBdr>
    </w:div>
    <w:div w:id="1297948956">
      <w:bodyDiv w:val="1"/>
      <w:marLeft w:val="0"/>
      <w:marRight w:val="0"/>
      <w:marTop w:val="0"/>
      <w:marBottom w:val="0"/>
      <w:divBdr>
        <w:top w:val="none" w:sz="0" w:space="0" w:color="auto"/>
        <w:left w:val="none" w:sz="0" w:space="0" w:color="auto"/>
        <w:bottom w:val="none" w:sz="0" w:space="0" w:color="auto"/>
        <w:right w:val="none" w:sz="0" w:space="0" w:color="auto"/>
      </w:divBdr>
    </w:div>
    <w:div w:id="1338727717">
      <w:bodyDiv w:val="1"/>
      <w:marLeft w:val="0"/>
      <w:marRight w:val="0"/>
      <w:marTop w:val="0"/>
      <w:marBottom w:val="0"/>
      <w:divBdr>
        <w:top w:val="none" w:sz="0" w:space="0" w:color="auto"/>
        <w:left w:val="none" w:sz="0" w:space="0" w:color="auto"/>
        <w:bottom w:val="none" w:sz="0" w:space="0" w:color="auto"/>
        <w:right w:val="none" w:sz="0" w:space="0" w:color="auto"/>
      </w:divBdr>
    </w:div>
    <w:div w:id="1404569905">
      <w:bodyDiv w:val="1"/>
      <w:marLeft w:val="0"/>
      <w:marRight w:val="0"/>
      <w:marTop w:val="0"/>
      <w:marBottom w:val="0"/>
      <w:divBdr>
        <w:top w:val="none" w:sz="0" w:space="0" w:color="auto"/>
        <w:left w:val="none" w:sz="0" w:space="0" w:color="auto"/>
        <w:bottom w:val="none" w:sz="0" w:space="0" w:color="auto"/>
        <w:right w:val="none" w:sz="0" w:space="0" w:color="auto"/>
      </w:divBdr>
    </w:div>
    <w:div w:id="1433281213">
      <w:bodyDiv w:val="1"/>
      <w:marLeft w:val="0"/>
      <w:marRight w:val="0"/>
      <w:marTop w:val="0"/>
      <w:marBottom w:val="0"/>
      <w:divBdr>
        <w:top w:val="none" w:sz="0" w:space="0" w:color="auto"/>
        <w:left w:val="none" w:sz="0" w:space="0" w:color="auto"/>
        <w:bottom w:val="none" w:sz="0" w:space="0" w:color="auto"/>
        <w:right w:val="none" w:sz="0" w:space="0" w:color="auto"/>
      </w:divBdr>
    </w:div>
    <w:div w:id="1490975213">
      <w:bodyDiv w:val="1"/>
      <w:marLeft w:val="0"/>
      <w:marRight w:val="0"/>
      <w:marTop w:val="0"/>
      <w:marBottom w:val="0"/>
      <w:divBdr>
        <w:top w:val="none" w:sz="0" w:space="0" w:color="auto"/>
        <w:left w:val="none" w:sz="0" w:space="0" w:color="auto"/>
        <w:bottom w:val="none" w:sz="0" w:space="0" w:color="auto"/>
        <w:right w:val="none" w:sz="0" w:space="0" w:color="auto"/>
      </w:divBdr>
    </w:div>
    <w:div w:id="1528985876">
      <w:bodyDiv w:val="1"/>
      <w:marLeft w:val="0"/>
      <w:marRight w:val="0"/>
      <w:marTop w:val="0"/>
      <w:marBottom w:val="0"/>
      <w:divBdr>
        <w:top w:val="none" w:sz="0" w:space="0" w:color="auto"/>
        <w:left w:val="none" w:sz="0" w:space="0" w:color="auto"/>
        <w:bottom w:val="none" w:sz="0" w:space="0" w:color="auto"/>
        <w:right w:val="none" w:sz="0" w:space="0" w:color="auto"/>
      </w:divBdr>
    </w:div>
    <w:div w:id="1530987557">
      <w:bodyDiv w:val="1"/>
      <w:marLeft w:val="0"/>
      <w:marRight w:val="0"/>
      <w:marTop w:val="0"/>
      <w:marBottom w:val="0"/>
      <w:divBdr>
        <w:top w:val="none" w:sz="0" w:space="0" w:color="auto"/>
        <w:left w:val="none" w:sz="0" w:space="0" w:color="auto"/>
        <w:bottom w:val="none" w:sz="0" w:space="0" w:color="auto"/>
        <w:right w:val="none" w:sz="0" w:space="0" w:color="auto"/>
      </w:divBdr>
    </w:div>
    <w:div w:id="1541093122">
      <w:bodyDiv w:val="1"/>
      <w:marLeft w:val="0"/>
      <w:marRight w:val="0"/>
      <w:marTop w:val="0"/>
      <w:marBottom w:val="0"/>
      <w:divBdr>
        <w:top w:val="none" w:sz="0" w:space="0" w:color="auto"/>
        <w:left w:val="none" w:sz="0" w:space="0" w:color="auto"/>
        <w:bottom w:val="none" w:sz="0" w:space="0" w:color="auto"/>
        <w:right w:val="none" w:sz="0" w:space="0" w:color="auto"/>
      </w:divBdr>
    </w:div>
    <w:div w:id="1567060948">
      <w:bodyDiv w:val="1"/>
      <w:marLeft w:val="0"/>
      <w:marRight w:val="0"/>
      <w:marTop w:val="0"/>
      <w:marBottom w:val="0"/>
      <w:divBdr>
        <w:top w:val="none" w:sz="0" w:space="0" w:color="auto"/>
        <w:left w:val="none" w:sz="0" w:space="0" w:color="auto"/>
        <w:bottom w:val="none" w:sz="0" w:space="0" w:color="auto"/>
        <w:right w:val="none" w:sz="0" w:space="0" w:color="auto"/>
      </w:divBdr>
    </w:div>
    <w:div w:id="1574196575">
      <w:bodyDiv w:val="1"/>
      <w:marLeft w:val="0"/>
      <w:marRight w:val="0"/>
      <w:marTop w:val="0"/>
      <w:marBottom w:val="0"/>
      <w:divBdr>
        <w:top w:val="none" w:sz="0" w:space="0" w:color="auto"/>
        <w:left w:val="none" w:sz="0" w:space="0" w:color="auto"/>
        <w:bottom w:val="none" w:sz="0" w:space="0" w:color="auto"/>
        <w:right w:val="none" w:sz="0" w:space="0" w:color="auto"/>
      </w:divBdr>
    </w:div>
    <w:div w:id="1592857589">
      <w:bodyDiv w:val="1"/>
      <w:marLeft w:val="0"/>
      <w:marRight w:val="0"/>
      <w:marTop w:val="0"/>
      <w:marBottom w:val="0"/>
      <w:divBdr>
        <w:top w:val="none" w:sz="0" w:space="0" w:color="auto"/>
        <w:left w:val="none" w:sz="0" w:space="0" w:color="auto"/>
        <w:bottom w:val="none" w:sz="0" w:space="0" w:color="auto"/>
        <w:right w:val="none" w:sz="0" w:space="0" w:color="auto"/>
      </w:divBdr>
    </w:div>
    <w:div w:id="1615940694">
      <w:bodyDiv w:val="1"/>
      <w:marLeft w:val="0"/>
      <w:marRight w:val="0"/>
      <w:marTop w:val="0"/>
      <w:marBottom w:val="0"/>
      <w:divBdr>
        <w:top w:val="none" w:sz="0" w:space="0" w:color="auto"/>
        <w:left w:val="none" w:sz="0" w:space="0" w:color="auto"/>
        <w:bottom w:val="none" w:sz="0" w:space="0" w:color="auto"/>
        <w:right w:val="none" w:sz="0" w:space="0" w:color="auto"/>
      </w:divBdr>
    </w:div>
    <w:div w:id="1677725276">
      <w:bodyDiv w:val="1"/>
      <w:marLeft w:val="0"/>
      <w:marRight w:val="0"/>
      <w:marTop w:val="0"/>
      <w:marBottom w:val="0"/>
      <w:divBdr>
        <w:top w:val="none" w:sz="0" w:space="0" w:color="auto"/>
        <w:left w:val="none" w:sz="0" w:space="0" w:color="auto"/>
        <w:bottom w:val="none" w:sz="0" w:space="0" w:color="auto"/>
        <w:right w:val="none" w:sz="0" w:space="0" w:color="auto"/>
      </w:divBdr>
    </w:div>
    <w:div w:id="1685090980">
      <w:bodyDiv w:val="1"/>
      <w:marLeft w:val="0"/>
      <w:marRight w:val="0"/>
      <w:marTop w:val="0"/>
      <w:marBottom w:val="0"/>
      <w:divBdr>
        <w:top w:val="none" w:sz="0" w:space="0" w:color="auto"/>
        <w:left w:val="none" w:sz="0" w:space="0" w:color="auto"/>
        <w:bottom w:val="none" w:sz="0" w:space="0" w:color="auto"/>
        <w:right w:val="none" w:sz="0" w:space="0" w:color="auto"/>
      </w:divBdr>
    </w:div>
    <w:div w:id="1713379938">
      <w:bodyDiv w:val="1"/>
      <w:marLeft w:val="0"/>
      <w:marRight w:val="0"/>
      <w:marTop w:val="0"/>
      <w:marBottom w:val="0"/>
      <w:divBdr>
        <w:top w:val="none" w:sz="0" w:space="0" w:color="auto"/>
        <w:left w:val="none" w:sz="0" w:space="0" w:color="auto"/>
        <w:bottom w:val="none" w:sz="0" w:space="0" w:color="auto"/>
        <w:right w:val="none" w:sz="0" w:space="0" w:color="auto"/>
      </w:divBdr>
    </w:div>
    <w:div w:id="1719281440">
      <w:bodyDiv w:val="1"/>
      <w:marLeft w:val="0"/>
      <w:marRight w:val="0"/>
      <w:marTop w:val="0"/>
      <w:marBottom w:val="0"/>
      <w:divBdr>
        <w:top w:val="none" w:sz="0" w:space="0" w:color="auto"/>
        <w:left w:val="none" w:sz="0" w:space="0" w:color="auto"/>
        <w:bottom w:val="none" w:sz="0" w:space="0" w:color="auto"/>
        <w:right w:val="none" w:sz="0" w:space="0" w:color="auto"/>
      </w:divBdr>
    </w:div>
    <w:div w:id="1742949160">
      <w:bodyDiv w:val="1"/>
      <w:marLeft w:val="0"/>
      <w:marRight w:val="0"/>
      <w:marTop w:val="0"/>
      <w:marBottom w:val="0"/>
      <w:divBdr>
        <w:top w:val="none" w:sz="0" w:space="0" w:color="auto"/>
        <w:left w:val="none" w:sz="0" w:space="0" w:color="auto"/>
        <w:bottom w:val="none" w:sz="0" w:space="0" w:color="auto"/>
        <w:right w:val="none" w:sz="0" w:space="0" w:color="auto"/>
      </w:divBdr>
    </w:div>
    <w:div w:id="1755398330">
      <w:bodyDiv w:val="1"/>
      <w:marLeft w:val="0"/>
      <w:marRight w:val="0"/>
      <w:marTop w:val="0"/>
      <w:marBottom w:val="0"/>
      <w:divBdr>
        <w:top w:val="none" w:sz="0" w:space="0" w:color="auto"/>
        <w:left w:val="none" w:sz="0" w:space="0" w:color="auto"/>
        <w:bottom w:val="none" w:sz="0" w:space="0" w:color="auto"/>
        <w:right w:val="none" w:sz="0" w:space="0" w:color="auto"/>
      </w:divBdr>
    </w:div>
    <w:div w:id="1780026862">
      <w:bodyDiv w:val="1"/>
      <w:marLeft w:val="0"/>
      <w:marRight w:val="0"/>
      <w:marTop w:val="0"/>
      <w:marBottom w:val="0"/>
      <w:divBdr>
        <w:top w:val="none" w:sz="0" w:space="0" w:color="auto"/>
        <w:left w:val="none" w:sz="0" w:space="0" w:color="auto"/>
        <w:bottom w:val="none" w:sz="0" w:space="0" w:color="auto"/>
        <w:right w:val="none" w:sz="0" w:space="0" w:color="auto"/>
      </w:divBdr>
    </w:div>
    <w:div w:id="1827821590">
      <w:bodyDiv w:val="1"/>
      <w:marLeft w:val="0"/>
      <w:marRight w:val="0"/>
      <w:marTop w:val="0"/>
      <w:marBottom w:val="0"/>
      <w:divBdr>
        <w:top w:val="none" w:sz="0" w:space="0" w:color="auto"/>
        <w:left w:val="none" w:sz="0" w:space="0" w:color="auto"/>
        <w:bottom w:val="none" w:sz="0" w:space="0" w:color="auto"/>
        <w:right w:val="none" w:sz="0" w:space="0" w:color="auto"/>
      </w:divBdr>
    </w:div>
    <w:div w:id="1848057889">
      <w:bodyDiv w:val="1"/>
      <w:marLeft w:val="0"/>
      <w:marRight w:val="0"/>
      <w:marTop w:val="0"/>
      <w:marBottom w:val="0"/>
      <w:divBdr>
        <w:top w:val="none" w:sz="0" w:space="0" w:color="auto"/>
        <w:left w:val="none" w:sz="0" w:space="0" w:color="auto"/>
        <w:bottom w:val="none" w:sz="0" w:space="0" w:color="auto"/>
        <w:right w:val="none" w:sz="0" w:space="0" w:color="auto"/>
      </w:divBdr>
    </w:div>
    <w:div w:id="1856114164">
      <w:bodyDiv w:val="1"/>
      <w:marLeft w:val="0"/>
      <w:marRight w:val="0"/>
      <w:marTop w:val="0"/>
      <w:marBottom w:val="0"/>
      <w:divBdr>
        <w:top w:val="none" w:sz="0" w:space="0" w:color="auto"/>
        <w:left w:val="none" w:sz="0" w:space="0" w:color="auto"/>
        <w:bottom w:val="none" w:sz="0" w:space="0" w:color="auto"/>
        <w:right w:val="none" w:sz="0" w:space="0" w:color="auto"/>
      </w:divBdr>
    </w:div>
    <w:div w:id="1958759185">
      <w:bodyDiv w:val="1"/>
      <w:marLeft w:val="0"/>
      <w:marRight w:val="0"/>
      <w:marTop w:val="0"/>
      <w:marBottom w:val="0"/>
      <w:divBdr>
        <w:top w:val="none" w:sz="0" w:space="0" w:color="auto"/>
        <w:left w:val="none" w:sz="0" w:space="0" w:color="auto"/>
        <w:bottom w:val="none" w:sz="0" w:space="0" w:color="auto"/>
        <w:right w:val="none" w:sz="0" w:space="0" w:color="auto"/>
      </w:divBdr>
    </w:div>
    <w:div w:id="1966154287">
      <w:bodyDiv w:val="1"/>
      <w:marLeft w:val="0"/>
      <w:marRight w:val="0"/>
      <w:marTop w:val="0"/>
      <w:marBottom w:val="0"/>
      <w:divBdr>
        <w:top w:val="none" w:sz="0" w:space="0" w:color="auto"/>
        <w:left w:val="none" w:sz="0" w:space="0" w:color="auto"/>
        <w:bottom w:val="none" w:sz="0" w:space="0" w:color="auto"/>
        <w:right w:val="none" w:sz="0" w:space="0" w:color="auto"/>
      </w:divBdr>
    </w:div>
    <w:div w:id="1983269868">
      <w:bodyDiv w:val="1"/>
      <w:marLeft w:val="0"/>
      <w:marRight w:val="0"/>
      <w:marTop w:val="0"/>
      <w:marBottom w:val="0"/>
      <w:divBdr>
        <w:top w:val="none" w:sz="0" w:space="0" w:color="auto"/>
        <w:left w:val="none" w:sz="0" w:space="0" w:color="auto"/>
        <w:bottom w:val="none" w:sz="0" w:space="0" w:color="auto"/>
        <w:right w:val="none" w:sz="0" w:space="0" w:color="auto"/>
      </w:divBdr>
    </w:div>
    <w:div w:id="1987465580">
      <w:bodyDiv w:val="1"/>
      <w:marLeft w:val="0"/>
      <w:marRight w:val="0"/>
      <w:marTop w:val="0"/>
      <w:marBottom w:val="0"/>
      <w:divBdr>
        <w:top w:val="none" w:sz="0" w:space="0" w:color="auto"/>
        <w:left w:val="none" w:sz="0" w:space="0" w:color="auto"/>
        <w:bottom w:val="none" w:sz="0" w:space="0" w:color="auto"/>
        <w:right w:val="none" w:sz="0" w:space="0" w:color="auto"/>
      </w:divBdr>
    </w:div>
    <w:div w:id="1997682001">
      <w:bodyDiv w:val="1"/>
      <w:marLeft w:val="0"/>
      <w:marRight w:val="0"/>
      <w:marTop w:val="0"/>
      <w:marBottom w:val="0"/>
      <w:divBdr>
        <w:top w:val="none" w:sz="0" w:space="0" w:color="auto"/>
        <w:left w:val="none" w:sz="0" w:space="0" w:color="auto"/>
        <w:bottom w:val="none" w:sz="0" w:space="0" w:color="auto"/>
        <w:right w:val="none" w:sz="0" w:space="0" w:color="auto"/>
      </w:divBdr>
    </w:div>
    <w:div w:id="2003270977">
      <w:bodyDiv w:val="1"/>
      <w:marLeft w:val="0"/>
      <w:marRight w:val="0"/>
      <w:marTop w:val="0"/>
      <w:marBottom w:val="0"/>
      <w:divBdr>
        <w:top w:val="none" w:sz="0" w:space="0" w:color="auto"/>
        <w:left w:val="none" w:sz="0" w:space="0" w:color="auto"/>
        <w:bottom w:val="none" w:sz="0" w:space="0" w:color="auto"/>
        <w:right w:val="none" w:sz="0" w:space="0" w:color="auto"/>
      </w:divBdr>
    </w:div>
    <w:div w:id="2006012169">
      <w:bodyDiv w:val="1"/>
      <w:marLeft w:val="0"/>
      <w:marRight w:val="0"/>
      <w:marTop w:val="0"/>
      <w:marBottom w:val="0"/>
      <w:divBdr>
        <w:top w:val="none" w:sz="0" w:space="0" w:color="auto"/>
        <w:left w:val="none" w:sz="0" w:space="0" w:color="auto"/>
        <w:bottom w:val="none" w:sz="0" w:space="0" w:color="auto"/>
        <w:right w:val="none" w:sz="0" w:space="0" w:color="auto"/>
      </w:divBdr>
    </w:div>
    <w:div w:id="2010791922">
      <w:bodyDiv w:val="1"/>
      <w:marLeft w:val="0"/>
      <w:marRight w:val="0"/>
      <w:marTop w:val="0"/>
      <w:marBottom w:val="0"/>
      <w:divBdr>
        <w:top w:val="none" w:sz="0" w:space="0" w:color="auto"/>
        <w:left w:val="none" w:sz="0" w:space="0" w:color="auto"/>
        <w:bottom w:val="none" w:sz="0" w:space="0" w:color="auto"/>
        <w:right w:val="none" w:sz="0" w:space="0" w:color="auto"/>
      </w:divBdr>
    </w:div>
    <w:div w:id="2035030088">
      <w:bodyDiv w:val="1"/>
      <w:marLeft w:val="0"/>
      <w:marRight w:val="0"/>
      <w:marTop w:val="0"/>
      <w:marBottom w:val="0"/>
      <w:divBdr>
        <w:top w:val="none" w:sz="0" w:space="0" w:color="auto"/>
        <w:left w:val="none" w:sz="0" w:space="0" w:color="auto"/>
        <w:bottom w:val="none" w:sz="0" w:space="0" w:color="auto"/>
        <w:right w:val="none" w:sz="0" w:space="0" w:color="auto"/>
      </w:divBdr>
    </w:div>
    <w:div w:id="2035232734">
      <w:bodyDiv w:val="1"/>
      <w:marLeft w:val="0"/>
      <w:marRight w:val="0"/>
      <w:marTop w:val="0"/>
      <w:marBottom w:val="0"/>
      <w:divBdr>
        <w:top w:val="none" w:sz="0" w:space="0" w:color="auto"/>
        <w:left w:val="none" w:sz="0" w:space="0" w:color="auto"/>
        <w:bottom w:val="none" w:sz="0" w:space="0" w:color="auto"/>
        <w:right w:val="none" w:sz="0" w:space="0" w:color="auto"/>
      </w:divBdr>
    </w:div>
    <w:div w:id="2065717340">
      <w:bodyDiv w:val="1"/>
      <w:marLeft w:val="0"/>
      <w:marRight w:val="0"/>
      <w:marTop w:val="0"/>
      <w:marBottom w:val="0"/>
      <w:divBdr>
        <w:top w:val="none" w:sz="0" w:space="0" w:color="auto"/>
        <w:left w:val="none" w:sz="0" w:space="0" w:color="auto"/>
        <w:bottom w:val="none" w:sz="0" w:space="0" w:color="auto"/>
        <w:right w:val="none" w:sz="0" w:space="0" w:color="auto"/>
      </w:divBdr>
    </w:div>
    <w:div w:id="2079739307">
      <w:bodyDiv w:val="1"/>
      <w:marLeft w:val="0"/>
      <w:marRight w:val="0"/>
      <w:marTop w:val="0"/>
      <w:marBottom w:val="0"/>
      <w:divBdr>
        <w:top w:val="none" w:sz="0" w:space="0" w:color="auto"/>
        <w:left w:val="none" w:sz="0" w:space="0" w:color="auto"/>
        <w:bottom w:val="none" w:sz="0" w:space="0" w:color="auto"/>
        <w:right w:val="none" w:sz="0" w:space="0" w:color="auto"/>
      </w:divBdr>
    </w:div>
    <w:div w:id="2080978907">
      <w:bodyDiv w:val="1"/>
      <w:marLeft w:val="0"/>
      <w:marRight w:val="0"/>
      <w:marTop w:val="0"/>
      <w:marBottom w:val="0"/>
      <w:divBdr>
        <w:top w:val="none" w:sz="0" w:space="0" w:color="auto"/>
        <w:left w:val="none" w:sz="0" w:space="0" w:color="auto"/>
        <w:bottom w:val="none" w:sz="0" w:space="0" w:color="auto"/>
        <w:right w:val="none" w:sz="0" w:space="0" w:color="auto"/>
      </w:divBdr>
    </w:div>
    <w:div w:id="2087216153">
      <w:bodyDiv w:val="1"/>
      <w:marLeft w:val="0"/>
      <w:marRight w:val="0"/>
      <w:marTop w:val="0"/>
      <w:marBottom w:val="0"/>
      <w:divBdr>
        <w:top w:val="none" w:sz="0" w:space="0" w:color="auto"/>
        <w:left w:val="none" w:sz="0" w:space="0" w:color="auto"/>
        <w:bottom w:val="none" w:sz="0" w:space="0" w:color="auto"/>
        <w:right w:val="none" w:sz="0" w:space="0" w:color="auto"/>
      </w:divBdr>
    </w:div>
    <w:div w:id="2118334001">
      <w:bodyDiv w:val="1"/>
      <w:marLeft w:val="0"/>
      <w:marRight w:val="0"/>
      <w:marTop w:val="0"/>
      <w:marBottom w:val="0"/>
      <w:divBdr>
        <w:top w:val="none" w:sz="0" w:space="0" w:color="auto"/>
        <w:left w:val="none" w:sz="0" w:space="0" w:color="auto"/>
        <w:bottom w:val="none" w:sz="0" w:space="0" w:color="auto"/>
        <w:right w:val="none" w:sz="0" w:space="0" w:color="auto"/>
      </w:divBdr>
    </w:div>
    <w:div w:id="2118716007">
      <w:bodyDiv w:val="1"/>
      <w:marLeft w:val="0"/>
      <w:marRight w:val="0"/>
      <w:marTop w:val="0"/>
      <w:marBottom w:val="0"/>
      <w:divBdr>
        <w:top w:val="none" w:sz="0" w:space="0" w:color="auto"/>
        <w:left w:val="none" w:sz="0" w:space="0" w:color="auto"/>
        <w:bottom w:val="none" w:sz="0" w:space="0" w:color="auto"/>
        <w:right w:val="none" w:sz="0" w:space="0" w:color="auto"/>
      </w:divBdr>
    </w:div>
    <w:div w:id="21427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5084-AA10-4000-A003-0F90927F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8073</Words>
  <Characters>46018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53984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subject/>
  <dc:creator>Schultz, Buz (FMCSA)</dc:creator>
  <cp:keywords/>
  <dc:description/>
  <cp:lastModifiedBy>SYSTEM</cp:lastModifiedBy>
  <cp:revision>2</cp:revision>
  <cp:lastPrinted>2019-06-06T16:28:00Z</cp:lastPrinted>
  <dcterms:created xsi:type="dcterms:W3CDTF">2019-06-19T21:53:00Z</dcterms:created>
  <dcterms:modified xsi:type="dcterms:W3CDTF">2019-06-19T21:53:00Z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