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6E2136" w:rsidRDefault="00470720" w:rsidP="009816DD">
      <w:pPr>
        <w:pStyle w:val="Title"/>
        <w:rPr>
          <w:rFonts w:ascii="Times New Roman" w:hAnsi="Times New Roman"/>
          <w:u w:val="none"/>
        </w:rPr>
      </w:pPr>
      <w:bookmarkStart w:id="0" w:name="_GoBack"/>
      <w:bookmarkEnd w:id="0"/>
      <w:r w:rsidRPr="006E2136">
        <w:rPr>
          <w:rFonts w:ascii="Times New Roman" w:hAnsi="Times New Roman"/>
          <w:u w:val="none"/>
        </w:rPr>
        <w:t>Department of Transportation</w:t>
      </w:r>
    </w:p>
    <w:p w:rsidR="00470720" w:rsidRDefault="00470720" w:rsidP="009816DD">
      <w:pPr>
        <w:pStyle w:val="Title"/>
        <w:rPr>
          <w:rFonts w:ascii="Times New Roman" w:hAnsi="Times New Roman"/>
          <w:u w:val="none"/>
        </w:rPr>
      </w:pPr>
      <w:r w:rsidRPr="006E2136">
        <w:rPr>
          <w:rFonts w:ascii="Times New Roman" w:hAnsi="Times New Roman"/>
          <w:u w:val="none"/>
        </w:rPr>
        <w:t>Office of the Chief Information Officer</w:t>
      </w:r>
    </w:p>
    <w:p w:rsidR="00B42725" w:rsidRDefault="00A32690" w:rsidP="009816DD">
      <w:pPr>
        <w:pStyle w:val="Title"/>
        <w:rPr>
          <w:rFonts w:ascii="Times New Roman" w:hAnsi="Times New Roman"/>
          <w:u w:val="none"/>
        </w:rPr>
      </w:pPr>
      <w:r>
        <w:rPr>
          <w:rFonts w:ascii="Times New Roman" w:hAnsi="Times New Roman"/>
          <w:u w:val="none"/>
        </w:rPr>
        <w:t>Supporting Statement</w:t>
      </w:r>
    </w:p>
    <w:p w:rsidR="003D3495" w:rsidRPr="00D06E2F" w:rsidRDefault="003D3495" w:rsidP="009816DD">
      <w:pPr>
        <w:jc w:val="center"/>
        <w:rPr>
          <w:rFonts w:ascii="Times New Roman" w:hAnsi="Times New Roman"/>
          <w:b/>
          <w:bCs/>
          <w:sz w:val="24"/>
          <w:szCs w:val="24"/>
        </w:rPr>
      </w:pPr>
      <w:r w:rsidRPr="00D06E2F">
        <w:rPr>
          <w:rFonts w:ascii="Times New Roman" w:hAnsi="Times New Roman"/>
          <w:b/>
          <w:bCs/>
          <w:sz w:val="24"/>
          <w:szCs w:val="24"/>
        </w:rPr>
        <w:t>Subsidiary Hazard Class and Number/Type of Packagings</w:t>
      </w:r>
    </w:p>
    <w:p w:rsidR="00A32690" w:rsidRPr="00D06E2F" w:rsidRDefault="00A32690" w:rsidP="009816DD">
      <w:pPr>
        <w:jc w:val="center"/>
        <w:rPr>
          <w:rFonts w:ascii="Times New Roman" w:hAnsi="Times New Roman"/>
          <w:b/>
          <w:bCs/>
          <w:sz w:val="24"/>
          <w:szCs w:val="24"/>
        </w:rPr>
      </w:pPr>
      <w:r w:rsidRPr="00D06E2F">
        <w:rPr>
          <w:rFonts w:ascii="Times New Roman" w:hAnsi="Times New Roman"/>
          <w:b/>
          <w:bCs/>
          <w:sz w:val="24"/>
          <w:szCs w:val="24"/>
        </w:rPr>
        <w:t>OMB Control No. 2137-0613</w:t>
      </w:r>
    </w:p>
    <w:p w:rsidR="00A32690" w:rsidRPr="00B42725" w:rsidRDefault="00A32690" w:rsidP="009816DD">
      <w:pPr>
        <w:jc w:val="center"/>
        <w:rPr>
          <w:rFonts w:ascii="Times New Roman" w:hAnsi="Times New Roman"/>
          <w:bCs/>
          <w:sz w:val="24"/>
          <w:szCs w:val="24"/>
        </w:rPr>
      </w:pPr>
    </w:p>
    <w:p w:rsidR="00A32690" w:rsidRPr="00B42725" w:rsidRDefault="00A32690" w:rsidP="009816DD">
      <w:pPr>
        <w:jc w:val="center"/>
        <w:rPr>
          <w:rFonts w:ascii="Times New Roman" w:hAnsi="Times New Roman"/>
          <w:bCs/>
          <w:sz w:val="24"/>
          <w:szCs w:val="24"/>
        </w:rPr>
      </w:pPr>
      <w:r w:rsidRPr="00B42725">
        <w:rPr>
          <w:rFonts w:ascii="Times New Roman" w:hAnsi="Times New Roman"/>
          <w:bCs/>
          <w:sz w:val="24"/>
          <w:szCs w:val="24"/>
        </w:rPr>
        <w:t xml:space="preserve">(Expiration Date: </w:t>
      </w:r>
      <w:r w:rsidR="006E74D7">
        <w:rPr>
          <w:rFonts w:ascii="Times New Roman" w:hAnsi="Times New Roman"/>
          <w:bCs/>
          <w:sz w:val="24"/>
          <w:szCs w:val="24"/>
        </w:rPr>
        <w:t>June</w:t>
      </w:r>
      <w:r w:rsidR="006E74D7" w:rsidRPr="00B42725">
        <w:rPr>
          <w:rFonts w:ascii="Times New Roman" w:hAnsi="Times New Roman"/>
          <w:bCs/>
          <w:sz w:val="24"/>
          <w:szCs w:val="24"/>
        </w:rPr>
        <w:t xml:space="preserve"> </w:t>
      </w:r>
      <w:r w:rsidRPr="00B42725">
        <w:rPr>
          <w:rFonts w:ascii="Times New Roman" w:hAnsi="Times New Roman"/>
          <w:bCs/>
          <w:sz w:val="24"/>
          <w:szCs w:val="24"/>
        </w:rPr>
        <w:t>3</w:t>
      </w:r>
      <w:r w:rsidR="006E74D7">
        <w:rPr>
          <w:rFonts w:ascii="Times New Roman" w:hAnsi="Times New Roman"/>
          <w:bCs/>
          <w:sz w:val="24"/>
          <w:szCs w:val="24"/>
        </w:rPr>
        <w:t>0</w:t>
      </w:r>
      <w:r w:rsidRPr="00B42725">
        <w:rPr>
          <w:rFonts w:ascii="Times New Roman" w:hAnsi="Times New Roman"/>
          <w:bCs/>
          <w:sz w:val="24"/>
          <w:szCs w:val="24"/>
        </w:rPr>
        <w:t xml:space="preserve">, </w:t>
      </w:r>
      <w:r w:rsidR="00B42725" w:rsidRPr="00B42725">
        <w:rPr>
          <w:rFonts w:ascii="Times New Roman" w:hAnsi="Times New Roman"/>
          <w:bCs/>
          <w:sz w:val="24"/>
          <w:szCs w:val="24"/>
        </w:rPr>
        <w:t>201</w:t>
      </w:r>
      <w:r w:rsidR="006E74D7">
        <w:rPr>
          <w:rFonts w:ascii="Times New Roman" w:hAnsi="Times New Roman"/>
          <w:bCs/>
          <w:sz w:val="24"/>
          <w:szCs w:val="24"/>
        </w:rPr>
        <w:t>9</w:t>
      </w:r>
      <w:r w:rsidRPr="00B42725">
        <w:rPr>
          <w:rFonts w:ascii="Times New Roman" w:hAnsi="Times New Roman"/>
          <w:bCs/>
          <w:sz w:val="24"/>
          <w:szCs w:val="24"/>
        </w:rPr>
        <w:t>)</w:t>
      </w:r>
    </w:p>
    <w:p w:rsidR="0004749E" w:rsidRPr="006E2136" w:rsidRDefault="0004749E" w:rsidP="009816DD">
      <w:pPr>
        <w:rPr>
          <w:rFonts w:ascii="Times New Roman" w:hAnsi="Times New Roman"/>
          <w:b/>
          <w:bCs/>
          <w:sz w:val="24"/>
          <w:szCs w:val="24"/>
        </w:rPr>
      </w:pPr>
    </w:p>
    <w:p w:rsidR="0004749E" w:rsidRPr="006E2136" w:rsidRDefault="00A32690" w:rsidP="009816DD">
      <w:pPr>
        <w:pStyle w:val="Subtitle"/>
        <w:rPr>
          <w:rFonts w:ascii="Times New Roman" w:hAnsi="Times New Roman"/>
        </w:rPr>
      </w:pPr>
      <w:r>
        <w:rPr>
          <w:rFonts w:ascii="Times New Roman" w:hAnsi="Times New Roman"/>
        </w:rPr>
        <w:t>Introduction</w:t>
      </w:r>
    </w:p>
    <w:p w:rsidR="0004749E" w:rsidRPr="006E2136" w:rsidRDefault="0004749E" w:rsidP="009816DD">
      <w:pPr>
        <w:rPr>
          <w:rFonts w:ascii="Times New Roman" w:hAnsi="Times New Roman"/>
          <w:b/>
          <w:bCs/>
          <w:sz w:val="24"/>
          <w:szCs w:val="24"/>
        </w:rPr>
      </w:pPr>
    </w:p>
    <w:p w:rsidR="0004749E" w:rsidRPr="006E2136" w:rsidRDefault="00106CD0" w:rsidP="004653DF">
      <w:pPr>
        <w:rPr>
          <w:rFonts w:ascii="Times New Roman" w:hAnsi="Times New Roman"/>
          <w:sz w:val="24"/>
          <w:szCs w:val="24"/>
        </w:rPr>
      </w:pPr>
      <w:r w:rsidRPr="00A32690">
        <w:rPr>
          <w:rFonts w:ascii="Times New Roman" w:hAnsi="Times New Roman"/>
          <w:sz w:val="24"/>
          <w:szCs w:val="24"/>
        </w:rPr>
        <w:t xml:space="preserve">This is to request the Office of Management and Budget’s (OMB) three-year </w:t>
      </w:r>
      <w:r w:rsidR="009816DD">
        <w:rPr>
          <w:rFonts w:ascii="Times New Roman" w:hAnsi="Times New Roman"/>
          <w:sz w:val="24"/>
          <w:szCs w:val="24"/>
        </w:rPr>
        <w:t xml:space="preserve">renewal with no change </w:t>
      </w:r>
      <w:r w:rsidRPr="00A32690">
        <w:rPr>
          <w:rFonts w:ascii="Times New Roman" w:hAnsi="Times New Roman"/>
          <w:sz w:val="24"/>
          <w:szCs w:val="24"/>
        </w:rPr>
        <w:t xml:space="preserve">for the information collection titled, “Subsidiary Hazard Class and Number/Type of Packagings” (OMB Control No. 2137-0613), which is currently due to expire on </w:t>
      </w:r>
      <w:r w:rsidR="009816DD">
        <w:rPr>
          <w:rFonts w:ascii="Times New Roman" w:hAnsi="Times New Roman"/>
          <w:sz w:val="24"/>
          <w:szCs w:val="24"/>
        </w:rPr>
        <w:t>June 30, 2019</w:t>
      </w:r>
      <w:r w:rsidRPr="00A32690">
        <w:rPr>
          <w:rFonts w:ascii="Times New Roman" w:hAnsi="Times New Roman"/>
          <w:sz w:val="24"/>
          <w:szCs w:val="24"/>
        </w:rPr>
        <w:t>.</w:t>
      </w:r>
      <w:r>
        <w:rPr>
          <w:rFonts w:ascii="Times New Roman" w:hAnsi="Times New Roman"/>
          <w:sz w:val="24"/>
          <w:szCs w:val="24"/>
        </w:rPr>
        <w:t xml:space="preserve">  </w:t>
      </w:r>
      <w:r w:rsidR="00A32690" w:rsidRPr="00A32690">
        <w:rPr>
          <w:rFonts w:ascii="Times New Roman" w:hAnsi="Times New Roman"/>
          <w:sz w:val="24"/>
          <w:szCs w:val="24"/>
        </w:rPr>
        <w:t xml:space="preserve">This information collection was </w:t>
      </w:r>
      <w:r w:rsidR="00BF3DCC">
        <w:rPr>
          <w:rFonts w:ascii="Times New Roman" w:hAnsi="Times New Roman"/>
          <w:sz w:val="24"/>
          <w:szCs w:val="24"/>
        </w:rPr>
        <w:t>initiated as a result of the July 31,</w:t>
      </w:r>
      <w:r w:rsidR="00A750CA">
        <w:rPr>
          <w:rFonts w:ascii="Times New Roman" w:hAnsi="Times New Roman"/>
          <w:sz w:val="24"/>
          <w:szCs w:val="24"/>
        </w:rPr>
        <w:t xml:space="preserve"> </w:t>
      </w:r>
      <w:r w:rsidR="00BF3DCC">
        <w:rPr>
          <w:rFonts w:ascii="Times New Roman" w:hAnsi="Times New Roman"/>
          <w:sz w:val="24"/>
          <w:szCs w:val="24"/>
        </w:rPr>
        <w:t>2003</w:t>
      </w:r>
      <w:r w:rsidR="009816DD">
        <w:rPr>
          <w:rFonts w:ascii="Times New Roman" w:hAnsi="Times New Roman"/>
          <w:sz w:val="24"/>
          <w:szCs w:val="24"/>
        </w:rPr>
        <w:t>,</w:t>
      </w:r>
      <w:r w:rsidR="000B5F0F">
        <w:rPr>
          <w:rFonts w:ascii="Times New Roman" w:hAnsi="Times New Roman"/>
          <w:sz w:val="24"/>
          <w:szCs w:val="24"/>
        </w:rPr>
        <w:t xml:space="preserve"> </w:t>
      </w:r>
      <w:r w:rsidR="00D9663F">
        <w:rPr>
          <w:rFonts w:ascii="Times New Roman" w:hAnsi="Times New Roman"/>
          <w:sz w:val="24"/>
          <w:szCs w:val="24"/>
        </w:rPr>
        <w:t>[</w:t>
      </w:r>
      <w:r w:rsidR="000B5F0F">
        <w:rPr>
          <w:rFonts w:ascii="Times New Roman" w:hAnsi="Times New Roman"/>
          <w:sz w:val="24"/>
          <w:szCs w:val="24"/>
        </w:rPr>
        <w:t>68 FR 44992</w:t>
      </w:r>
      <w:r w:rsidR="00D9663F">
        <w:rPr>
          <w:rFonts w:ascii="Times New Roman" w:hAnsi="Times New Roman"/>
          <w:sz w:val="24"/>
          <w:szCs w:val="24"/>
        </w:rPr>
        <w:t>]</w:t>
      </w:r>
      <w:r w:rsidR="00BF3DCC">
        <w:rPr>
          <w:rFonts w:ascii="Times New Roman" w:hAnsi="Times New Roman"/>
          <w:sz w:val="24"/>
          <w:szCs w:val="24"/>
        </w:rPr>
        <w:t xml:space="preserve"> Final Rule titled “Harmonization with the United Nations Recommendations, International Maritime Dangerous Goods Code, and International Civil Aviation Organizations (ICAO) Technical Instructions (TI).”  In this rulemaking</w:t>
      </w:r>
      <w:r>
        <w:rPr>
          <w:rFonts w:ascii="Times New Roman" w:hAnsi="Times New Roman"/>
          <w:sz w:val="24"/>
          <w:szCs w:val="24"/>
        </w:rPr>
        <w:t>,</w:t>
      </w:r>
      <w:r w:rsidR="00BF3DCC">
        <w:rPr>
          <w:rFonts w:ascii="Times New Roman" w:hAnsi="Times New Roman"/>
          <w:sz w:val="24"/>
          <w:szCs w:val="24"/>
        </w:rPr>
        <w:t xml:space="preserve"> the Research and Special Programs Administration (RSPA) </w:t>
      </w:r>
      <w:r>
        <w:rPr>
          <w:rFonts w:ascii="Times New Roman" w:hAnsi="Times New Roman"/>
          <w:sz w:val="24"/>
          <w:szCs w:val="24"/>
        </w:rPr>
        <w:t xml:space="preserve">(later, the Pipeline and Hazardous Materials Safety </w:t>
      </w:r>
      <w:r w:rsidR="00D2203A">
        <w:rPr>
          <w:rFonts w:ascii="Times New Roman" w:hAnsi="Times New Roman"/>
          <w:sz w:val="24"/>
          <w:szCs w:val="24"/>
        </w:rPr>
        <w:t>Administration</w:t>
      </w:r>
      <w:r>
        <w:rPr>
          <w:rFonts w:ascii="Times New Roman" w:hAnsi="Times New Roman"/>
          <w:sz w:val="24"/>
          <w:szCs w:val="24"/>
        </w:rPr>
        <w:t xml:space="preserve"> (PHMSA)) </w:t>
      </w:r>
      <w:r w:rsidR="00BF3DCC">
        <w:rPr>
          <w:rFonts w:ascii="Times New Roman" w:hAnsi="Times New Roman"/>
          <w:sz w:val="24"/>
          <w:szCs w:val="24"/>
        </w:rPr>
        <w:t xml:space="preserve">added requirements in § 172.202 </w:t>
      </w:r>
      <w:r>
        <w:rPr>
          <w:rFonts w:ascii="Times New Roman" w:hAnsi="Times New Roman"/>
          <w:sz w:val="24"/>
          <w:szCs w:val="24"/>
        </w:rPr>
        <w:t xml:space="preserve">of the </w:t>
      </w:r>
      <w:r w:rsidRPr="003D3495">
        <w:rPr>
          <w:rFonts w:ascii="Times New Roman" w:hAnsi="Times New Roman"/>
          <w:sz w:val="24"/>
          <w:szCs w:val="24"/>
        </w:rPr>
        <w:t>Hazardous Materials Regulations (HMR; 49 CFR Parts 171-180)</w:t>
      </w:r>
      <w:r>
        <w:rPr>
          <w:rFonts w:ascii="Times New Roman" w:hAnsi="Times New Roman"/>
          <w:sz w:val="24"/>
          <w:szCs w:val="24"/>
        </w:rPr>
        <w:t xml:space="preserve"> </w:t>
      </w:r>
      <w:r w:rsidR="00BF3DCC">
        <w:rPr>
          <w:rFonts w:ascii="Times New Roman" w:hAnsi="Times New Roman"/>
          <w:sz w:val="24"/>
          <w:szCs w:val="24"/>
        </w:rPr>
        <w:t xml:space="preserve">to provide the subsidiary hazard on a shipping paper.  </w:t>
      </w:r>
      <w:r w:rsidR="000B5F0F">
        <w:rPr>
          <w:rFonts w:ascii="Times New Roman" w:hAnsi="Times New Roman"/>
          <w:sz w:val="24"/>
          <w:szCs w:val="24"/>
        </w:rPr>
        <w:t xml:space="preserve">This OMB control number was </w:t>
      </w:r>
      <w:r>
        <w:rPr>
          <w:rFonts w:ascii="Times New Roman" w:hAnsi="Times New Roman"/>
          <w:sz w:val="24"/>
          <w:szCs w:val="24"/>
        </w:rPr>
        <w:t xml:space="preserve">first </w:t>
      </w:r>
      <w:r w:rsidR="000B5F0F">
        <w:rPr>
          <w:rFonts w:ascii="Times New Roman" w:hAnsi="Times New Roman"/>
          <w:sz w:val="24"/>
          <w:szCs w:val="24"/>
        </w:rPr>
        <w:t>approved on June 25, 2003</w:t>
      </w:r>
      <w:r>
        <w:rPr>
          <w:rFonts w:ascii="Times New Roman" w:hAnsi="Times New Roman"/>
          <w:sz w:val="24"/>
          <w:szCs w:val="24"/>
        </w:rPr>
        <w:t>.</w:t>
      </w:r>
      <w:r w:rsidR="000B5F0F">
        <w:rPr>
          <w:rFonts w:ascii="Times New Roman" w:hAnsi="Times New Roman"/>
          <w:sz w:val="24"/>
          <w:szCs w:val="24"/>
        </w:rPr>
        <w:t xml:space="preserve">   </w:t>
      </w:r>
    </w:p>
    <w:p w:rsidR="0004749E" w:rsidRDefault="0004749E" w:rsidP="001972DB">
      <w:pPr>
        <w:rPr>
          <w:rFonts w:ascii="Times New Roman" w:hAnsi="Times New Roman"/>
          <w:b/>
          <w:bCs/>
          <w:sz w:val="24"/>
          <w:szCs w:val="24"/>
        </w:rPr>
      </w:pPr>
    </w:p>
    <w:p w:rsidR="00D24F6F" w:rsidRDefault="00B83441" w:rsidP="001972DB">
      <w:pPr>
        <w:rPr>
          <w:rFonts w:ascii="Times New Roman" w:hAnsi="Times New Roman"/>
          <w:bCs/>
          <w:sz w:val="24"/>
          <w:szCs w:val="24"/>
        </w:rPr>
      </w:pPr>
      <w:r>
        <w:rPr>
          <w:rFonts w:ascii="Times New Roman" w:hAnsi="Times New Roman"/>
          <w:bCs/>
          <w:sz w:val="24"/>
          <w:szCs w:val="24"/>
        </w:rPr>
        <w:t>Follow</w:t>
      </w:r>
      <w:r w:rsidR="00C1709D">
        <w:rPr>
          <w:rFonts w:ascii="Times New Roman" w:hAnsi="Times New Roman"/>
          <w:bCs/>
          <w:sz w:val="24"/>
          <w:szCs w:val="24"/>
        </w:rPr>
        <w:t>ing</w:t>
      </w:r>
      <w:r>
        <w:rPr>
          <w:rFonts w:ascii="Times New Roman" w:hAnsi="Times New Roman"/>
          <w:bCs/>
          <w:sz w:val="24"/>
          <w:szCs w:val="24"/>
        </w:rPr>
        <w:t xml:space="preserve"> review of this information collection, PHMSA has revised this burden based on more accurate stakeholder feedback.</w:t>
      </w:r>
    </w:p>
    <w:p w:rsidR="00D24F6F" w:rsidRPr="004653DF" w:rsidRDefault="00D24F6F" w:rsidP="001972DB">
      <w:pPr>
        <w:rPr>
          <w:rFonts w:ascii="Times New Roman" w:hAnsi="Times New Roman"/>
          <w:bCs/>
          <w:sz w:val="24"/>
          <w:szCs w:val="24"/>
        </w:rPr>
      </w:pPr>
    </w:p>
    <w:p w:rsidR="009816DD" w:rsidRPr="006E2136" w:rsidRDefault="009816DD">
      <w:pPr>
        <w:rPr>
          <w:rFonts w:ascii="Times New Roman" w:hAnsi="Times New Roman"/>
          <w:b/>
          <w:bCs/>
          <w:sz w:val="24"/>
          <w:szCs w:val="24"/>
        </w:rPr>
      </w:pPr>
    </w:p>
    <w:p w:rsidR="0004749E" w:rsidRPr="006E2136"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6E2136">
        <w:rPr>
          <w:rFonts w:ascii="Times New Roman" w:hAnsi="Times New Roman"/>
          <w:b/>
          <w:bCs/>
          <w:sz w:val="24"/>
          <w:szCs w:val="24"/>
          <w:u w:val="single"/>
        </w:rPr>
        <w:t>Part A. Justification</w:t>
      </w:r>
      <w:r w:rsidRPr="006E2136">
        <w:rPr>
          <w:rFonts w:ascii="Times New Roman" w:hAnsi="Times New Roman"/>
          <w:b/>
          <w:bCs/>
          <w:sz w:val="24"/>
          <w:szCs w:val="24"/>
        </w:rPr>
        <w:t>.</w:t>
      </w:r>
    </w:p>
    <w:p w:rsidR="0004749E" w:rsidRPr="006E2136"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6E2136"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sidRPr="004261AD">
        <w:rPr>
          <w:rFonts w:ascii="Times New Roman" w:hAnsi="Times New Roman"/>
          <w:bCs/>
          <w:sz w:val="24"/>
          <w:szCs w:val="24"/>
        </w:rPr>
        <w:t>1</w:t>
      </w:r>
      <w:r w:rsidR="004261AD" w:rsidRPr="004261AD">
        <w:rPr>
          <w:rFonts w:ascii="Times New Roman" w:hAnsi="Times New Roman"/>
          <w:bCs/>
          <w:sz w:val="24"/>
          <w:szCs w:val="24"/>
        </w:rPr>
        <w:t>.</w:t>
      </w:r>
      <w:r w:rsidR="004261AD" w:rsidRPr="004261AD">
        <w:rPr>
          <w:rFonts w:ascii="Times New Roman" w:hAnsi="Times New Roman"/>
          <w:bCs/>
          <w:sz w:val="24"/>
          <w:szCs w:val="24"/>
        </w:rPr>
        <w:tab/>
      </w:r>
      <w:r w:rsidR="004261AD" w:rsidRPr="004261AD">
        <w:rPr>
          <w:rFonts w:ascii="Times New Roman" w:hAnsi="Times New Roman"/>
          <w:bCs/>
          <w:sz w:val="24"/>
          <w:szCs w:val="24"/>
        </w:rPr>
        <w:tab/>
      </w:r>
      <w:r w:rsidRPr="006E2136">
        <w:rPr>
          <w:rFonts w:ascii="Times New Roman" w:hAnsi="Times New Roman"/>
          <w:bCs/>
          <w:sz w:val="24"/>
          <w:szCs w:val="24"/>
          <w:u w:val="single"/>
        </w:rPr>
        <w:t>Circumstances that make collection of information necessary.</w:t>
      </w:r>
      <w:r w:rsidR="00470720" w:rsidRPr="006E2136">
        <w:rPr>
          <w:rFonts w:ascii="Times New Roman" w:hAnsi="Times New Roman"/>
          <w:b/>
          <w:bCs/>
          <w:sz w:val="24"/>
          <w:szCs w:val="24"/>
        </w:rPr>
        <w:t xml:space="preserve">  </w:t>
      </w:r>
    </w:p>
    <w:p w:rsidR="004A25E1" w:rsidRPr="006E2136" w:rsidRDefault="004A25E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p>
    <w:p w:rsidR="003D3495" w:rsidRPr="003D3495" w:rsidRDefault="003D3495" w:rsidP="004653DF">
      <w:pPr>
        <w:rPr>
          <w:rFonts w:ascii="Times New Roman" w:hAnsi="Times New Roman"/>
          <w:sz w:val="24"/>
          <w:szCs w:val="24"/>
        </w:rPr>
      </w:pPr>
      <w:r w:rsidRPr="003D3495">
        <w:rPr>
          <w:rFonts w:ascii="Times New Roman" w:hAnsi="Times New Roman"/>
          <w:sz w:val="24"/>
          <w:szCs w:val="24"/>
        </w:rPr>
        <w:t>This is a request for a renewal with</w:t>
      </w:r>
      <w:r w:rsidR="000B5F0F">
        <w:rPr>
          <w:rFonts w:ascii="Times New Roman" w:hAnsi="Times New Roman"/>
          <w:sz w:val="24"/>
          <w:szCs w:val="24"/>
        </w:rPr>
        <w:t>out</w:t>
      </w:r>
      <w:r w:rsidRPr="003D3495">
        <w:rPr>
          <w:rFonts w:ascii="Times New Roman" w:hAnsi="Times New Roman"/>
          <w:sz w:val="24"/>
          <w:szCs w:val="24"/>
        </w:rPr>
        <w:t xml:space="preserve"> change o</w:t>
      </w:r>
      <w:r w:rsidR="00106CD0">
        <w:rPr>
          <w:rFonts w:ascii="Times New Roman" w:hAnsi="Times New Roman"/>
          <w:sz w:val="24"/>
          <w:szCs w:val="24"/>
        </w:rPr>
        <w:t>f</w:t>
      </w:r>
      <w:r w:rsidRPr="003D3495">
        <w:rPr>
          <w:rFonts w:ascii="Times New Roman" w:hAnsi="Times New Roman"/>
          <w:sz w:val="24"/>
          <w:szCs w:val="24"/>
        </w:rPr>
        <w:t xml:space="preserve"> an information collection pertaining to descriptions on hazardous materials shipping papers under the </w:t>
      </w:r>
      <w:r w:rsidR="00106CD0">
        <w:rPr>
          <w:rFonts w:ascii="Times New Roman" w:hAnsi="Times New Roman"/>
          <w:sz w:val="24"/>
          <w:szCs w:val="24"/>
        </w:rPr>
        <w:t>HMR</w:t>
      </w:r>
      <w:r w:rsidRPr="003D3495">
        <w:rPr>
          <w:rFonts w:ascii="Times New Roman" w:hAnsi="Times New Roman"/>
          <w:sz w:val="24"/>
          <w:szCs w:val="24"/>
        </w:rPr>
        <w:t xml:space="preserve">.  </w:t>
      </w:r>
      <w:r w:rsidR="000B5F0F">
        <w:rPr>
          <w:rFonts w:ascii="Times New Roman" w:hAnsi="Times New Roman"/>
          <w:sz w:val="24"/>
          <w:szCs w:val="24"/>
        </w:rPr>
        <w:t xml:space="preserve">Specifically, this information collection is associated with the requirement in § 172.202(a)(3) to provide the subsidiary class on a shipping paper.  </w:t>
      </w:r>
      <w:r w:rsidRPr="003D3495">
        <w:rPr>
          <w:rFonts w:ascii="Times New Roman" w:hAnsi="Times New Roman"/>
          <w:sz w:val="24"/>
          <w:szCs w:val="24"/>
        </w:rPr>
        <w:t xml:space="preserve">This information collection supports the Departmental Strategic Goal for Safety. </w:t>
      </w:r>
      <w:r w:rsidR="00FD7111">
        <w:rPr>
          <w:rFonts w:ascii="Times New Roman" w:hAnsi="Times New Roman"/>
          <w:sz w:val="24"/>
          <w:szCs w:val="24"/>
        </w:rPr>
        <w:t xml:space="preserve"> </w:t>
      </w:r>
      <w:r w:rsidRPr="003D3495">
        <w:rPr>
          <w:rFonts w:ascii="Times New Roman" w:hAnsi="Times New Roman"/>
          <w:sz w:val="24"/>
          <w:szCs w:val="24"/>
        </w:rPr>
        <w:t>These regulations are promulgated under the Federal hazardous material transportation law, 49 U.S.C. 5101-5127.</w:t>
      </w:r>
    </w:p>
    <w:p w:rsidR="003D3495" w:rsidRDefault="003D3495" w:rsidP="001972DB">
      <w:pPr>
        <w:rPr>
          <w:rFonts w:ascii="Times New Roman" w:hAnsi="Times New Roman"/>
          <w:sz w:val="24"/>
          <w:szCs w:val="24"/>
        </w:rPr>
      </w:pPr>
    </w:p>
    <w:p w:rsidR="00B83441" w:rsidRDefault="00B83441" w:rsidP="00B83441">
      <w:pPr>
        <w:rPr>
          <w:rFonts w:ascii="Times New Roman" w:hAnsi="Times New Roman"/>
          <w:bCs/>
          <w:sz w:val="24"/>
          <w:szCs w:val="24"/>
        </w:rPr>
      </w:pPr>
      <w:r>
        <w:rPr>
          <w:rFonts w:ascii="Times New Roman" w:hAnsi="Times New Roman"/>
          <w:bCs/>
          <w:sz w:val="24"/>
          <w:szCs w:val="24"/>
        </w:rPr>
        <w:t>Follow</w:t>
      </w:r>
      <w:r w:rsidR="00C1709D">
        <w:rPr>
          <w:rFonts w:ascii="Times New Roman" w:hAnsi="Times New Roman"/>
          <w:bCs/>
          <w:sz w:val="24"/>
          <w:szCs w:val="24"/>
        </w:rPr>
        <w:t>ing</w:t>
      </w:r>
      <w:r>
        <w:rPr>
          <w:rFonts w:ascii="Times New Roman" w:hAnsi="Times New Roman"/>
          <w:bCs/>
          <w:sz w:val="24"/>
          <w:szCs w:val="24"/>
        </w:rPr>
        <w:t xml:space="preserve"> review of this information collection, PHMSA has revised this burden based on more accurate stakeholder feedback.</w:t>
      </w:r>
    </w:p>
    <w:p w:rsidR="00B83441" w:rsidRDefault="00B83441" w:rsidP="001972DB">
      <w:pPr>
        <w:rPr>
          <w:rFonts w:ascii="Times New Roman" w:hAnsi="Times New Roman"/>
          <w:sz w:val="24"/>
          <w:szCs w:val="24"/>
        </w:rPr>
      </w:pPr>
    </w:p>
    <w:p w:rsidR="009816DD" w:rsidRPr="003D3495" w:rsidRDefault="009816DD">
      <w:pPr>
        <w:rPr>
          <w:rFonts w:ascii="Times New Roman" w:hAnsi="Times New Roman"/>
          <w:sz w:val="24"/>
          <w:szCs w:val="24"/>
        </w:rPr>
      </w:pPr>
    </w:p>
    <w:p w:rsidR="00470720" w:rsidRPr="006E2136" w:rsidRDefault="0004749E">
      <w:pPr>
        <w:rPr>
          <w:rFonts w:ascii="Times New Roman" w:hAnsi="Times New Roman"/>
          <w:sz w:val="24"/>
          <w:szCs w:val="24"/>
        </w:rPr>
      </w:pPr>
      <w:r w:rsidRPr="006E2136">
        <w:rPr>
          <w:rFonts w:ascii="Times New Roman" w:hAnsi="Times New Roman"/>
          <w:bCs/>
          <w:sz w:val="24"/>
          <w:szCs w:val="24"/>
        </w:rPr>
        <w:t xml:space="preserve">2. </w:t>
      </w:r>
      <w:r w:rsidR="004261AD">
        <w:rPr>
          <w:rFonts w:ascii="Times New Roman" w:hAnsi="Times New Roman"/>
          <w:bCs/>
          <w:sz w:val="24"/>
          <w:szCs w:val="24"/>
        </w:rPr>
        <w:tab/>
      </w:r>
      <w:r w:rsidRPr="006E2136">
        <w:rPr>
          <w:rFonts w:ascii="Times New Roman" w:hAnsi="Times New Roman"/>
          <w:bCs/>
          <w:sz w:val="24"/>
          <w:szCs w:val="24"/>
          <w:u w:val="single"/>
        </w:rPr>
        <w:t>How, by whom, and for what purpose is the information used.</w:t>
      </w:r>
      <w:r w:rsidR="00470720" w:rsidRPr="006E2136">
        <w:rPr>
          <w:rFonts w:ascii="Times New Roman" w:hAnsi="Times New Roman"/>
          <w:b/>
          <w:bCs/>
          <w:sz w:val="24"/>
          <w:szCs w:val="24"/>
        </w:rPr>
        <w:t xml:space="preserve"> </w:t>
      </w:r>
      <w:r w:rsidR="009D4F72" w:rsidRPr="006E2136">
        <w:rPr>
          <w:rFonts w:ascii="Times New Roman" w:hAnsi="Times New Roman"/>
          <w:b/>
          <w:bCs/>
          <w:sz w:val="24"/>
          <w:szCs w:val="24"/>
        </w:rPr>
        <w:t xml:space="preserve"> </w:t>
      </w:r>
    </w:p>
    <w:p w:rsidR="004A25E1" w:rsidRPr="00284872" w:rsidRDefault="004A25E1">
      <w:pPr>
        <w:rPr>
          <w:rFonts w:ascii="Times New Roman" w:hAnsi="Times New Roman"/>
          <w:sz w:val="24"/>
          <w:szCs w:val="24"/>
        </w:rPr>
      </w:pPr>
    </w:p>
    <w:p w:rsidR="0078717D" w:rsidRPr="00284872" w:rsidRDefault="0078717D" w:rsidP="004653DF">
      <w:pPr>
        <w:rPr>
          <w:rFonts w:ascii="Times New Roman" w:hAnsi="Times New Roman"/>
          <w:sz w:val="24"/>
          <w:szCs w:val="24"/>
        </w:rPr>
      </w:pPr>
      <w:r w:rsidRPr="00284872">
        <w:rPr>
          <w:rFonts w:ascii="Times New Roman" w:hAnsi="Times New Roman"/>
          <w:sz w:val="24"/>
          <w:szCs w:val="24"/>
        </w:rPr>
        <w:t xml:space="preserve">The </w:t>
      </w:r>
      <w:r w:rsidR="00A750CA">
        <w:rPr>
          <w:rFonts w:ascii="Times New Roman" w:hAnsi="Times New Roman"/>
          <w:sz w:val="24"/>
          <w:szCs w:val="24"/>
        </w:rPr>
        <w:t xml:space="preserve">subsidiary hazard on a </w:t>
      </w:r>
      <w:r w:rsidRPr="00284872">
        <w:rPr>
          <w:rFonts w:ascii="Times New Roman" w:hAnsi="Times New Roman"/>
          <w:sz w:val="24"/>
          <w:szCs w:val="24"/>
        </w:rPr>
        <w:t xml:space="preserve">shipping paper </w:t>
      </w:r>
      <w:r w:rsidR="00D9663F">
        <w:rPr>
          <w:rFonts w:ascii="Times New Roman" w:hAnsi="Times New Roman"/>
          <w:sz w:val="24"/>
          <w:szCs w:val="24"/>
        </w:rPr>
        <w:t>are</w:t>
      </w:r>
      <w:r w:rsidR="00D9663F" w:rsidRPr="00284872">
        <w:rPr>
          <w:rFonts w:ascii="Times New Roman" w:hAnsi="Times New Roman"/>
          <w:sz w:val="24"/>
          <w:szCs w:val="24"/>
        </w:rPr>
        <w:t xml:space="preserve"> </w:t>
      </w:r>
      <w:r w:rsidRPr="00284872">
        <w:rPr>
          <w:rFonts w:ascii="Times New Roman" w:hAnsi="Times New Roman"/>
          <w:sz w:val="24"/>
          <w:szCs w:val="24"/>
        </w:rPr>
        <w:t xml:space="preserve">considered a hazard communication tool when transporting hazardous materials. </w:t>
      </w:r>
      <w:r w:rsidR="00284872">
        <w:rPr>
          <w:rFonts w:ascii="Times New Roman" w:hAnsi="Times New Roman"/>
          <w:sz w:val="24"/>
          <w:szCs w:val="24"/>
        </w:rPr>
        <w:t xml:space="preserve"> </w:t>
      </w:r>
      <w:r w:rsidRPr="00284872">
        <w:rPr>
          <w:rFonts w:ascii="Times New Roman" w:hAnsi="Times New Roman"/>
          <w:sz w:val="24"/>
          <w:szCs w:val="24"/>
        </w:rPr>
        <w:t xml:space="preserve">It is the mechanism by which an aircraft operator knows the nature and potential of hazardous cargo on board the aircraft. </w:t>
      </w:r>
      <w:r w:rsidR="00284872">
        <w:rPr>
          <w:rFonts w:ascii="Times New Roman" w:hAnsi="Times New Roman"/>
          <w:sz w:val="24"/>
          <w:szCs w:val="24"/>
        </w:rPr>
        <w:t xml:space="preserve"> </w:t>
      </w:r>
      <w:r w:rsidRPr="00284872">
        <w:rPr>
          <w:rFonts w:ascii="Times New Roman" w:hAnsi="Times New Roman"/>
          <w:sz w:val="24"/>
          <w:szCs w:val="24"/>
        </w:rPr>
        <w:t xml:space="preserve">It informs railroad employees of the potential hazards of the materials and is the primary means of communicating information leading to required car handling and placement in trains. </w:t>
      </w:r>
      <w:r w:rsidR="000B7504">
        <w:rPr>
          <w:rFonts w:ascii="Times New Roman" w:hAnsi="Times New Roman"/>
          <w:sz w:val="24"/>
          <w:szCs w:val="24"/>
        </w:rPr>
        <w:t xml:space="preserve"> </w:t>
      </w:r>
      <w:r w:rsidRPr="00284872">
        <w:rPr>
          <w:rFonts w:ascii="Times New Roman" w:hAnsi="Times New Roman"/>
          <w:sz w:val="24"/>
          <w:szCs w:val="24"/>
        </w:rPr>
        <w:t xml:space="preserve">Shipping papers communicate </w:t>
      </w:r>
      <w:r w:rsidRPr="00284872">
        <w:rPr>
          <w:rFonts w:ascii="Times New Roman" w:hAnsi="Times New Roman"/>
          <w:sz w:val="24"/>
          <w:szCs w:val="24"/>
        </w:rPr>
        <w:lastRenderedPageBreak/>
        <w:t>information on cargo compatibility to motor carrier personnel, and advises the vessel master where hazardous material cargo should be stowed to assure compatibility and accessibility.  Consequences which could result from not having the required information on shipping papers include:</w:t>
      </w:r>
    </w:p>
    <w:p w:rsidR="0078717D" w:rsidRPr="001972DB" w:rsidRDefault="0078717D" w:rsidP="004653DF">
      <w:pPr>
        <w:numPr>
          <w:ilvl w:val="0"/>
          <w:numId w:val="15"/>
        </w:numPr>
        <w:rPr>
          <w:rFonts w:ascii="Times New Roman" w:hAnsi="Times New Roman"/>
          <w:sz w:val="24"/>
          <w:szCs w:val="24"/>
        </w:rPr>
      </w:pPr>
      <w:r w:rsidRPr="00284872">
        <w:rPr>
          <w:rFonts w:ascii="Times New Roman" w:hAnsi="Times New Roman"/>
          <w:sz w:val="24"/>
          <w:szCs w:val="24"/>
        </w:rPr>
        <w:t>Co-mingling of hazardous materials in a shipment that could react chemically, causing explosion, fire, poison gas, or other types of reactions in the event of a container failure or accident.</w:t>
      </w:r>
    </w:p>
    <w:p w:rsidR="0078717D" w:rsidRPr="00284872" w:rsidRDefault="0078717D" w:rsidP="004653DF">
      <w:pPr>
        <w:numPr>
          <w:ilvl w:val="0"/>
          <w:numId w:val="15"/>
        </w:numPr>
        <w:rPr>
          <w:rFonts w:ascii="Times New Roman" w:hAnsi="Times New Roman"/>
          <w:sz w:val="24"/>
          <w:szCs w:val="24"/>
        </w:rPr>
      </w:pPr>
      <w:r w:rsidRPr="00284872">
        <w:rPr>
          <w:rFonts w:ascii="Times New Roman" w:hAnsi="Times New Roman"/>
          <w:sz w:val="24"/>
          <w:szCs w:val="24"/>
        </w:rPr>
        <w:t>Contamination of foodstuffs and feed by poisons being shipped on the same transport vehicle.</w:t>
      </w:r>
    </w:p>
    <w:p w:rsidR="0078717D" w:rsidRPr="00284872" w:rsidRDefault="0078717D" w:rsidP="004653DF">
      <w:pPr>
        <w:numPr>
          <w:ilvl w:val="0"/>
          <w:numId w:val="15"/>
        </w:numPr>
        <w:rPr>
          <w:rFonts w:ascii="Times New Roman" w:hAnsi="Times New Roman"/>
          <w:sz w:val="24"/>
          <w:szCs w:val="24"/>
        </w:rPr>
      </w:pPr>
      <w:r w:rsidRPr="00284872">
        <w:rPr>
          <w:rFonts w:ascii="Times New Roman" w:hAnsi="Times New Roman"/>
          <w:sz w:val="24"/>
          <w:szCs w:val="24"/>
        </w:rPr>
        <w:t>Shipment of radioactive materials in the same transport vehicle in quantities which could exceed criticality safety controls, resulting in excessive exposure to vehicle operators/crew or passengers, or with non-radioactive materials (such as x-ray film) that could be contaminated by the radiation emitted from packages of radioactive materials.</w:t>
      </w:r>
    </w:p>
    <w:p w:rsidR="0078717D" w:rsidRPr="00284872" w:rsidRDefault="0078717D" w:rsidP="004653DF">
      <w:pPr>
        <w:numPr>
          <w:ilvl w:val="0"/>
          <w:numId w:val="15"/>
        </w:numPr>
        <w:rPr>
          <w:rFonts w:ascii="Times New Roman" w:hAnsi="Times New Roman"/>
          <w:sz w:val="24"/>
          <w:szCs w:val="24"/>
        </w:rPr>
      </w:pPr>
      <w:r w:rsidRPr="00284872">
        <w:rPr>
          <w:rFonts w:ascii="Times New Roman" w:hAnsi="Times New Roman"/>
          <w:sz w:val="24"/>
          <w:szCs w:val="24"/>
        </w:rPr>
        <w:t>Shipment of hazardous materials greater than authorized to be carried in passenger carrying vehicles.</w:t>
      </w:r>
    </w:p>
    <w:p w:rsidR="0078717D" w:rsidRPr="00284872" w:rsidRDefault="0078717D" w:rsidP="004653DF">
      <w:pPr>
        <w:numPr>
          <w:ilvl w:val="0"/>
          <w:numId w:val="15"/>
        </w:numPr>
        <w:rPr>
          <w:rFonts w:ascii="Times New Roman" w:hAnsi="Times New Roman"/>
          <w:sz w:val="24"/>
          <w:szCs w:val="24"/>
        </w:rPr>
      </w:pPr>
      <w:r w:rsidRPr="00284872">
        <w:rPr>
          <w:rFonts w:ascii="Times New Roman" w:hAnsi="Times New Roman"/>
          <w:sz w:val="24"/>
          <w:szCs w:val="24"/>
        </w:rPr>
        <w:t>Shipment of forbidden materials aboard passenger carrying aircraft, the release of which could cause death or illness to passengers and crew due to contamination of the air system of an aircraft or structural damage to an aircraft.</w:t>
      </w:r>
    </w:p>
    <w:p w:rsidR="0078717D" w:rsidRPr="00284872" w:rsidRDefault="0078717D" w:rsidP="004653DF">
      <w:pPr>
        <w:numPr>
          <w:ilvl w:val="0"/>
          <w:numId w:val="15"/>
        </w:numPr>
        <w:rPr>
          <w:rFonts w:ascii="Times New Roman" w:hAnsi="Times New Roman"/>
          <w:sz w:val="24"/>
          <w:szCs w:val="24"/>
        </w:rPr>
      </w:pPr>
      <w:r w:rsidRPr="00284872">
        <w:rPr>
          <w:rFonts w:ascii="Times New Roman" w:hAnsi="Times New Roman"/>
          <w:sz w:val="24"/>
          <w:szCs w:val="24"/>
        </w:rPr>
        <w:t>Injury, death, and/or severe environmental damage due to lack of accurate emergency response communication information.</w:t>
      </w:r>
    </w:p>
    <w:p w:rsidR="0078717D" w:rsidRPr="00284872" w:rsidRDefault="0078717D" w:rsidP="004653DF">
      <w:pPr>
        <w:numPr>
          <w:ilvl w:val="0"/>
          <w:numId w:val="15"/>
        </w:numPr>
        <w:rPr>
          <w:rFonts w:ascii="Times New Roman" w:hAnsi="Times New Roman"/>
          <w:sz w:val="24"/>
          <w:szCs w:val="24"/>
        </w:rPr>
      </w:pPr>
      <w:r w:rsidRPr="00284872">
        <w:rPr>
          <w:rFonts w:ascii="Times New Roman" w:hAnsi="Times New Roman"/>
          <w:sz w:val="24"/>
          <w:szCs w:val="24"/>
        </w:rPr>
        <w:t>Incorrect emergency response procedures resulting from lack of sufficient information regarding the hazards of the materials being transported.  For example, firefighters may attempt to extinguish fires with water leading to catastrophic consequences if they are not advised by shipping papers and emergency response information that the materials are water reactive.</w:t>
      </w:r>
    </w:p>
    <w:p w:rsidR="0078717D" w:rsidRPr="00284872" w:rsidRDefault="0078717D" w:rsidP="004653DF">
      <w:pPr>
        <w:rPr>
          <w:rFonts w:ascii="Times New Roman" w:hAnsi="Times New Roman"/>
          <w:sz w:val="24"/>
          <w:szCs w:val="24"/>
        </w:rPr>
      </w:pPr>
    </w:p>
    <w:p w:rsidR="0078717D" w:rsidRDefault="0078717D" w:rsidP="004653DF">
      <w:pPr>
        <w:rPr>
          <w:rFonts w:ascii="Times New Roman" w:hAnsi="Times New Roman"/>
        </w:rPr>
      </w:pPr>
    </w:p>
    <w:p w:rsidR="00470720" w:rsidRPr="006E2136" w:rsidRDefault="0004749E" w:rsidP="001972DB">
      <w:pPr>
        <w:rPr>
          <w:rFonts w:ascii="Times New Roman" w:hAnsi="Times New Roman"/>
          <w:b/>
          <w:sz w:val="24"/>
          <w:szCs w:val="24"/>
        </w:rPr>
      </w:pPr>
      <w:r w:rsidRPr="006E2136">
        <w:rPr>
          <w:rFonts w:ascii="Times New Roman" w:hAnsi="Times New Roman"/>
          <w:bCs/>
          <w:sz w:val="24"/>
          <w:szCs w:val="24"/>
        </w:rPr>
        <w:t xml:space="preserve">3. </w:t>
      </w:r>
      <w:r w:rsidR="00ED56CE">
        <w:rPr>
          <w:rFonts w:ascii="Times New Roman" w:hAnsi="Times New Roman"/>
          <w:bCs/>
          <w:sz w:val="24"/>
          <w:szCs w:val="24"/>
        </w:rPr>
        <w:tab/>
      </w:r>
      <w:r w:rsidRPr="006E2136">
        <w:rPr>
          <w:rFonts w:ascii="Times New Roman" w:hAnsi="Times New Roman"/>
          <w:bCs/>
          <w:sz w:val="24"/>
          <w:szCs w:val="24"/>
          <w:u w:val="single"/>
        </w:rPr>
        <w:t>Extent of automated information collection.</w:t>
      </w:r>
      <w:r w:rsidR="00470720" w:rsidRPr="006E2136">
        <w:rPr>
          <w:rFonts w:ascii="Times New Roman" w:hAnsi="Times New Roman"/>
          <w:b/>
          <w:bCs/>
          <w:sz w:val="24"/>
          <w:szCs w:val="24"/>
        </w:rPr>
        <w:t xml:space="preserve"> </w:t>
      </w:r>
      <w:r w:rsidR="009D4F72" w:rsidRPr="006E2136">
        <w:rPr>
          <w:rFonts w:ascii="Times New Roman" w:hAnsi="Times New Roman"/>
          <w:b/>
          <w:bCs/>
          <w:sz w:val="24"/>
          <w:szCs w:val="24"/>
        </w:rPr>
        <w:t xml:space="preserve"> </w:t>
      </w:r>
    </w:p>
    <w:p w:rsidR="004A25E1" w:rsidRPr="006E2136" w:rsidRDefault="004A25E1">
      <w:pPr>
        <w:rPr>
          <w:rFonts w:ascii="Times New Roman" w:hAnsi="Times New Roman"/>
          <w:sz w:val="24"/>
          <w:szCs w:val="24"/>
        </w:rPr>
      </w:pPr>
    </w:p>
    <w:p w:rsidR="0078717D" w:rsidRPr="0078717D" w:rsidRDefault="00106CD0" w:rsidP="004653DF">
      <w:pPr>
        <w:rPr>
          <w:rFonts w:ascii="Times New Roman" w:hAnsi="Times New Roman"/>
          <w:sz w:val="24"/>
          <w:szCs w:val="24"/>
        </w:rPr>
      </w:pPr>
      <w:r>
        <w:rPr>
          <w:rFonts w:ascii="Times New Roman" w:hAnsi="Times New Roman"/>
          <w:sz w:val="24"/>
          <w:szCs w:val="24"/>
        </w:rPr>
        <w:t>The Department of Transportation’s (</w:t>
      </w:r>
      <w:r w:rsidR="0078717D" w:rsidRPr="0078717D">
        <w:rPr>
          <w:rFonts w:ascii="Times New Roman" w:hAnsi="Times New Roman"/>
          <w:sz w:val="24"/>
          <w:szCs w:val="24"/>
        </w:rPr>
        <w:t>DOT</w:t>
      </w:r>
      <w:r>
        <w:rPr>
          <w:rFonts w:ascii="Times New Roman" w:hAnsi="Times New Roman"/>
          <w:sz w:val="24"/>
          <w:szCs w:val="24"/>
        </w:rPr>
        <w:t xml:space="preserve">) </w:t>
      </w:r>
      <w:r w:rsidR="0078717D" w:rsidRPr="0078717D">
        <w:rPr>
          <w:rFonts w:ascii="Times New Roman" w:hAnsi="Times New Roman"/>
          <w:sz w:val="24"/>
          <w:szCs w:val="24"/>
        </w:rPr>
        <w:t xml:space="preserve">emphasis is on the information displayed on shipping papers, consistency, and quick recognition.  Any document, meeting the definition of a shipping paper in </w:t>
      </w:r>
      <w:r w:rsidR="00284872" w:rsidRPr="003D3495">
        <w:rPr>
          <w:rFonts w:ascii="Times New Roman" w:hAnsi="Times New Roman"/>
          <w:sz w:val="24"/>
          <w:szCs w:val="24"/>
        </w:rPr>
        <w:t>§</w:t>
      </w:r>
      <w:r w:rsidR="0078717D" w:rsidRPr="0078717D">
        <w:rPr>
          <w:rFonts w:ascii="Times New Roman" w:hAnsi="Times New Roman"/>
          <w:sz w:val="24"/>
          <w:szCs w:val="24"/>
        </w:rPr>
        <w:t xml:space="preserve"> 171.8 and the requirements in Subpart C and G of Part 172, used in the normal course of business is a shipping paper.  The Government Paperwork Elimination Act directs agencies to allow the option of electronic filing and recordkeeping by October 2003, when practicable.  Electronic filing and recordkeeping is authorized</w:t>
      </w:r>
      <w:r w:rsidR="00D9663F">
        <w:rPr>
          <w:rFonts w:ascii="Times New Roman" w:hAnsi="Times New Roman"/>
          <w:sz w:val="24"/>
          <w:szCs w:val="24"/>
        </w:rPr>
        <w:t>.</w:t>
      </w:r>
    </w:p>
    <w:p w:rsidR="0004749E" w:rsidRDefault="0004749E" w:rsidP="001972DB">
      <w:pPr>
        <w:rPr>
          <w:rFonts w:ascii="Times New Roman" w:hAnsi="Times New Roman"/>
          <w:sz w:val="24"/>
          <w:szCs w:val="24"/>
        </w:rPr>
      </w:pPr>
    </w:p>
    <w:p w:rsidR="009816DD" w:rsidRPr="006E2136" w:rsidRDefault="009816DD">
      <w:pPr>
        <w:rPr>
          <w:rFonts w:ascii="Times New Roman" w:hAnsi="Times New Roman"/>
          <w:sz w:val="24"/>
          <w:szCs w:val="24"/>
        </w:rPr>
      </w:pPr>
    </w:p>
    <w:p w:rsidR="009816DD" w:rsidRPr="006E2136" w:rsidRDefault="0004749E" w:rsidP="004653DF">
      <w:pPr>
        <w:pStyle w:val="NormalWeb"/>
        <w:spacing w:before="0" w:beforeAutospacing="0" w:after="0" w:afterAutospacing="0"/>
        <w:rPr>
          <w:rFonts w:ascii="Times New Roman" w:hAnsi="Times New Roman" w:cs="Times New Roman"/>
          <w:b/>
          <w:bCs/>
          <w:u w:val="single"/>
        </w:rPr>
      </w:pPr>
      <w:r w:rsidRPr="006E2136">
        <w:rPr>
          <w:rFonts w:ascii="Times New Roman" w:hAnsi="Times New Roman" w:cs="Times New Roman"/>
          <w:bCs/>
        </w:rPr>
        <w:t xml:space="preserve">4. </w:t>
      </w:r>
      <w:r w:rsidR="00ED56CE">
        <w:rPr>
          <w:rFonts w:ascii="Times New Roman" w:hAnsi="Times New Roman" w:cs="Times New Roman"/>
          <w:bCs/>
        </w:rPr>
        <w:tab/>
      </w:r>
      <w:r w:rsidRPr="006E2136">
        <w:rPr>
          <w:rFonts w:ascii="Times New Roman" w:hAnsi="Times New Roman" w:cs="Times New Roman"/>
          <w:bCs/>
          <w:u w:val="single"/>
        </w:rPr>
        <w:t>Efforts to identify duplication.</w:t>
      </w:r>
    </w:p>
    <w:p w:rsidR="00903F9C" w:rsidRDefault="00903F9C" w:rsidP="004653DF">
      <w:pPr>
        <w:pStyle w:val="NormalWeb"/>
        <w:spacing w:before="0" w:beforeAutospacing="0" w:after="0" w:afterAutospacing="0"/>
      </w:pPr>
    </w:p>
    <w:p w:rsidR="0078717D" w:rsidRPr="0078717D" w:rsidRDefault="0078717D" w:rsidP="004653DF">
      <w:pPr>
        <w:rPr>
          <w:rFonts w:ascii="Times New Roman" w:hAnsi="Times New Roman"/>
          <w:sz w:val="24"/>
          <w:szCs w:val="24"/>
        </w:rPr>
      </w:pPr>
      <w:r w:rsidRPr="0078717D">
        <w:rPr>
          <w:rFonts w:ascii="Times New Roman" w:hAnsi="Times New Roman"/>
          <w:sz w:val="24"/>
          <w:szCs w:val="24"/>
        </w:rPr>
        <w:t xml:space="preserve">DOT hazardous materials shipping paper and emergency response information requirements do not duplicate any other documentation system for identifying hazardous materials transported in commerce. </w:t>
      </w:r>
      <w:r w:rsidR="00284872">
        <w:rPr>
          <w:rFonts w:ascii="Times New Roman" w:hAnsi="Times New Roman"/>
          <w:sz w:val="24"/>
          <w:szCs w:val="24"/>
        </w:rPr>
        <w:t xml:space="preserve"> </w:t>
      </w:r>
      <w:r w:rsidRPr="0078717D">
        <w:rPr>
          <w:rFonts w:ascii="Times New Roman" w:hAnsi="Times New Roman"/>
          <w:sz w:val="24"/>
          <w:szCs w:val="24"/>
        </w:rPr>
        <w:t xml:space="preserve">DOT and </w:t>
      </w:r>
      <w:r w:rsidR="00106CD0">
        <w:rPr>
          <w:rFonts w:ascii="Times New Roman" w:hAnsi="Times New Roman"/>
          <w:sz w:val="24"/>
          <w:szCs w:val="24"/>
        </w:rPr>
        <w:t>the Environmental Protection Agency (</w:t>
      </w:r>
      <w:r w:rsidRPr="0078717D">
        <w:rPr>
          <w:rFonts w:ascii="Times New Roman" w:hAnsi="Times New Roman"/>
          <w:sz w:val="24"/>
          <w:szCs w:val="24"/>
        </w:rPr>
        <w:t>EPA</w:t>
      </w:r>
      <w:r w:rsidR="00106CD0">
        <w:rPr>
          <w:rFonts w:ascii="Times New Roman" w:hAnsi="Times New Roman"/>
          <w:sz w:val="24"/>
          <w:szCs w:val="24"/>
        </w:rPr>
        <w:t>)</w:t>
      </w:r>
      <w:r w:rsidRPr="0078717D">
        <w:rPr>
          <w:rFonts w:ascii="Times New Roman" w:hAnsi="Times New Roman"/>
          <w:sz w:val="24"/>
          <w:szCs w:val="24"/>
        </w:rPr>
        <w:t xml:space="preserve"> coordinated the hazardous waste manifest requirements to avoid duplication. </w:t>
      </w:r>
      <w:r w:rsidR="00284872">
        <w:rPr>
          <w:rFonts w:ascii="Times New Roman" w:hAnsi="Times New Roman"/>
          <w:sz w:val="24"/>
          <w:szCs w:val="24"/>
        </w:rPr>
        <w:t xml:space="preserve"> </w:t>
      </w:r>
      <w:r w:rsidRPr="0078717D">
        <w:rPr>
          <w:rFonts w:ascii="Times New Roman" w:hAnsi="Times New Roman"/>
          <w:sz w:val="24"/>
          <w:szCs w:val="24"/>
        </w:rPr>
        <w:t>EPA agreed that DOT regulations prevail for carriers of hazardous wastes and revised their manifest requirements so the required entries could be made on one document to comply with both EPA hazardous waste requirements and DOT shipping paper and emergency response information requirements.</w:t>
      </w:r>
    </w:p>
    <w:p w:rsidR="0078717D" w:rsidRPr="0078717D" w:rsidRDefault="0078717D" w:rsidP="004653DF">
      <w:pPr>
        <w:rPr>
          <w:rFonts w:ascii="Times New Roman" w:hAnsi="Times New Roman"/>
          <w:sz w:val="24"/>
          <w:szCs w:val="24"/>
        </w:rPr>
      </w:pPr>
    </w:p>
    <w:p w:rsidR="0078717D" w:rsidRPr="0078717D" w:rsidRDefault="0078717D" w:rsidP="004653DF">
      <w:pPr>
        <w:rPr>
          <w:rFonts w:ascii="Times New Roman" w:hAnsi="Times New Roman"/>
          <w:sz w:val="24"/>
          <w:szCs w:val="24"/>
        </w:rPr>
      </w:pPr>
      <w:r w:rsidRPr="0078717D">
        <w:rPr>
          <w:rFonts w:ascii="Times New Roman" w:hAnsi="Times New Roman"/>
          <w:sz w:val="24"/>
          <w:szCs w:val="24"/>
        </w:rPr>
        <w:lastRenderedPageBreak/>
        <w:t xml:space="preserve">To a limited degree, some of the information required on the shipping papers is already available through required markings on the outside of packages. </w:t>
      </w:r>
      <w:r w:rsidR="00284872">
        <w:rPr>
          <w:rFonts w:ascii="Times New Roman" w:hAnsi="Times New Roman"/>
          <w:sz w:val="24"/>
          <w:szCs w:val="24"/>
        </w:rPr>
        <w:t xml:space="preserve"> </w:t>
      </w:r>
      <w:r w:rsidRPr="0078717D">
        <w:rPr>
          <w:rFonts w:ascii="Times New Roman" w:hAnsi="Times New Roman"/>
          <w:sz w:val="24"/>
          <w:szCs w:val="24"/>
        </w:rPr>
        <w:t xml:space="preserve">However, it would be very difficult to accomplish effective communication for emergency response and compliance with various transportation requirements by using only the markings on packages. </w:t>
      </w:r>
      <w:r w:rsidR="00284872">
        <w:rPr>
          <w:rFonts w:ascii="Times New Roman" w:hAnsi="Times New Roman"/>
          <w:sz w:val="24"/>
          <w:szCs w:val="24"/>
        </w:rPr>
        <w:t xml:space="preserve"> </w:t>
      </w:r>
      <w:r w:rsidRPr="0078717D">
        <w:rPr>
          <w:rFonts w:ascii="Times New Roman" w:hAnsi="Times New Roman"/>
          <w:sz w:val="24"/>
          <w:szCs w:val="24"/>
        </w:rPr>
        <w:t>In most cases, the packages are not visible during transportation and would not serve the same benefit as the shipping paper and emergency response information in providing effective communication.</w:t>
      </w:r>
    </w:p>
    <w:p w:rsidR="0004749E" w:rsidRDefault="0004749E" w:rsidP="001972DB">
      <w:pPr>
        <w:rPr>
          <w:rFonts w:ascii="Times New Roman" w:hAnsi="Times New Roman"/>
          <w:sz w:val="24"/>
          <w:szCs w:val="24"/>
        </w:rPr>
      </w:pPr>
    </w:p>
    <w:p w:rsidR="009816DD" w:rsidRPr="006E2136" w:rsidRDefault="009816DD">
      <w:pPr>
        <w:rPr>
          <w:rFonts w:ascii="Times New Roman" w:hAnsi="Times New Roman"/>
          <w:sz w:val="24"/>
          <w:szCs w:val="24"/>
        </w:rPr>
      </w:pPr>
    </w:p>
    <w:p w:rsidR="00470720" w:rsidRPr="006E2136" w:rsidRDefault="0004749E">
      <w:pPr>
        <w:rPr>
          <w:rFonts w:ascii="Times New Roman" w:hAnsi="Times New Roman"/>
          <w:sz w:val="24"/>
          <w:szCs w:val="24"/>
        </w:rPr>
      </w:pPr>
      <w:r w:rsidRPr="006E2136">
        <w:rPr>
          <w:rFonts w:ascii="Times New Roman" w:hAnsi="Times New Roman"/>
          <w:bCs/>
          <w:sz w:val="24"/>
          <w:szCs w:val="24"/>
        </w:rPr>
        <w:t>5.</w:t>
      </w:r>
      <w:r w:rsidR="00ED56CE">
        <w:rPr>
          <w:rFonts w:ascii="Times New Roman" w:hAnsi="Times New Roman"/>
          <w:bCs/>
          <w:sz w:val="24"/>
          <w:szCs w:val="24"/>
        </w:rPr>
        <w:tab/>
      </w:r>
      <w:r w:rsidRPr="006E2136">
        <w:rPr>
          <w:rFonts w:ascii="Times New Roman" w:hAnsi="Times New Roman"/>
          <w:bCs/>
          <w:sz w:val="24"/>
          <w:szCs w:val="24"/>
          <w:u w:val="single"/>
        </w:rPr>
        <w:t>Efforts to minimize the burden on small businesses</w:t>
      </w:r>
      <w:r w:rsidRPr="006B25B4">
        <w:rPr>
          <w:rFonts w:ascii="Times New Roman" w:hAnsi="Times New Roman"/>
          <w:bCs/>
          <w:sz w:val="24"/>
          <w:szCs w:val="24"/>
          <w:u w:val="single"/>
        </w:rPr>
        <w:t>.</w:t>
      </w:r>
      <w:r w:rsidR="00470720" w:rsidRPr="006E2136">
        <w:rPr>
          <w:rFonts w:ascii="Times New Roman" w:hAnsi="Times New Roman"/>
          <w:b/>
          <w:bCs/>
          <w:sz w:val="24"/>
          <w:szCs w:val="24"/>
        </w:rPr>
        <w:t xml:space="preserve">  </w:t>
      </w:r>
      <w:r w:rsidR="008F2CDB" w:rsidRPr="006E2136">
        <w:rPr>
          <w:rFonts w:ascii="Times New Roman" w:hAnsi="Times New Roman"/>
          <w:b/>
          <w:sz w:val="24"/>
          <w:szCs w:val="24"/>
        </w:rPr>
        <w:br/>
      </w:r>
    </w:p>
    <w:p w:rsidR="0078717D" w:rsidRPr="0078717D" w:rsidRDefault="0078717D" w:rsidP="004653DF">
      <w:pPr>
        <w:rPr>
          <w:rFonts w:ascii="Times New Roman" w:hAnsi="Times New Roman"/>
          <w:sz w:val="24"/>
          <w:szCs w:val="24"/>
        </w:rPr>
      </w:pPr>
      <w:r w:rsidRPr="0078717D">
        <w:rPr>
          <w:rFonts w:ascii="Times New Roman" w:hAnsi="Times New Roman"/>
          <w:sz w:val="24"/>
          <w:szCs w:val="24"/>
        </w:rPr>
        <w:t>Unless specifically excepted in the HMR, shipping papers and emergency response information must be prepared by all persons offering hazardous materials for transportation.  Some kind of shipping document is issued in all normal business transactions</w:t>
      </w:r>
      <w:r w:rsidR="0000083D">
        <w:rPr>
          <w:rFonts w:ascii="Times New Roman" w:hAnsi="Times New Roman"/>
          <w:sz w:val="24"/>
          <w:szCs w:val="24"/>
        </w:rPr>
        <w:t>.</w:t>
      </w:r>
      <w:r w:rsidR="00012A65">
        <w:rPr>
          <w:rFonts w:ascii="Times New Roman" w:hAnsi="Times New Roman"/>
          <w:sz w:val="24"/>
          <w:szCs w:val="24"/>
        </w:rPr>
        <w:t xml:space="preserve">  However, this burden is only required if a hazardous material being shipped has a subsidiary hazard.</w:t>
      </w:r>
    </w:p>
    <w:p w:rsidR="0004749E" w:rsidRDefault="0004749E" w:rsidP="001972DB">
      <w:pPr>
        <w:rPr>
          <w:rFonts w:ascii="Times New Roman" w:hAnsi="Times New Roman"/>
          <w:sz w:val="24"/>
          <w:szCs w:val="24"/>
        </w:rPr>
      </w:pPr>
    </w:p>
    <w:p w:rsidR="009816DD" w:rsidRPr="006E2136" w:rsidRDefault="009816DD">
      <w:pPr>
        <w:rPr>
          <w:rFonts w:ascii="Times New Roman" w:hAnsi="Times New Roman"/>
          <w:sz w:val="24"/>
          <w:szCs w:val="24"/>
        </w:rPr>
      </w:pPr>
    </w:p>
    <w:p w:rsidR="00470720" w:rsidRPr="006E2136" w:rsidRDefault="0004749E">
      <w:pPr>
        <w:rPr>
          <w:rFonts w:ascii="Times New Roman" w:hAnsi="Times New Roman"/>
          <w:sz w:val="24"/>
          <w:szCs w:val="24"/>
        </w:rPr>
      </w:pPr>
      <w:r w:rsidRPr="006E2136">
        <w:rPr>
          <w:rFonts w:ascii="Times New Roman" w:hAnsi="Times New Roman"/>
          <w:bCs/>
          <w:sz w:val="24"/>
          <w:szCs w:val="24"/>
        </w:rPr>
        <w:t>6.</w:t>
      </w:r>
      <w:r w:rsidR="00ED56CE">
        <w:rPr>
          <w:rFonts w:ascii="Times New Roman" w:hAnsi="Times New Roman"/>
          <w:bCs/>
          <w:sz w:val="24"/>
          <w:szCs w:val="24"/>
        </w:rPr>
        <w:tab/>
      </w:r>
      <w:r w:rsidRPr="006E2136">
        <w:rPr>
          <w:rFonts w:ascii="Times New Roman" w:hAnsi="Times New Roman"/>
          <w:bCs/>
          <w:sz w:val="24"/>
          <w:szCs w:val="24"/>
        </w:rPr>
        <w:t xml:space="preserve"> </w:t>
      </w:r>
      <w:r w:rsidRPr="006E2136">
        <w:rPr>
          <w:rFonts w:ascii="Times New Roman" w:hAnsi="Times New Roman"/>
          <w:bCs/>
          <w:sz w:val="24"/>
          <w:szCs w:val="24"/>
          <w:u w:val="single"/>
        </w:rPr>
        <w:t>Impact of less frequent collection of information</w:t>
      </w:r>
      <w:r w:rsidRPr="006B25B4">
        <w:rPr>
          <w:rFonts w:ascii="Times New Roman" w:hAnsi="Times New Roman"/>
          <w:bCs/>
          <w:sz w:val="24"/>
          <w:szCs w:val="24"/>
          <w:u w:val="single"/>
        </w:rPr>
        <w:t>.</w:t>
      </w:r>
      <w:r w:rsidR="00470720" w:rsidRPr="006E2136">
        <w:rPr>
          <w:rFonts w:ascii="Times New Roman" w:hAnsi="Times New Roman"/>
          <w:b/>
          <w:bCs/>
          <w:sz w:val="24"/>
          <w:szCs w:val="24"/>
          <w:u w:val="single"/>
        </w:rPr>
        <w:t xml:space="preserve">  </w:t>
      </w:r>
      <w:r w:rsidR="008F2CDB" w:rsidRPr="006E2136">
        <w:rPr>
          <w:rFonts w:ascii="Times New Roman" w:hAnsi="Times New Roman"/>
          <w:b/>
          <w:sz w:val="24"/>
          <w:szCs w:val="24"/>
        </w:rPr>
        <w:br/>
      </w:r>
    </w:p>
    <w:p w:rsidR="0078717D" w:rsidRPr="0078717D" w:rsidRDefault="0078717D" w:rsidP="004653DF">
      <w:pPr>
        <w:rPr>
          <w:rFonts w:ascii="Times New Roman" w:hAnsi="Times New Roman"/>
          <w:sz w:val="24"/>
          <w:szCs w:val="24"/>
        </w:rPr>
      </w:pPr>
      <w:r w:rsidRPr="0078717D">
        <w:rPr>
          <w:rFonts w:ascii="Times New Roman" w:hAnsi="Times New Roman"/>
          <w:sz w:val="24"/>
          <w:szCs w:val="24"/>
        </w:rPr>
        <w:t>This is a one-time requirement each time a hazardous material shipment is offered for transportation in commerce.</w:t>
      </w:r>
      <w:r w:rsidR="001972DB">
        <w:rPr>
          <w:rFonts w:ascii="Times New Roman" w:hAnsi="Times New Roman"/>
          <w:sz w:val="24"/>
          <w:szCs w:val="24"/>
        </w:rPr>
        <w:t xml:space="preserve">  In addition, it is only required when a hazardous material has a subsidiary hazard.</w:t>
      </w:r>
    </w:p>
    <w:p w:rsidR="0004749E" w:rsidRDefault="0004749E" w:rsidP="001972DB">
      <w:pPr>
        <w:rPr>
          <w:rFonts w:ascii="Times New Roman" w:hAnsi="Times New Roman"/>
          <w:sz w:val="24"/>
          <w:szCs w:val="24"/>
        </w:rPr>
      </w:pPr>
    </w:p>
    <w:p w:rsidR="009816DD" w:rsidRPr="00ED56CE" w:rsidRDefault="009816DD">
      <w:pPr>
        <w:rPr>
          <w:rFonts w:ascii="Times New Roman" w:hAnsi="Times New Roman"/>
          <w:sz w:val="24"/>
          <w:szCs w:val="24"/>
        </w:rPr>
      </w:pPr>
    </w:p>
    <w:p w:rsidR="00ED56CE" w:rsidRPr="00ED56CE" w:rsidRDefault="009D4F72">
      <w:pPr>
        <w:rPr>
          <w:rFonts w:ascii="Times New Roman" w:hAnsi="Times New Roman"/>
          <w:sz w:val="24"/>
          <w:szCs w:val="24"/>
        </w:rPr>
      </w:pPr>
      <w:r w:rsidRPr="00ED56CE">
        <w:rPr>
          <w:rFonts w:ascii="Times New Roman" w:hAnsi="Times New Roman"/>
          <w:sz w:val="24"/>
          <w:szCs w:val="24"/>
        </w:rPr>
        <w:t>7</w:t>
      </w:r>
      <w:r w:rsidR="0004749E" w:rsidRPr="00ED56CE">
        <w:rPr>
          <w:rFonts w:ascii="Times New Roman" w:hAnsi="Times New Roman"/>
          <w:sz w:val="24"/>
          <w:szCs w:val="24"/>
        </w:rPr>
        <w:t xml:space="preserve">. </w:t>
      </w:r>
      <w:r w:rsidR="00ED56CE">
        <w:rPr>
          <w:rFonts w:ascii="Times New Roman" w:hAnsi="Times New Roman"/>
          <w:sz w:val="24"/>
          <w:szCs w:val="24"/>
        </w:rPr>
        <w:tab/>
      </w:r>
      <w:r w:rsidR="0004749E" w:rsidRPr="00ED56CE">
        <w:rPr>
          <w:rFonts w:ascii="Times New Roman" w:hAnsi="Times New Roman"/>
          <w:sz w:val="24"/>
          <w:szCs w:val="24"/>
          <w:u w:val="single"/>
        </w:rPr>
        <w:t>Special circumstances.</w:t>
      </w:r>
      <w:r w:rsidR="00470720" w:rsidRPr="00ED56CE">
        <w:rPr>
          <w:rFonts w:ascii="Times New Roman" w:hAnsi="Times New Roman"/>
          <w:sz w:val="24"/>
          <w:szCs w:val="24"/>
        </w:rPr>
        <w:t xml:space="preserve"> </w:t>
      </w:r>
    </w:p>
    <w:p w:rsidR="00ED56CE" w:rsidRPr="00ED56CE" w:rsidRDefault="00ED56CE">
      <w:pPr>
        <w:rPr>
          <w:rFonts w:ascii="Times New Roman" w:hAnsi="Times New Roman"/>
          <w:sz w:val="24"/>
          <w:szCs w:val="24"/>
        </w:rPr>
      </w:pPr>
    </w:p>
    <w:p w:rsidR="0078717D" w:rsidRPr="0078717D" w:rsidRDefault="0078717D">
      <w:pPr>
        <w:rPr>
          <w:rFonts w:ascii="Times New Roman" w:hAnsi="Times New Roman"/>
          <w:sz w:val="24"/>
          <w:szCs w:val="24"/>
        </w:rPr>
      </w:pPr>
      <w:r w:rsidRPr="0078717D">
        <w:rPr>
          <w:rFonts w:ascii="Times New Roman" w:hAnsi="Times New Roman"/>
          <w:sz w:val="24"/>
          <w:szCs w:val="24"/>
        </w:rPr>
        <w:t xml:space="preserve">This collection of information is generally conducted in a manner consistent with the guidelines in 5 CFR 1320.5(d)(2) with the following qualifications: </w:t>
      </w:r>
    </w:p>
    <w:p w:rsidR="0078717D" w:rsidRPr="0078717D" w:rsidRDefault="0078717D">
      <w:pPr>
        <w:rPr>
          <w:rFonts w:ascii="Times New Roman" w:hAnsi="Times New Roman"/>
          <w:sz w:val="24"/>
          <w:szCs w:val="24"/>
        </w:rPr>
      </w:pPr>
    </w:p>
    <w:p w:rsidR="003D371E" w:rsidRDefault="0078717D">
      <w:pPr>
        <w:numPr>
          <w:ilvl w:val="0"/>
          <w:numId w:val="12"/>
        </w:numPr>
        <w:rPr>
          <w:rFonts w:ascii="Times New Roman" w:hAnsi="Times New Roman"/>
          <w:sz w:val="24"/>
          <w:szCs w:val="24"/>
        </w:rPr>
      </w:pPr>
      <w:r w:rsidRPr="0078717D">
        <w:rPr>
          <w:rFonts w:ascii="Times New Roman" w:hAnsi="Times New Roman"/>
          <w:sz w:val="24"/>
          <w:szCs w:val="24"/>
        </w:rPr>
        <w:t>It is not possible to eliminate or shorten the information required by the HMR for shipping papers and still provide the information necessary for emergency response personnel, carriers, and transport workers.</w:t>
      </w:r>
    </w:p>
    <w:p w:rsidR="0078717D" w:rsidRPr="0078717D" w:rsidRDefault="0078717D">
      <w:pPr>
        <w:numPr>
          <w:ilvl w:val="0"/>
          <w:numId w:val="12"/>
        </w:numPr>
        <w:rPr>
          <w:rFonts w:ascii="Times New Roman" w:hAnsi="Times New Roman"/>
          <w:sz w:val="24"/>
          <w:szCs w:val="24"/>
        </w:rPr>
      </w:pPr>
      <w:r w:rsidRPr="0078717D">
        <w:rPr>
          <w:rFonts w:ascii="Times New Roman" w:hAnsi="Times New Roman"/>
          <w:sz w:val="24"/>
          <w:szCs w:val="24"/>
        </w:rPr>
        <w:t>Shipping paper retention for one year was mandated by Congress and was self</w:t>
      </w:r>
      <w:r w:rsidR="00190480">
        <w:rPr>
          <w:rFonts w:ascii="Times New Roman" w:hAnsi="Times New Roman"/>
          <w:sz w:val="24"/>
          <w:szCs w:val="24"/>
        </w:rPr>
        <w:t>-</w:t>
      </w:r>
      <w:r w:rsidRPr="0078717D">
        <w:rPr>
          <w:rFonts w:ascii="Times New Roman" w:hAnsi="Times New Roman"/>
          <w:sz w:val="24"/>
          <w:szCs w:val="24"/>
        </w:rPr>
        <w:t xml:space="preserve">executing as of August 26, 1994 under the HMTAA of 1994. </w:t>
      </w:r>
      <w:r w:rsidR="00B72CA7">
        <w:rPr>
          <w:rFonts w:ascii="Times New Roman" w:hAnsi="Times New Roman"/>
          <w:sz w:val="24"/>
          <w:szCs w:val="24"/>
        </w:rPr>
        <w:t xml:space="preserve"> </w:t>
      </w:r>
      <w:r w:rsidRPr="0078717D">
        <w:rPr>
          <w:rFonts w:ascii="Times New Roman" w:hAnsi="Times New Roman"/>
          <w:sz w:val="24"/>
          <w:szCs w:val="24"/>
        </w:rPr>
        <w:t>Shipping papers are already required to be retained by other Federal and state requirements, and therefore, are not considered duplicative</w:t>
      </w:r>
      <w:r w:rsidR="00190480">
        <w:rPr>
          <w:rFonts w:ascii="Times New Roman" w:hAnsi="Times New Roman"/>
          <w:sz w:val="24"/>
          <w:szCs w:val="24"/>
        </w:rPr>
        <w:t xml:space="preserve">.  </w:t>
      </w:r>
      <w:r w:rsidRPr="0078717D">
        <w:rPr>
          <w:rFonts w:ascii="Times New Roman" w:hAnsi="Times New Roman"/>
          <w:sz w:val="24"/>
          <w:szCs w:val="24"/>
        </w:rPr>
        <w:t>PHMSA has no discretion regarding this requirement.</w:t>
      </w:r>
    </w:p>
    <w:p w:rsidR="0078717D" w:rsidRPr="0078717D" w:rsidRDefault="0078717D">
      <w:pPr>
        <w:numPr>
          <w:ilvl w:val="0"/>
          <w:numId w:val="12"/>
        </w:numPr>
        <w:rPr>
          <w:rFonts w:ascii="Times New Roman" w:hAnsi="Times New Roman"/>
          <w:sz w:val="24"/>
          <w:szCs w:val="24"/>
        </w:rPr>
      </w:pPr>
      <w:r w:rsidRPr="0078717D">
        <w:rPr>
          <w:rFonts w:ascii="Times New Roman" w:hAnsi="Times New Roman"/>
          <w:sz w:val="24"/>
          <w:szCs w:val="24"/>
        </w:rPr>
        <w:t>Hazardous materials shipping paper and emergency response information is also required when transporting hazardous materials in international commerce.</w:t>
      </w:r>
    </w:p>
    <w:p w:rsidR="004261AD" w:rsidRDefault="004261AD">
      <w:pPr>
        <w:rPr>
          <w:rFonts w:ascii="Times New Roman" w:hAnsi="Times New Roman"/>
          <w:bCs/>
          <w:sz w:val="24"/>
          <w:szCs w:val="24"/>
        </w:rPr>
      </w:pPr>
    </w:p>
    <w:p w:rsidR="001972DB" w:rsidRDefault="001972DB">
      <w:pPr>
        <w:rPr>
          <w:rFonts w:ascii="Times New Roman" w:hAnsi="Times New Roman"/>
          <w:bCs/>
          <w:sz w:val="24"/>
          <w:szCs w:val="24"/>
        </w:rPr>
      </w:pPr>
    </w:p>
    <w:p w:rsidR="00470720" w:rsidRPr="006E2136" w:rsidRDefault="0004749E">
      <w:pPr>
        <w:rPr>
          <w:rFonts w:ascii="Times New Roman" w:hAnsi="Times New Roman"/>
          <w:sz w:val="24"/>
          <w:szCs w:val="24"/>
        </w:rPr>
      </w:pPr>
      <w:r w:rsidRPr="006E2136">
        <w:rPr>
          <w:rFonts w:ascii="Times New Roman" w:hAnsi="Times New Roman"/>
          <w:bCs/>
          <w:sz w:val="24"/>
          <w:szCs w:val="24"/>
        </w:rPr>
        <w:t xml:space="preserve">8. </w:t>
      </w:r>
      <w:r w:rsidR="00ED56CE">
        <w:rPr>
          <w:rFonts w:ascii="Times New Roman" w:hAnsi="Times New Roman"/>
          <w:bCs/>
          <w:sz w:val="24"/>
          <w:szCs w:val="24"/>
        </w:rPr>
        <w:tab/>
      </w:r>
      <w:r w:rsidRPr="006E2136">
        <w:rPr>
          <w:rFonts w:ascii="Times New Roman" w:hAnsi="Times New Roman"/>
          <w:bCs/>
          <w:sz w:val="24"/>
          <w:szCs w:val="24"/>
          <w:u w:val="single"/>
        </w:rPr>
        <w:t>Compliance with 5 CFR 1320.8</w:t>
      </w:r>
      <w:r w:rsidR="006B25B4">
        <w:rPr>
          <w:rFonts w:ascii="Times New Roman" w:hAnsi="Times New Roman"/>
          <w:bCs/>
          <w:sz w:val="24"/>
          <w:szCs w:val="24"/>
          <w:u w:val="single"/>
        </w:rPr>
        <w:t>.</w:t>
      </w:r>
      <w:r w:rsidR="00470720" w:rsidRPr="006E2136">
        <w:rPr>
          <w:rFonts w:ascii="Times New Roman" w:hAnsi="Times New Roman"/>
          <w:b/>
          <w:bCs/>
          <w:sz w:val="24"/>
          <w:szCs w:val="24"/>
        </w:rPr>
        <w:t xml:space="preserve">  </w:t>
      </w:r>
    </w:p>
    <w:p w:rsidR="006E74D7" w:rsidRPr="006E74D7" w:rsidRDefault="006E74D7">
      <w:pPr>
        <w:rPr>
          <w:rFonts w:ascii="Times New Roman" w:hAnsi="Times New Roman"/>
          <w:sz w:val="24"/>
          <w:szCs w:val="24"/>
        </w:rPr>
      </w:pPr>
    </w:p>
    <w:p w:rsidR="006E74D7" w:rsidRDefault="006E74D7">
      <w:pPr>
        <w:rPr>
          <w:rFonts w:ascii="Times New Roman" w:hAnsi="Times New Roman"/>
          <w:sz w:val="24"/>
          <w:szCs w:val="24"/>
        </w:rPr>
      </w:pPr>
      <w:r w:rsidRPr="006E74D7">
        <w:rPr>
          <w:rFonts w:ascii="Times New Roman" w:hAnsi="Times New Roman"/>
          <w:sz w:val="24"/>
          <w:szCs w:val="24"/>
        </w:rPr>
        <w:t xml:space="preserve">A </w:t>
      </w:r>
      <w:r w:rsidR="009816DD">
        <w:rPr>
          <w:rFonts w:ascii="Times New Roman" w:hAnsi="Times New Roman"/>
          <w:sz w:val="24"/>
          <w:szCs w:val="24"/>
        </w:rPr>
        <w:t>6</w:t>
      </w:r>
      <w:r w:rsidRPr="006E74D7">
        <w:rPr>
          <w:rFonts w:ascii="Times New Roman" w:hAnsi="Times New Roman"/>
          <w:sz w:val="24"/>
          <w:szCs w:val="24"/>
        </w:rPr>
        <w:t xml:space="preserve">0-Day Notice and Request for comments was published in the Federal Register on </w:t>
      </w:r>
      <w:r w:rsidR="009816DD" w:rsidRPr="006E74D7">
        <w:rPr>
          <w:rFonts w:ascii="Times New Roman" w:hAnsi="Times New Roman"/>
          <w:sz w:val="24"/>
          <w:szCs w:val="24"/>
        </w:rPr>
        <w:t>February</w:t>
      </w:r>
      <w:r w:rsidR="009816DD">
        <w:rPr>
          <w:rFonts w:ascii="Times New Roman" w:hAnsi="Times New Roman"/>
          <w:sz w:val="24"/>
          <w:szCs w:val="24"/>
        </w:rPr>
        <w:t> </w:t>
      </w:r>
      <w:r w:rsidRPr="006E74D7">
        <w:rPr>
          <w:rFonts w:ascii="Times New Roman" w:hAnsi="Times New Roman"/>
          <w:sz w:val="24"/>
          <w:szCs w:val="24"/>
        </w:rPr>
        <w:t xml:space="preserve">25, 2019 [84 FR 6041] also under Docket No. PHMSA-2018-0114 (Notice No. 18-24).   PHMSA received two comments in response to the February 25, 2019 notice.  </w:t>
      </w:r>
      <w:r w:rsidR="00CB5EB6">
        <w:rPr>
          <w:rFonts w:ascii="Times New Roman" w:hAnsi="Times New Roman"/>
          <w:sz w:val="24"/>
          <w:szCs w:val="24"/>
        </w:rPr>
        <w:t>PHMSA received o</w:t>
      </w:r>
      <w:r w:rsidR="00CB5EB6" w:rsidRPr="00CB5EB6">
        <w:rPr>
          <w:rFonts w:ascii="Times New Roman" w:hAnsi="Times New Roman"/>
          <w:sz w:val="24"/>
          <w:szCs w:val="24"/>
        </w:rPr>
        <w:t xml:space="preserve">ne comment from Bruce Grimm supportive of PHMSA continuing to collect information related to subsidiary hazards under OMB control number 2137-0613. </w:t>
      </w:r>
    </w:p>
    <w:p w:rsidR="009816DD" w:rsidRPr="006E74D7" w:rsidRDefault="009816DD">
      <w:pPr>
        <w:rPr>
          <w:rFonts w:ascii="Times New Roman" w:hAnsi="Times New Roman"/>
          <w:sz w:val="24"/>
          <w:szCs w:val="24"/>
        </w:rPr>
      </w:pPr>
    </w:p>
    <w:p w:rsidR="009816DD" w:rsidRPr="006E74D7" w:rsidRDefault="009816DD" w:rsidP="009816DD">
      <w:pPr>
        <w:rPr>
          <w:rFonts w:ascii="Times New Roman" w:hAnsi="Times New Roman"/>
          <w:sz w:val="24"/>
          <w:szCs w:val="24"/>
        </w:rPr>
      </w:pPr>
      <w:r w:rsidRPr="006E74D7">
        <w:rPr>
          <w:rFonts w:ascii="Times New Roman" w:hAnsi="Times New Roman"/>
          <w:sz w:val="24"/>
          <w:szCs w:val="24"/>
        </w:rPr>
        <w:t xml:space="preserve">A </w:t>
      </w:r>
      <w:r>
        <w:rPr>
          <w:rFonts w:ascii="Times New Roman" w:hAnsi="Times New Roman"/>
          <w:sz w:val="24"/>
          <w:szCs w:val="24"/>
        </w:rPr>
        <w:t>3</w:t>
      </w:r>
      <w:r w:rsidRPr="006E74D7">
        <w:rPr>
          <w:rFonts w:ascii="Times New Roman" w:hAnsi="Times New Roman"/>
          <w:sz w:val="24"/>
          <w:szCs w:val="24"/>
        </w:rPr>
        <w:t xml:space="preserve">0-Day Notice and Request for comments on the renewal of this information collection was published in the Federal Register on May 10, 2019 [84 FR 20699] under Docket No. PHMSA-2018-0114 (Notice No. 19-04).  The comment period closed on June 10, 2019.  </w:t>
      </w:r>
      <w:r w:rsidR="001972DB">
        <w:rPr>
          <w:rFonts w:ascii="Times New Roman" w:hAnsi="Times New Roman"/>
          <w:sz w:val="24"/>
          <w:szCs w:val="24"/>
        </w:rPr>
        <w:t>PHMSA did not receive any comments.</w:t>
      </w:r>
    </w:p>
    <w:p w:rsidR="008D6AA9" w:rsidRDefault="008D6AA9" w:rsidP="001972DB">
      <w:pPr>
        <w:rPr>
          <w:rFonts w:ascii="Times New Roman" w:hAnsi="Times New Roman"/>
          <w:sz w:val="24"/>
          <w:szCs w:val="24"/>
        </w:rPr>
      </w:pPr>
    </w:p>
    <w:p w:rsidR="009816DD" w:rsidRPr="00DA7852" w:rsidRDefault="009816DD">
      <w:pPr>
        <w:rPr>
          <w:rFonts w:ascii="Times New Roman" w:hAnsi="Times New Roman"/>
          <w:sz w:val="24"/>
          <w:szCs w:val="24"/>
        </w:rPr>
      </w:pPr>
    </w:p>
    <w:p w:rsidR="00470720" w:rsidRPr="006E2136" w:rsidRDefault="0004749E">
      <w:pPr>
        <w:rPr>
          <w:rFonts w:ascii="Times New Roman" w:hAnsi="Times New Roman"/>
          <w:b/>
          <w:bCs/>
          <w:sz w:val="24"/>
          <w:szCs w:val="24"/>
        </w:rPr>
      </w:pPr>
      <w:r w:rsidRPr="006E2136">
        <w:rPr>
          <w:rFonts w:ascii="Times New Roman" w:hAnsi="Times New Roman"/>
          <w:bCs/>
          <w:sz w:val="24"/>
          <w:szCs w:val="24"/>
        </w:rPr>
        <w:t xml:space="preserve">9. </w:t>
      </w:r>
      <w:r w:rsidR="00903F9C">
        <w:rPr>
          <w:rFonts w:ascii="Times New Roman" w:hAnsi="Times New Roman"/>
          <w:bCs/>
          <w:sz w:val="24"/>
          <w:szCs w:val="24"/>
        </w:rPr>
        <w:tab/>
      </w:r>
      <w:r w:rsidRPr="006E2136">
        <w:rPr>
          <w:rFonts w:ascii="Times New Roman" w:hAnsi="Times New Roman"/>
          <w:bCs/>
          <w:sz w:val="24"/>
          <w:szCs w:val="24"/>
          <w:u w:val="single"/>
        </w:rPr>
        <w:t>Payments or gifts to respondents.</w:t>
      </w:r>
      <w:r w:rsidR="00470720" w:rsidRPr="006E2136">
        <w:rPr>
          <w:rFonts w:ascii="Times New Roman" w:hAnsi="Times New Roman"/>
          <w:b/>
          <w:bCs/>
          <w:sz w:val="24"/>
          <w:szCs w:val="24"/>
        </w:rPr>
        <w:t xml:space="preserve">  </w:t>
      </w:r>
    </w:p>
    <w:p w:rsidR="001F0869" w:rsidRPr="006E2136" w:rsidRDefault="001F0869">
      <w:pPr>
        <w:rPr>
          <w:rFonts w:ascii="Times New Roman" w:hAnsi="Times New Roman"/>
          <w:sz w:val="24"/>
          <w:szCs w:val="24"/>
        </w:rPr>
      </w:pPr>
    </w:p>
    <w:p w:rsidR="0078717D" w:rsidRPr="0078717D" w:rsidRDefault="0078717D" w:rsidP="004653DF">
      <w:pPr>
        <w:rPr>
          <w:rFonts w:ascii="Times New Roman" w:hAnsi="Times New Roman"/>
          <w:sz w:val="24"/>
          <w:szCs w:val="24"/>
        </w:rPr>
      </w:pPr>
      <w:r w:rsidRPr="0078717D">
        <w:rPr>
          <w:rFonts w:ascii="Times New Roman" w:hAnsi="Times New Roman"/>
          <w:sz w:val="24"/>
          <w:szCs w:val="24"/>
        </w:rPr>
        <w:t>There is no payment or gift provided to respondents associated with this collection of information.</w:t>
      </w:r>
    </w:p>
    <w:p w:rsidR="0004749E" w:rsidRDefault="0004749E" w:rsidP="001972DB">
      <w:pPr>
        <w:rPr>
          <w:rFonts w:ascii="Times New Roman" w:hAnsi="Times New Roman"/>
          <w:sz w:val="24"/>
          <w:szCs w:val="24"/>
        </w:rPr>
      </w:pPr>
    </w:p>
    <w:p w:rsidR="009816DD" w:rsidRDefault="009816DD">
      <w:pPr>
        <w:rPr>
          <w:rFonts w:ascii="Times New Roman" w:hAnsi="Times New Roman"/>
          <w:sz w:val="24"/>
          <w:szCs w:val="24"/>
        </w:rPr>
      </w:pPr>
    </w:p>
    <w:p w:rsidR="003A0627" w:rsidRPr="006E2136" w:rsidRDefault="0004749E">
      <w:pPr>
        <w:rPr>
          <w:rFonts w:ascii="Times New Roman" w:hAnsi="Times New Roman"/>
          <w:bCs/>
          <w:sz w:val="24"/>
          <w:szCs w:val="24"/>
          <w:u w:val="single"/>
        </w:rPr>
      </w:pPr>
      <w:r w:rsidRPr="006E2136">
        <w:rPr>
          <w:rFonts w:ascii="Times New Roman" w:hAnsi="Times New Roman"/>
          <w:bCs/>
          <w:sz w:val="24"/>
          <w:szCs w:val="24"/>
        </w:rPr>
        <w:t xml:space="preserve">10. </w:t>
      </w:r>
      <w:r w:rsidR="00903F9C">
        <w:rPr>
          <w:rFonts w:ascii="Times New Roman" w:hAnsi="Times New Roman"/>
          <w:bCs/>
          <w:sz w:val="24"/>
          <w:szCs w:val="24"/>
        </w:rPr>
        <w:tab/>
      </w:r>
      <w:r w:rsidRPr="006E2136">
        <w:rPr>
          <w:rFonts w:ascii="Times New Roman" w:hAnsi="Times New Roman"/>
          <w:bCs/>
          <w:sz w:val="24"/>
          <w:szCs w:val="24"/>
          <w:u w:val="single"/>
        </w:rPr>
        <w:t>Assurance of confidentiality</w:t>
      </w:r>
      <w:r w:rsidR="006B25B4">
        <w:rPr>
          <w:rFonts w:ascii="Times New Roman" w:hAnsi="Times New Roman"/>
          <w:bCs/>
          <w:sz w:val="24"/>
          <w:szCs w:val="24"/>
          <w:u w:val="single"/>
        </w:rPr>
        <w:t>.</w:t>
      </w:r>
    </w:p>
    <w:p w:rsidR="001F0869" w:rsidRPr="00760D03" w:rsidRDefault="001F0869">
      <w:pPr>
        <w:rPr>
          <w:rFonts w:ascii="Times New Roman" w:hAnsi="Times New Roman"/>
          <w:sz w:val="24"/>
          <w:szCs w:val="24"/>
        </w:rPr>
      </w:pPr>
    </w:p>
    <w:p w:rsidR="0078717D" w:rsidRPr="0078717D" w:rsidRDefault="0078717D" w:rsidP="004653DF">
      <w:pPr>
        <w:rPr>
          <w:rFonts w:ascii="Times New Roman" w:hAnsi="Times New Roman"/>
          <w:sz w:val="24"/>
          <w:szCs w:val="24"/>
        </w:rPr>
      </w:pPr>
      <w:r w:rsidRPr="0078717D">
        <w:rPr>
          <w:rFonts w:ascii="Times New Roman" w:hAnsi="Times New Roman"/>
          <w:sz w:val="24"/>
          <w:szCs w:val="24"/>
        </w:rPr>
        <w:t xml:space="preserve">All information to be collected complies with the Freedom of Information Act, the Privacy Act of 1974, and OMB Circular A-108.  </w:t>
      </w:r>
    </w:p>
    <w:p w:rsidR="0004749E" w:rsidRDefault="0004749E" w:rsidP="001972DB">
      <w:pPr>
        <w:rPr>
          <w:rFonts w:ascii="Times New Roman" w:hAnsi="Times New Roman"/>
          <w:sz w:val="24"/>
          <w:szCs w:val="24"/>
        </w:rPr>
      </w:pPr>
    </w:p>
    <w:p w:rsidR="009816DD" w:rsidRPr="00760D03" w:rsidRDefault="009816DD">
      <w:pPr>
        <w:rPr>
          <w:rFonts w:ascii="Times New Roman" w:hAnsi="Times New Roman"/>
          <w:sz w:val="24"/>
          <w:szCs w:val="24"/>
        </w:rPr>
      </w:pPr>
    </w:p>
    <w:p w:rsidR="003A0627" w:rsidRPr="00760D03" w:rsidRDefault="0004749E">
      <w:pPr>
        <w:rPr>
          <w:rFonts w:ascii="Times New Roman" w:hAnsi="Times New Roman"/>
          <w:bCs/>
          <w:sz w:val="24"/>
          <w:szCs w:val="24"/>
        </w:rPr>
      </w:pPr>
      <w:r w:rsidRPr="00760D03">
        <w:rPr>
          <w:rFonts w:ascii="Times New Roman" w:hAnsi="Times New Roman"/>
          <w:bCs/>
          <w:sz w:val="24"/>
          <w:szCs w:val="24"/>
        </w:rPr>
        <w:t xml:space="preserve">11. </w:t>
      </w:r>
      <w:r w:rsidR="00903F9C" w:rsidRPr="00760D03">
        <w:rPr>
          <w:rFonts w:ascii="Times New Roman" w:hAnsi="Times New Roman"/>
          <w:bCs/>
          <w:sz w:val="24"/>
          <w:szCs w:val="24"/>
        </w:rPr>
        <w:tab/>
      </w:r>
      <w:r w:rsidRPr="00760D03">
        <w:rPr>
          <w:rFonts w:ascii="Times New Roman" w:hAnsi="Times New Roman"/>
          <w:bCs/>
          <w:sz w:val="24"/>
          <w:szCs w:val="24"/>
          <w:u w:val="single"/>
        </w:rPr>
        <w:t>Justification for collection of sensitive information</w:t>
      </w:r>
      <w:r w:rsidR="006B25B4" w:rsidRPr="00760D03">
        <w:rPr>
          <w:rFonts w:ascii="Times New Roman" w:hAnsi="Times New Roman"/>
          <w:bCs/>
          <w:sz w:val="24"/>
          <w:szCs w:val="24"/>
          <w:u w:val="single"/>
        </w:rPr>
        <w:t>.</w:t>
      </w:r>
    </w:p>
    <w:p w:rsidR="001F0869" w:rsidRPr="00760D03" w:rsidRDefault="001F0869">
      <w:pPr>
        <w:rPr>
          <w:rFonts w:ascii="Times New Roman" w:hAnsi="Times New Roman"/>
          <w:b/>
          <w:sz w:val="24"/>
          <w:szCs w:val="24"/>
        </w:rPr>
      </w:pPr>
    </w:p>
    <w:p w:rsidR="0078717D" w:rsidRPr="0078717D" w:rsidRDefault="0078717D">
      <w:pPr>
        <w:rPr>
          <w:rFonts w:ascii="Times New Roman" w:hAnsi="Times New Roman"/>
          <w:sz w:val="24"/>
          <w:szCs w:val="24"/>
        </w:rPr>
      </w:pPr>
      <w:r w:rsidRPr="0078717D">
        <w:rPr>
          <w:rFonts w:ascii="Times New Roman" w:hAnsi="Times New Roman"/>
          <w:sz w:val="24"/>
          <w:szCs w:val="24"/>
        </w:rPr>
        <w:t>Not applicable.  Information is not of a sensitive nature.</w:t>
      </w:r>
    </w:p>
    <w:p w:rsidR="00470720" w:rsidRDefault="00470720">
      <w:pPr>
        <w:rPr>
          <w:rFonts w:ascii="Times New Roman" w:hAnsi="Times New Roman"/>
          <w:sz w:val="24"/>
          <w:szCs w:val="24"/>
        </w:rPr>
      </w:pPr>
    </w:p>
    <w:p w:rsidR="009816DD" w:rsidRPr="00760D03" w:rsidRDefault="009816DD">
      <w:pPr>
        <w:rPr>
          <w:rFonts w:ascii="Times New Roman" w:hAnsi="Times New Roman"/>
          <w:sz w:val="24"/>
          <w:szCs w:val="24"/>
        </w:rPr>
      </w:pPr>
    </w:p>
    <w:p w:rsidR="001F0869" w:rsidRPr="00760D03"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760D03">
        <w:rPr>
          <w:rFonts w:ascii="Times New Roman" w:hAnsi="Times New Roman"/>
          <w:bCs/>
          <w:color w:val="auto"/>
        </w:rPr>
        <w:t xml:space="preserve">12. </w:t>
      </w:r>
      <w:r w:rsidR="00903F9C" w:rsidRPr="00760D03">
        <w:rPr>
          <w:rFonts w:ascii="Times New Roman" w:hAnsi="Times New Roman"/>
          <w:bCs/>
          <w:color w:val="auto"/>
        </w:rPr>
        <w:tab/>
      </w:r>
      <w:r w:rsidRPr="00760D03">
        <w:rPr>
          <w:rFonts w:ascii="Times New Roman" w:hAnsi="Times New Roman"/>
          <w:bCs/>
          <w:color w:val="auto"/>
          <w:u w:val="single"/>
        </w:rPr>
        <w:t>Estimate of burden hours for information requested</w:t>
      </w:r>
      <w:r w:rsidR="006B25B4" w:rsidRPr="00760D03">
        <w:rPr>
          <w:rFonts w:ascii="Times New Roman" w:hAnsi="Times New Roman"/>
          <w:bCs/>
          <w:color w:val="auto"/>
          <w:u w:val="single"/>
        </w:rPr>
        <w:t>.</w:t>
      </w:r>
      <w:r w:rsidR="00470720" w:rsidRPr="00760D03">
        <w:rPr>
          <w:rFonts w:ascii="Times New Roman" w:hAnsi="Times New Roman"/>
          <w:color w:val="auto"/>
        </w:rPr>
        <w:t xml:space="preserve">  </w:t>
      </w:r>
    </w:p>
    <w:p w:rsidR="001972DB" w:rsidRPr="00760D03" w:rsidRDefault="001972D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2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1260"/>
        <w:gridCol w:w="1350"/>
        <w:gridCol w:w="1530"/>
        <w:gridCol w:w="1350"/>
        <w:gridCol w:w="1170"/>
        <w:gridCol w:w="1080"/>
        <w:gridCol w:w="810"/>
        <w:gridCol w:w="990"/>
        <w:gridCol w:w="1260"/>
      </w:tblGrid>
      <w:tr w:rsidR="001972DB" w:rsidRPr="00F357CC" w:rsidTr="00F357CC">
        <w:trPr>
          <w:trHeight w:val="683"/>
          <w:jc w:val="center"/>
        </w:trPr>
        <w:tc>
          <w:tcPr>
            <w:tcW w:w="1331" w:type="dxa"/>
            <w:shd w:val="clear" w:color="auto" w:fill="auto"/>
            <w:vAlign w:val="bottom"/>
            <w:hideMark/>
          </w:tcPr>
          <w:p w:rsidR="001972DB" w:rsidRPr="00F357CC" w:rsidRDefault="001972DB" w:rsidP="00F357CC">
            <w:pPr>
              <w:pStyle w:val="BodyText3"/>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Information Collection</w:t>
            </w:r>
          </w:p>
        </w:tc>
        <w:tc>
          <w:tcPr>
            <w:tcW w:w="1260" w:type="dxa"/>
            <w:shd w:val="clear" w:color="auto" w:fill="auto"/>
            <w:vAlign w:val="bottom"/>
            <w:hideMark/>
          </w:tcPr>
          <w:p w:rsidR="001972DB" w:rsidRPr="00F357CC" w:rsidRDefault="001972DB" w:rsidP="00F357CC">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Regulations</w:t>
            </w:r>
          </w:p>
        </w:tc>
        <w:tc>
          <w:tcPr>
            <w:tcW w:w="1350" w:type="dxa"/>
            <w:shd w:val="clear" w:color="auto" w:fill="auto"/>
            <w:noWrap/>
            <w:vAlign w:val="bottom"/>
            <w:hideMark/>
          </w:tcPr>
          <w:p w:rsidR="001972DB" w:rsidRPr="00F357CC" w:rsidRDefault="001972DB" w:rsidP="00F357CC">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Respondents</w:t>
            </w:r>
          </w:p>
        </w:tc>
        <w:tc>
          <w:tcPr>
            <w:tcW w:w="1530" w:type="dxa"/>
            <w:shd w:val="clear" w:color="auto" w:fill="auto"/>
            <w:vAlign w:val="bottom"/>
            <w:hideMark/>
          </w:tcPr>
          <w:p w:rsidR="001972DB" w:rsidRPr="00F357CC" w:rsidRDefault="001972DB" w:rsidP="00F357CC">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Responses per Respondent</w:t>
            </w:r>
          </w:p>
        </w:tc>
        <w:tc>
          <w:tcPr>
            <w:tcW w:w="1350" w:type="dxa"/>
            <w:shd w:val="clear" w:color="auto" w:fill="auto"/>
            <w:vAlign w:val="bottom"/>
            <w:hideMark/>
          </w:tcPr>
          <w:p w:rsidR="001972DB" w:rsidRPr="00F357CC" w:rsidRDefault="001972DB" w:rsidP="00F357CC">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Percentage w/Subsidiary</w:t>
            </w:r>
          </w:p>
        </w:tc>
        <w:tc>
          <w:tcPr>
            <w:tcW w:w="1170" w:type="dxa"/>
            <w:shd w:val="clear" w:color="auto" w:fill="auto"/>
            <w:vAlign w:val="bottom"/>
            <w:hideMark/>
          </w:tcPr>
          <w:p w:rsidR="001972DB" w:rsidRPr="00F357CC" w:rsidRDefault="001972DB" w:rsidP="00F357CC">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Total Annual Responses</w:t>
            </w:r>
          </w:p>
        </w:tc>
        <w:tc>
          <w:tcPr>
            <w:tcW w:w="1080" w:type="dxa"/>
            <w:shd w:val="clear" w:color="auto" w:fill="auto"/>
            <w:vAlign w:val="bottom"/>
            <w:hideMark/>
          </w:tcPr>
          <w:p w:rsidR="001972DB" w:rsidRPr="00F357CC" w:rsidRDefault="001972DB" w:rsidP="00F357CC">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Seconds per Response</w:t>
            </w:r>
          </w:p>
        </w:tc>
        <w:tc>
          <w:tcPr>
            <w:tcW w:w="810" w:type="dxa"/>
            <w:shd w:val="clear" w:color="auto" w:fill="auto"/>
            <w:vAlign w:val="bottom"/>
            <w:hideMark/>
          </w:tcPr>
          <w:p w:rsidR="001972DB" w:rsidRPr="00F357CC" w:rsidRDefault="001972DB" w:rsidP="00F357CC">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Total Hours</w:t>
            </w:r>
          </w:p>
        </w:tc>
        <w:tc>
          <w:tcPr>
            <w:tcW w:w="990" w:type="dxa"/>
            <w:shd w:val="clear" w:color="auto" w:fill="auto"/>
            <w:vAlign w:val="bottom"/>
            <w:hideMark/>
          </w:tcPr>
          <w:p w:rsidR="001972DB" w:rsidRPr="00F357CC" w:rsidRDefault="001972DB" w:rsidP="00F357CC">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Salary Cost per Hour</w:t>
            </w:r>
          </w:p>
        </w:tc>
        <w:tc>
          <w:tcPr>
            <w:tcW w:w="1260" w:type="dxa"/>
            <w:shd w:val="clear" w:color="auto" w:fill="auto"/>
            <w:vAlign w:val="bottom"/>
            <w:hideMark/>
          </w:tcPr>
          <w:p w:rsidR="001972DB" w:rsidRPr="00F357CC" w:rsidRDefault="001972DB" w:rsidP="00F357CC">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Total Salary Cost</w:t>
            </w:r>
          </w:p>
        </w:tc>
      </w:tr>
      <w:tr w:rsidR="001972DB" w:rsidRPr="00F357CC" w:rsidTr="00F357CC">
        <w:trPr>
          <w:trHeight w:val="315"/>
          <w:jc w:val="center"/>
        </w:trPr>
        <w:tc>
          <w:tcPr>
            <w:tcW w:w="1331" w:type="dxa"/>
            <w:shd w:val="clear" w:color="auto" w:fill="auto"/>
            <w:vAlign w:val="bottom"/>
            <w:hideMark/>
          </w:tcPr>
          <w:p w:rsidR="001972DB" w:rsidRPr="00F357CC" w:rsidRDefault="001972DB" w:rsidP="00F357CC">
            <w:pPr>
              <w:pStyle w:val="BodyText3"/>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Subsidiary Hazard</w:t>
            </w:r>
          </w:p>
        </w:tc>
        <w:tc>
          <w:tcPr>
            <w:tcW w:w="1260" w:type="dxa"/>
            <w:shd w:val="clear" w:color="auto" w:fill="auto"/>
            <w:vAlign w:val="bottom"/>
            <w:hideMark/>
          </w:tcPr>
          <w:p w:rsidR="001972DB" w:rsidRPr="00F357CC" w:rsidRDefault="001972DB" w:rsidP="00F357CC">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172.202(a)</w:t>
            </w:r>
          </w:p>
        </w:tc>
        <w:tc>
          <w:tcPr>
            <w:tcW w:w="1350" w:type="dxa"/>
            <w:shd w:val="clear" w:color="auto" w:fill="auto"/>
            <w:noWrap/>
            <w:vAlign w:val="bottom"/>
            <w:hideMark/>
          </w:tcPr>
          <w:p w:rsidR="001972DB" w:rsidRPr="00F357CC" w:rsidRDefault="001972DB" w:rsidP="00F357CC">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260,000</w:t>
            </w:r>
          </w:p>
        </w:tc>
        <w:tc>
          <w:tcPr>
            <w:tcW w:w="1530" w:type="dxa"/>
            <w:shd w:val="clear" w:color="auto" w:fill="auto"/>
            <w:vAlign w:val="bottom"/>
            <w:hideMark/>
          </w:tcPr>
          <w:p w:rsidR="001972DB" w:rsidRPr="00F357CC" w:rsidRDefault="001972DB" w:rsidP="00F357CC">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674</w:t>
            </w:r>
          </w:p>
        </w:tc>
        <w:tc>
          <w:tcPr>
            <w:tcW w:w="1350" w:type="dxa"/>
            <w:shd w:val="clear" w:color="auto" w:fill="auto"/>
            <w:vAlign w:val="bottom"/>
            <w:hideMark/>
          </w:tcPr>
          <w:p w:rsidR="001972DB" w:rsidRPr="00F357CC" w:rsidRDefault="001972DB" w:rsidP="00F357CC">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25%</w:t>
            </w:r>
          </w:p>
        </w:tc>
        <w:tc>
          <w:tcPr>
            <w:tcW w:w="1170" w:type="dxa"/>
            <w:shd w:val="clear" w:color="auto" w:fill="auto"/>
            <w:noWrap/>
            <w:vAlign w:val="bottom"/>
            <w:hideMark/>
          </w:tcPr>
          <w:p w:rsidR="001972DB" w:rsidRPr="00F357CC" w:rsidRDefault="001972DB" w:rsidP="00F357CC">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43,810,000</w:t>
            </w:r>
          </w:p>
        </w:tc>
        <w:tc>
          <w:tcPr>
            <w:tcW w:w="1080" w:type="dxa"/>
            <w:shd w:val="clear" w:color="auto" w:fill="auto"/>
            <w:vAlign w:val="bottom"/>
            <w:hideMark/>
          </w:tcPr>
          <w:p w:rsidR="001972DB" w:rsidRPr="00F357CC" w:rsidRDefault="001972DB" w:rsidP="00F357CC">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2</w:t>
            </w:r>
          </w:p>
        </w:tc>
        <w:tc>
          <w:tcPr>
            <w:tcW w:w="810" w:type="dxa"/>
            <w:shd w:val="clear" w:color="auto" w:fill="auto"/>
            <w:noWrap/>
            <w:vAlign w:val="bottom"/>
            <w:hideMark/>
          </w:tcPr>
          <w:p w:rsidR="001972DB" w:rsidRPr="00F357CC" w:rsidRDefault="001972DB" w:rsidP="00F357CC">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24,339</w:t>
            </w:r>
          </w:p>
        </w:tc>
        <w:tc>
          <w:tcPr>
            <w:tcW w:w="990" w:type="dxa"/>
            <w:shd w:val="clear" w:color="auto" w:fill="auto"/>
            <w:noWrap/>
            <w:vAlign w:val="bottom"/>
            <w:hideMark/>
          </w:tcPr>
          <w:p w:rsidR="001972DB" w:rsidRPr="00F357CC" w:rsidRDefault="001972DB" w:rsidP="00F357CC">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w:t>
            </w:r>
            <w:r w:rsidR="00B83441" w:rsidRPr="00F357CC">
              <w:rPr>
                <w:rFonts w:ascii="Times New Roman" w:eastAsia="Arial Unicode MS" w:hAnsi="Times New Roman" w:cs="Arial Unicode MS"/>
                <w:color w:val="auto"/>
                <w:sz w:val="20"/>
                <w:szCs w:val="20"/>
              </w:rPr>
              <w:t>24.77</w:t>
            </w:r>
          </w:p>
        </w:tc>
        <w:tc>
          <w:tcPr>
            <w:tcW w:w="1260" w:type="dxa"/>
            <w:shd w:val="clear" w:color="auto" w:fill="auto"/>
            <w:noWrap/>
            <w:vAlign w:val="bottom"/>
            <w:hideMark/>
          </w:tcPr>
          <w:p w:rsidR="001972DB" w:rsidRPr="00F357CC" w:rsidRDefault="001972DB" w:rsidP="00F357CC">
            <w:pPr>
              <w:pStyle w:val="BodyText3"/>
              <w:jc w:val="center"/>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w:t>
            </w:r>
            <w:r w:rsidR="00B83441" w:rsidRPr="00F357CC">
              <w:rPr>
                <w:rFonts w:ascii="Times New Roman" w:eastAsia="Arial Unicode MS" w:hAnsi="Times New Roman" w:cs="Arial Unicode MS"/>
                <w:color w:val="auto"/>
                <w:sz w:val="20"/>
                <w:szCs w:val="20"/>
              </w:rPr>
              <w:t>602,951.51</w:t>
            </w:r>
          </w:p>
        </w:tc>
      </w:tr>
    </w:tbl>
    <w:p w:rsidR="009816DD" w:rsidRDefault="009816DD" w:rsidP="004653DF">
      <w:pPr>
        <w:pStyle w:val="NormalWeb"/>
        <w:spacing w:before="0" w:beforeAutospacing="0" w:after="0" w:afterAutospacing="0"/>
        <w:rPr>
          <w:rFonts w:ascii="Times New Roman" w:hAnsi="Times New Roman"/>
        </w:rPr>
      </w:pPr>
    </w:p>
    <w:p w:rsidR="00A53738" w:rsidRDefault="00A53738" w:rsidP="00A53738">
      <w:pPr>
        <w:rPr>
          <w:rFonts w:ascii="Times New Roman" w:hAnsi="Times New Roman"/>
          <w:sz w:val="24"/>
          <w:szCs w:val="24"/>
        </w:rPr>
      </w:pPr>
      <w:r>
        <w:rPr>
          <w:rFonts w:ascii="Times New Roman" w:hAnsi="Times New Roman"/>
          <w:sz w:val="24"/>
          <w:szCs w:val="24"/>
        </w:rPr>
        <w:t>Based on historical stakeholder feedback,</w:t>
      </w:r>
      <w:r w:rsidRPr="00B011C3">
        <w:rPr>
          <w:rFonts w:ascii="Times New Roman" w:hAnsi="Times New Roman"/>
          <w:sz w:val="24"/>
          <w:szCs w:val="24"/>
        </w:rPr>
        <w:t xml:space="preserve"> is estimated that approximately 2</w:t>
      </w:r>
      <w:r>
        <w:rPr>
          <w:rFonts w:ascii="Times New Roman" w:hAnsi="Times New Roman"/>
          <w:sz w:val="24"/>
          <w:szCs w:val="24"/>
        </w:rPr>
        <w:t>6</w:t>
      </w:r>
      <w:r w:rsidRPr="00B011C3">
        <w:rPr>
          <w:rFonts w:ascii="Times New Roman" w:hAnsi="Times New Roman"/>
          <w:sz w:val="24"/>
          <w:szCs w:val="24"/>
        </w:rPr>
        <w:t xml:space="preserve">0,000 shippers/carriers of hazardous materials (including hazardous waste and hazardous substances) will prepare an average of </w:t>
      </w:r>
      <w:r>
        <w:rPr>
          <w:rFonts w:ascii="Times New Roman" w:hAnsi="Times New Roman"/>
          <w:sz w:val="24"/>
          <w:szCs w:val="24"/>
        </w:rPr>
        <w:t xml:space="preserve">674 </w:t>
      </w:r>
      <w:r w:rsidRPr="00B011C3">
        <w:rPr>
          <w:rFonts w:ascii="Times New Roman" w:hAnsi="Times New Roman"/>
          <w:sz w:val="24"/>
          <w:szCs w:val="24"/>
        </w:rPr>
        <w:t>shipping papers and emergency response information annually</w:t>
      </w:r>
      <w:r>
        <w:rPr>
          <w:rFonts w:ascii="Times New Roman" w:hAnsi="Times New Roman"/>
          <w:sz w:val="24"/>
          <w:szCs w:val="24"/>
        </w:rPr>
        <w:t xml:space="preserve">.   Furthermore, PHMSA estimates 25% of these shipments require the addition of a subsidiary hazard, for a total of 43,810,000 subsidiary hazard entries (260,000 respondents x 674 shipping papers/respondent x 25%).  To add a subsidiary hazard to a shipping paper will take </w:t>
      </w:r>
      <w:r w:rsidRPr="00B011C3">
        <w:rPr>
          <w:rFonts w:ascii="Times New Roman" w:hAnsi="Times New Roman"/>
          <w:sz w:val="24"/>
          <w:szCs w:val="24"/>
        </w:rPr>
        <w:t xml:space="preserve">approximately </w:t>
      </w:r>
      <w:r>
        <w:rPr>
          <w:rFonts w:ascii="Times New Roman" w:hAnsi="Times New Roman"/>
          <w:sz w:val="24"/>
          <w:szCs w:val="24"/>
        </w:rPr>
        <w:t xml:space="preserve">2 seconds for </w:t>
      </w:r>
      <w:r w:rsidRPr="00B011C3">
        <w:rPr>
          <w:rFonts w:ascii="Times New Roman" w:hAnsi="Times New Roman"/>
          <w:sz w:val="24"/>
          <w:szCs w:val="24"/>
        </w:rPr>
        <w:t xml:space="preserve">approximately </w:t>
      </w:r>
      <w:r>
        <w:rPr>
          <w:rFonts w:ascii="Times New Roman" w:hAnsi="Times New Roman"/>
          <w:sz w:val="24"/>
          <w:szCs w:val="24"/>
        </w:rPr>
        <w:t xml:space="preserve">24,339 annual burden </w:t>
      </w:r>
      <w:r w:rsidRPr="00B011C3">
        <w:rPr>
          <w:rFonts w:ascii="Times New Roman" w:hAnsi="Times New Roman"/>
          <w:sz w:val="24"/>
          <w:szCs w:val="24"/>
        </w:rPr>
        <w:t>hours</w:t>
      </w:r>
      <w:r>
        <w:rPr>
          <w:rFonts w:ascii="Times New Roman" w:hAnsi="Times New Roman"/>
          <w:sz w:val="24"/>
          <w:szCs w:val="24"/>
        </w:rPr>
        <w:t xml:space="preserve"> (43,810,000 subsidiary hazard entries x 2 seconds/shipping paper).  PHMSA estimates it costs approximately $</w:t>
      </w:r>
      <w:r w:rsidR="00B83441">
        <w:rPr>
          <w:rFonts w:ascii="Times New Roman" w:hAnsi="Times New Roman"/>
          <w:sz w:val="24"/>
          <w:szCs w:val="24"/>
        </w:rPr>
        <w:t>24.77</w:t>
      </w:r>
      <w:r>
        <w:rPr>
          <w:rFonts w:ascii="Times New Roman" w:hAnsi="Times New Roman"/>
          <w:sz w:val="24"/>
          <w:szCs w:val="24"/>
        </w:rPr>
        <w:t>/hour in salary costs</w:t>
      </w:r>
      <w:r>
        <w:rPr>
          <w:rStyle w:val="FootnoteReference"/>
          <w:rFonts w:ascii="Times New Roman" w:hAnsi="Times New Roman"/>
          <w:sz w:val="24"/>
          <w:szCs w:val="24"/>
        </w:rPr>
        <w:footnoteReference w:id="1"/>
      </w:r>
      <w:r>
        <w:rPr>
          <w:rFonts w:ascii="Times New Roman" w:hAnsi="Times New Roman"/>
          <w:sz w:val="24"/>
          <w:szCs w:val="24"/>
        </w:rPr>
        <w:t xml:space="preserve"> for a total of $</w:t>
      </w:r>
      <w:r w:rsidR="00B83441">
        <w:rPr>
          <w:rFonts w:ascii="Times New Roman" w:hAnsi="Times New Roman"/>
          <w:sz w:val="24"/>
          <w:szCs w:val="24"/>
        </w:rPr>
        <w:t>602,951.51</w:t>
      </w:r>
      <w:r>
        <w:rPr>
          <w:rFonts w:ascii="Times New Roman" w:hAnsi="Times New Roman"/>
          <w:sz w:val="24"/>
          <w:szCs w:val="24"/>
        </w:rPr>
        <w:t xml:space="preserve"> (</w:t>
      </w:r>
      <w:r w:rsidR="00B83441">
        <w:rPr>
          <w:rFonts w:ascii="Times New Roman" w:hAnsi="Times New Roman"/>
          <w:sz w:val="24"/>
          <w:szCs w:val="24"/>
        </w:rPr>
        <w:t>24,339</w:t>
      </w:r>
      <w:r>
        <w:rPr>
          <w:rFonts w:ascii="Times New Roman" w:hAnsi="Times New Roman"/>
          <w:sz w:val="24"/>
          <w:szCs w:val="24"/>
        </w:rPr>
        <w:t xml:space="preserve"> burden hours x $</w:t>
      </w:r>
      <w:r w:rsidR="00B83441">
        <w:rPr>
          <w:rFonts w:ascii="Times New Roman" w:hAnsi="Times New Roman"/>
          <w:sz w:val="24"/>
          <w:szCs w:val="24"/>
        </w:rPr>
        <w:t>24.77</w:t>
      </w:r>
      <w:r>
        <w:rPr>
          <w:rFonts w:ascii="Times New Roman" w:hAnsi="Times New Roman"/>
          <w:sz w:val="24"/>
          <w:szCs w:val="24"/>
        </w:rPr>
        <w:t xml:space="preserve">/hour).  However, PHMSA estimates there is no out-of-pocket expenses for the shipping paper burden.   </w:t>
      </w:r>
    </w:p>
    <w:p w:rsidR="001972DB" w:rsidRDefault="001972DB" w:rsidP="004653DF">
      <w:pPr>
        <w:pStyle w:val="NormalWeb"/>
        <w:spacing w:before="0" w:beforeAutospacing="0" w:after="0" w:afterAutospacing="0"/>
        <w:rPr>
          <w:rFonts w:ascii="Times New Roman" w:hAnsi="Times New Roman"/>
        </w:rPr>
      </w:pPr>
    </w:p>
    <w:p w:rsidR="00A53738" w:rsidRPr="0078717D" w:rsidRDefault="00A53738" w:rsidP="004653DF">
      <w:pPr>
        <w:pStyle w:val="NormalWeb"/>
        <w:spacing w:before="0" w:beforeAutospacing="0" w:after="0" w:afterAutospacing="0"/>
        <w:rPr>
          <w:rFonts w:ascii="Times New Roman" w:hAnsi="Times New Roman"/>
        </w:rPr>
      </w:pPr>
    </w:p>
    <w:p w:rsidR="0004749E" w:rsidRPr="006E2136" w:rsidRDefault="0004749E" w:rsidP="004653DF">
      <w:pPr>
        <w:pStyle w:val="NormalWeb"/>
        <w:keepNext/>
        <w:keepLines/>
        <w:spacing w:before="0" w:beforeAutospacing="0" w:after="0" w:afterAutospacing="0"/>
        <w:rPr>
          <w:rFonts w:ascii="Times New Roman" w:hAnsi="Times New Roman" w:cs="Times New Roman"/>
          <w:b/>
        </w:rPr>
      </w:pPr>
      <w:r w:rsidRPr="006E2136">
        <w:rPr>
          <w:rFonts w:ascii="Times New Roman" w:hAnsi="Times New Roman" w:cs="Times New Roman"/>
          <w:bCs/>
        </w:rPr>
        <w:t xml:space="preserve">13. </w:t>
      </w:r>
      <w:r w:rsidR="00903F9C">
        <w:rPr>
          <w:rFonts w:ascii="Times New Roman" w:hAnsi="Times New Roman" w:cs="Times New Roman"/>
          <w:bCs/>
        </w:rPr>
        <w:tab/>
      </w:r>
      <w:r w:rsidRPr="006E2136">
        <w:rPr>
          <w:rFonts w:ascii="Times New Roman" w:hAnsi="Times New Roman" w:cs="Times New Roman"/>
          <w:bCs/>
          <w:u w:val="single"/>
        </w:rPr>
        <w:t>Estimate of total annual costs to respondents</w:t>
      </w:r>
      <w:r w:rsidR="00105F8E" w:rsidRPr="006E2136">
        <w:rPr>
          <w:rFonts w:ascii="Times New Roman" w:hAnsi="Times New Roman" w:cs="Times New Roman"/>
          <w:b/>
          <w:bCs/>
          <w:u w:val="single"/>
        </w:rPr>
        <w:t>.</w:t>
      </w:r>
      <w:r w:rsidR="00105F8E" w:rsidRPr="006E2136">
        <w:rPr>
          <w:rFonts w:ascii="Times New Roman" w:hAnsi="Times New Roman" w:cs="Times New Roman"/>
          <w:b/>
          <w:bCs/>
        </w:rPr>
        <w:t xml:space="preserve">  </w:t>
      </w:r>
    </w:p>
    <w:p w:rsidR="00973E80" w:rsidRDefault="00973E80" w:rsidP="001972DB">
      <w:pPr>
        <w:rPr>
          <w:rFonts w:ascii="Times New Roman" w:eastAsia="Arial Unicode MS" w:hAnsi="Times New Roman" w:cs="Arial Unicode MS"/>
          <w:sz w:val="24"/>
          <w:szCs w:val="24"/>
        </w:rPr>
      </w:pPr>
    </w:p>
    <w:p w:rsidR="0078717D" w:rsidRDefault="009816DD" w:rsidP="004653DF">
      <w:pPr>
        <w:rPr>
          <w:rFonts w:ascii="Times New Roman" w:eastAsia="Arial Unicode MS" w:hAnsi="Times New Roman" w:cs="Arial Unicode MS"/>
          <w:sz w:val="24"/>
          <w:szCs w:val="24"/>
        </w:rPr>
      </w:pPr>
      <w:r>
        <w:rPr>
          <w:rFonts w:ascii="Times New Roman" w:eastAsia="Arial Unicode MS" w:hAnsi="Times New Roman" w:cs="Arial Unicode MS"/>
          <w:sz w:val="24"/>
          <w:szCs w:val="24"/>
        </w:rPr>
        <w:t>PHMSA does not estimate any out-of-pocket expenses with this information collection.</w:t>
      </w:r>
    </w:p>
    <w:p w:rsidR="009816DD" w:rsidRPr="0078717D" w:rsidRDefault="009816DD" w:rsidP="004653DF">
      <w:pPr>
        <w:rPr>
          <w:rFonts w:ascii="Times New Roman" w:eastAsia="Arial Unicode MS" w:hAnsi="Times New Roman" w:cs="Arial Unicode MS"/>
          <w:sz w:val="24"/>
          <w:szCs w:val="24"/>
        </w:rPr>
      </w:pPr>
    </w:p>
    <w:p w:rsidR="0078717D" w:rsidRDefault="0078717D" w:rsidP="001972DB">
      <w:pPr>
        <w:rPr>
          <w:rFonts w:ascii="Times New Roman" w:hAnsi="Times New Roman"/>
          <w:bCs/>
          <w:sz w:val="24"/>
          <w:szCs w:val="24"/>
        </w:rPr>
      </w:pPr>
    </w:p>
    <w:p w:rsidR="00DA7852" w:rsidRDefault="0004749E">
      <w:pPr>
        <w:rPr>
          <w:rFonts w:ascii="Times New Roman" w:hAnsi="Times New Roman"/>
          <w:b/>
          <w:sz w:val="24"/>
          <w:szCs w:val="24"/>
        </w:rPr>
      </w:pPr>
      <w:r w:rsidRPr="006E2136">
        <w:rPr>
          <w:rFonts w:ascii="Times New Roman" w:hAnsi="Times New Roman"/>
          <w:bCs/>
          <w:sz w:val="24"/>
          <w:szCs w:val="24"/>
        </w:rPr>
        <w:t xml:space="preserve">14. </w:t>
      </w:r>
      <w:r w:rsidR="00903F9C">
        <w:rPr>
          <w:rFonts w:ascii="Times New Roman" w:hAnsi="Times New Roman"/>
          <w:bCs/>
          <w:sz w:val="24"/>
          <w:szCs w:val="24"/>
        </w:rPr>
        <w:tab/>
      </w:r>
      <w:r w:rsidRPr="006E2136">
        <w:rPr>
          <w:rFonts w:ascii="Times New Roman" w:hAnsi="Times New Roman"/>
          <w:bCs/>
          <w:sz w:val="24"/>
          <w:szCs w:val="24"/>
          <w:u w:val="single"/>
        </w:rPr>
        <w:t>Estimate of cost to the Federal government.</w:t>
      </w:r>
      <w:r w:rsidR="00105F8E" w:rsidRPr="006E2136">
        <w:rPr>
          <w:rFonts w:ascii="Times New Roman" w:hAnsi="Times New Roman"/>
          <w:b/>
          <w:bCs/>
          <w:sz w:val="24"/>
          <w:szCs w:val="24"/>
        </w:rPr>
        <w:t xml:space="preserve"> </w:t>
      </w:r>
      <w:r w:rsidR="009D4F72" w:rsidRPr="006E2136">
        <w:rPr>
          <w:rFonts w:ascii="Times New Roman" w:hAnsi="Times New Roman"/>
          <w:b/>
          <w:sz w:val="24"/>
          <w:szCs w:val="24"/>
        </w:rPr>
        <w:t xml:space="preserve"> </w:t>
      </w:r>
    </w:p>
    <w:p w:rsidR="00DA7852" w:rsidRDefault="00DA7852">
      <w:pPr>
        <w:rPr>
          <w:rFonts w:ascii="Times New Roman" w:hAnsi="Times New Roman"/>
          <w:b/>
          <w:sz w:val="24"/>
          <w:szCs w:val="24"/>
        </w:rPr>
      </w:pPr>
    </w:p>
    <w:p w:rsidR="00A66704" w:rsidRDefault="009816DD" w:rsidP="004653DF">
      <w:pPr>
        <w:rPr>
          <w:rFonts w:ascii="Times New Roman" w:hAnsi="Times New Roman"/>
          <w:sz w:val="24"/>
          <w:szCs w:val="24"/>
        </w:rPr>
      </w:pPr>
      <w:r>
        <w:rPr>
          <w:rFonts w:ascii="Times New Roman" w:hAnsi="Times New Roman"/>
          <w:sz w:val="24"/>
          <w:szCs w:val="24"/>
        </w:rPr>
        <w:t>There are no costs to the Federal Government for this information collection.</w:t>
      </w:r>
    </w:p>
    <w:p w:rsidR="0004749E" w:rsidRDefault="0004749E" w:rsidP="001972DB">
      <w:pPr>
        <w:rPr>
          <w:rFonts w:ascii="Times New Roman" w:hAnsi="Times New Roman"/>
          <w:sz w:val="24"/>
          <w:szCs w:val="24"/>
        </w:rPr>
      </w:pPr>
    </w:p>
    <w:p w:rsidR="009816DD" w:rsidRPr="006E2136" w:rsidRDefault="009816DD">
      <w:pPr>
        <w:rPr>
          <w:rFonts w:ascii="Times New Roman" w:hAnsi="Times New Roman"/>
          <w:sz w:val="24"/>
          <w:szCs w:val="24"/>
        </w:rPr>
      </w:pPr>
    </w:p>
    <w:p w:rsidR="003D0245" w:rsidRPr="006E2136" w:rsidRDefault="0004749E">
      <w:pPr>
        <w:rPr>
          <w:rFonts w:ascii="Times New Roman" w:hAnsi="Times New Roman"/>
          <w:b/>
          <w:bCs/>
          <w:sz w:val="24"/>
          <w:szCs w:val="24"/>
        </w:rPr>
      </w:pPr>
      <w:r w:rsidRPr="006E2136">
        <w:rPr>
          <w:rFonts w:ascii="Times New Roman" w:hAnsi="Times New Roman"/>
          <w:bCs/>
          <w:sz w:val="24"/>
          <w:szCs w:val="24"/>
        </w:rPr>
        <w:t xml:space="preserve">15. </w:t>
      </w:r>
      <w:r w:rsidR="00903F9C">
        <w:rPr>
          <w:rFonts w:ascii="Times New Roman" w:hAnsi="Times New Roman"/>
          <w:bCs/>
          <w:sz w:val="24"/>
          <w:szCs w:val="24"/>
        </w:rPr>
        <w:tab/>
      </w:r>
      <w:r w:rsidRPr="006E2136">
        <w:rPr>
          <w:rFonts w:ascii="Times New Roman" w:hAnsi="Times New Roman"/>
          <w:bCs/>
          <w:sz w:val="24"/>
          <w:szCs w:val="24"/>
          <w:u w:val="single"/>
        </w:rPr>
        <w:t>Explanation of program changes or adjustments.</w:t>
      </w:r>
      <w:r w:rsidR="00105F8E" w:rsidRPr="006E2136">
        <w:rPr>
          <w:rFonts w:ascii="Times New Roman" w:hAnsi="Times New Roman"/>
          <w:b/>
          <w:bCs/>
          <w:sz w:val="24"/>
          <w:szCs w:val="24"/>
        </w:rPr>
        <w:t xml:space="preserve"> </w:t>
      </w:r>
      <w:r w:rsidR="009D4F72" w:rsidRPr="006E2136">
        <w:rPr>
          <w:rFonts w:ascii="Times New Roman" w:hAnsi="Times New Roman"/>
          <w:b/>
          <w:bCs/>
          <w:sz w:val="24"/>
          <w:szCs w:val="24"/>
        </w:rPr>
        <w:t xml:space="preserve"> </w:t>
      </w:r>
    </w:p>
    <w:p w:rsidR="001F0869" w:rsidRPr="006E2136" w:rsidRDefault="001F0869">
      <w:pPr>
        <w:rPr>
          <w:rFonts w:ascii="Times New Roman" w:hAnsi="Times New Roman"/>
          <w:sz w:val="24"/>
          <w:szCs w:val="24"/>
        </w:rPr>
      </w:pPr>
    </w:p>
    <w:p w:rsidR="00E27217" w:rsidRDefault="00C1709D">
      <w:pPr>
        <w:rPr>
          <w:rFonts w:ascii="Times New Roman" w:hAnsi="Times New Roman"/>
          <w:sz w:val="24"/>
          <w:szCs w:val="24"/>
        </w:rPr>
      </w:pPr>
      <w:r w:rsidRPr="00C1709D">
        <w:rPr>
          <w:rFonts w:ascii="Times New Roman" w:hAnsi="Times New Roman"/>
          <w:bCs/>
          <w:sz w:val="24"/>
          <w:szCs w:val="24"/>
        </w:rPr>
        <w:t>The burdens under this OMB control number are being revised due to PHMSA revising its data based on better estimates. The renewal revises the responses and burden hours based on a more accurate estimate by PHMSA. This feedback accounts for the increased burden in this information collection request.</w:t>
      </w:r>
      <w:r>
        <w:rPr>
          <w:rFonts w:ascii="Times New Roman" w:hAnsi="Times New Roman"/>
          <w:bCs/>
          <w:sz w:val="24"/>
          <w:szCs w:val="24"/>
        </w:rPr>
        <w:br/>
      </w:r>
    </w:p>
    <w:p w:rsidR="009816DD" w:rsidRPr="006E2136" w:rsidRDefault="009816DD">
      <w:pPr>
        <w:rPr>
          <w:rFonts w:ascii="Times New Roman" w:hAnsi="Times New Roman"/>
          <w:sz w:val="24"/>
          <w:szCs w:val="24"/>
        </w:rPr>
      </w:pPr>
    </w:p>
    <w:p w:rsidR="00105F8E" w:rsidRPr="006E2136" w:rsidRDefault="0004749E">
      <w:pPr>
        <w:rPr>
          <w:rFonts w:ascii="Times New Roman" w:hAnsi="Times New Roman"/>
          <w:b/>
          <w:sz w:val="24"/>
          <w:szCs w:val="24"/>
        </w:rPr>
      </w:pPr>
      <w:r w:rsidRPr="006E2136">
        <w:rPr>
          <w:rFonts w:ascii="Times New Roman" w:hAnsi="Times New Roman"/>
          <w:bCs/>
          <w:sz w:val="24"/>
          <w:szCs w:val="24"/>
        </w:rPr>
        <w:t xml:space="preserve">16. </w:t>
      </w:r>
      <w:r w:rsidR="00903F9C">
        <w:rPr>
          <w:rFonts w:ascii="Times New Roman" w:hAnsi="Times New Roman"/>
          <w:bCs/>
          <w:sz w:val="24"/>
          <w:szCs w:val="24"/>
        </w:rPr>
        <w:tab/>
      </w:r>
      <w:r w:rsidRPr="006E2136">
        <w:rPr>
          <w:rFonts w:ascii="Times New Roman" w:hAnsi="Times New Roman"/>
          <w:bCs/>
          <w:sz w:val="24"/>
          <w:szCs w:val="24"/>
          <w:u w:val="single"/>
        </w:rPr>
        <w:t>Publication of results of data collection.</w:t>
      </w:r>
      <w:r w:rsidR="00105F8E" w:rsidRPr="006E2136">
        <w:rPr>
          <w:rFonts w:ascii="Times New Roman" w:hAnsi="Times New Roman"/>
          <w:b/>
          <w:sz w:val="24"/>
          <w:szCs w:val="24"/>
        </w:rPr>
        <w:t xml:space="preserve"> </w:t>
      </w:r>
      <w:r w:rsidR="008D34A3" w:rsidRPr="006E2136">
        <w:rPr>
          <w:rFonts w:ascii="Times New Roman" w:hAnsi="Times New Roman"/>
          <w:b/>
          <w:sz w:val="24"/>
          <w:szCs w:val="24"/>
        </w:rPr>
        <w:t xml:space="preserve"> </w:t>
      </w:r>
    </w:p>
    <w:p w:rsidR="003D0245" w:rsidRPr="006E2136" w:rsidRDefault="003D024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78717D" w:rsidRPr="0078717D" w:rsidRDefault="0078717D">
      <w:pPr>
        <w:pStyle w:val="BodyText3"/>
        <w:rPr>
          <w:rFonts w:ascii="Times New Roman" w:hAnsi="Times New Roman"/>
          <w:color w:val="auto"/>
        </w:rPr>
      </w:pPr>
      <w:r w:rsidRPr="0078717D">
        <w:rPr>
          <w:rFonts w:ascii="Times New Roman" w:hAnsi="Times New Roman"/>
          <w:color w:val="auto"/>
        </w:rPr>
        <w:t>There is no publication for statistical use and no statistical techniques are involved.</w:t>
      </w:r>
    </w:p>
    <w:p w:rsidR="009816DD" w:rsidRDefault="009816D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04749E" w:rsidRPr="006E2136" w:rsidRDefault="00F9205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6E2136">
        <w:rPr>
          <w:rFonts w:ascii="Times New Roman" w:hAnsi="Times New Roman"/>
        </w:rPr>
        <w:br/>
      </w:r>
      <w:r w:rsidR="0004749E" w:rsidRPr="006E2136">
        <w:rPr>
          <w:rFonts w:ascii="Times New Roman" w:hAnsi="Times New Roman"/>
          <w:bCs/>
          <w:color w:val="auto"/>
        </w:rPr>
        <w:t xml:space="preserve">17. </w:t>
      </w:r>
      <w:r w:rsidR="00903F9C">
        <w:rPr>
          <w:rFonts w:ascii="Times New Roman" w:hAnsi="Times New Roman"/>
          <w:bCs/>
          <w:color w:val="auto"/>
        </w:rPr>
        <w:tab/>
      </w:r>
      <w:r w:rsidR="0004749E" w:rsidRPr="006E2136">
        <w:rPr>
          <w:rFonts w:ascii="Times New Roman" w:hAnsi="Times New Roman"/>
          <w:bCs/>
          <w:color w:val="auto"/>
          <w:u w:val="single"/>
        </w:rPr>
        <w:t>Approval for not displaying the expiration date of OMB approval.</w:t>
      </w:r>
      <w:r w:rsidR="00105F8E" w:rsidRPr="006E2136">
        <w:rPr>
          <w:rFonts w:ascii="Times New Roman" w:hAnsi="Times New Roman"/>
          <w:bCs/>
          <w:color w:val="auto"/>
          <w:u w:val="single"/>
        </w:rPr>
        <w:t xml:space="preserve"> </w:t>
      </w:r>
    </w:p>
    <w:p w:rsidR="00105F8E" w:rsidRPr="006E2136" w:rsidRDefault="00105F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AD3A6A" w:rsidRDefault="00A750CA">
      <w:pPr>
        <w:rPr>
          <w:rFonts w:ascii="Times New Roman" w:hAnsi="Times New Roman"/>
          <w:sz w:val="24"/>
          <w:szCs w:val="24"/>
        </w:rPr>
      </w:pPr>
      <w:r w:rsidRPr="00A750CA">
        <w:rPr>
          <w:rFonts w:ascii="Times New Roman" w:hAnsi="Times New Roman"/>
          <w:sz w:val="24"/>
          <w:szCs w:val="24"/>
        </w:rPr>
        <w:t>This information collection OMB Control number is prominently displayed in the HMR, specifically under § 171.6, entitled, “Control Numbers under the Paperwork Reduction Act.”</w:t>
      </w:r>
    </w:p>
    <w:p w:rsidR="009816DD" w:rsidRDefault="009816DD">
      <w:pPr>
        <w:rPr>
          <w:rFonts w:ascii="Times New Roman" w:hAnsi="Times New Roman"/>
          <w:bCs/>
          <w:sz w:val="24"/>
          <w:szCs w:val="24"/>
        </w:rPr>
      </w:pPr>
    </w:p>
    <w:p w:rsidR="00105F8E" w:rsidRPr="006E2136" w:rsidRDefault="006C714E">
      <w:pPr>
        <w:rPr>
          <w:rFonts w:ascii="Times New Roman" w:hAnsi="Times New Roman"/>
          <w:b/>
          <w:sz w:val="24"/>
          <w:szCs w:val="24"/>
        </w:rPr>
      </w:pPr>
      <w:r w:rsidRPr="006E2136">
        <w:rPr>
          <w:rFonts w:ascii="Times New Roman" w:hAnsi="Times New Roman"/>
          <w:bCs/>
          <w:sz w:val="24"/>
          <w:szCs w:val="24"/>
        </w:rPr>
        <w:br/>
      </w:r>
      <w:r w:rsidR="0004749E" w:rsidRPr="006E2136">
        <w:rPr>
          <w:rFonts w:ascii="Times New Roman" w:hAnsi="Times New Roman"/>
          <w:bCs/>
          <w:sz w:val="24"/>
          <w:szCs w:val="24"/>
        </w:rPr>
        <w:t xml:space="preserve">18. </w:t>
      </w:r>
      <w:r w:rsidR="00903F9C">
        <w:rPr>
          <w:rFonts w:ascii="Times New Roman" w:hAnsi="Times New Roman"/>
          <w:bCs/>
          <w:sz w:val="24"/>
          <w:szCs w:val="24"/>
        </w:rPr>
        <w:tab/>
      </w:r>
      <w:r w:rsidR="0004749E" w:rsidRPr="006E2136">
        <w:rPr>
          <w:rFonts w:ascii="Times New Roman" w:hAnsi="Times New Roman"/>
          <w:bCs/>
          <w:sz w:val="24"/>
          <w:szCs w:val="24"/>
          <w:u w:val="single"/>
        </w:rPr>
        <w:t>Exceptions to certification statement.</w:t>
      </w:r>
      <w:r w:rsidR="00105F8E" w:rsidRPr="006E2136">
        <w:rPr>
          <w:rFonts w:ascii="Times New Roman" w:hAnsi="Times New Roman"/>
          <w:b/>
          <w:bCs/>
          <w:sz w:val="24"/>
          <w:szCs w:val="24"/>
        </w:rPr>
        <w:t xml:space="preserve"> </w:t>
      </w:r>
      <w:r w:rsidR="009D4F72" w:rsidRPr="006E2136">
        <w:rPr>
          <w:rFonts w:ascii="Times New Roman" w:hAnsi="Times New Roman"/>
          <w:b/>
          <w:bCs/>
          <w:sz w:val="24"/>
          <w:szCs w:val="24"/>
        </w:rPr>
        <w:t xml:space="preserve"> </w:t>
      </w:r>
    </w:p>
    <w:p w:rsidR="009816DD" w:rsidRDefault="009816DD" w:rsidP="004653DF">
      <w:pPr>
        <w:pStyle w:val="NormalWeb"/>
        <w:spacing w:before="0" w:beforeAutospacing="0" w:after="0" w:afterAutospacing="0"/>
        <w:rPr>
          <w:rFonts w:ascii="Times New Roman" w:hAnsi="Times New Roman"/>
        </w:rPr>
      </w:pPr>
    </w:p>
    <w:p w:rsidR="00CD7543" w:rsidRPr="006E2136" w:rsidRDefault="0078717D" w:rsidP="004653DF">
      <w:pPr>
        <w:pStyle w:val="NormalWeb"/>
        <w:spacing w:before="0" w:beforeAutospacing="0" w:after="0" w:afterAutospacing="0"/>
      </w:pPr>
      <w:r w:rsidRPr="0078717D">
        <w:rPr>
          <w:rFonts w:ascii="Times New Roman" w:hAnsi="Times New Roman"/>
        </w:rPr>
        <w:t>There is no exception to PHMSA’s certification of this request for information collection approval.</w:t>
      </w:r>
    </w:p>
    <w:sectPr w:rsidR="00CD7543" w:rsidRPr="006E2136">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7CC" w:rsidRDefault="00F357CC">
      <w:r>
        <w:separator/>
      </w:r>
    </w:p>
  </w:endnote>
  <w:endnote w:type="continuationSeparator" w:id="0">
    <w:p w:rsidR="00F357CC" w:rsidRDefault="00F3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00000000" w:usb1="C0007841"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CD0" w:rsidRDefault="00106CD0">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5726E">
      <w:rPr>
        <w:rStyle w:val="PageNumber"/>
        <w:noProof/>
      </w:rPr>
      <w:t>1</w:t>
    </w:r>
    <w:r>
      <w:rPr>
        <w:rStyle w:val="PageNumber"/>
      </w:rPr>
      <w:fldChar w:fldCharType="end"/>
    </w:r>
  </w:p>
  <w:p w:rsidR="00106CD0" w:rsidRDefault="00106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7CC" w:rsidRDefault="00F357CC">
      <w:r>
        <w:separator/>
      </w:r>
    </w:p>
  </w:footnote>
  <w:footnote w:type="continuationSeparator" w:id="0">
    <w:p w:rsidR="00F357CC" w:rsidRDefault="00F357CC">
      <w:r>
        <w:continuationSeparator/>
      </w:r>
    </w:p>
  </w:footnote>
  <w:footnote w:id="1">
    <w:p w:rsidR="00A53738" w:rsidRPr="00617D05" w:rsidRDefault="00A53738" w:rsidP="00A53738">
      <w:pPr>
        <w:pStyle w:val="FootnoteText"/>
        <w:rPr>
          <w:rFonts w:ascii="Times New Roman" w:hAnsi="Times New Roman"/>
        </w:rPr>
      </w:pPr>
      <w:r w:rsidRPr="00617D05">
        <w:rPr>
          <w:rStyle w:val="FootnoteReference"/>
          <w:rFonts w:ascii="Times New Roman" w:hAnsi="Times New Roman"/>
        </w:rPr>
        <w:footnoteRef/>
      </w:r>
      <w:r w:rsidRPr="00617D05">
        <w:rPr>
          <w:rFonts w:ascii="Times New Roman" w:hAnsi="Times New Roman"/>
        </w:rPr>
        <w:t xml:space="preserve"> </w:t>
      </w:r>
      <w:r w:rsidR="00B83441" w:rsidRPr="00B83441">
        <w:rPr>
          <w:rFonts w:ascii="Times New Roman" w:hAnsi="Times New Roman"/>
        </w:rPr>
        <w:t>Occupation labor rates based on 2018 Occupational and Employment Statistics Survey (OES) for “Office Clerks, General.” https://www.bls.gov/oes/current/oes439061.htm The hourly mean wage for this occupation ($16.92)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2F9C"/>
    <w:multiLevelType w:val="multilevel"/>
    <w:tmpl w:val="DC4284F2"/>
    <w:lvl w:ilvl="0">
      <w:start w:val="1"/>
      <w:numFmt w:val="decimal"/>
      <w:lvlText w:val="%1."/>
      <w:lvlJc w:val="left"/>
      <w:pPr>
        <w:tabs>
          <w:tab w:val="num" w:pos="720"/>
        </w:tabs>
        <w:ind w:left="720" w:hanging="360"/>
      </w:pPr>
      <w:rPr>
        <w:rFonts w:hint="default"/>
        <w:b w:val="0"/>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B0450B"/>
    <w:multiLevelType w:val="multilevel"/>
    <w:tmpl w:val="11BA82D8"/>
    <w:lvl w:ilvl="0">
      <w:start w:val="1"/>
      <w:numFmt w:val="upperLetter"/>
      <w:lvlText w:val="%1)"/>
      <w:lvlJc w:val="left"/>
      <w:pPr>
        <w:tabs>
          <w:tab w:val="num" w:pos="360"/>
        </w:tabs>
        <w:ind w:left="360" w:hanging="360"/>
      </w:pPr>
      <w:rPr>
        <w:rFonts w:ascii="Times New (W1)" w:hAnsi="Times New (W1)"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27214E05"/>
    <w:multiLevelType w:val="hybridMultilevel"/>
    <w:tmpl w:val="2C68F84C"/>
    <w:lvl w:ilvl="0" w:tplc="473E94AC">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09329BE"/>
    <w:multiLevelType w:val="multilevel"/>
    <w:tmpl w:val="4F827D64"/>
    <w:lvl w:ilvl="0">
      <w:start w:val="1"/>
      <w:numFmt w:val="bullet"/>
      <w:lvlText w:val=""/>
      <w:lvlJc w:val="left"/>
      <w:pPr>
        <w:tabs>
          <w:tab w:val="num" w:pos="720"/>
        </w:tabs>
        <w:ind w:left="720" w:hanging="360"/>
      </w:pPr>
      <w:rPr>
        <w:rFonts w:ascii="Symbol" w:hAnsi="Symbol" w:hint="default"/>
        <w:b w:val="0"/>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61AE1BF8"/>
    <w:multiLevelType w:val="multilevel"/>
    <w:tmpl w:val="27623FC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652C0492"/>
    <w:multiLevelType w:val="hybridMultilevel"/>
    <w:tmpl w:val="F45CFCB8"/>
    <w:lvl w:ilvl="0" w:tplc="439416CC">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4"/>
  </w:num>
  <w:num w:numId="3">
    <w:abstractNumId w:val="5"/>
  </w:num>
  <w:num w:numId="4">
    <w:abstractNumId w:val="14"/>
  </w:num>
  <w:num w:numId="5">
    <w:abstractNumId w:val="10"/>
  </w:num>
  <w:num w:numId="6">
    <w:abstractNumId w:val="6"/>
  </w:num>
  <w:num w:numId="7">
    <w:abstractNumId w:val="9"/>
  </w:num>
  <w:num w:numId="8">
    <w:abstractNumId w:val="8"/>
  </w:num>
  <w:num w:numId="9">
    <w:abstractNumId w:val="3"/>
  </w:num>
  <w:num w:numId="10">
    <w:abstractNumId w:val="2"/>
  </w:num>
  <w:num w:numId="11">
    <w:abstractNumId w:val="13"/>
  </w:num>
  <w:num w:numId="12">
    <w:abstractNumId w:val="12"/>
  </w:num>
  <w:num w:numId="13">
    <w:abstractNumId w:val="7"/>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0092"/>
    <w:rsid w:val="0000083D"/>
    <w:rsid w:val="00012A65"/>
    <w:rsid w:val="00013F9F"/>
    <w:rsid w:val="0001794B"/>
    <w:rsid w:val="0004749E"/>
    <w:rsid w:val="00062755"/>
    <w:rsid w:val="000777FB"/>
    <w:rsid w:val="0008270D"/>
    <w:rsid w:val="00092CDD"/>
    <w:rsid w:val="000931B2"/>
    <w:rsid w:val="000B4308"/>
    <w:rsid w:val="000B5F0F"/>
    <w:rsid w:val="000B7504"/>
    <w:rsid w:val="000C71C9"/>
    <w:rsid w:val="000D011B"/>
    <w:rsid w:val="00103851"/>
    <w:rsid w:val="00105F8E"/>
    <w:rsid w:val="00106CD0"/>
    <w:rsid w:val="00116614"/>
    <w:rsid w:val="001442EF"/>
    <w:rsid w:val="00170D0F"/>
    <w:rsid w:val="00181E9F"/>
    <w:rsid w:val="001902A3"/>
    <w:rsid w:val="00190480"/>
    <w:rsid w:val="001972DB"/>
    <w:rsid w:val="001F0869"/>
    <w:rsid w:val="00284872"/>
    <w:rsid w:val="0029658B"/>
    <w:rsid w:val="002B5E94"/>
    <w:rsid w:val="002E036D"/>
    <w:rsid w:val="002F734D"/>
    <w:rsid w:val="00300EF0"/>
    <w:rsid w:val="00334915"/>
    <w:rsid w:val="00372DA9"/>
    <w:rsid w:val="00374E66"/>
    <w:rsid w:val="0038743A"/>
    <w:rsid w:val="003A0627"/>
    <w:rsid w:val="003C52E8"/>
    <w:rsid w:val="003D0245"/>
    <w:rsid w:val="003D3495"/>
    <w:rsid w:val="003D371E"/>
    <w:rsid w:val="003E3367"/>
    <w:rsid w:val="00401C76"/>
    <w:rsid w:val="004261AD"/>
    <w:rsid w:val="00426ED1"/>
    <w:rsid w:val="00440064"/>
    <w:rsid w:val="0046143C"/>
    <w:rsid w:val="004653DF"/>
    <w:rsid w:val="00470720"/>
    <w:rsid w:val="00471779"/>
    <w:rsid w:val="0047700C"/>
    <w:rsid w:val="004863D8"/>
    <w:rsid w:val="00492A25"/>
    <w:rsid w:val="004A25E1"/>
    <w:rsid w:val="004F6B74"/>
    <w:rsid w:val="005057F7"/>
    <w:rsid w:val="005673C3"/>
    <w:rsid w:val="00587888"/>
    <w:rsid w:val="005E5D20"/>
    <w:rsid w:val="005E6EE8"/>
    <w:rsid w:val="005F3C40"/>
    <w:rsid w:val="0060717F"/>
    <w:rsid w:val="006623E9"/>
    <w:rsid w:val="00667E99"/>
    <w:rsid w:val="00683FF7"/>
    <w:rsid w:val="00691A84"/>
    <w:rsid w:val="00696161"/>
    <w:rsid w:val="006B0900"/>
    <w:rsid w:val="006B25B4"/>
    <w:rsid w:val="006C714E"/>
    <w:rsid w:val="006E0380"/>
    <w:rsid w:val="006E2136"/>
    <w:rsid w:val="006E74D7"/>
    <w:rsid w:val="006F065A"/>
    <w:rsid w:val="00704E0F"/>
    <w:rsid w:val="00744AAC"/>
    <w:rsid w:val="00750AD5"/>
    <w:rsid w:val="00760D03"/>
    <w:rsid w:val="00782050"/>
    <w:rsid w:val="0078717D"/>
    <w:rsid w:val="00790DE3"/>
    <w:rsid w:val="007A2EB4"/>
    <w:rsid w:val="007A6114"/>
    <w:rsid w:val="007C7B57"/>
    <w:rsid w:val="007F130B"/>
    <w:rsid w:val="00821E1C"/>
    <w:rsid w:val="0082747B"/>
    <w:rsid w:val="00830F5D"/>
    <w:rsid w:val="008425C1"/>
    <w:rsid w:val="00850F17"/>
    <w:rsid w:val="00851992"/>
    <w:rsid w:val="008639F2"/>
    <w:rsid w:val="0087504F"/>
    <w:rsid w:val="008A2E9D"/>
    <w:rsid w:val="008A4254"/>
    <w:rsid w:val="008A787C"/>
    <w:rsid w:val="008D3369"/>
    <w:rsid w:val="008D34A3"/>
    <w:rsid w:val="008D6AA9"/>
    <w:rsid w:val="008F2CDB"/>
    <w:rsid w:val="00902DFA"/>
    <w:rsid w:val="00903F9C"/>
    <w:rsid w:val="00931301"/>
    <w:rsid w:val="0095768F"/>
    <w:rsid w:val="00967B2E"/>
    <w:rsid w:val="00973E80"/>
    <w:rsid w:val="009816DD"/>
    <w:rsid w:val="00981EC8"/>
    <w:rsid w:val="009913D3"/>
    <w:rsid w:val="009A725E"/>
    <w:rsid w:val="009C29D5"/>
    <w:rsid w:val="009D0DC2"/>
    <w:rsid w:val="009D4F72"/>
    <w:rsid w:val="00A01620"/>
    <w:rsid w:val="00A14BF1"/>
    <w:rsid w:val="00A229B4"/>
    <w:rsid w:val="00A23D9B"/>
    <w:rsid w:val="00A27DB8"/>
    <w:rsid w:val="00A32690"/>
    <w:rsid w:val="00A43424"/>
    <w:rsid w:val="00A45FB6"/>
    <w:rsid w:val="00A53738"/>
    <w:rsid w:val="00A66704"/>
    <w:rsid w:val="00A72E59"/>
    <w:rsid w:val="00A750CA"/>
    <w:rsid w:val="00AC7F26"/>
    <w:rsid w:val="00AD3A6A"/>
    <w:rsid w:val="00B16B75"/>
    <w:rsid w:val="00B22478"/>
    <w:rsid w:val="00B42725"/>
    <w:rsid w:val="00B47FB2"/>
    <w:rsid w:val="00B5726E"/>
    <w:rsid w:val="00B602E6"/>
    <w:rsid w:val="00B64F2C"/>
    <w:rsid w:val="00B72CA7"/>
    <w:rsid w:val="00B745A4"/>
    <w:rsid w:val="00B83441"/>
    <w:rsid w:val="00BA290F"/>
    <w:rsid w:val="00BC5641"/>
    <w:rsid w:val="00BF3DCC"/>
    <w:rsid w:val="00BF75B9"/>
    <w:rsid w:val="00C01D28"/>
    <w:rsid w:val="00C1709D"/>
    <w:rsid w:val="00C178CA"/>
    <w:rsid w:val="00C426E6"/>
    <w:rsid w:val="00C70398"/>
    <w:rsid w:val="00C736A0"/>
    <w:rsid w:val="00C7555B"/>
    <w:rsid w:val="00C83EF0"/>
    <w:rsid w:val="00CB262F"/>
    <w:rsid w:val="00CB5EB6"/>
    <w:rsid w:val="00CD7543"/>
    <w:rsid w:val="00D0014D"/>
    <w:rsid w:val="00D06E2F"/>
    <w:rsid w:val="00D11193"/>
    <w:rsid w:val="00D2203A"/>
    <w:rsid w:val="00D234BE"/>
    <w:rsid w:val="00D24F6F"/>
    <w:rsid w:val="00D9663F"/>
    <w:rsid w:val="00DA0A62"/>
    <w:rsid w:val="00DA2F00"/>
    <w:rsid w:val="00DA7852"/>
    <w:rsid w:val="00DB15BC"/>
    <w:rsid w:val="00DB4C54"/>
    <w:rsid w:val="00E04D6A"/>
    <w:rsid w:val="00E27217"/>
    <w:rsid w:val="00E55762"/>
    <w:rsid w:val="00E62F86"/>
    <w:rsid w:val="00E83695"/>
    <w:rsid w:val="00ED1F06"/>
    <w:rsid w:val="00ED56CE"/>
    <w:rsid w:val="00EE25E8"/>
    <w:rsid w:val="00F01CF1"/>
    <w:rsid w:val="00F07F19"/>
    <w:rsid w:val="00F27C58"/>
    <w:rsid w:val="00F27DA1"/>
    <w:rsid w:val="00F357CC"/>
    <w:rsid w:val="00F42D9B"/>
    <w:rsid w:val="00F534C2"/>
    <w:rsid w:val="00F53FB7"/>
    <w:rsid w:val="00F92057"/>
    <w:rsid w:val="00FA153C"/>
    <w:rsid w:val="00FD1D91"/>
    <w:rsid w:val="00FD7111"/>
    <w:rsid w:val="00FF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semiHidden/>
    <w:rsid w:val="00D0014D"/>
    <w:rPr>
      <w:rFonts w:ascii="Tahoma" w:hAnsi="Tahoma" w:cs="Tahoma"/>
      <w:sz w:val="16"/>
      <w:szCs w:val="16"/>
    </w:rPr>
  </w:style>
  <w:style w:type="character" w:styleId="CommentReference">
    <w:name w:val="annotation reference"/>
    <w:rsid w:val="00D9663F"/>
    <w:rPr>
      <w:sz w:val="16"/>
      <w:szCs w:val="16"/>
    </w:rPr>
  </w:style>
  <w:style w:type="paragraph" w:styleId="CommentText">
    <w:name w:val="annotation text"/>
    <w:basedOn w:val="Normal"/>
    <w:link w:val="CommentTextChar"/>
    <w:rsid w:val="00D9663F"/>
  </w:style>
  <w:style w:type="character" w:customStyle="1" w:styleId="CommentTextChar">
    <w:name w:val="Comment Text Char"/>
    <w:link w:val="CommentText"/>
    <w:rsid w:val="00D9663F"/>
    <w:rPr>
      <w:rFonts w:ascii="Letter Gothic 12cpi" w:hAnsi="Letter Gothic 12cpi"/>
    </w:rPr>
  </w:style>
  <w:style w:type="paragraph" w:styleId="CommentSubject">
    <w:name w:val="annotation subject"/>
    <w:basedOn w:val="CommentText"/>
    <w:next w:val="CommentText"/>
    <w:link w:val="CommentSubjectChar"/>
    <w:rsid w:val="00D9663F"/>
    <w:rPr>
      <w:b/>
      <w:bCs/>
    </w:rPr>
  </w:style>
  <w:style w:type="character" w:customStyle="1" w:styleId="CommentSubjectChar">
    <w:name w:val="Comment Subject Char"/>
    <w:link w:val="CommentSubject"/>
    <w:rsid w:val="00D9663F"/>
    <w:rPr>
      <w:rFonts w:ascii="Letter Gothic 12cpi" w:hAnsi="Letter Gothic 12cpi"/>
      <w:b/>
      <w:bCs/>
    </w:rPr>
  </w:style>
  <w:style w:type="table" w:styleId="TableGrid">
    <w:name w:val="Table Grid"/>
    <w:basedOn w:val="TableNormal"/>
    <w:rsid w:val="00197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53738"/>
    <w:pPr>
      <w:widowControl/>
    </w:pPr>
    <w:rPr>
      <w:rFonts w:ascii="Courier" w:hAnsi="Courier"/>
    </w:rPr>
  </w:style>
  <w:style w:type="character" w:customStyle="1" w:styleId="FootnoteTextChar">
    <w:name w:val="Footnote Text Char"/>
    <w:link w:val="FootnoteText"/>
    <w:rsid w:val="00A53738"/>
    <w:rPr>
      <w:rFonts w:ascii="Courier" w:hAnsi="Courier"/>
    </w:rPr>
  </w:style>
  <w:style w:type="character" w:styleId="FootnoteReference">
    <w:name w:val="footnote reference"/>
    <w:rsid w:val="00A537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semiHidden/>
    <w:rsid w:val="00D0014D"/>
    <w:rPr>
      <w:rFonts w:ascii="Tahoma" w:hAnsi="Tahoma" w:cs="Tahoma"/>
      <w:sz w:val="16"/>
      <w:szCs w:val="16"/>
    </w:rPr>
  </w:style>
  <w:style w:type="character" w:styleId="CommentReference">
    <w:name w:val="annotation reference"/>
    <w:rsid w:val="00D9663F"/>
    <w:rPr>
      <w:sz w:val="16"/>
      <w:szCs w:val="16"/>
    </w:rPr>
  </w:style>
  <w:style w:type="paragraph" w:styleId="CommentText">
    <w:name w:val="annotation text"/>
    <w:basedOn w:val="Normal"/>
    <w:link w:val="CommentTextChar"/>
    <w:rsid w:val="00D9663F"/>
  </w:style>
  <w:style w:type="character" w:customStyle="1" w:styleId="CommentTextChar">
    <w:name w:val="Comment Text Char"/>
    <w:link w:val="CommentText"/>
    <w:rsid w:val="00D9663F"/>
    <w:rPr>
      <w:rFonts w:ascii="Letter Gothic 12cpi" w:hAnsi="Letter Gothic 12cpi"/>
    </w:rPr>
  </w:style>
  <w:style w:type="paragraph" w:styleId="CommentSubject">
    <w:name w:val="annotation subject"/>
    <w:basedOn w:val="CommentText"/>
    <w:next w:val="CommentText"/>
    <w:link w:val="CommentSubjectChar"/>
    <w:rsid w:val="00D9663F"/>
    <w:rPr>
      <w:b/>
      <w:bCs/>
    </w:rPr>
  </w:style>
  <w:style w:type="character" w:customStyle="1" w:styleId="CommentSubjectChar">
    <w:name w:val="Comment Subject Char"/>
    <w:link w:val="CommentSubject"/>
    <w:rsid w:val="00D9663F"/>
    <w:rPr>
      <w:rFonts w:ascii="Letter Gothic 12cpi" w:hAnsi="Letter Gothic 12cpi"/>
      <w:b/>
      <w:bCs/>
    </w:rPr>
  </w:style>
  <w:style w:type="table" w:styleId="TableGrid">
    <w:name w:val="Table Grid"/>
    <w:basedOn w:val="TableNormal"/>
    <w:rsid w:val="00197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53738"/>
    <w:pPr>
      <w:widowControl/>
    </w:pPr>
    <w:rPr>
      <w:rFonts w:ascii="Courier" w:hAnsi="Courier"/>
    </w:rPr>
  </w:style>
  <w:style w:type="character" w:customStyle="1" w:styleId="FootnoteTextChar">
    <w:name w:val="Footnote Text Char"/>
    <w:link w:val="FootnoteText"/>
    <w:rsid w:val="00A53738"/>
    <w:rPr>
      <w:rFonts w:ascii="Courier" w:hAnsi="Courier"/>
    </w:rPr>
  </w:style>
  <w:style w:type="character" w:styleId="FootnoteReference">
    <w:name w:val="footnote reference"/>
    <w:rsid w:val="00A537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65261">
      <w:bodyDiv w:val="1"/>
      <w:marLeft w:val="0"/>
      <w:marRight w:val="0"/>
      <w:marTop w:val="0"/>
      <w:marBottom w:val="0"/>
      <w:divBdr>
        <w:top w:val="none" w:sz="0" w:space="0" w:color="auto"/>
        <w:left w:val="none" w:sz="0" w:space="0" w:color="auto"/>
        <w:bottom w:val="none" w:sz="0" w:space="0" w:color="auto"/>
        <w:right w:val="none" w:sz="0" w:space="0" w:color="auto"/>
      </w:divBdr>
    </w:div>
    <w:div w:id="663824018">
      <w:bodyDiv w:val="1"/>
      <w:marLeft w:val="0"/>
      <w:marRight w:val="0"/>
      <w:marTop w:val="0"/>
      <w:marBottom w:val="0"/>
      <w:divBdr>
        <w:top w:val="none" w:sz="0" w:space="0" w:color="auto"/>
        <w:left w:val="none" w:sz="0" w:space="0" w:color="auto"/>
        <w:bottom w:val="none" w:sz="0" w:space="0" w:color="auto"/>
        <w:right w:val="none" w:sz="0" w:space="0" w:color="auto"/>
      </w:divBdr>
    </w:div>
    <w:div w:id="1176575634">
      <w:bodyDiv w:val="1"/>
      <w:marLeft w:val="0"/>
      <w:marRight w:val="0"/>
      <w:marTop w:val="0"/>
      <w:marBottom w:val="0"/>
      <w:divBdr>
        <w:top w:val="none" w:sz="0" w:space="0" w:color="auto"/>
        <w:left w:val="none" w:sz="0" w:space="0" w:color="auto"/>
        <w:bottom w:val="none" w:sz="0" w:space="0" w:color="auto"/>
        <w:right w:val="none" w:sz="0" w:space="0" w:color="auto"/>
      </w:divBdr>
    </w:div>
    <w:div w:id="1212694756">
      <w:bodyDiv w:val="1"/>
      <w:marLeft w:val="0"/>
      <w:marRight w:val="0"/>
      <w:marTop w:val="0"/>
      <w:marBottom w:val="0"/>
      <w:divBdr>
        <w:top w:val="none" w:sz="0" w:space="0" w:color="auto"/>
        <w:left w:val="none" w:sz="0" w:space="0" w:color="auto"/>
        <w:bottom w:val="none" w:sz="0" w:space="0" w:color="auto"/>
        <w:right w:val="none" w:sz="0" w:space="0" w:color="auto"/>
      </w:divBdr>
    </w:div>
    <w:div w:id="1427648423">
      <w:bodyDiv w:val="1"/>
      <w:marLeft w:val="0"/>
      <w:marRight w:val="0"/>
      <w:marTop w:val="0"/>
      <w:marBottom w:val="0"/>
      <w:divBdr>
        <w:top w:val="none" w:sz="0" w:space="0" w:color="auto"/>
        <w:left w:val="none" w:sz="0" w:space="0" w:color="auto"/>
        <w:bottom w:val="none" w:sz="0" w:space="0" w:color="auto"/>
        <w:right w:val="none" w:sz="0" w:space="0" w:color="auto"/>
      </w:divBdr>
    </w:div>
    <w:div w:id="19755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SYSTEM</cp:lastModifiedBy>
  <cp:revision>2</cp:revision>
  <cp:lastPrinted>2012-06-13T16:35:00Z</cp:lastPrinted>
  <dcterms:created xsi:type="dcterms:W3CDTF">2019-06-06T20:01:00Z</dcterms:created>
  <dcterms:modified xsi:type="dcterms:W3CDTF">2019-06-06T20:01:00Z</dcterms:modified>
</cp:coreProperties>
</file>