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20" w:rsidRPr="000C2F12" w:rsidRDefault="00453920" w:rsidP="008E20AC">
      <w:pPr>
        <w:pStyle w:val="Title"/>
        <w:rPr>
          <w:rFonts w:ascii="Times New Roman" w:hAnsi="Times New Roman"/>
          <w:u w:val="none"/>
        </w:rPr>
      </w:pPr>
      <w:bookmarkStart w:id="0" w:name="_GoBack"/>
      <w:bookmarkEnd w:id="0"/>
      <w:r w:rsidRPr="000C2F12">
        <w:rPr>
          <w:rFonts w:ascii="Times New Roman" w:hAnsi="Times New Roman"/>
          <w:u w:val="none"/>
        </w:rPr>
        <w:t>Department of Transportation</w:t>
      </w:r>
    </w:p>
    <w:p w:rsidR="00453920" w:rsidRPr="000C2F12" w:rsidRDefault="00453920" w:rsidP="008E20AC">
      <w:pPr>
        <w:pStyle w:val="Title"/>
        <w:rPr>
          <w:rFonts w:ascii="Times New Roman" w:hAnsi="Times New Roman"/>
          <w:u w:val="none"/>
        </w:rPr>
      </w:pPr>
      <w:r w:rsidRPr="000C2F12">
        <w:rPr>
          <w:rFonts w:ascii="Times New Roman" w:hAnsi="Times New Roman"/>
          <w:u w:val="none"/>
        </w:rPr>
        <w:t>Office of the Chief Information Officer</w:t>
      </w:r>
    </w:p>
    <w:p w:rsidR="00453920" w:rsidRPr="000C2F12" w:rsidRDefault="00453920" w:rsidP="008E20AC">
      <w:pPr>
        <w:pStyle w:val="Title"/>
        <w:rPr>
          <w:rFonts w:ascii="Arial Narrow" w:hAnsi="Arial Narrow" w:cs="Arial"/>
          <w:u w:val="none"/>
        </w:rPr>
      </w:pPr>
      <w:r w:rsidRPr="000C2F12">
        <w:rPr>
          <w:rFonts w:ascii="Times New Roman" w:hAnsi="Times New Roman"/>
          <w:u w:val="none"/>
        </w:rPr>
        <w:t>Supporting Statement</w:t>
      </w:r>
    </w:p>
    <w:p w:rsidR="002E3264" w:rsidRDefault="002E3264" w:rsidP="008E20AC">
      <w:pPr>
        <w:jc w:val="center"/>
      </w:pPr>
    </w:p>
    <w:p w:rsidR="00605613" w:rsidRDefault="00605613" w:rsidP="008E20AC">
      <w:pPr>
        <w:jc w:val="center"/>
      </w:pPr>
      <w:r w:rsidRPr="00453920">
        <w:t>Hazardous Materials Public Sector Training and Planning Grants</w:t>
      </w:r>
    </w:p>
    <w:p w:rsidR="00453920" w:rsidRDefault="00453920" w:rsidP="008E20AC">
      <w:pPr>
        <w:jc w:val="center"/>
      </w:pPr>
      <w:r>
        <w:t>OMB Control No. 2137-0586</w:t>
      </w:r>
    </w:p>
    <w:p w:rsidR="0056745A" w:rsidRPr="007250CE" w:rsidRDefault="0056745A" w:rsidP="008E20AC">
      <w:pPr>
        <w:jc w:val="center"/>
      </w:pPr>
      <w:r>
        <w:t xml:space="preserve">(Expiration Date: </w:t>
      </w:r>
      <w:r w:rsidR="00825C64">
        <w:t>June 30</w:t>
      </w:r>
      <w:r>
        <w:t xml:space="preserve">, </w:t>
      </w:r>
      <w:r w:rsidR="00825C64">
        <w:t>2019</w:t>
      </w:r>
      <w:r>
        <w:t>)</w:t>
      </w:r>
    </w:p>
    <w:p w:rsidR="0056745A" w:rsidRPr="00453920" w:rsidRDefault="0056745A" w:rsidP="008E20AC">
      <w:pPr>
        <w:jc w:val="center"/>
      </w:pPr>
    </w:p>
    <w:p w:rsidR="00453920" w:rsidRPr="00453920" w:rsidRDefault="000C2F12" w:rsidP="008E20AC">
      <w:pPr>
        <w:rPr>
          <w:b/>
          <w:u w:val="single"/>
        </w:rPr>
      </w:pPr>
      <w:r>
        <w:rPr>
          <w:b/>
          <w:u w:val="single"/>
        </w:rPr>
        <w:t>Introduction</w:t>
      </w:r>
    </w:p>
    <w:p w:rsidR="00453920" w:rsidRDefault="00453920" w:rsidP="008E20AC"/>
    <w:p w:rsidR="008E20AC" w:rsidRPr="00D864DA" w:rsidRDefault="00D8116E" w:rsidP="008E20AC">
      <w:r>
        <w:t>This information collection was initiated as a result of</w:t>
      </w:r>
      <w:r w:rsidR="000C2F12">
        <w:t xml:space="preserve"> a </w:t>
      </w:r>
      <w:r w:rsidR="000D4C40">
        <w:t xml:space="preserve">rulemaking published on </w:t>
      </w:r>
      <w:r>
        <w:t xml:space="preserve">September 17, 1992 </w:t>
      </w:r>
      <w:r w:rsidR="000D4C40">
        <w:t>[57 FR 43062</w:t>
      </w:r>
      <w:r w:rsidR="0080656F">
        <w:t>; HM-209</w:t>
      </w:r>
      <w:r w:rsidR="000D4C40">
        <w:t>]</w:t>
      </w:r>
      <w:r>
        <w:t>.</w:t>
      </w:r>
      <w:r w:rsidR="00F100D3">
        <w:t xml:space="preserve">  </w:t>
      </w:r>
      <w:r w:rsidR="00A42F8D">
        <w:t xml:space="preserve">This rulemaking implemented a reimbursable grant program to enhance existing State, </w:t>
      </w:r>
      <w:r w:rsidR="0080656F">
        <w:t xml:space="preserve">Territories, and Indian </w:t>
      </w:r>
      <w:r w:rsidR="00A42F8D">
        <w:t>trib</w:t>
      </w:r>
      <w:r w:rsidR="0080656F">
        <w:t>es</w:t>
      </w:r>
      <w:r w:rsidR="00A42F8D">
        <w:t xml:space="preserve"> hazardous materials emergency response</w:t>
      </w:r>
      <w:r w:rsidR="002E3264">
        <w:t xml:space="preserve"> </w:t>
      </w:r>
      <w:r w:rsidR="00A42F8D">
        <w:t xml:space="preserve">programs.  </w:t>
      </w:r>
      <w:r w:rsidR="00F100D3">
        <w:t xml:space="preserve">This specific information collection addresses the burden associated with the paperwork required </w:t>
      </w:r>
      <w:r w:rsidR="002E3264">
        <w:t xml:space="preserve">of </w:t>
      </w:r>
      <w:r w:rsidR="00F100D3">
        <w:t xml:space="preserve">applicants applying for hazardous materials sector training and planning grants.  This is to request the Office of </w:t>
      </w:r>
      <w:r w:rsidR="00055A15">
        <w:t>Management</w:t>
      </w:r>
      <w:r w:rsidR="00F100D3">
        <w:t xml:space="preserve"> and Budgets (OMB) </w:t>
      </w:r>
      <w:r w:rsidR="009D1946">
        <w:t xml:space="preserve">renew </w:t>
      </w:r>
      <w:r w:rsidR="0080656F">
        <w:t xml:space="preserve">a </w:t>
      </w:r>
      <w:r w:rsidR="00F100D3">
        <w:t>three</w:t>
      </w:r>
      <w:r w:rsidR="0080656F">
        <w:t>-</w:t>
      </w:r>
      <w:r w:rsidR="00F100D3">
        <w:t xml:space="preserve">year clearance for the </w:t>
      </w:r>
      <w:r w:rsidR="00F100D3" w:rsidRPr="00D864DA">
        <w:t>information collection titled, “</w:t>
      </w:r>
      <w:r w:rsidR="00F100D3" w:rsidRPr="00F100D3">
        <w:rPr>
          <w:bCs/>
        </w:rPr>
        <w:t>Hazardous Materials Public Sector Training and Planning Grants</w:t>
      </w:r>
      <w:r w:rsidR="00F100D3" w:rsidRPr="00D864DA">
        <w:rPr>
          <w:bCs/>
        </w:rPr>
        <w:t>,</w:t>
      </w:r>
      <w:r w:rsidR="00F100D3" w:rsidRPr="00D864DA">
        <w:t>” OMB Control No. 2137-</w:t>
      </w:r>
      <w:r w:rsidR="00F100D3">
        <w:t>0586</w:t>
      </w:r>
      <w:r w:rsidR="00F100D3" w:rsidRPr="00D864DA">
        <w:t xml:space="preserve">, which is currently due to expire on </w:t>
      </w:r>
      <w:r w:rsidR="00825C64">
        <w:t>June</w:t>
      </w:r>
      <w:r w:rsidR="00825C64" w:rsidRPr="00D864DA">
        <w:t xml:space="preserve"> </w:t>
      </w:r>
      <w:r w:rsidR="00825C64">
        <w:t>30</w:t>
      </w:r>
      <w:r w:rsidR="00F100D3" w:rsidRPr="00D864DA">
        <w:t xml:space="preserve">, </w:t>
      </w:r>
      <w:r w:rsidR="00825C64">
        <w:t>2019</w:t>
      </w:r>
      <w:r w:rsidR="00F100D3" w:rsidRPr="00D864DA">
        <w:t>.</w:t>
      </w:r>
    </w:p>
    <w:p w:rsidR="005024B2" w:rsidRDefault="005024B2" w:rsidP="00EC09D4"/>
    <w:p w:rsidR="008E20AC" w:rsidRDefault="008E20AC" w:rsidP="00EC09D4"/>
    <w:p w:rsidR="001C5863" w:rsidRPr="008F2CDB" w:rsidRDefault="001C5863" w:rsidP="008E20AC">
      <w:pPr>
        <w:tabs>
          <w:tab w:val="left" w:pos="-1440"/>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bCs/>
        </w:rPr>
      </w:pPr>
      <w:r w:rsidRPr="008F2CDB">
        <w:rPr>
          <w:b/>
          <w:bCs/>
          <w:u w:val="single"/>
        </w:rPr>
        <w:t>Part A. Justification</w:t>
      </w:r>
      <w:r w:rsidRPr="008F2CDB">
        <w:rPr>
          <w:b/>
          <w:bCs/>
        </w:rPr>
        <w:t>.</w:t>
      </w:r>
    </w:p>
    <w:p w:rsidR="00605613" w:rsidRDefault="00605613" w:rsidP="008E20AC">
      <w:pPr>
        <w:rPr>
          <w:u w:val="single"/>
        </w:rPr>
      </w:pPr>
    </w:p>
    <w:p w:rsidR="00605613" w:rsidRDefault="00605613" w:rsidP="008E20AC">
      <w:r>
        <w:t>1.</w:t>
      </w:r>
      <w:r>
        <w:tab/>
      </w:r>
      <w:r w:rsidR="000C2F12" w:rsidRPr="000C2F12">
        <w:rPr>
          <w:u w:val="single"/>
        </w:rPr>
        <w:t>Circumstances that make collection of information necessary.</w:t>
      </w:r>
    </w:p>
    <w:p w:rsidR="00605613" w:rsidRDefault="00605613" w:rsidP="008E20AC"/>
    <w:p w:rsidR="00605613" w:rsidRDefault="00605613" w:rsidP="008E20AC">
      <w:r>
        <w:t xml:space="preserve">This is a request for </w:t>
      </w:r>
      <w:r w:rsidR="00C0463F">
        <w:t xml:space="preserve">a </w:t>
      </w:r>
      <w:r w:rsidR="0080656F">
        <w:t xml:space="preserve">renewal </w:t>
      </w:r>
      <w:r w:rsidR="00F5472E">
        <w:t>with</w:t>
      </w:r>
      <w:r w:rsidR="0080656F">
        <w:t>out</w:t>
      </w:r>
      <w:r w:rsidR="00F5472E">
        <w:t xml:space="preserve"> </w:t>
      </w:r>
      <w:r w:rsidR="00CD5B92">
        <w:t xml:space="preserve">change </w:t>
      </w:r>
      <w:r>
        <w:t>of an existing information collection approval under OMB No. 2137-0586</w:t>
      </w:r>
      <w:r w:rsidR="006D5E33">
        <w:t xml:space="preserve">.  </w:t>
      </w:r>
      <w:r>
        <w:t>Part 110 of the Hazardous Materials Regulations (</w:t>
      </w:r>
      <w:r w:rsidR="00A73AAC">
        <w:t xml:space="preserve">HMR; </w:t>
      </w:r>
      <w:r>
        <w:t xml:space="preserve">49 CFR </w:t>
      </w:r>
      <w:r w:rsidR="00A73AAC">
        <w:t>Parts 171</w:t>
      </w:r>
      <w:r>
        <w:t xml:space="preserve">-180) addresses a reimbursable grant program to enhance existing State, </w:t>
      </w:r>
      <w:r w:rsidR="0080656F">
        <w:t>Territories</w:t>
      </w:r>
      <w:r>
        <w:t>, and Indian trib</w:t>
      </w:r>
      <w:r w:rsidR="0080656F">
        <w:t>es</w:t>
      </w:r>
      <w:r>
        <w:t xml:space="preserve"> hazardous materials emergency preparedness response programs. </w:t>
      </w:r>
      <w:r w:rsidR="00CD5B92">
        <w:t xml:space="preserve"> </w:t>
      </w:r>
      <w:r>
        <w:t xml:space="preserve">This information collection supports the </w:t>
      </w:r>
      <w:r w:rsidR="00396E66">
        <w:t>D</w:t>
      </w:r>
      <w:r>
        <w:t xml:space="preserve">epartmental </w:t>
      </w:r>
      <w:r w:rsidR="00396E66">
        <w:t>S</w:t>
      </w:r>
      <w:r>
        <w:t xml:space="preserve">trategic </w:t>
      </w:r>
      <w:r w:rsidR="00396E66">
        <w:t>G</w:t>
      </w:r>
      <w:r>
        <w:t xml:space="preserve">oal for </w:t>
      </w:r>
      <w:r w:rsidR="0009234D">
        <w:t>s</w:t>
      </w:r>
      <w:r>
        <w:t xml:space="preserve">afety.  </w:t>
      </w:r>
    </w:p>
    <w:p w:rsidR="00605613" w:rsidRDefault="00605613" w:rsidP="008E20AC"/>
    <w:p w:rsidR="00605613" w:rsidRDefault="00605613" w:rsidP="008E20AC">
      <w:r>
        <w:t>This reimbursable grant program is required by Section 5116 (49 App. U.S.C.) of the Federal hazardous materials transportation law</w:t>
      </w:r>
      <w:r w:rsidR="006D5E33">
        <w:t xml:space="preserve">.  </w:t>
      </w:r>
      <w:r>
        <w:t>Section 5116 authorizes the Secretary to provide assistance to States</w:t>
      </w:r>
      <w:r w:rsidR="0080656F">
        <w:t>, Territories,</w:t>
      </w:r>
      <w:r>
        <w:t xml:space="preserve"> and Indian tribes for hazardous materials emergency response planning and training.  The purpose of the grant program is to increase </w:t>
      </w:r>
      <w:r w:rsidR="00E022EA">
        <w:t>State</w:t>
      </w:r>
      <w:r>
        <w:t xml:space="preserve">, </w:t>
      </w:r>
      <w:r w:rsidR="0080656F">
        <w:t>Territory</w:t>
      </w:r>
      <w:r>
        <w:t>, and Indian trib</w:t>
      </w:r>
      <w:r w:rsidR="0080656F">
        <w:t>es</w:t>
      </w:r>
      <w:r>
        <w:t xml:space="preserve"> effectiveness in sa</w:t>
      </w:r>
      <w:r w:rsidR="0024047A">
        <w:t>fel</w:t>
      </w:r>
      <w:r>
        <w:t xml:space="preserve">y and efficiently handling hazardous materials accidents and incidents; enhance implementation of the Emergency Planning and Community Right-to-Know Act of 1986 (EPCRA); and encourage a comprehensive approach to emergency planning and training by incorporating the unique challenges of response to transportation situations.  Where practicable, the </w:t>
      </w:r>
      <w:r w:rsidR="0080656F">
        <w:t>requirements contained in 2 CFR part 200</w:t>
      </w:r>
      <w:r>
        <w:t xml:space="preserve"> </w:t>
      </w:r>
      <w:r w:rsidR="000901C1">
        <w:t>“</w:t>
      </w:r>
      <w:r>
        <w:t>Uniform Administrative Requirements</w:t>
      </w:r>
      <w:r w:rsidR="0080656F">
        <w:t>, Cost Principles, and Audit Requirements for Federal Awards,” apply to grants issued by PHMSA.</w:t>
      </w:r>
    </w:p>
    <w:p w:rsidR="00F5472E" w:rsidRDefault="00F5472E" w:rsidP="008E20AC"/>
    <w:p w:rsidR="005024B2" w:rsidRDefault="005024B2" w:rsidP="008E20AC"/>
    <w:p w:rsidR="00605613" w:rsidRDefault="00605613" w:rsidP="00EC09D4">
      <w:pPr>
        <w:keepNext/>
        <w:keepLines/>
        <w:tabs>
          <w:tab w:val="left" w:pos="720"/>
        </w:tabs>
      </w:pPr>
      <w:r>
        <w:lastRenderedPageBreak/>
        <w:t>2.</w:t>
      </w:r>
      <w:r>
        <w:tab/>
      </w:r>
      <w:r>
        <w:rPr>
          <w:u w:val="single"/>
        </w:rPr>
        <w:t>How, by whom, and for what purpose</w:t>
      </w:r>
      <w:r w:rsidR="001C5863">
        <w:rPr>
          <w:u w:val="single"/>
        </w:rPr>
        <w:t xml:space="preserve"> is the </w:t>
      </w:r>
      <w:r>
        <w:rPr>
          <w:u w:val="single"/>
        </w:rPr>
        <w:t xml:space="preserve">information </w:t>
      </w:r>
      <w:r w:rsidR="001C5863">
        <w:rPr>
          <w:u w:val="single"/>
        </w:rPr>
        <w:t>u</w:t>
      </w:r>
      <w:r>
        <w:rPr>
          <w:u w:val="single"/>
        </w:rPr>
        <w:t>sed</w:t>
      </w:r>
      <w:r>
        <w:t xml:space="preserve">.  </w:t>
      </w:r>
    </w:p>
    <w:p w:rsidR="00605613" w:rsidRDefault="00605613" w:rsidP="00EC09D4">
      <w:pPr>
        <w:keepNext/>
        <w:keepLines/>
      </w:pPr>
    </w:p>
    <w:p w:rsidR="00712A68" w:rsidRPr="00712A68" w:rsidRDefault="00712A68" w:rsidP="008E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trike/>
          <w:color w:val="000000"/>
        </w:rPr>
      </w:pPr>
      <w:r w:rsidRPr="00712A68">
        <w:rPr>
          <w:color w:val="000000"/>
        </w:rPr>
        <w:t>The H</w:t>
      </w:r>
      <w:r w:rsidR="0080656F">
        <w:rPr>
          <w:color w:val="000000"/>
        </w:rPr>
        <w:t xml:space="preserve">azardous </w:t>
      </w:r>
      <w:r w:rsidRPr="00712A68">
        <w:rPr>
          <w:color w:val="000000"/>
        </w:rPr>
        <w:t>M</w:t>
      </w:r>
      <w:r w:rsidR="0080656F">
        <w:rPr>
          <w:color w:val="000000"/>
        </w:rPr>
        <w:t xml:space="preserve">aterials </w:t>
      </w:r>
      <w:r w:rsidRPr="00712A68">
        <w:rPr>
          <w:color w:val="000000"/>
        </w:rPr>
        <w:t>E</w:t>
      </w:r>
      <w:r w:rsidR="0080656F">
        <w:rPr>
          <w:color w:val="000000"/>
        </w:rPr>
        <w:t xml:space="preserve">mergency </w:t>
      </w:r>
      <w:r w:rsidRPr="00712A68">
        <w:rPr>
          <w:color w:val="000000"/>
        </w:rPr>
        <w:t>P</w:t>
      </w:r>
      <w:r w:rsidR="0080656F">
        <w:rPr>
          <w:color w:val="000000"/>
        </w:rPr>
        <w:t>reparedness (HMEP)</w:t>
      </w:r>
      <w:r w:rsidRPr="00712A68">
        <w:rPr>
          <w:color w:val="000000"/>
        </w:rPr>
        <w:t xml:space="preserve"> grant</w:t>
      </w:r>
      <w:r w:rsidR="0080656F">
        <w:rPr>
          <w:color w:val="000000"/>
        </w:rPr>
        <w:t>,</w:t>
      </w:r>
      <w:r w:rsidRPr="00712A68">
        <w:rPr>
          <w:color w:val="000000"/>
        </w:rPr>
        <w:t xml:space="preserve"> as mandated by 49 U.S.C. 5101 et seq., provides Federal financial and technical assistance to States, Territories, and Indian </w:t>
      </w:r>
      <w:r w:rsidR="0080656F">
        <w:rPr>
          <w:color w:val="000000"/>
        </w:rPr>
        <w:t>t</w:t>
      </w:r>
      <w:r w:rsidRPr="00712A68">
        <w:rPr>
          <w:color w:val="000000"/>
        </w:rPr>
        <w:t>ribes to “develop, improve, and carry out emergency plans” within the National Response System and the Emergency Planning and Community Right-To-Know Act of 1986 (EPCRA, Title III), 42 U.S.C. 11001 et seq</w:t>
      </w:r>
      <w:r w:rsidR="00966400">
        <w:rPr>
          <w:color w:val="000000"/>
        </w:rPr>
        <w:t xml:space="preserve">.  </w:t>
      </w:r>
      <w:r w:rsidRPr="00712A68">
        <w:rPr>
          <w:color w:val="000000"/>
        </w:rPr>
        <w:t>The programs developed under the grant program increase the emphasis on transportation in ongoing efforts, and improve the capability of communities to plan, train for, and respond to the full range of potential risks.</w:t>
      </w:r>
    </w:p>
    <w:p w:rsidR="00712A68" w:rsidRPr="00712A68" w:rsidRDefault="00712A68" w:rsidP="008E20AC">
      <w:pPr>
        <w:rPr>
          <w:rFonts w:eastAsia="Calibri"/>
        </w:rPr>
      </w:pPr>
    </w:p>
    <w:p w:rsidR="00712A68" w:rsidRDefault="00712A68" w:rsidP="008E20AC">
      <w:r w:rsidRPr="00712A68">
        <w:t xml:space="preserve">The information would be collected by PHMSA in applications for grant awards from all HMEP grant recipients.  It will provide critical data on locations where PHMSA grant dollars are being used to plan and train to respond to hazmat transportation incidents. </w:t>
      </w:r>
      <w:r w:rsidR="00966400">
        <w:t xml:space="preserve"> </w:t>
      </w:r>
      <w:r w:rsidRPr="00712A68">
        <w:t>This information will provide PHMSA with an indication of where gaps exist i</w:t>
      </w:r>
      <w:r w:rsidR="00966400">
        <w:t>n t</w:t>
      </w:r>
      <w:r w:rsidRPr="00712A68">
        <w:t xml:space="preserve">raining and planning, as well as information on where training and planning for hazmat transportation incidents has reduced such incidents. </w:t>
      </w:r>
      <w:r w:rsidR="00966400">
        <w:t xml:space="preserve"> </w:t>
      </w:r>
      <w:r w:rsidRPr="00712A68">
        <w:t xml:space="preserve">In addition to current and past reports to Congress, which detail “outputs” from grant awards, such as numbers of entities trained, number of plans exercised, or number of commodity flow studies completed, PHMSA will be able to provide to Congress in its annual report a correlation between planning and training funded by the HMEP grant and hazmat incident levels within a given jurisdiction.  </w:t>
      </w:r>
    </w:p>
    <w:p w:rsidR="00712A68" w:rsidRPr="00712A68" w:rsidRDefault="00712A68" w:rsidP="00EC09D4">
      <w:pPr>
        <w:tabs>
          <w:tab w:val="left" w:pos="720"/>
          <w:tab w:val="left" w:pos="1440"/>
          <w:tab w:val="left" w:pos="2160"/>
          <w:tab w:val="left" w:pos="2880"/>
          <w:tab w:val="left" w:pos="3600"/>
        </w:tabs>
      </w:pPr>
    </w:p>
    <w:p w:rsidR="00712A68" w:rsidRPr="00712A68" w:rsidRDefault="00712A68" w:rsidP="00EC09D4">
      <w:r w:rsidRPr="00712A68">
        <w:t xml:space="preserve">The Grant Application package </w:t>
      </w:r>
      <w:r w:rsidR="008E20AC">
        <w:t xml:space="preserve">is outlined </w:t>
      </w:r>
      <w:r w:rsidRPr="00712A68">
        <w:t>in 49 CFR 110.30</w:t>
      </w:r>
      <w:r w:rsidR="008E20AC">
        <w:t xml:space="preserve"> and</w:t>
      </w:r>
      <w:r w:rsidR="00A73AAC">
        <w:t xml:space="preserve"> must comply with the applicable Notice of Funding Opportunity and are to be submitted electronically on the OMB designated website.</w:t>
      </w:r>
      <w:r w:rsidR="008E20AC">
        <w:t xml:space="preserve">  The information collected in the application process </w:t>
      </w:r>
    </w:p>
    <w:p w:rsidR="00712A68" w:rsidRPr="00712A68" w:rsidRDefault="00712A68" w:rsidP="008E20AC">
      <w:pPr>
        <w:tabs>
          <w:tab w:val="left" w:pos="720"/>
          <w:tab w:val="left" w:pos="1440"/>
          <w:tab w:val="left" w:pos="2160"/>
        </w:tabs>
      </w:pPr>
    </w:p>
    <w:p w:rsidR="000659E3" w:rsidRPr="00F95569" w:rsidRDefault="000659E3" w:rsidP="008E20AC">
      <w:pPr>
        <w:tabs>
          <w:tab w:val="left" w:pos="720"/>
        </w:tabs>
      </w:pPr>
    </w:p>
    <w:p w:rsidR="00D36729" w:rsidRPr="00F95569" w:rsidRDefault="00605613" w:rsidP="008E20AC">
      <w:pPr>
        <w:tabs>
          <w:tab w:val="left" w:pos="720"/>
        </w:tabs>
      </w:pPr>
      <w:r w:rsidRPr="00F95569">
        <w:t>3.</w:t>
      </w:r>
      <w:r w:rsidRPr="00F95569">
        <w:tab/>
      </w:r>
      <w:r w:rsidR="005F2893" w:rsidRPr="00F95569">
        <w:rPr>
          <w:bCs/>
          <w:u w:val="single"/>
        </w:rPr>
        <w:t>Extent of automated information collection</w:t>
      </w:r>
      <w:r w:rsidR="005F2893" w:rsidRPr="00F95569">
        <w:rPr>
          <w:bCs/>
        </w:rPr>
        <w:t>.</w:t>
      </w:r>
      <w:r w:rsidRPr="00F95569">
        <w:t xml:space="preserve"> </w:t>
      </w:r>
    </w:p>
    <w:p w:rsidR="00D36729" w:rsidRPr="00F95569" w:rsidRDefault="00D36729" w:rsidP="008E20AC">
      <w:pPr>
        <w:tabs>
          <w:tab w:val="left" w:pos="720"/>
        </w:tabs>
      </w:pPr>
      <w:r w:rsidRPr="00F95569">
        <w:tab/>
      </w:r>
    </w:p>
    <w:p w:rsidR="00E022EA" w:rsidRDefault="00605613" w:rsidP="008E20AC">
      <w:pPr>
        <w:tabs>
          <w:tab w:val="left" w:pos="0"/>
        </w:tabs>
      </w:pPr>
      <w:r w:rsidRPr="00F95569">
        <w:t>The burden has been made as simple as possible.  The inform</w:t>
      </w:r>
      <w:r w:rsidR="00BA27C2">
        <w:t xml:space="preserve">ation is considered critical in </w:t>
      </w:r>
      <w:r w:rsidRPr="00F95569">
        <w:t>assuring an effective grant program</w:t>
      </w:r>
      <w:r w:rsidR="00004D29" w:rsidRPr="00F95569">
        <w:t xml:space="preserve">.  </w:t>
      </w:r>
      <w:r w:rsidR="000A4442" w:rsidRPr="000A4442">
        <w:t xml:space="preserve">The Government Paperwork Elimination Act directs agencies to allow the option of electronic filing and recordkeeping by October 2003, when practicable.  </w:t>
      </w:r>
      <w:r w:rsidR="008E20AC">
        <w:t>All HMEP grants are submitted via electronic means.</w:t>
      </w:r>
      <w:r w:rsidR="008E4829">
        <w:t xml:space="preserve">  </w:t>
      </w:r>
    </w:p>
    <w:p w:rsidR="00E022EA" w:rsidRDefault="00E022EA" w:rsidP="008E20AC">
      <w:pPr>
        <w:tabs>
          <w:tab w:val="left" w:pos="0"/>
        </w:tabs>
      </w:pPr>
    </w:p>
    <w:p w:rsidR="000C2F12" w:rsidRDefault="00605613" w:rsidP="008E20AC">
      <w:pPr>
        <w:tabs>
          <w:tab w:val="left" w:pos="0"/>
        </w:tabs>
      </w:pPr>
      <w:r w:rsidRPr="00F95569">
        <w:t>4.</w:t>
      </w:r>
      <w:r w:rsidRPr="00F95569">
        <w:tab/>
      </w:r>
      <w:r w:rsidRPr="00F95569">
        <w:rPr>
          <w:u w:val="single"/>
        </w:rPr>
        <w:t>Efforts to identify duplication</w:t>
      </w:r>
      <w:r w:rsidRPr="00F95569">
        <w:t xml:space="preserve">.  </w:t>
      </w:r>
    </w:p>
    <w:p w:rsidR="000C2F12" w:rsidRDefault="000C2F12" w:rsidP="008E20AC"/>
    <w:p w:rsidR="00605613" w:rsidRDefault="00605613" w:rsidP="008E20AC">
      <w:r w:rsidRPr="00F95569">
        <w:t>There is no duplication as the information is unique</w:t>
      </w:r>
      <w:r>
        <w:t xml:space="preserve"> to specific situations.</w:t>
      </w:r>
      <w:r w:rsidR="005E07B2">
        <w:t xml:space="preserve">  </w:t>
      </w:r>
      <w:r w:rsidR="005E07B2" w:rsidRPr="00DC55E0">
        <w:t>Each response is unique and information derived from one may not be inferred to another.</w:t>
      </w:r>
    </w:p>
    <w:p w:rsidR="004542DB" w:rsidRDefault="004542DB" w:rsidP="008E20AC"/>
    <w:p w:rsidR="00605613" w:rsidRDefault="00605613" w:rsidP="008E20AC"/>
    <w:p w:rsidR="000C2F12" w:rsidRDefault="00605613" w:rsidP="008E20AC">
      <w:pPr>
        <w:tabs>
          <w:tab w:val="left" w:pos="720"/>
        </w:tabs>
      </w:pPr>
      <w:r>
        <w:t>5.</w:t>
      </w:r>
      <w:r>
        <w:tab/>
      </w:r>
      <w:r w:rsidR="005F2893" w:rsidRPr="00FA153C">
        <w:rPr>
          <w:bCs/>
          <w:u w:val="single"/>
        </w:rPr>
        <w:t>Efforts to minimize the burden on small businesses</w:t>
      </w:r>
      <w:r>
        <w:t xml:space="preserve">. </w:t>
      </w:r>
    </w:p>
    <w:p w:rsidR="000C2F12" w:rsidRDefault="000C2F12" w:rsidP="008E20AC">
      <w:pPr>
        <w:tabs>
          <w:tab w:val="left" w:pos="720"/>
        </w:tabs>
      </w:pPr>
    </w:p>
    <w:p w:rsidR="000A4442" w:rsidRPr="000A4442" w:rsidRDefault="00605613" w:rsidP="008E20AC">
      <w:r>
        <w:t xml:space="preserve"> </w:t>
      </w:r>
      <w:r w:rsidR="000A4442" w:rsidRPr="000A4442">
        <w:t xml:space="preserve">The collection of this information is reviewed periodically to ensure that the </w:t>
      </w:r>
      <w:r w:rsidR="000A4442">
        <w:t>amount of information needed to implement the grants program is kept to a minimum.</w:t>
      </w:r>
    </w:p>
    <w:p w:rsidR="00605613" w:rsidRDefault="00605613" w:rsidP="008E20AC"/>
    <w:p w:rsidR="008E20AC" w:rsidRDefault="008E20AC" w:rsidP="008E20AC"/>
    <w:p w:rsidR="000C2F12" w:rsidRDefault="00605613" w:rsidP="00EC09D4">
      <w:pPr>
        <w:keepNext/>
        <w:keepLines/>
        <w:tabs>
          <w:tab w:val="left" w:pos="720"/>
        </w:tabs>
      </w:pPr>
      <w:r>
        <w:lastRenderedPageBreak/>
        <w:t>6.</w:t>
      </w:r>
      <w:r>
        <w:tab/>
      </w:r>
      <w:r w:rsidR="005F2893" w:rsidRPr="00FA153C">
        <w:rPr>
          <w:bCs/>
          <w:u w:val="single"/>
        </w:rPr>
        <w:t>Impact of less frequent collection of information</w:t>
      </w:r>
      <w:r>
        <w:t xml:space="preserve">.  </w:t>
      </w:r>
    </w:p>
    <w:p w:rsidR="000C2F12" w:rsidRDefault="000C2F12" w:rsidP="008E20AC">
      <w:pPr>
        <w:tabs>
          <w:tab w:val="left" w:pos="720"/>
        </w:tabs>
      </w:pPr>
    </w:p>
    <w:p w:rsidR="00605613" w:rsidRDefault="009604A8" w:rsidP="008E20AC">
      <w:pPr>
        <w:tabs>
          <w:tab w:val="left" w:pos="0"/>
        </w:tabs>
      </w:pPr>
      <w:r>
        <w:t>It is essential that PHMSA receive</w:t>
      </w:r>
      <w:r w:rsidR="005E07B2">
        <w:t>s</w:t>
      </w:r>
      <w:r>
        <w:t xml:space="preserve"> </w:t>
      </w:r>
      <w:r w:rsidR="005E07B2">
        <w:t xml:space="preserve">the required </w:t>
      </w:r>
      <w:r>
        <w:t xml:space="preserve">information from </w:t>
      </w:r>
      <w:r w:rsidR="005E07B2">
        <w:t xml:space="preserve">the </w:t>
      </w:r>
      <w:r>
        <w:t xml:space="preserve">grant applicants to ensure that funding resources are </w:t>
      </w:r>
      <w:r w:rsidR="005E07B2">
        <w:t xml:space="preserve">properly distributed </w:t>
      </w:r>
      <w:r>
        <w:t xml:space="preserve">to applicants most in need.  </w:t>
      </w:r>
      <w:r w:rsidR="00605613">
        <w:t xml:space="preserve">The collection of this information is reviewed periodically to ensure that the requirements involving safety in the transportation of hazardous materials are kept to the necessary standards to protect all </w:t>
      </w:r>
      <w:r w:rsidR="008E4829">
        <w:t xml:space="preserve">parties </w:t>
      </w:r>
      <w:r w:rsidR="00605613">
        <w:t>involved.</w:t>
      </w:r>
    </w:p>
    <w:p w:rsidR="008E4829" w:rsidRDefault="008E4829" w:rsidP="008E20AC"/>
    <w:p w:rsidR="002E3264" w:rsidRDefault="002E3264" w:rsidP="008E20AC"/>
    <w:p w:rsidR="008E20AC" w:rsidRDefault="008E20AC" w:rsidP="008E20AC">
      <w:pPr>
        <w:sectPr w:rsidR="008E20AC" w:rsidSect="008E20AC">
          <w:headerReference w:type="even" r:id="rId9"/>
          <w:headerReference w:type="default" r:id="rId10"/>
          <w:footerReference w:type="even" r:id="rId11"/>
          <w:footerReference w:type="default" r:id="rId12"/>
          <w:headerReference w:type="first" r:id="rId13"/>
          <w:type w:val="continuous"/>
          <w:pgSz w:w="12240" w:h="15840"/>
          <w:pgMar w:top="1440" w:right="1440" w:bottom="1440" w:left="1440" w:header="720" w:footer="720" w:gutter="0"/>
          <w:cols w:space="720"/>
          <w:docGrid w:linePitch="326"/>
        </w:sectPr>
      </w:pPr>
    </w:p>
    <w:p w:rsidR="00605613" w:rsidRDefault="00605613" w:rsidP="008E20AC">
      <w:pPr>
        <w:pStyle w:val="1AutoList1"/>
        <w:numPr>
          <w:ilvl w:val="0"/>
          <w:numId w:val="30"/>
        </w:numPr>
        <w:ind w:left="0" w:firstLine="0"/>
        <w:rPr>
          <w:rFonts w:ascii="Times New Roman" w:hAnsi="Times New Roman"/>
          <w:sz w:val="24"/>
          <w:u w:val="single"/>
        </w:rPr>
      </w:pPr>
      <w:r>
        <w:rPr>
          <w:rFonts w:ascii="Times New Roman" w:hAnsi="Times New Roman"/>
          <w:sz w:val="24"/>
          <w:u w:val="single"/>
        </w:rPr>
        <w:t>Special circumstances</w:t>
      </w:r>
      <w:r w:rsidRPr="005F2893">
        <w:rPr>
          <w:rFonts w:ascii="Times New Roman" w:hAnsi="Times New Roman"/>
          <w:sz w:val="24"/>
        </w:rPr>
        <w:t>.</w:t>
      </w:r>
    </w:p>
    <w:p w:rsidR="000C2F12" w:rsidRDefault="000C2F12" w:rsidP="008E20AC">
      <w:pPr>
        <w:tabs>
          <w:tab w:val="left" w:pos="720"/>
        </w:tabs>
      </w:pPr>
    </w:p>
    <w:p w:rsidR="000A4442" w:rsidRPr="000A4442" w:rsidRDefault="00605613" w:rsidP="008E20AC">
      <w:pPr>
        <w:tabs>
          <w:tab w:val="left" w:pos="0"/>
        </w:tabs>
      </w:pPr>
      <w:r>
        <w:t>This collection of information is generally conducted in a manner consistent with the guidelines in 5 CFR 11320.5(d)(2).</w:t>
      </w:r>
      <w:r w:rsidR="000A4442">
        <w:t xml:space="preserve">  </w:t>
      </w:r>
      <w:r w:rsidR="000A4442" w:rsidRPr="000A4442">
        <w:t xml:space="preserve">However, it is not possible to substantially reduce or eliminate the requirements contained in this collection and still maintain standards necessary to </w:t>
      </w:r>
      <w:r w:rsidR="000A4442">
        <w:t>implement the grants program.</w:t>
      </w:r>
      <w:r w:rsidR="000A4442" w:rsidRPr="000A4442">
        <w:t xml:space="preserve">  </w:t>
      </w:r>
    </w:p>
    <w:p w:rsidR="00605613" w:rsidRDefault="00605613" w:rsidP="008E20AC">
      <w:pPr>
        <w:tabs>
          <w:tab w:val="left" w:pos="0"/>
        </w:tabs>
      </w:pPr>
    </w:p>
    <w:p w:rsidR="008E20AC" w:rsidRDefault="008E20AC" w:rsidP="008E20AC">
      <w:pPr>
        <w:tabs>
          <w:tab w:val="left" w:pos="0"/>
        </w:tabs>
      </w:pPr>
    </w:p>
    <w:p w:rsidR="00605613" w:rsidRDefault="00605613" w:rsidP="008E20AC">
      <w:pPr>
        <w:tabs>
          <w:tab w:val="left" w:pos="720"/>
        </w:tabs>
      </w:pPr>
      <w:r>
        <w:t>8.</w:t>
      </w:r>
      <w:r>
        <w:tab/>
      </w:r>
      <w:r w:rsidR="005F2893" w:rsidRPr="00FA153C">
        <w:rPr>
          <w:bCs/>
          <w:u w:val="single"/>
        </w:rPr>
        <w:t>Compliance with 5 CFR 1320.8</w:t>
      </w:r>
      <w:r>
        <w:t xml:space="preserve">.  </w:t>
      </w:r>
    </w:p>
    <w:p w:rsidR="00F5472E" w:rsidRDefault="00F5472E" w:rsidP="008E20AC"/>
    <w:p w:rsidR="000A4442" w:rsidRPr="000A4442" w:rsidRDefault="000A4442" w:rsidP="008E20AC">
      <w:r w:rsidRPr="000A4442">
        <w:t xml:space="preserve">A </w:t>
      </w:r>
      <w:r w:rsidR="008E20AC">
        <w:t>6</w:t>
      </w:r>
      <w:r w:rsidRPr="000A4442">
        <w:t xml:space="preserve">0-Day Notice and Request for comments was published in the Federal Register on </w:t>
      </w:r>
      <w:r w:rsidR="008E20AC">
        <w:t>February </w:t>
      </w:r>
      <w:r w:rsidR="00937E0D">
        <w:t>2</w:t>
      </w:r>
      <w:r w:rsidR="00C21623">
        <w:t>5</w:t>
      </w:r>
      <w:r w:rsidRPr="000A4442">
        <w:t xml:space="preserve">, </w:t>
      </w:r>
      <w:r w:rsidR="00C21623" w:rsidRPr="000A4442">
        <w:t>201</w:t>
      </w:r>
      <w:r w:rsidR="00C21623">
        <w:t>9</w:t>
      </w:r>
      <w:r w:rsidR="00C21623" w:rsidRPr="000A4442">
        <w:t xml:space="preserve"> </w:t>
      </w:r>
      <w:r w:rsidRPr="000A4442">
        <w:t>[</w:t>
      </w:r>
      <w:r w:rsidR="00C21623">
        <w:t>84</w:t>
      </w:r>
      <w:r w:rsidR="00C21623" w:rsidRPr="000A4442">
        <w:t xml:space="preserve"> </w:t>
      </w:r>
      <w:r w:rsidRPr="000A4442">
        <w:t xml:space="preserve">FR </w:t>
      </w:r>
      <w:r w:rsidR="00C21623">
        <w:t>6041</w:t>
      </w:r>
      <w:r w:rsidRPr="000A4442">
        <w:t>] also under Docket No. PHMSA-</w:t>
      </w:r>
      <w:r w:rsidR="00C21623">
        <w:t>2018</w:t>
      </w:r>
      <w:r w:rsidRPr="000A4442">
        <w:t>-</w:t>
      </w:r>
      <w:r w:rsidR="00C21623">
        <w:t>0114</w:t>
      </w:r>
      <w:r w:rsidR="00C21623" w:rsidRPr="000A4442">
        <w:t xml:space="preserve"> </w:t>
      </w:r>
      <w:r w:rsidRPr="000A4442">
        <w:t xml:space="preserve">(Notice No. </w:t>
      </w:r>
      <w:r w:rsidR="00C21623">
        <w:t>18</w:t>
      </w:r>
      <w:r w:rsidRPr="000A4442">
        <w:t>-</w:t>
      </w:r>
      <w:r w:rsidR="00C21623">
        <w:t>24</w:t>
      </w:r>
      <w:r w:rsidRPr="000A4442">
        <w:t xml:space="preserve">).   </w:t>
      </w:r>
      <w:r w:rsidR="00C21623" w:rsidRPr="00C21623">
        <w:t xml:space="preserve">PHMSA received two comments in response to the February 25, 2019 notice. </w:t>
      </w:r>
      <w:r w:rsidR="00C21623">
        <w:t xml:space="preserve"> These comment</w:t>
      </w:r>
      <w:r w:rsidR="000A0F92">
        <w:t>s</w:t>
      </w:r>
      <w:r w:rsidR="00C21623">
        <w:t xml:space="preserve"> were not related to the renewal of this OMB Control Number.</w:t>
      </w:r>
    </w:p>
    <w:p w:rsidR="00A514C9" w:rsidRDefault="00A514C9" w:rsidP="008E20AC"/>
    <w:p w:rsidR="008E20AC" w:rsidRDefault="008E20AC" w:rsidP="008E20AC">
      <w:r w:rsidRPr="000A4442">
        <w:t xml:space="preserve">A </w:t>
      </w:r>
      <w:r>
        <w:t>3</w:t>
      </w:r>
      <w:r w:rsidRPr="000A4442">
        <w:t xml:space="preserve">0-Day Notice and Request for comments on the renewal of this information collection was published in the Federal Register on </w:t>
      </w:r>
      <w:r>
        <w:t>May 10, 2019</w:t>
      </w:r>
      <w:r w:rsidRPr="000A4442">
        <w:t xml:space="preserve"> [</w:t>
      </w:r>
      <w:r>
        <w:t>84</w:t>
      </w:r>
      <w:r w:rsidRPr="000A4442">
        <w:t xml:space="preserve"> FR </w:t>
      </w:r>
      <w:r>
        <w:t>20699</w:t>
      </w:r>
      <w:r w:rsidRPr="000A4442">
        <w:t>] under Docket No. PHMSA-</w:t>
      </w:r>
      <w:r>
        <w:t>2018</w:t>
      </w:r>
      <w:r w:rsidRPr="000A4442">
        <w:t>-</w:t>
      </w:r>
      <w:r>
        <w:t>0114</w:t>
      </w:r>
      <w:r w:rsidRPr="000A4442">
        <w:t xml:space="preserve"> (Notice No. </w:t>
      </w:r>
      <w:r>
        <w:t>19</w:t>
      </w:r>
      <w:r w:rsidRPr="000A4442">
        <w:t>-</w:t>
      </w:r>
      <w:r>
        <w:t>04</w:t>
      </w:r>
      <w:r w:rsidRPr="000A4442">
        <w:t xml:space="preserve">).  The comment period closed on </w:t>
      </w:r>
      <w:r>
        <w:t>June 10, 2019</w:t>
      </w:r>
      <w:r w:rsidRPr="000A4442">
        <w:t>.</w:t>
      </w:r>
    </w:p>
    <w:p w:rsidR="008E20AC" w:rsidRDefault="008E20AC" w:rsidP="008E20AC"/>
    <w:p w:rsidR="005865D9" w:rsidRDefault="005865D9" w:rsidP="008E20AC">
      <w:pPr>
        <w:sectPr w:rsidR="005865D9" w:rsidSect="00EC09D4">
          <w:type w:val="continuous"/>
          <w:pgSz w:w="12240" w:h="15840"/>
          <w:pgMar w:top="1440" w:right="1440" w:bottom="1440" w:left="1440" w:header="720" w:footer="720" w:gutter="0"/>
          <w:cols w:space="720"/>
          <w:titlePg/>
        </w:sectPr>
      </w:pPr>
    </w:p>
    <w:p w:rsidR="00605613" w:rsidRDefault="005F2893" w:rsidP="008E20AC">
      <w:pPr>
        <w:pStyle w:val="1AutoList1"/>
        <w:numPr>
          <w:ilvl w:val="0"/>
          <w:numId w:val="31"/>
        </w:numPr>
        <w:ind w:left="0" w:firstLine="0"/>
        <w:rPr>
          <w:rFonts w:ascii="Times New Roman" w:hAnsi="Times New Roman"/>
          <w:sz w:val="24"/>
        </w:rPr>
      </w:pPr>
      <w:r>
        <w:rPr>
          <w:rFonts w:ascii="Times New Roman" w:hAnsi="Times New Roman"/>
          <w:sz w:val="24"/>
          <w:u w:val="single"/>
        </w:rPr>
        <w:t>Payments or gifts to respondents</w:t>
      </w:r>
      <w:r w:rsidRPr="005F2893">
        <w:rPr>
          <w:rFonts w:ascii="Times New Roman" w:hAnsi="Times New Roman"/>
          <w:sz w:val="24"/>
        </w:rPr>
        <w:t>.</w:t>
      </w:r>
    </w:p>
    <w:p w:rsidR="000C2F12" w:rsidRDefault="000C2F12" w:rsidP="008E20AC"/>
    <w:p w:rsidR="00605613" w:rsidRDefault="00605613" w:rsidP="008E20AC">
      <w:r>
        <w:t>There is no payment or gift provided to respondents associated with this collection of information.</w:t>
      </w:r>
    </w:p>
    <w:p w:rsidR="00605613" w:rsidRDefault="00605613" w:rsidP="008E20AC"/>
    <w:p w:rsidR="008E20AC" w:rsidRDefault="008E20AC" w:rsidP="008E20AC"/>
    <w:p w:rsidR="00DD4B48" w:rsidRDefault="00605613" w:rsidP="008E20AC">
      <w:pPr>
        <w:numPr>
          <w:ilvl w:val="0"/>
          <w:numId w:val="31"/>
        </w:numPr>
        <w:tabs>
          <w:tab w:val="left" w:pos="720"/>
        </w:tabs>
        <w:ind w:left="0" w:firstLine="0"/>
      </w:pPr>
      <w:r>
        <w:rPr>
          <w:u w:val="single"/>
        </w:rPr>
        <w:t>Assurance of confidentially</w:t>
      </w:r>
      <w:r>
        <w:t>.</w:t>
      </w:r>
    </w:p>
    <w:p w:rsidR="00DD4B48" w:rsidRDefault="00DD4B48" w:rsidP="008E20AC">
      <w:pPr>
        <w:tabs>
          <w:tab w:val="left" w:pos="720"/>
        </w:tabs>
      </w:pPr>
    </w:p>
    <w:p w:rsidR="00DD4B48" w:rsidRDefault="00DD4B48" w:rsidP="008E20AC">
      <w:pPr>
        <w:tabs>
          <w:tab w:val="left" w:pos="720"/>
        </w:tabs>
        <w:rPr>
          <w:szCs w:val="20"/>
        </w:rPr>
      </w:pPr>
      <w:r w:rsidRPr="00472BF3">
        <w:rPr>
          <w:szCs w:val="20"/>
        </w:rPr>
        <w:t>None of the data collected contain personally identifiable information (PII) or business confidential information. Therefore, no guarantees of confidentiality are provided to applicants.</w:t>
      </w:r>
    </w:p>
    <w:p w:rsidR="00605613" w:rsidRDefault="00605613" w:rsidP="008E20AC"/>
    <w:p w:rsidR="008E20AC" w:rsidRDefault="008E20AC" w:rsidP="008E20AC"/>
    <w:p w:rsidR="00605613" w:rsidRDefault="00605613" w:rsidP="008E20AC">
      <w:pPr>
        <w:tabs>
          <w:tab w:val="left" w:pos="720"/>
        </w:tabs>
      </w:pPr>
      <w:r>
        <w:t>11.</w:t>
      </w:r>
      <w:r>
        <w:tab/>
      </w:r>
      <w:r w:rsidR="005F2893" w:rsidRPr="00FA153C">
        <w:rPr>
          <w:bCs/>
          <w:u w:val="single"/>
        </w:rPr>
        <w:t>Justification for collection of sensitive information</w:t>
      </w:r>
      <w:r>
        <w:t xml:space="preserve">.  </w:t>
      </w:r>
    </w:p>
    <w:p w:rsidR="00605613" w:rsidRDefault="00605613" w:rsidP="008E20AC"/>
    <w:p w:rsidR="00605613" w:rsidRDefault="00605613" w:rsidP="008E20AC">
      <w:r>
        <w:t>Not applicable. No sensitive information is required.</w:t>
      </w:r>
    </w:p>
    <w:p w:rsidR="00605613" w:rsidRDefault="00605613" w:rsidP="008E20AC"/>
    <w:p w:rsidR="008E20AC" w:rsidRDefault="008E20AC" w:rsidP="008E20AC"/>
    <w:p w:rsidR="00605613" w:rsidRDefault="00605613" w:rsidP="008E20AC">
      <w:pPr>
        <w:tabs>
          <w:tab w:val="left" w:pos="720"/>
        </w:tabs>
        <w:rPr>
          <w:u w:val="single"/>
        </w:rPr>
      </w:pPr>
      <w:r>
        <w:t>12.</w:t>
      </w:r>
      <w:r>
        <w:tab/>
      </w:r>
      <w:r w:rsidR="005F2893" w:rsidRPr="00FA153C">
        <w:rPr>
          <w:bCs/>
          <w:u w:val="single"/>
        </w:rPr>
        <w:t>Estimate of burden hours for information requested</w:t>
      </w:r>
      <w:r w:rsidR="005F2893" w:rsidRPr="005F2893">
        <w:rPr>
          <w:bCs/>
        </w:rPr>
        <w:t>.</w:t>
      </w:r>
    </w:p>
    <w:p w:rsidR="00A73AAC" w:rsidRDefault="00A73AAC" w:rsidP="008E20AC"/>
    <w:tbl>
      <w:tblPr>
        <w:tblW w:w="6451" w:type="pct"/>
        <w:jc w:val="center"/>
        <w:tblLayout w:type="fixed"/>
        <w:tblLook w:val="04A0" w:firstRow="1" w:lastRow="0" w:firstColumn="1" w:lastColumn="0" w:noHBand="0" w:noVBand="1"/>
      </w:tblPr>
      <w:tblGrid>
        <w:gridCol w:w="2115"/>
        <w:gridCol w:w="1290"/>
        <w:gridCol w:w="1475"/>
        <w:gridCol w:w="1384"/>
        <w:gridCol w:w="1381"/>
        <w:gridCol w:w="1384"/>
        <w:gridCol w:w="1013"/>
        <w:gridCol w:w="1107"/>
        <w:gridCol w:w="1206"/>
      </w:tblGrid>
      <w:tr w:rsidR="006B745E" w:rsidRPr="00A73AAC" w:rsidTr="006B745E">
        <w:trPr>
          <w:trHeight w:val="630"/>
          <w:jc w:val="center"/>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AAC" w:rsidRPr="00EC09D4" w:rsidRDefault="00A73AAC" w:rsidP="008E20AC">
            <w:pPr>
              <w:rPr>
                <w:b/>
                <w:bCs/>
                <w:color w:val="000000"/>
                <w:sz w:val="22"/>
                <w:szCs w:val="22"/>
                <w:u w:val="single"/>
              </w:rPr>
            </w:pPr>
            <w:r w:rsidRPr="00EC09D4">
              <w:rPr>
                <w:b/>
                <w:bCs/>
                <w:color w:val="000000"/>
                <w:sz w:val="22"/>
                <w:szCs w:val="22"/>
                <w:u w:val="single"/>
              </w:rPr>
              <w:t>Information Collection</w:t>
            </w:r>
          </w:p>
        </w:tc>
        <w:tc>
          <w:tcPr>
            <w:tcW w:w="522"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Regulation</w:t>
            </w:r>
          </w:p>
        </w:tc>
        <w:tc>
          <w:tcPr>
            <w:tcW w:w="597"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Respondents</w:t>
            </w: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Responses per Respondent</w:t>
            </w:r>
          </w:p>
        </w:tc>
        <w:tc>
          <w:tcPr>
            <w:tcW w:w="559"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Number of Responses</w:t>
            </w: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Hours per Response</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Burden Hours</w:t>
            </w:r>
          </w:p>
        </w:tc>
        <w:tc>
          <w:tcPr>
            <w:tcW w:w="448"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Salary Cost per Hour</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A73AAC" w:rsidRPr="00EC09D4" w:rsidRDefault="00A73AAC" w:rsidP="008E20AC">
            <w:pPr>
              <w:jc w:val="center"/>
              <w:rPr>
                <w:b/>
                <w:bCs/>
                <w:color w:val="000000"/>
                <w:sz w:val="22"/>
                <w:szCs w:val="22"/>
                <w:u w:val="single"/>
              </w:rPr>
            </w:pPr>
            <w:r w:rsidRPr="00EC09D4">
              <w:rPr>
                <w:b/>
                <w:bCs/>
                <w:color w:val="000000"/>
                <w:sz w:val="22"/>
                <w:szCs w:val="22"/>
                <w:u w:val="single"/>
              </w:rPr>
              <w:t>Total Salary Cost</w:t>
            </w:r>
          </w:p>
        </w:tc>
      </w:tr>
      <w:tr w:rsidR="006B745E" w:rsidRPr="00A73AAC" w:rsidTr="006B745E">
        <w:trPr>
          <w:trHeight w:val="315"/>
          <w:jc w:val="center"/>
        </w:trPr>
        <w:tc>
          <w:tcPr>
            <w:tcW w:w="856" w:type="pct"/>
            <w:tcBorders>
              <w:top w:val="nil"/>
              <w:left w:val="single" w:sz="4" w:space="0" w:color="auto"/>
              <w:bottom w:val="single" w:sz="4" w:space="0" w:color="auto"/>
              <w:right w:val="single" w:sz="4" w:space="0" w:color="auto"/>
            </w:tcBorders>
            <w:shd w:val="clear" w:color="auto" w:fill="auto"/>
            <w:vAlign w:val="bottom"/>
            <w:hideMark/>
          </w:tcPr>
          <w:p w:rsidR="00A73AAC" w:rsidRPr="00EC09D4" w:rsidRDefault="00A73AAC" w:rsidP="008E20AC">
            <w:pPr>
              <w:rPr>
                <w:color w:val="000000"/>
                <w:sz w:val="22"/>
                <w:szCs w:val="22"/>
              </w:rPr>
            </w:pPr>
            <w:r w:rsidRPr="00EC09D4">
              <w:rPr>
                <w:color w:val="000000"/>
                <w:sz w:val="22"/>
                <w:szCs w:val="22"/>
              </w:rPr>
              <w:t>Hazardous Materials Grant Applications - Reporting</w:t>
            </w:r>
          </w:p>
        </w:tc>
        <w:tc>
          <w:tcPr>
            <w:tcW w:w="522"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rPr>
                <w:color w:val="000000"/>
                <w:sz w:val="22"/>
                <w:szCs w:val="22"/>
              </w:rPr>
            </w:pPr>
            <w:r w:rsidRPr="00EC09D4">
              <w:rPr>
                <w:color w:val="000000"/>
                <w:sz w:val="22"/>
                <w:szCs w:val="22"/>
              </w:rPr>
              <w:t>Part 110</w:t>
            </w:r>
          </w:p>
        </w:tc>
        <w:tc>
          <w:tcPr>
            <w:tcW w:w="597"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jc w:val="right"/>
              <w:rPr>
                <w:color w:val="000000"/>
                <w:sz w:val="22"/>
                <w:szCs w:val="22"/>
              </w:rPr>
            </w:pPr>
            <w:r w:rsidRPr="00EC09D4">
              <w:rPr>
                <w:color w:val="000000"/>
                <w:sz w:val="22"/>
                <w:szCs w:val="22"/>
              </w:rPr>
              <w:t>62</w:t>
            </w:r>
          </w:p>
        </w:tc>
        <w:tc>
          <w:tcPr>
            <w:tcW w:w="560"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jc w:val="right"/>
              <w:rPr>
                <w:color w:val="000000"/>
                <w:sz w:val="22"/>
                <w:szCs w:val="22"/>
              </w:rPr>
            </w:pPr>
            <w:r w:rsidRPr="00EC09D4">
              <w:rPr>
                <w:color w:val="000000"/>
                <w:sz w:val="22"/>
                <w:szCs w:val="22"/>
              </w:rPr>
              <w:t>1</w:t>
            </w:r>
          </w:p>
        </w:tc>
        <w:tc>
          <w:tcPr>
            <w:tcW w:w="559"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jc w:val="right"/>
              <w:rPr>
                <w:color w:val="000000"/>
                <w:sz w:val="22"/>
                <w:szCs w:val="22"/>
              </w:rPr>
            </w:pPr>
            <w:r w:rsidRPr="00EC09D4">
              <w:rPr>
                <w:color w:val="000000"/>
                <w:sz w:val="22"/>
                <w:szCs w:val="22"/>
              </w:rPr>
              <w:t>62</w:t>
            </w:r>
          </w:p>
        </w:tc>
        <w:tc>
          <w:tcPr>
            <w:tcW w:w="560"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jc w:val="right"/>
              <w:rPr>
                <w:color w:val="000000"/>
                <w:sz w:val="22"/>
                <w:szCs w:val="22"/>
              </w:rPr>
            </w:pPr>
            <w:r w:rsidRPr="00EC09D4">
              <w:rPr>
                <w:color w:val="000000"/>
                <w:sz w:val="22"/>
                <w:szCs w:val="22"/>
              </w:rPr>
              <w:t>83.23</w:t>
            </w:r>
          </w:p>
        </w:tc>
        <w:tc>
          <w:tcPr>
            <w:tcW w:w="410" w:type="pct"/>
            <w:tcBorders>
              <w:top w:val="nil"/>
              <w:left w:val="nil"/>
              <w:bottom w:val="single" w:sz="4" w:space="0" w:color="auto"/>
              <w:right w:val="single" w:sz="4" w:space="0" w:color="auto"/>
            </w:tcBorders>
            <w:shd w:val="clear" w:color="auto" w:fill="auto"/>
            <w:vAlign w:val="bottom"/>
            <w:hideMark/>
          </w:tcPr>
          <w:p w:rsidR="00A73AAC" w:rsidRPr="00EC09D4" w:rsidRDefault="00A73AAC" w:rsidP="008E20AC">
            <w:pPr>
              <w:jc w:val="right"/>
              <w:rPr>
                <w:color w:val="000000"/>
                <w:sz w:val="22"/>
                <w:szCs w:val="22"/>
              </w:rPr>
            </w:pPr>
            <w:r w:rsidRPr="00EC09D4">
              <w:rPr>
                <w:color w:val="000000"/>
                <w:sz w:val="22"/>
                <w:szCs w:val="22"/>
              </w:rPr>
              <w:t xml:space="preserve">                  5,160 </w:t>
            </w:r>
          </w:p>
        </w:tc>
        <w:tc>
          <w:tcPr>
            <w:tcW w:w="448" w:type="pct"/>
            <w:tcBorders>
              <w:top w:val="nil"/>
              <w:left w:val="nil"/>
              <w:bottom w:val="single" w:sz="4" w:space="0" w:color="auto"/>
              <w:right w:val="single" w:sz="4" w:space="0" w:color="auto"/>
            </w:tcBorders>
            <w:shd w:val="clear" w:color="auto" w:fill="auto"/>
            <w:vAlign w:val="bottom"/>
            <w:hideMark/>
          </w:tcPr>
          <w:p w:rsidR="00A73AAC" w:rsidRPr="00EC09D4" w:rsidRDefault="006B745E" w:rsidP="008E20AC">
            <w:pPr>
              <w:jc w:val="right"/>
              <w:rPr>
                <w:color w:val="000000"/>
                <w:sz w:val="22"/>
                <w:szCs w:val="22"/>
              </w:rPr>
            </w:pPr>
            <w:r>
              <w:rPr>
                <w:color w:val="000000"/>
                <w:sz w:val="22"/>
                <w:szCs w:val="22"/>
              </w:rPr>
              <w:t>$72.40</w:t>
            </w:r>
            <w:r w:rsidR="00A73AAC" w:rsidRPr="00EC09D4">
              <w:rPr>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bottom"/>
            <w:hideMark/>
          </w:tcPr>
          <w:p w:rsidR="00A73AAC" w:rsidRPr="00EC09D4" w:rsidRDefault="00A73AAC" w:rsidP="00EC09D4">
            <w:pPr>
              <w:jc w:val="right"/>
              <w:rPr>
                <w:color w:val="000000"/>
                <w:sz w:val="22"/>
                <w:szCs w:val="22"/>
              </w:rPr>
            </w:pPr>
            <w:r w:rsidRPr="00EC09D4">
              <w:rPr>
                <w:color w:val="000000"/>
                <w:sz w:val="22"/>
                <w:szCs w:val="22"/>
              </w:rPr>
              <w:t> </w:t>
            </w:r>
            <w:r w:rsidR="006B745E">
              <w:rPr>
                <w:color w:val="000000"/>
                <w:sz w:val="22"/>
                <w:szCs w:val="22"/>
              </w:rPr>
              <w:t>$373,584</w:t>
            </w:r>
          </w:p>
        </w:tc>
      </w:tr>
    </w:tbl>
    <w:p w:rsidR="00A73AAC" w:rsidRDefault="00A73AAC" w:rsidP="008E20AC"/>
    <w:p w:rsidR="00A8257B" w:rsidRDefault="00A675F8" w:rsidP="008E20AC">
      <w:r>
        <w:t>On average, PHMSA receives 62 grant applications</w:t>
      </w:r>
      <w:r>
        <w:rPr>
          <w:rStyle w:val="FootnoteReference"/>
        </w:rPr>
        <w:footnoteReference w:id="1"/>
      </w:r>
      <w:r>
        <w:t xml:space="preserve"> per year.  Based on stakeholder feedback, each application takes approximately 83.23 hours per year to complete, for a total of 5,160 annual burden hours (62 responses x 83.23 hours/response).  </w:t>
      </w:r>
      <w:r w:rsidR="006B745E">
        <w:t xml:space="preserve">For the salary of an employee providing grant information of </w:t>
      </w:r>
      <w:r w:rsidR="006B745E">
        <w:rPr>
          <w:rFonts w:eastAsia="Calibri"/>
        </w:rPr>
        <w:t>$72.40</w:t>
      </w:r>
      <w:r w:rsidR="006B745E">
        <w:rPr>
          <w:rStyle w:val="FootnoteReference"/>
          <w:rFonts w:eastAsia="Calibri"/>
        </w:rPr>
        <w:footnoteReference w:id="2"/>
      </w:r>
      <w:r w:rsidR="006B745E">
        <w:rPr>
          <w:rFonts w:eastAsia="Calibri"/>
        </w:rPr>
        <w:t xml:space="preserve"> per hour</w:t>
      </w:r>
      <w:r w:rsidR="006B745E">
        <w:t xml:space="preserve">, </w:t>
      </w:r>
      <w:r w:rsidR="006B745E" w:rsidRPr="00125E20">
        <w:t>PHMSA estimates</w:t>
      </w:r>
      <w:r w:rsidR="006B745E">
        <w:t xml:space="preserve"> a total salary cost of $373,584 (83.23 burden hours x $72.40)</w:t>
      </w:r>
      <w:r w:rsidR="00552E60">
        <w:t>.  PHMSA does not estimate any out-of-pocket expenses.</w:t>
      </w:r>
    </w:p>
    <w:p w:rsidR="00A675F8" w:rsidRDefault="00A675F8" w:rsidP="008E20AC"/>
    <w:p w:rsidR="00A73AAC" w:rsidRDefault="00A73AAC" w:rsidP="008E20AC"/>
    <w:p w:rsidR="00605613" w:rsidRDefault="008E20AC" w:rsidP="008E20AC">
      <w:pPr>
        <w:pStyle w:val="1AutoList1"/>
        <w:numPr>
          <w:ilvl w:val="0"/>
          <w:numId w:val="32"/>
        </w:numPr>
        <w:ind w:left="0" w:firstLine="0"/>
        <w:rPr>
          <w:rFonts w:ascii="Times New Roman" w:hAnsi="Times New Roman"/>
          <w:sz w:val="24"/>
        </w:rPr>
      </w:pPr>
      <w:r>
        <w:tab/>
      </w:r>
      <w:r w:rsidR="005F2893" w:rsidRPr="00FA153C">
        <w:rPr>
          <w:rFonts w:ascii="Times New Roman" w:hAnsi="Times New Roman"/>
          <w:bCs/>
          <w:sz w:val="24"/>
          <w:u w:val="single"/>
        </w:rPr>
        <w:t>Estimate of total annual costs to respondents</w:t>
      </w:r>
      <w:r w:rsidR="00605613" w:rsidRPr="005F2893">
        <w:rPr>
          <w:rFonts w:ascii="Times New Roman" w:hAnsi="Times New Roman"/>
          <w:sz w:val="24"/>
        </w:rPr>
        <w:t>.</w:t>
      </w:r>
    </w:p>
    <w:p w:rsidR="00605613" w:rsidRDefault="00605613" w:rsidP="008E20AC"/>
    <w:p w:rsidR="00605613" w:rsidRDefault="003E3B1F" w:rsidP="008E20AC">
      <w:r>
        <w:t>PHMSA does not</w:t>
      </w:r>
      <w:r w:rsidR="00552E60">
        <w:t xml:space="preserve"> estimate</w:t>
      </w:r>
      <w:r>
        <w:t xml:space="preserve"> any</w:t>
      </w:r>
      <w:r w:rsidR="00552E60">
        <w:t xml:space="preserve"> out-of-pocket expenses.</w:t>
      </w:r>
    </w:p>
    <w:p w:rsidR="00B852CE" w:rsidRDefault="00B852CE" w:rsidP="008E20AC"/>
    <w:p w:rsidR="008E20AC" w:rsidRDefault="008E20AC" w:rsidP="008E20AC"/>
    <w:p w:rsidR="00605613" w:rsidRDefault="008E20AC" w:rsidP="008E20AC">
      <w:pPr>
        <w:pStyle w:val="1AutoList1"/>
        <w:numPr>
          <w:ilvl w:val="0"/>
          <w:numId w:val="32"/>
        </w:numPr>
        <w:tabs>
          <w:tab w:val="clear" w:pos="720"/>
        </w:tabs>
        <w:ind w:left="0" w:firstLine="0"/>
        <w:rPr>
          <w:rFonts w:ascii="Times New Roman" w:hAnsi="Times New Roman"/>
          <w:sz w:val="24"/>
        </w:rPr>
      </w:pPr>
      <w:r>
        <w:rPr>
          <w:rFonts w:ascii="Times New Roman" w:hAnsi="Times New Roman"/>
          <w:bCs/>
          <w:sz w:val="24"/>
        </w:rPr>
        <w:tab/>
      </w:r>
      <w:r w:rsidR="005F2893" w:rsidRPr="00FA153C">
        <w:rPr>
          <w:rFonts w:ascii="Times New Roman" w:hAnsi="Times New Roman"/>
          <w:bCs/>
          <w:sz w:val="24"/>
          <w:u w:val="single"/>
        </w:rPr>
        <w:t>Estimate of cost to the Federal government</w:t>
      </w:r>
      <w:r w:rsidR="00605613" w:rsidRPr="005F2893">
        <w:rPr>
          <w:rFonts w:ascii="Times New Roman" w:hAnsi="Times New Roman"/>
          <w:sz w:val="24"/>
        </w:rPr>
        <w:t>.</w:t>
      </w:r>
    </w:p>
    <w:p w:rsidR="00605613" w:rsidRDefault="00605613" w:rsidP="008E20AC"/>
    <w:p w:rsidR="00605613" w:rsidRDefault="00605613" w:rsidP="008E20AC">
      <w:r>
        <w:t>The estimated cost to the Federal government is approximately $</w:t>
      </w:r>
      <w:r w:rsidR="003E3B1F">
        <w:t>248,989.59</w:t>
      </w:r>
      <w:r>
        <w:t>.</w:t>
      </w:r>
    </w:p>
    <w:p w:rsidR="003E3B1F" w:rsidRDefault="003E3B1F" w:rsidP="008E20AC"/>
    <w:tbl>
      <w:tblPr>
        <w:tblW w:w="9260" w:type="dxa"/>
        <w:jc w:val="center"/>
        <w:tblLook w:val="04A0" w:firstRow="1" w:lastRow="0" w:firstColumn="1" w:lastColumn="0" w:noHBand="0" w:noVBand="1"/>
      </w:tblPr>
      <w:tblGrid>
        <w:gridCol w:w="1840"/>
        <w:gridCol w:w="1840"/>
        <w:gridCol w:w="1840"/>
        <w:gridCol w:w="2080"/>
        <w:gridCol w:w="1660"/>
      </w:tblGrid>
      <w:tr w:rsidR="003E3B1F" w:rsidTr="00EC09D4">
        <w:trPr>
          <w:trHeight w:val="945"/>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B1F" w:rsidRDefault="003E3B1F">
            <w:pPr>
              <w:jc w:val="center"/>
              <w:rPr>
                <w:b/>
                <w:bCs/>
                <w:color w:val="000000"/>
                <w:u w:val="single"/>
              </w:rPr>
            </w:pPr>
            <w:r>
              <w:rPr>
                <w:b/>
                <w:bCs/>
                <w:color w:val="000000"/>
                <w:u w:val="single"/>
              </w:rPr>
              <w:t>Hours/FTE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3E3B1F" w:rsidRDefault="003E3B1F">
            <w:pPr>
              <w:jc w:val="center"/>
              <w:rPr>
                <w:b/>
                <w:bCs/>
                <w:color w:val="000000"/>
                <w:u w:val="single"/>
              </w:rPr>
            </w:pPr>
            <w:r>
              <w:rPr>
                <w:b/>
                <w:bCs/>
                <w:color w:val="000000"/>
                <w:u w:val="single"/>
              </w:rPr>
              <w:t>Number of FTEs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3E3B1F" w:rsidRDefault="003E3B1F">
            <w:pPr>
              <w:jc w:val="center"/>
              <w:rPr>
                <w:b/>
                <w:bCs/>
                <w:color w:val="000000"/>
                <w:u w:val="single"/>
              </w:rPr>
            </w:pPr>
            <w:r>
              <w:rPr>
                <w:b/>
                <w:bCs/>
                <w:color w:val="000000"/>
                <w:u w:val="single"/>
              </w:rPr>
              <w:t>Total Hours</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3E3B1F" w:rsidRDefault="003E3B1F">
            <w:pPr>
              <w:jc w:val="center"/>
              <w:rPr>
                <w:b/>
                <w:bCs/>
                <w:color w:val="000000"/>
                <w:u w:val="single"/>
              </w:rPr>
            </w:pPr>
            <w:r>
              <w:rPr>
                <w:b/>
                <w:bCs/>
                <w:color w:val="000000"/>
                <w:u w:val="single"/>
              </w:rPr>
              <w:t>Salary + Fringe and Overhead Per Hour</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3E3B1F" w:rsidRDefault="003E3B1F">
            <w:pPr>
              <w:jc w:val="center"/>
              <w:rPr>
                <w:b/>
                <w:bCs/>
                <w:color w:val="000000"/>
                <w:u w:val="single"/>
              </w:rPr>
            </w:pPr>
            <w:r>
              <w:rPr>
                <w:b/>
                <w:bCs/>
                <w:color w:val="000000"/>
                <w:u w:val="single"/>
              </w:rPr>
              <w:t>Total Salary Cost</w:t>
            </w:r>
          </w:p>
        </w:tc>
      </w:tr>
      <w:tr w:rsidR="003E3B1F" w:rsidTr="00EC09D4">
        <w:trPr>
          <w:trHeight w:val="31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3E3B1F" w:rsidRDefault="003E3B1F">
            <w:pPr>
              <w:jc w:val="center"/>
              <w:rPr>
                <w:color w:val="000000"/>
              </w:rPr>
            </w:pPr>
            <w:r>
              <w:rPr>
                <w:color w:val="000000"/>
              </w:rPr>
              <w:t xml:space="preserve">1,920 </w:t>
            </w:r>
          </w:p>
        </w:tc>
        <w:tc>
          <w:tcPr>
            <w:tcW w:w="1840" w:type="dxa"/>
            <w:tcBorders>
              <w:top w:val="nil"/>
              <w:left w:val="nil"/>
              <w:bottom w:val="single" w:sz="4" w:space="0" w:color="auto"/>
              <w:right w:val="single" w:sz="4" w:space="0" w:color="auto"/>
            </w:tcBorders>
            <w:shd w:val="clear" w:color="auto" w:fill="auto"/>
            <w:vAlign w:val="bottom"/>
            <w:hideMark/>
          </w:tcPr>
          <w:p w:rsidR="003E3B1F" w:rsidRDefault="003E3B1F">
            <w:pPr>
              <w:jc w:val="center"/>
              <w:rPr>
                <w:color w:val="000000"/>
              </w:rPr>
            </w:pPr>
            <w:r>
              <w:rPr>
                <w:color w:val="000000"/>
              </w:rPr>
              <w:t>2</w:t>
            </w:r>
          </w:p>
        </w:tc>
        <w:tc>
          <w:tcPr>
            <w:tcW w:w="1840" w:type="dxa"/>
            <w:tcBorders>
              <w:top w:val="nil"/>
              <w:left w:val="nil"/>
              <w:bottom w:val="single" w:sz="4" w:space="0" w:color="auto"/>
              <w:right w:val="single" w:sz="4" w:space="0" w:color="auto"/>
            </w:tcBorders>
            <w:shd w:val="clear" w:color="auto" w:fill="auto"/>
            <w:vAlign w:val="bottom"/>
            <w:hideMark/>
          </w:tcPr>
          <w:p w:rsidR="003E3B1F" w:rsidRDefault="003E3B1F">
            <w:pPr>
              <w:jc w:val="center"/>
              <w:rPr>
                <w:color w:val="000000"/>
              </w:rPr>
            </w:pPr>
            <w:r>
              <w:rPr>
                <w:color w:val="000000"/>
              </w:rPr>
              <w:t xml:space="preserve">3,840 </w:t>
            </w:r>
          </w:p>
        </w:tc>
        <w:tc>
          <w:tcPr>
            <w:tcW w:w="2080" w:type="dxa"/>
            <w:tcBorders>
              <w:top w:val="nil"/>
              <w:left w:val="nil"/>
              <w:bottom w:val="single" w:sz="4" w:space="0" w:color="auto"/>
              <w:right w:val="single" w:sz="4" w:space="0" w:color="auto"/>
            </w:tcBorders>
            <w:shd w:val="clear" w:color="auto" w:fill="auto"/>
            <w:vAlign w:val="bottom"/>
            <w:hideMark/>
          </w:tcPr>
          <w:p w:rsidR="003E3B1F" w:rsidRDefault="003E3B1F">
            <w:pPr>
              <w:jc w:val="center"/>
              <w:rPr>
                <w:color w:val="000000"/>
              </w:rPr>
            </w:pPr>
            <w:r>
              <w:rPr>
                <w:color w:val="000000"/>
              </w:rPr>
              <w:t xml:space="preserve">$64.84 </w:t>
            </w:r>
          </w:p>
        </w:tc>
        <w:tc>
          <w:tcPr>
            <w:tcW w:w="1660" w:type="dxa"/>
            <w:tcBorders>
              <w:top w:val="nil"/>
              <w:left w:val="nil"/>
              <w:bottom w:val="single" w:sz="4" w:space="0" w:color="auto"/>
              <w:right w:val="single" w:sz="4" w:space="0" w:color="auto"/>
            </w:tcBorders>
            <w:shd w:val="clear" w:color="auto" w:fill="auto"/>
            <w:vAlign w:val="bottom"/>
            <w:hideMark/>
          </w:tcPr>
          <w:p w:rsidR="003E3B1F" w:rsidRDefault="003E3B1F">
            <w:pPr>
              <w:jc w:val="center"/>
              <w:rPr>
                <w:color w:val="000000"/>
              </w:rPr>
            </w:pPr>
            <w:r>
              <w:rPr>
                <w:color w:val="000000"/>
              </w:rPr>
              <w:t xml:space="preserve">$248,989.59 </w:t>
            </w:r>
          </w:p>
        </w:tc>
      </w:tr>
    </w:tbl>
    <w:p w:rsidR="003E3B1F" w:rsidRDefault="003E3B1F" w:rsidP="008E20AC"/>
    <w:p w:rsidR="00264439" w:rsidRDefault="00605613" w:rsidP="008E20AC">
      <w:r>
        <w:t xml:space="preserve">One professional program coordinator and one professional </w:t>
      </w:r>
      <w:r w:rsidR="003E3B1F">
        <w:t xml:space="preserve">each </w:t>
      </w:r>
      <w:r>
        <w:t>spend</w:t>
      </w:r>
      <w:r w:rsidR="003E3B1F">
        <w:t>s</w:t>
      </w:r>
      <w:r>
        <w:t xml:space="preserve"> a total of 1,920 hours</w:t>
      </w:r>
      <w:r w:rsidR="003E3B1F">
        <w:t xml:space="preserve"> processing and monitoring grant applications for a total of 3,480 hours.  At </w:t>
      </w:r>
      <w:r>
        <w:t>approximately $</w:t>
      </w:r>
      <w:r w:rsidR="003E3B1F">
        <w:t>64.84/hour</w:t>
      </w:r>
      <w:r w:rsidR="003E3B1F">
        <w:rPr>
          <w:rStyle w:val="FootnoteReference"/>
        </w:rPr>
        <w:footnoteReference w:id="3"/>
      </w:r>
      <w:r w:rsidR="003E3B1F">
        <w:t>, this costs the federal government $248,989.59 (3,840 hours x $64.84/hour)</w:t>
      </w:r>
      <w:r w:rsidR="00264439">
        <w:t>.</w:t>
      </w:r>
    </w:p>
    <w:p w:rsidR="006D5E33" w:rsidRDefault="006D5E33" w:rsidP="008E20AC"/>
    <w:p w:rsidR="008E20AC" w:rsidRDefault="008E20AC" w:rsidP="008E20AC"/>
    <w:p w:rsidR="00605613" w:rsidRDefault="00605613" w:rsidP="008E20AC">
      <w:pPr>
        <w:tabs>
          <w:tab w:val="left" w:pos="720"/>
        </w:tabs>
      </w:pPr>
      <w:r>
        <w:t>15.</w:t>
      </w:r>
      <w:r>
        <w:tab/>
      </w:r>
      <w:r w:rsidR="005F2893" w:rsidRPr="00FA153C">
        <w:rPr>
          <w:bCs/>
          <w:u w:val="single"/>
        </w:rPr>
        <w:t>Explanation of program changes or adjustments</w:t>
      </w:r>
      <w:r>
        <w:t xml:space="preserve">.  </w:t>
      </w:r>
    </w:p>
    <w:p w:rsidR="00605613" w:rsidRDefault="00605613" w:rsidP="008E20AC"/>
    <w:p w:rsidR="000A4442" w:rsidRPr="000A4442" w:rsidRDefault="005024B2" w:rsidP="008E20AC">
      <w:r>
        <w:t>There are no changes to this information collection burden</w:t>
      </w:r>
    </w:p>
    <w:p w:rsidR="00605613" w:rsidRDefault="00605613" w:rsidP="008E20AC"/>
    <w:p w:rsidR="004542DB" w:rsidRDefault="004542DB" w:rsidP="008E20AC"/>
    <w:p w:rsidR="00605613" w:rsidRDefault="00605613" w:rsidP="00EC09D4">
      <w:pPr>
        <w:keepNext/>
        <w:keepLines/>
        <w:tabs>
          <w:tab w:val="left" w:pos="720"/>
        </w:tabs>
      </w:pPr>
      <w:r>
        <w:t>16.</w:t>
      </w:r>
      <w:r>
        <w:tab/>
      </w:r>
      <w:r w:rsidR="005F2893" w:rsidRPr="009D4F72">
        <w:rPr>
          <w:bCs/>
          <w:u w:val="single"/>
        </w:rPr>
        <w:t>Publication of results of data collection</w:t>
      </w:r>
      <w:r>
        <w:t>.</w:t>
      </w:r>
    </w:p>
    <w:p w:rsidR="00605613" w:rsidRDefault="00605613" w:rsidP="00EC09D4">
      <w:pPr>
        <w:keepNext/>
        <w:keepLines/>
      </w:pPr>
      <w:r>
        <w:t xml:space="preserve">  </w:t>
      </w:r>
    </w:p>
    <w:p w:rsidR="00605613" w:rsidRDefault="00605613" w:rsidP="008E20AC">
      <w:r>
        <w:t xml:space="preserve">There </w:t>
      </w:r>
      <w:r w:rsidR="00A227DF">
        <w:t>results of this information collection will be published in an annual report to congress</w:t>
      </w:r>
      <w:r>
        <w:t>.</w:t>
      </w:r>
    </w:p>
    <w:p w:rsidR="00605613" w:rsidRDefault="00605613" w:rsidP="008E20AC"/>
    <w:p w:rsidR="008E20AC" w:rsidRDefault="008E20AC" w:rsidP="008E20AC"/>
    <w:p w:rsidR="00605613" w:rsidRDefault="00605613" w:rsidP="008E20AC">
      <w:pPr>
        <w:sectPr w:rsidR="00605613" w:rsidSect="00EC09D4">
          <w:type w:val="continuous"/>
          <w:pgSz w:w="12240" w:h="15840"/>
          <w:pgMar w:top="1440" w:right="1440" w:bottom="1440" w:left="1440" w:header="720" w:footer="720" w:gutter="0"/>
          <w:cols w:space="720"/>
          <w:docGrid w:linePitch="326"/>
        </w:sectPr>
      </w:pPr>
    </w:p>
    <w:p w:rsidR="00605613" w:rsidRDefault="005F2893" w:rsidP="00EC09D4">
      <w:pPr>
        <w:pStyle w:val="1AutoList1"/>
        <w:keepNext/>
        <w:keepLines/>
        <w:numPr>
          <w:ilvl w:val="0"/>
          <w:numId w:val="34"/>
        </w:numPr>
        <w:ind w:left="0" w:firstLine="0"/>
        <w:rPr>
          <w:rFonts w:ascii="Times New Roman" w:hAnsi="Times New Roman"/>
          <w:sz w:val="24"/>
        </w:rPr>
      </w:pPr>
      <w:r w:rsidRPr="005F2893">
        <w:rPr>
          <w:rFonts w:ascii="Times New Roman" w:hAnsi="Times New Roman"/>
          <w:bCs/>
          <w:sz w:val="24"/>
          <w:u w:val="single"/>
        </w:rPr>
        <w:t>Approval for not displaying the expiration date of OMB approval</w:t>
      </w:r>
      <w:r w:rsidR="00605613" w:rsidRPr="005F2893">
        <w:rPr>
          <w:rFonts w:ascii="Times New Roman" w:hAnsi="Times New Roman"/>
          <w:sz w:val="24"/>
        </w:rPr>
        <w:t>.</w:t>
      </w:r>
    </w:p>
    <w:p w:rsidR="00605613" w:rsidRDefault="00605613" w:rsidP="00EC09D4">
      <w:pPr>
        <w:keepNext/>
        <w:keepLines/>
      </w:pPr>
    </w:p>
    <w:p w:rsidR="009604A8" w:rsidRPr="00BA1804" w:rsidRDefault="009604A8" w:rsidP="008E20AC">
      <w:r w:rsidRPr="00BA1804">
        <w:t>This information collection OMB Control number is prominently displayed in the HMR, specifically under § 171.6, entitled, “Control Numbers under the Paperwork Reduction Act.”</w:t>
      </w:r>
    </w:p>
    <w:p w:rsidR="00605613" w:rsidRDefault="00605613" w:rsidP="008E20AC"/>
    <w:p w:rsidR="008E20AC" w:rsidRDefault="008E20AC" w:rsidP="008E20AC"/>
    <w:p w:rsidR="00605613" w:rsidRDefault="00605613" w:rsidP="008E20AC">
      <w:pPr>
        <w:pStyle w:val="1AutoList1"/>
        <w:numPr>
          <w:ilvl w:val="0"/>
          <w:numId w:val="34"/>
        </w:numPr>
        <w:ind w:left="0" w:firstLine="0"/>
        <w:rPr>
          <w:rFonts w:ascii="Times New Roman" w:hAnsi="Times New Roman"/>
          <w:sz w:val="24"/>
        </w:rPr>
      </w:pPr>
      <w:r>
        <w:rPr>
          <w:rFonts w:ascii="Times New Roman" w:hAnsi="Times New Roman"/>
          <w:sz w:val="24"/>
          <w:u w:val="single"/>
        </w:rPr>
        <w:t>Exceptions to certification statement</w:t>
      </w:r>
      <w:r w:rsidR="005F2893" w:rsidRPr="005F2893">
        <w:rPr>
          <w:rFonts w:ascii="Times New Roman" w:hAnsi="Times New Roman"/>
          <w:sz w:val="24"/>
        </w:rPr>
        <w:t>.</w:t>
      </w:r>
    </w:p>
    <w:p w:rsidR="00605613" w:rsidRDefault="00605613" w:rsidP="008E20AC"/>
    <w:p w:rsidR="00605613" w:rsidRPr="00C30036" w:rsidRDefault="00605613" w:rsidP="008E20AC">
      <w:pPr>
        <w:tabs>
          <w:tab w:val="left" w:pos="720"/>
          <w:tab w:val="left" w:pos="1440"/>
          <w:tab w:val="left" w:pos="2160"/>
          <w:tab w:val="left" w:pos="2880"/>
          <w:tab w:val="left" w:pos="3600"/>
          <w:tab w:val="left" w:pos="4320"/>
        </w:tabs>
      </w:pPr>
      <w:r>
        <w:t xml:space="preserve">There is no exception to PHMSA’s certification of this request for information collection </w:t>
      </w:r>
      <w:r w:rsidRPr="00C30036">
        <w:t>approval.</w:t>
      </w:r>
      <w:r w:rsidRPr="00C30036">
        <w:tab/>
      </w:r>
      <w:r w:rsidRPr="00C30036">
        <w:tab/>
      </w:r>
      <w:r w:rsidRPr="00C30036">
        <w:tab/>
      </w:r>
      <w:r w:rsidRPr="00C30036">
        <w:tab/>
      </w:r>
    </w:p>
    <w:p w:rsidR="00F33BB0" w:rsidRDefault="00F33BB0" w:rsidP="008E20AC">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p>
    <w:sectPr w:rsidR="00F33BB0" w:rsidSect="00EC09D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B1" w:rsidRDefault="00F856B1">
      <w:r>
        <w:separator/>
      </w:r>
    </w:p>
  </w:endnote>
  <w:endnote w:type="continuationSeparator" w:id="0">
    <w:p w:rsidR="00F856B1" w:rsidRDefault="00F8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64" w:rsidRDefault="002E3264" w:rsidP="00746B5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E3264" w:rsidRDefault="002E3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64" w:rsidRDefault="002E3264" w:rsidP="00746B5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0352D">
      <w:rPr>
        <w:rStyle w:val="PageNumber"/>
        <w:noProof/>
      </w:rPr>
      <w:t>1</w:t>
    </w:r>
    <w:r>
      <w:rPr>
        <w:rStyle w:val="PageNumber"/>
      </w:rPr>
      <w:fldChar w:fldCharType="end"/>
    </w:r>
  </w:p>
  <w:p w:rsidR="002E3264" w:rsidRDefault="002E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B1" w:rsidRDefault="00F856B1">
      <w:r>
        <w:separator/>
      </w:r>
    </w:p>
  </w:footnote>
  <w:footnote w:type="continuationSeparator" w:id="0">
    <w:p w:rsidR="00F856B1" w:rsidRDefault="00F856B1">
      <w:r>
        <w:continuationSeparator/>
      </w:r>
    </w:p>
  </w:footnote>
  <w:footnote w:id="1">
    <w:p w:rsidR="00A675F8" w:rsidRDefault="00A675F8">
      <w:pPr>
        <w:pStyle w:val="FootnoteText"/>
      </w:pPr>
      <w:r>
        <w:rPr>
          <w:rStyle w:val="FootnoteReference"/>
        </w:rPr>
        <w:footnoteRef/>
      </w:r>
      <w:r>
        <w:t xml:space="preserve"> Estimate of 50 states and 12 Indian tribe applications</w:t>
      </w:r>
    </w:p>
  </w:footnote>
  <w:footnote w:id="2">
    <w:p w:rsidR="006B745E" w:rsidRDefault="006B745E" w:rsidP="006B745E">
      <w:pPr>
        <w:pStyle w:val="FootnoteText"/>
      </w:pPr>
      <w:r>
        <w:rPr>
          <w:rStyle w:val="FootnoteReference"/>
        </w:rPr>
        <w:footnoteRef/>
      </w:r>
      <w:r>
        <w:t xml:space="preserve"> </w:t>
      </w:r>
      <w:r w:rsidRPr="006B745E">
        <w:t xml:space="preserve">Occupation labor rates based on 2017 Occupational and Employment Statistics Survey (OES) for “Transportation, Storage, and Distribution Managers (11-3071).” </w:t>
      </w:r>
      <w:hyperlink r:id="rId1" w:history="1">
        <w:r w:rsidRPr="004D0D44">
          <w:rPr>
            <w:rStyle w:val="Hyperlink"/>
          </w:rPr>
          <w:t>https://www.bls.gov/oes/current/oes113071.htm</w:t>
        </w:r>
      </w:hyperlink>
      <w:r>
        <w:t xml:space="preserve"> </w:t>
      </w:r>
      <w:r w:rsidRPr="006B745E">
        <w:t>The hourly mean wage for this occupation ($49.45)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3">
    <w:p w:rsidR="003E3B1F" w:rsidRDefault="003E3B1F">
      <w:pPr>
        <w:pStyle w:val="FootnoteText"/>
      </w:pPr>
      <w:r>
        <w:rPr>
          <w:rStyle w:val="FootnoteReference"/>
        </w:rPr>
        <w:footnoteRef/>
      </w:r>
      <w:r>
        <w:t xml:space="preserve"> </w:t>
      </w:r>
      <w:r w:rsidRPr="003E3B1F">
        <w:t>For cost to review grant applications, PHMSA used hourly wage data from the Office of Personnel Management (OPM) to estimate wages for its staff at the 2019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64" w:rsidRDefault="002E3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64" w:rsidRDefault="002E3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64" w:rsidRDefault="002E3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F2F61C"/>
    <w:lvl w:ilvl="0">
      <w:numFmt w:val="bullet"/>
      <w:lvlText w:val="*"/>
      <w:lvlJc w:val="left"/>
    </w:lvl>
  </w:abstractNum>
  <w:abstractNum w:abstractNumId="1">
    <w:nsid w:val="006D038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13E5F56"/>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15F444B"/>
    <w:multiLevelType w:val="hybridMultilevel"/>
    <w:tmpl w:val="9878D81C"/>
    <w:lvl w:ilvl="0" w:tplc="956AB1D4">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1682DD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3D95DDF"/>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D1E77B9"/>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41F1E6F"/>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C33533"/>
    <w:multiLevelType w:val="multilevel"/>
    <w:tmpl w:val="41502884"/>
    <w:lvl w:ilvl="0">
      <w:start w:val="15"/>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7CB0C9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8291B64"/>
    <w:multiLevelType w:val="multilevel"/>
    <w:tmpl w:val="24A67D32"/>
    <w:lvl w:ilvl="0">
      <w:start w:val="5"/>
      <w:numFmt w:val="lowerLetter"/>
      <w:lvlText w:val="(%1)"/>
      <w:legacy w:legacy="1" w:legacySpace="0" w:legacyIndent="1440"/>
      <w:lvlJc w:val="left"/>
      <w:pPr>
        <w:ind w:left="1440" w:hanging="1440"/>
      </w:pPr>
    </w:lvl>
    <w:lvl w:ilvl="1">
      <w:start w:val="11"/>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1">
    <w:nsid w:val="1B460AB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1BF25A13"/>
    <w:multiLevelType w:val="hybridMultilevel"/>
    <w:tmpl w:val="8E7A63BC"/>
    <w:lvl w:ilvl="0" w:tplc="AEDE07A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CD7249E"/>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1754A7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223744B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3D9036A"/>
    <w:multiLevelType w:val="multilevel"/>
    <w:tmpl w:val="610689E2"/>
    <w:lvl w:ilvl="0">
      <w:start w:val="13"/>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6413F9C"/>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8">
    <w:nsid w:val="2802137C"/>
    <w:multiLevelType w:val="hybridMultilevel"/>
    <w:tmpl w:val="6E52BBE2"/>
    <w:lvl w:ilvl="0" w:tplc="4A12EF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A273CE"/>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A58298B"/>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30876C3C"/>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19D10E4"/>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28377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ABD29D7"/>
    <w:multiLevelType w:val="hybridMultilevel"/>
    <w:tmpl w:val="2C10E66C"/>
    <w:lvl w:ilvl="0" w:tplc="654219FC">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966ACE"/>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44FC4B01"/>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44FD6DAA"/>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477A47EC"/>
    <w:multiLevelType w:val="hybridMultilevel"/>
    <w:tmpl w:val="3B1281DA"/>
    <w:lvl w:ilvl="0" w:tplc="39E43A8A">
      <w:start w:val="1"/>
      <w:numFmt w:val="decimal"/>
      <w:lvlText w:val="(%1)"/>
      <w:lvlJc w:val="left"/>
      <w:pPr>
        <w:tabs>
          <w:tab w:val="num" w:pos="1500"/>
        </w:tabs>
        <w:ind w:left="1500" w:hanging="39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9">
    <w:nsid w:val="49A87AC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4AC4152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4D5458CD"/>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2">
    <w:nsid w:val="4D561CD1"/>
    <w:multiLevelType w:val="hybridMultilevel"/>
    <w:tmpl w:val="31F4D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926CEE"/>
    <w:multiLevelType w:val="hybridMultilevel"/>
    <w:tmpl w:val="FE6C223A"/>
    <w:lvl w:ilvl="0" w:tplc="9B22DFD2">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0343017"/>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5">
    <w:nsid w:val="5F074C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08E61A8"/>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620A6AC1"/>
    <w:multiLevelType w:val="hybridMultilevel"/>
    <w:tmpl w:val="9A5AF44E"/>
    <w:lvl w:ilvl="0" w:tplc="7046ADE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30C1532"/>
    <w:multiLevelType w:val="hybridMultilevel"/>
    <w:tmpl w:val="F73A3224"/>
    <w:lvl w:ilvl="0" w:tplc="ECA873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95F2D3E"/>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6C4C64B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6E1A3C73"/>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2">
    <w:nsid w:val="70A41CB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27C578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nsid w:val="783D0BD8"/>
    <w:multiLevelType w:val="hybridMultilevel"/>
    <w:tmpl w:val="2E18AF64"/>
    <w:lvl w:ilvl="0" w:tplc="FAFC4ADC">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786515B5"/>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16"/>
  </w:num>
  <w:num w:numId="3">
    <w:abstractNumId w:val="8"/>
  </w:num>
  <w:num w:numId="4">
    <w:abstractNumId w:val="20"/>
  </w:num>
  <w:num w:numId="5">
    <w:abstractNumId w:val="22"/>
  </w:num>
  <w:num w:numId="6">
    <w:abstractNumId w:val="43"/>
  </w:num>
  <w:num w:numId="7">
    <w:abstractNumId w:val="30"/>
  </w:num>
  <w:num w:numId="8">
    <w:abstractNumId w:val="15"/>
  </w:num>
  <w:num w:numId="9">
    <w:abstractNumId w:val="14"/>
  </w:num>
  <w:num w:numId="10">
    <w:abstractNumId w:val="29"/>
  </w:num>
  <w:num w:numId="11">
    <w:abstractNumId w:val="9"/>
  </w:num>
  <w:num w:numId="12">
    <w:abstractNumId w:val="42"/>
  </w:num>
  <w:num w:numId="13">
    <w:abstractNumId w:val="40"/>
  </w:num>
  <w:num w:numId="14">
    <w:abstractNumId w:val="7"/>
  </w:num>
  <w:num w:numId="15">
    <w:abstractNumId w:val="23"/>
  </w:num>
  <w:num w:numId="16">
    <w:abstractNumId w:val="21"/>
  </w:num>
  <w:num w:numId="17">
    <w:abstractNumId w:val="36"/>
  </w:num>
  <w:num w:numId="18">
    <w:abstractNumId w:val="11"/>
  </w:num>
  <w:num w:numId="19">
    <w:abstractNumId w:val="4"/>
  </w:num>
  <w:num w:numId="20">
    <w:abstractNumId w:val="1"/>
  </w:num>
  <w:num w:numId="21">
    <w:abstractNumId w:val="35"/>
  </w:num>
  <w:num w:numId="22">
    <w:abstractNumId w:val="25"/>
  </w:num>
  <w:num w:numId="23">
    <w:abstractNumId w:val="6"/>
  </w:num>
  <w:num w:numId="24">
    <w:abstractNumId w:val="13"/>
  </w:num>
  <w:num w:numId="25">
    <w:abstractNumId w:val="39"/>
  </w:num>
  <w:num w:numId="26">
    <w:abstractNumId w:val="31"/>
  </w:num>
  <w:num w:numId="27">
    <w:abstractNumId w:val="17"/>
  </w:num>
  <w:num w:numId="28">
    <w:abstractNumId w:val="5"/>
  </w:num>
  <w:num w:numId="29">
    <w:abstractNumId w:val="19"/>
  </w:num>
  <w:num w:numId="30">
    <w:abstractNumId w:val="26"/>
  </w:num>
  <w:num w:numId="31">
    <w:abstractNumId w:val="27"/>
  </w:num>
  <w:num w:numId="32">
    <w:abstractNumId w:val="41"/>
  </w:num>
  <w:num w:numId="33">
    <w:abstractNumId w:val="34"/>
  </w:num>
  <w:num w:numId="34">
    <w:abstractNumId w:val="45"/>
  </w:num>
  <w:num w:numId="35">
    <w:abstractNumId w:val="2"/>
  </w:num>
  <w:num w:numId="36">
    <w:abstractNumId w:val="38"/>
  </w:num>
  <w:num w:numId="37">
    <w:abstractNumId w:val="44"/>
  </w:num>
  <w:num w:numId="38">
    <w:abstractNumId w:val="3"/>
  </w:num>
  <w:num w:numId="39">
    <w:abstractNumId w:val="12"/>
  </w:num>
  <w:num w:numId="40">
    <w:abstractNumId w:val="24"/>
  </w:num>
  <w:num w:numId="41">
    <w:abstractNumId w:val="37"/>
  </w:num>
  <w:num w:numId="42">
    <w:abstractNumId w:val="28"/>
  </w:num>
  <w:num w:numId="43">
    <w:abstractNumId w:val="33"/>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3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13"/>
    <w:rsid w:val="00004D29"/>
    <w:rsid w:val="00036CFF"/>
    <w:rsid w:val="0004053E"/>
    <w:rsid w:val="000443DA"/>
    <w:rsid w:val="000459C5"/>
    <w:rsid w:val="00053574"/>
    <w:rsid w:val="00055A15"/>
    <w:rsid w:val="00056D40"/>
    <w:rsid w:val="000632C4"/>
    <w:rsid w:val="000659E3"/>
    <w:rsid w:val="00070E52"/>
    <w:rsid w:val="0007225C"/>
    <w:rsid w:val="00076D41"/>
    <w:rsid w:val="00076ECE"/>
    <w:rsid w:val="00082B8C"/>
    <w:rsid w:val="00083BD3"/>
    <w:rsid w:val="00083D78"/>
    <w:rsid w:val="000901C1"/>
    <w:rsid w:val="0009234D"/>
    <w:rsid w:val="000A0F92"/>
    <w:rsid w:val="000A4442"/>
    <w:rsid w:val="000C2F12"/>
    <w:rsid w:val="000C7CEE"/>
    <w:rsid w:val="000D4C40"/>
    <w:rsid w:val="000E3A30"/>
    <w:rsid w:val="000E46BB"/>
    <w:rsid w:val="000F3BA1"/>
    <w:rsid w:val="000F5E19"/>
    <w:rsid w:val="000F5ED6"/>
    <w:rsid w:val="000F6EDE"/>
    <w:rsid w:val="00100A70"/>
    <w:rsid w:val="0010433B"/>
    <w:rsid w:val="00104A10"/>
    <w:rsid w:val="00117C0A"/>
    <w:rsid w:val="001210CF"/>
    <w:rsid w:val="0012415D"/>
    <w:rsid w:val="001313CA"/>
    <w:rsid w:val="00137138"/>
    <w:rsid w:val="0016533F"/>
    <w:rsid w:val="0017290A"/>
    <w:rsid w:val="00173865"/>
    <w:rsid w:val="001771BE"/>
    <w:rsid w:val="0018053E"/>
    <w:rsid w:val="00184A56"/>
    <w:rsid w:val="001863CD"/>
    <w:rsid w:val="00194258"/>
    <w:rsid w:val="001963CD"/>
    <w:rsid w:val="001B3A32"/>
    <w:rsid w:val="001B6BB1"/>
    <w:rsid w:val="001C5441"/>
    <w:rsid w:val="001C5863"/>
    <w:rsid w:val="001C7043"/>
    <w:rsid w:val="001D488C"/>
    <w:rsid w:val="001E28EE"/>
    <w:rsid w:val="001F59AA"/>
    <w:rsid w:val="001F79E6"/>
    <w:rsid w:val="00210D0A"/>
    <w:rsid w:val="00213B24"/>
    <w:rsid w:val="0021554B"/>
    <w:rsid w:val="002231CF"/>
    <w:rsid w:val="0024047A"/>
    <w:rsid w:val="00244725"/>
    <w:rsid w:val="00250952"/>
    <w:rsid w:val="00254833"/>
    <w:rsid w:val="00260950"/>
    <w:rsid w:val="00264439"/>
    <w:rsid w:val="00280B7E"/>
    <w:rsid w:val="002901C4"/>
    <w:rsid w:val="002A354B"/>
    <w:rsid w:val="002A5B79"/>
    <w:rsid w:val="002A5B7C"/>
    <w:rsid w:val="002B0E37"/>
    <w:rsid w:val="002B3713"/>
    <w:rsid w:val="002B5FEA"/>
    <w:rsid w:val="002C00A4"/>
    <w:rsid w:val="002C1F4E"/>
    <w:rsid w:val="002C5CCB"/>
    <w:rsid w:val="002D011C"/>
    <w:rsid w:val="002D0D7A"/>
    <w:rsid w:val="002D2D65"/>
    <w:rsid w:val="002D784F"/>
    <w:rsid w:val="002E3264"/>
    <w:rsid w:val="002F5FDF"/>
    <w:rsid w:val="00307173"/>
    <w:rsid w:val="00317951"/>
    <w:rsid w:val="0032151E"/>
    <w:rsid w:val="003251C6"/>
    <w:rsid w:val="003266A1"/>
    <w:rsid w:val="00331A00"/>
    <w:rsid w:val="00331E57"/>
    <w:rsid w:val="00335051"/>
    <w:rsid w:val="003411A9"/>
    <w:rsid w:val="00342AB8"/>
    <w:rsid w:val="003522A6"/>
    <w:rsid w:val="00354FAB"/>
    <w:rsid w:val="00361B90"/>
    <w:rsid w:val="00364D95"/>
    <w:rsid w:val="003657DA"/>
    <w:rsid w:val="003678A3"/>
    <w:rsid w:val="00370055"/>
    <w:rsid w:val="00376C68"/>
    <w:rsid w:val="003829A1"/>
    <w:rsid w:val="0038665F"/>
    <w:rsid w:val="00386CA5"/>
    <w:rsid w:val="00396E66"/>
    <w:rsid w:val="003A1F35"/>
    <w:rsid w:val="003A5384"/>
    <w:rsid w:val="003B0231"/>
    <w:rsid w:val="003B6285"/>
    <w:rsid w:val="003C2418"/>
    <w:rsid w:val="003E3B1F"/>
    <w:rsid w:val="003E5F0B"/>
    <w:rsid w:val="003E63EF"/>
    <w:rsid w:val="003F5931"/>
    <w:rsid w:val="003F72CB"/>
    <w:rsid w:val="00400E69"/>
    <w:rsid w:val="00416B27"/>
    <w:rsid w:val="004322F1"/>
    <w:rsid w:val="00453920"/>
    <w:rsid w:val="004542DB"/>
    <w:rsid w:val="00461F6D"/>
    <w:rsid w:val="0047080E"/>
    <w:rsid w:val="00471792"/>
    <w:rsid w:val="00482029"/>
    <w:rsid w:val="0048409B"/>
    <w:rsid w:val="00484681"/>
    <w:rsid w:val="00487B3D"/>
    <w:rsid w:val="00495D33"/>
    <w:rsid w:val="00497B60"/>
    <w:rsid w:val="004A765C"/>
    <w:rsid w:val="004E4234"/>
    <w:rsid w:val="004E7910"/>
    <w:rsid w:val="004F13A7"/>
    <w:rsid w:val="004F2B71"/>
    <w:rsid w:val="004F33A3"/>
    <w:rsid w:val="005024B2"/>
    <w:rsid w:val="005160E9"/>
    <w:rsid w:val="00522412"/>
    <w:rsid w:val="00526423"/>
    <w:rsid w:val="005308E4"/>
    <w:rsid w:val="00537B17"/>
    <w:rsid w:val="005513B6"/>
    <w:rsid w:val="00552E60"/>
    <w:rsid w:val="00553D57"/>
    <w:rsid w:val="0055483B"/>
    <w:rsid w:val="0055787D"/>
    <w:rsid w:val="00562206"/>
    <w:rsid w:val="0056745A"/>
    <w:rsid w:val="0056797B"/>
    <w:rsid w:val="005749E2"/>
    <w:rsid w:val="00577B85"/>
    <w:rsid w:val="00583E56"/>
    <w:rsid w:val="005865D9"/>
    <w:rsid w:val="0058790E"/>
    <w:rsid w:val="005959BC"/>
    <w:rsid w:val="005963F2"/>
    <w:rsid w:val="005B0437"/>
    <w:rsid w:val="005B1711"/>
    <w:rsid w:val="005B2DA6"/>
    <w:rsid w:val="005D2A79"/>
    <w:rsid w:val="005D3100"/>
    <w:rsid w:val="005D4012"/>
    <w:rsid w:val="005D4E8C"/>
    <w:rsid w:val="005E019A"/>
    <w:rsid w:val="005E07B2"/>
    <w:rsid w:val="005E16D4"/>
    <w:rsid w:val="005F2893"/>
    <w:rsid w:val="00605613"/>
    <w:rsid w:val="00611CB1"/>
    <w:rsid w:val="006130E9"/>
    <w:rsid w:val="006176B1"/>
    <w:rsid w:val="00637B7C"/>
    <w:rsid w:val="0064295B"/>
    <w:rsid w:val="00643731"/>
    <w:rsid w:val="00645B5F"/>
    <w:rsid w:val="0064683B"/>
    <w:rsid w:val="006563B1"/>
    <w:rsid w:val="0066003A"/>
    <w:rsid w:val="00660366"/>
    <w:rsid w:val="00666C31"/>
    <w:rsid w:val="00670262"/>
    <w:rsid w:val="00672AC1"/>
    <w:rsid w:val="0067357B"/>
    <w:rsid w:val="006755EB"/>
    <w:rsid w:val="0068127A"/>
    <w:rsid w:val="0068151F"/>
    <w:rsid w:val="00683614"/>
    <w:rsid w:val="00693D34"/>
    <w:rsid w:val="00695F75"/>
    <w:rsid w:val="006A453F"/>
    <w:rsid w:val="006B105C"/>
    <w:rsid w:val="006B745E"/>
    <w:rsid w:val="006C567A"/>
    <w:rsid w:val="006C6941"/>
    <w:rsid w:val="006D5E33"/>
    <w:rsid w:val="006F4D75"/>
    <w:rsid w:val="00703988"/>
    <w:rsid w:val="00703999"/>
    <w:rsid w:val="007042E5"/>
    <w:rsid w:val="007078D9"/>
    <w:rsid w:val="007104D7"/>
    <w:rsid w:val="00712A68"/>
    <w:rsid w:val="007134BC"/>
    <w:rsid w:val="00715577"/>
    <w:rsid w:val="0071649F"/>
    <w:rsid w:val="00716910"/>
    <w:rsid w:val="007241C8"/>
    <w:rsid w:val="00730A4A"/>
    <w:rsid w:val="00746B58"/>
    <w:rsid w:val="00750135"/>
    <w:rsid w:val="00756D5A"/>
    <w:rsid w:val="00761747"/>
    <w:rsid w:val="00772969"/>
    <w:rsid w:val="007765F2"/>
    <w:rsid w:val="007768D3"/>
    <w:rsid w:val="00784DC3"/>
    <w:rsid w:val="0078610B"/>
    <w:rsid w:val="00787A1F"/>
    <w:rsid w:val="007914B7"/>
    <w:rsid w:val="007957C1"/>
    <w:rsid w:val="00795D64"/>
    <w:rsid w:val="00796140"/>
    <w:rsid w:val="007B473D"/>
    <w:rsid w:val="007B4760"/>
    <w:rsid w:val="007C5083"/>
    <w:rsid w:val="007F2A7E"/>
    <w:rsid w:val="007F61F0"/>
    <w:rsid w:val="007F7FC2"/>
    <w:rsid w:val="00801C91"/>
    <w:rsid w:val="00804A23"/>
    <w:rsid w:val="0080656F"/>
    <w:rsid w:val="00807C39"/>
    <w:rsid w:val="00821638"/>
    <w:rsid w:val="00824ACA"/>
    <w:rsid w:val="00825C64"/>
    <w:rsid w:val="00832098"/>
    <w:rsid w:val="00832359"/>
    <w:rsid w:val="00835918"/>
    <w:rsid w:val="00840503"/>
    <w:rsid w:val="00840705"/>
    <w:rsid w:val="00852DAB"/>
    <w:rsid w:val="00853F78"/>
    <w:rsid w:val="00854ADD"/>
    <w:rsid w:val="00860535"/>
    <w:rsid w:val="00861E52"/>
    <w:rsid w:val="008661F8"/>
    <w:rsid w:val="00867DB6"/>
    <w:rsid w:val="008850BC"/>
    <w:rsid w:val="008878AD"/>
    <w:rsid w:val="0089744A"/>
    <w:rsid w:val="008C3137"/>
    <w:rsid w:val="008D1967"/>
    <w:rsid w:val="008D369C"/>
    <w:rsid w:val="008D5E04"/>
    <w:rsid w:val="008D7B1D"/>
    <w:rsid w:val="008E09A0"/>
    <w:rsid w:val="008E1593"/>
    <w:rsid w:val="008E20AC"/>
    <w:rsid w:val="008E3D3F"/>
    <w:rsid w:val="008E4829"/>
    <w:rsid w:val="008F5F3C"/>
    <w:rsid w:val="00906B0C"/>
    <w:rsid w:val="00907481"/>
    <w:rsid w:val="0091039A"/>
    <w:rsid w:val="00912F8F"/>
    <w:rsid w:val="009142CE"/>
    <w:rsid w:val="00915482"/>
    <w:rsid w:val="00925F41"/>
    <w:rsid w:val="009340ED"/>
    <w:rsid w:val="00937E0D"/>
    <w:rsid w:val="00943450"/>
    <w:rsid w:val="009469F9"/>
    <w:rsid w:val="00950716"/>
    <w:rsid w:val="00950BD8"/>
    <w:rsid w:val="0095792D"/>
    <w:rsid w:val="009604A8"/>
    <w:rsid w:val="009618B2"/>
    <w:rsid w:val="0096447E"/>
    <w:rsid w:val="00966400"/>
    <w:rsid w:val="00986748"/>
    <w:rsid w:val="00995BCA"/>
    <w:rsid w:val="009A3621"/>
    <w:rsid w:val="009A712D"/>
    <w:rsid w:val="009B3483"/>
    <w:rsid w:val="009C728D"/>
    <w:rsid w:val="009C7B47"/>
    <w:rsid w:val="009D1946"/>
    <w:rsid w:val="009D4BC3"/>
    <w:rsid w:val="009E00EA"/>
    <w:rsid w:val="009E2F7E"/>
    <w:rsid w:val="009E4B55"/>
    <w:rsid w:val="009E5532"/>
    <w:rsid w:val="009E6E66"/>
    <w:rsid w:val="00A07574"/>
    <w:rsid w:val="00A10916"/>
    <w:rsid w:val="00A14FAD"/>
    <w:rsid w:val="00A15C39"/>
    <w:rsid w:val="00A1632C"/>
    <w:rsid w:val="00A227DF"/>
    <w:rsid w:val="00A401F9"/>
    <w:rsid w:val="00A42F8D"/>
    <w:rsid w:val="00A514C9"/>
    <w:rsid w:val="00A61F9B"/>
    <w:rsid w:val="00A675F8"/>
    <w:rsid w:val="00A717E1"/>
    <w:rsid w:val="00A73AAC"/>
    <w:rsid w:val="00A81AF4"/>
    <w:rsid w:val="00A8257B"/>
    <w:rsid w:val="00A84AF6"/>
    <w:rsid w:val="00A87A0E"/>
    <w:rsid w:val="00A9529C"/>
    <w:rsid w:val="00A975BE"/>
    <w:rsid w:val="00AA6056"/>
    <w:rsid w:val="00AB1EB3"/>
    <w:rsid w:val="00AB7F61"/>
    <w:rsid w:val="00AC4C77"/>
    <w:rsid w:val="00AC5A97"/>
    <w:rsid w:val="00AC7DA5"/>
    <w:rsid w:val="00AD5E8F"/>
    <w:rsid w:val="00AE13C0"/>
    <w:rsid w:val="00AF0494"/>
    <w:rsid w:val="00AF2307"/>
    <w:rsid w:val="00AF5BB1"/>
    <w:rsid w:val="00AF6720"/>
    <w:rsid w:val="00AF6BF3"/>
    <w:rsid w:val="00B018F9"/>
    <w:rsid w:val="00B1672F"/>
    <w:rsid w:val="00B200F2"/>
    <w:rsid w:val="00B25BB0"/>
    <w:rsid w:val="00B25F04"/>
    <w:rsid w:val="00B33875"/>
    <w:rsid w:val="00B33CBC"/>
    <w:rsid w:val="00B403B7"/>
    <w:rsid w:val="00B43B16"/>
    <w:rsid w:val="00B50669"/>
    <w:rsid w:val="00B5626B"/>
    <w:rsid w:val="00B569F5"/>
    <w:rsid w:val="00B61A2E"/>
    <w:rsid w:val="00B632C8"/>
    <w:rsid w:val="00B649CF"/>
    <w:rsid w:val="00B71EFD"/>
    <w:rsid w:val="00B852CE"/>
    <w:rsid w:val="00B87189"/>
    <w:rsid w:val="00B90D57"/>
    <w:rsid w:val="00B9794F"/>
    <w:rsid w:val="00BA27C2"/>
    <w:rsid w:val="00BB0229"/>
    <w:rsid w:val="00BB25BF"/>
    <w:rsid w:val="00BB289F"/>
    <w:rsid w:val="00BB5129"/>
    <w:rsid w:val="00BB5D61"/>
    <w:rsid w:val="00BB68D8"/>
    <w:rsid w:val="00BD32A9"/>
    <w:rsid w:val="00BD47B7"/>
    <w:rsid w:val="00BD5EE0"/>
    <w:rsid w:val="00BD6F8B"/>
    <w:rsid w:val="00BD766B"/>
    <w:rsid w:val="00BE1385"/>
    <w:rsid w:val="00BE38DF"/>
    <w:rsid w:val="00BE74F8"/>
    <w:rsid w:val="00BF10E0"/>
    <w:rsid w:val="00BF1F88"/>
    <w:rsid w:val="00BF5903"/>
    <w:rsid w:val="00C02EB9"/>
    <w:rsid w:val="00C0352D"/>
    <w:rsid w:val="00C038A4"/>
    <w:rsid w:val="00C04568"/>
    <w:rsid w:val="00C0463F"/>
    <w:rsid w:val="00C0763F"/>
    <w:rsid w:val="00C1155D"/>
    <w:rsid w:val="00C152E8"/>
    <w:rsid w:val="00C1655B"/>
    <w:rsid w:val="00C21623"/>
    <w:rsid w:val="00C26C95"/>
    <w:rsid w:val="00C30036"/>
    <w:rsid w:val="00C35031"/>
    <w:rsid w:val="00C7025D"/>
    <w:rsid w:val="00C770A8"/>
    <w:rsid w:val="00C91A84"/>
    <w:rsid w:val="00CA126F"/>
    <w:rsid w:val="00CB4FD8"/>
    <w:rsid w:val="00CD5B92"/>
    <w:rsid w:val="00CE0CFE"/>
    <w:rsid w:val="00CF47EA"/>
    <w:rsid w:val="00CF6BFF"/>
    <w:rsid w:val="00D10269"/>
    <w:rsid w:val="00D11B7E"/>
    <w:rsid w:val="00D131AC"/>
    <w:rsid w:val="00D14A2B"/>
    <w:rsid w:val="00D21EBF"/>
    <w:rsid w:val="00D31EEB"/>
    <w:rsid w:val="00D31FF9"/>
    <w:rsid w:val="00D36729"/>
    <w:rsid w:val="00D37F58"/>
    <w:rsid w:val="00D42F53"/>
    <w:rsid w:val="00D764C0"/>
    <w:rsid w:val="00D8116E"/>
    <w:rsid w:val="00D975D0"/>
    <w:rsid w:val="00D976C0"/>
    <w:rsid w:val="00DA598A"/>
    <w:rsid w:val="00DB0A23"/>
    <w:rsid w:val="00DD0BD1"/>
    <w:rsid w:val="00DD4B48"/>
    <w:rsid w:val="00DE0523"/>
    <w:rsid w:val="00DE23E7"/>
    <w:rsid w:val="00DE4977"/>
    <w:rsid w:val="00DE762A"/>
    <w:rsid w:val="00DF2442"/>
    <w:rsid w:val="00DF5C65"/>
    <w:rsid w:val="00E013CD"/>
    <w:rsid w:val="00E022EA"/>
    <w:rsid w:val="00E04828"/>
    <w:rsid w:val="00E20F57"/>
    <w:rsid w:val="00E2253D"/>
    <w:rsid w:val="00E2560D"/>
    <w:rsid w:val="00E26DD3"/>
    <w:rsid w:val="00E310C0"/>
    <w:rsid w:val="00E41E03"/>
    <w:rsid w:val="00E4394E"/>
    <w:rsid w:val="00E53E8C"/>
    <w:rsid w:val="00E565AA"/>
    <w:rsid w:val="00E57971"/>
    <w:rsid w:val="00E57F93"/>
    <w:rsid w:val="00E62989"/>
    <w:rsid w:val="00E632A3"/>
    <w:rsid w:val="00E7139E"/>
    <w:rsid w:val="00E733DC"/>
    <w:rsid w:val="00E8243B"/>
    <w:rsid w:val="00E86F07"/>
    <w:rsid w:val="00E875D6"/>
    <w:rsid w:val="00E95C91"/>
    <w:rsid w:val="00E975A8"/>
    <w:rsid w:val="00EB2323"/>
    <w:rsid w:val="00EC09D4"/>
    <w:rsid w:val="00EC412D"/>
    <w:rsid w:val="00ED0651"/>
    <w:rsid w:val="00ED2D5C"/>
    <w:rsid w:val="00ED4CB3"/>
    <w:rsid w:val="00EE4515"/>
    <w:rsid w:val="00EF7B74"/>
    <w:rsid w:val="00F07396"/>
    <w:rsid w:val="00F100D3"/>
    <w:rsid w:val="00F21348"/>
    <w:rsid w:val="00F32B4F"/>
    <w:rsid w:val="00F33BB0"/>
    <w:rsid w:val="00F42179"/>
    <w:rsid w:val="00F43117"/>
    <w:rsid w:val="00F45E43"/>
    <w:rsid w:val="00F5449B"/>
    <w:rsid w:val="00F5472E"/>
    <w:rsid w:val="00F54A91"/>
    <w:rsid w:val="00F60E1A"/>
    <w:rsid w:val="00F63A04"/>
    <w:rsid w:val="00F777F5"/>
    <w:rsid w:val="00F856B1"/>
    <w:rsid w:val="00F906F2"/>
    <w:rsid w:val="00F95569"/>
    <w:rsid w:val="00FA3D23"/>
    <w:rsid w:val="00FA6E5F"/>
    <w:rsid w:val="00FB1EAF"/>
    <w:rsid w:val="00FB4FCE"/>
    <w:rsid w:val="00FB7D8D"/>
    <w:rsid w:val="00FB7EE9"/>
    <w:rsid w:val="00FC0562"/>
    <w:rsid w:val="00FC0C96"/>
    <w:rsid w:val="00FD0FDC"/>
    <w:rsid w:val="00FD254F"/>
    <w:rsid w:val="00FF648E"/>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Courier 10cpi" w:hAnsi="Courier 10cpi"/>
      <w:szCs w:val="24"/>
    </w:rPr>
  </w:style>
  <w:style w:type="character" w:styleId="PageNumber">
    <w:name w:val="page number"/>
    <w:basedOn w:val="DefaultParagraphFont"/>
  </w:style>
  <w:style w:type="paragraph" w:styleId="Footer">
    <w:name w:val="footer"/>
    <w:basedOn w:val="Normal"/>
    <w:pPr>
      <w:tabs>
        <w:tab w:val="center" w:pos="4320"/>
        <w:tab w:val="right" w:pos="8640"/>
      </w:tabs>
      <w:autoSpaceDE w:val="0"/>
      <w:autoSpaceDN w:val="0"/>
      <w:adjustRightInd w:val="0"/>
    </w:pPr>
    <w:rPr>
      <w:rFonts w:ascii="Courier 10cpi" w:hAnsi="Courier 10cpi"/>
      <w:sz w:val="20"/>
      <w:szCs w:val="20"/>
    </w:rPr>
  </w:style>
  <w:style w:type="character" w:styleId="CommentReference">
    <w:name w:val="annotation reference"/>
    <w:semiHidden/>
    <w:rsid w:val="00DF5C65"/>
    <w:rPr>
      <w:sz w:val="16"/>
      <w:szCs w:val="16"/>
    </w:rPr>
  </w:style>
  <w:style w:type="paragraph" w:styleId="CommentText">
    <w:name w:val="annotation text"/>
    <w:basedOn w:val="Normal"/>
    <w:semiHidden/>
    <w:rsid w:val="00DF5C65"/>
    <w:rPr>
      <w:sz w:val="20"/>
      <w:szCs w:val="20"/>
    </w:rPr>
  </w:style>
  <w:style w:type="paragraph" w:styleId="CommentSubject">
    <w:name w:val="annotation subject"/>
    <w:basedOn w:val="CommentText"/>
    <w:next w:val="CommentText"/>
    <w:semiHidden/>
    <w:rsid w:val="00DF5C65"/>
    <w:rPr>
      <w:b/>
      <w:bCs/>
    </w:rPr>
  </w:style>
  <w:style w:type="paragraph" w:styleId="BalloonText">
    <w:name w:val="Balloon Text"/>
    <w:basedOn w:val="Normal"/>
    <w:semiHidden/>
    <w:rsid w:val="00DF5C65"/>
    <w:rPr>
      <w:rFonts w:ascii="Tahoma" w:hAnsi="Tahoma" w:cs="Tahoma"/>
      <w:sz w:val="16"/>
      <w:szCs w:val="16"/>
    </w:rPr>
  </w:style>
  <w:style w:type="paragraph" w:styleId="Header">
    <w:name w:val="header"/>
    <w:basedOn w:val="Normal"/>
    <w:rsid w:val="00DF5C65"/>
    <w:pPr>
      <w:tabs>
        <w:tab w:val="center" w:pos="4320"/>
        <w:tab w:val="right" w:pos="8640"/>
      </w:tabs>
    </w:pPr>
  </w:style>
  <w:style w:type="paragraph" w:styleId="NormalWeb">
    <w:name w:val="Normal (Web)"/>
    <w:basedOn w:val="Normal"/>
    <w:rsid w:val="007B4760"/>
    <w:pPr>
      <w:spacing w:before="100" w:beforeAutospacing="1" w:after="100" w:afterAutospacing="1"/>
    </w:pPr>
  </w:style>
  <w:style w:type="paragraph" w:styleId="Title">
    <w:name w:val="Title"/>
    <w:basedOn w:val="Normal"/>
    <w:qFormat/>
    <w:rsid w:val="00453920"/>
    <w:pPr>
      <w:widowControl w:val="0"/>
      <w:autoSpaceDE w:val="0"/>
      <w:autoSpaceDN w:val="0"/>
      <w:adjustRightInd w:val="0"/>
      <w:jc w:val="center"/>
    </w:pPr>
    <w:rPr>
      <w:rFonts w:ascii="Letter Gothic 12cpi" w:hAnsi="Letter Gothic 12cpi"/>
      <w:b/>
      <w:bCs/>
      <w:u w:val="single"/>
    </w:rPr>
  </w:style>
  <w:style w:type="paragraph" w:styleId="BodyText3">
    <w:name w:val="Body Text 3"/>
    <w:basedOn w:val="Normal"/>
    <w:rsid w:val="00056D40"/>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rFonts w:ascii="Letter Gothic 12cpi" w:hAnsi="Letter Gothic 12cpi"/>
      <w:color w:val="FF0000"/>
    </w:rPr>
  </w:style>
  <w:style w:type="paragraph" w:styleId="BodyText2">
    <w:name w:val="Body Text 2"/>
    <w:basedOn w:val="Normal"/>
    <w:rsid w:val="00056D40"/>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b/>
      <w:bCs/>
      <w:szCs w:val="20"/>
    </w:rPr>
  </w:style>
  <w:style w:type="paragraph" w:styleId="HTMLPreformatted">
    <w:name w:val="HTML Preformatted"/>
    <w:basedOn w:val="Normal"/>
    <w:rsid w:val="0071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styleId="Hyperlink">
    <w:name w:val="Hyperlink"/>
    <w:rsid w:val="0017290A"/>
    <w:rPr>
      <w:color w:val="0000FF"/>
      <w:u w:val="single"/>
    </w:rPr>
  </w:style>
  <w:style w:type="table" w:styleId="TableGrid">
    <w:name w:val="Table Grid"/>
    <w:basedOn w:val="TableNormal"/>
    <w:rsid w:val="009E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234"/>
    <w:pPr>
      <w:ind w:left="720"/>
    </w:pPr>
    <w:rPr>
      <w:rFonts w:ascii="Calibri" w:eastAsia="Calibri" w:hAnsi="Calibri"/>
      <w:sz w:val="22"/>
      <w:szCs w:val="22"/>
    </w:rPr>
  </w:style>
  <w:style w:type="paragraph" w:styleId="FootnoteText">
    <w:name w:val="footnote text"/>
    <w:basedOn w:val="Normal"/>
    <w:link w:val="FootnoteTextChar"/>
    <w:rsid w:val="00A73AAC"/>
    <w:rPr>
      <w:sz w:val="20"/>
      <w:szCs w:val="20"/>
    </w:rPr>
  </w:style>
  <w:style w:type="character" w:customStyle="1" w:styleId="FootnoteTextChar">
    <w:name w:val="Footnote Text Char"/>
    <w:basedOn w:val="DefaultParagraphFont"/>
    <w:link w:val="FootnoteText"/>
    <w:rsid w:val="00A73AAC"/>
  </w:style>
  <w:style w:type="character" w:styleId="FootnoteReference">
    <w:name w:val="footnote reference"/>
    <w:basedOn w:val="DefaultParagraphFont"/>
    <w:rsid w:val="00A73AAC"/>
    <w:rPr>
      <w:vertAlign w:val="superscript"/>
    </w:rPr>
  </w:style>
  <w:style w:type="character" w:customStyle="1" w:styleId="UnresolvedMention">
    <w:name w:val="Unresolved Mention"/>
    <w:basedOn w:val="DefaultParagraphFont"/>
    <w:uiPriority w:val="99"/>
    <w:semiHidden/>
    <w:unhideWhenUsed/>
    <w:rsid w:val="006B745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Courier 10cpi" w:hAnsi="Courier 10cpi"/>
      <w:szCs w:val="24"/>
    </w:rPr>
  </w:style>
  <w:style w:type="character" w:styleId="PageNumber">
    <w:name w:val="page number"/>
    <w:basedOn w:val="DefaultParagraphFont"/>
  </w:style>
  <w:style w:type="paragraph" w:styleId="Footer">
    <w:name w:val="footer"/>
    <w:basedOn w:val="Normal"/>
    <w:pPr>
      <w:tabs>
        <w:tab w:val="center" w:pos="4320"/>
        <w:tab w:val="right" w:pos="8640"/>
      </w:tabs>
      <w:autoSpaceDE w:val="0"/>
      <w:autoSpaceDN w:val="0"/>
      <w:adjustRightInd w:val="0"/>
    </w:pPr>
    <w:rPr>
      <w:rFonts w:ascii="Courier 10cpi" w:hAnsi="Courier 10cpi"/>
      <w:sz w:val="20"/>
      <w:szCs w:val="20"/>
    </w:rPr>
  </w:style>
  <w:style w:type="character" w:styleId="CommentReference">
    <w:name w:val="annotation reference"/>
    <w:semiHidden/>
    <w:rsid w:val="00DF5C65"/>
    <w:rPr>
      <w:sz w:val="16"/>
      <w:szCs w:val="16"/>
    </w:rPr>
  </w:style>
  <w:style w:type="paragraph" w:styleId="CommentText">
    <w:name w:val="annotation text"/>
    <w:basedOn w:val="Normal"/>
    <w:semiHidden/>
    <w:rsid w:val="00DF5C65"/>
    <w:rPr>
      <w:sz w:val="20"/>
      <w:szCs w:val="20"/>
    </w:rPr>
  </w:style>
  <w:style w:type="paragraph" w:styleId="CommentSubject">
    <w:name w:val="annotation subject"/>
    <w:basedOn w:val="CommentText"/>
    <w:next w:val="CommentText"/>
    <w:semiHidden/>
    <w:rsid w:val="00DF5C65"/>
    <w:rPr>
      <w:b/>
      <w:bCs/>
    </w:rPr>
  </w:style>
  <w:style w:type="paragraph" w:styleId="BalloonText">
    <w:name w:val="Balloon Text"/>
    <w:basedOn w:val="Normal"/>
    <w:semiHidden/>
    <w:rsid w:val="00DF5C65"/>
    <w:rPr>
      <w:rFonts w:ascii="Tahoma" w:hAnsi="Tahoma" w:cs="Tahoma"/>
      <w:sz w:val="16"/>
      <w:szCs w:val="16"/>
    </w:rPr>
  </w:style>
  <w:style w:type="paragraph" w:styleId="Header">
    <w:name w:val="header"/>
    <w:basedOn w:val="Normal"/>
    <w:rsid w:val="00DF5C65"/>
    <w:pPr>
      <w:tabs>
        <w:tab w:val="center" w:pos="4320"/>
        <w:tab w:val="right" w:pos="8640"/>
      </w:tabs>
    </w:pPr>
  </w:style>
  <w:style w:type="paragraph" w:styleId="NormalWeb">
    <w:name w:val="Normal (Web)"/>
    <w:basedOn w:val="Normal"/>
    <w:rsid w:val="007B4760"/>
    <w:pPr>
      <w:spacing w:before="100" w:beforeAutospacing="1" w:after="100" w:afterAutospacing="1"/>
    </w:pPr>
  </w:style>
  <w:style w:type="paragraph" w:styleId="Title">
    <w:name w:val="Title"/>
    <w:basedOn w:val="Normal"/>
    <w:qFormat/>
    <w:rsid w:val="00453920"/>
    <w:pPr>
      <w:widowControl w:val="0"/>
      <w:autoSpaceDE w:val="0"/>
      <w:autoSpaceDN w:val="0"/>
      <w:adjustRightInd w:val="0"/>
      <w:jc w:val="center"/>
    </w:pPr>
    <w:rPr>
      <w:rFonts w:ascii="Letter Gothic 12cpi" w:hAnsi="Letter Gothic 12cpi"/>
      <w:b/>
      <w:bCs/>
      <w:u w:val="single"/>
    </w:rPr>
  </w:style>
  <w:style w:type="paragraph" w:styleId="BodyText3">
    <w:name w:val="Body Text 3"/>
    <w:basedOn w:val="Normal"/>
    <w:rsid w:val="00056D40"/>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rFonts w:ascii="Letter Gothic 12cpi" w:hAnsi="Letter Gothic 12cpi"/>
      <w:color w:val="FF0000"/>
    </w:rPr>
  </w:style>
  <w:style w:type="paragraph" w:styleId="BodyText2">
    <w:name w:val="Body Text 2"/>
    <w:basedOn w:val="Normal"/>
    <w:rsid w:val="00056D40"/>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b/>
      <w:bCs/>
      <w:szCs w:val="20"/>
    </w:rPr>
  </w:style>
  <w:style w:type="paragraph" w:styleId="HTMLPreformatted">
    <w:name w:val="HTML Preformatted"/>
    <w:basedOn w:val="Normal"/>
    <w:rsid w:val="0071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styleId="Hyperlink">
    <w:name w:val="Hyperlink"/>
    <w:rsid w:val="0017290A"/>
    <w:rPr>
      <w:color w:val="0000FF"/>
      <w:u w:val="single"/>
    </w:rPr>
  </w:style>
  <w:style w:type="table" w:styleId="TableGrid">
    <w:name w:val="Table Grid"/>
    <w:basedOn w:val="TableNormal"/>
    <w:rsid w:val="009E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234"/>
    <w:pPr>
      <w:ind w:left="720"/>
    </w:pPr>
    <w:rPr>
      <w:rFonts w:ascii="Calibri" w:eastAsia="Calibri" w:hAnsi="Calibri"/>
      <w:sz w:val="22"/>
      <w:szCs w:val="22"/>
    </w:rPr>
  </w:style>
  <w:style w:type="paragraph" w:styleId="FootnoteText">
    <w:name w:val="footnote text"/>
    <w:basedOn w:val="Normal"/>
    <w:link w:val="FootnoteTextChar"/>
    <w:rsid w:val="00A73AAC"/>
    <w:rPr>
      <w:sz w:val="20"/>
      <w:szCs w:val="20"/>
    </w:rPr>
  </w:style>
  <w:style w:type="character" w:customStyle="1" w:styleId="FootnoteTextChar">
    <w:name w:val="Footnote Text Char"/>
    <w:basedOn w:val="DefaultParagraphFont"/>
    <w:link w:val="FootnoteText"/>
    <w:rsid w:val="00A73AAC"/>
  </w:style>
  <w:style w:type="character" w:styleId="FootnoteReference">
    <w:name w:val="footnote reference"/>
    <w:basedOn w:val="DefaultParagraphFont"/>
    <w:rsid w:val="00A73AAC"/>
    <w:rPr>
      <w:vertAlign w:val="superscript"/>
    </w:rPr>
  </w:style>
  <w:style w:type="character" w:customStyle="1" w:styleId="UnresolvedMention">
    <w:name w:val="Unresolved Mention"/>
    <w:basedOn w:val="DefaultParagraphFont"/>
    <w:uiPriority w:val="99"/>
    <w:semiHidden/>
    <w:unhideWhenUsed/>
    <w:rsid w:val="006B74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7591">
      <w:bodyDiv w:val="1"/>
      <w:marLeft w:val="0"/>
      <w:marRight w:val="0"/>
      <w:marTop w:val="0"/>
      <w:marBottom w:val="0"/>
      <w:divBdr>
        <w:top w:val="none" w:sz="0" w:space="0" w:color="auto"/>
        <w:left w:val="none" w:sz="0" w:space="0" w:color="auto"/>
        <w:bottom w:val="none" w:sz="0" w:space="0" w:color="auto"/>
        <w:right w:val="none" w:sz="0" w:space="0" w:color="auto"/>
      </w:divBdr>
    </w:div>
    <w:div w:id="828712450">
      <w:bodyDiv w:val="1"/>
      <w:marLeft w:val="30"/>
      <w:marRight w:val="30"/>
      <w:marTop w:val="0"/>
      <w:marBottom w:val="0"/>
      <w:divBdr>
        <w:top w:val="none" w:sz="0" w:space="0" w:color="auto"/>
        <w:left w:val="none" w:sz="0" w:space="0" w:color="auto"/>
        <w:bottom w:val="none" w:sz="0" w:space="0" w:color="auto"/>
        <w:right w:val="none" w:sz="0" w:space="0" w:color="auto"/>
      </w:divBdr>
      <w:divsChild>
        <w:div w:id="206721697">
          <w:marLeft w:val="0"/>
          <w:marRight w:val="0"/>
          <w:marTop w:val="0"/>
          <w:marBottom w:val="0"/>
          <w:divBdr>
            <w:top w:val="none" w:sz="0" w:space="0" w:color="auto"/>
            <w:left w:val="none" w:sz="0" w:space="0" w:color="auto"/>
            <w:bottom w:val="none" w:sz="0" w:space="0" w:color="auto"/>
            <w:right w:val="none" w:sz="0" w:space="0" w:color="auto"/>
          </w:divBdr>
          <w:divsChild>
            <w:div w:id="1078136123">
              <w:marLeft w:val="0"/>
              <w:marRight w:val="0"/>
              <w:marTop w:val="0"/>
              <w:marBottom w:val="0"/>
              <w:divBdr>
                <w:top w:val="none" w:sz="0" w:space="0" w:color="auto"/>
                <w:left w:val="none" w:sz="0" w:space="0" w:color="auto"/>
                <w:bottom w:val="none" w:sz="0" w:space="0" w:color="auto"/>
                <w:right w:val="none" w:sz="0" w:space="0" w:color="auto"/>
              </w:divBdr>
              <w:divsChild>
                <w:div w:id="2000888085">
                  <w:marLeft w:val="180"/>
                  <w:marRight w:val="0"/>
                  <w:marTop w:val="0"/>
                  <w:marBottom w:val="0"/>
                  <w:divBdr>
                    <w:top w:val="none" w:sz="0" w:space="0" w:color="auto"/>
                    <w:left w:val="none" w:sz="0" w:space="0" w:color="auto"/>
                    <w:bottom w:val="none" w:sz="0" w:space="0" w:color="auto"/>
                    <w:right w:val="none" w:sz="0" w:space="0" w:color="auto"/>
                  </w:divBdr>
                  <w:divsChild>
                    <w:div w:id="10557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5443">
          <w:marLeft w:val="0"/>
          <w:marRight w:val="0"/>
          <w:marTop w:val="0"/>
          <w:marBottom w:val="0"/>
          <w:divBdr>
            <w:top w:val="none" w:sz="0" w:space="0" w:color="auto"/>
            <w:left w:val="none" w:sz="0" w:space="0" w:color="auto"/>
            <w:bottom w:val="none" w:sz="0" w:space="0" w:color="auto"/>
            <w:right w:val="none" w:sz="0" w:space="0" w:color="auto"/>
          </w:divBdr>
          <w:divsChild>
            <w:div w:id="2127039275">
              <w:marLeft w:val="0"/>
              <w:marRight w:val="0"/>
              <w:marTop w:val="0"/>
              <w:marBottom w:val="0"/>
              <w:divBdr>
                <w:top w:val="none" w:sz="0" w:space="0" w:color="auto"/>
                <w:left w:val="none" w:sz="0" w:space="0" w:color="auto"/>
                <w:bottom w:val="none" w:sz="0" w:space="0" w:color="auto"/>
                <w:right w:val="none" w:sz="0" w:space="0" w:color="auto"/>
              </w:divBdr>
              <w:divsChild>
                <w:div w:id="929192402">
                  <w:marLeft w:val="180"/>
                  <w:marRight w:val="0"/>
                  <w:marTop w:val="0"/>
                  <w:marBottom w:val="0"/>
                  <w:divBdr>
                    <w:top w:val="none" w:sz="0" w:space="0" w:color="auto"/>
                    <w:left w:val="none" w:sz="0" w:space="0" w:color="auto"/>
                    <w:bottom w:val="none" w:sz="0" w:space="0" w:color="auto"/>
                    <w:right w:val="none" w:sz="0" w:space="0" w:color="auto"/>
                  </w:divBdr>
                  <w:divsChild>
                    <w:div w:id="21136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385">
          <w:marLeft w:val="0"/>
          <w:marRight w:val="0"/>
          <w:marTop w:val="0"/>
          <w:marBottom w:val="0"/>
          <w:divBdr>
            <w:top w:val="none" w:sz="0" w:space="0" w:color="auto"/>
            <w:left w:val="none" w:sz="0" w:space="0" w:color="auto"/>
            <w:bottom w:val="none" w:sz="0" w:space="0" w:color="auto"/>
            <w:right w:val="none" w:sz="0" w:space="0" w:color="auto"/>
          </w:divBdr>
          <w:divsChild>
            <w:div w:id="641423169">
              <w:marLeft w:val="0"/>
              <w:marRight w:val="0"/>
              <w:marTop w:val="0"/>
              <w:marBottom w:val="0"/>
              <w:divBdr>
                <w:top w:val="none" w:sz="0" w:space="0" w:color="auto"/>
                <w:left w:val="none" w:sz="0" w:space="0" w:color="auto"/>
                <w:bottom w:val="none" w:sz="0" w:space="0" w:color="auto"/>
                <w:right w:val="none" w:sz="0" w:space="0" w:color="auto"/>
              </w:divBdr>
              <w:divsChild>
                <w:div w:id="1568950832">
                  <w:marLeft w:val="180"/>
                  <w:marRight w:val="0"/>
                  <w:marTop w:val="0"/>
                  <w:marBottom w:val="0"/>
                  <w:divBdr>
                    <w:top w:val="none" w:sz="0" w:space="0" w:color="auto"/>
                    <w:left w:val="none" w:sz="0" w:space="0" w:color="auto"/>
                    <w:bottom w:val="none" w:sz="0" w:space="0" w:color="auto"/>
                    <w:right w:val="none" w:sz="0" w:space="0" w:color="auto"/>
                  </w:divBdr>
                  <w:divsChild>
                    <w:div w:id="17728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7426">
      <w:bodyDiv w:val="1"/>
      <w:marLeft w:val="0"/>
      <w:marRight w:val="0"/>
      <w:marTop w:val="0"/>
      <w:marBottom w:val="0"/>
      <w:divBdr>
        <w:top w:val="none" w:sz="0" w:space="0" w:color="auto"/>
        <w:left w:val="none" w:sz="0" w:space="0" w:color="auto"/>
        <w:bottom w:val="none" w:sz="0" w:space="0" w:color="auto"/>
        <w:right w:val="none" w:sz="0" w:space="0" w:color="auto"/>
      </w:divBdr>
    </w:div>
    <w:div w:id="893613887">
      <w:bodyDiv w:val="1"/>
      <w:marLeft w:val="0"/>
      <w:marRight w:val="0"/>
      <w:marTop w:val="0"/>
      <w:marBottom w:val="0"/>
      <w:divBdr>
        <w:top w:val="none" w:sz="0" w:space="0" w:color="auto"/>
        <w:left w:val="none" w:sz="0" w:space="0" w:color="auto"/>
        <w:bottom w:val="none" w:sz="0" w:space="0" w:color="auto"/>
        <w:right w:val="none" w:sz="0" w:space="0" w:color="auto"/>
      </w:divBdr>
    </w:div>
    <w:div w:id="1682508295">
      <w:bodyDiv w:val="1"/>
      <w:marLeft w:val="0"/>
      <w:marRight w:val="0"/>
      <w:marTop w:val="0"/>
      <w:marBottom w:val="0"/>
      <w:divBdr>
        <w:top w:val="none" w:sz="0" w:space="0" w:color="auto"/>
        <w:left w:val="none" w:sz="0" w:space="0" w:color="auto"/>
        <w:bottom w:val="none" w:sz="0" w:space="0" w:color="auto"/>
        <w:right w:val="none" w:sz="0" w:space="0" w:color="auto"/>
      </w:divBdr>
    </w:div>
    <w:div w:id="16949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3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1A18-F4FD-43A9-816F-7D5951D2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Hazardous Materials Public Sector Training and Planning Grants</vt:lpstr>
    </vt:vector>
  </TitlesOfParts>
  <Company>USDOT</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Public Sector Training and Planning Grants</dc:title>
  <dc:subject/>
  <dc:creator>Foster, T. Glenn</dc:creator>
  <cp:keywords/>
  <cp:lastModifiedBy>SYSTEM</cp:lastModifiedBy>
  <cp:revision>2</cp:revision>
  <cp:lastPrinted>2011-03-30T16:18:00Z</cp:lastPrinted>
  <dcterms:created xsi:type="dcterms:W3CDTF">2019-06-03T18:08:00Z</dcterms:created>
  <dcterms:modified xsi:type="dcterms:W3CDTF">2019-06-03T18:08:00Z</dcterms:modified>
</cp:coreProperties>
</file>