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80" w:rsidRPr="00974980" w:rsidRDefault="00974980" w:rsidP="00711C9B">
      <w:pPr>
        <w:keepNext/>
        <w:ind w:left="720" w:hanging="720"/>
        <w:jc w:val="center"/>
        <w:rPr>
          <w:b/>
        </w:rPr>
      </w:pPr>
      <w:bookmarkStart w:id="0" w:name="_GoBack"/>
      <w:bookmarkEnd w:id="0"/>
      <w:r w:rsidRPr="00974980">
        <w:rPr>
          <w:b/>
        </w:rPr>
        <w:t xml:space="preserve">SUPPORTING STATEMENT FOR </w:t>
      </w:r>
    </w:p>
    <w:p w:rsidR="00974980" w:rsidRPr="00974980" w:rsidRDefault="00974980" w:rsidP="00974980">
      <w:pPr>
        <w:keepNext/>
        <w:ind w:left="720" w:hanging="720"/>
        <w:jc w:val="center"/>
        <w:rPr>
          <w:b/>
        </w:rPr>
      </w:pPr>
      <w:r w:rsidRPr="00974980">
        <w:rPr>
          <w:b/>
        </w:rPr>
        <w:t>OMB CONTROL NUMBER 3038-0009</w:t>
      </w:r>
    </w:p>
    <w:p w:rsidR="00974980" w:rsidRDefault="00974980">
      <w:pPr>
        <w:keepNext/>
        <w:ind w:left="720" w:hanging="720"/>
        <w:rPr>
          <w:b/>
        </w:rPr>
      </w:pPr>
    </w:p>
    <w:p w:rsidR="00974980" w:rsidRDefault="00974980">
      <w:pPr>
        <w:keepNext/>
        <w:ind w:left="720" w:hanging="720"/>
        <w:rPr>
          <w:b/>
        </w:rPr>
      </w:pPr>
    </w:p>
    <w:p w:rsidR="001B7CDB" w:rsidRDefault="001B7CDB" w:rsidP="00466411">
      <w:pPr>
        <w:keepNext/>
        <w:ind w:left="720" w:hanging="720"/>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66411" w:rsidRDefault="00466411">
      <w:pPr>
        <w:keepNext/>
        <w:ind w:left="720" w:hanging="720"/>
        <w:rPr>
          <w:b/>
        </w:rPr>
      </w:pPr>
    </w:p>
    <w:p w:rsidR="00B36D2A" w:rsidRDefault="001A6998" w:rsidP="00B36D2A">
      <w:pPr>
        <w:keepNext/>
        <w:ind w:left="720" w:hanging="720"/>
        <w:jc w:val="both"/>
      </w:pPr>
      <w:r>
        <w:tab/>
        <w:t xml:space="preserve">The reporting rules covered by OMB </w:t>
      </w:r>
      <w:r w:rsidR="00B36D2A">
        <w:t>Control N</w:t>
      </w:r>
      <w:r>
        <w:t>umber 3038-0009</w:t>
      </w:r>
      <w:r w:rsidR="00B36D2A">
        <w:t xml:space="preserve"> (“the Collection”)</w:t>
      </w:r>
      <w:r>
        <w:t xml:space="preserve"> are structured to ensure the Commission receives adequate information to carry out its market and financial surveillance programs.</w:t>
      </w:r>
      <w:r w:rsidR="00B36D2A" w:rsidRPr="00974980">
        <w:rPr>
          <w:vertAlign w:val="superscript"/>
        </w:rPr>
        <w:footnoteReference w:id="1"/>
      </w:r>
      <w:r>
        <w:t xml:space="preserve"> </w:t>
      </w:r>
      <w:r w:rsidR="0066679A">
        <w:t xml:space="preserve"> </w:t>
      </w:r>
      <w:r w:rsidR="00B36D2A" w:rsidRPr="00974980">
        <w:t>The reporting rules are implemented by the Commission partly pursuant to the authority of sections 4a, 4c(b), 4g, and 4i of the Com</w:t>
      </w:r>
      <w:r w:rsidR="00B36D2A">
        <w:t>modity Exchange Act</w:t>
      </w:r>
      <w:r w:rsidR="00B36D2A" w:rsidRPr="00974980">
        <w:t>.</w:t>
      </w:r>
      <w:r w:rsidR="00B36D2A" w:rsidRPr="00974980">
        <w:rPr>
          <w:vertAlign w:val="superscript"/>
        </w:rPr>
        <w:footnoteReference w:id="2"/>
      </w:r>
      <w:r w:rsidR="00B36D2A" w:rsidRPr="00974980">
        <w:t xml:space="preserve">  Section 4a of the Act permits the Commission to set, approve exchange-set, and enforce speculative position limits.</w:t>
      </w:r>
      <w:r w:rsidR="00B36D2A" w:rsidRPr="00974980">
        <w:rPr>
          <w:vertAlign w:val="superscript"/>
        </w:rPr>
        <w:footnoteReference w:id="3"/>
      </w:r>
      <w:r w:rsidR="00B36D2A" w:rsidRPr="00974980">
        <w:t xml:space="preserve">  Section 4c(b) of the Act gives the Commission plenary authority to regulate transactions that involve commodity options.</w:t>
      </w:r>
      <w:r w:rsidR="00B36D2A" w:rsidRPr="00974980">
        <w:rPr>
          <w:vertAlign w:val="superscript"/>
        </w:rPr>
        <w:footnoteReference w:id="4"/>
      </w:r>
      <w:r w:rsidR="00B36D2A" w:rsidRPr="00974980">
        <w:t xml:space="preserve">  Section 4g of the Act imposes reporting and recordkeeping obligations on registered entities, and requires each registrant, whether a futures commission merchant (FCM), introducing broker, floor broker, or floor trader, to file such reports as the Commission may require on proprietary and customer positions executed on any board of trade in the United States or elsewhere.</w:t>
      </w:r>
      <w:r w:rsidR="00B36D2A" w:rsidRPr="00974980">
        <w:rPr>
          <w:vertAlign w:val="superscript"/>
        </w:rPr>
        <w:footnoteReference w:id="5"/>
      </w:r>
      <w:r w:rsidR="00B36D2A" w:rsidRPr="00974980">
        <w:t xml:space="preserve">  Lastly, section 4i of the Act requires the filing of such reports as the Commission may require when positions made or obtained on </w:t>
      </w:r>
      <w:r w:rsidR="00B36D2A">
        <w:t xml:space="preserve">designated </w:t>
      </w:r>
      <w:r w:rsidR="00B36D2A" w:rsidRPr="00974980">
        <w:t xml:space="preserve">contract markets or </w:t>
      </w:r>
      <w:r w:rsidR="00B36D2A">
        <w:t xml:space="preserve">derivatives transaction execution facilities </w:t>
      </w:r>
      <w:r w:rsidR="00B36D2A" w:rsidRPr="00974980">
        <w:t>equal or exceed Commission-set levels.</w:t>
      </w:r>
      <w:r w:rsidR="00B36D2A" w:rsidRPr="00974980">
        <w:rPr>
          <w:vertAlign w:val="superscript"/>
        </w:rPr>
        <w:footnoteReference w:id="6"/>
      </w:r>
      <w:r w:rsidR="00B36D2A">
        <w:t xml:space="preserve"> </w:t>
      </w:r>
    </w:p>
    <w:p w:rsidR="001A6998" w:rsidRPr="00B36D2A" w:rsidRDefault="00B36D2A" w:rsidP="00B36D2A">
      <w:pPr>
        <w:keepNext/>
        <w:ind w:left="720"/>
        <w:jc w:val="both"/>
      </w:pPr>
      <w:r>
        <w:lastRenderedPageBreak/>
        <w:t xml:space="preserve"> </w:t>
      </w:r>
    </w:p>
    <w:p w:rsidR="001A6998" w:rsidRDefault="001A6998" w:rsidP="00895DE3">
      <w:pPr>
        <w:keepNext/>
        <w:ind w:left="720" w:hanging="720"/>
        <w:jc w:val="both"/>
      </w:pPr>
    </w:p>
    <w:p w:rsidR="001B7CDB" w:rsidRDefault="001B7CDB">
      <w:pPr>
        <w:keepNext/>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1B7CDB" w:rsidRDefault="001B7CDB">
      <w:pPr>
        <w:ind w:firstLine="720"/>
      </w:pPr>
    </w:p>
    <w:p w:rsidR="001B7CDB" w:rsidRDefault="00974980" w:rsidP="002D4316">
      <w:pPr>
        <w:ind w:left="720"/>
        <w:jc w:val="both"/>
      </w:pPr>
      <w:r w:rsidRPr="00974980">
        <w:t>The Commission employs a comprehensive reporting system to enforce speculative position limits and asse</w:t>
      </w:r>
      <w:r w:rsidR="003006FB">
        <w:t xml:space="preserve">ss the activities and </w:t>
      </w:r>
      <w:r w:rsidRPr="00974980">
        <w:t>market power of traders</w:t>
      </w:r>
      <w:r w:rsidR="00BB7711">
        <w:t xml:space="preserve"> in an effort to detect and deter manipulation of its jurisdictional markets</w:t>
      </w:r>
      <w:r w:rsidRPr="00974980">
        <w:t xml:space="preserve">.  </w:t>
      </w:r>
      <w:r w:rsidR="001B7CDB">
        <w:t xml:space="preserve">The information </w:t>
      </w:r>
      <w:r w:rsidR="00466411">
        <w:t xml:space="preserve">collected </w:t>
      </w:r>
      <w:r w:rsidR="001B7CDB">
        <w:t xml:space="preserve">is used primarily by </w:t>
      </w:r>
      <w:r w:rsidR="00BB7711">
        <w:t xml:space="preserve">analysts </w:t>
      </w:r>
      <w:r w:rsidR="001B7CDB">
        <w:t xml:space="preserve">in the surveillance section of the Division of Market Oversight for </w:t>
      </w:r>
      <w:r>
        <w:t xml:space="preserve">daily </w:t>
      </w:r>
      <w:r w:rsidR="001B7CDB">
        <w:t>market surveillance and the enforcement of speculative position limits.  In addition, information on large tra</w:t>
      </w:r>
      <w:r>
        <w:t xml:space="preserve">ders is provided on a case-by-case </w:t>
      </w:r>
      <w:r w:rsidR="001B7CDB">
        <w:t>basis to representatives of the Department of Agriculture, the Department of the Treasury, the Federal Reserve</w:t>
      </w:r>
      <w:r>
        <w:t>,</w:t>
      </w:r>
      <w:r w:rsidR="001B7CDB">
        <w:t xml:space="preserve"> and </w:t>
      </w:r>
      <w:r>
        <w:t>the C</w:t>
      </w:r>
      <w:r w:rsidR="001B7CDB">
        <w:t>ommittees of Congress.  The data also provides a basis for periodic Commission publications and is used by Commission economists and universities for research projects.</w:t>
      </w:r>
    </w:p>
    <w:p w:rsidR="001B7CDB" w:rsidRDefault="001B7CDB">
      <w:pPr>
        <w:keepNext/>
        <w:ind w:left="720" w:hanging="720"/>
        <w:rPr>
          <w:b/>
        </w:rPr>
      </w:pPr>
    </w:p>
    <w:p w:rsidR="001B7CDB" w:rsidRDefault="001B7CDB">
      <w:pPr>
        <w:keepNext/>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B7CDB" w:rsidRDefault="001B7CDB">
      <w:pPr>
        <w:ind w:firstLine="720"/>
      </w:pPr>
    </w:p>
    <w:p w:rsidR="001B7CDB" w:rsidRDefault="00474A87" w:rsidP="002D4316">
      <w:pPr>
        <w:ind w:left="720"/>
        <w:jc w:val="both"/>
      </w:pPr>
      <w:r>
        <w:t xml:space="preserve">Reports and information are submitted electronically either directly through electronic links to the Commission’s information systems or through electronic mail or by facsimile. </w:t>
      </w:r>
    </w:p>
    <w:p w:rsidR="001B7CDB" w:rsidRDefault="001B7CDB">
      <w:pPr>
        <w:keepNext/>
        <w:ind w:left="720" w:hanging="720"/>
        <w:rPr>
          <w:b/>
        </w:rPr>
      </w:pPr>
    </w:p>
    <w:p w:rsidR="001B7CDB" w:rsidRDefault="001B7CDB">
      <w:pPr>
        <w:keepNext/>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1B7CDB" w:rsidRDefault="001B7CDB">
      <w:pPr>
        <w:ind w:firstLine="720"/>
      </w:pPr>
    </w:p>
    <w:p w:rsidR="008A33D8" w:rsidRDefault="004E3B12" w:rsidP="002D4316">
      <w:pPr>
        <w:ind w:left="720"/>
        <w:jc w:val="both"/>
        <w:rPr>
          <w:bCs/>
          <w:iCs/>
        </w:rPr>
      </w:pPr>
      <w:r>
        <w:t>T</w:t>
      </w:r>
      <w:r w:rsidR="001B7CDB">
        <w:t>he Commission</w:t>
      </w:r>
      <w:r>
        <w:t>’s reporting rules are partially duplicative of the reporting requirement</w:t>
      </w:r>
      <w:r w:rsidR="00643909">
        <w:t xml:space="preserve">s of the regulated markets. </w:t>
      </w:r>
      <w:r w:rsidR="0066679A">
        <w:t xml:space="preserve"> </w:t>
      </w:r>
      <w:r>
        <w:t>It must be noted that t</w:t>
      </w:r>
      <w:r w:rsidR="001B7CDB">
        <w:t xml:space="preserve">he Commission, </w:t>
      </w:r>
      <w:r>
        <w:t xml:space="preserve">and the regulated markets, </w:t>
      </w:r>
      <w:r w:rsidR="001B7CDB">
        <w:t>each have separate s</w:t>
      </w:r>
      <w:r w:rsidR="008D1791">
        <w:t xml:space="preserve">tatutory mandates </w:t>
      </w:r>
      <w:r>
        <w:t>to establish and operate compre</w:t>
      </w:r>
      <w:r w:rsidR="00643909">
        <w:t xml:space="preserve">hensive surveillance programs. </w:t>
      </w:r>
      <w:r w:rsidR="0066679A">
        <w:t xml:space="preserve"> </w:t>
      </w:r>
      <w:r>
        <w:t>Although partially duplicative of the efforts of the regulated markets, the Commission’s surveillance programs, as instituted pursuant to the reporting rules, permits the Commission</w:t>
      </w:r>
      <w:r w:rsidR="00E0387E">
        <w:t>, among other things,</w:t>
      </w:r>
      <w:r>
        <w:t xml:space="preserve"> to </w:t>
      </w:r>
      <w:r w:rsidR="00E0387E">
        <w:t xml:space="preserve">independently set reporting requirements, </w:t>
      </w:r>
      <w:r>
        <w:t xml:space="preserve">surveil the activities of traders </w:t>
      </w:r>
      <w:r w:rsidR="00E0387E">
        <w:t>across different markets on a daily basis</w:t>
      </w:r>
      <w:r w:rsidR="00643909">
        <w:t xml:space="preserve">, and </w:t>
      </w:r>
      <w:r w:rsidR="003369DD">
        <w:t>verify the accuracy of the information submitted by the various regulated markets</w:t>
      </w:r>
      <w:r w:rsidR="00CA6719">
        <w:t>,</w:t>
      </w:r>
      <w:r w:rsidR="003369DD">
        <w:t xml:space="preserve"> in order to fulfill its oversight responsibility of those exchanges. </w:t>
      </w:r>
      <w:r w:rsidR="0066679A">
        <w:t xml:space="preserve"> </w:t>
      </w:r>
      <w:r w:rsidR="001B7CDB">
        <w:t xml:space="preserve">In view of this, the Commission has determined </w:t>
      </w:r>
      <w:r w:rsidR="00E0387E">
        <w:t>to maintain an independent reporting framework.</w:t>
      </w:r>
    </w:p>
    <w:p w:rsidR="001B7CDB" w:rsidRDefault="001B7CDB">
      <w:pPr>
        <w:keepNext/>
        <w:ind w:left="720" w:hanging="720"/>
        <w:rPr>
          <w:b/>
        </w:rPr>
      </w:pPr>
    </w:p>
    <w:p w:rsidR="001B7CDB" w:rsidRDefault="001B7CDB">
      <w:pPr>
        <w:keepNext/>
        <w:ind w:left="720" w:hanging="720"/>
        <w:rPr>
          <w:b/>
        </w:rPr>
      </w:pPr>
      <w:r>
        <w:rPr>
          <w:b/>
        </w:rPr>
        <w:t>5.</w:t>
      </w:r>
      <w:r>
        <w:rPr>
          <w:b/>
        </w:rPr>
        <w:tab/>
        <w:t>If the collection of information involves small business or other small entities (Item 5 of OMB From 83-I), describe the methods used to minimize burden.</w:t>
      </w:r>
    </w:p>
    <w:p w:rsidR="001B7CDB" w:rsidRDefault="001B7CDB">
      <w:pPr>
        <w:ind w:firstLine="720"/>
      </w:pPr>
    </w:p>
    <w:p w:rsidR="001B7CDB" w:rsidRDefault="001B7CDB">
      <w:pPr>
        <w:ind w:firstLine="720"/>
      </w:pPr>
      <w:r>
        <w:t>The information collection does not involve small organizations.</w:t>
      </w:r>
    </w:p>
    <w:p w:rsidR="001B7CDB" w:rsidRDefault="001B7CDB">
      <w:pPr>
        <w:keepNext/>
        <w:ind w:left="720" w:hanging="720"/>
        <w:rPr>
          <w:b/>
        </w:rPr>
      </w:pPr>
    </w:p>
    <w:p w:rsidR="001B7CDB" w:rsidRDefault="001B7CDB">
      <w:pPr>
        <w:keepNext/>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FC4225" w:rsidRDefault="00FC4225">
      <w:pPr>
        <w:ind w:left="720"/>
      </w:pPr>
    </w:p>
    <w:p w:rsidR="00B70B66" w:rsidRDefault="00E30A72" w:rsidP="0066679A">
      <w:pPr>
        <w:keepNext/>
        <w:ind w:left="720" w:hanging="720"/>
        <w:jc w:val="both"/>
      </w:pPr>
      <w:r>
        <w:tab/>
      </w:r>
      <w:r w:rsidRPr="00E30A72">
        <w:t xml:space="preserve">The Commission would not be able to </w:t>
      </w:r>
      <w:r w:rsidR="003369DD">
        <w:t>conduct</w:t>
      </w:r>
      <w:r w:rsidR="003369DD" w:rsidRPr="00E30A72">
        <w:t xml:space="preserve"> </w:t>
      </w:r>
      <w:r w:rsidRPr="00E30A72">
        <w:t xml:space="preserve">its oversight responsibilities for these markets.  The </w:t>
      </w:r>
      <w:r w:rsidR="003369DD">
        <w:t>C</w:t>
      </w:r>
      <w:r w:rsidR="003369DD" w:rsidRPr="00E30A72">
        <w:t xml:space="preserve">ollection </w:t>
      </w:r>
      <w:r w:rsidRPr="00E30A72">
        <w:t xml:space="preserve">requirements are essential to </w:t>
      </w:r>
      <w:r w:rsidR="003369DD">
        <w:t xml:space="preserve">executing </w:t>
      </w:r>
      <w:r w:rsidRPr="00E30A72">
        <w:t xml:space="preserve">the Commission’s mission </w:t>
      </w:r>
      <w:r w:rsidR="00B70B66" w:rsidRPr="00B70B66">
        <w:t>to foster open, transparent, competitive, and financially sound markets, to avoid systemic risk, and to protect the market users and their funds, consumers, and the public from fraud, manipulation, and abusive practices related to derivatives and other products that are subject to the Commodity Exchange Act.</w:t>
      </w:r>
      <w:r w:rsidR="00B70B66" w:rsidRPr="00B70B66" w:rsidDel="00B70B66">
        <w:t xml:space="preserve"> </w:t>
      </w:r>
      <w:r w:rsidRPr="00E30A72">
        <w:t xml:space="preserve">  </w:t>
      </w:r>
    </w:p>
    <w:p w:rsidR="00B70B66" w:rsidRDefault="00B70B66" w:rsidP="0066679A">
      <w:pPr>
        <w:keepNext/>
        <w:ind w:left="720" w:hanging="720"/>
        <w:jc w:val="both"/>
      </w:pPr>
    </w:p>
    <w:p w:rsidR="00E30A72" w:rsidRDefault="00E30A72" w:rsidP="0066679A">
      <w:pPr>
        <w:keepNext/>
        <w:ind w:left="720"/>
        <w:jc w:val="both"/>
      </w:pPr>
      <w:r w:rsidRPr="00E30A72">
        <w:t>Market activities require surveillance on a daily basis because situations such as attempted manipulation</w:t>
      </w:r>
      <w:r w:rsidR="008D1791">
        <w:t>s</w:t>
      </w:r>
      <w:r w:rsidRPr="00E30A72">
        <w:t xml:space="preserve"> or congestion can develop rapidly.  Adequate surveillance would be impossible if </w:t>
      </w:r>
      <w:r w:rsidR="008D1791">
        <w:t xml:space="preserve">transactional and position </w:t>
      </w:r>
      <w:r w:rsidRPr="00E30A72">
        <w:t>reports were received on less than a daily basis.</w:t>
      </w:r>
    </w:p>
    <w:p w:rsidR="001B7CDB" w:rsidRDefault="001B7CDB">
      <w:pPr>
        <w:keepNext/>
        <w:ind w:left="720" w:hanging="720"/>
        <w:rPr>
          <w:b/>
        </w:rPr>
      </w:pPr>
    </w:p>
    <w:p w:rsidR="001B7CDB" w:rsidRDefault="001B7CDB" w:rsidP="00E0387E">
      <w:pPr>
        <w:keepNext/>
        <w:ind w:left="720" w:hanging="720"/>
        <w:rPr>
          <w:b/>
        </w:rPr>
      </w:pPr>
      <w:r>
        <w:rPr>
          <w:b/>
        </w:rPr>
        <w:t>7.</w:t>
      </w:r>
      <w:r>
        <w:rPr>
          <w:b/>
        </w:rPr>
        <w:tab/>
        <w:t>Explain any special circumstances that require the collection to be conducted in a manner:</w:t>
      </w:r>
    </w:p>
    <w:p w:rsidR="00E0387E" w:rsidRDefault="00E0387E" w:rsidP="00E0387E">
      <w:pPr>
        <w:keepNext/>
        <w:ind w:left="720" w:hanging="720"/>
        <w:rPr>
          <w:b/>
        </w:rPr>
      </w:pPr>
    </w:p>
    <w:p w:rsidR="00FC4225" w:rsidRDefault="001B7CDB" w:rsidP="00E30A72">
      <w:pPr>
        <w:keepNext/>
        <w:numPr>
          <w:ilvl w:val="0"/>
          <w:numId w:val="2"/>
        </w:numPr>
        <w:tabs>
          <w:tab w:val="num" w:pos="1440"/>
        </w:tabs>
        <w:ind w:left="1440"/>
        <w:rPr>
          <w:b/>
        </w:rPr>
      </w:pPr>
      <w:r>
        <w:rPr>
          <w:b/>
        </w:rPr>
        <w:t>Requiring respondents to report information to the agency more often than quarterly.</w:t>
      </w:r>
    </w:p>
    <w:p w:rsidR="00FC4225" w:rsidRDefault="00FC4225" w:rsidP="00FC4225">
      <w:pPr>
        <w:keepNext/>
        <w:ind w:left="720"/>
        <w:rPr>
          <w:b/>
        </w:rPr>
      </w:pPr>
    </w:p>
    <w:p w:rsidR="00E30A72" w:rsidRPr="00FC4225" w:rsidRDefault="00FC4225" w:rsidP="00FC4225">
      <w:pPr>
        <w:keepNext/>
        <w:numPr>
          <w:ilvl w:val="0"/>
          <w:numId w:val="2"/>
        </w:numPr>
        <w:tabs>
          <w:tab w:val="num" w:pos="1440"/>
        </w:tabs>
        <w:ind w:left="1440"/>
        <w:rPr>
          <w:b/>
        </w:rPr>
      </w:pPr>
      <w:r w:rsidRPr="00FC4225">
        <w:rPr>
          <w:b/>
        </w:rPr>
        <w:t>Requiring respondents to prepare a written response to a collection of information in fewer than 30 days after receipt of it.</w:t>
      </w:r>
    </w:p>
    <w:p w:rsidR="00E30A72" w:rsidRDefault="00E30A72" w:rsidP="00E30A72">
      <w:pPr>
        <w:ind w:left="720"/>
      </w:pPr>
    </w:p>
    <w:p w:rsidR="00E30A72" w:rsidRPr="002D406B" w:rsidRDefault="00E30A72" w:rsidP="0066679A">
      <w:pPr>
        <w:keepNext/>
        <w:ind w:left="720"/>
        <w:jc w:val="both"/>
        <w:rPr>
          <w:b/>
        </w:rPr>
      </w:pPr>
      <w:r>
        <w:t>In order to adequately conduct market surveillance, our market and large trader reporting rules colle</w:t>
      </w:r>
      <w:r w:rsidR="008C0E0F">
        <w:t>ct information on a daily basis</w:t>
      </w:r>
      <w:r>
        <w:t>.</w:t>
      </w:r>
      <w:r w:rsidRPr="00E30A72">
        <w:t xml:space="preserve"> </w:t>
      </w:r>
      <w:r>
        <w:t xml:space="preserve"> 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transactional </w:t>
      </w:r>
      <w:r w:rsidR="008D1791">
        <w:t xml:space="preserve">and position </w:t>
      </w:r>
      <w:r>
        <w:t xml:space="preserve">information on a daily basis.   </w:t>
      </w:r>
    </w:p>
    <w:p w:rsidR="002D4316" w:rsidRDefault="002D4316" w:rsidP="0066679A">
      <w:pPr>
        <w:ind w:firstLine="720"/>
        <w:jc w:val="both"/>
      </w:pPr>
    </w:p>
    <w:p w:rsidR="002D4316" w:rsidRDefault="002D4316" w:rsidP="002D4316">
      <w:pPr>
        <w:keepNext/>
        <w:numPr>
          <w:ilvl w:val="0"/>
          <w:numId w:val="2"/>
        </w:numPr>
        <w:tabs>
          <w:tab w:val="num" w:pos="1440"/>
        </w:tabs>
        <w:ind w:left="1440"/>
        <w:rPr>
          <w:b/>
        </w:rPr>
      </w:pPr>
      <w:r w:rsidRPr="00FC4225">
        <w:rPr>
          <w:b/>
        </w:rPr>
        <w:t>Requiring respondents to submit more tha</w:t>
      </w:r>
      <w:r w:rsidR="00547DEF">
        <w:rPr>
          <w:b/>
        </w:rPr>
        <w:t>n</w:t>
      </w:r>
      <w:r w:rsidRPr="00FC4225">
        <w:rPr>
          <w:b/>
        </w:rPr>
        <w:t xml:space="preserve"> an original and two copies of any document.</w:t>
      </w:r>
    </w:p>
    <w:p w:rsidR="002D4316" w:rsidRDefault="002D4316" w:rsidP="00FC4225">
      <w:pPr>
        <w:ind w:firstLine="720"/>
      </w:pPr>
    </w:p>
    <w:p w:rsidR="00E30A72" w:rsidRPr="008A6C83" w:rsidRDefault="00E30A72" w:rsidP="00E30A72">
      <w:pPr>
        <w:ind w:firstLine="720"/>
      </w:pPr>
      <w:r w:rsidRPr="008A6C83">
        <w:t>Respondents are required to submit only a single copy to the Commission.</w:t>
      </w:r>
    </w:p>
    <w:p w:rsidR="00FC4225" w:rsidRDefault="00FC4225" w:rsidP="00FC4225">
      <w:pPr>
        <w:keepNext/>
        <w:ind w:left="720"/>
        <w:rPr>
          <w:b/>
        </w:rPr>
      </w:pPr>
    </w:p>
    <w:p w:rsidR="002D4316" w:rsidRDefault="00FC4225" w:rsidP="002D4316">
      <w:pPr>
        <w:keepNext/>
        <w:numPr>
          <w:ilvl w:val="0"/>
          <w:numId w:val="2"/>
        </w:numPr>
        <w:tabs>
          <w:tab w:val="num" w:pos="1440"/>
        </w:tabs>
        <w:ind w:left="1440"/>
        <w:rPr>
          <w:b/>
        </w:rPr>
      </w:pPr>
      <w:r w:rsidRPr="00FC4225">
        <w:rPr>
          <w:b/>
        </w:rPr>
        <w:t xml:space="preserve">Requiring respondents to retain records other than health, medical, government contract, grant-in-aid, or tax records, for more </w:t>
      </w:r>
      <w:r w:rsidR="002D4316">
        <w:rPr>
          <w:b/>
        </w:rPr>
        <w:t>than three year.</w:t>
      </w:r>
    </w:p>
    <w:p w:rsidR="002D4316" w:rsidRDefault="002D4316" w:rsidP="002D4316">
      <w:pPr>
        <w:keepNext/>
        <w:ind w:left="720"/>
        <w:rPr>
          <w:b/>
        </w:rPr>
      </w:pPr>
    </w:p>
    <w:p w:rsidR="00BE76D8" w:rsidRDefault="00BC03A6" w:rsidP="0066679A">
      <w:pPr>
        <w:ind w:left="720"/>
        <w:jc w:val="both"/>
      </w:pPr>
      <w:r>
        <w:t>Section 5(d)(1</w:t>
      </w:r>
      <w:r w:rsidR="00B56700">
        <w:t>8</w:t>
      </w:r>
      <w:r>
        <w:t>) of the Commodity Exchange Act requires DCMs to maintain records of all activities related to the business of the market in a form and manner acceptable to the Commission for a period of five years. 7 U.S.C. 7(d)(</w:t>
      </w:r>
      <w:r w:rsidR="00E01DA2">
        <w:t>18</w:t>
      </w:r>
      <w:r>
        <w:t>).</w:t>
      </w:r>
      <w:r w:rsidR="00EE2169">
        <w:t xml:space="preserve">  In addition, </w:t>
      </w:r>
      <w:r w:rsidR="00EE2169" w:rsidRPr="00EE2169">
        <w:t>Section 4g of the Commodity Exchange Act imposes reporting and recordkeeping obligations on registered entities and registrants</w:t>
      </w:r>
      <w:r w:rsidR="00EE2169">
        <w:t xml:space="preserve"> (</w:t>
      </w:r>
      <w:r w:rsidR="00EE2169" w:rsidRPr="00EE2169">
        <w:t>whether a futures commission merchant (FCM), introducing broker, floor broker, or floor trader</w:t>
      </w:r>
      <w:r w:rsidR="00EE2169">
        <w:t>).</w:t>
      </w:r>
    </w:p>
    <w:p w:rsidR="00BE76D8" w:rsidRDefault="00BE76D8" w:rsidP="0066679A">
      <w:pPr>
        <w:ind w:left="1440"/>
        <w:jc w:val="both"/>
      </w:pPr>
    </w:p>
    <w:p w:rsidR="00FC4225" w:rsidRDefault="002D4316" w:rsidP="0066679A">
      <w:pPr>
        <w:ind w:left="720"/>
        <w:jc w:val="both"/>
        <w:rPr>
          <w:b/>
        </w:rPr>
      </w:pPr>
      <w:r w:rsidRPr="002D4316">
        <w:t>For the purpose of enforcing the provisions of the Act and the Commission's regulations thereunder,</w:t>
      </w:r>
      <w:r w:rsidR="00C06EA0">
        <w:t xml:space="preserve"> Commission </w:t>
      </w:r>
      <w:r w:rsidR="00C231C6">
        <w:t>regulation</w:t>
      </w:r>
      <w:r w:rsidR="00C06EA0">
        <w:t xml:space="preserve"> 1.31 (17 CFR </w:t>
      </w:r>
      <w:r w:rsidRPr="002D4316">
        <w:t>1.31) requires that:</w:t>
      </w:r>
      <w:r w:rsidR="00BE76D8">
        <w:t xml:space="preserve"> </w:t>
      </w:r>
      <w:r w:rsidR="00FC4225">
        <w:t xml:space="preserve">"All books and records required to be kept by the [Commodity Exchange] Act or by these regulations shall be kept </w:t>
      </w:r>
      <w:r w:rsidR="00E74932" w:rsidRPr="00E74932">
        <w:t>in their original form (for paper records) or native file format (for electronic records)</w:t>
      </w:r>
      <w:r w:rsidR="00E74932">
        <w:t xml:space="preserve"> </w:t>
      </w:r>
      <w:r w:rsidR="00FC4225">
        <w:t xml:space="preserve">for a period of five years from the date thereof and shall be readily accessible during the first two years of the five-year period.  </w:t>
      </w:r>
      <w:r w:rsidR="00E74932">
        <w:t xml:space="preserve">. . . </w:t>
      </w:r>
      <w:r w:rsidR="00FC4225">
        <w:t>All such books and records shall be open to inspection by any representative of the Commission or the U.S. Department of Justice."</w:t>
      </w:r>
    </w:p>
    <w:p w:rsidR="008D1791" w:rsidRPr="008D1791" w:rsidRDefault="008D1791" w:rsidP="008D1791">
      <w:pPr>
        <w:keepNext/>
        <w:ind w:left="1440" w:right="1152"/>
        <w:jc w:val="both"/>
        <w:rPr>
          <w:b/>
        </w:rPr>
      </w:pPr>
    </w:p>
    <w:p w:rsidR="002D4316" w:rsidRPr="002D4316" w:rsidRDefault="00FC4225" w:rsidP="003E290A">
      <w:pPr>
        <w:numPr>
          <w:ilvl w:val="0"/>
          <w:numId w:val="2"/>
        </w:numPr>
        <w:tabs>
          <w:tab w:val="num" w:pos="1440"/>
        </w:tabs>
        <w:ind w:left="1440"/>
        <w:rPr>
          <w:b/>
        </w:rPr>
      </w:pPr>
      <w:r w:rsidRPr="002D4316">
        <w:rPr>
          <w:b/>
        </w:rPr>
        <w:t>In connection with a statistical survey, that is not designed to produce valid and reliable results that can be generalized to the universe of study.</w:t>
      </w:r>
    </w:p>
    <w:p w:rsidR="002D4316" w:rsidRPr="00BC03A6" w:rsidRDefault="002D4316" w:rsidP="002D4316">
      <w:pPr>
        <w:keepNext/>
        <w:ind w:left="720"/>
      </w:pPr>
    </w:p>
    <w:p w:rsidR="00BC03A6" w:rsidRPr="00BC03A6" w:rsidRDefault="00BC03A6" w:rsidP="003E290A">
      <w:pPr>
        <w:ind w:left="1440" w:hanging="720"/>
      </w:pPr>
      <w:r w:rsidRPr="00BC03A6">
        <w:t xml:space="preserve">The </w:t>
      </w:r>
      <w:r w:rsidR="008D1791">
        <w:t xml:space="preserve">current and </w:t>
      </w:r>
      <w:r w:rsidRPr="00BC03A6">
        <w:t xml:space="preserve">proposed </w:t>
      </w:r>
      <w:r w:rsidR="008D1791">
        <w:t xml:space="preserve">reporting </w:t>
      </w:r>
      <w:r w:rsidRPr="00BC03A6">
        <w:t>rules do not involve statistical surveys.</w:t>
      </w:r>
    </w:p>
    <w:p w:rsidR="00BC03A6" w:rsidRPr="002D4316" w:rsidRDefault="00BC03A6" w:rsidP="002D4316">
      <w:pPr>
        <w:keepNext/>
        <w:ind w:left="720"/>
        <w:rPr>
          <w:b/>
        </w:rPr>
      </w:pPr>
    </w:p>
    <w:p w:rsidR="002D4316" w:rsidRPr="002D4316" w:rsidRDefault="00FC4225" w:rsidP="003E290A">
      <w:pPr>
        <w:numPr>
          <w:ilvl w:val="0"/>
          <w:numId w:val="2"/>
        </w:numPr>
        <w:tabs>
          <w:tab w:val="num" w:pos="1440"/>
        </w:tabs>
        <w:ind w:left="1440"/>
        <w:rPr>
          <w:b/>
        </w:rPr>
      </w:pPr>
      <w:r w:rsidRPr="002D4316">
        <w:rPr>
          <w:b/>
        </w:rPr>
        <w:t>Requiring the use of a statistical data classification that has not been reviewed and approved by OMB.</w:t>
      </w:r>
    </w:p>
    <w:p w:rsidR="002D4316" w:rsidRDefault="002D4316" w:rsidP="002D4316">
      <w:pPr>
        <w:keepNext/>
        <w:ind w:left="720"/>
        <w:rPr>
          <w:b/>
        </w:rPr>
      </w:pPr>
    </w:p>
    <w:p w:rsidR="00BC03A6" w:rsidRPr="005A4CE6" w:rsidRDefault="008D1791" w:rsidP="003E290A">
      <w:pPr>
        <w:ind w:left="1440" w:hanging="720"/>
      </w:pPr>
      <w:r w:rsidRPr="00BC03A6">
        <w:t xml:space="preserve">The </w:t>
      </w:r>
      <w:r>
        <w:t xml:space="preserve">current and </w:t>
      </w:r>
      <w:r w:rsidRPr="00BC03A6">
        <w:t xml:space="preserve">proposed </w:t>
      </w:r>
      <w:r>
        <w:t xml:space="preserve">reporting </w:t>
      </w:r>
      <w:r w:rsidRPr="00BC03A6">
        <w:t>rules</w:t>
      </w:r>
      <w:r w:rsidR="00BC03A6" w:rsidRPr="005A4CE6">
        <w:t xml:space="preserve"> do not involve statistical data classifications.</w:t>
      </w:r>
    </w:p>
    <w:p w:rsidR="00BC03A6" w:rsidRDefault="00BC03A6" w:rsidP="002D4316">
      <w:pPr>
        <w:keepNext/>
        <w:ind w:left="720"/>
        <w:rPr>
          <w:b/>
        </w:rPr>
      </w:pPr>
    </w:p>
    <w:p w:rsidR="002D4316" w:rsidRPr="002D4316" w:rsidRDefault="00FC4225" w:rsidP="003E290A">
      <w:pPr>
        <w:numPr>
          <w:ilvl w:val="0"/>
          <w:numId w:val="2"/>
        </w:numPr>
        <w:tabs>
          <w:tab w:val="num" w:pos="1440"/>
        </w:tabs>
        <w:ind w:left="1440"/>
        <w:rPr>
          <w:b/>
        </w:rPr>
      </w:pPr>
      <w:r w:rsidRPr="002D4316">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D4316" w:rsidRDefault="002D4316" w:rsidP="003006FB">
      <w:pPr>
        <w:keepNext/>
        <w:ind w:left="720"/>
        <w:jc w:val="both"/>
        <w:rPr>
          <w:b/>
        </w:rPr>
      </w:pPr>
    </w:p>
    <w:p w:rsidR="00BC03A6" w:rsidRPr="009E7DC1" w:rsidRDefault="008D1791" w:rsidP="0066679A">
      <w:pPr>
        <w:ind w:left="720"/>
        <w:jc w:val="both"/>
      </w:pPr>
      <w:r w:rsidRPr="00BC03A6">
        <w:t xml:space="preserve">The </w:t>
      </w:r>
      <w:r>
        <w:t xml:space="preserve">current and </w:t>
      </w:r>
      <w:r w:rsidRPr="00BC03A6">
        <w:t xml:space="preserve">proposed </w:t>
      </w:r>
      <w:r>
        <w:t xml:space="preserve">reporting </w:t>
      </w:r>
      <w:r w:rsidRPr="00BC03A6">
        <w:t>rules</w:t>
      </w:r>
      <w:r w:rsidRPr="005A4CE6">
        <w:t xml:space="preserve"> </w:t>
      </w:r>
      <w:r w:rsidR="00BC03A6" w:rsidRPr="005A4CE6">
        <w:t>do not directly involve any pledge of confidentiality regarding the collection of data (please see answer to question 10).</w:t>
      </w:r>
    </w:p>
    <w:p w:rsidR="00BC03A6" w:rsidRPr="002D4316" w:rsidRDefault="00BC03A6" w:rsidP="003006FB">
      <w:pPr>
        <w:keepNext/>
        <w:ind w:left="720"/>
        <w:jc w:val="both"/>
        <w:rPr>
          <w:b/>
        </w:rPr>
      </w:pPr>
    </w:p>
    <w:p w:rsidR="001B7CDB" w:rsidRDefault="00FC4225" w:rsidP="003E290A">
      <w:pPr>
        <w:numPr>
          <w:ilvl w:val="0"/>
          <w:numId w:val="2"/>
        </w:numPr>
        <w:tabs>
          <w:tab w:val="num" w:pos="1440"/>
        </w:tabs>
        <w:ind w:left="1440"/>
        <w:rPr>
          <w:b/>
        </w:rPr>
      </w:pPr>
      <w:r w:rsidRPr="002D4316">
        <w:rPr>
          <w:b/>
        </w:rPr>
        <w:t>Requiring respondents to submit proprietary trade secrets, or other confidential information unless the agency can demonstrate that it has instituted procedures to protect the information's confidentiality to the extent permitted by law.</w:t>
      </w:r>
    </w:p>
    <w:p w:rsidR="00BC03A6" w:rsidRDefault="00BC03A6" w:rsidP="003006FB">
      <w:pPr>
        <w:keepNext/>
        <w:jc w:val="both"/>
        <w:rPr>
          <w:b/>
        </w:rPr>
      </w:pPr>
    </w:p>
    <w:p w:rsidR="00BC03A6" w:rsidRPr="00BC03A6" w:rsidRDefault="00BC03A6" w:rsidP="0066679A">
      <w:pPr>
        <w:ind w:left="720"/>
        <w:jc w:val="both"/>
      </w:pPr>
      <w:r>
        <w:t xml:space="preserve">The market and large trader reporting rules do </w:t>
      </w:r>
      <w:r w:rsidRPr="00BC03A6">
        <w:t>require the submission of transaction</w:t>
      </w:r>
      <w:r>
        <w:t xml:space="preserve">al and commercial data </w:t>
      </w:r>
      <w:r w:rsidRPr="00BC03A6">
        <w:t>involve</w:t>
      </w:r>
      <w:r>
        <w:t>s</w:t>
      </w:r>
      <w:r w:rsidRPr="00BC03A6">
        <w:t xml:space="preserve"> confidential information or proprietary trade secrets.  The Commission will protect sensitive information according to the Freedom of Information Act and 17 CFR </w:t>
      </w:r>
      <w:r w:rsidR="007E672E">
        <w:t>P</w:t>
      </w:r>
      <w:r w:rsidRPr="00BC03A6">
        <w:t>art 145, "Commission Records and Information."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BC03A6" w:rsidRDefault="00BC03A6" w:rsidP="003006FB">
      <w:pPr>
        <w:keepNext/>
        <w:jc w:val="both"/>
        <w:rPr>
          <w:b/>
        </w:rPr>
      </w:pPr>
    </w:p>
    <w:p w:rsidR="001B7CDB" w:rsidRDefault="001B7CDB" w:rsidP="003006FB">
      <w:pPr>
        <w:keepNext/>
        <w:ind w:left="720" w:hanging="720"/>
        <w:jc w:val="both"/>
        <w:rPr>
          <w:b/>
        </w:rPr>
      </w:pPr>
      <w:r>
        <w:rPr>
          <w:b/>
        </w:rPr>
        <w:t>8.</w:t>
      </w:r>
      <w:r>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C03A6" w:rsidRDefault="001B7CDB" w:rsidP="00BC03A6">
      <w:pPr>
        <w:keepNext/>
        <w:ind w:left="720" w:hanging="720"/>
        <w:rPr>
          <w:b/>
        </w:rPr>
      </w:pPr>
      <w:r>
        <w:rPr>
          <w:b/>
        </w:rPr>
        <w:tab/>
      </w:r>
    </w:p>
    <w:p w:rsidR="001B7CDB" w:rsidRDefault="001B7CDB" w:rsidP="003006FB">
      <w:pPr>
        <w:ind w:left="720"/>
        <w:jc w:val="both"/>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C079C" w:rsidRDefault="00CC079C" w:rsidP="003006FB">
      <w:pPr>
        <w:ind w:left="720" w:hanging="720"/>
        <w:jc w:val="both"/>
      </w:pPr>
    </w:p>
    <w:p w:rsidR="001B7CDB" w:rsidRDefault="00CC079C" w:rsidP="003006FB">
      <w:pPr>
        <w:ind w:left="720" w:hanging="720"/>
        <w:jc w:val="both"/>
        <w:rPr>
          <w:b/>
        </w:rPr>
      </w:pPr>
      <w:r>
        <w:tab/>
      </w:r>
      <w:smartTag w:uri="urn:schemas-microsoft-com:office:smarttags" w:element="place">
        <w:r w:rsidRPr="0002789F">
          <w:t>Opportunity</w:t>
        </w:r>
      </w:smartTag>
      <w:r w:rsidRPr="0002789F">
        <w:t xml:space="preserve"> for public comment is provided when regulations are initiated or amended.    Contact with derivatives markets and market participants is maintained on a continuous and on an ongoing basis to resolve reporting problems and address concerns.  The Commission has, and plans to continue, to solicit comments through publication of proposed rules in the Federal Register.  The Commission will also, on an ongoing basis, solicit public comments through the notice required by 5 CFR 1320.8(d).</w:t>
      </w:r>
    </w:p>
    <w:p w:rsidR="00CC079C" w:rsidRDefault="00CC079C" w:rsidP="003006FB">
      <w:pPr>
        <w:ind w:left="720" w:hanging="720"/>
        <w:jc w:val="both"/>
        <w:rPr>
          <w:b/>
        </w:rPr>
      </w:pPr>
    </w:p>
    <w:p w:rsidR="001B7CDB" w:rsidRDefault="001B7CDB" w:rsidP="003006FB">
      <w:pPr>
        <w:ind w:left="720"/>
        <w:jc w:val="both"/>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C079C" w:rsidRDefault="00CC079C" w:rsidP="00CC079C">
      <w:pPr>
        <w:ind w:left="720"/>
      </w:pPr>
    </w:p>
    <w:p w:rsidR="00CC079C" w:rsidRPr="0002789F" w:rsidRDefault="00BE76D8" w:rsidP="0066679A">
      <w:pPr>
        <w:ind w:left="720"/>
        <w:jc w:val="both"/>
      </w:pPr>
      <w:r>
        <w:t xml:space="preserve">Notice of intent to renew this collection </w:t>
      </w:r>
      <w:r w:rsidR="00A33354">
        <w:t xml:space="preserve">(60-day notice) </w:t>
      </w:r>
      <w:r>
        <w:t>was published in</w:t>
      </w:r>
      <w:r w:rsidR="00232F69">
        <w:t xml:space="preserve"> the Federal Register, 84 FR 14097 (Apr. 9, 2019).</w:t>
      </w:r>
      <w:r>
        <w:t xml:space="preserve"> </w:t>
      </w:r>
      <w:r w:rsidR="0066679A">
        <w:t xml:space="preserve"> </w:t>
      </w:r>
      <w:r w:rsidR="00232F69">
        <w:t>The Commission received no relevant comments</w:t>
      </w:r>
      <w:r>
        <w:t>.</w:t>
      </w:r>
    </w:p>
    <w:p w:rsidR="00CC079C" w:rsidRPr="0002789F" w:rsidRDefault="00CC079C" w:rsidP="0066679A">
      <w:pPr>
        <w:ind w:left="720" w:hanging="720"/>
        <w:jc w:val="both"/>
      </w:pPr>
    </w:p>
    <w:p w:rsidR="001B7CDB" w:rsidRDefault="001B7CDB" w:rsidP="003006FB">
      <w:pPr>
        <w:ind w:firstLine="720"/>
        <w:jc w:val="both"/>
      </w:pPr>
    </w:p>
    <w:p w:rsidR="001B7CDB" w:rsidRDefault="001B7CDB" w:rsidP="003006FB">
      <w:pPr>
        <w:keepNext/>
        <w:ind w:left="720" w:hanging="720"/>
        <w:jc w:val="both"/>
        <w:rPr>
          <w:b/>
        </w:rPr>
      </w:pPr>
      <w:r>
        <w:rPr>
          <w:b/>
        </w:rPr>
        <w:t>9.</w:t>
      </w:r>
      <w:r>
        <w:rPr>
          <w:b/>
        </w:rPr>
        <w:tab/>
        <w:t>Explain any decision to provide any payment or gift to respondents, other than remuneration of contractors or grantees.</w:t>
      </w:r>
    </w:p>
    <w:p w:rsidR="001B7CDB" w:rsidRDefault="001B7CDB" w:rsidP="003006FB">
      <w:pPr>
        <w:keepNext/>
        <w:ind w:left="720" w:hanging="720"/>
        <w:jc w:val="both"/>
        <w:rPr>
          <w:b/>
        </w:rPr>
      </w:pPr>
    </w:p>
    <w:p w:rsidR="00CC079C" w:rsidRDefault="00CC079C" w:rsidP="00CC079C">
      <w:pPr>
        <w:ind w:firstLine="720"/>
      </w:pPr>
      <w:r>
        <w:t>This question does not apply.</w:t>
      </w:r>
    </w:p>
    <w:p w:rsidR="00CC079C" w:rsidRDefault="00CC079C" w:rsidP="003006FB">
      <w:pPr>
        <w:keepNext/>
        <w:ind w:left="720" w:hanging="720"/>
        <w:jc w:val="both"/>
        <w:rPr>
          <w:b/>
        </w:rPr>
      </w:pPr>
    </w:p>
    <w:p w:rsidR="001B7CDB" w:rsidRDefault="001B7CDB" w:rsidP="003006FB">
      <w:pPr>
        <w:keepNext/>
        <w:ind w:left="720" w:hanging="720"/>
        <w:jc w:val="both"/>
        <w:rPr>
          <w:b/>
        </w:rPr>
      </w:pPr>
      <w:r>
        <w:rPr>
          <w:b/>
        </w:rPr>
        <w:t>10.</w:t>
      </w:r>
      <w:r>
        <w:rPr>
          <w:b/>
        </w:rPr>
        <w:tab/>
        <w:t>Describe any assurance of confidentiality provided to respondents and the basis for the assurance in statute, regulations, or agency policy.</w:t>
      </w:r>
    </w:p>
    <w:p w:rsidR="001B7CDB" w:rsidRDefault="001B7CDB" w:rsidP="00EC1EF1">
      <w:pPr>
        <w:ind w:firstLine="720"/>
        <w:jc w:val="both"/>
      </w:pPr>
    </w:p>
    <w:p w:rsidR="00CC079C" w:rsidRPr="0002789F" w:rsidRDefault="00CC079C" w:rsidP="0066679A">
      <w:pPr>
        <w:ind w:left="720"/>
        <w:jc w:val="both"/>
      </w:pPr>
      <w:r w:rsidRPr="0002789F">
        <w:t xml:space="preserve">The Commission will protect sensitive information according to the Freedom of Information Act and 17 CFR </w:t>
      </w:r>
      <w:r w:rsidR="007E672E">
        <w:t>P</w:t>
      </w:r>
      <w:r w:rsidRPr="0002789F">
        <w:t>art 145, "Commission Records and Information."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1B7CDB" w:rsidRDefault="001B7CDB">
      <w:pPr>
        <w:keepNext/>
        <w:ind w:left="720" w:hanging="720"/>
        <w:rPr>
          <w:b/>
        </w:rPr>
      </w:pPr>
    </w:p>
    <w:p w:rsidR="001B7CDB" w:rsidRDefault="001B7CDB">
      <w:pPr>
        <w:keepNext/>
        <w:ind w:left="720" w:hanging="720"/>
        <w:rPr>
          <w:b/>
        </w:rPr>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B7CDB" w:rsidRDefault="001B7CDB">
      <w:pPr>
        <w:ind w:firstLine="720"/>
      </w:pPr>
    </w:p>
    <w:p w:rsidR="00CC079C" w:rsidRDefault="00CC079C" w:rsidP="00CC079C">
      <w:pPr>
        <w:ind w:left="720" w:hanging="720"/>
        <w:rPr>
          <w:b/>
        </w:rPr>
      </w:pPr>
      <w:r>
        <w:tab/>
      </w:r>
      <w:r w:rsidRPr="0002789F">
        <w:t>This question does not apply.</w:t>
      </w:r>
    </w:p>
    <w:p w:rsidR="001B7CDB" w:rsidRDefault="001B7CDB">
      <w:pPr>
        <w:ind w:left="720" w:hanging="720"/>
        <w:rPr>
          <w:b/>
        </w:rPr>
      </w:pPr>
    </w:p>
    <w:p w:rsidR="001B7CDB" w:rsidRDefault="001B7CDB">
      <w:pPr>
        <w:ind w:left="720" w:hanging="720"/>
        <w:rPr>
          <w:b/>
        </w:rPr>
      </w:pPr>
      <w:r>
        <w:rPr>
          <w:b/>
        </w:rPr>
        <w:t>12.</w:t>
      </w:r>
      <w:r>
        <w:rPr>
          <w:b/>
        </w:rPr>
        <w:tab/>
        <w:t>Provide estimates of the hour burden of the collection of information.  The Statement should:</w:t>
      </w:r>
    </w:p>
    <w:p w:rsidR="001B7CDB" w:rsidRDefault="001B7CDB">
      <w:pPr>
        <w:ind w:left="720" w:hanging="720"/>
        <w:rPr>
          <w:b/>
        </w:rPr>
      </w:pPr>
    </w:p>
    <w:p w:rsidR="001B7CDB" w:rsidRDefault="001B7CDB">
      <w:pPr>
        <w:numPr>
          <w:ilvl w:val="0"/>
          <w:numId w:val="11"/>
        </w:numPr>
        <w:tabs>
          <w:tab w:val="clear" w:pos="720"/>
          <w:tab w:val="num" w:pos="1440"/>
        </w:tabs>
        <w:ind w:left="144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B7CDB" w:rsidRDefault="001B7CDB">
      <w:pPr>
        <w:ind w:left="720"/>
        <w:rPr>
          <w:b/>
        </w:rPr>
      </w:pPr>
    </w:p>
    <w:p w:rsidR="001B7CDB" w:rsidRDefault="001B7CDB">
      <w:pPr>
        <w:numPr>
          <w:ilvl w:val="0"/>
          <w:numId w:val="12"/>
        </w:numPr>
        <w:tabs>
          <w:tab w:val="clear" w:pos="720"/>
          <w:tab w:val="num" w:pos="1440"/>
        </w:tabs>
        <w:ind w:left="1440"/>
        <w:rPr>
          <w:b/>
        </w:rPr>
      </w:pPr>
      <w:r>
        <w:rPr>
          <w:b/>
        </w:rPr>
        <w:t>If the request for approval covers more than one form, provide separate hour burden estimates for each form and aggregate the hour burdens in Item 13 of OMB Form 83-I.</w:t>
      </w:r>
    </w:p>
    <w:p w:rsidR="001B7CDB" w:rsidRDefault="001B7CDB">
      <w:pPr>
        <w:ind w:left="720"/>
        <w:rPr>
          <w:b/>
        </w:rPr>
      </w:pPr>
    </w:p>
    <w:p w:rsidR="008538D3" w:rsidRDefault="001B7CDB" w:rsidP="008538D3">
      <w:pPr>
        <w:keepNext/>
        <w:numPr>
          <w:ilvl w:val="0"/>
          <w:numId w:val="13"/>
        </w:numPr>
        <w:tabs>
          <w:tab w:val="clear" w:pos="720"/>
          <w:tab w:val="num" w:pos="1440"/>
        </w:tabs>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538D3" w:rsidRDefault="008538D3" w:rsidP="008538D3">
      <w:pPr>
        <w:keepNext/>
        <w:ind w:left="720"/>
        <w:rPr>
          <w:b/>
        </w:rPr>
      </w:pPr>
    </w:p>
    <w:p w:rsidR="00DB248B" w:rsidRDefault="005B1900" w:rsidP="0066679A">
      <w:pPr>
        <w:ind w:left="720"/>
        <w:jc w:val="both"/>
      </w:pPr>
      <w:r>
        <w:rPr>
          <w:i/>
        </w:rPr>
        <w:t xml:space="preserve">See </w:t>
      </w:r>
      <w:r w:rsidR="00DB248B">
        <w:t xml:space="preserve"> Attachment A.</w:t>
      </w:r>
    </w:p>
    <w:p w:rsidR="00DB248B" w:rsidRDefault="00DB248B" w:rsidP="0066679A">
      <w:pPr>
        <w:ind w:left="720"/>
        <w:jc w:val="both"/>
      </w:pPr>
    </w:p>
    <w:p w:rsidR="00B81FC7" w:rsidRDefault="00B81FC7" w:rsidP="0066679A">
      <w:pPr>
        <w:ind w:left="720"/>
        <w:jc w:val="both"/>
      </w:pPr>
      <w:r w:rsidRPr="0066679A">
        <w:t>In arriving at a wage rate for the hourly costs imposed, Commission staff used the</w:t>
      </w:r>
      <w:r w:rsidR="0066679A">
        <w:t xml:space="preserve"> </w:t>
      </w:r>
      <w:r w:rsidR="00711C9B" w:rsidRPr="002F610E">
        <w:rPr>
          <w:kern w:val="36"/>
        </w:rPr>
        <w:t>May 2017 National Occupational Employment and Wage Estimates United States, published by the Bureau of Labor Statistics.</w:t>
      </w:r>
      <w:r w:rsidR="00711C9B" w:rsidRPr="002F610E">
        <w:rPr>
          <w:rStyle w:val="FootnoteReference"/>
          <w:kern w:val="36"/>
        </w:rPr>
        <w:footnoteReference w:id="7"/>
      </w:r>
      <w:r w:rsidR="0047726B" w:rsidRPr="0066679A">
        <w:t xml:space="preserve">  For the </w:t>
      </w:r>
      <w:r w:rsidRPr="0066679A">
        <w:t xml:space="preserve">cost calculations, as noted below, </w:t>
      </w:r>
      <w:r w:rsidRPr="00EC1EF1">
        <w:t xml:space="preserve">Commission staff used a composite (blended) wage rate by averaging the </w:t>
      </w:r>
      <w:r w:rsidR="00711C9B" w:rsidRPr="00EC1EF1">
        <w:t xml:space="preserve">hour wages </w:t>
      </w:r>
      <w:r w:rsidRPr="00A9654D">
        <w:t xml:space="preserve">of a Compliance </w:t>
      </w:r>
      <w:r w:rsidR="00711C9B" w:rsidRPr="00A9654D">
        <w:t xml:space="preserve">Officer </w:t>
      </w:r>
      <w:r w:rsidRPr="00A9654D">
        <w:t xml:space="preserve">and a </w:t>
      </w:r>
      <w:r w:rsidR="00711C9B" w:rsidRPr="00EC1EF1">
        <w:t>Software Developer</w:t>
      </w:r>
      <w:r w:rsidR="002F610E">
        <w:t xml:space="preserve"> /</w:t>
      </w:r>
      <w:r w:rsidR="00711C9B" w:rsidRPr="00EC1EF1">
        <w:t xml:space="preserve"> Programmer</w:t>
      </w:r>
      <w:r w:rsidRPr="00EC1EF1">
        <w:t xml:space="preserve"> to arrive a</w:t>
      </w:r>
      <w:r w:rsidR="008D1791" w:rsidRPr="00A9654D">
        <w:t>t the hourly wage rate</w:t>
      </w:r>
      <w:r w:rsidR="0047726B" w:rsidRPr="00A9654D">
        <w:t xml:space="preserve"> of $</w:t>
      </w:r>
      <w:r w:rsidR="00BE76D8" w:rsidRPr="00A9654D">
        <w:t>4</w:t>
      </w:r>
      <w:r w:rsidR="00847BB3">
        <w:t>2</w:t>
      </w:r>
      <w:r w:rsidR="00945127">
        <w:t>.</w:t>
      </w:r>
    </w:p>
    <w:p w:rsidR="00B81FC7" w:rsidRDefault="00B81FC7" w:rsidP="0066679A">
      <w:pPr>
        <w:ind w:left="1440"/>
        <w:jc w:val="both"/>
      </w:pPr>
    </w:p>
    <w:p w:rsidR="00B81FC7" w:rsidRPr="006E02BF" w:rsidRDefault="00B81FC7" w:rsidP="0066679A">
      <w:pPr>
        <w:ind w:left="720"/>
        <w:jc w:val="both"/>
      </w:pPr>
      <w:r>
        <w:t>Commission staff chose this methodology to account for the variance in skill sets that may be use</w:t>
      </w:r>
      <w:r w:rsidR="008D1791">
        <w:t>d to accomplish the collection</w:t>
      </w:r>
      <w:r>
        <w:t xml:space="preserve"> of information.  It is important to note that although the hourly wage referenced above does take </w:t>
      </w:r>
      <w:r w:rsidR="00847BB3">
        <w:t xml:space="preserve">production </w:t>
      </w:r>
      <w:r>
        <w:t xml:space="preserve">bonuses into account, it does not </w:t>
      </w:r>
      <w:r w:rsidR="00847BB3">
        <w:t xml:space="preserve">include other types of bonuses or </w:t>
      </w:r>
      <w:r>
        <w:t>consider certain variables such as employee benefits which can increase the cost of labor.</w:t>
      </w:r>
    </w:p>
    <w:p w:rsidR="00B81FC7" w:rsidRDefault="00B81FC7" w:rsidP="00EC1EF1">
      <w:pPr>
        <w:keepNext/>
        <w:ind w:left="1440"/>
        <w:jc w:val="both"/>
      </w:pPr>
    </w:p>
    <w:p w:rsidR="001B7CDB" w:rsidRPr="008538D3" w:rsidRDefault="001B7CDB" w:rsidP="0066679A">
      <w:pPr>
        <w:ind w:left="720"/>
        <w:jc w:val="both"/>
        <w:rPr>
          <w:b/>
        </w:rPr>
      </w:pPr>
      <w:r>
        <w:t xml:space="preserve">The </w:t>
      </w:r>
      <w:r w:rsidR="00B81FC7">
        <w:t xml:space="preserve">total </w:t>
      </w:r>
      <w:r>
        <w:t>information collectio</w:t>
      </w:r>
      <w:r w:rsidR="00833906">
        <w:t xml:space="preserve">n burden is approximately </w:t>
      </w:r>
      <w:r w:rsidR="00711C9B">
        <w:t>19,67</w:t>
      </w:r>
      <w:r w:rsidR="002F610E">
        <w:t>6</w:t>
      </w:r>
      <w:r w:rsidR="00711C9B">
        <w:t xml:space="preserve"> </w:t>
      </w:r>
      <w:r w:rsidRPr="0076035A">
        <w:t>hours.</w:t>
      </w:r>
      <w:r w:rsidR="0094316C">
        <w:t xml:space="preserve"> </w:t>
      </w:r>
      <w:r w:rsidR="00847BB3">
        <w:t xml:space="preserve"> </w:t>
      </w:r>
      <w:r w:rsidR="0076035A">
        <w:t xml:space="preserve">The </w:t>
      </w:r>
      <w:r w:rsidR="0094316C">
        <w:t>Commission reviewed</w:t>
      </w:r>
      <w:r w:rsidR="0044663D">
        <w:t xml:space="preserve"> the</w:t>
      </w:r>
      <w:r w:rsidR="0094316C">
        <w:t xml:space="preserve"> last year’s total received responses to review and revise its burden hour estimates. </w:t>
      </w:r>
      <w:r w:rsidR="00847BB3">
        <w:t xml:space="preserve"> </w:t>
      </w:r>
      <w:r w:rsidR="0094316C">
        <w:t xml:space="preserve">This review accounts for the </w:t>
      </w:r>
      <w:r w:rsidR="0076035A">
        <w:t xml:space="preserve">variance in burden hours from the prior recorded </w:t>
      </w:r>
      <w:r w:rsidR="0094316C">
        <w:t>Annual Burden in Fiscal Year</w:t>
      </w:r>
      <w:r w:rsidR="00BC1AB4">
        <w:t xml:space="preserve">.  </w:t>
      </w:r>
    </w:p>
    <w:p w:rsidR="001B7CDB" w:rsidRDefault="001B7CDB" w:rsidP="00925576">
      <w:pPr>
        <w:jc w:val="both"/>
      </w:pPr>
      <w:r>
        <w:tab/>
      </w:r>
    </w:p>
    <w:p w:rsidR="008D1791" w:rsidRDefault="008D1791" w:rsidP="00925576">
      <w:pPr>
        <w:ind w:left="1440"/>
        <w:jc w:val="both"/>
      </w:pPr>
      <w:r>
        <w:t xml:space="preserve">A.  </w:t>
      </w:r>
      <w:r w:rsidR="003E76B6">
        <w:t xml:space="preserve">Clearing Member Reports  </w:t>
      </w:r>
    </w:p>
    <w:p w:rsidR="008D1791" w:rsidRDefault="008D1791" w:rsidP="00925576">
      <w:pPr>
        <w:ind w:left="1440"/>
        <w:jc w:val="both"/>
      </w:pPr>
    </w:p>
    <w:p w:rsidR="001B7CDB" w:rsidRDefault="00E435A4" w:rsidP="00925576">
      <w:pPr>
        <w:ind w:left="1440"/>
        <w:jc w:val="both"/>
      </w:pPr>
      <w:r>
        <w:t>Under regulation 16.00, t</w:t>
      </w:r>
      <w:r w:rsidR="001B7CDB">
        <w:t>he Commis</w:t>
      </w:r>
      <w:r w:rsidR="003E76B6">
        <w:t xml:space="preserve">sion obtains </w:t>
      </w:r>
      <w:r w:rsidR="00961D39">
        <w:t xml:space="preserve">clearing member reports from the </w:t>
      </w:r>
      <w:r w:rsidR="00456A22">
        <w:t xml:space="preserve">reporting markets </w:t>
      </w:r>
      <w:r w:rsidR="00961D39">
        <w:t xml:space="preserve">or the clearing organizations of each </w:t>
      </w:r>
      <w:r w:rsidR="00456A22">
        <w:t>reporting market</w:t>
      </w:r>
      <w:r w:rsidR="00961D39">
        <w:t xml:space="preserve">.  </w:t>
      </w:r>
      <w:r w:rsidR="00456A22">
        <w:t xml:space="preserve">Reporting markets </w:t>
      </w:r>
      <w:r w:rsidR="00961D39">
        <w:t xml:space="preserve">and the clearing organizations routinely provide this data </w:t>
      </w:r>
      <w:r w:rsidR="001B7CDB">
        <w:t>to each clearing member.  Since the data is routinely provided to</w:t>
      </w:r>
      <w:r w:rsidR="00961D39">
        <w:t xml:space="preserve"> clearing members</w:t>
      </w:r>
      <w:r w:rsidR="003E76B6">
        <w:t>, the reporting burden for this</w:t>
      </w:r>
      <w:r w:rsidR="001B7CDB">
        <w:t xml:space="preserve"> set of data is esti</w:t>
      </w:r>
      <w:r w:rsidR="003E76B6">
        <w:t>mated at 20 minutes for each</w:t>
      </w:r>
      <w:r w:rsidR="001B7CDB">
        <w:t xml:space="preserve"> </w:t>
      </w:r>
      <w:r w:rsidR="00B81FC7">
        <w:t>trading day</w:t>
      </w:r>
      <w:r w:rsidR="001B7CDB">
        <w:t>.</w:t>
      </w:r>
      <w:r w:rsidR="00512975">
        <w:t xml:space="preserve"> </w:t>
      </w:r>
      <w:r w:rsidR="00B81FC7">
        <w:t xml:space="preserve"> </w:t>
      </w:r>
      <w:r w:rsidR="001B7CDB">
        <w:t xml:space="preserve">Total burden hours for the exchanges are estimated at </w:t>
      </w:r>
      <w:r w:rsidR="00456A22">
        <w:t>1</w:t>
      </w:r>
      <w:r w:rsidR="00B81FC7">
        <w:t>,</w:t>
      </w:r>
      <w:r w:rsidR="00BE76D8">
        <w:t>1</w:t>
      </w:r>
      <w:r w:rsidR="00711C9B">
        <w:t>6</w:t>
      </w:r>
      <w:r w:rsidR="00945127">
        <w:t>6</w:t>
      </w:r>
      <w:r w:rsidR="00456A22">
        <w:t xml:space="preserve"> </w:t>
      </w:r>
      <w:r w:rsidR="001B7CDB">
        <w:t>hours</w:t>
      </w:r>
      <w:r w:rsidR="000915CF">
        <w:t>.</w:t>
      </w:r>
      <w:r w:rsidR="001B7CDB">
        <w:t xml:space="preserve"> </w:t>
      </w:r>
      <w:r w:rsidR="000915CF">
        <w:t xml:space="preserve"> U</w:t>
      </w:r>
      <w:r w:rsidR="001B7CDB">
        <w:t xml:space="preserve">sing a </w:t>
      </w:r>
      <w:r w:rsidR="00456A22">
        <w:t xml:space="preserve">blended </w:t>
      </w:r>
      <w:r w:rsidR="001B7CDB">
        <w:t xml:space="preserve">professional wage rate </w:t>
      </w:r>
      <w:r w:rsidR="00456A22">
        <w:t xml:space="preserve">made up of both compliance and information technology staff </w:t>
      </w:r>
      <w:r w:rsidR="001B7CDB">
        <w:t>of $</w:t>
      </w:r>
      <w:r w:rsidR="00BE76D8">
        <w:t>4</w:t>
      </w:r>
      <w:r w:rsidR="00711C9B">
        <w:t>2</w:t>
      </w:r>
      <w:r w:rsidR="00B81FC7">
        <w:t xml:space="preserve"> per hour</w:t>
      </w:r>
      <w:r w:rsidR="001B7CDB">
        <w:t xml:space="preserve">, the estimated </w:t>
      </w:r>
      <w:r w:rsidR="003E76B6">
        <w:t xml:space="preserve">total </w:t>
      </w:r>
      <w:r w:rsidR="001B7CDB">
        <w:t>cost to the exchanges is $</w:t>
      </w:r>
      <w:r w:rsidR="00945127">
        <w:t>48,972</w:t>
      </w:r>
      <w:r w:rsidR="001B7CDB">
        <w:t>.</w:t>
      </w:r>
    </w:p>
    <w:p w:rsidR="001B7CDB" w:rsidRDefault="001B7CDB" w:rsidP="00925576">
      <w:pPr>
        <w:jc w:val="both"/>
      </w:pPr>
      <w:r>
        <w:tab/>
      </w:r>
    </w:p>
    <w:p w:rsidR="00A81F19" w:rsidRDefault="00EB09C3" w:rsidP="00925576">
      <w:pPr>
        <w:ind w:left="1440"/>
        <w:jc w:val="both"/>
      </w:pPr>
      <w:r>
        <w:t>B.</w:t>
      </w:r>
      <w:r w:rsidR="001B7CDB">
        <w:t xml:space="preserve"> Reports by</w:t>
      </w:r>
      <w:r>
        <w:t xml:space="preserve"> Reporting Firms</w:t>
      </w:r>
      <w:r w:rsidR="003E76B6">
        <w:t xml:space="preserve">  </w:t>
      </w:r>
    </w:p>
    <w:p w:rsidR="00A81F19" w:rsidRDefault="00A81F19" w:rsidP="00925576">
      <w:pPr>
        <w:ind w:left="1440"/>
        <w:jc w:val="both"/>
      </w:pPr>
    </w:p>
    <w:p w:rsidR="001B7CDB" w:rsidRDefault="00A81F19" w:rsidP="00925576">
      <w:pPr>
        <w:ind w:left="1440"/>
        <w:jc w:val="both"/>
      </w:pPr>
      <w:r>
        <w:t xml:space="preserve">(1) </w:t>
      </w:r>
      <w:r w:rsidR="002E70CF">
        <w:t xml:space="preserve">Under Commission </w:t>
      </w:r>
      <w:r w:rsidR="00C231C6">
        <w:t>regulation</w:t>
      </w:r>
      <w:r w:rsidR="002E70CF">
        <w:t xml:space="preserve"> 17.00 (17 CFR </w:t>
      </w:r>
      <w:r w:rsidR="001B7CDB">
        <w:t>17.00), routine reports are filed only for accounts with futures and option positions that exceed levels set by the Commis</w:t>
      </w:r>
      <w:r w:rsidR="002E70CF">
        <w:t xml:space="preserve">sion in </w:t>
      </w:r>
      <w:r w:rsidR="00C231C6">
        <w:t>regulation</w:t>
      </w:r>
      <w:r w:rsidR="002E70CF">
        <w:t xml:space="preserve"> 15.03(b) (17 CFR </w:t>
      </w:r>
      <w:r w:rsidR="001B7CDB">
        <w:t xml:space="preserve">15.03(b)). </w:t>
      </w:r>
      <w:r w:rsidR="00847BB3">
        <w:t xml:space="preserve"> </w:t>
      </w:r>
      <w:r w:rsidR="0044663D">
        <w:t xml:space="preserve">In reviewing the responses received by the Commission in 2014, </w:t>
      </w:r>
      <w:r w:rsidR="00711C9B">
        <w:t>326</w:t>
      </w:r>
      <w:r w:rsidR="0044663D">
        <w:t xml:space="preserve"> respondents filed at least one report. </w:t>
      </w:r>
      <w:r w:rsidR="00847BB3">
        <w:t xml:space="preserve"> </w:t>
      </w:r>
      <w:r w:rsidR="0044663D" w:rsidRPr="00397AAE">
        <w:t xml:space="preserve">The number of responses submitted by these </w:t>
      </w:r>
      <w:r w:rsidR="00711C9B" w:rsidRPr="00397AAE">
        <w:t>326</w:t>
      </w:r>
      <w:r w:rsidR="0044663D" w:rsidRPr="00397AAE">
        <w:t xml:space="preserve"> entities ranged from </w:t>
      </w:r>
      <w:r w:rsidR="00397AAE" w:rsidRPr="00397AAE">
        <w:t>1</w:t>
      </w:r>
      <w:r w:rsidR="0044663D" w:rsidRPr="00397AAE">
        <w:t xml:space="preserve"> to 258</w:t>
      </w:r>
      <w:r w:rsidR="00B04A17" w:rsidRPr="00397AAE">
        <w:t xml:space="preserve"> and the mean number of responses was 2</w:t>
      </w:r>
      <w:r w:rsidR="00711C9B" w:rsidRPr="00397AAE">
        <w:t>08</w:t>
      </w:r>
      <w:r w:rsidR="0044663D" w:rsidRPr="00397AAE">
        <w:t xml:space="preserve">. </w:t>
      </w:r>
      <w:r w:rsidR="00847BB3">
        <w:t xml:space="preserve"> </w:t>
      </w:r>
      <w:r w:rsidR="00B04A17" w:rsidRPr="00397AAE">
        <w:t xml:space="preserve">Using the prior year as a </w:t>
      </w:r>
      <w:r w:rsidR="00B04A17">
        <w:t xml:space="preserve">baseline for estimating the burdens associated with regulation 17.00, the Commission estimates that </w:t>
      </w:r>
      <w:r w:rsidR="00711C9B">
        <w:t>326</w:t>
      </w:r>
      <w:r w:rsidR="00B04A17">
        <w:t xml:space="preserve"> respondents may be required to file </w:t>
      </w:r>
      <w:r w:rsidR="00711C9B">
        <w:t>208</w:t>
      </w:r>
      <w:r w:rsidR="00B04A17">
        <w:t xml:space="preserve"> daily reports annually on average.</w:t>
      </w:r>
      <w:r w:rsidR="003375B1">
        <w:t xml:space="preserve"> </w:t>
      </w:r>
      <w:r w:rsidR="001B7CDB">
        <w:t xml:space="preserve">This information is currently reported </w:t>
      </w:r>
      <w:r w:rsidR="00B81FC7">
        <w:t xml:space="preserve">as a data stream that is transmitted </w:t>
      </w:r>
      <w:r w:rsidR="001B7CDB">
        <w:t>using internet data transmission</w:t>
      </w:r>
      <w:r w:rsidR="00512975">
        <w:t>s</w:t>
      </w:r>
      <w:r w:rsidR="00B04A17">
        <w:t xml:space="preserve">. </w:t>
      </w:r>
      <w:r w:rsidR="00847BB3">
        <w:t xml:space="preserve"> </w:t>
      </w:r>
      <w:r w:rsidR="003375B1">
        <w:t xml:space="preserve">The reporting burden consists of staff initializing the system for new contracts and new accounts.  On average it is expected that about 15 minutes per </w:t>
      </w:r>
      <w:r w:rsidR="00B81FC7">
        <w:t xml:space="preserve">trading </w:t>
      </w:r>
      <w:r w:rsidR="003375B1">
        <w:t>d</w:t>
      </w:r>
      <w:r w:rsidR="00B04A17">
        <w:t xml:space="preserve">ay is expended by these staff, making the burden approximately </w:t>
      </w:r>
      <w:r w:rsidR="00243326">
        <w:t xml:space="preserve">16,952 </w:t>
      </w:r>
      <w:r w:rsidR="003375B1">
        <w:t xml:space="preserve">hours.  Using a wage rate </w:t>
      </w:r>
      <w:r w:rsidR="00B04A17">
        <w:t>o</w:t>
      </w:r>
      <w:r w:rsidR="003375B1">
        <w:t>f $</w:t>
      </w:r>
      <w:r w:rsidR="00BE76D8">
        <w:t>4</w:t>
      </w:r>
      <w:r w:rsidR="00243326">
        <w:t>2</w:t>
      </w:r>
      <w:r w:rsidR="00B81FC7">
        <w:t xml:space="preserve"> per hour</w:t>
      </w:r>
      <w:r w:rsidR="003375B1">
        <w:t>, we estimate costs to be $</w:t>
      </w:r>
      <w:r w:rsidR="00243326">
        <w:t xml:space="preserve">711,984 </w:t>
      </w:r>
      <w:r w:rsidR="00B81FC7">
        <w:t>annually</w:t>
      </w:r>
      <w:r w:rsidR="003375B1">
        <w:t>.</w:t>
      </w:r>
      <w:r w:rsidR="001B7CDB">
        <w:t xml:space="preserve"> </w:t>
      </w:r>
    </w:p>
    <w:p w:rsidR="001B7CDB" w:rsidRDefault="001B7CDB" w:rsidP="00925576">
      <w:pPr>
        <w:jc w:val="both"/>
      </w:pPr>
      <w:r>
        <w:tab/>
      </w:r>
      <w:r>
        <w:tab/>
      </w:r>
    </w:p>
    <w:p w:rsidR="001B7CDB" w:rsidRDefault="00482AA1" w:rsidP="00925576">
      <w:pPr>
        <w:ind w:left="1440"/>
        <w:jc w:val="both"/>
      </w:pPr>
      <w:r>
        <w:t>(</w:t>
      </w:r>
      <w:r w:rsidR="00E435A4">
        <w:t>2</w:t>
      </w:r>
      <w:r>
        <w:t xml:space="preserve">) </w:t>
      </w:r>
      <w:r w:rsidR="001B7CDB">
        <w:t xml:space="preserve">Under part 21 of the </w:t>
      </w:r>
      <w:r w:rsidR="009A7B32">
        <w:t xml:space="preserve">Commission’s </w:t>
      </w:r>
      <w:r w:rsidR="001B7CDB">
        <w:t>regulations</w:t>
      </w:r>
      <w:r w:rsidR="00512975">
        <w:t xml:space="preserve"> (17 CFR part 21)</w:t>
      </w:r>
      <w:r w:rsidR="001B7CDB">
        <w:t>, the Commission may make special calls for additional cash and futures data concerning traders.</w:t>
      </w:r>
      <w:r w:rsidR="00DB1F2E">
        <w:t xml:space="preserve">  </w:t>
      </w:r>
      <w:r w:rsidR="00565673">
        <w:t>In addition, under part 21</w:t>
      </w:r>
      <w:r w:rsidR="009A7B32">
        <w:t xml:space="preserve"> </w:t>
      </w:r>
      <w:r w:rsidR="00512975">
        <w:t xml:space="preserve">of the Commission’s regulations </w:t>
      </w:r>
      <w:r w:rsidR="009A7B32">
        <w:t>(17 CFR part 21)</w:t>
      </w:r>
      <w:r w:rsidR="00565673">
        <w:t>, the Commission may request upon ca</w:t>
      </w:r>
      <w:r w:rsidR="00B81FC7">
        <w:t xml:space="preserve">ll </w:t>
      </w:r>
      <w:r w:rsidR="00565673">
        <w:t xml:space="preserve">identifying information regarding persons who exercise trading control over accounts.  </w:t>
      </w:r>
      <w:r w:rsidR="00565673">
        <w:rPr>
          <w:bCs/>
          <w:iCs/>
        </w:rPr>
        <w:t>Position i</w:t>
      </w:r>
      <w:r>
        <w:rPr>
          <w:bCs/>
          <w:iCs/>
        </w:rPr>
        <w:t xml:space="preserve">nformation collected pursuant to special call under part 21 </w:t>
      </w:r>
      <w:r w:rsidR="009A7B32">
        <w:rPr>
          <w:bCs/>
          <w:iCs/>
        </w:rPr>
        <w:t xml:space="preserve">(17 CFR part 21) </w:t>
      </w:r>
      <w:r>
        <w:rPr>
          <w:bCs/>
          <w:iCs/>
        </w:rPr>
        <w:t xml:space="preserve">of the Commission’s regulations is submitted by reporting firms and </w:t>
      </w:r>
      <w:r w:rsidR="000453EA">
        <w:rPr>
          <w:bCs/>
          <w:iCs/>
        </w:rPr>
        <w:t xml:space="preserve">may be </w:t>
      </w:r>
      <w:r>
        <w:rPr>
          <w:bCs/>
          <w:iCs/>
        </w:rPr>
        <w:t xml:space="preserve">used to audit large trader reports and </w:t>
      </w:r>
      <w:r w:rsidR="000453EA">
        <w:rPr>
          <w:bCs/>
          <w:iCs/>
        </w:rPr>
        <w:t xml:space="preserve">is used to </w:t>
      </w:r>
      <w:r>
        <w:rPr>
          <w:bCs/>
          <w:iCs/>
        </w:rPr>
        <w:t xml:space="preserve">investigate potential market abuses.  Although similar to the standardized information routinely collected under part 17 </w:t>
      </w:r>
      <w:r w:rsidR="00512975">
        <w:rPr>
          <w:bCs/>
          <w:iCs/>
        </w:rPr>
        <w:t xml:space="preserve">of the Commission’s regulations </w:t>
      </w:r>
      <w:r w:rsidR="009A7B32">
        <w:rPr>
          <w:bCs/>
          <w:iCs/>
        </w:rPr>
        <w:t xml:space="preserve">(17 CFR part 17) </w:t>
      </w:r>
      <w:r>
        <w:rPr>
          <w:bCs/>
          <w:iCs/>
        </w:rPr>
        <w:t>for reportable accounts, such data is submitted in response to customized requests for information and may regard accounts and positions that</w:t>
      </w:r>
      <w:r w:rsidR="00565673">
        <w:rPr>
          <w:bCs/>
          <w:iCs/>
        </w:rPr>
        <w:t xml:space="preserve"> are not </w:t>
      </w:r>
      <w:r>
        <w:rPr>
          <w:bCs/>
          <w:iCs/>
        </w:rPr>
        <w:t>reportable.  In contrast to special calls for identifying data made under Commission regulation 18.04</w:t>
      </w:r>
      <w:r w:rsidR="009A7B32">
        <w:rPr>
          <w:bCs/>
          <w:iCs/>
        </w:rPr>
        <w:t xml:space="preserve"> (17 CFR 18.04)</w:t>
      </w:r>
      <w:r>
        <w:rPr>
          <w:bCs/>
          <w:iCs/>
        </w:rPr>
        <w:t>, special calls made under any provision of part 21</w:t>
      </w:r>
      <w:r w:rsidR="009A7B32">
        <w:rPr>
          <w:bCs/>
          <w:iCs/>
        </w:rPr>
        <w:t xml:space="preserve"> </w:t>
      </w:r>
      <w:r w:rsidR="00512975">
        <w:rPr>
          <w:bCs/>
          <w:iCs/>
        </w:rPr>
        <w:t xml:space="preserve">of the Commission’s regulations </w:t>
      </w:r>
      <w:r w:rsidR="009A7B32">
        <w:rPr>
          <w:bCs/>
          <w:iCs/>
        </w:rPr>
        <w:t>(17 CFR part 21)</w:t>
      </w:r>
      <w:r w:rsidR="00DB1F2E">
        <w:rPr>
          <w:bCs/>
          <w:iCs/>
        </w:rPr>
        <w:t xml:space="preserve"> </w:t>
      </w:r>
      <w:r w:rsidR="001B7CDB">
        <w:t xml:space="preserve">generally occur only when a particular market shows a potential for disruption or there is an investigation of possible violations of the Act or the regulations thereunder. </w:t>
      </w:r>
      <w:r w:rsidR="00847BB3">
        <w:t xml:space="preserve"> </w:t>
      </w:r>
      <w:r w:rsidR="0044663D">
        <w:t xml:space="preserve">Authority to issue special calls under Part 21 is delegated to the Directors of the Divisions of Market Oversight and Clearing and Risk. The Commission rarely issues special calls under part 21 of the Commission’s regulations; no such special calls have been issued by either the Division of Market Oversight or the Division of Clearing and Risk for the last five years at least, and a high-level search for more historical information about the use of this provision revealed no issuances under this authority. </w:t>
      </w:r>
      <w:r w:rsidR="001B7CDB">
        <w:t xml:space="preserve">We estimate </w:t>
      </w:r>
      <w:r w:rsidR="00DB1F2E">
        <w:t xml:space="preserve">that the Commission will make less than </w:t>
      </w:r>
      <w:r w:rsidR="0044663D">
        <w:t>5</w:t>
      </w:r>
      <w:r w:rsidR="00DB1F2E">
        <w:t xml:space="preserve"> special calls under</w:t>
      </w:r>
      <w:r w:rsidR="009A7B32">
        <w:t xml:space="preserve"> all of the provisions of</w:t>
      </w:r>
      <w:r w:rsidR="00DB1F2E">
        <w:t xml:space="preserve"> part 21 of the Commission’s regulations </w:t>
      </w:r>
      <w:r w:rsidR="00512975">
        <w:t xml:space="preserve">(17 CFR part 21) </w:t>
      </w:r>
      <w:r w:rsidR="00DB1F2E">
        <w:t xml:space="preserve">and that each response to a call will require approximately 1 hour.  </w:t>
      </w:r>
      <w:r w:rsidR="00B04E95">
        <w:t>Using a wage rate of $</w:t>
      </w:r>
      <w:r w:rsidR="00BE76D8">
        <w:t>4</w:t>
      </w:r>
      <w:r w:rsidR="00243326">
        <w:t>2</w:t>
      </w:r>
      <w:r w:rsidR="00B81FC7">
        <w:t xml:space="preserve"> per hour</w:t>
      </w:r>
      <w:r w:rsidR="00DB1F2E">
        <w:t xml:space="preserve">, costs are estimated </w:t>
      </w:r>
      <w:r w:rsidR="001B7CDB">
        <w:t>at $</w:t>
      </w:r>
      <w:r w:rsidR="0044663D">
        <w:t>2</w:t>
      </w:r>
      <w:r w:rsidR="00243326">
        <w:t>1</w:t>
      </w:r>
      <w:r w:rsidR="00945127">
        <w:t>0</w:t>
      </w:r>
      <w:r w:rsidR="0026547F">
        <w:t xml:space="preserve"> </w:t>
      </w:r>
      <w:r w:rsidR="00DB1F2E">
        <w:t>per annum</w:t>
      </w:r>
      <w:r w:rsidR="001B7CDB">
        <w:t>.</w:t>
      </w:r>
      <w:r w:rsidR="0044663D">
        <w:t xml:space="preserve">  The estimate of 5</w:t>
      </w:r>
      <w:r w:rsidR="00130AF2">
        <w:t xml:space="preserve"> special calls is based upon the Division of Market Oversight’s assessment of the </w:t>
      </w:r>
      <w:r w:rsidR="0044663D">
        <w:t xml:space="preserve">extreme </w:t>
      </w:r>
      <w:r w:rsidR="00130AF2">
        <w:t>rarity of issuances of special calls under part 21 of the Commission’s regulations (17 CFR part 21).</w:t>
      </w:r>
    </w:p>
    <w:p w:rsidR="001B7CDB" w:rsidRDefault="001B7CDB" w:rsidP="00925576">
      <w:pPr>
        <w:jc w:val="both"/>
      </w:pPr>
      <w:r>
        <w:tab/>
      </w:r>
    </w:p>
    <w:p w:rsidR="0044663D" w:rsidRDefault="0044663D" w:rsidP="00925576">
      <w:pPr>
        <w:ind w:left="1440"/>
        <w:jc w:val="both"/>
      </w:pPr>
      <w:r>
        <w:t>C. Reports by Traders</w:t>
      </w:r>
    </w:p>
    <w:p w:rsidR="0044663D" w:rsidRDefault="0044663D" w:rsidP="00925576">
      <w:pPr>
        <w:ind w:left="1440"/>
        <w:jc w:val="both"/>
      </w:pPr>
    </w:p>
    <w:p w:rsidR="001B7CDB" w:rsidRDefault="001B7CDB" w:rsidP="00925576">
      <w:pPr>
        <w:ind w:left="1440"/>
        <w:jc w:val="both"/>
      </w:pPr>
      <w:r>
        <w:t xml:space="preserve">Under part 19 of the </w:t>
      </w:r>
      <w:r w:rsidR="009A7B32">
        <w:t xml:space="preserve">Commission’s </w:t>
      </w:r>
      <w:r>
        <w:t>regulations</w:t>
      </w:r>
      <w:r w:rsidR="009A7B32">
        <w:t xml:space="preserve"> (17 CFR part 19)</w:t>
      </w:r>
      <w:r>
        <w:t xml:space="preserve">, approximately </w:t>
      </w:r>
      <w:r w:rsidR="00660F2C">
        <w:t>1</w:t>
      </w:r>
      <w:r w:rsidR="00243326">
        <w:t>35</w:t>
      </w:r>
      <w:r w:rsidR="00660F2C">
        <w:t xml:space="preserve"> </w:t>
      </w:r>
      <w:r w:rsidR="002E70CF">
        <w:t>reportable traders</w:t>
      </w:r>
      <w:r w:rsidR="0044663D">
        <w:t xml:space="preserve"> on average</w:t>
      </w:r>
      <w:r w:rsidR="002E70CF">
        <w:t xml:space="preserve"> must file S</w:t>
      </w:r>
      <w:r>
        <w:t>eries '04 reports. T</w:t>
      </w:r>
      <w:r w:rsidR="002E70CF">
        <w:t>he Commission requires monthly S</w:t>
      </w:r>
      <w:r>
        <w:t xml:space="preserve">eries '04 reports from traders concerning their cash positions in order to verify that traders who own or control futures positions in excess of Federal speculative limits are hedging.  In addition, weekly </w:t>
      </w:r>
      <w:r w:rsidR="002E70CF">
        <w:t xml:space="preserve">Series </w:t>
      </w:r>
      <w:r>
        <w:t>'04 data is collected pertaining to co</w:t>
      </w:r>
      <w:r w:rsidR="00E435A4">
        <w:t xml:space="preserve">tton call purchases and sales. In 2014, </w:t>
      </w:r>
      <w:r w:rsidR="00243326">
        <w:t>3,105</w:t>
      </w:r>
      <w:r w:rsidR="00847BB3">
        <w:t xml:space="preserve"> </w:t>
      </w:r>
      <w:r w:rsidR="00E435A4">
        <w:t xml:space="preserve">responses were filed. </w:t>
      </w:r>
      <w:r w:rsidR="00243326">
        <w:t xml:space="preserve">Each </w:t>
      </w:r>
      <w:r w:rsidR="003E4649">
        <w:t xml:space="preserve">filing </w:t>
      </w:r>
      <w:r w:rsidR="00B04E95">
        <w:t>require</w:t>
      </w:r>
      <w:r w:rsidR="00243326">
        <w:t>d</w:t>
      </w:r>
      <w:r w:rsidR="00B04E95">
        <w:t xml:space="preserve"> approximately 1</w:t>
      </w:r>
      <w:r w:rsidR="00304D8A">
        <w:t>/2</w:t>
      </w:r>
      <w:r w:rsidR="00B04E95">
        <w:t xml:space="preserve"> hour</w:t>
      </w:r>
      <w:r w:rsidR="003E4649">
        <w:t xml:space="preserve"> of response time</w:t>
      </w:r>
      <w:r w:rsidR="00FA2461">
        <w:t xml:space="preserve"> resulting in an aggregate annual burden of 1,</w:t>
      </w:r>
      <w:r w:rsidR="00847BB3">
        <w:t xml:space="preserve">553 </w:t>
      </w:r>
      <w:r w:rsidR="00FA2461">
        <w:t>hours.</w:t>
      </w:r>
      <w:r w:rsidR="00B04E95">
        <w:t xml:space="preserve">  Using a wage rate of $</w:t>
      </w:r>
      <w:r w:rsidR="005132F1">
        <w:t>4</w:t>
      </w:r>
      <w:r w:rsidR="00243326">
        <w:t>2</w:t>
      </w:r>
      <w:r w:rsidR="00FA2461">
        <w:t xml:space="preserve"> per hour</w:t>
      </w:r>
      <w:r w:rsidR="009E7DC1">
        <w:t xml:space="preserve"> </w:t>
      </w:r>
      <w:r w:rsidR="00B04E95">
        <w:t>costs are estimated at $</w:t>
      </w:r>
      <w:r w:rsidR="00243326">
        <w:t>65,</w:t>
      </w:r>
      <w:r w:rsidR="00847BB3">
        <w:t xml:space="preserve">226 </w:t>
      </w:r>
      <w:r w:rsidR="00B04E95">
        <w:t>per annum.</w:t>
      </w:r>
      <w:r w:rsidR="00E435A4">
        <w:t xml:space="preserve"> </w:t>
      </w:r>
    </w:p>
    <w:p w:rsidR="001B7CDB" w:rsidRDefault="001B7CDB" w:rsidP="00925576">
      <w:pPr>
        <w:jc w:val="both"/>
      </w:pPr>
      <w:r>
        <w:tab/>
      </w:r>
    </w:p>
    <w:p w:rsidR="00FA2461" w:rsidRDefault="00931D07" w:rsidP="0044663D">
      <w:pPr>
        <w:keepNext/>
        <w:jc w:val="both"/>
      </w:pPr>
      <w:r>
        <w:t>Based on the above, a</w:t>
      </w:r>
      <w:r w:rsidR="001B7CDB">
        <w:t xml:space="preserve">nnual costs associated with these burden hours </w:t>
      </w:r>
      <w:r w:rsidR="0032330F">
        <w:t>total</w:t>
      </w:r>
      <w:r w:rsidR="001B7CDB">
        <w:t xml:space="preserve"> </w:t>
      </w:r>
      <w:r w:rsidR="0032330F">
        <w:t>$8</w:t>
      </w:r>
      <w:r w:rsidR="00243326">
        <w:t>26,</w:t>
      </w:r>
      <w:r w:rsidR="00945127">
        <w:t>392</w:t>
      </w:r>
      <w:r>
        <w:t xml:space="preserve"> ($48,972 + $711,984 + $210 + 65,226; or $42/hr x 19,676 total burden hours)</w:t>
      </w:r>
      <w:r w:rsidR="001B7CDB">
        <w:t>.</w:t>
      </w:r>
      <w:r w:rsidR="008538D3">
        <w:t xml:space="preserve">  </w:t>
      </w:r>
    </w:p>
    <w:p w:rsidR="001B7CDB" w:rsidRDefault="001B7CDB">
      <w:pPr>
        <w:ind w:left="720" w:hanging="720"/>
        <w:rPr>
          <w:b/>
        </w:rPr>
      </w:pPr>
    </w:p>
    <w:p w:rsidR="001B7CDB" w:rsidRDefault="001B7CDB">
      <w:pPr>
        <w:ind w:left="720" w:hanging="720"/>
        <w:rPr>
          <w:b/>
        </w:rPr>
      </w:pPr>
      <w:r>
        <w:rPr>
          <w:b/>
        </w:rPr>
        <w:t>13.</w:t>
      </w:r>
      <w:r>
        <w:rPr>
          <w:b/>
        </w:rPr>
        <w:tab/>
        <w:t>Provide an estimate of the total annual cost burden to respondents or recordkeepers resulting form the collection of information.  (Do not include the cost of any hour burden shown in Items 12 and 14).</w:t>
      </w:r>
    </w:p>
    <w:p w:rsidR="001B7CDB" w:rsidRDefault="001B7CDB">
      <w:pPr>
        <w:ind w:left="720" w:hanging="720"/>
        <w:rPr>
          <w:b/>
        </w:rPr>
      </w:pPr>
    </w:p>
    <w:p w:rsidR="001B7CDB" w:rsidRDefault="001B7CDB" w:rsidP="00C843C3">
      <w:pPr>
        <w:numPr>
          <w:ilvl w:val="0"/>
          <w:numId w:val="27"/>
        </w:numPr>
        <w:ind w:left="1440" w:hanging="720"/>
        <w:rPr>
          <w:b/>
        </w:rPr>
      </w:pPr>
      <w:r w:rsidRPr="00BE76D8">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E76D8" w:rsidRPr="00BE76D8" w:rsidRDefault="00BE76D8" w:rsidP="00C843C3">
      <w:pPr>
        <w:ind w:left="1440" w:hanging="720"/>
        <w:rPr>
          <w:b/>
        </w:rPr>
      </w:pPr>
    </w:p>
    <w:p w:rsidR="00BE76D8" w:rsidRDefault="001B7CDB" w:rsidP="00C843C3">
      <w:pPr>
        <w:keepNext/>
        <w:numPr>
          <w:ilvl w:val="0"/>
          <w:numId w:val="27"/>
        </w:numPr>
        <w:ind w:left="1440" w:hanging="720"/>
        <w:rPr>
          <w:b/>
        </w:rPr>
      </w:pPr>
      <w:r w:rsidRPr="00BE76D8">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E76D8" w:rsidRDefault="00BE76D8" w:rsidP="00BE76D8">
      <w:pPr>
        <w:pStyle w:val="ListParagraph"/>
        <w:rPr>
          <w:b/>
        </w:rPr>
      </w:pPr>
    </w:p>
    <w:p w:rsidR="003E4649" w:rsidRPr="00BE76D8" w:rsidRDefault="001B7CDB" w:rsidP="00C843C3">
      <w:pPr>
        <w:keepNext/>
        <w:numPr>
          <w:ilvl w:val="0"/>
          <w:numId w:val="27"/>
        </w:numPr>
        <w:ind w:left="1440" w:hanging="720"/>
        <w:rPr>
          <w:b/>
        </w:rPr>
      </w:pPr>
      <w:r w:rsidRPr="00BE76D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E4649" w:rsidRDefault="003E4649" w:rsidP="003E4649">
      <w:pPr>
        <w:keepNext/>
        <w:ind w:left="720"/>
        <w:rPr>
          <w:b/>
        </w:rPr>
      </w:pPr>
    </w:p>
    <w:p w:rsidR="003E4649" w:rsidRDefault="00E13B14" w:rsidP="002F610E">
      <w:pPr>
        <w:keepNext/>
        <w:ind w:left="720"/>
        <w:jc w:val="both"/>
        <w:rPr>
          <w:b/>
        </w:rPr>
      </w:pPr>
      <w:r>
        <w:t>T</w:t>
      </w:r>
      <w:r w:rsidR="002E70CF">
        <w:t>here</w:t>
      </w:r>
      <w:r w:rsidR="001B7CDB">
        <w:t xml:space="preserve"> </w:t>
      </w:r>
      <w:r>
        <w:t>are</w:t>
      </w:r>
      <w:r w:rsidR="002E70CF">
        <w:t xml:space="preserve"> </w:t>
      </w:r>
      <w:r>
        <w:t xml:space="preserve">no applicable </w:t>
      </w:r>
      <w:r w:rsidR="003D25C1">
        <w:t xml:space="preserve">capital, start up, maintenance, or </w:t>
      </w:r>
      <w:r>
        <w:t>purchase of service cost component</w:t>
      </w:r>
      <w:r w:rsidR="003E4649">
        <w:t>.</w:t>
      </w:r>
    </w:p>
    <w:p w:rsidR="003E4649" w:rsidRDefault="003E4649" w:rsidP="00C843C3">
      <w:pPr>
        <w:keepNext/>
        <w:ind w:left="720"/>
        <w:rPr>
          <w:b/>
        </w:rPr>
      </w:pPr>
    </w:p>
    <w:p w:rsidR="001B7CDB" w:rsidRDefault="003E4649" w:rsidP="00C843C3">
      <w:pPr>
        <w:keepNext/>
        <w:ind w:left="720"/>
        <w:jc w:val="both"/>
        <w:rPr>
          <w:b/>
        </w:rPr>
      </w:pPr>
      <w:r>
        <w:t>It is important to note that the information collected under the reporting rules</w:t>
      </w:r>
      <w:r w:rsidR="00FA2461">
        <w:t xml:space="preserve"> </w:t>
      </w:r>
      <w:r>
        <w:t xml:space="preserve">are </w:t>
      </w:r>
      <w:r w:rsidRPr="003E4649">
        <w:t xml:space="preserve">basic transaction records that any </w:t>
      </w:r>
      <w:r>
        <w:t xml:space="preserve">market participant </w:t>
      </w:r>
      <w:r w:rsidRPr="003E4649">
        <w:t>would create as a matter of sound business practices</w:t>
      </w:r>
      <w:r>
        <w:t xml:space="preserve"> in the normal course of business operations and in response to requirements imposed by non-governmental financial self-regulatory bodies</w:t>
      </w:r>
      <w:r w:rsidRPr="003E4649">
        <w:t>.</w:t>
      </w:r>
      <w:r>
        <w:t xml:space="preserve">  </w:t>
      </w:r>
      <w:r w:rsidRPr="003E4649">
        <w:t>Because these records would be</w:t>
      </w:r>
      <w:r>
        <w:t xml:space="preserve"> generated in</w:t>
      </w:r>
      <w:r w:rsidRPr="003E4649">
        <w:t xml:space="preserve"> any event, independently of any regulatory requirements, </w:t>
      </w:r>
      <w:r>
        <w:t xml:space="preserve">we estimate that the reporting rules </w:t>
      </w:r>
      <w:r w:rsidRPr="003E4649">
        <w:t>impose no additional</w:t>
      </w:r>
      <w:r>
        <w:t xml:space="preserve"> material </w:t>
      </w:r>
      <w:r w:rsidRPr="003E4649">
        <w:t xml:space="preserve">costs on </w:t>
      </w:r>
      <w:r>
        <w:t xml:space="preserve">FCMs, </w:t>
      </w:r>
      <w:r w:rsidR="002B4AE2">
        <w:t xml:space="preserve">clearing members, </w:t>
      </w:r>
      <w:r>
        <w:t xml:space="preserve">introducing brokers, members of reporting markets, or </w:t>
      </w:r>
      <w:r w:rsidRPr="003E4649">
        <w:t>foreign brokers</w:t>
      </w:r>
      <w:r w:rsidR="009A7B32">
        <w:t xml:space="preserve"> </w:t>
      </w:r>
      <w:r w:rsidR="00FA2461">
        <w:t xml:space="preserve">or traders </w:t>
      </w:r>
      <w:r w:rsidR="009A7B32">
        <w:t>that relate to recordkeeping and retention</w:t>
      </w:r>
      <w:r>
        <w:t>.</w:t>
      </w:r>
    </w:p>
    <w:p w:rsidR="00653475" w:rsidRDefault="00653475" w:rsidP="00653475">
      <w:pPr>
        <w:keepNext/>
        <w:ind w:left="1440"/>
        <w:jc w:val="both"/>
        <w:rPr>
          <w:b/>
        </w:rPr>
      </w:pPr>
    </w:p>
    <w:p w:rsidR="001B7CDB" w:rsidRDefault="001B7CDB">
      <w:pPr>
        <w:keepNext/>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B7CDB" w:rsidRDefault="001B7CDB">
      <w:pPr>
        <w:ind w:firstLine="720"/>
      </w:pPr>
    </w:p>
    <w:p w:rsidR="001B7CDB" w:rsidRDefault="00FA2461" w:rsidP="0066679A">
      <w:pPr>
        <w:ind w:left="720"/>
        <w:jc w:val="both"/>
      </w:pPr>
      <w:r>
        <w:t>The Commission estimate</w:t>
      </w:r>
      <w:r w:rsidR="009E7DC1">
        <w:t>s that the equivalent of a mix of approximately 3</w:t>
      </w:r>
      <w:r>
        <w:t xml:space="preserve">0 </w:t>
      </w:r>
      <w:r w:rsidR="00C843C3">
        <w:t>Market and Surveillance</w:t>
      </w:r>
      <w:r>
        <w:t xml:space="preserve"> </w:t>
      </w:r>
      <w:r w:rsidR="00C843C3">
        <w:t xml:space="preserve">Analysts </w:t>
      </w:r>
      <w:r>
        <w:t xml:space="preserve">along with technical support staff will expend approximately </w:t>
      </w:r>
      <w:r w:rsidR="00B04A17">
        <w:t>5</w:t>
      </w:r>
      <w:r>
        <w:t xml:space="preserve"> hours per day over 250 trading days </w:t>
      </w:r>
      <w:r w:rsidR="009E7DC1">
        <w:t xml:space="preserve">to collect and </w:t>
      </w:r>
      <w:r>
        <w:t xml:space="preserve">analyze the information </w:t>
      </w:r>
      <w:r w:rsidR="009E7DC1">
        <w:t xml:space="preserve">submitted under </w:t>
      </w:r>
      <w:r>
        <w:t xml:space="preserve">the market and </w:t>
      </w:r>
      <w:r w:rsidR="009E7DC1">
        <w:t xml:space="preserve">large trader reporting rules </w:t>
      </w:r>
      <w:r w:rsidR="00B04A17">
        <w:t>within the Collection</w:t>
      </w:r>
      <w:r w:rsidR="009E7DC1">
        <w:t xml:space="preserve">. </w:t>
      </w:r>
      <w:r w:rsidR="00847BB3">
        <w:t xml:space="preserve"> </w:t>
      </w:r>
      <w:r w:rsidR="00B04A17">
        <w:t>This is a reduction in the burden estimate commensurate with the removal of certain provisions of the Collection to OMB Control No. 3038-0103.</w:t>
      </w:r>
      <w:r w:rsidR="009E7DC1">
        <w:t xml:space="preserve"> </w:t>
      </w:r>
      <w:r w:rsidR="00847BB3">
        <w:t xml:space="preserve"> </w:t>
      </w:r>
      <w:r>
        <w:t xml:space="preserve">At an average salary rate of $55 per hour for a full-time employee, the Commission estimates that the cost to the government </w:t>
      </w:r>
      <w:r w:rsidR="009E7DC1">
        <w:t>will be $</w:t>
      </w:r>
      <w:r w:rsidR="00B04A17">
        <w:t>2,062</w:t>
      </w:r>
      <w:r>
        <w:t>,</w:t>
      </w:r>
      <w:r w:rsidR="00B04A17">
        <w:t>5</w:t>
      </w:r>
      <w:r>
        <w:t xml:space="preserve">00 annually.  </w:t>
      </w:r>
    </w:p>
    <w:p w:rsidR="001B7CDB" w:rsidRDefault="001B7CDB">
      <w:pPr>
        <w:ind w:firstLine="720"/>
      </w:pPr>
    </w:p>
    <w:p w:rsidR="001B7CDB" w:rsidRDefault="001B7CDB">
      <w:pPr>
        <w:keepNext/>
        <w:ind w:left="720" w:hanging="720"/>
        <w:rPr>
          <w:b/>
        </w:rPr>
      </w:pPr>
      <w:r>
        <w:rPr>
          <w:b/>
        </w:rPr>
        <w:t>15.</w:t>
      </w:r>
      <w:r>
        <w:rPr>
          <w:b/>
        </w:rPr>
        <w:tab/>
        <w:t>Explain the reasons for any program changes or adjustments reported in Items 13 or 14 of the OMB Form 83-I.</w:t>
      </w:r>
    </w:p>
    <w:p w:rsidR="002E70CF" w:rsidRDefault="002E70CF">
      <w:pPr>
        <w:keepNext/>
        <w:ind w:left="720" w:hanging="720"/>
        <w:rPr>
          <w:b/>
        </w:rPr>
      </w:pPr>
    </w:p>
    <w:p w:rsidR="0032330F" w:rsidRDefault="002E70CF">
      <w:pPr>
        <w:keepNext/>
        <w:ind w:left="720" w:hanging="720"/>
      </w:pPr>
      <w:r>
        <w:rPr>
          <w:b/>
        </w:rPr>
        <w:tab/>
      </w:r>
    </w:p>
    <w:p w:rsidR="002E70CF" w:rsidRPr="002E70CF" w:rsidRDefault="0032330F" w:rsidP="0066679A">
      <w:pPr>
        <w:keepNext/>
        <w:ind w:left="720" w:hanging="720"/>
        <w:jc w:val="both"/>
      </w:pPr>
      <w:r>
        <w:tab/>
      </w:r>
      <w:r w:rsidR="00386713">
        <w:t>C</w:t>
      </w:r>
      <w:r>
        <w:t>hanges in Items 13 or 14 of the OMB Form 83-I are due to the Commission altering the current figures to provide a more accurate estimate of the associated burdens</w:t>
      </w:r>
      <w:r w:rsidR="00386713">
        <w:t xml:space="preserve"> and wages</w:t>
      </w:r>
      <w:r>
        <w:t xml:space="preserve">. The Commission revised the burden estimates housed in the Collection by reviewing summary statistics regarding the previous year’s submissions of the required forms, as described above in Question 12. </w:t>
      </w:r>
    </w:p>
    <w:p w:rsidR="001B7CDB" w:rsidRDefault="001B7CDB">
      <w:pPr>
        <w:keepNext/>
        <w:ind w:left="720" w:hanging="720"/>
        <w:rPr>
          <w:b/>
        </w:rPr>
      </w:pPr>
    </w:p>
    <w:p w:rsidR="001B7CDB" w:rsidRDefault="001B7CDB">
      <w:pPr>
        <w:keepNext/>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1B7CDB" w:rsidRDefault="001B7CDB">
      <w:pPr>
        <w:ind w:firstLine="720"/>
      </w:pPr>
    </w:p>
    <w:p w:rsidR="001B7CDB" w:rsidRDefault="001B7CDB">
      <w:pPr>
        <w:ind w:firstLine="720"/>
      </w:pPr>
      <w:r>
        <w:t>This question does not apply.</w:t>
      </w:r>
    </w:p>
    <w:p w:rsidR="001B7CDB" w:rsidRDefault="001B7CDB">
      <w:pPr>
        <w:ind w:firstLine="720"/>
      </w:pPr>
    </w:p>
    <w:p w:rsidR="001B7CDB" w:rsidRDefault="001B7CDB">
      <w:pPr>
        <w:keepNext/>
        <w:ind w:left="720" w:hanging="720"/>
        <w:rPr>
          <w:b/>
        </w:rPr>
      </w:pPr>
      <w:r>
        <w:rPr>
          <w:b/>
        </w:rPr>
        <w:t>17.</w:t>
      </w:r>
      <w:r>
        <w:rPr>
          <w:b/>
        </w:rPr>
        <w:tab/>
        <w:t>If seeking approval to not display the expiration date for OMB approval of the information collection, explain the reasons that display would be inappropriate.</w:t>
      </w:r>
    </w:p>
    <w:p w:rsidR="001B7CDB" w:rsidRDefault="001B7CDB">
      <w:pPr>
        <w:ind w:firstLine="720"/>
      </w:pPr>
    </w:p>
    <w:p w:rsidR="001B7CDB" w:rsidRDefault="001B7CDB">
      <w:pPr>
        <w:ind w:firstLine="720"/>
      </w:pPr>
      <w:r>
        <w:t>This question does not apply.</w:t>
      </w:r>
    </w:p>
    <w:p w:rsidR="001B7CDB" w:rsidRDefault="001B7CDB">
      <w:pPr>
        <w:ind w:firstLine="720"/>
      </w:pPr>
    </w:p>
    <w:p w:rsidR="001B7CDB" w:rsidRDefault="001B7CDB">
      <w:pPr>
        <w:keepNext/>
        <w:numPr>
          <w:ilvl w:val="0"/>
          <w:numId w:val="17"/>
        </w:numPr>
        <w:rPr>
          <w:b/>
        </w:rPr>
      </w:pPr>
      <w:r>
        <w:rPr>
          <w:b/>
        </w:rPr>
        <w:t>Explain each exception to the certification statement identified in Item 19, "Certification for Paperwork Reduction Act Submissions," of OMB Form 83-I.</w:t>
      </w:r>
    </w:p>
    <w:p w:rsidR="001B7CDB" w:rsidRDefault="001B7CDB">
      <w:pPr>
        <w:ind w:firstLine="720"/>
      </w:pPr>
    </w:p>
    <w:p w:rsidR="008300BF" w:rsidRDefault="009E7DC1" w:rsidP="0066679A">
      <w:pPr>
        <w:ind w:left="720"/>
        <w:jc w:val="both"/>
      </w:pPr>
      <w:r w:rsidRPr="009E7DC1">
        <w:t>There are no exceptions to the certification statement.  The Commission is able to certify compliance with the provisions of 5 CFR 1320.9.</w:t>
      </w:r>
    </w:p>
    <w:p w:rsidR="001D0C6E" w:rsidRDefault="001D0C6E" w:rsidP="008B121B">
      <w:pPr>
        <w:jc w:val="center"/>
      </w:pPr>
    </w:p>
    <w:p w:rsidR="008B121B" w:rsidRDefault="008B121B">
      <w:r>
        <w:br w:type="page"/>
      </w:r>
    </w:p>
    <w:p w:rsidR="001D0C6E" w:rsidRPr="0098639B" w:rsidRDefault="001D0C6E" w:rsidP="008B121B">
      <w:pPr>
        <w:keepNext/>
        <w:jc w:val="center"/>
        <w:rPr>
          <w:b/>
        </w:rPr>
      </w:pPr>
      <w:r w:rsidRPr="0098639B">
        <w:rPr>
          <w:b/>
        </w:rPr>
        <w:t xml:space="preserve">Attachment A </w:t>
      </w:r>
    </w:p>
    <w:p w:rsidR="001D0C6E" w:rsidRDefault="001D0C6E" w:rsidP="008B121B">
      <w:pPr>
        <w:keepNext/>
        <w:jc w:val="center"/>
      </w:pPr>
    </w:p>
    <w:p w:rsidR="001D0C6E" w:rsidRDefault="001D0C6E" w:rsidP="001D0C6E">
      <w:pPr>
        <w:keepNext/>
        <w:jc w:val="both"/>
      </w:pPr>
      <w:r>
        <w:t>The following chart summarizes the burden hours for this information collection.</w:t>
      </w:r>
      <w:r w:rsidR="00641306">
        <w:t xml:space="preserve"> </w:t>
      </w:r>
      <w:r>
        <w:t>Annual costs associated with these burden hours total $826,392</w:t>
      </w:r>
      <w:r w:rsidR="00931D07">
        <w:t xml:space="preserve"> ($42/hr. x 19,676 hrs.)</w:t>
      </w:r>
      <w:r>
        <w:t xml:space="preserve">.  </w:t>
      </w:r>
    </w:p>
    <w:p w:rsidR="001D0C6E" w:rsidRDefault="001D0C6E" w:rsidP="008B121B">
      <w:pPr>
        <w:jc w:val="center"/>
      </w:pPr>
    </w:p>
    <w:tbl>
      <w:tblPr>
        <w:tblW w:w="0" w:type="auto"/>
        <w:jc w:val="center"/>
        <w:tblCellMar>
          <w:left w:w="0" w:type="dxa"/>
          <w:right w:w="0" w:type="dxa"/>
        </w:tblCellMar>
        <w:tblLook w:val="0000" w:firstRow="0" w:lastRow="0" w:firstColumn="0" w:lastColumn="0" w:noHBand="0" w:noVBand="0"/>
      </w:tblPr>
      <w:tblGrid>
        <w:gridCol w:w="1401"/>
        <w:gridCol w:w="1548"/>
        <w:gridCol w:w="1427"/>
        <w:gridCol w:w="1372"/>
        <w:gridCol w:w="1371"/>
        <w:gridCol w:w="1296"/>
        <w:gridCol w:w="1161"/>
      </w:tblGrid>
      <w:tr w:rsidR="008B121B" w:rsidTr="008C04B2">
        <w:trPr>
          <w:jc w:val="center"/>
        </w:trPr>
        <w:tc>
          <w:tcPr>
            <w:tcW w:w="1401" w:type="dxa"/>
            <w:tcBorders>
              <w:top w:val="nil"/>
              <w:left w:val="nil"/>
              <w:bottom w:val="double" w:sz="4" w:space="0" w:color="auto"/>
              <w:right w:val="nil"/>
            </w:tcBorders>
            <w:tcMar>
              <w:top w:w="0" w:type="dxa"/>
              <w:left w:w="108" w:type="dxa"/>
              <w:bottom w:w="0" w:type="dxa"/>
              <w:right w:w="108" w:type="dxa"/>
            </w:tcMar>
            <w:vAlign w:val="center"/>
          </w:tcPr>
          <w:p w:rsidR="008B121B" w:rsidRDefault="008B121B" w:rsidP="008C04B2">
            <w:pPr>
              <w:keepNext/>
              <w:jc w:val="center"/>
              <w:rPr>
                <w:rFonts w:ascii="Arial" w:hAnsi="Arial" w:cs="Arial"/>
                <w:sz w:val="16"/>
                <w:szCs w:val="16"/>
              </w:rPr>
            </w:pPr>
          </w:p>
        </w:tc>
        <w:tc>
          <w:tcPr>
            <w:tcW w:w="1548" w:type="dxa"/>
            <w:tcBorders>
              <w:top w:val="nil"/>
              <w:left w:val="nil"/>
              <w:bottom w:val="double" w:sz="4" w:space="0" w:color="auto"/>
              <w:right w:val="nil"/>
            </w:tcBorders>
            <w:tcMar>
              <w:top w:w="0" w:type="dxa"/>
              <w:left w:w="108" w:type="dxa"/>
              <w:bottom w:w="0" w:type="dxa"/>
              <w:right w:w="108" w:type="dxa"/>
            </w:tcMar>
            <w:vAlign w:val="center"/>
          </w:tcPr>
          <w:p w:rsidR="008B121B" w:rsidRDefault="008B121B" w:rsidP="008C04B2">
            <w:pPr>
              <w:keepNext/>
              <w:jc w:val="center"/>
              <w:rPr>
                <w:rFonts w:ascii="Arial" w:hAnsi="Arial" w:cs="Arial"/>
                <w:sz w:val="16"/>
                <w:szCs w:val="16"/>
              </w:rPr>
            </w:pPr>
            <w:r>
              <w:rPr>
                <w:rFonts w:ascii="Arial" w:hAnsi="Arial" w:cs="Arial"/>
                <w:sz w:val="16"/>
                <w:szCs w:val="16"/>
              </w:rPr>
              <w:t>b</w:t>
            </w:r>
          </w:p>
        </w:tc>
        <w:tc>
          <w:tcPr>
            <w:tcW w:w="1427" w:type="dxa"/>
            <w:tcBorders>
              <w:top w:val="nil"/>
              <w:left w:val="nil"/>
              <w:bottom w:val="double" w:sz="4" w:space="0" w:color="auto"/>
              <w:right w:val="nil"/>
            </w:tcBorders>
            <w:tcMar>
              <w:top w:w="0" w:type="dxa"/>
              <w:left w:w="108" w:type="dxa"/>
              <w:bottom w:w="0" w:type="dxa"/>
              <w:right w:w="108" w:type="dxa"/>
            </w:tcMar>
            <w:vAlign w:val="center"/>
          </w:tcPr>
          <w:p w:rsidR="008B121B" w:rsidRDefault="008B121B" w:rsidP="008C04B2">
            <w:pPr>
              <w:keepNext/>
              <w:jc w:val="center"/>
              <w:rPr>
                <w:rFonts w:ascii="Arial" w:hAnsi="Arial" w:cs="Arial"/>
                <w:sz w:val="16"/>
                <w:szCs w:val="16"/>
              </w:rPr>
            </w:pPr>
            <w:r>
              <w:rPr>
                <w:rFonts w:ascii="Arial" w:hAnsi="Arial" w:cs="Arial"/>
                <w:sz w:val="16"/>
                <w:szCs w:val="16"/>
              </w:rPr>
              <w:t>c</w:t>
            </w:r>
          </w:p>
        </w:tc>
        <w:tc>
          <w:tcPr>
            <w:tcW w:w="1372" w:type="dxa"/>
            <w:tcBorders>
              <w:top w:val="nil"/>
              <w:left w:val="nil"/>
              <w:bottom w:val="double" w:sz="4" w:space="0" w:color="auto"/>
              <w:right w:val="nil"/>
            </w:tcBorders>
            <w:tcMar>
              <w:top w:w="0" w:type="dxa"/>
              <w:left w:w="108" w:type="dxa"/>
              <w:bottom w:w="0" w:type="dxa"/>
              <w:right w:w="108" w:type="dxa"/>
            </w:tcMar>
            <w:vAlign w:val="center"/>
          </w:tcPr>
          <w:p w:rsidR="008B121B" w:rsidRDefault="008B121B" w:rsidP="008C04B2">
            <w:pPr>
              <w:keepNext/>
              <w:jc w:val="center"/>
              <w:rPr>
                <w:rFonts w:ascii="Arial" w:hAnsi="Arial" w:cs="Arial"/>
                <w:sz w:val="16"/>
                <w:szCs w:val="16"/>
              </w:rPr>
            </w:pPr>
            <w:r>
              <w:rPr>
                <w:rFonts w:ascii="Arial" w:hAnsi="Arial" w:cs="Arial"/>
                <w:sz w:val="16"/>
                <w:szCs w:val="16"/>
              </w:rPr>
              <w:t>d</w:t>
            </w:r>
          </w:p>
        </w:tc>
        <w:tc>
          <w:tcPr>
            <w:tcW w:w="1371" w:type="dxa"/>
            <w:tcBorders>
              <w:top w:val="nil"/>
              <w:left w:val="nil"/>
              <w:bottom w:val="double" w:sz="4" w:space="0" w:color="auto"/>
              <w:right w:val="nil"/>
            </w:tcBorders>
            <w:tcMar>
              <w:top w:w="0" w:type="dxa"/>
              <w:left w:w="108" w:type="dxa"/>
              <w:bottom w:w="0" w:type="dxa"/>
              <w:right w:w="108" w:type="dxa"/>
            </w:tcMar>
            <w:vAlign w:val="center"/>
          </w:tcPr>
          <w:p w:rsidR="008B121B" w:rsidRDefault="008B121B" w:rsidP="008C04B2">
            <w:pPr>
              <w:keepNext/>
              <w:jc w:val="center"/>
              <w:rPr>
                <w:rFonts w:ascii="Arial" w:hAnsi="Arial" w:cs="Arial"/>
                <w:sz w:val="16"/>
                <w:szCs w:val="16"/>
              </w:rPr>
            </w:pPr>
            <w:r>
              <w:rPr>
                <w:rFonts w:ascii="Arial" w:hAnsi="Arial" w:cs="Arial"/>
                <w:sz w:val="16"/>
                <w:szCs w:val="16"/>
              </w:rPr>
              <w:t>e</w:t>
            </w:r>
            <w:r>
              <w:rPr>
                <w:rStyle w:val="FootnoteReference"/>
                <w:rFonts w:ascii="Arial" w:hAnsi="Arial" w:cs="Arial"/>
                <w:sz w:val="16"/>
                <w:szCs w:val="16"/>
              </w:rPr>
              <w:footnoteReference w:id="8"/>
            </w:r>
          </w:p>
        </w:tc>
        <w:tc>
          <w:tcPr>
            <w:tcW w:w="1296" w:type="dxa"/>
            <w:tcBorders>
              <w:top w:val="nil"/>
              <w:left w:val="nil"/>
              <w:bottom w:val="double" w:sz="4" w:space="0" w:color="auto"/>
              <w:right w:val="nil"/>
            </w:tcBorders>
            <w:tcMar>
              <w:top w:w="0" w:type="dxa"/>
              <w:left w:w="108" w:type="dxa"/>
              <w:bottom w:w="0" w:type="dxa"/>
              <w:right w:w="108" w:type="dxa"/>
            </w:tcMar>
            <w:vAlign w:val="center"/>
          </w:tcPr>
          <w:p w:rsidR="008B121B" w:rsidRDefault="008B121B" w:rsidP="008C04B2">
            <w:pPr>
              <w:keepNext/>
              <w:jc w:val="center"/>
              <w:rPr>
                <w:rFonts w:ascii="Arial" w:hAnsi="Arial" w:cs="Arial"/>
                <w:sz w:val="16"/>
                <w:szCs w:val="16"/>
              </w:rPr>
            </w:pPr>
            <w:r>
              <w:rPr>
                <w:rFonts w:ascii="Arial" w:hAnsi="Arial" w:cs="Arial"/>
                <w:sz w:val="16"/>
                <w:szCs w:val="16"/>
              </w:rPr>
              <w:t>f</w:t>
            </w:r>
          </w:p>
        </w:tc>
        <w:tc>
          <w:tcPr>
            <w:tcW w:w="1161" w:type="dxa"/>
            <w:tcBorders>
              <w:top w:val="nil"/>
              <w:left w:val="nil"/>
              <w:bottom w:val="double" w:sz="4" w:space="0" w:color="auto"/>
              <w:right w:val="nil"/>
            </w:tcBorders>
            <w:tcMar>
              <w:top w:w="0" w:type="dxa"/>
              <w:left w:w="108" w:type="dxa"/>
              <w:bottom w:w="0" w:type="dxa"/>
              <w:right w:w="108" w:type="dxa"/>
            </w:tcMar>
            <w:vAlign w:val="center"/>
          </w:tcPr>
          <w:p w:rsidR="008B121B" w:rsidRDefault="008B121B" w:rsidP="008C04B2">
            <w:pPr>
              <w:keepNext/>
              <w:jc w:val="center"/>
              <w:rPr>
                <w:rFonts w:ascii="Arial" w:hAnsi="Arial" w:cs="Arial"/>
                <w:sz w:val="16"/>
                <w:szCs w:val="16"/>
              </w:rPr>
            </w:pPr>
            <w:r>
              <w:rPr>
                <w:rFonts w:ascii="Arial" w:hAnsi="Arial" w:cs="Arial"/>
                <w:sz w:val="16"/>
                <w:szCs w:val="16"/>
              </w:rPr>
              <w:t>g</w:t>
            </w:r>
            <w:r>
              <w:rPr>
                <w:rStyle w:val="FootnoteReference"/>
                <w:rFonts w:ascii="Arial" w:hAnsi="Arial" w:cs="Arial"/>
                <w:sz w:val="16"/>
                <w:szCs w:val="16"/>
              </w:rPr>
              <w:footnoteReference w:id="9"/>
            </w:r>
          </w:p>
        </w:tc>
      </w:tr>
      <w:tr w:rsidR="008B121B" w:rsidTr="008C04B2">
        <w:trPr>
          <w:jc w:val="center"/>
        </w:trPr>
        <w:tc>
          <w:tcPr>
            <w:tcW w:w="1401"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b/>
                <w:bCs/>
                <w:sz w:val="20"/>
                <w:szCs w:val="20"/>
              </w:rPr>
            </w:pPr>
            <w:r>
              <w:rPr>
                <w:rFonts w:ascii="Arial" w:hAnsi="Arial" w:cs="Arial"/>
                <w:b/>
                <w:bCs/>
                <w:sz w:val="20"/>
                <w:szCs w:val="20"/>
              </w:rPr>
              <w:t>Type of Respondent</w:t>
            </w:r>
          </w:p>
        </w:tc>
        <w:tc>
          <w:tcPr>
            <w:tcW w:w="1548" w:type="dxa"/>
            <w:tcBorders>
              <w:top w:val="nil"/>
              <w:left w:val="nil"/>
              <w:bottom w:val="double" w:sz="4"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b/>
                <w:bCs/>
                <w:sz w:val="20"/>
                <w:szCs w:val="20"/>
              </w:rPr>
            </w:pPr>
            <w:r>
              <w:rPr>
                <w:rFonts w:ascii="Arial" w:hAnsi="Arial" w:cs="Arial"/>
                <w:b/>
                <w:bCs/>
                <w:sz w:val="20"/>
                <w:szCs w:val="20"/>
              </w:rPr>
              <w:t>Estimated Number of Respondents</w:t>
            </w:r>
          </w:p>
        </w:tc>
        <w:tc>
          <w:tcPr>
            <w:tcW w:w="1427" w:type="dxa"/>
            <w:tcBorders>
              <w:top w:val="nil"/>
              <w:left w:val="nil"/>
              <w:bottom w:val="double" w:sz="4"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b/>
                <w:bCs/>
                <w:sz w:val="20"/>
                <w:szCs w:val="20"/>
              </w:rPr>
            </w:pPr>
            <w:r>
              <w:rPr>
                <w:rFonts w:ascii="Arial" w:hAnsi="Arial" w:cs="Arial"/>
                <w:b/>
                <w:bCs/>
                <w:sz w:val="20"/>
                <w:szCs w:val="20"/>
              </w:rPr>
              <w:t>Report or Record</w:t>
            </w:r>
          </w:p>
        </w:tc>
        <w:tc>
          <w:tcPr>
            <w:tcW w:w="1372" w:type="dxa"/>
            <w:tcBorders>
              <w:top w:val="nil"/>
              <w:left w:val="nil"/>
              <w:bottom w:val="double" w:sz="4"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b/>
                <w:bCs/>
                <w:sz w:val="20"/>
                <w:szCs w:val="20"/>
              </w:rPr>
            </w:pPr>
            <w:r>
              <w:rPr>
                <w:rFonts w:ascii="Arial" w:hAnsi="Arial" w:cs="Arial"/>
                <w:b/>
                <w:bCs/>
                <w:sz w:val="20"/>
                <w:szCs w:val="20"/>
              </w:rPr>
              <w:t>Average Reports Annually by Each Respondent</w:t>
            </w:r>
          </w:p>
        </w:tc>
        <w:tc>
          <w:tcPr>
            <w:tcW w:w="1371" w:type="dxa"/>
            <w:tcBorders>
              <w:top w:val="nil"/>
              <w:left w:val="nil"/>
              <w:bottom w:val="double" w:sz="4"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b/>
                <w:bCs/>
                <w:sz w:val="20"/>
                <w:szCs w:val="20"/>
              </w:rPr>
            </w:pPr>
            <w:r>
              <w:rPr>
                <w:rFonts w:ascii="Arial" w:hAnsi="Arial" w:cs="Arial"/>
                <w:b/>
                <w:bCs/>
                <w:sz w:val="20"/>
                <w:szCs w:val="20"/>
              </w:rPr>
              <w:t>Total Annual Responses</w:t>
            </w:r>
          </w:p>
        </w:tc>
        <w:tc>
          <w:tcPr>
            <w:tcW w:w="1296" w:type="dxa"/>
            <w:tcBorders>
              <w:top w:val="nil"/>
              <w:left w:val="nil"/>
              <w:bottom w:val="double" w:sz="4"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b/>
                <w:bCs/>
                <w:sz w:val="20"/>
                <w:szCs w:val="20"/>
              </w:rPr>
            </w:pPr>
            <w:r>
              <w:rPr>
                <w:rFonts w:ascii="Arial" w:hAnsi="Arial" w:cs="Arial"/>
                <w:b/>
                <w:bCs/>
                <w:sz w:val="20"/>
                <w:szCs w:val="20"/>
              </w:rPr>
              <w:t>Estimated Number of Hours Per Response</w:t>
            </w:r>
          </w:p>
        </w:tc>
        <w:tc>
          <w:tcPr>
            <w:tcW w:w="1161" w:type="dxa"/>
            <w:tcBorders>
              <w:top w:val="nil"/>
              <w:left w:val="nil"/>
              <w:bottom w:val="double" w:sz="4" w:space="0" w:color="auto"/>
              <w:right w:val="double" w:sz="4"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b/>
                <w:bCs/>
                <w:sz w:val="20"/>
                <w:szCs w:val="20"/>
              </w:rPr>
            </w:pPr>
            <w:r>
              <w:rPr>
                <w:rFonts w:ascii="Arial" w:hAnsi="Arial" w:cs="Arial"/>
                <w:b/>
                <w:bCs/>
                <w:sz w:val="20"/>
                <w:szCs w:val="20"/>
              </w:rPr>
              <w:t>Annual Burden in Fiscal Year</w:t>
            </w:r>
          </w:p>
        </w:tc>
      </w:tr>
      <w:tr w:rsidR="008B121B" w:rsidTr="008C04B2">
        <w:trPr>
          <w:jc w:val="center"/>
        </w:trPr>
        <w:tc>
          <w:tcPr>
            <w:tcW w:w="1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rPr>
                <w:rFonts w:ascii="Arial" w:hAnsi="Arial" w:cs="Arial"/>
                <w:sz w:val="20"/>
                <w:szCs w:val="20"/>
              </w:rPr>
            </w:pPr>
            <w:r>
              <w:rPr>
                <w:rFonts w:ascii="Arial" w:hAnsi="Arial" w:cs="Arial"/>
                <w:sz w:val="20"/>
                <w:szCs w:val="20"/>
              </w:rPr>
              <w:t>Reporting Markets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14</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R. 16.00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250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3,500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0.333</w:t>
            </w:r>
          </w:p>
        </w:tc>
        <w:tc>
          <w:tcPr>
            <w:tcW w:w="1161" w:type="dxa"/>
            <w:tcBorders>
              <w:top w:val="nil"/>
              <w:left w:val="nil"/>
              <w:bottom w:val="single" w:sz="8" w:space="0" w:color="auto"/>
              <w:right w:val="double" w:sz="4"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1,166</w:t>
            </w:r>
          </w:p>
        </w:tc>
      </w:tr>
      <w:tr w:rsidR="008B121B" w:rsidTr="008C04B2">
        <w:trPr>
          <w:jc w:val="center"/>
        </w:trPr>
        <w:tc>
          <w:tcPr>
            <w:tcW w:w="1401"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rPr>
                <w:rFonts w:ascii="Arial" w:hAnsi="Arial" w:cs="Arial"/>
                <w:sz w:val="20"/>
                <w:szCs w:val="20"/>
              </w:rPr>
            </w:pPr>
            <w:r>
              <w:rPr>
                <w:rFonts w:ascii="Arial" w:hAnsi="Arial" w:cs="Arial"/>
                <w:sz w:val="20"/>
                <w:szCs w:val="20"/>
              </w:rPr>
              <w:t>Reporting Firms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326</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R. 17.00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208</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67,808</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0.25</w:t>
            </w:r>
          </w:p>
        </w:tc>
        <w:tc>
          <w:tcPr>
            <w:tcW w:w="1161" w:type="dxa"/>
            <w:tcBorders>
              <w:top w:val="nil"/>
              <w:left w:val="nil"/>
              <w:bottom w:val="single" w:sz="8" w:space="0" w:color="auto"/>
              <w:right w:val="double" w:sz="4"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16,952</w:t>
            </w:r>
          </w:p>
        </w:tc>
      </w:tr>
      <w:tr w:rsidR="008B121B" w:rsidTr="008C04B2">
        <w:trPr>
          <w:jc w:val="center"/>
        </w:trPr>
        <w:tc>
          <w:tcPr>
            <w:tcW w:w="140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rPr>
                <w:rFonts w:ascii="Arial" w:hAnsi="Arial" w:cs="Arial"/>
                <w:sz w:val="20"/>
                <w:szCs w:val="20"/>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5</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 xml:space="preserve">Part 21 </w:t>
            </w:r>
          </w:p>
          <w:p w:rsidR="008B121B" w:rsidRDefault="008B121B" w:rsidP="008C04B2">
            <w:pPr>
              <w:keepNext/>
              <w:jc w:val="center"/>
              <w:rPr>
                <w:rFonts w:ascii="Arial" w:hAnsi="Arial" w:cs="Arial"/>
                <w:sz w:val="20"/>
                <w:szCs w:val="20"/>
              </w:rPr>
            </w:pPr>
            <w:r>
              <w:rPr>
                <w:rFonts w:ascii="Arial" w:hAnsi="Arial" w:cs="Arial"/>
                <w:sz w:val="20"/>
                <w:szCs w:val="20"/>
              </w:rPr>
              <w:t>Special Calls</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5</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w:t>
            </w:r>
          </w:p>
        </w:tc>
        <w:tc>
          <w:tcPr>
            <w:tcW w:w="1161" w:type="dxa"/>
            <w:tcBorders>
              <w:top w:val="nil"/>
              <w:left w:val="nil"/>
              <w:bottom w:val="single" w:sz="8" w:space="0" w:color="auto"/>
              <w:right w:val="double" w:sz="4"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5</w:t>
            </w:r>
          </w:p>
        </w:tc>
      </w:tr>
      <w:tr w:rsidR="008B121B" w:rsidTr="008C04B2">
        <w:trPr>
          <w:jc w:val="center"/>
        </w:trPr>
        <w:tc>
          <w:tcPr>
            <w:tcW w:w="1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rPr>
                <w:rFonts w:ascii="Arial" w:hAnsi="Arial" w:cs="Arial"/>
                <w:sz w:val="20"/>
                <w:szCs w:val="20"/>
              </w:rPr>
            </w:pPr>
            <w:r>
              <w:rPr>
                <w:rFonts w:ascii="Arial" w:hAnsi="Arial" w:cs="Arial"/>
                <w:sz w:val="20"/>
                <w:szCs w:val="20"/>
              </w:rPr>
              <w:t>Traders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135</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 xml:space="preserve">Part 19 </w:t>
            </w:r>
          </w:p>
          <w:p w:rsidR="008B121B" w:rsidRDefault="008B121B" w:rsidP="008C04B2">
            <w:pPr>
              <w:keepNext/>
              <w:jc w:val="center"/>
              <w:rPr>
                <w:rFonts w:ascii="Arial" w:hAnsi="Arial" w:cs="Arial"/>
                <w:sz w:val="20"/>
                <w:szCs w:val="20"/>
              </w:rPr>
            </w:pPr>
            <w:r>
              <w:rPr>
                <w:rFonts w:ascii="Arial" w:hAnsi="Arial" w:cs="Arial"/>
                <w:sz w:val="20"/>
                <w:szCs w:val="20"/>
              </w:rPr>
              <w:t>(Forms 204 &amp; 304)</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23</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3,105</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0.5</w:t>
            </w:r>
          </w:p>
        </w:tc>
        <w:tc>
          <w:tcPr>
            <w:tcW w:w="1161" w:type="dxa"/>
            <w:tcBorders>
              <w:top w:val="nil"/>
              <w:left w:val="nil"/>
              <w:bottom w:val="single" w:sz="8" w:space="0" w:color="auto"/>
              <w:right w:val="double" w:sz="4"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1,553</w:t>
            </w:r>
          </w:p>
        </w:tc>
      </w:tr>
      <w:tr w:rsidR="008B121B" w:rsidTr="008C04B2">
        <w:trPr>
          <w:jc w:val="center"/>
        </w:trPr>
        <w:tc>
          <w:tcPr>
            <w:tcW w:w="140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rPr>
                <w:rFonts w:ascii="Arial" w:hAnsi="Arial" w:cs="Arial"/>
                <w:sz w:val="20"/>
                <w:szCs w:val="20"/>
              </w:rPr>
            </w:pPr>
          </w:p>
        </w:tc>
        <w:tc>
          <w:tcPr>
            <w:tcW w:w="154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4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37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371"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29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161" w:type="dxa"/>
            <w:tcBorders>
              <w:top w:val="nil"/>
              <w:left w:val="nil"/>
              <w:bottom w:val="single" w:sz="8" w:space="0" w:color="auto"/>
              <w:right w:val="double" w:sz="4"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r>
      <w:tr w:rsidR="008B121B" w:rsidTr="008C04B2">
        <w:trPr>
          <w:jc w:val="center"/>
        </w:trPr>
        <w:tc>
          <w:tcPr>
            <w:tcW w:w="1401" w:type="dxa"/>
            <w:tcBorders>
              <w:top w:val="nil"/>
              <w:left w:val="single" w:sz="8" w:space="0" w:color="auto"/>
              <w:bottom w:val="nil"/>
              <w:right w:val="single" w:sz="8" w:space="0" w:color="auto"/>
            </w:tcBorders>
            <w:tcMar>
              <w:top w:w="0" w:type="dxa"/>
              <w:left w:w="108" w:type="dxa"/>
              <w:bottom w:w="0" w:type="dxa"/>
              <w:right w:w="108" w:type="dxa"/>
            </w:tcMar>
            <w:vAlign w:val="center"/>
          </w:tcPr>
          <w:p w:rsidR="008B121B" w:rsidRDefault="008B121B" w:rsidP="008C04B2">
            <w:pPr>
              <w:keepNext/>
              <w:rPr>
                <w:rFonts w:ascii="Arial" w:hAnsi="Arial" w:cs="Arial"/>
                <w:sz w:val="20"/>
                <w:szCs w:val="20"/>
              </w:rPr>
            </w:pPr>
            <w:r>
              <w:rPr>
                <w:rFonts w:ascii="Arial" w:hAnsi="Arial" w:cs="Arial"/>
                <w:sz w:val="20"/>
                <w:szCs w:val="20"/>
              </w:rPr>
              <w:t>Total</w:t>
            </w:r>
          </w:p>
        </w:tc>
        <w:tc>
          <w:tcPr>
            <w:tcW w:w="1548" w:type="dxa"/>
            <w:tcBorders>
              <w:top w:val="nil"/>
              <w:left w:val="nil"/>
              <w:bottom w:val="nil"/>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480 (distinct entities or persons)</w:t>
            </w:r>
          </w:p>
        </w:tc>
        <w:tc>
          <w:tcPr>
            <w:tcW w:w="1427" w:type="dxa"/>
            <w:tcBorders>
              <w:top w:val="nil"/>
              <w:left w:val="nil"/>
              <w:bottom w:val="nil"/>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372" w:type="dxa"/>
            <w:tcBorders>
              <w:top w:val="nil"/>
              <w:left w:val="nil"/>
              <w:bottom w:val="nil"/>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371" w:type="dxa"/>
            <w:tcBorders>
              <w:top w:val="nil"/>
              <w:left w:val="nil"/>
              <w:bottom w:val="nil"/>
              <w:right w:val="single" w:sz="8"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74,418</w:t>
            </w:r>
          </w:p>
          <w:p w:rsidR="008B121B" w:rsidRDefault="008B121B" w:rsidP="008C04B2">
            <w:pPr>
              <w:keepNext/>
              <w:jc w:val="center"/>
              <w:rPr>
                <w:rFonts w:ascii="Arial" w:hAnsi="Arial" w:cs="Arial"/>
                <w:sz w:val="20"/>
                <w:szCs w:val="20"/>
              </w:rPr>
            </w:pPr>
          </w:p>
        </w:tc>
        <w:tc>
          <w:tcPr>
            <w:tcW w:w="1296" w:type="dxa"/>
            <w:tcBorders>
              <w:top w:val="nil"/>
              <w:left w:val="nil"/>
              <w:bottom w:val="nil"/>
              <w:right w:val="single" w:sz="8" w:space="0" w:color="auto"/>
            </w:tcBorders>
            <w:shd w:val="clear" w:color="auto" w:fill="B3B3B3"/>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161" w:type="dxa"/>
            <w:tcBorders>
              <w:top w:val="nil"/>
              <w:left w:val="nil"/>
              <w:bottom w:val="nil"/>
              <w:right w:val="double" w:sz="4"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r>
              <w:rPr>
                <w:rFonts w:ascii="Arial" w:hAnsi="Arial" w:cs="Arial"/>
                <w:sz w:val="20"/>
                <w:szCs w:val="20"/>
              </w:rPr>
              <w:t>19,676</w:t>
            </w:r>
          </w:p>
        </w:tc>
      </w:tr>
      <w:tr w:rsidR="008B121B" w:rsidTr="008C04B2">
        <w:trPr>
          <w:jc w:val="center"/>
        </w:trPr>
        <w:tc>
          <w:tcPr>
            <w:tcW w:w="1401"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8B121B" w:rsidRDefault="008B121B" w:rsidP="008C04B2">
            <w:pPr>
              <w:keepNext/>
              <w:rPr>
                <w:rFonts w:ascii="Arial" w:hAnsi="Arial" w:cs="Arial"/>
                <w:sz w:val="20"/>
                <w:szCs w:val="20"/>
              </w:rPr>
            </w:pPr>
          </w:p>
        </w:tc>
        <w:tc>
          <w:tcPr>
            <w:tcW w:w="1548" w:type="dxa"/>
            <w:tcBorders>
              <w:top w:val="nil"/>
              <w:left w:val="nil"/>
              <w:bottom w:val="double" w:sz="4" w:space="0" w:color="auto"/>
              <w:right w:val="single" w:sz="8" w:space="0" w:color="auto"/>
            </w:tcBorders>
            <w:tcMar>
              <w:top w:w="0" w:type="dxa"/>
              <w:left w:w="108" w:type="dxa"/>
              <w:bottom w:w="0" w:type="dxa"/>
              <w:right w:w="108" w:type="dxa"/>
            </w:tcMar>
            <w:vAlign w:val="center"/>
          </w:tcPr>
          <w:p w:rsidR="008B121B" w:rsidDel="00243326" w:rsidRDefault="008B121B" w:rsidP="008C04B2">
            <w:pPr>
              <w:keepNext/>
              <w:jc w:val="center"/>
              <w:rPr>
                <w:rFonts w:ascii="Arial" w:hAnsi="Arial" w:cs="Arial"/>
                <w:sz w:val="20"/>
                <w:szCs w:val="20"/>
              </w:rPr>
            </w:pPr>
          </w:p>
        </w:tc>
        <w:tc>
          <w:tcPr>
            <w:tcW w:w="1427" w:type="dxa"/>
            <w:tcBorders>
              <w:top w:val="nil"/>
              <w:left w:val="nil"/>
              <w:bottom w:val="double" w:sz="4"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372" w:type="dxa"/>
            <w:tcBorders>
              <w:top w:val="nil"/>
              <w:left w:val="nil"/>
              <w:bottom w:val="double" w:sz="4" w:space="0" w:color="auto"/>
              <w:right w:val="single" w:sz="8" w:space="0" w:color="auto"/>
            </w:tcBorders>
            <w:shd w:val="clear" w:color="auto" w:fill="BFBFBF"/>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371" w:type="dxa"/>
            <w:tcBorders>
              <w:top w:val="nil"/>
              <w:left w:val="nil"/>
              <w:bottom w:val="double" w:sz="4" w:space="0" w:color="auto"/>
              <w:right w:val="single" w:sz="8" w:space="0" w:color="auto"/>
            </w:tcBorders>
            <w:tcMar>
              <w:top w:w="0" w:type="dxa"/>
              <w:left w:w="108" w:type="dxa"/>
              <w:bottom w:w="0" w:type="dxa"/>
              <w:right w:w="108" w:type="dxa"/>
            </w:tcMar>
            <w:vAlign w:val="center"/>
          </w:tcPr>
          <w:p w:rsidR="008B121B" w:rsidDel="00243326" w:rsidRDefault="008B121B" w:rsidP="008C04B2">
            <w:pPr>
              <w:keepNext/>
              <w:jc w:val="center"/>
              <w:rPr>
                <w:rFonts w:ascii="Arial" w:hAnsi="Arial" w:cs="Arial"/>
                <w:sz w:val="20"/>
                <w:szCs w:val="20"/>
              </w:rPr>
            </w:pPr>
          </w:p>
        </w:tc>
        <w:tc>
          <w:tcPr>
            <w:tcW w:w="1296" w:type="dxa"/>
            <w:tcBorders>
              <w:top w:val="nil"/>
              <w:left w:val="nil"/>
              <w:bottom w:val="double" w:sz="4" w:space="0" w:color="auto"/>
              <w:right w:val="single" w:sz="8" w:space="0" w:color="auto"/>
            </w:tcBorders>
            <w:shd w:val="clear" w:color="auto" w:fill="B3B3B3"/>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c>
          <w:tcPr>
            <w:tcW w:w="1161" w:type="dxa"/>
            <w:tcBorders>
              <w:top w:val="nil"/>
              <w:left w:val="nil"/>
              <w:bottom w:val="double" w:sz="4" w:space="0" w:color="auto"/>
              <w:right w:val="double" w:sz="4" w:space="0" w:color="auto"/>
            </w:tcBorders>
            <w:tcMar>
              <w:top w:w="0" w:type="dxa"/>
              <w:left w:w="108" w:type="dxa"/>
              <w:bottom w:w="0" w:type="dxa"/>
              <w:right w:w="108" w:type="dxa"/>
            </w:tcMar>
            <w:vAlign w:val="center"/>
          </w:tcPr>
          <w:p w:rsidR="008B121B" w:rsidRDefault="008B121B" w:rsidP="008C04B2">
            <w:pPr>
              <w:keepNext/>
              <w:jc w:val="center"/>
              <w:rPr>
                <w:rFonts w:ascii="Arial" w:hAnsi="Arial" w:cs="Arial"/>
                <w:sz w:val="20"/>
                <w:szCs w:val="20"/>
              </w:rPr>
            </w:pPr>
          </w:p>
        </w:tc>
      </w:tr>
    </w:tbl>
    <w:p w:rsidR="008B121B" w:rsidRPr="008538D3" w:rsidRDefault="008B121B" w:rsidP="008B121B">
      <w:pPr>
        <w:keepNext/>
        <w:ind w:left="1440"/>
        <w:jc w:val="both"/>
        <w:rPr>
          <w:b/>
        </w:rPr>
      </w:pPr>
    </w:p>
    <w:p w:rsidR="001D0C6E" w:rsidRDefault="001D0C6E" w:rsidP="008B121B">
      <w:pPr>
        <w:jc w:val="center"/>
      </w:pPr>
    </w:p>
    <w:p w:rsidR="001D0C6E" w:rsidRDefault="001D0C6E" w:rsidP="008B121B">
      <w:pPr>
        <w:jc w:val="center"/>
      </w:pPr>
    </w:p>
    <w:p w:rsidR="001D0C6E" w:rsidRDefault="001D0C6E" w:rsidP="008B121B">
      <w:pPr>
        <w:jc w:val="center"/>
      </w:pPr>
    </w:p>
    <w:p w:rsidR="001D0C6E" w:rsidRDefault="001D0C6E" w:rsidP="008B121B">
      <w:pPr>
        <w:jc w:val="center"/>
      </w:pPr>
    </w:p>
    <w:p w:rsidR="008B121B" w:rsidRDefault="008B121B" w:rsidP="008B121B">
      <w:pPr>
        <w:ind w:left="720" w:hanging="720"/>
        <w:rPr>
          <w:b/>
        </w:rPr>
      </w:pPr>
    </w:p>
    <w:p w:rsidR="008B121B" w:rsidRPr="008B121B" w:rsidRDefault="008B121B" w:rsidP="008B121B">
      <w:pPr>
        <w:jc w:val="center"/>
        <w:rPr>
          <w:b/>
        </w:rPr>
      </w:pPr>
    </w:p>
    <w:p w:rsidR="001D0C6E" w:rsidRDefault="001D0C6E" w:rsidP="008B121B">
      <w:pPr>
        <w:jc w:val="center"/>
      </w:pPr>
    </w:p>
    <w:p w:rsidR="001D0C6E" w:rsidRDefault="001D0C6E" w:rsidP="008B121B">
      <w:pPr>
        <w:jc w:val="center"/>
      </w:pPr>
    </w:p>
    <w:p w:rsidR="001D0C6E" w:rsidRDefault="001D0C6E" w:rsidP="008B121B">
      <w:pPr>
        <w:jc w:val="center"/>
      </w:pPr>
    </w:p>
    <w:p w:rsidR="001D0C6E" w:rsidRDefault="001D0C6E" w:rsidP="008B121B">
      <w:pPr>
        <w:jc w:val="center"/>
      </w:pPr>
    </w:p>
    <w:p w:rsidR="001D0C6E" w:rsidRDefault="001D0C6E" w:rsidP="008B121B">
      <w:pPr>
        <w:jc w:val="center"/>
      </w:pPr>
    </w:p>
    <w:sectPr w:rsidR="001D0C6E" w:rsidSect="006815FC">
      <w:footerReference w:type="even" r:id="rId12"/>
      <w:footerReference w:type="default" r:id="rId13"/>
      <w:pgSz w:w="12240" w:h="15840" w:code="1"/>
      <w:pgMar w:top="1440" w:right="1440" w:bottom="1440" w:left="1440" w:header="432"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A7" w:rsidRDefault="00E56AA7">
      <w:r>
        <w:separator/>
      </w:r>
    </w:p>
  </w:endnote>
  <w:endnote w:type="continuationSeparator" w:id="0">
    <w:p w:rsidR="00E56AA7" w:rsidRDefault="00E5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0D" w:rsidRDefault="00B4380D" w:rsidP="00EB0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80D" w:rsidRDefault="00B43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0D" w:rsidRDefault="00B4380D" w:rsidP="002D30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2E8">
      <w:rPr>
        <w:rStyle w:val="PageNumber"/>
        <w:noProof/>
      </w:rPr>
      <w:t>2</w:t>
    </w:r>
    <w:r>
      <w:rPr>
        <w:rStyle w:val="PageNumber"/>
      </w:rPr>
      <w:fldChar w:fldCharType="end"/>
    </w:r>
  </w:p>
  <w:p w:rsidR="00B4380D" w:rsidRDefault="00B43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A7" w:rsidRDefault="00E56AA7">
      <w:r>
        <w:separator/>
      </w:r>
    </w:p>
  </w:footnote>
  <w:footnote w:type="continuationSeparator" w:id="0">
    <w:p w:rsidR="00E56AA7" w:rsidRDefault="00E56AA7">
      <w:r>
        <w:continuationSeparator/>
      </w:r>
    </w:p>
  </w:footnote>
  <w:footnote w:id="1">
    <w:p w:rsidR="00B36D2A" w:rsidRPr="00F80B61" w:rsidRDefault="00B36D2A" w:rsidP="00B36D2A">
      <w:pPr>
        <w:pStyle w:val="FootnoteText"/>
        <w:rPr>
          <w:szCs w:val="24"/>
        </w:rPr>
      </w:pPr>
      <w:r w:rsidRPr="00F80B61">
        <w:rPr>
          <w:rStyle w:val="FootnoteReference"/>
          <w:szCs w:val="24"/>
        </w:rPr>
        <w:footnoteRef/>
      </w:r>
      <w:r w:rsidRPr="00F80B61">
        <w:rPr>
          <w:szCs w:val="24"/>
        </w:rPr>
        <w:t xml:space="preserve"> The market surveillance programs analyze market information to detect and prevent market disruptions and enforce speculative position limits.  The financial surveillance programs combine market information with financial data to assess the financial risks presented by large customer positions to Commission registrants and clearing organizations.  </w:t>
      </w:r>
      <w:r w:rsidRPr="00F80B61">
        <w:rPr>
          <w:szCs w:val="24"/>
          <w:u w:val="single"/>
        </w:rPr>
        <w:t>See</w:t>
      </w:r>
      <w:r w:rsidRPr="00F80B61">
        <w:rPr>
          <w:szCs w:val="24"/>
        </w:rPr>
        <w:t xml:space="preserve"> 69 FR 76392 (</w:t>
      </w:r>
      <w:smartTag w:uri="urn:schemas-microsoft-com:office:smarttags" w:element="date">
        <w:smartTagPr>
          <w:attr w:name="Month" w:val="12"/>
          <w:attr w:name="Day" w:val="21"/>
          <w:attr w:name="Year" w:val="2004"/>
        </w:smartTagPr>
        <w:r w:rsidRPr="00F80B61">
          <w:rPr>
            <w:szCs w:val="24"/>
          </w:rPr>
          <w:t>December 21, 2004</w:t>
        </w:r>
      </w:smartTag>
      <w:r w:rsidRPr="00F80B61">
        <w:rPr>
          <w:szCs w:val="24"/>
        </w:rPr>
        <w:t xml:space="preserve">).  </w:t>
      </w:r>
    </w:p>
  </w:footnote>
  <w:footnote w:id="2">
    <w:p w:rsidR="00B36D2A" w:rsidRPr="00F80B61" w:rsidRDefault="00B36D2A" w:rsidP="00B36D2A">
      <w:pPr>
        <w:pStyle w:val="FootnoteText"/>
        <w:rPr>
          <w:szCs w:val="24"/>
        </w:rPr>
      </w:pPr>
      <w:r w:rsidRPr="00F80B61">
        <w:rPr>
          <w:rStyle w:val="FootnoteReference"/>
          <w:szCs w:val="24"/>
        </w:rPr>
        <w:footnoteRef/>
      </w:r>
      <w:r w:rsidRPr="00F80B61">
        <w:rPr>
          <w:szCs w:val="24"/>
        </w:rPr>
        <w:t xml:space="preserve"> 7 U.S.C. 1 </w:t>
      </w:r>
      <w:r w:rsidRPr="00F80B61">
        <w:rPr>
          <w:szCs w:val="24"/>
          <w:u w:val="single"/>
        </w:rPr>
        <w:t>et</w:t>
      </w:r>
      <w:r w:rsidRPr="00F80B61">
        <w:rPr>
          <w:szCs w:val="24"/>
        </w:rPr>
        <w:t xml:space="preserve"> </w:t>
      </w:r>
      <w:r w:rsidRPr="00F80B61">
        <w:rPr>
          <w:szCs w:val="24"/>
          <w:u w:val="single"/>
        </w:rPr>
        <w:t>seq</w:t>
      </w:r>
      <w:r w:rsidRPr="00F80B61">
        <w:rPr>
          <w:szCs w:val="24"/>
        </w:rPr>
        <w:t>.</w:t>
      </w:r>
    </w:p>
  </w:footnote>
  <w:footnote w:id="3">
    <w:p w:rsidR="00B36D2A" w:rsidRPr="00F80B61" w:rsidRDefault="00B36D2A" w:rsidP="00B36D2A">
      <w:pPr>
        <w:pStyle w:val="FootnoteText"/>
        <w:rPr>
          <w:szCs w:val="24"/>
        </w:rPr>
      </w:pPr>
      <w:r w:rsidRPr="00F80B61">
        <w:rPr>
          <w:rStyle w:val="FootnoteReference"/>
          <w:szCs w:val="24"/>
        </w:rPr>
        <w:footnoteRef/>
      </w:r>
      <w:r w:rsidRPr="00F80B61">
        <w:rPr>
          <w:szCs w:val="24"/>
        </w:rPr>
        <w:t xml:space="preserve"> 7 U.S.C. 6a.</w:t>
      </w:r>
    </w:p>
  </w:footnote>
  <w:footnote w:id="4">
    <w:p w:rsidR="00B36D2A" w:rsidRPr="00F80B61" w:rsidRDefault="00B36D2A" w:rsidP="00B36D2A">
      <w:pPr>
        <w:pStyle w:val="FootnoteText"/>
        <w:rPr>
          <w:szCs w:val="24"/>
        </w:rPr>
      </w:pPr>
      <w:r w:rsidRPr="00F80B61">
        <w:rPr>
          <w:rStyle w:val="FootnoteReference"/>
          <w:szCs w:val="24"/>
        </w:rPr>
        <w:footnoteRef/>
      </w:r>
      <w:r w:rsidRPr="00F80B61">
        <w:rPr>
          <w:szCs w:val="24"/>
        </w:rPr>
        <w:t xml:space="preserve"> 7 U.S.C</w:t>
      </w:r>
      <w:r>
        <w:rPr>
          <w:szCs w:val="24"/>
        </w:rPr>
        <w:t>.</w:t>
      </w:r>
      <w:r w:rsidRPr="00F80B61">
        <w:rPr>
          <w:szCs w:val="24"/>
        </w:rPr>
        <w:t xml:space="preserve"> 6c(b).</w:t>
      </w:r>
    </w:p>
  </w:footnote>
  <w:footnote w:id="5">
    <w:p w:rsidR="00B36D2A" w:rsidRPr="00F80B61" w:rsidRDefault="00B36D2A" w:rsidP="00B36D2A">
      <w:pPr>
        <w:pStyle w:val="FootnoteText"/>
        <w:rPr>
          <w:szCs w:val="24"/>
        </w:rPr>
      </w:pPr>
      <w:r w:rsidRPr="00F80B61">
        <w:rPr>
          <w:rStyle w:val="FootnoteReference"/>
          <w:szCs w:val="24"/>
        </w:rPr>
        <w:footnoteRef/>
      </w:r>
      <w:r w:rsidRPr="00F80B61">
        <w:rPr>
          <w:szCs w:val="24"/>
        </w:rPr>
        <w:t xml:space="preserve"> 7 U.S.C. 6g.</w:t>
      </w:r>
    </w:p>
  </w:footnote>
  <w:footnote w:id="6">
    <w:p w:rsidR="00B36D2A" w:rsidRPr="00F80B61" w:rsidRDefault="00B36D2A" w:rsidP="00B36D2A">
      <w:pPr>
        <w:pStyle w:val="FootnoteText"/>
        <w:rPr>
          <w:szCs w:val="24"/>
        </w:rPr>
      </w:pPr>
      <w:r w:rsidRPr="00F80B61">
        <w:rPr>
          <w:rStyle w:val="FootnoteReference"/>
          <w:szCs w:val="24"/>
        </w:rPr>
        <w:footnoteRef/>
      </w:r>
      <w:r w:rsidRPr="00F80B61">
        <w:rPr>
          <w:szCs w:val="24"/>
        </w:rPr>
        <w:t xml:space="preserve"> 7 U.S.C. 6i.  In addition, CEA section 8a(5) is a</w:t>
      </w:r>
      <w:r>
        <w:rPr>
          <w:szCs w:val="24"/>
        </w:rPr>
        <w:t xml:space="preserve">n enabling </w:t>
      </w:r>
      <w:r w:rsidRPr="00F80B61">
        <w:rPr>
          <w:szCs w:val="24"/>
        </w:rPr>
        <w:t xml:space="preserve">provision that grants to the Commission the authority to adopt </w:t>
      </w:r>
      <w:r>
        <w:rPr>
          <w:szCs w:val="24"/>
        </w:rPr>
        <w:t>regulation</w:t>
      </w:r>
      <w:r w:rsidRPr="00F80B61">
        <w:rPr>
          <w:szCs w:val="24"/>
        </w:rPr>
        <w:t>s that in its judgment are reasonably necessary to accomplish any of the purposes of the Act.  7 U.S.C. 12a(5).  Pursuant to CEA section 3(b), the Act seeks to ensure the financial integrity of regulated transacti</w:t>
      </w:r>
      <w:r>
        <w:rPr>
          <w:szCs w:val="24"/>
        </w:rPr>
        <w:t>ons</w:t>
      </w:r>
      <w:r w:rsidRPr="00F80B61">
        <w:rPr>
          <w:szCs w:val="24"/>
        </w:rPr>
        <w:t xml:space="preserve"> and </w:t>
      </w:r>
      <w:r>
        <w:rPr>
          <w:szCs w:val="24"/>
        </w:rPr>
        <w:t xml:space="preserve">to </w:t>
      </w:r>
      <w:r w:rsidRPr="00F80B61">
        <w:rPr>
          <w:szCs w:val="24"/>
        </w:rPr>
        <w:t xml:space="preserve">prevent price manipulation and other disruptions to market integrity.  7 U.S.C. 5(b).  Collectively, these purposes warrant the maintenance of an effective and vigorous system of market and financial surveillance.  </w:t>
      </w:r>
    </w:p>
  </w:footnote>
  <w:footnote w:id="7">
    <w:p w:rsidR="00711C9B" w:rsidRDefault="00711C9B">
      <w:pPr>
        <w:pStyle w:val="FootnoteText"/>
      </w:pPr>
      <w:r>
        <w:rPr>
          <w:rStyle w:val="FootnoteReference"/>
        </w:rPr>
        <w:footnoteRef/>
      </w:r>
      <w:r>
        <w:t xml:space="preserve"> </w:t>
      </w:r>
      <w:r w:rsidRPr="00397AAE">
        <w:rPr>
          <w:i/>
        </w:rPr>
        <w:t>Available at</w:t>
      </w:r>
      <w:r>
        <w:t xml:space="preserve"> </w:t>
      </w:r>
      <w:hyperlink r:id="rId1" w:history="1">
        <w:r w:rsidRPr="00DD6128">
          <w:rPr>
            <w:rStyle w:val="Hyperlink"/>
          </w:rPr>
          <w:t>https://www.bls.gov/oes/current/oes_nat.htm</w:t>
        </w:r>
      </w:hyperlink>
      <w:r>
        <w:t xml:space="preserve">. </w:t>
      </w:r>
    </w:p>
  </w:footnote>
  <w:footnote w:id="8">
    <w:p w:rsidR="008B121B" w:rsidRDefault="008B121B" w:rsidP="008B121B">
      <w:pPr>
        <w:pStyle w:val="FootnoteText"/>
      </w:pPr>
      <w:r>
        <w:rPr>
          <w:rStyle w:val="FootnoteReference"/>
        </w:rPr>
        <w:footnoteRef/>
      </w:r>
      <w:r>
        <w:t xml:space="preserve"> Column b times column d.</w:t>
      </w:r>
    </w:p>
  </w:footnote>
  <w:footnote w:id="9">
    <w:p w:rsidR="008B121B" w:rsidRDefault="008B121B" w:rsidP="008B121B">
      <w:pPr>
        <w:pStyle w:val="FootnoteText"/>
      </w:pPr>
      <w:r>
        <w:rPr>
          <w:rStyle w:val="FootnoteReference"/>
        </w:rPr>
        <w:footnoteRef/>
      </w:r>
      <w:r>
        <w:t xml:space="preserve"> Column e times column f.  Burdens have been rounded to the nearest whole number where appropriate.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1560"/>
        </w:tabs>
        <w:ind w:left="156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0">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1">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2">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6">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8">
    <w:nsid w:val="56D8756B"/>
    <w:multiLevelType w:val="hybridMultilevel"/>
    <w:tmpl w:val="B44C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0">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4">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DC95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5"/>
  </w:num>
  <w:num w:numId="5">
    <w:abstractNumId w:val="19"/>
  </w:num>
  <w:num w:numId="6">
    <w:abstractNumId w:val="12"/>
  </w:num>
  <w:num w:numId="7">
    <w:abstractNumId w:val="9"/>
  </w:num>
  <w:num w:numId="8">
    <w:abstractNumId w:val="11"/>
  </w:num>
  <w:num w:numId="9">
    <w:abstractNumId w:val="15"/>
  </w:num>
  <w:num w:numId="10">
    <w:abstractNumId w:val="23"/>
  </w:num>
  <w:num w:numId="11">
    <w:abstractNumId w:val="20"/>
  </w:num>
  <w:num w:numId="12">
    <w:abstractNumId w:val="17"/>
  </w:num>
  <w:num w:numId="13">
    <w:abstractNumId w:val="24"/>
  </w:num>
  <w:num w:numId="14">
    <w:abstractNumId w:val="0"/>
  </w:num>
  <w:num w:numId="15">
    <w:abstractNumId w:val="6"/>
  </w:num>
  <w:num w:numId="16">
    <w:abstractNumId w:val="2"/>
  </w:num>
  <w:num w:numId="17">
    <w:abstractNumId w:val="5"/>
  </w:num>
  <w:num w:numId="18">
    <w:abstractNumId w:val="22"/>
  </w:num>
  <w:num w:numId="19">
    <w:abstractNumId w:val="8"/>
  </w:num>
  <w:num w:numId="20">
    <w:abstractNumId w:val="14"/>
  </w:num>
  <w:num w:numId="21">
    <w:abstractNumId w:val="26"/>
  </w:num>
  <w:num w:numId="22">
    <w:abstractNumId w:val="7"/>
  </w:num>
  <w:num w:numId="23">
    <w:abstractNumId w:val="16"/>
  </w:num>
  <w:num w:numId="24">
    <w:abstractNumId w:val="13"/>
  </w:num>
  <w:num w:numId="25">
    <w:abstractNumId w:val="21"/>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80"/>
    <w:rsid w:val="00020DED"/>
    <w:rsid w:val="00033BB4"/>
    <w:rsid w:val="000453EA"/>
    <w:rsid w:val="000707DA"/>
    <w:rsid w:val="000915CF"/>
    <w:rsid w:val="000B3903"/>
    <w:rsid w:val="0013018B"/>
    <w:rsid w:val="00130AF2"/>
    <w:rsid w:val="00164D26"/>
    <w:rsid w:val="001716AF"/>
    <w:rsid w:val="00190BCD"/>
    <w:rsid w:val="001A00F9"/>
    <w:rsid w:val="001A18E6"/>
    <w:rsid w:val="001A5F5A"/>
    <w:rsid w:val="001A6998"/>
    <w:rsid w:val="001B7CDB"/>
    <w:rsid w:val="001C5F42"/>
    <w:rsid w:val="001D0C6E"/>
    <w:rsid w:val="001D5BF5"/>
    <w:rsid w:val="001E0531"/>
    <w:rsid w:val="001F24AE"/>
    <w:rsid w:val="002023F4"/>
    <w:rsid w:val="00224BEE"/>
    <w:rsid w:val="00232F69"/>
    <w:rsid w:val="00243326"/>
    <w:rsid w:val="002558D8"/>
    <w:rsid w:val="0026547F"/>
    <w:rsid w:val="002A2342"/>
    <w:rsid w:val="002B4AE2"/>
    <w:rsid w:val="002D300A"/>
    <w:rsid w:val="002D4316"/>
    <w:rsid w:val="002E70CF"/>
    <w:rsid w:val="002F459F"/>
    <w:rsid w:val="002F5D75"/>
    <w:rsid w:val="002F610E"/>
    <w:rsid w:val="003006FB"/>
    <w:rsid w:val="00304D8A"/>
    <w:rsid w:val="00320876"/>
    <w:rsid w:val="0032330F"/>
    <w:rsid w:val="003369DD"/>
    <w:rsid w:val="003375B1"/>
    <w:rsid w:val="00337956"/>
    <w:rsid w:val="00343287"/>
    <w:rsid w:val="003749F1"/>
    <w:rsid w:val="00376C77"/>
    <w:rsid w:val="00383F46"/>
    <w:rsid w:val="00384C96"/>
    <w:rsid w:val="00386713"/>
    <w:rsid w:val="00397AAE"/>
    <w:rsid w:val="003B2211"/>
    <w:rsid w:val="003B2D0C"/>
    <w:rsid w:val="003D25C1"/>
    <w:rsid w:val="003E290A"/>
    <w:rsid w:val="003E4649"/>
    <w:rsid w:val="003E76B6"/>
    <w:rsid w:val="003F166C"/>
    <w:rsid w:val="004001A2"/>
    <w:rsid w:val="00412463"/>
    <w:rsid w:val="00420963"/>
    <w:rsid w:val="00433EE5"/>
    <w:rsid w:val="0044663D"/>
    <w:rsid w:val="00455059"/>
    <w:rsid w:val="00456A22"/>
    <w:rsid w:val="00466411"/>
    <w:rsid w:val="00473B8B"/>
    <w:rsid w:val="00474A87"/>
    <w:rsid w:val="0047726B"/>
    <w:rsid w:val="00482AA1"/>
    <w:rsid w:val="004A5F03"/>
    <w:rsid w:val="004E3B12"/>
    <w:rsid w:val="004F77A1"/>
    <w:rsid w:val="00506972"/>
    <w:rsid w:val="005103D1"/>
    <w:rsid w:val="00512975"/>
    <w:rsid w:val="005132F1"/>
    <w:rsid w:val="0051766B"/>
    <w:rsid w:val="00547DEF"/>
    <w:rsid w:val="0055097A"/>
    <w:rsid w:val="00565673"/>
    <w:rsid w:val="0058305A"/>
    <w:rsid w:val="00585B2D"/>
    <w:rsid w:val="005A62AD"/>
    <w:rsid w:val="005B007F"/>
    <w:rsid w:val="005B1900"/>
    <w:rsid w:val="005B3307"/>
    <w:rsid w:val="005C2F57"/>
    <w:rsid w:val="005D439D"/>
    <w:rsid w:val="005E1A88"/>
    <w:rsid w:val="005E2D38"/>
    <w:rsid w:val="00615A6A"/>
    <w:rsid w:val="00637D1B"/>
    <w:rsid w:val="00641306"/>
    <w:rsid w:val="00643909"/>
    <w:rsid w:val="00653475"/>
    <w:rsid w:val="00660F2C"/>
    <w:rsid w:val="0066679A"/>
    <w:rsid w:val="0068125F"/>
    <w:rsid w:val="006815FC"/>
    <w:rsid w:val="006B00C1"/>
    <w:rsid w:val="006F079B"/>
    <w:rsid w:val="006F0E3D"/>
    <w:rsid w:val="006F7981"/>
    <w:rsid w:val="00711C9B"/>
    <w:rsid w:val="00756D05"/>
    <w:rsid w:val="0076035A"/>
    <w:rsid w:val="00775CEB"/>
    <w:rsid w:val="007B6896"/>
    <w:rsid w:val="007D3152"/>
    <w:rsid w:val="007E672E"/>
    <w:rsid w:val="008112B3"/>
    <w:rsid w:val="00826C06"/>
    <w:rsid w:val="008300BF"/>
    <w:rsid w:val="00831E76"/>
    <w:rsid w:val="00833906"/>
    <w:rsid w:val="00834019"/>
    <w:rsid w:val="00836CC2"/>
    <w:rsid w:val="00840E90"/>
    <w:rsid w:val="00842D95"/>
    <w:rsid w:val="00847BB3"/>
    <w:rsid w:val="008538D3"/>
    <w:rsid w:val="008662E8"/>
    <w:rsid w:val="0086656D"/>
    <w:rsid w:val="00887798"/>
    <w:rsid w:val="00894202"/>
    <w:rsid w:val="00895DE3"/>
    <w:rsid w:val="008A33D8"/>
    <w:rsid w:val="008B121B"/>
    <w:rsid w:val="008C0E0F"/>
    <w:rsid w:val="008D1791"/>
    <w:rsid w:val="008D58ED"/>
    <w:rsid w:val="009248C8"/>
    <w:rsid w:val="00925576"/>
    <w:rsid w:val="00931D07"/>
    <w:rsid w:val="00933126"/>
    <w:rsid w:val="0094316C"/>
    <w:rsid w:val="00945127"/>
    <w:rsid w:val="0094560A"/>
    <w:rsid w:val="00961D39"/>
    <w:rsid w:val="00974980"/>
    <w:rsid w:val="00983A81"/>
    <w:rsid w:val="0098639B"/>
    <w:rsid w:val="009A1F49"/>
    <w:rsid w:val="009A48F8"/>
    <w:rsid w:val="009A7B32"/>
    <w:rsid w:val="009B56EE"/>
    <w:rsid w:val="009D2E59"/>
    <w:rsid w:val="009E5F50"/>
    <w:rsid w:val="009E7DC1"/>
    <w:rsid w:val="009F25DD"/>
    <w:rsid w:val="00A0222C"/>
    <w:rsid w:val="00A05A09"/>
    <w:rsid w:val="00A33354"/>
    <w:rsid w:val="00A45C98"/>
    <w:rsid w:val="00A76063"/>
    <w:rsid w:val="00A81F19"/>
    <w:rsid w:val="00A9654D"/>
    <w:rsid w:val="00B04089"/>
    <w:rsid w:val="00B04A17"/>
    <w:rsid w:val="00B04E95"/>
    <w:rsid w:val="00B36D2A"/>
    <w:rsid w:val="00B4380D"/>
    <w:rsid w:val="00B5469D"/>
    <w:rsid w:val="00B56700"/>
    <w:rsid w:val="00B70B66"/>
    <w:rsid w:val="00B7223C"/>
    <w:rsid w:val="00B761A4"/>
    <w:rsid w:val="00B81FC7"/>
    <w:rsid w:val="00BB7711"/>
    <w:rsid w:val="00BC03A6"/>
    <w:rsid w:val="00BC1AB4"/>
    <w:rsid w:val="00BD60F0"/>
    <w:rsid w:val="00BE76D8"/>
    <w:rsid w:val="00C06EA0"/>
    <w:rsid w:val="00C12176"/>
    <w:rsid w:val="00C12B45"/>
    <w:rsid w:val="00C231C6"/>
    <w:rsid w:val="00C37DDD"/>
    <w:rsid w:val="00C843C3"/>
    <w:rsid w:val="00CA6719"/>
    <w:rsid w:val="00CC079C"/>
    <w:rsid w:val="00CD6464"/>
    <w:rsid w:val="00CD77FB"/>
    <w:rsid w:val="00D05217"/>
    <w:rsid w:val="00D06B11"/>
    <w:rsid w:val="00D1491F"/>
    <w:rsid w:val="00D16A7D"/>
    <w:rsid w:val="00D22877"/>
    <w:rsid w:val="00D557D6"/>
    <w:rsid w:val="00D579FB"/>
    <w:rsid w:val="00D74942"/>
    <w:rsid w:val="00D80342"/>
    <w:rsid w:val="00DA3DF7"/>
    <w:rsid w:val="00DB0218"/>
    <w:rsid w:val="00DB1F2E"/>
    <w:rsid w:val="00DB248B"/>
    <w:rsid w:val="00DC6AC1"/>
    <w:rsid w:val="00DD299D"/>
    <w:rsid w:val="00DD2FF7"/>
    <w:rsid w:val="00DF7FA0"/>
    <w:rsid w:val="00E01DA2"/>
    <w:rsid w:val="00E0387E"/>
    <w:rsid w:val="00E0413A"/>
    <w:rsid w:val="00E06DB5"/>
    <w:rsid w:val="00E13B14"/>
    <w:rsid w:val="00E30A72"/>
    <w:rsid w:val="00E32628"/>
    <w:rsid w:val="00E435A4"/>
    <w:rsid w:val="00E51F98"/>
    <w:rsid w:val="00E544DA"/>
    <w:rsid w:val="00E54EA9"/>
    <w:rsid w:val="00E56283"/>
    <w:rsid w:val="00E56AA7"/>
    <w:rsid w:val="00E74932"/>
    <w:rsid w:val="00E8445C"/>
    <w:rsid w:val="00EA0654"/>
    <w:rsid w:val="00EA4CE6"/>
    <w:rsid w:val="00EB09C3"/>
    <w:rsid w:val="00EC1EF1"/>
    <w:rsid w:val="00ED2EFE"/>
    <w:rsid w:val="00EE2169"/>
    <w:rsid w:val="00EE567A"/>
    <w:rsid w:val="00EF0429"/>
    <w:rsid w:val="00F016CF"/>
    <w:rsid w:val="00F272BC"/>
    <w:rsid w:val="00F413D3"/>
    <w:rsid w:val="00F6251D"/>
    <w:rsid w:val="00F839CD"/>
    <w:rsid w:val="00FA2461"/>
    <w:rsid w:val="00FB2C6D"/>
    <w:rsid w:val="00FC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pPr>
      <w:spacing w:after="240"/>
    </w:pPr>
    <w:rPr>
      <w:szCs w:val="20"/>
    </w:rPr>
  </w:style>
  <w:style w:type="character" w:styleId="PageNumber">
    <w:name w:val="page number"/>
    <w:basedOn w:val="DefaultParagraphFont"/>
  </w:style>
  <w:style w:type="paragraph" w:styleId="Footer">
    <w:name w:val="footer"/>
    <w:basedOn w:val="Normal"/>
    <w:pPr>
      <w:tabs>
        <w:tab w:val="center" w:pos="4320"/>
        <w:tab w:val="right" w:pos="8640"/>
      </w:tabs>
      <w:spacing w:after="240"/>
    </w:pPr>
    <w:rPr>
      <w:szCs w:val="20"/>
    </w:rPr>
  </w:style>
  <w:style w:type="paragraph" w:styleId="BalloonText">
    <w:name w:val="Balloon Text"/>
    <w:basedOn w:val="Normal"/>
    <w:semiHidden/>
    <w:rsid w:val="009B56EE"/>
    <w:rPr>
      <w:rFonts w:ascii="Tahoma" w:hAnsi="Tahoma" w:cs="Tahoma"/>
      <w:sz w:val="16"/>
      <w:szCs w:val="16"/>
    </w:rPr>
  </w:style>
  <w:style w:type="character" w:styleId="Hyperlink">
    <w:name w:val="Hyperlink"/>
    <w:rsid w:val="00466411"/>
    <w:rPr>
      <w:color w:val="0000FF"/>
      <w:u w:val="single"/>
    </w:rPr>
  </w:style>
  <w:style w:type="paragraph" w:styleId="ListParagraph">
    <w:name w:val="List Paragraph"/>
    <w:basedOn w:val="Normal"/>
    <w:uiPriority w:val="34"/>
    <w:qFormat/>
    <w:rsid w:val="00BE76D8"/>
    <w:pPr>
      <w:ind w:left="720"/>
    </w:pPr>
  </w:style>
  <w:style w:type="table" w:styleId="TableGrid">
    <w:name w:val="Table Grid"/>
    <w:basedOn w:val="TableNormal"/>
    <w:rsid w:val="0051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0E0F"/>
    <w:rPr>
      <w:sz w:val="16"/>
      <w:szCs w:val="16"/>
    </w:rPr>
  </w:style>
  <w:style w:type="paragraph" w:styleId="CommentText">
    <w:name w:val="annotation text"/>
    <w:basedOn w:val="Normal"/>
    <w:link w:val="CommentTextChar"/>
    <w:rsid w:val="008C0E0F"/>
    <w:rPr>
      <w:sz w:val="20"/>
      <w:szCs w:val="20"/>
    </w:rPr>
  </w:style>
  <w:style w:type="character" w:customStyle="1" w:styleId="CommentTextChar">
    <w:name w:val="Comment Text Char"/>
    <w:basedOn w:val="DefaultParagraphFont"/>
    <w:link w:val="CommentText"/>
    <w:rsid w:val="008C0E0F"/>
  </w:style>
  <w:style w:type="paragraph" w:styleId="CommentSubject">
    <w:name w:val="annotation subject"/>
    <w:basedOn w:val="CommentText"/>
    <w:next w:val="CommentText"/>
    <w:link w:val="CommentSubjectChar"/>
    <w:rsid w:val="008C0E0F"/>
    <w:rPr>
      <w:b/>
      <w:bCs/>
    </w:rPr>
  </w:style>
  <w:style w:type="character" w:customStyle="1" w:styleId="CommentSubjectChar">
    <w:name w:val="Comment Subject Char"/>
    <w:link w:val="CommentSubject"/>
    <w:rsid w:val="008C0E0F"/>
    <w:rPr>
      <w:b/>
      <w:bCs/>
    </w:rPr>
  </w:style>
  <w:style w:type="paragraph" w:styleId="Revision">
    <w:name w:val="Revision"/>
    <w:hidden/>
    <w:uiPriority w:val="99"/>
    <w:semiHidden/>
    <w:rsid w:val="00A965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pPr>
      <w:spacing w:after="240"/>
    </w:pPr>
    <w:rPr>
      <w:szCs w:val="20"/>
    </w:rPr>
  </w:style>
  <w:style w:type="character" w:styleId="PageNumber">
    <w:name w:val="page number"/>
    <w:basedOn w:val="DefaultParagraphFont"/>
  </w:style>
  <w:style w:type="paragraph" w:styleId="Footer">
    <w:name w:val="footer"/>
    <w:basedOn w:val="Normal"/>
    <w:pPr>
      <w:tabs>
        <w:tab w:val="center" w:pos="4320"/>
        <w:tab w:val="right" w:pos="8640"/>
      </w:tabs>
      <w:spacing w:after="240"/>
    </w:pPr>
    <w:rPr>
      <w:szCs w:val="20"/>
    </w:rPr>
  </w:style>
  <w:style w:type="paragraph" w:styleId="BalloonText">
    <w:name w:val="Balloon Text"/>
    <w:basedOn w:val="Normal"/>
    <w:semiHidden/>
    <w:rsid w:val="009B56EE"/>
    <w:rPr>
      <w:rFonts w:ascii="Tahoma" w:hAnsi="Tahoma" w:cs="Tahoma"/>
      <w:sz w:val="16"/>
      <w:szCs w:val="16"/>
    </w:rPr>
  </w:style>
  <w:style w:type="character" w:styleId="Hyperlink">
    <w:name w:val="Hyperlink"/>
    <w:rsid w:val="00466411"/>
    <w:rPr>
      <w:color w:val="0000FF"/>
      <w:u w:val="single"/>
    </w:rPr>
  </w:style>
  <w:style w:type="paragraph" w:styleId="ListParagraph">
    <w:name w:val="List Paragraph"/>
    <w:basedOn w:val="Normal"/>
    <w:uiPriority w:val="34"/>
    <w:qFormat/>
    <w:rsid w:val="00BE76D8"/>
    <w:pPr>
      <w:ind w:left="720"/>
    </w:pPr>
  </w:style>
  <w:style w:type="table" w:styleId="TableGrid">
    <w:name w:val="Table Grid"/>
    <w:basedOn w:val="TableNormal"/>
    <w:rsid w:val="0051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0E0F"/>
    <w:rPr>
      <w:sz w:val="16"/>
      <w:szCs w:val="16"/>
    </w:rPr>
  </w:style>
  <w:style w:type="paragraph" w:styleId="CommentText">
    <w:name w:val="annotation text"/>
    <w:basedOn w:val="Normal"/>
    <w:link w:val="CommentTextChar"/>
    <w:rsid w:val="008C0E0F"/>
    <w:rPr>
      <w:sz w:val="20"/>
      <w:szCs w:val="20"/>
    </w:rPr>
  </w:style>
  <w:style w:type="character" w:customStyle="1" w:styleId="CommentTextChar">
    <w:name w:val="Comment Text Char"/>
    <w:basedOn w:val="DefaultParagraphFont"/>
    <w:link w:val="CommentText"/>
    <w:rsid w:val="008C0E0F"/>
  </w:style>
  <w:style w:type="paragraph" w:styleId="CommentSubject">
    <w:name w:val="annotation subject"/>
    <w:basedOn w:val="CommentText"/>
    <w:next w:val="CommentText"/>
    <w:link w:val="CommentSubjectChar"/>
    <w:rsid w:val="008C0E0F"/>
    <w:rPr>
      <w:b/>
      <w:bCs/>
    </w:rPr>
  </w:style>
  <w:style w:type="character" w:customStyle="1" w:styleId="CommentSubjectChar">
    <w:name w:val="Comment Subject Char"/>
    <w:link w:val="CommentSubject"/>
    <w:rsid w:val="008C0E0F"/>
    <w:rPr>
      <w:b/>
      <w:bCs/>
    </w:rPr>
  </w:style>
  <w:style w:type="paragraph" w:styleId="Revision">
    <w:name w:val="Revision"/>
    <w:hidden/>
    <w:uiPriority w:val="99"/>
    <w:semiHidden/>
    <w:rsid w:val="00A965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43466">
      <w:bodyDiv w:val="1"/>
      <w:marLeft w:val="0"/>
      <w:marRight w:val="0"/>
      <w:marTop w:val="0"/>
      <w:marBottom w:val="0"/>
      <w:divBdr>
        <w:top w:val="none" w:sz="0" w:space="0" w:color="auto"/>
        <w:left w:val="none" w:sz="0" w:space="0" w:color="auto"/>
        <w:bottom w:val="none" w:sz="0" w:space="0" w:color="auto"/>
        <w:right w:val="none" w:sz="0" w:space="0" w:color="auto"/>
      </w:divBdr>
      <w:divsChild>
        <w:div w:id="1442651230">
          <w:marLeft w:val="0"/>
          <w:marRight w:val="0"/>
          <w:marTop w:val="0"/>
          <w:marBottom w:val="0"/>
          <w:divBdr>
            <w:top w:val="none" w:sz="0" w:space="0" w:color="auto"/>
            <w:left w:val="none" w:sz="0" w:space="0" w:color="auto"/>
            <w:bottom w:val="none" w:sz="0" w:space="0" w:color="auto"/>
            <w:right w:val="none" w:sz="0" w:space="0" w:color="auto"/>
          </w:divBdr>
        </w:div>
      </w:divsChild>
    </w:div>
    <w:div w:id="1829710586">
      <w:bodyDiv w:val="1"/>
      <w:marLeft w:val="0"/>
      <w:marRight w:val="0"/>
      <w:marTop w:val="0"/>
      <w:marBottom w:val="0"/>
      <w:divBdr>
        <w:top w:val="none" w:sz="0" w:space="0" w:color="auto"/>
        <w:left w:val="none" w:sz="0" w:space="0" w:color="auto"/>
        <w:bottom w:val="none" w:sz="0" w:space="0" w:color="auto"/>
        <w:right w:val="none" w:sz="0" w:space="0" w:color="auto"/>
      </w:divBdr>
      <w:divsChild>
        <w:div w:id="181417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017B-5C4A-4FA1-BECA-6B05D123CA35}">
  <ds:schemaRefs>
    <ds:schemaRef ds:uri="http://schemas.microsoft.com/sharepoint/v3/contenttype/forms"/>
  </ds:schemaRefs>
</ds:datastoreItem>
</file>

<file path=customXml/itemProps2.xml><?xml version="1.0" encoding="utf-8"?>
<ds:datastoreItem xmlns:ds="http://schemas.openxmlformats.org/officeDocument/2006/customXml" ds:itemID="{ED7C8CA1-7D7B-4B6B-ABCF-AFFE54D5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27C038-9BF2-4A38-B7BF-7759330BD2A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18DB33F-A42E-4C2B-9813-3CF8D142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CFTC</Company>
  <LinksUpToDate>false</LinksUpToDate>
  <CharactersWithSpaces>25802</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OIRM</dc:creator>
  <cp:lastModifiedBy>SYSTEM</cp:lastModifiedBy>
  <cp:revision>2</cp:revision>
  <cp:lastPrinted>2019-06-10T19:55:00Z</cp:lastPrinted>
  <dcterms:created xsi:type="dcterms:W3CDTF">2019-06-27T17:23:00Z</dcterms:created>
  <dcterms:modified xsi:type="dcterms:W3CDTF">2019-06-27T17:23:00Z</dcterms:modified>
</cp:coreProperties>
</file>