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A1BB4" w14:textId="3B1E4573" w:rsidR="00CC5EA2" w:rsidRDefault="00E162EF" w:rsidP="0047009D">
      <w:pPr>
        <w:jc w:val="center"/>
        <w:rPr>
          <w:b/>
          <w:color w:val="000000"/>
        </w:rPr>
      </w:pPr>
      <w:bookmarkStart w:id="0" w:name="_GoBack"/>
      <w:bookmarkEnd w:id="0"/>
      <w:r w:rsidRPr="00AD27FD">
        <w:rPr>
          <w:b/>
          <w:color w:val="000000"/>
        </w:rPr>
        <w:t xml:space="preserve">OMB Form 83-I </w:t>
      </w:r>
      <w:r w:rsidR="0047009D" w:rsidRPr="00AD27FD">
        <w:rPr>
          <w:b/>
          <w:color w:val="000000"/>
        </w:rPr>
        <w:t>SUPPORTING STATEMENT</w:t>
      </w:r>
    </w:p>
    <w:p w14:paraId="135B1FA7" w14:textId="77777777" w:rsidR="005B4922" w:rsidRPr="00AD27FD" w:rsidRDefault="005B4922" w:rsidP="0047009D">
      <w:pPr>
        <w:jc w:val="center"/>
        <w:rPr>
          <w:b/>
          <w:color w:val="000000"/>
        </w:rPr>
      </w:pPr>
    </w:p>
    <w:p w14:paraId="4ED5B051" w14:textId="36BDE6D5" w:rsidR="0047009D" w:rsidRPr="00AD27FD" w:rsidRDefault="00E162EF" w:rsidP="0047009D">
      <w:pPr>
        <w:rPr>
          <w:color w:val="000000"/>
        </w:rPr>
      </w:pPr>
      <w:r w:rsidRPr="00AD27FD">
        <w:rPr>
          <w:color w:val="000000"/>
        </w:rPr>
        <w:t xml:space="preserve">HUBZONE </w:t>
      </w:r>
      <w:r w:rsidR="00E26DD3">
        <w:rPr>
          <w:color w:val="000000"/>
        </w:rPr>
        <w:t xml:space="preserve">PROGRAM </w:t>
      </w:r>
      <w:r w:rsidRPr="00AD27FD">
        <w:rPr>
          <w:color w:val="000000"/>
        </w:rPr>
        <w:t>ELECTRONIC APPLICATION</w:t>
      </w:r>
      <w:r w:rsidR="00E26DD3">
        <w:rPr>
          <w:color w:val="000000"/>
        </w:rPr>
        <w:t xml:space="preserve">, </w:t>
      </w:r>
      <w:r w:rsidR="001166E6">
        <w:rPr>
          <w:color w:val="000000"/>
        </w:rPr>
        <w:t>RECERTIFICATION AND PROGRM EXAMINATION</w:t>
      </w:r>
      <w:r w:rsidRPr="00AD27FD">
        <w:rPr>
          <w:color w:val="000000"/>
        </w:rPr>
        <w:t xml:space="preserve"> (OMB Control # 3245-0320) </w:t>
      </w:r>
    </w:p>
    <w:p w14:paraId="76D9EADD" w14:textId="77777777" w:rsidR="0047009D" w:rsidRPr="00AD27FD" w:rsidRDefault="0047009D" w:rsidP="0047009D">
      <w:pPr>
        <w:rPr>
          <w:color w:val="000000"/>
        </w:rPr>
      </w:pPr>
    </w:p>
    <w:p w14:paraId="21141F84" w14:textId="43128D49" w:rsidR="0047009D" w:rsidRPr="0090120F" w:rsidRDefault="0047009D" w:rsidP="0090120F">
      <w:pPr>
        <w:spacing w:line="360" w:lineRule="auto"/>
        <w:jc w:val="both"/>
        <w:rPr>
          <w:b/>
          <w:color w:val="000000"/>
        </w:rPr>
      </w:pPr>
      <w:r w:rsidRPr="00877B32">
        <w:rPr>
          <w:b/>
          <w:color w:val="000000"/>
        </w:rPr>
        <w:t>A. Justification</w:t>
      </w:r>
    </w:p>
    <w:p w14:paraId="1C09CEEA" w14:textId="77777777" w:rsidR="0047009D" w:rsidRPr="0090120F" w:rsidRDefault="0047009D" w:rsidP="0090120F">
      <w:pPr>
        <w:spacing w:line="360" w:lineRule="auto"/>
        <w:jc w:val="both"/>
        <w:rPr>
          <w:color w:val="000000"/>
        </w:rPr>
      </w:pPr>
      <w:r w:rsidRPr="0090120F">
        <w:rPr>
          <w:b/>
          <w:color w:val="000000"/>
        </w:rPr>
        <w:t>1. Circumstances necessitating the collection of information.</w:t>
      </w:r>
    </w:p>
    <w:p w14:paraId="3F53B72E" w14:textId="77777777" w:rsidR="000B3A8E" w:rsidRPr="0090120F" w:rsidRDefault="000B3A8E" w:rsidP="0090120F">
      <w:pPr>
        <w:jc w:val="both"/>
        <w:rPr>
          <w:i/>
        </w:rPr>
      </w:pPr>
      <w:r w:rsidRPr="0090120F">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9A74731" w14:textId="77777777" w:rsidR="0047009D" w:rsidRPr="0090120F" w:rsidRDefault="0047009D" w:rsidP="0090120F">
      <w:pPr>
        <w:spacing w:line="360" w:lineRule="auto"/>
        <w:jc w:val="both"/>
        <w:rPr>
          <w:color w:val="000000"/>
        </w:rPr>
      </w:pPr>
    </w:p>
    <w:p w14:paraId="60AC1F0D" w14:textId="77777777" w:rsidR="005B4922" w:rsidRDefault="0047009D" w:rsidP="005B4922">
      <w:pPr>
        <w:jc w:val="both"/>
        <w:rPr>
          <w:color w:val="000000"/>
        </w:rPr>
      </w:pPr>
      <w:r w:rsidRPr="0090120F">
        <w:rPr>
          <w:color w:val="000000"/>
        </w:rPr>
        <w:tab/>
      </w:r>
      <w:smartTag w:uri="urn:schemas-microsoft-com:office:smarttags" w:element="PersonName">
        <w:r w:rsidRPr="0090120F">
          <w:rPr>
            <w:color w:val="000000"/>
          </w:rPr>
          <w:t>The</w:t>
        </w:r>
      </w:smartTag>
      <w:r w:rsidRPr="0090120F">
        <w:rPr>
          <w:color w:val="000000"/>
        </w:rPr>
        <w:t xml:space="preserve"> U.S. Small Business Administration (SBA) is required by statute to administer the “Historically Underutilized Business Zone” (HUBZone) Program.  </w:t>
      </w:r>
      <w:r w:rsidR="00DF4A61" w:rsidRPr="0090120F">
        <w:rPr>
          <w:color w:val="000000"/>
        </w:rPr>
        <w:t>15 U.S.C. 657a(a</w:t>
      </w:r>
      <w:r w:rsidR="00DF4A61" w:rsidRPr="0090120F">
        <w:rPr>
          <w:b/>
          <w:color w:val="000000"/>
        </w:rPr>
        <w:t>)</w:t>
      </w:r>
      <w:r w:rsidR="00DF4A61" w:rsidRPr="0090120F">
        <w:rPr>
          <w:color w:val="000000"/>
        </w:rPr>
        <w:t xml:space="preserve"> </w:t>
      </w:r>
      <w:r w:rsidRPr="0090120F">
        <w:rPr>
          <w:color w:val="000000"/>
        </w:rPr>
        <w:t>The program requires that small business concerns apply to SBA for certification for the program</w:t>
      </w:r>
      <w:r w:rsidRPr="0090120F">
        <w:rPr>
          <w:b/>
          <w:color w:val="000000"/>
        </w:rPr>
        <w:t xml:space="preserve">.  </w:t>
      </w:r>
      <w:r w:rsidR="00041BC5" w:rsidRPr="0090120F">
        <w:rPr>
          <w:color w:val="000000"/>
        </w:rPr>
        <w:t>15 U.S.C. 632(p)(5)</w:t>
      </w:r>
      <w:r w:rsidR="00C15DBE" w:rsidRPr="0090120F">
        <w:rPr>
          <w:color w:val="000000"/>
        </w:rPr>
        <w:t>(A)</w:t>
      </w:r>
      <w:r w:rsidR="00946A62">
        <w:rPr>
          <w:color w:val="000000"/>
        </w:rPr>
        <w:t xml:space="preserve"> and </w:t>
      </w:r>
      <w:r w:rsidR="007E3BD5">
        <w:rPr>
          <w:color w:val="000000"/>
        </w:rPr>
        <w:t xml:space="preserve">13 C.F.R. </w:t>
      </w:r>
      <w:r w:rsidR="00A01CFF">
        <w:rPr>
          <w:color w:val="000000"/>
        </w:rPr>
        <w:t>§ Subpart C</w:t>
      </w:r>
      <w:r w:rsidR="0027458C" w:rsidRPr="0090120F">
        <w:rPr>
          <w:color w:val="000000"/>
        </w:rPr>
        <w:t>.</w:t>
      </w:r>
      <w:r w:rsidR="0027458C" w:rsidRPr="0090120F">
        <w:rPr>
          <w:b/>
          <w:color w:val="000000"/>
        </w:rPr>
        <w:t xml:space="preserve"> </w:t>
      </w:r>
      <w:r w:rsidRPr="0090120F">
        <w:rPr>
          <w:color w:val="000000"/>
        </w:rPr>
        <w:t xml:space="preserve"> </w:t>
      </w:r>
      <w:r w:rsidR="00C15DBE" w:rsidRPr="0090120F">
        <w:rPr>
          <w:color w:val="000000"/>
        </w:rPr>
        <w:t xml:space="preserve">The SBA requires each qualified HUBZone small business concern to re-certify its HUBZone eligibility every three years.  13 C.F.R. § 126.500. </w:t>
      </w:r>
      <w:r w:rsidRPr="0090120F">
        <w:rPr>
          <w:color w:val="000000"/>
        </w:rPr>
        <w:t xml:space="preserve"> SBA also is required by statute to maintain a list of qualified HUBZone small business concerns</w:t>
      </w:r>
      <w:r w:rsidR="0027458C" w:rsidRPr="0090120F">
        <w:rPr>
          <w:color w:val="000000"/>
        </w:rPr>
        <w:t>,</w:t>
      </w:r>
      <w:r w:rsidR="00515256" w:rsidRPr="0090120F">
        <w:rPr>
          <w:color w:val="000000"/>
        </w:rPr>
        <w:t xml:space="preserve"> </w:t>
      </w:r>
      <w:r w:rsidR="0027458C" w:rsidRPr="0090120F">
        <w:rPr>
          <w:color w:val="000000"/>
        </w:rPr>
        <w:t>including</w:t>
      </w:r>
      <w:r w:rsidR="00C15DBE" w:rsidRPr="0090120F">
        <w:rPr>
          <w:color w:val="000000"/>
        </w:rPr>
        <w:t xml:space="preserve"> the </w:t>
      </w:r>
      <w:r w:rsidR="00515256" w:rsidRPr="0090120F">
        <w:rPr>
          <w:color w:val="000000"/>
        </w:rPr>
        <w:t>name, address and type of business</w:t>
      </w:r>
      <w:r w:rsidR="00593799" w:rsidRPr="0090120F">
        <w:rPr>
          <w:color w:val="000000"/>
        </w:rPr>
        <w:t xml:space="preserve">. </w:t>
      </w:r>
      <w:r w:rsidR="00C15DBE" w:rsidRPr="0090120F">
        <w:rPr>
          <w:color w:val="000000"/>
        </w:rPr>
        <w:t xml:space="preserve"> 15 U.S.C. 632(p)(5)(D).</w:t>
      </w:r>
    </w:p>
    <w:p w14:paraId="3EBA8300" w14:textId="77777777" w:rsidR="005B4922" w:rsidRDefault="005B4922" w:rsidP="005B4922">
      <w:pPr>
        <w:jc w:val="both"/>
        <w:rPr>
          <w:color w:val="000000"/>
        </w:rPr>
      </w:pPr>
    </w:p>
    <w:p w14:paraId="7162D05B" w14:textId="1440665A" w:rsidR="00041BC5" w:rsidRPr="0090120F" w:rsidRDefault="00A9493F" w:rsidP="005B4922">
      <w:pPr>
        <w:jc w:val="both"/>
        <w:rPr>
          <w:color w:val="000000"/>
        </w:rPr>
      </w:pPr>
      <w:r w:rsidRPr="0090120F">
        <w:rPr>
          <w:color w:val="000000"/>
        </w:rPr>
        <w:tab/>
        <w:t>In</w:t>
      </w:r>
      <w:r w:rsidR="005B4922">
        <w:rPr>
          <w:color w:val="000000"/>
        </w:rPr>
        <w:t xml:space="preserve"> </w:t>
      </w:r>
      <w:r w:rsidRPr="0090120F">
        <w:rPr>
          <w:color w:val="000000"/>
        </w:rPr>
        <w:t xml:space="preserve">addition, the SBA is authorized </w:t>
      </w:r>
      <w:r w:rsidR="00593799" w:rsidRPr="0090120F">
        <w:rPr>
          <w:color w:val="000000"/>
        </w:rPr>
        <w:t xml:space="preserve">to </w:t>
      </w:r>
      <w:r w:rsidRPr="0090120F">
        <w:rPr>
          <w:color w:val="000000"/>
        </w:rPr>
        <w:t xml:space="preserve">conduct program examinations on any small business concern seeking certification into the program, or already certified into the program. 15 U.S.C. § 657a(c)(2); </w:t>
      </w:r>
      <w:r w:rsidRPr="005B4922">
        <w:rPr>
          <w:color w:val="000000"/>
        </w:rPr>
        <w:t>see also</w:t>
      </w:r>
      <w:r w:rsidRPr="0090120F">
        <w:rPr>
          <w:color w:val="000000"/>
        </w:rPr>
        <w:t xml:space="preserve"> 13 C.F.R. § 126.402.  </w:t>
      </w:r>
      <w:r w:rsidR="00B37A7F" w:rsidRPr="0090120F">
        <w:rPr>
          <w:color w:val="000000"/>
        </w:rPr>
        <w:t>Copies</w:t>
      </w:r>
      <w:r w:rsidR="00041BC5" w:rsidRPr="0090120F">
        <w:rPr>
          <w:color w:val="000000"/>
        </w:rPr>
        <w:t xml:space="preserve"> of the pertinent statutory and regulatory provisions are attached</w:t>
      </w:r>
      <w:r w:rsidR="00F20193">
        <w:rPr>
          <w:color w:val="000000"/>
        </w:rPr>
        <w:t xml:space="preserve"> – (Appendix A.1 and A.2) </w:t>
      </w:r>
    </w:p>
    <w:p w14:paraId="76E01DAE" w14:textId="77777777" w:rsidR="00AA2F18" w:rsidRPr="0090120F" w:rsidRDefault="00AA2F18" w:rsidP="0090120F">
      <w:pPr>
        <w:jc w:val="both"/>
        <w:rPr>
          <w:color w:val="000000"/>
        </w:rPr>
      </w:pPr>
    </w:p>
    <w:p w14:paraId="0EDF8856" w14:textId="77777777" w:rsidR="00D80216" w:rsidRPr="0090120F" w:rsidRDefault="00750568" w:rsidP="0090120F">
      <w:pPr>
        <w:jc w:val="both"/>
        <w:rPr>
          <w:b/>
          <w:color w:val="000000"/>
        </w:rPr>
      </w:pPr>
      <w:r w:rsidRPr="0090120F">
        <w:rPr>
          <w:color w:val="000000"/>
        </w:rPr>
        <w:tab/>
      </w:r>
      <w:r w:rsidR="00594A7C" w:rsidRPr="0090120F">
        <w:rPr>
          <w:b/>
          <w:color w:val="000000"/>
        </w:rPr>
        <w:t>2. How, by whom and for what purpose information will be used.</w:t>
      </w:r>
    </w:p>
    <w:p w14:paraId="307E02EA" w14:textId="77777777" w:rsidR="004930AA" w:rsidRPr="0090120F" w:rsidRDefault="004930AA" w:rsidP="0090120F">
      <w:pPr>
        <w:jc w:val="both"/>
        <w:rPr>
          <w:i/>
          <w:iCs/>
        </w:rPr>
      </w:pPr>
    </w:p>
    <w:p w14:paraId="6D42A345" w14:textId="77777777" w:rsidR="000B3A8E" w:rsidRPr="0090120F" w:rsidRDefault="000B3A8E" w:rsidP="0090120F">
      <w:pPr>
        <w:jc w:val="both"/>
        <w:rPr>
          <w:i/>
          <w:iCs/>
        </w:rPr>
      </w:pPr>
      <w:r w:rsidRPr="0090120F">
        <w:rPr>
          <w:i/>
          <w:iCs/>
        </w:rPr>
        <w:t>Indicate how, by whom, and for what purpose the information is to be used.  Except for a new collection, indicate the actual use the agency has made of the information from the current collection.</w:t>
      </w:r>
    </w:p>
    <w:p w14:paraId="307E8D39" w14:textId="77777777" w:rsidR="00D80216" w:rsidRPr="0090120F" w:rsidRDefault="00D80216" w:rsidP="0090120F">
      <w:pPr>
        <w:jc w:val="both"/>
        <w:rPr>
          <w:color w:val="000000"/>
        </w:rPr>
      </w:pPr>
    </w:p>
    <w:p w14:paraId="01FC80A1" w14:textId="05A34BE3" w:rsidR="00D80216" w:rsidRPr="0090120F" w:rsidRDefault="00594A7C" w:rsidP="0090120F">
      <w:pPr>
        <w:ind w:firstLine="360"/>
        <w:jc w:val="both"/>
        <w:rPr>
          <w:b/>
          <w:color w:val="000000"/>
        </w:rPr>
      </w:pPr>
      <w:r w:rsidRPr="0090120F">
        <w:rPr>
          <w:color w:val="000000"/>
        </w:rPr>
        <w:t>Small businesses apply</w:t>
      </w:r>
      <w:r w:rsidR="00EB45D4" w:rsidRPr="0090120F">
        <w:rPr>
          <w:color w:val="000000"/>
        </w:rPr>
        <w:t>ing</w:t>
      </w:r>
      <w:r w:rsidRPr="0090120F">
        <w:rPr>
          <w:color w:val="000000"/>
        </w:rPr>
        <w:t xml:space="preserve"> to SBA for certification as a qualified HUBZone small business concern will complete the</w:t>
      </w:r>
      <w:r w:rsidR="00201A6D" w:rsidRPr="0090120F">
        <w:rPr>
          <w:color w:val="000000"/>
        </w:rPr>
        <w:t xml:space="preserve"> electronic</w:t>
      </w:r>
      <w:r w:rsidRPr="0090120F">
        <w:rPr>
          <w:color w:val="000000"/>
        </w:rPr>
        <w:t xml:space="preserve"> application</w:t>
      </w:r>
      <w:r w:rsidR="00593799" w:rsidRPr="0090120F">
        <w:rPr>
          <w:color w:val="000000"/>
        </w:rPr>
        <w:t xml:space="preserve">. </w:t>
      </w:r>
      <w:r w:rsidRPr="0090120F">
        <w:rPr>
          <w:color w:val="000000"/>
        </w:rPr>
        <w:t xml:space="preserve"> SBA use</w:t>
      </w:r>
      <w:r w:rsidR="00BF23F0" w:rsidRPr="0090120F">
        <w:rPr>
          <w:strike/>
          <w:color w:val="000000"/>
        </w:rPr>
        <w:t>s</w:t>
      </w:r>
      <w:r w:rsidRPr="0090120F">
        <w:rPr>
          <w:color w:val="000000"/>
        </w:rPr>
        <w:t xml:space="preserve"> the information submitted on the application </w:t>
      </w:r>
      <w:r w:rsidR="00EB45D4" w:rsidRPr="0090120F">
        <w:rPr>
          <w:color w:val="000000"/>
        </w:rPr>
        <w:t>for</w:t>
      </w:r>
      <w:r w:rsidRPr="0090120F">
        <w:rPr>
          <w:color w:val="000000"/>
        </w:rPr>
        <w:t xml:space="preserve"> verify</w:t>
      </w:r>
      <w:r w:rsidR="00EB45D4" w:rsidRPr="0090120F">
        <w:rPr>
          <w:color w:val="000000"/>
        </w:rPr>
        <w:t>ing</w:t>
      </w:r>
      <w:r w:rsidRPr="0090120F">
        <w:rPr>
          <w:color w:val="000000"/>
        </w:rPr>
        <w:t xml:space="preserve"> a concern’s eligibility for the HUBZone program, for compiling a database of qualified HUBZone small business concerns, and for preparing reports to the Executive and Legislative branches of government, as well as other interested parties.</w:t>
      </w:r>
      <w:r w:rsidR="00614E5D" w:rsidRPr="0090120F">
        <w:rPr>
          <w:color w:val="000000"/>
        </w:rPr>
        <w:t xml:space="preserve"> In addition, the SBA uses the information for the re-certification process, as well as for conducting program examinations on certified HUBZone small business concerns.</w:t>
      </w:r>
      <w:r w:rsidR="001423AE" w:rsidRPr="0090120F">
        <w:rPr>
          <w:color w:val="000000"/>
        </w:rPr>
        <w:t xml:space="preserve">   </w:t>
      </w:r>
    </w:p>
    <w:p w14:paraId="0CD504A3" w14:textId="77777777" w:rsidR="00FB462D" w:rsidRDefault="00FB462D" w:rsidP="0090120F">
      <w:pPr>
        <w:jc w:val="both"/>
        <w:rPr>
          <w:b/>
          <w:color w:val="000000"/>
        </w:rPr>
      </w:pPr>
    </w:p>
    <w:p w14:paraId="2C84D812" w14:textId="695213F8" w:rsidR="0067135A" w:rsidRPr="0090120F" w:rsidRDefault="0067135A" w:rsidP="0090120F">
      <w:pPr>
        <w:jc w:val="both"/>
        <w:rPr>
          <w:b/>
          <w:color w:val="000000"/>
        </w:rPr>
      </w:pPr>
      <w:r w:rsidRPr="0090120F">
        <w:rPr>
          <w:b/>
          <w:color w:val="000000"/>
        </w:rPr>
        <w:t xml:space="preserve">3. </w:t>
      </w:r>
      <w:r w:rsidR="00D600F0" w:rsidRPr="0090120F">
        <w:rPr>
          <w:b/>
          <w:color w:val="000000"/>
        </w:rPr>
        <w:t>Technological</w:t>
      </w:r>
      <w:r w:rsidRPr="0090120F">
        <w:rPr>
          <w:b/>
          <w:color w:val="000000"/>
        </w:rPr>
        <w:t xml:space="preserve"> collection techniques.</w:t>
      </w:r>
    </w:p>
    <w:p w14:paraId="7F61FDDB" w14:textId="77777777" w:rsidR="004930AA" w:rsidRPr="0090120F" w:rsidRDefault="004930AA" w:rsidP="0090120F">
      <w:pPr>
        <w:ind w:right="-180"/>
        <w:jc w:val="both"/>
        <w:rPr>
          <w:i/>
          <w:iCs/>
        </w:rPr>
      </w:pPr>
    </w:p>
    <w:p w14:paraId="6D54BA29" w14:textId="77777777" w:rsidR="00D80216" w:rsidRPr="0090120F" w:rsidRDefault="000B3A8E" w:rsidP="0090120F">
      <w:pPr>
        <w:ind w:right="-180"/>
        <w:jc w:val="both"/>
        <w:rPr>
          <w:color w:val="000000"/>
        </w:rPr>
      </w:pPr>
      <w:r w:rsidRPr="0090120F">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6769D9F" w14:textId="77777777" w:rsidR="000B3A8E" w:rsidRPr="0090120F" w:rsidRDefault="0067135A" w:rsidP="0090120F">
      <w:pPr>
        <w:ind w:right="-180"/>
        <w:jc w:val="both"/>
        <w:rPr>
          <w:color w:val="000000"/>
        </w:rPr>
      </w:pPr>
      <w:r w:rsidRPr="0090120F">
        <w:rPr>
          <w:color w:val="000000"/>
        </w:rPr>
        <w:lastRenderedPageBreak/>
        <w:tab/>
      </w:r>
    </w:p>
    <w:p w14:paraId="6F89B7CC" w14:textId="0B6AD523" w:rsidR="003E54B4" w:rsidRPr="0090120F" w:rsidRDefault="00EB45D4" w:rsidP="0090120F">
      <w:pPr>
        <w:ind w:firstLine="360"/>
        <w:jc w:val="both"/>
        <w:rPr>
          <w:color w:val="000000"/>
        </w:rPr>
      </w:pPr>
      <w:r w:rsidRPr="0090120F">
        <w:rPr>
          <w:color w:val="000000"/>
        </w:rPr>
        <w:t>All</w:t>
      </w:r>
      <w:r w:rsidR="0067135A" w:rsidRPr="0090120F">
        <w:rPr>
          <w:color w:val="000000"/>
        </w:rPr>
        <w:t xml:space="preserve"> </w:t>
      </w:r>
      <w:r w:rsidR="002F6591">
        <w:rPr>
          <w:color w:val="000000"/>
        </w:rPr>
        <w:t xml:space="preserve">information related to </w:t>
      </w:r>
      <w:r w:rsidR="0067135A" w:rsidRPr="0090120F">
        <w:rPr>
          <w:color w:val="000000"/>
        </w:rPr>
        <w:t>applications</w:t>
      </w:r>
      <w:r w:rsidR="00C85A7A" w:rsidRPr="0090120F">
        <w:rPr>
          <w:color w:val="000000"/>
        </w:rPr>
        <w:t xml:space="preserve"> </w:t>
      </w:r>
      <w:r w:rsidR="001E0E40" w:rsidRPr="0090120F">
        <w:rPr>
          <w:color w:val="000000"/>
        </w:rPr>
        <w:t xml:space="preserve">for </w:t>
      </w:r>
      <w:r w:rsidRPr="0090120F">
        <w:rPr>
          <w:color w:val="000000"/>
        </w:rPr>
        <w:t xml:space="preserve">program </w:t>
      </w:r>
      <w:r w:rsidR="001E0E40" w:rsidRPr="0090120F">
        <w:rPr>
          <w:color w:val="000000"/>
        </w:rPr>
        <w:t xml:space="preserve">participation, program examinations, and recertifications </w:t>
      </w:r>
      <w:r w:rsidR="002F6591">
        <w:rPr>
          <w:color w:val="000000"/>
        </w:rPr>
        <w:t xml:space="preserve">is </w:t>
      </w:r>
      <w:r w:rsidR="0067135A" w:rsidRPr="0090120F">
        <w:rPr>
          <w:color w:val="000000"/>
        </w:rPr>
        <w:t xml:space="preserve"> completed electronically. </w:t>
      </w:r>
      <w:r w:rsidR="001E0E40" w:rsidRPr="0090120F">
        <w:rPr>
          <w:color w:val="000000"/>
        </w:rPr>
        <w:t>After submission of the electronic application, SBA requires each firm to sign and</w:t>
      </w:r>
      <w:r w:rsidR="00C85A7A" w:rsidRPr="0090120F">
        <w:rPr>
          <w:color w:val="000000"/>
        </w:rPr>
        <w:t xml:space="preserve"> have</w:t>
      </w:r>
      <w:r w:rsidR="001E0E40" w:rsidRPr="0090120F">
        <w:rPr>
          <w:color w:val="000000"/>
        </w:rPr>
        <w:t xml:space="preserve"> the certification form </w:t>
      </w:r>
      <w:r w:rsidR="00C85A7A" w:rsidRPr="0090120F">
        <w:rPr>
          <w:color w:val="000000"/>
        </w:rPr>
        <w:t xml:space="preserve">notarized </w:t>
      </w:r>
      <w:r w:rsidR="00AE0A14" w:rsidRPr="0090120F">
        <w:rPr>
          <w:color w:val="000000"/>
        </w:rPr>
        <w:t>to</w:t>
      </w:r>
      <w:r w:rsidR="001E0E40" w:rsidRPr="0090120F">
        <w:rPr>
          <w:color w:val="000000"/>
        </w:rPr>
        <w:t xml:space="preserve"> attest that all information is true and correct.  There are three versions of the certification sheet that will be selected by the firms depending on the type of ownership.  </w:t>
      </w:r>
      <w:r w:rsidR="0067135A" w:rsidRPr="0090120F">
        <w:rPr>
          <w:color w:val="000000"/>
        </w:rPr>
        <w:t>Electronic transmission of th</w:t>
      </w:r>
      <w:r w:rsidR="001E0E40" w:rsidRPr="0090120F">
        <w:rPr>
          <w:color w:val="000000"/>
        </w:rPr>
        <w:t>e</w:t>
      </w:r>
      <w:r w:rsidR="00117596" w:rsidRPr="0090120F">
        <w:rPr>
          <w:color w:val="000000"/>
        </w:rPr>
        <w:t xml:space="preserve"> </w:t>
      </w:r>
      <w:r w:rsidR="0067135A" w:rsidRPr="0090120F">
        <w:rPr>
          <w:color w:val="000000"/>
        </w:rPr>
        <w:t>information provides an efficient means to process and collect the necessary data</w:t>
      </w:r>
      <w:r w:rsidR="005209CE" w:rsidRPr="0090120F">
        <w:rPr>
          <w:color w:val="000000"/>
        </w:rPr>
        <w:t xml:space="preserve"> and lessens the burden on program participants by saving them the time and expense of having to submit paper files. </w:t>
      </w:r>
    </w:p>
    <w:p w14:paraId="115D018D" w14:textId="77777777" w:rsidR="00D80216" w:rsidRPr="0090120F" w:rsidRDefault="00D80216" w:rsidP="0090120F">
      <w:pPr>
        <w:jc w:val="both"/>
        <w:rPr>
          <w:color w:val="000000"/>
        </w:rPr>
      </w:pPr>
    </w:p>
    <w:p w14:paraId="38113C30" w14:textId="77777777" w:rsidR="00D80216" w:rsidRPr="0090120F" w:rsidRDefault="0067135A" w:rsidP="0090120F">
      <w:pPr>
        <w:jc w:val="both"/>
        <w:rPr>
          <w:b/>
          <w:color w:val="000000"/>
        </w:rPr>
      </w:pPr>
      <w:r w:rsidRPr="0090120F">
        <w:rPr>
          <w:b/>
          <w:color w:val="000000"/>
        </w:rPr>
        <w:t>4. Avoidance of duplication.</w:t>
      </w:r>
    </w:p>
    <w:p w14:paraId="083EDF99" w14:textId="77777777" w:rsidR="004930AA" w:rsidRPr="0090120F" w:rsidRDefault="004930AA" w:rsidP="0090120F">
      <w:pPr>
        <w:jc w:val="both"/>
        <w:rPr>
          <w:i/>
          <w:iCs/>
        </w:rPr>
      </w:pPr>
    </w:p>
    <w:p w14:paraId="6F14A21B" w14:textId="77777777" w:rsidR="000B3A8E" w:rsidRPr="0090120F" w:rsidRDefault="000B3A8E" w:rsidP="0090120F">
      <w:pPr>
        <w:jc w:val="both"/>
        <w:rPr>
          <w:i/>
          <w:iCs/>
        </w:rPr>
      </w:pPr>
      <w:r w:rsidRPr="0090120F">
        <w:rPr>
          <w:i/>
          <w:iCs/>
        </w:rPr>
        <w:t>Describe efforts to identify duplication.  Show specifically why any similar information already available cannot be used or modified for the purposes described in Item 2 above.</w:t>
      </w:r>
    </w:p>
    <w:p w14:paraId="059BE87D" w14:textId="77777777" w:rsidR="000B3A8E" w:rsidRPr="0090120F" w:rsidRDefault="000B3A8E" w:rsidP="0090120F">
      <w:pPr>
        <w:ind w:right="-180"/>
        <w:jc w:val="both"/>
        <w:rPr>
          <w:spacing w:val="-2"/>
        </w:rPr>
      </w:pPr>
      <w:r w:rsidRPr="0090120F">
        <w:t> </w:t>
      </w:r>
    </w:p>
    <w:p w14:paraId="4932AE7E" w14:textId="5B0EF753" w:rsidR="000A4E37" w:rsidRPr="0090120F" w:rsidRDefault="0067135A" w:rsidP="0090120F">
      <w:pPr>
        <w:ind w:firstLine="360"/>
        <w:jc w:val="both"/>
        <w:rPr>
          <w:color w:val="000000"/>
        </w:rPr>
      </w:pPr>
      <w:r w:rsidRPr="0090120F">
        <w:rPr>
          <w:color w:val="000000"/>
        </w:rPr>
        <w:t xml:space="preserve">The information collected for the HUBZone program is different from information collected for other SBA programs. </w:t>
      </w:r>
      <w:r w:rsidR="00D0746F" w:rsidRPr="0090120F">
        <w:rPr>
          <w:color w:val="000000"/>
        </w:rPr>
        <w:t xml:space="preserve"> </w:t>
      </w:r>
      <w:r w:rsidR="000A4E37" w:rsidRPr="0090120F">
        <w:rPr>
          <w:color w:val="000000"/>
        </w:rPr>
        <w:t>In order to reduce th</w:t>
      </w:r>
      <w:r w:rsidR="00A72F50" w:rsidRPr="0090120F">
        <w:rPr>
          <w:color w:val="000000"/>
        </w:rPr>
        <w:t>e need to enter redundant data,</w:t>
      </w:r>
      <w:r w:rsidR="00614E5D" w:rsidRPr="0090120F">
        <w:rPr>
          <w:color w:val="000000"/>
        </w:rPr>
        <w:t xml:space="preserve"> </w:t>
      </w:r>
      <w:r w:rsidR="000A4E37" w:rsidRPr="0090120F">
        <w:rPr>
          <w:color w:val="000000"/>
        </w:rPr>
        <w:t xml:space="preserve">the HUBZone system collects preexisting information from </w:t>
      </w:r>
      <w:r w:rsidR="00E5403E" w:rsidRPr="0090120F">
        <w:rPr>
          <w:color w:val="000000"/>
        </w:rPr>
        <w:t xml:space="preserve">other </w:t>
      </w:r>
      <w:r w:rsidR="000A4E37" w:rsidRPr="0090120F">
        <w:rPr>
          <w:color w:val="000000"/>
        </w:rPr>
        <w:t>electronically linked systems</w:t>
      </w:r>
      <w:r w:rsidR="00614E5D" w:rsidRPr="0090120F">
        <w:rPr>
          <w:color w:val="000000"/>
        </w:rPr>
        <w:t xml:space="preserve"> such as the</w:t>
      </w:r>
      <w:r w:rsidR="000A4E37" w:rsidRPr="0090120F">
        <w:rPr>
          <w:color w:val="000000"/>
        </w:rPr>
        <w:t xml:space="preserve"> </w:t>
      </w:r>
      <w:r w:rsidR="005E4D50" w:rsidRPr="0090120F">
        <w:rPr>
          <w:color w:val="000000"/>
        </w:rPr>
        <w:t xml:space="preserve">System of </w:t>
      </w:r>
      <w:r w:rsidR="00EE4317" w:rsidRPr="0090120F">
        <w:rPr>
          <w:color w:val="000000"/>
        </w:rPr>
        <w:t>Awards Management (SAM)</w:t>
      </w:r>
      <w:r w:rsidR="00E5403E" w:rsidRPr="0090120F">
        <w:rPr>
          <w:color w:val="000000"/>
        </w:rPr>
        <w:t xml:space="preserve"> </w:t>
      </w:r>
      <w:r w:rsidR="00614E5D" w:rsidRPr="0090120F">
        <w:rPr>
          <w:color w:val="000000"/>
        </w:rPr>
        <w:t>and</w:t>
      </w:r>
      <w:r w:rsidR="00561B64" w:rsidRPr="0090120F">
        <w:rPr>
          <w:color w:val="000000"/>
        </w:rPr>
        <w:t xml:space="preserve"> SBA’s Dynamic Small Business System (DSBS)</w:t>
      </w:r>
      <w:r w:rsidR="009874F1" w:rsidRPr="0090120F">
        <w:rPr>
          <w:color w:val="000000"/>
        </w:rPr>
        <w:t xml:space="preserve"> to populate certain identifying data fields into the application.  Such data includes </w:t>
      </w:r>
      <w:r w:rsidR="000A4E37" w:rsidRPr="0090120F">
        <w:rPr>
          <w:color w:val="000000"/>
        </w:rPr>
        <w:t>Principal Address, Business Name, Tax Identification Number, Primary North American Industry Classification System (NAICS) Code, and C</w:t>
      </w:r>
      <w:r w:rsidR="009874F1" w:rsidRPr="0090120F">
        <w:rPr>
          <w:color w:val="000000"/>
        </w:rPr>
        <w:t>ommercial and Government Entity (CAGE)</w:t>
      </w:r>
      <w:r w:rsidR="000A4E37" w:rsidRPr="0090120F">
        <w:rPr>
          <w:color w:val="000000"/>
        </w:rPr>
        <w:t xml:space="preserve"> Code. </w:t>
      </w:r>
    </w:p>
    <w:p w14:paraId="385D029F" w14:textId="77777777" w:rsidR="00E5403E" w:rsidRPr="0090120F" w:rsidRDefault="00E5403E" w:rsidP="0090120F">
      <w:pPr>
        <w:jc w:val="both"/>
        <w:rPr>
          <w:color w:val="000000"/>
        </w:rPr>
      </w:pPr>
    </w:p>
    <w:p w14:paraId="633A6859" w14:textId="77777777" w:rsidR="0067135A" w:rsidRPr="0090120F" w:rsidRDefault="0067135A" w:rsidP="0090120F">
      <w:pPr>
        <w:spacing w:line="360" w:lineRule="auto"/>
        <w:jc w:val="both"/>
        <w:rPr>
          <w:b/>
          <w:color w:val="000000"/>
        </w:rPr>
      </w:pPr>
      <w:r w:rsidRPr="0090120F">
        <w:rPr>
          <w:b/>
          <w:color w:val="000000"/>
        </w:rPr>
        <w:t>5. Impact on small businesses or other small entities.</w:t>
      </w:r>
    </w:p>
    <w:p w14:paraId="52C20F53" w14:textId="77777777" w:rsidR="000B3A8E" w:rsidRPr="0090120F" w:rsidRDefault="000B3A8E" w:rsidP="0090120F">
      <w:pPr>
        <w:ind w:right="-180"/>
        <w:jc w:val="both"/>
        <w:rPr>
          <w:i/>
          <w:iCs/>
        </w:rPr>
      </w:pPr>
      <w:r w:rsidRPr="0090120F">
        <w:rPr>
          <w:i/>
          <w:iCs/>
        </w:rPr>
        <w:t>If the collection of information impacts small businesses or other small entities (Item 5 of OMB Form 83-1), describe any methods used to minimize burden.</w:t>
      </w:r>
    </w:p>
    <w:p w14:paraId="79D2B9B1" w14:textId="77777777" w:rsidR="00D80216" w:rsidRPr="0090120F" w:rsidRDefault="00D80216" w:rsidP="0090120F">
      <w:pPr>
        <w:jc w:val="both"/>
        <w:rPr>
          <w:color w:val="000000"/>
        </w:rPr>
      </w:pPr>
    </w:p>
    <w:p w14:paraId="242AB3A3" w14:textId="3F761B54" w:rsidR="0067135A" w:rsidRPr="0090120F" w:rsidRDefault="0067135A" w:rsidP="0090120F">
      <w:pPr>
        <w:jc w:val="both"/>
        <w:rPr>
          <w:color w:val="000000"/>
        </w:rPr>
      </w:pPr>
      <w:r w:rsidRPr="0090120F">
        <w:rPr>
          <w:color w:val="000000"/>
        </w:rPr>
        <w:tab/>
        <w:t>The collection of this data involves small business</w:t>
      </w:r>
      <w:r w:rsidR="00614E5D" w:rsidRPr="0090120F">
        <w:rPr>
          <w:color w:val="000000"/>
        </w:rPr>
        <w:t>es</w:t>
      </w:r>
      <w:r w:rsidR="004576B3" w:rsidRPr="0090120F">
        <w:rPr>
          <w:color w:val="000000"/>
        </w:rPr>
        <w:t xml:space="preserve"> (but not governmental jurisdictions or not-for-profit enterprises</w:t>
      </w:r>
      <w:r w:rsidR="0090120F" w:rsidRPr="0090120F">
        <w:rPr>
          <w:color w:val="000000"/>
        </w:rPr>
        <w:t>) but</w:t>
      </w:r>
      <w:r w:rsidR="000B36EA" w:rsidRPr="0090120F">
        <w:rPr>
          <w:color w:val="000000"/>
        </w:rPr>
        <w:t xml:space="preserve"> entails basic commercial information that is usually ma</w:t>
      </w:r>
      <w:r w:rsidR="00565C0C" w:rsidRPr="0090120F">
        <w:rPr>
          <w:color w:val="000000"/>
        </w:rPr>
        <w:t>intained by any business</w:t>
      </w:r>
      <w:r w:rsidR="000B36EA" w:rsidRPr="0090120F">
        <w:rPr>
          <w:color w:val="000000"/>
        </w:rPr>
        <w:t xml:space="preserve">.  </w:t>
      </w:r>
      <w:r w:rsidR="00576D65" w:rsidRPr="0090120F">
        <w:rPr>
          <w:color w:val="000000"/>
        </w:rPr>
        <w:t xml:space="preserve">The impact will not be economically significant.  </w:t>
      </w:r>
    </w:p>
    <w:p w14:paraId="153A4344" w14:textId="77777777" w:rsidR="000B36EA" w:rsidRPr="0090120F" w:rsidRDefault="000B36EA" w:rsidP="0090120F">
      <w:pPr>
        <w:spacing w:line="360" w:lineRule="auto"/>
        <w:jc w:val="both"/>
        <w:rPr>
          <w:color w:val="000000"/>
        </w:rPr>
      </w:pPr>
    </w:p>
    <w:p w14:paraId="77335361" w14:textId="77777777" w:rsidR="000B36EA" w:rsidRPr="0090120F" w:rsidRDefault="000B36EA" w:rsidP="0090120F">
      <w:pPr>
        <w:spacing w:line="360" w:lineRule="auto"/>
        <w:jc w:val="both"/>
        <w:rPr>
          <w:b/>
          <w:color w:val="000000"/>
        </w:rPr>
      </w:pPr>
      <w:r w:rsidRPr="0090120F">
        <w:rPr>
          <w:b/>
          <w:color w:val="000000"/>
        </w:rPr>
        <w:t xml:space="preserve">6. Consequences if collection </w:t>
      </w:r>
      <w:r w:rsidR="00C47ED2" w:rsidRPr="0090120F">
        <w:rPr>
          <w:b/>
          <w:color w:val="000000"/>
        </w:rPr>
        <w:t>of information</w:t>
      </w:r>
      <w:r w:rsidRPr="0090120F">
        <w:rPr>
          <w:b/>
          <w:color w:val="000000"/>
        </w:rPr>
        <w:t xml:space="preserve"> is not conducted.</w:t>
      </w:r>
    </w:p>
    <w:p w14:paraId="07129B9D" w14:textId="77777777" w:rsidR="000B3A8E" w:rsidRPr="0090120F" w:rsidRDefault="000B3A8E" w:rsidP="0090120F">
      <w:pPr>
        <w:ind w:right="-180"/>
        <w:jc w:val="both"/>
        <w:rPr>
          <w:i/>
          <w:iCs/>
        </w:rPr>
      </w:pPr>
      <w:r w:rsidRPr="0090120F">
        <w:rPr>
          <w:i/>
          <w:iCs/>
        </w:rPr>
        <w:t>Describe the consequences to Federal program or policy activities if the collection is not conducted or is conducted less frequently, as well as any technical or legal obstacles to reducing burden.</w:t>
      </w:r>
    </w:p>
    <w:p w14:paraId="6FE894BF" w14:textId="77777777" w:rsidR="00D80216" w:rsidRPr="0090120F" w:rsidRDefault="00D80216" w:rsidP="0090120F">
      <w:pPr>
        <w:ind w:right="-180"/>
        <w:jc w:val="both"/>
        <w:rPr>
          <w:i/>
          <w:iCs/>
        </w:rPr>
      </w:pPr>
    </w:p>
    <w:p w14:paraId="489F64DD" w14:textId="77777777" w:rsidR="000B36EA" w:rsidRPr="0090120F" w:rsidRDefault="000B36EA" w:rsidP="0090120F">
      <w:pPr>
        <w:jc w:val="both"/>
        <w:rPr>
          <w:color w:val="000000"/>
        </w:rPr>
      </w:pPr>
      <w:r w:rsidRPr="0090120F">
        <w:rPr>
          <w:color w:val="000000"/>
        </w:rPr>
        <w:tab/>
      </w:r>
      <w:r w:rsidR="00EE4317" w:rsidRPr="0090120F">
        <w:rPr>
          <w:color w:val="000000"/>
        </w:rPr>
        <w:t xml:space="preserve">Failure to </w:t>
      </w:r>
      <w:r w:rsidRPr="0090120F">
        <w:rPr>
          <w:color w:val="000000"/>
        </w:rPr>
        <w:t xml:space="preserve">collect the information on the HUBZone application </w:t>
      </w:r>
      <w:r w:rsidR="00EE4317" w:rsidRPr="0090120F">
        <w:rPr>
          <w:color w:val="000000"/>
        </w:rPr>
        <w:t xml:space="preserve">would impair </w:t>
      </w:r>
      <w:r w:rsidRPr="0090120F">
        <w:rPr>
          <w:color w:val="000000"/>
        </w:rPr>
        <w:t>SBA</w:t>
      </w:r>
      <w:r w:rsidR="00EE4317" w:rsidRPr="0090120F">
        <w:rPr>
          <w:color w:val="000000"/>
        </w:rPr>
        <w:t xml:space="preserve">’s ability to </w:t>
      </w:r>
      <w:r w:rsidRPr="0090120F">
        <w:rPr>
          <w:color w:val="000000"/>
        </w:rPr>
        <w:t xml:space="preserve">fulfill its statutory mandate to certify firms for the HUBZone </w:t>
      </w:r>
      <w:r w:rsidR="009C5A94" w:rsidRPr="0090120F">
        <w:rPr>
          <w:color w:val="000000"/>
        </w:rPr>
        <w:t>P</w:t>
      </w:r>
      <w:r w:rsidRPr="0090120F">
        <w:rPr>
          <w:color w:val="000000"/>
        </w:rPr>
        <w:t>rogram</w:t>
      </w:r>
      <w:r w:rsidR="00614E5D" w:rsidRPr="0090120F">
        <w:rPr>
          <w:color w:val="000000"/>
        </w:rPr>
        <w:t>, maintain a List of Qualified HUBZone small business concerns and conduct program examinations.</w:t>
      </w:r>
      <w:r w:rsidR="00065DB1" w:rsidRPr="0090120F">
        <w:rPr>
          <w:color w:val="000000"/>
        </w:rPr>
        <w:t xml:space="preserve">  </w:t>
      </w:r>
      <w:r w:rsidRPr="0090120F">
        <w:rPr>
          <w:color w:val="000000"/>
        </w:rPr>
        <w:t>Additionally, SBA would not be able to provide reports to the Executive and Legislative branches of government</w:t>
      </w:r>
      <w:r w:rsidR="003A7C60" w:rsidRPr="0090120F">
        <w:rPr>
          <w:color w:val="000000"/>
        </w:rPr>
        <w:t>, as well as other interested parties</w:t>
      </w:r>
      <w:r w:rsidRPr="0090120F">
        <w:rPr>
          <w:color w:val="000000"/>
        </w:rPr>
        <w:t xml:space="preserve"> on the program.</w:t>
      </w:r>
    </w:p>
    <w:p w14:paraId="25ED4755" w14:textId="77777777" w:rsidR="000B3A8E" w:rsidRPr="0090120F" w:rsidRDefault="000B3A8E" w:rsidP="0090120F">
      <w:pPr>
        <w:jc w:val="both"/>
        <w:rPr>
          <w:b/>
          <w:color w:val="000000"/>
        </w:rPr>
      </w:pPr>
    </w:p>
    <w:p w14:paraId="1AD64194" w14:textId="77777777" w:rsidR="00D80216" w:rsidRPr="0090120F" w:rsidRDefault="000B36EA" w:rsidP="0090120F">
      <w:pPr>
        <w:jc w:val="both"/>
        <w:rPr>
          <w:b/>
          <w:color w:val="000000"/>
        </w:rPr>
      </w:pPr>
      <w:r w:rsidRPr="0090120F">
        <w:rPr>
          <w:b/>
          <w:color w:val="000000"/>
        </w:rPr>
        <w:t xml:space="preserve">7. Existence </w:t>
      </w:r>
      <w:r w:rsidR="00C47ED2" w:rsidRPr="0090120F">
        <w:rPr>
          <w:b/>
          <w:color w:val="000000"/>
        </w:rPr>
        <w:t>of special</w:t>
      </w:r>
      <w:r w:rsidRPr="0090120F">
        <w:rPr>
          <w:b/>
          <w:color w:val="000000"/>
        </w:rPr>
        <w:t xml:space="preserve"> circumstances.</w:t>
      </w:r>
    </w:p>
    <w:p w14:paraId="289E7900" w14:textId="77777777" w:rsidR="004930AA" w:rsidRPr="0090120F" w:rsidRDefault="004930AA" w:rsidP="0090120F">
      <w:pPr>
        <w:jc w:val="both"/>
        <w:rPr>
          <w:i/>
          <w:iCs/>
        </w:rPr>
      </w:pPr>
    </w:p>
    <w:p w14:paraId="6294AB3F" w14:textId="77777777" w:rsidR="000B3A8E" w:rsidRPr="0090120F" w:rsidRDefault="000B3A8E" w:rsidP="0090120F">
      <w:pPr>
        <w:jc w:val="both"/>
        <w:rPr>
          <w:i/>
          <w:iCs/>
        </w:rPr>
      </w:pPr>
      <w:r w:rsidRPr="0090120F">
        <w:rPr>
          <w:i/>
          <w:iCs/>
        </w:rPr>
        <w:t xml:space="preserve">Explain any special circumstances that would cause an information collection to be conducted in a manner requiring respondents to retain records, other than health, medical, government </w:t>
      </w:r>
      <w:r w:rsidRPr="0090120F">
        <w:rPr>
          <w:i/>
          <w:iCs/>
        </w:rPr>
        <w:lastRenderedPageBreak/>
        <w:t>contract, grant-in-aid, or tax records for more than 3-years . . . or requiring respondents to submit proprietary trade secret, or other confidential information unless the agency can demonstrate that it has instituted procedures to protect the information’s confidentiality to the extent permitted by law.</w:t>
      </w:r>
    </w:p>
    <w:p w14:paraId="7C7A7D34" w14:textId="77777777" w:rsidR="00D80216" w:rsidRPr="0090120F" w:rsidRDefault="00D80216" w:rsidP="0090120F">
      <w:pPr>
        <w:jc w:val="both"/>
      </w:pPr>
    </w:p>
    <w:p w14:paraId="0222349F" w14:textId="49979545" w:rsidR="000B36EA" w:rsidRPr="0090120F" w:rsidRDefault="000B36EA" w:rsidP="0090120F">
      <w:pPr>
        <w:jc w:val="both"/>
        <w:rPr>
          <w:color w:val="000000"/>
        </w:rPr>
      </w:pPr>
      <w:r w:rsidRPr="0090120F">
        <w:rPr>
          <w:color w:val="000000"/>
        </w:rPr>
        <w:tab/>
        <w:t>The statu</w:t>
      </w:r>
      <w:r w:rsidR="004A62E4" w:rsidRPr="0090120F">
        <w:rPr>
          <w:color w:val="000000"/>
        </w:rPr>
        <w:t>t</w:t>
      </w:r>
      <w:r w:rsidRPr="0090120F">
        <w:rPr>
          <w:color w:val="000000"/>
        </w:rPr>
        <w:t xml:space="preserve">e provides authority for the SBA to conduct examinations of the program participants.  To assist with </w:t>
      </w:r>
      <w:r w:rsidR="00E532EE" w:rsidRPr="0090120F">
        <w:rPr>
          <w:color w:val="000000"/>
        </w:rPr>
        <w:t>these</w:t>
      </w:r>
      <w:r w:rsidRPr="0090120F">
        <w:rPr>
          <w:color w:val="000000"/>
        </w:rPr>
        <w:t xml:space="preserve"> examination</w:t>
      </w:r>
      <w:r w:rsidR="00E532EE" w:rsidRPr="0090120F">
        <w:rPr>
          <w:color w:val="000000"/>
        </w:rPr>
        <w:t>s</w:t>
      </w:r>
      <w:r w:rsidRPr="0090120F">
        <w:rPr>
          <w:color w:val="000000"/>
        </w:rPr>
        <w:t>, SBA regulations require</w:t>
      </w:r>
      <w:r w:rsidR="00CB450D" w:rsidRPr="0090120F">
        <w:rPr>
          <w:color w:val="000000"/>
        </w:rPr>
        <w:t xml:space="preserve"> applicants certified as qualified HUBZone small business concerns to retain documentation demonstrating HUBZone qualifying requirements for six (6) years from the date of submission</w:t>
      </w:r>
      <w:r w:rsidR="0085617B" w:rsidRPr="0090120F">
        <w:rPr>
          <w:color w:val="000000"/>
        </w:rPr>
        <w:t xml:space="preserve"> of the application or recertification</w:t>
      </w:r>
      <w:r w:rsidR="00CB450D" w:rsidRPr="0090120F">
        <w:rPr>
          <w:color w:val="000000"/>
        </w:rPr>
        <w:t xml:space="preserve"> to SBA.</w:t>
      </w:r>
      <w:r w:rsidR="009874F1" w:rsidRPr="0090120F">
        <w:rPr>
          <w:color w:val="000000"/>
        </w:rPr>
        <w:t xml:space="preserve">  There are no other special circumstances.</w:t>
      </w:r>
    </w:p>
    <w:p w14:paraId="75496DA2" w14:textId="77777777" w:rsidR="00D80216" w:rsidRPr="0090120F" w:rsidRDefault="00D80216" w:rsidP="0090120F">
      <w:pPr>
        <w:jc w:val="both"/>
        <w:rPr>
          <w:color w:val="000000"/>
        </w:rPr>
      </w:pPr>
    </w:p>
    <w:p w14:paraId="1CFFD0B3" w14:textId="77777777" w:rsidR="00D80216" w:rsidRPr="0090120F" w:rsidRDefault="00CB450D" w:rsidP="0090120F">
      <w:pPr>
        <w:jc w:val="both"/>
        <w:rPr>
          <w:b/>
          <w:color w:val="000000"/>
        </w:rPr>
      </w:pPr>
      <w:r w:rsidRPr="0090120F">
        <w:rPr>
          <w:b/>
          <w:color w:val="000000"/>
        </w:rPr>
        <w:t>8. Solicitation of Public Comment.</w:t>
      </w:r>
    </w:p>
    <w:p w14:paraId="1CF61C5A" w14:textId="77777777" w:rsidR="004930AA" w:rsidRPr="0090120F" w:rsidRDefault="004930AA" w:rsidP="0090120F">
      <w:pPr>
        <w:jc w:val="both"/>
        <w:rPr>
          <w:i/>
          <w:iCs/>
          <w:spacing w:val="-2"/>
        </w:rPr>
      </w:pPr>
    </w:p>
    <w:p w14:paraId="28AA5A73" w14:textId="31032FD9" w:rsidR="000B3A8E" w:rsidRPr="0090120F" w:rsidRDefault="000B3A8E" w:rsidP="0090120F">
      <w:pPr>
        <w:jc w:val="both"/>
      </w:pPr>
      <w:r w:rsidRPr="0090120F">
        <w:rPr>
          <w:i/>
          <w:iCs/>
          <w:spacing w:val="-2"/>
        </w:rPr>
        <w:t>I</w:t>
      </w:r>
      <w:r w:rsidRPr="0090120F">
        <w:rPr>
          <w:i/>
          <w:iCs/>
        </w:rPr>
        <w:t>f applicable, provide a copy and identify the date and page number of publication in the Federal Register of the agency’s notice soliciting comments on the information collection</w:t>
      </w:r>
      <w:r w:rsidR="00737327">
        <w:rPr>
          <w:i/>
          <w:iCs/>
        </w:rPr>
        <w:t>.</w:t>
      </w:r>
      <w:r w:rsidRPr="0090120F">
        <w:rPr>
          <w:i/>
          <w:iCs/>
        </w:rPr>
        <w:t xml:space="preserve"> Summarize public comments received; describe efforts to consult with persons outside the agency to obtain their views on the availability of data, frequency of collection, the clarity of instructions and record keeping, disclosure, or reporting format.  </w:t>
      </w:r>
    </w:p>
    <w:p w14:paraId="2A5CB8A2" w14:textId="77777777" w:rsidR="00CB450D" w:rsidRPr="0090120F" w:rsidRDefault="00CB450D" w:rsidP="0090120F">
      <w:pPr>
        <w:jc w:val="both"/>
      </w:pPr>
    </w:p>
    <w:p w14:paraId="4223E3F0" w14:textId="77777777" w:rsidR="00CB450D" w:rsidRPr="000C7138" w:rsidRDefault="00CB450D" w:rsidP="0090120F">
      <w:pPr>
        <w:jc w:val="both"/>
        <w:rPr>
          <w:bCs/>
        </w:rPr>
      </w:pPr>
      <w:r w:rsidRPr="0090120F">
        <w:tab/>
      </w:r>
      <w:r w:rsidR="0057414C" w:rsidRPr="000C7138">
        <w:rPr>
          <w:bCs/>
        </w:rPr>
        <w:t>The required notice for public comment was published in the Federal Register on</w:t>
      </w:r>
      <w:r w:rsidR="00CD0A2F" w:rsidRPr="000C7138">
        <w:rPr>
          <w:bCs/>
        </w:rPr>
        <w:t xml:space="preserve"> </w:t>
      </w:r>
      <w:r w:rsidR="006D35A1" w:rsidRPr="000C7138">
        <w:rPr>
          <w:bCs/>
        </w:rPr>
        <w:t>March 6, 2019</w:t>
      </w:r>
      <w:r w:rsidR="009E14C9" w:rsidRPr="000C7138">
        <w:rPr>
          <w:bCs/>
        </w:rPr>
        <w:t xml:space="preserve"> at </w:t>
      </w:r>
      <w:r w:rsidR="00443F29" w:rsidRPr="000C7138">
        <w:rPr>
          <w:bCs/>
        </w:rPr>
        <w:t>8</w:t>
      </w:r>
      <w:r w:rsidR="006D35A1" w:rsidRPr="000C7138">
        <w:rPr>
          <w:bCs/>
        </w:rPr>
        <w:t>4</w:t>
      </w:r>
      <w:r w:rsidR="00443F29" w:rsidRPr="000C7138">
        <w:rPr>
          <w:bCs/>
        </w:rPr>
        <w:t xml:space="preserve"> FR </w:t>
      </w:r>
      <w:r w:rsidR="006D35A1" w:rsidRPr="000C7138">
        <w:rPr>
          <w:bCs/>
        </w:rPr>
        <w:t>8150</w:t>
      </w:r>
      <w:r w:rsidR="009E14C9" w:rsidRPr="000C7138">
        <w:rPr>
          <w:bCs/>
        </w:rPr>
        <w:t xml:space="preserve">. </w:t>
      </w:r>
      <w:r w:rsidR="0057414C" w:rsidRPr="000C7138">
        <w:rPr>
          <w:bCs/>
        </w:rPr>
        <w:t xml:space="preserve"> </w:t>
      </w:r>
      <w:r w:rsidR="008D7256" w:rsidRPr="000C7138">
        <w:rPr>
          <w:bCs/>
        </w:rPr>
        <w:t xml:space="preserve">The comment period ended on </w:t>
      </w:r>
      <w:r w:rsidR="006D35A1" w:rsidRPr="000C7138">
        <w:rPr>
          <w:bCs/>
        </w:rPr>
        <w:t>May 6, 2019</w:t>
      </w:r>
      <w:r w:rsidR="00443F29" w:rsidRPr="000C7138">
        <w:rPr>
          <w:bCs/>
        </w:rPr>
        <w:t xml:space="preserve">; </w:t>
      </w:r>
      <w:r w:rsidR="009E14C9" w:rsidRPr="000C7138">
        <w:rPr>
          <w:bCs/>
        </w:rPr>
        <w:t xml:space="preserve">SBA did not receive any comments. </w:t>
      </w:r>
    </w:p>
    <w:p w14:paraId="75EC33CB" w14:textId="77777777" w:rsidR="00D80216" w:rsidRPr="0090120F" w:rsidRDefault="00D80216" w:rsidP="0090120F">
      <w:pPr>
        <w:jc w:val="both"/>
      </w:pPr>
    </w:p>
    <w:p w14:paraId="018BE923" w14:textId="77777777" w:rsidR="00D80216" w:rsidRPr="0090120F" w:rsidRDefault="00B45F4D" w:rsidP="0090120F">
      <w:pPr>
        <w:jc w:val="both"/>
        <w:rPr>
          <w:b/>
          <w:color w:val="000000"/>
        </w:rPr>
      </w:pPr>
      <w:r w:rsidRPr="0090120F">
        <w:rPr>
          <w:b/>
          <w:color w:val="000000"/>
        </w:rPr>
        <w:t>9. Payment or gifts.</w:t>
      </w:r>
    </w:p>
    <w:p w14:paraId="6F7B96E3" w14:textId="77777777" w:rsidR="004930AA" w:rsidRPr="0090120F" w:rsidRDefault="004930AA" w:rsidP="0090120F">
      <w:pPr>
        <w:jc w:val="both"/>
        <w:rPr>
          <w:i/>
          <w:iCs/>
          <w:spacing w:val="-2"/>
        </w:rPr>
      </w:pPr>
    </w:p>
    <w:p w14:paraId="735884FD" w14:textId="77777777" w:rsidR="000B3A8E" w:rsidRPr="0090120F" w:rsidRDefault="000B3A8E" w:rsidP="0090120F">
      <w:pPr>
        <w:jc w:val="both"/>
      </w:pPr>
      <w:r w:rsidRPr="0090120F">
        <w:rPr>
          <w:i/>
          <w:iCs/>
          <w:spacing w:val="-2"/>
        </w:rPr>
        <w:t>Explain any decision to provide any payment or gift to respondents, other than remuneration of contractors or grantees.</w:t>
      </w:r>
    </w:p>
    <w:p w14:paraId="25F2D353" w14:textId="77777777" w:rsidR="00B45F4D" w:rsidRPr="0090120F" w:rsidRDefault="00B45F4D" w:rsidP="0090120F">
      <w:pPr>
        <w:jc w:val="both"/>
        <w:rPr>
          <w:color w:val="000000"/>
        </w:rPr>
      </w:pPr>
    </w:p>
    <w:p w14:paraId="6FA1E2E7" w14:textId="77777777" w:rsidR="00B45F4D" w:rsidRPr="0090120F" w:rsidRDefault="00B45F4D" w:rsidP="0090120F">
      <w:pPr>
        <w:jc w:val="both"/>
        <w:rPr>
          <w:color w:val="000000"/>
        </w:rPr>
      </w:pPr>
      <w:r w:rsidRPr="0090120F">
        <w:rPr>
          <w:color w:val="000000"/>
        </w:rPr>
        <w:tab/>
        <w:t>There are no payments or gifts given to any respondent.</w:t>
      </w:r>
    </w:p>
    <w:p w14:paraId="308AAA43" w14:textId="77777777" w:rsidR="00B45F4D" w:rsidRPr="0090120F" w:rsidRDefault="00B45F4D" w:rsidP="0090120F">
      <w:pPr>
        <w:jc w:val="both"/>
        <w:rPr>
          <w:color w:val="000000"/>
        </w:rPr>
      </w:pPr>
    </w:p>
    <w:p w14:paraId="52B28702" w14:textId="77777777" w:rsidR="00D80216" w:rsidRPr="0090120F" w:rsidRDefault="00B45F4D" w:rsidP="0090120F">
      <w:pPr>
        <w:jc w:val="both"/>
        <w:rPr>
          <w:b/>
          <w:color w:val="000000"/>
        </w:rPr>
      </w:pPr>
      <w:r w:rsidRPr="0090120F">
        <w:rPr>
          <w:b/>
          <w:color w:val="000000"/>
        </w:rPr>
        <w:t xml:space="preserve">10. </w:t>
      </w:r>
      <w:r w:rsidR="00D600F0" w:rsidRPr="0090120F">
        <w:rPr>
          <w:b/>
          <w:color w:val="000000"/>
        </w:rPr>
        <w:t>Assurance</w:t>
      </w:r>
      <w:r w:rsidRPr="0090120F">
        <w:rPr>
          <w:b/>
          <w:color w:val="000000"/>
        </w:rPr>
        <w:t xml:space="preserve"> of confidentiality.</w:t>
      </w:r>
    </w:p>
    <w:p w14:paraId="25F23A2F" w14:textId="77777777" w:rsidR="004930AA" w:rsidRPr="0090120F" w:rsidRDefault="004930AA" w:rsidP="0090120F">
      <w:pPr>
        <w:jc w:val="both"/>
        <w:rPr>
          <w:i/>
          <w:iCs/>
          <w:spacing w:val="-2"/>
        </w:rPr>
      </w:pPr>
    </w:p>
    <w:p w14:paraId="58AEEA79" w14:textId="77777777" w:rsidR="000B3A8E" w:rsidRPr="0090120F" w:rsidRDefault="000B3A8E" w:rsidP="0090120F">
      <w:pPr>
        <w:jc w:val="both"/>
      </w:pPr>
      <w:r w:rsidRPr="0090120F">
        <w:rPr>
          <w:i/>
          <w:iCs/>
          <w:spacing w:val="-2"/>
        </w:rPr>
        <w:t>Describe any assurance of confidentiality provided to respondents and the basis for the assurance in statute, regulation or agency policy.</w:t>
      </w:r>
    </w:p>
    <w:p w14:paraId="49661626" w14:textId="77777777" w:rsidR="00D80216" w:rsidRPr="0090120F" w:rsidRDefault="00B45F4D" w:rsidP="0090120F">
      <w:pPr>
        <w:jc w:val="both"/>
        <w:rPr>
          <w:color w:val="000000"/>
        </w:rPr>
      </w:pPr>
      <w:r w:rsidRPr="0090120F">
        <w:rPr>
          <w:color w:val="000000"/>
        </w:rPr>
        <w:tab/>
      </w:r>
    </w:p>
    <w:p w14:paraId="6C6C82BF" w14:textId="2608B668" w:rsidR="00B45F4D" w:rsidRPr="0090120F" w:rsidRDefault="00B45F4D" w:rsidP="0090120F">
      <w:pPr>
        <w:ind w:firstLine="360"/>
        <w:jc w:val="both"/>
        <w:rPr>
          <w:color w:val="000000"/>
        </w:rPr>
      </w:pPr>
      <w:r w:rsidRPr="0090120F">
        <w:rPr>
          <w:color w:val="000000"/>
        </w:rPr>
        <w:t xml:space="preserve">Clients are not supplied with an assurance of confidentiality. </w:t>
      </w:r>
      <w:r w:rsidR="00E532EE" w:rsidRPr="0090120F">
        <w:rPr>
          <w:color w:val="000000"/>
        </w:rPr>
        <w:t>D</w:t>
      </w:r>
      <w:r w:rsidRPr="0090120F">
        <w:rPr>
          <w:color w:val="000000"/>
        </w:rPr>
        <w:t xml:space="preserve">ata, however, will be automatically encrypted during electronic transmission to the Agency and be stored on a secure server that has regulated access limited to HUBZone personnel </w:t>
      </w:r>
      <w:r w:rsidR="00BF75B1" w:rsidRPr="0090120F">
        <w:rPr>
          <w:color w:val="000000"/>
        </w:rPr>
        <w:t>on</w:t>
      </w:r>
      <w:r w:rsidRPr="0090120F">
        <w:rPr>
          <w:color w:val="000000"/>
        </w:rPr>
        <w:t xml:space="preserve"> an as-needed basis.  </w:t>
      </w:r>
      <w:r w:rsidR="00B40E28" w:rsidRPr="0090120F">
        <w:rPr>
          <w:color w:val="000000"/>
        </w:rPr>
        <w:t xml:space="preserve">All </w:t>
      </w:r>
      <w:r w:rsidRPr="0090120F">
        <w:rPr>
          <w:color w:val="000000"/>
        </w:rPr>
        <w:t xml:space="preserve">information </w:t>
      </w:r>
      <w:r w:rsidR="008407A7" w:rsidRPr="0090120F">
        <w:rPr>
          <w:color w:val="000000"/>
        </w:rPr>
        <w:t xml:space="preserve">and/or documents </w:t>
      </w:r>
      <w:r w:rsidRPr="0090120F">
        <w:rPr>
          <w:color w:val="000000"/>
        </w:rPr>
        <w:t>submitted will be protected to the</w:t>
      </w:r>
      <w:r w:rsidR="00025F12" w:rsidRPr="0090120F">
        <w:rPr>
          <w:color w:val="000000"/>
        </w:rPr>
        <w:t xml:space="preserve"> fullest</w:t>
      </w:r>
      <w:r w:rsidRPr="0090120F">
        <w:rPr>
          <w:color w:val="000000"/>
        </w:rPr>
        <w:t xml:space="preserve"> extent permitted by law</w:t>
      </w:r>
      <w:r w:rsidR="00754356" w:rsidRPr="0090120F">
        <w:rPr>
          <w:color w:val="000000"/>
        </w:rPr>
        <w:t xml:space="preserve">, </w:t>
      </w:r>
      <w:r w:rsidR="00737327" w:rsidRPr="00425702">
        <w:rPr>
          <w:color w:val="000000"/>
        </w:rPr>
        <w:t>.</w:t>
      </w:r>
      <w:r w:rsidR="00737327">
        <w:rPr>
          <w:color w:val="000000"/>
        </w:rPr>
        <w:t xml:space="preserve"> </w:t>
      </w:r>
      <w:r w:rsidR="00754356" w:rsidRPr="0090120F">
        <w:rPr>
          <w:color w:val="000000"/>
        </w:rPr>
        <w:t xml:space="preserve">including the Privacy Act, </w:t>
      </w:r>
      <w:r w:rsidR="00754356" w:rsidRPr="00EB1ED5">
        <w:rPr>
          <w:bCs/>
          <w:color w:val="000000"/>
        </w:rPr>
        <w:t>5 U</w:t>
      </w:r>
      <w:r w:rsidR="005E6F3A">
        <w:rPr>
          <w:bCs/>
          <w:color w:val="000000"/>
        </w:rPr>
        <w:t>.</w:t>
      </w:r>
      <w:r w:rsidR="00754356" w:rsidRPr="00EB1ED5">
        <w:rPr>
          <w:bCs/>
          <w:color w:val="000000"/>
        </w:rPr>
        <w:t>S</w:t>
      </w:r>
      <w:r w:rsidR="005E6F3A">
        <w:rPr>
          <w:bCs/>
          <w:color w:val="000000"/>
        </w:rPr>
        <w:t>.</w:t>
      </w:r>
      <w:r w:rsidR="00754356" w:rsidRPr="00EB1ED5">
        <w:rPr>
          <w:bCs/>
          <w:color w:val="000000"/>
        </w:rPr>
        <w:t>C</w:t>
      </w:r>
      <w:r w:rsidR="005E6F3A">
        <w:rPr>
          <w:bCs/>
          <w:color w:val="000000"/>
        </w:rPr>
        <w:t>.</w:t>
      </w:r>
      <w:r w:rsidR="00754356" w:rsidRPr="005E6F3A">
        <w:rPr>
          <w:bCs/>
          <w:color w:val="000000"/>
        </w:rPr>
        <w:t xml:space="preserve"> 552</w:t>
      </w:r>
      <w:r w:rsidR="0057414C" w:rsidRPr="005E6F3A">
        <w:rPr>
          <w:bCs/>
          <w:color w:val="000000"/>
        </w:rPr>
        <w:t>a</w:t>
      </w:r>
      <w:r w:rsidR="00754356" w:rsidRPr="005E6F3A">
        <w:rPr>
          <w:bCs/>
          <w:color w:val="000000"/>
        </w:rPr>
        <w:t>, Freedom o</w:t>
      </w:r>
      <w:r w:rsidR="00AE1A97" w:rsidRPr="005E6F3A">
        <w:rPr>
          <w:bCs/>
          <w:color w:val="000000"/>
        </w:rPr>
        <w:t>f</w:t>
      </w:r>
      <w:r w:rsidR="00754356" w:rsidRPr="005E6F3A">
        <w:rPr>
          <w:bCs/>
          <w:color w:val="000000"/>
        </w:rPr>
        <w:t xml:space="preserve"> Information Act, 5 </w:t>
      </w:r>
      <w:r w:rsidR="00754356" w:rsidRPr="001A56C0">
        <w:rPr>
          <w:bCs/>
          <w:color w:val="000000"/>
        </w:rPr>
        <w:t>U</w:t>
      </w:r>
      <w:r w:rsidR="00737327" w:rsidRPr="001A56C0">
        <w:rPr>
          <w:bCs/>
          <w:color w:val="000000"/>
        </w:rPr>
        <w:t xml:space="preserve">. </w:t>
      </w:r>
      <w:r w:rsidR="00754356" w:rsidRPr="001A56C0">
        <w:rPr>
          <w:bCs/>
          <w:color w:val="000000"/>
        </w:rPr>
        <w:t>S</w:t>
      </w:r>
      <w:r w:rsidR="00737327" w:rsidRPr="001A56C0">
        <w:rPr>
          <w:bCs/>
          <w:color w:val="000000"/>
        </w:rPr>
        <w:t xml:space="preserve"> .</w:t>
      </w:r>
      <w:r w:rsidR="00754356" w:rsidRPr="001A56C0">
        <w:rPr>
          <w:bCs/>
          <w:color w:val="000000"/>
        </w:rPr>
        <w:t>C</w:t>
      </w:r>
      <w:r w:rsidR="00737327" w:rsidRPr="001A56C0">
        <w:rPr>
          <w:bCs/>
          <w:color w:val="000000"/>
        </w:rPr>
        <w:t xml:space="preserve">. </w:t>
      </w:r>
      <w:r w:rsidR="00754356" w:rsidRPr="001A56C0">
        <w:rPr>
          <w:bCs/>
          <w:color w:val="000000"/>
        </w:rPr>
        <w:t xml:space="preserve"> Section </w:t>
      </w:r>
      <w:r w:rsidR="00E07F70" w:rsidRPr="001A56C0">
        <w:rPr>
          <w:bCs/>
          <w:color w:val="000000"/>
        </w:rPr>
        <w:t>552</w:t>
      </w:r>
      <w:r w:rsidR="00E07F70">
        <w:rPr>
          <w:bCs/>
          <w:color w:val="000000"/>
        </w:rPr>
        <w:t xml:space="preserve">, </w:t>
      </w:r>
      <w:r w:rsidR="00754356" w:rsidRPr="001A56C0">
        <w:rPr>
          <w:bCs/>
          <w:color w:val="000000"/>
        </w:rPr>
        <w:t>and the Right to Financial Privacy Act, 12</w:t>
      </w:r>
      <w:r w:rsidR="00754356" w:rsidRPr="0090120F">
        <w:rPr>
          <w:color w:val="000000"/>
        </w:rPr>
        <w:t xml:space="preserve"> ,U</w:t>
      </w:r>
      <w:r w:rsidR="00737327">
        <w:rPr>
          <w:color w:val="000000"/>
        </w:rPr>
        <w:t xml:space="preserve">. </w:t>
      </w:r>
      <w:r w:rsidR="00754356" w:rsidRPr="0090120F">
        <w:rPr>
          <w:color w:val="000000"/>
        </w:rPr>
        <w:t>S</w:t>
      </w:r>
      <w:r w:rsidR="00737327">
        <w:rPr>
          <w:color w:val="000000"/>
        </w:rPr>
        <w:t xml:space="preserve">. </w:t>
      </w:r>
      <w:r w:rsidR="00754356" w:rsidRPr="0090120F">
        <w:rPr>
          <w:color w:val="000000"/>
        </w:rPr>
        <w:t>C</w:t>
      </w:r>
      <w:r w:rsidR="00737327">
        <w:rPr>
          <w:color w:val="000000"/>
        </w:rPr>
        <w:t>.</w:t>
      </w:r>
      <w:r w:rsidR="00EF3853">
        <w:rPr>
          <w:color w:val="000000"/>
        </w:rPr>
        <w:t xml:space="preserve"> </w:t>
      </w:r>
      <w:r w:rsidR="00754356" w:rsidRPr="0090120F">
        <w:rPr>
          <w:color w:val="000000"/>
        </w:rPr>
        <w:t>3401, et. seq</w:t>
      </w:r>
      <w:r w:rsidRPr="0090120F">
        <w:rPr>
          <w:color w:val="000000"/>
        </w:rPr>
        <w:t>.</w:t>
      </w:r>
    </w:p>
    <w:p w14:paraId="19E0DC84" w14:textId="77777777" w:rsidR="00B45F4D" w:rsidRPr="0090120F" w:rsidRDefault="00B45F4D" w:rsidP="0090120F">
      <w:pPr>
        <w:jc w:val="both"/>
        <w:rPr>
          <w:color w:val="000000"/>
        </w:rPr>
      </w:pPr>
    </w:p>
    <w:p w14:paraId="627862A2" w14:textId="77777777" w:rsidR="00B45F4D" w:rsidRPr="0090120F" w:rsidRDefault="00B45F4D" w:rsidP="0090120F">
      <w:pPr>
        <w:jc w:val="both"/>
        <w:rPr>
          <w:b/>
          <w:color w:val="000000"/>
        </w:rPr>
      </w:pPr>
      <w:r w:rsidRPr="0090120F">
        <w:rPr>
          <w:b/>
          <w:color w:val="000000"/>
        </w:rPr>
        <w:t>11. Questions of a sensitive nature.</w:t>
      </w:r>
    </w:p>
    <w:p w14:paraId="3F6CC0E9" w14:textId="77777777" w:rsidR="004930AA" w:rsidRPr="0090120F" w:rsidRDefault="004930AA" w:rsidP="0090120F">
      <w:pPr>
        <w:ind w:right="-180"/>
        <w:jc w:val="both"/>
        <w:rPr>
          <w:i/>
          <w:iCs/>
          <w:spacing w:val="-2"/>
        </w:rPr>
      </w:pPr>
    </w:p>
    <w:p w14:paraId="4A317F3D" w14:textId="77777777" w:rsidR="00652481" w:rsidRPr="0090120F" w:rsidRDefault="00F96C8A" w:rsidP="0090120F">
      <w:pPr>
        <w:ind w:right="-180"/>
        <w:jc w:val="both"/>
        <w:rPr>
          <w:i/>
          <w:iCs/>
          <w:spacing w:val="-2"/>
        </w:rPr>
      </w:pPr>
      <w:r w:rsidRPr="0090120F">
        <w:rPr>
          <w:i/>
          <w:iCs/>
          <w:spacing w:val="-2"/>
        </w:rPr>
        <w:t>Provide justification</w:t>
      </w:r>
      <w:r w:rsidR="000B3A8E" w:rsidRPr="0090120F">
        <w:rPr>
          <w:i/>
          <w:iCs/>
          <w:spacing w:val="-2"/>
        </w:rPr>
        <w:t xml:space="preserve"> for any questions of a sensitive nature such as sexual behavior and attitudes, religious beliefs, and other matters that are commonly considered private.  This justification should </w:t>
      </w:r>
    </w:p>
    <w:p w14:paraId="67EB23C5" w14:textId="77777777" w:rsidR="000B3A8E" w:rsidRPr="0090120F" w:rsidRDefault="000B3A8E" w:rsidP="0090120F">
      <w:pPr>
        <w:ind w:right="-180"/>
        <w:jc w:val="both"/>
        <w:rPr>
          <w:spacing w:val="-2"/>
        </w:rPr>
      </w:pPr>
      <w:r w:rsidRPr="0090120F">
        <w:rPr>
          <w:i/>
          <w:iCs/>
          <w:spacing w:val="-2"/>
        </w:rPr>
        <w:t>include the reasons why the agency considers the questions necessary, the specific uses to be made of the information, the explanation to be given to persons from whom the information is requested, and any steps to be take</w:t>
      </w:r>
      <w:r w:rsidR="006D35A1" w:rsidRPr="0090120F">
        <w:rPr>
          <w:i/>
          <w:iCs/>
          <w:spacing w:val="-2"/>
        </w:rPr>
        <w:t>n</w:t>
      </w:r>
      <w:r w:rsidRPr="0090120F">
        <w:rPr>
          <w:i/>
          <w:iCs/>
          <w:spacing w:val="-2"/>
        </w:rPr>
        <w:t xml:space="preserve"> to obtain the consent.</w:t>
      </w:r>
      <w:r w:rsidRPr="0090120F">
        <w:rPr>
          <w:spacing w:val="-2"/>
        </w:rPr>
        <w:t xml:space="preserve"> </w:t>
      </w:r>
    </w:p>
    <w:p w14:paraId="42C829E3" w14:textId="77777777" w:rsidR="00B45F4D" w:rsidRPr="0090120F" w:rsidRDefault="00B45F4D" w:rsidP="0090120F">
      <w:pPr>
        <w:jc w:val="both"/>
        <w:rPr>
          <w:color w:val="000000"/>
        </w:rPr>
      </w:pPr>
    </w:p>
    <w:p w14:paraId="13FBC3D5" w14:textId="27A7827C" w:rsidR="00E5403E" w:rsidRPr="0090120F" w:rsidRDefault="00B45F4D" w:rsidP="0090120F">
      <w:pPr>
        <w:jc w:val="both"/>
        <w:rPr>
          <w:b/>
        </w:rPr>
      </w:pPr>
      <w:r w:rsidRPr="0090120F">
        <w:rPr>
          <w:color w:val="000000"/>
        </w:rPr>
        <w:tab/>
      </w:r>
      <w:r w:rsidR="003B62CC" w:rsidRPr="0090120F">
        <w:rPr>
          <w:color w:val="000000"/>
        </w:rPr>
        <w:t xml:space="preserve"> </w:t>
      </w:r>
      <w:r w:rsidR="00FC5A05" w:rsidRPr="0090120F">
        <w:rPr>
          <w:color w:val="000000"/>
        </w:rPr>
        <w:t>All businesses that apply to the program must have a Tax Identification Number,</w:t>
      </w:r>
      <w:r w:rsidR="00274DCA">
        <w:rPr>
          <w:color w:val="000000"/>
        </w:rPr>
        <w:t xml:space="preserve">(e.g., </w:t>
      </w:r>
      <w:r w:rsidR="00FC5A05" w:rsidRPr="0090120F">
        <w:rPr>
          <w:color w:val="000000"/>
        </w:rPr>
        <w:t xml:space="preserve">social security or employer identification numbers.  This unique identifier </w:t>
      </w:r>
      <w:r w:rsidR="009E14C9" w:rsidRPr="0090120F">
        <w:rPr>
          <w:color w:val="000000"/>
        </w:rPr>
        <w:t>hel</w:t>
      </w:r>
      <w:r w:rsidR="005E4D50" w:rsidRPr="0090120F">
        <w:rPr>
          <w:color w:val="000000"/>
        </w:rPr>
        <w:t>p</w:t>
      </w:r>
      <w:r w:rsidR="009E14C9" w:rsidRPr="0090120F">
        <w:rPr>
          <w:color w:val="000000"/>
        </w:rPr>
        <w:t xml:space="preserve">s to identify and guard against </w:t>
      </w:r>
      <w:r w:rsidR="00FC5A05" w:rsidRPr="0090120F">
        <w:rPr>
          <w:color w:val="000000"/>
        </w:rPr>
        <w:t>the submission of duplicate applications</w:t>
      </w:r>
      <w:r w:rsidR="00BD1888" w:rsidRPr="0090120F">
        <w:rPr>
          <w:color w:val="000000"/>
        </w:rPr>
        <w:t xml:space="preserve"> and </w:t>
      </w:r>
      <w:r w:rsidR="00AE0A14" w:rsidRPr="0090120F">
        <w:rPr>
          <w:color w:val="000000"/>
        </w:rPr>
        <w:t xml:space="preserve">is stored in </w:t>
      </w:r>
      <w:r w:rsidR="00737327">
        <w:rPr>
          <w:color w:val="000000"/>
        </w:rPr>
        <w:t>a</w:t>
      </w:r>
      <w:r w:rsidR="00737327" w:rsidRPr="0090120F">
        <w:rPr>
          <w:color w:val="000000"/>
        </w:rPr>
        <w:t xml:space="preserve"> </w:t>
      </w:r>
      <w:r w:rsidR="00AE0A14" w:rsidRPr="0090120F">
        <w:rPr>
          <w:color w:val="000000"/>
        </w:rPr>
        <w:t xml:space="preserve">secured environment housed by SBA.  </w:t>
      </w:r>
    </w:p>
    <w:p w14:paraId="3C94781A" w14:textId="77777777" w:rsidR="008B0284" w:rsidRPr="0090120F" w:rsidRDefault="008B0284" w:rsidP="0090120F">
      <w:pPr>
        <w:jc w:val="both"/>
        <w:rPr>
          <w:b/>
        </w:rPr>
      </w:pPr>
    </w:p>
    <w:p w14:paraId="26D0605A" w14:textId="77777777" w:rsidR="00B45F4D" w:rsidRPr="0090120F" w:rsidRDefault="00B45F4D" w:rsidP="0090120F">
      <w:pPr>
        <w:jc w:val="both"/>
        <w:rPr>
          <w:b/>
        </w:rPr>
      </w:pPr>
      <w:r w:rsidRPr="0090120F">
        <w:rPr>
          <w:b/>
        </w:rPr>
        <w:t>12. Estimate of the hourly burden of the collection of information.</w:t>
      </w:r>
    </w:p>
    <w:p w14:paraId="230D2D8C" w14:textId="77777777" w:rsidR="004930AA" w:rsidRPr="0090120F" w:rsidRDefault="004930AA" w:rsidP="0090120F">
      <w:pPr>
        <w:jc w:val="both"/>
        <w:rPr>
          <w:i/>
        </w:rPr>
      </w:pPr>
    </w:p>
    <w:p w14:paraId="4B9906F6" w14:textId="77777777" w:rsidR="000B3A8E" w:rsidRPr="0090120F" w:rsidRDefault="000B3A8E" w:rsidP="0090120F">
      <w:pPr>
        <w:jc w:val="both"/>
        <w:rPr>
          <w:i/>
        </w:rPr>
      </w:pPr>
      <w:r w:rsidRPr="0090120F">
        <w:rPr>
          <w:i/>
        </w:rPr>
        <w:t>Provide estimates of the hour burden of the collection of the information. Also</w:t>
      </w:r>
      <w:r w:rsidR="00F96C8A" w:rsidRPr="0090120F">
        <w:rPr>
          <w:i/>
        </w:rPr>
        <w:t>, provide</w:t>
      </w:r>
      <w:r w:rsidRPr="0090120F">
        <w:rPr>
          <w:i/>
        </w:rPr>
        <w:t xml:space="preserve"> an </w:t>
      </w:r>
      <w:r w:rsidR="00F96C8A" w:rsidRPr="0090120F">
        <w:rPr>
          <w:i/>
        </w:rPr>
        <w:t xml:space="preserve">estimate of </w:t>
      </w:r>
      <w:r w:rsidRPr="0090120F">
        <w:rPr>
          <w:i/>
        </w:rPr>
        <w:t>the annualized cost to the respondent</w:t>
      </w:r>
      <w:r w:rsidR="00F96C8A" w:rsidRPr="0090120F">
        <w:rPr>
          <w:i/>
        </w:rPr>
        <w:t>s</w:t>
      </w:r>
      <w:r w:rsidRPr="0090120F">
        <w:rPr>
          <w:i/>
        </w:rPr>
        <w:t xml:space="preserve"> for the hour burdens</w:t>
      </w:r>
      <w:r w:rsidRPr="0090120F">
        <w:rPr>
          <w:i/>
          <w:iCs/>
          <w:spacing w:val="-2"/>
        </w:rPr>
        <w:t xml:space="preserve"> for collections of information</w:t>
      </w:r>
      <w:r w:rsidR="00F96C8A" w:rsidRPr="0090120F">
        <w:rPr>
          <w:i/>
          <w:iCs/>
          <w:spacing w:val="-2"/>
        </w:rPr>
        <w:t>, identify</w:t>
      </w:r>
      <w:r w:rsidR="008D7256" w:rsidRPr="0090120F">
        <w:rPr>
          <w:i/>
          <w:iCs/>
          <w:spacing w:val="-2"/>
        </w:rPr>
        <w:t>i</w:t>
      </w:r>
      <w:r w:rsidR="00F96C8A" w:rsidRPr="0090120F">
        <w:rPr>
          <w:i/>
          <w:iCs/>
          <w:spacing w:val="-2"/>
        </w:rPr>
        <w:t xml:space="preserve">ng and using appropriate wage rate categories. </w:t>
      </w:r>
    </w:p>
    <w:p w14:paraId="48ACE08F" w14:textId="77777777" w:rsidR="000B3A8E" w:rsidRPr="0090120F" w:rsidRDefault="000B3A8E" w:rsidP="0090120F">
      <w:pPr>
        <w:ind w:right="-180"/>
        <w:jc w:val="both"/>
      </w:pPr>
    </w:p>
    <w:p w14:paraId="2B2FBBF2" w14:textId="743E8F83" w:rsidR="00C02D0E" w:rsidRPr="00EB1ED5" w:rsidRDefault="00B45F4D" w:rsidP="0090120F">
      <w:pPr>
        <w:jc w:val="both"/>
      </w:pPr>
      <w:r w:rsidRPr="0090120F">
        <w:rPr>
          <w:color w:val="000000"/>
        </w:rPr>
        <w:tab/>
      </w:r>
      <w:r w:rsidRPr="0090120F">
        <w:tab/>
      </w:r>
      <w:r w:rsidR="002239C7" w:rsidRPr="00EB1ED5">
        <w:t>Total estimated n</w:t>
      </w:r>
      <w:r w:rsidRPr="00EB1ED5">
        <w:t xml:space="preserve">umber of respondents </w:t>
      </w:r>
      <w:r w:rsidR="00637805" w:rsidRPr="00EB1ED5">
        <w:t>for the i</w:t>
      </w:r>
      <w:r w:rsidR="00146C65" w:rsidRPr="00EB1ED5">
        <w:t xml:space="preserve">nitial </w:t>
      </w:r>
      <w:r w:rsidR="00092EB2" w:rsidRPr="00EB1ED5">
        <w:t>application</w:t>
      </w:r>
      <w:r w:rsidR="00146C65" w:rsidRPr="00EB1ED5">
        <w:t xml:space="preserve">, recertification, and program </w:t>
      </w:r>
      <w:r w:rsidR="002239C7" w:rsidRPr="00EB1ED5">
        <w:t>examination</w:t>
      </w:r>
      <w:r w:rsidR="00E8037F" w:rsidRPr="00EB1ED5">
        <w:t>:</w:t>
      </w:r>
      <w:r w:rsidR="00DA749C">
        <w:t xml:space="preserve"> is </w:t>
      </w:r>
      <w:r w:rsidR="00E8037F" w:rsidRPr="00EB1ED5">
        <w:t>3,189</w:t>
      </w:r>
      <w:r w:rsidR="00A42239">
        <w:t xml:space="preserve"> and the </w:t>
      </w:r>
      <w:r w:rsidR="00E8037F" w:rsidRPr="00EB1ED5">
        <w:t xml:space="preserve"> (</w:t>
      </w:r>
      <w:r w:rsidR="00A42239">
        <w:t>t</w:t>
      </w:r>
      <w:r w:rsidR="005528C5" w:rsidRPr="00EB1ED5">
        <w:t>otal estimated annual burden hours</w:t>
      </w:r>
      <w:r w:rsidR="00DA749C">
        <w:t xml:space="preserve"> is 7,189.</w:t>
      </w:r>
    </w:p>
    <w:tbl>
      <w:tblPr>
        <w:tblW w:w="9179" w:type="dxa"/>
        <w:tblInd w:w="108" w:type="dxa"/>
        <w:tblLook w:val="04A0" w:firstRow="1" w:lastRow="0" w:firstColumn="1" w:lastColumn="0" w:noHBand="0" w:noVBand="1"/>
      </w:tblPr>
      <w:tblGrid>
        <w:gridCol w:w="1078"/>
        <w:gridCol w:w="1077"/>
        <w:gridCol w:w="1992"/>
        <w:gridCol w:w="1992"/>
        <w:gridCol w:w="960"/>
        <w:gridCol w:w="960"/>
        <w:gridCol w:w="1120"/>
      </w:tblGrid>
      <w:tr w:rsidR="0090120F" w:rsidRPr="00EE73FF" w14:paraId="3B654B7F" w14:textId="77777777" w:rsidTr="00BE41AF">
        <w:trPr>
          <w:trHeight w:val="315"/>
        </w:trPr>
        <w:tc>
          <w:tcPr>
            <w:tcW w:w="4147" w:type="dxa"/>
            <w:gridSpan w:val="3"/>
            <w:tcBorders>
              <w:top w:val="nil"/>
              <w:left w:val="nil"/>
              <w:bottom w:val="nil"/>
              <w:right w:val="nil"/>
            </w:tcBorders>
            <w:shd w:val="clear" w:color="auto" w:fill="auto"/>
            <w:noWrap/>
            <w:vAlign w:val="center"/>
            <w:hideMark/>
          </w:tcPr>
          <w:p w14:paraId="6ED2B110" w14:textId="1F148BE1" w:rsidR="00BE41AF" w:rsidRPr="00EB1ED5" w:rsidRDefault="00BE41AF" w:rsidP="0090120F">
            <w:pPr>
              <w:jc w:val="both"/>
              <w:rPr>
                <w:bCs/>
                <w:u w:val="single"/>
              </w:rPr>
            </w:pPr>
            <w:r w:rsidRPr="00EB1ED5">
              <w:rPr>
                <w:bCs/>
                <w:u w:val="single"/>
              </w:rPr>
              <w:t xml:space="preserve">Initial Application </w:t>
            </w:r>
          </w:p>
        </w:tc>
        <w:tc>
          <w:tcPr>
            <w:tcW w:w="1992" w:type="dxa"/>
            <w:tcBorders>
              <w:top w:val="nil"/>
              <w:left w:val="nil"/>
              <w:bottom w:val="nil"/>
              <w:right w:val="nil"/>
            </w:tcBorders>
            <w:shd w:val="clear" w:color="auto" w:fill="auto"/>
            <w:noWrap/>
            <w:vAlign w:val="bottom"/>
            <w:hideMark/>
          </w:tcPr>
          <w:p w14:paraId="23DF9917" w14:textId="77777777" w:rsidR="00BE41AF" w:rsidRPr="00EB1ED5" w:rsidRDefault="00BE41AF" w:rsidP="0090120F">
            <w:pPr>
              <w:jc w:val="both"/>
              <w:rPr>
                <w:bCs/>
                <w:u w:val="single"/>
              </w:rPr>
            </w:pPr>
          </w:p>
        </w:tc>
        <w:tc>
          <w:tcPr>
            <w:tcW w:w="960" w:type="dxa"/>
            <w:tcBorders>
              <w:top w:val="nil"/>
              <w:left w:val="nil"/>
              <w:bottom w:val="nil"/>
              <w:right w:val="nil"/>
            </w:tcBorders>
            <w:shd w:val="clear" w:color="auto" w:fill="auto"/>
            <w:noWrap/>
            <w:vAlign w:val="bottom"/>
            <w:hideMark/>
          </w:tcPr>
          <w:p w14:paraId="5400DEF2" w14:textId="77777777" w:rsidR="00BE41AF" w:rsidRPr="0015579E" w:rsidRDefault="00BE41AF" w:rsidP="0090120F">
            <w:pPr>
              <w:jc w:val="both"/>
            </w:pPr>
          </w:p>
        </w:tc>
        <w:tc>
          <w:tcPr>
            <w:tcW w:w="960" w:type="dxa"/>
            <w:tcBorders>
              <w:top w:val="nil"/>
              <w:left w:val="nil"/>
              <w:bottom w:val="nil"/>
              <w:right w:val="nil"/>
            </w:tcBorders>
            <w:shd w:val="clear" w:color="auto" w:fill="auto"/>
            <w:noWrap/>
            <w:vAlign w:val="bottom"/>
            <w:hideMark/>
          </w:tcPr>
          <w:p w14:paraId="4075D0B7" w14:textId="77777777" w:rsidR="00BE41AF" w:rsidRPr="0015579E" w:rsidRDefault="00BE41AF" w:rsidP="0090120F">
            <w:pPr>
              <w:jc w:val="both"/>
            </w:pPr>
          </w:p>
        </w:tc>
        <w:tc>
          <w:tcPr>
            <w:tcW w:w="1120" w:type="dxa"/>
            <w:tcBorders>
              <w:top w:val="nil"/>
              <w:left w:val="nil"/>
              <w:bottom w:val="nil"/>
              <w:right w:val="nil"/>
            </w:tcBorders>
            <w:shd w:val="clear" w:color="auto" w:fill="auto"/>
            <w:noWrap/>
            <w:vAlign w:val="bottom"/>
            <w:hideMark/>
          </w:tcPr>
          <w:p w14:paraId="02D4DE6A" w14:textId="77777777" w:rsidR="00BE41AF" w:rsidRPr="009204F1" w:rsidRDefault="00BE41AF" w:rsidP="0090120F">
            <w:pPr>
              <w:jc w:val="both"/>
            </w:pPr>
          </w:p>
        </w:tc>
      </w:tr>
      <w:tr w:rsidR="0090120F" w:rsidRPr="00EE73FF" w14:paraId="729DD52E" w14:textId="77777777" w:rsidTr="00BE41AF">
        <w:trPr>
          <w:trHeight w:val="315"/>
        </w:trPr>
        <w:tc>
          <w:tcPr>
            <w:tcW w:w="6139" w:type="dxa"/>
            <w:gridSpan w:val="4"/>
            <w:tcBorders>
              <w:top w:val="nil"/>
              <w:left w:val="nil"/>
              <w:bottom w:val="nil"/>
              <w:right w:val="nil"/>
            </w:tcBorders>
            <w:shd w:val="clear" w:color="auto" w:fill="auto"/>
            <w:noWrap/>
            <w:vAlign w:val="center"/>
            <w:hideMark/>
          </w:tcPr>
          <w:p w14:paraId="380E0974" w14:textId="77777777" w:rsidR="00BE41AF" w:rsidRPr="00EB1ED5" w:rsidRDefault="00BE41AF" w:rsidP="0090120F">
            <w:pPr>
              <w:ind w:firstLineChars="500" w:firstLine="1200"/>
              <w:jc w:val="both"/>
              <w:rPr>
                <w:bCs/>
              </w:rPr>
            </w:pPr>
            <w:r w:rsidRPr="00EB1ED5">
              <w:rPr>
                <w:bCs/>
              </w:rPr>
              <w:t>Number of respondents</w:t>
            </w:r>
          </w:p>
        </w:tc>
        <w:tc>
          <w:tcPr>
            <w:tcW w:w="960" w:type="dxa"/>
            <w:tcBorders>
              <w:top w:val="nil"/>
              <w:left w:val="nil"/>
              <w:bottom w:val="nil"/>
              <w:right w:val="nil"/>
            </w:tcBorders>
            <w:shd w:val="clear" w:color="auto" w:fill="auto"/>
            <w:noWrap/>
            <w:vAlign w:val="bottom"/>
            <w:hideMark/>
          </w:tcPr>
          <w:p w14:paraId="0D8D681B" w14:textId="77777777" w:rsidR="00BE41AF" w:rsidRPr="00EB1ED5" w:rsidRDefault="00BE41AF" w:rsidP="0090120F">
            <w:pPr>
              <w:ind w:firstLineChars="500" w:firstLine="1200"/>
              <w:jc w:val="both"/>
              <w:rPr>
                <w:bCs/>
              </w:rPr>
            </w:pPr>
          </w:p>
        </w:tc>
        <w:tc>
          <w:tcPr>
            <w:tcW w:w="960" w:type="dxa"/>
            <w:tcBorders>
              <w:top w:val="nil"/>
              <w:left w:val="nil"/>
              <w:bottom w:val="nil"/>
              <w:right w:val="nil"/>
            </w:tcBorders>
            <w:shd w:val="clear" w:color="auto" w:fill="auto"/>
            <w:noWrap/>
            <w:vAlign w:val="bottom"/>
            <w:hideMark/>
          </w:tcPr>
          <w:p w14:paraId="04DF99CC" w14:textId="77777777" w:rsidR="00BE41AF" w:rsidRPr="0015579E" w:rsidRDefault="00BE41AF" w:rsidP="0090120F">
            <w:pPr>
              <w:jc w:val="both"/>
            </w:pPr>
          </w:p>
        </w:tc>
        <w:tc>
          <w:tcPr>
            <w:tcW w:w="1120" w:type="dxa"/>
            <w:tcBorders>
              <w:top w:val="nil"/>
              <w:left w:val="nil"/>
              <w:bottom w:val="nil"/>
              <w:right w:val="nil"/>
            </w:tcBorders>
            <w:shd w:val="clear" w:color="auto" w:fill="auto"/>
            <w:noWrap/>
            <w:vAlign w:val="bottom"/>
            <w:hideMark/>
          </w:tcPr>
          <w:p w14:paraId="111BCD40" w14:textId="77777777" w:rsidR="00BE41AF" w:rsidRPr="00EB1ED5" w:rsidRDefault="00BE41AF" w:rsidP="0090120F">
            <w:pPr>
              <w:jc w:val="both"/>
              <w:rPr>
                <w:bCs/>
              </w:rPr>
            </w:pPr>
            <w:r w:rsidRPr="00EB1ED5">
              <w:rPr>
                <w:bCs/>
              </w:rPr>
              <w:t xml:space="preserve">           1,439 </w:t>
            </w:r>
          </w:p>
        </w:tc>
      </w:tr>
      <w:tr w:rsidR="0090120F" w:rsidRPr="00EE73FF" w14:paraId="30F247BB" w14:textId="77777777" w:rsidTr="00BE41AF">
        <w:trPr>
          <w:trHeight w:val="315"/>
        </w:trPr>
        <w:tc>
          <w:tcPr>
            <w:tcW w:w="1078" w:type="dxa"/>
            <w:tcBorders>
              <w:top w:val="nil"/>
              <w:left w:val="nil"/>
              <w:bottom w:val="nil"/>
              <w:right w:val="nil"/>
            </w:tcBorders>
            <w:shd w:val="clear" w:color="auto" w:fill="auto"/>
            <w:noWrap/>
            <w:vAlign w:val="bottom"/>
            <w:hideMark/>
          </w:tcPr>
          <w:p w14:paraId="2C084A1C"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550FEC83" w14:textId="77777777" w:rsidR="00BE41AF" w:rsidRPr="0015579E" w:rsidRDefault="00BE41AF" w:rsidP="0090120F">
            <w:pPr>
              <w:jc w:val="both"/>
            </w:pPr>
          </w:p>
        </w:tc>
        <w:tc>
          <w:tcPr>
            <w:tcW w:w="3984" w:type="dxa"/>
            <w:gridSpan w:val="2"/>
            <w:tcBorders>
              <w:top w:val="nil"/>
              <w:left w:val="nil"/>
              <w:bottom w:val="nil"/>
              <w:right w:val="nil"/>
            </w:tcBorders>
            <w:shd w:val="clear" w:color="auto" w:fill="auto"/>
            <w:noWrap/>
            <w:vAlign w:val="center"/>
            <w:hideMark/>
          </w:tcPr>
          <w:p w14:paraId="5EF13D59" w14:textId="77777777" w:rsidR="00BE41AF" w:rsidRPr="00EB1ED5" w:rsidRDefault="00BE41AF" w:rsidP="0090120F">
            <w:pPr>
              <w:jc w:val="both"/>
              <w:rPr>
                <w:bCs/>
              </w:rPr>
            </w:pPr>
            <w:r w:rsidRPr="00EB1ED5">
              <w:rPr>
                <w:bCs/>
              </w:rPr>
              <w:t>Number of responses per respondent –</w:t>
            </w:r>
          </w:p>
        </w:tc>
        <w:tc>
          <w:tcPr>
            <w:tcW w:w="960" w:type="dxa"/>
            <w:tcBorders>
              <w:top w:val="nil"/>
              <w:left w:val="nil"/>
              <w:bottom w:val="nil"/>
              <w:right w:val="nil"/>
            </w:tcBorders>
            <w:shd w:val="clear" w:color="auto" w:fill="auto"/>
            <w:noWrap/>
            <w:vAlign w:val="center"/>
            <w:hideMark/>
          </w:tcPr>
          <w:p w14:paraId="67CB5E6A" w14:textId="77777777" w:rsidR="00BE41AF" w:rsidRPr="00EB1ED5" w:rsidRDefault="00BE41AF" w:rsidP="0090120F">
            <w:pPr>
              <w:jc w:val="both"/>
              <w:rPr>
                <w:bCs/>
              </w:rPr>
            </w:pPr>
            <w:r w:rsidRPr="00EB1ED5">
              <w:rPr>
                <w:bCs/>
              </w:rPr>
              <w:t xml:space="preserve"> </w:t>
            </w:r>
          </w:p>
        </w:tc>
        <w:tc>
          <w:tcPr>
            <w:tcW w:w="960" w:type="dxa"/>
            <w:tcBorders>
              <w:top w:val="nil"/>
              <w:left w:val="nil"/>
              <w:bottom w:val="nil"/>
              <w:right w:val="nil"/>
            </w:tcBorders>
            <w:shd w:val="clear" w:color="auto" w:fill="auto"/>
            <w:noWrap/>
            <w:vAlign w:val="bottom"/>
            <w:hideMark/>
          </w:tcPr>
          <w:p w14:paraId="7FF1F59A"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006800C5" w14:textId="77777777" w:rsidR="00BE41AF" w:rsidRPr="00EB1ED5" w:rsidRDefault="00BE41AF" w:rsidP="0090120F">
            <w:pPr>
              <w:jc w:val="both"/>
              <w:rPr>
                <w:bCs/>
              </w:rPr>
            </w:pPr>
            <w:r w:rsidRPr="00EB1ED5">
              <w:rPr>
                <w:bCs/>
              </w:rPr>
              <w:t xml:space="preserve">                   1 </w:t>
            </w:r>
          </w:p>
        </w:tc>
      </w:tr>
      <w:tr w:rsidR="0090120F" w:rsidRPr="00EE73FF" w14:paraId="5D0F2F71" w14:textId="77777777" w:rsidTr="00BE41AF">
        <w:trPr>
          <w:trHeight w:val="315"/>
        </w:trPr>
        <w:tc>
          <w:tcPr>
            <w:tcW w:w="1078" w:type="dxa"/>
            <w:tcBorders>
              <w:top w:val="nil"/>
              <w:left w:val="nil"/>
              <w:bottom w:val="nil"/>
              <w:right w:val="nil"/>
            </w:tcBorders>
            <w:shd w:val="clear" w:color="auto" w:fill="auto"/>
            <w:noWrap/>
            <w:vAlign w:val="bottom"/>
            <w:hideMark/>
          </w:tcPr>
          <w:p w14:paraId="59B69352"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4C3E9677"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181F3FBB" w14:textId="77777777" w:rsidR="00BE41AF" w:rsidRPr="00EB1ED5" w:rsidRDefault="00BE41AF" w:rsidP="0090120F">
            <w:pPr>
              <w:jc w:val="both"/>
              <w:rPr>
                <w:bCs/>
              </w:rPr>
            </w:pPr>
            <w:r w:rsidRPr="00EB1ED5">
              <w:rPr>
                <w:bCs/>
              </w:rPr>
              <w:t>Estimated burden hours</w:t>
            </w:r>
          </w:p>
        </w:tc>
        <w:tc>
          <w:tcPr>
            <w:tcW w:w="960" w:type="dxa"/>
            <w:tcBorders>
              <w:top w:val="nil"/>
              <w:left w:val="nil"/>
              <w:bottom w:val="nil"/>
              <w:right w:val="nil"/>
            </w:tcBorders>
            <w:shd w:val="clear" w:color="auto" w:fill="auto"/>
            <w:noWrap/>
            <w:vAlign w:val="bottom"/>
            <w:hideMark/>
          </w:tcPr>
          <w:p w14:paraId="01DC9D03"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078038C9" w14:textId="77777777" w:rsidR="00BE41AF" w:rsidRPr="00EB1ED5" w:rsidRDefault="00BE41AF" w:rsidP="0090120F">
            <w:pPr>
              <w:jc w:val="both"/>
              <w:rPr>
                <w:bCs/>
              </w:rPr>
            </w:pPr>
            <w:r w:rsidRPr="00EB1ED5">
              <w:rPr>
                <w:bCs/>
              </w:rPr>
              <w:t xml:space="preserve">                   3 </w:t>
            </w:r>
          </w:p>
        </w:tc>
      </w:tr>
      <w:tr w:rsidR="0090120F" w:rsidRPr="00EE73FF" w14:paraId="1F430BFF" w14:textId="77777777" w:rsidTr="00BE41AF">
        <w:trPr>
          <w:trHeight w:val="315"/>
        </w:trPr>
        <w:tc>
          <w:tcPr>
            <w:tcW w:w="1078" w:type="dxa"/>
            <w:tcBorders>
              <w:top w:val="nil"/>
              <w:left w:val="nil"/>
              <w:bottom w:val="nil"/>
              <w:right w:val="nil"/>
            </w:tcBorders>
            <w:shd w:val="clear" w:color="auto" w:fill="auto"/>
            <w:noWrap/>
            <w:vAlign w:val="bottom"/>
            <w:hideMark/>
          </w:tcPr>
          <w:p w14:paraId="2A9BEA45"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3A7716A8"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05AD10B6" w14:textId="77777777" w:rsidR="00BE41AF" w:rsidRPr="00EB1ED5" w:rsidRDefault="00BE41AF" w:rsidP="0090120F">
            <w:pPr>
              <w:jc w:val="both"/>
              <w:rPr>
                <w:bCs/>
              </w:rPr>
            </w:pPr>
            <w:r w:rsidRPr="00EB1ED5">
              <w:rPr>
                <w:bCs/>
              </w:rPr>
              <w:t>Total annual burden hours</w:t>
            </w:r>
          </w:p>
        </w:tc>
        <w:tc>
          <w:tcPr>
            <w:tcW w:w="960" w:type="dxa"/>
            <w:tcBorders>
              <w:top w:val="nil"/>
              <w:left w:val="nil"/>
              <w:bottom w:val="nil"/>
              <w:right w:val="nil"/>
            </w:tcBorders>
            <w:shd w:val="clear" w:color="auto" w:fill="auto"/>
            <w:noWrap/>
            <w:vAlign w:val="bottom"/>
            <w:hideMark/>
          </w:tcPr>
          <w:p w14:paraId="5B66DC40"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141C5DB1" w14:textId="77777777" w:rsidR="00BE41AF" w:rsidRPr="00EB1ED5" w:rsidRDefault="00BE41AF" w:rsidP="0090120F">
            <w:pPr>
              <w:jc w:val="both"/>
              <w:rPr>
                <w:bCs/>
              </w:rPr>
            </w:pPr>
            <w:r w:rsidRPr="00EB1ED5">
              <w:rPr>
                <w:bCs/>
              </w:rPr>
              <w:t xml:space="preserve">           4,317 </w:t>
            </w:r>
          </w:p>
        </w:tc>
      </w:tr>
      <w:tr w:rsidR="0090120F" w:rsidRPr="00EE73FF" w14:paraId="6D7ACD70" w14:textId="77777777" w:rsidTr="00BE41AF">
        <w:trPr>
          <w:trHeight w:val="315"/>
        </w:trPr>
        <w:tc>
          <w:tcPr>
            <w:tcW w:w="2155" w:type="dxa"/>
            <w:gridSpan w:val="2"/>
            <w:tcBorders>
              <w:top w:val="nil"/>
              <w:left w:val="nil"/>
              <w:bottom w:val="nil"/>
              <w:right w:val="nil"/>
            </w:tcBorders>
            <w:shd w:val="clear" w:color="auto" w:fill="auto"/>
            <w:noWrap/>
            <w:vAlign w:val="center"/>
            <w:hideMark/>
          </w:tcPr>
          <w:p w14:paraId="6A2FEE0E" w14:textId="77777777" w:rsidR="00BE41AF" w:rsidRPr="00EB1ED5" w:rsidRDefault="00BE41AF" w:rsidP="0090120F">
            <w:pPr>
              <w:jc w:val="both"/>
              <w:rPr>
                <w:bCs/>
                <w:u w:val="single"/>
              </w:rPr>
            </w:pPr>
            <w:r w:rsidRPr="00EB1ED5">
              <w:rPr>
                <w:bCs/>
                <w:u w:val="single"/>
              </w:rPr>
              <w:t>Recertification</w:t>
            </w:r>
          </w:p>
        </w:tc>
        <w:tc>
          <w:tcPr>
            <w:tcW w:w="1992" w:type="dxa"/>
            <w:tcBorders>
              <w:top w:val="nil"/>
              <w:left w:val="nil"/>
              <w:bottom w:val="nil"/>
              <w:right w:val="nil"/>
            </w:tcBorders>
            <w:shd w:val="clear" w:color="auto" w:fill="auto"/>
            <w:noWrap/>
            <w:vAlign w:val="bottom"/>
            <w:hideMark/>
          </w:tcPr>
          <w:p w14:paraId="4BCC86AC" w14:textId="77777777" w:rsidR="00BE41AF" w:rsidRPr="00EB1ED5" w:rsidRDefault="00BE41AF" w:rsidP="0090120F">
            <w:pPr>
              <w:jc w:val="both"/>
              <w:rPr>
                <w:bCs/>
                <w:u w:val="single"/>
              </w:rPr>
            </w:pPr>
          </w:p>
        </w:tc>
        <w:tc>
          <w:tcPr>
            <w:tcW w:w="1992" w:type="dxa"/>
            <w:tcBorders>
              <w:top w:val="nil"/>
              <w:left w:val="nil"/>
              <w:bottom w:val="nil"/>
              <w:right w:val="nil"/>
            </w:tcBorders>
            <w:shd w:val="clear" w:color="auto" w:fill="auto"/>
            <w:noWrap/>
            <w:vAlign w:val="bottom"/>
            <w:hideMark/>
          </w:tcPr>
          <w:p w14:paraId="00574A6E" w14:textId="77777777" w:rsidR="00BE41AF" w:rsidRPr="0015579E" w:rsidRDefault="00BE41AF" w:rsidP="0090120F">
            <w:pPr>
              <w:jc w:val="both"/>
            </w:pPr>
          </w:p>
        </w:tc>
        <w:tc>
          <w:tcPr>
            <w:tcW w:w="960" w:type="dxa"/>
            <w:tcBorders>
              <w:top w:val="nil"/>
              <w:left w:val="nil"/>
              <w:bottom w:val="nil"/>
              <w:right w:val="nil"/>
            </w:tcBorders>
            <w:shd w:val="clear" w:color="auto" w:fill="auto"/>
            <w:noWrap/>
            <w:vAlign w:val="bottom"/>
            <w:hideMark/>
          </w:tcPr>
          <w:p w14:paraId="2FCF1E8D" w14:textId="77777777" w:rsidR="00BE41AF" w:rsidRPr="0015579E" w:rsidRDefault="00BE41AF" w:rsidP="0090120F">
            <w:pPr>
              <w:jc w:val="both"/>
            </w:pPr>
          </w:p>
        </w:tc>
        <w:tc>
          <w:tcPr>
            <w:tcW w:w="960" w:type="dxa"/>
            <w:tcBorders>
              <w:top w:val="nil"/>
              <w:left w:val="nil"/>
              <w:bottom w:val="nil"/>
              <w:right w:val="nil"/>
            </w:tcBorders>
            <w:shd w:val="clear" w:color="auto" w:fill="auto"/>
            <w:noWrap/>
            <w:vAlign w:val="bottom"/>
            <w:hideMark/>
          </w:tcPr>
          <w:p w14:paraId="37D3D0BB" w14:textId="77777777" w:rsidR="00BE41AF" w:rsidRPr="009204F1" w:rsidRDefault="00BE41AF" w:rsidP="0090120F">
            <w:pPr>
              <w:jc w:val="both"/>
            </w:pPr>
          </w:p>
        </w:tc>
        <w:tc>
          <w:tcPr>
            <w:tcW w:w="1120" w:type="dxa"/>
            <w:tcBorders>
              <w:top w:val="nil"/>
              <w:left w:val="nil"/>
              <w:bottom w:val="nil"/>
              <w:right w:val="nil"/>
            </w:tcBorders>
            <w:shd w:val="clear" w:color="auto" w:fill="auto"/>
            <w:noWrap/>
            <w:vAlign w:val="bottom"/>
            <w:hideMark/>
          </w:tcPr>
          <w:p w14:paraId="53FB5F10" w14:textId="77777777" w:rsidR="00BE41AF" w:rsidRPr="009204F1" w:rsidRDefault="00BE41AF" w:rsidP="0090120F">
            <w:pPr>
              <w:jc w:val="both"/>
            </w:pPr>
          </w:p>
        </w:tc>
      </w:tr>
      <w:tr w:rsidR="0090120F" w:rsidRPr="00EE73FF" w14:paraId="753561B3" w14:textId="77777777" w:rsidTr="00BE41AF">
        <w:trPr>
          <w:trHeight w:val="315"/>
        </w:trPr>
        <w:tc>
          <w:tcPr>
            <w:tcW w:w="1078" w:type="dxa"/>
            <w:tcBorders>
              <w:top w:val="nil"/>
              <w:left w:val="nil"/>
              <w:bottom w:val="nil"/>
              <w:right w:val="nil"/>
            </w:tcBorders>
            <w:shd w:val="clear" w:color="auto" w:fill="auto"/>
            <w:noWrap/>
            <w:vAlign w:val="bottom"/>
            <w:hideMark/>
          </w:tcPr>
          <w:p w14:paraId="1B283FB8" w14:textId="77777777" w:rsidR="00BE41AF" w:rsidRPr="00EE73FF" w:rsidRDefault="00BE41AF" w:rsidP="0090120F">
            <w:pPr>
              <w:jc w:val="both"/>
            </w:pPr>
          </w:p>
        </w:tc>
        <w:tc>
          <w:tcPr>
            <w:tcW w:w="1077" w:type="dxa"/>
            <w:tcBorders>
              <w:top w:val="nil"/>
              <w:left w:val="nil"/>
              <w:bottom w:val="nil"/>
              <w:right w:val="nil"/>
            </w:tcBorders>
            <w:shd w:val="clear" w:color="auto" w:fill="auto"/>
            <w:noWrap/>
            <w:vAlign w:val="bottom"/>
            <w:hideMark/>
          </w:tcPr>
          <w:p w14:paraId="72213D66" w14:textId="77777777" w:rsidR="00BE41AF" w:rsidRPr="00EE73FF"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003D5DCE" w14:textId="77777777" w:rsidR="00BE41AF" w:rsidRPr="00EB1ED5" w:rsidRDefault="00BE41AF" w:rsidP="0090120F">
            <w:pPr>
              <w:jc w:val="both"/>
              <w:rPr>
                <w:bCs/>
              </w:rPr>
            </w:pPr>
            <w:r w:rsidRPr="00EB1ED5">
              <w:rPr>
                <w:bCs/>
              </w:rPr>
              <w:t>Number of respondents</w:t>
            </w:r>
          </w:p>
        </w:tc>
        <w:tc>
          <w:tcPr>
            <w:tcW w:w="960" w:type="dxa"/>
            <w:tcBorders>
              <w:top w:val="nil"/>
              <w:left w:val="nil"/>
              <w:bottom w:val="nil"/>
              <w:right w:val="nil"/>
            </w:tcBorders>
            <w:shd w:val="clear" w:color="auto" w:fill="auto"/>
            <w:noWrap/>
            <w:vAlign w:val="bottom"/>
            <w:hideMark/>
          </w:tcPr>
          <w:p w14:paraId="4D44631B"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539AD049" w14:textId="77777777" w:rsidR="00BE41AF" w:rsidRPr="00EB1ED5" w:rsidRDefault="00BE41AF" w:rsidP="0090120F">
            <w:pPr>
              <w:jc w:val="both"/>
              <w:rPr>
                <w:bCs/>
              </w:rPr>
            </w:pPr>
            <w:r w:rsidRPr="00EB1ED5">
              <w:rPr>
                <w:bCs/>
              </w:rPr>
              <w:t xml:space="preserve">           1,189 </w:t>
            </w:r>
          </w:p>
        </w:tc>
      </w:tr>
      <w:tr w:rsidR="0090120F" w:rsidRPr="00EE73FF" w14:paraId="57312A5E" w14:textId="77777777" w:rsidTr="00BE41AF">
        <w:trPr>
          <w:trHeight w:val="315"/>
        </w:trPr>
        <w:tc>
          <w:tcPr>
            <w:tcW w:w="1078" w:type="dxa"/>
            <w:tcBorders>
              <w:top w:val="nil"/>
              <w:left w:val="nil"/>
              <w:bottom w:val="nil"/>
              <w:right w:val="nil"/>
            </w:tcBorders>
            <w:shd w:val="clear" w:color="auto" w:fill="auto"/>
            <w:noWrap/>
            <w:vAlign w:val="bottom"/>
            <w:hideMark/>
          </w:tcPr>
          <w:p w14:paraId="1BF2006C"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2E06F465"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5BDA9344" w14:textId="77777777" w:rsidR="00BE41AF" w:rsidRPr="00EB1ED5" w:rsidRDefault="00BE41AF" w:rsidP="0090120F">
            <w:pPr>
              <w:jc w:val="both"/>
              <w:rPr>
                <w:bCs/>
              </w:rPr>
            </w:pPr>
            <w:r w:rsidRPr="00EB1ED5">
              <w:rPr>
                <w:bCs/>
              </w:rPr>
              <w:t>Number of responses per respondent</w:t>
            </w:r>
          </w:p>
        </w:tc>
        <w:tc>
          <w:tcPr>
            <w:tcW w:w="960" w:type="dxa"/>
            <w:tcBorders>
              <w:top w:val="nil"/>
              <w:left w:val="nil"/>
              <w:bottom w:val="nil"/>
              <w:right w:val="nil"/>
            </w:tcBorders>
            <w:shd w:val="clear" w:color="auto" w:fill="auto"/>
            <w:noWrap/>
            <w:vAlign w:val="center"/>
            <w:hideMark/>
          </w:tcPr>
          <w:p w14:paraId="6B5089F7" w14:textId="77777777" w:rsidR="00BE41AF" w:rsidRPr="00EB1ED5" w:rsidRDefault="00BE41AF" w:rsidP="0090120F">
            <w:pPr>
              <w:jc w:val="both"/>
              <w:rPr>
                <w:bCs/>
              </w:rPr>
            </w:pPr>
            <w:r w:rsidRPr="00EB1ED5">
              <w:rPr>
                <w:bCs/>
              </w:rPr>
              <w:t xml:space="preserve"> </w:t>
            </w:r>
          </w:p>
        </w:tc>
        <w:tc>
          <w:tcPr>
            <w:tcW w:w="1120" w:type="dxa"/>
            <w:tcBorders>
              <w:top w:val="nil"/>
              <w:left w:val="nil"/>
              <w:bottom w:val="nil"/>
              <w:right w:val="nil"/>
            </w:tcBorders>
            <w:shd w:val="clear" w:color="auto" w:fill="auto"/>
            <w:noWrap/>
            <w:vAlign w:val="bottom"/>
            <w:hideMark/>
          </w:tcPr>
          <w:p w14:paraId="0BC9C903" w14:textId="77777777" w:rsidR="00BE41AF" w:rsidRPr="00EB1ED5" w:rsidRDefault="00BE41AF" w:rsidP="0090120F">
            <w:pPr>
              <w:jc w:val="both"/>
              <w:rPr>
                <w:bCs/>
              </w:rPr>
            </w:pPr>
            <w:r w:rsidRPr="00EB1ED5">
              <w:rPr>
                <w:bCs/>
              </w:rPr>
              <w:t xml:space="preserve">                   1 </w:t>
            </w:r>
          </w:p>
        </w:tc>
      </w:tr>
      <w:tr w:rsidR="0090120F" w:rsidRPr="00EE73FF" w14:paraId="2011F6CF" w14:textId="77777777" w:rsidTr="00BE41AF">
        <w:trPr>
          <w:trHeight w:val="315"/>
        </w:trPr>
        <w:tc>
          <w:tcPr>
            <w:tcW w:w="1078" w:type="dxa"/>
            <w:tcBorders>
              <w:top w:val="nil"/>
              <w:left w:val="nil"/>
              <w:bottom w:val="nil"/>
              <w:right w:val="nil"/>
            </w:tcBorders>
            <w:shd w:val="clear" w:color="auto" w:fill="auto"/>
            <w:noWrap/>
            <w:vAlign w:val="bottom"/>
            <w:hideMark/>
          </w:tcPr>
          <w:p w14:paraId="14332D6B"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0A623079"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73EA5A2F" w14:textId="77777777" w:rsidR="00BE41AF" w:rsidRPr="00EB1ED5" w:rsidRDefault="00BE41AF" w:rsidP="0090120F">
            <w:pPr>
              <w:jc w:val="both"/>
              <w:rPr>
                <w:bCs/>
              </w:rPr>
            </w:pPr>
            <w:r w:rsidRPr="00EB1ED5">
              <w:rPr>
                <w:bCs/>
              </w:rPr>
              <w:t>Estimated burden hours</w:t>
            </w:r>
          </w:p>
        </w:tc>
        <w:tc>
          <w:tcPr>
            <w:tcW w:w="960" w:type="dxa"/>
            <w:tcBorders>
              <w:top w:val="nil"/>
              <w:left w:val="nil"/>
              <w:bottom w:val="nil"/>
              <w:right w:val="nil"/>
            </w:tcBorders>
            <w:shd w:val="clear" w:color="auto" w:fill="auto"/>
            <w:noWrap/>
            <w:vAlign w:val="bottom"/>
            <w:hideMark/>
          </w:tcPr>
          <w:p w14:paraId="0092C12D"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190997D1" w14:textId="77777777" w:rsidR="00BE41AF" w:rsidRPr="00EB1ED5" w:rsidRDefault="00BE41AF" w:rsidP="0090120F">
            <w:pPr>
              <w:jc w:val="both"/>
              <w:rPr>
                <w:bCs/>
              </w:rPr>
            </w:pPr>
            <w:r w:rsidRPr="00EB1ED5">
              <w:rPr>
                <w:bCs/>
              </w:rPr>
              <w:t xml:space="preserve">                   1 </w:t>
            </w:r>
          </w:p>
        </w:tc>
      </w:tr>
      <w:tr w:rsidR="0090120F" w:rsidRPr="00EE73FF" w14:paraId="57E2C09E" w14:textId="77777777" w:rsidTr="00BE41AF">
        <w:trPr>
          <w:trHeight w:val="315"/>
        </w:trPr>
        <w:tc>
          <w:tcPr>
            <w:tcW w:w="1078" w:type="dxa"/>
            <w:tcBorders>
              <w:top w:val="nil"/>
              <w:left w:val="nil"/>
              <w:bottom w:val="nil"/>
              <w:right w:val="nil"/>
            </w:tcBorders>
            <w:shd w:val="clear" w:color="auto" w:fill="auto"/>
            <w:noWrap/>
            <w:vAlign w:val="bottom"/>
            <w:hideMark/>
          </w:tcPr>
          <w:p w14:paraId="6C3625EC"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7459B233"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3016407F" w14:textId="77777777" w:rsidR="00BE41AF" w:rsidRPr="00EB1ED5" w:rsidRDefault="00BE41AF" w:rsidP="0090120F">
            <w:pPr>
              <w:jc w:val="both"/>
              <w:rPr>
                <w:bCs/>
              </w:rPr>
            </w:pPr>
            <w:r w:rsidRPr="00EB1ED5">
              <w:rPr>
                <w:bCs/>
              </w:rPr>
              <w:t>Total annual burden hours</w:t>
            </w:r>
          </w:p>
        </w:tc>
        <w:tc>
          <w:tcPr>
            <w:tcW w:w="960" w:type="dxa"/>
            <w:tcBorders>
              <w:top w:val="nil"/>
              <w:left w:val="nil"/>
              <w:bottom w:val="nil"/>
              <w:right w:val="nil"/>
            </w:tcBorders>
            <w:shd w:val="clear" w:color="auto" w:fill="auto"/>
            <w:noWrap/>
            <w:vAlign w:val="bottom"/>
            <w:hideMark/>
          </w:tcPr>
          <w:p w14:paraId="60B50640"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1BBDB558" w14:textId="77777777" w:rsidR="00BE41AF" w:rsidRPr="00EB1ED5" w:rsidRDefault="00BE41AF" w:rsidP="0090120F">
            <w:pPr>
              <w:jc w:val="both"/>
              <w:rPr>
                <w:bCs/>
              </w:rPr>
            </w:pPr>
            <w:r w:rsidRPr="00EB1ED5">
              <w:rPr>
                <w:bCs/>
              </w:rPr>
              <w:t xml:space="preserve">           1,189 </w:t>
            </w:r>
          </w:p>
        </w:tc>
      </w:tr>
      <w:tr w:rsidR="0090120F" w:rsidRPr="00EE73FF" w14:paraId="581F4E11" w14:textId="77777777" w:rsidTr="00BE41AF">
        <w:trPr>
          <w:trHeight w:val="315"/>
        </w:trPr>
        <w:tc>
          <w:tcPr>
            <w:tcW w:w="8059" w:type="dxa"/>
            <w:gridSpan w:val="6"/>
            <w:tcBorders>
              <w:top w:val="nil"/>
              <w:left w:val="nil"/>
              <w:bottom w:val="nil"/>
              <w:right w:val="nil"/>
            </w:tcBorders>
            <w:shd w:val="clear" w:color="auto" w:fill="auto"/>
            <w:noWrap/>
            <w:vAlign w:val="center"/>
            <w:hideMark/>
          </w:tcPr>
          <w:p w14:paraId="5DD81B86" w14:textId="77777777" w:rsidR="00504B5C" w:rsidRDefault="00504B5C" w:rsidP="0090120F">
            <w:pPr>
              <w:jc w:val="both"/>
              <w:rPr>
                <w:bCs/>
                <w:u w:val="single"/>
              </w:rPr>
            </w:pPr>
          </w:p>
          <w:p w14:paraId="31044A76" w14:textId="3CC14746" w:rsidR="00BE41AF" w:rsidRPr="00EB1ED5" w:rsidRDefault="00BE41AF" w:rsidP="0090120F">
            <w:pPr>
              <w:jc w:val="both"/>
              <w:rPr>
                <w:bCs/>
                <w:u w:val="single"/>
              </w:rPr>
            </w:pPr>
            <w:r w:rsidRPr="00EB1ED5">
              <w:rPr>
                <w:bCs/>
                <w:u w:val="single"/>
              </w:rPr>
              <w:t>Program Examinations &amp; Other regulatory processes</w:t>
            </w:r>
          </w:p>
        </w:tc>
        <w:tc>
          <w:tcPr>
            <w:tcW w:w="1120" w:type="dxa"/>
            <w:tcBorders>
              <w:top w:val="nil"/>
              <w:left w:val="nil"/>
              <w:bottom w:val="nil"/>
              <w:right w:val="nil"/>
            </w:tcBorders>
            <w:shd w:val="clear" w:color="auto" w:fill="auto"/>
            <w:noWrap/>
            <w:vAlign w:val="bottom"/>
            <w:hideMark/>
          </w:tcPr>
          <w:p w14:paraId="0CA95B46" w14:textId="77777777" w:rsidR="00BE41AF" w:rsidRPr="00EB1ED5" w:rsidRDefault="00BE41AF" w:rsidP="0090120F">
            <w:pPr>
              <w:jc w:val="both"/>
              <w:rPr>
                <w:bCs/>
                <w:u w:val="single"/>
              </w:rPr>
            </w:pPr>
          </w:p>
        </w:tc>
      </w:tr>
      <w:tr w:rsidR="0090120F" w:rsidRPr="00EE73FF" w14:paraId="1CA6A319" w14:textId="77777777" w:rsidTr="00BE41AF">
        <w:trPr>
          <w:trHeight w:val="315"/>
        </w:trPr>
        <w:tc>
          <w:tcPr>
            <w:tcW w:w="1078" w:type="dxa"/>
            <w:tcBorders>
              <w:top w:val="nil"/>
              <w:left w:val="nil"/>
              <w:bottom w:val="nil"/>
              <w:right w:val="nil"/>
            </w:tcBorders>
            <w:shd w:val="clear" w:color="auto" w:fill="auto"/>
            <w:noWrap/>
            <w:vAlign w:val="bottom"/>
            <w:hideMark/>
          </w:tcPr>
          <w:p w14:paraId="4402C083" w14:textId="77777777" w:rsidR="00BE41AF" w:rsidRPr="00EE73FF" w:rsidRDefault="00BE41AF" w:rsidP="0090120F">
            <w:pPr>
              <w:jc w:val="both"/>
            </w:pPr>
          </w:p>
        </w:tc>
        <w:tc>
          <w:tcPr>
            <w:tcW w:w="1077" w:type="dxa"/>
            <w:tcBorders>
              <w:top w:val="nil"/>
              <w:left w:val="nil"/>
              <w:bottom w:val="nil"/>
              <w:right w:val="nil"/>
            </w:tcBorders>
            <w:shd w:val="clear" w:color="auto" w:fill="auto"/>
            <w:noWrap/>
            <w:vAlign w:val="bottom"/>
            <w:hideMark/>
          </w:tcPr>
          <w:p w14:paraId="38A02F5E" w14:textId="77777777" w:rsidR="00BE41AF" w:rsidRPr="00EE73FF"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7445F174" w14:textId="77777777" w:rsidR="00BE41AF" w:rsidRPr="00EB1ED5" w:rsidRDefault="00BE41AF" w:rsidP="0090120F">
            <w:pPr>
              <w:jc w:val="both"/>
              <w:rPr>
                <w:bCs/>
              </w:rPr>
            </w:pPr>
            <w:r w:rsidRPr="00EB1ED5">
              <w:rPr>
                <w:bCs/>
              </w:rPr>
              <w:t>Number of respondents</w:t>
            </w:r>
          </w:p>
        </w:tc>
        <w:tc>
          <w:tcPr>
            <w:tcW w:w="960" w:type="dxa"/>
            <w:tcBorders>
              <w:top w:val="nil"/>
              <w:left w:val="nil"/>
              <w:bottom w:val="nil"/>
              <w:right w:val="nil"/>
            </w:tcBorders>
            <w:shd w:val="clear" w:color="auto" w:fill="auto"/>
            <w:noWrap/>
            <w:vAlign w:val="bottom"/>
            <w:hideMark/>
          </w:tcPr>
          <w:p w14:paraId="3A4CD3D8"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3067E41B" w14:textId="77777777" w:rsidR="00BE41AF" w:rsidRPr="00EB1ED5" w:rsidRDefault="00BE41AF" w:rsidP="0090120F">
            <w:pPr>
              <w:jc w:val="both"/>
              <w:rPr>
                <w:bCs/>
              </w:rPr>
            </w:pPr>
            <w:r w:rsidRPr="00EB1ED5">
              <w:rPr>
                <w:bCs/>
              </w:rPr>
              <w:t xml:space="preserve">               561 </w:t>
            </w:r>
          </w:p>
        </w:tc>
      </w:tr>
      <w:tr w:rsidR="0090120F" w:rsidRPr="00EE73FF" w14:paraId="72CA1AF6" w14:textId="77777777" w:rsidTr="00BE41AF">
        <w:trPr>
          <w:trHeight w:val="315"/>
        </w:trPr>
        <w:tc>
          <w:tcPr>
            <w:tcW w:w="1078" w:type="dxa"/>
            <w:tcBorders>
              <w:top w:val="nil"/>
              <w:left w:val="nil"/>
              <w:bottom w:val="nil"/>
              <w:right w:val="nil"/>
            </w:tcBorders>
            <w:shd w:val="clear" w:color="auto" w:fill="auto"/>
            <w:noWrap/>
            <w:vAlign w:val="bottom"/>
            <w:hideMark/>
          </w:tcPr>
          <w:p w14:paraId="3FCBADE7"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03DB5D20"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11903ED0" w14:textId="77777777" w:rsidR="00BE41AF" w:rsidRPr="00EB1ED5" w:rsidRDefault="00BE41AF" w:rsidP="0090120F">
            <w:pPr>
              <w:jc w:val="both"/>
              <w:rPr>
                <w:bCs/>
              </w:rPr>
            </w:pPr>
            <w:r w:rsidRPr="00EB1ED5">
              <w:rPr>
                <w:bCs/>
              </w:rPr>
              <w:t>Number of responses per respondent</w:t>
            </w:r>
          </w:p>
        </w:tc>
        <w:tc>
          <w:tcPr>
            <w:tcW w:w="960" w:type="dxa"/>
            <w:tcBorders>
              <w:top w:val="nil"/>
              <w:left w:val="nil"/>
              <w:bottom w:val="nil"/>
              <w:right w:val="nil"/>
            </w:tcBorders>
            <w:shd w:val="clear" w:color="auto" w:fill="auto"/>
            <w:noWrap/>
            <w:vAlign w:val="center"/>
            <w:hideMark/>
          </w:tcPr>
          <w:p w14:paraId="65C66F27" w14:textId="77777777" w:rsidR="00BE41AF" w:rsidRPr="00EB1ED5" w:rsidRDefault="00BE41AF" w:rsidP="0090120F">
            <w:pPr>
              <w:jc w:val="both"/>
              <w:rPr>
                <w:bCs/>
              </w:rPr>
            </w:pPr>
            <w:r w:rsidRPr="00EB1ED5">
              <w:rPr>
                <w:bCs/>
              </w:rPr>
              <w:t xml:space="preserve"> </w:t>
            </w:r>
          </w:p>
        </w:tc>
        <w:tc>
          <w:tcPr>
            <w:tcW w:w="1120" w:type="dxa"/>
            <w:tcBorders>
              <w:top w:val="nil"/>
              <w:left w:val="nil"/>
              <w:bottom w:val="nil"/>
              <w:right w:val="nil"/>
            </w:tcBorders>
            <w:shd w:val="clear" w:color="auto" w:fill="auto"/>
            <w:noWrap/>
            <w:vAlign w:val="bottom"/>
            <w:hideMark/>
          </w:tcPr>
          <w:p w14:paraId="08A310D9" w14:textId="77777777" w:rsidR="00BE41AF" w:rsidRPr="00EB1ED5" w:rsidRDefault="00BE41AF" w:rsidP="0090120F">
            <w:pPr>
              <w:jc w:val="both"/>
              <w:rPr>
                <w:bCs/>
              </w:rPr>
            </w:pPr>
            <w:r w:rsidRPr="00EB1ED5">
              <w:rPr>
                <w:bCs/>
              </w:rPr>
              <w:t xml:space="preserve">                   1 </w:t>
            </w:r>
          </w:p>
        </w:tc>
      </w:tr>
      <w:tr w:rsidR="0090120F" w:rsidRPr="00EE73FF" w14:paraId="0B28C5CB" w14:textId="77777777" w:rsidTr="00BE41AF">
        <w:trPr>
          <w:trHeight w:val="315"/>
        </w:trPr>
        <w:tc>
          <w:tcPr>
            <w:tcW w:w="1078" w:type="dxa"/>
            <w:tcBorders>
              <w:top w:val="nil"/>
              <w:left w:val="nil"/>
              <w:bottom w:val="nil"/>
              <w:right w:val="nil"/>
            </w:tcBorders>
            <w:shd w:val="clear" w:color="auto" w:fill="auto"/>
            <w:noWrap/>
            <w:vAlign w:val="bottom"/>
            <w:hideMark/>
          </w:tcPr>
          <w:p w14:paraId="4E79502B"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1F0564C1"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2CF6FF81" w14:textId="77777777" w:rsidR="00BE41AF" w:rsidRPr="00EB1ED5" w:rsidRDefault="00BE41AF" w:rsidP="0090120F">
            <w:pPr>
              <w:jc w:val="both"/>
              <w:rPr>
                <w:bCs/>
              </w:rPr>
            </w:pPr>
            <w:r w:rsidRPr="00EB1ED5">
              <w:rPr>
                <w:bCs/>
              </w:rPr>
              <w:t>Estimated burden hours</w:t>
            </w:r>
          </w:p>
        </w:tc>
        <w:tc>
          <w:tcPr>
            <w:tcW w:w="960" w:type="dxa"/>
            <w:tcBorders>
              <w:top w:val="nil"/>
              <w:left w:val="nil"/>
              <w:bottom w:val="nil"/>
              <w:right w:val="nil"/>
            </w:tcBorders>
            <w:shd w:val="clear" w:color="auto" w:fill="auto"/>
            <w:noWrap/>
            <w:vAlign w:val="bottom"/>
            <w:hideMark/>
          </w:tcPr>
          <w:p w14:paraId="1AB4C4F8"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hideMark/>
          </w:tcPr>
          <w:p w14:paraId="23F50E0D" w14:textId="77777777" w:rsidR="00BE41AF" w:rsidRPr="00EB1ED5" w:rsidRDefault="00BE41AF" w:rsidP="0090120F">
            <w:pPr>
              <w:jc w:val="both"/>
              <w:rPr>
                <w:bCs/>
              </w:rPr>
            </w:pPr>
            <w:r w:rsidRPr="00EB1ED5">
              <w:rPr>
                <w:bCs/>
              </w:rPr>
              <w:t xml:space="preserve">                   3 </w:t>
            </w:r>
          </w:p>
        </w:tc>
      </w:tr>
      <w:tr w:rsidR="0090120F" w:rsidRPr="00EE73FF" w14:paraId="5095ECFF" w14:textId="77777777" w:rsidTr="006F56EE">
        <w:trPr>
          <w:trHeight w:val="315"/>
        </w:trPr>
        <w:tc>
          <w:tcPr>
            <w:tcW w:w="1078" w:type="dxa"/>
            <w:tcBorders>
              <w:top w:val="nil"/>
              <w:left w:val="nil"/>
              <w:bottom w:val="nil"/>
              <w:right w:val="nil"/>
            </w:tcBorders>
            <w:shd w:val="clear" w:color="auto" w:fill="auto"/>
            <w:noWrap/>
            <w:vAlign w:val="bottom"/>
            <w:hideMark/>
          </w:tcPr>
          <w:p w14:paraId="3638B1A5"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3803E9EC" w14:textId="77777777" w:rsidR="00BE41AF" w:rsidRPr="0015579E" w:rsidRDefault="00BE41AF" w:rsidP="0090120F">
            <w:pPr>
              <w:jc w:val="both"/>
            </w:pPr>
          </w:p>
        </w:tc>
        <w:tc>
          <w:tcPr>
            <w:tcW w:w="4944" w:type="dxa"/>
            <w:gridSpan w:val="3"/>
            <w:tcBorders>
              <w:top w:val="nil"/>
              <w:left w:val="nil"/>
              <w:bottom w:val="nil"/>
              <w:right w:val="nil"/>
            </w:tcBorders>
            <w:shd w:val="clear" w:color="auto" w:fill="auto"/>
            <w:noWrap/>
            <w:vAlign w:val="center"/>
            <w:hideMark/>
          </w:tcPr>
          <w:p w14:paraId="0931DA8E" w14:textId="77777777" w:rsidR="00BE41AF" w:rsidRPr="00EB1ED5" w:rsidRDefault="00BE41AF" w:rsidP="0090120F">
            <w:pPr>
              <w:jc w:val="both"/>
              <w:rPr>
                <w:bCs/>
              </w:rPr>
            </w:pPr>
            <w:r w:rsidRPr="00EB1ED5">
              <w:rPr>
                <w:bCs/>
              </w:rPr>
              <w:t>Total annual burden hours</w:t>
            </w:r>
          </w:p>
        </w:tc>
        <w:tc>
          <w:tcPr>
            <w:tcW w:w="960" w:type="dxa"/>
            <w:tcBorders>
              <w:top w:val="nil"/>
              <w:left w:val="nil"/>
              <w:bottom w:val="nil"/>
              <w:right w:val="nil"/>
            </w:tcBorders>
            <w:shd w:val="clear" w:color="auto" w:fill="auto"/>
            <w:noWrap/>
            <w:vAlign w:val="bottom"/>
            <w:hideMark/>
          </w:tcPr>
          <w:p w14:paraId="589A2891" w14:textId="77777777" w:rsidR="00BE41AF" w:rsidRPr="00EB1ED5" w:rsidRDefault="00BE41AF" w:rsidP="0090120F">
            <w:pPr>
              <w:jc w:val="both"/>
              <w:rPr>
                <w:bCs/>
              </w:rPr>
            </w:pPr>
          </w:p>
        </w:tc>
        <w:tc>
          <w:tcPr>
            <w:tcW w:w="1120" w:type="dxa"/>
            <w:tcBorders>
              <w:top w:val="nil"/>
              <w:left w:val="nil"/>
              <w:bottom w:val="nil"/>
              <w:right w:val="nil"/>
            </w:tcBorders>
            <w:shd w:val="clear" w:color="auto" w:fill="auto"/>
            <w:noWrap/>
            <w:vAlign w:val="bottom"/>
          </w:tcPr>
          <w:p w14:paraId="2D13183F" w14:textId="3D37B727" w:rsidR="00BE41AF" w:rsidRPr="00EB1ED5" w:rsidRDefault="004F7FC5" w:rsidP="0090120F">
            <w:pPr>
              <w:jc w:val="both"/>
              <w:rPr>
                <w:bCs/>
              </w:rPr>
            </w:pPr>
            <w:r>
              <w:rPr>
                <w:bCs/>
              </w:rPr>
              <w:t>1683</w:t>
            </w:r>
          </w:p>
        </w:tc>
      </w:tr>
      <w:tr w:rsidR="0090120F" w:rsidRPr="00EE73FF" w14:paraId="0E1D1A09" w14:textId="77777777" w:rsidTr="00BE41AF">
        <w:trPr>
          <w:trHeight w:val="315"/>
        </w:trPr>
        <w:tc>
          <w:tcPr>
            <w:tcW w:w="1078" w:type="dxa"/>
            <w:tcBorders>
              <w:top w:val="nil"/>
              <w:left w:val="nil"/>
              <w:bottom w:val="nil"/>
              <w:right w:val="nil"/>
            </w:tcBorders>
            <w:shd w:val="clear" w:color="auto" w:fill="auto"/>
            <w:noWrap/>
            <w:vAlign w:val="center"/>
            <w:hideMark/>
          </w:tcPr>
          <w:p w14:paraId="22B1D0C0" w14:textId="77777777" w:rsidR="00BE41AF" w:rsidRPr="00EB1ED5" w:rsidRDefault="00BE41AF" w:rsidP="0090120F">
            <w:pPr>
              <w:jc w:val="both"/>
              <w:rPr>
                <w:bCs/>
              </w:rPr>
            </w:pPr>
          </w:p>
        </w:tc>
        <w:tc>
          <w:tcPr>
            <w:tcW w:w="1077" w:type="dxa"/>
            <w:tcBorders>
              <w:top w:val="nil"/>
              <w:left w:val="nil"/>
              <w:bottom w:val="nil"/>
              <w:right w:val="nil"/>
            </w:tcBorders>
            <w:shd w:val="clear" w:color="auto" w:fill="auto"/>
            <w:noWrap/>
            <w:vAlign w:val="bottom"/>
            <w:hideMark/>
          </w:tcPr>
          <w:p w14:paraId="1AA20EA0" w14:textId="77777777" w:rsidR="00BE41AF" w:rsidRPr="0015579E" w:rsidRDefault="00BE41AF" w:rsidP="0090120F">
            <w:pPr>
              <w:jc w:val="both"/>
            </w:pPr>
          </w:p>
        </w:tc>
        <w:tc>
          <w:tcPr>
            <w:tcW w:w="1992" w:type="dxa"/>
            <w:tcBorders>
              <w:top w:val="nil"/>
              <w:left w:val="nil"/>
              <w:bottom w:val="nil"/>
              <w:right w:val="nil"/>
            </w:tcBorders>
            <w:shd w:val="clear" w:color="auto" w:fill="auto"/>
            <w:noWrap/>
            <w:vAlign w:val="bottom"/>
            <w:hideMark/>
          </w:tcPr>
          <w:p w14:paraId="5617BE6E" w14:textId="77777777" w:rsidR="00BE41AF" w:rsidRPr="0015579E" w:rsidRDefault="00BE41AF" w:rsidP="0090120F">
            <w:pPr>
              <w:jc w:val="both"/>
            </w:pPr>
          </w:p>
        </w:tc>
        <w:tc>
          <w:tcPr>
            <w:tcW w:w="1992" w:type="dxa"/>
            <w:tcBorders>
              <w:top w:val="nil"/>
              <w:left w:val="nil"/>
              <w:bottom w:val="nil"/>
              <w:right w:val="nil"/>
            </w:tcBorders>
            <w:shd w:val="clear" w:color="auto" w:fill="auto"/>
            <w:noWrap/>
            <w:vAlign w:val="bottom"/>
            <w:hideMark/>
          </w:tcPr>
          <w:p w14:paraId="67F1658A" w14:textId="77777777" w:rsidR="00BE41AF" w:rsidRPr="009204F1" w:rsidRDefault="00BE41AF" w:rsidP="0090120F">
            <w:pPr>
              <w:jc w:val="both"/>
            </w:pPr>
          </w:p>
        </w:tc>
        <w:tc>
          <w:tcPr>
            <w:tcW w:w="960" w:type="dxa"/>
            <w:tcBorders>
              <w:top w:val="nil"/>
              <w:left w:val="nil"/>
              <w:bottom w:val="nil"/>
              <w:right w:val="nil"/>
            </w:tcBorders>
            <w:shd w:val="clear" w:color="auto" w:fill="auto"/>
            <w:noWrap/>
            <w:vAlign w:val="bottom"/>
            <w:hideMark/>
          </w:tcPr>
          <w:p w14:paraId="32D14855" w14:textId="77777777" w:rsidR="00BE41AF" w:rsidRPr="009204F1" w:rsidRDefault="00BE41AF" w:rsidP="0090120F">
            <w:pPr>
              <w:jc w:val="both"/>
            </w:pPr>
          </w:p>
        </w:tc>
        <w:tc>
          <w:tcPr>
            <w:tcW w:w="960" w:type="dxa"/>
            <w:tcBorders>
              <w:top w:val="nil"/>
              <w:left w:val="nil"/>
              <w:bottom w:val="nil"/>
              <w:right w:val="nil"/>
            </w:tcBorders>
            <w:shd w:val="clear" w:color="auto" w:fill="auto"/>
            <w:noWrap/>
            <w:vAlign w:val="bottom"/>
            <w:hideMark/>
          </w:tcPr>
          <w:p w14:paraId="21D0BF9F" w14:textId="77777777" w:rsidR="00BE41AF" w:rsidRPr="001343F4" w:rsidRDefault="00BE41AF" w:rsidP="0090120F">
            <w:pPr>
              <w:jc w:val="both"/>
            </w:pPr>
          </w:p>
        </w:tc>
        <w:tc>
          <w:tcPr>
            <w:tcW w:w="1120" w:type="dxa"/>
            <w:tcBorders>
              <w:top w:val="nil"/>
              <w:left w:val="nil"/>
              <w:bottom w:val="nil"/>
              <w:right w:val="nil"/>
            </w:tcBorders>
            <w:shd w:val="clear" w:color="auto" w:fill="auto"/>
            <w:noWrap/>
            <w:vAlign w:val="bottom"/>
            <w:hideMark/>
          </w:tcPr>
          <w:p w14:paraId="6053E8F6" w14:textId="77777777" w:rsidR="00BE41AF" w:rsidRPr="001343F4" w:rsidRDefault="00BE41AF" w:rsidP="0090120F">
            <w:pPr>
              <w:jc w:val="both"/>
            </w:pPr>
          </w:p>
        </w:tc>
      </w:tr>
      <w:tr w:rsidR="0090120F" w:rsidRPr="00EE73FF" w14:paraId="0934071F" w14:textId="77777777" w:rsidTr="00BE41AF">
        <w:trPr>
          <w:trHeight w:val="315"/>
        </w:trPr>
        <w:tc>
          <w:tcPr>
            <w:tcW w:w="1078" w:type="dxa"/>
            <w:tcBorders>
              <w:top w:val="nil"/>
              <w:left w:val="nil"/>
              <w:bottom w:val="nil"/>
              <w:right w:val="nil"/>
            </w:tcBorders>
            <w:shd w:val="clear" w:color="auto" w:fill="auto"/>
            <w:noWrap/>
            <w:vAlign w:val="center"/>
            <w:hideMark/>
          </w:tcPr>
          <w:p w14:paraId="0D7C77A1" w14:textId="77777777" w:rsidR="00BE41AF" w:rsidRPr="00EE73FF" w:rsidRDefault="00BE41AF" w:rsidP="0090120F">
            <w:pPr>
              <w:jc w:val="both"/>
            </w:pPr>
          </w:p>
        </w:tc>
        <w:tc>
          <w:tcPr>
            <w:tcW w:w="1077" w:type="dxa"/>
            <w:tcBorders>
              <w:top w:val="nil"/>
              <w:left w:val="nil"/>
              <w:bottom w:val="nil"/>
              <w:right w:val="nil"/>
            </w:tcBorders>
            <w:shd w:val="clear" w:color="auto" w:fill="auto"/>
            <w:noWrap/>
            <w:vAlign w:val="bottom"/>
            <w:hideMark/>
          </w:tcPr>
          <w:p w14:paraId="7B062357" w14:textId="77777777" w:rsidR="00BE41AF" w:rsidRPr="00EE73FF" w:rsidRDefault="00BE41AF" w:rsidP="0090120F">
            <w:pPr>
              <w:jc w:val="both"/>
            </w:pPr>
          </w:p>
        </w:tc>
        <w:tc>
          <w:tcPr>
            <w:tcW w:w="1992" w:type="dxa"/>
            <w:tcBorders>
              <w:top w:val="nil"/>
              <w:left w:val="nil"/>
              <w:bottom w:val="nil"/>
              <w:right w:val="nil"/>
            </w:tcBorders>
            <w:shd w:val="clear" w:color="auto" w:fill="auto"/>
            <w:noWrap/>
            <w:vAlign w:val="bottom"/>
            <w:hideMark/>
          </w:tcPr>
          <w:p w14:paraId="3586C83A" w14:textId="77777777" w:rsidR="00BE41AF" w:rsidRPr="00EE73FF" w:rsidRDefault="00BE41AF" w:rsidP="0090120F">
            <w:pPr>
              <w:jc w:val="both"/>
            </w:pPr>
          </w:p>
        </w:tc>
        <w:tc>
          <w:tcPr>
            <w:tcW w:w="1992" w:type="dxa"/>
            <w:tcBorders>
              <w:top w:val="nil"/>
              <w:left w:val="nil"/>
              <w:bottom w:val="nil"/>
              <w:right w:val="nil"/>
            </w:tcBorders>
            <w:shd w:val="clear" w:color="auto" w:fill="auto"/>
            <w:noWrap/>
            <w:vAlign w:val="bottom"/>
            <w:hideMark/>
          </w:tcPr>
          <w:p w14:paraId="0EBC2A39" w14:textId="77777777" w:rsidR="00BE41AF" w:rsidRPr="00EE73FF" w:rsidRDefault="00BE41AF" w:rsidP="0090120F">
            <w:pPr>
              <w:jc w:val="both"/>
            </w:pPr>
          </w:p>
        </w:tc>
        <w:tc>
          <w:tcPr>
            <w:tcW w:w="960" w:type="dxa"/>
            <w:tcBorders>
              <w:top w:val="nil"/>
              <w:left w:val="nil"/>
              <w:bottom w:val="nil"/>
              <w:right w:val="nil"/>
            </w:tcBorders>
            <w:shd w:val="clear" w:color="auto" w:fill="auto"/>
            <w:noWrap/>
            <w:vAlign w:val="bottom"/>
            <w:hideMark/>
          </w:tcPr>
          <w:p w14:paraId="63AC7551" w14:textId="77777777" w:rsidR="00BE41AF" w:rsidRPr="00EE73FF" w:rsidRDefault="00BE41AF" w:rsidP="0090120F">
            <w:pPr>
              <w:jc w:val="both"/>
            </w:pPr>
          </w:p>
        </w:tc>
        <w:tc>
          <w:tcPr>
            <w:tcW w:w="960" w:type="dxa"/>
            <w:tcBorders>
              <w:top w:val="nil"/>
              <w:left w:val="nil"/>
              <w:bottom w:val="nil"/>
              <w:right w:val="nil"/>
            </w:tcBorders>
            <w:shd w:val="clear" w:color="auto" w:fill="auto"/>
            <w:noWrap/>
            <w:vAlign w:val="bottom"/>
            <w:hideMark/>
          </w:tcPr>
          <w:p w14:paraId="6A1D8F7F" w14:textId="77777777" w:rsidR="00BE41AF" w:rsidRPr="00EE73FF" w:rsidRDefault="00BE41AF" w:rsidP="0090120F">
            <w:pPr>
              <w:jc w:val="both"/>
            </w:pPr>
          </w:p>
        </w:tc>
        <w:tc>
          <w:tcPr>
            <w:tcW w:w="1120" w:type="dxa"/>
            <w:tcBorders>
              <w:top w:val="nil"/>
              <w:left w:val="nil"/>
              <w:bottom w:val="nil"/>
              <w:right w:val="nil"/>
            </w:tcBorders>
            <w:shd w:val="clear" w:color="auto" w:fill="auto"/>
            <w:noWrap/>
            <w:vAlign w:val="bottom"/>
            <w:hideMark/>
          </w:tcPr>
          <w:p w14:paraId="0B16EAA2" w14:textId="7246F0CE" w:rsidR="00BE41AF" w:rsidRPr="00EB1ED5" w:rsidRDefault="00BE41AF" w:rsidP="0090120F">
            <w:pPr>
              <w:jc w:val="both"/>
              <w:rPr>
                <w:bCs/>
              </w:rPr>
            </w:pPr>
            <w:r w:rsidRPr="00EB1ED5">
              <w:rPr>
                <w:bCs/>
              </w:rPr>
              <w:t xml:space="preserve">           </w:t>
            </w:r>
          </w:p>
        </w:tc>
      </w:tr>
    </w:tbl>
    <w:p w14:paraId="5D444069" w14:textId="77777777" w:rsidR="00D80216" w:rsidRPr="00EB1ED5" w:rsidRDefault="00B45F4D" w:rsidP="0090120F">
      <w:pPr>
        <w:jc w:val="both"/>
      </w:pPr>
      <w:r w:rsidRPr="00EB1ED5">
        <w:tab/>
      </w:r>
      <w:r w:rsidRPr="00EB1ED5">
        <w:tab/>
      </w:r>
    </w:p>
    <w:p w14:paraId="1E67E14D" w14:textId="77777777" w:rsidR="00B45F4D" w:rsidRPr="0090120F" w:rsidRDefault="00B45F4D" w:rsidP="0090120F">
      <w:pPr>
        <w:jc w:val="both"/>
      </w:pPr>
      <w:r w:rsidRPr="0090120F">
        <w:rPr>
          <w:u w:val="single"/>
        </w:rPr>
        <w:t>Respondent’s Cost of Burden Hours</w:t>
      </w:r>
      <w:r w:rsidRPr="0090120F">
        <w:t xml:space="preserve"> – </w:t>
      </w:r>
    </w:p>
    <w:p w14:paraId="123B02B2" w14:textId="77777777" w:rsidR="00B45F4D" w:rsidRPr="0090120F" w:rsidRDefault="00B45F4D" w:rsidP="0090120F">
      <w:pPr>
        <w:jc w:val="both"/>
      </w:pPr>
    </w:p>
    <w:p w14:paraId="7CE31138" w14:textId="1B362EBC" w:rsidR="00B45F4D" w:rsidRPr="00EB1ED5" w:rsidRDefault="00B45F4D" w:rsidP="0090120F">
      <w:pPr>
        <w:jc w:val="both"/>
      </w:pPr>
      <w:r w:rsidRPr="0090120F">
        <w:tab/>
      </w:r>
      <w:r w:rsidRPr="0015579E">
        <w:tab/>
      </w:r>
      <w:r w:rsidRPr="00EB1ED5">
        <w:t>Estimated officer’s salary = $</w:t>
      </w:r>
      <w:r w:rsidR="00DB28D1" w:rsidRPr="00EB1ED5">
        <w:t>6</w:t>
      </w:r>
      <w:r w:rsidR="007A7E05" w:rsidRPr="00EB1ED5">
        <w:t>5</w:t>
      </w:r>
      <w:r w:rsidRPr="00EB1ED5">
        <w:t>/hour</w:t>
      </w:r>
      <w:r w:rsidR="00EB1192" w:rsidRPr="00EB1ED5">
        <w:t xml:space="preserve"> (based on mid-level, senior manager in an average small business firm).</w:t>
      </w:r>
    </w:p>
    <w:p w14:paraId="2E189824" w14:textId="77777777" w:rsidR="00B45F4D" w:rsidRPr="00EB1ED5" w:rsidRDefault="00B45F4D" w:rsidP="0090120F">
      <w:pPr>
        <w:jc w:val="both"/>
      </w:pPr>
    </w:p>
    <w:p w14:paraId="00916E3B" w14:textId="77777777" w:rsidR="00146C65" w:rsidRPr="00EB1ED5" w:rsidRDefault="00146C65" w:rsidP="0090120F">
      <w:pPr>
        <w:ind w:firstLine="360"/>
        <w:jc w:val="both"/>
      </w:pPr>
      <w:r w:rsidRPr="00EB1ED5">
        <w:t xml:space="preserve">Total estimated officer’s salary for </w:t>
      </w:r>
      <w:r w:rsidR="000F3DA7" w:rsidRPr="00EB1ED5">
        <w:t>i</w:t>
      </w:r>
      <w:r w:rsidRPr="00EB1ED5">
        <w:t xml:space="preserve">nitial application, recertifications and program examinations </w:t>
      </w:r>
      <w:r w:rsidR="000F3DA7" w:rsidRPr="00EB1ED5">
        <w:t xml:space="preserve">is </w:t>
      </w:r>
      <w:r w:rsidR="007A7E05" w:rsidRPr="00EB1ED5">
        <w:rPr>
          <w:bCs/>
        </w:rPr>
        <w:t xml:space="preserve">7,189 </w:t>
      </w:r>
      <w:r w:rsidRPr="00EB1ED5">
        <w:t>x $</w:t>
      </w:r>
      <w:r w:rsidR="00AA4BFC" w:rsidRPr="00EB1ED5">
        <w:t>6</w:t>
      </w:r>
      <w:r w:rsidR="007A7E05" w:rsidRPr="00EB1ED5">
        <w:t>5</w:t>
      </w:r>
      <w:r w:rsidR="0000205D" w:rsidRPr="00EB1ED5">
        <w:t>/</w:t>
      </w:r>
      <w:r w:rsidRPr="00EB1ED5">
        <w:t>hour = $</w:t>
      </w:r>
      <w:r w:rsidR="007A7E05" w:rsidRPr="00EB1ED5">
        <w:t>467,285</w:t>
      </w:r>
      <w:r w:rsidR="00DB28D1" w:rsidRPr="00EB1ED5">
        <w:t>.</w:t>
      </w:r>
    </w:p>
    <w:p w14:paraId="663E760B" w14:textId="77777777" w:rsidR="0093017F" w:rsidRPr="0090120F" w:rsidRDefault="0093017F" w:rsidP="0090120F">
      <w:pPr>
        <w:jc w:val="both"/>
        <w:rPr>
          <w:b/>
        </w:rPr>
      </w:pPr>
    </w:p>
    <w:p w14:paraId="05436F13" w14:textId="77777777" w:rsidR="009F4CAB" w:rsidRPr="0090120F" w:rsidRDefault="009F4CAB" w:rsidP="0090120F">
      <w:pPr>
        <w:jc w:val="both"/>
        <w:rPr>
          <w:b/>
        </w:rPr>
      </w:pPr>
      <w:r w:rsidRPr="0090120F">
        <w:rPr>
          <w:b/>
        </w:rPr>
        <w:t>13. Estimate of total annual cost burden for submission.</w:t>
      </w:r>
    </w:p>
    <w:p w14:paraId="0708DA23" w14:textId="77777777" w:rsidR="004930AA" w:rsidRPr="0090120F" w:rsidRDefault="004930AA" w:rsidP="0090120F">
      <w:pPr>
        <w:ind w:right="-180"/>
        <w:jc w:val="both"/>
        <w:rPr>
          <w:i/>
          <w:iCs/>
          <w:spacing w:val="-2"/>
        </w:rPr>
      </w:pPr>
    </w:p>
    <w:p w14:paraId="79A526F6" w14:textId="5020D19A" w:rsidR="00F96C8A" w:rsidRPr="0090120F" w:rsidRDefault="00F96C8A" w:rsidP="0090120F">
      <w:pPr>
        <w:ind w:right="-180"/>
        <w:jc w:val="both"/>
        <w:rPr>
          <w:i/>
          <w:iCs/>
        </w:rPr>
      </w:pPr>
      <w:r w:rsidRPr="0090120F">
        <w:rPr>
          <w:i/>
          <w:iCs/>
          <w:spacing w:val="-2"/>
        </w:rPr>
        <w:t>Provide an estimate of the total annual cost burden to respondents or record keepers resulting from the collection of information. Do not include the cost of any hour burden shown in Items 12 and 14.</w:t>
      </w:r>
    </w:p>
    <w:p w14:paraId="4FD498B0" w14:textId="77777777" w:rsidR="00F96C8A" w:rsidRPr="0090120F" w:rsidRDefault="00F96C8A" w:rsidP="0090120F">
      <w:pPr>
        <w:ind w:right="-180"/>
        <w:jc w:val="both"/>
      </w:pPr>
      <w:r w:rsidRPr="0090120F">
        <w:rPr>
          <w:spacing w:val="-2"/>
        </w:rPr>
        <w:t> </w:t>
      </w:r>
    </w:p>
    <w:p w14:paraId="29F27261" w14:textId="40764C65" w:rsidR="009F4CAB" w:rsidRPr="0090120F" w:rsidRDefault="009F4CAB" w:rsidP="0090120F">
      <w:pPr>
        <w:jc w:val="both"/>
        <w:rPr>
          <w:color w:val="000000"/>
        </w:rPr>
      </w:pPr>
      <w:r w:rsidRPr="0090120F">
        <w:rPr>
          <w:color w:val="000000"/>
        </w:rPr>
        <w:tab/>
        <w:t xml:space="preserve">SBA estimates that there will be no </w:t>
      </w:r>
      <w:r w:rsidR="00E5403E" w:rsidRPr="0090120F">
        <w:rPr>
          <w:color w:val="000000"/>
        </w:rPr>
        <w:t xml:space="preserve">additional capital or start-up costs to respondents as a </w:t>
      </w:r>
      <w:r w:rsidR="00C6665F" w:rsidRPr="0090120F">
        <w:rPr>
          <w:color w:val="000000"/>
        </w:rPr>
        <w:t xml:space="preserve"> result of </w:t>
      </w:r>
      <w:r w:rsidR="00442BCC" w:rsidRPr="0090120F">
        <w:rPr>
          <w:color w:val="000000"/>
        </w:rPr>
        <w:t xml:space="preserve">this </w:t>
      </w:r>
      <w:r w:rsidRPr="0090120F">
        <w:rPr>
          <w:color w:val="000000"/>
        </w:rPr>
        <w:t>collection of information</w:t>
      </w:r>
      <w:r w:rsidR="00442BCC" w:rsidRPr="0090120F">
        <w:rPr>
          <w:color w:val="000000"/>
        </w:rPr>
        <w:t xml:space="preserve"> because</w:t>
      </w:r>
      <w:r w:rsidRPr="0090120F">
        <w:rPr>
          <w:color w:val="000000"/>
        </w:rPr>
        <w:t xml:space="preserve"> there should be </w:t>
      </w:r>
      <w:r w:rsidR="00FB1775" w:rsidRPr="0090120F">
        <w:rPr>
          <w:color w:val="000000"/>
        </w:rPr>
        <w:t xml:space="preserve">no </w:t>
      </w:r>
      <w:r w:rsidRPr="0090120F">
        <w:rPr>
          <w:color w:val="000000"/>
        </w:rPr>
        <w:t>cost in setting up or maintain</w:t>
      </w:r>
      <w:r w:rsidR="00FB1775" w:rsidRPr="0090120F">
        <w:rPr>
          <w:color w:val="000000"/>
        </w:rPr>
        <w:t>ing</w:t>
      </w:r>
      <w:r w:rsidRPr="0090120F">
        <w:rPr>
          <w:color w:val="000000"/>
        </w:rPr>
        <w:t xml:space="preserve"> systems to collect the required information. As stated in Answer 5, the information requested should be collected and retained in the ordinary course of business.</w:t>
      </w:r>
    </w:p>
    <w:p w14:paraId="551AAFEE" w14:textId="77777777" w:rsidR="009F4CAB" w:rsidRPr="0090120F" w:rsidRDefault="009F4CAB" w:rsidP="0090120F">
      <w:pPr>
        <w:jc w:val="both"/>
        <w:rPr>
          <w:color w:val="000000"/>
        </w:rPr>
      </w:pPr>
    </w:p>
    <w:p w14:paraId="7BDC1C3E" w14:textId="77777777" w:rsidR="009F4CAB" w:rsidRPr="0090120F" w:rsidRDefault="009F4CAB" w:rsidP="0090120F">
      <w:pPr>
        <w:jc w:val="both"/>
        <w:rPr>
          <w:b/>
          <w:color w:val="000000"/>
        </w:rPr>
      </w:pPr>
      <w:r w:rsidRPr="0090120F">
        <w:rPr>
          <w:b/>
          <w:color w:val="000000"/>
        </w:rPr>
        <w:t>14. Estimated annualized cost to the Federal government.</w:t>
      </w:r>
    </w:p>
    <w:p w14:paraId="46346E1C" w14:textId="77777777" w:rsidR="004930AA" w:rsidRPr="0090120F" w:rsidRDefault="004930AA" w:rsidP="0090120F">
      <w:pPr>
        <w:ind w:right="-180"/>
        <w:jc w:val="both"/>
        <w:rPr>
          <w:i/>
          <w:iCs/>
          <w:spacing w:val="-2"/>
        </w:rPr>
      </w:pPr>
    </w:p>
    <w:p w14:paraId="6470FE1D" w14:textId="77777777" w:rsidR="00F96C8A" w:rsidRPr="00EE73FF" w:rsidRDefault="00F96C8A" w:rsidP="0090120F">
      <w:pPr>
        <w:ind w:right="-180"/>
        <w:jc w:val="both"/>
        <w:rPr>
          <w:i/>
          <w:iCs/>
        </w:rPr>
      </w:pPr>
      <w:r w:rsidRPr="0090120F">
        <w:rPr>
          <w:i/>
          <w:iCs/>
          <w:spacing w:val="-2"/>
        </w:rPr>
        <w:t xml:space="preserve">Provide estimates of annual costs to the Federal Government.  Also, provide a description of the method used to estimate cost, which should include quantification of hours, operational expenses (such as equipment, overhead, printing and support staff), and any other expense that would not have been </w:t>
      </w:r>
      <w:r w:rsidRPr="00EE73FF">
        <w:rPr>
          <w:i/>
          <w:iCs/>
          <w:spacing w:val="-2"/>
        </w:rPr>
        <w:t xml:space="preserve">incurred without this collection of information. (Cost estimates for items 12, 13, and 14 may aggregate in a single table.)  </w:t>
      </w:r>
    </w:p>
    <w:p w14:paraId="49FAD5EA" w14:textId="77777777" w:rsidR="009F4CAB" w:rsidRPr="00EB1ED5" w:rsidRDefault="009F4CAB" w:rsidP="0090120F">
      <w:pPr>
        <w:jc w:val="both"/>
        <w:rPr>
          <w:b/>
        </w:rPr>
      </w:pPr>
      <w:r w:rsidRPr="00EB1ED5">
        <w:tab/>
      </w:r>
    </w:p>
    <w:p w14:paraId="36ED531E" w14:textId="77777777" w:rsidR="009F4CAB" w:rsidRPr="00EB1ED5" w:rsidRDefault="002006E4" w:rsidP="0090120F">
      <w:pPr>
        <w:ind w:firstLine="360"/>
        <w:jc w:val="both"/>
      </w:pPr>
      <w:r w:rsidRPr="00EB1ED5">
        <w:t>T</w:t>
      </w:r>
      <w:r w:rsidR="00F223C4" w:rsidRPr="00EB1ED5">
        <w:t>he annual cost to r</w:t>
      </w:r>
      <w:r w:rsidR="009F4CAB" w:rsidRPr="00EB1ED5">
        <w:t>eview</w:t>
      </w:r>
      <w:r w:rsidR="00F223C4" w:rsidRPr="00EB1ED5">
        <w:t xml:space="preserve"> and analyze the application is</w:t>
      </w:r>
      <w:r w:rsidRPr="00EB1ED5">
        <w:t xml:space="preserve"> $620,266.92</w:t>
      </w:r>
      <w:r w:rsidR="00F223C4" w:rsidRPr="00EB1ED5">
        <w:t>, computed as follows:</w:t>
      </w:r>
      <w:r w:rsidRPr="00EB1ED5">
        <w:t xml:space="preserve"> </w:t>
      </w:r>
    </w:p>
    <w:p w14:paraId="499A68F6" w14:textId="77777777" w:rsidR="00F96C8A" w:rsidRPr="00EB1ED5" w:rsidRDefault="00C90B6B" w:rsidP="0090120F">
      <w:pPr>
        <w:jc w:val="both"/>
      </w:pPr>
      <w:r w:rsidRPr="00EB1ED5">
        <w:tab/>
      </w:r>
    </w:p>
    <w:p w14:paraId="43B96EA6" w14:textId="4B147EEB" w:rsidR="009F4CAB" w:rsidRPr="00EB1ED5" w:rsidRDefault="002006E4" w:rsidP="0090120F">
      <w:pPr>
        <w:jc w:val="both"/>
      </w:pPr>
      <w:r w:rsidRPr="00EB1ED5">
        <w:tab/>
      </w:r>
      <w:r w:rsidR="00C90B6B" w:rsidRPr="00EB1ED5">
        <w:t>GS-</w:t>
      </w:r>
      <w:r w:rsidR="00374BFD" w:rsidRPr="00EB1ED5">
        <w:t>9, 11, 12, 13</w:t>
      </w:r>
      <w:r w:rsidR="00CF2026" w:rsidRPr="00EB1ED5">
        <w:t>, 14</w:t>
      </w:r>
      <w:r w:rsidR="00BC1843" w:rsidRPr="00EB1ED5">
        <w:t>, 15</w:t>
      </w:r>
      <w:r w:rsidR="00CF2026" w:rsidRPr="00EB1ED5">
        <w:t xml:space="preserve"> and SES</w:t>
      </w:r>
      <w:r w:rsidR="00C90B6B" w:rsidRPr="00EB1ED5">
        <w:t xml:space="preserve"> estimated </w:t>
      </w:r>
      <w:r w:rsidR="00D600F0" w:rsidRPr="00EB1ED5">
        <w:t>salaries</w:t>
      </w:r>
      <w:r w:rsidR="00595F4A">
        <w:t xml:space="preserve"> </w:t>
      </w:r>
      <w:r w:rsidR="00161289">
        <w:t>(</w:t>
      </w:r>
      <w:r w:rsidR="00161289" w:rsidRPr="00DC51C5">
        <w:t>WASHINGTON-</w:t>
      </w:r>
      <w:r w:rsidR="00161289" w:rsidRPr="00161289">
        <w:t>BALTIMORE-ARLINGTON, DC-MD-VA-WV-PA</w:t>
      </w:r>
      <w:r w:rsidR="006F56EE">
        <w:t>)</w:t>
      </w:r>
      <w:r w:rsidR="00DC51C5">
        <w:t xml:space="preserve"> </w:t>
      </w:r>
      <w:r w:rsidR="002424EA">
        <w:t xml:space="preserve">= </w:t>
      </w:r>
      <w:r w:rsidR="002424EA" w:rsidRPr="00EB1ED5">
        <w:t>$</w:t>
      </w:r>
      <w:r w:rsidR="0068214D" w:rsidRPr="00EB1ED5">
        <w:t>71</w:t>
      </w:r>
      <w:r w:rsidR="00BC1843" w:rsidRPr="00EB1ED5">
        <w:t>.</w:t>
      </w:r>
      <w:r w:rsidR="0068214D" w:rsidRPr="00EB1ED5">
        <w:t>89</w:t>
      </w:r>
      <w:r w:rsidR="00BF01B8" w:rsidRPr="00EB1ED5">
        <w:t xml:space="preserve"> </w:t>
      </w:r>
      <w:r w:rsidR="00C90B6B" w:rsidRPr="00EB1ED5">
        <w:t>hour</w:t>
      </w:r>
      <w:r w:rsidR="00F223C4" w:rsidRPr="00EB1ED5">
        <w:t xml:space="preserve"> (average) for employees reviewing applications.</w:t>
      </w:r>
    </w:p>
    <w:p w14:paraId="3BD6A282" w14:textId="77777777" w:rsidR="00A529D7" w:rsidRPr="00EB1ED5" w:rsidRDefault="00A529D7" w:rsidP="0090120F">
      <w:pPr>
        <w:jc w:val="both"/>
      </w:pPr>
    </w:p>
    <w:p w14:paraId="342524A7" w14:textId="77777777" w:rsidR="007A7E05" w:rsidRPr="00EB1ED5" w:rsidRDefault="00C90B6B" w:rsidP="0090120F">
      <w:pPr>
        <w:jc w:val="both"/>
      </w:pPr>
      <w:r w:rsidRPr="00EB1ED5">
        <w:t xml:space="preserve">Average review </w:t>
      </w:r>
      <w:r w:rsidR="007A7E05" w:rsidRPr="00EB1ED5">
        <w:t xml:space="preserve">time </w:t>
      </w:r>
      <w:r w:rsidRPr="00EB1ED5">
        <w:t xml:space="preserve">for each </w:t>
      </w:r>
      <w:r w:rsidR="007A7E05" w:rsidRPr="00EB1ED5">
        <w:t xml:space="preserve">category </w:t>
      </w:r>
    </w:p>
    <w:p w14:paraId="0FFBE2D4" w14:textId="77777777" w:rsidR="007A7E05" w:rsidRPr="00EB1ED5" w:rsidRDefault="007A7E05" w:rsidP="0090120F">
      <w:pPr>
        <w:jc w:val="both"/>
      </w:pPr>
    </w:p>
    <w:p w14:paraId="4D398F6B" w14:textId="77777777" w:rsidR="00121DA8" w:rsidRPr="00EB1ED5" w:rsidRDefault="008C768C" w:rsidP="0090120F">
      <w:pPr>
        <w:ind w:left="720" w:firstLine="360"/>
        <w:jc w:val="both"/>
      </w:pPr>
      <w:r w:rsidRPr="00EB1ED5">
        <w:t>Initial application</w:t>
      </w:r>
      <w:r w:rsidR="007A7E05" w:rsidRPr="00EB1ED5">
        <w:t xml:space="preserve">: </w:t>
      </w:r>
      <w:r w:rsidRPr="00EB1ED5">
        <w:tab/>
      </w:r>
      <w:r w:rsidR="007A7E05" w:rsidRPr="00EB1ED5">
        <w:tab/>
      </w:r>
      <w:r w:rsidR="00BC1843" w:rsidRPr="00EB1ED5">
        <w:t xml:space="preserve">4 </w:t>
      </w:r>
      <w:r w:rsidR="00C90B6B" w:rsidRPr="00EB1ED5">
        <w:t>hours</w:t>
      </w:r>
    </w:p>
    <w:p w14:paraId="343FE2C0" w14:textId="77777777" w:rsidR="007A7E05" w:rsidRPr="00EB1ED5" w:rsidRDefault="008C768C" w:rsidP="0090120F">
      <w:pPr>
        <w:jc w:val="both"/>
      </w:pPr>
      <w:r w:rsidRPr="00EB1ED5">
        <w:tab/>
      </w:r>
      <w:r w:rsidRPr="00EB1ED5">
        <w:tab/>
      </w:r>
      <w:r w:rsidR="007A7E05" w:rsidRPr="00EB1ED5">
        <w:tab/>
      </w:r>
      <w:r w:rsidRPr="00EB1ED5">
        <w:t>Recertification</w:t>
      </w:r>
      <w:r w:rsidR="007A7E05" w:rsidRPr="00EB1ED5">
        <w:t xml:space="preserve">: </w:t>
      </w:r>
      <w:r w:rsidR="007A7E05" w:rsidRPr="00EB1ED5">
        <w:tab/>
      </w:r>
      <w:r w:rsidR="007A7E05" w:rsidRPr="00EB1ED5">
        <w:tab/>
      </w:r>
      <w:r w:rsidR="007A7E05" w:rsidRPr="00EB1ED5">
        <w:tab/>
      </w:r>
      <w:r w:rsidR="000F3DA7" w:rsidRPr="00EB1ED5">
        <w:t xml:space="preserve">1 </w:t>
      </w:r>
      <w:r w:rsidRPr="00EB1ED5">
        <w:t>hour</w:t>
      </w:r>
    </w:p>
    <w:p w14:paraId="11EAA24A" w14:textId="77777777" w:rsidR="007A7E05" w:rsidRPr="00EB1ED5" w:rsidRDefault="007A7E05" w:rsidP="0090120F">
      <w:pPr>
        <w:jc w:val="both"/>
      </w:pPr>
    </w:p>
    <w:p w14:paraId="7160AFBF" w14:textId="77777777" w:rsidR="008C768C" w:rsidRPr="00EB1ED5" w:rsidRDefault="007A7E05" w:rsidP="0090120F">
      <w:pPr>
        <w:jc w:val="both"/>
      </w:pPr>
      <w:r w:rsidRPr="00EB1ED5">
        <w:tab/>
      </w:r>
      <w:r w:rsidRPr="00EB1ED5">
        <w:tab/>
      </w:r>
      <w:r w:rsidRPr="00EB1ED5">
        <w:tab/>
      </w:r>
      <w:r w:rsidR="008C768C" w:rsidRPr="00EB1ED5">
        <w:t>Program</w:t>
      </w:r>
      <w:r w:rsidR="00843BC2" w:rsidRPr="00EB1ED5">
        <w:t xml:space="preserve"> </w:t>
      </w:r>
      <w:r w:rsidR="008C768C" w:rsidRPr="00EB1ED5">
        <w:t>Examination</w:t>
      </w:r>
      <w:r w:rsidRPr="00EB1ED5">
        <w:t>:</w:t>
      </w:r>
      <w:r w:rsidRPr="00EB1ED5">
        <w:tab/>
      </w:r>
      <w:r w:rsidR="008C768C" w:rsidRPr="00EB1ED5">
        <w:t>3 hours</w:t>
      </w:r>
    </w:p>
    <w:p w14:paraId="25431B70" w14:textId="77777777" w:rsidR="00C90B6B" w:rsidRPr="00EB1ED5" w:rsidRDefault="00996C10" w:rsidP="0090120F">
      <w:pPr>
        <w:jc w:val="both"/>
      </w:pPr>
      <w:r w:rsidRPr="00EB1ED5">
        <w:tab/>
      </w:r>
      <w:r w:rsidRPr="00EB1ED5">
        <w:tab/>
      </w:r>
    </w:p>
    <w:p w14:paraId="1A8064A4" w14:textId="671500AD" w:rsidR="00BF01B8" w:rsidRPr="00EB1ED5" w:rsidRDefault="00C90B6B" w:rsidP="0090120F">
      <w:pPr>
        <w:jc w:val="both"/>
      </w:pPr>
      <w:r w:rsidRPr="00EB1ED5">
        <w:tab/>
      </w:r>
      <w:r w:rsidRPr="00EB1ED5">
        <w:tab/>
      </w:r>
      <w:r w:rsidR="00121DA8" w:rsidRPr="00EB1ED5">
        <w:t>Aggreg</w:t>
      </w:r>
      <w:r w:rsidR="00A32566" w:rsidRPr="00EB1ED5">
        <w:t>at</w:t>
      </w:r>
      <w:r w:rsidR="00121DA8" w:rsidRPr="00EB1ED5">
        <w:t xml:space="preserve">e average </w:t>
      </w:r>
      <w:r w:rsidR="000B5CFC">
        <w:t xml:space="preserve">number of </w:t>
      </w:r>
      <w:r w:rsidR="00121DA8" w:rsidRPr="00EB1ED5">
        <w:t>review</w:t>
      </w:r>
      <w:r w:rsidR="000B5CFC">
        <w:t>s</w:t>
      </w:r>
      <w:r w:rsidR="00121DA8" w:rsidRPr="00EB1ED5">
        <w:t xml:space="preserve">  </w:t>
      </w:r>
      <w:r w:rsidRPr="00EB1ED5">
        <w:t>per year</w:t>
      </w:r>
      <w:r w:rsidR="007A7E05" w:rsidRPr="00EB1ED5">
        <w:t xml:space="preserve">: </w:t>
      </w:r>
      <w:r w:rsidR="0068214D" w:rsidRPr="00EB1ED5">
        <w:t xml:space="preserve">8,628 (Initial Applications </w:t>
      </w:r>
      <w:r w:rsidR="004635D5">
        <w:t>1</w:t>
      </w:r>
      <w:r w:rsidR="008B4E86">
        <w:t xml:space="preserve">,439 </w:t>
      </w:r>
      <w:r w:rsidR="00CA7488">
        <w:t xml:space="preserve">x 4 </w:t>
      </w:r>
      <w:r w:rsidR="008B4E86">
        <w:t xml:space="preserve">= </w:t>
      </w:r>
      <w:r w:rsidR="0068214D" w:rsidRPr="00EB1ED5">
        <w:t xml:space="preserve">5,756; Recertifications </w:t>
      </w:r>
      <w:r w:rsidR="00CA7488">
        <w:t>1,</w:t>
      </w:r>
      <w:r w:rsidR="008B4E86">
        <w:t>1</w:t>
      </w:r>
      <w:r w:rsidR="00CA7488">
        <w:t xml:space="preserve">89 x 1 = </w:t>
      </w:r>
      <w:r w:rsidR="0068214D" w:rsidRPr="00EB1ED5">
        <w:t xml:space="preserve">1,189; Program Examinations and Other Regulatory Processes </w:t>
      </w:r>
      <w:r w:rsidR="00684665">
        <w:t>561 x 3</w:t>
      </w:r>
      <w:r w:rsidR="00511FD5">
        <w:t xml:space="preserve"> = </w:t>
      </w:r>
      <w:r w:rsidR="0068214D" w:rsidRPr="00EB1ED5">
        <w:t>1,683).</w:t>
      </w:r>
    </w:p>
    <w:p w14:paraId="37E835AD" w14:textId="48BF6074" w:rsidR="00C90B6B" w:rsidRPr="00EB1ED5" w:rsidRDefault="00C90B6B" w:rsidP="0090120F">
      <w:pPr>
        <w:jc w:val="both"/>
      </w:pPr>
      <w:r w:rsidRPr="00EB1ED5">
        <w:tab/>
      </w:r>
      <w:r w:rsidRPr="00EB1ED5">
        <w:tab/>
        <w:t xml:space="preserve">Total estimated cost to government </w:t>
      </w:r>
      <w:r w:rsidR="00374BFD" w:rsidRPr="00EB1ED5">
        <w:t xml:space="preserve">per year </w:t>
      </w:r>
      <w:r w:rsidR="002424EA">
        <w:t>=</w:t>
      </w:r>
      <w:r w:rsidR="002424EA" w:rsidRPr="00EB1ED5">
        <w:t xml:space="preserve"> </w:t>
      </w:r>
      <w:r w:rsidR="0068214D" w:rsidRPr="00EB1ED5">
        <w:t>8,628</w:t>
      </w:r>
      <w:r w:rsidR="00197562" w:rsidRPr="00EB1ED5">
        <w:t xml:space="preserve"> </w:t>
      </w:r>
      <w:r w:rsidR="00BE0424" w:rsidRPr="00EB1ED5">
        <w:t>x $</w:t>
      </w:r>
      <w:r w:rsidR="0068214D" w:rsidRPr="00EB1ED5">
        <w:t>71.89</w:t>
      </w:r>
      <w:r w:rsidR="00BE0424" w:rsidRPr="00EB1ED5">
        <w:t xml:space="preserve"> = </w:t>
      </w:r>
      <w:bookmarkStart w:id="1" w:name="_Hlk8040102"/>
      <w:r w:rsidR="00BE0424" w:rsidRPr="00EB1ED5">
        <w:t>$</w:t>
      </w:r>
      <w:r w:rsidR="0068214D" w:rsidRPr="00EB1ED5">
        <w:t>620,266.92</w:t>
      </w:r>
      <w:bookmarkEnd w:id="1"/>
    </w:p>
    <w:p w14:paraId="6260085C" w14:textId="77777777" w:rsidR="0068214D" w:rsidRPr="00EB1ED5" w:rsidRDefault="0068214D" w:rsidP="0090120F">
      <w:pPr>
        <w:jc w:val="both"/>
        <w:rPr>
          <w:b/>
        </w:rPr>
      </w:pPr>
    </w:p>
    <w:p w14:paraId="192D9B73" w14:textId="77777777" w:rsidR="00C90B6B" w:rsidRPr="00EB1ED5" w:rsidRDefault="00C90B6B" w:rsidP="0090120F">
      <w:pPr>
        <w:jc w:val="both"/>
      </w:pPr>
    </w:p>
    <w:p w14:paraId="05B13F15" w14:textId="77777777" w:rsidR="00C90B6B" w:rsidRPr="00EB1ED5" w:rsidRDefault="00C90B6B" w:rsidP="0090120F">
      <w:pPr>
        <w:jc w:val="both"/>
        <w:rPr>
          <w:b/>
        </w:rPr>
      </w:pPr>
      <w:r w:rsidRPr="00EB1ED5">
        <w:rPr>
          <w:b/>
        </w:rPr>
        <w:t>15. Explanation of program changes in Item 13 or 14 OMB Form 83-1.</w:t>
      </w:r>
    </w:p>
    <w:p w14:paraId="7BCDB3DC" w14:textId="77777777" w:rsidR="00F96C8A" w:rsidRPr="00EE73FF" w:rsidRDefault="00F96C8A" w:rsidP="0090120F">
      <w:pPr>
        <w:ind w:right="-180"/>
        <w:jc w:val="both"/>
        <w:rPr>
          <w:i/>
          <w:iCs/>
        </w:rPr>
      </w:pPr>
      <w:r w:rsidRPr="00EE73FF">
        <w:rPr>
          <w:i/>
          <w:iCs/>
          <w:spacing w:val="-2"/>
        </w:rPr>
        <w:t>Explain reasons for any program changes or adjustments reported in Items 13 or 14 of the OMB Form 83-1.</w:t>
      </w:r>
    </w:p>
    <w:p w14:paraId="1D79F7B5" w14:textId="77777777" w:rsidR="00F96C8A" w:rsidRPr="00EB1ED5" w:rsidRDefault="00F96C8A" w:rsidP="0090120F">
      <w:pPr>
        <w:jc w:val="both"/>
      </w:pPr>
    </w:p>
    <w:p w14:paraId="6B20AD19" w14:textId="042AD372" w:rsidR="006D35A1" w:rsidRPr="00EB1ED5" w:rsidRDefault="00A56931" w:rsidP="0090120F">
      <w:pPr>
        <w:autoSpaceDE w:val="0"/>
        <w:autoSpaceDN w:val="0"/>
        <w:adjustRightInd w:val="0"/>
        <w:ind w:firstLine="360"/>
        <w:jc w:val="both"/>
      </w:pPr>
      <w:r>
        <w:t xml:space="preserve">Total burden hours </w:t>
      </w:r>
      <w:r w:rsidR="00877B32" w:rsidRPr="00EB1ED5">
        <w:t>i</w:t>
      </w:r>
      <w:r w:rsidR="006D35A1" w:rsidRPr="00EB1ED5">
        <w:t xml:space="preserve">ncreased because the number of respondents and responses increased by </w:t>
      </w:r>
      <w:r w:rsidR="00877B32" w:rsidRPr="00EB1ED5">
        <w:t>637, from 6,552, to 7,189, based on revision of estimates to reflect more recent levels of activity (FY 2018 versus FY 2015).</w:t>
      </w:r>
      <w:r w:rsidR="006D35A1" w:rsidRPr="00EB1ED5">
        <w:t xml:space="preserve"> </w:t>
      </w:r>
    </w:p>
    <w:p w14:paraId="2A65EE09" w14:textId="641A99C9" w:rsidR="006D35A1" w:rsidRPr="00EB1ED5" w:rsidRDefault="006D35A1" w:rsidP="0090120F">
      <w:pPr>
        <w:autoSpaceDE w:val="0"/>
        <w:autoSpaceDN w:val="0"/>
        <w:adjustRightInd w:val="0"/>
        <w:ind w:firstLine="360"/>
        <w:jc w:val="both"/>
      </w:pPr>
    </w:p>
    <w:p w14:paraId="236999AD" w14:textId="77777777" w:rsidR="00E162EF" w:rsidRPr="00EB1ED5" w:rsidRDefault="00E162EF" w:rsidP="0090120F">
      <w:pPr>
        <w:autoSpaceDE w:val="0"/>
        <w:autoSpaceDN w:val="0"/>
        <w:adjustRightInd w:val="0"/>
        <w:jc w:val="both"/>
        <w:rPr>
          <w:b/>
        </w:rPr>
      </w:pPr>
    </w:p>
    <w:p w14:paraId="2539437D" w14:textId="77777777" w:rsidR="00C90B6B" w:rsidRPr="00EB1ED5" w:rsidRDefault="00C90B6B" w:rsidP="0090120F">
      <w:pPr>
        <w:jc w:val="both"/>
        <w:rPr>
          <w:b/>
        </w:rPr>
      </w:pPr>
      <w:r w:rsidRPr="00EB1ED5">
        <w:rPr>
          <w:b/>
        </w:rPr>
        <w:t>16. Collection of information whose results will be published.</w:t>
      </w:r>
    </w:p>
    <w:p w14:paraId="20DECA62" w14:textId="77777777" w:rsidR="004930AA" w:rsidRPr="0090120F" w:rsidRDefault="004930AA" w:rsidP="0090120F">
      <w:pPr>
        <w:ind w:right="-180"/>
        <w:jc w:val="both"/>
        <w:rPr>
          <w:i/>
          <w:iCs/>
          <w:spacing w:val="-2"/>
        </w:rPr>
      </w:pPr>
    </w:p>
    <w:p w14:paraId="1E06DF61" w14:textId="77777777" w:rsidR="00F96C8A" w:rsidRPr="0090120F" w:rsidRDefault="00F96C8A" w:rsidP="0090120F">
      <w:pPr>
        <w:ind w:right="-180"/>
        <w:jc w:val="both"/>
        <w:rPr>
          <w:i/>
          <w:iCs/>
        </w:rPr>
      </w:pPr>
      <w:r w:rsidRPr="0090120F">
        <w:rPr>
          <w:i/>
          <w:iCs/>
          <w:spacing w:val="-2"/>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14:paraId="08B4548C" w14:textId="77777777" w:rsidR="00F96C8A" w:rsidRPr="0090120F" w:rsidRDefault="00F96C8A" w:rsidP="0090120F">
      <w:pPr>
        <w:ind w:left="1440" w:right="-180" w:hanging="1440"/>
        <w:jc w:val="both"/>
      </w:pPr>
      <w:r w:rsidRPr="0090120F">
        <w:rPr>
          <w:spacing w:val="-2"/>
        </w:rPr>
        <w:t> </w:t>
      </w:r>
    </w:p>
    <w:p w14:paraId="091C3D34" w14:textId="77777777" w:rsidR="00C90B6B" w:rsidRPr="0090120F" w:rsidRDefault="00C90B6B" w:rsidP="0090120F">
      <w:pPr>
        <w:jc w:val="both"/>
        <w:rPr>
          <w:color w:val="000000"/>
        </w:rPr>
      </w:pPr>
      <w:r w:rsidRPr="0090120F">
        <w:rPr>
          <w:color w:val="000000"/>
        </w:rPr>
        <w:tab/>
        <w:t>There are no plans to publish the collected information beyond the routine use</w:t>
      </w:r>
      <w:r w:rsidR="00442BCC" w:rsidRPr="0090120F">
        <w:rPr>
          <w:color w:val="000000"/>
        </w:rPr>
        <w:t xml:space="preserve"> of aggregated data</w:t>
      </w:r>
      <w:r w:rsidRPr="0090120F">
        <w:rPr>
          <w:color w:val="000000"/>
        </w:rPr>
        <w:t xml:space="preserve"> in reports to the Executive or Legislative branches of government.</w:t>
      </w:r>
    </w:p>
    <w:p w14:paraId="1B64AC2A" w14:textId="77777777" w:rsidR="00C90B6B" w:rsidRPr="0090120F" w:rsidRDefault="00C90B6B" w:rsidP="0090120F">
      <w:pPr>
        <w:jc w:val="both"/>
        <w:rPr>
          <w:color w:val="000000"/>
        </w:rPr>
      </w:pPr>
    </w:p>
    <w:p w14:paraId="002D8A8C" w14:textId="77777777" w:rsidR="00C90B6B" w:rsidRPr="0090120F" w:rsidRDefault="00C90B6B" w:rsidP="0090120F">
      <w:pPr>
        <w:jc w:val="both"/>
        <w:rPr>
          <w:b/>
          <w:color w:val="000000"/>
        </w:rPr>
      </w:pPr>
      <w:r w:rsidRPr="0090120F">
        <w:rPr>
          <w:b/>
          <w:color w:val="000000"/>
        </w:rPr>
        <w:t xml:space="preserve">17. </w:t>
      </w:r>
      <w:r w:rsidR="00AA4ACE" w:rsidRPr="0090120F">
        <w:rPr>
          <w:b/>
          <w:color w:val="000000"/>
        </w:rPr>
        <w:t xml:space="preserve"> </w:t>
      </w:r>
      <w:r w:rsidRPr="0090120F">
        <w:rPr>
          <w:b/>
          <w:color w:val="000000"/>
        </w:rPr>
        <w:t>Expiration date for collection of information.</w:t>
      </w:r>
    </w:p>
    <w:p w14:paraId="6E28D4AE" w14:textId="77777777" w:rsidR="00F96C8A" w:rsidRPr="0090120F" w:rsidRDefault="00F96C8A" w:rsidP="0090120F">
      <w:pPr>
        <w:ind w:right="-180"/>
        <w:jc w:val="both"/>
        <w:rPr>
          <w:i/>
          <w:iCs/>
        </w:rPr>
      </w:pPr>
      <w:r w:rsidRPr="0090120F">
        <w:rPr>
          <w:i/>
          <w:iCs/>
          <w:spacing w:val="-2"/>
        </w:rPr>
        <w:t>If seeking approval to not display the expiration date for OMB approval of the information collection, explain the reasons that the display would be inappropriate.</w:t>
      </w:r>
    </w:p>
    <w:p w14:paraId="2F73FD6A" w14:textId="77777777" w:rsidR="00C90B6B" w:rsidRPr="0090120F" w:rsidRDefault="00C90B6B" w:rsidP="0090120F">
      <w:pPr>
        <w:jc w:val="both"/>
        <w:rPr>
          <w:color w:val="000000"/>
        </w:rPr>
      </w:pPr>
    </w:p>
    <w:p w14:paraId="0FCDAA72" w14:textId="77777777" w:rsidR="00C90B6B" w:rsidRPr="0090120F" w:rsidRDefault="00C90B6B" w:rsidP="0090120F">
      <w:pPr>
        <w:jc w:val="both"/>
        <w:rPr>
          <w:color w:val="000000"/>
        </w:rPr>
      </w:pPr>
      <w:r w:rsidRPr="0090120F">
        <w:rPr>
          <w:color w:val="000000"/>
        </w:rPr>
        <w:tab/>
        <w:t>Not Applicable.</w:t>
      </w:r>
    </w:p>
    <w:p w14:paraId="60109035" w14:textId="77777777" w:rsidR="00C90B6B" w:rsidRPr="0090120F" w:rsidRDefault="00C90B6B" w:rsidP="0090120F">
      <w:pPr>
        <w:jc w:val="both"/>
        <w:rPr>
          <w:color w:val="000000"/>
        </w:rPr>
      </w:pPr>
    </w:p>
    <w:p w14:paraId="76793551" w14:textId="77777777" w:rsidR="00C90B6B" w:rsidRPr="0090120F" w:rsidRDefault="00C90B6B" w:rsidP="0090120F">
      <w:pPr>
        <w:jc w:val="both"/>
        <w:rPr>
          <w:color w:val="000000"/>
        </w:rPr>
      </w:pPr>
      <w:r w:rsidRPr="0090120F">
        <w:rPr>
          <w:b/>
          <w:color w:val="000000"/>
        </w:rPr>
        <w:t xml:space="preserve">18. </w:t>
      </w:r>
      <w:r w:rsidR="00AA4ACE" w:rsidRPr="0090120F">
        <w:rPr>
          <w:b/>
          <w:color w:val="000000"/>
        </w:rPr>
        <w:t xml:space="preserve"> </w:t>
      </w:r>
      <w:r w:rsidRPr="0090120F">
        <w:rPr>
          <w:b/>
          <w:color w:val="000000"/>
        </w:rPr>
        <w:t>Exceptions to certifications in Block 19 in OMB Form 83-1</w:t>
      </w:r>
      <w:r w:rsidRPr="0090120F">
        <w:rPr>
          <w:color w:val="000000"/>
        </w:rPr>
        <w:t>.</w:t>
      </w:r>
    </w:p>
    <w:p w14:paraId="22FF4C21" w14:textId="77777777" w:rsidR="004930AA" w:rsidRPr="0090120F" w:rsidRDefault="004930AA" w:rsidP="0090120F">
      <w:pPr>
        <w:ind w:right="-180"/>
        <w:jc w:val="both"/>
        <w:rPr>
          <w:i/>
          <w:iCs/>
          <w:spacing w:val="-2"/>
        </w:rPr>
      </w:pPr>
    </w:p>
    <w:p w14:paraId="37185073" w14:textId="77777777" w:rsidR="00F96C8A" w:rsidRPr="0090120F" w:rsidRDefault="00F96C8A" w:rsidP="0090120F">
      <w:pPr>
        <w:ind w:right="-180"/>
        <w:jc w:val="both"/>
        <w:rPr>
          <w:i/>
          <w:iCs/>
        </w:rPr>
      </w:pPr>
      <w:r w:rsidRPr="0090120F">
        <w:rPr>
          <w:i/>
          <w:iCs/>
          <w:spacing w:val="-2"/>
        </w:rPr>
        <w:t>Explain each exception to the certification statement identified in Item 19, “Certification for Paperwork Reduction Act Submissions,” of OMB Form 83-I.</w:t>
      </w:r>
    </w:p>
    <w:p w14:paraId="3AD32A0A" w14:textId="77777777" w:rsidR="00F96C8A" w:rsidRPr="0090120F" w:rsidRDefault="00F96C8A" w:rsidP="0090120F">
      <w:pPr>
        <w:jc w:val="both"/>
      </w:pPr>
    </w:p>
    <w:p w14:paraId="52008870" w14:textId="77777777" w:rsidR="00C90B6B" w:rsidRPr="0090120F" w:rsidRDefault="00C90B6B" w:rsidP="0090120F">
      <w:pPr>
        <w:jc w:val="both"/>
        <w:rPr>
          <w:color w:val="000000"/>
        </w:rPr>
      </w:pPr>
      <w:r w:rsidRPr="0090120F">
        <w:rPr>
          <w:color w:val="000000"/>
        </w:rPr>
        <w:tab/>
        <w:t>Not Applicable.</w:t>
      </w:r>
    </w:p>
    <w:p w14:paraId="797F2379" w14:textId="77777777" w:rsidR="00B42383" w:rsidRPr="0090120F" w:rsidRDefault="00B42383" w:rsidP="0090120F">
      <w:pPr>
        <w:jc w:val="both"/>
        <w:rPr>
          <w:b/>
          <w:color w:val="000000"/>
        </w:rPr>
      </w:pPr>
    </w:p>
    <w:p w14:paraId="1D80E3A7" w14:textId="77777777" w:rsidR="00C90B6B" w:rsidRPr="0090120F" w:rsidRDefault="00D4043B" w:rsidP="0090120F">
      <w:pPr>
        <w:jc w:val="both"/>
        <w:rPr>
          <w:b/>
          <w:color w:val="000000"/>
        </w:rPr>
      </w:pPr>
      <w:r w:rsidRPr="0090120F">
        <w:rPr>
          <w:b/>
          <w:color w:val="000000"/>
        </w:rPr>
        <w:t xml:space="preserve">B. </w:t>
      </w:r>
      <w:r w:rsidR="00AA4ACE" w:rsidRPr="0090120F">
        <w:rPr>
          <w:b/>
          <w:color w:val="000000"/>
        </w:rPr>
        <w:t xml:space="preserve"> </w:t>
      </w:r>
      <w:r w:rsidRPr="0090120F">
        <w:rPr>
          <w:b/>
          <w:color w:val="000000"/>
        </w:rPr>
        <w:t>Collections of Information Employing Statistical Methods.</w:t>
      </w:r>
    </w:p>
    <w:p w14:paraId="74AA3988" w14:textId="77777777" w:rsidR="004930AA" w:rsidRPr="0090120F" w:rsidRDefault="004930AA" w:rsidP="0090120F">
      <w:pPr>
        <w:jc w:val="both"/>
        <w:rPr>
          <w:color w:val="000000"/>
        </w:rPr>
      </w:pPr>
    </w:p>
    <w:p w14:paraId="416E1BA1" w14:textId="77777777" w:rsidR="00D4043B" w:rsidRPr="0090120F" w:rsidRDefault="00D4043B" w:rsidP="0090120F">
      <w:pPr>
        <w:jc w:val="both"/>
        <w:rPr>
          <w:color w:val="000000"/>
        </w:rPr>
      </w:pPr>
      <w:r w:rsidRPr="0090120F">
        <w:rPr>
          <w:color w:val="000000"/>
        </w:rPr>
        <w:tab/>
        <w:t>This collection of information does not employ statistical methods.</w:t>
      </w:r>
    </w:p>
    <w:p w14:paraId="3826C7D4" w14:textId="77777777" w:rsidR="00D4043B" w:rsidRPr="0090120F" w:rsidRDefault="00D4043B" w:rsidP="0090120F">
      <w:pPr>
        <w:jc w:val="both"/>
        <w:rPr>
          <w:color w:val="000000"/>
        </w:rPr>
      </w:pPr>
    </w:p>
    <w:sectPr w:rsidR="00D4043B" w:rsidRPr="0090120F" w:rsidSect="0047009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55F26" w14:textId="77777777" w:rsidR="00151723" w:rsidRDefault="00151723">
      <w:r>
        <w:separator/>
      </w:r>
    </w:p>
  </w:endnote>
  <w:endnote w:type="continuationSeparator" w:id="0">
    <w:p w14:paraId="14AE253D" w14:textId="77777777" w:rsidR="00151723" w:rsidRDefault="00151723">
      <w:r>
        <w:continuationSeparator/>
      </w:r>
    </w:p>
  </w:endnote>
  <w:endnote w:type="continuationNotice" w:id="1">
    <w:p w14:paraId="1904A726" w14:textId="77777777" w:rsidR="00151723" w:rsidRDefault="00151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13860" w14:textId="77777777" w:rsidR="00160B13" w:rsidRDefault="00160B13" w:rsidP="00B202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C8D73" w14:textId="77777777" w:rsidR="00160B13" w:rsidRDefault="00160B13" w:rsidP="001F09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B4C2A" w14:textId="77777777" w:rsidR="00160B13" w:rsidRDefault="00160B13" w:rsidP="00B202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134">
      <w:rPr>
        <w:rStyle w:val="PageNumber"/>
        <w:noProof/>
      </w:rPr>
      <w:t>1</w:t>
    </w:r>
    <w:r>
      <w:rPr>
        <w:rStyle w:val="PageNumber"/>
      </w:rPr>
      <w:fldChar w:fldCharType="end"/>
    </w:r>
  </w:p>
  <w:p w14:paraId="40D5B782" w14:textId="77777777" w:rsidR="00160B13" w:rsidRDefault="00160B13" w:rsidP="001F09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530C4" w14:textId="77777777" w:rsidR="00151723" w:rsidRDefault="00151723">
      <w:r>
        <w:separator/>
      </w:r>
    </w:p>
  </w:footnote>
  <w:footnote w:type="continuationSeparator" w:id="0">
    <w:p w14:paraId="2A610D69" w14:textId="77777777" w:rsidR="00151723" w:rsidRDefault="00151723">
      <w:r>
        <w:continuationSeparator/>
      </w:r>
    </w:p>
  </w:footnote>
  <w:footnote w:type="continuationNotice" w:id="1">
    <w:p w14:paraId="4E8B18BE" w14:textId="77777777" w:rsidR="00151723" w:rsidRDefault="001517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3467E"/>
    <w:multiLevelType w:val="hybridMultilevel"/>
    <w:tmpl w:val="87CC34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6084202"/>
    <w:multiLevelType w:val="hybridMultilevel"/>
    <w:tmpl w:val="FE8E22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F7C6305"/>
    <w:multiLevelType w:val="hybridMultilevel"/>
    <w:tmpl w:val="F07455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8E4AE6"/>
    <w:multiLevelType w:val="hybridMultilevel"/>
    <w:tmpl w:val="2172987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E0858FA"/>
    <w:multiLevelType w:val="hybridMultilevel"/>
    <w:tmpl w:val="03D677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332191"/>
    <w:multiLevelType w:val="hybridMultilevel"/>
    <w:tmpl w:val="C0368B6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FE40442"/>
    <w:multiLevelType w:val="multilevel"/>
    <w:tmpl w:val="0F80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34596"/>
    <w:multiLevelType w:val="hybridMultilevel"/>
    <w:tmpl w:val="95B4A4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A8"/>
    <w:rsid w:val="000011D3"/>
    <w:rsid w:val="00001725"/>
    <w:rsid w:val="0000205D"/>
    <w:rsid w:val="00006710"/>
    <w:rsid w:val="00015E59"/>
    <w:rsid w:val="00025BD9"/>
    <w:rsid w:val="00025F12"/>
    <w:rsid w:val="000322C4"/>
    <w:rsid w:val="00032F96"/>
    <w:rsid w:val="0003365F"/>
    <w:rsid w:val="00041BC5"/>
    <w:rsid w:val="00045E2B"/>
    <w:rsid w:val="00054E92"/>
    <w:rsid w:val="0006140F"/>
    <w:rsid w:val="00063A92"/>
    <w:rsid w:val="00065DB1"/>
    <w:rsid w:val="000729AA"/>
    <w:rsid w:val="00077154"/>
    <w:rsid w:val="00080A41"/>
    <w:rsid w:val="0008297B"/>
    <w:rsid w:val="00084BD6"/>
    <w:rsid w:val="00091C5D"/>
    <w:rsid w:val="00092EB2"/>
    <w:rsid w:val="00093394"/>
    <w:rsid w:val="00097529"/>
    <w:rsid w:val="00097EA3"/>
    <w:rsid w:val="000A0F01"/>
    <w:rsid w:val="000A4E37"/>
    <w:rsid w:val="000A555E"/>
    <w:rsid w:val="000B36EA"/>
    <w:rsid w:val="000B3A8E"/>
    <w:rsid w:val="000B5CFC"/>
    <w:rsid w:val="000B6A06"/>
    <w:rsid w:val="000C6365"/>
    <w:rsid w:val="000C6E45"/>
    <w:rsid w:val="000C7138"/>
    <w:rsid w:val="000C7312"/>
    <w:rsid w:val="000D1D8D"/>
    <w:rsid w:val="000D7EB3"/>
    <w:rsid w:val="000E0782"/>
    <w:rsid w:val="000E2A09"/>
    <w:rsid w:val="000E4FAF"/>
    <w:rsid w:val="000F380B"/>
    <w:rsid w:val="000F3DA7"/>
    <w:rsid w:val="000F3FFE"/>
    <w:rsid w:val="001010AE"/>
    <w:rsid w:val="00115DD7"/>
    <w:rsid w:val="001166E6"/>
    <w:rsid w:val="0011707F"/>
    <w:rsid w:val="00117596"/>
    <w:rsid w:val="00121DA8"/>
    <w:rsid w:val="00133409"/>
    <w:rsid w:val="001343F4"/>
    <w:rsid w:val="001407C0"/>
    <w:rsid w:val="001423AE"/>
    <w:rsid w:val="00146C65"/>
    <w:rsid w:val="00151723"/>
    <w:rsid w:val="0015532F"/>
    <w:rsid w:val="0015579E"/>
    <w:rsid w:val="001603B6"/>
    <w:rsid w:val="00160B13"/>
    <w:rsid w:val="00161289"/>
    <w:rsid w:val="00161D5D"/>
    <w:rsid w:val="00164F6A"/>
    <w:rsid w:val="00166FE5"/>
    <w:rsid w:val="001729F5"/>
    <w:rsid w:val="001748B7"/>
    <w:rsid w:val="001804A8"/>
    <w:rsid w:val="00181A43"/>
    <w:rsid w:val="001934D5"/>
    <w:rsid w:val="00193FC5"/>
    <w:rsid w:val="001961FE"/>
    <w:rsid w:val="00197562"/>
    <w:rsid w:val="001A048C"/>
    <w:rsid w:val="001A1107"/>
    <w:rsid w:val="001A1B9E"/>
    <w:rsid w:val="001A300B"/>
    <w:rsid w:val="001A508B"/>
    <w:rsid w:val="001A56C0"/>
    <w:rsid w:val="001A7A3C"/>
    <w:rsid w:val="001A7C5F"/>
    <w:rsid w:val="001A7ED8"/>
    <w:rsid w:val="001C2661"/>
    <w:rsid w:val="001D09E6"/>
    <w:rsid w:val="001D7F32"/>
    <w:rsid w:val="001E0832"/>
    <w:rsid w:val="001E0E40"/>
    <w:rsid w:val="001E5D1A"/>
    <w:rsid w:val="001F093A"/>
    <w:rsid w:val="001F376C"/>
    <w:rsid w:val="001F5D13"/>
    <w:rsid w:val="002006E4"/>
    <w:rsid w:val="00201A6D"/>
    <w:rsid w:val="00207DFA"/>
    <w:rsid w:val="002125FF"/>
    <w:rsid w:val="002209A2"/>
    <w:rsid w:val="002234D3"/>
    <w:rsid w:val="002239C7"/>
    <w:rsid w:val="00230E80"/>
    <w:rsid w:val="002424EA"/>
    <w:rsid w:val="002509C2"/>
    <w:rsid w:val="00260372"/>
    <w:rsid w:val="00260DD7"/>
    <w:rsid w:val="00263171"/>
    <w:rsid w:val="00265166"/>
    <w:rsid w:val="002719EC"/>
    <w:rsid w:val="00273099"/>
    <w:rsid w:val="0027458C"/>
    <w:rsid w:val="00274DCA"/>
    <w:rsid w:val="002777BC"/>
    <w:rsid w:val="00280260"/>
    <w:rsid w:val="00280759"/>
    <w:rsid w:val="002840F3"/>
    <w:rsid w:val="0028532B"/>
    <w:rsid w:val="00290F56"/>
    <w:rsid w:val="002B64A5"/>
    <w:rsid w:val="002C06DD"/>
    <w:rsid w:val="002C211C"/>
    <w:rsid w:val="002D5219"/>
    <w:rsid w:val="002D5D9E"/>
    <w:rsid w:val="002E01BF"/>
    <w:rsid w:val="002E5AEB"/>
    <w:rsid w:val="002F24CD"/>
    <w:rsid w:val="002F6591"/>
    <w:rsid w:val="0030267D"/>
    <w:rsid w:val="003103CA"/>
    <w:rsid w:val="00322768"/>
    <w:rsid w:val="003327B8"/>
    <w:rsid w:val="00342CE4"/>
    <w:rsid w:val="003449EE"/>
    <w:rsid w:val="0034771E"/>
    <w:rsid w:val="00361B67"/>
    <w:rsid w:val="0036484E"/>
    <w:rsid w:val="00372FED"/>
    <w:rsid w:val="0037450E"/>
    <w:rsid w:val="00374BFD"/>
    <w:rsid w:val="003766B1"/>
    <w:rsid w:val="0038354B"/>
    <w:rsid w:val="003909A3"/>
    <w:rsid w:val="003A7C60"/>
    <w:rsid w:val="003B1C90"/>
    <w:rsid w:val="003B62CC"/>
    <w:rsid w:val="003C1526"/>
    <w:rsid w:val="003C535D"/>
    <w:rsid w:val="003D58CD"/>
    <w:rsid w:val="003E34F9"/>
    <w:rsid w:val="003E54B4"/>
    <w:rsid w:val="003F3D91"/>
    <w:rsid w:val="003F5E0B"/>
    <w:rsid w:val="004113A0"/>
    <w:rsid w:val="00412F02"/>
    <w:rsid w:val="00416B8D"/>
    <w:rsid w:val="00425702"/>
    <w:rsid w:val="00431C33"/>
    <w:rsid w:val="0043406C"/>
    <w:rsid w:val="0043436C"/>
    <w:rsid w:val="004372ED"/>
    <w:rsid w:val="00441197"/>
    <w:rsid w:val="004421D1"/>
    <w:rsid w:val="00442BCC"/>
    <w:rsid w:val="00443631"/>
    <w:rsid w:val="00443F29"/>
    <w:rsid w:val="004520F4"/>
    <w:rsid w:val="0045683F"/>
    <w:rsid w:val="004576B3"/>
    <w:rsid w:val="004635D5"/>
    <w:rsid w:val="0046529A"/>
    <w:rsid w:val="0047009D"/>
    <w:rsid w:val="00477007"/>
    <w:rsid w:val="004836CD"/>
    <w:rsid w:val="00483DC9"/>
    <w:rsid w:val="00484DFA"/>
    <w:rsid w:val="00486AD5"/>
    <w:rsid w:val="00487AAB"/>
    <w:rsid w:val="004930AA"/>
    <w:rsid w:val="00495ACA"/>
    <w:rsid w:val="00495BD9"/>
    <w:rsid w:val="004A62E4"/>
    <w:rsid w:val="004B2D33"/>
    <w:rsid w:val="004B419C"/>
    <w:rsid w:val="004B6894"/>
    <w:rsid w:val="004E0C42"/>
    <w:rsid w:val="004E7D7E"/>
    <w:rsid w:val="004F1FD9"/>
    <w:rsid w:val="004F7FC5"/>
    <w:rsid w:val="005001E9"/>
    <w:rsid w:val="005040A2"/>
    <w:rsid w:val="00504B5C"/>
    <w:rsid w:val="0051188E"/>
    <w:rsid w:val="00511FD5"/>
    <w:rsid w:val="00515256"/>
    <w:rsid w:val="005209CE"/>
    <w:rsid w:val="00522DFC"/>
    <w:rsid w:val="00533F40"/>
    <w:rsid w:val="00536660"/>
    <w:rsid w:val="005528C5"/>
    <w:rsid w:val="00555D9E"/>
    <w:rsid w:val="00561B64"/>
    <w:rsid w:val="00565C0C"/>
    <w:rsid w:val="0057414C"/>
    <w:rsid w:val="0057470B"/>
    <w:rsid w:val="00576D65"/>
    <w:rsid w:val="00580FB6"/>
    <w:rsid w:val="00593799"/>
    <w:rsid w:val="00593C26"/>
    <w:rsid w:val="00594A7C"/>
    <w:rsid w:val="00594E1B"/>
    <w:rsid w:val="00595187"/>
    <w:rsid w:val="00595F4A"/>
    <w:rsid w:val="005973DE"/>
    <w:rsid w:val="005A1A73"/>
    <w:rsid w:val="005A440F"/>
    <w:rsid w:val="005A44CE"/>
    <w:rsid w:val="005B27AB"/>
    <w:rsid w:val="005B4922"/>
    <w:rsid w:val="005D45B4"/>
    <w:rsid w:val="005D50E2"/>
    <w:rsid w:val="005E4A51"/>
    <w:rsid w:val="005E4D50"/>
    <w:rsid w:val="005E6F3A"/>
    <w:rsid w:val="005F5253"/>
    <w:rsid w:val="005F6250"/>
    <w:rsid w:val="006077E4"/>
    <w:rsid w:val="00611CAF"/>
    <w:rsid w:val="00612F4F"/>
    <w:rsid w:val="00614E5D"/>
    <w:rsid w:val="0061532A"/>
    <w:rsid w:val="00620AB7"/>
    <w:rsid w:val="00632C2E"/>
    <w:rsid w:val="00637805"/>
    <w:rsid w:val="006452FD"/>
    <w:rsid w:val="00647DBF"/>
    <w:rsid w:val="00652481"/>
    <w:rsid w:val="006626F0"/>
    <w:rsid w:val="00666AF1"/>
    <w:rsid w:val="0067135A"/>
    <w:rsid w:val="00672E5A"/>
    <w:rsid w:val="00680DD5"/>
    <w:rsid w:val="0068214D"/>
    <w:rsid w:val="00684665"/>
    <w:rsid w:val="0068480F"/>
    <w:rsid w:val="006B1B8F"/>
    <w:rsid w:val="006B3366"/>
    <w:rsid w:val="006B7901"/>
    <w:rsid w:val="006C0ED8"/>
    <w:rsid w:val="006C3616"/>
    <w:rsid w:val="006C42ED"/>
    <w:rsid w:val="006D1442"/>
    <w:rsid w:val="006D35A1"/>
    <w:rsid w:val="006D416A"/>
    <w:rsid w:val="006D5325"/>
    <w:rsid w:val="006E0A51"/>
    <w:rsid w:val="006E19A4"/>
    <w:rsid w:val="006F211A"/>
    <w:rsid w:val="006F56EE"/>
    <w:rsid w:val="00712FA5"/>
    <w:rsid w:val="007153CE"/>
    <w:rsid w:val="007158EF"/>
    <w:rsid w:val="007171AE"/>
    <w:rsid w:val="007206A0"/>
    <w:rsid w:val="0073469D"/>
    <w:rsid w:val="00737327"/>
    <w:rsid w:val="00740FC9"/>
    <w:rsid w:val="00750568"/>
    <w:rsid w:val="00751475"/>
    <w:rsid w:val="00752933"/>
    <w:rsid w:val="00754356"/>
    <w:rsid w:val="00755ABA"/>
    <w:rsid w:val="007563AF"/>
    <w:rsid w:val="007627DA"/>
    <w:rsid w:val="007A7E05"/>
    <w:rsid w:val="007B112E"/>
    <w:rsid w:val="007D6F1C"/>
    <w:rsid w:val="007E10BD"/>
    <w:rsid w:val="007E3BD5"/>
    <w:rsid w:val="007F65A6"/>
    <w:rsid w:val="00802F8E"/>
    <w:rsid w:val="00814AC5"/>
    <w:rsid w:val="008162CD"/>
    <w:rsid w:val="00822615"/>
    <w:rsid w:val="00823533"/>
    <w:rsid w:val="00826329"/>
    <w:rsid w:val="00831D1F"/>
    <w:rsid w:val="00833689"/>
    <w:rsid w:val="00834BE0"/>
    <w:rsid w:val="00834E72"/>
    <w:rsid w:val="0083512A"/>
    <w:rsid w:val="008407A7"/>
    <w:rsid w:val="00843BC2"/>
    <w:rsid w:val="0085617B"/>
    <w:rsid w:val="00866329"/>
    <w:rsid w:val="00872EB0"/>
    <w:rsid w:val="0087554B"/>
    <w:rsid w:val="00877B32"/>
    <w:rsid w:val="00883134"/>
    <w:rsid w:val="008870A8"/>
    <w:rsid w:val="008A2692"/>
    <w:rsid w:val="008A703E"/>
    <w:rsid w:val="008A75F3"/>
    <w:rsid w:val="008A79B3"/>
    <w:rsid w:val="008B0284"/>
    <w:rsid w:val="008B4E86"/>
    <w:rsid w:val="008C2575"/>
    <w:rsid w:val="008C768C"/>
    <w:rsid w:val="008D7256"/>
    <w:rsid w:val="008E0350"/>
    <w:rsid w:val="008E0DCC"/>
    <w:rsid w:val="008E42BD"/>
    <w:rsid w:val="008E4F12"/>
    <w:rsid w:val="008F24C9"/>
    <w:rsid w:val="008F336A"/>
    <w:rsid w:val="00900912"/>
    <w:rsid w:val="0090120F"/>
    <w:rsid w:val="00901FED"/>
    <w:rsid w:val="00904C2A"/>
    <w:rsid w:val="009118CA"/>
    <w:rsid w:val="009139A9"/>
    <w:rsid w:val="00917196"/>
    <w:rsid w:val="009204F1"/>
    <w:rsid w:val="00920D70"/>
    <w:rsid w:val="0093017F"/>
    <w:rsid w:val="00932D16"/>
    <w:rsid w:val="00936B69"/>
    <w:rsid w:val="00940AA6"/>
    <w:rsid w:val="00942151"/>
    <w:rsid w:val="00945860"/>
    <w:rsid w:val="00946A62"/>
    <w:rsid w:val="009536E7"/>
    <w:rsid w:val="009541F4"/>
    <w:rsid w:val="00960862"/>
    <w:rsid w:val="00965A90"/>
    <w:rsid w:val="009677E1"/>
    <w:rsid w:val="009679F7"/>
    <w:rsid w:val="00971D8F"/>
    <w:rsid w:val="009735E5"/>
    <w:rsid w:val="00986959"/>
    <w:rsid w:val="009874F1"/>
    <w:rsid w:val="00990EDC"/>
    <w:rsid w:val="00996B6D"/>
    <w:rsid w:val="00996C10"/>
    <w:rsid w:val="00997486"/>
    <w:rsid w:val="009A596D"/>
    <w:rsid w:val="009B3040"/>
    <w:rsid w:val="009C2267"/>
    <w:rsid w:val="009C2DB5"/>
    <w:rsid w:val="009C4178"/>
    <w:rsid w:val="009C5A94"/>
    <w:rsid w:val="009D0CA8"/>
    <w:rsid w:val="009D24B5"/>
    <w:rsid w:val="009D3107"/>
    <w:rsid w:val="009E14C9"/>
    <w:rsid w:val="009F2D54"/>
    <w:rsid w:val="009F491F"/>
    <w:rsid w:val="009F4CAB"/>
    <w:rsid w:val="009F7EC9"/>
    <w:rsid w:val="00A01CFF"/>
    <w:rsid w:val="00A05EE5"/>
    <w:rsid w:val="00A07EA9"/>
    <w:rsid w:val="00A12731"/>
    <w:rsid w:val="00A21E4C"/>
    <w:rsid w:val="00A22629"/>
    <w:rsid w:val="00A32566"/>
    <w:rsid w:val="00A42239"/>
    <w:rsid w:val="00A44F29"/>
    <w:rsid w:val="00A45B68"/>
    <w:rsid w:val="00A47381"/>
    <w:rsid w:val="00A529D7"/>
    <w:rsid w:val="00A5680D"/>
    <w:rsid w:val="00A56931"/>
    <w:rsid w:val="00A63068"/>
    <w:rsid w:val="00A719CB"/>
    <w:rsid w:val="00A72F50"/>
    <w:rsid w:val="00A9493F"/>
    <w:rsid w:val="00AA2292"/>
    <w:rsid w:val="00AA2F18"/>
    <w:rsid w:val="00AA3873"/>
    <w:rsid w:val="00AA4ACE"/>
    <w:rsid w:val="00AA4BFC"/>
    <w:rsid w:val="00AC6B9F"/>
    <w:rsid w:val="00AD27FD"/>
    <w:rsid w:val="00AD7113"/>
    <w:rsid w:val="00AE018E"/>
    <w:rsid w:val="00AE0A14"/>
    <w:rsid w:val="00AE16C6"/>
    <w:rsid w:val="00AE1A97"/>
    <w:rsid w:val="00AE58CE"/>
    <w:rsid w:val="00AF1EF3"/>
    <w:rsid w:val="00AF5EC8"/>
    <w:rsid w:val="00B05DEF"/>
    <w:rsid w:val="00B0604C"/>
    <w:rsid w:val="00B1559F"/>
    <w:rsid w:val="00B2025E"/>
    <w:rsid w:val="00B2346D"/>
    <w:rsid w:val="00B32059"/>
    <w:rsid w:val="00B37A7F"/>
    <w:rsid w:val="00B40E28"/>
    <w:rsid w:val="00B42383"/>
    <w:rsid w:val="00B42BB3"/>
    <w:rsid w:val="00B45F4D"/>
    <w:rsid w:val="00B47A9C"/>
    <w:rsid w:val="00B47B8A"/>
    <w:rsid w:val="00B50EE5"/>
    <w:rsid w:val="00B513F8"/>
    <w:rsid w:val="00B543F1"/>
    <w:rsid w:val="00B56CEC"/>
    <w:rsid w:val="00B65D41"/>
    <w:rsid w:val="00B709B0"/>
    <w:rsid w:val="00B750BD"/>
    <w:rsid w:val="00B770E3"/>
    <w:rsid w:val="00BA0B04"/>
    <w:rsid w:val="00BA0D52"/>
    <w:rsid w:val="00BA2EC6"/>
    <w:rsid w:val="00BA6B2C"/>
    <w:rsid w:val="00BA7619"/>
    <w:rsid w:val="00BB084F"/>
    <w:rsid w:val="00BB1EAB"/>
    <w:rsid w:val="00BB6EB6"/>
    <w:rsid w:val="00BC1843"/>
    <w:rsid w:val="00BC1E81"/>
    <w:rsid w:val="00BD1888"/>
    <w:rsid w:val="00BD52BA"/>
    <w:rsid w:val="00BE0424"/>
    <w:rsid w:val="00BE41AF"/>
    <w:rsid w:val="00BE48BF"/>
    <w:rsid w:val="00BF01B8"/>
    <w:rsid w:val="00BF23F0"/>
    <w:rsid w:val="00BF75B1"/>
    <w:rsid w:val="00C0276D"/>
    <w:rsid w:val="00C02D0E"/>
    <w:rsid w:val="00C0312D"/>
    <w:rsid w:val="00C04E9A"/>
    <w:rsid w:val="00C15DBE"/>
    <w:rsid w:val="00C16CCE"/>
    <w:rsid w:val="00C21EDB"/>
    <w:rsid w:val="00C235A4"/>
    <w:rsid w:val="00C25819"/>
    <w:rsid w:val="00C25F08"/>
    <w:rsid w:val="00C33E6B"/>
    <w:rsid w:val="00C34C83"/>
    <w:rsid w:val="00C36FCD"/>
    <w:rsid w:val="00C47ED2"/>
    <w:rsid w:val="00C5145F"/>
    <w:rsid w:val="00C54A12"/>
    <w:rsid w:val="00C57389"/>
    <w:rsid w:val="00C6665F"/>
    <w:rsid w:val="00C71C4B"/>
    <w:rsid w:val="00C80027"/>
    <w:rsid w:val="00C85A7A"/>
    <w:rsid w:val="00C90B6B"/>
    <w:rsid w:val="00C92D92"/>
    <w:rsid w:val="00CA0AF3"/>
    <w:rsid w:val="00CA1856"/>
    <w:rsid w:val="00CA7488"/>
    <w:rsid w:val="00CB233B"/>
    <w:rsid w:val="00CB2DD6"/>
    <w:rsid w:val="00CB4033"/>
    <w:rsid w:val="00CB450D"/>
    <w:rsid w:val="00CC5EA2"/>
    <w:rsid w:val="00CD0A2F"/>
    <w:rsid w:val="00CD41FC"/>
    <w:rsid w:val="00CD59A1"/>
    <w:rsid w:val="00CD6C87"/>
    <w:rsid w:val="00CD7A9C"/>
    <w:rsid w:val="00CE1F5C"/>
    <w:rsid w:val="00CF2026"/>
    <w:rsid w:val="00D0294B"/>
    <w:rsid w:val="00D04F5B"/>
    <w:rsid w:val="00D05621"/>
    <w:rsid w:val="00D0746F"/>
    <w:rsid w:val="00D10714"/>
    <w:rsid w:val="00D17113"/>
    <w:rsid w:val="00D21DC5"/>
    <w:rsid w:val="00D22868"/>
    <w:rsid w:val="00D2295B"/>
    <w:rsid w:val="00D234D4"/>
    <w:rsid w:val="00D4043B"/>
    <w:rsid w:val="00D42E25"/>
    <w:rsid w:val="00D5146E"/>
    <w:rsid w:val="00D560E5"/>
    <w:rsid w:val="00D600F0"/>
    <w:rsid w:val="00D650ED"/>
    <w:rsid w:val="00D70DC6"/>
    <w:rsid w:val="00D720D6"/>
    <w:rsid w:val="00D729D2"/>
    <w:rsid w:val="00D80216"/>
    <w:rsid w:val="00D83F70"/>
    <w:rsid w:val="00DA749C"/>
    <w:rsid w:val="00DB0B3C"/>
    <w:rsid w:val="00DB28D1"/>
    <w:rsid w:val="00DB73DF"/>
    <w:rsid w:val="00DC34D9"/>
    <w:rsid w:val="00DC51C5"/>
    <w:rsid w:val="00DD325C"/>
    <w:rsid w:val="00DD596B"/>
    <w:rsid w:val="00DF4A61"/>
    <w:rsid w:val="00E07F70"/>
    <w:rsid w:val="00E11A71"/>
    <w:rsid w:val="00E162EF"/>
    <w:rsid w:val="00E17017"/>
    <w:rsid w:val="00E23A0E"/>
    <w:rsid w:val="00E26DD3"/>
    <w:rsid w:val="00E334DE"/>
    <w:rsid w:val="00E40FCC"/>
    <w:rsid w:val="00E418A5"/>
    <w:rsid w:val="00E42613"/>
    <w:rsid w:val="00E4355E"/>
    <w:rsid w:val="00E44F17"/>
    <w:rsid w:val="00E50EDB"/>
    <w:rsid w:val="00E532EE"/>
    <w:rsid w:val="00E5403E"/>
    <w:rsid w:val="00E707C4"/>
    <w:rsid w:val="00E716FB"/>
    <w:rsid w:val="00E8037F"/>
    <w:rsid w:val="00E826B2"/>
    <w:rsid w:val="00E84A2C"/>
    <w:rsid w:val="00E85433"/>
    <w:rsid w:val="00E86793"/>
    <w:rsid w:val="00E86F94"/>
    <w:rsid w:val="00EB1192"/>
    <w:rsid w:val="00EB1ED5"/>
    <w:rsid w:val="00EB2928"/>
    <w:rsid w:val="00EB394B"/>
    <w:rsid w:val="00EB45D4"/>
    <w:rsid w:val="00EB774F"/>
    <w:rsid w:val="00EC6365"/>
    <w:rsid w:val="00EE4317"/>
    <w:rsid w:val="00EE5DA9"/>
    <w:rsid w:val="00EE6813"/>
    <w:rsid w:val="00EE73FF"/>
    <w:rsid w:val="00EF3853"/>
    <w:rsid w:val="00F010F3"/>
    <w:rsid w:val="00F01BF9"/>
    <w:rsid w:val="00F02057"/>
    <w:rsid w:val="00F03412"/>
    <w:rsid w:val="00F0534E"/>
    <w:rsid w:val="00F05471"/>
    <w:rsid w:val="00F20193"/>
    <w:rsid w:val="00F223C4"/>
    <w:rsid w:val="00F27B04"/>
    <w:rsid w:val="00F36391"/>
    <w:rsid w:val="00F44B82"/>
    <w:rsid w:val="00F5175F"/>
    <w:rsid w:val="00F54E0F"/>
    <w:rsid w:val="00F5532B"/>
    <w:rsid w:val="00F57DEC"/>
    <w:rsid w:val="00F7277E"/>
    <w:rsid w:val="00F8524E"/>
    <w:rsid w:val="00F86FCC"/>
    <w:rsid w:val="00F90597"/>
    <w:rsid w:val="00F91A86"/>
    <w:rsid w:val="00F96C8A"/>
    <w:rsid w:val="00FA5CAE"/>
    <w:rsid w:val="00FB1775"/>
    <w:rsid w:val="00FB462D"/>
    <w:rsid w:val="00FB64ED"/>
    <w:rsid w:val="00FB7B6C"/>
    <w:rsid w:val="00FC075C"/>
    <w:rsid w:val="00FC0A8F"/>
    <w:rsid w:val="00FC5A05"/>
    <w:rsid w:val="00FD1C94"/>
    <w:rsid w:val="00FE3585"/>
    <w:rsid w:val="00FE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61AD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73DE"/>
    <w:rPr>
      <w:rFonts w:ascii="Tahoma" w:hAnsi="Tahoma" w:cs="Tahoma"/>
      <w:sz w:val="16"/>
      <w:szCs w:val="16"/>
    </w:rPr>
  </w:style>
  <w:style w:type="paragraph" w:styleId="Footer">
    <w:name w:val="footer"/>
    <w:basedOn w:val="Normal"/>
    <w:rsid w:val="001F093A"/>
    <w:pPr>
      <w:tabs>
        <w:tab w:val="center" w:pos="4320"/>
        <w:tab w:val="right" w:pos="8640"/>
      </w:tabs>
    </w:pPr>
  </w:style>
  <w:style w:type="character" w:styleId="PageNumber">
    <w:name w:val="page number"/>
    <w:basedOn w:val="DefaultParagraphFont"/>
    <w:rsid w:val="001F093A"/>
  </w:style>
  <w:style w:type="character" w:styleId="CommentReference">
    <w:name w:val="annotation reference"/>
    <w:rsid w:val="005209CE"/>
    <w:rPr>
      <w:sz w:val="16"/>
      <w:szCs w:val="16"/>
    </w:rPr>
  </w:style>
  <w:style w:type="paragraph" w:styleId="CommentText">
    <w:name w:val="annotation text"/>
    <w:basedOn w:val="Normal"/>
    <w:link w:val="CommentTextChar"/>
    <w:rsid w:val="005209CE"/>
    <w:rPr>
      <w:sz w:val="20"/>
      <w:szCs w:val="20"/>
    </w:rPr>
  </w:style>
  <w:style w:type="character" w:customStyle="1" w:styleId="CommentTextChar">
    <w:name w:val="Comment Text Char"/>
    <w:basedOn w:val="DefaultParagraphFont"/>
    <w:link w:val="CommentText"/>
    <w:rsid w:val="005209CE"/>
  </w:style>
  <w:style w:type="paragraph" w:styleId="CommentSubject">
    <w:name w:val="annotation subject"/>
    <w:basedOn w:val="CommentText"/>
    <w:next w:val="CommentText"/>
    <w:link w:val="CommentSubjectChar"/>
    <w:rsid w:val="005209CE"/>
    <w:rPr>
      <w:b/>
      <w:bCs/>
    </w:rPr>
  </w:style>
  <w:style w:type="character" w:customStyle="1" w:styleId="CommentSubjectChar">
    <w:name w:val="Comment Subject Char"/>
    <w:link w:val="CommentSubject"/>
    <w:rsid w:val="005209CE"/>
    <w:rPr>
      <w:b/>
      <w:bCs/>
    </w:rPr>
  </w:style>
  <w:style w:type="paragraph" w:styleId="Revision">
    <w:name w:val="Revision"/>
    <w:hidden/>
    <w:uiPriority w:val="99"/>
    <w:semiHidden/>
    <w:rsid w:val="005209CE"/>
    <w:rPr>
      <w:sz w:val="24"/>
      <w:szCs w:val="24"/>
    </w:rPr>
  </w:style>
  <w:style w:type="paragraph" w:styleId="EndnoteText">
    <w:name w:val="endnote text"/>
    <w:basedOn w:val="Normal"/>
    <w:link w:val="EndnoteTextChar"/>
    <w:rsid w:val="00160B13"/>
    <w:rPr>
      <w:sz w:val="20"/>
      <w:szCs w:val="20"/>
    </w:rPr>
  </w:style>
  <w:style w:type="character" w:customStyle="1" w:styleId="EndnoteTextChar">
    <w:name w:val="Endnote Text Char"/>
    <w:basedOn w:val="DefaultParagraphFont"/>
    <w:link w:val="EndnoteText"/>
    <w:rsid w:val="00160B13"/>
  </w:style>
  <w:style w:type="character" w:styleId="EndnoteReference">
    <w:name w:val="endnote reference"/>
    <w:rsid w:val="00160B13"/>
    <w:rPr>
      <w:vertAlign w:val="superscript"/>
    </w:rPr>
  </w:style>
  <w:style w:type="character" w:styleId="Hyperlink">
    <w:name w:val="Hyperlink"/>
    <w:rsid w:val="00207DFA"/>
    <w:rPr>
      <w:color w:val="0000FF"/>
      <w:u w:val="single"/>
    </w:rPr>
  </w:style>
  <w:style w:type="paragraph" w:styleId="Header">
    <w:name w:val="header"/>
    <w:basedOn w:val="Normal"/>
    <w:link w:val="HeaderChar"/>
    <w:rsid w:val="000D1D8D"/>
    <w:pPr>
      <w:tabs>
        <w:tab w:val="center" w:pos="4680"/>
        <w:tab w:val="right" w:pos="9360"/>
      </w:tabs>
    </w:pPr>
  </w:style>
  <w:style w:type="character" w:customStyle="1" w:styleId="HeaderChar">
    <w:name w:val="Header Char"/>
    <w:basedOn w:val="DefaultParagraphFont"/>
    <w:link w:val="Header"/>
    <w:rsid w:val="000D1D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73DE"/>
    <w:rPr>
      <w:rFonts w:ascii="Tahoma" w:hAnsi="Tahoma" w:cs="Tahoma"/>
      <w:sz w:val="16"/>
      <w:szCs w:val="16"/>
    </w:rPr>
  </w:style>
  <w:style w:type="paragraph" w:styleId="Footer">
    <w:name w:val="footer"/>
    <w:basedOn w:val="Normal"/>
    <w:rsid w:val="001F093A"/>
    <w:pPr>
      <w:tabs>
        <w:tab w:val="center" w:pos="4320"/>
        <w:tab w:val="right" w:pos="8640"/>
      </w:tabs>
    </w:pPr>
  </w:style>
  <w:style w:type="character" w:styleId="PageNumber">
    <w:name w:val="page number"/>
    <w:basedOn w:val="DefaultParagraphFont"/>
    <w:rsid w:val="001F093A"/>
  </w:style>
  <w:style w:type="character" w:styleId="CommentReference">
    <w:name w:val="annotation reference"/>
    <w:rsid w:val="005209CE"/>
    <w:rPr>
      <w:sz w:val="16"/>
      <w:szCs w:val="16"/>
    </w:rPr>
  </w:style>
  <w:style w:type="paragraph" w:styleId="CommentText">
    <w:name w:val="annotation text"/>
    <w:basedOn w:val="Normal"/>
    <w:link w:val="CommentTextChar"/>
    <w:rsid w:val="005209CE"/>
    <w:rPr>
      <w:sz w:val="20"/>
      <w:szCs w:val="20"/>
    </w:rPr>
  </w:style>
  <w:style w:type="character" w:customStyle="1" w:styleId="CommentTextChar">
    <w:name w:val="Comment Text Char"/>
    <w:basedOn w:val="DefaultParagraphFont"/>
    <w:link w:val="CommentText"/>
    <w:rsid w:val="005209CE"/>
  </w:style>
  <w:style w:type="paragraph" w:styleId="CommentSubject">
    <w:name w:val="annotation subject"/>
    <w:basedOn w:val="CommentText"/>
    <w:next w:val="CommentText"/>
    <w:link w:val="CommentSubjectChar"/>
    <w:rsid w:val="005209CE"/>
    <w:rPr>
      <w:b/>
      <w:bCs/>
    </w:rPr>
  </w:style>
  <w:style w:type="character" w:customStyle="1" w:styleId="CommentSubjectChar">
    <w:name w:val="Comment Subject Char"/>
    <w:link w:val="CommentSubject"/>
    <w:rsid w:val="005209CE"/>
    <w:rPr>
      <w:b/>
      <w:bCs/>
    </w:rPr>
  </w:style>
  <w:style w:type="paragraph" w:styleId="Revision">
    <w:name w:val="Revision"/>
    <w:hidden/>
    <w:uiPriority w:val="99"/>
    <w:semiHidden/>
    <w:rsid w:val="005209CE"/>
    <w:rPr>
      <w:sz w:val="24"/>
      <w:szCs w:val="24"/>
    </w:rPr>
  </w:style>
  <w:style w:type="paragraph" w:styleId="EndnoteText">
    <w:name w:val="endnote text"/>
    <w:basedOn w:val="Normal"/>
    <w:link w:val="EndnoteTextChar"/>
    <w:rsid w:val="00160B13"/>
    <w:rPr>
      <w:sz w:val="20"/>
      <w:szCs w:val="20"/>
    </w:rPr>
  </w:style>
  <w:style w:type="character" w:customStyle="1" w:styleId="EndnoteTextChar">
    <w:name w:val="Endnote Text Char"/>
    <w:basedOn w:val="DefaultParagraphFont"/>
    <w:link w:val="EndnoteText"/>
    <w:rsid w:val="00160B13"/>
  </w:style>
  <w:style w:type="character" w:styleId="EndnoteReference">
    <w:name w:val="endnote reference"/>
    <w:rsid w:val="00160B13"/>
    <w:rPr>
      <w:vertAlign w:val="superscript"/>
    </w:rPr>
  </w:style>
  <w:style w:type="character" w:styleId="Hyperlink">
    <w:name w:val="Hyperlink"/>
    <w:rsid w:val="00207DFA"/>
    <w:rPr>
      <w:color w:val="0000FF"/>
      <w:u w:val="single"/>
    </w:rPr>
  </w:style>
  <w:style w:type="paragraph" w:styleId="Header">
    <w:name w:val="header"/>
    <w:basedOn w:val="Normal"/>
    <w:link w:val="HeaderChar"/>
    <w:rsid w:val="000D1D8D"/>
    <w:pPr>
      <w:tabs>
        <w:tab w:val="center" w:pos="4680"/>
        <w:tab w:val="right" w:pos="9360"/>
      </w:tabs>
    </w:pPr>
  </w:style>
  <w:style w:type="character" w:customStyle="1" w:styleId="HeaderChar">
    <w:name w:val="Header Char"/>
    <w:basedOn w:val="DefaultParagraphFont"/>
    <w:link w:val="Header"/>
    <w:rsid w:val="000D1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1053">
      <w:bodyDiv w:val="1"/>
      <w:marLeft w:val="0"/>
      <w:marRight w:val="0"/>
      <w:marTop w:val="0"/>
      <w:marBottom w:val="0"/>
      <w:divBdr>
        <w:top w:val="none" w:sz="0" w:space="0" w:color="auto"/>
        <w:left w:val="none" w:sz="0" w:space="0" w:color="auto"/>
        <w:bottom w:val="none" w:sz="0" w:space="0" w:color="auto"/>
        <w:right w:val="none" w:sz="0" w:space="0" w:color="auto"/>
      </w:divBdr>
    </w:div>
    <w:div w:id="942614710">
      <w:bodyDiv w:val="1"/>
      <w:marLeft w:val="0"/>
      <w:marRight w:val="0"/>
      <w:marTop w:val="0"/>
      <w:marBottom w:val="0"/>
      <w:divBdr>
        <w:top w:val="none" w:sz="0" w:space="0" w:color="auto"/>
        <w:left w:val="none" w:sz="0" w:space="0" w:color="auto"/>
        <w:bottom w:val="none" w:sz="0" w:space="0" w:color="auto"/>
        <w:right w:val="none" w:sz="0" w:space="0" w:color="auto"/>
      </w:divBdr>
    </w:div>
    <w:div w:id="124256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4C90-5921-4546-AE79-AAEE2914EE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B37AD7-FF70-46F8-9722-76922F38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2019-06-11T17:08:00Z</dcterms:created>
  <dcterms:modified xsi:type="dcterms:W3CDTF">2019-06-11T17:08:00Z</dcterms:modified>
</cp:coreProperties>
</file>