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E626A" w14:textId="77777777" w:rsidR="00EB625D" w:rsidRPr="006D05C3" w:rsidRDefault="00050BC5" w:rsidP="00D34AA4">
      <w:pPr>
        <w:pStyle w:val="H1Title"/>
        <w:spacing w:after="240"/>
        <w:jc w:val="center"/>
        <w:rPr>
          <w:color w:val="auto"/>
        </w:rPr>
      </w:pPr>
      <w:bookmarkStart w:id="0" w:name="_GoBack"/>
      <w:bookmarkEnd w:id="0"/>
      <w:r w:rsidRPr="006D05C3">
        <w:rPr>
          <w:color w:val="auto"/>
        </w:rPr>
        <w:t>Assessing Care and Health Outcomes Among Ryan White HIV/AIDS Program (RWHAP) Clients Who Do Not Receive RWHAP-Funded Outpatient Ambulatory Health Services (OAHS)</w:t>
      </w:r>
      <w:r w:rsidRPr="006D05C3">
        <w:rPr>
          <w:color w:val="auto"/>
        </w:rPr>
        <w:br/>
      </w:r>
      <w:r w:rsidRPr="006D05C3">
        <w:rPr>
          <w:color w:val="auto"/>
        </w:rPr>
        <w:br/>
        <w:t>OMB SUPPORTING STATEMENT</w:t>
      </w:r>
      <w:r w:rsidRPr="006D05C3">
        <w:rPr>
          <w:color w:val="auto"/>
        </w:rPr>
        <w:br/>
        <w:t>PART B</w:t>
      </w:r>
    </w:p>
    <w:p w14:paraId="34D3C6FC" w14:textId="2C2160A7" w:rsidR="004A2563" w:rsidRPr="006D05C3" w:rsidRDefault="00EB625D" w:rsidP="00D34AA4">
      <w:pPr>
        <w:pStyle w:val="H1Title"/>
        <w:spacing w:after="240"/>
        <w:jc w:val="center"/>
        <w:rPr>
          <w:color w:val="auto"/>
        </w:rPr>
      </w:pPr>
      <w:r w:rsidRPr="006D05C3">
        <w:rPr>
          <w:color w:val="auto"/>
          <w:sz w:val="32"/>
          <w:szCs w:val="32"/>
        </w:rPr>
        <w:t>OMB Control No. 0915-XXXX</w:t>
      </w:r>
      <w:r w:rsidR="00796139" w:rsidRPr="006D05C3">
        <w:rPr>
          <w:color w:val="auto"/>
        </w:rPr>
        <w:br/>
      </w:r>
      <w:r w:rsidR="00796139" w:rsidRPr="006D05C3">
        <w:rPr>
          <w:color w:val="auto"/>
        </w:rPr>
        <w:br/>
      </w:r>
      <w:r w:rsidR="00796139" w:rsidRPr="006D05C3">
        <w:rPr>
          <w:b/>
          <w:color w:val="auto"/>
        </w:rPr>
        <w:t>Collections of Information Employing Statistical Methods</w:t>
      </w:r>
      <w:r w:rsidR="004A2563" w:rsidRPr="006D05C3">
        <w:rPr>
          <w:b/>
          <w:color w:val="auto"/>
        </w:rPr>
        <w:br/>
      </w:r>
      <w:r w:rsidR="004A2563" w:rsidRPr="006D05C3">
        <w:rPr>
          <w:b/>
          <w:color w:val="auto"/>
        </w:rPr>
        <w:br/>
      </w:r>
      <w:r w:rsidR="00FB79AB">
        <w:rPr>
          <w:color w:val="auto"/>
        </w:rPr>
        <w:t xml:space="preserve">November </w:t>
      </w:r>
      <w:r w:rsidR="00B068B4">
        <w:rPr>
          <w:color w:val="auto"/>
        </w:rPr>
        <w:t>2019</w:t>
      </w:r>
    </w:p>
    <w:p w14:paraId="3B8571E9" w14:textId="77777777" w:rsidR="004A2563" w:rsidRPr="006D05C3" w:rsidRDefault="004A2563" w:rsidP="004A2563"/>
    <w:p w14:paraId="096FD29C" w14:textId="77777777" w:rsidR="004A2563" w:rsidRPr="006D05C3" w:rsidRDefault="004A2563" w:rsidP="004A2563">
      <w:pPr>
        <w:pStyle w:val="NormalSScontinued"/>
        <w:spacing w:after="0"/>
        <w:jc w:val="center"/>
        <w:rPr>
          <w:rFonts w:ascii="Arial" w:hAnsi="Arial" w:cs="Arial"/>
        </w:rPr>
      </w:pPr>
      <w:r w:rsidRPr="006D05C3">
        <w:rPr>
          <w:rFonts w:ascii="Arial" w:hAnsi="Arial" w:cs="Arial"/>
        </w:rPr>
        <w:t>Submitted By:</w:t>
      </w:r>
      <w:r w:rsidRPr="006D05C3">
        <w:rPr>
          <w:rFonts w:ascii="Arial" w:hAnsi="Arial" w:cs="Arial"/>
        </w:rPr>
        <w:br/>
        <w:t xml:space="preserve">HIV/AIDS Bureau </w:t>
      </w:r>
    </w:p>
    <w:p w14:paraId="21EF71C8" w14:textId="77777777" w:rsidR="004A2563" w:rsidRPr="006D05C3" w:rsidRDefault="004A2563" w:rsidP="004A2563">
      <w:pPr>
        <w:pStyle w:val="NormalSScontinued"/>
        <w:spacing w:after="0"/>
        <w:jc w:val="center"/>
        <w:rPr>
          <w:rFonts w:ascii="Arial" w:hAnsi="Arial" w:cs="Arial"/>
        </w:rPr>
      </w:pPr>
      <w:r w:rsidRPr="006D05C3">
        <w:rPr>
          <w:rFonts w:ascii="Arial" w:hAnsi="Arial" w:cs="Arial"/>
        </w:rPr>
        <w:t xml:space="preserve">Health Resources and Services Administration </w:t>
      </w:r>
    </w:p>
    <w:p w14:paraId="79ECC797" w14:textId="77777777" w:rsidR="004A2563" w:rsidRPr="006D05C3" w:rsidRDefault="004A2563" w:rsidP="004A2563">
      <w:pPr>
        <w:pStyle w:val="NormalSScontinued"/>
        <w:spacing w:after="0"/>
        <w:jc w:val="center"/>
        <w:rPr>
          <w:rFonts w:ascii="Arial" w:hAnsi="Arial" w:cs="Arial"/>
        </w:rPr>
      </w:pPr>
      <w:r w:rsidRPr="006D05C3">
        <w:rPr>
          <w:rFonts w:ascii="Arial" w:hAnsi="Arial" w:cs="Arial"/>
        </w:rPr>
        <w:t>U.S. Department of Health and Human Services</w:t>
      </w:r>
    </w:p>
    <w:p w14:paraId="0BB1E611" w14:textId="77777777" w:rsidR="004A2563" w:rsidRPr="006D05C3" w:rsidRDefault="004A2563" w:rsidP="004A2563">
      <w:pPr>
        <w:spacing w:line="240" w:lineRule="auto"/>
        <w:jc w:val="center"/>
        <w:rPr>
          <w:rFonts w:ascii="Arial" w:hAnsi="Arial" w:cs="Arial"/>
        </w:rPr>
      </w:pPr>
      <w:r w:rsidRPr="006D05C3">
        <w:rPr>
          <w:rFonts w:ascii="Arial" w:hAnsi="Arial" w:cs="Arial"/>
        </w:rPr>
        <w:t>5600 Fishers Lane</w:t>
      </w:r>
    </w:p>
    <w:p w14:paraId="42D3D78B" w14:textId="77777777" w:rsidR="004A2563" w:rsidRPr="006D05C3" w:rsidRDefault="004A2563" w:rsidP="004A2563">
      <w:pPr>
        <w:spacing w:line="240" w:lineRule="auto"/>
        <w:jc w:val="center"/>
        <w:rPr>
          <w:rFonts w:ascii="Arial" w:hAnsi="Arial" w:cs="Arial"/>
        </w:rPr>
      </w:pPr>
      <w:r w:rsidRPr="006D05C3">
        <w:rPr>
          <w:rFonts w:ascii="Arial" w:hAnsi="Arial" w:cs="Arial"/>
        </w:rPr>
        <w:t>Bldg: 09N190B</w:t>
      </w:r>
    </w:p>
    <w:p w14:paraId="5400C045" w14:textId="77777777" w:rsidR="004A2563" w:rsidRPr="006D05C3" w:rsidRDefault="004A2563" w:rsidP="004A2563">
      <w:pPr>
        <w:spacing w:line="240" w:lineRule="auto"/>
        <w:jc w:val="center"/>
        <w:rPr>
          <w:rFonts w:ascii="Arial" w:hAnsi="Arial" w:cs="Arial"/>
        </w:rPr>
      </w:pPr>
      <w:r w:rsidRPr="006D05C3">
        <w:rPr>
          <w:rFonts w:ascii="Arial" w:hAnsi="Arial" w:cs="Arial"/>
        </w:rPr>
        <w:t>Rockville, MD 20857</w:t>
      </w:r>
      <w:r w:rsidRPr="006D05C3">
        <w:rPr>
          <w:rFonts w:ascii="Arial" w:hAnsi="Arial" w:cs="Arial"/>
        </w:rPr>
        <w:br/>
      </w:r>
    </w:p>
    <w:p w14:paraId="3BDCE990" w14:textId="77777777" w:rsidR="004A2563" w:rsidRPr="006D05C3" w:rsidRDefault="004A2563" w:rsidP="004A2563">
      <w:pPr>
        <w:spacing w:line="240" w:lineRule="auto"/>
        <w:jc w:val="center"/>
        <w:rPr>
          <w:rFonts w:ascii="Arial" w:hAnsi="Arial" w:cs="Arial"/>
        </w:rPr>
      </w:pPr>
      <w:r w:rsidRPr="006D05C3">
        <w:rPr>
          <w:rFonts w:ascii="Arial" w:hAnsi="Arial" w:cs="Arial"/>
        </w:rPr>
        <w:t>Project Officer:</w:t>
      </w:r>
      <w:r w:rsidRPr="006D05C3">
        <w:t xml:space="preserve"> </w:t>
      </w:r>
      <w:r w:rsidRPr="006D05C3">
        <w:rPr>
          <w:rFonts w:ascii="Arial" w:hAnsi="Arial" w:cs="Arial"/>
        </w:rPr>
        <w:t>Robert Mills</w:t>
      </w:r>
    </w:p>
    <w:p w14:paraId="62B89879" w14:textId="3B1B0CCA" w:rsidR="00050BC5" w:rsidRPr="006D05C3" w:rsidRDefault="00050BC5" w:rsidP="00050BC5">
      <w:pPr>
        <w:pStyle w:val="H1Title"/>
        <w:spacing w:before="1200" w:after="240"/>
        <w:jc w:val="center"/>
        <w:rPr>
          <w:color w:val="auto"/>
        </w:rPr>
      </w:pPr>
    </w:p>
    <w:p w14:paraId="5EBE476D" w14:textId="77777777" w:rsidR="00050BC5" w:rsidRPr="006D05C3" w:rsidRDefault="00050BC5" w:rsidP="00050BC5">
      <w:pPr>
        <w:pStyle w:val="H1Title"/>
        <w:jc w:val="center"/>
        <w:rPr>
          <w:color w:val="auto"/>
        </w:rPr>
        <w:sectPr w:rsidR="00050BC5" w:rsidRPr="006D05C3" w:rsidSect="00DD3E98">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docGrid w:linePitch="150"/>
        </w:sectPr>
      </w:pPr>
    </w:p>
    <w:p w14:paraId="44C708E6" w14:textId="77777777" w:rsidR="00050BC5" w:rsidRPr="006D05C3" w:rsidRDefault="00050BC5" w:rsidP="00050BC5">
      <w:pPr>
        <w:spacing w:after="240" w:line="240" w:lineRule="auto"/>
        <w:ind w:firstLine="0"/>
        <w:jc w:val="center"/>
        <w:rPr>
          <w:b/>
        </w:rPr>
        <w:sectPr w:rsidR="00050BC5" w:rsidRPr="006D05C3" w:rsidSect="00DD3E98">
          <w:headerReference w:type="default" r:id="rId15"/>
          <w:footerReference w:type="default" r:id="rId16"/>
          <w:endnotePr>
            <w:numFmt w:val="decimal"/>
          </w:endnotePr>
          <w:pgSz w:w="12240" w:h="15840" w:code="1"/>
          <w:pgMar w:top="1440" w:right="1440" w:bottom="576" w:left="1440" w:header="720" w:footer="576" w:gutter="0"/>
          <w:cols w:space="720"/>
          <w:docGrid w:linePitch="150"/>
        </w:sectPr>
      </w:pPr>
    </w:p>
    <w:p w14:paraId="4E1A08B7" w14:textId="6E5C3E2C" w:rsidR="00655DAC" w:rsidRPr="006D05C3" w:rsidRDefault="000E5937" w:rsidP="000E5937">
      <w:pPr>
        <w:pBdr>
          <w:bottom w:val="single" w:sz="2" w:space="1" w:color="auto"/>
        </w:pBdr>
        <w:spacing w:after="240" w:line="240" w:lineRule="auto"/>
        <w:ind w:firstLine="0"/>
        <w:jc w:val="both"/>
        <w:rPr>
          <w:rFonts w:ascii="Arial Black" w:hAnsi="Arial Black"/>
          <w:sz w:val="22"/>
        </w:rPr>
      </w:pPr>
      <w:r w:rsidRPr="006D05C3">
        <w:rPr>
          <w:rFonts w:ascii="Arial Black" w:hAnsi="Arial Black"/>
          <w:sz w:val="22"/>
        </w:rPr>
        <w:t>CONTENTS</w:t>
      </w:r>
    </w:p>
    <w:p w14:paraId="1BCFB342" w14:textId="77777777" w:rsidR="006D05C3" w:rsidRPr="006D05C3" w:rsidRDefault="000E5937" w:rsidP="006D05C3">
      <w:pPr>
        <w:pStyle w:val="TOC2"/>
        <w:tabs>
          <w:tab w:val="clear" w:pos="1080"/>
          <w:tab w:val="left" w:pos="540"/>
        </w:tabs>
        <w:ind w:left="540" w:hanging="540"/>
        <w:rPr>
          <w:rFonts w:asciiTheme="minorHAnsi" w:eastAsiaTheme="minorEastAsia" w:hAnsiTheme="minorHAnsi" w:cstheme="minorBidi"/>
          <w:sz w:val="22"/>
          <w:szCs w:val="22"/>
        </w:rPr>
      </w:pPr>
      <w:r w:rsidRPr="006D05C3">
        <w:rPr>
          <w:rFonts w:cs="Arial"/>
        </w:rPr>
        <w:fldChar w:fldCharType="begin"/>
      </w:r>
      <w:r w:rsidRPr="006D05C3">
        <w:rPr>
          <w:rFonts w:cs="Arial"/>
        </w:rPr>
        <w:instrText xml:space="preserve"> TOC \o "2-4" \z \t "H2_Chapter,1,H3_Alpha,2,H4_Number,3,Mark for Attachment Title,8,Mark for Appendix Title,8" </w:instrText>
      </w:r>
      <w:r w:rsidRPr="006D05C3">
        <w:rPr>
          <w:rFonts w:cs="Arial"/>
        </w:rPr>
        <w:fldChar w:fldCharType="separate"/>
      </w:r>
      <w:r w:rsidR="006D05C3" w:rsidRPr="006D05C3">
        <w:t xml:space="preserve">B.1. </w:t>
      </w:r>
      <w:r w:rsidR="006D05C3" w:rsidRPr="006D05C3">
        <w:rPr>
          <w:rFonts w:asciiTheme="minorHAnsi" w:eastAsiaTheme="minorEastAsia" w:hAnsiTheme="minorHAnsi" w:cstheme="minorBidi"/>
          <w:sz w:val="22"/>
          <w:szCs w:val="22"/>
        </w:rPr>
        <w:tab/>
      </w:r>
      <w:r w:rsidR="006D05C3" w:rsidRPr="006D05C3">
        <w:t>Respondent universe and sampling methods</w:t>
      </w:r>
      <w:r w:rsidR="006D05C3" w:rsidRPr="006D05C3">
        <w:rPr>
          <w:webHidden/>
        </w:rPr>
        <w:tab/>
      </w:r>
      <w:r w:rsidR="006D05C3" w:rsidRPr="006D05C3">
        <w:rPr>
          <w:webHidden/>
        </w:rPr>
        <w:fldChar w:fldCharType="begin"/>
      </w:r>
      <w:r w:rsidR="006D05C3" w:rsidRPr="006D05C3">
        <w:rPr>
          <w:webHidden/>
        </w:rPr>
        <w:instrText xml:space="preserve"> PAGEREF _Toc265540 \h </w:instrText>
      </w:r>
      <w:r w:rsidR="006D05C3" w:rsidRPr="006D05C3">
        <w:rPr>
          <w:webHidden/>
        </w:rPr>
      </w:r>
      <w:r w:rsidR="006D05C3" w:rsidRPr="006D05C3">
        <w:rPr>
          <w:webHidden/>
        </w:rPr>
        <w:fldChar w:fldCharType="separate"/>
      </w:r>
      <w:r w:rsidR="00D743D9">
        <w:rPr>
          <w:webHidden/>
        </w:rPr>
        <w:t>2</w:t>
      </w:r>
      <w:r w:rsidR="006D05C3" w:rsidRPr="006D05C3">
        <w:rPr>
          <w:webHidden/>
        </w:rPr>
        <w:fldChar w:fldCharType="end"/>
      </w:r>
    </w:p>
    <w:p w14:paraId="0A1CBBE7" w14:textId="36472229" w:rsidR="006D05C3" w:rsidRPr="006D05C3" w:rsidRDefault="006D05C3" w:rsidP="006D05C3">
      <w:pPr>
        <w:pStyle w:val="TOC2"/>
        <w:tabs>
          <w:tab w:val="clear" w:pos="1080"/>
          <w:tab w:val="left" w:pos="540"/>
        </w:tabs>
        <w:ind w:left="540" w:hanging="540"/>
        <w:rPr>
          <w:rFonts w:asciiTheme="minorHAnsi" w:eastAsiaTheme="minorEastAsia" w:hAnsiTheme="minorHAnsi" w:cstheme="minorBidi"/>
          <w:sz w:val="22"/>
          <w:szCs w:val="22"/>
        </w:rPr>
      </w:pPr>
      <w:r w:rsidRPr="006D05C3">
        <w:t>B.2.</w:t>
      </w:r>
      <w:r w:rsidRPr="006D05C3">
        <w:rPr>
          <w:rFonts w:asciiTheme="minorHAnsi" w:eastAsiaTheme="minorEastAsia" w:hAnsiTheme="minorHAnsi" w:cstheme="minorBidi"/>
          <w:sz w:val="22"/>
          <w:szCs w:val="22"/>
        </w:rPr>
        <w:tab/>
      </w:r>
      <w:r w:rsidRPr="006D05C3">
        <w:t>Procedures for collection of information</w:t>
      </w:r>
      <w:r w:rsidRPr="006D05C3">
        <w:rPr>
          <w:webHidden/>
        </w:rPr>
        <w:tab/>
      </w:r>
      <w:r w:rsidRPr="006D05C3">
        <w:rPr>
          <w:webHidden/>
        </w:rPr>
        <w:fldChar w:fldCharType="begin"/>
      </w:r>
      <w:r w:rsidRPr="006D05C3">
        <w:rPr>
          <w:webHidden/>
        </w:rPr>
        <w:instrText xml:space="preserve"> PAGEREF _Toc265541 \h </w:instrText>
      </w:r>
      <w:r w:rsidRPr="006D05C3">
        <w:rPr>
          <w:webHidden/>
        </w:rPr>
      </w:r>
      <w:r w:rsidRPr="006D05C3">
        <w:rPr>
          <w:webHidden/>
        </w:rPr>
        <w:fldChar w:fldCharType="separate"/>
      </w:r>
      <w:r w:rsidR="00D743D9">
        <w:rPr>
          <w:webHidden/>
        </w:rPr>
        <w:t>3</w:t>
      </w:r>
      <w:r w:rsidRPr="006D05C3">
        <w:rPr>
          <w:webHidden/>
        </w:rPr>
        <w:fldChar w:fldCharType="end"/>
      </w:r>
    </w:p>
    <w:p w14:paraId="0B6146FE" w14:textId="77777777" w:rsidR="006D05C3" w:rsidRPr="006D05C3" w:rsidRDefault="006D05C3" w:rsidP="006D05C3">
      <w:pPr>
        <w:pStyle w:val="TOC2"/>
        <w:tabs>
          <w:tab w:val="clear" w:pos="1080"/>
          <w:tab w:val="left" w:pos="540"/>
        </w:tabs>
        <w:ind w:left="540" w:hanging="540"/>
        <w:rPr>
          <w:rFonts w:asciiTheme="minorHAnsi" w:eastAsiaTheme="minorEastAsia" w:hAnsiTheme="minorHAnsi" w:cstheme="minorBidi"/>
          <w:sz w:val="22"/>
          <w:szCs w:val="22"/>
        </w:rPr>
      </w:pPr>
      <w:r w:rsidRPr="006D05C3">
        <w:t xml:space="preserve">B.3. </w:t>
      </w:r>
      <w:r w:rsidRPr="006D05C3">
        <w:rPr>
          <w:rFonts w:asciiTheme="minorHAnsi" w:eastAsiaTheme="minorEastAsia" w:hAnsiTheme="minorHAnsi" w:cstheme="minorBidi"/>
          <w:sz w:val="22"/>
          <w:szCs w:val="22"/>
        </w:rPr>
        <w:tab/>
      </w:r>
      <w:r w:rsidRPr="006D05C3">
        <w:t>Methods to maximize response rates and data reliability</w:t>
      </w:r>
      <w:r w:rsidRPr="006D05C3">
        <w:rPr>
          <w:webHidden/>
        </w:rPr>
        <w:tab/>
      </w:r>
      <w:r w:rsidRPr="006D05C3">
        <w:rPr>
          <w:webHidden/>
        </w:rPr>
        <w:fldChar w:fldCharType="begin"/>
      </w:r>
      <w:r w:rsidRPr="006D05C3">
        <w:rPr>
          <w:webHidden/>
        </w:rPr>
        <w:instrText xml:space="preserve"> PAGEREF _Toc265542 \h </w:instrText>
      </w:r>
      <w:r w:rsidRPr="006D05C3">
        <w:rPr>
          <w:webHidden/>
        </w:rPr>
      </w:r>
      <w:r w:rsidRPr="006D05C3">
        <w:rPr>
          <w:webHidden/>
        </w:rPr>
        <w:fldChar w:fldCharType="separate"/>
      </w:r>
      <w:r w:rsidR="00D743D9">
        <w:rPr>
          <w:webHidden/>
        </w:rPr>
        <w:t>10</w:t>
      </w:r>
      <w:r w:rsidRPr="006D05C3">
        <w:rPr>
          <w:webHidden/>
        </w:rPr>
        <w:fldChar w:fldCharType="end"/>
      </w:r>
    </w:p>
    <w:p w14:paraId="2DED28FC" w14:textId="77777777" w:rsidR="006D05C3" w:rsidRPr="006D05C3" w:rsidRDefault="006D05C3" w:rsidP="006D05C3">
      <w:pPr>
        <w:pStyle w:val="TOC2"/>
        <w:tabs>
          <w:tab w:val="clear" w:pos="1080"/>
          <w:tab w:val="left" w:pos="540"/>
        </w:tabs>
        <w:ind w:left="540" w:hanging="540"/>
        <w:rPr>
          <w:rFonts w:asciiTheme="minorHAnsi" w:eastAsiaTheme="minorEastAsia" w:hAnsiTheme="minorHAnsi" w:cstheme="minorBidi"/>
          <w:sz w:val="22"/>
          <w:szCs w:val="22"/>
        </w:rPr>
      </w:pPr>
      <w:r w:rsidRPr="006D05C3">
        <w:t xml:space="preserve">B.4. </w:t>
      </w:r>
      <w:r w:rsidRPr="006D05C3">
        <w:rPr>
          <w:rFonts w:asciiTheme="minorHAnsi" w:eastAsiaTheme="minorEastAsia" w:hAnsiTheme="minorHAnsi" w:cstheme="minorBidi"/>
          <w:sz w:val="22"/>
          <w:szCs w:val="22"/>
        </w:rPr>
        <w:tab/>
      </w:r>
      <w:r w:rsidRPr="006D05C3">
        <w:t>Tests of methods or procedures to be undertaken</w:t>
      </w:r>
      <w:r w:rsidRPr="006D05C3">
        <w:rPr>
          <w:webHidden/>
        </w:rPr>
        <w:tab/>
      </w:r>
      <w:r w:rsidRPr="006D05C3">
        <w:rPr>
          <w:webHidden/>
        </w:rPr>
        <w:fldChar w:fldCharType="begin"/>
      </w:r>
      <w:r w:rsidRPr="006D05C3">
        <w:rPr>
          <w:webHidden/>
        </w:rPr>
        <w:instrText xml:space="preserve"> PAGEREF _Toc265543 \h </w:instrText>
      </w:r>
      <w:r w:rsidRPr="006D05C3">
        <w:rPr>
          <w:webHidden/>
        </w:rPr>
      </w:r>
      <w:r w:rsidRPr="006D05C3">
        <w:rPr>
          <w:webHidden/>
        </w:rPr>
        <w:fldChar w:fldCharType="separate"/>
      </w:r>
      <w:r w:rsidR="00D743D9">
        <w:rPr>
          <w:webHidden/>
        </w:rPr>
        <w:t>12</w:t>
      </w:r>
      <w:r w:rsidRPr="006D05C3">
        <w:rPr>
          <w:webHidden/>
        </w:rPr>
        <w:fldChar w:fldCharType="end"/>
      </w:r>
    </w:p>
    <w:p w14:paraId="7E4A138D" w14:textId="77777777" w:rsidR="006D05C3" w:rsidRPr="006D05C3" w:rsidRDefault="006D05C3" w:rsidP="006D05C3">
      <w:pPr>
        <w:pStyle w:val="TOC2"/>
        <w:tabs>
          <w:tab w:val="clear" w:pos="1080"/>
          <w:tab w:val="left" w:pos="540"/>
        </w:tabs>
        <w:ind w:left="540" w:hanging="540"/>
        <w:rPr>
          <w:rFonts w:asciiTheme="minorHAnsi" w:eastAsiaTheme="minorEastAsia" w:hAnsiTheme="minorHAnsi" w:cstheme="minorBidi"/>
          <w:sz w:val="22"/>
          <w:szCs w:val="22"/>
        </w:rPr>
      </w:pPr>
      <w:r w:rsidRPr="006D05C3">
        <w:t xml:space="preserve">B.5. </w:t>
      </w:r>
      <w:r w:rsidRPr="006D05C3">
        <w:rPr>
          <w:rFonts w:asciiTheme="minorHAnsi" w:eastAsiaTheme="minorEastAsia" w:hAnsiTheme="minorHAnsi" w:cstheme="minorBidi"/>
          <w:sz w:val="22"/>
          <w:szCs w:val="22"/>
        </w:rPr>
        <w:tab/>
      </w:r>
      <w:r w:rsidRPr="006D05C3">
        <w:t>Individuals consulted on statistical aspects and individuals collecting and/or analyzing data</w:t>
      </w:r>
      <w:r w:rsidRPr="006D05C3">
        <w:rPr>
          <w:webHidden/>
        </w:rPr>
        <w:tab/>
      </w:r>
      <w:r w:rsidRPr="006D05C3">
        <w:rPr>
          <w:webHidden/>
        </w:rPr>
        <w:fldChar w:fldCharType="begin"/>
      </w:r>
      <w:r w:rsidRPr="006D05C3">
        <w:rPr>
          <w:webHidden/>
        </w:rPr>
        <w:instrText xml:space="preserve"> PAGEREF _Toc265544 \h </w:instrText>
      </w:r>
      <w:r w:rsidRPr="006D05C3">
        <w:rPr>
          <w:webHidden/>
        </w:rPr>
      </w:r>
      <w:r w:rsidRPr="006D05C3">
        <w:rPr>
          <w:webHidden/>
        </w:rPr>
        <w:fldChar w:fldCharType="separate"/>
      </w:r>
      <w:r w:rsidR="00D743D9">
        <w:rPr>
          <w:webHidden/>
        </w:rPr>
        <w:t>13</w:t>
      </w:r>
      <w:r w:rsidRPr="006D05C3">
        <w:rPr>
          <w:webHidden/>
        </w:rPr>
        <w:fldChar w:fldCharType="end"/>
      </w:r>
    </w:p>
    <w:p w14:paraId="7813383B" w14:textId="4B052ADD" w:rsidR="000E5937" w:rsidRPr="006D05C3" w:rsidRDefault="000E5937" w:rsidP="006D05C3">
      <w:pPr>
        <w:tabs>
          <w:tab w:val="left" w:pos="540"/>
        </w:tabs>
        <w:spacing w:after="180" w:line="240" w:lineRule="auto"/>
        <w:ind w:left="540" w:hanging="540"/>
        <w:jc w:val="both"/>
      </w:pPr>
      <w:r w:rsidRPr="006D05C3">
        <w:rPr>
          <w:rFonts w:ascii="Arial" w:hAnsi="Arial" w:cs="Arial"/>
          <w:sz w:val="20"/>
        </w:rPr>
        <w:fldChar w:fldCharType="end"/>
      </w:r>
    </w:p>
    <w:p w14:paraId="712F873C" w14:textId="77777777" w:rsidR="00796139" w:rsidRPr="006D05C3" w:rsidRDefault="00796139" w:rsidP="00796139">
      <w:pPr>
        <w:pStyle w:val="NormalSS"/>
        <w:sectPr w:rsidR="00796139" w:rsidRPr="006D05C3" w:rsidSect="00050BC5">
          <w:headerReference w:type="default" r:id="rId17"/>
          <w:footerReference w:type="default" r:id="rId18"/>
          <w:pgSz w:w="12240" w:h="15840"/>
          <w:pgMar w:top="1440" w:right="1440" w:bottom="1440" w:left="1440" w:header="720" w:footer="720" w:gutter="0"/>
          <w:pgNumType w:fmt="lowerRoman" w:start="1"/>
          <w:cols w:space="720"/>
          <w:docGrid w:linePitch="360"/>
        </w:sectPr>
      </w:pPr>
    </w:p>
    <w:p w14:paraId="50D640CB" w14:textId="155B78A1" w:rsidR="00050BC5" w:rsidRPr="006D05C3" w:rsidRDefault="00050BC5" w:rsidP="00796139">
      <w:pPr>
        <w:pStyle w:val="NormalSS"/>
        <w:sectPr w:rsidR="00050BC5" w:rsidRPr="006D05C3" w:rsidSect="00050BC5">
          <w:headerReference w:type="default" r:id="rId19"/>
          <w:footerReference w:type="default" r:id="rId20"/>
          <w:pgSz w:w="12240" w:h="15840"/>
          <w:pgMar w:top="1440" w:right="1440" w:bottom="1440" w:left="1440" w:header="720" w:footer="720" w:gutter="0"/>
          <w:pgNumType w:fmt="lowerRoman" w:start="1"/>
          <w:cols w:space="720"/>
          <w:docGrid w:linePitch="360"/>
        </w:sectPr>
      </w:pPr>
    </w:p>
    <w:p w14:paraId="2C7F92F6" w14:textId="1785A77C" w:rsidR="006A3ED7" w:rsidRPr="006D05C3" w:rsidRDefault="006A3ED7" w:rsidP="006A3ED7">
      <w:pPr>
        <w:pStyle w:val="NormalSS"/>
      </w:pPr>
      <w:bookmarkStart w:id="2" w:name="_Toc476920447"/>
      <w:bookmarkStart w:id="3" w:name="_Toc476920458"/>
      <w:r w:rsidRPr="006D05C3">
        <w:t xml:space="preserve">The HIV/AIDS Bureau (HAB) within the Health </w:t>
      </w:r>
      <w:r w:rsidR="008D79AD" w:rsidRPr="006D05C3">
        <w:t xml:space="preserve">Resources and </w:t>
      </w:r>
      <w:r w:rsidRPr="006D05C3">
        <w:t xml:space="preserve">Services Administration (HRSA) in the Department of Health and Human Services (HHS) is embarking on a 24-month qualitative and quantitative study called </w:t>
      </w:r>
      <w:r w:rsidRPr="006D05C3">
        <w:rPr>
          <w:i/>
        </w:rPr>
        <w:t xml:space="preserve">Assessing Care and Health Outcomes Among Ryan White HIV/AIDS Program (RWHAP) Clients Who Do Not Receive RWHAP-Funded </w:t>
      </w:r>
      <w:r w:rsidR="001F6044" w:rsidRPr="006D05C3">
        <w:rPr>
          <w:i/>
        </w:rPr>
        <w:t>O</w:t>
      </w:r>
      <w:r w:rsidRPr="006D05C3">
        <w:rPr>
          <w:i/>
        </w:rPr>
        <w:t xml:space="preserve">utpatient </w:t>
      </w:r>
      <w:r w:rsidR="001F6044" w:rsidRPr="006D05C3">
        <w:rPr>
          <w:i/>
        </w:rPr>
        <w:t>A</w:t>
      </w:r>
      <w:r w:rsidRPr="006D05C3">
        <w:rPr>
          <w:i/>
        </w:rPr>
        <w:t xml:space="preserve">mbulatory </w:t>
      </w:r>
      <w:r w:rsidR="001F6044" w:rsidRPr="006D05C3">
        <w:rPr>
          <w:i/>
        </w:rPr>
        <w:t>H</w:t>
      </w:r>
      <w:r w:rsidRPr="006D05C3">
        <w:rPr>
          <w:i/>
        </w:rPr>
        <w:t xml:space="preserve">ealth </w:t>
      </w:r>
      <w:r w:rsidR="001F6044" w:rsidRPr="006D05C3">
        <w:rPr>
          <w:i/>
        </w:rPr>
        <w:t>S</w:t>
      </w:r>
      <w:r w:rsidRPr="006D05C3">
        <w:rPr>
          <w:i/>
        </w:rPr>
        <w:t>ervices</w:t>
      </w:r>
      <w:r w:rsidRPr="006D05C3">
        <w:t xml:space="preserve"> (</w:t>
      </w:r>
      <w:r w:rsidRPr="006D05C3">
        <w:rPr>
          <w:i/>
        </w:rPr>
        <w:t>OAHS)</w:t>
      </w:r>
      <w:r w:rsidRPr="006D05C3">
        <w:t xml:space="preserve">. The goal of the RWHAP is to improve the availability and quality of health care and supportive services for low-income and medically underserved individuals and families living with HIV and AIDS. The study focuses on the quality of care and viral suppression rate of non-OAHS RWHAP clients. The findings from this study will help </w:t>
      </w:r>
      <w:r w:rsidR="008275CB">
        <w:t>us</w:t>
      </w:r>
      <w:r w:rsidR="008275CB" w:rsidRPr="006D05C3">
        <w:t xml:space="preserve"> </w:t>
      </w:r>
      <w:r w:rsidRPr="006D05C3">
        <w:t xml:space="preserve">assess HIV care and health outcomes among RWHAP clients who do not receive </w:t>
      </w:r>
      <w:r w:rsidR="009F55EC" w:rsidRPr="006D05C3">
        <w:t xml:space="preserve">OAHS </w:t>
      </w:r>
      <w:r w:rsidRPr="006D05C3">
        <w:t>RWHAP-funded</w:t>
      </w:r>
      <w:r w:rsidR="00802C5D" w:rsidRPr="006D05C3">
        <w:t>,</w:t>
      </w:r>
      <w:r w:rsidRPr="006D05C3">
        <w:t xml:space="preserve"> identify where these clients receive HIV care services</w:t>
      </w:r>
      <w:r w:rsidR="00802C5D" w:rsidRPr="006D05C3">
        <w:t>,</w:t>
      </w:r>
      <w:r w:rsidRPr="006D05C3">
        <w:t xml:space="preserve"> identify unmet needs among these clients who do not receive OAHS anywhere</w:t>
      </w:r>
      <w:r w:rsidR="00802C5D" w:rsidRPr="006D05C3">
        <w:t>,</w:t>
      </w:r>
      <w:r w:rsidRPr="006D05C3">
        <w:t xml:space="preserve"> and collect clinical data for these clients so HAB can estimate and improve retention rates and viral suppression for all RWHAP clients.</w:t>
      </w:r>
    </w:p>
    <w:p w14:paraId="3535BE83" w14:textId="58188576" w:rsidR="006A3ED7" w:rsidRPr="006D05C3" w:rsidRDefault="0032556B" w:rsidP="006A3ED7">
      <w:pPr>
        <w:pStyle w:val="NormalSS"/>
      </w:pPr>
      <w:r w:rsidRPr="006D05C3">
        <w:t xml:space="preserve">For this study, </w:t>
      </w:r>
      <w:r w:rsidR="008275CB">
        <w:t>we</w:t>
      </w:r>
      <w:r w:rsidR="008275CB" w:rsidRPr="006D05C3">
        <w:t xml:space="preserve"> </w:t>
      </w:r>
      <w:r w:rsidR="006A3ED7" w:rsidRPr="006D05C3">
        <w:t>propose conduct</w:t>
      </w:r>
      <w:r w:rsidRPr="006D05C3">
        <w:t>ing</w:t>
      </w:r>
      <w:r w:rsidR="006A3ED7" w:rsidRPr="006D05C3">
        <w:t xml:space="preserve"> </w:t>
      </w:r>
      <w:r w:rsidR="002F0E1F" w:rsidRPr="006D05C3">
        <w:t xml:space="preserve">(1) </w:t>
      </w:r>
      <w:r w:rsidR="00802C5D" w:rsidRPr="006D05C3">
        <w:t>semi</w:t>
      </w:r>
      <w:r w:rsidR="00712DE2">
        <w:t>-</w:t>
      </w:r>
      <w:r w:rsidR="00802C5D" w:rsidRPr="006D05C3">
        <w:t xml:space="preserve">structured </w:t>
      </w:r>
      <w:r w:rsidR="006A3ED7" w:rsidRPr="006D05C3">
        <w:t xml:space="preserve">interviews with program managers, medical directors, case managers and other frontline clinicians, and clients and </w:t>
      </w:r>
      <w:r w:rsidR="006D05C3" w:rsidRPr="006D05C3">
        <w:t>(2) </w:t>
      </w:r>
      <w:r w:rsidR="00C1645D" w:rsidRPr="006D05C3">
        <w:t xml:space="preserve"> </w:t>
      </w:r>
      <w:r w:rsidR="006A3ED7" w:rsidRPr="006D05C3">
        <w:t xml:space="preserve">medical </w:t>
      </w:r>
      <w:r w:rsidR="00F114E0">
        <w:t>record</w:t>
      </w:r>
      <w:r w:rsidR="00F114E0" w:rsidRPr="006D05C3">
        <w:t xml:space="preserve"> </w:t>
      </w:r>
      <w:r w:rsidR="006A3ED7" w:rsidRPr="006D05C3">
        <w:t xml:space="preserve">abstractions. The recipient/subrecipient, </w:t>
      </w:r>
      <w:r w:rsidR="00C354E1" w:rsidRPr="006D05C3">
        <w:t>non-OAHS funded</w:t>
      </w:r>
      <w:r w:rsidR="006A3ED7" w:rsidRPr="006D05C3">
        <w:t xml:space="preserve"> provider, and client interviews will provide rich, nuanced data on HIV care use, HIV-related outcomes, barriers to care, and potential opportunities to improve care and HIV-related outcomes. Through </w:t>
      </w:r>
      <w:r w:rsidR="00C23C17" w:rsidRPr="006D05C3">
        <w:t xml:space="preserve">medical </w:t>
      </w:r>
      <w:r w:rsidR="006A3ED7" w:rsidRPr="006D05C3">
        <w:t>chart abstraction</w:t>
      </w:r>
      <w:r w:rsidR="00C23C17" w:rsidRPr="006D05C3">
        <w:t>s</w:t>
      </w:r>
      <w:r w:rsidR="006A3ED7" w:rsidRPr="006D05C3">
        <w:t>, we will obtain clinical information on a representative sample of clients who do not receive RWHAP-funded OAHS</w:t>
      </w:r>
      <w:r w:rsidR="00C23C17" w:rsidRPr="006D05C3">
        <w:t xml:space="preserve">. We will </w:t>
      </w:r>
      <w:r w:rsidR="006A3ED7" w:rsidRPr="006D05C3">
        <w:t xml:space="preserve">use </w:t>
      </w:r>
      <w:r w:rsidR="00C23C17" w:rsidRPr="006D05C3">
        <w:t xml:space="preserve">the information </w:t>
      </w:r>
      <w:r w:rsidR="006A3ED7" w:rsidRPr="006D05C3">
        <w:t xml:space="preserve">to estimate </w:t>
      </w:r>
      <w:r w:rsidR="00C23C17" w:rsidRPr="006D05C3">
        <w:t xml:space="preserve">three </w:t>
      </w:r>
      <w:r w:rsidRPr="006D05C3">
        <w:t xml:space="preserve">key </w:t>
      </w:r>
      <w:r w:rsidR="006A3ED7" w:rsidRPr="006D05C3">
        <w:t xml:space="preserve">outcomes for this population: (1) retention in care, (2) initiation of antiretroviral therapy (ART), and (3) viral suppression. </w:t>
      </w:r>
    </w:p>
    <w:p w14:paraId="777403D0" w14:textId="73C5579C" w:rsidR="009F55EC" w:rsidRPr="006D05C3" w:rsidRDefault="009F55EC" w:rsidP="009F55EC">
      <w:pPr>
        <w:pStyle w:val="NormalSS"/>
      </w:pPr>
      <w:r w:rsidRPr="006D05C3">
        <w:t xml:space="preserve">There are three scenarios in which a RWHAP client could receive some services through the RWHAP but not receive OAHS directly funded through the RWHAP; we refer to these as Scenarios A–C below and in Table 1. Throughout this statement, we refer to the RWHAP-funded provider as the </w:t>
      </w:r>
      <w:r w:rsidRPr="006D05C3">
        <w:rPr>
          <w:b/>
        </w:rPr>
        <w:t>Type 1 provider</w:t>
      </w:r>
      <w:r w:rsidRPr="006D05C3">
        <w:t xml:space="preserve"> and the non-funded OAHS provider as the </w:t>
      </w:r>
      <w:r w:rsidRPr="006D05C3">
        <w:rPr>
          <w:b/>
        </w:rPr>
        <w:t>Type 2 provider</w:t>
      </w:r>
      <w:r w:rsidRPr="006D05C3">
        <w:t>.</w:t>
      </w:r>
    </w:p>
    <w:p w14:paraId="38C33C8D" w14:textId="77777777" w:rsidR="009F55EC" w:rsidRPr="006D05C3" w:rsidRDefault="009F55EC" w:rsidP="009F55EC">
      <w:pPr>
        <w:pStyle w:val="NumberedBullet"/>
        <w:numPr>
          <w:ilvl w:val="0"/>
          <w:numId w:val="34"/>
        </w:numPr>
        <w:tabs>
          <w:tab w:val="clear" w:pos="432"/>
        </w:tabs>
        <w:ind w:left="1440" w:hanging="1440"/>
      </w:pPr>
      <w:r w:rsidRPr="006D05C3">
        <w:rPr>
          <w:b/>
        </w:rPr>
        <w:t xml:space="preserve">The Type 1 provider does not offer medical services. </w:t>
      </w:r>
      <w:r w:rsidRPr="006D05C3">
        <w:t>In this scenario,</w:t>
      </w:r>
      <w:r w:rsidRPr="006D05C3">
        <w:rPr>
          <w:b/>
        </w:rPr>
        <w:t xml:space="preserve"> </w:t>
      </w:r>
      <w:r w:rsidRPr="006D05C3">
        <w:t>we assume that clients either receive their medical care from a Type 2 provider and their support services from the Type 1 provider or that they are not receiving medical care at all. We can observe this scenario in the RWHAP Services Report (RSR) by looking at RWHAP-funded providers who report delivering support services or non-OAHS core medical services, but do not report providing OAHS.</w:t>
      </w:r>
    </w:p>
    <w:p w14:paraId="34F6ACB0" w14:textId="73E48DB9" w:rsidR="009F55EC" w:rsidRPr="006D05C3" w:rsidRDefault="009F55EC" w:rsidP="009F55EC">
      <w:pPr>
        <w:pStyle w:val="NumberedBullet"/>
        <w:numPr>
          <w:ilvl w:val="0"/>
          <w:numId w:val="34"/>
        </w:numPr>
        <w:tabs>
          <w:tab w:val="clear" w:pos="432"/>
        </w:tabs>
        <w:ind w:left="1440" w:hanging="1440"/>
      </w:pPr>
      <w:r w:rsidRPr="006D05C3">
        <w:rPr>
          <w:b/>
        </w:rPr>
        <w:t>The Type 1 provider delivers medical care but is not directly funded for OAHS.</w:t>
      </w:r>
      <w:r w:rsidRPr="006D05C3">
        <w:t xml:space="preserve"> In this scenario, we assume that most clients receive their medical care </w:t>
      </w:r>
      <w:r w:rsidR="00D74852">
        <w:t>on-site</w:t>
      </w:r>
      <w:r w:rsidRPr="006D05C3">
        <w:t xml:space="preserve"> (but the clinical data are not reported to HAB because the provider is not directly funded for OAHS) or that clients are not receiving medical care at all. We will use the provider type variable in the RSR to identify medical providers (such as hospital-based or community health centers) that do not report furnishing OAHS.</w:t>
      </w:r>
    </w:p>
    <w:p w14:paraId="7953061C" w14:textId="77777777" w:rsidR="00712DE2" w:rsidRDefault="00712DE2" w:rsidP="009F55EC">
      <w:pPr>
        <w:pStyle w:val="NumberedBullet"/>
        <w:numPr>
          <w:ilvl w:val="0"/>
          <w:numId w:val="34"/>
        </w:numPr>
        <w:tabs>
          <w:tab w:val="clear" w:pos="432"/>
        </w:tabs>
        <w:spacing w:after="240"/>
        <w:ind w:left="1440" w:hanging="1440"/>
        <w:rPr>
          <w:b/>
        </w:rPr>
      </w:pPr>
      <w:r>
        <w:rPr>
          <w:b/>
        </w:rPr>
        <w:br w:type="page"/>
      </w:r>
    </w:p>
    <w:p w14:paraId="764BB001" w14:textId="051B09C9" w:rsidR="009F55EC" w:rsidRPr="006D05C3" w:rsidRDefault="009F55EC" w:rsidP="009F55EC">
      <w:pPr>
        <w:pStyle w:val="NumberedBullet"/>
        <w:numPr>
          <w:ilvl w:val="0"/>
          <w:numId w:val="34"/>
        </w:numPr>
        <w:tabs>
          <w:tab w:val="clear" w:pos="432"/>
        </w:tabs>
        <w:spacing w:after="240"/>
        <w:ind w:left="1440" w:hanging="1440"/>
      </w:pPr>
      <w:r w:rsidRPr="006D05C3">
        <w:rPr>
          <w:b/>
        </w:rPr>
        <w:t xml:space="preserve">The Type 1 provider is directly funded for OAHS, but only some of its clients receive OAHS </w:t>
      </w:r>
      <w:r w:rsidR="00D74852">
        <w:rPr>
          <w:b/>
        </w:rPr>
        <w:t>on-site</w:t>
      </w:r>
      <w:r w:rsidRPr="006D05C3">
        <w:rPr>
          <w:b/>
        </w:rPr>
        <w:t>.</w:t>
      </w:r>
      <w:r w:rsidRPr="006D05C3">
        <w:t xml:space="preserve"> In this scenario, we assume that clients either receive their medical care from a Type 2 provider and their support services from the Type 1 provider or that they are not receiving medical care at all. For OAHS-funded providers with non-OAHS clients, we will assess the number of clients who did versus did not receive RWHAP-funded OAHS based on the “OAHS service visits delivered” client-level item in the RSR.</w:t>
      </w:r>
    </w:p>
    <w:p w14:paraId="61657291" w14:textId="03353503" w:rsidR="0069380B" w:rsidRPr="006D05C3" w:rsidRDefault="009F55EC" w:rsidP="004D1F2D">
      <w:pPr>
        <w:pStyle w:val="MarkforTableTitle"/>
        <w:keepLines/>
      </w:pPr>
      <w:r w:rsidRPr="006D05C3">
        <w:t>Table 1. Three scenarios under which RWHAP clients do not receive OAHS directly funded through the RWHAP</w:t>
      </w:r>
    </w:p>
    <w:tbl>
      <w:tblPr>
        <w:tblW w:w="9530" w:type="dxa"/>
        <w:tblCellMar>
          <w:left w:w="0" w:type="dxa"/>
          <w:right w:w="0" w:type="dxa"/>
        </w:tblCellMar>
        <w:tblLook w:val="04A0" w:firstRow="1" w:lastRow="0" w:firstColumn="1" w:lastColumn="0" w:noHBand="0" w:noVBand="1"/>
      </w:tblPr>
      <w:tblGrid>
        <w:gridCol w:w="1430"/>
        <w:gridCol w:w="2970"/>
        <w:gridCol w:w="2605"/>
        <w:gridCol w:w="2525"/>
      </w:tblGrid>
      <w:tr w:rsidR="00374918" w:rsidRPr="006D05C3" w14:paraId="11CC02D9" w14:textId="77777777" w:rsidTr="00CF4133">
        <w:tc>
          <w:tcPr>
            <w:tcW w:w="1430" w:type="dxa"/>
            <w:shd w:val="clear" w:color="auto" w:fill="6C6F70"/>
            <w:tcMar>
              <w:top w:w="0" w:type="dxa"/>
              <w:left w:w="108" w:type="dxa"/>
              <w:bottom w:w="0" w:type="dxa"/>
              <w:right w:w="108" w:type="dxa"/>
            </w:tcMar>
            <w:hideMark/>
          </w:tcPr>
          <w:p w14:paraId="32A75671" w14:textId="77777777" w:rsidR="00374918" w:rsidRPr="006D05C3" w:rsidRDefault="00374918" w:rsidP="004D1F2D">
            <w:pPr>
              <w:pStyle w:val="TableHeaderCenter"/>
              <w:keepNext/>
              <w:keepLines/>
            </w:pPr>
            <w:r w:rsidRPr="006D05C3">
              <w:t xml:space="preserve">Type </w:t>
            </w:r>
          </w:p>
        </w:tc>
        <w:tc>
          <w:tcPr>
            <w:tcW w:w="2970" w:type="dxa"/>
            <w:shd w:val="clear" w:color="auto" w:fill="6C6F70"/>
            <w:tcMar>
              <w:top w:w="0" w:type="dxa"/>
              <w:left w:w="108" w:type="dxa"/>
              <w:bottom w:w="0" w:type="dxa"/>
              <w:right w:w="108" w:type="dxa"/>
            </w:tcMar>
            <w:hideMark/>
          </w:tcPr>
          <w:p w14:paraId="58ABF102" w14:textId="77777777" w:rsidR="00374918" w:rsidRPr="006D05C3" w:rsidRDefault="00374918" w:rsidP="004D1F2D">
            <w:pPr>
              <w:pStyle w:val="TableHeaderCenter"/>
              <w:keepNext/>
              <w:keepLines/>
            </w:pPr>
            <w:r w:rsidRPr="006D05C3">
              <w:t xml:space="preserve">Scenario A </w:t>
            </w:r>
          </w:p>
        </w:tc>
        <w:tc>
          <w:tcPr>
            <w:tcW w:w="2605" w:type="dxa"/>
            <w:shd w:val="clear" w:color="auto" w:fill="6C6F70"/>
            <w:tcMar>
              <w:top w:w="0" w:type="dxa"/>
              <w:left w:w="108" w:type="dxa"/>
              <w:bottom w:w="0" w:type="dxa"/>
              <w:right w:w="108" w:type="dxa"/>
            </w:tcMar>
            <w:hideMark/>
          </w:tcPr>
          <w:p w14:paraId="5749D043" w14:textId="77777777" w:rsidR="00374918" w:rsidRPr="006D05C3" w:rsidRDefault="00374918" w:rsidP="004D1F2D">
            <w:pPr>
              <w:pStyle w:val="TableHeaderCenter"/>
              <w:keepNext/>
              <w:keepLines/>
            </w:pPr>
            <w:r w:rsidRPr="006D05C3">
              <w:t xml:space="preserve">Scenario B </w:t>
            </w:r>
          </w:p>
        </w:tc>
        <w:tc>
          <w:tcPr>
            <w:tcW w:w="2525" w:type="dxa"/>
            <w:shd w:val="clear" w:color="auto" w:fill="6C6F70"/>
            <w:tcMar>
              <w:top w:w="0" w:type="dxa"/>
              <w:left w:w="108" w:type="dxa"/>
              <w:bottom w:w="0" w:type="dxa"/>
              <w:right w:w="108" w:type="dxa"/>
            </w:tcMar>
            <w:hideMark/>
          </w:tcPr>
          <w:p w14:paraId="45C781D1" w14:textId="77777777" w:rsidR="00374918" w:rsidRPr="006D05C3" w:rsidRDefault="00374918" w:rsidP="004D1F2D">
            <w:pPr>
              <w:pStyle w:val="TableHeaderCenter"/>
              <w:keepNext/>
              <w:keepLines/>
            </w:pPr>
            <w:r w:rsidRPr="006D05C3">
              <w:t xml:space="preserve">Scenario C </w:t>
            </w:r>
          </w:p>
        </w:tc>
      </w:tr>
      <w:tr w:rsidR="009F55EC" w:rsidRPr="006D05C3" w14:paraId="0A8DC2B2" w14:textId="77777777" w:rsidTr="006D05C3">
        <w:trPr>
          <w:trHeight w:val="927"/>
        </w:trPr>
        <w:tc>
          <w:tcPr>
            <w:tcW w:w="1430" w:type="dxa"/>
            <w:tcMar>
              <w:top w:w="0" w:type="dxa"/>
              <w:left w:w="108" w:type="dxa"/>
              <w:bottom w:w="0" w:type="dxa"/>
              <w:right w:w="108" w:type="dxa"/>
            </w:tcMar>
            <w:vAlign w:val="center"/>
            <w:hideMark/>
          </w:tcPr>
          <w:p w14:paraId="5A960317" w14:textId="77777777" w:rsidR="009F55EC" w:rsidRPr="006D05C3" w:rsidRDefault="009F55EC" w:rsidP="009F55EC">
            <w:pPr>
              <w:pStyle w:val="TableText"/>
              <w:keepNext/>
              <w:keepLines/>
              <w:spacing w:before="40" w:after="40"/>
              <w:jc w:val="center"/>
            </w:pPr>
            <w:r w:rsidRPr="006D05C3">
              <w:t>Type 1</w:t>
            </w:r>
          </w:p>
        </w:tc>
        <w:tc>
          <w:tcPr>
            <w:tcW w:w="2970" w:type="dxa"/>
            <w:tcMar>
              <w:top w:w="0" w:type="dxa"/>
              <w:left w:w="108" w:type="dxa"/>
              <w:bottom w:w="0" w:type="dxa"/>
              <w:right w:w="108" w:type="dxa"/>
            </w:tcMar>
            <w:vAlign w:val="center"/>
            <w:hideMark/>
          </w:tcPr>
          <w:p w14:paraId="48017567" w14:textId="6EC01FCF" w:rsidR="009F55EC" w:rsidRPr="006D05C3" w:rsidRDefault="009F55EC" w:rsidP="009F55EC">
            <w:pPr>
              <w:pStyle w:val="TableText"/>
              <w:keepNext/>
              <w:keepLines/>
              <w:spacing w:before="40" w:after="40"/>
              <w:jc w:val="center"/>
            </w:pPr>
            <w:r w:rsidRPr="006D05C3">
              <w:t xml:space="preserve">RWHAP provider </w:t>
            </w:r>
            <w:r w:rsidRPr="006D05C3">
              <w:br/>
              <w:t>(non-medical)</w:t>
            </w:r>
          </w:p>
        </w:tc>
        <w:tc>
          <w:tcPr>
            <w:tcW w:w="2605" w:type="dxa"/>
            <w:vMerge w:val="restart"/>
            <w:tcMar>
              <w:top w:w="0" w:type="dxa"/>
              <w:left w:w="108" w:type="dxa"/>
              <w:bottom w:w="0" w:type="dxa"/>
              <w:right w:w="108" w:type="dxa"/>
            </w:tcMar>
            <w:vAlign w:val="center"/>
          </w:tcPr>
          <w:p w14:paraId="0F595CDA" w14:textId="5B91445B" w:rsidR="009F55EC" w:rsidRPr="006D05C3" w:rsidRDefault="009F55EC" w:rsidP="009F55EC">
            <w:pPr>
              <w:pStyle w:val="TableText"/>
              <w:keepNext/>
              <w:keepLines/>
              <w:spacing w:before="40" w:after="40"/>
              <w:jc w:val="center"/>
            </w:pPr>
            <w:r w:rsidRPr="006D05C3">
              <w:t xml:space="preserve">RWHAP provider </w:t>
            </w:r>
            <w:r w:rsidRPr="006D05C3">
              <w:br/>
              <w:t>(medical)</w:t>
            </w:r>
            <w:r w:rsidRPr="006D05C3">
              <w:br/>
              <w:t>not directly funded for OAHS</w:t>
            </w:r>
          </w:p>
        </w:tc>
        <w:tc>
          <w:tcPr>
            <w:tcW w:w="2525" w:type="dxa"/>
            <w:tcMar>
              <w:top w:w="0" w:type="dxa"/>
              <w:left w:w="108" w:type="dxa"/>
              <w:bottom w:w="0" w:type="dxa"/>
              <w:right w:w="108" w:type="dxa"/>
            </w:tcMar>
            <w:vAlign w:val="center"/>
            <w:hideMark/>
          </w:tcPr>
          <w:p w14:paraId="0A3ABDBD" w14:textId="425BFA85" w:rsidR="009F55EC" w:rsidRPr="006D05C3" w:rsidRDefault="009F55EC" w:rsidP="009F55EC">
            <w:pPr>
              <w:pStyle w:val="TableText"/>
              <w:keepNext/>
              <w:keepLines/>
              <w:spacing w:before="40" w:after="40"/>
              <w:jc w:val="center"/>
            </w:pPr>
            <w:r w:rsidRPr="006D05C3">
              <w:t xml:space="preserve">RWHAP provider </w:t>
            </w:r>
            <w:r w:rsidRPr="006D05C3">
              <w:br/>
              <w:t>(medical)</w:t>
            </w:r>
            <w:r w:rsidRPr="006D05C3">
              <w:br/>
              <w:t>directly funded for OAHS, but</w:t>
            </w:r>
            <w:r w:rsidRPr="006D05C3">
              <w:br/>
              <w:t>some clients without OAHS</w:t>
            </w:r>
          </w:p>
        </w:tc>
      </w:tr>
      <w:tr w:rsidR="009F55EC" w:rsidRPr="006D05C3" w14:paraId="48BDE245" w14:textId="77777777" w:rsidTr="006D05C3">
        <w:trPr>
          <w:trHeight w:val="927"/>
        </w:trPr>
        <w:tc>
          <w:tcPr>
            <w:tcW w:w="1430" w:type="dxa"/>
            <w:tcBorders>
              <w:bottom w:val="single" w:sz="4" w:space="0" w:color="auto"/>
            </w:tcBorders>
            <w:tcMar>
              <w:top w:w="0" w:type="dxa"/>
              <w:left w:w="108" w:type="dxa"/>
              <w:bottom w:w="0" w:type="dxa"/>
              <w:right w:w="108" w:type="dxa"/>
            </w:tcMar>
            <w:vAlign w:val="center"/>
            <w:hideMark/>
          </w:tcPr>
          <w:p w14:paraId="7B72E1A1" w14:textId="77777777" w:rsidR="009F55EC" w:rsidRPr="006D05C3" w:rsidRDefault="009F55EC" w:rsidP="009F55EC">
            <w:pPr>
              <w:pStyle w:val="TableText"/>
              <w:keepNext/>
              <w:keepLines/>
              <w:spacing w:before="40" w:after="40"/>
              <w:jc w:val="center"/>
            </w:pPr>
            <w:r w:rsidRPr="006D05C3">
              <w:t>Type 2</w:t>
            </w:r>
          </w:p>
        </w:tc>
        <w:tc>
          <w:tcPr>
            <w:tcW w:w="2970" w:type="dxa"/>
            <w:tcBorders>
              <w:bottom w:val="single" w:sz="4" w:space="0" w:color="auto"/>
            </w:tcBorders>
            <w:tcMar>
              <w:top w:w="0" w:type="dxa"/>
              <w:left w:w="108" w:type="dxa"/>
              <w:bottom w:w="0" w:type="dxa"/>
              <w:right w:w="108" w:type="dxa"/>
            </w:tcMar>
            <w:vAlign w:val="center"/>
            <w:hideMark/>
          </w:tcPr>
          <w:p w14:paraId="0146DBD2" w14:textId="5BD0BE10" w:rsidR="009F55EC" w:rsidRPr="006D05C3" w:rsidRDefault="009F55EC" w:rsidP="009F55EC">
            <w:pPr>
              <w:pStyle w:val="TableText"/>
              <w:keepNext/>
              <w:keepLines/>
              <w:spacing w:before="40" w:after="40"/>
              <w:jc w:val="center"/>
            </w:pPr>
            <w:r w:rsidRPr="006D05C3">
              <w:t>Non-funded OAHS provider (medical)</w:t>
            </w:r>
          </w:p>
        </w:tc>
        <w:tc>
          <w:tcPr>
            <w:tcW w:w="2605" w:type="dxa"/>
            <w:vMerge/>
            <w:tcBorders>
              <w:bottom w:val="single" w:sz="4" w:space="0" w:color="auto"/>
            </w:tcBorders>
            <w:vAlign w:val="center"/>
            <w:hideMark/>
          </w:tcPr>
          <w:p w14:paraId="166BC45C" w14:textId="77777777" w:rsidR="009F55EC" w:rsidRPr="006D05C3" w:rsidRDefault="009F55EC" w:rsidP="009F55EC">
            <w:pPr>
              <w:pStyle w:val="TableText"/>
              <w:keepNext/>
              <w:keepLines/>
              <w:spacing w:before="40" w:after="40"/>
              <w:jc w:val="center"/>
            </w:pPr>
          </w:p>
        </w:tc>
        <w:tc>
          <w:tcPr>
            <w:tcW w:w="2525" w:type="dxa"/>
            <w:tcBorders>
              <w:bottom w:val="single" w:sz="4" w:space="0" w:color="auto"/>
            </w:tcBorders>
            <w:tcMar>
              <w:top w:w="0" w:type="dxa"/>
              <w:left w:w="108" w:type="dxa"/>
              <w:bottom w:w="0" w:type="dxa"/>
              <w:right w:w="108" w:type="dxa"/>
            </w:tcMar>
            <w:vAlign w:val="center"/>
            <w:hideMark/>
          </w:tcPr>
          <w:p w14:paraId="3F58B253" w14:textId="2B5F84DF" w:rsidR="009F55EC" w:rsidRPr="006D05C3" w:rsidRDefault="009F55EC" w:rsidP="009F55EC">
            <w:pPr>
              <w:pStyle w:val="TableText"/>
              <w:keepNext/>
              <w:keepLines/>
              <w:spacing w:before="40" w:after="40"/>
              <w:jc w:val="center"/>
            </w:pPr>
            <w:r w:rsidRPr="006D05C3">
              <w:t>Non-funded OAHS provider (medical)</w:t>
            </w:r>
          </w:p>
        </w:tc>
      </w:tr>
    </w:tbl>
    <w:p w14:paraId="379E5792" w14:textId="77777777" w:rsidR="006A3ED7" w:rsidRPr="006D05C3" w:rsidRDefault="006A3ED7" w:rsidP="004D1F2D">
      <w:pPr>
        <w:pStyle w:val="Normalcontinued"/>
        <w:spacing w:after="120" w:line="240" w:lineRule="auto"/>
      </w:pPr>
    </w:p>
    <w:p w14:paraId="50924219" w14:textId="126F8B4E" w:rsidR="00246DB8" w:rsidRPr="006D05C3" w:rsidRDefault="00246DB8" w:rsidP="000E5937">
      <w:pPr>
        <w:pStyle w:val="H3Alpha"/>
      </w:pPr>
      <w:bookmarkStart w:id="4" w:name="_Toc265540"/>
      <w:r w:rsidRPr="006D05C3">
        <w:t>B.1</w:t>
      </w:r>
      <w:r w:rsidR="00FA63E8" w:rsidRPr="006D05C3">
        <w:t>.</w:t>
      </w:r>
      <w:r w:rsidRPr="006D05C3">
        <w:t xml:space="preserve"> </w:t>
      </w:r>
      <w:r w:rsidR="00796139" w:rsidRPr="006D05C3">
        <w:tab/>
      </w:r>
      <w:r w:rsidRPr="006D05C3">
        <w:t>Respondent universe and sampling</w:t>
      </w:r>
      <w:bookmarkEnd w:id="2"/>
      <w:r w:rsidRPr="006D05C3">
        <w:t xml:space="preserve"> methods</w:t>
      </w:r>
      <w:bookmarkEnd w:id="4"/>
      <w:r w:rsidRPr="006D05C3">
        <w:t xml:space="preserve"> </w:t>
      </w:r>
    </w:p>
    <w:p w14:paraId="15FE8C8E" w14:textId="397E5F82" w:rsidR="00776748" w:rsidRPr="006D05C3" w:rsidRDefault="00776748" w:rsidP="004D1F2D">
      <w:pPr>
        <w:pStyle w:val="NormalSS"/>
      </w:pPr>
      <w:r w:rsidRPr="006D05C3">
        <w:t xml:space="preserve">In this study, we will select a nationally </w:t>
      </w:r>
      <w:r w:rsidR="00D845F1">
        <w:t xml:space="preserve">diverse convenience </w:t>
      </w:r>
      <w:r w:rsidRPr="006D05C3">
        <w:t xml:space="preserve">sample of RWHAP-funded recipients and subrecipients </w:t>
      </w:r>
      <w:r w:rsidR="009F55EC" w:rsidRPr="006D05C3">
        <w:t xml:space="preserve">(providers) </w:t>
      </w:r>
      <w:r w:rsidRPr="006D05C3">
        <w:t>that do not provide some or all of their c</w:t>
      </w:r>
      <w:r w:rsidR="009F55EC" w:rsidRPr="006D05C3">
        <w:t>lients with RWHAP-funded OAHS</w:t>
      </w:r>
      <w:r w:rsidRPr="006D05C3">
        <w:t xml:space="preserve"> and then a </w:t>
      </w:r>
      <w:r w:rsidR="000D072F">
        <w:t xml:space="preserve">stratified random </w:t>
      </w:r>
      <w:r w:rsidRPr="006D05C3">
        <w:t>sample of clients within those sampled providers</w:t>
      </w:r>
      <w:r w:rsidR="00C9192A" w:rsidRPr="006D05C3">
        <w:t xml:space="preserve">, </w:t>
      </w:r>
      <w:r w:rsidRPr="006D05C3">
        <w:t xml:space="preserve">who do not receive </w:t>
      </w:r>
      <w:r w:rsidR="009F55EC" w:rsidRPr="006D05C3">
        <w:t xml:space="preserve">directly </w:t>
      </w:r>
      <w:r w:rsidRPr="006D05C3">
        <w:t xml:space="preserve">RWHAP-funded OAHS. A recipient is a </w:t>
      </w:r>
      <w:r w:rsidR="00C23C17" w:rsidRPr="006D05C3">
        <w:t xml:space="preserve">provider organization </w:t>
      </w:r>
      <w:r w:rsidRPr="006D05C3">
        <w:t xml:space="preserve">that receives RWHAP funds </w:t>
      </w:r>
      <w:r w:rsidRPr="006D05C3">
        <w:rPr>
          <w:i/>
        </w:rPr>
        <w:t>directly</w:t>
      </w:r>
      <w:r w:rsidRPr="006D05C3">
        <w:t xml:space="preserve"> </w:t>
      </w:r>
      <w:r w:rsidR="00C23C17" w:rsidRPr="006D05C3">
        <w:t>(usually through Parts C and D of the program)</w:t>
      </w:r>
      <w:r w:rsidRPr="006D05C3">
        <w:t xml:space="preserve">. A subrecipient is a </w:t>
      </w:r>
      <w:r w:rsidR="00617FB9" w:rsidRPr="006D05C3">
        <w:t>provider organization</w:t>
      </w:r>
      <w:r w:rsidRPr="006D05C3">
        <w:t xml:space="preserve"> that receives RWHAP funds </w:t>
      </w:r>
      <w:r w:rsidR="00617FB9" w:rsidRPr="006D05C3">
        <w:rPr>
          <w:i/>
        </w:rPr>
        <w:t>indirectly</w:t>
      </w:r>
      <w:r w:rsidR="00617FB9" w:rsidRPr="006D05C3">
        <w:t xml:space="preserve"> </w:t>
      </w:r>
      <w:r w:rsidRPr="006D05C3">
        <w:t>through a subcontract with the city or state where it is located</w:t>
      </w:r>
      <w:r w:rsidR="00C23C17" w:rsidRPr="006D05C3">
        <w:t xml:space="preserve"> (usually through Parts A and B of the program)</w:t>
      </w:r>
      <w:r w:rsidRPr="006D05C3">
        <w:t xml:space="preserve">. Some provider organizations </w:t>
      </w:r>
      <w:r w:rsidR="00617FB9" w:rsidRPr="006D05C3">
        <w:t>are</w:t>
      </w:r>
      <w:r w:rsidRPr="006D05C3">
        <w:t xml:space="preserve"> both direct recipients and indirect subrecipients of RWHAP funding.</w:t>
      </w:r>
    </w:p>
    <w:p w14:paraId="29E0FB77" w14:textId="0C03B87D" w:rsidR="00776748" w:rsidRPr="006D05C3" w:rsidRDefault="00776748" w:rsidP="00776748">
      <w:pPr>
        <w:pStyle w:val="NormalSS"/>
        <w:rPr>
          <w:szCs w:val="24"/>
        </w:rPr>
      </w:pPr>
      <w:r w:rsidRPr="006D05C3">
        <w:rPr>
          <w:szCs w:val="22"/>
        </w:rPr>
        <w:t xml:space="preserve">We will sample and recruit RWHAP providers </w:t>
      </w:r>
      <w:r w:rsidR="00A60EC6" w:rsidRPr="006D05C3">
        <w:rPr>
          <w:szCs w:val="22"/>
        </w:rPr>
        <w:t xml:space="preserve">that either are </w:t>
      </w:r>
      <w:r w:rsidRPr="006D05C3">
        <w:rPr>
          <w:szCs w:val="22"/>
        </w:rPr>
        <w:t xml:space="preserve">not funded for OAHS </w:t>
      </w:r>
      <w:r w:rsidR="00A60EC6" w:rsidRPr="006D05C3">
        <w:rPr>
          <w:szCs w:val="22"/>
        </w:rPr>
        <w:t xml:space="preserve">or are funded for OAHS but do not provide this service to </w:t>
      </w:r>
      <w:r w:rsidRPr="006D05C3">
        <w:rPr>
          <w:szCs w:val="22"/>
        </w:rPr>
        <w:t xml:space="preserve">all of their clients. For </w:t>
      </w:r>
      <w:r w:rsidR="00A60EC6" w:rsidRPr="006D05C3">
        <w:rPr>
          <w:szCs w:val="22"/>
        </w:rPr>
        <w:t xml:space="preserve">these </w:t>
      </w:r>
      <w:r w:rsidRPr="006D05C3">
        <w:rPr>
          <w:szCs w:val="22"/>
        </w:rPr>
        <w:t xml:space="preserve">providers, we assume </w:t>
      </w:r>
      <w:r w:rsidR="00C325F1" w:rsidRPr="006D05C3">
        <w:rPr>
          <w:szCs w:val="22"/>
        </w:rPr>
        <w:t xml:space="preserve">that </w:t>
      </w:r>
      <w:r w:rsidRPr="006D05C3">
        <w:rPr>
          <w:szCs w:val="22"/>
        </w:rPr>
        <w:t>some</w:t>
      </w:r>
      <w:r w:rsidR="00A60EC6" w:rsidRPr="006D05C3">
        <w:rPr>
          <w:szCs w:val="22"/>
        </w:rPr>
        <w:t>, if not all,</w:t>
      </w:r>
      <w:r w:rsidRPr="006D05C3">
        <w:rPr>
          <w:szCs w:val="22"/>
        </w:rPr>
        <w:t xml:space="preserve"> of the</w:t>
      </w:r>
      <w:r w:rsidR="00A60EC6" w:rsidRPr="006D05C3">
        <w:rPr>
          <w:szCs w:val="22"/>
        </w:rPr>
        <w:t>ir</w:t>
      </w:r>
      <w:r w:rsidRPr="006D05C3">
        <w:rPr>
          <w:szCs w:val="22"/>
        </w:rPr>
        <w:t xml:space="preserve"> clients receive medical care </w:t>
      </w:r>
      <w:r w:rsidR="00A60EC6" w:rsidRPr="006D05C3">
        <w:rPr>
          <w:szCs w:val="22"/>
        </w:rPr>
        <w:t xml:space="preserve">from a </w:t>
      </w:r>
      <w:r w:rsidR="00C354E1" w:rsidRPr="006D05C3">
        <w:rPr>
          <w:szCs w:val="22"/>
        </w:rPr>
        <w:t>non-OAHS funded</w:t>
      </w:r>
      <w:r w:rsidR="00A60EC6" w:rsidRPr="006D05C3">
        <w:rPr>
          <w:szCs w:val="22"/>
        </w:rPr>
        <w:t xml:space="preserve"> provider</w:t>
      </w:r>
      <w:r w:rsidRPr="006D05C3">
        <w:rPr>
          <w:szCs w:val="22"/>
        </w:rPr>
        <w:t xml:space="preserve">. </w:t>
      </w:r>
      <w:r w:rsidR="00A60EC6" w:rsidRPr="006D05C3">
        <w:t>W</w:t>
      </w:r>
      <w:r w:rsidRPr="006D05C3">
        <w:t xml:space="preserve">e will gather information on the care </w:t>
      </w:r>
      <w:r w:rsidR="00A60EC6" w:rsidRPr="006D05C3">
        <w:t xml:space="preserve">that these non-OAHS </w:t>
      </w:r>
      <w:r w:rsidRPr="006D05C3">
        <w:t xml:space="preserve">clients receive through interviews with program managers, clinicians, </w:t>
      </w:r>
      <w:r w:rsidR="00A60EC6" w:rsidRPr="006D05C3">
        <w:t xml:space="preserve">and </w:t>
      </w:r>
      <w:r w:rsidRPr="006D05C3">
        <w:t>case managers</w:t>
      </w:r>
      <w:r w:rsidR="00A60EC6" w:rsidRPr="006D05C3">
        <w:t xml:space="preserve"> or other frontline staff</w:t>
      </w:r>
      <w:r w:rsidRPr="006D05C3">
        <w:t xml:space="preserve">. If the clinical information </w:t>
      </w:r>
      <w:r w:rsidR="00A60EC6" w:rsidRPr="006D05C3">
        <w:t xml:space="preserve">needed to estimate the core study outcomes </w:t>
      </w:r>
      <w:r w:rsidRPr="006D05C3">
        <w:t xml:space="preserve">is available in case management notes, the study team will attempt to recruit the </w:t>
      </w:r>
      <w:r w:rsidR="000477AB" w:rsidRPr="006D05C3">
        <w:t xml:space="preserve">RWHAP </w:t>
      </w:r>
      <w:r w:rsidRPr="006D05C3">
        <w:t>provider to participate in the study</w:t>
      </w:r>
      <w:r w:rsidR="000477AB" w:rsidRPr="006D05C3">
        <w:t xml:space="preserve">. In this case, we will </w:t>
      </w:r>
      <w:r w:rsidR="005A0331">
        <w:t xml:space="preserve">instruct </w:t>
      </w:r>
      <w:r w:rsidR="00F114E0">
        <w:t xml:space="preserve">the provider </w:t>
      </w:r>
      <w:r w:rsidR="005A0331">
        <w:t>staff to abstract</w:t>
      </w:r>
      <w:r w:rsidR="00F114E0">
        <w:t xml:space="preserve"> medical </w:t>
      </w:r>
      <w:r w:rsidR="002602AD">
        <w:t xml:space="preserve">record </w:t>
      </w:r>
      <w:r w:rsidR="00F114E0">
        <w:t>data</w:t>
      </w:r>
      <w:r w:rsidR="002602AD">
        <w:t xml:space="preserve"> </w:t>
      </w:r>
      <w:r w:rsidRPr="006D05C3">
        <w:t xml:space="preserve">for a </w:t>
      </w:r>
      <w:r w:rsidR="000D072F">
        <w:t xml:space="preserve">random </w:t>
      </w:r>
      <w:r w:rsidRPr="006D05C3">
        <w:t>sample of clients</w:t>
      </w:r>
      <w:r w:rsidR="002602AD">
        <w:t xml:space="preserve"> (or offer onsite or remote abstraction by the study team, if preferred).</w:t>
      </w:r>
      <w:r w:rsidRPr="006D05C3">
        <w:t xml:space="preserve"> If the </w:t>
      </w:r>
      <w:r w:rsidR="000477AB" w:rsidRPr="006D05C3">
        <w:t xml:space="preserve">RWHAP </w:t>
      </w:r>
      <w:r w:rsidRPr="006D05C3">
        <w:t>provider do</w:t>
      </w:r>
      <w:r w:rsidR="000477AB" w:rsidRPr="006D05C3">
        <w:t>es</w:t>
      </w:r>
      <w:r w:rsidRPr="006D05C3">
        <w:t xml:space="preserve"> not have </w:t>
      </w:r>
      <w:r w:rsidR="000477AB" w:rsidRPr="006D05C3">
        <w:t xml:space="preserve">the </w:t>
      </w:r>
      <w:r w:rsidRPr="006D05C3">
        <w:t xml:space="preserve">relevant clinical notes, we will ask the provider to refer our study team to the clients’ </w:t>
      </w:r>
      <w:r w:rsidR="00C354E1" w:rsidRPr="006D05C3">
        <w:t>non-OAHS funded</w:t>
      </w:r>
      <w:r w:rsidRPr="006D05C3">
        <w:t xml:space="preserve"> </w:t>
      </w:r>
      <w:r w:rsidR="007F4AFA" w:rsidRPr="006D05C3">
        <w:t>medical</w:t>
      </w:r>
      <w:r w:rsidRPr="006D05C3">
        <w:t xml:space="preserve"> provider</w:t>
      </w:r>
      <w:r w:rsidR="000477AB" w:rsidRPr="006D05C3">
        <w:t>(</w:t>
      </w:r>
      <w:r w:rsidRPr="006D05C3">
        <w:t>s) associated with a random sample of clients.</w:t>
      </w:r>
    </w:p>
    <w:p w14:paraId="0DC8480E" w14:textId="77777777" w:rsidR="00712DE2" w:rsidRDefault="00712DE2" w:rsidP="00776748">
      <w:pPr>
        <w:pStyle w:val="NormalSS"/>
        <w:rPr>
          <w:szCs w:val="24"/>
        </w:rPr>
      </w:pPr>
      <w:r>
        <w:rPr>
          <w:szCs w:val="24"/>
        </w:rPr>
        <w:br w:type="page"/>
      </w:r>
    </w:p>
    <w:p w14:paraId="371BD8FA" w14:textId="05C95A5F" w:rsidR="00776748" w:rsidRPr="006D05C3" w:rsidRDefault="00776748" w:rsidP="00776748">
      <w:pPr>
        <w:pStyle w:val="NormalSS"/>
        <w:rPr>
          <w:szCs w:val="24"/>
        </w:rPr>
      </w:pPr>
      <w:r w:rsidRPr="006D05C3">
        <w:rPr>
          <w:szCs w:val="24"/>
        </w:rPr>
        <w:t xml:space="preserve">We will not know </w:t>
      </w:r>
      <w:r w:rsidR="00617FB9" w:rsidRPr="006D05C3">
        <w:rPr>
          <w:szCs w:val="24"/>
        </w:rPr>
        <w:t xml:space="preserve">the number of </w:t>
      </w:r>
      <w:r w:rsidR="000477AB" w:rsidRPr="006D05C3">
        <w:rPr>
          <w:szCs w:val="24"/>
        </w:rPr>
        <w:t>non-OAHS RWHAP</w:t>
      </w:r>
      <w:r w:rsidR="00617FB9" w:rsidRPr="006D05C3">
        <w:rPr>
          <w:szCs w:val="24"/>
        </w:rPr>
        <w:t xml:space="preserve"> </w:t>
      </w:r>
      <w:r w:rsidRPr="006D05C3">
        <w:rPr>
          <w:szCs w:val="24"/>
        </w:rPr>
        <w:t xml:space="preserve">providers </w:t>
      </w:r>
      <w:r w:rsidR="00ED008A" w:rsidRPr="006D05C3">
        <w:rPr>
          <w:szCs w:val="24"/>
        </w:rPr>
        <w:t xml:space="preserve">in the respondent universe </w:t>
      </w:r>
      <w:r w:rsidRPr="006D05C3">
        <w:rPr>
          <w:szCs w:val="24"/>
        </w:rPr>
        <w:t xml:space="preserve">until we </w:t>
      </w:r>
      <w:r w:rsidR="00617FB9" w:rsidRPr="006D05C3">
        <w:rPr>
          <w:szCs w:val="24"/>
        </w:rPr>
        <w:t xml:space="preserve">construct </w:t>
      </w:r>
      <w:r w:rsidRPr="006D05C3">
        <w:rPr>
          <w:szCs w:val="24"/>
        </w:rPr>
        <w:t xml:space="preserve">the sampling frame. We will </w:t>
      </w:r>
      <w:r w:rsidR="00617FB9" w:rsidRPr="006D05C3">
        <w:rPr>
          <w:szCs w:val="24"/>
        </w:rPr>
        <w:t xml:space="preserve">construct </w:t>
      </w:r>
      <w:r w:rsidRPr="006D05C3">
        <w:rPr>
          <w:szCs w:val="24"/>
        </w:rPr>
        <w:t xml:space="preserve">the </w:t>
      </w:r>
      <w:r w:rsidR="000477AB" w:rsidRPr="006D05C3">
        <w:rPr>
          <w:szCs w:val="24"/>
        </w:rPr>
        <w:t>provider sampling</w:t>
      </w:r>
      <w:r w:rsidR="00617FB9" w:rsidRPr="006D05C3">
        <w:rPr>
          <w:szCs w:val="24"/>
        </w:rPr>
        <w:t xml:space="preserve"> </w:t>
      </w:r>
      <w:r w:rsidRPr="006D05C3">
        <w:rPr>
          <w:szCs w:val="24"/>
        </w:rPr>
        <w:t xml:space="preserve">frame using data from the 2017 RWHAP Service Report (RSR). To do this, we will first identify the relevant clients (that is, those who received only a non-OAHS RWHAP-funded service from a RWHAP provider) and then identify the recipient or subrecipient organizations they go to for RWHAP-funded services. </w:t>
      </w:r>
      <w:r w:rsidR="000477AB" w:rsidRPr="006D05C3">
        <w:t>To ensure we have sufficient power to produce estimates of process and clinical outcomes, we will exclude sites with fewer than 25 non-OAHS</w:t>
      </w:r>
      <w:r w:rsidR="000A6D44">
        <w:t xml:space="preserve"> clients</w:t>
      </w:r>
      <w:r w:rsidR="000477AB" w:rsidRPr="006D05C3">
        <w:t xml:space="preserve"> from the sample frame. </w:t>
      </w:r>
      <w:r w:rsidRPr="006D05C3">
        <w:rPr>
          <w:szCs w:val="24"/>
        </w:rPr>
        <w:t xml:space="preserve">We will sample 30 </w:t>
      </w:r>
      <w:r w:rsidR="00425970" w:rsidRPr="006D05C3">
        <w:rPr>
          <w:szCs w:val="24"/>
        </w:rPr>
        <w:t>non-OAHS</w:t>
      </w:r>
      <w:r w:rsidR="00150325" w:rsidRPr="006D05C3">
        <w:rPr>
          <w:szCs w:val="24"/>
        </w:rPr>
        <w:t xml:space="preserve"> </w:t>
      </w:r>
      <w:r w:rsidRPr="006D05C3">
        <w:rPr>
          <w:szCs w:val="24"/>
        </w:rPr>
        <w:t xml:space="preserve">RWHAP providers as described in section B.2.1. </w:t>
      </w:r>
    </w:p>
    <w:p w14:paraId="425FB301" w14:textId="4C1357AD" w:rsidR="00776748" w:rsidRPr="006D05C3" w:rsidRDefault="00776748" w:rsidP="00776748">
      <w:pPr>
        <w:pStyle w:val="NormalSS"/>
        <w:rPr>
          <w:szCs w:val="24"/>
        </w:rPr>
      </w:pPr>
      <w:r w:rsidRPr="006D05C3">
        <w:rPr>
          <w:szCs w:val="24"/>
        </w:rPr>
        <w:t xml:space="preserve">Within each selected and participating recipient or subrecipient, we will seek access to the clinical data for their RWHAP clients for whom </w:t>
      </w:r>
      <w:r w:rsidR="008275CB">
        <w:rPr>
          <w:szCs w:val="24"/>
        </w:rPr>
        <w:t>we</w:t>
      </w:r>
      <w:r w:rsidR="008275CB" w:rsidRPr="006D05C3">
        <w:rPr>
          <w:szCs w:val="24"/>
        </w:rPr>
        <w:t xml:space="preserve"> </w:t>
      </w:r>
      <w:r w:rsidRPr="006D05C3">
        <w:rPr>
          <w:szCs w:val="24"/>
        </w:rPr>
        <w:t xml:space="preserve">do not </w:t>
      </w:r>
      <w:r w:rsidR="008275CB">
        <w:rPr>
          <w:szCs w:val="24"/>
        </w:rPr>
        <w:t xml:space="preserve">already </w:t>
      </w:r>
      <w:r w:rsidRPr="006D05C3">
        <w:rPr>
          <w:szCs w:val="24"/>
        </w:rPr>
        <w:t xml:space="preserve">have clinical data in the RSR. </w:t>
      </w:r>
      <w:r w:rsidR="00E76E4F" w:rsidRPr="006D05C3">
        <w:rPr>
          <w:szCs w:val="24"/>
        </w:rPr>
        <w:t>If the RWHAP provider collects or has access to the relevant clinical information, we will abstract the information from the sampled provider organization</w:t>
      </w:r>
      <w:r w:rsidR="00D22A6E">
        <w:rPr>
          <w:szCs w:val="24"/>
        </w:rPr>
        <w:t xml:space="preserve"> (or instruct the site to do so, if preferred)</w:t>
      </w:r>
      <w:r w:rsidR="00E76E4F" w:rsidRPr="006D05C3">
        <w:rPr>
          <w:szCs w:val="24"/>
        </w:rPr>
        <w:t xml:space="preserve">. If the RWHAP does not have access to this information, we will attempt to obtain the data from the </w:t>
      </w:r>
      <w:r w:rsidR="00C354E1" w:rsidRPr="006D05C3">
        <w:rPr>
          <w:szCs w:val="24"/>
        </w:rPr>
        <w:t>non-OAHS funded</w:t>
      </w:r>
      <w:r w:rsidR="00E76E4F" w:rsidRPr="006D05C3">
        <w:rPr>
          <w:szCs w:val="24"/>
        </w:rPr>
        <w:t xml:space="preserve"> </w:t>
      </w:r>
      <w:r w:rsidR="007F4AFA" w:rsidRPr="006D05C3">
        <w:rPr>
          <w:szCs w:val="24"/>
        </w:rPr>
        <w:t>medical</w:t>
      </w:r>
      <w:r w:rsidR="00E76E4F" w:rsidRPr="006D05C3">
        <w:rPr>
          <w:szCs w:val="24"/>
        </w:rPr>
        <w:t xml:space="preserve"> providers where their clients go for medical care. </w:t>
      </w:r>
      <w:r w:rsidRPr="006D05C3">
        <w:rPr>
          <w:szCs w:val="24"/>
        </w:rPr>
        <w:t xml:space="preserve">If a provider has more than 50 </w:t>
      </w:r>
      <w:r w:rsidR="00E76E4F" w:rsidRPr="006D05C3">
        <w:rPr>
          <w:szCs w:val="24"/>
        </w:rPr>
        <w:t xml:space="preserve">non-OAHS </w:t>
      </w:r>
      <w:r w:rsidRPr="006D05C3">
        <w:rPr>
          <w:szCs w:val="24"/>
        </w:rPr>
        <w:t xml:space="preserve">clients, we will select a </w:t>
      </w:r>
      <w:r w:rsidR="00E03AE3" w:rsidRPr="006D05C3">
        <w:rPr>
          <w:szCs w:val="24"/>
        </w:rPr>
        <w:t xml:space="preserve">stratified </w:t>
      </w:r>
      <w:r w:rsidRPr="006D05C3">
        <w:rPr>
          <w:szCs w:val="24"/>
        </w:rPr>
        <w:t xml:space="preserve">random sample of 50. We will sample clients as described in section B.2.1. </w:t>
      </w:r>
    </w:p>
    <w:p w14:paraId="6C631270" w14:textId="7F158C92" w:rsidR="00776748" w:rsidRPr="006D05C3" w:rsidRDefault="000D072F" w:rsidP="004D1F2D">
      <w:pPr>
        <w:pStyle w:val="NormalSS"/>
        <w:rPr>
          <w:szCs w:val="24"/>
        </w:rPr>
      </w:pPr>
      <w:r>
        <w:rPr>
          <w:szCs w:val="24"/>
        </w:rPr>
        <w:t>W</w:t>
      </w:r>
      <w:r w:rsidR="00776748" w:rsidRPr="006D05C3">
        <w:rPr>
          <w:szCs w:val="24"/>
        </w:rPr>
        <w:t xml:space="preserve">e expect that most </w:t>
      </w:r>
      <w:r w:rsidR="00E76E4F" w:rsidRPr="006D05C3">
        <w:rPr>
          <w:szCs w:val="24"/>
        </w:rPr>
        <w:t>of the sampled RWHAP</w:t>
      </w:r>
      <w:r w:rsidR="00776748" w:rsidRPr="006D05C3">
        <w:rPr>
          <w:szCs w:val="24"/>
        </w:rPr>
        <w:t xml:space="preserve"> recipients or subrecipients </w:t>
      </w:r>
      <w:r w:rsidR="00E76E4F" w:rsidRPr="006D05C3">
        <w:rPr>
          <w:szCs w:val="24"/>
        </w:rPr>
        <w:t xml:space="preserve">will </w:t>
      </w:r>
      <w:r w:rsidR="00776748" w:rsidRPr="006D05C3">
        <w:rPr>
          <w:szCs w:val="24"/>
        </w:rPr>
        <w:t xml:space="preserve">have access to the encrypted unique client IDs (eUCIs) </w:t>
      </w:r>
      <w:r w:rsidR="00E76E4F" w:rsidRPr="006D05C3">
        <w:rPr>
          <w:szCs w:val="24"/>
        </w:rPr>
        <w:t xml:space="preserve">that </w:t>
      </w:r>
      <w:r>
        <w:rPr>
          <w:szCs w:val="24"/>
        </w:rPr>
        <w:t>we</w:t>
      </w:r>
      <w:r w:rsidRPr="006D05C3">
        <w:rPr>
          <w:szCs w:val="24"/>
        </w:rPr>
        <w:t xml:space="preserve"> </w:t>
      </w:r>
      <w:r w:rsidR="00E76E4F" w:rsidRPr="006D05C3">
        <w:rPr>
          <w:szCs w:val="24"/>
        </w:rPr>
        <w:t xml:space="preserve">use and report </w:t>
      </w:r>
      <w:r w:rsidR="00776748" w:rsidRPr="006D05C3">
        <w:rPr>
          <w:szCs w:val="24"/>
        </w:rPr>
        <w:t xml:space="preserve">in the RSR. </w:t>
      </w:r>
      <w:r w:rsidR="00E03AE3" w:rsidRPr="006D05C3">
        <w:rPr>
          <w:szCs w:val="24"/>
        </w:rPr>
        <w:t xml:space="preserve">(If a Type 1 provider does not maintain the eUCIs in its records, we will offer assistance in generating these numbers based on its clients’ name and demographic characteristics.) </w:t>
      </w:r>
      <w:r w:rsidR="00776748" w:rsidRPr="006D05C3">
        <w:rPr>
          <w:szCs w:val="24"/>
        </w:rPr>
        <w:t xml:space="preserve">For these providers, we will use the eUCI and demographic information on the RSR to identify (and sample if needed) the </w:t>
      </w:r>
      <w:r w:rsidR="00150325" w:rsidRPr="006D05C3">
        <w:rPr>
          <w:szCs w:val="24"/>
        </w:rPr>
        <w:t xml:space="preserve">non-OAHS </w:t>
      </w:r>
      <w:r w:rsidR="00776748" w:rsidRPr="006D05C3">
        <w:rPr>
          <w:szCs w:val="24"/>
        </w:rPr>
        <w:t xml:space="preserve">clients associated with each selected provider. It is possible that the </w:t>
      </w:r>
      <w:r w:rsidR="00575A76" w:rsidRPr="006D05C3">
        <w:rPr>
          <w:szCs w:val="24"/>
        </w:rPr>
        <w:t xml:space="preserve">RWHAP </w:t>
      </w:r>
      <w:r w:rsidR="00776748" w:rsidRPr="006D05C3">
        <w:rPr>
          <w:szCs w:val="24"/>
        </w:rPr>
        <w:t xml:space="preserve">recipient or subrecipient will have access to their clients’ clinical data through an affiliated clinic (and a shared health record system) or in their own case management records. If the </w:t>
      </w:r>
      <w:r w:rsidR="00575A76" w:rsidRPr="006D05C3">
        <w:rPr>
          <w:szCs w:val="24"/>
        </w:rPr>
        <w:t xml:space="preserve">RWHAP </w:t>
      </w:r>
      <w:r w:rsidR="00776748" w:rsidRPr="006D05C3">
        <w:rPr>
          <w:szCs w:val="24"/>
        </w:rPr>
        <w:t xml:space="preserve">providers do not </w:t>
      </w:r>
      <w:r w:rsidR="00575A76" w:rsidRPr="006D05C3">
        <w:rPr>
          <w:szCs w:val="24"/>
        </w:rPr>
        <w:t xml:space="preserve">collect or have access to the </w:t>
      </w:r>
      <w:r w:rsidR="00776748" w:rsidRPr="006D05C3">
        <w:rPr>
          <w:szCs w:val="24"/>
        </w:rPr>
        <w:t>relevant clinical</w:t>
      </w:r>
      <w:r w:rsidR="00575A76" w:rsidRPr="006D05C3">
        <w:rPr>
          <w:szCs w:val="24"/>
        </w:rPr>
        <w:t xml:space="preserve"> data</w:t>
      </w:r>
      <w:r w:rsidR="00776748" w:rsidRPr="006D05C3">
        <w:rPr>
          <w:szCs w:val="24"/>
        </w:rPr>
        <w:t xml:space="preserve">, we will ask the provider to refer and introduce our study team to the sampled clients’ </w:t>
      </w:r>
      <w:r w:rsidR="00C354E1" w:rsidRPr="006D05C3">
        <w:rPr>
          <w:szCs w:val="24"/>
        </w:rPr>
        <w:t>non-OAHS funded</w:t>
      </w:r>
      <w:r w:rsidR="00776748" w:rsidRPr="006D05C3">
        <w:rPr>
          <w:szCs w:val="24"/>
        </w:rPr>
        <w:t xml:space="preserve"> </w:t>
      </w:r>
      <w:r w:rsidR="007F4AFA" w:rsidRPr="006D05C3">
        <w:rPr>
          <w:szCs w:val="24"/>
        </w:rPr>
        <w:t>medical</w:t>
      </w:r>
      <w:r w:rsidR="00776748" w:rsidRPr="006D05C3">
        <w:rPr>
          <w:szCs w:val="24"/>
        </w:rPr>
        <w:t xml:space="preserve"> provider</w:t>
      </w:r>
      <w:r w:rsidR="00575A76" w:rsidRPr="006D05C3">
        <w:rPr>
          <w:szCs w:val="24"/>
        </w:rPr>
        <w:t>(</w:t>
      </w:r>
      <w:r w:rsidR="00776748" w:rsidRPr="006D05C3">
        <w:rPr>
          <w:szCs w:val="24"/>
        </w:rPr>
        <w:t>s</w:t>
      </w:r>
      <w:r w:rsidR="00575A76" w:rsidRPr="006D05C3">
        <w:rPr>
          <w:szCs w:val="24"/>
        </w:rPr>
        <w:t>)</w:t>
      </w:r>
      <w:r w:rsidR="00776748" w:rsidRPr="006D05C3">
        <w:rPr>
          <w:szCs w:val="24"/>
        </w:rPr>
        <w:t xml:space="preserve">. </w:t>
      </w:r>
      <w:r w:rsidR="00756AFC" w:rsidRPr="006D05C3">
        <w:rPr>
          <w:szCs w:val="24"/>
        </w:rPr>
        <w:t xml:space="preserve">Because </w:t>
      </w:r>
      <w:r w:rsidR="00776748" w:rsidRPr="006D05C3">
        <w:rPr>
          <w:szCs w:val="24"/>
        </w:rPr>
        <w:t xml:space="preserve">the </w:t>
      </w:r>
      <w:r w:rsidR="00575A76" w:rsidRPr="006D05C3">
        <w:rPr>
          <w:szCs w:val="24"/>
        </w:rPr>
        <w:t xml:space="preserve">non-OAHS </w:t>
      </w:r>
      <w:r w:rsidR="007F4AFA" w:rsidRPr="006D05C3">
        <w:rPr>
          <w:szCs w:val="24"/>
        </w:rPr>
        <w:t>medical</w:t>
      </w:r>
      <w:r w:rsidR="00575A76" w:rsidRPr="006D05C3">
        <w:rPr>
          <w:szCs w:val="24"/>
        </w:rPr>
        <w:t xml:space="preserve"> </w:t>
      </w:r>
      <w:r w:rsidR="00776748" w:rsidRPr="006D05C3">
        <w:rPr>
          <w:szCs w:val="24"/>
        </w:rPr>
        <w:t xml:space="preserve">provider is unlikely to have access to the clients’ eUCIs, we will ask the </w:t>
      </w:r>
      <w:r w:rsidR="00575A76" w:rsidRPr="006D05C3">
        <w:rPr>
          <w:szCs w:val="24"/>
        </w:rPr>
        <w:t xml:space="preserve">sampled RWHAP </w:t>
      </w:r>
      <w:r w:rsidR="00776748" w:rsidRPr="006D05C3">
        <w:rPr>
          <w:szCs w:val="24"/>
        </w:rPr>
        <w:t xml:space="preserve">provider to </w:t>
      </w:r>
      <w:r w:rsidR="00150325" w:rsidRPr="006D05C3">
        <w:rPr>
          <w:szCs w:val="24"/>
        </w:rPr>
        <w:t xml:space="preserve">prepare </w:t>
      </w:r>
      <w:r w:rsidR="00776748" w:rsidRPr="006D05C3">
        <w:rPr>
          <w:szCs w:val="24"/>
        </w:rPr>
        <w:t xml:space="preserve">a list that includes the first and last name, </w:t>
      </w:r>
      <w:r w:rsidR="00E03AE3" w:rsidRPr="006D05C3">
        <w:rPr>
          <w:szCs w:val="24"/>
        </w:rPr>
        <w:t>age</w:t>
      </w:r>
      <w:r w:rsidR="00776748" w:rsidRPr="006D05C3">
        <w:rPr>
          <w:szCs w:val="24"/>
        </w:rPr>
        <w:t xml:space="preserve">, </w:t>
      </w:r>
      <w:r w:rsidR="00150325" w:rsidRPr="006D05C3">
        <w:rPr>
          <w:szCs w:val="24"/>
        </w:rPr>
        <w:t xml:space="preserve">and </w:t>
      </w:r>
      <w:r w:rsidR="00776748" w:rsidRPr="006D05C3">
        <w:rPr>
          <w:szCs w:val="24"/>
        </w:rPr>
        <w:t>gender</w:t>
      </w:r>
      <w:r w:rsidR="00150325" w:rsidRPr="006D05C3">
        <w:rPr>
          <w:szCs w:val="24"/>
        </w:rPr>
        <w:t xml:space="preserve"> associated with the </w:t>
      </w:r>
      <w:r w:rsidR="00776748" w:rsidRPr="006D05C3">
        <w:rPr>
          <w:szCs w:val="24"/>
        </w:rPr>
        <w:t>eUCI</w:t>
      </w:r>
      <w:r w:rsidR="00756AFC" w:rsidRPr="006D05C3">
        <w:rPr>
          <w:szCs w:val="24"/>
        </w:rPr>
        <w:t>. We will ask the RWHAP provider to send the list of names</w:t>
      </w:r>
      <w:r w:rsidR="00776748" w:rsidRPr="006D05C3">
        <w:rPr>
          <w:szCs w:val="24"/>
        </w:rPr>
        <w:t xml:space="preserve"> to the </w:t>
      </w:r>
      <w:r w:rsidR="00575A76" w:rsidRPr="006D05C3">
        <w:rPr>
          <w:szCs w:val="24"/>
        </w:rPr>
        <w:t xml:space="preserve">non-OAHS </w:t>
      </w:r>
      <w:r w:rsidR="007F4AFA" w:rsidRPr="006D05C3">
        <w:rPr>
          <w:szCs w:val="24"/>
        </w:rPr>
        <w:t>medical</w:t>
      </w:r>
      <w:r w:rsidR="00776748" w:rsidRPr="006D05C3">
        <w:rPr>
          <w:szCs w:val="24"/>
        </w:rPr>
        <w:t xml:space="preserve"> provider</w:t>
      </w:r>
      <w:r w:rsidR="00756AFC" w:rsidRPr="006D05C3">
        <w:rPr>
          <w:szCs w:val="24"/>
        </w:rPr>
        <w:t>(s) where the client goes for medical care</w:t>
      </w:r>
      <w:r w:rsidR="00776748" w:rsidRPr="006D05C3">
        <w:rPr>
          <w:szCs w:val="24"/>
        </w:rPr>
        <w:t xml:space="preserve">. This list will remain with the </w:t>
      </w:r>
      <w:r w:rsidR="00575A76" w:rsidRPr="006D05C3">
        <w:rPr>
          <w:szCs w:val="24"/>
        </w:rPr>
        <w:t xml:space="preserve">RWHAP </w:t>
      </w:r>
      <w:r w:rsidR="00776748" w:rsidRPr="006D05C3">
        <w:rPr>
          <w:szCs w:val="24"/>
        </w:rPr>
        <w:t xml:space="preserve">and </w:t>
      </w:r>
      <w:r w:rsidR="00C354E1" w:rsidRPr="006D05C3">
        <w:rPr>
          <w:szCs w:val="24"/>
        </w:rPr>
        <w:t>non-OAHS funded</w:t>
      </w:r>
      <w:r w:rsidR="00575A76" w:rsidRPr="006D05C3">
        <w:rPr>
          <w:szCs w:val="24"/>
        </w:rPr>
        <w:t xml:space="preserve"> </w:t>
      </w:r>
      <w:r w:rsidR="00776748" w:rsidRPr="006D05C3">
        <w:rPr>
          <w:szCs w:val="24"/>
        </w:rPr>
        <w:t xml:space="preserve">providers and accessible to the study team </w:t>
      </w:r>
      <w:r w:rsidR="00A77032">
        <w:rPr>
          <w:szCs w:val="24"/>
        </w:rPr>
        <w:t xml:space="preserve">only </w:t>
      </w:r>
      <w:r w:rsidR="00AF6C15">
        <w:rPr>
          <w:szCs w:val="24"/>
        </w:rPr>
        <w:t xml:space="preserve">to </w:t>
      </w:r>
      <w:r w:rsidR="00776748" w:rsidRPr="006D05C3">
        <w:rPr>
          <w:szCs w:val="24"/>
        </w:rPr>
        <w:t>verify the medical record</w:t>
      </w:r>
      <w:r w:rsidR="00A77032">
        <w:rPr>
          <w:szCs w:val="24"/>
        </w:rPr>
        <w:t xml:space="preserve">s </w:t>
      </w:r>
      <w:r w:rsidR="00776748" w:rsidRPr="006D05C3">
        <w:rPr>
          <w:szCs w:val="24"/>
        </w:rPr>
        <w:t>abstract</w:t>
      </w:r>
      <w:r w:rsidR="00A77032">
        <w:rPr>
          <w:szCs w:val="24"/>
        </w:rPr>
        <w:t>ed</w:t>
      </w:r>
      <w:r w:rsidR="00AF6C15">
        <w:rPr>
          <w:szCs w:val="24"/>
        </w:rPr>
        <w:t xml:space="preserve"> (on</w:t>
      </w:r>
      <w:r w:rsidR="00D74852">
        <w:rPr>
          <w:szCs w:val="24"/>
        </w:rPr>
        <w:t>-</w:t>
      </w:r>
      <w:r w:rsidR="00AF6C15">
        <w:rPr>
          <w:szCs w:val="24"/>
        </w:rPr>
        <w:t>site or by the non-OAHS practice, if preferred).</w:t>
      </w:r>
    </w:p>
    <w:p w14:paraId="204FFE08" w14:textId="3E940602" w:rsidR="00246DB8" w:rsidRPr="006D05C3" w:rsidRDefault="00246DB8" w:rsidP="000E5937">
      <w:pPr>
        <w:pStyle w:val="H3Alpha"/>
      </w:pPr>
      <w:bookmarkStart w:id="5" w:name="_Toc476920452"/>
      <w:bookmarkStart w:id="6" w:name="_Toc265541"/>
      <w:r w:rsidRPr="006D05C3">
        <w:t>B.2.</w:t>
      </w:r>
      <w:r w:rsidR="006D05C3" w:rsidRPr="006D05C3">
        <w:tab/>
      </w:r>
      <w:r w:rsidRPr="006D05C3">
        <w:t xml:space="preserve">Procedures for </w:t>
      </w:r>
      <w:bookmarkEnd w:id="5"/>
      <w:r w:rsidRPr="006D05C3">
        <w:t>collection of information</w:t>
      </w:r>
      <w:bookmarkEnd w:id="6"/>
      <w:r w:rsidRPr="006D05C3">
        <w:t xml:space="preserve"> </w:t>
      </w:r>
    </w:p>
    <w:p w14:paraId="37D14D80" w14:textId="0FAEA684" w:rsidR="007023B1" w:rsidRPr="006D05C3" w:rsidRDefault="007023B1" w:rsidP="00F2427F">
      <w:pPr>
        <w:pStyle w:val="H4NumberNoTOC"/>
      </w:pPr>
      <w:r w:rsidRPr="006D05C3">
        <w:t>B.2.1</w:t>
      </w:r>
      <w:r w:rsidR="00FA63E8" w:rsidRPr="006D05C3">
        <w:t>.</w:t>
      </w:r>
      <w:r w:rsidRPr="006D05C3">
        <w:t xml:space="preserve"> </w:t>
      </w:r>
      <w:r w:rsidR="004D1F2D" w:rsidRPr="006D05C3">
        <w:tab/>
      </w:r>
      <w:r w:rsidRPr="006D05C3">
        <w:t>Statistical methodology for stratification and sample selection</w:t>
      </w:r>
    </w:p>
    <w:p w14:paraId="37FAD077" w14:textId="0D134B0D" w:rsidR="00E03AE3" w:rsidRPr="006D05C3" w:rsidRDefault="00E03AE3" w:rsidP="00E03AE3">
      <w:pPr>
        <w:pStyle w:val="NormalSS"/>
      </w:pPr>
      <w:r w:rsidRPr="00D06FCB">
        <w:t xml:space="preserve">After constructing a list of Type 1 RWHAP providers that meet the threshold criteria, we will select a stratified random sample of providers based on the characteristics shown in Table </w:t>
      </w:r>
      <w:r w:rsidR="00B500C7" w:rsidRPr="00D06FCB">
        <w:t>2</w:t>
      </w:r>
      <w:r w:rsidRPr="00D06FCB">
        <w:t xml:space="preserve">. We will </w:t>
      </w:r>
      <w:r w:rsidRPr="00D06FCB">
        <w:rPr>
          <w:i/>
        </w:rPr>
        <w:t>explicitly</w:t>
      </w:r>
      <w:r w:rsidRPr="00D06FCB">
        <w:t xml:space="preserve"> stratify the sample frame by </w:t>
      </w:r>
      <w:r w:rsidR="00E62114" w:rsidRPr="00D06FCB">
        <w:t xml:space="preserve">(1) whether or not the provider is located in a state that expanded its Medicaid program </w:t>
      </w:r>
      <w:r w:rsidR="005F7743" w:rsidRPr="00D06FCB">
        <w:t xml:space="preserve">after implementation of the 2010 Affordable Care Act </w:t>
      </w:r>
      <w:r w:rsidR="00E62114" w:rsidRPr="00D06FCB">
        <w:t>and</w:t>
      </w:r>
      <w:r w:rsidRPr="00D06FCB">
        <w:t xml:space="preserve"> </w:t>
      </w:r>
      <w:r w:rsidR="00E62114" w:rsidRPr="00D06FCB">
        <w:t>(2)</w:t>
      </w:r>
      <w:r w:rsidRPr="00D06FCB">
        <w:t xml:space="preserve"> the </w:t>
      </w:r>
      <w:r w:rsidR="005F7743" w:rsidRPr="00D06FCB">
        <w:t xml:space="preserve">non-OAHS </w:t>
      </w:r>
      <w:r w:rsidRPr="00D06FCB">
        <w:t>scenarios</w:t>
      </w:r>
      <w:r w:rsidR="00B500C7" w:rsidRPr="00D06FCB">
        <w:t xml:space="preserve"> previously described in this statement</w:t>
      </w:r>
      <w:r w:rsidRPr="00D06FCB">
        <w:t xml:space="preserve">. </w:t>
      </w:r>
      <w:r w:rsidR="00E62114" w:rsidRPr="00D06FCB">
        <w:t xml:space="preserve">We believe that the reason for </w:t>
      </w:r>
      <w:r w:rsidR="005F7743" w:rsidRPr="00D06FCB">
        <w:t xml:space="preserve">not receiving </w:t>
      </w:r>
      <w:r w:rsidR="00E62114" w:rsidRPr="00D06FCB">
        <w:t xml:space="preserve">OAHS </w:t>
      </w:r>
      <w:r w:rsidR="005F7743" w:rsidRPr="00D06FCB">
        <w:t xml:space="preserve">under the RWHAP </w:t>
      </w:r>
      <w:r w:rsidR="00E62114" w:rsidRPr="00D06FCB">
        <w:t xml:space="preserve">will vary between states that expanded Medicaid </w:t>
      </w:r>
      <w:r w:rsidR="008F1561" w:rsidRPr="00D06FCB">
        <w:t xml:space="preserve">versus </w:t>
      </w:r>
      <w:r w:rsidR="005F7743" w:rsidRPr="00D06FCB">
        <w:t>those that did</w:t>
      </w:r>
      <w:r w:rsidR="00E62114" w:rsidRPr="00D06FCB">
        <w:t xml:space="preserve"> not.</w:t>
      </w:r>
      <w:r w:rsidR="005F7743" w:rsidRPr="00D06FCB">
        <w:t xml:space="preserve"> States that expanded Medicaid are likely to have alternative sources of care and treatment and better clinical outcomes among their underserved residents. </w:t>
      </w:r>
      <w:r w:rsidR="00E62114" w:rsidRPr="00D06FCB">
        <w:t xml:space="preserve"> </w:t>
      </w:r>
      <w:r w:rsidRPr="00D06FCB">
        <w:t xml:space="preserve">For sampling purposes, we will </w:t>
      </w:r>
      <w:r w:rsidR="00D06FCB" w:rsidRPr="00D06FCB">
        <w:t xml:space="preserve">also </w:t>
      </w:r>
      <w:r w:rsidRPr="00D06FCB">
        <w:t xml:space="preserve">collapse the three scenarios into two groups: </w:t>
      </w:r>
      <w:r w:rsidR="00E62114" w:rsidRPr="00D06FCB">
        <w:t>nonmedical RWHAP providers (</w:t>
      </w:r>
      <w:r w:rsidRPr="00D06FCB">
        <w:t>Scenario A</w:t>
      </w:r>
      <w:r w:rsidR="00E62114" w:rsidRPr="00D06FCB">
        <w:t>)</w:t>
      </w:r>
      <w:r w:rsidRPr="00D06FCB">
        <w:t xml:space="preserve"> </w:t>
      </w:r>
      <w:r w:rsidR="00E62114" w:rsidRPr="00D06FCB">
        <w:t xml:space="preserve">and medical RWHAP providers </w:t>
      </w:r>
      <w:r w:rsidRPr="00D06FCB">
        <w:t>(</w:t>
      </w:r>
      <w:r w:rsidR="00E62114" w:rsidRPr="00D06FCB">
        <w:t>Scenarios B and C)</w:t>
      </w:r>
      <w:r w:rsidRPr="00D06FCB">
        <w:t xml:space="preserve">. We propose to collapse Scenarios </w:t>
      </w:r>
      <w:r w:rsidR="00E62114" w:rsidRPr="00D06FCB">
        <w:t>B</w:t>
      </w:r>
      <w:r w:rsidRPr="00D06FCB">
        <w:t xml:space="preserve"> and </w:t>
      </w:r>
      <w:r w:rsidR="00E62114" w:rsidRPr="00D06FCB">
        <w:t>C</w:t>
      </w:r>
      <w:r w:rsidRPr="00D06FCB">
        <w:t xml:space="preserve"> into a single stratum because they </w:t>
      </w:r>
      <w:r w:rsidR="00E62114" w:rsidRPr="00D06FCB">
        <w:t>both represent medical providers and thus the</w:t>
      </w:r>
      <w:r w:rsidR="008F1561" w:rsidRPr="00D06FCB">
        <w:t>ir</w:t>
      </w:r>
      <w:r w:rsidR="00E62114" w:rsidRPr="00D06FCB">
        <w:t xml:space="preserve"> non-OAHS client</w:t>
      </w:r>
      <w:r w:rsidR="008F1561" w:rsidRPr="00D06FCB">
        <w:t xml:space="preserve">s are </w:t>
      </w:r>
      <w:r w:rsidR="00E62114" w:rsidRPr="00D06FCB">
        <w:t xml:space="preserve">likely to </w:t>
      </w:r>
      <w:r w:rsidR="00D116A7" w:rsidRPr="00D06FCB">
        <w:t xml:space="preserve">have better access to medical care and treatment </w:t>
      </w:r>
      <w:r w:rsidR="00E62114" w:rsidRPr="00D06FCB">
        <w:t xml:space="preserve">than those who </w:t>
      </w:r>
      <w:r w:rsidR="00D06FCB" w:rsidRPr="00D06FCB">
        <w:t>are not linked to a RWHAP-funded medical provider</w:t>
      </w:r>
      <w:r w:rsidR="008F1561" w:rsidRPr="00D06FCB">
        <w:t>. We will</w:t>
      </w:r>
      <w:r w:rsidRPr="00D06FCB">
        <w:t xml:space="preserve"> allocate the sample based on the number of providers in each </w:t>
      </w:r>
      <w:r w:rsidR="008F1561" w:rsidRPr="00D06FCB">
        <w:t>type of state</w:t>
      </w:r>
      <w:r w:rsidRPr="00D06FCB">
        <w:t xml:space="preserve"> and scenario stratum.</w:t>
      </w:r>
    </w:p>
    <w:p w14:paraId="0385937F" w14:textId="5162704D" w:rsidR="00425970" w:rsidRPr="006D05C3" w:rsidRDefault="00425970" w:rsidP="004D1F2D">
      <w:pPr>
        <w:pStyle w:val="MarkforTableTitle"/>
      </w:pPr>
      <w:r w:rsidRPr="006D05C3">
        <w:t xml:space="preserve">Table </w:t>
      </w:r>
      <w:r w:rsidR="00C61137" w:rsidRPr="006D05C3">
        <w:t>2</w:t>
      </w:r>
      <w:r w:rsidRPr="006D05C3">
        <w:t xml:space="preserve">. Sampling strata for </w:t>
      </w:r>
      <w:r w:rsidR="00B500C7" w:rsidRPr="006D05C3">
        <w:t xml:space="preserve">Type 1 </w:t>
      </w:r>
      <w:r w:rsidRPr="006D05C3">
        <w:t>RWHAP provider</w:t>
      </w:r>
      <w:r w:rsidR="00B500C7" w:rsidRPr="006D05C3">
        <w:t>s</w:t>
      </w:r>
    </w:p>
    <w:tbl>
      <w:tblPr>
        <w:tblStyle w:val="LightList1"/>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853"/>
        <w:gridCol w:w="1567"/>
        <w:gridCol w:w="5156"/>
      </w:tblGrid>
      <w:tr w:rsidR="00425970" w:rsidRPr="006D05C3" w14:paraId="3F5A124A" w14:textId="77777777" w:rsidTr="00D06FCB">
        <w:trPr>
          <w:cnfStyle w:val="100000000000" w:firstRow="1" w:lastRow="0" w:firstColumn="0" w:lastColumn="0" w:oddVBand="0" w:evenVBand="0" w:oddHBand="0" w:evenHBand="0" w:firstRowFirstColumn="0" w:firstRowLastColumn="0" w:lastRowFirstColumn="0" w:lastRowLastColumn="0"/>
          <w:tblHeader/>
        </w:trPr>
        <w:tc>
          <w:tcPr>
            <w:tcW w:w="1490" w:type="pct"/>
            <w:shd w:val="clear" w:color="auto" w:fill="6C6F70"/>
            <w:vAlign w:val="bottom"/>
          </w:tcPr>
          <w:p w14:paraId="36782336" w14:textId="77777777" w:rsidR="00425970" w:rsidRPr="006D05C3" w:rsidRDefault="00425970" w:rsidP="004D1F2D">
            <w:pPr>
              <w:pStyle w:val="TableHeaderLeft"/>
              <w:rPr>
                <w:b/>
              </w:rPr>
            </w:pPr>
            <w:r w:rsidRPr="006D05C3">
              <w:rPr>
                <w:b/>
              </w:rPr>
              <w:t>Potential sampling strata</w:t>
            </w:r>
          </w:p>
        </w:tc>
        <w:tc>
          <w:tcPr>
            <w:tcW w:w="818" w:type="pct"/>
            <w:shd w:val="clear" w:color="auto" w:fill="6C6F70"/>
          </w:tcPr>
          <w:p w14:paraId="39EBB1AC" w14:textId="77777777" w:rsidR="00425970" w:rsidRPr="006D05C3" w:rsidRDefault="00425970" w:rsidP="004D1F2D">
            <w:pPr>
              <w:pStyle w:val="TableHeaderCenter"/>
              <w:rPr>
                <w:b/>
              </w:rPr>
            </w:pPr>
            <w:r w:rsidRPr="006D05C3">
              <w:rPr>
                <w:b/>
              </w:rPr>
              <w:t>Stratification method</w:t>
            </w:r>
          </w:p>
        </w:tc>
        <w:tc>
          <w:tcPr>
            <w:tcW w:w="2692" w:type="pct"/>
            <w:shd w:val="clear" w:color="auto" w:fill="6C6F70"/>
            <w:vAlign w:val="bottom"/>
          </w:tcPr>
          <w:p w14:paraId="220BF245" w14:textId="77777777" w:rsidR="00425970" w:rsidRPr="006D05C3" w:rsidRDefault="00425970" w:rsidP="004D1F2D">
            <w:pPr>
              <w:pStyle w:val="TableHeaderCenter"/>
              <w:rPr>
                <w:b/>
              </w:rPr>
            </w:pPr>
            <w:r w:rsidRPr="006D05C3">
              <w:rPr>
                <w:b/>
              </w:rPr>
              <w:t>Categories</w:t>
            </w:r>
          </w:p>
        </w:tc>
      </w:tr>
      <w:tr w:rsidR="00B500C7" w:rsidRPr="006D05C3" w14:paraId="307C9E6A" w14:textId="77777777" w:rsidTr="00D06FCB">
        <w:tc>
          <w:tcPr>
            <w:tcW w:w="1490" w:type="pct"/>
            <w:tcBorders>
              <w:bottom w:val="single" w:sz="2" w:space="0" w:color="BFBFBF" w:themeColor="background1" w:themeShade="BF"/>
            </w:tcBorders>
          </w:tcPr>
          <w:p w14:paraId="7D7C76D2" w14:textId="6D044C26" w:rsidR="00B500C7" w:rsidRPr="006D05C3" w:rsidRDefault="000A6D44" w:rsidP="00B500C7">
            <w:pPr>
              <w:pStyle w:val="TableText"/>
              <w:spacing w:before="40" w:after="40"/>
            </w:pPr>
            <w:r>
              <w:rPr>
                <w:rFonts w:cs="Arial"/>
                <w:szCs w:val="22"/>
              </w:rPr>
              <w:t>Medicaid expansion state</w:t>
            </w:r>
          </w:p>
        </w:tc>
        <w:tc>
          <w:tcPr>
            <w:tcW w:w="818" w:type="pct"/>
            <w:tcBorders>
              <w:bottom w:val="single" w:sz="2" w:space="0" w:color="BFBFBF" w:themeColor="background1" w:themeShade="BF"/>
            </w:tcBorders>
          </w:tcPr>
          <w:p w14:paraId="2AE7639B" w14:textId="1FCD105F" w:rsidR="00B500C7" w:rsidRPr="006D05C3" w:rsidRDefault="00B500C7" w:rsidP="00B500C7">
            <w:pPr>
              <w:pStyle w:val="TableText"/>
              <w:spacing w:before="40" w:after="40"/>
              <w:jc w:val="center"/>
            </w:pPr>
            <w:r w:rsidRPr="006D05C3">
              <w:rPr>
                <w:rFonts w:cs="Arial"/>
                <w:szCs w:val="22"/>
              </w:rPr>
              <w:t>Explicit</w:t>
            </w:r>
          </w:p>
        </w:tc>
        <w:tc>
          <w:tcPr>
            <w:tcW w:w="2692" w:type="pct"/>
            <w:tcBorders>
              <w:bottom w:val="single" w:sz="2" w:space="0" w:color="BFBFBF" w:themeColor="background1" w:themeShade="BF"/>
            </w:tcBorders>
          </w:tcPr>
          <w:p w14:paraId="09E4FAF7" w14:textId="6C424094" w:rsidR="00B500C7" w:rsidRPr="006D05C3" w:rsidRDefault="000A6D44" w:rsidP="00B500C7">
            <w:pPr>
              <w:pStyle w:val="TableText"/>
              <w:spacing w:before="40" w:after="40"/>
            </w:pPr>
            <w:r>
              <w:rPr>
                <w:rFonts w:cs="Arial"/>
                <w:szCs w:val="22"/>
              </w:rPr>
              <w:t>Expansion versus nonexpansion</w:t>
            </w:r>
            <w:r w:rsidR="005F7743">
              <w:rPr>
                <w:rFonts w:cs="Arial"/>
                <w:szCs w:val="22"/>
              </w:rPr>
              <w:t xml:space="preserve"> state</w:t>
            </w:r>
          </w:p>
        </w:tc>
      </w:tr>
      <w:tr w:rsidR="00B500C7" w:rsidRPr="006D05C3" w14:paraId="5E22BB64" w14:textId="77777777" w:rsidTr="00D06FCB">
        <w:tc>
          <w:tcPr>
            <w:tcW w:w="1490" w:type="pct"/>
            <w:tcBorders>
              <w:top w:val="single" w:sz="2" w:space="0" w:color="BFBFBF" w:themeColor="background1" w:themeShade="BF"/>
              <w:bottom w:val="single" w:sz="2" w:space="0" w:color="BFBFBF" w:themeColor="background1" w:themeShade="BF"/>
            </w:tcBorders>
          </w:tcPr>
          <w:p w14:paraId="37D60354" w14:textId="518AA6DC" w:rsidR="00B500C7" w:rsidRPr="006D05C3" w:rsidRDefault="00B500C7" w:rsidP="00B500C7">
            <w:pPr>
              <w:pStyle w:val="TableText"/>
              <w:spacing w:before="40" w:after="40"/>
            </w:pPr>
            <w:r w:rsidRPr="006D05C3">
              <w:rPr>
                <w:rFonts w:cs="Arial"/>
                <w:szCs w:val="22"/>
              </w:rPr>
              <w:t>OAHS scenario</w:t>
            </w:r>
          </w:p>
        </w:tc>
        <w:tc>
          <w:tcPr>
            <w:tcW w:w="818" w:type="pct"/>
            <w:tcBorders>
              <w:top w:val="single" w:sz="2" w:space="0" w:color="BFBFBF" w:themeColor="background1" w:themeShade="BF"/>
              <w:bottom w:val="single" w:sz="2" w:space="0" w:color="BFBFBF" w:themeColor="background1" w:themeShade="BF"/>
            </w:tcBorders>
          </w:tcPr>
          <w:p w14:paraId="284A778C" w14:textId="0525432B" w:rsidR="00B500C7" w:rsidRPr="006D05C3" w:rsidRDefault="00B500C7" w:rsidP="00B500C7">
            <w:pPr>
              <w:pStyle w:val="TableText"/>
              <w:spacing w:before="40" w:after="40"/>
              <w:jc w:val="center"/>
            </w:pPr>
            <w:r w:rsidRPr="006D05C3">
              <w:rPr>
                <w:rFonts w:cs="Arial"/>
                <w:szCs w:val="22"/>
              </w:rPr>
              <w:t>Explicit</w:t>
            </w:r>
          </w:p>
        </w:tc>
        <w:tc>
          <w:tcPr>
            <w:tcW w:w="2692" w:type="pct"/>
            <w:tcBorders>
              <w:top w:val="single" w:sz="2" w:space="0" w:color="BFBFBF" w:themeColor="background1" w:themeShade="BF"/>
              <w:bottom w:val="single" w:sz="2" w:space="0" w:color="BFBFBF" w:themeColor="background1" w:themeShade="BF"/>
            </w:tcBorders>
          </w:tcPr>
          <w:p w14:paraId="548042A1" w14:textId="450F849F" w:rsidR="00B500C7" w:rsidRPr="006D05C3" w:rsidRDefault="000A6D44" w:rsidP="00B500C7">
            <w:pPr>
              <w:numPr>
                <w:ilvl w:val="0"/>
                <w:numId w:val="7"/>
              </w:numPr>
              <w:spacing w:before="60" w:after="60" w:line="240" w:lineRule="auto"/>
              <w:ind w:left="252" w:hanging="252"/>
              <w:rPr>
                <w:rFonts w:ascii="Arial" w:hAnsi="Arial" w:cs="Arial"/>
                <w:sz w:val="18"/>
                <w:szCs w:val="22"/>
              </w:rPr>
            </w:pPr>
            <w:r>
              <w:rPr>
                <w:rFonts w:ascii="Arial" w:hAnsi="Arial" w:cs="Arial"/>
                <w:sz w:val="18"/>
                <w:szCs w:val="22"/>
              </w:rPr>
              <w:t xml:space="preserve">Nonmedical RWHAP providers (Scenario A) </w:t>
            </w:r>
          </w:p>
          <w:p w14:paraId="4BD8FB05" w14:textId="154E2586" w:rsidR="00B500C7" w:rsidRPr="006D05C3" w:rsidRDefault="000A6D44" w:rsidP="000A6D44">
            <w:pPr>
              <w:numPr>
                <w:ilvl w:val="0"/>
                <w:numId w:val="7"/>
              </w:numPr>
              <w:spacing w:before="60" w:after="60" w:line="240" w:lineRule="auto"/>
              <w:ind w:left="252" w:hanging="252"/>
            </w:pPr>
            <w:r>
              <w:rPr>
                <w:rFonts w:ascii="Arial" w:hAnsi="Arial" w:cs="Arial"/>
                <w:sz w:val="18"/>
                <w:szCs w:val="22"/>
              </w:rPr>
              <w:t xml:space="preserve">Medical </w:t>
            </w:r>
            <w:r w:rsidR="00B500C7" w:rsidRPr="006D05C3">
              <w:rPr>
                <w:rFonts w:ascii="Arial" w:hAnsi="Arial" w:cs="Arial"/>
                <w:sz w:val="18"/>
                <w:szCs w:val="22"/>
              </w:rPr>
              <w:t xml:space="preserve">RWHAP provider </w:t>
            </w:r>
            <w:r>
              <w:rPr>
                <w:rFonts w:ascii="Arial" w:hAnsi="Arial" w:cs="Arial"/>
                <w:sz w:val="18"/>
                <w:szCs w:val="22"/>
              </w:rPr>
              <w:t>(Scenarios B and C)</w:t>
            </w:r>
          </w:p>
        </w:tc>
      </w:tr>
      <w:tr w:rsidR="000A6D44" w:rsidRPr="006D05C3" w14:paraId="4E2FC1E7" w14:textId="77777777" w:rsidTr="00D06FCB">
        <w:tc>
          <w:tcPr>
            <w:tcW w:w="1490" w:type="pct"/>
            <w:tcBorders>
              <w:top w:val="single" w:sz="2" w:space="0" w:color="BFBFBF" w:themeColor="background1" w:themeShade="BF"/>
              <w:bottom w:val="single" w:sz="4" w:space="0" w:color="auto"/>
            </w:tcBorders>
          </w:tcPr>
          <w:p w14:paraId="2A8D9C5C" w14:textId="068637F5" w:rsidR="000A6D44" w:rsidRPr="006D05C3" w:rsidRDefault="000A6D44" w:rsidP="000A6D44">
            <w:pPr>
              <w:pStyle w:val="TableText"/>
              <w:spacing w:before="40" w:after="40"/>
            </w:pPr>
            <w:r w:rsidRPr="006D05C3">
              <w:rPr>
                <w:rFonts w:cs="Arial"/>
                <w:szCs w:val="22"/>
              </w:rPr>
              <w:t>Provider type</w:t>
            </w:r>
          </w:p>
        </w:tc>
        <w:tc>
          <w:tcPr>
            <w:tcW w:w="818" w:type="pct"/>
            <w:tcBorders>
              <w:top w:val="single" w:sz="2" w:space="0" w:color="BFBFBF" w:themeColor="background1" w:themeShade="BF"/>
              <w:bottom w:val="single" w:sz="4" w:space="0" w:color="auto"/>
            </w:tcBorders>
          </w:tcPr>
          <w:p w14:paraId="15B43231" w14:textId="661D743D" w:rsidR="000A6D44" w:rsidRPr="006D05C3" w:rsidRDefault="000A6D44" w:rsidP="000A6D44">
            <w:pPr>
              <w:pStyle w:val="TableText"/>
              <w:spacing w:before="40" w:after="40"/>
              <w:jc w:val="center"/>
            </w:pPr>
            <w:r w:rsidRPr="006D05C3">
              <w:rPr>
                <w:rFonts w:cs="Arial"/>
                <w:szCs w:val="22"/>
              </w:rPr>
              <w:t>Implicit</w:t>
            </w:r>
          </w:p>
        </w:tc>
        <w:tc>
          <w:tcPr>
            <w:tcW w:w="2692" w:type="pct"/>
            <w:tcBorders>
              <w:top w:val="single" w:sz="2" w:space="0" w:color="BFBFBF" w:themeColor="background1" w:themeShade="BF"/>
              <w:bottom w:val="single" w:sz="4" w:space="0" w:color="auto"/>
            </w:tcBorders>
          </w:tcPr>
          <w:p w14:paraId="3CF64131" w14:textId="130137E2" w:rsidR="000A6D44" w:rsidRPr="006D05C3" w:rsidRDefault="000A6D44" w:rsidP="000A6D44">
            <w:pPr>
              <w:pStyle w:val="TableText"/>
              <w:spacing w:before="40" w:after="40"/>
            </w:pPr>
            <w:r w:rsidRPr="006D05C3">
              <w:rPr>
                <w:rFonts w:cs="Arial"/>
                <w:szCs w:val="22"/>
              </w:rPr>
              <w:t>Based on categories reported in RSR</w:t>
            </w:r>
          </w:p>
        </w:tc>
      </w:tr>
    </w:tbl>
    <w:p w14:paraId="192E913D" w14:textId="77777777" w:rsidR="00425970" w:rsidRPr="006D05C3" w:rsidRDefault="00425970" w:rsidP="00425970">
      <w:pPr>
        <w:spacing w:after="120" w:line="240" w:lineRule="auto"/>
      </w:pPr>
    </w:p>
    <w:p w14:paraId="34FA08FF" w14:textId="1BA26E2F" w:rsidR="00B500C7" w:rsidRPr="006D05C3" w:rsidRDefault="00D116A7" w:rsidP="00B500C7">
      <w:pPr>
        <w:pStyle w:val="NormalSS"/>
      </w:pPr>
      <w:r>
        <w:t>Given the small number of providers in the study, w</w:t>
      </w:r>
      <w:r w:rsidR="00B500C7" w:rsidRPr="006D05C3">
        <w:t xml:space="preserve">e will </w:t>
      </w:r>
      <w:r w:rsidR="00B500C7" w:rsidRPr="006D05C3">
        <w:rPr>
          <w:i/>
        </w:rPr>
        <w:t>implicitly</w:t>
      </w:r>
      <w:r w:rsidR="00B500C7" w:rsidRPr="006D05C3">
        <w:t xml:space="preserve"> stratify within the explicit strata </w:t>
      </w:r>
      <w:r>
        <w:t>in two ways.  First, for those in the Scenario B and C group, we will implicitly stratify by scenario.  Second, for all groups, we will implicitly stratify by the type of provider organization, as reported in the 2017 RSR</w:t>
      </w:r>
      <w:r w:rsidR="00B500C7" w:rsidRPr="006D05C3">
        <w:t>. Implicit stratification refers to the sorting of the sampling frame by certain characteristics before sampling so that when a systematic or sequential sample is drawn from that frame, the resulting sample’s distribution will resemble that of the frame on those characteristics.</w:t>
      </w:r>
    </w:p>
    <w:p w14:paraId="37DCE229" w14:textId="77777777" w:rsidR="00B500C7" w:rsidRPr="006D05C3" w:rsidRDefault="00B500C7" w:rsidP="00B500C7">
      <w:pPr>
        <w:pStyle w:val="NormalSS"/>
      </w:pPr>
      <w:r w:rsidRPr="006D05C3">
        <w:t>Finally, we will select an augmented sample of 90 Type 1 RWHAP providers and then initially release a random subsample of 30 to recruit for the study. Should any provider refuse to participate in the study or be found ineligible during the initial telephone screening (discussed in Section II.C), we will release additional sample members from the same stratum in random order until we have recruited 30 for the study. We will set up an electronic system to track the final status of all sampled providers. This will help with study operations and with generating response rates and analysis weights at the end of the study.</w:t>
      </w:r>
    </w:p>
    <w:p w14:paraId="57840589" w14:textId="0BCDEBFC" w:rsidR="00712DE2" w:rsidRDefault="00425970" w:rsidP="00B500C7">
      <w:pPr>
        <w:pStyle w:val="NormalSS"/>
      </w:pPr>
      <w:r w:rsidRPr="006D05C3">
        <w:rPr>
          <w:b/>
        </w:rPr>
        <w:t>Screening for eligibility.</w:t>
      </w:r>
      <w:r w:rsidRPr="006D05C3">
        <w:t xml:space="preserve"> </w:t>
      </w:r>
      <w:r w:rsidR="00B500C7" w:rsidRPr="006D05C3">
        <w:t>After we select the subsample of 30 Type 1 RWHAP providers, we will conduct a pre-enrollment telephone screening with the administrator of each provider organization to confirm that the sampled provider meets the conditions of participation.</w:t>
      </w:r>
      <w:r w:rsidR="00B500C7" w:rsidRPr="006D05C3">
        <w:rPr>
          <w:u w:color="000080"/>
          <w:vertAlign w:val="superscript"/>
        </w:rPr>
        <w:footnoteReference w:id="1"/>
      </w:r>
      <w:r w:rsidR="00B500C7" w:rsidRPr="006D05C3">
        <w:t xml:space="preserve"> We will send the screener to the providers ahead of the screening so they can have data-driven answers ready when we call. If the provider is ineligible or unwilling to participate, we will conduct the same screening with a replacement provider. Specifically, during the call, we will seek to:</w:t>
      </w:r>
      <w:r w:rsidR="00712DE2">
        <w:br w:type="page"/>
      </w:r>
    </w:p>
    <w:p w14:paraId="7ED52F02" w14:textId="77777777" w:rsidR="00B500C7" w:rsidRPr="006D05C3" w:rsidRDefault="00B500C7" w:rsidP="00B500C7">
      <w:pPr>
        <w:pStyle w:val="NumberedBullet"/>
        <w:numPr>
          <w:ilvl w:val="0"/>
          <w:numId w:val="35"/>
        </w:numPr>
        <w:tabs>
          <w:tab w:val="clear" w:pos="792"/>
        </w:tabs>
        <w:ind w:left="432" w:hanging="432"/>
      </w:pPr>
      <w:r w:rsidRPr="006D05C3">
        <w:t xml:space="preserve">Confirm that the categories of services offered by the Type 1 provider (for example, OAHS, other core medical services, or support services) are consistent with those reported in the RSR. Services that would otherwise fall into RWHAP service categories might not appear in the RSR if the provider uses other sources of funding (for example, rebate dollars, program income, or external funding sources). </w:t>
      </w:r>
    </w:p>
    <w:p w14:paraId="5379628D" w14:textId="092529EA" w:rsidR="00B500C7" w:rsidRPr="006D05C3" w:rsidRDefault="0013410E" w:rsidP="00B500C7">
      <w:pPr>
        <w:pStyle w:val="NumberedBullet"/>
        <w:numPr>
          <w:ilvl w:val="0"/>
          <w:numId w:val="35"/>
        </w:numPr>
        <w:tabs>
          <w:tab w:val="clear" w:pos="792"/>
        </w:tabs>
        <w:ind w:left="432" w:hanging="432"/>
      </w:pPr>
      <w:r>
        <w:t>D</w:t>
      </w:r>
      <w:r w:rsidR="00B500C7" w:rsidRPr="006D05C3">
        <w:t>etermine whether the provider knows where its non-OAHS clients go for medical care and, if the provider does know, identify the Type 2 providers and obtain an estimate of the number of their non-OAHS clients who go to each one.</w:t>
      </w:r>
    </w:p>
    <w:p w14:paraId="72C69AC1" w14:textId="2C8ABB8B" w:rsidR="00B500C7" w:rsidRPr="006D05C3" w:rsidRDefault="00B500C7" w:rsidP="00B500C7">
      <w:pPr>
        <w:pStyle w:val="NumberedBulletLastSS"/>
        <w:numPr>
          <w:ilvl w:val="0"/>
          <w:numId w:val="35"/>
        </w:numPr>
        <w:tabs>
          <w:tab w:val="clear" w:pos="792"/>
        </w:tabs>
        <w:ind w:left="432" w:hanging="432"/>
      </w:pPr>
      <w:r w:rsidRPr="006D05C3">
        <w:t xml:space="preserve">Assess the feasibility of medical </w:t>
      </w:r>
      <w:r w:rsidR="00AF6C15" w:rsidRPr="006D05C3">
        <w:t>record</w:t>
      </w:r>
      <w:r w:rsidR="00AF6C15">
        <w:t xml:space="preserve"> abstraction</w:t>
      </w:r>
      <w:r w:rsidR="00AF6C15" w:rsidRPr="006D05C3">
        <w:t xml:space="preserve"> </w:t>
      </w:r>
      <w:r w:rsidRPr="006D05C3">
        <w:t xml:space="preserve">of non-OAHS clients. We will determine whether the sampled Type 1 provider collects and maintains records to track retention in care, prescription of ART, and viral suppression for non-OAHS clients. If not, we will assess the Type 1 provider’s relationship with non-funded OAHS providers and whether they think these Type 2 providers would be willing to </w:t>
      </w:r>
      <w:r w:rsidR="0054409C">
        <w:t xml:space="preserve">perform medical record abstractions (or </w:t>
      </w:r>
      <w:r w:rsidRPr="006D05C3">
        <w:t xml:space="preserve">give </w:t>
      </w:r>
      <w:r w:rsidR="0054409C">
        <w:t xml:space="preserve">the study team </w:t>
      </w:r>
      <w:r w:rsidRPr="006D05C3">
        <w:t>access to the clinical records of their OAHS clients</w:t>
      </w:r>
      <w:r w:rsidR="0054409C">
        <w:t>, if preferred).</w:t>
      </w:r>
    </w:p>
    <w:p w14:paraId="482BCEA8" w14:textId="49B8D89D" w:rsidR="00B500C7" w:rsidRPr="006D05C3" w:rsidRDefault="00B500C7" w:rsidP="00B500C7">
      <w:pPr>
        <w:pStyle w:val="NormalSS"/>
      </w:pPr>
      <w:r w:rsidRPr="006D05C3">
        <w:t>We will use the information collected through the pre-enrollment telephone screening to determine whether the sampled Type 1 provider is eligible for the study. Table 3 shows our criteria and how we will apply them. If the sampled provider serves at least 25 non-OAHS clients, collects</w:t>
      </w:r>
      <w:r w:rsidRPr="006D05C3" w:rsidDel="003B6A42">
        <w:t xml:space="preserve"> </w:t>
      </w:r>
      <w:r w:rsidRPr="006D05C3">
        <w:t xml:space="preserve">the data elements needed for this study, and </w:t>
      </w:r>
      <w:r w:rsidR="00B47887">
        <w:t xml:space="preserve">can participate in </w:t>
      </w:r>
      <w:r w:rsidR="00F114E0">
        <w:t xml:space="preserve">medical record </w:t>
      </w:r>
      <w:r w:rsidR="00B47887">
        <w:t xml:space="preserve">abstraction, </w:t>
      </w:r>
      <w:r w:rsidRPr="006D05C3">
        <w:t xml:space="preserve">we will recruit that organization. However, if the sample Type 1 provider does not have this information, we will restrict recruitment to Type 1 providers that (1) know where a minimum of 20 of their non-OAHS clients go for medical care, (2) have at least 10 of their clients going to the same Type 2 medical provider, and (3) believe that the Type 2 provider will </w:t>
      </w:r>
      <w:r w:rsidR="00B47887">
        <w:t xml:space="preserve">participate in medical record abstraction for the </w:t>
      </w:r>
      <w:r w:rsidRPr="006D05C3">
        <w:t>OAHS clients. We will visit up to two Type 2 providers per site visit.</w:t>
      </w:r>
    </w:p>
    <w:p w14:paraId="69FDB6BC" w14:textId="2BF0C758" w:rsidR="00425970" w:rsidRPr="006D05C3" w:rsidRDefault="00425970" w:rsidP="004D1F2D">
      <w:pPr>
        <w:pStyle w:val="MarkforTableTitle"/>
      </w:pPr>
      <w:r w:rsidRPr="006D05C3">
        <w:t xml:space="preserve">Table </w:t>
      </w:r>
      <w:r w:rsidR="00C61137" w:rsidRPr="006D05C3">
        <w:t>3</w:t>
      </w:r>
      <w:r w:rsidRPr="006D05C3">
        <w:t>. Criteria for recruiting sampled providers to participate in study</w:t>
      </w:r>
    </w:p>
    <w:tbl>
      <w:tblPr>
        <w:tblStyle w:val="LightList1"/>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5526"/>
        <w:gridCol w:w="2024"/>
        <w:gridCol w:w="2026"/>
      </w:tblGrid>
      <w:tr w:rsidR="00425970" w:rsidRPr="006D05C3" w14:paraId="2910A99D" w14:textId="77777777" w:rsidTr="00CF4133">
        <w:trPr>
          <w:cnfStyle w:val="100000000000" w:firstRow="1" w:lastRow="0" w:firstColumn="0" w:lastColumn="0" w:oddVBand="0" w:evenVBand="0" w:oddHBand="0" w:evenHBand="0" w:firstRowFirstColumn="0" w:firstRowLastColumn="0" w:lastRowFirstColumn="0" w:lastRowLastColumn="0"/>
          <w:tblHeader/>
        </w:trPr>
        <w:tc>
          <w:tcPr>
            <w:tcW w:w="2885" w:type="pct"/>
            <w:shd w:val="clear" w:color="auto" w:fill="6C6F70"/>
          </w:tcPr>
          <w:p w14:paraId="4558481A" w14:textId="77777777" w:rsidR="00425970" w:rsidRPr="006D05C3" w:rsidRDefault="00425970" w:rsidP="004D1F2D">
            <w:pPr>
              <w:pStyle w:val="TableHeaderCenter"/>
              <w:rPr>
                <w:b/>
              </w:rPr>
            </w:pPr>
            <w:r w:rsidRPr="006D05C3">
              <w:rPr>
                <w:b/>
              </w:rPr>
              <w:t>Inclusion criteria</w:t>
            </w:r>
          </w:p>
        </w:tc>
        <w:tc>
          <w:tcPr>
            <w:tcW w:w="1057" w:type="pct"/>
            <w:shd w:val="clear" w:color="auto" w:fill="6C6F70"/>
          </w:tcPr>
          <w:p w14:paraId="66D2E64F" w14:textId="77777777" w:rsidR="00425970" w:rsidRPr="006D05C3" w:rsidRDefault="00425970" w:rsidP="004D1F2D">
            <w:pPr>
              <w:pStyle w:val="TableHeaderCenter"/>
              <w:rPr>
                <w:b/>
              </w:rPr>
            </w:pPr>
            <w:r w:rsidRPr="006D05C3">
              <w:rPr>
                <w:b/>
              </w:rPr>
              <w:t>If yes</w:t>
            </w:r>
          </w:p>
        </w:tc>
        <w:tc>
          <w:tcPr>
            <w:tcW w:w="1058" w:type="pct"/>
            <w:shd w:val="clear" w:color="auto" w:fill="6C6F70"/>
          </w:tcPr>
          <w:p w14:paraId="43DA4EDF" w14:textId="77777777" w:rsidR="00425970" w:rsidRPr="006D05C3" w:rsidRDefault="00425970" w:rsidP="004D1F2D">
            <w:pPr>
              <w:pStyle w:val="TableHeaderCenter"/>
              <w:rPr>
                <w:b/>
              </w:rPr>
            </w:pPr>
            <w:r w:rsidRPr="006D05C3">
              <w:rPr>
                <w:b/>
              </w:rPr>
              <w:t>If no</w:t>
            </w:r>
          </w:p>
        </w:tc>
      </w:tr>
      <w:tr w:rsidR="00B500C7" w:rsidRPr="006D05C3" w14:paraId="273BEC2F" w14:textId="77777777" w:rsidTr="00390A12">
        <w:tc>
          <w:tcPr>
            <w:tcW w:w="2885" w:type="pct"/>
            <w:tcBorders>
              <w:bottom w:val="single" w:sz="2" w:space="0" w:color="BFBFBF" w:themeColor="background1" w:themeShade="BF"/>
            </w:tcBorders>
            <w:vAlign w:val="center"/>
          </w:tcPr>
          <w:p w14:paraId="7F47B563" w14:textId="35C3E94A" w:rsidR="00B500C7" w:rsidRPr="006D05C3" w:rsidRDefault="00B500C7" w:rsidP="00390A12">
            <w:pPr>
              <w:pStyle w:val="TableText"/>
              <w:spacing w:before="40" w:after="40"/>
            </w:pPr>
            <w:r w:rsidRPr="006D05C3">
              <w:rPr>
                <w:rFonts w:cs="Arial"/>
                <w:szCs w:val="22"/>
              </w:rPr>
              <w:t>Serves at least 25 non-OAHS clients</w:t>
            </w:r>
          </w:p>
        </w:tc>
        <w:tc>
          <w:tcPr>
            <w:tcW w:w="1057" w:type="pct"/>
            <w:tcBorders>
              <w:bottom w:val="single" w:sz="2" w:space="0" w:color="BFBFBF" w:themeColor="background1" w:themeShade="BF"/>
            </w:tcBorders>
            <w:vAlign w:val="center"/>
          </w:tcPr>
          <w:p w14:paraId="7D06907F" w14:textId="77777777" w:rsidR="00B500C7" w:rsidRPr="006D05C3" w:rsidRDefault="00B500C7" w:rsidP="00390A12">
            <w:pPr>
              <w:pStyle w:val="TableText"/>
              <w:spacing w:before="40" w:after="40"/>
            </w:pPr>
            <w:r w:rsidRPr="006D05C3">
              <w:t>Move to criterion #2</w:t>
            </w:r>
          </w:p>
        </w:tc>
        <w:tc>
          <w:tcPr>
            <w:tcW w:w="1058" w:type="pct"/>
            <w:tcBorders>
              <w:bottom w:val="single" w:sz="2" w:space="0" w:color="BFBFBF" w:themeColor="background1" w:themeShade="BF"/>
            </w:tcBorders>
            <w:vAlign w:val="center"/>
          </w:tcPr>
          <w:p w14:paraId="7FE249F3" w14:textId="77777777" w:rsidR="00B500C7" w:rsidRPr="006D05C3" w:rsidRDefault="00B500C7" w:rsidP="00390A12">
            <w:pPr>
              <w:pStyle w:val="TableText"/>
              <w:spacing w:before="40" w:after="40"/>
              <w:rPr>
                <w:color w:val="FF0000"/>
              </w:rPr>
            </w:pPr>
            <w:r w:rsidRPr="006D05C3">
              <w:rPr>
                <w:color w:val="FF0000"/>
              </w:rPr>
              <w:t>Terminate recruitment</w:t>
            </w:r>
          </w:p>
        </w:tc>
      </w:tr>
      <w:tr w:rsidR="00B500C7" w:rsidRPr="006D05C3" w14:paraId="5A249B15" w14:textId="77777777" w:rsidTr="00390A12">
        <w:tc>
          <w:tcPr>
            <w:tcW w:w="2885" w:type="pct"/>
            <w:tcBorders>
              <w:top w:val="single" w:sz="2" w:space="0" w:color="BFBFBF" w:themeColor="background1" w:themeShade="BF"/>
              <w:bottom w:val="single" w:sz="2" w:space="0" w:color="BFBFBF" w:themeColor="background1" w:themeShade="BF"/>
            </w:tcBorders>
            <w:vAlign w:val="center"/>
          </w:tcPr>
          <w:p w14:paraId="40E0991F" w14:textId="2D639925" w:rsidR="00B500C7" w:rsidRPr="006D05C3" w:rsidRDefault="00B500C7" w:rsidP="00390A12">
            <w:pPr>
              <w:pStyle w:val="TableText"/>
              <w:spacing w:before="40" w:after="40"/>
            </w:pPr>
            <w:r w:rsidRPr="006D05C3">
              <w:rPr>
                <w:rFonts w:cs="Arial"/>
                <w:szCs w:val="22"/>
              </w:rPr>
              <w:t>Collects needed service and clinical data elements</w:t>
            </w:r>
          </w:p>
        </w:tc>
        <w:tc>
          <w:tcPr>
            <w:tcW w:w="1057" w:type="pct"/>
            <w:tcBorders>
              <w:top w:val="single" w:sz="2" w:space="0" w:color="BFBFBF" w:themeColor="background1" w:themeShade="BF"/>
              <w:bottom w:val="single" w:sz="2" w:space="0" w:color="BFBFBF" w:themeColor="background1" w:themeShade="BF"/>
            </w:tcBorders>
            <w:vAlign w:val="center"/>
          </w:tcPr>
          <w:p w14:paraId="035F1022" w14:textId="77777777" w:rsidR="00B500C7" w:rsidRPr="006D05C3" w:rsidRDefault="00B500C7" w:rsidP="00390A12">
            <w:pPr>
              <w:pStyle w:val="TableText"/>
              <w:spacing w:before="40" w:after="40"/>
              <w:rPr>
                <w:color w:val="00B050"/>
              </w:rPr>
            </w:pPr>
            <w:r w:rsidRPr="006D05C3">
              <w:rPr>
                <w:color w:val="00B050"/>
              </w:rPr>
              <w:t>Initiate recruitment</w:t>
            </w:r>
          </w:p>
        </w:tc>
        <w:tc>
          <w:tcPr>
            <w:tcW w:w="1058" w:type="pct"/>
            <w:tcBorders>
              <w:top w:val="single" w:sz="2" w:space="0" w:color="BFBFBF" w:themeColor="background1" w:themeShade="BF"/>
              <w:bottom w:val="single" w:sz="2" w:space="0" w:color="BFBFBF" w:themeColor="background1" w:themeShade="BF"/>
            </w:tcBorders>
            <w:vAlign w:val="center"/>
          </w:tcPr>
          <w:p w14:paraId="70FAA1F8" w14:textId="77777777" w:rsidR="00B500C7" w:rsidRPr="006D05C3" w:rsidRDefault="00B500C7" w:rsidP="00390A12">
            <w:pPr>
              <w:pStyle w:val="TableText"/>
              <w:spacing w:before="40" w:after="40"/>
            </w:pPr>
            <w:r w:rsidRPr="006D05C3">
              <w:t>Move to criterion #3</w:t>
            </w:r>
          </w:p>
        </w:tc>
      </w:tr>
      <w:tr w:rsidR="00B500C7" w:rsidRPr="006D05C3" w14:paraId="6EA75699" w14:textId="77777777" w:rsidTr="00390A12">
        <w:tc>
          <w:tcPr>
            <w:tcW w:w="2885" w:type="pct"/>
            <w:tcBorders>
              <w:top w:val="single" w:sz="2" w:space="0" w:color="BFBFBF" w:themeColor="background1" w:themeShade="BF"/>
              <w:bottom w:val="single" w:sz="2" w:space="0" w:color="BFBFBF" w:themeColor="background1" w:themeShade="BF"/>
            </w:tcBorders>
            <w:vAlign w:val="center"/>
          </w:tcPr>
          <w:p w14:paraId="495E555C" w14:textId="7B8B093E" w:rsidR="00B500C7" w:rsidRPr="006D05C3" w:rsidRDefault="00B500C7" w:rsidP="00390A12">
            <w:pPr>
              <w:pStyle w:val="TableText"/>
              <w:spacing w:before="40" w:after="40"/>
            </w:pPr>
            <w:r w:rsidRPr="006D05C3">
              <w:rPr>
                <w:rFonts w:cs="Arial"/>
                <w:szCs w:val="22"/>
              </w:rPr>
              <w:t>Knows where at least 20 non-OAHS clients go for medical care</w:t>
            </w:r>
          </w:p>
        </w:tc>
        <w:tc>
          <w:tcPr>
            <w:tcW w:w="1057" w:type="pct"/>
            <w:tcBorders>
              <w:top w:val="single" w:sz="2" w:space="0" w:color="BFBFBF" w:themeColor="background1" w:themeShade="BF"/>
              <w:bottom w:val="single" w:sz="2" w:space="0" w:color="BFBFBF" w:themeColor="background1" w:themeShade="BF"/>
            </w:tcBorders>
            <w:vAlign w:val="center"/>
          </w:tcPr>
          <w:p w14:paraId="42FD975E" w14:textId="77777777" w:rsidR="00B500C7" w:rsidRPr="006D05C3" w:rsidRDefault="00B500C7" w:rsidP="00390A12">
            <w:pPr>
              <w:pStyle w:val="TableText"/>
              <w:spacing w:before="40" w:after="40"/>
            </w:pPr>
            <w:r w:rsidRPr="006D05C3">
              <w:t>Move to criterion #4</w:t>
            </w:r>
          </w:p>
        </w:tc>
        <w:tc>
          <w:tcPr>
            <w:tcW w:w="1058" w:type="pct"/>
            <w:tcBorders>
              <w:top w:val="single" w:sz="2" w:space="0" w:color="BFBFBF" w:themeColor="background1" w:themeShade="BF"/>
              <w:bottom w:val="single" w:sz="2" w:space="0" w:color="BFBFBF" w:themeColor="background1" w:themeShade="BF"/>
            </w:tcBorders>
            <w:vAlign w:val="center"/>
          </w:tcPr>
          <w:p w14:paraId="15A4CF09" w14:textId="77777777" w:rsidR="00B500C7" w:rsidRPr="006D05C3" w:rsidRDefault="00B500C7" w:rsidP="00390A12">
            <w:pPr>
              <w:pStyle w:val="TableText"/>
              <w:spacing w:before="40" w:after="40"/>
              <w:rPr>
                <w:color w:val="FF0000"/>
              </w:rPr>
            </w:pPr>
            <w:r w:rsidRPr="006D05C3">
              <w:rPr>
                <w:color w:val="FF0000"/>
              </w:rPr>
              <w:t>Terminate recruitment</w:t>
            </w:r>
          </w:p>
        </w:tc>
      </w:tr>
      <w:tr w:rsidR="00B500C7" w:rsidRPr="006D05C3" w14:paraId="54CC3411" w14:textId="77777777" w:rsidTr="00390A12">
        <w:tc>
          <w:tcPr>
            <w:tcW w:w="2885" w:type="pct"/>
            <w:tcBorders>
              <w:top w:val="single" w:sz="2" w:space="0" w:color="BFBFBF" w:themeColor="background1" w:themeShade="BF"/>
              <w:bottom w:val="single" w:sz="2" w:space="0" w:color="BFBFBF" w:themeColor="background1" w:themeShade="BF"/>
            </w:tcBorders>
            <w:vAlign w:val="center"/>
          </w:tcPr>
          <w:p w14:paraId="24B20C9E" w14:textId="1CADF419" w:rsidR="00B500C7" w:rsidRPr="006D05C3" w:rsidRDefault="00B500C7" w:rsidP="00390A12">
            <w:pPr>
              <w:pStyle w:val="TableText"/>
              <w:spacing w:before="40" w:after="40"/>
            </w:pPr>
            <w:r w:rsidRPr="006D05C3">
              <w:rPr>
                <w:rFonts w:cs="Arial"/>
                <w:szCs w:val="22"/>
              </w:rPr>
              <w:t>Has at least 10 non-OAHS clients who see the same Type 2 medical provider</w:t>
            </w:r>
          </w:p>
        </w:tc>
        <w:tc>
          <w:tcPr>
            <w:tcW w:w="1057" w:type="pct"/>
            <w:tcBorders>
              <w:top w:val="single" w:sz="2" w:space="0" w:color="BFBFBF" w:themeColor="background1" w:themeShade="BF"/>
              <w:bottom w:val="single" w:sz="2" w:space="0" w:color="BFBFBF" w:themeColor="background1" w:themeShade="BF"/>
            </w:tcBorders>
            <w:vAlign w:val="center"/>
          </w:tcPr>
          <w:p w14:paraId="5D9AC590" w14:textId="77777777" w:rsidR="00B500C7" w:rsidRPr="006D05C3" w:rsidRDefault="00B500C7" w:rsidP="00390A12">
            <w:pPr>
              <w:pStyle w:val="TableText"/>
              <w:spacing w:before="40" w:after="40"/>
            </w:pPr>
            <w:r w:rsidRPr="006D05C3">
              <w:t>Move to criterion #5</w:t>
            </w:r>
          </w:p>
        </w:tc>
        <w:tc>
          <w:tcPr>
            <w:tcW w:w="1058" w:type="pct"/>
            <w:tcBorders>
              <w:top w:val="single" w:sz="2" w:space="0" w:color="BFBFBF" w:themeColor="background1" w:themeShade="BF"/>
              <w:bottom w:val="single" w:sz="2" w:space="0" w:color="BFBFBF" w:themeColor="background1" w:themeShade="BF"/>
            </w:tcBorders>
            <w:vAlign w:val="center"/>
          </w:tcPr>
          <w:p w14:paraId="159A200C" w14:textId="77777777" w:rsidR="00B500C7" w:rsidRPr="006D05C3" w:rsidRDefault="00B500C7" w:rsidP="00390A12">
            <w:pPr>
              <w:pStyle w:val="TableText"/>
              <w:spacing w:before="40" w:after="40"/>
            </w:pPr>
            <w:r w:rsidRPr="006D05C3">
              <w:rPr>
                <w:color w:val="FF0000"/>
              </w:rPr>
              <w:t>Terminate recruitment</w:t>
            </w:r>
          </w:p>
        </w:tc>
      </w:tr>
      <w:tr w:rsidR="00B500C7" w:rsidRPr="006D05C3" w14:paraId="6F2C8C09" w14:textId="77777777" w:rsidTr="00390A12">
        <w:tc>
          <w:tcPr>
            <w:tcW w:w="2885" w:type="pct"/>
            <w:tcBorders>
              <w:top w:val="single" w:sz="2" w:space="0" w:color="BFBFBF" w:themeColor="background1" w:themeShade="BF"/>
              <w:bottom w:val="single" w:sz="4" w:space="0" w:color="auto"/>
            </w:tcBorders>
            <w:vAlign w:val="center"/>
          </w:tcPr>
          <w:p w14:paraId="38F6437F" w14:textId="60558B62" w:rsidR="00B500C7" w:rsidRPr="006D05C3" w:rsidRDefault="00B500C7" w:rsidP="00390A12">
            <w:pPr>
              <w:pStyle w:val="TableText"/>
              <w:spacing w:before="40" w:after="40"/>
            </w:pPr>
            <w:r w:rsidRPr="006D05C3">
              <w:rPr>
                <w:rFonts w:cs="Arial"/>
                <w:szCs w:val="22"/>
              </w:rPr>
              <w:t>Believes it is feasible to collect data from the Type 2 medical providers</w:t>
            </w:r>
          </w:p>
        </w:tc>
        <w:tc>
          <w:tcPr>
            <w:tcW w:w="1057" w:type="pct"/>
            <w:tcBorders>
              <w:top w:val="single" w:sz="2" w:space="0" w:color="BFBFBF" w:themeColor="background1" w:themeShade="BF"/>
              <w:bottom w:val="single" w:sz="4" w:space="0" w:color="auto"/>
            </w:tcBorders>
            <w:vAlign w:val="center"/>
          </w:tcPr>
          <w:p w14:paraId="5A883860" w14:textId="77777777" w:rsidR="00B500C7" w:rsidRPr="006D05C3" w:rsidRDefault="00B500C7" w:rsidP="00390A12">
            <w:pPr>
              <w:pStyle w:val="TableText"/>
              <w:spacing w:before="40" w:after="40"/>
              <w:rPr>
                <w:color w:val="00B050"/>
              </w:rPr>
            </w:pPr>
            <w:r w:rsidRPr="006D05C3">
              <w:rPr>
                <w:color w:val="00B050"/>
              </w:rPr>
              <w:t>Initiate recruitment</w:t>
            </w:r>
          </w:p>
        </w:tc>
        <w:tc>
          <w:tcPr>
            <w:tcW w:w="1058" w:type="pct"/>
            <w:tcBorders>
              <w:top w:val="single" w:sz="2" w:space="0" w:color="BFBFBF" w:themeColor="background1" w:themeShade="BF"/>
              <w:bottom w:val="single" w:sz="4" w:space="0" w:color="auto"/>
            </w:tcBorders>
            <w:vAlign w:val="center"/>
          </w:tcPr>
          <w:p w14:paraId="36E7A187" w14:textId="77777777" w:rsidR="00B500C7" w:rsidRPr="006D05C3" w:rsidRDefault="00B500C7" w:rsidP="00390A12">
            <w:pPr>
              <w:pStyle w:val="TableText"/>
              <w:spacing w:before="40" w:after="40"/>
              <w:rPr>
                <w:color w:val="FF0000"/>
              </w:rPr>
            </w:pPr>
            <w:r w:rsidRPr="006D05C3">
              <w:rPr>
                <w:color w:val="FF0000"/>
              </w:rPr>
              <w:t>Terminate recruitment</w:t>
            </w:r>
          </w:p>
        </w:tc>
      </w:tr>
    </w:tbl>
    <w:p w14:paraId="1B0526DD" w14:textId="77777777" w:rsidR="00425970" w:rsidRPr="006D05C3" w:rsidRDefault="00425970" w:rsidP="00425970">
      <w:pPr>
        <w:spacing w:after="120" w:line="240" w:lineRule="auto"/>
      </w:pPr>
    </w:p>
    <w:p w14:paraId="0AA24FC6" w14:textId="77777777" w:rsidR="0064522C" w:rsidRPr="006D05C3" w:rsidRDefault="0064522C" w:rsidP="0064522C">
      <w:pPr>
        <w:pStyle w:val="NormalSS"/>
      </w:pPr>
      <w:r w:rsidRPr="006D05C3">
        <w:t>If a sampled Type 1 provider does not meet these criteria, we will document the reason for exclusion for future analysis and select a replacement sample member from the same stratum to screen and recruit. We will compare the demographic characteristics of clients served by excluded Type 1 providers with those of clients served by included Type 1 providers to assess the potential selection bias caused by these exclusion criteria. If we observe systematic differences between clients from included and excluded Type 1 providers, we will weight the records to account for this difference.</w:t>
      </w:r>
    </w:p>
    <w:p w14:paraId="1CA70C41" w14:textId="617C1D71" w:rsidR="0064522C" w:rsidRPr="006D05C3" w:rsidRDefault="0064522C" w:rsidP="0064522C">
      <w:pPr>
        <w:pStyle w:val="NormalSS"/>
      </w:pPr>
      <w:r w:rsidRPr="006D05C3">
        <w:t xml:space="preserve">If a recruited Type 1 provider has more than 50 non-OAHS RWHAP clients, we will select a stratified random sample of 50 for chart review and abstraction. Otherwise, we will include all of the Type 1 provider’s non-OAHS clients who receive medical care for their HIV disease in the study. Using information from the 2017 RSR, we will </w:t>
      </w:r>
      <w:r w:rsidRPr="0013410E">
        <w:rPr>
          <w:i/>
        </w:rPr>
        <w:t>implicitly</w:t>
      </w:r>
      <w:r w:rsidRPr="006D05C3">
        <w:t xml:space="preserve"> stratify clients by one or more of the characteristics </w:t>
      </w:r>
      <w:r w:rsidR="0013410E">
        <w:t xml:space="preserve">in </w:t>
      </w:r>
      <w:r w:rsidRPr="006D05C3">
        <w:t>Table 4. These include HIV risk group, age group, gender, and race/ethnicity. We will finalize our sampling strategy after reviewing the distribution of non-OAHS clients across these characteristics.</w:t>
      </w:r>
    </w:p>
    <w:p w14:paraId="280A3533" w14:textId="407B0AA1" w:rsidR="00E76E4F" w:rsidRPr="006D05C3" w:rsidRDefault="00E76E4F" w:rsidP="004D1F2D">
      <w:pPr>
        <w:pStyle w:val="MarkforTableTitle"/>
      </w:pPr>
      <w:r w:rsidRPr="006D05C3">
        <w:t xml:space="preserve">Table </w:t>
      </w:r>
      <w:r w:rsidR="00C61137" w:rsidRPr="006D05C3">
        <w:t>4</w:t>
      </w:r>
      <w:r w:rsidRPr="006D05C3">
        <w:t xml:space="preserve">. </w:t>
      </w:r>
      <w:r w:rsidR="0013410E">
        <w:t>Potential s</w:t>
      </w:r>
      <w:r w:rsidRPr="006D05C3">
        <w:t>ampling strata for RWHAP clients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840"/>
        <w:gridCol w:w="1475"/>
        <w:gridCol w:w="6261"/>
      </w:tblGrid>
      <w:tr w:rsidR="00E76E4F" w:rsidRPr="006D05C3" w14:paraId="7DD63304" w14:textId="77777777" w:rsidTr="00CF4133">
        <w:trPr>
          <w:cnfStyle w:val="100000000000" w:firstRow="1" w:lastRow="0" w:firstColumn="0" w:lastColumn="0" w:oddVBand="0" w:evenVBand="0" w:oddHBand="0" w:evenHBand="0" w:firstRowFirstColumn="0" w:firstRowLastColumn="0" w:lastRowFirstColumn="0" w:lastRowLastColumn="0"/>
          <w:tblHeader/>
        </w:trPr>
        <w:tc>
          <w:tcPr>
            <w:tcW w:w="961" w:type="pct"/>
            <w:tcBorders>
              <w:top w:val="single" w:sz="8" w:space="0" w:color="FFFFFF" w:themeColor="background1"/>
            </w:tcBorders>
            <w:shd w:val="clear" w:color="auto" w:fill="6C6F70"/>
            <w:vAlign w:val="bottom"/>
          </w:tcPr>
          <w:p w14:paraId="2AA7B76D" w14:textId="77777777" w:rsidR="00E76E4F" w:rsidRPr="006D05C3" w:rsidRDefault="00E76E4F" w:rsidP="004D1F2D">
            <w:pPr>
              <w:pStyle w:val="TableHeaderLeft"/>
              <w:rPr>
                <w:b/>
              </w:rPr>
            </w:pPr>
            <w:r w:rsidRPr="006D05C3">
              <w:rPr>
                <w:b/>
              </w:rPr>
              <w:t>Potential sampling strata</w:t>
            </w:r>
          </w:p>
        </w:tc>
        <w:tc>
          <w:tcPr>
            <w:tcW w:w="770" w:type="pct"/>
            <w:tcBorders>
              <w:top w:val="single" w:sz="8" w:space="0" w:color="FFFFFF" w:themeColor="background1"/>
            </w:tcBorders>
            <w:shd w:val="clear" w:color="auto" w:fill="6C6F70"/>
            <w:vAlign w:val="bottom"/>
          </w:tcPr>
          <w:p w14:paraId="7F349886" w14:textId="77777777" w:rsidR="00E76E4F" w:rsidRPr="006D05C3" w:rsidRDefault="00E76E4F" w:rsidP="004D1F2D">
            <w:pPr>
              <w:pStyle w:val="TableHeaderCenter"/>
              <w:rPr>
                <w:b/>
              </w:rPr>
            </w:pPr>
            <w:r w:rsidRPr="006D05C3">
              <w:rPr>
                <w:b/>
              </w:rPr>
              <w:t>Stratification method</w:t>
            </w:r>
          </w:p>
        </w:tc>
        <w:tc>
          <w:tcPr>
            <w:tcW w:w="3269" w:type="pct"/>
            <w:tcBorders>
              <w:top w:val="single" w:sz="8" w:space="0" w:color="FFFFFF" w:themeColor="background1"/>
            </w:tcBorders>
            <w:shd w:val="clear" w:color="auto" w:fill="6C6F70"/>
            <w:vAlign w:val="bottom"/>
          </w:tcPr>
          <w:p w14:paraId="1FCC5B45" w14:textId="77777777" w:rsidR="00E76E4F" w:rsidRPr="006D05C3" w:rsidRDefault="00E76E4F" w:rsidP="004D1F2D">
            <w:pPr>
              <w:pStyle w:val="TableHeaderCenter"/>
              <w:rPr>
                <w:b/>
              </w:rPr>
            </w:pPr>
            <w:r w:rsidRPr="006D05C3">
              <w:rPr>
                <w:b/>
              </w:rPr>
              <w:t>Categories</w:t>
            </w:r>
          </w:p>
        </w:tc>
      </w:tr>
      <w:tr w:rsidR="00255B7C" w:rsidRPr="006D05C3" w14:paraId="2970F392" w14:textId="77777777" w:rsidTr="004D1F2D">
        <w:tc>
          <w:tcPr>
            <w:tcW w:w="961" w:type="pct"/>
            <w:tcBorders>
              <w:bottom w:val="single" w:sz="2" w:space="0" w:color="BFBFBF" w:themeColor="background1" w:themeShade="BF"/>
            </w:tcBorders>
          </w:tcPr>
          <w:p w14:paraId="1D700F33" w14:textId="43098135" w:rsidR="00255B7C" w:rsidRPr="006D05C3" w:rsidRDefault="00255B7C" w:rsidP="00255B7C">
            <w:pPr>
              <w:pStyle w:val="TableText"/>
              <w:spacing w:before="40" w:after="40"/>
            </w:pPr>
            <w:r w:rsidRPr="006D05C3">
              <w:rPr>
                <w:rFonts w:cs="Arial"/>
                <w:szCs w:val="22"/>
              </w:rPr>
              <w:t>HIV risk group</w:t>
            </w:r>
          </w:p>
        </w:tc>
        <w:tc>
          <w:tcPr>
            <w:tcW w:w="770" w:type="pct"/>
            <w:tcBorders>
              <w:bottom w:val="single" w:sz="2" w:space="0" w:color="BFBFBF" w:themeColor="background1" w:themeShade="BF"/>
            </w:tcBorders>
          </w:tcPr>
          <w:p w14:paraId="6F03DCFC" w14:textId="6D09172C" w:rsidR="00255B7C" w:rsidRPr="006D05C3" w:rsidRDefault="00255B7C" w:rsidP="00255B7C">
            <w:pPr>
              <w:pStyle w:val="TableText"/>
              <w:spacing w:before="40" w:after="40"/>
              <w:jc w:val="center"/>
            </w:pPr>
            <w:r w:rsidRPr="006D05C3">
              <w:rPr>
                <w:rFonts w:cs="Arial"/>
                <w:szCs w:val="22"/>
              </w:rPr>
              <w:t>Implicit</w:t>
            </w:r>
          </w:p>
        </w:tc>
        <w:tc>
          <w:tcPr>
            <w:tcW w:w="3269" w:type="pct"/>
            <w:tcBorders>
              <w:bottom w:val="single" w:sz="2" w:space="0" w:color="BFBFBF" w:themeColor="background1" w:themeShade="BF"/>
            </w:tcBorders>
          </w:tcPr>
          <w:p w14:paraId="02419800" w14:textId="54A9AC91" w:rsidR="00255B7C" w:rsidRPr="006D05C3" w:rsidRDefault="00255B7C" w:rsidP="00255B7C">
            <w:pPr>
              <w:pStyle w:val="TableText"/>
              <w:spacing w:before="40" w:after="40"/>
            </w:pPr>
            <w:r w:rsidRPr="006D05C3">
              <w:rPr>
                <w:rFonts w:cs="Arial"/>
                <w:szCs w:val="22"/>
              </w:rPr>
              <w:t>MSM only, IDU only, MSM + IDU, not MSM or IDU</w:t>
            </w:r>
          </w:p>
        </w:tc>
      </w:tr>
      <w:tr w:rsidR="00255B7C" w:rsidRPr="006D05C3" w14:paraId="0ACE7B97" w14:textId="77777777" w:rsidTr="004D1F2D">
        <w:tc>
          <w:tcPr>
            <w:tcW w:w="961" w:type="pct"/>
            <w:tcBorders>
              <w:top w:val="single" w:sz="2" w:space="0" w:color="BFBFBF" w:themeColor="background1" w:themeShade="BF"/>
              <w:bottom w:val="single" w:sz="2" w:space="0" w:color="BFBFBF" w:themeColor="background1" w:themeShade="BF"/>
            </w:tcBorders>
          </w:tcPr>
          <w:p w14:paraId="6D3CEB06" w14:textId="2A0787B0" w:rsidR="00255B7C" w:rsidRPr="006D05C3" w:rsidRDefault="00255B7C" w:rsidP="00255B7C">
            <w:pPr>
              <w:pStyle w:val="TableText"/>
              <w:spacing w:before="40" w:after="40"/>
            </w:pPr>
            <w:r w:rsidRPr="006D05C3">
              <w:rPr>
                <w:rFonts w:cs="Arial"/>
                <w:szCs w:val="22"/>
              </w:rPr>
              <w:t>Age group (years)</w:t>
            </w:r>
          </w:p>
        </w:tc>
        <w:tc>
          <w:tcPr>
            <w:tcW w:w="770" w:type="pct"/>
            <w:tcBorders>
              <w:top w:val="single" w:sz="2" w:space="0" w:color="BFBFBF" w:themeColor="background1" w:themeShade="BF"/>
              <w:bottom w:val="single" w:sz="2" w:space="0" w:color="BFBFBF" w:themeColor="background1" w:themeShade="BF"/>
            </w:tcBorders>
          </w:tcPr>
          <w:p w14:paraId="551144DB" w14:textId="0EDF6139" w:rsidR="00255B7C" w:rsidRPr="006D05C3" w:rsidRDefault="00255B7C" w:rsidP="00255B7C">
            <w:pPr>
              <w:pStyle w:val="TableText"/>
              <w:spacing w:before="40" w:after="40"/>
              <w:jc w:val="center"/>
            </w:pPr>
            <w:r w:rsidRPr="006D05C3">
              <w:rPr>
                <w:rFonts w:cs="Arial"/>
                <w:szCs w:val="22"/>
              </w:rPr>
              <w:t>Implicit</w:t>
            </w:r>
          </w:p>
        </w:tc>
        <w:tc>
          <w:tcPr>
            <w:tcW w:w="3269" w:type="pct"/>
            <w:tcBorders>
              <w:top w:val="single" w:sz="2" w:space="0" w:color="BFBFBF" w:themeColor="background1" w:themeShade="BF"/>
              <w:bottom w:val="single" w:sz="2" w:space="0" w:color="BFBFBF" w:themeColor="background1" w:themeShade="BF"/>
            </w:tcBorders>
          </w:tcPr>
          <w:p w14:paraId="128B732F" w14:textId="117AFAAE" w:rsidR="00255B7C" w:rsidRPr="006D05C3" w:rsidRDefault="00255B7C" w:rsidP="00255B7C">
            <w:pPr>
              <w:pStyle w:val="TableText"/>
              <w:spacing w:before="40" w:after="40"/>
            </w:pPr>
            <w:r w:rsidRPr="006D05C3">
              <w:rPr>
                <w:rFonts w:cs="Arial"/>
                <w:szCs w:val="22"/>
              </w:rPr>
              <w:t>18–24, 25–54, 55+</w:t>
            </w:r>
          </w:p>
        </w:tc>
      </w:tr>
      <w:tr w:rsidR="00255B7C" w:rsidRPr="006D05C3" w14:paraId="493B2DBC" w14:textId="77777777" w:rsidTr="004D1F2D">
        <w:tc>
          <w:tcPr>
            <w:tcW w:w="961" w:type="pct"/>
            <w:tcBorders>
              <w:top w:val="single" w:sz="2" w:space="0" w:color="BFBFBF" w:themeColor="background1" w:themeShade="BF"/>
              <w:bottom w:val="single" w:sz="2" w:space="0" w:color="BFBFBF" w:themeColor="background1" w:themeShade="BF"/>
            </w:tcBorders>
          </w:tcPr>
          <w:p w14:paraId="2E67F519" w14:textId="42A7B649" w:rsidR="00255B7C" w:rsidRPr="006D05C3" w:rsidRDefault="00255B7C" w:rsidP="00255B7C">
            <w:pPr>
              <w:pStyle w:val="TableText"/>
              <w:spacing w:before="40" w:after="40"/>
            </w:pPr>
            <w:r w:rsidRPr="006D05C3">
              <w:rPr>
                <w:rFonts w:cs="Arial"/>
                <w:szCs w:val="22"/>
              </w:rPr>
              <w:t>Gender</w:t>
            </w:r>
          </w:p>
        </w:tc>
        <w:tc>
          <w:tcPr>
            <w:tcW w:w="770" w:type="pct"/>
            <w:tcBorders>
              <w:top w:val="single" w:sz="2" w:space="0" w:color="BFBFBF" w:themeColor="background1" w:themeShade="BF"/>
              <w:bottom w:val="single" w:sz="2" w:space="0" w:color="BFBFBF" w:themeColor="background1" w:themeShade="BF"/>
            </w:tcBorders>
          </w:tcPr>
          <w:p w14:paraId="65327E1F" w14:textId="68FE032A" w:rsidR="00255B7C" w:rsidRPr="006D05C3" w:rsidRDefault="00255B7C" w:rsidP="00255B7C">
            <w:pPr>
              <w:pStyle w:val="TableText"/>
              <w:spacing w:before="40" w:after="40"/>
              <w:jc w:val="center"/>
            </w:pPr>
            <w:r w:rsidRPr="006D05C3">
              <w:rPr>
                <w:rFonts w:cs="Arial"/>
                <w:szCs w:val="22"/>
              </w:rPr>
              <w:t>Implicit</w:t>
            </w:r>
          </w:p>
        </w:tc>
        <w:tc>
          <w:tcPr>
            <w:tcW w:w="3269" w:type="pct"/>
            <w:tcBorders>
              <w:top w:val="single" w:sz="2" w:space="0" w:color="BFBFBF" w:themeColor="background1" w:themeShade="BF"/>
              <w:bottom w:val="single" w:sz="2" w:space="0" w:color="BFBFBF" w:themeColor="background1" w:themeShade="BF"/>
            </w:tcBorders>
          </w:tcPr>
          <w:p w14:paraId="5D1D5462" w14:textId="00C7F31D" w:rsidR="00255B7C" w:rsidRPr="006D05C3" w:rsidRDefault="00255B7C" w:rsidP="00255B7C">
            <w:pPr>
              <w:pStyle w:val="TableText"/>
              <w:spacing w:before="40" w:after="40"/>
            </w:pPr>
            <w:r w:rsidRPr="006D05C3">
              <w:rPr>
                <w:rFonts w:cs="Arial"/>
                <w:szCs w:val="22"/>
              </w:rPr>
              <w:t>Male, female, transgender</w:t>
            </w:r>
          </w:p>
        </w:tc>
      </w:tr>
      <w:tr w:rsidR="00255B7C" w:rsidRPr="006D05C3" w14:paraId="535D56FD" w14:textId="77777777" w:rsidTr="004D1F2D">
        <w:tc>
          <w:tcPr>
            <w:tcW w:w="961" w:type="pct"/>
            <w:tcBorders>
              <w:top w:val="single" w:sz="2" w:space="0" w:color="BFBFBF" w:themeColor="background1" w:themeShade="BF"/>
              <w:bottom w:val="single" w:sz="8" w:space="0" w:color="000000" w:themeColor="text1"/>
            </w:tcBorders>
          </w:tcPr>
          <w:p w14:paraId="7E5661FB" w14:textId="02B5D162" w:rsidR="00255B7C" w:rsidRPr="006D05C3" w:rsidRDefault="00255B7C" w:rsidP="00255B7C">
            <w:pPr>
              <w:pStyle w:val="TableText"/>
              <w:spacing w:before="40" w:after="40"/>
            </w:pPr>
            <w:r w:rsidRPr="006D05C3">
              <w:rPr>
                <w:rFonts w:cs="Arial"/>
                <w:szCs w:val="22"/>
              </w:rPr>
              <w:t>Race/ethnicity</w:t>
            </w:r>
          </w:p>
        </w:tc>
        <w:tc>
          <w:tcPr>
            <w:tcW w:w="770" w:type="pct"/>
            <w:tcBorders>
              <w:top w:val="single" w:sz="2" w:space="0" w:color="BFBFBF" w:themeColor="background1" w:themeShade="BF"/>
              <w:bottom w:val="single" w:sz="8" w:space="0" w:color="000000" w:themeColor="text1"/>
            </w:tcBorders>
          </w:tcPr>
          <w:p w14:paraId="52F9CE79" w14:textId="51E9582C" w:rsidR="00255B7C" w:rsidRPr="006D05C3" w:rsidRDefault="00255B7C" w:rsidP="00255B7C">
            <w:pPr>
              <w:pStyle w:val="TableText"/>
              <w:spacing w:before="40" w:after="40"/>
              <w:jc w:val="center"/>
            </w:pPr>
            <w:r w:rsidRPr="006D05C3">
              <w:rPr>
                <w:rFonts w:cs="Arial"/>
                <w:szCs w:val="22"/>
              </w:rPr>
              <w:t>Implicit</w:t>
            </w:r>
          </w:p>
        </w:tc>
        <w:tc>
          <w:tcPr>
            <w:tcW w:w="3269" w:type="pct"/>
            <w:tcBorders>
              <w:top w:val="single" w:sz="2" w:space="0" w:color="BFBFBF" w:themeColor="background1" w:themeShade="BF"/>
              <w:bottom w:val="single" w:sz="8" w:space="0" w:color="000000" w:themeColor="text1"/>
            </w:tcBorders>
          </w:tcPr>
          <w:p w14:paraId="5472CE33" w14:textId="1528E315" w:rsidR="00255B7C" w:rsidRPr="006D05C3" w:rsidRDefault="00255B7C" w:rsidP="00255B7C">
            <w:pPr>
              <w:pStyle w:val="TableText"/>
              <w:spacing w:before="40" w:after="40"/>
            </w:pPr>
            <w:r w:rsidRPr="006D05C3">
              <w:rPr>
                <w:rFonts w:cs="Arial"/>
                <w:szCs w:val="22"/>
              </w:rPr>
              <w:t>White, black, Hispanic, all other</w:t>
            </w:r>
          </w:p>
        </w:tc>
      </w:tr>
    </w:tbl>
    <w:p w14:paraId="3EDF074B" w14:textId="77777777" w:rsidR="00E76E4F" w:rsidRPr="006D05C3" w:rsidRDefault="00E76E4F" w:rsidP="00E76E4F">
      <w:pPr>
        <w:pStyle w:val="NormalSS"/>
        <w:spacing w:after="120"/>
      </w:pPr>
    </w:p>
    <w:p w14:paraId="137DF364" w14:textId="094717A5" w:rsidR="0064522C" w:rsidRPr="006D05C3" w:rsidRDefault="00B47887" w:rsidP="0064522C">
      <w:pPr>
        <w:pStyle w:val="NormalSS"/>
        <w:rPr>
          <w:color w:val="000000"/>
        </w:rPr>
      </w:pPr>
      <w:r>
        <w:t xml:space="preserve">Medical record data will be abstracted </w:t>
      </w:r>
      <w:r w:rsidR="0064522C" w:rsidRPr="006D05C3">
        <w:t>for a maximum of 50 non-OAHS clients per Type 1 provider. First, we will select an augmented sample of 75 non-OAHS clients to allow for missing data at the client level, initially releasing a random subsample of 50 and additional clients from the same strata as needed. There could be missing data if the information</w:t>
      </w:r>
      <w:r>
        <w:t xml:space="preserve"> is unavailable or </w:t>
      </w:r>
      <w:r w:rsidR="0064522C" w:rsidRPr="006D05C3">
        <w:t xml:space="preserve">turns out to be incorrect or outdated, or if the Type 2 provider of those services refuses to </w:t>
      </w:r>
      <w:r w:rsidR="00067FE4">
        <w:t xml:space="preserve">participate in the medical record abstraction required </w:t>
      </w:r>
      <w:r w:rsidR="0064522C" w:rsidRPr="006D05C3">
        <w:t xml:space="preserve">for this study. </w:t>
      </w:r>
      <w:r w:rsidR="0064522C" w:rsidRPr="006D05C3">
        <w:rPr>
          <w:color w:val="000000"/>
        </w:rPr>
        <w:t xml:space="preserve">If we cannot locate (or do not accept) an individual client’s medical records, we will randomly select a replacement client from the same provider. </w:t>
      </w:r>
    </w:p>
    <w:p w14:paraId="4F2D7747" w14:textId="69F2394C" w:rsidR="0064522C" w:rsidRPr="006D05C3" w:rsidRDefault="0064522C" w:rsidP="0064522C">
      <w:pPr>
        <w:pStyle w:val="NormalSS"/>
      </w:pPr>
      <w:r w:rsidRPr="006D05C3">
        <w:rPr>
          <w:color w:val="000000"/>
        </w:rPr>
        <w:t>We will continue with this procedure until medical record</w:t>
      </w:r>
      <w:r w:rsidR="00067FE4">
        <w:rPr>
          <w:color w:val="000000"/>
        </w:rPr>
        <w:t xml:space="preserve"> data </w:t>
      </w:r>
      <w:r w:rsidR="00A77032">
        <w:rPr>
          <w:color w:val="000000"/>
        </w:rPr>
        <w:t>ha</w:t>
      </w:r>
      <w:r w:rsidR="009C60AC">
        <w:rPr>
          <w:color w:val="000000"/>
        </w:rPr>
        <w:t>ve</w:t>
      </w:r>
      <w:r w:rsidR="00A77032">
        <w:rPr>
          <w:color w:val="000000"/>
        </w:rPr>
        <w:t xml:space="preserve"> been abstracted </w:t>
      </w:r>
      <w:r w:rsidR="00067FE4">
        <w:rPr>
          <w:color w:val="000000"/>
        </w:rPr>
        <w:t xml:space="preserve">for </w:t>
      </w:r>
      <w:r w:rsidRPr="006D05C3">
        <w:rPr>
          <w:color w:val="000000"/>
        </w:rPr>
        <w:t xml:space="preserve">50 non-OAHS clients per Type 1 provider (or all of its clients if it has fewer than 50). As noted, the non-OAHS clients could be distributed across multiple Type 2 providers, but we will limit chart reviews to two providers, and those two must serve a minimum of 10 non-OAHS clients. </w:t>
      </w:r>
      <w:r w:rsidRPr="006D05C3">
        <w:t>We will set up a system to track the status of medical record abstraction for all sampled clients.</w:t>
      </w:r>
    </w:p>
    <w:p w14:paraId="30973DC1" w14:textId="2261EF31" w:rsidR="007023B1" w:rsidRPr="006D05C3" w:rsidRDefault="007023B1" w:rsidP="00F2427F">
      <w:pPr>
        <w:pStyle w:val="H4NumberNoTOC"/>
      </w:pPr>
      <w:r w:rsidRPr="006D05C3">
        <w:t>B.2.2</w:t>
      </w:r>
      <w:r w:rsidR="00FA63E8" w:rsidRPr="006D05C3">
        <w:t>.</w:t>
      </w:r>
      <w:r w:rsidR="00230A3D" w:rsidRPr="006D05C3">
        <w:tab/>
      </w:r>
      <w:r w:rsidRPr="006D05C3">
        <w:t>Estimation procedure</w:t>
      </w:r>
    </w:p>
    <w:p w14:paraId="3528EAD5" w14:textId="6B1DA5CC" w:rsidR="007023B1" w:rsidRPr="006D05C3" w:rsidRDefault="007023B1" w:rsidP="00AE1D56">
      <w:pPr>
        <w:pStyle w:val="NormalSS"/>
        <w:rPr>
          <w:szCs w:val="24"/>
        </w:rPr>
      </w:pPr>
      <w:r w:rsidRPr="006D05C3">
        <w:rPr>
          <w:szCs w:val="24"/>
        </w:rPr>
        <w:t>After data collection, we will construct analysis weights that account for the probability of selection of each provider and client, for provider nonparticipation, and for missing client information within participating providers. These weights will mitigate the risk of bias in our estimates</w:t>
      </w:r>
      <w:r w:rsidR="00B3407D" w:rsidRPr="006D05C3">
        <w:rPr>
          <w:szCs w:val="24"/>
        </w:rPr>
        <w:t>,</w:t>
      </w:r>
      <w:r w:rsidRPr="006D05C3">
        <w:rPr>
          <w:szCs w:val="24"/>
        </w:rPr>
        <w:t xml:space="preserve"> </w:t>
      </w:r>
      <w:r w:rsidR="00B3407D" w:rsidRPr="006D05C3">
        <w:rPr>
          <w:szCs w:val="24"/>
        </w:rPr>
        <w:t>given</w:t>
      </w:r>
      <w:r w:rsidRPr="006D05C3">
        <w:rPr>
          <w:szCs w:val="24"/>
        </w:rPr>
        <w:t xml:space="preserve"> differential selection probabilities and differential patterns of nonresponse across the sample. The approximately 1,500 clients in the study sample (30 providers </w:t>
      </w:r>
      <w:r w:rsidR="007808B5" w:rsidRPr="006D05C3">
        <w:rPr>
          <w:szCs w:val="24"/>
        </w:rPr>
        <w:t xml:space="preserve">multiplied by </w:t>
      </w:r>
      <w:r w:rsidRPr="006D05C3">
        <w:rPr>
          <w:szCs w:val="24"/>
        </w:rPr>
        <w:t>50 clients</w:t>
      </w:r>
      <w:r w:rsidR="007808B5" w:rsidRPr="006D05C3">
        <w:rPr>
          <w:szCs w:val="24"/>
        </w:rPr>
        <w:t xml:space="preserve"> each</w:t>
      </w:r>
      <w:r w:rsidRPr="006D05C3">
        <w:rPr>
          <w:szCs w:val="24"/>
        </w:rPr>
        <w:t xml:space="preserve">) should </w:t>
      </w:r>
      <w:r w:rsidR="00686551">
        <w:rPr>
          <w:szCs w:val="24"/>
        </w:rPr>
        <w:t xml:space="preserve">be similar to </w:t>
      </w:r>
      <w:r w:rsidRPr="006D05C3">
        <w:rPr>
          <w:szCs w:val="24"/>
        </w:rPr>
        <w:t xml:space="preserve">the population of RWHAP clients in those </w:t>
      </w:r>
      <w:r w:rsidR="007808B5" w:rsidRPr="006D05C3">
        <w:rPr>
          <w:szCs w:val="24"/>
        </w:rPr>
        <w:t xml:space="preserve">recipient and </w:t>
      </w:r>
      <w:r w:rsidRPr="006D05C3">
        <w:rPr>
          <w:szCs w:val="24"/>
        </w:rPr>
        <w:t>subrecipient providers who do not provide—</w:t>
      </w:r>
      <w:r w:rsidR="007808B5" w:rsidRPr="006D05C3">
        <w:rPr>
          <w:szCs w:val="24"/>
        </w:rPr>
        <w:t xml:space="preserve">or </w:t>
      </w:r>
      <w:r w:rsidRPr="006D05C3">
        <w:rPr>
          <w:szCs w:val="24"/>
        </w:rPr>
        <w:t>whose clients do not receive—RWHAP-funded OAHS.</w:t>
      </w:r>
      <w:r w:rsidR="00AE1D56" w:rsidRPr="006D05C3">
        <w:rPr>
          <w:szCs w:val="24"/>
        </w:rPr>
        <w:t xml:space="preserve"> </w:t>
      </w:r>
      <w:r w:rsidR="00686551">
        <w:rPr>
          <w:szCs w:val="24"/>
        </w:rPr>
        <w:t xml:space="preserve">However, since the study </w:t>
      </w:r>
      <w:r w:rsidR="002E6947">
        <w:rPr>
          <w:szCs w:val="24"/>
        </w:rPr>
        <w:t xml:space="preserve">is based on </w:t>
      </w:r>
      <w:r w:rsidR="00686551">
        <w:rPr>
          <w:szCs w:val="24"/>
        </w:rPr>
        <w:t>convenience sample</w:t>
      </w:r>
      <w:r w:rsidR="002E6947">
        <w:rPr>
          <w:szCs w:val="24"/>
        </w:rPr>
        <w:t>s of clients and providers</w:t>
      </w:r>
      <w:r w:rsidR="00686551">
        <w:rPr>
          <w:szCs w:val="24"/>
        </w:rPr>
        <w:t xml:space="preserve">, </w:t>
      </w:r>
      <w:r w:rsidR="002E6947">
        <w:rPr>
          <w:szCs w:val="24"/>
        </w:rPr>
        <w:t xml:space="preserve">the </w:t>
      </w:r>
      <w:r w:rsidR="00686551">
        <w:rPr>
          <w:szCs w:val="24"/>
        </w:rPr>
        <w:t>client-</w:t>
      </w:r>
      <w:r w:rsidR="00D97EE2">
        <w:rPr>
          <w:szCs w:val="24"/>
        </w:rPr>
        <w:t xml:space="preserve"> and provider-</w:t>
      </w:r>
      <w:r w:rsidR="00686551">
        <w:rPr>
          <w:szCs w:val="24"/>
        </w:rPr>
        <w:t xml:space="preserve">level estimates </w:t>
      </w:r>
      <w:r w:rsidR="002E6947">
        <w:rPr>
          <w:szCs w:val="24"/>
        </w:rPr>
        <w:t>will</w:t>
      </w:r>
      <w:r w:rsidR="00686551">
        <w:rPr>
          <w:szCs w:val="24"/>
        </w:rPr>
        <w:t xml:space="preserve"> be </w:t>
      </w:r>
      <w:r w:rsidR="002E6947">
        <w:rPr>
          <w:szCs w:val="24"/>
        </w:rPr>
        <w:t xml:space="preserve">treated as </w:t>
      </w:r>
      <w:r w:rsidR="00686551">
        <w:rPr>
          <w:szCs w:val="24"/>
        </w:rPr>
        <w:t xml:space="preserve">exploratory. </w:t>
      </w:r>
      <w:r w:rsidR="00400C92">
        <w:rPr>
          <w:szCs w:val="24"/>
        </w:rPr>
        <w:t xml:space="preserve">We will conduct sensitivity tests to assess the impact of the weights on the results. Given the difficulty of identifying a truly nationally representative sample for this study, </w:t>
      </w:r>
      <w:r w:rsidR="00686551">
        <w:rPr>
          <w:szCs w:val="24"/>
        </w:rPr>
        <w:t>we will describe the sample as a nationally diverse convenience sample and we will provide both unweighted and weighted counts</w:t>
      </w:r>
      <w:r w:rsidR="00400C92" w:rsidRPr="00400C92">
        <w:rPr>
          <w:szCs w:val="24"/>
        </w:rPr>
        <w:t xml:space="preserve"> </w:t>
      </w:r>
      <w:r w:rsidR="00400C92">
        <w:rPr>
          <w:szCs w:val="24"/>
        </w:rPr>
        <w:t>in all written documents resulting from this study</w:t>
      </w:r>
      <w:r w:rsidR="00686551">
        <w:rPr>
          <w:szCs w:val="24"/>
        </w:rPr>
        <w:t>.</w:t>
      </w:r>
    </w:p>
    <w:p w14:paraId="7DC5BF6C" w14:textId="69C96942" w:rsidR="007023B1" w:rsidRPr="006D05C3" w:rsidRDefault="007023B1" w:rsidP="00F2427F">
      <w:pPr>
        <w:pStyle w:val="H4NumberNoTOC"/>
      </w:pPr>
      <w:r w:rsidRPr="006D05C3">
        <w:t>B.2.3</w:t>
      </w:r>
      <w:r w:rsidR="00FA63E8" w:rsidRPr="006D05C3">
        <w:t>.</w:t>
      </w:r>
      <w:r w:rsidR="00230A3D" w:rsidRPr="006D05C3">
        <w:tab/>
      </w:r>
      <w:r w:rsidRPr="006D05C3">
        <w:t>Degree of accuracy needed for the purpose described in the justification</w:t>
      </w:r>
    </w:p>
    <w:p w14:paraId="264D8E78" w14:textId="6B6E6543" w:rsidR="007023B1" w:rsidRPr="006D05C3" w:rsidRDefault="007023B1" w:rsidP="00F2427F">
      <w:pPr>
        <w:pStyle w:val="NormalSS"/>
        <w:rPr>
          <w:szCs w:val="24"/>
        </w:rPr>
      </w:pPr>
      <w:r w:rsidRPr="006D05C3">
        <w:rPr>
          <w:szCs w:val="24"/>
        </w:rPr>
        <w:t xml:space="preserve">Because we will have </w:t>
      </w:r>
      <w:r w:rsidR="00B3407D" w:rsidRPr="006D05C3">
        <w:rPr>
          <w:szCs w:val="24"/>
        </w:rPr>
        <w:t xml:space="preserve">only </w:t>
      </w:r>
      <w:r w:rsidRPr="006D05C3">
        <w:rPr>
          <w:szCs w:val="24"/>
        </w:rPr>
        <w:t xml:space="preserve">30 providers in the sample, any provider-level estimates will have large sampling errors and therefore </w:t>
      </w:r>
      <w:r w:rsidR="00B3407D" w:rsidRPr="006D05C3">
        <w:rPr>
          <w:szCs w:val="24"/>
        </w:rPr>
        <w:t xml:space="preserve">will </w:t>
      </w:r>
      <w:r w:rsidRPr="006D05C3">
        <w:rPr>
          <w:szCs w:val="24"/>
        </w:rPr>
        <w:t>not provide sufficient precision for estimating the measure in the population of providers. However, the 1,500 clients in the sample should provide relatively precise estimates of the</w:t>
      </w:r>
      <w:r w:rsidR="00BF194C" w:rsidRPr="006D05C3">
        <w:rPr>
          <w:szCs w:val="24"/>
        </w:rPr>
        <w:t xml:space="preserve"> roughly 130,000</w:t>
      </w:r>
      <w:r w:rsidRPr="006D05C3">
        <w:rPr>
          <w:szCs w:val="24"/>
        </w:rPr>
        <w:t xml:space="preserve"> </w:t>
      </w:r>
      <w:r w:rsidR="00BF194C" w:rsidRPr="006D05C3">
        <w:rPr>
          <w:szCs w:val="24"/>
        </w:rPr>
        <w:t xml:space="preserve">clients in the </w:t>
      </w:r>
      <w:r w:rsidRPr="006D05C3">
        <w:rPr>
          <w:szCs w:val="24"/>
        </w:rPr>
        <w:t>study-eligible population. Because these 1,500 clients are clustered within a sample of only 30 providers, the effective sample size will be substantially less than the nominal sample size of 1,500 when it comes to measuring precision. The extent to which the clustering impacts the effective sample size depends on how homogeneous a particular outcome measure is within provider</w:t>
      </w:r>
      <w:r w:rsidR="001C46D9" w:rsidRPr="006D05C3">
        <w:rPr>
          <w:szCs w:val="24"/>
        </w:rPr>
        <w:t>s</w:t>
      </w:r>
      <w:r w:rsidRPr="006D05C3">
        <w:rPr>
          <w:szCs w:val="24"/>
        </w:rPr>
        <w:t xml:space="preserve"> relative to the overall variance across providers (indicated by the intraclass correlation coefficient, or ICC). Table </w:t>
      </w:r>
      <w:r w:rsidR="00C61137" w:rsidRPr="006D05C3">
        <w:rPr>
          <w:szCs w:val="24"/>
        </w:rPr>
        <w:t>5</w:t>
      </w:r>
      <w:r w:rsidRPr="006D05C3">
        <w:rPr>
          <w:szCs w:val="24"/>
        </w:rPr>
        <w:t xml:space="preserve"> shows the 95 percent confidence intervals for two outcome variables, both proportions of around 0.5. One variable has a relatively low clustering effect (ICC = .01) and one has a relatively high clustering effect (ICC = .10). The design effects show the impact of the sampling (S), clustering (C), and nonresponse weighting (W) adjustments on the variance of estimates. A design effect of 1 would indicate no impact on the variance. A design effect of 2 would indicate that the design feature double</w:t>
      </w:r>
      <w:r w:rsidR="0013410E">
        <w:rPr>
          <w:szCs w:val="24"/>
        </w:rPr>
        <w:t>s</w:t>
      </w:r>
      <w:r w:rsidRPr="006D05C3">
        <w:rPr>
          <w:szCs w:val="24"/>
        </w:rPr>
        <w:t xml:space="preserve"> the</w:t>
      </w:r>
      <w:r w:rsidR="0013410E">
        <w:rPr>
          <w:szCs w:val="24"/>
        </w:rPr>
        <w:t xml:space="preserve"> variance and effectively halves</w:t>
      </w:r>
      <w:r w:rsidRPr="006D05C3">
        <w:rPr>
          <w:szCs w:val="24"/>
        </w:rPr>
        <w:t xml:space="preserve"> the effective sample size.</w:t>
      </w:r>
    </w:p>
    <w:p w14:paraId="085F4B5E" w14:textId="1BC5178F" w:rsidR="007023B1" w:rsidRPr="006D05C3" w:rsidRDefault="007023B1" w:rsidP="00230A3D">
      <w:pPr>
        <w:pStyle w:val="MarkforTableTitle"/>
        <w:keepLines/>
      </w:pPr>
      <w:r w:rsidRPr="006D05C3">
        <w:t xml:space="preserve">Table </w:t>
      </w:r>
      <w:r w:rsidR="00C61137" w:rsidRPr="006D05C3">
        <w:t>5</w:t>
      </w:r>
      <w:r w:rsidRPr="006D05C3">
        <w:t xml:space="preserve">. 95 </w:t>
      </w:r>
      <w:r w:rsidR="00B13A7D" w:rsidRPr="006D05C3">
        <w:t xml:space="preserve">percent confidence intervals for client-level estimates </w:t>
      </w:r>
      <w:r w:rsidRPr="006D05C3">
        <w:t>(</w:t>
      </w:r>
      <w:r w:rsidR="00FA63E8" w:rsidRPr="006D05C3">
        <w:t>o</w:t>
      </w:r>
      <w:r w:rsidRPr="006D05C3">
        <w:t xml:space="preserve">utcome </w:t>
      </w:r>
      <w:r w:rsidR="00FA63E8" w:rsidRPr="006D05C3">
        <w:t>p</w:t>
      </w:r>
      <w:r w:rsidRPr="006D05C3">
        <w:t>roportion of 0.5)</w:t>
      </w:r>
    </w:p>
    <w:tbl>
      <w:tblPr>
        <w:tblStyle w:val="TableGrid"/>
        <w:tblW w:w="49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
        <w:gridCol w:w="830"/>
        <w:gridCol w:w="754"/>
        <w:gridCol w:w="811"/>
        <w:gridCol w:w="813"/>
        <w:gridCol w:w="907"/>
        <w:gridCol w:w="817"/>
        <w:gridCol w:w="859"/>
        <w:gridCol w:w="1023"/>
        <w:gridCol w:w="907"/>
        <w:gridCol w:w="903"/>
      </w:tblGrid>
      <w:tr w:rsidR="00230A3D" w:rsidRPr="006D05C3" w14:paraId="7B426207" w14:textId="77777777" w:rsidTr="00CF4133">
        <w:trPr>
          <w:trHeight w:val="135"/>
        </w:trPr>
        <w:tc>
          <w:tcPr>
            <w:tcW w:w="482" w:type="pct"/>
            <w:vMerge w:val="restart"/>
            <w:shd w:val="clear" w:color="auto" w:fill="6C6F70"/>
            <w:vAlign w:val="bottom"/>
          </w:tcPr>
          <w:p w14:paraId="4ADB0A59" w14:textId="77777777" w:rsidR="007023B1" w:rsidRPr="006D05C3" w:rsidRDefault="007023B1" w:rsidP="00230A3D">
            <w:pPr>
              <w:pStyle w:val="TableHeaderCenter"/>
              <w:keepNext/>
              <w:keepLines/>
              <w:ind w:left="-72" w:right="-72"/>
              <w:rPr>
                <w:sz w:val="16"/>
                <w:szCs w:val="16"/>
              </w:rPr>
            </w:pPr>
            <w:r w:rsidRPr="006D05C3">
              <w:rPr>
                <w:sz w:val="16"/>
                <w:szCs w:val="16"/>
              </w:rPr>
              <w:t>Providers</w:t>
            </w:r>
          </w:p>
        </w:tc>
        <w:tc>
          <w:tcPr>
            <w:tcW w:w="435" w:type="pct"/>
            <w:vMerge w:val="restart"/>
            <w:shd w:val="clear" w:color="auto" w:fill="6C6F70"/>
            <w:vAlign w:val="bottom"/>
          </w:tcPr>
          <w:p w14:paraId="5028D0D2" w14:textId="77777777" w:rsidR="007023B1" w:rsidRPr="006D05C3" w:rsidRDefault="007023B1" w:rsidP="00230A3D">
            <w:pPr>
              <w:pStyle w:val="TableHeaderCenter"/>
              <w:keepNext/>
              <w:keepLines/>
              <w:ind w:left="-72" w:right="-72"/>
              <w:rPr>
                <w:sz w:val="16"/>
                <w:szCs w:val="16"/>
              </w:rPr>
            </w:pPr>
            <w:r w:rsidRPr="006D05C3">
              <w:rPr>
                <w:sz w:val="16"/>
                <w:szCs w:val="16"/>
              </w:rPr>
              <w:t>Clients/</w:t>
            </w:r>
            <w:r w:rsidR="001C46D9" w:rsidRPr="006D05C3">
              <w:rPr>
                <w:sz w:val="16"/>
                <w:szCs w:val="16"/>
              </w:rPr>
              <w:br/>
              <w:t>p</w:t>
            </w:r>
            <w:r w:rsidRPr="006D05C3">
              <w:rPr>
                <w:sz w:val="16"/>
                <w:szCs w:val="16"/>
              </w:rPr>
              <w:t>rovider</w:t>
            </w:r>
            <w:r w:rsidR="001C46D9" w:rsidRPr="006D05C3">
              <w:rPr>
                <w:sz w:val="16"/>
                <w:szCs w:val="16"/>
              </w:rPr>
              <w:t>s</w:t>
            </w:r>
          </w:p>
        </w:tc>
        <w:tc>
          <w:tcPr>
            <w:tcW w:w="395" w:type="pct"/>
            <w:vMerge w:val="restart"/>
            <w:shd w:val="clear" w:color="auto" w:fill="6C6F70"/>
            <w:vAlign w:val="bottom"/>
          </w:tcPr>
          <w:p w14:paraId="48DFF5FC" w14:textId="77777777" w:rsidR="007023B1" w:rsidRPr="006D05C3" w:rsidRDefault="007023B1" w:rsidP="00230A3D">
            <w:pPr>
              <w:pStyle w:val="TableHeaderCenter"/>
              <w:keepNext/>
              <w:keepLines/>
              <w:ind w:left="-72" w:right="-72"/>
              <w:rPr>
                <w:sz w:val="16"/>
                <w:szCs w:val="16"/>
              </w:rPr>
            </w:pPr>
            <w:r w:rsidRPr="006D05C3">
              <w:rPr>
                <w:sz w:val="16"/>
                <w:szCs w:val="16"/>
              </w:rPr>
              <w:t>Clients</w:t>
            </w:r>
          </w:p>
        </w:tc>
        <w:tc>
          <w:tcPr>
            <w:tcW w:w="425" w:type="pct"/>
            <w:vMerge w:val="restart"/>
            <w:shd w:val="clear" w:color="auto" w:fill="6C6F70"/>
            <w:vAlign w:val="bottom"/>
          </w:tcPr>
          <w:p w14:paraId="52EC9B63" w14:textId="77777777" w:rsidR="007023B1" w:rsidRPr="006D05C3" w:rsidRDefault="007023B1" w:rsidP="00230A3D">
            <w:pPr>
              <w:pStyle w:val="TableHeaderCenter"/>
              <w:keepNext/>
              <w:keepLines/>
              <w:ind w:left="-72" w:right="-72"/>
              <w:rPr>
                <w:sz w:val="16"/>
                <w:szCs w:val="16"/>
              </w:rPr>
            </w:pPr>
            <w:r w:rsidRPr="006D05C3">
              <w:rPr>
                <w:sz w:val="16"/>
                <w:szCs w:val="16"/>
              </w:rPr>
              <w:t>ICC</w:t>
            </w:r>
          </w:p>
        </w:tc>
        <w:tc>
          <w:tcPr>
            <w:tcW w:w="1329" w:type="pct"/>
            <w:gridSpan w:val="3"/>
            <w:shd w:val="clear" w:color="auto" w:fill="6C6F70"/>
            <w:vAlign w:val="bottom"/>
          </w:tcPr>
          <w:p w14:paraId="5A1212CF" w14:textId="73257F1F" w:rsidR="007023B1" w:rsidRPr="006D05C3" w:rsidRDefault="007023B1" w:rsidP="00230A3D">
            <w:pPr>
              <w:pStyle w:val="TableHeaderCenter"/>
              <w:keepNext/>
              <w:keepLines/>
              <w:ind w:left="-72" w:right="-72"/>
              <w:rPr>
                <w:sz w:val="16"/>
                <w:szCs w:val="16"/>
              </w:rPr>
            </w:pPr>
            <w:r w:rsidRPr="006D05C3">
              <w:rPr>
                <w:sz w:val="16"/>
                <w:szCs w:val="16"/>
              </w:rPr>
              <w:t xml:space="preserve">Design </w:t>
            </w:r>
            <w:r w:rsidR="00B13A7D" w:rsidRPr="006D05C3">
              <w:rPr>
                <w:sz w:val="16"/>
                <w:szCs w:val="16"/>
              </w:rPr>
              <w:t>e</w:t>
            </w:r>
            <w:r w:rsidRPr="006D05C3">
              <w:rPr>
                <w:sz w:val="16"/>
                <w:szCs w:val="16"/>
              </w:rPr>
              <w:t>ffects</w:t>
            </w:r>
          </w:p>
        </w:tc>
        <w:tc>
          <w:tcPr>
            <w:tcW w:w="450" w:type="pct"/>
            <w:vMerge w:val="restart"/>
            <w:shd w:val="clear" w:color="auto" w:fill="6C6F70"/>
            <w:vAlign w:val="bottom"/>
          </w:tcPr>
          <w:p w14:paraId="026873FB" w14:textId="77777777" w:rsidR="007023B1" w:rsidRPr="006D05C3" w:rsidRDefault="007023B1" w:rsidP="00230A3D">
            <w:pPr>
              <w:pStyle w:val="TableHeaderCenter"/>
              <w:keepNext/>
              <w:keepLines/>
              <w:ind w:left="-72" w:right="-72"/>
              <w:rPr>
                <w:sz w:val="16"/>
                <w:szCs w:val="16"/>
              </w:rPr>
            </w:pPr>
            <w:r w:rsidRPr="006D05C3">
              <w:rPr>
                <w:sz w:val="16"/>
                <w:szCs w:val="16"/>
              </w:rPr>
              <w:t xml:space="preserve">Effective </w:t>
            </w:r>
            <w:r w:rsidR="001C46D9" w:rsidRPr="006D05C3">
              <w:rPr>
                <w:sz w:val="16"/>
                <w:szCs w:val="16"/>
              </w:rPr>
              <w:t>n</w:t>
            </w:r>
            <w:r w:rsidRPr="006D05C3">
              <w:rPr>
                <w:sz w:val="16"/>
                <w:szCs w:val="16"/>
              </w:rPr>
              <w:t xml:space="preserve">umber of </w:t>
            </w:r>
            <w:r w:rsidR="001C46D9" w:rsidRPr="006D05C3">
              <w:rPr>
                <w:sz w:val="16"/>
                <w:szCs w:val="16"/>
              </w:rPr>
              <w:t>c</w:t>
            </w:r>
            <w:r w:rsidRPr="006D05C3">
              <w:rPr>
                <w:sz w:val="16"/>
                <w:szCs w:val="16"/>
              </w:rPr>
              <w:t>lients</w:t>
            </w:r>
          </w:p>
        </w:tc>
        <w:tc>
          <w:tcPr>
            <w:tcW w:w="536" w:type="pct"/>
            <w:vMerge w:val="restart"/>
            <w:shd w:val="clear" w:color="auto" w:fill="6C6F70"/>
            <w:vAlign w:val="bottom"/>
          </w:tcPr>
          <w:p w14:paraId="7C36236B" w14:textId="77777777" w:rsidR="007023B1" w:rsidRPr="006D05C3" w:rsidRDefault="007023B1" w:rsidP="00230A3D">
            <w:pPr>
              <w:pStyle w:val="TableHeaderCenter"/>
              <w:keepNext/>
              <w:keepLines/>
              <w:ind w:left="-72" w:right="-72"/>
              <w:rPr>
                <w:sz w:val="16"/>
                <w:szCs w:val="16"/>
              </w:rPr>
            </w:pPr>
            <w:r w:rsidRPr="006D05C3">
              <w:rPr>
                <w:sz w:val="16"/>
                <w:szCs w:val="16"/>
              </w:rPr>
              <w:t>Half-</w:t>
            </w:r>
            <w:r w:rsidR="001C46D9" w:rsidRPr="006D05C3">
              <w:rPr>
                <w:sz w:val="16"/>
                <w:szCs w:val="16"/>
              </w:rPr>
              <w:t>w</w:t>
            </w:r>
            <w:r w:rsidRPr="006D05C3">
              <w:rPr>
                <w:sz w:val="16"/>
                <w:szCs w:val="16"/>
              </w:rPr>
              <w:t xml:space="preserve">idth </w:t>
            </w:r>
            <w:r w:rsidR="001C46D9" w:rsidRPr="006D05C3">
              <w:rPr>
                <w:sz w:val="16"/>
                <w:szCs w:val="16"/>
              </w:rPr>
              <w:t>c</w:t>
            </w:r>
            <w:r w:rsidRPr="006D05C3">
              <w:rPr>
                <w:sz w:val="16"/>
                <w:szCs w:val="16"/>
              </w:rPr>
              <w:t xml:space="preserve">onfidence </w:t>
            </w:r>
            <w:r w:rsidR="001C46D9" w:rsidRPr="006D05C3">
              <w:rPr>
                <w:sz w:val="16"/>
                <w:szCs w:val="16"/>
              </w:rPr>
              <w:t>i</w:t>
            </w:r>
            <w:r w:rsidRPr="006D05C3">
              <w:rPr>
                <w:sz w:val="16"/>
                <w:szCs w:val="16"/>
              </w:rPr>
              <w:t>nterval</w:t>
            </w:r>
          </w:p>
        </w:tc>
        <w:tc>
          <w:tcPr>
            <w:tcW w:w="475" w:type="pct"/>
            <w:vMerge w:val="restart"/>
            <w:shd w:val="clear" w:color="auto" w:fill="6C6F70"/>
            <w:vAlign w:val="bottom"/>
          </w:tcPr>
          <w:p w14:paraId="43F9CBC4" w14:textId="77777777" w:rsidR="007023B1" w:rsidRPr="006D05C3" w:rsidRDefault="007023B1" w:rsidP="00230A3D">
            <w:pPr>
              <w:pStyle w:val="TableHeaderCenter"/>
              <w:keepNext/>
              <w:keepLines/>
              <w:ind w:left="-72" w:right="-72"/>
              <w:rPr>
                <w:sz w:val="16"/>
                <w:szCs w:val="16"/>
              </w:rPr>
            </w:pPr>
            <w:r w:rsidRPr="006D05C3">
              <w:rPr>
                <w:sz w:val="16"/>
                <w:szCs w:val="16"/>
              </w:rPr>
              <w:t xml:space="preserve">Lower </w:t>
            </w:r>
            <w:r w:rsidR="001C46D9" w:rsidRPr="006D05C3">
              <w:rPr>
                <w:sz w:val="16"/>
                <w:szCs w:val="16"/>
              </w:rPr>
              <w:t>b</w:t>
            </w:r>
            <w:r w:rsidRPr="006D05C3">
              <w:rPr>
                <w:sz w:val="16"/>
                <w:szCs w:val="16"/>
              </w:rPr>
              <w:t>ound</w:t>
            </w:r>
          </w:p>
        </w:tc>
        <w:tc>
          <w:tcPr>
            <w:tcW w:w="473" w:type="pct"/>
            <w:vMerge w:val="restart"/>
            <w:shd w:val="clear" w:color="auto" w:fill="6C6F70"/>
            <w:vAlign w:val="bottom"/>
          </w:tcPr>
          <w:p w14:paraId="610AED67" w14:textId="77777777" w:rsidR="007023B1" w:rsidRPr="006D05C3" w:rsidRDefault="007023B1" w:rsidP="00230A3D">
            <w:pPr>
              <w:pStyle w:val="TableHeaderCenter"/>
              <w:keepNext/>
              <w:keepLines/>
              <w:ind w:left="-72" w:right="-72"/>
              <w:rPr>
                <w:sz w:val="16"/>
                <w:szCs w:val="16"/>
              </w:rPr>
            </w:pPr>
            <w:r w:rsidRPr="006D05C3">
              <w:rPr>
                <w:sz w:val="16"/>
                <w:szCs w:val="16"/>
              </w:rPr>
              <w:t xml:space="preserve">Upper </w:t>
            </w:r>
            <w:r w:rsidR="001C46D9" w:rsidRPr="006D05C3">
              <w:rPr>
                <w:sz w:val="16"/>
                <w:szCs w:val="16"/>
              </w:rPr>
              <w:t>b</w:t>
            </w:r>
            <w:r w:rsidRPr="006D05C3">
              <w:rPr>
                <w:sz w:val="16"/>
                <w:szCs w:val="16"/>
              </w:rPr>
              <w:t>ound</w:t>
            </w:r>
          </w:p>
        </w:tc>
      </w:tr>
      <w:tr w:rsidR="00230A3D" w:rsidRPr="006D05C3" w14:paraId="136DF4CF" w14:textId="77777777" w:rsidTr="00CF4133">
        <w:trPr>
          <w:trHeight w:val="135"/>
        </w:trPr>
        <w:tc>
          <w:tcPr>
            <w:tcW w:w="482" w:type="pct"/>
            <w:vMerge/>
          </w:tcPr>
          <w:p w14:paraId="3CB7B009" w14:textId="77777777" w:rsidR="007023B1" w:rsidRPr="006D05C3" w:rsidRDefault="007023B1" w:rsidP="00230A3D">
            <w:pPr>
              <w:pStyle w:val="TableHeaderCenter"/>
              <w:keepNext/>
              <w:keepLines/>
              <w:ind w:left="-72" w:right="-72"/>
              <w:rPr>
                <w:rFonts w:cs="Arial"/>
                <w:sz w:val="16"/>
                <w:szCs w:val="16"/>
              </w:rPr>
            </w:pPr>
          </w:p>
        </w:tc>
        <w:tc>
          <w:tcPr>
            <w:tcW w:w="435" w:type="pct"/>
            <w:vMerge/>
          </w:tcPr>
          <w:p w14:paraId="6DE92F18" w14:textId="77777777" w:rsidR="007023B1" w:rsidRPr="006D05C3" w:rsidRDefault="007023B1" w:rsidP="00230A3D">
            <w:pPr>
              <w:pStyle w:val="TableHeaderCenter"/>
              <w:keepNext/>
              <w:keepLines/>
              <w:ind w:left="-72" w:right="-72"/>
              <w:rPr>
                <w:rFonts w:cs="Arial"/>
                <w:sz w:val="16"/>
                <w:szCs w:val="16"/>
              </w:rPr>
            </w:pPr>
          </w:p>
        </w:tc>
        <w:tc>
          <w:tcPr>
            <w:tcW w:w="395" w:type="pct"/>
            <w:vMerge/>
          </w:tcPr>
          <w:p w14:paraId="25C0A627" w14:textId="77777777" w:rsidR="007023B1" w:rsidRPr="006D05C3" w:rsidRDefault="007023B1" w:rsidP="00230A3D">
            <w:pPr>
              <w:pStyle w:val="TableHeaderCenter"/>
              <w:keepNext/>
              <w:keepLines/>
              <w:ind w:left="-72" w:right="-72"/>
              <w:rPr>
                <w:rFonts w:cs="Arial"/>
                <w:sz w:val="16"/>
                <w:szCs w:val="16"/>
              </w:rPr>
            </w:pPr>
          </w:p>
        </w:tc>
        <w:tc>
          <w:tcPr>
            <w:tcW w:w="425" w:type="pct"/>
            <w:vMerge/>
          </w:tcPr>
          <w:p w14:paraId="6AB2F883" w14:textId="77777777" w:rsidR="007023B1" w:rsidRPr="006D05C3" w:rsidRDefault="007023B1" w:rsidP="00230A3D">
            <w:pPr>
              <w:pStyle w:val="TableHeaderCenter"/>
              <w:keepNext/>
              <w:keepLines/>
              <w:ind w:left="-72" w:right="-72"/>
              <w:rPr>
                <w:rFonts w:cs="Arial"/>
                <w:sz w:val="16"/>
                <w:szCs w:val="16"/>
              </w:rPr>
            </w:pPr>
          </w:p>
        </w:tc>
        <w:tc>
          <w:tcPr>
            <w:tcW w:w="426" w:type="pct"/>
            <w:shd w:val="clear" w:color="auto" w:fill="767171" w:themeFill="background2" w:themeFillShade="80"/>
            <w:vAlign w:val="bottom"/>
          </w:tcPr>
          <w:p w14:paraId="6EF4AB54" w14:textId="77777777" w:rsidR="007023B1" w:rsidRPr="006D05C3" w:rsidRDefault="007023B1" w:rsidP="00230A3D">
            <w:pPr>
              <w:pStyle w:val="TableHeaderCenter"/>
              <w:keepNext/>
              <w:keepLines/>
              <w:ind w:left="-72" w:right="-72"/>
              <w:rPr>
                <w:rFonts w:cs="Arial"/>
                <w:sz w:val="16"/>
                <w:szCs w:val="16"/>
              </w:rPr>
            </w:pPr>
            <w:r w:rsidRPr="006D05C3">
              <w:rPr>
                <w:rFonts w:cs="Arial"/>
                <w:sz w:val="16"/>
                <w:szCs w:val="16"/>
              </w:rPr>
              <w:t>S</w:t>
            </w:r>
          </w:p>
        </w:tc>
        <w:tc>
          <w:tcPr>
            <w:tcW w:w="475" w:type="pct"/>
            <w:shd w:val="clear" w:color="auto" w:fill="767171" w:themeFill="background2" w:themeFillShade="80"/>
            <w:vAlign w:val="bottom"/>
          </w:tcPr>
          <w:p w14:paraId="3B5DAB61" w14:textId="77777777" w:rsidR="007023B1" w:rsidRPr="006D05C3" w:rsidRDefault="007023B1" w:rsidP="00230A3D">
            <w:pPr>
              <w:pStyle w:val="TableHeaderCenter"/>
              <w:keepNext/>
              <w:keepLines/>
              <w:ind w:left="-72" w:right="-72"/>
              <w:rPr>
                <w:rFonts w:cs="Arial"/>
                <w:sz w:val="16"/>
                <w:szCs w:val="16"/>
              </w:rPr>
            </w:pPr>
            <w:r w:rsidRPr="006D05C3">
              <w:rPr>
                <w:rFonts w:cs="Arial"/>
                <w:sz w:val="16"/>
                <w:szCs w:val="16"/>
              </w:rPr>
              <w:t>C</w:t>
            </w:r>
          </w:p>
        </w:tc>
        <w:tc>
          <w:tcPr>
            <w:tcW w:w="428" w:type="pct"/>
            <w:shd w:val="clear" w:color="auto" w:fill="767171" w:themeFill="background2" w:themeFillShade="80"/>
            <w:vAlign w:val="bottom"/>
          </w:tcPr>
          <w:p w14:paraId="13847771" w14:textId="77777777" w:rsidR="007023B1" w:rsidRPr="006D05C3" w:rsidRDefault="007023B1" w:rsidP="00230A3D">
            <w:pPr>
              <w:pStyle w:val="TableHeaderCenter"/>
              <w:keepNext/>
              <w:keepLines/>
              <w:ind w:left="-72" w:right="-72"/>
              <w:rPr>
                <w:rFonts w:cs="Arial"/>
                <w:sz w:val="16"/>
                <w:szCs w:val="16"/>
              </w:rPr>
            </w:pPr>
            <w:r w:rsidRPr="006D05C3">
              <w:rPr>
                <w:rFonts w:cs="Arial"/>
                <w:sz w:val="16"/>
                <w:szCs w:val="16"/>
              </w:rPr>
              <w:t>W</w:t>
            </w:r>
          </w:p>
        </w:tc>
        <w:tc>
          <w:tcPr>
            <w:tcW w:w="450" w:type="pct"/>
            <w:vMerge/>
          </w:tcPr>
          <w:p w14:paraId="5BE6DD4D" w14:textId="77777777" w:rsidR="007023B1" w:rsidRPr="006D05C3" w:rsidRDefault="007023B1" w:rsidP="00230A3D">
            <w:pPr>
              <w:pStyle w:val="TableHeaderCenter"/>
              <w:keepNext/>
              <w:keepLines/>
              <w:ind w:left="-72" w:right="-72"/>
              <w:rPr>
                <w:rFonts w:cs="Arial"/>
                <w:sz w:val="16"/>
                <w:szCs w:val="16"/>
              </w:rPr>
            </w:pPr>
          </w:p>
        </w:tc>
        <w:tc>
          <w:tcPr>
            <w:tcW w:w="536" w:type="pct"/>
            <w:vMerge/>
          </w:tcPr>
          <w:p w14:paraId="42C4B61A" w14:textId="77777777" w:rsidR="007023B1" w:rsidRPr="006D05C3" w:rsidRDefault="007023B1" w:rsidP="00230A3D">
            <w:pPr>
              <w:pStyle w:val="TableHeaderCenter"/>
              <w:keepNext/>
              <w:keepLines/>
              <w:ind w:left="-72" w:right="-72"/>
              <w:rPr>
                <w:rFonts w:cs="Arial"/>
                <w:sz w:val="16"/>
                <w:szCs w:val="16"/>
              </w:rPr>
            </w:pPr>
          </w:p>
        </w:tc>
        <w:tc>
          <w:tcPr>
            <w:tcW w:w="475" w:type="pct"/>
            <w:vMerge/>
          </w:tcPr>
          <w:p w14:paraId="0F8AE934" w14:textId="77777777" w:rsidR="007023B1" w:rsidRPr="006D05C3" w:rsidRDefault="007023B1" w:rsidP="00230A3D">
            <w:pPr>
              <w:pStyle w:val="TableHeaderCenter"/>
              <w:keepNext/>
              <w:keepLines/>
              <w:ind w:left="-72" w:right="-72"/>
              <w:rPr>
                <w:rFonts w:cs="Arial"/>
                <w:sz w:val="16"/>
                <w:szCs w:val="16"/>
              </w:rPr>
            </w:pPr>
          </w:p>
        </w:tc>
        <w:tc>
          <w:tcPr>
            <w:tcW w:w="473" w:type="pct"/>
            <w:vMerge/>
          </w:tcPr>
          <w:p w14:paraId="5F2116A1" w14:textId="77777777" w:rsidR="007023B1" w:rsidRPr="006D05C3" w:rsidRDefault="007023B1" w:rsidP="00230A3D">
            <w:pPr>
              <w:pStyle w:val="TableHeaderCenter"/>
              <w:keepNext/>
              <w:keepLines/>
              <w:ind w:left="-72" w:right="-72"/>
              <w:rPr>
                <w:rFonts w:cs="Arial"/>
                <w:sz w:val="16"/>
                <w:szCs w:val="16"/>
              </w:rPr>
            </w:pPr>
          </w:p>
        </w:tc>
      </w:tr>
      <w:tr w:rsidR="00230A3D" w:rsidRPr="006D05C3" w14:paraId="250E66B7" w14:textId="77777777" w:rsidTr="00873CC2">
        <w:tc>
          <w:tcPr>
            <w:tcW w:w="482" w:type="pct"/>
            <w:tcBorders>
              <w:bottom w:val="single" w:sz="2" w:space="0" w:color="BFBFBF" w:themeColor="background1" w:themeShade="BF"/>
            </w:tcBorders>
            <w:vAlign w:val="center"/>
          </w:tcPr>
          <w:p w14:paraId="7C556643" w14:textId="77777777" w:rsidR="007023B1" w:rsidRPr="006D05C3" w:rsidRDefault="007023B1" w:rsidP="00873CC2">
            <w:pPr>
              <w:pStyle w:val="Tabletext8"/>
              <w:keepNext/>
              <w:keepLines/>
              <w:spacing w:before="40" w:after="40"/>
              <w:jc w:val="center"/>
            </w:pPr>
            <w:r w:rsidRPr="006D05C3">
              <w:t>30</w:t>
            </w:r>
          </w:p>
        </w:tc>
        <w:tc>
          <w:tcPr>
            <w:tcW w:w="435" w:type="pct"/>
            <w:tcBorders>
              <w:bottom w:val="single" w:sz="2" w:space="0" w:color="BFBFBF" w:themeColor="background1" w:themeShade="BF"/>
            </w:tcBorders>
            <w:vAlign w:val="center"/>
          </w:tcPr>
          <w:p w14:paraId="734119F7" w14:textId="77777777" w:rsidR="007023B1" w:rsidRPr="006D05C3" w:rsidRDefault="007023B1" w:rsidP="00873CC2">
            <w:pPr>
              <w:pStyle w:val="Tabletext8"/>
              <w:keepNext/>
              <w:keepLines/>
              <w:spacing w:before="40" w:after="40"/>
              <w:jc w:val="center"/>
            </w:pPr>
            <w:r w:rsidRPr="006D05C3">
              <w:t>50</w:t>
            </w:r>
          </w:p>
        </w:tc>
        <w:tc>
          <w:tcPr>
            <w:tcW w:w="395" w:type="pct"/>
            <w:tcBorders>
              <w:bottom w:val="single" w:sz="2" w:space="0" w:color="BFBFBF" w:themeColor="background1" w:themeShade="BF"/>
            </w:tcBorders>
            <w:vAlign w:val="center"/>
          </w:tcPr>
          <w:p w14:paraId="238DFBDD" w14:textId="77777777" w:rsidR="007023B1" w:rsidRPr="006D05C3" w:rsidRDefault="007023B1" w:rsidP="00CF4133">
            <w:pPr>
              <w:pStyle w:val="Tabletext8"/>
              <w:keepNext/>
              <w:keepLines/>
              <w:spacing w:before="40" w:after="40"/>
              <w:jc w:val="center"/>
            </w:pPr>
            <w:r w:rsidRPr="006D05C3">
              <w:t>1,500</w:t>
            </w:r>
          </w:p>
        </w:tc>
        <w:tc>
          <w:tcPr>
            <w:tcW w:w="425" w:type="pct"/>
            <w:tcBorders>
              <w:bottom w:val="single" w:sz="2" w:space="0" w:color="BFBFBF" w:themeColor="background1" w:themeShade="BF"/>
            </w:tcBorders>
            <w:vAlign w:val="center"/>
          </w:tcPr>
          <w:p w14:paraId="19040CC1" w14:textId="77777777" w:rsidR="007023B1" w:rsidRPr="006D05C3" w:rsidRDefault="007023B1" w:rsidP="00CF4133">
            <w:pPr>
              <w:pStyle w:val="Tabletext8"/>
              <w:keepNext/>
              <w:keepLines/>
              <w:spacing w:before="40" w:after="40"/>
              <w:jc w:val="center"/>
            </w:pPr>
            <w:r w:rsidRPr="006D05C3">
              <w:t>0.01</w:t>
            </w:r>
          </w:p>
        </w:tc>
        <w:tc>
          <w:tcPr>
            <w:tcW w:w="426" w:type="pct"/>
            <w:tcBorders>
              <w:bottom w:val="single" w:sz="2" w:space="0" w:color="BFBFBF" w:themeColor="background1" w:themeShade="BF"/>
            </w:tcBorders>
            <w:vAlign w:val="center"/>
          </w:tcPr>
          <w:p w14:paraId="4B69F5D2" w14:textId="77777777" w:rsidR="007023B1" w:rsidRPr="006D05C3" w:rsidRDefault="007023B1" w:rsidP="00CF4133">
            <w:pPr>
              <w:pStyle w:val="Tabletext8"/>
              <w:keepNext/>
              <w:keepLines/>
              <w:spacing w:before="40" w:after="40"/>
              <w:jc w:val="center"/>
            </w:pPr>
            <w:r w:rsidRPr="006D05C3">
              <w:t>1.1</w:t>
            </w:r>
          </w:p>
        </w:tc>
        <w:tc>
          <w:tcPr>
            <w:tcW w:w="475" w:type="pct"/>
            <w:tcBorders>
              <w:bottom w:val="single" w:sz="2" w:space="0" w:color="BFBFBF" w:themeColor="background1" w:themeShade="BF"/>
            </w:tcBorders>
            <w:vAlign w:val="center"/>
          </w:tcPr>
          <w:p w14:paraId="3B084B7C" w14:textId="77777777" w:rsidR="007023B1" w:rsidRPr="006D05C3" w:rsidRDefault="007023B1" w:rsidP="00CF4133">
            <w:pPr>
              <w:pStyle w:val="Tabletext8"/>
              <w:keepNext/>
              <w:keepLines/>
              <w:spacing w:before="40" w:after="40"/>
              <w:jc w:val="center"/>
            </w:pPr>
            <w:r w:rsidRPr="006D05C3">
              <w:t>1.49</w:t>
            </w:r>
          </w:p>
        </w:tc>
        <w:tc>
          <w:tcPr>
            <w:tcW w:w="428" w:type="pct"/>
            <w:tcBorders>
              <w:bottom w:val="single" w:sz="2" w:space="0" w:color="BFBFBF" w:themeColor="background1" w:themeShade="BF"/>
            </w:tcBorders>
            <w:vAlign w:val="center"/>
          </w:tcPr>
          <w:p w14:paraId="4844B7DA" w14:textId="77777777" w:rsidR="007023B1" w:rsidRPr="006D05C3" w:rsidRDefault="007023B1" w:rsidP="00CF4133">
            <w:pPr>
              <w:pStyle w:val="Tabletext8"/>
              <w:keepNext/>
              <w:keepLines/>
              <w:spacing w:before="40" w:after="40"/>
              <w:jc w:val="center"/>
            </w:pPr>
            <w:r w:rsidRPr="006D05C3">
              <w:t>1.1</w:t>
            </w:r>
          </w:p>
        </w:tc>
        <w:tc>
          <w:tcPr>
            <w:tcW w:w="450" w:type="pct"/>
            <w:tcBorders>
              <w:bottom w:val="single" w:sz="2" w:space="0" w:color="BFBFBF" w:themeColor="background1" w:themeShade="BF"/>
            </w:tcBorders>
            <w:vAlign w:val="center"/>
          </w:tcPr>
          <w:p w14:paraId="0F4DFDF1" w14:textId="77777777" w:rsidR="007023B1" w:rsidRPr="006D05C3" w:rsidRDefault="007023B1" w:rsidP="00CF4133">
            <w:pPr>
              <w:pStyle w:val="Tabletext8"/>
              <w:keepNext/>
              <w:keepLines/>
              <w:spacing w:before="40" w:after="40"/>
              <w:jc w:val="center"/>
            </w:pPr>
            <w:r w:rsidRPr="006D05C3">
              <w:t>832</w:t>
            </w:r>
          </w:p>
        </w:tc>
        <w:tc>
          <w:tcPr>
            <w:tcW w:w="536" w:type="pct"/>
            <w:tcBorders>
              <w:bottom w:val="single" w:sz="2" w:space="0" w:color="BFBFBF" w:themeColor="background1" w:themeShade="BF"/>
            </w:tcBorders>
            <w:vAlign w:val="center"/>
          </w:tcPr>
          <w:p w14:paraId="3E13AE90" w14:textId="77777777" w:rsidR="007023B1" w:rsidRPr="006D05C3" w:rsidRDefault="007023B1" w:rsidP="00CF4133">
            <w:pPr>
              <w:pStyle w:val="Tabletext8"/>
              <w:keepNext/>
              <w:keepLines/>
              <w:spacing w:before="40" w:after="40"/>
              <w:jc w:val="center"/>
            </w:pPr>
            <w:r w:rsidRPr="006D05C3">
              <w:t>.034</w:t>
            </w:r>
          </w:p>
        </w:tc>
        <w:tc>
          <w:tcPr>
            <w:tcW w:w="475" w:type="pct"/>
            <w:tcBorders>
              <w:bottom w:val="single" w:sz="2" w:space="0" w:color="BFBFBF" w:themeColor="background1" w:themeShade="BF"/>
            </w:tcBorders>
            <w:vAlign w:val="center"/>
          </w:tcPr>
          <w:p w14:paraId="141CA401" w14:textId="77777777" w:rsidR="007023B1" w:rsidRPr="006D05C3" w:rsidRDefault="007023B1" w:rsidP="00CF4133">
            <w:pPr>
              <w:pStyle w:val="Tabletext8"/>
              <w:keepNext/>
              <w:keepLines/>
              <w:spacing w:before="40" w:after="40"/>
              <w:jc w:val="center"/>
            </w:pPr>
            <w:r w:rsidRPr="006D05C3">
              <w:t>.466</w:t>
            </w:r>
          </w:p>
        </w:tc>
        <w:tc>
          <w:tcPr>
            <w:tcW w:w="473" w:type="pct"/>
            <w:tcBorders>
              <w:bottom w:val="single" w:sz="2" w:space="0" w:color="BFBFBF" w:themeColor="background1" w:themeShade="BF"/>
            </w:tcBorders>
            <w:vAlign w:val="center"/>
          </w:tcPr>
          <w:p w14:paraId="29CC7E1A" w14:textId="77777777" w:rsidR="007023B1" w:rsidRPr="006D05C3" w:rsidRDefault="007023B1" w:rsidP="00CF4133">
            <w:pPr>
              <w:pStyle w:val="Tabletext8"/>
              <w:keepNext/>
              <w:keepLines/>
              <w:spacing w:before="40" w:after="40"/>
              <w:jc w:val="center"/>
            </w:pPr>
            <w:r w:rsidRPr="006D05C3">
              <w:t>.534</w:t>
            </w:r>
          </w:p>
        </w:tc>
      </w:tr>
      <w:tr w:rsidR="00230A3D" w:rsidRPr="006D05C3" w14:paraId="28BCF936" w14:textId="77777777" w:rsidTr="00873CC2">
        <w:tc>
          <w:tcPr>
            <w:tcW w:w="482" w:type="pct"/>
            <w:tcBorders>
              <w:top w:val="single" w:sz="2" w:space="0" w:color="BFBFBF" w:themeColor="background1" w:themeShade="BF"/>
              <w:bottom w:val="single" w:sz="4" w:space="0" w:color="auto"/>
            </w:tcBorders>
            <w:vAlign w:val="center"/>
          </w:tcPr>
          <w:p w14:paraId="348747F5" w14:textId="77777777" w:rsidR="007023B1" w:rsidRPr="006D05C3" w:rsidRDefault="007023B1" w:rsidP="00873CC2">
            <w:pPr>
              <w:pStyle w:val="Tabletext8"/>
              <w:keepNext/>
              <w:keepLines/>
              <w:spacing w:before="40" w:after="40"/>
              <w:jc w:val="center"/>
            </w:pPr>
            <w:r w:rsidRPr="006D05C3">
              <w:t>30</w:t>
            </w:r>
          </w:p>
        </w:tc>
        <w:tc>
          <w:tcPr>
            <w:tcW w:w="435" w:type="pct"/>
            <w:tcBorders>
              <w:top w:val="single" w:sz="2" w:space="0" w:color="BFBFBF" w:themeColor="background1" w:themeShade="BF"/>
              <w:bottom w:val="single" w:sz="4" w:space="0" w:color="auto"/>
            </w:tcBorders>
            <w:vAlign w:val="center"/>
          </w:tcPr>
          <w:p w14:paraId="44E054CD" w14:textId="77777777" w:rsidR="007023B1" w:rsidRPr="006D05C3" w:rsidRDefault="007023B1" w:rsidP="00873CC2">
            <w:pPr>
              <w:pStyle w:val="Tabletext8"/>
              <w:keepNext/>
              <w:keepLines/>
              <w:spacing w:before="40" w:after="40"/>
              <w:jc w:val="center"/>
            </w:pPr>
            <w:r w:rsidRPr="006D05C3">
              <w:t>50</w:t>
            </w:r>
          </w:p>
        </w:tc>
        <w:tc>
          <w:tcPr>
            <w:tcW w:w="395" w:type="pct"/>
            <w:tcBorders>
              <w:top w:val="single" w:sz="2" w:space="0" w:color="BFBFBF" w:themeColor="background1" w:themeShade="BF"/>
              <w:bottom w:val="single" w:sz="4" w:space="0" w:color="auto"/>
            </w:tcBorders>
            <w:vAlign w:val="center"/>
          </w:tcPr>
          <w:p w14:paraId="6D220B4B" w14:textId="77777777" w:rsidR="007023B1" w:rsidRPr="006D05C3" w:rsidRDefault="007023B1" w:rsidP="00CF4133">
            <w:pPr>
              <w:pStyle w:val="Tabletext8"/>
              <w:keepNext/>
              <w:keepLines/>
              <w:spacing w:before="40" w:after="40"/>
              <w:jc w:val="center"/>
            </w:pPr>
            <w:r w:rsidRPr="006D05C3">
              <w:t>1,500</w:t>
            </w:r>
          </w:p>
        </w:tc>
        <w:tc>
          <w:tcPr>
            <w:tcW w:w="425" w:type="pct"/>
            <w:tcBorders>
              <w:top w:val="single" w:sz="2" w:space="0" w:color="BFBFBF" w:themeColor="background1" w:themeShade="BF"/>
              <w:bottom w:val="single" w:sz="4" w:space="0" w:color="auto"/>
            </w:tcBorders>
            <w:vAlign w:val="center"/>
          </w:tcPr>
          <w:p w14:paraId="4E183FBF" w14:textId="77777777" w:rsidR="007023B1" w:rsidRPr="006D05C3" w:rsidRDefault="007023B1" w:rsidP="00CF4133">
            <w:pPr>
              <w:pStyle w:val="Tabletext8"/>
              <w:keepNext/>
              <w:keepLines/>
              <w:spacing w:before="40" w:after="40"/>
              <w:jc w:val="center"/>
            </w:pPr>
            <w:r w:rsidRPr="006D05C3">
              <w:t>0.10</w:t>
            </w:r>
          </w:p>
        </w:tc>
        <w:tc>
          <w:tcPr>
            <w:tcW w:w="426" w:type="pct"/>
            <w:tcBorders>
              <w:top w:val="single" w:sz="2" w:space="0" w:color="BFBFBF" w:themeColor="background1" w:themeShade="BF"/>
              <w:bottom w:val="single" w:sz="4" w:space="0" w:color="auto"/>
            </w:tcBorders>
            <w:vAlign w:val="center"/>
          </w:tcPr>
          <w:p w14:paraId="135253D6" w14:textId="77777777" w:rsidR="007023B1" w:rsidRPr="006D05C3" w:rsidRDefault="007023B1" w:rsidP="00CF4133">
            <w:pPr>
              <w:pStyle w:val="Tabletext8"/>
              <w:keepNext/>
              <w:keepLines/>
              <w:spacing w:before="40" w:after="40"/>
              <w:jc w:val="center"/>
            </w:pPr>
            <w:r w:rsidRPr="006D05C3">
              <w:t>1.1</w:t>
            </w:r>
          </w:p>
        </w:tc>
        <w:tc>
          <w:tcPr>
            <w:tcW w:w="475" w:type="pct"/>
            <w:tcBorders>
              <w:top w:val="single" w:sz="2" w:space="0" w:color="BFBFBF" w:themeColor="background1" w:themeShade="BF"/>
              <w:bottom w:val="single" w:sz="4" w:space="0" w:color="auto"/>
            </w:tcBorders>
            <w:vAlign w:val="center"/>
          </w:tcPr>
          <w:p w14:paraId="5866FD3A" w14:textId="77777777" w:rsidR="007023B1" w:rsidRPr="006D05C3" w:rsidRDefault="007023B1" w:rsidP="00CF4133">
            <w:pPr>
              <w:pStyle w:val="Tabletext8"/>
              <w:keepNext/>
              <w:keepLines/>
              <w:spacing w:before="40" w:after="40"/>
              <w:jc w:val="center"/>
            </w:pPr>
            <w:r w:rsidRPr="006D05C3">
              <w:t>5.90</w:t>
            </w:r>
          </w:p>
        </w:tc>
        <w:tc>
          <w:tcPr>
            <w:tcW w:w="428" w:type="pct"/>
            <w:tcBorders>
              <w:top w:val="single" w:sz="2" w:space="0" w:color="BFBFBF" w:themeColor="background1" w:themeShade="BF"/>
              <w:bottom w:val="single" w:sz="4" w:space="0" w:color="auto"/>
            </w:tcBorders>
            <w:vAlign w:val="center"/>
          </w:tcPr>
          <w:p w14:paraId="020D74AA" w14:textId="77777777" w:rsidR="007023B1" w:rsidRPr="006D05C3" w:rsidRDefault="007023B1" w:rsidP="00CF4133">
            <w:pPr>
              <w:pStyle w:val="Tabletext8"/>
              <w:keepNext/>
              <w:keepLines/>
              <w:spacing w:before="40" w:after="40"/>
              <w:jc w:val="center"/>
            </w:pPr>
            <w:r w:rsidRPr="006D05C3">
              <w:t>1.1</w:t>
            </w:r>
          </w:p>
        </w:tc>
        <w:tc>
          <w:tcPr>
            <w:tcW w:w="450" w:type="pct"/>
            <w:tcBorders>
              <w:top w:val="single" w:sz="2" w:space="0" w:color="BFBFBF" w:themeColor="background1" w:themeShade="BF"/>
              <w:bottom w:val="single" w:sz="4" w:space="0" w:color="auto"/>
            </w:tcBorders>
            <w:vAlign w:val="center"/>
          </w:tcPr>
          <w:p w14:paraId="59414206" w14:textId="77777777" w:rsidR="007023B1" w:rsidRPr="006D05C3" w:rsidRDefault="007023B1" w:rsidP="00CF4133">
            <w:pPr>
              <w:pStyle w:val="Tabletext8"/>
              <w:keepNext/>
              <w:keepLines/>
              <w:spacing w:before="40" w:after="40"/>
              <w:jc w:val="center"/>
            </w:pPr>
            <w:r w:rsidRPr="006D05C3">
              <w:t>210</w:t>
            </w:r>
          </w:p>
        </w:tc>
        <w:tc>
          <w:tcPr>
            <w:tcW w:w="536" w:type="pct"/>
            <w:tcBorders>
              <w:top w:val="single" w:sz="2" w:space="0" w:color="BFBFBF" w:themeColor="background1" w:themeShade="BF"/>
              <w:bottom w:val="single" w:sz="4" w:space="0" w:color="auto"/>
            </w:tcBorders>
            <w:vAlign w:val="center"/>
          </w:tcPr>
          <w:p w14:paraId="378EB6BA" w14:textId="77777777" w:rsidR="007023B1" w:rsidRPr="006D05C3" w:rsidRDefault="007023B1" w:rsidP="00CF4133">
            <w:pPr>
              <w:pStyle w:val="Tabletext8"/>
              <w:keepNext/>
              <w:keepLines/>
              <w:spacing w:before="40" w:after="40"/>
              <w:jc w:val="center"/>
            </w:pPr>
            <w:r w:rsidRPr="006D05C3">
              <w:t>.068</w:t>
            </w:r>
          </w:p>
        </w:tc>
        <w:tc>
          <w:tcPr>
            <w:tcW w:w="475" w:type="pct"/>
            <w:tcBorders>
              <w:top w:val="single" w:sz="2" w:space="0" w:color="BFBFBF" w:themeColor="background1" w:themeShade="BF"/>
              <w:bottom w:val="single" w:sz="4" w:space="0" w:color="auto"/>
            </w:tcBorders>
            <w:vAlign w:val="center"/>
          </w:tcPr>
          <w:p w14:paraId="7904C02E" w14:textId="77777777" w:rsidR="007023B1" w:rsidRPr="006D05C3" w:rsidRDefault="007023B1" w:rsidP="00CF4133">
            <w:pPr>
              <w:pStyle w:val="Tabletext8"/>
              <w:keepNext/>
              <w:keepLines/>
              <w:spacing w:before="40" w:after="40"/>
              <w:jc w:val="center"/>
            </w:pPr>
            <w:r w:rsidRPr="006D05C3">
              <w:t>.432</w:t>
            </w:r>
          </w:p>
        </w:tc>
        <w:tc>
          <w:tcPr>
            <w:tcW w:w="473" w:type="pct"/>
            <w:tcBorders>
              <w:top w:val="single" w:sz="2" w:space="0" w:color="BFBFBF" w:themeColor="background1" w:themeShade="BF"/>
              <w:bottom w:val="single" w:sz="4" w:space="0" w:color="auto"/>
            </w:tcBorders>
            <w:vAlign w:val="center"/>
          </w:tcPr>
          <w:p w14:paraId="464D90E8" w14:textId="77777777" w:rsidR="007023B1" w:rsidRPr="006D05C3" w:rsidRDefault="007023B1" w:rsidP="00CF4133">
            <w:pPr>
              <w:pStyle w:val="Tabletext8"/>
              <w:keepNext/>
              <w:keepLines/>
              <w:spacing w:before="40" w:after="40"/>
              <w:jc w:val="center"/>
            </w:pPr>
            <w:r w:rsidRPr="006D05C3">
              <w:t>.567</w:t>
            </w:r>
          </w:p>
        </w:tc>
      </w:tr>
    </w:tbl>
    <w:p w14:paraId="74B159CA" w14:textId="6F4CF3DE" w:rsidR="007023B1" w:rsidRPr="006D05C3" w:rsidRDefault="00873CC2" w:rsidP="00873CC2">
      <w:pPr>
        <w:ind w:firstLine="0"/>
        <w:rPr>
          <w:sz w:val="20"/>
          <w:szCs w:val="24"/>
        </w:rPr>
      </w:pPr>
      <w:r w:rsidRPr="006D05C3">
        <w:rPr>
          <w:sz w:val="20"/>
          <w:szCs w:val="24"/>
        </w:rPr>
        <w:t>S = sampling adjustment; C = clustering adjustment; W = nonresponse weighting adjustments.</w:t>
      </w:r>
    </w:p>
    <w:p w14:paraId="52CE9E08" w14:textId="32F2C9A5" w:rsidR="007023B1" w:rsidRPr="006D05C3" w:rsidRDefault="007023B1" w:rsidP="00F2427F">
      <w:pPr>
        <w:pStyle w:val="H4NumberNoTOC"/>
      </w:pPr>
      <w:r w:rsidRPr="006D05C3">
        <w:t>B.2.4</w:t>
      </w:r>
      <w:r w:rsidR="00FA63E8" w:rsidRPr="006D05C3">
        <w:t>.</w:t>
      </w:r>
      <w:r w:rsidRPr="006D05C3">
        <w:t xml:space="preserve"> </w:t>
      </w:r>
      <w:r w:rsidR="00230A3D" w:rsidRPr="006D05C3">
        <w:tab/>
      </w:r>
      <w:r w:rsidRPr="006D05C3">
        <w:t>Unusual problems requiring specialized sampling procedures</w:t>
      </w:r>
    </w:p>
    <w:p w14:paraId="5B91784A" w14:textId="77777777" w:rsidR="007023B1" w:rsidRPr="006D05C3" w:rsidRDefault="007023B1" w:rsidP="00F2427F">
      <w:pPr>
        <w:pStyle w:val="NormalSS"/>
        <w:rPr>
          <w:szCs w:val="24"/>
        </w:rPr>
      </w:pPr>
      <w:r w:rsidRPr="006D05C3">
        <w:rPr>
          <w:szCs w:val="24"/>
        </w:rPr>
        <w:t xml:space="preserve">As described above, we </w:t>
      </w:r>
      <w:r w:rsidR="00BF5C1F" w:rsidRPr="006D05C3">
        <w:rPr>
          <w:szCs w:val="24"/>
        </w:rPr>
        <w:t xml:space="preserve">might need </w:t>
      </w:r>
      <w:r w:rsidRPr="006D05C3">
        <w:rPr>
          <w:szCs w:val="24"/>
        </w:rPr>
        <w:t>to tailor our client-level sampling procedure to different types of providers, depending on what client identifiers are available</w:t>
      </w:r>
      <w:r w:rsidR="00BF5C1F" w:rsidRPr="006D05C3">
        <w:rPr>
          <w:szCs w:val="24"/>
        </w:rPr>
        <w:t xml:space="preserve"> for this study</w:t>
      </w:r>
      <w:r w:rsidRPr="006D05C3">
        <w:rPr>
          <w:szCs w:val="24"/>
        </w:rPr>
        <w:t>.</w:t>
      </w:r>
    </w:p>
    <w:p w14:paraId="76C0917C" w14:textId="41E61BDF" w:rsidR="007023B1" w:rsidRPr="006D05C3" w:rsidRDefault="007023B1" w:rsidP="00F2427F">
      <w:pPr>
        <w:pStyle w:val="H4NumberNoTOC"/>
      </w:pPr>
      <w:r w:rsidRPr="006D05C3">
        <w:t>B.2.5</w:t>
      </w:r>
      <w:r w:rsidR="00FA63E8" w:rsidRPr="006D05C3">
        <w:t>.</w:t>
      </w:r>
      <w:r w:rsidRPr="006D05C3">
        <w:t xml:space="preserve"> </w:t>
      </w:r>
      <w:r w:rsidR="00230A3D" w:rsidRPr="006D05C3">
        <w:tab/>
      </w:r>
      <w:r w:rsidRPr="006D05C3">
        <w:t>Periodic data collection cycles to reduce burden</w:t>
      </w:r>
    </w:p>
    <w:p w14:paraId="549A43BF" w14:textId="42C9445C" w:rsidR="007023B1" w:rsidRPr="006D05C3" w:rsidRDefault="007023B1" w:rsidP="00F2427F">
      <w:pPr>
        <w:pStyle w:val="NormalSS"/>
        <w:rPr>
          <w:szCs w:val="24"/>
        </w:rPr>
      </w:pPr>
      <w:r w:rsidRPr="006D05C3">
        <w:rPr>
          <w:szCs w:val="24"/>
        </w:rPr>
        <w:t>We do not plan to break the data collection into cycles to reduce burden. We plan a single data collection cycle for each provider and client in the sample.</w:t>
      </w:r>
      <w:r w:rsidR="00547BB3" w:rsidRPr="006D05C3">
        <w:rPr>
          <w:szCs w:val="24"/>
        </w:rPr>
        <w:t xml:space="preserve"> We will begin recruitment </w:t>
      </w:r>
      <w:r w:rsidR="00705BB4" w:rsidRPr="006D05C3">
        <w:rPr>
          <w:szCs w:val="24"/>
        </w:rPr>
        <w:t xml:space="preserve">in </w:t>
      </w:r>
      <w:r w:rsidR="00D97EE2">
        <w:rPr>
          <w:szCs w:val="24"/>
        </w:rPr>
        <w:t xml:space="preserve">November </w:t>
      </w:r>
      <w:r w:rsidR="00547BB3" w:rsidRPr="006D05C3">
        <w:rPr>
          <w:szCs w:val="24"/>
        </w:rPr>
        <w:t xml:space="preserve">2019. </w:t>
      </w:r>
      <w:r w:rsidR="00FE31CE" w:rsidRPr="006D05C3">
        <w:rPr>
          <w:szCs w:val="24"/>
        </w:rPr>
        <w:t>We</w:t>
      </w:r>
      <w:r w:rsidR="00547BB3" w:rsidRPr="006D05C3">
        <w:rPr>
          <w:szCs w:val="24"/>
        </w:rPr>
        <w:t xml:space="preserve"> will begin </w:t>
      </w:r>
      <w:r w:rsidR="00067FE4">
        <w:rPr>
          <w:szCs w:val="24"/>
        </w:rPr>
        <w:t>semi-structured interviews and medical record abstraction</w:t>
      </w:r>
      <w:r w:rsidR="00FE31CE" w:rsidRPr="006D05C3">
        <w:rPr>
          <w:szCs w:val="24"/>
        </w:rPr>
        <w:t xml:space="preserve"> </w:t>
      </w:r>
      <w:r w:rsidR="00705BB4" w:rsidRPr="006D05C3">
        <w:rPr>
          <w:szCs w:val="24"/>
        </w:rPr>
        <w:t>in</w:t>
      </w:r>
      <w:r w:rsidR="00D97EE2">
        <w:rPr>
          <w:szCs w:val="24"/>
        </w:rPr>
        <w:t xml:space="preserve"> </w:t>
      </w:r>
      <w:r w:rsidR="001A6062">
        <w:rPr>
          <w:szCs w:val="24"/>
        </w:rPr>
        <w:t>January</w:t>
      </w:r>
      <w:r w:rsidR="00C3163A">
        <w:rPr>
          <w:szCs w:val="24"/>
        </w:rPr>
        <w:t xml:space="preserve"> </w:t>
      </w:r>
      <w:r w:rsidR="00547BB3" w:rsidRPr="006D05C3">
        <w:rPr>
          <w:szCs w:val="24"/>
        </w:rPr>
        <w:t>20</w:t>
      </w:r>
      <w:r w:rsidR="001A6062">
        <w:rPr>
          <w:szCs w:val="24"/>
        </w:rPr>
        <w:t>20</w:t>
      </w:r>
      <w:r w:rsidR="00547BB3" w:rsidRPr="006D05C3">
        <w:rPr>
          <w:szCs w:val="24"/>
        </w:rPr>
        <w:t xml:space="preserve"> and </w:t>
      </w:r>
      <w:r w:rsidR="00FE31CE" w:rsidRPr="006D05C3">
        <w:rPr>
          <w:szCs w:val="24"/>
        </w:rPr>
        <w:t>end by</w:t>
      </w:r>
      <w:r w:rsidR="00547BB3" w:rsidRPr="006D05C3">
        <w:t xml:space="preserve"> </w:t>
      </w:r>
      <w:r w:rsidR="00C3163A">
        <w:t>June</w:t>
      </w:r>
      <w:r w:rsidR="001A6062" w:rsidRPr="006D05C3">
        <w:t xml:space="preserve"> </w:t>
      </w:r>
      <w:r w:rsidR="00547BB3" w:rsidRPr="006D05C3">
        <w:t>2020.</w:t>
      </w:r>
    </w:p>
    <w:p w14:paraId="3D25E069" w14:textId="425FFA0D" w:rsidR="00371241" w:rsidRPr="006D05C3" w:rsidRDefault="00EA20D8" w:rsidP="00F2427F">
      <w:pPr>
        <w:pStyle w:val="H4NumberNoTOC"/>
      </w:pPr>
      <w:r w:rsidRPr="006D05C3">
        <w:t>B.2.6.</w:t>
      </w:r>
      <w:r w:rsidR="00371241" w:rsidRPr="006D05C3">
        <w:t xml:space="preserve"> </w:t>
      </w:r>
      <w:r w:rsidR="00230A3D" w:rsidRPr="006D05C3">
        <w:tab/>
      </w:r>
      <w:r w:rsidR="00371241" w:rsidRPr="006D05C3">
        <w:t>Data collection design</w:t>
      </w:r>
    </w:p>
    <w:p w14:paraId="0B2DCF9F" w14:textId="1CD6CD92" w:rsidR="0064522C" w:rsidRPr="006D05C3" w:rsidRDefault="00067FE4" w:rsidP="0064522C">
      <w:pPr>
        <w:pStyle w:val="NormalSS"/>
      </w:pPr>
      <w:r>
        <w:rPr>
          <w:b/>
          <w:szCs w:val="24"/>
        </w:rPr>
        <w:t>S</w:t>
      </w:r>
      <w:r w:rsidRPr="006D05C3">
        <w:rPr>
          <w:b/>
          <w:szCs w:val="24"/>
        </w:rPr>
        <w:t>emi</w:t>
      </w:r>
      <w:r w:rsidR="00712DE2">
        <w:rPr>
          <w:b/>
          <w:szCs w:val="24"/>
        </w:rPr>
        <w:t>-</w:t>
      </w:r>
      <w:r w:rsidRPr="006D05C3">
        <w:rPr>
          <w:b/>
          <w:szCs w:val="24"/>
        </w:rPr>
        <w:t xml:space="preserve">structured </w:t>
      </w:r>
      <w:r w:rsidR="000856BA" w:rsidRPr="006D05C3">
        <w:rPr>
          <w:b/>
          <w:szCs w:val="24"/>
        </w:rPr>
        <w:t xml:space="preserve">interview design. </w:t>
      </w:r>
      <w:r w:rsidR="0064522C" w:rsidRPr="006D05C3">
        <w:t xml:space="preserve">A key component of the </w:t>
      </w:r>
      <w:r>
        <w:t xml:space="preserve">study </w:t>
      </w:r>
      <w:r w:rsidR="0064522C" w:rsidRPr="006D05C3">
        <w:t xml:space="preserve">will be interviews with Type 1 provider staff (administrative and frontline service staff for a RWHAP provider), Type 2 provider staff (the medical director or other clinical staff at a non-funded OAHS provider), and clients. These interviews will provide rich, nuanced data on the use of HIV care, HIV-related process and clinical outcomes, barriers to care, and potential opportunities to improve medical care and HIV-related outcomes. </w:t>
      </w:r>
    </w:p>
    <w:p w14:paraId="5CED7215" w14:textId="7900718C" w:rsidR="003764B2" w:rsidRPr="00390A12" w:rsidRDefault="00067FE4" w:rsidP="0064522C">
      <w:pPr>
        <w:pStyle w:val="NormalSS"/>
        <w:rPr>
          <w:bCs/>
        </w:rPr>
      </w:pPr>
      <w:r w:rsidRPr="00390A12">
        <w:rPr>
          <w:bCs/>
        </w:rPr>
        <w:t>Semi-structured interviews will be conducted via telephone, unless a provider site requests on</w:t>
      </w:r>
      <w:r w:rsidR="009C60AC" w:rsidRPr="00390A12">
        <w:rPr>
          <w:bCs/>
        </w:rPr>
        <w:t>-</w:t>
      </w:r>
      <w:r w:rsidRPr="00390A12">
        <w:rPr>
          <w:bCs/>
        </w:rPr>
        <w:t xml:space="preserve">site interviews. A </w:t>
      </w:r>
      <w:r w:rsidR="0064522C" w:rsidRPr="00390A12">
        <w:rPr>
          <w:bCs/>
        </w:rPr>
        <w:t>qualitative researcher</w:t>
      </w:r>
      <w:r w:rsidR="003764B2" w:rsidRPr="00390A12">
        <w:rPr>
          <w:bCs/>
        </w:rPr>
        <w:t xml:space="preserve"> </w:t>
      </w:r>
      <w:r w:rsidR="0064522C" w:rsidRPr="00390A12">
        <w:rPr>
          <w:bCs/>
        </w:rPr>
        <w:t xml:space="preserve">will coordinate </w:t>
      </w:r>
      <w:r w:rsidR="003764B2" w:rsidRPr="00390A12">
        <w:rPr>
          <w:bCs/>
        </w:rPr>
        <w:t xml:space="preserve">and conduct </w:t>
      </w:r>
      <w:r w:rsidR="0064522C" w:rsidRPr="00390A12">
        <w:rPr>
          <w:bCs/>
        </w:rPr>
        <w:t xml:space="preserve">the </w:t>
      </w:r>
      <w:r w:rsidR="003764B2" w:rsidRPr="00390A12">
        <w:rPr>
          <w:bCs/>
        </w:rPr>
        <w:t>interviews. The medical record abstraction team will work with the practice site to determine the optimal means of data abstraction</w:t>
      </w:r>
      <w:r w:rsidR="009C60AC" w:rsidRPr="00390A12">
        <w:rPr>
          <w:bCs/>
        </w:rPr>
        <w:t>—</w:t>
      </w:r>
      <w:r w:rsidR="003764B2" w:rsidRPr="00390A12">
        <w:rPr>
          <w:bCs/>
        </w:rPr>
        <w:t>on</w:t>
      </w:r>
      <w:r w:rsidR="009C60AC" w:rsidRPr="00390A12">
        <w:rPr>
          <w:bCs/>
        </w:rPr>
        <w:t>-</w:t>
      </w:r>
      <w:r w:rsidR="003764B2" w:rsidRPr="00390A12">
        <w:rPr>
          <w:bCs/>
        </w:rPr>
        <w:t>site by the study team, remotely by the study team, or by the practice itself</w:t>
      </w:r>
      <w:r w:rsidR="009C60AC" w:rsidRPr="00390A12">
        <w:rPr>
          <w:bCs/>
        </w:rPr>
        <w:t>—</w:t>
      </w:r>
      <w:r w:rsidR="003764B2" w:rsidRPr="00390A12">
        <w:rPr>
          <w:bCs/>
        </w:rPr>
        <w:t xml:space="preserve">and provide necessary logistical support and instruction </w:t>
      </w:r>
      <w:r w:rsidR="009C60AC" w:rsidRPr="00390A12">
        <w:rPr>
          <w:bCs/>
        </w:rPr>
        <w:t>.</w:t>
      </w:r>
      <w:r w:rsidR="0064522C" w:rsidRPr="00390A12">
        <w:rPr>
          <w:bCs/>
        </w:rPr>
        <w:t xml:space="preserve"> </w:t>
      </w:r>
    </w:p>
    <w:p w14:paraId="7782BC1C" w14:textId="0A30F31D" w:rsidR="0064522C" w:rsidRPr="006D05C3" w:rsidRDefault="0064522C" w:rsidP="0064522C">
      <w:pPr>
        <w:pStyle w:val="NormalSS"/>
        <w:rPr>
          <w:bCs/>
        </w:rPr>
      </w:pPr>
      <w:r w:rsidRPr="006D05C3">
        <w:rPr>
          <w:bCs/>
        </w:rPr>
        <w:t xml:space="preserve">The </w:t>
      </w:r>
      <w:r w:rsidR="003764B2">
        <w:rPr>
          <w:bCs/>
        </w:rPr>
        <w:t>semi</w:t>
      </w:r>
      <w:r w:rsidR="00697EC9">
        <w:rPr>
          <w:bCs/>
        </w:rPr>
        <w:t>-</w:t>
      </w:r>
      <w:r w:rsidR="003764B2">
        <w:rPr>
          <w:bCs/>
        </w:rPr>
        <w:t xml:space="preserve">structured </w:t>
      </w:r>
      <w:r w:rsidRPr="006D05C3">
        <w:rPr>
          <w:bCs/>
        </w:rPr>
        <w:t>interview respondents will vary depending on the three non-OAHS scenarios described</w:t>
      </w:r>
      <w:r w:rsidR="00DF2470" w:rsidRPr="006D05C3">
        <w:rPr>
          <w:bCs/>
        </w:rPr>
        <w:t xml:space="preserve"> earlier in this statement</w:t>
      </w:r>
      <w:r w:rsidRPr="006D05C3">
        <w:rPr>
          <w:bCs/>
        </w:rPr>
        <w:t xml:space="preserve">, but in general, we will speak with the RWHAP program administrator, the frontline service delivery </w:t>
      </w:r>
      <w:r w:rsidRPr="006D05C3">
        <w:t>staff</w:t>
      </w:r>
      <w:r w:rsidRPr="006D05C3">
        <w:rPr>
          <w:bCs/>
        </w:rPr>
        <w:t xml:space="preserve"> (for example, the case manager or mental health professional), and the physician or other medical provider, as well as up to four clients at each Type 1 provider site. At the Type 2 provider sites, we will limit our interviews to the medical provider. We will schedule 30-minute interviews with clients and 30- to 60-minute interviews with all other respondents, depending on staff position and expected knowledge of the use of HIV care and outcomes for non-OAHS clients. We will rely on the Type 1 provider to help us identify and connect with the non-OAHS clients and with the Type 2 providers. </w:t>
      </w:r>
    </w:p>
    <w:p w14:paraId="6D776499" w14:textId="4F475544" w:rsidR="0064522C" w:rsidRPr="006D05C3" w:rsidRDefault="0064522C" w:rsidP="0064522C">
      <w:pPr>
        <w:pStyle w:val="NormalSS"/>
        <w:rPr>
          <w:bCs/>
        </w:rPr>
      </w:pPr>
      <w:r w:rsidRPr="006D05C3">
        <w:rPr>
          <w:bCs/>
        </w:rPr>
        <w:t xml:space="preserve">The qualitative researcher will conduct most interviews </w:t>
      </w:r>
      <w:r w:rsidR="003764B2">
        <w:rPr>
          <w:bCs/>
        </w:rPr>
        <w:t>via telephone, unless an on</w:t>
      </w:r>
      <w:r w:rsidR="009C60AC">
        <w:rPr>
          <w:bCs/>
        </w:rPr>
        <w:t>-</w:t>
      </w:r>
      <w:r w:rsidR="003764B2">
        <w:rPr>
          <w:bCs/>
        </w:rPr>
        <w:t>site visit is requested by the provider</w:t>
      </w:r>
      <w:r w:rsidRPr="006D05C3">
        <w:rPr>
          <w:bCs/>
        </w:rPr>
        <w:t xml:space="preserve">. </w:t>
      </w:r>
      <w:r w:rsidRPr="006D05C3">
        <w:t>We expect to interview each respondent individually in order to ensure we hear multiple perspectives independently</w:t>
      </w:r>
      <w:r w:rsidR="00A77032">
        <w:t xml:space="preserve"> and to encourage the respondent to speak freely</w:t>
      </w:r>
      <w:r w:rsidRPr="006D05C3">
        <w:t>. However, if a provider site prefers to include multiple respondents in the same interview, we will accommodate their request.</w:t>
      </w:r>
    </w:p>
    <w:p w14:paraId="185B271D" w14:textId="77777777" w:rsidR="0064522C" w:rsidRPr="006D05C3" w:rsidRDefault="0064522C" w:rsidP="0064522C">
      <w:pPr>
        <w:pStyle w:val="NormalSS"/>
      </w:pPr>
      <w:r w:rsidRPr="006D05C3">
        <w:t xml:space="preserve">When conducting interviews, we will request permission to record the conversation. There might be occasions when respondents, particularly clients, do not grant this permission. In these cases, the interviewer will take handwritten notes during the interview. We will </w:t>
      </w:r>
      <w:r w:rsidRPr="006D05C3">
        <w:rPr>
          <w:bCs/>
        </w:rPr>
        <w:t>also</w:t>
      </w:r>
      <w:r w:rsidRPr="006D05C3">
        <w:t xml:space="preserve"> describe our process for protecting confidentiality to each interviewee. Namely, during the project, only staff working on the qualitative data collection and analysis task will have access to the data, and we will destroy all notes, recordings, and transcripts of interviews at the end of the project. We will not link interviewees’ names to their responses or clinical information, and we will summarize the information in aggregate only.</w:t>
      </w:r>
    </w:p>
    <w:p w14:paraId="4316B3D2" w14:textId="50E9EB67" w:rsidR="00D17EC0" w:rsidRDefault="00371241" w:rsidP="00F2427F">
      <w:pPr>
        <w:pStyle w:val="NormalSS"/>
        <w:rPr>
          <w:szCs w:val="24"/>
        </w:rPr>
      </w:pPr>
      <w:r w:rsidRPr="006D05C3">
        <w:rPr>
          <w:b/>
          <w:szCs w:val="24"/>
        </w:rPr>
        <w:t>Chart abstraction design</w:t>
      </w:r>
      <w:r w:rsidR="00B9754A" w:rsidRPr="006D05C3">
        <w:rPr>
          <w:b/>
          <w:szCs w:val="24"/>
        </w:rPr>
        <w:t>.</w:t>
      </w:r>
      <w:r w:rsidR="00B9754A" w:rsidRPr="006D05C3">
        <w:rPr>
          <w:szCs w:val="24"/>
        </w:rPr>
        <w:t xml:space="preserve"> </w:t>
      </w:r>
      <w:r w:rsidR="00D17EC0">
        <w:rPr>
          <w:szCs w:val="24"/>
        </w:rPr>
        <w:t xml:space="preserve">Prior to chart abstraction, </w:t>
      </w:r>
      <w:r w:rsidR="00472DCC">
        <w:rPr>
          <w:szCs w:val="24"/>
        </w:rPr>
        <w:t xml:space="preserve">we will ask all </w:t>
      </w:r>
      <w:r w:rsidR="00D17EC0">
        <w:rPr>
          <w:szCs w:val="24"/>
        </w:rPr>
        <w:t xml:space="preserve">Type I RWHAP providers </w:t>
      </w:r>
      <w:r w:rsidR="007B1774">
        <w:rPr>
          <w:szCs w:val="24"/>
        </w:rPr>
        <w:t xml:space="preserve">to post a </w:t>
      </w:r>
      <w:r w:rsidR="00D17EC0">
        <w:rPr>
          <w:szCs w:val="24"/>
        </w:rPr>
        <w:t>Study Notification S</w:t>
      </w:r>
      <w:r w:rsidR="006F2AC1">
        <w:rPr>
          <w:szCs w:val="24"/>
        </w:rPr>
        <w:t>ign</w:t>
      </w:r>
      <w:r w:rsidR="00D17EC0">
        <w:rPr>
          <w:szCs w:val="24"/>
        </w:rPr>
        <w:t xml:space="preserve"> in one or more well-traveled areas of their physical location (Appendix </w:t>
      </w:r>
      <w:r w:rsidR="007B1774">
        <w:rPr>
          <w:szCs w:val="24"/>
        </w:rPr>
        <w:t>D</w:t>
      </w:r>
      <w:r w:rsidR="00D17EC0">
        <w:rPr>
          <w:szCs w:val="24"/>
        </w:rPr>
        <w:t>). Th</w:t>
      </w:r>
      <w:r w:rsidR="00472DCC">
        <w:rPr>
          <w:szCs w:val="24"/>
        </w:rPr>
        <w:t>e Study Notification S</w:t>
      </w:r>
      <w:r w:rsidR="006F2AC1">
        <w:rPr>
          <w:szCs w:val="24"/>
        </w:rPr>
        <w:t>ign</w:t>
      </w:r>
      <w:r w:rsidR="00D17EC0">
        <w:rPr>
          <w:szCs w:val="24"/>
        </w:rPr>
        <w:t xml:space="preserve"> will alert patients to the fact that their </w:t>
      </w:r>
      <w:r w:rsidR="001A6062">
        <w:rPr>
          <w:szCs w:val="24"/>
        </w:rPr>
        <w:t xml:space="preserve">medical </w:t>
      </w:r>
      <w:r w:rsidR="00D17EC0">
        <w:rPr>
          <w:szCs w:val="24"/>
        </w:rPr>
        <w:t xml:space="preserve">data may be abstracted as part of this study and that any information resulting from the </w:t>
      </w:r>
      <w:r w:rsidR="00472DCC">
        <w:rPr>
          <w:szCs w:val="24"/>
        </w:rPr>
        <w:t>abstraction</w:t>
      </w:r>
      <w:r w:rsidR="00D17EC0">
        <w:rPr>
          <w:szCs w:val="24"/>
        </w:rPr>
        <w:t xml:space="preserve"> will be kept confidential, </w:t>
      </w:r>
      <w:r w:rsidR="00472DCC">
        <w:rPr>
          <w:szCs w:val="24"/>
        </w:rPr>
        <w:t>and</w:t>
      </w:r>
      <w:r w:rsidR="00D17EC0">
        <w:rPr>
          <w:szCs w:val="24"/>
        </w:rPr>
        <w:t xml:space="preserve"> findings </w:t>
      </w:r>
      <w:r w:rsidR="008275CB">
        <w:rPr>
          <w:szCs w:val="24"/>
        </w:rPr>
        <w:t>presented</w:t>
      </w:r>
      <w:r w:rsidR="00D17EC0">
        <w:rPr>
          <w:szCs w:val="24"/>
        </w:rPr>
        <w:t xml:space="preserve"> in aggregate </w:t>
      </w:r>
      <w:r w:rsidR="008275CB">
        <w:rPr>
          <w:szCs w:val="24"/>
        </w:rPr>
        <w:t xml:space="preserve">form </w:t>
      </w:r>
      <w:r w:rsidR="00D17EC0">
        <w:rPr>
          <w:szCs w:val="24"/>
        </w:rPr>
        <w:t>only.</w:t>
      </w:r>
    </w:p>
    <w:p w14:paraId="3D387F3D" w14:textId="58FD523C" w:rsidR="00DF2470" w:rsidRPr="006D05C3" w:rsidRDefault="00D17EC0" w:rsidP="00F2427F">
      <w:pPr>
        <w:pStyle w:val="NormalSS"/>
        <w:rPr>
          <w:szCs w:val="24"/>
        </w:rPr>
      </w:pPr>
      <w:r>
        <w:rPr>
          <w:szCs w:val="24"/>
        </w:rPr>
        <w:t xml:space="preserve"> </w:t>
      </w:r>
      <w:r w:rsidR="003764B2">
        <w:rPr>
          <w:szCs w:val="24"/>
        </w:rPr>
        <w:t xml:space="preserve">Data will be abstracted from </w:t>
      </w:r>
      <w:r w:rsidR="00B9754A" w:rsidRPr="006D05C3">
        <w:rPr>
          <w:szCs w:val="24"/>
        </w:rPr>
        <w:t xml:space="preserve">medical records at 30 provider sites. </w:t>
      </w:r>
      <w:r w:rsidR="003764B2">
        <w:rPr>
          <w:szCs w:val="24"/>
        </w:rPr>
        <w:t>Data abstraction will done by the provider, with instruction from the study team, or will be done on</w:t>
      </w:r>
      <w:r w:rsidR="00D74852">
        <w:rPr>
          <w:szCs w:val="24"/>
        </w:rPr>
        <w:t>-</w:t>
      </w:r>
      <w:r w:rsidR="003764B2">
        <w:rPr>
          <w:szCs w:val="24"/>
        </w:rPr>
        <w:t>site or remotely by the study team</w:t>
      </w:r>
      <w:r w:rsidR="00D97EE2">
        <w:rPr>
          <w:szCs w:val="24"/>
        </w:rPr>
        <w:t>, if preferred</w:t>
      </w:r>
      <w:r w:rsidR="003764B2">
        <w:rPr>
          <w:szCs w:val="24"/>
        </w:rPr>
        <w:t xml:space="preserve">. </w:t>
      </w:r>
      <w:r w:rsidR="00710B1A">
        <w:rPr>
          <w:szCs w:val="24"/>
        </w:rPr>
        <w:t>K</w:t>
      </w:r>
      <w:r w:rsidR="00710B1A" w:rsidRPr="006D05C3">
        <w:rPr>
          <w:szCs w:val="24"/>
        </w:rPr>
        <w:t xml:space="preserve">ey </w:t>
      </w:r>
      <w:r w:rsidR="00B9754A" w:rsidRPr="006D05C3">
        <w:rPr>
          <w:szCs w:val="24"/>
        </w:rPr>
        <w:t>data elements for up to 50 clients</w:t>
      </w:r>
      <w:r w:rsidR="00710B1A">
        <w:rPr>
          <w:szCs w:val="24"/>
        </w:rPr>
        <w:t xml:space="preserve"> will be abstracted</w:t>
      </w:r>
      <w:r w:rsidR="00B9754A" w:rsidRPr="006D05C3">
        <w:rPr>
          <w:szCs w:val="24"/>
        </w:rPr>
        <w:t xml:space="preserve">. </w:t>
      </w:r>
      <w:r w:rsidR="00DF2470" w:rsidRPr="006D05C3">
        <w:rPr>
          <w:szCs w:val="24"/>
        </w:rPr>
        <w:t xml:space="preserve">Key data elements include </w:t>
      </w:r>
      <w:r w:rsidR="00A303C3">
        <w:rPr>
          <w:szCs w:val="24"/>
        </w:rPr>
        <w:t xml:space="preserve">year </w:t>
      </w:r>
      <w:r w:rsidR="00DF2470" w:rsidRPr="006D05C3">
        <w:rPr>
          <w:szCs w:val="24"/>
        </w:rPr>
        <w:t xml:space="preserve">of initial HIV diagnosis, dates of all outpatient medical visits, dates and types of HIV medications prescribed, and dates and results of all viral load lab tests ordered. We will limit the extraction to visits, prescriptions, and tests occurring from January through December 2018. </w:t>
      </w:r>
      <w:r w:rsidR="000E6350" w:rsidRPr="006D05C3">
        <w:rPr>
          <w:szCs w:val="24"/>
        </w:rPr>
        <w:t>We will pre-populate the abstraction tool with a list eUCIs for the clients for whom data will be collected. We will also pre-populate the tool with the client’s age and gender from information reported in the 2017 RSR.</w:t>
      </w:r>
    </w:p>
    <w:p w14:paraId="4C29C6CB" w14:textId="7F53ED79" w:rsidR="00B9754A" w:rsidRPr="006D05C3" w:rsidRDefault="00BF5C1F" w:rsidP="00F2427F">
      <w:pPr>
        <w:pStyle w:val="NormalSS"/>
        <w:rPr>
          <w:szCs w:val="24"/>
        </w:rPr>
      </w:pPr>
      <w:r w:rsidRPr="006D05C3">
        <w:t>We</w:t>
      </w:r>
      <w:r w:rsidR="00B9754A" w:rsidRPr="006D05C3">
        <w:rPr>
          <w:szCs w:val="24"/>
        </w:rPr>
        <w:t xml:space="preserve"> consider each </w:t>
      </w:r>
      <w:r w:rsidRPr="006D05C3">
        <w:rPr>
          <w:szCs w:val="24"/>
        </w:rPr>
        <w:t xml:space="preserve">medical </w:t>
      </w:r>
      <w:r w:rsidR="00B9754A" w:rsidRPr="006D05C3">
        <w:rPr>
          <w:szCs w:val="24"/>
        </w:rPr>
        <w:t xml:space="preserve">record a single case. The </w:t>
      </w:r>
      <w:r w:rsidR="00710B1A">
        <w:rPr>
          <w:szCs w:val="24"/>
        </w:rPr>
        <w:t>abstractor w</w:t>
      </w:r>
      <w:r w:rsidR="00B9754A" w:rsidRPr="006D05C3">
        <w:rPr>
          <w:szCs w:val="24"/>
        </w:rPr>
        <w:t xml:space="preserve">ill confirm that the </w:t>
      </w:r>
      <w:r w:rsidR="00C54485" w:rsidRPr="006D05C3">
        <w:rPr>
          <w:szCs w:val="24"/>
        </w:rPr>
        <w:t>client in the medical record is the same client as was sampled from the RSR</w:t>
      </w:r>
      <w:r w:rsidR="00B9754A" w:rsidRPr="006D05C3">
        <w:rPr>
          <w:szCs w:val="24"/>
        </w:rPr>
        <w:t>.</w:t>
      </w:r>
      <w:r w:rsidR="00C54485" w:rsidRPr="006D05C3">
        <w:rPr>
          <w:szCs w:val="24"/>
        </w:rPr>
        <w:t xml:space="preserve"> </w:t>
      </w:r>
      <w:r w:rsidR="00710B1A">
        <w:rPr>
          <w:szCs w:val="24"/>
        </w:rPr>
        <w:t xml:space="preserve">This will be done </w:t>
      </w:r>
      <w:r w:rsidR="00C54485" w:rsidRPr="006D05C3">
        <w:rPr>
          <w:szCs w:val="24"/>
        </w:rPr>
        <w:t xml:space="preserve">by manually matching on </w:t>
      </w:r>
      <w:r w:rsidR="00710B1A">
        <w:rPr>
          <w:szCs w:val="24"/>
        </w:rPr>
        <w:t xml:space="preserve">client eUCI (or name for Type II provider), </w:t>
      </w:r>
      <w:r w:rsidR="00C54485" w:rsidRPr="006D05C3">
        <w:rPr>
          <w:szCs w:val="24"/>
        </w:rPr>
        <w:t>age category</w:t>
      </w:r>
      <w:r w:rsidR="00710B1A">
        <w:rPr>
          <w:szCs w:val="24"/>
        </w:rPr>
        <w:t>,</w:t>
      </w:r>
      <w:r w:rsidR="00C54485" w:rsidRPr="006D05C3">
        <w:rPr>
          <w:szCs w:val="24"/>
        </w:rPr>
        <w:t xml:space="preserve"> and gender.</w:t>
      </w:r>
      <w:r w:rsidR="00B9754A" w:rsidRPr="006D05C3">
        <w:rPr>
          <w:szCs w:val="24"/>
        </w:rPr>
        <w:t xml:space="preserve"> For those records confirm</w:t>
      </w:r>
      <w:r w:rsidR="00710B1A">
        <w:rPr>
          <w:szCs w:val="24"/>
        </w:rPr>
        <w:t xml:space="preserve">ed </w:t>
      </w:r>
      <w:r w:rsidR="00B9754A" w:rsidRPr="006D05C3">
        <w:rPr>
          <w:szCs w:val="24"/>
        </w:rPr>
        <w:t xml:space="preserve">to </w:t>
      </w:r>
      <w:r w:rsidR="00C54485" w:rsidRPr="006D05C3">
        <w:rPr>
          <w:szCs w:val="24"/>
        </w:rPr>
        <w:t>match</w:t>
      </w:r>
      <w:r w:rsidR="00B9754A" w:rsidRPr="006D05C3">
        <w:rPr>
          <w:szCs w:val="24"/>
        </w:rPr>
        <w:t xml:space="preserve">, </w:t>
      </w:r>
      <w:r w:rsidR="00710B1A">
        <w:rPr>
          <w:szCs w:val="24"/>
        </w:rPr>
        <w:t xml:space="preserve">medical record data will be abstracted. </w:t>
      </w:r>
      <w:r w:rsidR="00B9754A" w:rsidRPr="006D05C3">
        <w:rPr>
          <w:szCs w:val="24"/>
        </w:rPr>
        <w:t xml:space="preserve">The reviewers will check all of the case-related encounters </w:t>
      </w:r>
      <w:r w:rsidR="007555C2" w:rsidRPr="006D05C3">
        <w:rPr>
          <w:szCs w:val="24"/>
        </w:rPr>
        <w:t>during the reporting period</w:t>
      </w:r>
      <w:r w:rsidR="00B9754A" w:rsidRPr="006D05C3">
        <w:rPr>
          <w:szCs w:val="24"/>
        </w:rPr>
        <w:t xml:space="preserve"> to determine the presence or absence of each specified data element</w:t>
      </w:r>
      <w:r w:rsidR="00C54485" w:rsidRPr="006D05C3">
        <w:rPr>
          <w:szCs w:val="24"/>
        </w:rPr>
        <w:t xml:space="preserve"> to be abstracted</w:t>
      </w:r>
      <w:r w:rsidR="00B9754A" w:rsidRPr="006D05C3">
        <w:rPr>
          <w:szCs w:val="24"/>
        </w:rPr>
        <w:t>.</w:t>
      </w:r>
    </w:p>
    <w:p w14:paraId="79BC3A07" w14:textId="54275E44" w:rsidR="00B9754A" w:rsidRPr="006D05C3" w:rsidRDefault="00B9754A" w:rsidP="00F2427F">
      <w:pPr>
        <w:pStyle w:val="NormalSS"/>
        <w:rPr>
          <w:szCs w:val="24"/>
        </w:rPr>
      </w:pPr>
      <w:r w:rsidRPr="006D05C3">
        <w:rPr>
          <w:szCs w:val="24"/>
        </w:rPr>
        <w:t>When expected components of the patients’ records are not available for review, the abstractor will review the case with the abstraction</w:t>
      </w:r>
      <w:r w:rsidR="00710B1A">
        <w:rPr>
          <w:szCs w:val="24"/>
        </w:rPr>
        <w:t xml:space="preserve"> team</w:t>
      </w:r>
      <w:r w:rsidRPr="006D05C3">
        <w:rPr>
          <w:szCs w:val="24"/>
        </w:rPr>
        <w:t xml:space="preserve"> lead and document the specifics in the notes field of the abstraction tool. The abstractor will also report any questions about validity of information to the abstraction lead. The abstraction lead will </w:t>
      </w:r>
      <w:r w:rsidR="001662A5">
        <w:rPr>
          <w:szCs w:val="24"/>
        </w:rPr>
        <w:t xml:space="preserve">discuss </w:t>
      </w:r>
      <w:r w:rsidR="00A303C3">
        <w:rPr>
          <w:szCs w:val="24"/>
        </w:rPr>
        <w:t xml:space="preserve">the issue </w:t>
      </w:r>
      <w:r w:rsidR="001662A5">
        <w:rPr>
          <w:szCs w:val="24"/>
        </w:rPr>
        <w:t xml:space="preserve">with the study team and help the </w:t>
      </w:r>
      <w:r w:rsidR="00F51FC8" w:rsidRPr="006D05C3">
        <w:rPr>
          <w:szCs w:val="24"/>
        </w:rPr>
        <w:t xml:space="preserve">provider </w:t>
      </w:r>
      <w:r w:rsidRPr="006D05C3">
        <w:rPr>
          <w:szCs w:val="24"/>
        </w:rPr>
        <w:t xml:space="preserve">site resolve data discrepancies. Follow-up will include a reference to the expected but missing or questionable </w:t>
      </w:r>
      <w:r w:rsidR="00F51FC8" w:rsidRPr="006D05C3">
        <w:rPr>
          <w:szCs w:val="24"/>
        </w:rPr>
        <w:t>cl</w:t>
      </w:r>
      <w:r w:rsidRPr="006D05C3">
        <w:rPr>
          <w:szCs w:val="24"/>
        </w:rPr>
        <w:t>ient record information to minimize incomplete data collection and eliminate missing data related to information that was inadvertently not supplied.</w:t>
      </w:r>
    </w:p>
    <w:p w14:paraId="450B080B" w14:textId="0C75C1C0" w:rsidR="00B9754A" w:rsidRPr="006D05C3" w:rsidRDefault="00B9754A" w:rsidP="00F2427F">
      <w:pPr>
        <w:pStyle w:val="NormalSS"/>
        <w:rPr>
          <w:szCs w:val="24"/>
        </w:rPr>
      </w:pPr>
      <w:r w:rsidRPr="006D05C3">
        <w:rPr>
          <w:szCs w:val="24"/>
        </w:rPr>
        <w:t xml:space="preserve">After </w:t>
      </w:r>
      <w:r w:rsidR="001662A5">
        <w:rPr>
          <w:szCs w:val="24"/>
        </w:rPr>
        <w:t>medical</w:t>
      </w:r>
      <w:r w:rsidRPr="006D05C3">
        <w:rPr>
          <w:szCs w:val="24"/>
        </w:rPr>
        <w:t xml:space="preserve"> record abstraction</w:t>
      </w:r>
      <w:r w:rsidR="001662A5">
        <w:rPr>
          <w:szCs w:val="24"/>
        </w:rPr>
        <w:t xml:space="preserve"> is complete, </w:t>
      </w:r>
      <w:r w:rsidRPr="006D05C3">
        <w:rPr>
          <w:szCs w:val="24"/>
        </w:rPr>
        <w:t xml:space="preserve">the abstractor will upload the requested data files to a secure, site-specific document library dedicated to this study. </w:t>
      </w:r>
      <w:r w:rsidR="00E1069A" w:rsidRPr="006D05C3">
        <w:rPr>
          <w:szCs w:val="24"/>
        </w:rPr>
        <w:t>We</w:t>
      </w:r>
      <w:r w:rsidRPr="006D05C3">
        <w:rPr>
          <w:szCs w:val="24"/>
        </w:rPr>
        <w:t xml:space="preserve"> will develop and post instructions for abstractors to upload the data elements in the secure, restricted electronic data storage folder. </w:t>
      </w:r>
      <w:r w:rsidR="00E1069A" w:rsidRPr="006D05C3">
        <w:rPr>
          <w:szCs w:val="24"/>
        </w:rPr>
        <w:t>We</w:t>
      </w:r>
      <w:r w:rsidRPr="006D05C3">
        <w:rPr>
          <w:szCs w:val="24"/>
        </w:rPr>
        <w:t xml:space="preserve"> will build in automated checks and prompts during data </w:t>
      </w:r>
      <w:r w:rsidR="00FB35A0" w:rsidRPr="006D05C3">
        <w:rPr>
          <w:szCs w:val="24"/>
        </w:rPr>
        <w:t>ent</w:t>
      </w:r>
      <w:r w:rsidRPr="006D05C3">
        <w:rPr>
          <w:szCs w:val="24"/>
        </w:rPr>
        <w:t xml:space="preserve">ry and </w:t>
      </w:r>
      <w:r w:rsidR="00F51FC8" w:rsidRPr="006D05C3">
        <w:rPr>
          <w:szCs w:val="24"/>
        </w:rPr>
        <w:t>dropdown menus of expected data value</w:t>
      </w:r>
      <w:r w:rsidR="00172EFD" w:rsidRPr="006D05C3">
        <w:rPr>
          <w:szCs w:val="24"/>
        </w:rPr>
        <w:t>s</w:t>
      </w:r>
      <w:r w:rsidR="00F51FC8" w:rsidRPr="006D05C3">
        <w:rPr>
          <w:szCs w:val="24"/>
        </w:rPr>
        <w:t xml:space="preserve">. This will </w:t>
      </w:r>
      <w:r w:rsidR="00CE706D" w:rsidRPr="006D05C3">
        <w:rPr>
          <w:szCs w:val="24"/>
        </w:rPr>
        <w:t xml:space="preserve">help </w:t>
      </w:r>
      <w:r w:rsidR="00F51FC8" w:rsidRPr="006D05C3">
        <w:rPr>
          <w:szCs w:val="24"/>
        </w:rPr>
        <w:t>prevent</w:t>
      </w:r>
      <w:r w:rsidRPr="006D05C3">
        <w:rPr>
          <w:szCs w:val="24"/>
        </w:rPr>
        <w:t xml:space="preserve"> data entry errors</w:t>
      </w:r>
      <w:r w:rsidR="00CE706D" w:rsidRPr="006D05C3">
        <w:rPr>
          <w:szCs w:val="24"/>
        </w:rPr>
        <w:t xml:space="preserve"> such as</w:t>
      </w:r>
      <w:r w:rsidRPr="006D05C3">
        <w:rPr>
          <w:szCs w:val="24"/>
        </w:rPr>
        <w:t xml:space="preserve"> invalid values</w:t>
      </w:r>
      <w:r w:rsidR="00F51FC8" w:rsidRPr="006D05C3">
        <w:rPr>
          <w:szCs w:val="24"/>
        </w:rPr>
        <w:t>.</w:t>
      </w:r>
      <w:r w:rsidRPr="006D05C3">
        <w:rPr>
          <w:szCs w:val="24"/>
        </w:rPr>
        <w:t xml:space="preserve"> The </w:t>
      </w:r>
      <w:r w:rsidR="001662A5">
        <w:rPr>
          <w:szCs w:val="24"/>
        </w:rPr>
        <w:t>abstraction</w:t>
      </w:r>
      <w:r w:rsidRPr="006D05C3">
        <w:rPr>
          <w:szCs w:val="24"/>
        </w:rPr>
        <w:t xml:space="preserve"> lead and the abstractor will then meet for a data review debriefing and, if indicated, the abstractor will be asked to clarify his or her results. Once </w:t>
      </w:r>
      <w:r w:rsidR="00E1069A" w:rsidRPr="006D05C3">
        <w:rPr>
          <w:szCs w:val="24"/>
        </w:rPr>
        <w:t xml:space="preserve">we have processed </w:t>
      </w:r>
      <w:r w:rsidRPr="006D05C3">
        <w:rPr>
          <w:szCs w:val="24"/>
        </w:rPr>
        <w:t xml:space="preserve">the site data, </w:t>
      </w:r>
      <w:r w:rsidR="00E1069A" w:rsidRPr="006D05C3">
        <w:rPr>
          <w:szCs w:val="24"/>
        </w:rPr>
        <w:t xml:space="preserve">we will </w:t>
      </w:r>
      <w:r w:rsidRPr="006D05C3">
        <w:rPr>
          <w:szCs w:val="24"/>
        </w:rPr>
        <w:t xml:space="preserve">transfer </w:t>
      </w:r>
      <w:r w:rsidR="00E1069A" w:rsidRPr="006D05C3">
        <w:rPr>
          <w:szCs w:val="24"/>
        </w:rPr>
        <w:t xml:space="preserve">them </w:t>
      </w:r>
      <w:r w:rsidRPr="006D05C3">
        <w:rPr>
          <w:szCs w:val="24"/>
        </w:rPr>
        <w:t xml:space="preserve">to </w:t>
      </w:r>
      <w:r w:rsidR="00E1069A" w:rsidRPr="006D05C3">
        <w:rPr>
          <w:szCs w:val="24"/>
        </w:rPr>
        <w:t xml:space="preserve">our </w:t>
      </w:r>
      <w:r w:rsidRPr="006D05C3">
        <w:rPr>
          <w:szCs w:val="24"/>
        </w:rPr>
        <w:t>most secure electronic storage with access granted to only those staff responsible for analyzing the data.</w:t>
      </w:r>
    </w:p>
    <w:p w14:paraId="05EFBBE8" w14:textId="10F1C739" w:rsidR="00057475" w:rsidRDefault="00B9754A" w:rsidP="00F2427F">
      <w:pPr>
        <w:pStyle w:val="NormalSS"/>
        <w:rPr>
          <w:szCs w:val="24"/>
        </w:rPr>
      </w:pPr>
      <w:r w:rsidRPr="006D05C3">
        <w:rPr>
          <w:szCs w:val="24"/>
        </w:rPr>
        <w:t xml:space="preserve"> </w:t>
      </w:r>
      <w:r w:rsidR="00E1069A" w:rsidRPr="006D05C3">
        <w:rPr>
          <w:szCs w:val="24"/>
        </w:rPr>
        <w:t>We</w:t>
      </w:r>
      <w:r w:rsidRPr="006D05C3">
        <w:rPr>
          <w:szCs w:val="24"/>
        </w:rPr>
        <w:t xml:space="preserve"> will monitor each abstractor’s performance throughout the data collection period. </w:t>
      </w:r>
      <w:r w:rsidR="00E1069A" w:rsidRPr="006D05C3">
        <w:rPr>
          <w:szCs w:val="24"/>
        </w:rPr>
        <w:t>We</w:t>
      </w:r>
      <w:r w:rsidRPr="006D05C3">
        <w:rPr>
          <w:szCs w:val="24"/>
        </w:rPr>
        <w:t xml:space="preserve"> will review each abstractor’s metadata, such as length of time within a case and volume of cases abstracted</w:t>
      </w:r>
      <w:r w:rsidR="00707112" w:rsidRPr="006D05C3">
        <w:rPr>
          <w:szCs w:val="24"/>
        </w:rPr>
        <w:t>,</w:t>
      </w:r>
      <w:r w:rsidRPr="006D05C3">
        <w:rPr>
          <w:szCs w:val="24"/>
        </w:rPr>
        <w:t xml:space="preserve"> to provide additional support as needed</w:t>
      </w:r>
      <w:r w:rsidR="006F2AC1">
        <w:rPr>
          <w:szCs w:val="24"/>
        </w:rPr>
        <w:t>.</w:t>
      </w:r>
      <w:r w:rsidR="001662A5">
        <w:rPr>
          <w:szCs w:val="24"/>
        </w:rPr>
        <w:t xml:space="preserve"> </w:t>
      </w:r>
      <w:r w:rsidR="00D97EE2">
        <w:rPr>
          <w:szCs w:val="24"/>
        </w:rPr>
        <w:t xml:space="preserve">We </w:t>
      </w:r>
      <w:r w:rsidR="001662A5">
        <w:rPr>
          <w:szCs w:val="24"/>
        </w:rPr>
        <w:t xml:space="preserve">will request that </w:t>
      </w:r>
      <w:r w:rsidR="00D97EE2">
        <w:rPr>
          <w:szCs w:val="24"/>
        </w:rPr>
        <w:t xml:space="preserve">provider sites </w:t>
      </w:r>
      <w:r w:rsidR="001662A5">
        <w:rPr>
          <w:szCs w:val="24"/>
        </w:rPr>
        <w:t xml:space="preserve">use an </w:t>
      </w:r>
      <w:r w:rsidR="001662A5" w:rsidRPr="001662A5">
        <w:rPr>
          <w:szCs w:val="24"/>
        </w:rPr>
        <w:t xml:space="preserve">experienced health professional </w:t>
      </w:r>
      <w:r w:rsidR="001662A5">
        <w:rPr>
          <w:szCs w:val="24"/>
        </w:rPr>
        <w:t xml:space="preserve">such as a </w:t>
      </w:r>
      <w:r w:rsidR="001662A5" w:rsidRPr="001662A5">
        <w:rPr>
          <w:szCs w:val="24"/>
        </w:rPr>
        <w:t xml:space="preserve">licensed registered nurse, registered health information administrator or technician, certified </w:t>
      </w:r>
      <w:r w:rsidR="00BF20AE">
        <w:rPr>
          <w:szCs w:val="24"/>
        </w:rPr>
        <w:t xml:space="preserve">physician-based </w:t>
      </w:r>
      <w:r w:rsidR="001662A5" w:rsidRPr="001662A5">
        <w:rPr>
          <w:szCs w:val="24"/>
        </w:rPr>
        <w:t>coding specialist, and/or certified professional coder</w:t>
      </w:r>
      <w:r w:rsidR="00D97EE2">
        <w:rPr>
          <w:szCs w:val="24"/>
        </w:rPr>
        <w:t>, to perform the medical record abstractions</w:t>
      </w:r>
      <w:r w:rsidR="001662A5">
        <w:rPr>
          <w:szCs w:val="24"/>
        </w:rPr>
        <w:t>. If the provider prefers an on</w:t>
      </w:r>
      <w:r w:rsidR="00596648">
        <w:rPr>
          <w:szCs w:val="24"/>
        </w:rPr>
        <w:t>-</w:t>
      </w:r>
      <w:r w:rsidR="001662A5">
        <w:rPr>
          <w:szCs w:val="24"/>
        </w:rPr>
        <w:t xml:space="preserve">site abstractor from the study team, a similarly credentialed abstractor will be provided. </w:t>
      </w:r>
    </w:p>
    <w:p w14:paraId="676C5EF7" w14:textId="2A4B8D09" w:rsidR="00B9754A" w:rsidRPr="006D05C3" w:rsidRDefault="00E1069A" w:rsidP="00B24A0B">
      <w:pPr>
        <w:pStyle w:val="NormalSS"/>
        <w:rPr>
          <w:szCs w:val="24"/>
        </w:rPr>
      </w:pPr>
      <w:r w:rsidRPr="006D05C3">
        <w:rPr>
          <w:szCs w:val="24"/>
        </w:rPr>
        <w:t>We</w:t>
      </w:r>
      <w:r w:rsidR="00B9754A" w:rsidRPr="006D05C3">
        <w:rPr>
          <w:szCs w:val="24"/>
        </w:rPr>
        <w:t xml:space="preserve"> will train the </w:t>
      </w:r>
      <w:r w:rsidR="00057475" w:rsidRPr="006D05C3">
        <w:rPr>
          <w:szCs w:val="24"/>
        </w:rPr>
        <w:t>abstract</w:t>
      </w:r>
      <w:r w:rsidR="00057475">
        <w:rPr>
          <w:szCs w:val="24"/>
        </w:rPr>
        <w:t xml:space="preserve">ors </w:t>
      </w:r>
      <w:r w:rsidR="00B9754A" w:rsidRPr="006D05C3">
        <w:rPr>
          <w:szCs w:val="24"/>
        </w:rPr>
        <w:t xml:space="preserve">before starting chart reviews to ensure the protocols are implemented identically no matter which abstractor conducts the review. </w:t>
      </w:r>
      <w:r w:rsidRPr="006D05C3">
        <w:rPr>
          <w:szCs w:val="24"/>
        </w:rPr>
        <w:t>We</w:t>
      </w:r>
      <w:r w:rsidR="00B9754A" w:rsidRPr="006D05C3">
        <w:rPr>
          <w:szCs w:val="24"/>
        </w:rPr>
        <w:t xml:space="preserve"> will prepare an abstraction manual for the training. It will include an overview of the project, the purpose of the data abstraction, the data elements to collect, a review of the abstraction tool, and a demonstration of how to use the tool</w:t>
      </w:r>
      <w:r w:rsidR="00A4007A" w:rsidRPr="006D05C3">
        <w:rPr>
          <w:szCs w:val="24"/>
        </w:rPr>
        <w:t xml:space="preserve"> and dropdown menus</w:t>
      </w:r>
      <w:r w:rsidR="00B9754A" w:rsidRPr="006D05C3">
        <w:rPr>
          <w:szCs w:val="24"/>
        </w:rPr>
        <w:t xml:space="preserve">. During the training, </w:t>
      </w:r>
      <w:r w:rsidRPr="006D05C3">
        <w:rPr>
          <w:szCs w:val="24"/>
        </w:rPr>
        <w:t>we</w:t>
      </w:r>
      <w:r w:rsidR="00B9754A" w:rsidRPr="006D05C3">
        <w:rPr>
          <w:szCs w:val="24"/>
        </w:rPr>
        <w:t xml:space="preserve"> will review</w:t>
      </w:r>
      <w:r w:rsidR="006D05C3">
        <w:rPr>
          <w:szCs w:val="24"/>
        </w:rPr>
        <w:t xml:space="preserve"> </w:t>
      </w:r>
      <w:r w:rsidR="004259A8" w:rsidRPr="006D05C3">
        <w:rPr>
          <w:szCs w:val="24"/>
        </w:rPr>
        <w:t>documentation practices by provider type, security and privacy requirements, operational procedures for review and data entry, and review problem solving</w:t>
      </w:r>
      <w:r w:rsidR="00B9754A" w:rsidRPr="006D05C3">
        <w:rPr>
          <w:szCs w:val="24"/>
        </w:rPr>
        <w:t xml:space="preserve">. Each abstractor performing chart reviews will </w:t>
      </w:r>
      <w:r w:rsidR="00414DD2" w:rsidRPr="006D05C3">
        <w:rPr>
          <w:szCs w:val="24"/>
        </w:rPr>
        <w:t>be able</w:t>
      </w:r>
      <w:r w:rsidR="00B9754A" w:rsidRPr="006D05C3">
        <w:rPr>
          <w:szCs w:val="24"/>
        </w:rPr>
        <w:t xml:space="preserve"> to reference </w:t>
      </w:r>
      <w:r w:rsidR="00414DD2" w:rsidRPr="006D05C3">
        <w:rPr>
          <w:szCs w:val="24"/>
        </w:rPr>
        <w:t xml:space="preserve">the manual </w:t>
      </w:r>
      <w:r w:rsidR="00B9754A" w:rsidRPr="006D05C3">
        <w:rPr>
          <w:szCs w:val="24"/>
        </w:rPr>
        <w:t>during abstraction. In addition, a separate worksheet embedded within the tool will define the required data elements and provide instructions for using the Excel-based tool.</w:t>
      </w:r>
      <w:r w:rsidR="00EA1AA6" w:rsidRPr="006D05C3" w:rsidDel="004259A8">
        <w:rPr>
          <w:szCs w:val="24"/>
        </w:rPr>
        <w:t xml:space="preserve"> </w:t>
      </w:r>
    </w:p>
    <w:p w14:paraId="78CDBA71" w14:textId="65F515F2" w:rsidR="000E6350" w:rsidRPr="006D05C3" w:rsidRDefault="000E6350" w:rsidP="00B24A0B">
      <w:pPr>
        <w:pStyle w:val="NormalSS"/>
      </w:pPr>
      <w:r w:rsidRPr="006D05C3">
        <w:rPr>
          <w:szCs w:val="24"/>
        </w:rPr>
        <w:t>Table 6 shows the schedule for conducting the data collection activities.</w:t>
      </w:r>
    </w:p>
    <w:p w14:paraId="43841FE4" w14:textId="72C73459" w:rsidR="00CA4BB0" w:rsidRPr="006D05C3" w:rsidRDefault="00CA4BB0" w:rsidP="00230A3D">
      <w:pPr>
        <w:pStyle w:val="MarkforTableTitle"/>
      </w:pPr>
      <w:bookmarkStart w:id="7" w:name="_Toc300315983"/>
      <w:r w:rsidRPr="006D05C3">
        <w:t xml:space="preserve">Table </w:t>
      </w:r>
      <w:r w:rsidR="0005668F" w:rsidRPr="006D05C3">
        <w:t>6</w:t>
      </w:r>
      <w:r w:rsidRPr="006D05C3">
        <w:t>.</w:t>
      </w:r>
      <w:r w:rsidR="006D05C3">
        <w:t xml:space="preserve"> </w:t>
      </w:r>
      <w:r w:rsidRPr="006D05C3">
        <w:t xml:space="preserve">Schedule of </w:t>
      </w:r>
      <w:r w:rsidR="00E1069A" w:rsidRPr="006D05C3">
        <w:t>data</w:t>
      </w:r>
      <w:r w:rsidRPr="006D05C3">
        <w:t xml:space="preserve"> </w:t>
      </w:r>
      <w:r w:rsidR="00E1069A" w:rsidRPr="006D05C3">
        <w:t>c</w:t>
      </w:r>
      <w:r w:rsidRPr="006D05C3">
        <w:t xml:space="preserve">ollection </w:t>
      </w:r>
      <w:r w:rsidR="00E1069A" w:rsidRPr="006D05C3">
        <w:t>a</w:t>
      </w:r>
      <w:r w:rsidRPr="006D05C3">
        <w:t>ctivities</w:t>
      </w:r>
      <w:bookmarkEnd w:id="7"/>
    </w:p>
    <w:tbl>
      <w:tblPr>
        <w:tblStyle w:val="TableGrid"/>
        <w:tblW w:w="5000" w:type="pct"/>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4"/>
        <w:gridCol w:w="2026"/>
        <w:gridCol w:w="2116"/>
      </w:tblGrid>
      <w:tr w:rsidR="00CA4BB0" w:rsidRPr="006D05C3" w14:paraId="1148F860" w14:textId="77777777" w:rsidTr="004C7575">
        <w:trPr>
          <w:tblHeader/>
        </w:trPr>
        <w:tc>
          <w:tcPr>
            <w:tcW w:w="2837" w:type="pct"/>
            <w:tcBorders>
              <w:top w:val="nil"/>
              <w:bottom w:val="nil"/>
              <w:right w:val="nil"/>
            </w:tcBorders>
            <w:shd w:val="clear" w:color="auto" w:fill="6C6F70"/>
            <w:vAlign w:val="bottom"/>
          </w:tcPr>
          <w:p w14:paraId="3EC858D3" w14:textId="77777777" w:rsidR="00CA4BB0" w:rsidRPr="006D05C3" w:rsidRDefault="00CA4BB0" w:rsidP="00230A3D">
            <w:pPr>
              <w:pStyle w:val="TableHeaderCenter"/>
            </w:pPr>
            <w:r w:rsidRPr="006D05C3">
              <w:t>Activity</w:t>
            </w:r>
            <w:r w:rsidRPr="006D05C3">
              <w:tab/>
            </w:r>
          </w:p>
        </w:tc>
        <w:tc>
          <w:tcPr>
            <w:tcW w:w="1058" w:type="pct"/>
            <w:tcBorders>
              <w:top w:val="nil"/>
              <w:left w:val="nil"/>
              <w:bottom w:val="nil"/>
              <w:right w:val="nil"/>
            </w:tcBorders>
            <w:shd w:val="clear" w:color="auto" w:fill="6C6F70"/>
            <w:vAlign w:val="bottom"/>
          </w:tcPr>
          <w:p w14:paraId="27047F2E" w14:textId="77777777" w:rsidR="00CA4BB0" w:rsidRPr="006D05C3" w:rsidRDefault="00CA4BB0" w:rsidP="00230A3D">
            <w:pPr>
              <w:pStyle w:val="TableHeaderCenter"/>
            </w:pPr>
            <w:r w:rsidRPr="006D05C3">
              <w:t>Start Date</w:t>
            </w:r>
          </w:p>
        </w:tc>
        <w:tc>
          <w:tcPr>
            <w:tcW w:w="1105" w:type="pct"/>
            <w:tcBorders>
              <w:top w:val="nil"/>
              <w:left w:val="nil"/>
              <w:bottom w:val="nil"/>
            </w:tcBorders>
            <w:shd w:val="clear" w:color="auto" w:fill="6C6F70"/>
            <w:vAlign w:val="bottom"/>
          </w:tcPr>
          <w:p w14:paraId="728FCA18" w14:textId="77777777" w:rsidR="00CA4BB0" w:rsidRPr="006D05C3" w:rsidRDefault="00CA4BB0" w:rsidP="00230A3D">
            <w:pPr>
              <w:pStyle w:val="TableHeaderCenter"/>
            </w:pPr>
            <w:r w:rsidRPr="006D05C3">
              <w:t>End Date</w:t>
            </w:r>
          </w:p>
        </w:tc>
      </w:tr>
      <w:tr w:rsidR="007C6BF4" w:rsidRPr="006D05C3" w14:paraId="2F4DD31A" w14:textId="77777777" w:rsidTr="00230A3D">
        <w:tc>
          <w:tcPr>
            <w:tcW w:w="2837" w:type="pct"/>
            <w:tcBorders>
              <w:top w:val="nil"/>
              <w:bottom w:val="single" w:sz="2" w:space="0" w:color="BFBFBF" w:themeColor="background1" w:themeShade="BF"/>
            </w:tcBorders>
            <w:shd w:val="clear" w:color="auto" w:fill="auto"/>
          </w:tcPr>
          <w:p w14:paraId="376D45E1" w14:textId="77777777" w:rsidR="007C6BF4" w:rsidRPr="006D05C3" w:rsidRDefault="007C6BF4" w:rsidP="00230A3D">
            <w:pPr>
              <w:pStyle w:val="TableText"/>
              <w:spacing w:before="40" w:after="40"/>
            </w:pPr>
            <w:r w:rsidRPr="006D05C3">
              <w:t xml:space="preserve">Sample selection </w:t>
            </w:r>
            <w:r w:rsidR="009A3AF8" w:rsidRPr="006D05C3">
              <w:t>of</w:t>
            </w:r>
            <w:r w:rsidRPr="006D05C3">
              <w:t xml:space="preserve"> providers </w:t>
            </w:r>
          </w:p>
        </w:tc>
        <w:tc>
          <w:tcPr>
            <w:tcW w:w="1058" w:type="pct"/>
            <w:tcBorders>
              <w:top w:val="nil"/>
              <w:bottom w:val="single" w:sz="2" w:space="0" w:color="BFBFBF" w:themeColor="background1" w:themeShade="BF"/>
            </w:tcBorders>
            <w:shd w:val="clear" w:color="auto" w:fill="auto"/>
          </w:tcPr>
          <w:p w14:paraId="761E9BC1" w14:textId="03CCDCD4" w:rsidR="007C6BF4" w:rsidRPr="006D05C3" w:rsidRDefault="003F1E5B" w:rsidP="00230A3D">
            <w:pPr>
              <w:pStyle w:val="TableText"/>
              <w:spacing w:before="40" w:after="40"/>
            </w:pPr>
            <w:r w:rsidRPr="006D05C3">
              <w:t>January 1, 2019</w:t>
            </w:r>
          </w:p>
        </w:tc>
        <w:tc>
          <w:tcPr>
            <w:tcW w:w="1105" w:type="pct"/>
            <w:tcBorders>
              <w:top w:val="nil"/>
              <w:bottom w:val="single" w:sz="2" w:space="0" w:color="BFBFBF" w:themeColor="background1" w:themeShade="BF"/>
            </w:tcBorders>
            <w:shd w:val="clear" w:color="auto" w:fill="auto"/>
          </w:tcPr>
          <w:p w14:paraId="0F4A4536" w14:textId="6494CDAA" w:rsidR="007C6BF4" w:rsidRPr="006D05C3" w:rsidRDefault="00344AF8" w:rsidP="00344AF8">
            <w:pPr>
              <w:pStyle w:val="TableText"/>
              <w:spacing w:before="40" w:after="40"/>
            </w:pPr>
            <w:r>
              <w:t>March 31</w:t>
            </w:r>
            <w:r w:rsidR="003F1E5B" w:rsidRPr="006D05C3">
              <w:t>, 2019</w:t>
            </w:r>
          </w:p>
        </w:tc>
      </w:tr>
      <w:tr w:rsidR="007C6BF4" w:rsidRPr="006D05C3" w14:paraId="460DB203" w14:textId="77777777" w:rsidTr="00230A3D">
        <w:tc>
          <w:tcPr>
            <w:tcW w:w="2837" w:type="pct"/>
            <w:tcBorders>
              <w:top w:val="single" w:sz="2" w:space="0" w:color="BFBFBF" w:themeColor="background1" w:themeShade="BF"/>
              <w:bottom w:val="single" w:sz="2" w:space="0" w:color="BFBFBF" w:themeColor="background1" w:themeShade="BF"/>
            </w:tcBorders>
            <w:shd w:val="clear" w:color="auto" w:fill="auto"/>
          </w:tcPr>
          <w:p w14:paraId="57A865E9" w14:textId="77777777" w:rsidR="007C6BF4" w:rsidRPr="006D05C3" w:rsidRDefault="007C6BF4" w:rsidP="00230A3D">
            <w:pPr>
              <w:pStyle w:val="TableText"/>
              <w:spacing w:before="40" w:after="40"/>
            </w:pPr>
            <w:r w:rsidRPr="006D05C3">
              <w:t>Site recruitment</w:t>
            </w:r>
          </w:p>
        </w:tc>
        <w:tc>
          <w:tcPr>
            <w:tcW w:w="1058" w:type="pct"/>
            <w:tcBorders>
              <w:top w:val="single" w:sz="2" w:space="0" w:color="BFBFBF" w:themeColor="background1" w:themeShade="BF"/>
              <w:bottom w:val="single" w:sz="2" w:space="0" w:color="BFBFBF" w:themeColor="background1" w:themeShade="BF"/>
            </w:tcBorders>
            <w:shd w:val="clear" w:color="auto" w:fill="auto"/>
          </w:tcPr>
          <w:p w14:paraId="725A70D6" w14:textId="6320DAD1" w:rsidR="007C6BF4" w:rsidRPr="006D05C3" w:rsidRDefault="00B844D1" w:rsidP="00B844D1">
            <w:pPr>
              <w:pStyle w:val="TableText"/>
              <w:spacing w:before="40" w:after="40"/>
            </w:pPr>
            <w:r>
              <w:t>November 11</w:t>
            </w:r>
            <w:r w:rsidRPr="006D05C3">
              <w:t xml:space="preserve"> </w:t>
            </w:r>
            <w:r w:rsidR="009A3AF8" w:rsidRPr="006D05C3">
              <w:t>2019</w:t>
            </w:r>
          </w:p>
        </w:tc>
        <w:tc>
          <w:tcPr>
            <w:tcW w:w="1105" w:type="pct"/>
            <w:tcBorders>
              <w:top w:val="single" w:sz="2" w:space="0" w:color="BFBFBF" w:themeColor="background1" w:themeShade="BF"/>
              <w:bottom w:val="single" w:sz="2" w:space="0" w:color="BFBFBF" w:themeColor="background1" w:themeShade="BF"/>
            </w:tcBorders>
            <w:shd w:val="clear" w:color="auto" w:fill="auto"/>
          </w:tcPr>
          <w:p w14:paraId="12A7AFBD" w14:textId="7E7776DD" w:rsidR="007C6BF4" w:rsidRPr="006D05C3" w:rsidRDefault="00B844D1" w:rsidP="00B844D1">
            <w:pPr>
              <w:pStyle w:val="TableText"/>
              <w:spacing w:before="40" w:after="40"/>
            </w:pPr>
            <w:r>
              <w:t>January 31, 2020</w:t>
            </w:r>
          </w:p>
        </w:tc>
      </w:tr>
      <w:tr w:rsidR="0088158C" w:rsidRPr="006D05C3" w14:paraId="6082B7C7" w14:textId="77777777" w:rsidTr="00230A3D">
        <w:tc>
          <w:tcPr>
            <w:tcW w:w="2837" w:type="pct"/>
            <w:tcBorders>
              <w:top w:val="single" w:sz="2" w:space="0" w:color="BFBFBF" w:themeColor="background1" w:themeShade="BF"/>
              <w:bottom w:val="single" w:sz="2" w:space="0" w:color="BFBFBF" w:themeColor="background1" w:themeShade="BF"/>
            </w:tcBorders>
            <w:shd w:val="clear" w:color="auto" w:fill="auto"/>
          </w:tcPr>
          <w:p w14:paraId="1672FA74" w14:textId="77777777" w:rsidR="0088158C" w:rsidRPr="006D05C3" w:rsidRDefault="0088158C" w:rsidP="00230A3D">
            <w:pPr>
              <w:pStyle w:val="TableText"/>
              <w:spacing w:before="40" w:after="40"/>
            </w:pPr>
            <w:r w:rsidRPr="006D05C3">
              <w:t>Sample selection of clients</w:t>
            </w:r>
          </w:p>
        </w:tc>
        <w:tc>
          <w:tcPr>
            <w:tcW w:w="1058" w:type="pct"/>
            <w:tcBorders>
              <w:top w:val="single" w:sz="2" w:space="0" w:color="BFBFBF" w:themeColor="background1" w:themeShade="BF"/>
              <w:bottom w:val="single" w:sz="2" w:space="0" w:color="BFBFBF" w:themeColor="background1" w:themeShade="BF"/>
            </w:tcBorders>
            <w:shd w:val="clear" w:color="auto" w:fill="auto"/>
          </w:tcPr>
          <w:p w14:paraId="53FEF40E" w14:textId="4817EE8D" w:rsidR="0088158C" w:rsidRPr="006D05C3" w:rsidRDefault="00B844D1" w:rsidP="00230A3D">
            <w:pPr>
              <w:pStyle w:val="TableText"/>
              <w:spacing w:before="40" w:after="40"/>
            </w:pPr>
            <w:r>
              <w:t>November 11</w:t>
            </w:r>
            <w:r w:rsidR="0088158C" w:rsidRPr="006D05C3">
              <w:t>, 2019</w:t>
            </w:r>
          </w:p>
        </w:tc>
        <w:tc>
          <w:tcPr>
            <w:tcW w:w="1105" w:type="pct"/>
            <w:tcBorders>
              <w:top w:val="single" w:sz="2" w:space="0" w:color="BFBFBF" w:themeColor="background1" w:themeShade="BF"/>
              <w:bottom w:val="single" w:sz="2" w:space="0" w:color="BFBFBF" w:themeColor="background1" w:themeShade="BF"/>
            </w:tcBorders>
            <w:shd w:val="clear" w:color="auto" w:fill="auto"/>
          </w:tcPr>
          <w:p w14:paraId="76E59499" w14:textId="59277136" w:rsidR="0088158C" w:rsidRPr="006D05C3" w:rsidRDefault="00B844D1" w:rsidP="00B844D1">
            <w:pPr>
              <w:pStyle w:val="TableText"/>
              <w:spacing w:before="40" w:after="40"/>
            </w:pPr>
            <w:r>
              <w:t>January 31, 2020</w:t>
            </w:r>
          </w:p>
        </w:tc>
      </w:tr>
      <w:tr w:rsidR="007C6BF4" w:rsidRPr="006D05C3" w14:paraId="0BBEF085" w14:textId="77777777" w:rsidTr="00230A3D">
        <w:tc>
          <w:tcPr>
            <w:tcW w:w="2837" w:type="pct"/>
            <w:tcBorders>
              <w:top w:val="single" w:sz="2" w:space="0" w:color="BFBFBF" w:themeColor="background1" w:themeShade="BF"/>
              <w:bottom w:val="single" w:sz="2" w:space="0" w:color="BFBFBF" w:themeColor="background1" w:themeShade="BF"/>
            </w:tcBorders>
            <w:shd w:val="clear" w:color="auto" w:fill="auto"/>
          </w:tcPr>
          <w:p w14:paraId="11D1336C" w14:textId="44F7E0C1" w:rsidR="007C6BF4" w:rsidRPr="006D05C3" w:rsidRDefault="0088158C" w:rsidP="00703209">
            <w:pPr>
              <w:pStyle w:val="TableText"/>
              <w:spacing w:before="40" w:after="40"/>
            </w:pPr>
            <w:r w:rsidRPr="006D05C3">
              <w:t xml:space="preserve"> </w:t>
            </w:r>
            <w:r w:rsidR="00703209">
              <w:t>I</w:t>
            </w:r>
            <w:r w:rsidR="00703209" w:rsidRPr="006D05C3">
              <w:t xml:space="preserve">nterviews </w:t>
            </w:r>
            <w:r w:rsidR="007C6BF4" w:rsidRPr="006D05C3">
              <w:t>and chart reviews</w:t>
            </w:r>
          </w:p>
        </w:tc>
        <w:tc>
          <w:tcPr>
            <w:tcW w:w="1058" w:type="pct"/>
            <w:tcBorders>
              <w:top w:val="single" w:sz="2" w:space="0" w:color="BFBFBF" w:themeColor="background1" w:themeShade="BF"/>
              <w:bottom w:val="single" w:sz="2" w:space="0" w:color="BFBFBF" w:themeColor="background1" w:themeShade="BF"/>
            </w:tcBorders>
            <w:shd w:val="clear" w:color="auto" w:fill="auto"/>
          </w:tcPr>
          <w:p w14:paraId="21AE7FD1" w14:textId="21D3A8E5" w:rsidR="007C6BF4" w:rsidRPr="006D05C3" w:rsidRDefault="00230A3D" w:rsidP="00230A3D">
            <w:pPr>
              <w:pStyle w:val="TableText"/>
              <w:spacing w:before="40" w:after="40"/>
            </w:pPr>
            <w:r w:rsidRPr="006D05C3">
              <w:t xml:space="preserve"> </w:t>
            </w:r>
          </w:p>
        </w:tc>
        <w:tc>
          <w:tcPr>
            <w:tcW w:w="1105" w:type="pct"/>
            <w:tcBorders>
              <w:top w:val="single" w:sz="2" w:space="0" w:color="BFBFBF" w:themeColor="background1" w:themeShade="BF"/>
              <w:bottom w:val="single" w:sz="2" w:space="0" w:color="BFBFBF" w:themeColor="background1" w:themeShade="BF"/>
            </w:tcBorders>
            <w:shd w:val="clear" w:color="auto" w:fill="auto"/>
          </w:tcPr>
          <w:p w14:paraId="3E6A36A3" w14:textId="50030D44" w:rsidR="007C6BF4" w:rsidRPr="006D05C3" w:rsidRDefault="00230A3D" w:rsidP="00230A3D">
            <w:pPr>
              <w:pStyle w:val="TableText"/>
              <w:spacing w:before="40" w:after="40"/>
            </w:pPr>
            <w:r w:rsidRPr="006D05C3">
              <w:t xml:space="preserve"> </w:t>
            </w:r>
          </w:p>
        </w:tc>
      </w:tr>
      <w:tr w:rsidR="007C6BF4" w:rsidRPr="006D05C3" w14:paraId="7436A895" w14:textId="77777777" w:rsidTr="00230A3D">
        <w:tc>
          <w:tcPr>
            <w:tcW w:w="2837" w:type="pct"/>
            <w:tcBorders>
              <w:top w:val="single" w:sz="2" w:space="0" w:color="BFBFBF" w:themeColor="background1" w:themeShade="BF"/>
              <w:bottom w:val="single" w:sz="2" w:space="0" w:color="BFBFBF" w:themeColor="background1" w:themeShade="BF"/>
            </w:tcBorders>
            <w:shd w:val="clear" w:color="auto" w:fill="auto"/>
          </w:tcPr>
          <w:p w14:paraId="371DE7F9" w14:textId="3BA2EB02" w:rsidR="007C6BF4" w:rsidRPr="006D05C3" w:rsidRDefault="00344AF8" w:rsidP="00230A3D">
            <w:pPr>
              <w:pStyle w:val="TableText"/>
              <w:spacing w:before="40" w:after="40"/>
            </w:pPr>
            <w:r>
              <w:t xml:space="preserve">   </w:t>
            </w:r>
            <w:r w:rsidR="007C6BF4" w:rsidRPr="006D05C3">
              <w:t>Round 1 (10 sites)</w:t>
            </w:r>
          </w:p>
        </w:tc>
        <w:tc>
          <w:tcPr>
            <w:tcW w:w="1058" w:type="pct"/>
            <w:tcBorders>
              <w:top w:val="single" w:sz="2" w:space="0" w:color="BFBFBF" w:themeColor="background1" w:themeShade="BF"/>
              <w:bottom w:val="single" w:sz="2" w:space="0" w:color="BFBFBF" w:themeColor="background1" w:themeShade="BF"/>
            </w:tcBorders>
            <w:shd w:val="clear" w:color="auto" w:fill="auto"/>
          </w:tcPr>
          <w:p w14:paraId="11590424" w14:textId="3C90670C" w:rsidR="007C6BF4" w:rsidRPr="006D05C3" w:rsidRDefault="00C3163A" w:rsidP="00C3163A">
            <w:pPr>
              <w:pStyle w:val="TableText"/>
              <w:spacing w:before="40" w:after="40"/>
            </w:pPr>
            <w:r>
              <w:t>January</w:t>
            </w:r>
            <w:r w:rsidR="00B844D1">
              <w:t xml:space="preserve"> 1</w:t>
            </w:r>
            <w:r w:rsidR="00D24BFD" w:rsidRPr="006D05C3">
              <w:t>, 20</w:t>
            </w:r>
            <w:r>
              <w:t>20</w:t>
            </w:r>
          </w:p>
        </w:tc>
        <w:tc>
          <w:tcPr>
            <w:tcW w:w="1105" w:type="pct"/>
            <w:tcBorders>
              <w:top w:val="single" w:sz="2" w:space="0" w:color="BFBFBF" w:themeColor="background1" w:themeShade="BF"/>
              <w:bottom w:val="single" w:sz="2" w:space="0" w:color="BFBFBF" w:themeColor="background1" w:themeShade="BF"/>
            </w:tcBorders>
            <w:shd w:val="clear" w:color="auto" w:fill="auto"/>
          </w:tcPr>
          <w:p w14:paraId="1F0093E6" w14:textId="4174BB75" w:rsidR="007C6BF4" w:rsidRPr="006D05C3" w:rsidRDefault="00C3163A" w:rsidP="000D072F">
            <w:pPr>
              <w:pStyle w:val="TableText"/>
              <w:spacing w:before="40" w:after="40"/>
            </w:pPr>
            <w:r>
              <w:t>February 28</w:t>
            </w:r>
            <w:r w:rsidR="00B844D1">
              <w:t>, 2020</w:t>
            </w:r>
          </w:p>
        </w:tc>
      </w:tr>
      <w:tr w:rsidR="007C6BF4" w:rsidRPr="006D05C3" w14:paraId="3409430F" w14:textId="77777777" w:rsidTr="00230A3D">
        <w:tc>
          <w:tcPr>
            <w:tcW w:w="2837" w:type="pct"/>
            <w:tcBorders>
              <w:top w:val="single" w:sz="2" w:space="0" w:color="BFBFBF" w:themeColor="background1" w:themeShade="BF"/>
              <w:bottom w:val="single" w:sz="2" w:space="0" w:color="BFBFBF" w:themeColor="background1" w:themeShade="BF"/>
            </w:tcBorders>
            <w:shd w:val="clear" w:color="auto" w:fill="auto"/>
          </w:tcPr>
          <w:p w14:paraId="6FEE47A6" w14:textId="3F910341" w:rsidR="007C6BF4" w:rsidRPr="006D05C3" w:rsidRDefault="00344AF8" w:rsidP="00230A3D">
            <w:pPr>
              <w:pStyle w:val="TableText"/>
              <w:spacing w:before="40" w:after="40"/>
            </w:pPr>
            <w:r>
              <w:t xml:space="preserve">   </w:t>
            </w:r>
            <w:r w:rsidR="007C6BF4" w:rsidRPr="006D05C3">
              <w:t>Round 2 (10 sites)</w:t>
            </w:r>
          </w:p>
        </w:tc>
        <w:tc>
          <w:tcPr>
            <w:tcW w:w="1058" w:type="pct"/>
            <w:tcBorders>
              <w:top w:val="single" w:sz="2" w:space="0" w:color="BFBFBF" w:themeColor="background1" w:themeShade="BF"/>
              <w:bottom w:val="single" w:sz="2" w:space="0" w:color="BFBFBF" w:themeColor="background1" w:themeShade="BF"/>
            </w:tcBorders>
            <w:shd w:val="clear" w:color="auto" w:fill="auto"/>
          </w:tcPr>
          <w:p w14:paraId="233F9E52" w14:textId="1122FA99" w:rsidR="007C6BF4" w:rsidRPr="006D05C3" w:rsidRDefault="00C3163A" w:rsidP="00B844D1">
            <w:pPr>
              <w:pStyle w:val="TableText"/>
              <w:spacing w:before="40" w:after="40"/>
            </w:pPr>
            <w:r>
              <w:t>March</w:t>
            </w:r>
            <w:r w:rsidR="00B844D1" w:rsidRPr="00B844D1">
              <w:t xml:space="preserve"> 1, 2020</w:t>
            </w:r>
            <w:r w:rsidR="00B844D1">
              <w:t xml:space="preserve"> </w:t>
            </w:r>
          </w:p>
        </w:tc>
        <w:tc>
          <w:tcPr>
            <w:tcW w:w="1105" w:type="pct"/>
            <w:tcBorders>
              <w:top w:val="single" w:sz="2" w:space="0" w:color="BFBFBF" w:themeColor="background1" w:themeShade="BF"/>
              <w:bottom w:val="single" w:sz="2" w:space="0" w:color="BFBFBF" w:themeColor="background1" w:themeShade="BF"/>
            </w:tcBorders>
            <w:shd w:val="clear" w:color="auto" w:fill="auto"/>
          </w:tcPr>
          <w:p w14:paraId="5AA982BC" w14:textId="247B85BD" w:rsidR="007C6BF4" w:rsidRPr="006D05C3" w:rsidRDefault="00C3163A" w:rsidP="00C3163A">
            <w:pPr>
              <w:pStyle w:val="TableText"/>
              <w:spacing w:before="40" w:after="40"/>
            </w:pPr>
            <w:r>
              <w:t>April</w:t>
            </w:r>
            <w:r w:rsidR="00B844D1">
              <w:t xml:space="preserve"> 3</w:t>
            </w:r>
            <w:r>
              <w:t>0</w:t>
            </w:r>
            <w:r w:rsidR="00B844D1">
              <w:t>, 2020</w:t>
            </w:r>
          </w:p>
        </w:tc>
      </w:tr>
      <w:tr w:rsidR="007C6BF4" w:rsidRPr="006D05C3" w14:paraId="35108FAA" w14:textId="77777777" w:rsidTr="00230A3D">
        <w:tc>
          <w:tcPr>
            <w:tcW w:w="2837" w:type="pct"/>
            <w:tcBorders>
              <w:top w:val="single" w:sz="2" w:space="0" w:color="BFBFBF" w:themeColor="background1" w:themeShade="BF"/>
              <w:bottom w:val="single" w:sz="2" w:space="0" w:color="BFBFBF" w:themeColor="background1" w:themeShade="BF"/>
            </w:tcBorders>
            <w:shd w:val="clear" w:color="auto" w:fill="auto"/>
          </w:tcPr>
          <w:p w14:paraId="625E6B57" w14:textId="52BD346C" w:rsidR="007C6BF4" w:rsidRPr="006D05C3" w:rsidRDefault="00344AF8" w:rsidP="00230A3D">
            <w:pPr>
              <w:pStyle w:val="TableText"/>
              <w:spacing w:before="40" w:after="40"/>
            </w:pPr>
            <w:r>
              <w:t xml:space="preserve">   </w:t>
            </w:r>
            <w:r w:rsidR="007C6BF4" w:rsidRPr="006D05C3">
              <w:t>Round 3 (10 sites)</w:t>
            </w:r>
          </w:p>
        </w:tc>
        <w:tc>
          <w:tcPr>
            <w:tcW w:w="1058" w:type="pct"/>
            <w:tcBorders>
              <w:top w:val="single" w:sz="2" w:space="0" w:color="BFBFBF" w:themeColor="background1" w:themeShade="BF"/>
              <w:bottom w:val="single" w:sz="2" w:space="0" w:color="BFBFBF" w:themeColor="background1" w:themeShade="BF"/>
            </w:tcBorders>
            <w:shd w:val="clear" w:color="auto" w:fill="auto"/>
          </w:tcPr>
          <w:p w14:paraId="5B48E117" w14:textId="2342D1C8" w:rsidR="007C6BF4" w:rsidRPr="006D05C3" w:rsidRDefault="00C3163A" w:rsidP="00B844D1">
            <w:pPr>
              <w:pStyle w:val="TableText"/>
              <w:spacing w:before="40" w:after="40"/>
            </w:pPr>
            <w:r>
              <w:t>May</w:t>
            </w:r>
            <w:r w:rsidR="00B844D1">
              <w:t xml:space="preserve"> 1, 2020</w:t>
            </w:r>
          </w:p>
        </w:tc>
        <w:tc>
          <w:tcPr>
            <w:tcW w:w="1105" w:type="pct"/>
            <w:tcBorders>
              <w:top w:val="single" w:sz="2" w:space="0" w:color="BFBFBF" w:themeColor="background1" w:themeShade="BF"/>
              <w:bottom w:val="single" w:sz="2" w:space="0" w:color="BFBFBF" w:themeColor="background1" w:themeShade="BF"/>
            </w:tcBorders>
            <w:shd w:val="clear" w:color="auto" w:fill="auto"/>
          </w:tcPr>
          <w:p w14:paraId="15F00C32" w14:textId="6E971A55" w:rsidR="007C6BF4" w:rsidRPr="006D05C3" w:rsidRDefault="00C3163A" w:rsidP="00C3163A">
            <w:pPr>
              <w:pStyle w:val="TableText"/>
              <w:spacing w:before="40" w:after="40"/>
            </w:pPr>
            <w:r>
              <w:t>June</w:t>
            </w:r>
            <w:r w:rsidR="001A6062" w:rsidRPr="006D05C3">
              <w:t xml:space="preserve"> </w:t>
            </w:r>
            <w:r w:rsidR="00B844D1">
              <w:t>3</w:t>
            </w:r>
            <w:r>
              <w:t>0</w:t>
            </w:r>
            <w:r w:rsidR="00D24BFD" w:rsidRPr="006D05C3">
              <w:t>, 2020</w:t>
            </w:r>
          </w:p>
        </w:tc>
      </w:tr>
      <w:tr w:rsidR="007C6BF4" w:rsidRPr="006D05C3" w14:paraId="354BA48D" w14:textId="77777777" w:rsidTr="00230A3D">
        <w:tc>
          <w:tcPr>
            <w:tcW w:w="2837" w:type="pct"/>
            <w:tcBorders>
              <w:top w:val="single" w:sz="2" w:space="0" w:color="BFBFBF" w:themeColor="background1" w:themeShade="BF"/>
              <w:bottom w:val="single" w:sz="2" w:space="0" w:color="BFBFBF" w:themeColor="background1" w:themeShade="BF"/>
            </w:tcBorders>
            <w:shd w:val="clear" w:color="auto" w:fill="auto"/>
          </w:tcPr>
          <w:p w14:paraId="57643AC2" w14:textId="77777777" w:rsidR="007C6BF4" w:rsidRPr="006D05C3" w:rsidRDefault="007C6BF4" w:rsidP="00230A3D">
            <w:pPr>
              <w:pStyle w:val="TableText"/>
              <w:spacing w:before="40" w:after="40"/>
            </w:pPr>
            <w:r w:rsidRPr="006D05C3">
              <w:t>Mail thank you letter and</w:t>
            </w:r>
            <w:r w:rsidR="0088158C" w:rsidRPr="006D05C3">
              <w:t xml:space="preserve"> honoraria/</w:t>
            </w:r>
            <w:r w:rsidRPr="006D05C3">
              <w:t>incentive payments</w:t>
            </w:r>
          </w:p>
        </w:tc>
        <w:tc>
          <w:tcPr>
            <w:tcW w:w="1058" w:type="pct"/>
            <w:tcBorders>
              <w:top w:val="single" w:sz="2" w:space="0" w:color="BFBFBF" w:themeColor="background1" w:themeShade="BF"/>
              <w:bottom w:val="single" w:sz="2" w:space="0" w:color="BFBFBF" w:themeColor="background1" w:themeShade="BF"/>
            </w:tcBorders>
            <w:shd w:val="clear" w:color="auto" w:fill="auto"/>
          </w:tcPr>
          <w:p w14:paraId="3B2F01B0" w14:textId="0A399940" w:rsidR="007C6BF4" w:rsidRPr="006D05C3" w:rsidRDefault="00B844D1" w:rsidP="00B844D1">
            <w:pPr>
              <w:pStyle w:val="TableText"/>
              <w:spacing w:before="40" w:after="40"/>
            </w:pPr>
            <w:r>
              <w:t xml:space="preserve">Rolling basis as data collection is completed </w:t>
            </w:r>
          </w:p>
        </w:tc>
        <w:tc>
          <w:tcPr>
            <w:tcW w:w="1105" w:type="pct"/>
            <w:tcBorders>
              <w:top w:val="single" w:sz="2" w:space="0" w:color="BFBFBF" w:themeColor="background1" w:themeShade="BF"/>
              <w:bottom w:val="single" w:sz="2" w:space="0" w:color="BFBFBF" w:themeColor="background1" w:themeShade="BF"/>
            </w:tcBorders>
            <w:shd w:val="clear" w:color="auto" w:fill="auto"/>
          </w:tcPr>
          <w:p w14:paraId="15609548" w14:textId="5F74CEE5" w:rsidR="007C6BF4" w:rsidRPr="006D05C3" w:rsidRDefault="00B844D1" w:rsidP="00C3163A">
            <w:pPr>
              <w:pStyle w:val="TableText"/>
              <w:spacing w:before="40" w:after="40"/>
            </w:pPr>
            <w:r>
              <w:t xml:space="preserve">No later than </w:t>
            </w:r>
            <w:r w:rsidR="00C3163A">
              <w:t>June</w:t>
            </w:r>
            <w:r>
              <w:t xml:space="preserve"> </w:t>
            </w:r>
            <w:r w:rsidR="00C3163A">
              <w:t>30</w:t>
            </w:r>
            <w:r>
              <w:t>, 2020</w:t>
            </w:r>
          </w:p>
        </w:tc>
      </w:tr>
      <w:tr w:rsidR="00D24BFD" w:rsidRPr="006D05C3" w14:paraId="70C6751B" w14:textId="77777777" w:rsidTr="00230A3D">
        <w:tc>
          <w:tcPr>
            <w:tcW w:w="2837" w:type="pct"/>
            <w:tcBorders>
              <w:top w:val="single" w:sz="2" w:space="0" w:color="BFBFBF" w:themeColor="background1" w:themeShade="BF"/>
              <w:bottom w:val="single" w:sz="4" w:space="0" w:color="auto"/>
            </w:tcBorders>
            <w:shd w:val="clear" w:color="auto" w:fill="auto"/>
          </w:tcPr>
          <w:p w14:paraId="31F4944F" w14:textId="77777777" w:rsidR="00D24BFD" w:rsidRPr="006D05C3" w:rsidRDefault="00414DD2" w:rsidP="00230A3D">
            <w:pPr>
              <w:pStyle w:val="TableText"/>
              <w:spacing w:before="40" w:after="40"/>
            </w:pPr>
            <w:r w:rsidRPr="006D05C3">
              <w:t>Clean data and prepare f</w:t>
            </w:r>
            <w:r w:rsidR="00D24BFD" w:rsidRPr="006D05C3">
              <w:t>inal data file</w:t>
            </w:r>
          </w:p>
        </w:tc>
        <w:tc>
          <w:tcPr>
            <w:tcW w:w="1058" w:type="pct"/>
            <w:tcBorders>
              <w:top w:val="single" w:sz="2" w:space="0" w:color="BFBFBF" w:themeColor="background1" w:themeShade="BF"/>
              <w:bottom w:val="single" w:sz="4" w:space="0" w:color="auto"/>
            </w:tcBorders>
            <w:shd w:val="clear" w:color="auto" w:fill="auto"/>
          </w:tcPr>
          <w:p w14:paraId="0EEA616F" w14:textId="5FDF393A" w:rsidR="00D24BFD" w:rsidRPr="006D05C3" w:rsidRDefault="00C3163A" w:rsidP="00B844D1">
            <w:pPr>
              <w:pStyle w:val="TableText"/>
              <w:spacing w:before="40" w:after="40"/>
            </w:pPr>
            <w:r>
              <w:t>July</w:t>
            </w:r>
            <w:r w:rsidR="00B844D1">
              <w:t xml:space="preserve"> 1, 2020</w:t>
            </w:r>
          </w:p>
        </w:tc>
        <w:tc>
          <w:tcPr>
            <w:tcW w:w="1105" w:type="pct"/>
            <w:tcBorders>
              <w:top w:val="single" w:sz="2" w:space="0" w:color="BFBFBF" w:themeColor="background1" w:themeShade="BF"/>
              <w:bottom w:val="single" w:sz="4" w:space="0" w:color="auto"/>
            </w:tcBorders>
            <w:shd w:val="clear" w:color="auto" w:fill="auto"/>
          </w:tcPr>
          <w:p w14:paraId="50A8A4C8" w14:textId="418F4005" w:rsidR="00D24BFD" w:rsidRPr="006D05C3" w:rsidRDefault="00C3163A" w:rsidP="00C3163A">
            <w:pPr>
              <w:pStyle w:val="TableText"/>
              <w:spacing w:before="40" w:after="40"/>
            </w:pPr>
            <w:r>
              <w:t>August</w:t>
            </w:r>
            <w:r w:rsidRPr="006D05C3">
              <w:t xml:space="preserve"> </w:t>
            </w:r>
            <w:r w:rsidR="00D24BFD" w:rsidRPr="006D05C3">
              <w:t>3</w:t>
            </w:r>
            <w:r>
              <w:t>1</w:t>
            </w:r>
            <w:r w:rsidR="00D24BFD" w:rsidRPr="006D05C3">
              <w:t>, 2020</w:t>
            </w:r>
          </w:p>
        </w:tc>
      </w:tr>
    </w:tbl>
    <w:p w14:paraId="2487BD55" w14:textId="77777777" w:rsidR="003F1E5B" w:rsidRPr="006D05C3" w:rsidRDefault="003F1E5B" w:rsidP="003F1E5B">
      <w:pPr>
        <w:pStyle w:val="NormalSS"/>
        <w:rPr>
          <w:szCs w:val="24"/>
        </w:rPr>
      </w:pPr>
    </w:p>
    <w:p w14:paraId="4EAA7258" w14:textId="2020CCC3" w:rsidR="00380EB9" w:rsidRPr="006D05C3" w:rsidRDefault="00380EB9" w:rsidP="000E5937">
      <w:pPr>
        <w:pStyle w:val="H3Alpha"/>
      </w:pPr>
      <w:bookmarkStart w:id="8" w:name="_Toc265542"/>
      <w:r w:rsidRPr="006D05C3">
        <w:t xml:space="preserve">B.3. </w:t>
      </w:r>
      <w:r w:rsidR="00230A3D" w:rsidRPr="006D05C3">
        <w:tab/>
      </w:r>
      <w:r w:rsidRPr="006D05C3">
        <w:t>Methods to maximize response rates and data reliability</w:t>
      </w:r>
      <w:bookmarkEnd w:id="3"/>
      <w:bookmarkEnd w:id="8"/>
      <w:r w:rsidR="00246DB8" w:rsidRPr="006D05C3">
        <w:t xml:space="preserve"> </w:t>
      </w:r>
    </w:p>
    <w:p w14:paraId="7BF16B7D" w14:textId="57759490" w:rsidR="0040718C" w:rsidRPr="006D05C3" w:rsidRDefault="006455F6" w:rsidP="00F2427F">
      <w:pPr>
        <w:pStyle w:val="H4NumberNoTOC"/>
      </w:pPr>
      <w:r w:rsidRPr="006D05C3">
        <w:t>B.3.1</w:t>
      </w:r>
      <w:r w:rsidR="00FA63E8" w:rsidRPr="006D05C3">
        <w:t>.</w:t>
      </w:r>
      <w:r w:rsidRPr="006D05C3">
        <w:t xml:space="preserve"> </w:t>
      </w:r>
      <w:r w:rsidR="00230A3D" w:rsidRPr="006D05C3">
        <w:tab/>
      </w:r>
      <w:r w:rsidR="0040718C" w:rsidRPr="006D05C3">
        <w:t>Provider recruitment strategy</w:t>
      </w:r>
      <w:r w:rsidR="00246DB8" w:rsidRPr="006D05C3">
        <w:t xml:space="preserve"> </w:t>
      </w:r>
    </w:p>
    <w:p w14:paraId="3FA64AD7" w14:textId="2F97D95B" w:rsidR="003F1E5B" w:rsidRPr="006D05C3" w:rsidRDefault="003F1E5B" w:rsidP="003F1E5B">
      <w:pPr>
        <w:pStyle w:val="NormalSS"/>
      </w:pPr>
      <w:r w:rsidRPr="006D05C3">
        <w:t xml:space="preserve">After receiving approval from the Office of Management and Budget to collect data for this study, which we expect will occur in </w:t>
      </w:r>
      <w:r w:rsidR="00B844D1">
        <w:t>November</w:t>
      </w:r>
      <w:r w:rsidR="00B844D1" w:rsidRPr="006D05C3">
        <w:t xml:space="preserve"> </w:t>
      </w:r>
      <w:r w:rsidRPr="006D05C3">
        <w:t xml:space="preserve">2019, we will begin recruiting Type 1 providers from the sample drawn from the 2017 RSR (described in Chapter II). Because the Type 1 providers are our conduit to the Type 2 providers, provider recruitment will occur in two stages. </w:t>
      </w:r>
    </w:p>
    <w:p w14:paraId="1E038B34" w14:textId="135B59FD" w:rsidR="003F1E5B" w:rsidRPr="006D05C3" w:rsidRDefault="003F1E5B" w:rsidP="003F1E5B">
      <w:pPr>
        <w:pStyle w:val="NormalSS"/>
      </w:pPr>
      <w:r w:rsidRPr="006D05C3">
        <w:t xml:space="preserve">First, we will ask HAB to send each sampled Type 1 provider an email with an introductory letter from the bureau’s deputy director. We will follow-up with an e-mail to the provider asking to schedule a call so that we can explain the purpose of the study and assess the provider’s eligibility to participate. We will include a bulleted list of the participation requirements and a list of the clinical data elements to be collected so the provider can determine its own ability to participate. If we do not receive a response within one week, we will follow up with the provider by telephone. </w:t>
      </w:r>
    </w:p>
    <w:p w14:paraId="0900023E" w14:textId="77990F3C" w:rsidR="003F1E5B" w:rsidRPr="006D05C3" w:rsidRDefault="003F1E5B" w:rsidP="003F1E5B">
      <w:pPr>
        <w:pStyle w:val="NormalSS"/>
      </w:pPr>
      <w:r w:rsidRPr="006D05C3">
        <w:t xml:space="preserve">If the Type 1 provider is willing to speak with us, we will schedule an initial 30–60 minute call within two weeks to describe the purpose and goals of the study, the benefits of participation, the </w:t>
      </w:r>
      <w:r w:rsidR="00703209">
        <w:t>data collection</w:t>
      </w:r>
      <w:r w:rsidRPr="006D05C3">
        <w:t xml:space="preserve"> activities, the requirements of participation, and the timeline </w:t>
      </w:r>
      <w:r w:rsidR="00703209">
        <w:t>for interviews and data abstraction</w:t>
      </w:r>
      <w:r w:rsidRPr="006D05C3">
        <w:t xml:space="preserve">. We will invite the provider’s program director, a staff member familiar with its data systems, and other key decision makers to participate in the meeting, as appropriate. Before the meeting, we will share with the provider a PowerPoint presentation that we will use to guide the call, along with a study fact sheet that answers questions about the provider’s level of effort and benefits of participating. </w:t>
      </w:r>
    </w:p>
    <w:p w14:paraId="6062A86A" w14:textId="6885DF70" w:rsidR="003F1E5B" w:rsidRPr="006D05C3" w:rsidRDefault="003F1E5B" w:rsidP="003F1E5B">
      <w:pPr>
        <w:pStyle w:val="NormalSS"/>
      </w:pPr>
      <w:r w:rsidRPr="006D05C3">
        <w:t xml:space="preserve">We will also use the introductory calls to assess the sampled Type 1 providers’ eligibility to participate and to assess their willingness and ability to commit to the qualitative and quantitative data collection requirements. We will also ask the provider to estimate the number of non-OAHS clients it believes are not receiving regular HIV medical care. If a Type 1 provider is ineligible (for example, because it serves fewer than 25 non-OAHS clients, it does not know where its clients go for medical care, or none of its Type 2 partners serves more than 10 of its clients) or if it refuses to participate, we will record the reason for its ineligibility or refusal in our recruitment tracker, and we will draw a replacement Type 1 provider from the same stratum. </w:t>
      </w:r>
    </w:p>
    <w:p w14:paraId="43E3C492" w14:textId="00DC68BE" w:rsidR="003F1E5B" w:rsidRPr="006D05C3" w:rsidRDefault="003F1E5B" w:rsidP="003F1E5B">
      <w:pPr>
        <w:pStyle w:val="NormalSS"/>
      </w:pPr>
      <w:r w:rsidRPr="006D05C3">
        <w:t xml:space="preserve">During the introductory call, we will inquire about the Type 1 provider’s willingness to help with our </w:t>
      </w:r>
      <w:r w:rsidRPr="006D05C3">
        <w:rPr>
          <w:i/>
        </w:rPr>
        <w:t>qualitative</w:t>
      </w:r>
      <w:r w:rsidRPr="006D05C3">
        <w:t xml:space="preserve"> data collection effort. For this aspect of the study, we will request assistance with identifying and recruiting the appropriate staff and clients to interview about the service use and health outcomes of clients who do not receive directly RWHAP-funded OAHS. We will inform the provider that we would like to interview a RWHAP program manager, a case manager or other provider of non-OAHS medical or support services, a medical provider (if applicable), and up to four RWHAP clients. </w:t>
      </w:r>
    </w:p>
    <w:p w14:paraId="51D9A96D" w14:textId="2D0588B2" w:rsidR="003F1E5B" w:rsidRPr="006D05C3" w:rsidRDefault="003F1E5B" w:rsidP="003F1E5B">
      <w:pPr>
        <w:pStyle w:val="NormalSS"/>
      </w:pPr>
      <w:r w:rsidRPr="006D05C3">
        <w:rPr>
          <w:szCs w:val="24"/>
        </w:rPr>
        <w:t xml:space="preserve">During the introductory meeting, we will also discuss the </w:t>
      </w:r>
      <w:r w:rsidRPr="006D05C3">
        <w:rPr>
          <w:i/>
          <w:szCs w:val="24"/>
        </w:rPr>
        <w:t>quantitative</w:t>
      </w:r>
      <w:r w:rsidRPr="006D05C3">
        <w:rPr>
          <w:szCs w:val="24"/>
        </w:rPr>
        <w:t xml:space="preserve"> data collection activities. </w:t>
      </w:r>
      <w:r w:rsidRPr="006D05C3">
        <w:t xml:space="preserve">If a Type 1 provider has the service use and clinical information we need and can share it with us, we will </w:t>
      </w:r>
      <w:r w:rsidR="007B07C9">
        <w:t xml:space="preserve">coordinate medical record </w:t>
      </w:r>
      <w:r w:rsidRPr="006D05C3">
        <w:t xml:space="preserve">abstractions at this Type 1 provider’s site. If the Type 1 provider cannot share the information with us but partners or has a relationship with Type 2 providers that meet the criteria described in Chapter II, we will consider the Type 1 provider eligible for a </w:t>
      </w:r>
      <w:r w:rsidR="007B07C9">
        <w:t>interviews</w:t>
      </w:r>
      <w:r w:rsidRPr="006D05C3">
        <w:t xml:space="preserve"> involving the staff and client</w:t>
      </w:r>
      <w:r w:rsidR="007B07C9">
        <w:t>s</w:t>
      </w:r>
      <w:r w:rsidRPr="006D05C3">
        <w:t xml:space="preserve">, and we will initiate recruitment of the Type 2 providers for the qualitative (staff interviews) and quantitative (chart review and abstraction) aspects of the study. </w:t>
      </w:r>
    </w:p>
    <w:p w14:paraId="264589F3" w14:textId="3DC1193D" w:rsidR="003F1E5B" w:rsidRPr="006D05C3" w:rsidRDefault="003F1E5B" w:rsidP="003F1E5B">
      <w:pPr>
        <w:pStyle w:val="NormalSS"/>
      </w:pPr>
      <w:r w:rsidRPr="006D05C3">
        <w:t>We will also explain the benefits of provider participation during the recruitment call</w:t>
      </w:r>
      <w:r w:rsidR="00B60BCE">
        <w:t xml:space="preserve">. Type II providers will be </w:t>
      </w:r>
      <w:r w:rsidR="002C371D">
        <w:t>offered</w:t>
      </w:r>
      <w:r w:rsidR="00B60BCE">
        <w:t xml:space="preserve"> for an honorari</w:t>
      </w:r>
      <w:r w:rsidR="00901D0A">
        <w:t>um</w:t>
      </w:r>
      <w:r w:rsidR="00B60BCE">
        <w:t xml:space="preserve"> not to exceed $</w:t>
      </w:r>
      <w:r w:rsidR="00901D0A">
        <w:t>650</w:t>
      </w:r>
      <w:r w:rsidR="00B60BCE">
        <w:t xml:space="preserve">. The honorarium amount </w:t>
      </w:r>
      <w:r w:rsidR="002C371D">
        <w:t>will be</w:t>
      </w:r>
      <w:r w:rsidR="00B60BCE">
        <w:t xml:space="preserve"> based on the number of medical records abstracted ($10 per record, maximum of 50) and the number of staff participating in interviews ($50 each, maximum of </w:t>
      </w:r>
      <w:r w:rsidR="00901D0A">
        <w:t>3</w:t>
      </w:r>
      <w:r w:rsidR="00B60BCE">
        <w:t xml:space="preserve">). Type I providers </w:t>
      </w:r>
      <w:r w:rsidR="002C371D">
        <w:t>will</w:t>
      </w:r>
      <w:r w:rsidR="00B60BCE">
        <w:t xml:space="preserve"> not </w:t>
      </w:r>
      <w:r w:rsidR="002C371D">
        <w:t xml:space="preserve">be offered </w:t>
      </w:r>
      <w:r w:rsidR="00901D0A">
        <w:t xml:space="preserve">an </w:t>
      </w:r>
      <w:r w:rsidR="00B60BCE">
        <w:t>honorari</w:t>
      </w:r>
      <w:r w:rsidR="00901D0A">
        <w:t xml:space="preserve">um because </w:t>
      </w:r>
      <w:r w:rsidR="00B60BCE">
        <w:t xml:space="preserve">they receive federal funding </w:t>
      </w:r>
      <w:r w:rsidR="00901D0A">
        <w:t>under the</w:t>
      </w:r>
      <w:r w:rsidR="00B60BCE">
        <w:t xml:space="preserve"> RWHAP. Participating Type I and Type II </w:t>
      </w:r>
      <w:r w:rsidRPr="006D05C3">
        <w:t>providers will receive a summary of their clients’ abstracted data at the end of the study.</w:t>
      </w:r>
    </w:p>
    <w:p w14:paraId="1DE75016" w14:textId="6E19259E" w:rsidR="00246DB8" w:rsidRPr="006D05C3" w:rsidRDefault="00246DB8" w:rsidP="00F2427F">
      <w:pPr>
        <w:pStyle w:val="H4NumberNoTOC"/>
      </w:pPr>
      <w:r w:rsidRPr="006D05C3">
        <w:t>B.3.2</w:t>
      </w:r>
      <w:r w:rsidR="00FA63E8" w:rsidRPr="006D05C3">
        <w:t>.</w:t>
      </w:r>
      <w:r w:rsidRPr="006D05C3">
        <w:t xml:space="preserve"> Client recruitment strategy </w:t>
      </w:r>
    </w:p>
    <w:p w14:paraId="250E43C5" w14:textId="46C56875" w:rsidR="00603382" w:rsidRPr="006D05C3" w:rsidRDefault="00603382" w:rsidP="00603382">
      <w:pPr>
        <w:pStyle w:val="NormalSS"/>
        <w:rPr>
          <w:szCs w:val="24"/>
        </w:rPr>
      </w:pPr>
      <w:r w:rsidRPr="006D05C3">
        <w:rPr>
          <w:szCs w:val="24"/>
        </w:rPr>
        <w:t xml:space="preserve">For the client interviews, we will determine with the provider the most appropriate strategy for recruiting the non-OAHS clients. Providers may prefer to identify and contact eligible clients and schedule the interviews themselves. We will give providers a fact sheet to share with the clients that explains the purpose of the project, interview topics, measures to protect client confidentiality, and logistics of the interview. Providers will ask clients to </w:t>
      </w:r>
      <w:r w:rsidR="002E06AE">
        <w:rPr>
          <w:szCs w:val="24"/>
        </w:rPr>
        <w:t>be available at a specific time on a specific date for a telephone interview. If the provider opts for on</w:t>
      </w:r>
      <w:r w:rsidR="00596648">
        <w:rPr>
          <w:szCs w:val="24"/>
        </w:rPr>
        <w:t>-</w:t>
      </w:r>
      <w:r w:rsidR="002E06AE">
        <w:rPr>
          <w:szCs w:val="24"/>
        </w:rPr>
        <w:t xml:space="preserve">site interviews, the clients will come to the </w:t>
      </w:r>
      <w:r w:rsidRPr="006D05C3">
        <w:rPr>
          <w:szCs w:val="24"/>
        </w:rPr>
        <w:t xml:space="preserve">clinic or service agency during the time of the site visit for an in-person interview. Alternatively, </w:t>
      </w:r>
      <w:r w:rsidR="002E06AE">
        <w:rPr>
          <w:szCs w:val="24"/>
        </w:rPr>
        <w:t xml:space="preserve">if </w:t>
      </w:r>
      <w:r w:rsidR="00596648">
        <w:rPr>
          <w:szCs w:val="24"/>
        </w:rPr>
        <w:t>on-site</w:t>
      </w:r>
      <w:r w:rsidR="002E06AE">
        <w:rPr>
          <w:szCs w:val="24"/>
        </w:rPr>
        <w:t xml:space="preserve"> interviews are planned and the </w:t>
      </w:r>
      <w:r w:rsidRPr="006D05C3">
        <w:rPr>
          <w:szCs w:val="24"/>
        </w:rPr>
        <w:t>provider has enough non-OAHS clients, we can conduct “intercept” interviews in which clients who come in for care during the site visit</w:t>
      </w:r>
      <w:r w:rsidR="002E06AE">
        <w:rPr>
          <w:szCs w:val="24"/>
        </w:rPr>
        <w:t>. We</w:t>
      </w:r>
      <w:r w:rsidRPr="006D05C3">
        <w:rPr>
          <w:szCs w:val="24"/>
        </w:rPr>
        <w:t xml:space="preserve"> will</w:t>
      </w:r>
      <w:r w:rsidR="00596648">
        <w:rPr>
          <w:szCs w:val="24"/>
        </w:rPr>
        <w:t xml:space="preserve"> </w:t>
      </w:r>
      <w:r w:rsidRPr="006D05C3">
        <w:rPr>
          <w:szCs w:val="24"/>
        </w:rPr>
        <w:t>ask</w:t>
      </w:r>
      <w:r w:rsidR="002E06AE">
        <w:rPr>
          <w:szCs w:val="24"/>
        </w:rPr>
        <w:t xml:space="preserve"> clients </w:t>
      </w:r>
      <w:r w:rsidRPr="006D05C3">
        <w:rPr>
          <w:szCs w:val="24"/>
        </w:rPr>
        <w:t xml:space="preserve">whether they would like to be interviewed, either before or after their appointment. To facilitate the interviews, we will offer clients a $25 gift card to compensate them for their time, share a fact sheet that Type 1 providers can use to explain our study to clients, and make ourselves available </w:t>
      </w:r>
      <w:r w:rsidR="002E06AE">
        <w:rPr>
          <w:szCs w:val="24"/>
        </w:rPr>
        <w:t xml:space="preserve">at times when it is </w:t>
      </w:r>
      <w:r w:rsidRPr="006D05C3">
        <w:rPr>
          <w:szCs w:val="24"/>
        </w:rPr>
        <w:t>mo</w:t>
      </w:r>
      <w:r w:rsidR="002E06AE">
        <w:rPr>
          <w:szCs w:val="24"/>
        </w:rPr>
        <w:t xml:space="preserve">st </w:t>
      </w:r>
      <w:r w:rsidRPr="006D05C3">
        <w:rPr>
          <w:szCs w:val="24"/>
        </w:rPr>
        <w:t>convenient for clients</w:t>
      </w:r>
      <w:r w:rsidR="001414BB">
        <w:rPr>
          <w:rFonts w:ascii="Calibri" w:hAnsi="Calibri"/>
          <w:szCs w:val="24"/>
        </w:rPr>
        <w:t>—</w:t>
      </w:r>
      <w:r w:rsidR="002E06AE">
        <w:rPr>
          <w:szCs w:val="24"/>
        </w:rPr>
        <w:t>for example, before or after the traditional workday</w:t>
      </w:r>
      <w:r w:rsidRPr="006D05C3">
        <w:rPr>
          <w:szCs w:val="24"/>
        </w:rPr>
        <w:t xml:space="preserve">. </w:t>
      </w:r>
    </w:p>
    <w:p w14:paraId="3FDDE71F" w14:textId="3ADED9DE" w:rsidR="00380EB9" w:rsidRPr="006D05C3" w:rsidRDefault="00380EB9" w:rsidP="000E5937">
      <w:pPr>
        <w:pStyle w:val="H3Alpha"/>
      </w:pPr>
      <w:bookmarkStart w:id="9" w:name="_Toc476920463"/>
      <w:bookmarkStart w:id="10" w:name="_Toc265543"/>
      <w:r w:rsidRPr="006D05C3">
        <w:t xml:space="preserve">B.4. </w:t>
      </w:r>
      <w:r w:rsidR="00230A3D" w:rsidRPr="006D05C3">
        <w:tab/>
      </w:r>
      <w:r w:rsidRPr="006D05C3">
        <w:t>Tests of methods or procedures</w:t>
      </w:r>
      <w:bookmarkEnd w:id="9"/>
      <w:r w:rsidRPr="006D05C3">
        <w:t xml:space="preserve"> to be undertaken</w:t>
      </w:r>
      <w:bookmarkEnd w:id="10"/>
    </w:p>
    <w:p w14:paraId="3EF85DE3" w14:textId="1258E63A" w:rsidR="00246DB8" w:rsidRDefault="0094441D" w:rsidP="00246DB8">
      <w:pPr>
        <w:pStyle w:val="H4NumberNoTOC"/>
      </w:pPr>
      <w:r w:rsidRPr="006D05C3">
        <w:t>B.</w:t>
      </w:r>
      <w:r w:rsidR="00246DB8" w:rsidRPr="006D05C3">
        <w:t>4.</w:t>
      </w:r>
      <w:r w:rsidRPr="006D05C3">
        <w:t>1</w:t>
      </w:r>
      <w:r w:rsidR="00246DB8" w:rsidRPr="006D05C3">
        <w:t xml:space="preserve">. </w:t>
      </w:r>
      <w:r w:rsidR="00230A3D" w:rsidRPr="006D05C3">
        <w:tab/>
      </w:r>
      <w:r w:rsidR="00802C5D" w:rsidRPr="006D05C3">
        <w:t xml:space="preserve">Semistructured </w:t>
      </w:r>
      <w:r w:rsidR="00246DB8" w:rsidRPr="006D05C3">
        <w:t xml:space="preserve">interviews with providers and clients </w:t>
      </w:r>
    </w:p>
    <w:p w14:paraId="3DAC6D0C" w14:textId="2A758781" w:rsidR="00B05012" w:rsidRDefault="00B212A2" w:rsidP="005C423D">
      <w:pPr>
        <w:pStyle w:val="NormalSS"/>
        <w:rPr>
          <w:szCs w:val="24"/>
        </w:rPr>
      </w:pPr>
      <w:r>
        <w:t xml:space="preserve">During the 60-day notice period, the project team </w:t>
      </w:r>
      <w:r w:rsidR="005C423D" w:rsidRPr="005C423D">
        <w:rPr>
          <w:szCs w:val="24"/>
        </w:rPr>
        <w:t xml:space="preserve">pilot-tested the provider and client interview guides for the non-outpatient ambulatory health services (OAHS) outcomes study. </w:t>
      </w:r>
      <w:r w:rsidR="00B05012">
        <w:rPr>
          <w:szCs w:val="24"/>
        </w:rPr>
        <w:t xml:space="preserve">Pilot-testing was done in-person </w:t>
      </w:r>
      <w:r w:rsidR="005C423D" w:rsidRPr="005C423D">
        <w:rPr>
          <w:szCs w:val="24"/>
        </w:rPr>
        <w:t xml:space="preserve">at the 2018 National Ryan White Conference, as well as by telephone, depending on the availability of the informant. We spoke with program administrators and a care manager from five </w:t>
      </w:r>
      <w:r w:rsidR="00B05012">
        <w:rPr>
          <w:szCs w:val="24"/>
        </w:rPr>
        <w:t>RW</w:t>
      </w:r>
      <w:r w:rsidR="005C423D" w:rsidRPr="005C423D">
        <w:rPr>
          <w:szCs w:val="24"/>
        </w:rPr>
        <w:t xml:space="preserve">HAP </w:t>
      </w:r>
      <w:r w:rsidR="00B05012">
        <w:rPr>
          <w:szCs w:val="24"/>
        </w:rPr>
        <w:t>sites and</w:t>
      </w:r>
      <w:r w:rsidR="005C423D" w:rsidRPr="005C423D">
        <w:rPr>
          <w:szCs w:val="24"/>
        </w:rPr>
        <w:t xml:space="preserve"> held a focus group with three peer support staff from one </w:t>
      </w:r>
      <w:r w:rsidR="00B05012">
        <w:rPr>
          <w:szCs w:val="24"/>
        </w:rPr>
        <w:t>RWHAP site</w:t>
      </w:r>
      <w:r w:rsidR="005C423D" w:rsidRPr="005C423D">
        <w:rPr>
          <w:szCs w:val="24"/>
        </w:rPr>
        <w:t>.</w:t>
      </w:r>
      <w:r w:rsidR="00B05012">
        <w:rPr>
          <w:szCs w:val="24"/>
        </w:rPr>
        <w:t xml:space="preserve"> </w:t>
      </w:r>
      <w:r w:rsidR="004414F8">
        <w:rPr>
          <w:szCs w:val="24"/>
        </w:rPr>
        <w:t xml:space="preserve">During the focus group, feedback was also elicited on both the provider and client interview guides. </w:t>
      </w:r>
      <w:r w:rsidR="00B05012">
        <w:rPr>
          <w:szCs w:val="24"/>
        </w:rPr>
        <w:t xml:space="preserve">The purpose of pilot-testing was to elicit feedback on the clarity of </w:t>
      </w:r>
      <w:r w:rsidR="004414F8">
        <w:rPr>
          <w:szCs w:val="24"/>
        </w:rPr>
        <w:t xml:space="preserve">the </w:t>
      </w:r>
      <w:r w:rsidR="00B05012">
        <w:rPr>
          <w:szCs w:val="24"/>
        </w:rPr>
        <w:t xml:space="preserve">interview guides and the relevancy and appropriateness of the questions. </w:t>
      </w:r>
    </w:p>
    <w:p w14:paraId="07402F8D" w14:textId="55226EC9" w:rsidR="005C423D" w:rsidRDefault="00E75C8A" w:rsidP="005C423D">
      <w:pPr>
        <w:pStyle w:val="NormalSS"/>
        <w:rPr>
          <w:szCs w:val="24"/>
        </w:rPr>
      </w:pPr>
      <w:r w:rsidRPr="00E75C8A">
        <w:rPr>
          <w:b/>
          <w:szCs w:val="24"/>
        </w:rPr>
        <w:t>Provider guides</w:t>
      </w:r>
      <w:r>
        <w:rPr>
          <w:szCs w:val="24"/>
        </w:rPr>
        <w:t xml:space="preserve">. </w:t>
      </w:r>
      <w:r w:rsidR="00B05012">
        <w:rPr>
          <w:szCs w:val="24"/>
        </w:rPr>
        <w:t>As a result of pilot testing the provider guide</w:t>
      </w:r>
      <w:r>
        <w:rPr>
          <w:szCs w:val="24"/>
        </w:rPr>
        <w:t>s</w:t>
      </w:r>
      <w:r w:rsidR="00B05012">
        <w:rPr>
          <w:szCs w:val="24"/>
        </w:rPr>
        <w:t>, the following revisions were made:</w:t>
      </w:r>
    </w:p>
    <w:p w14:paraId="720DEE57" w14:textId="20FEE824" w:rsidR="00B05012" w:rsidRPr="00665AA3" w:rsidRDefault="00B05012" w:rsidP="00B05012">
      <w:pPr>
        <w:pStyle w:val="NumberedBullet"/>
        <w:numPr>
          <w:ilvl w:val="0"/>
          <w:numId w:val="37"/>
        </w:numPr>
      </w:pPr>
      <w:r w:rsidRPr="00665AA3">
        <w:rPr>
          <w:i/>
        </w:rPr>
        <w:t>Added questions about clients who are out of care</w:t>
      </w:r>
      <w:r w:rsidRPr="00665AA3">
        <w:t xml:space="preserve">. </w:t>
      </w:r>
      <w:r>
        <w:t>Provider staff</w:t>
      </w:r>
      <w:r w:rsidRPr="00665AA3">
        <w:t xml:space="preserve"> said that the guides assumed that all RWHAP clients were in care and receiving OAHS at another provider site. </w:t>
      </w:r>
      <w:r>
        <w:t>Because</w:t>
      </w:r>
      <w:r w:rsidRPr="00665AA3">
        <w:t xml:space="preserve"> some </w:t>
      </w:r>
      <w:r>
        <w:t xml:space="preserve">non-OAHS </w:t>
      </w:r>
      <w:r w:rsidRPr="00665AA3">
        <w:t xml:space="preserve">clients </w:t>
      </w:r>
      <w:r>
        <w:t xml:space="preserve">might </w:t>
      </w:r>
      <w:r w:rsidRPr="00665AA3">
        <w:t xml:space="preserve">be out of care, </w:t>
      </w:r>
      <w:r w:rsidR="004414F8">
        <w:t xml:space="preserve">some questions were </w:t>
      </w:r>
      <w:r w:rsidRPr="00665AA3">
        <w:t>rephrased to remove th</w:t>
      </w:r>
      <w:r>
        <w:t>is</w:t>
      </w:r>
      <w:r w:rsidRPr="00665AA3">
        <w:t xml:space="preserve"> assumption and </w:t>
      </w:r>
      <w:r w:rsidR="004414F8">
        <w:t xml:space="preserve">a question </w:t>
      </w:r>
      <w:r w:rsidRPr="00665AA3">
        <w:t xml:space="preserve">added about the proportion of clients that </w:t>
      </w:r>
      <w:r>
        <w:t xml:space="preserve">are </w:t>
      </w:r>
      <w:r w:rsidRPr="00665AA3">
        <w:t xml:space="preserve">out of care. </w:t>
      </w:r>
    </w:p>
    <w:p w14:paraId="1B7D716D" w14:textId="1960A7CE" w:rsidR="00B05012" w:rsidRDefault="00B05012" w:rsidP="00B05012">
      <w:pPr>
        <w:pStyle w:val="NumberedBullet"/>
        <w:numPr>
          <w:ilvl w:val="0"/>
          <w:numId w:val="37"/>
        </w:numPr>
        <w:tabs>
          <w:tab w:val="clear" w:pos="432"/>
          <w:tab w:val="clear" w:pos="792"/>
          <w:tab w:val="left" w:pos="810"/>
        </w:tabs>
        <w:ind w:left="432" w:firstLine="18"/>
        <w:rPr>
          <w:iCs/>
        </w:rPr>
      </w:pPr>
      <w:r w:rsidRPr="00F069D1">
        <w:rPr>
          <w:i/>
          <w:iCs/>
        </w:rPr>
        <w:t>Clarified terms</w:t>
      </w:r>
      <w:r>
        <w:rPr>
          <w:iCs/>
        </w:rPr>
        <w:t xml:space="preserve">. </w:t>
      </w:r>
      <w:r w:rsidR="004414F8">
        <w:rPr>
          <w:iCs/>
        </w:rPr>
        <w:t>T</w:t>
      </w:r>
      <w:r>
        <w:rPr>
          <w:iCs/>
        </w:rPr>
        <w:t>erms</w:t>
      </w:r>
      <w:r w:rsidRPr="00FB7059">
        <w:rPr>
          <w:iCs/>
        </w:rPr>
        <w:t xml:space="preserve"> such as </w:t>
      </w:r>
      <w:r>
        <w:rPr>
          <w:iCs/>
        </w:rPr>
        <w:t>“</w:t>
      </w:r>
      <w:r w:rsidRPr="00FB7059">
        <w:rPr>
          <w:iCs/>
        </w:rPr>
        <w:t>OAHS</w:t>
      </w:r>
      <w:r>
        <w:rPr>
          <w:iCs/>
        </w:rPr>
        <w:t>”</w:t>
      </w:r>
      <w:r w:rsidRPr="00FB7059">
        <w:rPr>
          <w:iCs/>
        </w:rPr>
        <w:t xml:space="preserve"> and </w:t>
      </w:r>
      <w:r>
        <w:rPr>
          <w:iCs/>
        </w:rPr>
        <w:t>“</w:t>
      </w:r>
      <w:r w:rsidRPr="00FB7059">
        <w:rPr>
          <w:iCs/>
        </w:rPr>
        <w:t>Ryan White,</w:t>
      </w:r>
      <w:r>
        <w:rPr>
          <w:iCs/>
        </w:rPr>
        <w:t>”</w:t>
      </w:r>
      <w:r w:rsidRPr="00FB7059">
        <w:rPr>
          <w:iCs/>
        </w:rPr>
        <w:t xml:space="preserve"> which some </w:t>
      </w:r>
      <w:r>
        <w:rPr>
          <w:iCs/>
        </w:rPr>
        <w:tab/>
      </w:r>
      <w:r w:rsidRPr="00FB7059">
        <w:rPr>
          <w:iCs/>
        </w:rPr>
        <w:t xml:space="preserve">staff </w:t>
      </w:r>
      <w:r>
        <w:rPr>
          <w:iCs/>
        </w:rPr>
        <w:t xml:space="preserve">might </w:t>
      </w:r>
      <w:r w:rsidRPr="00FB7059">
        <w:rPr>
          <w:iCs/>
        </w:rPr>
        <w:t xml:space="preserve">not </w:t>
      </w:r>
      <w:r w:rsidR="004414F8">
        <w:rPr>
          <w:iCs/>
        </w:rPr>
        <w:tab/>
      </w:r>
      <w:r w:rsidRPr="00FB7059">
        <w:rPr>
          <w:iCs/>
        </w:rPr>
        <w:t xml:space="preserve">be familiar </w:t>
      </w:r>
      <w:r>
        <w:rPr>
          <w:iCs/>
        </w:rPr>
        <w:t>with</w:t>
      </w:r>
      <w:r w:rsidR="004414F8">
        <w:rPr>
          <w:iCs/>
        </w:rPr>
        <w:t xml:space="preserve">, were clarified. Examples and probes were added to </w:t>
      </w:r>
      <w:r>
        <w:rPr>
          <w:iCs/>
        </w:rPr>
        <w:t>describe</w:t>
      </w:r>
      <w:r w:rsidRPr="00FB7059">
        <w:rPr>
          <w:iCs/>
        </w:rPr>
        <w:t xml:space="preserve"> </w:t>
      </w:r>
      <w:r>
        <w:rPr>
          <w:iCs/>
        </w:rPr>
        <w:t xml:space="preserve">the </w:t>
      </w:r>
      <w:r w:rsidR="004414F8">
        <w:rPr>
          <w:iCs/>
        </w:rPr>
        <w:tab/>
      </w:r>
      <w:r w:rsidRPr="00FB7059">
        <w:rPr>
          <w:iCs/>
        </w:rPr>
        <w:t xml:space="preserve">support services that </w:t>
      </w:r>
      <w:r w:rsidRPr="00E725D2">
        <w:t>providers</w:t>
      </w:r>
      <w:r w:rsidRPr="00FB7059">
        <w:rPr>
          <w:iCs/>
        </w:rPr>
        <w:t xml:space="preserve"> offer to </w:t>
      </w:r>
      <w:r>
        <w:rPr>
          <w:iCs/>
        </w:rPr>
        <w:t>link</w:t>
      </w:r>
      <w:r w:rsidRPr="00FB7059">
        <w:rPr>
          <w:iCs/>
        </w:rPr>
        <w:t xml:space="preserve"> clients to care. Finally, the term </w:t>
      </w:r>
      <w:r>
        <w:rPr>
          <w:iCs/>
        </w:rPr>
        <w:t>“</w:t>
      </w:r>
      <w:r w:rsidRPr="00FB7059">
        <w:rPr>
          <w:iCs/>
        </w:rPr>
        <w:t xml:space="preserve">Program </w:t>
      </w:r>
      <w:r w:rsidR="004414F8">
        <w:rPr>
          <w:iCs/>
        </w:rPr>
        <w:tab/>
      </w:r>
      <w:r w:rsidRPr="00FB7059">
        <w:rPr>
          <w:iCs/>
        </w:rPr>
        <w:t>Manager</w:t>
      </w:r>
      <w:r>
        <w:rPr>
          <w:iCs/>
        </w:rPr>
        <w:t>”</w:t>
      </w:r>
      <w:r w:rsidR="004414F8">
        <w:rPr>
          <w:iCs/>
        </w:rPr>
        <w:t xml:space="preserve"> was replaced with </w:t>
      </w:r>
      <w:r>
        <w:rPr>
          <w:iCs/>
        </w:rPr>
        <w:t>“</w:t>
      </w:r>
      <w:r w:rsidRPr="00FB7059">
        <w:rPr>
          <w:iCs/>
        </w:rPr>
        <w:t>Program Leadership</w:t>
      </w:r>
      <w:r>
        <w:rPr>
          <w:iCs/>
        </w:rPr>
        <w:t>”</w:t>
      </w:r>
      <w:r w:rsidRPr="00FB7059">
        <w:rPr>
          <w:iCs/>
        </w:rPr>
        <w:t xml:space="preserve"> so that we </w:t>
      </w:r>
      <w:r>
        <w:rPr>
          <w:iCs/>
        </w:rPr>
        <w:t xml:space="preserve">identify </w:t>
      </w:r>
      <w:r w:rsidRPr="00FB7059">
        <w:rPr>
          <w:iCs/>
        </w:rPr>
        <w:t xml:space="preserve">staff with a </w:t>
      </w:r>
      <w:r w:rsidR="004414F8">
        <w:rPr>
          <w:iCs/>
        </w:rPr>
        <w:tab/>
      </w:r>
      <w:r w:rsidRPr="00FB7059">
        <w:rPr>
          <w:iCs/>
        </w:rPr>
        <w:t xml:space="preserve">global perspective on </w:t>
      </w:r>
      <w:r>
        <w:rPr>
          <w:iCs/>
        </w:rPr>
        <w:t xml:space="preserve">the </w:t>
      </w:r>
      <w:r w:rsidRPr="00FB7059">
        <w:rPr>
          <w:iCs/>
        </w:rPr>
        <w:t xml:space="preserve">RWHAP and clinic partnerships. </w:t>
      </w:r>
    </w:p>
    <w:p w14:paraId="367512C7" w14:textId="7AC749FC" w:rsidR="00B05012" w:rsidRDefault="00B05012" w:rsidP="00B05012">
      <w:pPr>
        <w:pStyle w:val="NumberedBullet"/>
        <w:numPr>
          <w:ilvl w:val="0"/>
          <w:numId w:val="37"/>
        </w:numPr>
        <w:spacing w:after="240"/>
        <w:ind w:left="432" w:firstLine="18"/>
        <w:rPr>
          <w:iCs/>
        </w:rPr>
      </w:pPr>
      <w:r w:rsidRPr="00F069D1">
        <w:rPr>
          <w:i/>
          <w:iCs/>
        </w:rPr>
        <w:t xml:space="preserve">Noted the need </w:t>
      </w:r>
      <w:r>
        <w:rPr>
          <w:i/>
          <w:iCs/>
        </w:rPr>
        <w:t>for</w:t>
      </w:r>
      <w:r w:rsidRPr="00F069D1">
        <w:rPr>
          <w:i/>
          <w:iCs/>
        </w:rPr>
        <w:t xml:space="preserve"> criteria for service delivery staff</w:t>
      </w:r>
      <w:r>
        <w:rPr>
          <w:iCs/>
        </w:rPr>
        <w:t>. Provider staff</w:t>
      </w:r>
      <w:r w:rsidRPr="00FB7059">
        <w:rPr>
          <w:iCs/>
        </w:rPr>
        <w:t xml:space="preserve"> also suggested we </w:t>
      </w:r>
      <w:r>
        <w:rPr>
          <w:iCs/>
        </w:rPr>
        <w:tab/>
      </w:r>
      <w:r w:rsidRPr="00FB7059">
        <w:rPr>
          <w:iCs/>
        </w:rPr>
        <w:t>develop criteria for the service delivery staff to be interviewed</w:t>
      </w:r>
      <w:r>
        <w:rPr>
          <w:iCs/>
        </w:rPr>
        <w:t xml:space="preserve">. They said that doing so </w:t>
      </w:r>
      <w:r>
        <w:rPr>
          <w:iCs/>
        </w:rPr>
        <w:tab/>
        <w:t xml:space="preserve">will help </w:t>
      </w:r>
      <w:r w:rsidRPr="00FB7059">
        <w:rPr>
          <w:iCs/>
        </w:rPr>
        <w:t xml:space="preserve">ensure that </w:t>
      </w:r>
      <w:r>
        <w:rPr>
          <w:iCs/>
        </w:rPr>
        <w:t>the selected staff</w:t>
      </w:r>
      <w:r w:rsidRPr="00FB7059">
        <w:rPr>
          <w:iCs/>
        </w:rPr>
        <w:t xml:space="preserve"> </w:t>
      </w:r>
      <w:r w:rsidRPr="00E725D2">
        <w:t>are</w:t>
      </w:r>
      <w:r w:rsidRPr="00FB7059">
        <w:rPr>
          <w:iCs/>
        </w:rPr>
        <w:t xml:space="preserve"> familiar with the gene</w:t>
      </w:r>
      <w:r>
        <w:rPr>
          <w:iCs/>
        </w:rPr>
        <w:t xml:space="preserve">ral operations of the </w:t>
      </w:r>
      <w:r>
        <w:rPr>
          <w:iCs/>
        </w:rPr>
        <w:tab/>
        <w:t>clinic,</w:t>
      </w:r>
      <w:r w:rsidRPr="00FB7059">
        <w:rPr>
          <w:iCs/>
        </w:rPr>
        <w:t xml:space="preserve"> not just their own work and caseload</w:t>
      </w:r>
      <w:r>
        <w:rPr>
          <w:iCs/>
        </w:rPr>
        <w:t xml:space="preserve">. These criteria have been incorporated into </w:t>
      </w:r>
      <w:r>
        <w:rPr>
          <w:iCs/>
        </w:rPr>
        <w:tab/>
        <w:t xml:space="preserve">our provider recruitment </w:t>
      </w:r>
      <w:r w:rsidRPr="00FB7059">
        <w:rPr>
          <w:iCs/>
        </w:rPr>
        <w:t>strategy.</w:t>
      </w:r>
    </w:p>
    <w:p w14:paraId="66AC5173" w14:textId="5EBEC40B" w:rsidR="00E75C8A" w:rsidRDefault="00E75C8A" w:rsidP="00E75C8A">
      <w:pPr>
        <w:pStyle w:val="NormalSS"/>
      </w:pPr>
      <w:r w:rsidRPr="00995095">
        <w:rPr>
          <w:b/>
        </w:rPr>
        <w:t>Client guides.</w:t>
      </w:r>
      <w:r>
        <w:t xml:space="preserve"> A number of revisions were made to the client guide based on feedback from peer </w:t>
      </w:r>
      <w:r w:rsidRPr="00E725D2">
        <w:rPr>
          <w:iCs/>
        </w:rPr>
        <w:t>support</w:t>
      </w:r>
      <w:r>
        <w:t xml:space="preserve"> staff at one provider site:</w:t>
      </w:r>
    </w:p>
    <w:p w14:paraId="7BBD8DDA" w14:textId="078851A5" w:rsidR="006F2AC1" w:rsidRDefault="00E75C8A" w:rsidP="00E75C8A">
      <w:pPr>
        <w:pStyle w:val="NumberedBullet"/>
        <w:numPr>
          <w:ilvl w:val="0"/>
          <w:numId w:val="38"/>
        </w:numPr>
      </w:pPr>
      <w:r w:rsidRPr="00E725D2">
        <w:rPr>
          <w:i/>
        </w:rPr>
        <w:t xml:space="preserve">Clarified terms. </w:t>
      </w:r>
      <w:r>
        <w:t xml:space="preserve">Peer support staff suggested minor changes to language to make the questions more relatable to RWHAP clients. For example, the peer support staff indicated that clients will likely know what “undetectable” means but might not understand the term “viral suppression.” They also said that referring to </w:t>
      </w:r>
      <w:r w:rsidRPr="00E725D2">
        <w:rPr>
          <w:iCs/>
        </w:rPr>
        <w:t>the</w:t>
      </w:r>
      <w:r>
        <w:t xml:space="preserve"> individual providing HIV care as a “doctor” is more accessible to clients (though </w:t>
      </w:r>
      <w:r w:rsidR="004414F8">
        <w:t xml:space="preserve">perhaps </w:t>
      </w:r>
      <w:r w:rsidR="005D7A3E">
        <w:t>less precise) than “clinician.” Updates have been made to the client interview guide based on this feedback.</w:t>
      </w:r>
      <w:r w:rsidR="006F2AC1">
        <w:br w:type="page"/>
      </w:r>
    </w:p>
    <w:p w14:paraId="31F7E5AC" w14:textId="1CE4F9EF" w:rsidR="00E75C8A" w:rsidRPr="004414F8" w:rsidRDefault="00E75C8A" w:rsidP="00B60BCE">
      <w:pPr>
        <w:pStyle w:val="NumberedBullet"/>
        <w:numPr>
          <w:ilvl w:val="0"/>
          <w:numId w:val="38"/>
        </w:numPr>
      </w:pPr>
      <w:r w:rsidRPr="00B60BCE">
        <w:rPr>
          <w:i/>
        </w:rPr>
        <w:t>Shortened and rearranged protocol</w:t>
      </w:r>
      <w:r w:rsidRPr="00E75C8A">
        <w:t>. Peer support staff indicated that the client protocol was too long. They also thought that breaks between sections interrupted the flow of the interview and had suggestions for grouping questions that would support a more conversational flow. In response to their feedback, transitions between sections</w:t>
      </w:r>
      <w:r w:rsidR="004414F8">
        <w:t xml:space="preserve"> have been removed, some questions have been regrouped,  and duplicative questions have been removed. </w:t>
      </w:r>
    </w:p>
    <w:p w14:paraId="0E32CC88" w14:textId="38EECB5A" w:rsidR="00E75C8A" w:rsidRPr="00E75C8A" w:rsidRDefault="005D7A3E" w:rsidP="00390A12">
      <w:pPr>
        <w:pStyle w:val="NumberedBullet"/>
        <w:numPr>
          <w:ilvl w:val="0"/>
          <w:numId w:val="38"/>
        </w:numPr>
        <w:spacing w:after="240"/>
      </w:pPr>
      <w:r>
        <w:rPr>
          <w:i/>
        </w:rPr>
        <w:t>Providing context for interview</w:t>
      </w:r>
      <w:r w:rsidR="00E75C8A" w:rsidRPr="00E75C8A">
        <w:t xml:space="preserve">. Peer support staff suggested </w:t>
      </w:r>
      <w:r>
        <w:t>providing clients with an overview of services and terms (</w:t>
      </w:r>
      <w:r w:rsidR="00E75C8A" w:rsidRPr="00E75C8A">
        <w:t xml:space="preserve">for example, “medical care”) to frame the interview. </w:t>
      </w:r>
      <w:r>
        <w:t xml:space="preserve">This has been incorporated in the client interview guide. </w:t>
      </w:r>
    </w:p>
    <w:p w14:paraId="658C250D" w14:textId="619F1DDF" w:rsidR="00B212A2" w:rsidRDefault="00562AF4" w:rsidP="00B212A2">
      <w:pPr>
        <w:pStyle w:val="NormalSS"/>
        <w:rPr>
          <w:szCs w:val="24"/>
        </w:rPr>
      </w:pPr>
      <w:r w:rsidRPr="00562AF4">
        <w:rPr>
          <w:b/>
          <w:szCs w:val="24"/>
        </w:rPr>
        <w:t>Burden</w:t>
      </w:r>
      <w:r>
        <w:rPr>
          <w:szCs w:val="24"/>
        </w:rPr>
        <w:t xml:space="preserve">. </w:t>
      </w:r>
      <w:r w:rsidR="005D7A3E">
        <w:rPr>
          <w:szCs w:val="24"/>
        </w:rPr>
        <w:t xml:space="preserve">We asked providers to estimate how long they thought it would take to complete the provider interviews and for clients to complete the client interviews.  Estimates were 60 minutes and 30 minutes respectively.  These estimates were the basis for the </w:t>
      </w:r>
      <w:r w:rsidR="00B212A2">
        <w:rPr>
          <w:szCs w:val="24"/>
        </w:rPr>
        <w:t>burden estimate</w:t>
      </w:r>
      <w:r w:rsidR="005D7A3E">
        <w:rPr>
          <w:szCs w:val="24"/>
        </w:rPr>
        <w:t>s provided in Part A.</w:t>
      </w:r>
      <w:r w:rsidR="00B212A2" w:rsidRPr="006D05C3">
        <w:rPr>
          <w:szCs w:val="24"/>
        </w:rPr>
        <w:t xml:space="preserve"> </w:t>
      </w:r>
    </w:p>
    <w:p w14:paraId="225B1560" w14:textId="003BB659" w:rsidR="00CE78A6" w:rsidRPr="006D05C3" w:rsidRDefault="00246DB8" w:rsidP="000E5937">
      <w:pPr>
        <w:pStyle w:val="H3Alpha"/>
      </w:pPr>
      <w:bookmarkStart w:id="11" w:name="_Toc300315981"/>
      <w:bookmarkStart w:id="12" w:name="_Toc265544"/>
      <w:r w:rsidRPr="006D05C3">
        <w:t xml:space="preserve">B.5. </w:t>
      </w:r>
      <w:r w:rsidR="000E5937" w:rsidRPr="006D05C3">
        <w:tab/>
      </w:r>
      <w:r w:rsidRPr="006D05C3">
        <w:t xml:space="preserve">Individuals </w:t>
      </w:r>
      <w:r w:rsidR="00FA63E8" w:rsidRPr="006D05C3">
        <w:t>consulted on statistical aspects and individuals collecting and/or analyzing data</w:t>
      </w:r>
      <w:bookmarkEnd w:id="11"/>
      <w:bookmarkEnd w:id="12"/>
      <w:r w:rsidR="00FA63E8" w:rsidRPr="006D05C3">
        <w:t xml:space="preserve"> </w:t>
      </w:r>
    </w:p>
    <w:p w14:paraId="4A189CC1" w14:textId="77777777" w:rsidR="00BF194C" w:rsidRPr="006D05C3" w:rsidRDefault="00246DB8" w:rsidP="00BF194C">
      <w:pPr>
        <w:pStyle w:val="NormalSS"/>
        <w:spacing w:after="0"/>
        <w:rPr>
          <w:rFonts w:eastAsiaTheme="minorHAnsi"/>
        </w:rPr>
      </w:pPr>
      <w:r w:rsidRPr="006D05C3">
        <w:rPr>
          <w:szCs w:val="24"/>
        </w:rPr>
        <w:t>Barbara</w:t>
      </w:r>
      <w:r w:rsidRPr="006D05C3">
        <w:rPr>
          <w:rFonts w:eastAsiaTheme="minorHAnsi"/>
        </w:rPr>
        <w:t xml:space="preserve"> </w:t>
      </w:r>
      <w:r w:rsidRPr="006D05C3">
        <w:rPr>
          <w:szCs w:val="24"/>
        </w:rPr>
        <w:t>Carlson</w:t>
      </w:r>
      <w:r w:rsidRPr="006D05C3">
        <w:rPr>
          <w:rFonts w:eastAsiaTheme="minorHAnsi"/>
        </w:rPr>
        <w:t>, M.A. in Statistics (Boston University)</w:t>
      </w:r>
    </w:p>
    <w:p w14:paraId="1B4FBABA" w14:textId="33F203DD" w:rsidR="00121531" w:rsidRPr="006D05C3" w:rsidRDefault="00246DB8" w:rsidP="00BF194C">
      <w:pPr>
        <w:pStyle w:val="NormalSS"/>
        <w:spacing w:after="0"/>
        <w:rPr>
          <w:rFonts w:eastAsiaTheme="minorHAnsi"/>
        </w:rPr>
      </w:pPr>
      <w:r w:rsidRPr="006D05C3">
        <w:rPr>
          <w:rFonts w:eastAsiaTheme="minorHAnsi"/>
        </w:rPr>
        <w:t>Mathematica</w:t>
      </w:r>
      <w:r w:rsidR="00352457">
        <w:rPr>
          <w:rFonts w:eastAsiaTheme="minorHAnsi"/>
        </w:rPr>
        <w:t>, Inc.</w:t>
      </w:r>
      <w:r w:rsidRPr="006D05C3">
        <w:rPr>
          <w:rFonts w:eastAsiaTheme="minorHAnsi"/>
        </w:rPr>
        <w:t xml:space="preserve"> </w:t>
      </w:r>
    </w:p>
    <w:p w14:paraId="32D61801" w14:textId="3F6D6B40" w:rsidR="00BF194C" w:rsidRPr="006D05C3" w:rsidRDefault="00BF194C" w:rsidP="00BF194C">
      <w:pPr>
        <w:pStyle w:val="NormalSS"/>
        <w:spacing w:after="0"/>
        <w:rPr>
          <w:rFonts w:eastAsiaTheme="minorHAnsi"/>
        </w:rPr>
      </w:pPr>
      <w:r w:rsidRPr="006D05C3">
        <w:rPr>
          <w:rFonts w:eastAsiaTheme="minorHAnsi"/>
        </w:rPr>
        <w:t>955 Massachusetts Avenue, Suite 801</w:t>
      </w:r>
    </w:p>
    <w:p w14:paraId="5A63BD99" w14:textId="325B0337" w:rsidR="00BF194C" w:rsidRPr="006D05C3" w:rsidRDefault="00BF194C" w:rsidP="00BF194C">
      <w:pPr>
        <w:pStyle w:val="NormalSS"/>
        <w:spacing w:after="0"/>
        <w:rPr>
          <w:rFonts w:eastAsiaTheme="minorHAnsi"/>
        </w:rPr>
      </w:pPr>
      <w:r w:rsidRPr="006D05C3">
        <w:rPr>
          <w:rFonts w:eastAsiaTheme="minorHAnsi"/>
        </w:rPr>
        <w:t>Cambridge, MA 02138</w:t>
      </w:r>
    </w:p>
    <w:p w14:paraId="63B859D4" w14:textId="5917F165" w:rsidR="00BF194C" w:rsidRPr="006D05C3" w:rsidRDefault="00BF194C" w:rsidP="00BF194C">
      <w:pPr>
        <w:pStyle w:val="NormalSS"/>
        <w:spacing w:after="0"/>
        <w:rPr>
          <w:rFonts w:eastAsiaTheme="minorHAnsi"/>
        </w:rPr>
      </w:pPr>
      <w:r w:rsidRPr="006D05C3">
        <w:rPr>
          <w:rFonts w:eastAsiaTheme="minorHAnsi"/>
        </w:rPr>
        <w:t>(617) 674-8372</w:t>
      </w:r>
    </w:p>
    <w:p w14:paraId="68972FB7" w14:textId="52D1F1C6" w:rsidR="00BF194C" w:rsidRPr="006D05C3" w:rsidRDefault="00C63DA0" w:rsidP="00F2427F">
      <w:pPr>
        <w:pStyle w:val="NormalSS"/>
        <w:rPr>
          <w:rFonts w:eastAsiaTheme="minorHAnsi"/>
        </w:rPr>
      </w:pPr>
      <w:hyperlink r:id="rId21" w:history="1">
        <w:r w:rsidR="00BF194C" w:rsidRPr="006D05C3">
          <w:rPr>
            <w:rStyle w:val="Hyperlink"/>
            <w:rFonts w:eastAsiaTheme="minorHAnsi"/>
          </w:rPr>
          <w:t>BCarlson@mathematica-mpr.com</w:t>
        </w:r>
      </w:hyperlink>
    </w:p>
    <w:p w14:paraId="132377FE" w14:textId="77777777" w:rsidR="003F67B7" w:rsidRPr="006D05C3" w:rsidRDefault="003F67B7" w:rsidP="000E5937">
      <w:pPr>
        <w:pStyle w:val="H3AlphaNoTOC"/>
      </w:pPr>
      <w:r w:rsidRPr="006D05C3">
        <w:t>Appendices</w:t>
      </w:r>
    </w:p>
    <w:p w14:paraId="52BF0F62" w14:textId="4D406B0B" w:rsidR="003F67B7" w:rsidRPr="006D05C3" w:rsidRDefault="000E5937" w:rsidP="000E5937">
      <w:pPr>
        <w:pStyle w:val="H4NumberNoTOC"/>
      </w:pPr>
      <w:r w:rsidRPr="006D05C3">
        <w:t>A.</w:t>
      </w:r>
      <w:r w:rsidRPr="006D05C3">
        <w:tab/>
      </w:r>
      <w:r w:rsidR="003F67B7" w:rsidRPr="006D05C3">
        <w:t xml:space="preserve">Recruitment </w:t>
      </w:r>
      <w:r w:rsidR="00802C5D" w:rsidRPr="006D05C3">
        <w:t>m</w:t>
      </w:r>
      <w:r w:rsidR="003F67B7" w:rsidRPr="006D05C3">
        <w:t xml:space="preserve">aterials </w:t>
      </w:r>
    </w:p>
    <w:p w14:paraId="06BE00B7" w14:textId="2172A920" w:rsidR="003F67B7" w:rsidRPr="006D05C3" w:rsidRDefault="003F67B7" w:rsidP="000E5937">
      <w:pPr>
        <w:pStyle w:val="Bullet"/>
        <w:ind w:left="450" w:hanging="450"/>
      </w:pPr>
      <w:r w:rsidRPr="006D05C3">
        <w:t>Fact Sheet for Type 1 RWHAP Non</w:t>
      </w:r>
      <w:r w:rsidR="007D5D97" w:rsidRPr="006D05C3">
        <w:t>medical</w:t>
      </w:r>
      <w:r w:rsidRPr="006D05C3">
        <w:t xml:space="preserve"> Non-OAHS Providers</w:t>
      </w:r>
    </w:p>
    <w:p w14:paraId="422E255A" w14:textId="0C16F3D8" w:rsidR="003F67B7" w:rsidRPr="006D05C3" w:rsidRDefault="003F67B7" w:rsidP="000E5937">
      <w:pPr>
        <w:pStyle w:val="Bullet"/>
        <w:ind w:left="450" w:hanging="450"/>
      </w:pPr>
      <w:r w:rsidRPr="006D05C3">
        <w:t xml:space="preserve">Fact Sheet for Type 1 RWHAP </w:t>
      </w:r>
      <w:r w:rsidR="007D5D97" w:rsidRPr="006D05C3">
        <w:t>Medical</w:t>
      </w:r>
      <w:r w:rsidRPr="006D05C3">
        <w:t xml:space="preserve"> Non-OAHS Providers</w:t>
      </w:r>
    </w:p>
    <w:p w14:paraId="7F5BC25C" w14:textId="6582649B" w:rsidR="003F67B7" w:rsidRPr="006D05C3" w:rsidRDefault="003F67B7" w:rsidP="000E5937">
      <w:pPr>
        <w:pStyle w:val="Bullet"/>
        <w:ind w:left="450" w:hanging="450"/>
      </w:pPr>
      <w:r w:rsidRPr="006D05C3">
        <w:t xml:space="preserve">Fact Sheet for Type 2 Non-OAHS Funded </w:t>
      </w:r>
      <w:r w:rsidR="007D5D97" w:rsidRPr="006D05C3">
        <w:t>Medical</w:t>
      </w:r>
      <w:r w:rsidRPr="006D05C3">
        <w:t xml:space="preserve"> Providers</w:t>
      </w:r>
    </w:p>
    <w:p w14:paraId="7E3C4D5D" w14:textId="77777777" w:rsidR="003F67B7" w:rsidRPr="006D05C3" w:rsidRDefault="003F67B7" w:rsidP="000E5937">
      <w:pPr>
        <w:pStyle w:val="Bullet"/>
        <w:ind w:left="450" w:hanging="450"/>
      </w:pPr>
      <w:r w:rsidRPr="006D05C3">
        <w:t>Fact Sheet for RWHAP Clients</w:t>
      </w:r>
    </w:p>
    <w:p w14:paraId="6A70D20F" w14:textId="77777777" w:rsidR="003F67B7" w:rsidRPr="006D05C3" w:rsidRDefault="003F67B7" w:rsidP="000E5937">
      <w:pPr>
        <w:pStyle w:val="Bullet"/>
        <w:ind w:left="450" w:hanging="450"/>
      </w:pPr>
      <w:r w:rsidRPr="006D05C3">
        <w:t>Introductory Letter from HRSA to Providers</w:t>
      </w:r>
    </w:p>
    <w:p w14:paraId="05376B3C" w14:textId="77777777" w:rsidR="003F67B7" w:rsidRPr="006D05C3" w:rsidRDefault="003F67B7" w:rsidP="000E5937">
      <w:pPr>
        <w:pStyle w:val="Bullet"/>
        <w:ind w:left="450" w:hanging="450"/>
      </w:pPr>
      <w:r w:rsidRPr="006D05C3">
        <w:t>Type 1 Provider Introductory Discussion PowerPoint Slides</w:t>
      </w:r>
    </w:p>
    <w:p w14:paraId="3A1991D9" w14:textId="77777777" w:rsidR="003F67B7" w:rsidRPr="006D05C3" w:rsidRDefault="003F67B7" w:rsidP="000E5937">
      <w:pPr>
        <w:pStyle w:val="BulletLastSS"/>
      </w:pPr>
      <w:r w:rsidRPr="006D05C3">
        <w:t>Type 2 Provider Introductory Discussion PowerPoint Slides</w:t>
      </w:r>
    </w:p>
    <w:p w14:paraId="616B3189" w14:textId="381244F8" w:rsidR="003F67B7" w:rsidRPr="006D05C3" w:rsidRDefault="000E5937" w:rsidP="000E5937">
      <w:pPr>
        <w:pStyle w:val="H4NumberNoTOC"/>
      </w:pPr>
      <w:r w:rsidRPr="006D05C3">
        <w:t>B.</w:t>
      </w:r>
      <w:r w:rsidRPr="006D05C3">
        <w:tab/>
      </w:r>
      <w:r w:rsidR="00802C5D" w:rsidRPr="006D05C3">
        <w:t>Semi</w:t>
      </w:r>
      <w:r w:rsidR="00F87F3B">
        <w:t>-</w:t>
      </w:r>
      <w:r w:rsidR="00802C5D" w:rsidRPr="006D05C3">
        <w:t>structured i</w:t>
      </w:r>
      <w:r w:rsidR="003F67B7" w:rsidRPr="006D05C3">
        <w:t xml:space="preserve">nterview </w:t>
      </w:r>
      <w:r w:rsidR="00802C5D" w:rsidRPr="006D05C3">
        <w:t>p</w:t>
      </w:r>
      <w:r w:rsidR="003F67B7" w:rsidRPr="006D05C3">
        <w:t>rotocols</w:t>
      </w:r>
    </w:p>
    <w:p w14:paraId="6858513A" w14:textId="77777777" w:rsidR="003F67B7" w:rsidRPr="006D05C3" w:rsidRDefault="003F67B7" w:rsidP="000E5937">
      <w:pPr>
        <w:pStyle w:val="NumberedBullet"/>
        <w:numPr>
          <w:ilvl w:val="0"/>
          <w:numId w:val="24"/>
        </w:numPr>
      </w:pPr>
      <w:r w:rsidRPr="006D05C3">
        <w:t>Provider interview protocols</w:t>
      </w:r>
    </w:p>
    <w:p w14:paraId="1F31039A" w14:textId="77777777" w:rsidR="003F67B7" w:rsidRPr="006D05C3" w:rsidRDefault="003F67B7" w:rsidP="000E5937">
      <w:pPr>
        <w:pStyle w:val="Bullet"/>
        <w:ind w:left="450" w:hanging="450"/>
      </w:pPr>
      <w:r w:rsidRPr="006D05C3">
        <w:t>Scenario A</w:t>
      </w:r>
    </w:p>
    <w:p w14:paraId="3663E324" w14:textId="77777777" w:rsidR="003F67B7" w:rsidRPr="006D05C3" w:rsidRDefault="003F67B7" w:rsidP="000E5937">
      <w:pPr>
        <w:pStyle w:val="Dash"/>
      </w:pPr>
      <w:r w:rsidRPr="006D05C3">
        <w:t>RWHAP provider: program manager</w:t>
      </w:r>
    </w:p>
    <w:p w14:paraId="310DBEC3" w14:textId="77777777" w:rsidR="003F67B7" w:rsidRPr="006D05C3" w:rsidRDefault="003F67B7" w:rsidP="000E5937">
      <w:pPr>
        <w:pStyle w:val="Dash"/>
      </w:pPr>
      <w:r w:rsidRPr="006D05C3">
        <w:t>RWHAP provider: service delivery staff</w:t>
      </w:r>
    </w:p>
    <w:p w14:paraId="775BFAC8" w14:textId="7F6C02AD" w:rsidR="003F67B7" w:rsidRPr="006D05C3" w:rsidRDefault="00C354E1" w:rsidP="000E5937">
      <w:pPr>
        <w:pStyle w:val="Dash"/>
      </w:pPr>
      <w:r w:rsidRPr="006D05C3">
        <w:t>Non-OAHS funded</w:t>
      </w:r>
      <w:r w:rsidR="003F67B7" w:rsidRPr="006D05C3">
        <w:t xml:space="preserve"> provider: medical director</w:t>
      </w:r>
    </w:p>
    <w:p w14:paraId="1EB0B07C" w14:textId="77777777" w:rsidR="003F67B7" w:rsidRPr="006D05C3" w:rsidRDefault="003F67B7" w:rsidP="000E5937">
      <w:pPr>
        <w:pStyle w:val="Bullet"/>
        <w:ind w:left="450" w:hanging="450"/>
      </w:pPr>
      <w:r w:rsidRPr="006D05C3">
        <w:t>Scenario B</w:t>
      </w:r>
    </w:p>
    <w:p w14:paraId="7B6F5930" w14:textId="77777777" w:rsidR="003F67B7" w:rsidRPr="006D05C3" w:rsidRDefault="003F67B7" w:rsidP="000E5937">
      <w:pPr>
        <w:pStyle w:val="Dash"/>
      </w:pPr>
      <w:r w:rsidRPr="006D05C3">
        <w:t>RWHAP provider: program manager</w:t>
      </w:r>
    </w:p>
    <w:p w14:paraId="79BD85F6" w14:textId="77777777" w:rsidR="003F67B7" w:rsidRPr="006D05C3" w:rsidRDefault="003F67B7" w:rsidP="000E5937">
      <w:pPr>
        <w:pStyle w:val="Dash"/>
      </w:pPr>
      <w:r w:rsidRPr="006D05C3">
        <w:t>RWHAP provider: case manager</w:t>
      </w:r>
    </w:p>
    <w:p w14:paraId="76C93490" w14:textId="77777777" w:rsidR="003F67B7" w:rsidRPr="006D05C3" w:rsidRDefault="003F67B7" w:rsidP="000E5937">
      <w:pPr>
        <w:pStyle w:val="Dash"/>
      </w:pPr>
      <w:r w:rsidRPr="006D05C3">
        <w:t>RWHAP provider: clinician</w:t>
      </w:r>
    </w:p>
    <w:p w14:paraId="1FF25E71" w14:textId="77777777" w:rsidR="003F67B7" w:rsidRPr="006D05C3" w:rsidRDefault="003F67B7" w:rsidP="000E5937">
      <w:pPr>
        <w:pStyle w:val="Bullet"/>
        <w:ind w:left="450" w:hanging="450"/>
      </w:pPr>
      <w:r w:rsidRPr="006D05C3">
        <w:t>Scenario C</w:t>
      </w:r>
    </w:p>
    <w:p w14:paraId="301DDEB5" w14:textId="77777777" w:rsidR="003F67B7" w:rsidRPr="006D05C3" w:rsidRDefault="003F67B7" w:rsidP="000E5937">
      <w:pPr>
        <w:pStyle w:val="Dash"/>
      </w:pPr>
      <w:r w:rsidRPr="006D05C3">
        <w:t>RWHAP provider: program manager</w:t>
      </w:r>
    </w:p>
    <w:p w14:paraId="04F58E70" w14:textId="77777777" w:rsidR="003F67B7" w:rsidRPr="006D05C3" w:rsidRDefault="003F67B7" w:rsidP="000E5937">
      <w:pPr>
        <w:pStyle w:val="Dash"/>
      </w:pPr>
      <w:r w:rsidRPr="006D05C3">
        <w:t>RWHAP provider: case manager</w:t>
      </w:r>
    </w:p>
    <w:p w14:paraId="5B661981" w14:textId="77777777" w:rsidR="003F67B7" w:rsidRPr="006D05C3" w:rsidRDefault="003F67B7" w:rsidP="000E5937">
      <w:pPr>
        <w:pStyle w:val="Dash"/>
      </w:pPr>
      <w:r w:rsidRPr="006D05C3">
        <w:t>RWHAP provider: clinician</w:t>
      </w:r>
    </w:p>
    <w:p w14:paraId="76ED5A41" w14:textId="035595C1" w:rsidR="003F67B7" w:rsidRPr="006D05C3" w:rsidRDefault="00C354E1" w:rsidP="000E5937">
      <w:pPr>
        <w:pStyle w:val="Dash"/>
        <w:spacing w:after="240"/>
      </w:pPr>
      <w:r w:rsidRPr="006D05C3">
        <w:t>Non-OAHS funded</w:t>
      </w:r>
      <w:r w:rsidR="003F67B7" w:rsidRPr="006D05C3">
        <w:t xml:space="preserve"> provider: medical director</w:t>
      </w:r>
    </w:p>
    <w:p w14:paraId="0AAC5B24" w14:textId="77777777" w:rsidR="003F67B7" w:rsidRDefault="003F67B7" w:rsidP="000E5937">
      <w:pPr>
        <w:pStyle w:val="NumberedBullet"/>
        <w:numPr>
          <w:ilvl w:val="0"/>
          <w:numId w:val="24"/>
        </w:numPr>
      </w:pPr>
      <w:r w:rsidRPr="006D05C3">
        <w:t>Client interview protocol</w:t>
      </w:r>
    </w:p>
    <w:p w14:paraId="31F236D8" w14:textId="77777777" w:rsidR="00712DE2" w:rsidRPr="006D05C3" w:rsidRDefault="00712DE2" w:rsidP="00712DE2">
      <w:pPr>
        <w:pStyle w:val="NumberedBullet"/>
        <w:ind w:left="720" w:firstLine="0"/>
      </w:pPr>
    </w:p>
    <w:p w14:paraId="1DDDE0CB" w14:textId="4CD771F6" w:rsidR="003F67B7" w:rsidRDefault="000E5937" w:rsidP="000E5937">
      <w:pPr>
        <w:pStyle w:val="H4NumberNoTOC"/>
      </w:pPr>
      <w:r w:rsidRPr="006D05C3">
        <w:t>C.</w:t>
      </w:r>
      <w:r w:rsidRPr="006D05C3">
        <w:tab/>
      </w:r>
      <w:r w:rsidR="003F67B7" w:rsidRPr="006D05C3">
        <w:t>Chart Abstraction Protocol and Tool</w:t>
      </w:r>
    </w:p>
    <w:p w14:paraId="51BE6BE2" w14:textId="68A40B70" w:rsidR="00A323F6" w:rsidRPr="00A323F6" w:rsidRDefault="00A323F6" w:rsidP="00A323F6">
      <w:pPr>
        <w:pStyle w:val="H4NumberNoTOC"/>
      </w:pPr>
      <w:r>
        <w:t xml:space="preserve">D. </w:t>
      </w:r>
      <w:r>
        <w:tab/>
        <w:t xml:space="preserve">Study </w:t>
      </w:r>
      <w:r w:rsidR="002C371D">
        <w:t>N</w:t>
      </w:r>
      <w:r>
        <w:t xml:space="preserve">otification </w:t>
      </w:r>
      <w:r w:rsidR="002C371D">
        <w:t>S</w:t>
      </w:r>
      <w:r>
        <w:t>ign</w:t>
      </w:r>
    </w:p>
    <w:p w14:paraId="59CE1311" w14:textId="77777777" w:rsidR="00A323F6" w:rsidRPr="00A323F6" w:rsidRDefault="00A323F6" w:rsidP="00A323F6">
      <w:pPr>
        <w:pStyle w:val="NormalSS"/>
      </w:pPr>
    </w:p>
    <w:sectPr w:rsidR="00A323F6" w:rsidRPr="00A323F6" w:rsidSect="00796139">
      <w:headerReference w:type="default" r:id="rId22"/>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DEA16" w14:textId="77777777" w:rsidR="00346DB6" w:rsidRDefault="00346DB6" w:rsidP="00655DAC">
      <w:pPr>
        <w:spacing w:line="240" w:lineRule="auto"/>
      </w:pPr>
      <w:r>
        <w:separator/>
      </w:r>
    </w:p>
  </w:endnote>
  <w:endnote w:type="continuationSeparator" w:id="0">
    <w:p w14:paraId="0E4D9A67" w14:textId="77777777" w:rsidR="00346DB6" w:rsidRDefault="00346DB6" w:rsidP="00655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9A420" w14:textId="77777777" w:rsidR="00D878E3" w:rsidRDefault="00D87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016EC" w14:textId="77777777" w:rsidR="00050BC5" w:rsidRDefault="00050BC5" w:rsidP="00DD3E98">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D5F00" w14:textId="77777777" w:rsidR="00D878E3" w:rsidRDefault="00D878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CA6C1" w14:textId="77777777" w:rsidR="00050BC5" w:rsidRPr="00891E0C" w:rsidRDefault="00050BC5" w:rsidP="00DD3E98">
    <w:pPr>
      <w:pStyle w:val="Footer"/>
      <w:pBdr>
        <w:bottom w:val="none" w:sz="0" w:space="0" w:color="auto"/>
      </w:pBd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8E893" w14:textId="77777777" w:rsidR="00050BC5" w:rsidRPr="00A12B64" w:rsidRDefault="00050BC5" w:rsidP="00050BC5">
    <w:pPr>
      <w:pStyle w:val="Footer"/>
      <w:pBdr>
        <w:bottom w:val="none" w:sz="0" w:space="0" w:color="auto"/>
      </w:pBdr>
      <w:tabs>
        <w:tab w:val="clear" w:pos="4320"/>
        <w:tab w:val="right" w:leader="underscore" w:pos="8539"/>
      </w:tabs>
      <w:spacing w:line="192" w:lineRule="auto"/>
      <w:rPr>
        <w:rFonts w:cs="Arial"/>
        <w:snapToGrid w:val="0"/>
        <w:szCs w:val="14"/>
      </w:rPr>
    </w:pPr>
  </w:p>
  <w:p w14:paraId="00BF3BAE" w14:textId="77777777" w:rsidR="00050BC5" w:rsidRDefault="00050BC5" w:rsidP="00050BC5">
    <w:pPr>
      <w:pStyle w:val="Footer"/>
      <w:pBdr>
        <w:top w:val="single" w:sz="2" w:space="1" w:color="auto"/>
        <w:bottom w:val="none" w:sz="0" w:space="0" w:color="auto"/>
      </w:pBdr>
      <w:spacing w:line="192" w:lineRule="auto"/>
      <w:rPr>
        <w:rStyle w:val="PageNumber"/>
      </w:rPr>
    </w:pPr>
  </w:p>
  <w:p w14:paraId="559E1C92" w14:textId="32825ABF" w:rsidR="00050BC5" w:rsidRPr="00891E0C" w:rsidRDefault="00050BC5" w:rsidP="0005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743D9">
      <w:rPr>
        <w:rStyle w:val="PageNumber"/>
        <w:noProof/>
      </w:rPr>
      <w:t>i</w:t>
    </w:r>
    <w:r w:rsidRPr="00964AB7">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E6B93" w14:textId="1B1CBAFA" w:rsidR="00796139" w:rsidRPr="00796139" w:rsidRDefault="00796139" w:rsidP="00796139">
    <w:pPr>
      <w:pStyle w:val="Footer"/>
      <w:pBdr>
        <w:bottom w:val="none" w:sz="0" w:space="0" w:color="auto"/>
      </w:pBdr>
      <w:rPr>
        <w:rStyle w:val="PageNumbe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1B648" w14:textId="77777777" w:rsidR="00796139" w:rsidRPr="00A12B64" w:rsidRDefault="00796139" w:rsidP="00796139">
    <w:pPr>
      <w:pStyle w:val="Footer"/>
      <w:pBdr>
        <w:bottom w:val="none" w:sz="0" w:space="0" w:color="auto"/>
      </w:pBdr>
      <w:tabs>
        <w:tab w:val="clear" w:pos="4320"/>
        <w:tab w:val="right" w:leader="underscore" w:pos="8539"/>
      </w:tabs>
      <w:spacing w:line="192" w:lineRule="auto"/>
      <w:rPr>
        <w:rFonts w:cs="Arial"/>
        <w:snapToGrid w:val="0"/>
        <w:szCs w:val="14"/>
      </w:rPr>
    </w:pPr>
  </w:p>
  <w:p w14:paraId="382AAF6A" w14:textId="77777777" w:rsidR="00796139" w:rsidRDefault="00796139" w:rsidP="00796139">
    <w:pPr>
      <w:pStyle w:val="Footer"/>
      <w:pBdr>
        <w:top w:val="single" w:sz="2" w:space="1" w:color="auto"/>
        <w:bottom w:val="none" w:sz="0" w:space="0" w:color="auto"/>
      </w:pBdr>
      <w:spacing w:line="192" w:lineRule="auto"/>
      <w:rPr>
        <w:rStyle w:val="PageNumber"/>
      </w:rPr>
    </w:pPr>
  </w:p>
  <w:p w14:paraId="51D4764B" w14:textId="3155A744" w:rsidR="00655DAC" w:rsidRPr="00796139" w:rsidRDefault="00796139" w:rsidP="00796139">
    <w:pPr>
      <w:pStyle w:val="Footer"/>
      <w:pBdr>
        <w:top w:val="single" w:sz="2" w:space="1" w:color="auto"/>
        <w:bottom w:val="none" w:sz="0" w:space="0" w:color="auto"/>
      </w:pBdr>
    </w:pPr>
    <w:r w:rsidRPr="00964AB7">
      <w:rPr>
        <w:rStyle w:val="PageNumber"/>
      </w:rPr>
      <w:tab/>
    </w:r>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743D9">
      <w:rPr>
        <w:rStyle w:val="PageNumber"/>
        <w:noProof/>
      </w:rPr>
      <w:t>14</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F1015" w14:textId="77777777" w:rsidR="00346DB6" w:rsidRDefault="00346DB6" w:rsidP="00655DAC">
      <w:pPr>
        <w:spacing w:line="240" w:lineRule="auto"/>
      </w:pPr>
      <w:r>
        <w:separator/>
      </w:r>
    </w:p>
  </w:footnote>
  <w:footnote w:type="continuationSeparator" w:id="0">
    <w:p w14:paraId="02D0E85C" w14:textId="77777777" w:rsidR="00346DB6" w:rsidRDefault="00346DB6" w:rsidP="00655DAC">
      <w:pPr>
        <w:spacing w:line="240" w:lineRule="auto"/>
      </w:pPr>
      <w:r>
        <w:continuationSeparator/>
      </w:r>
    </w:p>
  </w:footnote>
  <w:footnote w:id="1">
    <w:p w14:paraId="53A3D647" w14:textId="0A56C599" w:rsidR="00B500C7" w:rsidRDefault="00B500C7" w:rsidP="00B500C7">
      <w:pPr>
        <w:pStyle w:val="FootnoteText"/>
      </w:pPr>
      <w:r>
        <w:rPr>
          <w:rStyle w:val="FootnoteReference"/>
        </w:rPr>
        <w:footnoteRef/>
      </w:r>
      <w:r>
        <w:t xml:space="preserve"> We will also use this introductory telephone call to recruit eligible </w:t>
      </w:r>
      <w:r w:rsidR="00D06FCB">
        <w:t xml:space="preserve">the </w:t>
      </w:r>
      <w:r>
        <w:t xml:space="preserve">providers for the study. Chapter III discusses our recruitment strategies.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7861D" w14:textId="77777777" w:rsidR="00D878E3" w:rsidRDefault="00D878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D3367" w14:textId="77777777" w:rsidR="00050BC5" w:rsidRDefault="00050BC5" w:rsidP="00DD3E98">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8673B" w14:textId="77777777" w:rsidR="00D878E3" w:rsidRDefault="00D878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7FA2" w14:textId="77777777" w:rsidR="00050BC5" w:rsidRPr="00D91EF0" w:rsidRDefault="00050BC5" w:rsidP="00DD3E98">
    <w:pPr>
      <w:pStyle w:val="Header"/>
      <w:pBdr>
        <w:bottom w:val="none" w:sz="0" w:space="0" w:color="auto"/>
      </w:pBd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86969" w14:textId="7412453C" w:rsidR="00050BC5" w:rsidRPr="00D91EF0" w:rsidRDefault="00050BC5" w:rsidP="00796139">
    <w:pPr>
      <w:pStyle w:val="Header"/>
      <w:rPr>
        <w:szCs w:val="22"/>
      </w:rPr>
    </w:pPr>
    <w:r w:rsidRPr="00FC45AE">
      <w:rPr>
        <w:szCs w:val="22"/>
      </w:rPr>
      <w:t>rwhap omb supporting statement part</w:t>
    </w:r>
    <w:r>
      <w:rPr>
        <w:szCs w:val="22"/>
      </w:rPr>
      <w:t xml:space="preserve"> b</w:t>
    </w:r>
    <w:r w:rsidRPr="00FC45AE">
      <w:rPr>
        <w:szCs w:val="22"/>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98B7D" w14:textId="470901D1" w:rsidR="00796139" w:rsidRPr="00796139" w:rsidRDefault="00796139" w:rsidP="00796139">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03E94" w14:textId="7BF6FE83" w:rsidR="00655DAC" w:rsidRDefault="00796139">
    <w:pPr>
      <w:pStyle w:val="Header"/>
    </w:pPr>
    <w:r w:rsidRPr="00796139">
      <w:t>rwhap omb supporting statement part b</w:t>
    </w:r>
    <w:r w:rsidRPr="0079613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2060AD"/>
    <w:multiLevelType w:val="hybridMultilevel"/>
    <w:tmpl w:val="2C2E5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82FB2"/>
    <w:multiLevelType w:val="hybridMultilevel"/>
    <w:tmpl w:val="1CD229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3A3661F9"/>
    <w:multiLevelType w:val="hybridMultilevel"/>
    <w:tmpl w:val="C3AE8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DC3A97"/>
    <w:multiLevelType w:val="singleLevel"/>
    <w:tmpl w:val="08DE816E"/>
    <w:lvl w:ilvl="0">
      <w:start w:val="1"/>
      <w:numFmt w:val="decimal"/>
      <w:lvlText w:val="%1."/>
      <w:lvlJc w:val="left"/>
      <w:pPr>
        <w:tabs>
          <w:tab w:val="num" w:pos="792"/>
        </w:tabs>
        <w:ind w:left="792" w:hanging="360"/>
      </w:pPr>
      <w:rPr>
        <w:rFonts w:hint="default"/>
      </w:rPr>
    </w:lvl>
  </w:abstractNum>
  <w:abstractNum w:abstractNumId="8">
    <w:nsid w:val="538D12D0"/>
    <w:multiLevelType w:val="hybridMultilevel"/>
    <w:tmpl w:val="EFAE698E"/>
    <w:lvl w:ilvl="0" w:tplc="D026E23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1151DD"/>
    <w:multiLevelType w:val="hybridMultilevel"/>
    <w:tmpl w:val="7DCC7E38"/>
    <w:lvl w:ilvl="0" w:tplc="4BBAA258">
      <w:start w:val="1"/>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5956DE2"/>
    <w:multiLevelType w:val="hybridMultilevel"/>
    <w:tmpl w:val="B9D4A4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DF2F39"/>
    <w:multiLevelType w:val="hybridMultilevel"/>
    <w:tmpl w:val="59323008"/>
    <w:lvl w:ilvl="0" w:tplc="80B41F90">
      <w:start w:val="1"/>
      <w:numFmt w:val="upperLetter"/>
      <w:lvlText w:val="%1."/>
      <w:lvlJc w:val="left"/>
      <w:pPr>
        <w:ind w:left="792"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757676"/>
    <w:multiLevelType w:val="hybridMultilevel"/>
    <w:tmpl w:val="BF04716E"/>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nsid w:val="63F87B49"/>
    <w:multiLevelType w:val="hybridMultilevel"/>
    <w:tmpl w:val="BFCA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3F2207"/>
    <w:multiLevelType w:val="singleLevel"/>
    <w:tmpl w:val="08DE816E"/>
    <w:lvl w:ilvl="0">
      <w:start w:val="1"/>
      <w:numFmt w:val="decimal"/>
      <w:lvlText w:val="%1."/>
      <w:lvlJc w:val="left"/>
      <w:pPr>
        <w:tabs>
          <w:tab w:val="num" w:pos="792"/>
        </w:tabs>
        <w:ind w:left="792" w:hanging="360"/>
      </w:pPr>
      <w:rPr>
        <w:rFont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98E46CF"/>
    <w:multiLevelType w:val="hybridMultilevel"/>
    <w:tmpl w:val="ADFC12B4"/>
    <w:lvl w:ilvl="0" w:tplc="319CA44E">
      <w:start w:val="1"/>
      <w:numFmt w:val="upperLetter"/>
      <w:lvlText w:val="Scenario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C62A1A"/>
    <w:multiLevelType w:val="hybridMultilevel"/>
    <w:tmpl w:val="C0DC58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072D1C"/>
    <w:multiLevelType w:val="hybridMultilevel"/>
    <w:tmpl w:val="EA30C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8E0624"/>
    <w:multiLevelType w:val="hybridMultilevel"/>
    <w:tmpl w:val="AC2EE9EA"/>
    <w:lvl w:ilvl="0" w:tplc="04090001">
      <w:start w:val="1"/>
      <w:numFmt w:val="bullet"/>
      <w:lvlText w:val=""/>
      <w:lvlJc w:val="left"/>
      <w:pPr>
        <w:ind w:left="792" w:hanging="432"/>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2"/>
  </w:num>
  <w:num w:numId="4">
    <w:abstractNumId w:val="13"/>
  </w:num>
  <w:num w:numId="5">
    <w:abstractNumId w:val="20"/>
  </w:num>
  <w:num w:numId="6">
    <w:abstractNumId w:val="10"/>
  </w:num>
  <w:num w:numId="7">
    <w:abstractNumId w:val="8"/>
  </w:num>
  <w:num w:numId="8">
    <w:abstractNumId w:val="12"/>
  </w:num>
  <w:num w:numId="9">
    <w:abstractNumId w:val="18"/>
  </w:num>
  <w:num w:numId="10">
    <w:abstractNumId w:val="6"/>
  </w:num>
  <w:num w:numId="11">
    <w:abstractNumId w:val="21"/>
  </w:num>
  <w:num w:numId="12">
    <w:abstractNumId w:val="0"/>
  </w:num>
  <w:num w:numId="13">
    <w:abstractNumId w:val="19"/>
  </w:num>
  <w:num w:numId="14">
    <w:abstractNumId w:val="15"/>
  </w:num>
  <w:num w:numId="15">
    <w:abstractNumId w:val="3"/>
  </w:num>
  <w:num w:numId="16">
    <w:abstractNumId w:val="4"/>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2"/>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9"/>
  </w:num>
  <w:num w:numId="34">
    <w:abstractNumId w:val="16"/>
  </w:num>
  <w:num w:numId="35">
    <w:abstractNumId w:val="5"/>
    <w:lvlOverride w:ilvl="0">
      <w:startOverride w:val="1"/>
    </w:lvlOverride>
  </w:num>
  <w:num w:numId="36">
    <w:abstractNumId w:val="5"/>
  </w:num>
  <w:num w:numId="37">
    <w:abstractNumId w:val="14"/>
  </w:num>
  <w:num w:numId="3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activeWritingStyle w:appName="MSWord" w:lang="es-ES" w:vendorID="64" w:dllVersion="131078" w:nlCheck="1" w:checkStyle="0"/>
  <w:activeWritingStyle w:appName="MSWord" w:lang="en-US" w:vendorID="64" w:dllVersion="131078" w:nlCheck="1" w:checkStyle="1"/>
  <w:attachedTemplate r:id="rId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32A"/>
    <w:rsid w:val="00001C63"/>
    <w:rsid w:val="000144DB"/>
    <w:rsid w:val="000208C5"/>
    <w:rsid w:val="000243DD"/>
    <w:rsid w:val="00025536"/>
    <w:rsid w:val="00032676"/>
    <w:rsid w:val="000477AB"/>
    <w:rsid w:val="00050BC5"/>
    <w:rsid w:val="0005668F"/>
    <w:rsid w:val="00057475"/>
    <w:rsid w:val="00064673"/>
    <w:rsid w:val="00067FE4"/>
    <w:rsid w:val="000734B6"/>
    <w:rsid w:val="000742C1"/>
    <w:rsid w:val="000856BA"/>
    <w:rsid w:val="000965BE"/>
    <w:rsid w:val="000A3B75"/>
    <w:rsid w:val="000A6D44"/>
    <w:rsid w:val="000D072F"/>
    <w:rsid w:val="000D08F3"/>
    <w:rsid w:val="000E32E8"/>
    <w:rsid w:val="000E5937"/>
    <w:rsid w:val="000E6350"/>
    <w:rsid w:val="00110E10"/>
    <w:rsid w:val="001174B8"/>
    <w:rsid w:val="00121531"/>
    <w:rsid w:val="0012202A"/>
    <w:rsid w:val="00127FDA"/>
    <w:rsid w:val="0013410E"/>
    <w:rsid w:val="001414BB"/>
    <w:rsid w:val="001448A6"/>
    <w:rsid w:val="00150325"/>
    <w:rsid w:val="001662A5"/>
    <w:rsid w:val="00172EFD"/>
    <w:rsid w:val="001860CA"/>
    <w:rsid w:val="001A3CE0"/>
    <w:rsid w:val="001A6062"/>
    <w:rsid w:val="001B4FCA"/>
    <w:rsid w:val="001C46D9"/>
    <w:rsid w:val="001D7AF4"/>
    <w:rsid w:val="001E4C94"/>
    <w:rsid w:val="001F6044"/>
    <w:rsid w:val="00203AF0"/>
    <w:rsid w:val="002069E4"/>
    <w:rsid w:val="00210A50"/>
    <w:rsid w:val="00213367"/>
    <w:rsid w:val="002172FA"/>
    <w:rsid w:val="00230A3D"/>
    <w:rsid w:val="00231041"/>
    <w:rsid w:val="00246DB8"/>
    <w:rsid w:val="00255B7C"/>
    <w:rsid w:val="002602AD"/>
    <w:rsid w:val="00264471"/>
    <w:rsid w:val="00271B47"/>
    <w:rsid w:val="00290EDF"/>
    <w:rsid w:val="002964EA"/>
    <w:rsid w:val="002A0828"/>
    <w:rsid w:val="002A0C34"/>
    <w:rsid w:val="002A6CA3"/>
    <w:rsid w:val="002C371D"/>
    <w:rsid w:val="002E06AE"/>
    <w:rsid w:val="002E6947"/>
    <w:rsid w:val="002F0E1F"/>
    <w:rsid w:val="00304F83"/>
    <w:rsid w:val="00313511"/>
    <w:rsid w:val="0032131A"/>
    <w:rsid w:val="0032556B"/>
    <w:rsid w:val="00332AC4"/>
    <w:rsid w:val="00341512"/>
    <w:rsid w:val="00344AF8"/>
    <w:rsid w:val="00346DB6"/>
    <w:rsid w:val="0034773D"/>
    <w:rsid w:val="00352457"/>
    <w:rsid w:val="00354E13"/>
    <w:rsid w:val="00355DAA"/>
    <w:rsid w:val="00361CFD"/>
    <w:rsid w:val="0036661D"/>
    <w:rsid w:val="00371241"/>
    <w:rsid w:val="00374918"/>
    <w:rsid w:val="003764B2"/>
    <w:rsid w:val="00380EB9"/>
    <w:rsid w:val="00390A12"/>
    <w:rsid w:val="00395F94"/>
    <w:rsid w:val="003E358D"/>
    <w:rsid w:val="003F1E5B"/>
    <w:rsid w:val="003F22A3"/>
    <w:rsid w:val="003F67B7"/>
    <w:rsid w:val="00400C92"/>
    <w:rsid w:val="0040718C"/>
    <w:rsid w:val="00407BFA"/>
    <w:rsid w:val="00414DD2"/>
    <w:rsid w:val="00425970"/>
    <w:rsid w:val="004259A8"/>
    <w:rsid w:val="004414F8"/>
    <w:rsid w:val="00443328"/>
    <w:rsid w:val="00472DCC"/>
    <w:rsid w:val="00475FC8"/>
    <w:rsid w:val="0048198E"/>
    <w:rsid w:val="00497963"/>
    <w:rsid w:val="004A2563"/>
    <w:rsid w:val="004A5FF2"/>
    <w:rsid w:val="004B60C7"/>
    <w:rsid w:val="004C12AF"/>
    <w:rsid w:val="004C7575"/>
    <w:rsid w:val="004C75D5"/>
    <w:rsid w:val="004D1221"/>
    <w:rsid w:val="004D1F2D"/>
    <w:rsid w:val="0050605D"/>
    <w:rsid w:val="00506105"/>
    <w:rsid w:val="00526096"/>
    <w:rsid w:val="0054409C"/>
    <w:rsid w:val="00547BB3"/>
    <w:rsid w:val="005622EF"/>
    <w:rsid w:val="00562AF4"/>
    <w:rsid w:val="00575A76"/>
    <w:rsid w:val="005807D9"/>
    <w:rsid w:val="005916C4"/>
    <w:rsid w:val="00592181"/>
    <w:rsid w:val="00596648"/>
    <w:rsid w:val="005A0331"/>
    <w:rsid w:val="005C423D"/>
    <w:rsid w:val="005D7A3E"/>
    <w:rsid w:val="005F6D63"/>
    <w:rsid w:val="005F7743"/>
    <w:rsid w:val="00603382"/>
    <w:rsid w:val="00617FB9"/>
    <w:rsid w:val="00624F58"/>
    <w:rsid w:val="006344C9"/>
    <w:rsid w:val="0064522C"/>
    <w:rsid w:val="006455F6"/>
    <w:rsid w:val="00653155"/>
    <w:rsid w:val="00655DAC"/>
    <w:rsid w:val="0066385A"/>
    <w:rsid w:val="006714E4"/>
    <w:rsid w:val="00686551"/>
    <w:rsid w:val="0069087D"/>
    <w:rsid w:val="0069380B"/>
    <w:rsid w:val="006974C9"/>
    <w:rsid w:val="00697EC9"/>
    <w:rsid w:val="006A3ED7"/>
    <w:rsid w:val="006B5DE1"/>
    <w:rsid w:val="006D05C3"/>
    <w:rsid w:val="006E0A2D"/>
    <w:rsid w:val="006E57CE"/>
    <w:rsid w:val="006F2AC1"/>
    <w:rsid w:val="007023B1"/>
    <w:rsid w:val="00703209"/>
    <w:rsid w:val="00705BB4"/>
    <w:rsid w:val="00707112"/>
    <w:rsid w:val="00710B1A"/>
    <w:rsid w:val="00712DE2"/>
    <w:rsid w:val="007349A5"/>
    <w:rsid w:val="00734BF2"/>
    <w:rsid w:val="00747F51"/>
    <w:rsid w:val="00752F1C"/>
    <w:rsid w:val="007555C2"/>
    <w:rsid w:val="00756AFC"/>
    <w:rsid w:val="00761DF5"/>
    <w:rsid w:val="00767458"/>
    <w:rsid w:val="00776748"/>
    <w:rsid w:val="007808B5"/>
    <w:rsid w:val="00782304"/>
    <w:rsid w:val="0079209E"/>
    <w:rsid w:val="0079481C"/>
    <w:rsid w:val="00796139"/>
    <w:rsid w:val="007B07C9"/>
    <w:rsid w:val="007B1774"/>
    <w:rsid w:val="007C6BF4"/>
    <w:rsid w:val="007D5D97"/>
    <w:rsid w:val="007F4AFA"/>
    <w:rsid w:val="007F714A"/>
    <w:rsid w:val="00802C5D"/>
    <w:rsid w:val="0080307D"/>
    <w:rsid w:val="00806B40"/>
    <w:rsid w:val="0081635F"/>
    <w:rsid w:val="008174F5"/>
    <w:rsid w:val="00820AF2"/>
    <w:rsid w:val="008275CB"/>
    <w:rsid w:val="00850907"/>
    <w:rsid w:val="008519CB"/>
    <w:rsid w:val="008701B2"/>
    <w:rsid w:val="00873BD4"/>
    <w:rsid w:val="00873CC2"/>
    <w:rsid w:val="0088158C"/>
    <w:rsid w:val="00886A5B"/>
    <w:rsid w:val="00887C51"/>
    <w:rsid w:val="008957CB"/>
    <w:rsid w:val="008B57E2"/>
    <w:rsid w:val="008B7E60"/>
    <w:rsid w:val="008D79AD"/>
    <w:rsid w:val="008F1561"/>
    <w:rsid w:val="00901D0A"/>
    <w:rsid w:val="00922291"/>
    <w:rsid w:val="009237B9"/>
    <w:rsid w:val="00931BC4"/>
    <w:rsid w:val="0094441D"/>
    <w:rsid w:val="009544EA"/>
    <w:rsid w:val="00976F23"/>
    <w:rsid w:val="0099232D"/>
    <w:rsid w:val="0099463B"/>
    <w:rsid w:val="0099522B"/>
    <w:rsid w:val="009971D7"/>
    <w:rsid w:val="009A33A2"/>
    <w:rsid w:val="009A3AF8"/>
    <w:rsid w:val="009C594E"/>
    <w:rsid w:val="009C60AC"/>
    <w:rsid w:val="009D6F9D"/>
    <w:rsid w:val="009E2042"/>
    <w:rsid w:val="009E2261"/>
    <w:rsid w:val="009E36B9"/>
    <w:rsid w:val="009F55EC"/>
    <w:rsid w:val="00A16A65"/>
    <w:rsid w:val="00A25681"/>
    <w:rsid w:val="00A303C3"/>
    <w:rsid w:val="00A323F6"/>
    <w:rsid w:val="00A4007A"/>
    <w:rsid w:val="00A470A9"/>
    <w:rsid w:val="00A47EBB"/>
    <w:rsid w:val="00A524C8"/>
    <w:rsid w:val="00A60EC6"/>
    <w:rsid w:val="00A77032"/>
    <w:rsid w:val="00A774E4"/>
    <w:rsid w:val="00A858D9"/>
    <w:rsid w:val="00A87C5A"/>
    <w:rsid w:val="00AA465F"/>
    <w:rsid w:val="00AC1DE4"/>
    <w:rsid w:val="00AE1D56"/>
    <w:rsid w:val="00AE2793"/>
    <w:rsid w:val="00AF6C15"/>
    <w:rsid w:val="00B04F04"/>
    <w:rsid w:val="00B05012"/>
    <w:rsid w:val="00B068B4"/>
    <w:rsid w:val="00B110F2"/>
    <w:rsid w:val="00B13A7D"/>
    <w:rsid w:val="00B212A2"/>
    <w:rsid w:val="00B24A0B"/>
    <w:rsid w:val="00B27D2C"/>
    <w:rsid w:val="00B3407D"/>
    <w:rsid w:val="00B44023"/>
    <w:rsid w:val="00B47887"/>
    <w:rsid w:val="00B500C7"/>
    <w:rsid w:val="00B54121"/>
    <w:rsid w:val="00B60BCE"/>
    <w:rsid w:val="00B838F5"/>
    <w:rsid w:val="00B844D1"/>
    <w:rsid w:val="00B9754A"/>
    <w:rsid w:val="00BB1219"/>
    <w:rsid w:val="00BC18C4"/>
    <w:rsid w:val="00BD5E0C"/>
    <w:rsid w:val="00BD6130"/>
    <w:rsid w:val="00BE2680"/>
    <w:rsid w:val="00BE6165"/>
    <w:rsid w:val="00BF194C"/>
    <w:rsid w:val="00BF20AE"/>
    <w:rsid w:val="00BF5C1F"/>
    <w:rsid w:val="00C13E76"/>
    <w:rsid w:val="00C1645D"/>
    <w:rsid w:val="00C23C17"/>
    <w:rsid w:val="00C3163A"/>
    <w:rsid w:val="00C325F1"/>
    <w:rsid w:val="00C34780"/>
    <w:rsid w:val="00C354E1"/>
    <w:rsid w:val="00C54485"/>
    <w:rsid w:val="00C61137"/>
    <w:rsid w:val="00C63DA0"/>
    <w:rsid w:val="00C91636"/>
    <w:rsid w:val="00C9192A"/>
    <w:rsid w:val="00CA4BB0"/>
    <w:rsid w:val="00CB0991"/>
    <w:rsid w:val="00CD332A"/>
    <w:rsid w:val="00CE706D"/>
    <w:rsid w:val="00CE78A6"/>
    <w:rsid w:val="00CF33CF"/>
    <w:rsid w:val="00CF4133"/>
    <w:rsid w:val="00D06FCB"/>
    <w:rsid w:val="00D116A7"/>
    <w:rsid w:val="00D17EC0"/>
    <w:rsid w:val="00D22A6E"/>
    <w:rsid w:val="00D24BFD"/>
    <w:rsid w:val="00D34AA4"/>
    <w:rsid w:val="00D46D9A"/>
    <w:rsid w:val="00D47090"/>
    <w:rsid w:val="00D630DA"/>
    <w:rsid w:val="00D636B4"/>
    <w:rsid w:val="00D65DF8"/>
    <w:rsid w:val="00D71EA8"/>
    <w:rsid w:val="00D743D9"/>
    <w:rsid w:val="00D74852"/>
    <w:rsid w:val="00D83C4F"/>
    <w:rsid w:val="00D845F1"/>
    <w:rsid w:val="00D868A1"/>
    <w:rsid w:val="00D878E3"/>
    <w:rsid w:val="00D97EE2"/>
    <w:rsid w:val="00DD3E98"/>
    <w:rsid w:val="00DE5B24"/>
    <w:rsid w:val="00DF2470"/>
    <w:rsid w:val="00DF4682"/>
    <w:rsid w:val="00E010DF"/>
    <w:rsid w:val="00E03AE3"/>
    <w:rsid w:val="00E07C4C"/>
    <w:rsid w:val="00E1069A"/>
    <w:rsid w:val="00E13367"/>
    <w:rsid w:val="00E2543E"/>
    <w:rsid w:val="00E27CFD"/>
    <w:rsid w:val="00E35E9E"/>
    <w:rsid w:val="00E414D0"/>
    <w:rsid w:val="00E418A6"/>
    <w:rsid w:val="00E547BD"/>
    <w:rsid w:val="00E62114"/>
    <w:rsid w:val="00E75C8A"/>
    <w:rsid w:val="00E76E4F"/>
    <w:rsid w:val="00E9455B"/>
    <w:rsid w:val="00E95DAF"/>
    <w:rsid w:val="00EA1AA6"/>
    <w:rsid w:val="00EA20D8"/>
    <w:rsid w:val="00EA4E7E"/>
    <w:rsid w:val="00EB625D"/>
    <w:rsid w:val="00EC37E6"/>
    <w:rsid w:val="00EC59D9"/>
    <w:rsid w:val="00ED008A"/>
    <w:rsid w:val="00EE4D0A"/>
    <w:rsid w:val="00EF1C59"/>
    <w:rsid w:val="00EF2A41"/>
    <w:rsid w:val="00F114E0"/>
    <w:rsid w:val="00F2427F"/>
    <w:rsid w:val="00F51FC8"/>
    <w:rsid w:val="00F531E8"/>
    <w:rsid w:val="00F54DFD"/>
    <w:rsid w:val="00F60E8A"/>
    <w:rsid w:val="00F611F8"/>
    <w:rsid w:val="00F8168E"/>
    <w:rsid w:val="00F87F3B"/>
    <w:rsid w:val="00FA63E8"/>
    <w:rsid w:val="00FB30E5"/>
    <w:rsid w:val="00FB35A0"/>
    <w:rsid w:val="00FB79AB"/>
    <w:rsid w:val="00FD19E9"/>
    <w:rsid w:val="00FE31CE"/>
    <w:rsid w:val="00FE7811"/>
    <w:rsid w:val="00FF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DAC"/>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655DAC"/>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655DAC"/>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655DAC"/>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655DA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655DAC"/>
    <w:pPr>
      <w:keepNext/>
      <w:framePr w:wrap="around" w:vAnchor="text" w:hAnchor="text" w:y="1"/>
      <w:numPr>
        <w:ilvl w:val="4"/>
        <w:numId w:val="15"/>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655DAC"/>
    <w:pPr>
      <w:keepNext/>
      <w:numPr>
        <w:ilvl w:val="5"/>
        <w:numId w:val="15"/>
      </w:numPr>
      <w:spacing w:after="120" w:line="240" w:lineRule="auto"/>
      <w:outlineLvl w:val="5"/>
    </w:pPr>
  </w:style>
  <w:style w:type="paragraph" w:styleId="Heading7">
    <w:name w:val="heading 7"/>
    <w:basedOn w:val="Normal"/>
    <w:next w:val="Normal"/>
    <w:link w:val="Heading7Char"/>
    <w:semiHidden/>
    <w:qFormat/>
    <w:rsid w:val="00655DAC"/>
    <w:pPr>
      <w:keepNext/>
      <w:numPr>
        <w:ilvl w:val="6"/>
        <w:numId w:val="15"/>
      </w:numPr>
      <w:spacing w:after="120" w:line="240" w:lineRule="auto"/>
      <w:outlineLvl w:val="6"/>
    </w:pPr>
  </w:style>
  <w:style w:type="paragraph" w:styleId="Heading8">
    <w:name w:val="heading 8"/>
    <w:basedOn w:val="Normal"/>
    <w:next w:val="Normal"/>
    <w:link w:val="Heading8Char"/>
    <w:semiHidden/>
    <w:qFormat/>
    <w:rsid w:val="00655DAC"/>
    <w:pPr>
      <w:keepNext/>
      <w:numPr>
        <w:ilvl w:val="7"/>
        <w:numId w:val="15"/>
      </w:numPr>
      <w:spacing w:after="120" w:line="240" w:lineRule="auto"/>
      <w:outlineLvl w:val="7"/>
    </w:pPr>
  </w:style>
  <w:style w:type="paragraph" w:styleId="Heading9">
    <w:name w:val="heading 9"/>
    <w:aliases w:val="Heading 9 (business proposal only)"/>
    <w:basedOn w:val="Normal"/>
    <w:next w:val="Normal"/>
    <w:link w:val="Heading9Char"/>
    <w:semiHidden/>
    <w:rsid w:val="00655DAC"/>
    <w:pPr>
      <w:keepNext/>
      <w:numPr>
        <w:ilvl w:val="8"/>
        <w:numId w:val="1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DAC"/>
    <w:pPr>
      <w:ind w:left="720"/>
      <w:contextualSpacing/>
    </w:pPr>
  </w:style>
  <w:style w:type="table" w:styleId="TableGrid">
    <w:name w:val="Table Grid"/>
    <w:basedOn w:val="TableNormal"/>
    <w:uiPriority w:val="59"/>
    <w:rsid w:val="00655DAC"/>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3C4F"/>
    <w:pPr>
      <w:widowControl w:val="0"/>
      <w:autoSpaceDE w:val="0"/>
      <w:autoSpaceDN w:val="0"/>
      <w:adjustRightInd w:val="0"/>
      <w:spacing w:line="240" w:lineRule="auto"/>
      <w:ind w:left="720"/>
    </w:pPr>
    <w:rPr>
      <w:rFonts w:ascii="Baskerville Old Face" w:hAnsi="Baskerville Old Face"/>
      <w:szCs w:val="24"/>
    </w:rPr>
  </w:style>
  <w:style w:type="character" w:customStyle="1" w:styleId="BodyTextIndentChar">
    <w:name w:val="Body Text Indent Char"/>
    <w:basedOn w:val="DefaultParagraphFont"/>
    <w:link w:val="BodyTextIndent"/>
    <w:rsid w:val="00D83C4F"/>
    <w:rPr>
      <w:rFonts w:ascii="Baskerville Old Face" w:eastAsia="Times New Roman" w:hAnsi="Baskerville Old Face" w:cs="Times New Roman"/>
      <w:sz w:val="24"/>
      <w:szCs w:val="24"/>
    </w:rPr>
  </w:style>
  <w:style w:type="character" w:styleId="Hyperlink">
    <w:name w:val="Hyperlink"/>
    <w:basedOn w:val="DefaultParagraphFont"/>
    <w:rsid w:val="00D83C4F"/>
    <w:rPr>
      <w:color w:val="0000FF"/>
      <w:u w:val="single"/>
    </w:rPr>
  </w:style>
  <w:style w:type="character" w:customStyle="1" w:styleId="Heading1Char">
    <w:name w:val="Heading 1 Char"/>
    <w:basedOn w:val="DefaultParagraphFont"/>
    <w:link w:val="Heading1"/>
    <w:rsid w:val="00655DAC"/>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655DAC"/>
    <w:rPr>
      <w:rFonts w:ascii="Arial Black" w:eastAsia="Times New Roman" w:hAnsi="Arial Black" w:cs="Times New Roman"/>
      <w:caps/>
      <w:szCs w:val="20"/>
    </w:rPr>
  </w:style>
  <w:style w:type="character" w:customStyle="1" w:styleId="Heading3Char">
    <w:name w:val="Heading 3 Char"/>
    <w:basedOn w:val="DefaultParagraphFont"/>
    <w:link w:val="Heading3"/>
    <w:rsid w:val="00655DAC"/>
    <w:rPr>
      <w:rFonts w:ascii="Arial Black" w:eastAsia="Times New Roman" w:hAnsi="Arial Black" w:cs="Times New Roman"/>
      <w:szCs w:val="20"/>
    </w:rPr>
  </w:style>
  <w:style w:type="character" w:customStyle="1" w:styleId="Heading4Char">
    <w:name w:val="Heading 4 Char"/>
    <w:basedOn w:val="DefaultParagraphFont"/>
    <w:link w:val="Heading4"/>
    <w:semiHidden/>
    <w:rsid w:val="00655DA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655DAC"/>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655DAC"/>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655DAC"/>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655DA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655DAC"/>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655DAC"/>
    <w:pPr>
      <w:ind w:left="432" w:hanging="432"/>
      <w:outlineLvl w:val="1"/>
    </w:pPr>
  </w:style>
  <w:style w:type="character" w:customStyle="1" w:styleId="H2ChapterChar">
    <w:name w:val="H2_Chapter Char"/>
    <w:basedOn w:val="Heading1Char"/>
    <w:link w:val="H2Chapter"/>
    <w:rsid w:val="00655DAC"/>
    <w:rPr>
      <w:rFonts w:ascii="Arial Black" w:eastAsia="Times New Roman" w:hAnsi="Arial Black" w:cs="Times New Roman"/>
      <w:caps/>
      <w:szCs w:val="20"/>
    </w:rPr>
  </w:style>
  <w:style w:type="paragraph" w:customStyle="1" w:styleId="H3Alpha">
    <w:name w:val="H3_Alpha"/>
    <w:basedOn w:val="Heading2"/>
    <w:next w:val="NormalSS"/>
    <w:link w:val="H3AlphaChar"/>
    <w:qFormat/>
    <w:rsid w:val="000E5937"/>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3AlphaChar">
    <w:name w:val="H3_Alpha Char"/>
    <w:basedOn w:val="Heading2Char"/>
    <w:link w:val="H3Alpha"/>
    <w:rsid w:val="000E5937"/>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655DAC"/>
    <w:pPr>
      <w:outlineLvl w:val="9"/>
    </w:pPr>
  </w:style>
  <w:style w:type="character" w:customStyle="1" w:styleId="H4NumberNoTOCChar">
    <w:name w:val="H4_Number_No TOC Char"/>
    <w:basedOn w:val="H4NumberChar"/>
    <w:link w:val="H4NumberNoTOC"/>
    <w:rsid w:val="00655DAC"/>
    <w:rPr>
      <w:rFonts w:ascii="Times New Roman" w:eastAsia="Times New Roman" w:hAnsi="Times New Roman" w:cs="Times New Roman"/>
      <w:b/>
      <w:sz w:val="24"/>
      <w:szCs w:val="20"/>
    </w:rPr>
  </w:style>
  <w:style w:type="paragraph" w:customStyle="1" w:styleId="NormalSS">
    <w:name w:val="NormalSS"/>
    <w:basedOn w:val="Normal"/>
    <w:link w:val="NormalSSChar"/>
    <w:qFormat/>
    <w:rsid w:val="00655DAC"/>
    <w:pPr>
      <w:spacing w:after="240" w:line="240" w:lineRule="auto"/>
    </w:pPr>
  </w:style>
  <w:style w:type="paragraph" w:customStyle="1" w:styleId="References">
    <w:name w:val="References"/>
    <w:basedOn w:val="Normal"/>
    <w:qFormat/>
    <w:rsid w:val="00655DAC"/>
    <w:pPr>
      <w:keepLines/>
      <w:spacing w:after="240" w:line="240" w:lineRule="auto"/>
      <w:ind w:left="432" w:hanging="432"/>
    </w:pPr>
  </w:style>
  <w:style w:type="paragraph" w:customStyle="1" w:styleId="H3AlphaNoTOC">
    <w:name w:val="H3_Alpha_No TOC"/>
    <w:basedOn w:val="H3Alpha"/>
    <w:next w:val="NormalSS"/>
    <w:link w:val="H3AlphaNoTOCChar"/>
    <w:qFormat/>
    <w:rsid w:val="00655DAC"/>
    <w:pPr>
      <w:outlineLvl w:val="9"/>
    </w:pPr>
  </w:style>
  <w:style w:type="paragraph" w:customStyle="1" w:styleId="H4Number">
    <w:name w:val="H4_Number"/>
    <w:basedOn w:val="Heading3"/>
    <w:next w:val="NormalSS"/>
    <w:link w:val="H4NumberChar"/>
    <w:qFormat/>
    <w:rsid w:val="00655DAC"/>
    <w:pPr>
      <w:outlineLvl w:val="3"/>
    </w:pPr>
    <w:rPr>
      <w:rFonts w:ascii="Times New Roman" w:hAnsi="Times New Roman"/>
      <w:b/>
      <w:sz w:val="24"/>
    </w:rPr>
  </w:style>
  <w:style w:type="character" w:customStyle="1" w:styleId="H3AlphaNoTOCChar">
    <w:name w:val="H3_Alpha_No TOC Char"/>
    <w:basedOn w:val="H3AlphaChar"/>
    <w:link w:val="H3AlphaNoTOC"/>
    <w:rsid w:val="00655DAC"/>
    <w:rPr>
      <w:rFonts w:ascii="Arial Black" w:eastAsia="Times New Roman" w:hAnsi="Arial Black" w:cs="Times New Roman"/>
      <w:caps w:val="0"/>
      <w:szCs w:val="20"/>
    </w:rPr>
  </w:style>
  <w:style w:type="character" w:customStyle="1" w:styleId="H4NumberChar">
    <w:name w:val="H4_Number Char"/>
    <w:basedOn w:val="Heading3Char"/>
    <w:link w:val="H4Number"/>
    <w:rsid w:val="00655DAC"/>
    <w:rPr>
      <w:rFonts w:ascii="Times New Roman" w:eastAsia="Times New Roman" w:hAnsi="Times New Roman" w:cs="Times New Roman"/>
      <w:b/>
      <w:sz w:val="24"/>
      <w:szCs w:val="20"/>
    </w:rPr>
  </w:style>
  <w:style w:type="character" w:customStyle="1" w:styleId="NormalSSChar">
    <w:name w:val="NormalSS Char"/>
    <w:link w:val="NormalSS"/>
    <w:locked/>
    <w:rsid w:val="00380EB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838F5"/>
    <w:rPr>
      <w:sz w:val="16"/>
      <w:szCs w:val="16"/>
    </w:rPr>
  </w:style>
  <w:style w:type="paragraph" w:styleId="CommentText">
    <w:name w:val="annotation text"/>
    <w:basedOn w:val="Normal"/>
    <w:link w:val="CommentTextChar"/>
    <w:uiPriority w:val="99"/>
    <w:semiHidden/>
    <w:unhideWhenUsed/>
    <w:rsid w:val="00B838F5"/>
    <w:pPr>
      <w:spacing w:line="240" w:lineRule="auto"/>
    </w:pPr>
    <w:rPr>
      <w:sz w:val="20"/>
    </w:rPr>
  </w:style>
  <w:style w:type="character" w:customStyle="1" w:styleId="CommentTextChar">
    <w:name w:val="Comment Text Char"/>
    <w:basedOn w:val="DefaultParagraphFont"/>
    <w:link w:val="CommentText"/>
    <w:uiPriority w:val="99"/>
    <w:semiHidden/>
    <w:rsid w:val="00B838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838F5"/>
    <w:rPr>
      <w:b/>
      <w:bCs/>
    </w:rPr>
  </w:style>
  <w:style w:type="character" w:customStyle="1" w:styleId="CommentSubjectChar">
    <w:name w:val="Comment Subject Char"/>
    <w:basedOn w:val="CommentTextChar"/>
    <w:link w:val="CommentSubject"/>
    <w:uiPriority w:val="99"/>
    <w:semiHidden/>
    <w:rsid w:val="00B838F5"/>
    <w:rPr>
      <w:rFonts w:ascii="Times New Roman" w:hAnsi="Times New Roman"/>
      <w:b/>
      <w:bCs/>
      <w:sz w:val="20"/>
      <w:szCs w:val="20"/>
    </w:rPr>
  </w:style>
  <w:style w:type="paragraph" w:styleId="BalloonText">
    <w:name w:val="Balloon Text"/>
    <w:basedOn w:val="Normal"/>
    <w:link w:val="BalloonTextChar"/>
    <w:uiPriority w:val="99"/>
    <w:semiHidden/>
    <w:unhideWhenUsed/>
    <w:rsid w:val="00655D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DAC"/>
    <w:rPr>
      <w:rFonts w:ascii="Tahoma" w:eastAsia="Times New Roman" w:hAnsi="Tahoma" w:cs="Tahoma"/>
      <w:sz w:val="16"/>
      <w:szCs w:val="16"/>
    </w:rPr>
  </w:style>
  <w:style w:type="paragraph" w:customStyle="1" w:styleId="MarkforTableHeading">
    <w:name w:val="Mark for Table Heading"/>
    <w:basedOn w:val="Normal"/>
    <w:next w:val="Normal"/>
    <w:qFormat/>
    <w:rsid w:val="00CA4BB0"/>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TableHeaderLeft"/>
    <w:qFormat/>
    <w:rsid w:val="00655DAC"/>
    <w:pPr>
      <w:jc w:val="center"/>
    </w:pPr>
  </w:style>
  <w:style w:type="paragraph" w:customStyle="1" w:styleId="TableHeaderLeft">
    <w:name w:val="Table Header Left"/>
    <w:basedOn w:val="TableText"/>
    <w:next w:val="TableText"/>
    <w:qFormat/>
    <w:rsid w:val="00655DAC"/>
    <w:pPr>
      <w:spacing w:before="120" w:after="60"/>
    </w:pPr>
    <w:rPr>
      <w:b/>
      <w:color w:val="FFFFFF" w:themeColor="background1"/>
    </w:rPr>
  </w:style>
  <w:style w:type="paragraph" w:customStyle="1" w:styleId="TableText">
    <w:name w:val="Table Text"/>
    <w:basedOn w:val="Normal"/>
    <w:qFormat/>
    <w:rsid w:val="00655DAC"/>
    <w:pPr>
      <w:spacing w:line="240" w:lineRule="auto"/>
      <w:ind w:firstLine="0"/>
    </w:pPr>
    <w:rPr>
      <w:rFonts w:ascii="Arial" w:hAnsi="Arial"/>
      <w:sz w:val="18"/>
    </w:rPr>
  </w:style>
  <w:style w:type="table" w:customStyle="1" w:styleId="LightList1">
    <w:name w:val="Light List1"/>
    <w:basedOn w:val="TableNormal"/>
    <w:next w:val="LightList"/>
    <w:uiPriority w:val="61"/>
    <w:locked/>
    <w:rsid w:val="00425970"/>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655DA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Title">
    <w:name w:val="Mark for Table Title"/>
    <w:basedOn w:val="Normal"/>
    <w:next w:val="NormalSS"/>
    <w:qFormat/>
    <w:rsid w:val="00655DAC"/>
    <w:pPr>
      <w:keepNext/>
      <w:spacing w:after="60" w:line="240" w:lineRule="auto"/>
      <w:ind w:firstLine="0"/>
    </w:pPr>
    <w:rPr>
      <w:rFonts w:ascii="Arial Black" w:hAnsi="Arial Black"/>
      <w:sz w:val="22"/>
    </w:rPr>
  </w:style>
  <w:style w:type="paragraph" w:customStyle="1" w:styleId="AcknowledgmentnoTOC">
    <w:name w:val="Acknowledgment no TOC"/>
    <w:basedOn w:val="Normal"/>
    <w:next w:val="Normal"/>
    <w:qFormat/>
    <w:rsid w:val="00655DAC"/>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655DAC"/>
    <w:pPr>
      <w:numPr>
        <w:numId w:val="9"/>
      </w:numPr>
      <w:tabs>
        <w:tab w:val="left" w:pos="432"/>
      </w:tabs>
      <w:spacing w:after="120" w:line="240" w:lineRule="auto"/>
    </w:pPr>
  </w:style>
  <w:style w:type="paragraph" w:customStyle="1" w:styleId="BulletLastSS">
    <w:name w:val="Bullet (Last SS)"/>
    <w:basedOn w:val="Bullet"/>
    <w:next w:val="NormalSS"/>
    <w:qFormat/>
    <w:rsid w:val="00655DAC"/>
    <w:pPr>
      <w:numPr>
        <w:numId w:val="10"/>
      </w:numPr>
      <w:spacing w:after="240"/>
      <w:ind w:left="432" w:hanging="432"/>
    </w:pPr>
  </w:style>
  <w:style w:type="paragraph" w:customStyle="1" w:styleId="BulletLastDS">
    <w:name w:val="Bullet (Last DS)"/>
    <w:basedOn w:val="Bullet"/>
    <w:next w:val="Normal"/>
    <w:qFormat/>
    <w:rsid w:val="00655DAC"/>
    <w:pPr>
      <w:numPr>
        <w:numId w:val="11"/>
      </w:numPr>
      <w:spacing w:after="320"/>
      <w:ind w:left="432" w:hanging="432"/>
    </w:pPr>
  </w:style>
  <w:style w:type="paragraph" w:customStyle="1" w:styleId="Center">
    <w:name w:val="Center"/>
    <w:basedOn w:val="Normal"/>
    <w:semiHidden/>
    <w:unhideWhenUsed/>
    <w:rsid w:val="00655DAC"/>
    <w:pPr>
      <w:ind w:firstLine="0"/>
      <w:jc w:val="center"/>
    </w:pPr>
  </w:style>
  <w:style w:type="paragraph" w:customStyle="1" w:styleId="Dash">
    <w:name w:val="Dash"/>
    <w:basedOn w:val="Normal"/>
    <w:qFormat/>
    <w:rsid w:val="00655DAC"/>
    <w:pPr>
      <w:numPr>
        <w:numId w:val="12"/>
      </w:numPr>
      <w:tabs>
        <w:tab w:val="left" w:pos="288"/>
      </w:tabs>
      <w:spacing w:after="120" w:line="240" w:lineRule="auto"/>
    </w:pPr>
  </w:style>
  <w:style w:type="paragraph" w:customStyle="1" w:styleId="DashLASTSS">
    <w:name w:val="Dash (LAST SS)"/>
    <w:basedOn w:val="Dash"/>
    <w:next w:val="NormalSS"/>
    <w:qFormat/>
    <w:rsid w:val="00655DAC"/>
    <w:pPr>
      <w:numPr>
        <w:numId w:val="13"/>
      </w:numPr>
      <w:spacing w:after="240"/>
    </w:pPr>
  </w:style>
  <w:style w:type="paragraph" w:customStyle="1" w:styleId="DashLASTDS">
    <w:name w:val="Dash (LAST DS)"/>
    <w:basedOn w:val="Dash"/>
    <w:next w:val="Normal"/>
    <w:qFormat/>
    <w:rsid w:val="00655DAC"/>
    <w:pPr>
      <w:spacing w:after="320"/>
    </w:pPr>
    <w:rPr>
      <w:szCs w:val="24"/>
    </w:rPr>
  </w:style>
  <w:style w:type="paragraph" w:styleId="Footer">
    <w:name w:val="footer"/>
    <w:basedOn w:val="Normal"/>
    <w:link w:val="FooterChar"/>
    <w:qFormat/>
    <w:rsid w:val="00655DAC"/>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55DAC"/>
    <w:rPr>
      <w:rFonts w:ascii="Arial" w:eastAsia="Times New Roman" w:hAnsi="Arial" w:cs="Times New Roman"/>
      <w:sz w:val="20"/>
      <w:szCs w:val="20"/>
    </w:rPr>
  </w:style>
  <w:style w:type="paragraph" w:styleId="DocumentMap">
    <w:name w:val="Document Map"/>
    <w:basedOn w:val="Normal"/>
    <w:link w:val="DocumentMapChar"/>
    <w:semiHidden/>
    <w:unhideWhenUsed/>
    <w:rsid w:val="00655DAC"/>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655DAC"/>
    <w:rPr>
      <w:rFonts w:asciiTheme="majorHAnsi" w:eastAsia="Times New Roman" w:hAnsiTheme="majorHAnsi" w:cs="Times New Roman"/>
      <w:sz w:val="24"/>
      <w:szCs w:val="20"/>
    </w:rPr>
  </w:style>
  <w:style w:type="character" w:styleId="FootnoteReference">
    <w:name w:val="footnote reference"/>
    <w:basedOn w:val="DefaultParagraphFont"/>
    <w:qFormat/>
    <w:rsid w:val="00655DAC"/>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655DAC"/>
    <w:pPr>
      <w:spacing w:after="120" w:line="240" w:lineRule="auto"/>
      <w:ind w:firstLine="0"/>
    </w:pPr>
    <w:rPr>
      <w:sz w:val="20"/>
    </w:rPr>
  </w:style>
  <w:style w:type="character" w:customStyle="1" w:styleId="FootnoteTextChar">
    <w:name w:val="Footnote Text Char"/>
    <w:basedOn w:val="DefaultParagraphFont"/>
    <w:link w:val="FootnoteText"/>
    <w:rsid w:val="00655DAC"/>
    <w:rPr>
      <w:rFonts w:ascii="Times New Roman" w:eastAsia="Times New Roman" w:hAnsi="Times New Roman" w:cs="Times New Roman"/>
      <w:sz w:val="20"/>
      <w:szCs w:val="20"/>
    </w:rPr>
  </w:style>
  <w:style w:type="paragraph" w:styleId="Header">
    <w:name w:val="header"/>
    <w:basedOn w:val="Normal"/>
    <w:link w:val="HeaderChar"/>
    <w:qFormat/>
    <w:rsid w:val="00655DAC"/>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55DAC"/>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655DAC"/>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655DAC"/>
    <w:pPr>
      <w:outlineLvl w:val="9"/>
    </w:pPr>
  </w:style>
  <w:style w:type="paragraph" w:customStyle="1" w:styleId="MarkforAppendixTitle">
    <w:name w:val="Mark for Appendix Title"/>
    <w:basedOn w:val="Normal"/>
    <w:next w:val="Normal"/>
    <w:qFormat/>
    <w:rsid w:val="00655D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655D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655DAC"/>
  </w:style>
  <w:style w:type="paragraph" w:customStyle="1" w:styleId="MarkforFigureTitle">
    <w:name w:val="Mark for Figure Title"/>
    <w:basedOn w:val="MarkforTableTitle"/>
    <w:next w:val="NormalSS"/>
    <w:qFormat/>
    <w:rsid w:val="00655DAC"/>
  </w:style>
  <w:style w:type="numbering" w:customStyle="1" w:styleId="MPROutline">
    <w:name w:val="MPROutline"/>
    <w:uiPriority w:val="99"/>
    <w:locked/>
    <w:rsid w:val="00655DAC"/>
    <w:pPr>
      <w:numPr>
        <w:numId w:val="14"/>
      </w:numPr>
    </w:pPr>
  </w:style>
  <w:style w:type="character" w:customStyle="1" w:styleId="MTEquationSection">
    <w:name w:val="MTEquationSection"/>
    <w:basedOn w:val="DefaultParagraphFont"/>
    <w:rsid w:val="00655DAC"/>
    <w:rPr>
      <w:rFonts w:ascii="Arial" w:hAnsi="Arial"/>
      <w:vanish/>
      <w:color w:val="auto"/>
      <w:sz w:val="18"/>
    </w:rPr>
  </w:style>
  <w:style w:type="paragraph" w:customStyle="1" w:styleId="Normalcontinued">
    <w:name w:val="Normal (continued)"/>
    <w:basedOn w:val="Normal"/>
    <w:next w:val="Normal"/>
    <w:qFormat/>
    <w:rsid w:val="00655DAC"/>
    <w:pPr>
      <w:ind w:firstLine="0"/>
    </w:pPr>
  </w:style>
  <w:style w:type="paragraph" w:customStyle="1" w:styleId="NormalSScontinued">
    <w:name w:val="NormalSS (continued)"/>
    <w:basedOn w:val="NormalSS"/>
    <w:next w:val="NormalSS"/>
    <w:qFormat/>
    <w:rsid w:val="00655DAC"/>
    <w:pPr>
      <w:ind w:firstLine="0"/>
    </w:pPr>
  </w:style>
  <w:style w:type="paragraph" w:customStyle="1" w:styleId="NumberedBullet">
    <w:name w:val="Numbered Bullet"/>
    <w:basedOn w:val="Normal"/>
    <w:link w:val="NumberedBulletChar"/>
    <w:qFormat/>
    <w:rsid w:val="00655DAC"/>
    <w:pPr>
      <w:tabs>
        <w:tab w:val="left" w:pos="432"/>
      </w:tabs>
      <w:spacing w:after="120" w:line="240" w:lineRule="auto"/>
      <w:ind w:left="432" w:hanging="432"/>
    </w:pPr>
  </w:style>
  <w:style w:type="paragraph" w:customStyle="1" w:styleId="Outline">
    <w:name w:val="Outline"/>
    <w:basedOn w:val="Normal"/>
    <w:semiHidden/>
    <w:unhideWhenUsed/>
    <w:qFormat/>
    <w:rsid w:val="00655DAC"/>
    <w:pPr>
      <w:spacing w:after="240" w:line="240" w:lineRule="auto"/>
      <w:ind w:left="720" w:hanging="720"/>
    </w:pPr>
  </w:style>
  <w:style w:type="character" w:styleId="PageNumber">
    <w:name w:val="page number"/>
    <w:basedOn w:val="DefaultParagraphFont"/>
    <w:semiHidden/>
    <w:qFormat/>
    <w:rsid w:val="00655DAC"/>
    <w:rPr>
      <w:rFonts w:ascii="Arial" w:hAnsi="Arial"/>
      <w:color w:val="auto"/>
      <w:sz w:val="20"/>
      <w:bdr w:val="none" w:sz="0" w:space="0" w:color="auto"/>
    </w:rPr>
  </w:style>
  <w:style w:type="paragraph" w:customStyle="1" w:styleId="TableFootnoteCaption">
    <w:name w:val="Table Footnote_Caption"/>
    <w:qFormat/>
    <w:rsid w:val="00655DAC"/>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655DAC"/>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655DAC"/>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655DAC"/>
  </w:style>
  <w:style w:type="paragraph" w:customStyle="1" w:styleId="Tabletext8">
    <w:name w:val="Table text 8"/>
    <w:basedOn w:val="TableText"/>
    <w:qFormat/>
    <w:rsid w:val="00655DAC"/>
    <w:rPr>
      <w:snapToGrid w:val="0"/>
      <w:sz w:val="16"/>
      <w:szCs w:val="16"/>
    </w:rPr>
  </w:style>
  <w:style w:type="paragraph" w:customStyle="1" w:styleId="TableSpace">
    <w:name w:val="TableSpace"/>
    <w:basedOn w:val="TableSourceCaption"/>
    <w:next w:val="TableFootnoteCaption"/>
    <w:semiHidden/>
    <w:qFormat/>
    <w:rsid w:val="00655DAC"/>
  </w:style>
  <w:style w:type="paragraph" w:styleId="Title">
    <w:name w:val="Title"/>
    <w:basedOn w:val="Normal"/>
    <w:next w:val="Normal"/>
    <w:link w:val="TitleChar"/>
    <w:rsid w:val="00655DAC"/>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55DAC"/>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655DAC"/>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655DAC"/>
    <w:pPr>
      <w:spacing w:before="0" w:after="160"/>
    </w:pPr>
  </w:style>
  <w:style w:type="paragraph" w:customStyle="1" w:styleId="TitleofDocumentNoPhoto">
    <w:name w:val="Title of Document No Photo"/>
    <w:basedOn w:val="TitleofDocumentHorizontal"/>
    <w:semiHidden/>
    <w:qFormat/>
    <w:rsid w:val="00655DAC"/>
  </w:style>
  <w:style w:type="paragraph" w:styleId="TOC1">
    <w:name w:val="toc 1"/>
    <w:next w:val="Normalcontinued"/>
    <w:autoRedefine/>
    <w:uiPriority w:val="39"/>
    <w:qFormat/>
    <w:rsid w:val="00655DAC"/>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55DAC"/>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655DAC"/>
    <w:pPr>
      <w:tabs>
        <w:tab w:val="clear" w:pos="1080"/>
        <w:tab w:val="left" w:pos="1440"/>
      </w:tabs>
      <w:spacing w:after="120"/>
      <w:ind w:left="1440"/>
    </w:pPr>
  </w:style>
  <w:style w:type="paragraph" w:styleId="TOC4">
    <w:name w:val="toc 4"/>
    <w:next w:val="Normal"/>
    <w:autoRedefine/>
    <w:qFormat/>
    <w:rsid w:val="00655DAC"/>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655DAC"/>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55DAC"/>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55DAC"/>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655DAC"/>
    <w:pPr>
      <w:spacing w:after="320"/>
    </w:pPr>
  </w:style>
  <w:style w:type="paragraph" w:customStyle="1" w:styleId="NumberedBulletLastSS">
    <w:name w:val="Numbered Bullet (Last SS)"/>
    <w:basedOn w:val="NumberedBulletLastDS"/>
    <w:next w:val="NormalSS"/>
    <w:qFormat/>
    <w:rsid w:val="00655DAC"/>
    <w:pPr>
      <w:spacing w:after="240"/>
    </w:pPr>
  </w:style>
  <w:style w:type="table" w:customStyle="1" w:styleId="MPRBaseTable">
    <w:name w:val="MPR Base Table"/>
    <w:basedOn w:val="TableNormal"/>
    <w:uiPriority w:val="99"/>
    <w:rsid w:val="00655DAC"/>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655DAC"/>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655DAC"/>
    <w:rPr>
      <w:rFonts w:ascii="Arial Black" w:eastAsia="Times New Roman" w:hAnsi="Arial Black" w:cs="Times New Roman"/>
      <w:color w:val="E70033"/>
      <w:sz w:val="37"/>
      <w:szCs w:val="20"/>
    </w:rPr>
  </w:style>
  <w:style w:type="paragraph" w:customStyle="1" w:styleId="H5Lower">
    <w:name w:val="H5_Lower"/>
    <w:basedOn w:val="Heading4"/>
    <w:next w:val="NormalSS"/>
    <w:link w:val="H5LowerChar"/>
    <w:qFormat/>
    <w:rsid w:val="00655DAC"/>
    <w:pPr>
      <w:outlineLvl w:val="4"/>
    </w:pPr>
  </w:style>
  <w:style w:type="character" w:customStyle="1" w:styleId="H5LowerChar">
    <w:name w:val="H5_Lower Char"/>
    <w:basedOn w:val="Heading4Char"/>
    <w:link w:val="H5Lower"/>
    <w:rsid w:val="00655DAC"/>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DAC"/>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655DAC"/>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655DAC"/>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655DAC"/>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655DA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655DAC"/>
    <w:pPr>
      <w:keepNext/>
      <w:framePr w:wrap="around" w:vAnchor="text" w:hAnchor="text" w:y="1"/>
      <w:numPr>
        <w:ilvl w:val="4"/>
        <w:numId w:val="15"/>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655DAC"/>
    <w:pPr>
      <w:keepNext/>
      <w:numPr>
        <w:ilvl w:val="5"/>
        <w:numId w:val="15"/>
      </w:numPr>
      <w:spacing w:after="120" w:line="240" w:lineRule="auto"/>
      <w:outlineLvl w:val="5"/>
    </w:pPr>
  </w:style>
  <w:style w:type="paragraph" w:styleId="Heading7">
    <w:name w:val="heading 7"/>
    <w:basedOn w:val="Normal"/>
    <w:next w:val="Normal"/>
    <w:link w:val="Heading7Char"/>
    <w:semiHidden/>
    <w:qFormat/>
    <w:rsid w:val="00655DAC"/>
    <w:pPr>
      <w:keepNext/>
      <w:numPr>
        <w:ilvl w:val="6"/>
        <w:numId w:val="15"/>
      </w:numPr>
      <w:spacing w:after="120" w:line="240" w:lineRule="auto"/>
      <w:outlineLvl w:val="6"/>
    </w:pPr>
  </w:style>
  <w:style w:type="paragraph" w:styleId="Heading8">
    <w:name w:val="heading 8"/>
    <w:basedOn w:val="Normal"/>
    <w:next w:val="Normal"/>
    <w:link w:val="Heading8Char"/>
    <w:semiHidden/>
    <w:qFormat/>
    <w:rsid w:val="00655DAC"/>
    <w:pPr>
      <w:keepNext/>
      <w:numPr>
        <w:ilvl w:val="7"/>
        <w:numId w:val="15"/>
      </w:numPr>
      <w:spacing w:after="120" w:line="240" w:lineRule="auto"/>
      <w:outlineLvl w:val="7"/>
    </w:pPr>
  </w:style>
  <w:style w:type="paragraph" w:styleId="Heading9">
    <w:name w:val="heading 9"/>
    <w:aliases w:val="Heading 9 (business proposal only)"/>
    <w:basedOn w:val="Normal"/>
    <w:next w:val="Normal"/>
    <w:link w:val="Heading9Char"/>
    <w:semiHidden/>
    <w:rsid w:val="00655DAC"/>
    <w:pPr>
      <w:keepNext/>
      <w:numPr>
        <w:ilvl w:val="8"/>
        <w:numId w:val="1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DAC"/>
    <w:pPr>
      <w:ind w:left="720"/>
      <w:contextualSpacing/>
    </w:pPr>
  </w:style>
  <w:style w:type="table" w:styleId="TableGrid">
    <w:name w:val="Table Grid"/>
    <w:basedOn w:val="TableNormal"/>
    <w:uiPriority w:val="59"/>
    <w:rsid w:val="00655DAC"/>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3C4F"/>
    <w:pPr>
      <w:widowControl w:val="0"/>
      <w:autoSpaceDE w:val="0"/>
      <w:autoSpaceDN w:val="0"/>
      <w:adjustRightInd w:val="0"/>
      <w:spacing w:line="240" w:lineRule="auto"/>
      <w:ind w:left="720"/>
    </w:pPr>
    <w:rPr>
      <w:rFonts w:ascii="Baskerville Old Face" w:hAnsi="Baskerville Old Face"/>
      <w:szCs w:val="24"/>
    </w:rPr>
  </w:style>
  <w:style w:type="character" w:customStyle="1" w:styleId="BodyTextIndentChar">
    <w:name w:val="Body Text Indent Char"/>
    <w:basedOn w:val="DefaultParagraphFont"/>
    <w:link w:val="BodyTextIndent"/>
    <w:rsid w:val="00D83C4F"/>
    <w:rPr>
      <w:rFonts w:ascii="Baskerville Old Face" w:eastAsia="Times New Roman" w:hAnsi="Baskerville Old Face" w:cs="Times New Roman"/>
      <w:sz w:val="24"/>
      <w:szCs w:val="24"/>
    </w:rPr>
  </w:style>
  <w:style w:type="character" w:styleId="Hyperlink">
    <w:name w:val="Hyperlink"/>
    <w:basedOn w:val="DefaultParagraphFont"/>
    <w:rsid w:val="00D83C4F"/>
    <w:rPr>
      <w:color w:val="0000FF"/>
      <w:u w:val="single"/>
    </w:rPr>
  </w:style>
  <w:style w:type="character" w:customStyle="1" w:styleId="Heading1Char">
    <w:name w:val="Heading 1 Char"/>
    <w:basedOn w:val="DefaultParagraphFont"/>
    <w:link w:val="Heading1"/>
    <w:rsid w:val="00655DAC"/>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655DAC"/>
    <w:rPr>
      <w:rFonts w:ascii="Arial Black" w:eastAsia="Times New Roman" w:hAnsi="Arial Black" w:cs="Times New Roman"/>
      <w:caps/>
      <w:szCs w:val="20"/>
    </w:rPr>
  </w:style>
  <w:style w:type="character" w:customStyle="1" w:styleId="Heading3Char">
    <w:name w:val="Heading 3 Char"/>
    <w:basedOn w:val="DefaultParagraphFont"/>
    <w:link w:val="Heading3"/>
    <w:rsid w:val="00655DAC"/>
    <w:rPr>
      <w:rFonts w:ascii="Arial Black" w:eastAsia="Times New Roman" w:hAnsi="Arial Black" w:cs="Times New Roman"/>
      <w:szCs w:val="20"/>
    </w:rPr>
  </w:style>
  <w:style w:type="character" w:customStyle="1" w:styleId="Heading4Char">
    <w:name w:val="Heading 4 Char"/>
    <w:basedOn w:val="DefaultParagraphFont"/>
    <w:link w:val="Heading4"/>
    <w:semiHidden/>
    <w:rsid w:val="00655DA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655DAC"/>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655DAC"/>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655DAC"/>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655DA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655DAC"/>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655DAC"/>
    <w:pPr>
      <w:ind w:left="432" w:hanging="432"/>
      <w:outlineLvl w:val="1"/>
    </w:pPr>
  </w:style>
  <w:style w:type="character" w:customStyle="1" w:styleId="H2ChapterChar">
    <w:name w:val="H2_Chapter Char"/>
    <w:basedOn w:val="Heading1Char"/>
    <w:link w:val="H2Chapter"/>
    <w:rsid w:val="00655DAC"/>
    <w:rPr>
      <w:rFonts w:ascii="Arial Black" w:eastAsia="Times New Roman" w:hAnsi="Arial Black" w:cs="Times New Roman"/>
      <w:caps/>
      <w:szCs w:val="20"/>
    </w:rPr>
  </w:style>
  <w:style w:type="paragraph" w:customStyle="1" w:styleId="H3Alpha">
    <w:name w:val="H3_Alpha"/>
    <w:basedOn w:val="Heading2"/>
    <w:next w:val="NormalSS"/>
    <w:link w:val="H3AlphaChar"/>
    <w:qFormat/>
    <w:rsid w:val="000E5937"/>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3AlphaChar">
    <w:name w:val="H3_Alpha Char"/>
    <w:basedOn w:val="Heading2Char"/>
    <w:link w:val="H3Alpha"/>
    <w:rsid w:val="000E5937"/>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655DAC"/>
    <w:pPr>
      <w:outlineLvl w:val="9"/>
    </w:pPr>
  </w:style>
  <w:style w:type="character" w:customStyle="1" w:styleId="H4NumberNoTOCChar">
    <w:name w:val="H4_Number_No TOC Char"/>
    <w:basedOn w:val="H4NumberChar"/>
    <w:link w:val="H4NumberNoTOC"/>
    <w:rsid w:val="00655DAC"/>
    <w:rPr>
      <w:rFonts w:ascii="Times New Roman" w:eastAsia="Times New Roman" w:hAnsi="Times New Roman" w:cs="Times New Roman"/>
      <w:b/>
      <w:sz w:val="24"/>
      <w:szCs w:val="20"/>
    </w:rPr>
  </w:style>
  <w:style w:type="paragraph" w:customStyle="1" w:styleId="NormalSS">
    <w:name w:val="NormalSS"/>
    <w:basedOn w:val="Normal"/>
    <w:link w:val="NormalSSChar"/>
    <w:qFormat/>
    <w:rsid w:val="00655DAC"/>
    <w:pPr>
      <w:spacing w:after="240" w:line="240" w:lineRule="auto"/>
    </w:pPr>
  </w:style>
  <w:style w:type="paragraph" w:customStyle="1" w:styleId="References">
    <w:name w:val="References"/>
    <w:basedOn w:val="Normal"/>
    <w:qFormat/>
    <w:rsid w:val="00655DAC"/>
    <w:pPr>
      <w:keepLines/>
      <w:spacing w:after="240" w:line="240" w:lineRule="auto"/>
      <w:ind w:left="432" w:hanging="432"/>
    </w:pPr>
  </w:style>
  <w:style w:type="paragraph" w:customStyle="1" w:styleId="H3AlphaNoTOC">
    <w:name w:val="H3_Alpha_No TOC"/>
    <w:basedOn w:val="H3Alpha"/>
    <w:next w:val="NormalSS"/>
    <w:link w:val="H3AlphaNoTOCChar"/>
    <w:qFormat/>
    <w:rsid w:val="00655DAC"/>
    <w:pPr>
      <w:outlineLvl w:val="9"/>
    </w:pPr>
  </w:style>
  <w:style w:type="paragraph" w:customStyle="1" w:styleId="H4Number">
    <w:name w:val="H4_Number"/>
    <w:basedOn w:val="Heading3"/>
    <w:next w:val="NormalSS"/>
    <w:link w:val="H4NumberChar"/>
    <w:qFormat/>
    <w:rsid w:val="00655DAC"/>
    <w:pPr>
      <w:outlineLvl w:val="3"/>
    </w:pPr>
    <w:rPr>
      <w:rFonts w:ascii="Times New Roman" w:hAnsi="Times New Roman"/>
      <w:b/>
      <w:sz w:val="24"/>
    </w:rPr>
  </w:style>
  <w:style w:type="character" w:customStyle="1" w:styleId="H3AlphaNoTOCChar">
    <w:name w:val="H3_Alpha_No TOC Char"/>
    <w:basedOn w:val="H3AlphaChar"/>
    <w:link w:val="H3AlphaNoTOC"/>
    <w:rsid w:val="00655DAC"/>
    <w:rPr>
      <w:rFonts w:ascii="Arial Black" w:eastAsia="Times New Roman" w:hAnsi="Arial Black" w:cs="Times New Roman"/>
      <w:caps w:val="0"/>
      <w:szCs w:val="20"/>
    </w:rPr>
  </w:style>
  <w:style w:type="character" w:customStyle="1" w:styleId="H4NumberChar">
    <w:name w:val="H4_Number Char"/>
    <w:basedOn w:val="Heading3Char"/>
    <w:link w:val="H4Number"/>
    <w:rsid w:val="00655DAC"/>
    <w:rPr>
      <w:rFonts w:ascii="Times New Roman" w:eastAsia="Times New Roman" w:hAnsi="Times New Roman" w:cs="Times New Roman"/>
      <w:b/>
      <w:sz w:val="24"/>
      <w:szCs w:val="20"/>
    </w:rPr>
  </w:style>
  <w:style w:type="character" w:customStyle="1" w:styleId="NormalSSChar">
    <w:name w:val="NormalSS Char"/>
    <w:link w:val="NormalSS"/>
    <w:locked/>
    <w:rsid w:val="00380EB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838F5"/>
    <w:rPr>
      <w:sz w:val="16"/>
      <w:szCs w:val="16"/>
    </w:rPr>
  </w:style>
  <w:style w:type="paragraph" w:styleId="CommentText">
    <w:name w:val="annotation text"/>
    <w:basedOn w:val="Normal"/>
    <w:link w:val="CommentTextChar"/>
    <w:uiPriority w:val="99"/>
    <w:semiHidden/>
    <w:unhideWhenUsed/>
    <w:rsid w:val="00B838F5"/>
    <w:pPr>
      <w:spacing w:line="240" w:lineRule="auto"/>
    </w:pPr>
    <w:rPr>
      <w:sz w:val="20"/>
    </w:rPr>
  </w:style>
  <w:style w:type="character" w:customStyle="1" w:styleId="CommentTextChar">
    <w:name w:val="Comment Text Char"/>
    <w:basedOn w:val="DefaultParagraphFont"/>
    <w:link w:val="CommentText"/>
    <w:uiPriority w:val="99"/>
    <w:semiHidden/>
    <w:rsid w:val="00B838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838F5"/>
    <w:rPr>
      <w:b/>
      <w:bCs/>
    </w:rPr>
  </w:style>
  <w:style w:type="character" w:customStyle="1" w:styleId="CommentSubjectChar">
    <w:name w:val="Comment Subject Char"/>
    <w:basedOn w:val="CommentTextChar"/>
    <w:link w:val="CommentSubject"/>
    <w:uiPriority w:val="99"/>
    <w:semiHidden/>
    <w:rsid w:val="00B838F5"/>
    <w:rPr>
      <w:rFonts w:ascii="Times New Roman" w:hAnsi="Times New Roman"/>
      <w:b/>
      <w:bCs/>
      <w:sz w:val="20"/>
      <w:szCs w:val="20"/>
    </w:rPr>
  </w:style>
  <w:style w:type="paragraph" w:styleId="BalloonText">
    <w:name w:val="Balloon Text"/>
    <w:basedOn w:val="Normal"/>
    <w:link w:val="BalloonTextChar"/>
    <w:uiPriority w:val="99"/>
    <w:semiHidden/>
    <w:unhideWhenUsed/>
    <w:rsid w:val="00655D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DAC"/>
    <w:rPr>
      <w:rFonts w:ascii="Tahoma" w:eastAsia="Times New Roman" w:hAnsi="Tahoma" w:cs="Tahoma"/>
      <w:sz w:val="16"/>
      <w:szCs w:val="16"/>
    </w:rPr>
  </w:style>
  <w:style w:type="paragraph" w:customStyle="1" w:styleId="MarkforTableHeading">
    <w:name w:val="Mark for Table Heading"/>
    <w:basedOn w:val="Normal"/>
    <w:next w:val="Normal"/>
    <w:qFormat/>
    <w:rsid w:val="00CA4BB0"/>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TableHeaderLeft"/>
    <w:qFormat/>
    <w:rsid w:val="00655DAC"/>
    <w:pPr>
      <w:jc w:val="center"/>
    </w:pPr>
  </w:style>
  <w:style w:type="paragraph" w:customStyle="1" w:styleId="TableHeaderLeft">
    <w:name w:val="Table Header Left"/>
    <w:basedOn w:val="TableText"/>
    <w:next w:val="TableText"/>
    <w:qFormat/>
    <w:rsid w:val="00655DAC"/>
    <w:pPr>
      <w:spacing w:before="120" w:after="60"/>
    </w:pPr>
    <w:rPr>
      <w:b/>
      <w:color w:val="FFFFFF" w:themeColor="background1"/>
    </w:rPr>
  </w:style>
  <w:style w:type="paragraph" w:customStyle="1" w:styleId="TableText">
    <w:name w:val="Table Text"/>
    <w:basedOn w:val="Normal"/>
    <w:qFormat/>
    <w:rsid w:val="00655DAC"/>
    <w:pPr>
      <w:spacing w:line="240" w:lineRule="auto"/>
      <w:ind w:firstLine="0"/>
    </w:pPr>
    <w:rPr>
      <w:rFonts w:ascii="Arial" w:hAnsi="Arial"/>
      <w:sz w:val="18"/>
    </w:rPr>
  </w:style>
  <w:style w:type="table" w:customStyle="1" w:styleId="LightList1">
    <w:name w:val="Light List1"/>
    <w:basedOn w:val="TableNormal"/>
    <w:next w:val="LightList"/>
    <w:uiPriority w:val="61"/>
    <w:locked/>
    <w:rsid w:val="00425970"/>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655DA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Title">
    <w:name w:val="Mark for Table Title"/>
    <w:basedOn w:val="Normal"/>
    <w:next w:val="NormalSS"/>
    <w:qFormat/>
    <w:rsid w:val="00655DAC"/>
    <w:pPr>
      <w:keepNext/>
      <w:spacing w:after="60" w:line="240" w:lineRule="auto"/>
      <w:ind w:firstLine="0"/>
    </w:pPr>
    <w:rPr>
      <w:rFonts w:ascii="Arial Black" w:hAnsi="Arial Black"/>
      <w:sz w:val="22"/>
    </w:rPr>
  </w:style>
  <w:style w:type="paragraph" w:customStyle="1" w:styleId="AcknowledgmentnoTOC">
    <w:name w:val="Acknowledgment no TOC"/>
    <w:basedOn w:val="Normal"/>
    <w:next w:val="Normal"/>
    <w:qFormat/>
    <w:rsid w:val="00655DAC"/>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655DAC"/>
    <w:pPr>
      <w:numPr>
        <w:numId w:val="9"/>
      </w:numPr>
      <w:tabs>
        <w:tab w:val="left" w:pos="432"/>
      </w:tabs>
      <w:spacing w:after="120" w:line="240" w:lineRule="auto"/>
    </w:pPr>
  </w:style>
  <w:style w:type="paragraph" w:customStyle="1" w:styleId="BulletLastSS">
    <w:name w:val="Bullet (Last SS)"/>
    <w:basedOn w:val="Bullet"/>
    <w:next w:val="NormalSS"/>
    <w:qFormat/>
    <w:rsid w:val="00655DAC"/>
    <w:pPr>
      <w:numPr>
        <w:numId w:val="10"/>
      </w:numPr>
      <w:spacing w:after="240"/>
      <w:ind w:left="432" w:hanging="432"/>
    </w:pPr>
  </w:style>
  <w:style w:type="paragraph" w:customStyle="1" w:styleId="BulletLastDS">
    <w:name w:val="Bullet (Last DS)"/>
    <w:basedOn w:val="Bullet"/>
    <w:next w:val="Normal"/>
    <w:qFormat/>
    <w:rsid w:val="00655DAC"/>
    <w:pPr>
      <w:numPr>
        <w:numId w:val="11"/>
      </w:numPr>
      <w:spacing w:after="320"/>
      <w:ind w:left="432" w:hanging="432"/>
    </w:pPr>
  </w:style>
  <w:style w:type="paragraph" w:customStyle="1" w:styleId="Center">
    <w:name w:val="Center"/>
    <w:basedOn w:val="Normal"/>
    <w:semiHidden/>
    <w:unhideWhenUsed/>
    <w:rsid w:val="00655DAC"/>
    <w:pPr>
      <w:ind w:firstLine="0"/>
      <w:jc w:val="center"/>
    </w:pPr>
  </w:style>
  <w:style w:type="paragraph" w:customStyle="1" w:styleId="Dash">
    <w:name w:val="Dash"/>
    <w:basedOn w:val="Normal"/>
    <w:qFormat/>
    <w:rsid w:val="00655DAC"/>
    <w:pPr>
      <w:numPr>
        <w:numId w:val="12"/>
      </w:numPr>
      <w:tabs>
        <w:tab w:val="left" w:pos="288"/>
      </w:tabs>
      <w:spacing w:after="120" w:line="240" w:lineRule="auto"/>
    </w:pPr>
  </w:style>
  <w:style w:type="paragraph" w:customStyle="1" w:styleId="DashLASTSS">
    <w:name w:val="Dash (LAST SS)"/>
    <w:basedOn w:val="Dash"/>
    <w:next w:val="NormalSS"/>
    <w:qFormat/>
    <w:rsid w:val="00655DAC"/>
    <w:pPr>
      <w:numPr>
        <w:numId w:val="13"/>
      </w:numPr>
      <w:spacing w:after="240"/>
    </w:pPr>
  </w:style>
  <w:style w:type="paragraph" w:customStyle="1" w:styleId="DashLASTDS">
    <w:name w:val="Dash (LAST DS)"/>
    <w:basedOn w:val="Dash"/>
    <w:next w:val="Normal"/>
    <w:qFormat/>
    <w:rsid w:val="00655DAC"/>
    <w:pPr>
      <w:spacing w:after="320"/>
    </w:pPr>
    <w:rPr>
      <w:szCs w:val="24"/>
    </w:rPr>
  </w:style>
  <w:style w:type="paragraph" w:styleId="Footer">
    <w:name w:val="footer"/>
    <w:basedOn w:val="Normal"/>
    <w:link w:val="FooterChar"/>
    <w:qFormat/>
    <w:rsid w:val="00655DAC"/>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55DAC"/>
    <w:rPr>
      <w:rFonts w:ascii="Arial" w:eastAsia="Times New Roman" w:hAnsi="Arial" w:cs="Times New Roman"/>
      <w:sz w:val="20"/>
      <w:szCs w:val="20"/>
    </w:rPr>
  </w:style>
  <w:style w:type="paragraph" w:styleId="DocumentMap">
    <w:name w:val="Document Map"/>
    <w:basedOn w:val="Normal"/>
    <w:link w:val="DocumentMapChar"/>
    <w:semiHidden/>
    <w:unhideWhenUsed/>
    <w:rsid w:val="00655DAC"/>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655DAC"/>
    <w:rPr>
      <w:rFonts w:asciiTheme="majorHAnsi" w:eastAsia="Times New Roman" w:hAnsiTheme="majorHAnsi" w:cs="Times New Roman"/>
      <w:sz w:val="24"/>
      <w:szCs w:val="20"/>
    </w:rPr>
  </w:style>
  <w:style w:type="character" w:styleId="FootnoteReference">
    <w:name w:val="footnote reference"/>
    <w:basedOn w:val="DefaultParagraphFont"/>
    <w:qFormat/>
    <w:rsid w:val="00655DAC"/>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655DAC"/>
    <w:pPr>
      <w:spacing w:after="120" w:line="240" w:lineRule="auto"/>
      <w:ind w:firstLine="0"/>
    </w:pPr>
    <w:rPr>
      <w:sz w:val="20"/>
    </w:rPr>
  </w:style>
  <w:style w:type="character" w:customStyle="1" w:styleId="FootnoteTextChar">
    <w:name w:val="Footnote Text Char"/>
    <w:basedOn w:val="DefaultParagraphFont"/>
    <w:link w:val="FootnoteText"/>
    <w:rsid w:val="00655DAC"/>
    <w:rPr>
      <w:rFonts w:ascii="Times New Roman" w:eastAsia="Times New Roman" w:hAnsi="Times New Roman" w:cs="Times New Roman"/>
      <w:sz w:val="20"/>
      <w:szCs w:val="20"/>
    </w:rPr>
  </w:style>
  <w:style w:type="paragraph" w:styleId="Header">
    <w:name w:val="header"/>
    <w:basedOn w:val="Normal"/>
    <w:link w:val="HeaderChar"/>
    <w:qFormat/>
    <w:rsid w:val="00655DAC"/>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55DAC"/>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655DAC"/>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655DAC"/>
    <w:pPr>
      <w:outlineLvl w:val="9"/>
    </w:pPr>
  </w:style>
  <w:style w:type="paragraph" w:customStyle="1" w:styleId="MarkforAppendixTitle">
    <w:name w:val="Mark for Appendix Title"/>
    <w:basedOn w:val="Normal"/>
    <w:next w:val="Normal"/>
    <w:qFormat/>
    <w:rsid w:val="00655D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655D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655DAC"/>
  </w:style>
  <w:style w:type="paragraph" w:customStyle="1" w:styleId="MarkforFigureTitle">
    <w:name w:val="Mark for Figure Title"/>
    <w:basedOn w:val="MarkforTableTitle"/>
    <w:next w:val="NormalSS"/>
    <w:qFormat/>
    <w:rsid w:val="00655DAC"/>
  </w:style>
  <w:style w:type="numbering" w:customStyle="1" w:styleId="MPROutline">
    <w:name w:val="MPROutline"/>
    <w:uiPriority w:val="99"/>
    <w:locked/>
    <w:rsid w:val="00655DAC"/>
    <w:pPr>
      <w:numPr>
        <w:numId w:val="14"/>
      </w:numPr>
    </w:pPr>
  </w:style>
  <w:style w:type="character" w:customStyle="1" w:styleId="MTEquationSection">
    <w:name w:val="MTEquationSection"/>
    <w:basedOn w:val="DefaultParagraphFont"/>
    <w:rsid w:val="00655DAC"/>
    <w:rPr>
      <w:rFonts w:ascii="Arial" w:hAnsi="Arial"/>
      <w:vanish/>
      <w:color w:val="auto"/>
      <w:sz w:val="18"/>
    </w:rPr>
  </w:style>
  <w:style w:type="paragraph" w:customStyle="1" w:styleId="Normalcontinued">
    <w:name w:val="Normal (continued)"/>
    <w:basedOn w:val="Normal"/>
    <w:next w:val="Normal"/>
    <w:qFormat/>
    <w:rsid w:val="00655DAC"/>
    <w:pPr>
      <w:ind w:firstLine="0"/>
    </w:pPr>
  </w:style>
  <w:style w:type="paragraph" w:customStyle="1" w:styleId="NormalSScontinued">
    <w:name w:val="NormalSS (continued)"/>
    <w:basedOn w:val="NormalSS"/>
    <w:next w:val="NormalSS"/>
    <w:qFormat/>
    <w:rsid w:val="00655DAC"/>
    <w:pPr>
      <w:ind w:firstLine="0"/>
    </w:pPr>
  </w:style>
  <w:style w:type="paragraph" w:customStyle="1" w:styleId="NumberedBullet">
    <w:name w:val="Numbered Bullet"/>
    <w:basedOn w:val="Normal"/>
    <w:link w:val="NumberedBulletChar"/>
    <w:qFormat/>
    <w:rsid w:val="00655DAC"/>
    <w:pPr>
      <w:tabs>
        <w:tab w:val="left" w:pos="432"/>
      </w:tabs>
      <w:spacing w:after="120" w:line="240" w:lineRule="auto"/>
      <w:ind w:left="432" w:hanging="432"/>
    </w:pPr>
  </w:style>
  <w:style w:type="paragraph" w:customStyle="1" w:styleId="Outline">
    <w:name w:val="Outline"/>
    <w:basedOn w:val="Normal"/>
    <w:semiHidden/>
    <w:unhideWhenUsed/>
    <w:qFormat/>
    <w:rsid w:val="00655DAC"/>
    <w:pPr>
      <w:spacing w:after="240" w:line="240" w:lineRule="auto"/>
      <w:ind w:left="720" w:hanging="720"/>
    </w:pPr>
  </w:style>
  <w:style w:type="character" w:styleId="PageNumber">
    <w:name w:val="page number"/>
    <w:basedOn w:val="DefaultParagraphFont"/>
    <w:semiHidden/>
    <w:qFormat/>
    <w:rsid w:val="00655DAC"/>
    <w:rPr>
      <w:rFonts w:ascii="Arial" w:hAnsi="Arial"/>
      <w:color w:val="auto"/>
      <w:sz w:val="20"/>
      <w:bdr w:val="none" w:sz="0" w:space="0" w:color="auto"/>
    </w:rPr>
  </w:style>
  <w:style w:type="paragraph" w:customStyle="1" w:styleId="TableFootnoteCaption">
    <w:name w:val="Table Footnote_Caption"/>
    <w:qFormat/>
    <w:rsid w:val="00655DAC"/>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655DAC"/>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655DAC"/>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655DAC"/>
  </w:style>
  <w:style w:type="paragraph" w:customStyle="1" w:styleId="Tabletext8">
    <w:name w:val="Table text 8"/>
    <w:basedOn w:val="TableText"/>
    <w:qFormat/>
    <w:rsid w:val="00655DAC"/>
    <w:rPr>
      <w:snapToGrid w:val="0"/>
      <w:sz w:val="16"/>
      <w:szCs w:val="16"/>
    </w:rPr>
  </w:style>
  <w:style w:type="paragraph" w:customStyle="1" w:styleId="TableSpace">
    <w:name w:val="TableSpace"/>
    <w:basedOn w:val="TableSourceCaption"/>
    <w:next w:val="TableFootnoteCaption"/>
    <w:semiHidden/>
    <w:qFormat/>
    <w:rsid w:val="00655DAC"/>
  </w:style>
  <w:style w:type="paragraph" w:styleId="Title">
    <w:name w:val="Title"/>
    <w:basedOn w:val="Normal"/>
    <w:next w:val="Normal"/>
    <w:link w:val="TitleChar"/>
    <w:rsid w:val="00655DAC"/>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55DAC"/>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655DAC"/>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655DAC"/>
    <w:pPr>
      <w:spacing w:before="0" w:after="160"/>
    </w:pPr>
  </w:style>
  <w:style w:type="paragraph" w:customStyle="1" w:styleId="TitleofDocumentNoPhoto">
    <w:name w:val="Title of Document No Photo"/>
    <w:basedOn w:val="TitleofDocumentHorizontal"/>
    <w:semiHidden/>
    <w:qFormat/>
    <w:rsid w:val="00655DAC"/>
  </w:style>
  <w:style w:type="paragraph" w:styleId="TOC1">
    <w:name w:val="toc 1"/>
    <w:next w:val="Normalcontinued"/>
    <w:autoRedefine/>
    <w:uiPriority w:val="39"/>
    <w:qFormat/>
    <w:rsid w:val="00655DAC"/>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55DAC"/>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655DAC"/>
    <w:pPr>
      <w:tabs>
        <w:tab w:val="clear" w:pos="1080"/>
        <w:tab w:val="left" w:pos="1440"/>
      </w:tabs>
      <w:spacing w:after="120"/>
      <w:ind w:left="1440"/>
    </w:pPr>
  </w:style>
  <w:style w:type="paragraph" w:styleId="TOC4">
    <w:name w:val="toc 4"/>
    <w:next w:val="Normal"/>
    <w:autoRedefine/>
    <w:qFormat/>
    <w:rsid w:val="00655DAC"/>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655DAC"/>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55DAC"/>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55DAC"/>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655DAC"/>
    <w:pPr>
      <w:spacing w:after="320"/>
    </w:pPr>
  </w:style>
  <w:style w:type="paragraph" w:customStyle="1" w:styleId="NumberedBulletLastSS">
    <w:name w:val="Numbered Bullet (Last SS)"/>
    <w:basedOn w:val="NumberedBulletLastDS"/>
    <w:next w:val="NormalSS"/>
    <w:qFormat/>
    <w:rsid w:val="00655DAC"/>
    <w:pPr>
      <w:spacing w:after="240"/>
    </w:pPr>
  </w:style>
  <w:style w:type="table" w:customStyle="1" w:styleId="MPRBaseTable">
    <w:name w:val="MPR Base Table"/>
    <w:basedOn w:val="TableNormal"/>
    <w:uiPriority w:val="99"/>
    <w:rsid w:val="00655DAC"/>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655DAC"/>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655DAC"/>
    <w:rPr>
      <w:rFonts w:ascii="Arial Black" w:eastAsia="Times New Roman" w:hAnsi="Arial Black" w:cs="Times New Roman"/>
      <w:color w:val="E70033"/>
      <w:sz w:val="37"/>
      <w:szCs w:val="20"/>
    </w:rPr>
  </w:style>
  <w:style w:type="paragraph" w:customStyle="1" w:styleId="H5Lower">
    <w:name w:val="H5_Lower"/>
    <w:basedOn w:val="Heading4"/>
    <w:next w:val="NormalSS"/>
    <w:link w:val="H5LowerChar"/>
    <w:qFormat/>
    <w:rsid w:val="00655DAC"/>
    <w:pPr>
      <w:outlineLvl w:val="4"/>
    </w:pPr>
  </w:style>
  <w:style w:type="character" w:customStyle="1" w:styleId="H5LowerChar">
    <w:name w:val="H5_Lower Char"/>
    <w:basedOn w:val="Heading4Char"/>
    <w:link w:val="H5Lower"/>
    <w:rsid w:val="00655DA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BCarlson@mathematica-mpr.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03A0D-3044-4FF2-967B-C25E1445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6240</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RWHAP OMB SUPPORTING STATEMENT PART B</vt:lpstr>
    </vt:vector>
  </TitlesOfParts>
  <Company>Mathematica, Inc.</Company>
  <LinksUpToDate>false</LinksUpToDate>
  <CharactersWithSpaces>41725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RWHAP OMB SUPPORTING STATEMENT PART B</dc:title>
  <dc:subject>OMB PART B</dc:subject>
  <dc:creator>MATHEMATICA</dc:creator>
  <cp:keywords/>
  <dc:description/>
  <cp:lastModifiedBy>SYSTEM</cp:lastModifiedBy>
  <cp:revision>2</cp:revision>
  <dcterms:created xsi:type="dcterms:W3CDTF">2019-12-12T13:09:00Z</dcterms:created>
  <dcterms:modified xsi:type="dcterms:W3CDTF">2019-12-12T13:09:00Z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-1545672745</vt:i4>
  </property>
</Properties>
</file>