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263E" w:rsidP="005C79F0" w:rsidRDefault="005A263E" w14:paraId="0E816827" w14:textId="3FDD6063">
      <w:pPr>
        <w:pStyle w:val="Header"/>
        <w:jc w:val="center"/>
        <w:rPr>
          <w:b/>
          <w:sz w:val="24"/>
          <w:szCs w:val="24"/>
        </w:rPr>
      </w:pPr>
      <w:r>
        <w:rPr>
          <w:b/>
          <w:sz w:val="24"/>
          <w:szCs w:val="24"/>
        </w:rPr>
        <w:t>U.S. Food and Drug Administration</w:t>
      </w:r>
    </w:p>
    <w:p w:rsidR="005A263E" w:rsidP="005C79F0" w:rsidRDefault="005A263E" w14:paraId="35FDDD17" w14:textId="77777777">
      <w:pPr>
        <w:pStyle w:val="Header"/>
        <w:jc w:val="center"/>
        <w:rPr>
          <w:b/>
          <w:sz w:val="24"/>
          <w:szCs w:val="24"/>
        </w:rPr>
      </w:pPr>
    </w:p>
    <w:p w:rsidRPr="005C79F0" w:rsidR="005C79F0" w:rsidP="005C79F0" w:rsidRDefault="005C79F0" w14:paraId="58739100" w14:textId="15854D94">
      <w:pPr>
        <w:pStyle w:val="Header"/>
        <w:jc w:val="center"/>
        <w:rPr>
          <w:b/>
          <w:sz w:val="24"/>
          <w:szCs w:val="24"/>
        </w:rPr>
      </w:pPr>
      <w:r w:rsidRPr="005C79F0">
        <w:rPr>
          <w:b/>
          <w:sz w:val="24"/>
          <w:szCs w:val="24"/>
        </w:rPr>
        <w:t>FDA Tobacco Prevention Broad Quantitative Research</w:t>
      </w:r>
      <w:r w:rsidR="00FD2508">
        <w:rPr>
          <w:b/>
          <w:sz w:val="24"/>
          <w:szCs w:val="24"/>
        </w:rPr>
        <w:t xml:space="preserve"> Package</w:t>
      </w:r>
    </w:p>
    <w:p w:rsidR="00004CB9" w:rsidP="00E87208" w:rsidRDefault="005A263E" w14:paraId="4EF9882F" w14:textId="28A59F53">
      <w:pPr>
        <w:spacing w:before="100" w:beforeAutospacing="1" w:after="100" w:afterAutospacing="1"/>
        <w:jc w:val="center"/>
        <w:outlineLvl w:val="0"/>
        <w:rPr>
          <w:b/>
          <w:sz w:val="24"/>
          <w:szCs w:val="24"/>
        </w:rPr>
      </w:pPr>
      <w:r>
        <w:rPr>
          <w:b/>
          <w:sz w:val="24"/>
          <w:szCs w:val="24"/>
        </w:rPr>
        <w:t xml:space="preserve">OMB Control No. </w:t>
      </w:r>
      <w:r w:rsidR="00004CB9">
        <w:rPr>
          <w:b/>
          <w:sz w:val="24"/>
          <w:szCs w:val="24"/>
        </w:rPr>
        <w:t>09</w:t>
      </w:r>
      <w:r w:rsidR="0083493E">
        <w:rPr>
          <w:b/>
          <w:sz w:val="24"/>
          <w:szCs w:val="24"/>
        </w:rPr>
        <w:t>10</w:t>
      </w:r>
      <w:r w:rsidR="00004CB9">
        <w:rPr>
          <w:b/>
          <w:sz w:val="24"/>
          <w:szCs w:val="24"/>
        </w:rPr>
        <w:t>-</w:t>
      </w:r>
      <w:r w:rsidR="00410B98">
        <w:rPr>
          <w:b/>
          <w:sz w:val="24"/>
          <w:szCs w:val="24"/>
        </w:rPr>
        <w:t>0810</w:t>
      </w:r>
    </w:p>
    <w:p w:rsidR="00B76AF7" w:rsidP="00B76AF7" w:rsidRDefault="005A263E" w14:paraId="55EA5E72" w14:textId="01036801">
      <w:pPr>
        <w:spacing w:before="100" w:beforeAutospacing="1" w:after="100" w:afterAutospacing="1"/>
        <w:jc w:val="center"/>
        <w:rPr>
          <w:b/>
          <w:sz w:val="24"/>
          <w:szCs w:val="24"/>
        </w:rPr>
      </w:pPr>
      <w:r>
        <w:rPr>
          <w:b/>
          <w:sz w:val="24"/>
          <w:szCs w:val="24"/>
        </w:rPr>
        <w:t>SUPPORTING STATEMENT</w:t>
      </w:r>
    </w:p>
    <w:p w:rsidRPr="00A77197" w:rsidR="00AD116C" w:rsidRDefault="005A263E" w14:paraId="1B36206C" w14:textId="553E0D3C">
      <w:pPr>
        <w:spacing w:before="100" w:beforeAutospacing="1" w:after="100" w:afterAutospacing="1"/>
        <w:rPr>
          <w:b/>
          <w:bCs/>
          <w:caps/>
          <w:sz w:val="24"/>
          <w:szCs w:val="24"/>
        </w:rPr>
      </w:pPr>
      <w:r>
        <w:rPr>
          <w:b/>
          <w:bCs/>
          <w:sz w:val="24"/>
          <w:szCs w:val="24"/>
        </w:rPr>
        <w:t>Part B</w:t>
      </w:r>
      <w:r w:rsidR="00B76AF7">
        <w:rPr>
          <w:b/>
          <w:bCs/>
          <w:caps/>
          <w:sz w:val="24"/>
          <w:szCs w:val="24"/>
        </w:rPr>
        <w:t>.</w:t>
      </w:r>
      <w:r w:rsidRPr="00A77197" w:rsidR="008E416F">
        <w:rPr>
          <w:b/>
          <w:bCs/>
          <w:caps/>
          <w:sz w:val="24"/>
          <w:szCs w:val="24"/>
        </w:rPr>
        <w:t xml:space="preserve"> Statistical Methods</w:t>
      </w:r>
      <w:r w:rsidRPr="00A77197" w:rsidR="008E416F">
        <w:rPr>
          <w:caps/>
          <w:sz w:val="24"/>
          <w:szCs w:val="24"/>
        </w:rPr>
        <w:t xml:space="preserve"> </w:t>
      </w:r>
    </w:p>
    <w:p w:rsidR="008E416F" w:rsidRDefault="008E416F" w14:paraId="06867D05" w14:textId="77777777">
      <w:pPr>
        <w:spacing w:before="100" w:beforeAutospacing="1" w:after="100" w:afterAutospacing="1"/>
        <w:rPr>
          <w:b/>
          <w:sz w:val="24"/>
          <w:szCs w:val="24"/>
          <w:u w:val="single"/>
        </w:rPr>
      </w:pPr>
      <w:r w:rsidRPr="00DC2F2B">
        <w:rPr>
          <w:b/>
          <w:sz w:val="24"/>
          <w:szCs w:val="24"/>
        </w:rPr>
        <w:t xml:space="preserve">1. </w:t>
      </w:r>
      <w:r w:rsidRPr="00A77197">
        <w:rPr>
          <w:b/>
          <w:sz w:val="24"/>
          <w:szCs w:val="24"/>
          <w:u w:val="single"/>
        </w:rPr>
        <w:t xml:space="preserve">Respondent Universe and Sampling Methods </w:t>
      </w:r>
    </w:p>
    <w:p w:rsidRPr="00A77197" w:rsidR="004759E8" w:rsidP="00DC2F2B" w:rsidRDefault="004759E8" w14:paraId="7076DB9D" w14:textId="488E8AF1">
      <w:pPr>
        <w:spacing w:before="100" w:beforeAutospacing="1" w:after="100" w:afterAutospacing="1"/>
        <w:ind w:left="288"/>
        <w:rPr>
          <w:b/>
          <w:sz w:val="24"/>
          <w:szCs w:val="24"/>
          <w:u w:val="single"/>
        </w:rPr>
      </w:pPr>
      <w:r w:rsidRPr="002E054D">
        <w:rPr>
          <w:sz w:val="24"/>
          <w:szCs w:val="24"/>
        </w:rPr>
        <w:t xml:space="preserve">The one-time actual burden figures are listed in </w:t>
      </w:r>
      <w:r w:rsidR="00B76AF7">
        <w:rPr>
          <w:sz w:val="24"/>
          <w:szCs w:val="24"/>
        </w:rPr>
        <w:t>Tables</w:t>
      </w:r>
      <w:r w:rsidRPr="002E054D">
        <w:rPr>
          <w:sz w:val="24"/>
          <w:szCs w:val="24"/>
        </w:rPr>
        <w:t xml:space="preserve"> </w:t>
      </w:r>
      <w:r w:rsidR="00C80A8B">
        <w:rPr>
          <w:sz w:val="24"/>
          <w:szCs w:val="24"/>
        </w:rPr>
        <w:t>1</w:t>
      </w:r>
      <w:r w:rsidRPr="002E054D">
        <w:rPr>
          <w:sz w:val="24"/>
          <w:szCs w:val="24"/>
        </w:rPr>
        <w:t xml:space="preserve"> &amp; </w:t>
      </w:r>
      <w:r w:rsidR="00C80A8B">
        <w:rPr>
          <w:sz w:val="24"/>
          <w:szCs w:val="24"/>
        </w:rPr>
        <w:t>2</w:t>
      </w:r>
      <w:r w:rsidRPr="002E054D">
        <w:rPr>
          <w:sz w:val="24"/>
          <w:szCs w:val="24"/>
        </w:rPr>
        <w:t>, Part A</w:t>
      </w:r>
      <w:r w:rsidR="005A263E">
        <w:rPr>
          <w:sz w:val="24"/>
          <w:szCs w:val="24"/>
        </w:rPr>
        <w:t>.</w:t>
      </w:r>
    </w:p>
    <w:p w:rsidR="00C80A8B" w:rsidP="00DC2F2B" w:rsidRDefault="004759E8" w14:paraId="1AD41C16" w14:textId="77777777">
      <w:pPr>
        <w:ind w:left="288"/>
      </w:pPr>
      <w:bookmarkStart w:name="OLE_LINK1" w:id="0"/>
      <w:bookmarkStart w:name="OLE_LINK2" w:id="1"/>
      <w:r w:rsidRPr="00C80A8B">
        <w:rPr>
          <w:sz w:val="24"/>
          <w:szCs w:val="24"/>
        </w:rPr>
        <w:t xml:space="preserve">The primary outcome of this study would be based on a </w:t>
      </w:r>
      <w:r w:rsidRPr="00C80A8B" w:rsidR="00C80A8B">
        <w:rPr>
          <w:sz w:val="24"/>
          <w:szCs w:val="24"/>
        </w:rPr>
        <w:t>non-random</w:t>
      </w:r>
      <w:r w:rsidRPr="00C80A8B">
        <w:rPr>
          <w:sz w:val="24"/>
          <w:szCs w:val="24"/>
        </w:rPr>
        <w:t xml:space="preserve"> sample provided by</w:t>
      </w:r>
      <w:r w:rsidRPr="00C80A8B" w:rsidR="00A45413">
        <w:rPr>
          <w:sz w:val="24"/>
          <w:szCs w:val="24"/>
        </w:rPr>
        <w:t xml:space="preserve"> an online panel (e.g. </w:t>
      </w:r>
      <w:r w:rsidRPr="00C80A8B" w:rsidR="00C80A8B">
        <w:rPr>
          <w:sz w:val="24"/>
          <w:szCs w:val="24"/>
        </w:rPr>
        <w:t>Market Cube</w:t>
      </w:r>
      <w:r w:rsidRPr="00C80A8B" w:rsidR="00A45413">
        <w:rPr>
          <w:sz w:val="24"/>
          <w:szCs w:val="24"/>
        </w:rPr>
        <w:t>)</w:t>
      </w:r>
      <w:r w:rsidRPr="00C80A8B" w:rsidR="00C80A8B">
        <w:rPr>
          <w:sz w:val="24"/>
          <w:szCs w:val="24"/>
        </w:rPr>
        <w:t xml:space="preserve"> of up to </w:t>
      </w:r>
      <w:r w:rsidR="00F9400A">
        <w:rPr>
          <w:sz w:val="24"/>
          <w:szCs w:val="24"/>
        </w:rPr>
        <w:t>5</w:t>
      </w:r>
      <w:r w:rsidR="00C80A8B">
        <w:rPr>
          <w:sz w:val="24"/>
          <w:szCs w:val="24"/>
        </w:rPr>
        <w:t>,5</w:t>
      </w:r>
      <w:r w:rsidRPr="00C80A8B" w:rsidR="00C80A8B">
        <w:rPr>
          <w:sz w:val="24"/>
          <w:szCs w:val="24"/>
        </w:rPr>
        <w:t xml:space="preserve">00 youth ages 13-17 years old who are either tobacco users or susceptible non-users, and up to </w:t>
      </w:r>
      <w:r w:rsidR="00F9400A">
        <w:rPr>
          <w:sz w:val="24"/>
          <w:szCs w:val="24"/>
        </w:rPr>
        <w:t>5</w:t>
      </w:r>
      <w:r w:rsidRPr="00C80A8B" w:rsidR="00C80A8B">
        <w:rPr>
          <w:sz w:val="24"/>
          <w:szCs w:val="24"/>
        </w:rPr>
        <w:t>,500 adults ages</w:t>
      </w:r>
      <w:r w:rsidR="00F9400A">
        <w:rPr>
          <w:sz w:val="24"/>
          <w:szCs w:val="24"/>
        </w:rPr>
        <w:t xml:space="preserve"> 18</w:t>
      </w:r>
      <w:r w:rsidRPr="00C80A8B" w:rsidR="00C80A8B">
        <w:rPr>
          <w:sz w:val="24"/>
          <w:szCs w:val="24"/>
        </w:rPr>
        <w:t>-54 who are current or former tobacco users.</w:t>
      </w:r>
      <w:r w:rsidRPr="00E53EF5" w:rsidR="00C80A8B">
        <w:t xml:space="preserve"> </w:t>
      </w:r>
    </w:p>
    <w:p w:rsidR="00C80A8B" w:rsidP="00DC2F2B" w:rsidRDefault="00C80A8B" w14:paraId="564629D2" w14:textId="77777777">
      <w:pPr>
        <w:ind w:left="288"/>
      </w:pPr>
    </w:p>
    <w:p w:rsidR="00C85DAE" w:rsidP="00DC2F2B" w:rsidRDefault="004759E8" w14:paraId="1EDFC4DF" w14:textId="3735F151">
      <w:pPr>
        <w:ind w:left="288"/>
      </w:pPr>
      <w:r w:rsidRPr="000F2266">
        <w:rPr>
          <w:sz w:val="24"/>
          <w:szCs w:val="24"/>
        </w:rPr>
        <w:t xml:space="preserve">Participants will be recruited through an existing panel of </w:t>
      </w:r>
      <w:r w:rsidR="00F9400A">
        <w:rPr>
          <w:sz w:val="24"/>
          <w:szCs w:val="24"/>
        </w:rPr>
        <w:t>adults</w:t>
      </w:r>
      <w:r w:rsidR="00A45413">
        <w:rPr>
          <w:sz w:val="24"/>
          <w:szCs w:val="24"/>
        </w:rPr>
        <w:t xml:space="preserve">, </w:t>
      </w:r>
      <w:r w:rsidR="00F9400A">
        <w:rPr>
          <w:sz w:val="24"/>
          <w:szCs w:val="24"/>
        </w:rPr>
        <w:t>including</w:t>
      </w:r>
      <w:r w:rsidR="00A45413">
        <w:rPr>
          <w:sz w:val="24"/>
          <w:szCs w:val="24"/>
        </w:rPr>
        <w:t xml:space="preserve"> </w:t>
      </w:r>
      <w:r w:rsidRPr="000F2266">
        <w:rPr>
          <w:sz w:val="24"/>
          <w:szCs w:val="24"/>
        </w:rPr>
        <w:t xml:space="preserve">adults with children ages 13-17 </w:t>
      </w:r>
      <w:r w:rsidRPr="002E054D">
        <w:rPr>
          <w:sz w:val="24"/>
          <w:szCs w:val="24"/>
        </w:rPr>
        <w:t xml:space="preserve">who give their permission for their youth to complete the survey.  The screening criteria </w:t>
      </w:r>
      <w:r>
        <w:rPr>
          <w:sz w:val="24"/>
          <w:szCs w:val="24"/>
        </w:rPr>
        <w:t>are</w:t>
      </w:r>
      <w:r w:rsidRPr="002E054D">
        <w:rPr>
          <w:sz w:val="24"/>
          <w:szCs w:val="24"/>
        </w:rPr>
        <w:t xml:space="preserve"> based on age, </w:t>
      </w:r>
      <w:r w:rsidR="00F9400A">
        <w:rPr>
          <w:sz w:val="24"/>
          <w:szCs w:val="24"/>
        </w:rPr>
        <w:t>tobacco use</w:t>
      </w:r>
      <w:r w:rsidRPr="002E054D">
        <w:rPr>
          <w:sz w:val="24"/>
          <w:szCs w:val="24"/>
        </w:rPr>
        <w:t xml:space="preserve"> status, and intention to </w:t>
      </w:r>
      <w:r w:rsidR="00F9400A">
        <w:rPr>
          <w:sz w:val="24"/>
          <w:szCs w:val="24"/>
        </w:rPr>
        <w:t>use tobacco</w:t>
      </w:r>
      <w:r w:rsidRPr="002E054D">
        <w:rPr>
          <w:sz w:val="24"/>
          <w:szCs w:val="24"/>
        </w:rPr>
        <w:t xml:space="preserve"> in the future.  As this study is considered part of formative research for campaign development and planning, these methods are not intended to generate nationally representative samples or precise estimates of population parameters. </w:t>
      </w:r>
      <w:r w:rsidR="00C85DAE">
        <w:rPr>
          <w:sz w:val="24"/>
          <w:szCs w:val="24"/>
        </w:rPr>
        <w:t>A</w:t>
      </w:r>
      <w:r w:rsidRPr="00C85DAE" w:rsidR="00C85DAE">
        <w:rPr>
          <w:sz w:val="24"/>
          <w:szCs w:val="24"/>
        </w:rPr>
        <w:t xml:space="preserve">dditionally, </w:t>
      </w:r>
      <w:r w:rsidR="00C85DAE">
        <w:rPr>
          <w:sz w:val="24"/>
          <w:szCs w:val="24"/>
        </w:rPr>
        <w:t xml:space="preserve">a secondary aim of this study is </w:t>
      </w:r>
      <w:r w:rsidRPr="00C85DAE" w:rsidR="00C85DAE">
        <w:rPr>
          <w:sz w:val="24"/>
          <w:szCs w:val="24"/>
        </w:rPr>
        <w:t>to better understand how Hispanic populations respond to messaging</w:t>
      </w:r>
      <w:r w:rsidR="00C85DAE">
        <w:rPr>
          <w:sz w:val="24"/>
          <w:szCs w:val="24"/>
        </w:rPr>
        <w:t xml:space="preserve">. </w:t>
      </w:r>
    </w:p>
    <w:p w:rsidR="000E3F87" w:rsidP="00DC2F2B" w:rsidRDefault="000E3F87" w14:paraId="2D7F2C80" w14:textId="77777777">
      <w:pPr>
        <w:ind w:left="288"/>
        <w:rPr>
          <w:sz w:val="24"/>
          <w:szCs w:val="24"/>
        </w:rPr>
      </w:pPr>
    </w:p>
    <w:p w:rsidR="004759E8" w:rsidP="00DC2F2B" w:rsidRDefault="004759E8" w14:paraId="02DAF07D" w14:textId="77777777">
      <w:pPr>
        <w:ind w:left="288"/>
        <w:rPr>
          <w:sz w:val="24"/>
          <w:szCs w:val="24"/>
        </w:rPr>
      </w:pPr>
      <w:r w:rsidRPr="002E054D">
        <w:rPr>
          <w:sz w:val="24"/>
          <w:szCs w:val="24"/>
        </w:rPr>
        <w:t xml:space="preserve">The sample drawn here is designed primarily to provide information on the perceived effectiveness of various tobacco-related facts </w:t>
      </w:r>
      <w:r w:rsidR="000E3F87">
        <w:rPr>
          <w:sz w:val="24"/>
          <w:szCs w:val="24"/>
        </w:rPr>
        <w:t xml:space="preserve">and messages </w:t>
      </w:r>
      <w:r w:rsidRPr="002E054D">
        <w:rPr>
          <w:sz w:val="24"/>
          <w:szCs w:val="24"/>
        </w:rPr>
        <w:t xml:space="preserve">that may be used in future tobacco prevention </w:t>
      </w:r>
      <w:r w:rsidR="00F9400A">
        <w:rPr>
          <w:sz w:val="24"/>
          <w:szCs w:val="24"/>
        </w:rPr>
        <w:t xml:space="preserve">and cessation </w:t>
      </w:r>
      <w:r w:rsidRPr="002E054D">
        <w:rPr>
          <w:sz w:val="24"/>
          <w:szCs w:val="24"/>
        </w:rPr>
        <w:t>campaigns.</w:t>
      </w:r>
    </w:p>
    <w:p w:rsidR="000E3F87" w:rsidP="00DC2F2B" w:rsidRDefault="000E3F87" w14:paraId="2448918D" w14:textId="77777777">
      <w:pPr>
        <w:ind w:left="288"/>
        <w:rPr>
          <w:sz w:val="24"/>
          <w:szCs w:val="24"/>
        </w:rPr>
      </w:pPr>
    </w:p>
    <w:p w:rsidRPr="000E3F87" w:rsidR="000E3F87" w:rsidP="00DC2F2B" w:rsidRDefault="000E3F87" w14:paraId="0F04932A" w14:textId="77777777">
      <w:pPr>
        <w:spacing w:after="240"/>
        <w:ind w:left="288"/>
        <w:rPr>
          <w:sz w:val="24"/>
          <w:szCs w:val="24"/>
        </w:rPr>
      </w:pPr>
      <w:r w:rsidRPr="000E3F87">
        <w:rPr>
          <w:sz w:val="24"/>
          <w:szCs w:val="24"/>
        </w:rPr>
        <w:t>The study is a cross-sectional design, and participants will be enrolled via panel. The screening criteria are based on age, tobacco use status, valid email address, personal or close family or friends’ employment in the tobacco industry, and past participation in tobacco research.</w:t>
      </w:r>
    </w:p>
    <w:p w:rsidRPr="000E3F87" w:rsidR="004759E8" w:rsidP="00DC2F2B" w:rsidRDefault="004759E8" w14:paraId="1935623E" w14:textId="77777777">
      <w:pPr>
        <w:ind w:left="288"/>
        <w:rPr>
          <w:i/>
          <w:sz w:val="24"/>
          <w:u w:val="single"/>
        </w:rPr>
      </w:pPr>
      <w:r w:rsidRPr="000E3F87">
        <w:rPr>
          <w:i/>
          <w:sz w:val="24"/>
          <w:u w:val="single"/>
        </w:rPr>
        <w:t>Sampling Methods</w:t>
      </w:r>
    </w:p>
    <w:p w:rsidR="005A263E" w:rsidP="00DC2F2B" w:rsidRDefault="005A263E" w14:paraId="6F0A08BA" w14:textId="77777777">
      <w:pPr>
        <w:ind w:left="288"/>
        <w:rPr>
          <w:sz w:val="24"/>
        </w:rPr>
      </w:pPr>
    </w:p>
    <w:p w:rsidRPr="002E054D" w:rsidR="004759E8" w:rsidP="00DC2F2B" w:rsidRDefault="004759E8" w14:paraId="300697C7" w14:textId="01A69761">
      <w:pPr>
        <w:ind w:left="288"/>
        <w:rPr>
          <w:sz w:val="24"/>
        </w:rPr>
      </w:pPr>
      <w:r w:rsidRPr="002E054D">
        <w:rPr>
          <w:sz w:val="24"/>
        </w:rPr>
        <w:t>The</w:t>
      </w:r>
      <w:r w:rsidR="00A45413">
        <w:rPr>
          <w:sz w:val="24"/>
        </w:rPr>
        <w:t xml:space="preserve"> </w:t>
      </w:r>
      <w:r w:rsidRPr="002E054D">
        <w:rPr>
          <w:sz w:val="24"/>
        </w:rPr>
        <w:t xml:space="preserve">sample provided will be of a sample of </w:t>
      </w:r>
      <w:r w:rsidR="00A45413">
        <w:rPr>
          <w:sz w:val="24"/>
        </w:rPr>
        <w:t>youth ages 13-17</w:t>
      </w:r>
      <w:r w:rsidR="00C80A8B">
        <w:rPr>
          <w:sz w:val="24"/>
        </w:rPr>
        <w:t xml:space="preserve"> and adults ages 18-54. </w:t>
      </w:r>
      <w:r w:rsidRPr="00BB3522" w:rsidR="00C80A8B">
        <w:rPr>
          <w:sz w:val="24"/>
          <w:szCs w:val="24"/>
        </w:rPr>
        <w:t xml:space="preserve">Participants will be recruited via </w:t>
      </w:r>
      <w:r w:rsidR="00C80A8B">
        <w:rPr>
          <w:sz w:val="24"/>
          <w:szCs w:val="24"/>
        </w:rPr>
        <w:t xml:space="preserve">a participant </w:t>
      </w:r>
      <w:r w:rsidRPr="00BB3522" w:rsidR="00C80A8B">
        <w:rPr>
          <w:sz w:val="24"/>
          <w:szCs w:val="24"/>
        </w:rPr>
        <w:t>panel</w:t>
      </w:r>
      <w:r w:rsidR="00C80A8B">
        <w:rPr>
          <w:sz w:val="24"/>
          <w:szCs w:val="24"/>
        </w:rPr>
        <w:t xml:space="preserve"> </w:t>
      </w:r>
      <w:r w:rsidRPr="002E3ECD" w:rsidR="00C80A8B">
        <w:rPr>
          <w:sz w:val="24"/>
          <w:szCs w:val="24"/>
        </w:rPr>
        <w:t>composed of adults in the United States</w:t>
      </w:r>
      <w:r w:rsidR="00C80A8B">
        <w:rPr>
          <w:sz w:val="24"/>
          <w:szCs w:val="24"/>
        </w:rPr>
        <w:t xml:space="preserve"> and includes adults</w:t>
      </w:r>
      <w:r w:rsidRPr="002E3ECD" w:rsidR="00C80A8B">
        <w:rPr>
          <w:sz w:val="24"/>
          <w:szCs w:val="24"/>
        </w:rPr>
        <w:t xml:space="preserve"> with children ages 13-17 who have been prescreened for their willingness for their child to participate in online surveys</w:t>
      </w:r>
      <w:r w:rsidR="00C80A8B">
        <w:rPr>
          <w:sz w:val="24"/>
          <w:szCs w:val="24"/>
        </w:rPr>
        <w:t xml:space="preserve">. </w:t>
      </w:r>
      <w:r w:rsidR="00C80A8B">
        <w:rPr>
          <w:sz w:val="24"/>
        </w:rPr>
        <w:t xml:space="preserve">For adult recruitment, adults will be recruited directly from the panel. For youth recruitment, </w:t>
      </w:r>
      <w:r w:rsidR="00A45413">
        <w:rPr>
          <w:sz w:val="24"/>
        </w:rPr>
        <w:t>t</w:t>
      </w:r>
      <w:r w:rsidRPr="002E054D">
        <w:rPr>
          <w:sz w:val="24"/>
        </w:rPr>
        <w:t xml:space="preserve">he </w:t>
      </w:r>
      <w:r w:rsidR="00C80A8B">
        <w:rPr>
          <w:sz w:val="24"/>
        </w:rPr>
        <w:t>parent</w:t>
      </w:r>
      <w:r w:rsidRPr="002E054D">
        <w:rPr>
          <w:sz w:val="24"/>
        </w:rPr>
        <w:t xml:space="preserve"> will determine if they are interested in their child participating in the survey.</w:t>
      </w:r>
      <w:r w:rsidR="00C80A8B">
        <w:rPr>
          <w:sz w:val="24"/>
        </w:rPr>
        <w:t xml:space="preserve"> </w:t>
      </w:r>
      <w:r w:rsidRPr="002E054D">
        <w:rPr>
          <w:sz w:val="24"/>
        </w:rPr>
        <w:t xml:space="preserve">As this study is considered part of formative research for campaign development and planning, these methods are not intended to generate nationally representative samples or precise estimates of population parameters. The sample </w:t>
      </w:r>
      <w:r w:rsidRPr="002E054D">
        <w:rPr>
          <w:sz w:val="24"/>
        </w:rPr>
        <w:lastRenderedPageBreak/>
        <w:t xml:space="preserve">drawn here is designed primarily to provide information on the </w:t>
      </w:r>
      <w:r w:rsidR="00A45413">
        <w:rPr>
          <w:sz w:val="24"/>
        </w:rPr>
        <w:t xml:space="preserve">tobacco related messaging </w:t>
      </w:r>
      <w:r w:rsidRPr="002E054D">
        <w:rPr>
          <w:sz w:val="24"/>
        </w:rPr>
        <w:t xml:space="preserve">effectiveness of tobacco-related facts </w:t>
      </w:r>
      <w:r w:rsidR="00C80A8B">
        <w:rPr>
          <w:sz w:val="24"/>
        </w:rPr>
        <w:t>and messaged</w:t>
      </w:r>
      <w:r w:rsidRPr="002E054D">
        <w:rPr>
          <w:sz w:val="24"/>
        </w:rPr>
        <w:t xml:space="preserve">.  </w:t>
      </w:r>
    </w:p>
    <w:p w:rsidRPr="002E054D" w:rsidR="004759E8" w:rsidP="00DC2F2B" w:rsidRDefault="004759E8" w14:paraId="07F96A10" w14:textId="77777777">
      <w:pPr>
        <w:ind w:left="288"/>
        <w:rPr>
          <w:sz w:val="24"/>
        </w:rPr>
      </w:pPr>
    </w:p>
    <w:p w:rsidRPr="002E054D" w:rsidR="004759E8" w:rsidP="00DC2F2B" w:rsidRDefault="004759E8" w14:paraId="0666A735" w14:textId="77777777">
      <w:pPr>
        <w:ind w:left="288"/>
        <w:rPr>
          <w:sz w:val="24"/>
        </w:rPr>
      </w:pPr>
      <w:r w:rsidRPr="002E054D">
        <w:rPr>
          <w:sz w:val="24"/>
        </w:rPr>
        <w:t xml:space="preserve">After initially accepting the invitation to join the panel, participants are asked to complete a short demographic survey (the initial profile survey); answers to these questions allow efficient panel sampling and weighting for surveys.  </w:t>
      </w:r>
    </w:p>
    <w:p w:rsidRPr="002E054D" w:rsidR="004759E8" w:rsidP="00DC2F2B" w:rsidRDefault="004759E8" w14:paraId="2B2942FE" w14:textId="77777777">
      <w:pPr>
        <w:ind w:left="288"/>
        <w:rPr>
          <w:sz w:val="24"/>
        </w:rPr>
      </w:pPr>
    </w:p>
    <w:p w:rsidRPr="000E3F87" w:rsidR="000E3F87" w:rsidP="00DC2F2B" w:rsidRDefault="004759E8" w14:paraId="68FBE097" w14:textId="77777777">
      <w:pPr>
        <w:ind w:left="288"/>
        <w:rPr>
          <w:i/>
          <w:sz w:val="24"/>
          <w:u w:val="single"/>
        </w:rPr>
      </w:pPr>
      <w:r w:rsidRPr="000E3F87">
        <w:rPr>
          <w:i/>
          <w:sz w:val="24"/>
          <w:u w:val="single"/>
        </w:rPr>
        <w:t>Sample Size</w:t>
      </w:r>
    </w:p>
    <w:p w:rsidR="005A263E" w:rsidP="00DC2F2B" w:rsidRDefault="005A263E" w14:paraId="15C997F7" w14:textId="77777777">
      <w:pPr>
        <w:ind w:left="288"/>
        <w:rPr>
          <w:sz w:val="24"/>
        </w:rPr>
      </w:pPr>
    </w:p>
    <w:p w:rsidR="000E3F87" w:rsidP="00DC2F2B" w:rsidRDefault="004759E8" w14:paraId="21E3E44A" w14:textId="6EFDB304">
      <w:pPr>
        <w:ind w:left="288"/>
        <w:rPr>
          <w:sz w:val="24"/>
          <w:szCs w:val="24"/>
        </w:rPr>
      </w:pPr>
      <w:r w:rsidRPr="002E054D">
        <w:rPr>
          <w:sz w:val="24"/>
        </w:rPr>
        <w:t xml:space="preserve">To obtain a final </w:t>
      </w:r>
      <w:r w:rsidRPr="00A369BC">
        <w:rPr>
          <w:sz w:val="24"/>
        </w:rPr>
        <w:t xml:space="preserve">sample of </w:t>
      </w:r>
      <w:r w:rsidR="00F9400A">
        <w:rPr>
          <w:sz w:val="24"/>
        </w:rPr>
        <w:t>5</w:t>
      </w:r>
      <w:r w:rsidR="000E3F87">
        <w:rPr>
          <w:sz w:val="24"/>
        </w:rPr>
        <w:t>,500</w:t>
      </w:r>
      <w:r w:rsidRPr="00A369BC" w:rsidR="00A369BC">
        <w:rPr>
          <w:sz w:val="24"/>
        </w:rPr>
        <w:t xml:space="preserve"> </w:t>
      </w:r>
      <w:r w:rsidRPr="00A369BC">
        <w:rPr>
          <w:sz w:val="24"/>
        </w:rPr>
        <w:t xml:space="preserve">youth ages 13-17 who have experimented </w:t>
      </w:r>
      <w:r w:rsidRPr="00A369BC" w:rsidR="00A369BC">
        <w:rPr>
          <w:sz w:val="24"/>
        </w:rPr>
        <w:t>or are susceptible to tobacco use</w:t>
      </w:r>
      <w:r w:rsidRPr="00A369BC">
        <w:rPr>
          <w:sz w:val="24"/>
        </w:rPr>
        <w:t xml:space="preserve">, we will need to screen </w:t>
      </w:r>
      <w:r w:rsidRPr="000E3F87">
        <w:rPr>
          <w:sz w:val="24"/>
        </w:rPr>
        <w:t xml:space="preserve">approximately </w:t>
      </w:r>
      <w:r w:rsidR="00F9400A">
        <w:rPr>
          <w:sz w:val="24"/>
        </w:rPr>
        <w:t>8,250</w:t>
      </w:r>
      <w:r w:rsidRPr="000E3F87">
        <w:rPr>
          <w:sz w:val="24"/>
        </w:rPr>
        <w:t xml:space="preserve"> potential respondents</w:t>
      </w:r>
      <w:r w:rsidRPr="002E054D">
        <w:rPr>
          <w:sz w:val="24"/>
        </w:rPr>
        <w:t>.</w:t>
      </w:r>
      <w:r w:rsidR="000E3F87">
        <w:rPr>
          <w:sz w:val="24"/>
        </w:rPr>
        <w:t xml:space="preserve"> To obtain a final sample of </w:t>
      </w:r>
      <w:r w:rsidR="00F9400A">
        <w:rPr>
          <w:sz w:val="24"/>
        </w:rPr>
        <w:t>5</w:t>
      </w:r>
      <w:r w:rsidR="000E3F87">
        <w:rPr>
          <w:sz w:val="24"/>
        </w:rPr>
        <w:t xml:space="preserve">,500 adult current or former tobacco users, we will need to screen in approximately </w:t>
      </w:r>
      <w:r w:rsidR="00F9400A">
        <w:rPr>
          <w:sz w:val="24"/>
        </w:rPr>
        <w:t>8</w:t>
      </w:r>
      <w:r w:rsidR="000E3F87">
        <w:rPr>
          <w:sz w:val="24"/>
        </w:rPr>
        <w:t>,250 potential respondents.</w:t>
      </w:r>
      <w:r w:rsidRPr="002E054D">
        <w:rPr>
          <w:sz w:val="24"/>
        </w:rPr>
        <w:t xml:space="preserve">  </w:t>
      </w:r>
      <w:r w:rsidR="000E3F87">
        <w:rPr>
          <w:sz w:val="24"/>
          <w:szCs w:val="24"/>
        </w:rPr>
        <w:t xml:space="preserve">Because we are using a panel provider with a proven track record of being able to recruit participants that fit specifications for inclusion, we anticipate we will need to recruit 1.5 times our desired sample for this study. </w:t>
      </w:r>
    </w:p>
    <w:bookmarkEnd w:id="0"/>
    <w:bookmarkEnd w:id="1"/>
    <w:p w:rsidRPr="00A77197" w:rsidR="008E416F" w:rsidRDefault="008E416F" w14:paraId="72339EA2" w14:textId="77777777">
      <w:pPr>
        <w:spacing w:before="100" w:beforeAutospacing="1" w:after="100" w:afterAutospacing="1"/>
        <w:rPr>
          <w:b/>
          <w:sz w:val="24"/>
          <w:szCs w:val="24"/>
          <w:u w:val="single"/>
        </w:rPr>
      </w:pPr>
      <w:r w:rsidRPr="00DC2F2B">
        <w:rPr>
          <w:b/>
          <w:sz w:val="24"/>
          <w:szCs w:val="24"/>
        </w:rPr>
        <w:t xml:space="preserve">2. </w:t>
      </w:r>
      <w:r w:rsidRPr="00A77197">
        <w:rPr>
          <w:b/>
          <w:sz w:val="24"/>
          <w:szCs w:val="24"/>
          <w:u w:val="single"/>
        </w:rPr>
        <w:t xml:space="preserve">Procedures for the Collection of Information </w:t>
      </w:r>
    </w:p>
    <w:p w:rsidR="00DD73FD" w:rsidP="00DC2F2B" w:rsidRDefault="00DD73FD" w14:paraId="4159AB08" w14:textId="77777777">
      <w:pPr>
        <w:ind w:left="288"/>
        <w:rPr>
          <w:sz w:val="24"/>
          <w:szCs w:val="24"/>
        </w:rPr>
      </w:pPr>
      <w:r w:rsidRPr="002E054D">
        <w:rPr>
          <w:sz w:val="24"/>
          <w:szCs w:val="24"/>
        </w:rPr>
        <w:t xml:space="preserve">This section describes the procedures for the survey data collection. The survey will be conducted via a web-based survey.  </w:t>
      </w:r>
      <w:r w:rsidR="000E3F87">
        <w:rPr>
          <w:sz w:val="24"/>
          <w:szCs w:val="24"/>
        </w:rPr>
        <w:t>For youth to</w:t>
      </w:r>
      <w:r w:rsidRPr="002E054D">
        <w:rPr>
          <w:sz w:val="24"/>
          <w:szCs w:val="24"/>
        </w:rPr>
        <w:t xml:space="preserve"> be eligible</w:t>
      </w:r>
      <w:r w:rsidR="000E3F87">
        <w:rPr>
          <w:sz w:val="24"/>
          <w:szCs w:val="24"/>
        </w:rPr>
        <w:t xml:space="preserve"> to participate</w:t>
      </w:r>
      <w:r w:rsidRPr="002E054D">
        <w:rPr>
          <w:sz w:val="24"/>
          <w:szCs w:val="24"/>
        </w:rPr>
        <w:t xml:space="preserve">, the parent must </w:t>
      </w:r>
      <w:r w:rsidR="00F9400A">
        <w:rPr>
          <w:sz w:val="24"/>
          <w:szCs w:val="24"/>
        </w:rPr>
        <w:t>not optout of allowing their child to participate</w:t>
      </w:r>
      <w:r w:rsidRPr="002E054D">
        <w:rPr>
          <w:sz w:val="24"/>
          <w:szCs w:val="24"/>
        </w:rPr>
        <w:t xml:space="preserve">, the youth must give their assent, and the youth (age 13-17) must be either a person who has experimented with </w:t>
      </w:r>
      <w:r w:rsidR="000E3F87">
        <w:rPr>
          <w:sz w:val="24"/>
          <w:szCs w:val="24"/>
        </w:rPr>
        <w:t>tobacco</w:t>
      </w:r>
      <w:r w:rsidRPr="002E054D">
        <w:rPr>
          <w:sz w:val="24"/>
          <w:szCs w:val="24"/>
        </w:rPr>
        <w:t xml:space="preserve"> or a youth (ages 13-17) who is susceptible </w:t>
      </w:r>
      <w:r w:rsidR="000E3F87">
        <w:rPr>
          <w:sz w:val="24"/>
          <w:szCs w:val="24"/>
        </w:rPr>
        <w:t>to using tobacco</w:t>
      </w:r>
      <w:r w:rsidRPr="002E054D">
        <w:rPr>
          <w:sz w:val="24"/>
          <w:szCs w:val="24"/>
        </w:rPr>
        <w:t xml:space="preserve"> in the future. </w:t>
      </w:r>
      <w:r w:rsidR="000E3F87">
        <w:rPr>
          <w:sz w:val="24"/>
          <w:szCs w:val="24"/>
        </w:rPr>
        <w:t xml:space="preserve">For adults to be eligible to participate, they must consent to </w:t>
      </w:r>
      <w:r w:rsidR="00F9400A">
        <w:rPr>
          <w:sz w:val="24"/>
          <w:szCs w:val="24"/>
        </w:rPr>
        <w:t>participate,</w:t>
      </w:r>
      <w:r w:rsidR="000E3F87">
        <w:rPr>
          <w:sz w:val="24"/>
          <w:szCs w:val="24"/>
        </w:rPr>
        <w:t xml:space="preserve"> and either be </w:t>
      </w:r>
      <w:r w:rsidR="00792BFD">
        <w:rPr>
          <w:sz w:val="24"/>
          <w:szCs w:val="24"/>
        </w:rPr>
        <w:t xml:space="preserve">a current or former smoker. </w:t>
      </w:r>
      <w:r>
        <w:rPr>
          <w:sz w:val="24"/>
          <w:szCs w:val="24"/>
        </w:rPr>
        <w:t>The screener is outlined in Attachment</w:t>
      </w:r>
      <w:r w:rsidR="00792BFD">
        <w:rPr>
          <w:sz w:val="24"/>
          <w:szCs w:val="24"/>
        </w:rPr>
        <w:t>s D and E</w:t>
      </w:r>
      <w:r>
        <w:rPr>
          <w:sz w:val="24"/>
          <w:szCs w:val="24"/>
        </w:rPr>
        <w:t xml:space="preserve">. </w:t>
      </w:r>
      <w:r w:rsidRPr="002E054D">
        <w:rPr>
          <w:sz w:val="24"/>
          <w:szCs w:val="24"/>
        </w:rPr>
        <w:t xml:space="preserve">The survey instrument </w:t>
      </w:r>
      <w:r>
        <w:rPr>
          <w:sz w:val="24"/>
          <w:szCs w:val="24"/>
        </w:rPr>
        <w:t>(</w:t>
      </w:r>
      <w:r w:rsidRPr="002E054D">
        <w:rPr>
          <w:sz w:val="24"/>
          <w:szCs w:val="24"/>
        </w:rPr>
        <w:t xml:space="preserve">Attachment </w:t>
      </w:r>
      <w:r w:rsidR="00792BFD">
        <w:rPr>
          <w:sz w:val="24"/>
          <w:szCs w:val="24"/>
        </w:rPr>
        <w:t>F and G</w:t>
      </w:r>
      <w:r>
        <w:rPr>
          <w:sz w:val="24"/>
          <w:szCs w:val="24"/>
        </w:rPr>
        <w:t xml:space="preserve">) </w:t>
      </w:r>
      <w:r w:rsidRPr="002E054D">
        <w:rPr>
          <w:sz w:val="24"/>
          <w:szCs w:val="24"/>
        </w:rPr>
        <w:t>will include</w:t>
      </w:r>
      <w:r>
        <w:rPr>
          <w:sz w:val="24"/>
          <w:szCs w:val="24"/>
        </w:rPr>
        <w:t xml:space="preserve"> the survey questions and</w:t>
      </w:r>
      <w:r w:rsidRPr="002E054D">
        <w:rPr>
          <w:sz w:val="24"/>
          <w:szCs w:val="24"/>
        </w:rPr>
        <w:t xml:space="preserve"> contact information for </w:t>
      </w:r>
      <w:r w:rsidR="00C01FCF">
        <w:rPr>
          <w:sz w:val="24"/>
          <w:szCs w:val="24"/>
        </w:rPr>
        <w:t xml:space="preserve">the IRB </w:t>
      </w:r>
      <w:r w:rsidRPr="002E054D">
        <w:rPr>
          <w:sz w:val="24"/>
          <w:szCs w:val="24"/>
        </w:rPr>
        <w:t>who will be available to respond to questions posed by participants. The survey will be hosted on cloud</w:t>
      </w:r>
      <w:r>
        <w:rPr>
          <w:sz w:val="24"/>
          <w:szCs w:val="24"/>
        </w:rPr>
        <w:t>-</w:t>
      </w:r>
      <w:r w:rsidRPr="002E054D">
        <w:rPr>
          <w:sz w:val="24"/>
          <w:szCs w:val="24"/>
        </w:rPr>
        <w:t xml:space="preserve">based servers. All surveys will be conducted using a self-administered, online questionnaire.  </w:t>
      </w:r>
    </w:p>
    <w:p w:rsidRPr="00F9400A" w:rsidR="00F9400A" w:rsidP="00DC2F2B" w:rsidRDefault="00F9400A" w14:paraId="28032740" w14:textId="77777777">
      <w:pPr>
        <w:ind w:left="288"/>
        <w:rPr>
          <w:sz w:val="24"/>
          <w:szCs w:val="24"/>
        </w:rPr>
      </w:pPr>
    </w:p>
    <w:p w:rsidR="009D35CF" w:rsidP="00DC2F2B" w:rsidRDefault="009D35CF" w14:paraId="1C0597D2" w14:textId="77777777">
      <w:pPr>
        <w:pStyle w:val="bodytextpsg"/>
        <w:ind w:left="288" w:firstLine="0"/>
        <w:rPr>
          <w:b/>
          <w:bCs/>
          <w:i/>
          <w:iCs/>
          <w:sz w:val="24"/>
          <w:szCs w:val="24"/>
        </w:rPr>
      </w:pPr>
      <w:r w:rsidRPr="00E378E8">
        <w:rPr>
          <w:b/>
          <w:bCs/>
          <w:i/>
          <w:iCs/>
          <w:sz w:val="24"/>
          <w:szCs w:val="24"/>
        </w:rPr>
        <w:t xml:space="preserve">Summary of </w:t>
      </w:r>
      <w:r w:rsidR="00273CAA">
        <w:rPr>
          <w:b/>
          <w:bCs/>
          <w:i/>
          <w:iCs/>
          <w:sz w:val="24"/>
          <w:szCs w:val="24"/>
        </w:rPr>
        <w:t>P</w:t>
      </w:r>
      <w:r w:rsidRPr="00E378E8">
        <w:rPr>
          <w:b/>
          <w:bCs/>
          <w:i/>
          <w:iCs/>
          <w:sz w:val="24"/>
          <w:szCs w:val="24"/>
        </w:rPr>
        <w:t xml:space="preserve">rotocol </w:t>
      </w:r>
    </w:p>
    <w:p w:rsidRPr="002E054D" w:rsidR="00DD73FD" w:rsidP="00DC2F2B" w:rsidRDefault="00DD73FD" w14:paraId="1D9E1767" w14:textId="77777777">
      <w:pPr>
        <w:ind w:left="288"/>
        <w:rPr>
          <w:sz w:val="24"/>
          <w:szCs w:val="24"/>
        </w:rPr>
      </w:pPr>
      <w:r w:rsidRPr="002E054D">
        <w:rPr>
          <w:sz w:val="24"/>
          <w:szCs w:val="24"/>
        </w:rPr>
        <w:t>The list of study procedures is as follows:</w:t>
      </w:r>
    </w:p>
    <w:p w:rsidRPr="002E054D" w:rsidR="00DD73FD" w:rsidP="00DD73FD" w:rsidRDefault="00DD73FD" w14:paraId="54F4822A" w14:textId="77777777">
      <w:pPr>
        <w:rPr>
          <w:sz w:val="24"/>
          <w:szCs w:val="24"/>
        </w:rPr>
      </w:pPr>
    </w:p>
    <w:p w:rsidR="00792BFD" w:rsidP="00DD73FD" w:rsidRDefault="000B70C7" w14:paraId="4332647E" w14:textId="77777777">
      <w:pPr>
        <w:numPr>
          <w:ilvl w:val="0"/>
          <w:numId w:val="32"/>
        </w:numPr>
        <w:ind w:left="1440"/>
        <w:rPr>
          <w:sz w:val="24"/>
          <w:szCs w:val="24"/>
        </w:rPr>
      </w:pPr>
      <w:r>
        <w:rPr>
          <w:sz w:val="24"/>
          <w:szCs w:val="24"/>
        </w:rPr>
        <w:t>Youth and a</w:t>
      </w:r>
      <w:r w:rsidRPr="002E054D" w:rsidR="00DD73FD">
        <w:rPr>
          <w:sz w:val="24"/>
          <w:szCs w:val="24"/>
        </w:rPr>
        <w:t xml:space="preserve">dult panelists are recruited through </w:t>
      </w:r>
      <w:r>
        <w:rPr>
          <w:sz w:val="24"/>
          <w:szCs w:val="24"/>
        </w:rPr>
        <w:t>an online p</w:t>
      </w:r>
      <w:r w:rsidRPr="002E054D" w:rsidR="00DD73FD">
        <w:rPr>
          <w:sz w:val="24"/>
          <w:szCs w:val="24"/>
        </w:rPr>
        <w:t>anel.</w:t>
      </w:r>
      <w:r w:rsidR="00792BFD">
        <w:rPr>
          <w:sz w:val="24"/>
          <w:szCs w:val="24"/>
        </w:rPr>
        <w:t xml:space="preserve"> For adult recruitment, adults will be recruited directly from the panel. They will be sent a consent form (Attachment C). </w:t>
      </w:r>
      <w:r w:rsidRPr="002E054D" w:rsidR="00DD73FD">
        <w:rPr>
          <w:sz w:val="24"/>
          <w:szCs w:val="24"/>
        </w:rPr>
        <w:t xml:space="preserve"> </w:t>
      </w:r>
      <w:r>
        <w:rPr>
          <w:sz w:val="24"/>
          <w:szCs w:val="24"/>
        </w:rPr>
        <w:t xml:space="preserve"> </w:t>
      </w:r>
    </w:p>
    <w:p w:rsidRPr="002E054D" w:rsidR="00DD73FD" w:rsidP="00DD73FD" w:rsidRDefault="00792BFD" w14:paraId="7F460A70" w14:textId="77777777">
      <w:pPr>
        <w:numPr>
          <w:ilvl w:val="0"/>
          <w:numId w:val="32"/>
        </w:numPr>
        <w:ind w:left="1440"/>
        <w:rPr>
          <w:sz w:val="24"/>
          <w:szCs w:val="24"/>
        </w:rPr>
      </w:pPr>
      <w:r>
        <w:rPr>
          <w:sz w:val="24"/>
          <w:szCs w:val="24"/>
        </w:rPr>
        <w:t>For youth recruitment, a</w:t>
      </w:r>
      <w:r w:rsidR="000B70C7">
        <w:rPr>
          <w:sz w:val="24"/>
          <w:szCs w:val="24"/>
        </w:rPr>
        <w:t>dult p</w:t>
      </w:r>
      <w:r w:rsidRPr="002E054D" w:rsidR="00DD73FD">
        <w:rPr>
          <w:sz w:val="24"/>
          <w:szCs w:val="24"/>
        </w:rPr>
        <w:t xml:space="preserve">anel members are prescreened for their child’s age as well as their willingness for their child to participate in online surveys.  </w:t>
      </w:r>
    </w:p>
    <w:p w:rsidRPr="006A115B" w:rsidR="00DD73FD" w:rsidP="006A115B" w:rsidRDefault="00792BFD" w14:paraId="3D0B74A2" w14:textId="30D10191">
      <w:pPr>
        <w:numPr>
          <w:ilvl w:val="0"/>
          <w:numId w:val="32"/>
        </w:numPr>
        <w:ind w:left="1440"/>
        <w:rPr>
          <w:sz w:val="24"/>
          <w:szCs w:val="24"/>
        </w:rPr>
      </w:pPr>
      <w:r>
        <w:rPr>
          <w:sz w:val="24"/>
          <w:szCs w:val="24"/>
        </w:rPr>
        <w:t>For youth recruitment, a</w:t>
      </w:r>
      <w:r w:rsidR="000B70C7">
        <w:rPr>
          <w:sz w:val="24"/>
          <w:szCs w:val="24"/>
        </w:rPr>
        <w:t>dult panel members will receive a</w:t>
      </w:r>
      <w:r w:rsidR="00D328FB">
        <w:rPr>
          <w:sz w:val="24"/>
          <w:szCs w:val="24"/>
        </w:rPr>
        <w:t xml:space="preserve">n email invitation and a </w:t>
      </w:r>
      <w:r>
        <w:rPr>
          <w:sz w:val="24"/>
          <w:szCs w:val="24"/>
        </w:rPr>
        <w:t xml:space="preserve">notification </w:t>
      </w:r>
      <w:r w:rsidR="00BB008F">
        <w:rPr>
          <w:sz w:val="24"/>
          <w:szCs w:val="24"/>
        </w:rPr>
        <w:t xml:space="preserve">and opt-out </w:t>
      </w:r>
      <w:r>
        <w:rPr>
          <w:sz w:val="24"/>
          <w:szCs w:val="24"/>
        </w:rPr>
        <w:t>form</w:t>
      </w:r>
      <w:r w:rsidR="000B70C7">
        <w:rPr>
          <w:sz w:val="24"/>
          <w:szCs w:val="24"/>
        </w:rPr>
        <w:t xml:space="preserve"> </w:t>
      </w:r>
      <w:r w:rsidRPr="002E054D" w:rsidR="00DD73FD">
        <w:rPr>
          <w:sz w:val="24"/>
          <w:szCs w:val="24"/>
        </w:rPr>
        <w:t>that indicates their child has been invited to participate in a new survey (Attachment</w:t>
      </w:r>
      <w:r w:rsidR="00D328FB">
        <w:rPr>
          <w:sz w:val="24"/>
          <w:szCs w:val="24"/>
        </w:rPr>
        <w:t>s</w:t>
      </w:r>
      <w:r w:rsidRPr="002E054D" w:rsidR="00DD73FD">
        <w:rPr>
          <w:sz w:val="24"/>
          <w:szCs w:val="24"/>
        </w:rPr>
        <w:t xml:space="preserve"> A</w:t>
      </w:r>
      <w:r w:rsidR="00D328FB">
        <w:rPr>
          <w:sz w:val="24"/>
          <w:szCs w:val="24"/>
        </w:rPr>
        <w:t xml:space="preserve"> and A1</w:t>
      </w:r>
      <w:r w:rsidRPr="002E054D" w:rsidR="00DD73FD">
        <w:rPr>
          <w:sz w:val="24"/>
          <w:szCs w:val="24"/>
        </w:rPr>
        <w:t>).</w:t>
      </w:r>
      <w:r w:rsidR="00BB008F">
        <w:rPr>
          <w:sz w:val="24"/>
          <w:szCs w:val="24"/>
        </w:rPr>
        <w:t xml:space="preserve"> </w:t>
      </w:r>
      <w:r w:rsidRPr="00792BFD" w:rsidR="00DD73FD">
        <w:rPr>
          <w:sz w:val="24"/>
          <w:szCs w:val="24"/>
        </w:rPr>
        <w:t>If</w:t>
      </w:r>
      <w:r>
        <w:rPr>
          <w:sz w:val="24"/>
          <w:szCs w:val="24"/>
        </w:rPr>
        <w:t xml:space="preserve"> </w:t>
      </w:r>
      <w:r w:rsidRPr="00792BFD" w:rsidR="000B70C7">
        <w:rPr>
          <w:sz w:val="24"/>
          <w:szCs w:val="24"/>
        </w:rPr>
        <w:t xml:space="preserve">the </w:t>
      </w:r>
      <w:r>
        <w:rPr>
          <w:sz w:val="24"/>
          <w:szCs w:val="24"/>
        </w:rPr>
        <w:t>parent</w:t>
      </w:r>
      <w:r w:rsidRPr="00792BFD" w:rsidR="000B70C7">
        <w:rPr>
          <w:sz w:val="24"/>
          <w:szCs w:val="24"/>
        </w:rPr>
        <w:t xml:space="preserve"> decides they would like their </w:t>
      </w:r>
      <w:r w:rsidRPr="00792BFD" w:rsidR="00DD73FD">
        <w:rPr>
          <w:sz w:val="24"/>
          <w:szCs w:val="24"/>
        </w:rPr>
        <w:t xml:space="preserve">child to participate in this survey, </w:t>
      </w:r>
      <w:r w:rsidRPr="006A115B" w:rsidR="00721BCB">
        <w:rPr>
          <w:sz w:val="24"/>
          <w:szCs w:val="24"/>
        </w:rPr>
        <w:t>a</w:t>
      </w:r>
      <w:r w:rsidRPr="006A115B" w:rsidR="00DD73FD">
        <w:rPr>
          <w:sz w:val="24"/>
          <w:szCs w:val="24"/>
        </w:rPr>
        <w:t xml:space="preserve">n introductory email will be sent to the youth. The </w:t>
      </w:r>
      <w:r w:rsidR="00BB008F">
        <w:rPr>
          <w:sz w:val="24"/>
          <w:szCs w:val="24"/>
        </w:rPr>
        <w:t>notification and opt-out form</w:t>
      </w:r>
      <w:r w:rsidRPr="006A115B" w:rsidR="00DD73FD">
        <w:rPr>
          <w:sz w:val="24"/>
          <w:szCs w:val="24"/>
        </w:rPr>
        <w:t xml:space="preserve"> will invite them to participate and request the child’s assent (Attachment </w:t>
      </w:r>
      <w:r w:rsidRPr="006A115B">
        <w:rPr>
          <w:sz w:val="24"/>
          <w:szCs w:val="24"/>
        </w:rPr>
        <w:t>B</w:t>
      </w:r>
      <w:r w:rsidRPr="006A115B" w:rsidR="00DD73FD">
        <w:rPr>
          <w:sz w:val="24"/>
          <w:szCs w:val="24"/>
        </w:rPr>
        <w:t xml:space="preserve">). The assent forms will provide a description of the purpose, implementer and confidentiality standards associated with the study.   </w:t>
      </w:r>
    </w:p>
    <w:p w:rsidRPr="002E054D" w:rsidR="00DD73FD" w:rsidP="00DD73FD" w:rsidRDefault="00DD73FD" w14:paraId="7B862DC2" w14:textId="77777777">
      <w:pPr>
        <w:numPr>
          <w:ilvl w:val="0"/>
          <w:numId w:val="32"/>
        </w:numPr>
        <w:ind w:left="1440"/>
        <w:rPr>
          <w:sz w:val="24"/>
          <w:szCs w:val="24"/>
        </w:rPr>
      </w:pPr>
      <w:r w:rsidRPr="002E054D">
        <w:rPr>
          <w:sz w:val="24"/>
          <w:szCs w:val="24"/>
        </w:rPr>
        <w:lastRenderedPageBreak/>
        <w:t>If the youth gives their assent</w:t>
      </w:r>
      <w:r w:rsidR="00792BFD">
        <w:rPr>
          <w:sz w:val="24"/>
          <w:szCs w:val="24"/>
        </w:rPr>
        <w:t>/adults give their consent</w:t>
      </w:r>
      <w:r w:rsidRPr="002E054D">
        <w:rPr>
          <w:sz w:val="24"/>
          <w:szCs w:val="24"/>
        </w:rPr>
        <w:t>, then they will be redirected to the online screener questions</w:t>
      </w:r>
      <w:r>
        <w:rPr>
          <w:sz w:val="24"/>
          <w:szCs w:val="24"/>
        </w:rPr>
        <w:t xml:space="preserve"> (Attachment </w:t>
      </w:r>
      <w:r w:rsidR="00A369BC">
        <w:rPr>
          <w:sz w:val="24"/>
          <w:szCs w:val="24"/>
        </w:rPr>
        <w:t>D</w:t>
      </w:r>
      <w:r w:rsidR="00792BFD">
        <w:rPr>
          <w:sz w:val="24"/>
          <w:szCs w:val="24"/>
        </w:rPr>
        <w:t xml:space="preserve"> and E</w:t>
      </w:r>
      <w:r>
        <w:rPr>
          <w:sz w:val="24"/>
          <w:szCs w:val="24"/>
        </w:rPr>
        <w:t>).</w:t>
      </w:r>
      <w:r w:rsidRPr="002E054D">
        <w:rPr>
          <w:sz w:val="24"/>
          <w:szCs w:val="24"/>
        </w:rPr>
        <w:t xml:space="preserve"> </w:t>
      </w:r>
    </w:p>
    <w:p w:rsidRPr="002E054D" w:rsidR="00DD73FD" w:rsidP="00DD73FD" w:rsidRDefault="00DD73FD" w14:paraId="6596738B" w14:textId="77777777">
      <w:pPr>
        <w:numPr>
          <w:ilvl w:val="0"/>
          <w:numId w:val="32"/>
        </w:numPr>
        <w:ind w:left="1440"/>
        <w:rPr>
          <w:sz w:val="24"/>
          <w:szCs w:val="24"/>
        </w:rPr>
      </w:pPr>
      <w:r w:rsidRPr="002E054D">
        <w:rPr>
          <w:sz w:val="24"/>
          <w:szCs w:val="24"/>
        </w:rPr>
        <w:t>If the respondent qualifies for the survey, he or she will begin the survey questions</w:t>
      </w:r>
      <w:r>
        <w:rPr>
          <w:sz w:val="24"/>
          <w:szCs w:val="24"/>
        </w:rPr>
        <w:t xml:space="preserve"> (Attachment </w:t>
      </w:r>
      <w:r w:rsidR="00792BFD">
        <w:rPr>
          <w:sz w:val="24"/>
          <w:szCs w:val="24"/>
        </w:rPr>
        <w:t>F and G</w:t>
      </w:r>
      <w:r>
        <w:rPr>
          <w:sz w:val="24"/>
          <w:szCs w:val="24"/>
        </w:rPr>
        <w:t>)</w:t>
      </w:r>
      <w:r w:rsidRPr="002E054D">
        <w:rPr>
          <w:sz w:val="24"/>
          <w:szCs w:val="24"/>
        </w:rPr>
        <w:t>.</w:t>
      </w:r>
    </w:p>
    <w:p w:rsidRPr="002E054D" w:rsidR="00DD73FD" w:rsidP="00DD73FD" w:rsidRDefault="00DD73FD" w14:paraId="57DB964D" w14:textId="77777777">
      <w:pPr>
        <w:numPr>
          <w:ilvl w:val="0"/>
          <w:numId w:val="32"/>
        </w:numPr>
        <w:ind w:left="1440"/>
        <w:rPr>
          <w:sz w:val="24"/>
          <w:szCs w:val="24"/>
        </w:rPr>
      </w:pPr>
      <w:r w:rsidRPr="002E054D">
        <w:rPr>
          <w:sz w:val="24"/>
          <w:szCs w:val="24"/>
        </w:rPr>
        <w:t>If the respondent does not qualify for the survey, he or she will receive text thanking them for their time and explaining that they do not qualify for the survey.</w:t>
      </w:r>
    </w:p>
    <w:p w:rsidRPr="002E054D" w:rsidR="00DD73FD" w:rsidP="00DD73FD" w:rsidRDefault="00DD73FD" w14:paraId="1E21FD03" w14:textId="77777777">
      <w:pPr>
        <w:rPr>
          <w:sz w:val="24"/>
          <w:szCs w:val="24"/>
          <w:highlight w:val="yellow"/>
        </w:rPr>
      </w:pPr>
    </w:p>
    <w:p w:rsidRPr="002E054D" w:rsidR="00DD73FD" w:rsidP="00DD73FD" w:rsidRDefault="00721BCB" w14:paraId="18F42B4B" w14:textId="77777777">
      <w:pPr>
        <w:rPr>
          <w:sz w:val="24"/>
          <w:szCs w:val="24"/>
        </w:rPr>
      </w:pPr>
      <w:r>
        <w:rPr>
          <w:sz w:val="24"/>
          <w:szCs w:val="24"/>
        </w:rPr>
        <w:t>I</w:t>
      </w:r>
      <w:r w:rsidRPr="002E054D" w:rsidR="00DD73FD">
        <w:rPr>
          <w:sz w:val="24"/>
          <w:szCs w:val="24"/>
        </w:rPr>
        <w:t>t will not be possible for anyone to enter the survey who has not been recruited through their parent, or for a respondent to complete the survey more than once. In addition, the same-worded invitation will be sent at regular intervals after the original invitation is sent to those respondents who have not yet responded.</w:t>
      </w:r>
    </w:p>
    <w:p w:rsidRPr="00CD24D2" w:rsidR="005E020E" w:rsidP="00B12150" w:rsidRDefault="005E020E" w14:paraId="70E6DE44" w14:textId="77777777">
      <w:pPr>
        <w:pStyle w:val="bodytextpsg"/>
        <w:autoSpaceDE w:val="0"/>
        <w:autoSpaceDN w:val="0"/>
        <w:adjustRightInd w:val="0"/>
        <w:ind w:firstLine="0"/>
        <w:rPr>
          <w:b/>
          <w:i/>
          <w:sz w:val="24"/>
        </w:rPr>
      </w:pPr>
      <w:r w:rsidRPr="00CD24D2">
        <w:rPr>
          <w:b/>
          <w:i/>
          <w:sz w:val="24"/>
        </w:rPr>
        <w:t>Unusual Problems Requiring Specialized Sampling Procedures</w:t>
      </w:r>
    </w:p>
    <w:p w:rsidRPr="00E378E8" w:rsidR="005E020E" w:rsidP="00A77197" w:rsidRDefault="005E020E" w14:paraId="63E9BC74" w14:textId="77777777">
      <w:pPr>
        <w:autoSpaceDE w:val="0"/>
        <w:autoSpaceDN w:val="0"/>
        <w:adjustRightInd w:val="0"/>
        <w:spacing w:line="480" w:lineRule="auto"/>
        <w:rPr>
          <w:sz w:val="24"/>
          <w:szCs w:val="24"/>
        </w:rPr>
      </w:pPr>
      <w:r w:rsidRPr="00E378E8">
        <w:rPr>
          <w:sz w:val="24"/>
          <w:szCs w:val="24"/>
        </w:rPr>
        <w:t>No specialized sampling procedures are involved.</w:t>
      </w:r>
    </w:p>
    <w:p w:rsidRPr="00CD24D2" w:rsidR="005E020E" w:rsidP="00B12150" w:rsidRDefault="005E020E" w14:paraId="18EFA1C2" w14:textId="77777777">
      <w:pPr>
        <w:autoSpaceDE w:val="0"/>
        <w:autoSpaceDN w:val="0"/>
        <w:adjustRightInd w:val="0"/>
        <w:spacing w:before="120" w:after="120"/>
        <w:rPr>
          <w:b/>
          <w:i/>
          <w:sz w:val="24"/>
        </w:rPr>
      </w:pPr>
      <w:r w:rsidRPr="00CD24D2">
        <w:rPr>
          <w:b/>
          <w:i/>
          <w:sz w:val="24"/>
        </w:rPr>
        <w:t>Use of Periodic Data Collection Cycles to Reduce Burden</w:t>
      </w:r>
    </w:p>
    <w:p w:rsidRPr="00E378E8" w:rsidR="008E416F" w:rsidP="00A77197" w:rsidRDefault="005E020E" w14:paraId="3C1D4D5E" w14:textId="77777777">
      <w:pPr>
        <w:autoSpaceDE w:val="0"/>
        <w:autoSpaceDN w:val="0"/>
        <w:adjustRightInd w:val="0"/>
        <w:spacing w:line="480" w:lineRule="auto"/>
        <w:rPr>
          <w:sz w:val="24"/>
          <w:szCs w:val="24"/>
        </w:rPr>
      </w:pPr>
      <w:r w:rsidRPr="00E378E8">
        <w:rPr>
          <w:sz w:val="24"/>
          <w:szCs w:val="24"/>
        </w:rPr>
        <w:t>This is a one-time survey data collection effort.</w:t>
      </w:r>
    </w:p>
    <w:p w:rsidRPr="00A77197" w:rsidR="008E416F" w:rsidP="005164FF" w:rsidRDefault="008E416F" w14:paraId="4B2DEA56" w14:textId="333EE466">
      <w:pPr>
        <w:pStyle w:val="Heading4"/>
        <w:rPr>
          <w:rFonts w:ascii="Times New Roman" w:hAnsi="Times New Roman" w:cs="Times New Roman"/>
          <w:szCs w:val="24"/>
          <w:u w:val="single"/>
        </w:rPr>
      </w:pPr>
      <w:r w:rsidRPr="00DC2F2B">
        <w:rPr>
          <w:rFonts w:ascii="Times New Roman" w:hAnsi="Times New Roman" w:cs="Times New Roman"/>
          <w:szCs w:val="24"/>
        </w:rPr>
        <w:t xml:space="preserve">3. </w:t>
      </w:r>
      <w:r w:rsidRPr="00A77197">
        <w:rPr>
          <w:rFonts w:ascii="Times New Roman" w:hAnsi="Times New Roman" w:cs="Times New Roman"/>
          <w:szCs w:val="24"/>
          <w:u w:val="single"/>
        </w:rPr>
        <w:t>Methods to Maximize Response Rates</w:t>
      </w:r>
      <w:r w:rsidR="005A263E">
        <w:rPr>
          <w:rFonts w:ascii="Times New Roman" w:hAnsi="Times New Roman" w:cs="Times New Roman"/>
          <w:szCs w:val="24"/>
          <w:u w:val="single"/>
        </w:rPr>
        <w:t xml:space="preserve"> and Deal with Non-response</w:t>
      </w:r>
    </w:p>
    <w:p w:rsidR="00DD73FD" w:rsidP="00C865CA" w:rsidRDefault="00DD73FD" w14:paraId="3B83C141" w14:textId="77777777">
      <w:pPr>
        <w:rPr>
          <w:b/>
          <w:sz w:val="24"/>
          <w:szCs w:val="24"/>
          <w:u w:val="single"/>
        </w:rPr>
      </w:pPr>
    </w:p>
    <w:p w:rsidR="00DD73FD" w:rsidP="005A263E" w:rsidRDefault="00DD73FD" w14:paraId="4899B68D" w14:textId="7E35592A">
      <w:pPr>
        <w:ind w:left="288"/>
        <w:rPr>
          <w:sz w:val="24"/>
          <w:szCs w:val="24"/>
        </w:rPr>
      </w:pPr>
      <w:r w:rsidRPr="002E054D">
        <w:rPr>
          <w:sz w:val="24"/>
          <w:szCs w:val="24"/>
        </w:rPr>
        <w:t xml:space="preserve">The ability to obtain the cooperation of potential respondents in the survey will be important to the success of this study. </w:t>
      </w:r>
      <w:r w:rsidR="00721BCB">
        <w:rPr>
          <w:sz w:val="24"/>
          <w:szCs w:val="24"/>
        </w:rPr>
        <w:t>FDA</w:t>
      </w:r>
      <w:r w:rsidRPr="002E054D">
        <w:rPr>
          <w:sz w:val="24"/>
          <w:szCs w:val="24"/>
        </w:rPr>
        <w:t xml:space="preserve"> will minimize the non-response rate by employing the following measures:</w:t>
      </w:r>
    </w:p>
    <w:p w:rsidRPr="002E054D" w:rsidR="005A263E" w:rsidP="00DC2F2B" w:rsidRDefault="005A263E" w14:paraId="5FAA9F09" w14:textId="77777777">
      <w:pPr>
        <w:ind w:left="288"/>
        <w:rPr>
          <w:sz w:val="24"/>
          <w:szCs w:val="24"/>
        </w:rPr>
      </w:pPr>
    </w:p>
    <w:p w:rsidRPr="002E054D" w:rsidR="00DD73FD" w:rsidP="00DD73FD" w:rsidRDefault="00DD73FD" w14:paraId="4BFD1431" w14:textId="77777777">
      <w:pPr>
        <w:numPr>
          <w:ilvl w:val="0"/>
          <w:numId w:val="33"/>
        </w:numPr>
        <w:ind w:left="720"/>
        <w:rPr>
          <w:sz w:val="24"/>
          <w:szCs w:val="24"/>
        </w:rPr>
      </w:pPr>
      <w:r w:rsidRPr="002E054D">
        <w:rPr>
          <w:sz w:val="24"/>
          <w:szCs w:val="24"/>
        </w:rPr>
        <w:t xml:space="preserve">Working with an existing panel of </w:t>
      </w:r>
      <w:r w:rsidR="006A115B">
        <w:rPr>
          <w:sz w:val="24"/>
          <w:szCs w:val="24"/>
        </w:rPr>
        <w:t xml:space="preserve">adult participants, including </w:t>
      </w:r>
      <w:r w:rsidRPr="002E054D">
        <w:rPr>
          <w:sz w:val="24"/>
          <w:szCs w:val="24"/>
        </w:rPr>
        <w:t>parent participants who have previously indicated their willingness for a child in their household ages 13-17 to participate in youth studies.</w:t>
      </w:r>
    </w:p>
    <w:p w:rsidRPr="002E054D" w:rsidR="00DD73FD" w:rsidP="00DD73FD" w:rsidRDefault="00DD73FD" w14:paraId="46FC74E4" w14:textId="2FA402FF">
      <w:pPr>
        <w:numPr>
          <w:ilvl w:val="0"/>
          <w:numId w:val="33"/>
        </w:numPr>
        <w:ind w:left="720"/>
        <w:rPr>
          <w:sz w:val="24"/>
          <w:szCs w:val="24"/>
        </w:rPr>
      </w:pPr>
      <w:r w:rsidRPr="002E054D">
        <w:rPr>
          <w:sz w:val="24"/>
          <w:szCs w:val="24"/>
        </w:rPr>
        <w:t>Sending a reminder email for initial non-response</w:t>
      </w:r>
      <w:r w:rsidR="005A263E">
        <w:rPr>
          <w:sz w:val="24"/>
          <w:szCs w:val="24"/>
        </w:rPr>
        <w:t>.</w:t>
      </w:r>
    </w:p>
    <w:p w:rsidRPr="002E054D" w:rsidR="00DD73FD" w:rsidP="00DD73FD" w:rsidRDefault="00DD73FD" w14:paraId="5E1D278B" w14:textId="4213CB9A">
      <w:pPr>
        <w:numPr>
          <w:ilvl w:val="0"/>
          <w:numId w:val="33"/>
        </w:numPr>
        <w:ind w:left="720"/>
        <w:rPr>
          <w:sz w:val="24"/>
          <w:szCs w:val="24"/>
        </w:rPr>
      </w:pPr>
      <w:r w:rsidRPr="002E054D">
        <w:rPr>
          <w:sz w:val="24"/>
          <w:szCs w:val="24"/>
        </w:rPr>
        <w:t>Provide incentives</w:t>
      </w:r>
      <w:r w:rsidR="005A263E">
        <w:rPr>
          <w:sz w:val="24"/>
          <w:szCs w:val="24"/>
        </w:rPr>
        <w:t>.</w:t>
      </w:r>
    </w:p>
    <w:p w:rsidRPr="002E054D" w:rsidR="00DD73FD" w:rsidP="00DD73FD" w:rsidRDefault="00DD73FD" w14:paraId="1F82DBBC" w14:textId="77777777">
      <w:pPr>
        <w:rPr>
          <w:sz w:val="24"/>
          <w:szCs w:val="24"/>
        </w:rPr>
      </w:pPr>
    </w:p>
    <w:p w:rsidRPr="002E054D" w:rsidR="00DD73FD" w:rsidP="00303512" w:rsidRDefault="00721BCB" w14:paraId="7A3485C6" w14:textId="77777777">
      <w:pPr>
        <w:ind w:left="360"/>
        <w:rPr>
          <w:sz w:val="24"/>
          <w:szCs w:val="24"/>
        </w:rPr>
      </w:pPr>
      <w:r>
        <w:rPr>
          <w:sz w:val="24"/>
          <w:szCs w:val="24"/>
        </w:rPr>
        <w:t>P</w:t>
      </w:r>
      <w:r w:rsidRPr="002E054D" w:rsidR="00DD73FD">
        <w:rPr>
          <w:sz w:val="24"/>
          <w:szCs w:val="24"/>
        </w:rPr>
        <w:t xml:space="preserve">anel participants </w:t>
      </w:r>
      <w:r>
        <w:rPr>
          <w:sz w:val="24"/>
          <w:szCs w:val="24"/>
        </w:rPr>
        <w:t xml:space="preserve">consist of individuals </w:t>
      </w:r>
      <w:r w:rsidRPr="002E054D" w:rsidR="00DD73FD">
        <w:rPr>
          <w:sz w:val="24"/>
          <w:szCs w:val="24"/>
        </w:rPr>
        <w:t>who have expressed interest in completing surveys.  By opting in to the pool of potential survey respondents and being familiar with</w:t>
      </w:r>
      <w:r>
        <w:rPr>
          <w:sz w:val="24"/>
          <w:szCs w:val="24"/>
        </w:rPr>
        <w:t xml:space="preserve"> responding to surveys as a member of a panel</w:t>
      </w:r>
      <w:r w:rsidRPr="002E054D" w:rsidR="00DD73FD">
        <w:rPr>
          <w:sz w:val="24"/>
          <w:szCs w:val="24"/>
        </w:rPr>
        <w:t xml:space="preserve"> we will be increasing the likelihood of participant response.</w:t>
      </w:r>
    </w:p>
    <w:p w:rsidR="00DD73FD" w:rsidP="00303512" w:rsidRDefault="00DD73FD" w14:paraId="4BFCEBE6" w14:textId="77777777">
      <w:pPr>
        <w:ind w:left="360"/>
        <w:rPr>
          <w:sz w:val="24"/>
          <w:szCs w:val="24"/>
        </w:rPr>
      </w:pPr>
    </w:p>
    <w:p w:rsidRPr="002E054D" w:rsidR="00DD73FD" w:rsidP="00303512" w:rsidRDefault="006A115B" w14:paraId="40F2B0D8" w14:textId="77777777">
      <w:pPr>
        <w:ind w:left="360"/>
        <w:rPr>
          <w:sz w:val="24"/>
          <w:szCs w:val="24"/>
        </w:rPr>
      </w:pPr>
      <w:r>
        <w:rPr>
          <w:sz w:val="24"/>
          <w:szCs w:val="24"/>
        </w:rPr>
        <w:t>Tokens of appreciation</w:t>
      </w:r>
      <w:r w:rsidRPr="002E054D" w:rsidR="00DD73FD">
        <w:rPr>
          <w:sz w:val="24"/>
          <w:szCs w:val="24"/>
        </w:rPr>
        <w:t xml:space="preserve"> will be </w:t>
      </w:r>
      <w:r w:rsidR="003C138B">
        <w:rPr>
          <w:sz w:val="24"/>
          <w:szCs w:val="24"/>
        </w:rPr>
        <w:t>offered in the form</w:t>
      </w:r>
      <w:r>
        <w:rPr>
          <w:sz w:val="24"/>
          <w:szCs w:val="24"/>
        </w:rPr>
        <w:t xml:space="preserve"> o</w:t>
      </w:r>
      <w:r w:rsidR="003C138B">
        <w:rPr>
          <w:sz w:val="24"/>
          <w:szCs w:val="24"/>
        </w:rPr>
        <w:t>f</w:t>
      </w:r>
      <w:r>
        <w:rPr>
          <w:sz w:val="24"/>
          <w:szCs w:val="24"/>
        </w:rPr>
        <w:t xml:space="preserve"> </w:t>
      </w:r>
      <w:r w:rsidRPr="002E054D" w:rsidR="00DD73FD">
        <w:rPr>
          <w:sz w:val="24"/>
          <w:szCs w:val="24"/>
        </w:rPr>
        <w:t xml:space="preserve">non-monetary ‘points’ </w:t>
      </w:r>
      <w:r>
        <w:rPr>
          <w:sz w:val="24"/>
          <w:szCs w:val="24"/>
        </w:rPr>
        <w:t>valued up to $10.00</w:t>
      </w:r>
      <w:r w:rsidRPr="002E054D" w:rsidR="00DD73FD">
        <w:rPr>
          <w:sz w:val="24"/>
          <w:szCs w:val="24"/>
        </w:rPr>
        <w:t xml:space="preserve">.  These points can be redeemed through </w:t>
      </w:r>
      <w:r w:rsidR="00721BCB">
        <w:rPr>
          <w:sz w:val="24"/>
          <w:szCs w:val="24"/>
        </w:rPr>
        <w:t xml:space="preserve">the panel’s </w:t>
      </w:r>
      <w:r w:rsidRPr="002E054D" w:rsidR="00DD73FD">
        <w:rPr>
          <w:sz w:val="24"/>
          <w:szCs w:val="24"/>
        </w:rPr>
        <w:t>system for goods or gift cards.  The approximate value of the points is $</w:t>
      </w:r>
      <w:r w:rsidR="00721BCB">
        <w:rPr>
          <w:sz w:val="24"/>
          <w:szCs w:val="24"/>
        </w:rPr>
        <w:t>10</w:t>
      </w:r>
      <w:r w:rsidRPr="002E054D" w:rsidR="00DD73FD">
        <w:rPr>
          <w:sz w:val="24"/>
          <w:szCs w:val="24"/>
        </w:rPr>
        <w:t xml:space="preserve"> per survey. We estimate that the survey will take 20 minutes to complete. Th</w:t>
      </w:r>
      <w:r w:rsidR="003C138B">
        <w:rPr>
          <w:sz w:val="24"/>
          <w:szCs w:val="24"/>
        </w:rPr>
        <w:t>is token of appreciation is i</w:t>
      </w:r>
      <w:r w:rsidRPr="002E054D" w:rsidR="00DD73FD">
        <w:rPr>
          <w:sz w:val="24"/>
          <w:szCs w:val="24"/>
        </w:rPr>
        <w:t>ntended to recognize the time burden placed on participants, encourage their cooperation, and convey appreciation for contributing to this important study and are similar to incentives that are offered for most surveys of this type. Numerous empirical studies have shown that incentives can significantly increase response rates in cross-sectional surveys and reduce attrition in longitudinal surveys (e.g., Abreu &amp; Winters, 1999; Castiglioni, Pforr, &amp; Krieger, 2008; Jäckle &amp; Lynn, 2008; Shettle &amp; Mooney, 1999; Singer, 2002).</w:t>
      </w:r>
    </w:p>
    <w:p w:rsidR="00DD73FD" w:rsidP="00C865CA" w:rsidRDefault="00DD73FD" w14:paraId="39772397" w14:textId="3C40B2A3">
      <w:pPr>
        <w:rPr>
          <w:b/>
          <w:sz w:val="24"/>
          <w:szCs w:val="24"/>
          <w:u w:val="single"/>
        </w:rPr>
      </w:pPr>
    </w:p>
    <w:p w:rsidRPr="005E4783" w:rsidR="00687A1A" w:rsidP="00303512" w:rsidRDefault="00C85DAE" w14:paraId="5611A850" w14:textId="72DC75FB">
      <w:pPr>
        <w:ind w:left="360"/>
        <w:rPr>
          <w:sz w:val="24"/>
          <w:szCs w:val="24"/>
          <w:u w:val="single"/>
        </w:rPr>
      </w:pPr>
      <w:r w:rsidRPr="005E4783">
        <w:rPr>
          <w:sz w:val="24"/>
          <w:szCs w:val="24"/>
        </w:rPr>
        <w:t xml:space="preserve">At CTP, OHCE, we have successfully utilized this type of token of appreciation for previous </w:t>
      </w:r>
      <w:r w:rsidRPr="005E4783" w:rsidR="00687A1A">
        <w:rPr>
          <w:sz w:val="24"/>
          <w:szCs w:val="24"/>
        </w:rPr>
        <w:t>web-based surveys of similar length</w:t>
      </w:r>
      <w:r w:rsidRPr="005E4783">
        <w:rPr>
          <w:sz w:val="24"/>
          <w:szCs w:val="24"/>
        </w:rPr>
        <w:t xml:space="preserve">, including the following studies: </w:t>
      </w:r>
      <w:r w:rsidRPr="005E4783">
        <w:rPr>
          <w:bCs/>
          <w:i/>
          <w:sz w:val="24"/>
          <w:szCs w:val="24"/>
        </w:rPr>
        <w:t>The Real Cost</w:t>
      </w:r>
      <w:r w:rsidRPr="005E4783">
        <w:rPr>
          <w:bCs/>
          <w:sz w:val="24"/>
          <w:szCs w:val="24"/>
        </w:rPr>
        <w:t xml:space="preserve"> Campaign: Online Quantitative Study of Reactions to Rough-Cut Advertising Designed to Prevent Youth Tobacco Use OMB </w:t>
      </w:r>
      <w:r w:rsidR="005A263E">
        <w:rPr>
          <w:bCs/>
          <w:sz w:val="24"/>
          <w:szCs w:val="24"/>
        </w:rPr>
        <w:t xml:space="preserve">Control No. </w:t>
      </w:r>
      <w:r w:rsidRPr="005E4783">
        <w:rPr>
          <w:bCs/>
          <w:sz w:val="24"/>
          <w:szCs w:val="24"/>
        </w:rPr>
        <w:t xml:space="preserve">0910-0810; </w:t>
      </w:r>
      <w:r w:rsidRPr="005E4783">
        <w:rPr>
          <w:sz w:val="24"/>
          <w:szCs w:val="24"/>
        </w:rPr>
        <w:t xml:space="preserve">Quantitative Study of Tobacco Facts Designed to Inform Youth Tobacco Prevention Messaging OMB </w:t>
      </w:r>
      <w:r w:rsidR="005A263E">
        <w:rPr>
          <w:sz w:val="24"/>
          <w:szCs w:val="24"/>
        </w:rPr>
        <w:t xml:space="preserve">Control No. </w:t>
      </w:r>
      <w:r w:rsidRPr="005E4783">
        <w:rPr>
          <w:sz w:val="24"/>
          <w:szCs w:val="24"/>
        </w:rPr>
        <w:t xml:space="preserve">0910-0810. </w:t>
      </w:r>
      <w:r w:rsidRPr="005E4783" w:rsidR="00687A1A">
        <w:rPr>
          <w:sz w:val="24"/>
          <w:szCs w:val="24"/>
        </w:rPr>
        <w:t>With this incentive structure, we have been able to meet our data collection goals within required time frames</w:t>
      </w:r>
      <w:r w:rsidRPr="00DC2F2B" w:rsidR="00687A1A">
        <w:rPr>
          <w:sz w:val="24"/>
          <w:szCs w:val="24"/>
        </w:rPr>
        <w:t>.</w:t>
      </w:r>
      <w:r w:rsidRPr="005E4783" w:rsidR="00687A1A">
        <w:rPr>
          <w:sz w:val="24"/>
          <w:szCs w:val="24"/>
          <w:u w:val="single"/>
        </w:rPr>
        <w:t xml:space="preserve">   </w:t>
      </w:r>
      <w:bookmarkStart w:name="_GoBack" w:id="2"/>
      <w:bookmarkEnd w:id="2"/>
    </w:p>
    <w:p w:rsidRPr="00687A1A" w:rsidR="00C85DAE" w:rsidP="00C85DAE" w:rsidRDefault="00C85DAE" w14:paraId="7CEFEE31" w14:textId="112C6D0D">
      <w:pPr>
        <w:widowControl w:val="0"/>
        <w:autoSpaceDE w:val="0"/>
        <w:autoSpaceDN w:val="0"/>
        <w:adjustRightInd w:val="0"/>
        <w:rPr>
          <w:b/>
          <w:bCs/>
          <w:sz w:val="24"/>
          <w:szCs w:val="24"/>
        </w:rPr>
      </w:pPr>
    </w:p>
    <w:p w:rsidRPr="00A77197" w:rsidR="008E416F" w:rsidP="00C865CA" w:rsidRDefault="00C85DAE" w14:paraId="739EFFF2" w14:textId="63E1E6D2">
      <w:pPr>
        <w:rPr>
          <w:b/>
          <w:sz w:val="24"/>
          <w:szCs w:val="24"/>
          <w:u w:val="single"/>
        </w:rPr>
      </w:pPr>
      <w:r w:rsidRPr="00DC2F2B">
        <w:rPr>
          <w:sz w:val="24"/>
          <w:szCs w:val="24"/>
        </w:rPr>
        <w:t xml:space="preserve"> </w:t>
      </w:r>
      <w:r w:rsidRPr="00DC2F2B" w:rsidR="008E416F">
        <w:rPr>
          <w:b/>
          <w:sz w:val="24"/>
          <w:szCs w:val="24"/>
        </w:rPr>
        <w:t>4</w:t>
      </w:r>
      <w:r w:rsidRPr="00DC2F2B" w:rsidR="008E416F">
        <w:rPr>
          <w:sz w:val="24"/>
          <w:szCs w:val="24"/>
        </w:rPr>
        <w:t>.</w:t>
      </w:r>
      <w:r w:rsidRPr="00DC2F2B" w:rsidR="008E416F">
        <w:rPr>
          <w:b/>
          <w:sz w:val="24"/>
          <w:szCs w:val="24"/>
        </w:rPr>
        <w:t xml:space="preserve"> </w:t>
      </w:r>
      <w:r w:rsidRPr="00A77197" w:rsidR="008E416F">
        <w:rPr>
          <w:b/>
          <w:sz w:val="24"/>
          <w:szCs w:val="24"/>
          <w:u w:val="single"/>
        </w:rPr>
        <w:t>Tests of Procedures or Methods</w:t>
      </w:r>
      <w:r w:rsidR="005A263E">
        <w:rPr>
          <w:b/>
          <w:sz w:val="24"/>
          <w:szCs w:val="24"/>
          <w:u w:val="single"/>
        </w:rPr>
        <w:t xml:space="preserve"> to be Undertaken</w:t>
      </w:r>
    </w:p>
    <w:p w:rsidR="00DD73FD" w:rsidP="00F53D95" w:rsidRDefault="00DD73FD" w14:paraId="35CDD309" w14:textId="77777777">
      <w:pPr>
        <w:ind w:left="720" w:hanging="720"/>
        <w:rPr>
          <w:b/>
          <w:sz w:val="24"/>
          <w:szCs w:val="24"/>
          <w:u w:val="single"/>
        </w:rPr>
      </w:pPr>
    </w:p>
    <w:p w:rsidR="00DD73FD" w:rsidP="00DC2F2B" w:rsidRDefault="00721BCB" w14:paraId="3425DE4E" w14:textId="77777777">
      <w:pPr>
        <w:ind w:left="288"/>
        <w:rPr>
          <w:sz w:val="24"/>
          <w:szCs w:val="24"/>
        </w:rPr>
      </w:pPr>
      <w:r>
        <w:rPr>
          <w:sz w:val="24"/>
          <w:szCs w:val="24"/>
        </w:rPr>
        <w:t xml:space="preserve">FDA </w:t>
      </w:r>
      <w:r w:rsidRPr="002E054D" w:rsidR="00DD73FD">
        <w:rPr>
          <w:sz w:val="24"/>
          <w:szCs w:val="24"/>
        </w:rPr>
        <w:t>will conduct rigorous internal testing of the online survey instrument prior to its fielding. Evaluators will review the online test version of the instrument that we will use to verify that instrument skip patterns are functioning properly, delivery of campaign media materials is working properly, and that all survey questions are worded correctly and are in accordance with the instrument approved by OMB.</w:t>
      </w:r>
    </w:p>
    <w:p w:rsidR="00DD73FD" w:rsidP="00F53D95" w:rsidRDefault="00DD73FD" w14:paraId="2BCE2E9A" w14:textId="77777777">
      <w:pPr>
        <w:ind w:left="720" w:hanging="720"/>
        <w:rPr>
          <w:b/>
          <w:sz w:val="24"/>
          <w:szCs w:val="24"/>
          <w:u w:val="single"/>
        </w:rPr>
      </w:pPr>
    </w:p>
    <w:p w:rsidRPr="00A77197" w:rsidR="008E416F" w:rsidP="00DC2F2B" w:rsidRDefault="008E416F" w14:paraId="1FDEA2BD" w14:textId="3FFA0AE4">
      <w:pPr>
        <w:ind w:left="288" w:hanging="288"/>
        <w:rPr>
          <w:b/>
          <w:sz w:val="24"/>
          <w:szCs w:val="24"/>
          <w:u w:val="single"/>
        </w:rPr>
      </w:pPr>
      <w:r w:rsidRPr="00DC2F2B">
        <w:rPr>
          <w:b/>
          <w:sz w:val="24"/>
          <w:szCs w:val="24"/>
        </w:rPr>
        <w:t xml:space="preserve">5. </w:t>
      </w:r>
      <w:r w:rsidRPr="00A77197">
        <w:rPr>
          <w:b/>
          <w:sz w:val="24"/>
          <w:szCs w:val="24"/>
          <w:u w:val="single"/>
        </w:rPr>
        <w:t xml:space="preserve">Individuals </w:t>
      </w:r>
      <w:r w:rsidR="005A263E">
        <w:rPr>
          <w:b/>
          <w:sz w:val="24"/>
          <w:szCs w:val="24"/>
          <w:u w:val="single"/>
        </w:rPr>
        <w:t xml:space="preserve">Consulted </w:t>
      </w:r>
      <w:r w:rsidR="001F5835">
        <w:rPr>
          <w:b/>
          <w:sz w:val="24"/>
          <w:szCs w:val="24"/>
          <w:u w:val="single"/>
        </w:rPr>
        <w:t>o</w:t>
      </w:r>
      <w:r w:rsidRPr="00A77197">
        <w:rPr>
          <w:b/>
          <w:sz w:val="24"/>
          <w:szCs w:val="24"/>
          <w:u w:val="single"/>
        </w:rPr>
        <w:t xml:space="preserve">n Statistical </w:t>
      </w:r>
      <w:r w:rsidR="001F5835">
        <w:rPr>
          <w:b/>
          <w:sz w:val="24"/>
          <w:szCs w:val="24"/>
          <w:u w:val="single"/>
        </w:rPr>
        <w:t>Aspects</w:t>
      </w:r>
      <w:r w:rsidRPr="00A77197">
        <w:rPr>
          <w:b/>
          <w:sz w:val="24"/>
          <w:szCs w:val="24"/>
          <w:u w:val="single"/>
        </w:rPr>
        <w:t xml:space="preserve"> and </w:t>
      </w:r>
      <w:r w:rsidR="001F5835">
        <w:rPr>
          <w:b/>
          <w:sz w:val="24"/>
          <w:szCs w:val="24"/>
          <w:u w:val="single"/>
        </w:rPr>
        <w:t>Individuals Collecting and/or Analyzing Data</w:t>
      </w:r>
    </w:p>
    <w:p w:rsidR="00F26E7B" w:rsidP="00684674" w:rsidRDefault="00F26E7B" w14:paraId="3B15E981" w14:textId="77777777">
      <w:pPr>
        <w:spacing w:line="300" w:lineRule="exact"/>
        <w:rPr>
          <w:sz w:val="24"/>
          <w:szCs w:val="24"/>
        </w:rPr>
      </w:pPr>
    </w:p>
    <w:p w:rsidRPr="002E054D" w:rsidR="00DD73FD" w:rsidP="00DC2F2B" w:rsidRDefault="00DD73FD" w14:paraId="52ABC038" w14:textId="77777777">
      <w:pPr>
        <w:ind w:left="288"/>
        <w:rPr>
          <w:sz w:val="24"/>
          <w:szCs w:val="24"/>
        </w:rPr>
      </w:pPr>
      <w:bookmarkStart w:name="_Toc361824168" w:id="3"/>
      <w:bookmarkStart w:name="_Toc365037510" w:id="4"/>
      <w:r w:rsidRPr="002E054D">
        <w:rPr>
          <w:sz w:val="24"/>
          <w:szCs w:val="24"/>
        </w:rPr>
        <w:t>The following individuals inside the agency have been consulted on the design of the campaign evaluation plan, audience questionnaire development, or intra-agency coordination of information collection efforts:</w:t>
      </w:r>
    </w:p>
    <w:p w:rsidRPr="002E054D" w:rsidR="00DD73FD" w:rsidP="00DC2F2B" w:rsidRDefault="00DD73FD" w14:paraId="21FA13B0" w14:textId="77777777">
      <w:pPr>
        <w:ind w:left="288"/>
        <w:rPr>
          <w:sz w:val="24"/>
          <w:szCs w:val="24"/>
        </w:rPr>
      </w:pPr>
    </w:p>
    <w:p w:rsidRPr="002E054D" w:rsidR="00DD73FD" w:rsidP="00DC2F2B" w:rsidRDefault="00721BCB" w14:paraId="11D21DA2" w14:textId="77777777">
      <w:pPr>
        <w:ind w:left="288"/>
        <w:rPr>
          <w:sz w:val="24"/>
          <w:szCs w:val="24"/>
        </w:rPr>
      </w:pPr>
      <w:r>
        <w:rPr>
          <w:sz w:val="24"/>
          <w:szCs w:val="24"/>
        </w:rPr>
        <w:t>Matthew Walker DrPH</w:t>
      </w:r>
    </w:p>
    <w:p w:rsidRPr="002E054D" w:rsidR="00DD73FD" w:rsidP="00DC2F2B" w:rsidRDefault="00DD73FD" w14:paraId="44C78966" w14:textId="77777777">
      <w:pPr>
        <w:ind w:left="288"/>
        <w:rPr>
          <w:sz w:val="24"/>
          <w:szCs w:val="24"/>
        </w:rPr>
      </w:pPr>
      <w:r w:rsidRPr="002E054D">
        <w:rPr>
          <w:sz w:val="24"/>
          <w:szCs w:val="24"/>
        </w:rPr>
        <w:t>Office of Health Communication &amp; Education</w:t>
      </w:r>
    </w:p>
    <w:p w:rsidRPr="002E054D" w:rsidR="00DD73FD" w:rsidP="00DC2F2B" w:rsidRDefault="00DD73FD" w14:paraId="35EED4B7" w14:textId="77777777">
      <w:pPr>
        <w:ind w:left="288"/>
        <w:rPr>
          <w:sz w:val="24"/>
          <w:szCs w:val="24"/>
        </w:rPr>
      </w:pPr>
      <w:r w:rsidRPr="002E054D">
        <w:rPr>
          <w:sz w:val="24"/>
          <w:szCs w:val="24"/>
        </w:rPr>
        <w:t>Center for Tobacco Products</w:t>
      </w:r>
    </w:p>
    <w:p w:rsidRPr="002E054D" w:rsidR="00DD73FD" w:rsidP="00DC2F2B" w:rsidRDefault="00DD73FD" w14:paraId="26632EF9" w14:textId="77777777">
      <w:pPr>
        <w:ind w:left="288"/>
        <w:rPr>
          <w:sz w:val="24"/>
          <w:szCs w:val="24"/>
        </w:rPr>
      </w:pPr>
      <w:r w:rsidRPr="002E054D">
        <w:rPr>
          <w:sz w:val="24"/>
          <w:szCs w:val="24"/>
        </w:rPr>
        <w:t>Food and Drug Administration</w:t>
      </w:r>
    </w:p>
    <w:p w:rsidRPr="002E054D" w:rsidR="00DD73FD" w:rsidP="00DC2F2B" w:rsidRDefault="00DD73FD" w14:paraId="460DCCAA" w14:textId="77777777">
      <w:pPr>
        <w:ind w:left="288"/>
        <w:rPr>
          <w:sz w:val="24"/>
          <w:szCs w:val="24"/>
        </w:rPr>
      </w:pPr>
      <w:r w:rsidRPr="002E054D">
        <w:rPr>
          <w:sz w:val="24"/>
          <w:szCs w:val="24"/>
        </w:rPr>
        <w:t>10903 New Hampshire Avenue</w:t>
      </w:r>
    </w:p>
    <w:p w:rsidRPr="002E054D" w:rsidR="00DD73FD" w:rsidP="00DC2F2B" w:rsidRDefault="00DD73FD" w14:paraId="1A71772B" w14:textId="77777777">
      <w:pPr>
        <w:ind w:left="288"/>
        <w:rPr>
          <w:sz w:val="24"/>
          <w:szCs w:val="24"/>
        </w:rPr>
      </w:pPr>
      <w:r w:rsidRPr="002E054D">
        <w:rPr>
          <w:sz w:val="24"/>
          <w:szCs w:val="24"/>
        </w:rPr>
        <w:t>Silver Spring, MD 20993-0002</w:t>
      </w:r>
    </w:p>
    <w:p w:rsidRPr="002E054D" w:rsidR="00DD73FD" w:rsidP="00DC2F2B" w:rsidRDefault="00DD73FD" w14:paraId="0DF56532" w14:textId="77777777">
      <w:pPr>
        <w:ind w:left="288"/>
        <w:rPr>
          <w:sz w:val="24"/>
          <w:szCs w:val="24"/>
        </w:rPr>
      </w:pPr>
      <w:r w:rsidRPr="002E054D">
        <w:rPr>
          <w:sz w:val="24"/>
          <w:szCs w:val="24"/>
        </w:rPr>
        <w:t>Phone:</w:t>
      </w:r>
      <w:r w:rsidRPr="002E054D">
        <w:rPr>
          <w:sz w:val="24"/>
          <w:szCs w:val="24"/>
        </w:rPr>
        <w:tab/>
        <w:t>301-796-9335</w:t>
      </w:r>
    </w:p>
    <w:p w:rsidRPr="002E054D" w:rsidR="00DD73FD" w:rsidP="00DC2F2B" w:rsidRDefault="00DD73FD" w14:paraId="1A37E7F6" w14:textId="77777777">
      <w:pPr>
        <w:ind w:left="288"/>
        <w:rPr>
          <w:sz w:val="24"/>
          <w:szCs w:val="24"/>
        </w:rPr>
      </w:pPr>
      <w:r w:rsidRPr="002E054D">
        <w:rPr>
          <w:sz w:val="24"/>
          <w:szCs w:val="24"/>
        </w:rPr>
        <w:t>E-mail:</w:t>
      </w:r>
      <w:r w:rsidRPr="002E054D">
        <w:rPr>
          <w:sz w:val="24"/>
          <w:szCs w:val="24"/>
        </w:rPr>
        <w:tab/>
        <w:t xml:space="preserve"> </w:t>
      </w:r>
      <w:hyperlink w:history="1" r:id="rId7">
        <w:r w:rsidRPr="002E054D">
          <w:rPr>
            <w:rStyle w:val="Hyperlink"/>
            <w:sz w:val="24"/>
            <w:szCs w:val="24"/>
          </w:rPr>
          <w:t>Tesfa.Alexander@fda.hhs.gov</w:t>
        </w:r>
      </w:hyperlink>
    </w:p>
    <w:p w:rsidRPr="002E054D" w:rsidR="00DD73FD" w:rsidP="00DC2F2B" w:rsidRDefault="00DD73FD" w14:paraId="6DCA9611" w14:textId="77777777">
      <w:pPr>
        <w:ind w:left="288"/>
        <w:rPr>
          <w:sz w:val="24"/>
          <w:szCs w:val="24"/>
        </w:rPr>
      </w:pPr>
    </w:p>
    <w:p w:rsidRPr="002E054D" w:rsidR="00DD73FD" w:rsidP="00DC2F2B" w:rsidRDefault="00DD73FD" w14:paraId="0FEBF1E1" w14:textId="77777777">
      <w:pPr>
        <w:ind w:left="288"/>
        <w:rPr>
          <w:sz w:val="24"/>
          <w:szCs w:val="24"/>
        </w:rPr>
      </w:pPr>
      <w:r w:rsidRPr="002E054D">
        <w:rPr>
          <w:sz w:val="24"/>
          <w:szCs w:val="24"/>
        </w:rPr>
        <w:t>Atanaska (Nasi) Dineva</w:t>
      </w:r>
    </w:p>
    <w:p w:rsidRPr="002E054D" w:rsidR="00DD73FD" w:rsidP="00DC2F2B" w:rsidRDefault="00DD73FD" w14:paraId="69AB0733" w14:textId="77777777">
      <w:pPr>
        <w:ind w:left="288"/>
        <w:rPr>
          <w:sz w:val="24"/>
          <w:szCs w:val="24"/>
        </w:rPr>
      </w:pPr>
      <w:r w:rsidRPr="002E054D">
        <w:rPr>
          <w:sz w:val="24"/>
          <w:szCs w:val="24"/>
        </w:rPr>
        <w:t>Office of Health Communication &amp; Education</w:t>
      </w:r>
    </w:p>
    <w:p w:rsidRPr="002E054D" w:rsidR="00DD73FD" w:rsidP="00DC2F2B" w:rsidRDefault="00DD73FD" w14:paraId="61400DC9" w14:textId="77777777">
      <w:pPr>
        <w:ind w:left="288"/>
        <w:rPr>
          <w:sz w:val="24"/>
          <w:szCs w:val="24"/>
        </w:rPr>
      </w:pPr>
      <w:r w:rsidRPr="002E054D">
        <w:rPr>
          <w:sz w:val="24"/>
          <w:szCs w:val="24"/>
        </w:rPr>
        <w:t>Center for Tobacco Products</w:t>
      </w:r>
    </w:p>
    <w:p w:rsidRPr="002E054D" w:rsidR="00DD73FD" w:rsidP="00DC2F2B" w:rsidRDefault="00DD73FD" w14:paraId="715DC530" w14:textId="77777777">
      <w:pPr>
        <w:ind w:left="288"/>
        <w:rPr>
          <w:sz w:val="24"/>
          <w:szCs w:val="24"/>
        </w:rPr>
      </w:pPr>
      <w:r w:rsidRPr="002E054D">
        <w:rPr>
          <w:sz w:val="24"/>
          <w:szCs w:val="24"/>
        </w:rPr>
        <w:t>Food and Drug Administration</w:t>
      </w:r>
    </w:p>
    <w:p w:rsidRPr="002E054D" w:rsidR="00DD73FD" w:rsidP="00DC2F2B" w:rsidRDefault="00DD73FD" w14:paraId="3562B53B" w14:textId="77777777">
      <w:pPr>
        <w:ind w:left="288"/>
        <w:rPr>
          <w:sz w:val="24"/>
          <w:szCs w:val="24"/>
        </w:rPr>
      </w:pPr>
      <w:r w:rsidRPr="002E054D">
        <w:rPr>
          <w:sz w:val="24"/>
          <w:szCs w:val="24"/>
        </w:rPr>
        <w:t>10903 New Hampshire Avenue</w:t>
      </w:r>
    </w:p>
    <w:p w:rsidRPr="002E054D" w:rsidR="00DD73FD" w:rsidP="00DC2F2B" w:rsidRDefault="00DD73FD" w14:paraId="26CF5667" w14:textId="77777777">
      <w:pPr>
        <w:ind w:left="288"/>
        <w:rPr>
          <w:sz w:val="24"/>
          <w:szCs w:val="24"/>
        </w:rPr>
      </w:pPr>
      <w:r w:rsidRPr="002E054D">
        <w:rPr>
          <w:sz w:val="24"/>
          <w:szCs w:val="24"/>
        </w:rPr>
        <w:t>Silver Spring, MD 20993-0002</w:t>
      </w:r>
    </w:p>
    <w:p w:rsidRPr="002E054D" w:rsidR="00DD73FD" w:rsidP="00DC2F2B" w:rsidRDefault="00DD73FD" w14:paraId="7B326935" w14:textId="77777777">
      <w:pPr>
        <w:ind w:left="288"/>
        <w:rPr>
          <w:sz w:val="24"/>
          <w:szCs w:val="24"/>
        </w:rPr>
      </w:pPr>
      <w:r w:rsidRPr="002E054D">
        <w:rPr>
          <w:sz w:val="24"/>
          <w:szCs w:val="24"/>
        </w:rPr>
        <w:t>Phone:</w:t>
      </w:r>
      <w:r w:rsidRPr="002E054D">
        <w:rPr>
          <w:sz w:val="24"/>
          <w:szCs w:val="24"/>
        </w:rPr>
        <w:tab/>
        <w:t>301-796-4498</w:t>
      </w:r>
    </w:p>
    <w:p w:rsidRPr="002E054D" w:rsidR="00DD73FD" w:rsidP="00DC2F2B" w:rsidRDefault="00DD73FD" w14:paraId="57FB1482" w14:textId="77777777">
      <w:pPr>
        <w:ind w:left="288"/>
        <w:rPr>
          <w:sz w:val="24"/>
          <w:szCs w:val="24"/>
        </w:rPr>
      </w:pPr>
      <w:r w:rsidRPr="002E054D">
        <w:rPr>
          <w:sz w:val="24"/>
          <w:szCs w:val="24"/>
        </w:rPr>
        <w:t>E-mail:</w:t>
      </w:r>
      <w:r w:rsidRPr="002E054D">
        <w:rPr>
          <w:sz w:val="24"/>
          <w:szCs w:val="24"/>
        </w:rPr>
        <w:tab/>
        <w:t xml:space="preserve"> </w:t>
      </w:r>
      <w:hyperlink w:history="1" r:id="rId8">
        <w:r w:rsidRPr="002E054D">
          <w:rPr>
            <w:rStyle w:val="Hyperlink"/>
            <w:sz w:val="24"/>
            <w:szCs w:val="24"/>
          </w:rPr>
          <w:t>Atanaska.Dineva@fda.hhs.gov</w:t>
        </w:r>
      </w:hyperlink>
    </w:p>
    <w:p w:rsidR="00DD73FD" w:rsidP="00DD73FD" w:rsidRDefault="00DD73FD" w14:paraId="564E9B9D" w14:textId="77777777">
      <w:pPr>
        <w:rPr>
          <w:sz w:val="24"/>
          <w:szCs w:val="24"/>
        </w:rPr>
      </w:pPr>
    </w:p>
    <w:p w:rsidRPr="002E054D" w:rsidR="00DD73FD" w:rsidP="00DC2F2B" w:rsidRDefault="00DD73FD" w14:paraId="20B4AE74" w14:textId="77777777">
      <w:pPr>
        <w:ind w:left="288"/>
        <w:rPr>
          <w:sz w:val="24"/>
          <w:szCs w:val="24"/>
        </w:rPr>
      </w:pPr>
      <w:r w:rsidRPr="002E054D">
        <w:rPr>
          <w:sz w:val="24"/>
          <w:szCs w:val="24"/>
        </w:rPr>
        <w:t>Xiaoquan Zhao</w:t>
      </w:r>
    </w:p>
    <w:p w:rsidRPr="002E054D" w:rsidR="00DD73FD" w:rsidP="00DC2F2B" w:rsidRDefault="00DD73FD" w14:paraId="4E955881" w14:textId="77777777">
      <w:pPr>
        <w:ind w:left="288"/>
        <w:rPr>
          <w:sz w:val="24"/>
          <w:szCs w:val="24"/>
        </w:rPr>
      </w:pPr>
      <w:r w:rsidRPr="002E054D">
        <w:rPr>
          <w:sz w:val="24"/>
          <w:szCs w:val="24"/>
        </w:rPr>
        <w:t>Office of Health Communication &amp; Education</w:t>
      </w:r>
    </w:p>
    <w:p w:rsidRPr="002E054D" w:rsidR="00DD73FD" w:rsidP="00DC2F2B" w:rsidRDefault="00DD73FD" w14:paraId="527127D3" w14:textId="77777777">
      <w:pPr>
        <w:ind w:left="288"/>
        <w:rPr>
          <w:sz w:val="24"/>
          <w:szCs w:val="24"/>
        </w:rPr>
      </w:pPr>
      <w:r w:rsidRPr="002E054D">
        <w:rPr>
          <w:sz w:val="24"/>
          <w:szCs w:val="24"/>
        </w:rPr>
        <w:t>Center for Tobacco Products</w:t>
      </w:r>
    </w:p>
    <w:p w:rsidRPr="002E054D" w:rsidR="00DD73FD" w:rsidP="00DC2F2B" w:rsidRDefault="00DD73FD" w14:paraId="5A11B71F" w14:textId="77777777">
      <w:pPr>
        <w:ind w:left="288"/>
        <w:rPr>
          <w:sz w:val="24"/>
          <w:szCs w:val="24"/>
        </w:rPr>
      </w:pPr>
      <w:r w:rsidRPr="002E054D">
        <w:rPr>
          <w:sz w:val="24"/>
          <w:szCs w:val="24"/>
        </w:rPr>
        <w:t>Food and Drug Administration</w:t>
      </w:r>
    </w:p>
    <w:p w:rsidRPr="002E054D" w:rsidR="00DD73FD" w:rsidP="00DC2F2B" w:rsidRDefault="00DD73FD" w14:paraId="74AB088F" w14:textId="77777777">
      <w:pPr>
        <w:ind w:left="288"/>
        <w:rPr>
          <w:sz w:val="24"/>
          <w:szCs w:val="24"/>
        </w:rPr>
      </w:pPr>
      <w:r w:rsidRPr="002E054D">
        <w:rPr>
          <w:sz w:val="24"/>
          <w:szCs w:val="24"/>
        </w:rPr>
        <w:lastRenderedPageBreak/>
        <w:t>10903 New Hampshire Avenue</w:t>
      </w:r>
    </w:p>
    <w:p w:rsidRPr="002E054D" w:rsidR="00DD73FD" w:rsidP="00DC2F2B" w:rsidRDefault="00DD73FD" w14:paraId="60745028" w14:textId="77777777">
      <w:pPr>
        <w:ind w:left="288"/>
        <w:rPr>
          <w:sz w:val="24"/>
          <w:szCs w:val="24"/>
        </w:rPr>
      </w:pPr>
      <w:r w:rsidRPr="002E054D">
        <w:rPr>
          <w:sz w:val="24"/>
          <w:szCs w:val="24"/>
        </w:rPr>
        <w:t>Silver Spring, MD 20993-0002</w:t>
      </w:r>
    </w:p>
    <w:p w:rsidRPr="002E054D" w:rsidR="00DD73FD" w:rsidP="00DC2F2B" w:rsidRDefault="00DD73FD" w14:paraId="6933F242" w14:textId="77777777">
      <w:pPr>
        <w:ind w:left="288"/>
        <w:rPr>
          <w:sz w:val="24"/>
          <w:szCs w:val="24"/>
        </w:rPr>
      </w:pPr>
      <w:r w:rsidRPr="002E054D">
        <w:rPr>
          <w:sz w:val="24"/>
          <w:szCs w:val="24"/>
        </w:rPr>
        <w:t>Phone:</w:t>
      </w:r>
      <w:r w:rsidRPr="002E054D">
        <w:rPr>
          <w:sz w:val="24"/>
          <w:szCs w:val="24"/>
        </w:rPr>
        <w:tab/>
        <w:t>240-402-0296</w:t>
      </w:r>
    </w:p>
    <w:p w:rsidRPr="002E054D" w:rsidR="00DD73FD" w:rsidP="00DC2F2B" w:rsidRDefault="00DD73FD" w14:paraId="08E1C51E" w14:textId="77777777">
      <w:pPr>
        <w:ind w:left="288"/>
        <w:rPr>
          <w:sz w:val="24"/>
          <w:szCs w:val="24"/>
        </w:rPr>
      </w:pPr>
      <w:r w:rsidRPr="002E054D">
        <w:rPr>
          <w:sz w:val="24"/>
          <w:szCs w:val="24"/>
        </w:rPr>
        <w:t>E-mail:</w:t>
      </w:r>
      <w:r w:rsidRPr="002E054D">
        <w:rPr>
          <w:sz w:val="24"/>
          <w:szCs w:val="24"/>
        </w:rPr>
        <w:tab/>
        <w:t xml:space="preserve"> </w:t>
      </w:r>
      <w:hyperlink w:history="1" r:id="rId9">
        <w:r w:rsidRPr="002E054D">
          <w:rPr>
            <w:rStyle w:val="Hyperlink"/>
            <w:sz w:val="24"/>
            <w:szCs w:val="24"/>
          </w:rPr>
          <w:t>Xiaoquan.Zhao@fda.hhs.gov</w:t>
        </w:r>
      </w:hyperlink>
    </w:p>
    <w:p w:rsidRPr="002E054D" w:rsidR="00DD73FD" w:rsidP="00DD73FD" w:rsidRDefault="00DD73FD" w14:paraId="5853BC08" w14:textId="77777777">
      <w:pPr>
        <w:rPr>
          <w:sz w:val="24"/>
          <w:szCs w:val="24"/>
        </w:rPr>
      </w:pPr>
    </w:p>
    <w:bookmarkEnd w:id="3"/>
    <w:bookmarkEnd w:id="4"/>
    <w:p w:rsidRPr="002E054D" w:rsidR="00DD73FD" w:rsidP="00DD73FD" w:rsidRDefault="00DD73FD" w14:paraId="748249F6" w14:textId="396E48AD">
      <w:pPr>
        <w:rPr>
          <w:b/>
          <w:sz w:val="24"/>
          <w:szCs w:val="24"/>
        </w:rPr>
      </w:pPr>
      <w:r w:rsidRPr="002E054D">
        <w:rPr>
          <w:b/>
          <w:sz w:val="24"/>
          <w:szCs w:val="24"/>
        </w:rPr>
        <w:t>References</w:t>
      </w:r>
    </w:p>
    <w:p w:rsidR="00DD73FD" w:rsidP="00DD73FD" w:rsidRDefault="00DD73FD" w14:paraId="455C589B" w14:textId="77777777">
      <w:pPr>
        <w:rPr>
          <w:color w:val="222222"/>
          <w:sz w:val="24"/>
          <w:szCs w:val="24"/>
          <w:shd w:val="clear" w:color="auto" w:fill="FFFFFF"/>
        </w:rPr>
      </w:pPr>
    </w:p>
    <w:p w:rsidR="00DD73FD" w:rsidP="00DD73FD" w:rsidRDefault="00DD73FD" w14:paraId="02BFFE11" w14:textId="77777777">
      <w:pPr>
        <w:rPr>
          <w:color w:val="222222"/>
          <w:sz w:val="24"/>
          <w:szCs w:val="24"/>
          <w:shd w:val="clear" w:color="auto" w:fill="FFFFFF"/>
        </w:rPr>
      </w:pPr>
      <w:r w:rsidRPr="002E054D">
        <w:rPr>
          <w:color w:val="222222"/>
          <w:sz w:val="24"/>
          <w:szCs w:val="24"/>
          <w:shd w:val="clear" w:color="auto" w:fill="FFFFFF"/>
        </w:rPr>
        <w:t>Abreu, D. A., &amp; Winters, F. (1999). Using monetary incentives to reduce attrition in the survey of income and program participation. In</w:t>
      </w:r>
      <w:r w:rsidRPr="002E054D">
        <w:rPr>
          <w:rStyle w:val="apple-converted-space"/>
          <w:color w:val="222222"/>
          <w:sz w:val="24"/>
          <w:szCs w:val="24"/>
          <w:shd w:val="clear" w:color="auto" w:fill="FFFFFF"/>
        </w:rPr>
        <w:t> </w:t>
      </w:r>
      <w:r w:rsidRPr="002E054D">
        <w:rPr>
          <w:i/>
          <w:iCs/>
          <w:color w:val="222222"/>
          <w:sz w:val="24"/>
          <w:szCs w:val="24"/>
          <w:shd w:val="clear" w:color="auto" w:fill="FFFFFF"/>
        </w:rPr>
        <w:t>Proceedings of the Survey Research Methods Section</w:t>
      </w:r>
      <w:r w:rsidRPr="002E054D">
        <w:rPr>
          <w:rStyle w:val="apple-converted-space"/>
          <w:color w:val="222222"/>
          <w:sz w:val="24"/>
          <w:szCs w:val="24"/>
          <w:shd w:val="clear" w:color="auto" w:fill="FFFFFF"/>
        </w:rPr>
        <w:t> </w:t>
      </w:r>
      <w:r w:rsidRPr="002E054D">
        <w:rPr>
          <w:color w:val="222222"/>
          <w:sz w:val="24"/>
          <w:szCs w:val="24"/>
          <w:shd w:val="clear" w:color="auto" w:fill="FFFFFF"/>
        </w:rPr>
        <w:t>(pp. 533-538).</w:t>
      </w:r>
    </w:p>
    <w:p w:rsidRPr="002E054D" w:rsidR="00DD73FD" w:rsidP="00DD73FD" w:rsidRDefault="00DD73FD" w14:paraId="1A8277CB" w14:textId="77777777">
      <w:pPr>
        <w:rPr>
          <w:sz w:val="24"/>
          <w:szCs w:val="24"/>
        </w:rPr>
      </w:pPr>
    </w:p>
    <w:p w:rsidRPr="002E054D" w:rsidR="00DD73FD" w:rsidP="00DD73FD" w:rsidRDefault="00DD73FD" w14:paraId="1A3A6145" w14:textId="77777777">
      <w:pPr>
        <w:rPr>
          <w:color w:val="222222"/>
          <w:sz w:val="24"/>
          <w:szCs w:val="24"/>
          <w:shd w:val="clear" w:color="auto" w:fill="FFFFFF"/>
        </w:rPr>
      </w:pPr>
      <w:r w:rsidRPr="002E054D">
        <w:rPr>
          <w:color w:val="222222"/>
          <w:sz w:val="24"/>
          <w:szCs w:val="24"/>
          <w:shd w:val="clear" w:color="auto" w:fill="FFFFFF"/>
        </w:rPr>
        <w:t>Castiglioni, L., Pforr, K., &amp; Krieger, U. (2008, December). The effect of incentives on response rates and panel attrition: Results of a controlled experiment. In</w:t>
      </w:r>
      <w:r w:rsidRPr="002E054D">
        <w:rPr>
          <w:rStyle w:val="apple-converted-space"/>
          <w:color w:val="222222"/>
          <w:sz w:val="24"/>
          <w:szCs w:val="24"/>
          <w:shd w:val="clear" w:color="auto" w:fill="FFFFFF"/>
        </w:rPr>
        <w:t> </w:t>
      </w:r>
      <w:r w:rsidRPr="002E054D">
        <w:rPr>
          <w:i/>
          <w:iCs/>
          <w:color w:val="222222"/>
          <w:sz w:val="24"/>
          <w:szCs w:val="24"/>
          <w:shd w:val="clear" w:color="auto" w:fill="FFFFFF"/>
        </w:rPr>
        <w:t>Survey Research Methods</w:t>
      </w:r>
      <w:r w:rsidRPr="002E054D">
        <w:rPr>
          <w:rStyle w:val="apple-converted-space"/>
          <w:color w:val="222222"/>
          <w:sz w:val="24"/>
          <w:szCs w:val="24"/>
          <w:shd w:val="clear" w:color="auto" w:fill="FFFFFF"/>
        </w:rPr>
        <w:t> </w:t>
      </w:r>
      <w:r w:rsidRPr="002E054D">
        <w:rPr>
          <w:color w:val="222222"/>
          <w:sz w:val="24"/>
          <w:szCs w:val="24"/>
          <w:shd w:val="clear" w:color="auto" w:fill="FFFFFF"/>
        </w:rPr>
        <w:t>(Vol. 2, No. 3, pp. 151-158).</w:t>
      </w:r>
    </w:p>
    <w:p w:rsidR="00DD73FD" w:rsidP="00DD73FD" w:rsidRDefault="00DD73FD" w14:paraId="4CB2593A" w14:textId="77777777">
      <w:pPr>
        <w:rPr>
          <w:color w:val="222222"/>
          <w:sz w:val="24"/>
          <w:szCs w:val="24"/>
          <w:shd w:val="clear" w:color="auto" w:fill="FFFFFF"/>
        </w:rPr>
      </w:pPr>
    </w:p>
    <w:p w:rsidRPr="002E054D" w:rsidR="00DD73FD" w:rsidP="00DD73FD" w:rsidRDefault="00DD73FD" w14:paraId="7115D2A5" w14:textId="77777777">
      <w:pPr>
        <w:rPr>
          <w:color w:val="222222"/>
          <w:sz w:val="24"/>
          <w:szCs w:val="24"/>
          <w:shd w:val="clear" w:color="auto" w:fill="FFFFFF"/>
        </w:rPr>
      </w:pPr>
      <w:r w:rsidRPr="002E054D">
        <w:rPr>
          <w:color w:val="222222"/>
          <w:sz w:val="24"/>
          <w:szCs w:val="24"/>
          <w:shd w:val="clear" w:color="auto" w:fill="FFFFFF"/>
        </w:rPr>
        <w:t>Jäckle, A., &amp; Lynn, P. (2008). Offre de primes d’encouragement aux répondants dans une enquête par panel multimodes: effets cumulatifs sur la non-réponse et le biais.</w:t>
      </w:r>
      <w:r w:rsidRPr="002E054D">
        <w:rPr>
          <w:rStyle w:val="apple-converted-space"/>
          <w:color w:val="222222"/>
          <w:sz w:val="24"/>
          <w:szCs w:val="24"/>
          <w:shd w:val="clear" w:color="auto" w:fill="FFFFFF"/>
        </w:rPr>
        <w:t> </w:t>
      </w:r>
      <w:r w:rsidRPr="002E054D">
        <w:rPr>
          <w:i/>
          <w:iCs/>
          <w:color w:val="222222"/>
          <w:sz w:val="24"/>
          <w:szCs w:val="24"/>
          <w:shd w:val="clear" w:color="auto" w:fill="FFFFFF"/>
        </w:rPr>
        <w:t>Techniques d’enquête</w:t>
      </w:r>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34</w:t>
      </w:r>
      <w:r w:rsidRPr="002E054D">
        <w:rPr>
          <w:color w:val="222222"/>
          <w:sz w:val="24"/>
          <w:szCs w:val="24"/>
          <w:shd w:val="clear" w:color="auto" w:fill="FFFFFF"/>
        </w:rPr>
        <w:t>(1), 115-130.</w:t>
      </w:r>
    </w:p>
    <w:p w:rsidR="00DD73FD" w:rsidP="00DD73FD" w:rsidRDefault="00DD73FD" w14:paraId="6D3EF634" w14:textId="77777777">
      <w:pPr>
        <w:rPr>
          <w:color w:val="222222"/>
          <w:sz w:val="24"/>
          <w:szCs w:val="24"/>
          <w:shd w:val="clear" w:color="auto" w:fill="FFFFFF"/>
        </w:rPr>
      </w:pPr>
    </w:p>
    <w:p w:rsidRPr="002E054D" w:rsidR="00DD73FD" w:rsidP="00DD73FD" w:rsidRDefault="00DD73FD" w14:paraId="2378293F" w14:textId="77777777">
      <w:pPr>
        <w:rPr>
          <w:color w:val="222222"/>
          <w:sz w:val="24"/>
          <w:szCs w:val="24"/>
          <w:shd w:val="clear" w:color="auto" w:fill="FFFFFF"/>
        </w:rPr>
      </w:pPr>
      <w:r w:rsidRPr="002E054D">
        <w:rPr>
          <w:color w:val="222222"/>
          <w:sz w:val="24"/>
          <w:szCs w:val="24"/>
          <w:shd w:val="clear" w:color="auto" w:fill="FFFFFF"/>
        </w:rPr>
        <w:t>Singer, E. (2002). The use of incentives to reduce nonresponse in household surveys.</w:t>
      </w:r>
      <w:r w:rsidRPr="002E054D">
        <w:rPr>
          <w:rStyle w:val="apple-converted-space"/>
          <w:color w:val="222222"/>
          <w:sz w:val="24"/>
          <w:szCs w:val="24"/>
          <w:shd w:val="clear" w:color="auto" w:fill="FFFFFF"/>
        </w:rPr>
        <w:t> </w:t>
      </w:r>
      <w:r w:rsidRPr="002E054D">
        <w:rPr>
          <w:i/>
          <w:iCs/>
          <w:color w:val="222222"/>
          <w:sz w:val="24"/>
          <w:szCs w:val="24"/>
          <w:shd w:val="clear" w:color="auto" w:fill="FFFFFF"/>
        </w:rPr>
        <w:t>Survey nonresponse</w:t>
      </w:r>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51</w:t>
      </w:r>
      <w:r w:rsidRPr="002E054D">
        <w:rPr>
          <w:color w:val="222222"/>
          <w:sz w:val="24"/>
          <w:szCs w:val="24"/>
          <w:shd w:val="clear" w:color="auto" w:fill="FFFFFF"/>
        </w:rPr>
        <w:t>, 163-177.</w:t>
      </w:r>
    </w:p>
    <w:p w:rsidR="00DD73FD" w:rsidP="00DD73FD" w:rsidRDefault="00DD73FD" w14:paraId="53D30F35" w14:textId="77777777">
      <w:pPr>
        <w:rPr>
          <w:color w:val="222222"/>
          <w:sz w:val="24"/>
          <w:szCs w:val="24"/>
          <w:shd w:val="clear" w:color="auto" w:fill="FFFFFF"/>
        </w:rPr>
      </w:pPr>
    </w:p>
    <w:p w:rsidRPr="002E054D" w:rsidR="00DD73FD" w:rsidP="00DD73FD" w:rsidRDefault="00DD73FD" w14:paraId="62FB3C5E" w14:textId="77777777">
      <w:pPr>
        <w:rPr>
          <w:sz w:val="24"/>
          <w:szCs w:val="24"/>
        </w:rPr>
      </w:pPr>
      <w:r w:rsidRPr="002E054D">
        <w:rPr>
          <w:color w:val="222222"/>
          <w:sz w:val="24"/>
          <w:szCs w:val="24"/>
          <w:shd w:val="clear" w:color="auto" w:fill="FFFFFF"/>
        </w:rPr>
        <w:t>Shettle, C., &amp; Mooney, G. (1999). Monetary incentives in US government surveys.</w:t>
      </w:r>
      <w:r w:rsidRPr="002E054D">
        <w:rPr>
          <w:rStyle w:val="apple-converted-space"/>
          <w:color w:val="222222"/>
          <w:sz w:val="24"/>
          <w:szCs w:val="24"/>
          <w:shd w:val="clear" w:color="auto" w:fill="FFFFFF"/>
        </w:rPr>
        <w:t> </w:t>
      </w:r>
      <w:r w:rsidRPr="002E054D">
        <w:rPr>
          <w:i/>
          <w:iCs/>
          <w:color w:val="222222"/>
          <w:sz w:val="24"/>
          <w:szCs w:val="24"/>
          <w:shd w:val="clear" w:color="auto" w:fill="FFFFFF"/>
        </w:rPr>
        <w:t>Journal of Official Statistics</w:t>
      </w:r>
      <w:r w:rsidRPr="002E054D">
        <w:rPr>
          <w:color w:val="222222"/>
          <w:sz w:val="24"/>
          <w:szCs w:val="24"/>
          <w:shd w:val="clear" w:color="auto" w:fill="FFFFFF"/>
        </w:rPr>
        <w:t>,</w:t>
      </w:r>
      <w:r w:rsidRPr="002E054D">
        <w:rPr>
          <w:rStyle w:val="apple-converted-space"/>
          <w:color w:val="222222"/>
          <w:sz w:val="24"/>
          <w:szCs w:val="24"/>
          <w:shd w:val="clear" w:color="auto" w:fill="FFFFFF"/>
        </w:rPr>
        <w:t> </w:t>
      </w:r>
      <w:r w:rsidRPr="002E054D">
        <w:rPr>
          <w:i/>
          <w:iCs/>
          <w:color w:val="222222"/>
          <w:sz w:val="24"/>
          <w:szCs w:val="24"/>
          <w:shd w:val="clear" w:color="auto" w:fill="FFFFFF"/>
        </w:rPr>
        <w:t>15</w:t>
      </w:r>
      <w:r w:rsidRPr="002E054D">
        <w:rPr>
          <w:color w:val="222222"/>
          <w:sz w:val="24"/>
          <w:szCs w:val="24"/>
          <w:shd w:val="clear" w:color="auto" w:fill="FFFFFF"/>
        </w:rPr>
        <w:t>(2), 231.</w:t>
      </w:r>
    </w:p>
    <w:p w:rsidR="00DD73FD" w:rsidP="00684674" w:rsidRDefault="00DD73FD" w14:paraId="5B47D35D" w14:textId="77777777">
      <w:pPr>
        <w:spacing w:line="300" w:lineRule="exact"/>
        <w:rPr>
          <w:sz w:val="24"/>
          <w:szCs w:val="24"/>
        </w:rPr>
      </w:pPr>
    </w:p>
    <w:sectPr w:rsidR="00DD73FD" w:rsidSect="00B97F03">
      <w:footerReference w:type="even" r:id="rId10"/>
      <w:footerReference w:type="default" r:id="rId11"/>
      <w:footerReference w:type="first" r:id="rId12"/>
      <w:type w:val="continuous"/>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1EA28" w14:textId="77777777" w:rsidR="00F70D79" w:rsidRDefault="00F70D79">
      <w:r>
        <w:separator/>
      </w:r>
    </w:p>
  </w:endnote>
  <w:endnote w:type="continuationSeparator" w:id="0">
    <w:p w14:paraId="5A62B86C" w14:textId="77777777" w:rsidR="00F70D79" w:rsidRDefault="00F70D79">
      <w:r>
        <w:continuationSeparator/>
      </w:r>
    </w:p>
  </w:endnote>
  <w:endnote w:type="continuationNotice" w:id="1">
    <w:p w14:paraId="686B839F" w14:textId="77777777" w:rsidR="00F70D79" w:rsidRDefault="00F70D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A559" w14:textId="77777777"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1D0A8B" w14:textId="77777777" w:rsidR="00CF4AE2" w:rsidRDefault="00CF4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42970" w14:textId="77777777" w:rsidR="00CF4AE2" w:rsidRDefault="00CF4A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10B98">
      <w:rPr>
        <w:rStyle w:val="PageNumber"/>
        <w:noProof/>
      </w:rPr>
      <w:t>7</w:t>
    </w:r>
    <w:r>
      <w:rPr>
        <w:rStyle w:val="PageNumber"/>
      </w:rPr>
      <w:fldChar w:fldCharType="end"/>
    </w:r>
  </w:p>
  <w:p w14:paraId="26E6A43A" w14:textId="77777777" w:rsidR="00CF4AE2" w:rsidRDefault="00CF4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0DB62" w14:textId="77777777" w:rsidR="001F05AF" w:rsidRDefault="001F05AF">
    <w:pPr>
      <w:pStyle w:val="Footer"/>
    </w:pPr>
  </w:p>
  <w:p w14:paraId="4BDD2CAC" w14:textId="77777777" w:rsidR="001F05AF" w:rsidRDefault="001F0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4A6FA2" w14:textId="77777777" w:rsidR="00F70D79" w:rsidRDefault="00F70D79">
      <w:r>
        <w:separator/>
      </w:r>
    </w:p>
  </w:footnote>
  <w:footnote w:type="continuationSeparator" w:id="0">
    <w:p w14:paraId="28B4D96E" w14:textId="77777777" w:rsidR="00F70D79" w:rsidRDefault="00F70D79">
      <w:r>
        <w:continuationSeparator/>
      </w:r>
    </w:p>
  </w:footnote>
  <w:footnote w:type="continuationNotice" w:id="1">
    <w:p w14:paraId="2E042A68" w14:textId="77777777" w:rsidR="00F70D79" w:rsidRDefault="00F70D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238F"/>
    <w:multiLevelType w:val="hybridMultilevel"/>
    <w:tmpl w:val="B8F4F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00792"/>
    <w:multiLevelType w:val="hybridMultilevel"/>
    <w:tmpl w:val="47F859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350952"/>
    <w:multiLevelType w:val="hybridMultilevel"/>
    <w:tmpl w:val="880224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EF00299"/>
    <w:multiLevelType w:val="hybridMultilevel"/>
    <w:tmpl w:val="B3A438A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24C430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8C36A1E"/>
    <w:multiLevelType w:val="hybridMultilevel"/>
    <w:tmpl w:val="C03A21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4B219E"/>
    <w:multiLevelType w:val="hybridMultilevel"/>
    <w:tmpl w:val="FDD4494E"/>
    <w:lvl w:ilvl="0" w:tplc="B1EC28A8">
      <w:start w:val="1"/>
      <w:numFmt w:val="bullet"/>
      <w:pStyle w:val="bullets"/>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626477"/>
    <w:multiLevelType w:val="hybridMultilevel"/>
    <w:tmpl w:val="FA8EC2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0945BD0"/>
    <w:multiLevelType w:val="hybridMultilevel"/>
    <w:tmpl w:val="18749A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7B85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AD950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042A7B"/>
    <w:multiLevelType w:val="hybridMultilevel"/>
    <w:tmpl w:val="EC2CFF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F044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30288E"/>
    <w:multiLevelType w:val="hybridMultilevel"/>
    <w:tmpl w:val="174402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7D85EA5"/>
    <w:multiLevelType w:val="hybridMultilevel"/>
    <w:tmpl w:val="5232DE46"/>
    <w:lvl w:ilvl="0" w:tplc="8E4EDADA">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F7346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1A71B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563E4B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0352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2D3155"/>
    <w:multiLevelType w:val="hybridMultilevel"/>
    <w:tmpl w:val="4F5E39C6"/>
    <w:lvl w:ilvl="0" w:tplc="ECBA3B78">
      <w:start w:val="1"/>
      <w:numFmt w:val="decimal"/>
      <w:lvlText w:val="%1."/>
      <w:lvlJc w:val="left"/>
      <w:pPr>
        <w:tabs>
          <w:tab w:val="num" w:pos="648"/>
        </w:tabs>
        <w:ind w:left="648" w:hanging="432"/>
      </w:pPr>
      <w:rPr>
        <w:rFonts w:ascii="Times New Roman" w:hAnsi="Times New Roman" w:cs="Times New Roman" w:hint="default"/>
        <w:b/>
        <w:i w:val="0"/>
      </w:rPr>
    </w:lvl>
    <w:lvl w:ilvl="1" w:tplc="AA16A16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BC31F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E2C05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7B1381A"/>
    <w:multiLevelType w:val="multilevel"/>
    <w:tmpl w:val="FB72D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FD76BE"/>
    <w:multiLevelType w:val="hybridMultilevel"/>
    <w:tmpl w:val="5DE45A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CC2F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0B23204"/>
    <w:multiLevelType w:val="hybridMultilevel"/>
    <w:tmpl w:val="DF464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0FD64A3"/>
    <w:multiLevelType w:val="hybridMultilevel"/>
    <w:tmpl w:val="36B2D7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1BA4A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3B24C8D"/>
    <w:multiLevelType w:val="hybridMultilevel"/>
    <w:tmpl w:val="10EC786C"/>
    <w:lvl w:ilvl="0" w:tplc="06A40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D84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E567A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E665988"/>
    <w:multiLevelType w:val="hybridMultilevel"/>
    <w:tmpl w:val="F7D07226"/>
    <w:lvl w:ilvl="0" w:tplc="91723930">
      <w:start w:val="1"/>
      <w:numFmt w:val="bullet"/>
      <w:pStyle w:val="aboxbullet"/>
      <w:lvlText w:val=""/>
      <w:lvlJc w:val="left"/>
      <w:pPr>
        <w:tabs>
          <w:tab w:val="num" w:pos="720"/>
        </w:tabs>
        <w:ind w:left="720" w:hanging="360"/>
      </w:pPr>
      <w:rPr>
        <w:rFonts w:ascii="Symbol" w:hAnsi="Symbol" w:hint="default"/>
        <w:color w:val="auto"/>
        <w:sz w:val="18"/>
        <w:szCs w:val="18"/>
      </w:rPr>
    </w:lvl>
    <w:lvl w:ilvl="1" w:tplc="04090003">
      <w:start w:val="1"/>
      <w:numFmt w:val="bullet"/>
      <w:lvlText w:val=""/>
      <w:lvlJc w:val="left"/>
      <w:pPr>
        <w:tabs>
          <w:tab w:val="num" w:pos="1440"/>
        </w:tabs>
        <w:ind w:left="1440" w:hanging="36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8"/>
  </w:num>
  <w:num w:numId="3">
    <w:abstractNumId w:val="26"/>
  </w:num>
  <w:num w:numId="4">
    <w:abstractNumId w:val="5"/>
  </w:num>
  <w:num w:numId="5">
    <w:abstractNumId w:val="23"/>
  </w:num>
  <w:num w:numId="6">
    <w:abstractNumId w:val="22"/>
  </w:num>
  <w:num w:numId="7">
    <w:abstractNumId w:val="28"/>
  </w:num>
  <w:num w:numId="8">
    <w:abstractNumId w:val="12"/>
  </w:num>
  <w:num w:numId="9">
    <w:abstractNumId w:val="19"/>
  </w:num>
  <w:num w:numId="10">
    <w:abstractNumId w:val="17"/>
  </w:num>
  <w:num w:numId="11">
    <w:abstractNumId w:val="25"/>
  </w:num>
  <w:num w:numId="12">
    <w:abstractNumId w:val="16"/>
  </w:num>
  <w:num w:numId="13">
    <w:abstractNumId w:val="30"/>
  </w:num>
  <w:num w:numId="14">
    <w:abstractNumId w:val="4"/>
  </w:num>
  <w:num w:numId="15">
    <w:abstractNumId w:val="31"/>
  </w:num>
  <w:num w:numId="16">
    <w:abstractNumId w:val="10"/>
  </w:num>
  <w:num w:numId="17">
    <w:abstractNumId w:val="21"/>
  </w:num>
  <w:num w:numId="18">
    <w:abstractNumId w:val="9"/>
  </w:num>
  <w:num w:numId="19">
    <w:abstractNumId w:val="15"/>
  </w:num>
  <w:num w:numId="20">
    <w:abstractNumId w:val="0"/>
  </w:num>
  <w:num w:numId="21">
    <w:abstractNumId w:val="6"/>
  </w:num>
  <w:num w:numId="22">
    <w:abstractNumId w:val="24"/>
  </w:num>
  <w:num w:numId="23">
    <w:abstractNumId w:val="18"/>
  </w:num>
  <w:num w:numId="24">
    <w:abstractNumId w:val="32"/>
  </w:num>
  <w:num w:numId="25">
    <w:abstractNumId w:val="3"/>
  </w:num>
  <w:num w:numId="26">
    <w:abstractNumId w:val="2"/>
  </w:num>
  <w:num w:numId="27">
    <w:abstractNumId w:val="11"/>
  </w:num>
  <w:num w:numId="28">
    <w:abstractNumId w:val="7"/>
  </w:num>
  <w:num w:numId="29">
    <w:abstractNumId w:val="1"/>
  </w:num>
  <w:num w:numId="30">
    <w:abstractNumId w:val="27"/>
  </w:num>
  <w:num w:numId="31">
    <w:abstractNumId w:val="29"/>
  </w:num>
  <w:num w:numId="32">
    <w:abstractNumId w:val="1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92"/>
    <w:rsid w:val="00002109"/>
    <w:rsid w:val="00003534"/>
    <w:rsid w:val="00004CB9"/>
    <w:rsid w:val="00011155"/>
    <w:rsid w:val="00017A3A"/>
    <w:rsid w:val="00020F1A"/>
    <w:rsid w:val="00031D86"/>
    <w:rsid w:val="00037FFE"/>
    <w:rsid w:val="000523FE"/>
    <w:rsid w:val="00060D66"/>
    <w:rsid w:val="00063309"/>
    <w:rsid w:val="00066495"/>
    <w:rsid w:val="00076FAA"/>
    <w:rsid w:val="00083716"/>
    <w:rsid w:val="000838B6"/>
    <w:rsid w:val="00084582"/>
    <w:rsid w:val="00090285"/>
    <w:rsid w:val="000953C5"/>
    <w:rsid w:val="000A0700"/>
    <w:rsid w:val="000A0FBD"/>
    <w:rsid w:val="000B66B7"/>
    <w:rsid w:val="000B70C7"/>
    <w:rsid w:val="000D1E23"/>
    <w:rsid w:val="000E3F87"/>
    <w:rsid w:val="000E6E57"/>
    <w:rsid w:val="00101F00"/>
    <w:rsid w:val="00110429"/>
    <w:rsid w:val="00112A2B"/>
    <w:rsid w:val="00115B76"/>
    <w:rsid w:val="001354A1"/>
    <w:rsid w:val="001370F1"/>
    <w:rsid w:val="00140CF4"/>
    <w:rsid w:val="0015175E"/>
    <w:rsid w:val="0015263C"/>
    <w:rsid w:val="00152DCD"/>
    <w:rsid w:val="00153DE9"/>
    <w:rsid w:val="00155C79"/>
    <w:rsid w:val="0016368A"/>
    <w:rsid w:val="001638BC"/>
    <w:rsid w:val="00167544"/>
    <w:rsid w:val="001757C5"/>
    <w:rsid w:val="00180965"/>
    <w:rsid w:val="00181AE5"/>
    <w:rsid w:val="00181CD8"/>
    <w:rsid w:val="00182C46"/>
    <w:rsid w:val="00184AA1"/>
    <w:rsid w:val="00195152"/>
    <w:rsid w:val="001953F8"/>
    <w:rsid w:val="00197456"/>
    <w:rsid w:val="001B3F2F"/>
    <w:rsid w:val="001C0F4F"/>
    <w:rsid w:val="001C7902"/>
    <w:rsid w:val="001D1299"/>
    <w:rsid w:val="001D1D12"/>
    <w:rsid w:val="001D4362"/>
    <w:rsid w:val="001E196C"/>
    <w:rsid w:val="001E48B9"/>
    <w:rsid w:val="001F05AF"/>
    <w:rsid w:val="001F2575"/>
    <w:rsid w:val="001F2941"/>
    <w:rsid w:val="001F5346"/>
    <w:rsid w:val="001F5835"/>
    <w:rsid w:val="001F72E3"/>
    <w:rsid w:val="00202045"/>
    <w:rsid w:val="00204EC7"/>
    <w:rsid w:val="00205742"/>
    <w:rsid w:val="00210EA6"/>
    <w:rsid w:val="00217364"/>
    <w:rsid w:val="00220958"/>
    <w:rsid w:val="002304B2"/>
    <w:rsid w:val="002305E9"/>
    <w:rsid w:val="00231221"/>
    <w:rsid w:val="002326FE"/>
    <w:rsid w:val="002367AA"/>
    <w:rsid w:val="002371E9"/>
    <w:rsid w:val="002649A5"/>
    <w:rsid w:val="00265A6A"/>
    <w:rsid w:val="00273CAA"/>
    <w:rsid w:val="00275587"/>
    <w:rsid w:val="00281FBD"/>
    <w:rsid w:val="00285B6D"/>
    <w:rsid w:val="0028766C"/>
    <w:rsid w:val="00295FCA"/>
    <w:rsid w:val="002A2B78"/>
    <w:rsid w:val="002A6940"/>
    <w:rsid w:val="002A6EF6"/>
    <w:rsid w:val="002B28FC"/>
    <w:rsid w:val="002D65D8"/>
    <w:rsid w:val="002D6E43"/>
    <w:rsid w:val="002E6268"/>
    <w:rsid w:val="002F6072"/>
    <w:rsid w:val="00302C6C"/>
    <w:rsid w:val="00303512"/>
    <w:rsid w:val="00305341"/>
    <w:rsid w:val="00307C9C"/>
    <w:rsid w:val="003166CA"/>
    <w:rsid w:val="003212DB"/>
    <w:rsid w:val="00325FD6"/>
    <w:rsid w:val="00332A45"/>
    <w:rsid w:val="00344B08"/>
    <w:rsid w:val="0037776A"/>
    <w:rsid w:val="00380E0F"/>
    <w:rsid w:val="00393013"/>
    <w:rsid w:val="00396E69"/>
    <w:rsid w:val="003A11E2"/>
    <w:rsid w:val="003A167E"/>
    <w:rsid w:val="003C138B"/>
    <w:rsid w:val="003C5A89"/>
    <w:rsid w:val="003C5F95"/>
    <w:rsid w:val="003C6CEE"/>
    <w:rsid w:val="003D4A92"/>
    <w:rsid w:val="003F07C9"/>
    <w:rsid w:val="003F5AAC"/>
    <w:rsid w:val="003F72C8"/>
    <w:rsid w:val="0040065F"/>
    <w:rsid w:val="004012FD"/>
    <w:rsid w:val="00410B98"/>
    <w:rsid w:val="00416639"/>
    <w:rsid w:val="00420133"/>
    <w:rsid w:val="004315F0"/>
    <w:rsid w:val="00440950"/>
    <w:rsid w:val="004417D6"/>
    <w:rsid w:val="00443037"/>
    <w:rsid w:val="004565FA"/>
    <w:rsid w:val="0046623F"/>
    <w:rsid w:val="004710CD"/>
    <w:rsid w:val="00471382"/>
    <w:rsid w:val="00473B40"/>
    <w:rsid w:val="004759E8"/>
    <w:rsid w:val="00477AFC"/>
    <w:rsid w:val="00477E3A"/>
    <w:rsid w:val="00483AA4"/>
    <w:rsid w:val="0048687C"/>
    <w:rsid w:val="004955B4"/>
    <w:rsid w:val="00496E07"/>
    <w:rsid w:val="004B28AC"/>
    <w:rsid w:val="004B37C4"/>
    <w:rsid w:val="004C2EA1"/>
    <w:rsid w:val="004C529D"/>
    <w:rsid w:val="004C575A"/>
    <w:rsid w:val="004D115A"/>
    <w:rsid w:val="004D53AE"/>
    <w:rsid w:val="004D5F4A"/>
    <w:rsid w:val="004E0C61"/>
    <w:rsid w:val="004E2E60"/>
    <w:rsid w:val="004E4690"/>
    <w:rsid w:val="004E6D5C"/>
    <w:rsid w:val="004F15D0"/>
    <w:rsid w:val="004F1744"/>
    <w:rsid w:val="004F5308"/>
    <w:rsid w:val="005040C2"/>
    <w:rsid w:val="005062D6"/>
    <w:rsid w:val="005164FF"/>
    <w:rsid w:val="005204EF"/>
    <w:rsid w:val="0052680C"/>
    <w:rsid w:val="00532CA5"/>
    <w:rsid w:val="00537572"/>
    <w:rsid w:val="00537EE1"/>
    <w:rsid w:val="00537F89"/>
    <w:rsid w:val="00540014"/>
    <w:rsid w:val="005452FC"/>
    <w:rsid w:val="00557CB8"/>
    <w:rsid w:val="00580281"/>
    <w:rsid w:val="00580300"/>
    <w:rsid w:val="00580666"/>
    <w:rsid w:val="0058082C"/>
    <w:rsid w:val="005818D7"/>
    <w:rsid w:val="00583894"/>
    <w:rsid w:val="00597252"/>
    <w:rsid w:val="005A263E"/>
    <w:rsid w:val="005A414F"/>
    <w:rsid w:val="005A74F0"/>
    <w:rsid w:val="005A7CC3"/>
    <w:rsid w:val="005B2773"/>
    <w:rsid w:val="005C788A"/>
    <w:rsid w:val="005C79F0"/>
    <w:rsid w:val="005D1E6E"/>
    <w:rsid w:val="005D2E14"/>
    <w:rsid w:val="005E020E"/>
    <w:rsid w:val="005E4783"/>
    <w:rsid w:val="005F05E5"/>
    <w:rsid w:val="005F1EA1"/>
    <w:rsid w:val="005F4159"/>
    <w:rsid w:val="00602743"/>
    <w:rsid w:val="00610F99"/>
    <w:rsid w:val="00614856"/>
    <w:rsid w:val="006247FC"/>
    <w:rsid w:val="00624C4C"/>
    <w:rsid w:val="00625D64"/>
    <w:rsid w:val="00640E9C"/>
    <w:rsid w:val="00657283"/>
    <w:rsid w:val="006638C7"/>
    <w:rsid w:val="00684674"/>
    <w:rsid w:val="006859FA"/>
    <w:rsid w:val="00687A1A"/>
    <w:rsid w:val="00695AD4"/>
    <w:rsid w:val="006A115B"/>
    <w:rsid w:val="006B07C5"/>
    <w:rsid w:val="006B1328"/>
    <w:rsid w:val="006C0F7F"/>
    <w:rsid w:val="006C570B"/>
    <w:rsid w:val="006D1316"/>
    <w:rsid w:val="006D2E1E"/>
    <w:rsid w:val="006D334C"/>
    <w:rsid w:val="006D5522"/>
    <w:rsid w:val="006E023F"/>
    <w:rsid w:val="006E13BF"/>
    <w:rsid w:val="00704BAD"/>
    <w:rsid w:val="007136A7"/>
    <w:rsid w:val="00721BCB"/>
    <w:rsid w:val="00741C0A"/>
    <w:rsid w:val="007470E1"/>
    <w:rsid w:val="00762D85"/>
    <w:rsid w:val="007635DF"/>
    <w:rsid w:val="0076376E"/>
    <w:rsid w:val="00766A9B"/>
    <w:rsid w:val="00785E53"/>
    <w:rsid w:val="00786EFB"/>
    <w:rsid w:val="007871A5"/>
    <w:rsid w:val="00792BFD"/>
    <w:rsid w:val="007972C0"/>
    <w:rsid w:val="007A532E"/>
    <w:rsid w:val="007B1C27"/>
    <w:rsid w:val="007D40AD"/>
    <w:rsid w:val="007D7CA2"/>
    <w:rsid w:val="007F261F"/>
    <w:rsid w:val="007F7396"/>
    <w:rsid w:val="00823FE6"/>
    <w:rsid w:val="00825BE2"/>
    <w:rsid w:val="00825DFD"/>
    <w:rsid w:val="00827285"/>
    <w:rsid w:val="0083493E"/>
    <w:rsid w:val="00834C57"/>
    <w:rsid w:val="00842293"/>
    <w:rsid w:val="00843AE2"/>
    <w:rsid w:val="00847E40"/>
    <w:rsid w:val="00852F71"/>
    <w:rsid w:val="00852FD1"/>
    <w:rsid w:val="00853D41"/>
    <w:rsid w:val="0085658A"/>
    <w:rsid w:val="00860E6B"/>
    <w:rsid w:val="00864BB1"/>
    <w:rsid w:val="00870749"/>
    <w:rsid w:val="008712A4"/>
    <w:rsid w:val="0087537C"/>
    <w:rsid w:val="00880C92"/>
    <w:rsid w:val="00884E19"/>
    <w:rsid w:val="00886464"/>
    <w:rsid w:val="00886E24"/>
    <w:rsid w:val="008A64DD"/>
    <w:rsid w:val="008B28C8"/>
    <w:rsid w:val="008B2C5F"/>
    <w:rsid w:val="008B5BCD"/>
    <w:rsid w:val="008C329E"/>
    <w:rsid w:val="008C5251"/>
    <w:rsid w:val="008C778E"/>
    <w:rsid w:val="008E1253"/>
    <w:rsid w:val="008E409C"/>
    <w:rsid w:val="008E416F"/>
    <w:rsid w:val="008E5753"/>
    <w:rsid w:val="008E59A5"/>
    <w:rsid w:val="008E6090"/>
    <w:rsid w:val="008F01E9"/>
    <w:rsid w:val="008F021A"/>
    <w:rsid w:val="00900938"/>
    <w:rsid w:val="0090395A"/>
    <w:rsid w:val="00912AE8"/>
    <w:rsid w:val="00917C08"/>
    <w:rsid w:val="00926423"/>
    <w:rsid w:val="00926654"/>
    <w:rsid w:val="009361D9"/>
    <w:rsid w:val="009430F5"/>
    <w:rsid w:val="009452F1"/>
    <w:rsid w:val="00950FC4"/>
    <w:rsid w:val="00953E73"/>
    <w:rsid w:val="00954EC9"/>
    <w:rsid w:val="00960407"/>
    <w:rsid w:val="00963F9E"/>
    <w:rsid w:val="00972A9F"/>
    <w:rsid w:val="00974D78"/>
    <w:rsid w:val="00976C1F"/>
    <w:rsid w:val="00981622"/>
    <w:rsid w:val="0098685F"/>
    <w:rsid w:val="009907C2"/>
    <w:rsid w:val="00996C92"/>
    <w:rsid w:val="00997A23"/>
    <w:rsid w:val="009B26FF"/>
    <w:rsid w:val="009C0267"/>
    <w:rsid w:val="009C05D4"/>
    <w:rsid w:val="009C398A"/>
    <w:rsid w:val="009C5B5B"/>
    <w:rsid w:val="009D1F48"/>
    <w:rsid w:val="009D1FDB"/>
    <w:rsid w:val="009D35CF"/>
    <w:rsid w:val="009F5811"/>
    <w:rsid w:val="00A0060D"/>
    <w:rsid w:val="00A062AA"/>
    <w:rsid w:val="00A06CAD"/>
    <w:rsid w:val="00A23C81"/>
    <w:rsid w:val="00A271A5"/>
    <w:rsid w:val="00A369BC"/>
    <w:rsid w:val="00A45413"/>
    <w:rsid w:val="00A517DD"/>
    <w:rsid w:val="00A577FB"/>
    <w:rsid w:val="00A7231C"/>
    <w:rsid w:val="00A73B19"/>
    <w:rsid w:val="00A77197"/>
    <w:rsid w:val="00A93D98"/>
    <w:rsid w:val="00A95E8C"/>
    <w:rsid w:val="00A96E7A"/>
    <w:rsid w:val="00AA0288"/>
    <w:rsid w:val="00AA0E61"/>
    <w:rsid w:val="00AA2DE1"/>
    <w:rsid w:val="00AC20AF"/>
    <w:rsid w:val="00AD116C"/>
    <w:rsid w:val="00AD12A9"/>
    <w:rsid w:val="00AD5691"/>
    <w:rsid w:val="00AD7667"/>
    <w:rsid w:val="00AF4C7F"/>
    <w:rsid w:val="00AF75CF"/>
    <w:rsid w:val="00AF7D20"/>
    <w:rsid w:val="00B04E42"/>
    <w:rsid w:val="00B0646D"/>
    <w:rsid w:val="00B07FB9"/>
    <w:rsid w:val="00B12150"/>
    <w:rsid w:val="00B13D94"/>
    <w:rsid w:val="00B16B90"/>
    <w:rsid w:val="00B244CF"/>
    <w:rsid w:val="00B2681B"/>
    <w:rsid w:val="00B272C5"/>
    <w:rsid w:val="00B27DD3"/>
    <w:rsid w:val="00B36D55"/>
    <w:rsid w:val="00B60692"/>
    <w:rsid w:val="00B636FF"/>
    <w:rsid w:val="00B6786D"/>
    <w:rsid w:val="00B76AAE"/>
    <w:rsid w:val="00B76AF7"/>
    <w:rsid w:val="00B843F0"/>
    <w:rsid w:val="00B85F0C"/>
    <w:rsid w:val="00B94BFD"/>
    <w:rsid w:val="00B95FEC"/>
    <w:rsid w:val="00B97F03"/>
    <w:rsid w:val="00BA24D1"/>
    <w:rsid w:val="00BB008F"/>
    <w:rsid w:val="00BB0F6F"/>
    <w:rsid w:val="00BD1573"/>
    <w:rsid w:val="00BD1D43"/>
    <w:rsid w:val="00BD27D5"/>
    <w:rsid w:val="00BD489B"/>
    <w:rsid w:val="00BE0268"/>
    <w:rsid w:val="00BE2203"/>
    <w:rsid w:val="00BF4A03"/>
    <w:rsid w:val="00BF6F74"/>
    <w:rsid w:val="00C01FCF"/>
    <w:rsid w:val="00C05FB3"/>
    <w:rsid w:val="00C202F1"/>
    <w:rsid w:val="00C23782"/>
    <w:rsid w:val="00C24789"/>
    <w:rsid w:val="00C32F5A"/>
    <w:rsid w:val="00C33EDF"/>
    <w:rsid w:val="00C46206"/>
    <w:rsid w:val="00C47033"/>
    <w:rsid w:val="00C60567"/>
    <w:rsid w:val="00C6449E"/>
    <w:rsid w:val="00C711C0"/>
    <w:rsid w:val="00C80A8B"/>
    <w:rsid w:val="00C83B67"/>
    <w:rsid w:val="00C85DAE"/>
    <w:rsid w:val="00C865CA"/>
    <w:rsid w:val="00C94CFE"/>
    <w:rsid w:val="00CA4430"/>
    <w:rsid w:val="00CA4FF2"/>
    <w:rsid w:val="00CA5BBE"/>
    <w:rsid w:val="00CB1323"/>
    <w:rsid w:val="00CB75A3"/>
    <w:rsid w:val="00CC027F"/>
    <w:rsid w:val="00CC178D"/>
    <w:rsid w:val="00CC70AD"/>
    <w:rsid w:val="00CC7546"/>
    <w:rsid w:val="00CD24D2"/>
    <w:rsid w:val="00CF4AE2"/>
    <w:rsid w:val="00D017E6"/>
    <w:rsid w:val="00D20703"/>
    <w:rsid w:val="00D23F04"/>
    <w:rsid w:val="00D257E4"/>
    <w:rsid w:val="00D260A9"/>
    <w:rsid w:val="00D26AEB"/>
    <w:rsid w:val="00D328FB"/>
    <w:rsid w:val="00D34E58"/>
    <w:rsid w:val="00D36B7B"/>
    <w:rsid w:val="00D4420B"/>
    <w:rsid w:val="00D544B9"/>
    <w:rsid w:val="00D627B2"/>
    <w:rsid w:val="00D7532D"/>
    <w:rsid w:val="00D923BF"/>
    <w:rsid w:val="00D9298A"/>
    <w:rsid w:val="00DA505D"/>
    <w:rsid w:val="00DB2913"/>
    <w:rsid w:val="00DB42D5"/>
    <w:rsid w:val="00DC252D"/>
    <w:rsid w:val="00DC2F2B"/>
    <w:rsid w:val="00DC5CFF"/>
    <w:rsid w:val="00DD680B"/>
    <w:rsid w:val="00DD72FE"/>
    <w:rsid w:val="00DD73FD"/>
    <w:rsid w:val="00DE11F3"/>
    <w:rsid w:val="00DE19D2"/>
    <w:rsid w:val="00DE4FCE"/>
    <w:rsid w:val="00DE56B1"/>
    <w:rsid w:val="00DF30F2"/>
    <w:rsid w:val="00DF7376"/>
    <w:rsid w:val="00E002A3"/>
    <w:rsid w:val="00E00426"/>
    <w:rsid w:val="00E07BE6"/>
    <w:rsid w:val="00E1199E"/>
    <w:rsid w:val="00E21C00"/>
    <w:rsid w:val="00E21DE2"/>
    <w:rsid w:val="00E2222E"/>
    <w:rsid w:val="00E26CD4"/>
    <w:rsid w:val="00E3756D"/>
    <w:rsid w:val="00E378E8"/>
    <w:rsid w:val="00E4021A"/>
    <w:rsid w:val="00E42652"/>
    <w:rsid w:val="00E45D30"/>
    <w:rsid w:val="00E50375"/>
    <w:rsid w:val="00E516D2"/>
    <w:rsid w:val="00E51865"/>
    <w:rsid w:val="00E51AA7"/>
    <w:rsid w:val="00E63EE9"/>
    <w:rsid w:val="00E64601"/>
    <w:rsid w:val="00E658C4"/>
    <w:rsid w:val="00E765B4"/>
    <w:rsid w:val="00E8186D"/>
    <w:rsid w:val="00E81F75"/>
    <w:rsid w:val="00E864C2"/>
    <w:rsid w:val="00E87208"/>
    <w:rsid w:val="00E90276"/>
    <w:rsid w:val="00E942DF"/>
    <w:rsid w:val="00E959D0"/>
    <w:rsid w:val="00EA2751"/>
    <w:rsid w:val="00EA2BEE"/>
    <w:rsid w:val="00EB47B9"/>
    <w:rsid w:val="00EB491B"/>
    <w:rsid w:val="00EB6B9F"/>
    <w:rsid w:val="00EC1B70"/>
    <w:rsid w:val="00EC346E"/>
    <w:rsid w:val="00ED7ABC"/>
    <w:rsid w:val="00EE0E60"/>
    <w:rsid w:val="00EE3E4E"/>
    <w:rsid w:val="00EF1EE8"/>
    <w:rsid w:val="00EF2B86"/>
    <w:rsid w:val="00F00F1A"/>
    <w:rsid w:val="00F015D0"/>
    <w:rsid w:val="00F022BB"/>
    <w:rsid w:val="00F22B04"/>
    <w:rsid w:val="00F23BE4"/>
    <w:rsid w:val="00F25EFA"/>
    <w:rsid w:val="00F26E7B"/>
    <w:rsid w:val="00F36EA6"/>
    <w:rsid w:val="00F443EF"/>
    <w:rsid w:val="00F53D95"/>
    <w:rsid w:val="00F54825"/>
    <w:rsid w:val="00F573B9"/>
    <w:rsid w:val="00F665C0"/>
    <w:rsid w:val="00F70460"/>
    <w:rsid w:val="00F70D79"/>
    <w:rsid w:val="00F86555"/>
    <w:rsid w:val="00F9400A"/>
    <w:rsid w:val="00FA3D54"/>
    <w:rsid w:val="00FB0D32"/>
    <w:rsid w:val="00FB5930"/>
    <w:rsid w:val="00FD1450"/>
    <w:rsid w:val="00FD2508"/>
    <w:rsid w:val="00FD5736"/>
    <w:rsid w:val="00FD5F64"/>
    <w:rsid w:val="00FD6031"/>
    <w:rsid w:val="00FD626D"/>
    <w:rsid w:val="00FE08C3"/>
    <w:rsid w:val="00FF0007"/>
    <w:rsid w:val="00FF35E9"/>
    <w:rsid w:val="00FF4A9F"/>
    <w:rsid w:val="00FF5C26"/>
    <w:rsid w:val="00FF5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3A2FC8"/>
  <w15:docId w15:val="{C3683178-3124-457A-8FD2-C103A511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pPr>
    <w:rPr>
      <w:sz w:val="24"/>
    </w:rPr>
  </w:style>
  <w:style w:type="paragraph" w:styleId="Heading2">
    <w:name w:val="heading 2"/>
    <w:basedOn w:val="Normal"/>
    <w:next w:val="Normal"/>
    <w:qFormat/>
    <w:pPr>
      <w:keepNext/>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1"/>
    </w:pPr>
    <w:rPr>
      <w:rFonts w:ascii="Arial" w:hAnsi="Arial" w:cs="Arial"/>
      <w:sz w:val="24"/>
      <w:u w:val="single"/>
    </w:rPr>
  </w:style>
  <w:style w:type="paragraph" w:styleId="Heading3">
    <w:name w:val="heading 3"/>
    <w:basedOn w:val="Normal"/>
    <w:next w:val="Normal"/>
    <w:qFormat/>
    <w:pPr>
      <w:keepNext/>
      <w:jc w:val="center"/>
      <w:outlineLvl w:val="2"/>
    </w:pPr>
    <w:rPr>
      <w:rFonts w:ascii="Arial" w:hAnsi="Arial" w:cs="Arial"/>
      <w:sz w:val="24"/>
    </w:rPr>
  </w:style>
  <w:style w:type="paragraph" w:styleId="Heading4">
    <w:name w:val="heading 4"/>
    <w:basedOn w:val="Normal"/>
    <w:next w:val="Normal"/>
    <w:qFormat/>
    <w:pPr>
      <w:keepNext/>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3"/>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20"/>
    </w:pPr>
    <w:rPr>
      <w:iCs/>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Level1">
    <w:name w:val="Level 1"/>
    <w:pPr>
      <w:autoSpaceDE w:val="0"/>
      <w:autoSpaceDN w:val="0"/>
      <w:adjustRightInd w:val="0"/>
      <w:ind w:left="720"/>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Strong">
    <w:name w:val="Strong"/>
    <w:qFormat/>
    <w:rPr>
      <w:b/>
      <w:bCs/>
    </w:rPr>
  </w:style>
  <w:style w:type="character" w:customStyle="1" w:styleId="yshortcuts">
    <w:name w:val="yshortcuts"/>
    <w:basedOn w:val="DefaultParagraphFont"/>
  </w:style>
  <w:style w:type="paragraph" w:styleId="BodyTextIndent2">
    <w:name w:val="Body Text Indent 2"/>
    <w:basedOn w:val="Normal"/>
    <w:pPr>
      <w:spacing w:after="120" w:line="480" w:lineRule="auto"/>
      <w:ind w:left="360"/>
    </w:pPr>
    <w:rPr>
      <w:sz w:val="24"/>
      <w:szCs w:val="24"/>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customStyle="1" w:styleId="pubcitation">
    <w:name w:val="pubcitation"/>
    <w:basedOn w:val="Normal"/>
    <w:pPr>
      <w:spacing w:after="240"/>
    </w:pPr>
    <w:rPr>
      <w:sz w:val="17"/>
      <w:szCs w:val="17"/>
    </w:rPr>
  </w:style>
  <w:style w:type="paragraph" w:styleId="PlainText">
    <w:name w:val="Plain Text"/>
    <w:basedOn w:val="Normal"/>
    <w:link w:val="PlainTextChar"/>
    <w:uiPriority w:val="99"/>
    <w:rPr>
      <w:rFonts w:ascii="Courier New" w:hAnsi="Courier New" w:cs="Courier New"/>
    </w:rPr>
  </w:style>
  <w:style w:type="paragraph" w:styleId="HTMLPreformatted">
    <w:name w:val="HTML Preformatted"/>
    <w:basedOn w:val="Normal"/>
    <w:rsid w:val="00237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rsid w:val="00B272C5"/>
    <w:pPr>
      <w:spacing w:before="100" w:beforeAutospacing="1" w:after="100" w:afterAutospacing="1"/>
    </w:pPr>
    <w:rPr>
      <w:sz w:val="24"/>
      <w:szCs w:val="24"/>
    </w:rPr>
  </w:style>
  <w:style w:type="paragraph" w:styleId="BodyText">
    <w:name w:val="Body Text"/>
    <w:basedOn w:val="Normal"/>
    <w:link w:val="BodyTextChar"/>
    <w:rsid w:val="00E21DE2"/>
    <w:pPr>
      <w:autoSpaceDE w:val="0"/>
      <w:autoSpaceDN w:val="0"/>
      <w:adjustRightInd w:val="0"/>
      <w:spacing w:after="120"/>
    </w:pPr>
    <w:rPr>
      <w:sz w:val="24"/>
    </w:rPr>
  </w:style>
  <w:style w:type="character" w:customStyle="1" w:styleId="BodyTextChar">
    <w:name w:val="Body Text Char"/>
    <w:link w:val="BodyText"/>
    <w:rsid w:val="00E21DE2"/>
    <w:rPr>
      <w:sz w:val="24"/>
    </w:rPr>
  </w:style>
  <w:style w:type="paragraph" w:customStyle="1" w:styleId="Default">
    <w:name w:val="Default"/>
    <w:rsid w:val="00E21DE2"/>
    <w:pPr>
      <w:widowControl w:val="0"/>
      <w:autoSpaceDE w:val="0"/>
      <w:autoSpaceDN w:val="0"/>
      <w:adjustRightInd w:val="0"/>
    </w:pPr>
    <w:rPr>
      <w:rFonts w:ascii="Melior" w:hAnsi="Melior" w:cs="Melior"/>
      <w:color w:val="000000"/>
      <w:sz w:val="24"/>
      <w:szCs w:val="24"/>
    </w:rPr>
  </w:style>
  <w:style w:type="paragraph" w:customStyle="1" w:styleId="bodytextpsg">
    <w:name w:val="body text_psg"/>
    <w:basedOn w:val="Normal"/>
    <w:link w:val="bodytextpsgChar"/>
    <w:rsid w:val="00F25EFA"/>
    <w:pPr>
      <w:spacing w:before="120" w:after="120"/>
      <w:ind w:firstLine="720"/>
    </w:pPr>
    <w:rPr>
      <w:sz w:val="22"/>
    </w:rPr>
  </w:style>
  <w:style w:type="character" w:customStyle="1" w:styleId="bodytextpsgChar">
    <w:name w:val="body text_psg Char"/>
    <w:link w:val="bodytextpsg"/>
    <w:rsid w:val="00F25EFA"/>
    <w:rPr>
      <w:sz w:val="22"/>
    </w:rPr>
  </w:style>
  <w:style w:type="paragraph" w:customStyle="1" w:styleId="bullets">
    <w:name w:val="bullets"/>
    <w:aliases w:val="bu"/>
    <w:basedOn w:val="Normal"/>
    <w:rsid w:val="00275587"/>
    <w:pPr>
      <w:numPr>
        <w:numId w:val="21"/>
      </w:numPr>
      <w:tabs>
        <w:tab w:val="clear" w:pos="720"/>
      </w:tabs>
      <w:spacing w:after="80"/>
      <w:ind w:left="1080"/>
    </w:pPr>
    <w:rPr>
      <w:sz w:val="22"/>
    </w:rPr>
  </w:style>
  <w:style w:type="paragraph" w:customStyle="1" w:styleId="OMBbullets">
    <w:name w:val="OMB bullets"/>
    <w:basedOn w:val="Normal"/>
    <w:rsid w:val="001E196C"/>
    <w:pPr>
      <w:spacing w:after="120"/>
      <w:ind w:left="360" w:hanging="360"/>
    </w:pPr>
    <w:rPr>
      <w:sz w:val="24"/>
    </w:rPr>
  </w:style>
  <w:style w:type="paragraph" w:customStyle="1" w:styleId="BodyText1">
    <w:name w:val="Body Text1"/>
    <w:aliases w:val="bt,body tx,indent,flush,memo body text,memo body text Char,flush Char Char Char Char Char Char Char Char Char Char Char Char Char,body text Char1,bt Char1,body tx Char1,body 4h,body text"/>
    <w:basedOn w:val="Normal"/>
    <w:link w:val="bodytextChar0"/>
    <w:rsid w:val="00847E40"/>
    <w:pPr>
      <w:spacing w:after="240" w:line="360" w:lineRule="atLeast"/>
      <w:ind w:firstLine="720"/>
    </w:pPr>
    <w:rPr>
      <w:sz w:val="24"/>
    </w:rPr>
  </w:style>
  <w:style w:type="paragraph" w:styleId="TOC5">
    <w:name w:val="toc 5"/>
    <w:aliases w:val="toc tab/fig"/>
    <w:basedOn w:val="Normal"/>
    <w:next w:val="Normal"/>
    <w:rsid w:val="008B28C8"/>
    <w:pPr>
      <w:tabs>
        <w:tab w:val="right" w:leader="dot" w:pos="9360"/>
      </w:tabs>
      <w:spacing w:after="120"/>
      <w:ind w:left="734" w:hanging="547"/>
    </w:pPr>
    <w:rPr>
      <w:sz w:val="22"/>
    </w:rPr>
  </w:style>
  <w:style w:type="character" w:customStyle="1" w:styleId="bodytextChar0">
    <w:name w:val="body text Char"/>
    <w:aliases w:val="bt Char,body text Char Char,body tx Char,indent Char,flush Char"/>
    <w:link w:val="BodyText1"/>
    <w:rsid w:val="008B28C8"/>
    <w:rPr>
      <w:sz w:val="24"/>
    </w:rPr>
  </w:style>
  <w:style w:type="paragraph" w:customStyle="1" w:styleId="section1">
    <w:name w:val="section1"/>
    <w:basedOn w:val="Normal"/>
    <w:rsid w:val="00842293"/>
    <w:pPr>
      <w:spacing w:before="100" w:beforeAutospacing="1" w:after="100" w:afterAutospacing="1"/>
    </w:pPr>
    <w:rPr>
      <w:rFonts w:eastAsia="Calibri"/>
      <w:sz w:val="24"/>
      <w:szCs w:val="24"/>
    </w:rPr>
  </w:style>
  <w:style w:type="character" w:customStyle="1" w:styleId="black1">
    <w:name w:val="black1"/>
    <w:basedOn w:val="DefaultParagraphFont"/>
    <w:rsid w:val="00842293"/>
  </w:style>
  <w:style w:type="character" w:customStyle="1" w:styleId="PlainTextChar">
    <w:name w:val="Plain Text Char"/>
    <w:link w:val="PlainText"/>
    <w:uiPriority w:val="99"/>
    <w:rsid w:val="00F53D95"/>
    <w:rPr>
      <w:rFonts w:ascii="Courier New" w:hAnsi="Courier New" w:cs="Courier New"/>
    </w:rPr>
  </w:style>
  <w:style w:type="paragraph" w:customStyle="1" w:styleId="aboxbullet">
    <w:name w:val="abox_bullet"/>
    <w:basedOn w:val="Normal"/>
    <w:rsid w:val="009D35CF"/>
    <w:pPr>
      <w:framePr w:hSpace="144" w:vSpace="144" w:wrap="around" w:vAnchor="text" w:hAnchor="margin" w:xAlign="right" w:y="1"/>
      <w:numPr>
        <w:numId w:val="24"/>
      </w:numPr>
      <w:tabs>
        <w:tab w:val="clear" w:pos="720"/>
      </w:tabs>
      <w:spacing w:after="20"/>
      <w:ind w:left="461" w:hanging="245"/>
      <w:suppressOverlap/>
    </w:pPr>
    <w:rPr>
      <w:rFonts w:ascii="Arial" w:hAnsi="Arial"/>
      <w:sz w:val="18"/>
      <w:szCs w:val="18"/>
    </w:rPr>
  </w:style>
  <w:style w:type="paragraph" w:styleId="Header">
    <w:name w:val="header"/>
    <w:basedOn w:val="Normal"/>
    <w:link w:val="HeaderChar"/>
    <w:uiPriority w:val="99"/>
    <w:rsid w:val="001F05AF"/>
    <w:pPr>
      <w:tabs>
        <w:tab w:val="center" w:pos="4680"/>
        <w:tab w:val="right" w:pos="9360"/>
      </w:tabs>
    </w:pPr>
  </w:style>
  <w:style w:type="character" w:customStyle="1" w:styleId="HeaderChar">
    <w:name w:val="Header Char"/>
    <w:basedOn w:val="DefaultParagraphFont"/>
    <w:link w:val="Header"/>
    <w:uiPriority w:val="99"/>
    <w:rsid w:val="001F05AF"/>
  </w:style>
  <w:style w:type="character" w:customStyle="1" w:styleId="FooterChar">
    <w:name w:val="Footer Char"/>
    <w:link w:val="Footer"/>
    <w:uiPriority w:val="99"/>
    <w:rsid w:val="001F05AF"/>
  </w:style>
  <w:style w:type="character" w:customStyle="1" w:styleId="apple-converted-space">
    <w:name w:val="apple-converted-space"/>
    <w:rsid w:val="00DD73FD"/>
  </w:style>
  <w:style w:type="paragraph" w:styleId="ListParagraph">
    <w:name w:val="List Paragraph"/>
    <w:basedOn w:val="Normal"/>
    <w:uiPriority w:val="34"/>
    <w:qFormat/>
    <w:rsid w:val="000E3F87"/>
    <w:pPr>
      <w:ind w:left="720"/>
      <w:contextualSpacing/>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067613">
      <w:bodyDiv w:val="1"/>
      <w:marLeft w:val="0"/>
      <w:marRight w:val="0"/>
      <w:marTop w:val="0"/>
      <w:marBottom w:val="0"/>
      <w:divBdr>
        <w:top w:val="none" w:sz="0" w:space="0" w:color="auto"/>
        <w:left w:val="none" w:sz="0" w:space="0" w:color="auto"/>
        <w:bottom w:val="none" w:sz="0" w:space="0" w:color="auto"/>
        <w:right w:val="none" w:sz="0" w:space="0" w:color="auto"/>
      </w:divBdr>
    </w:div>
    <w:div w:id="402064652">
      <w:bodyDiv w:val="1"/>
      <w:marLeft w:val="0"/>
      <w:marRight w:val="0"/>
      <w:marTop w:val="0"/>
      <w:marBottom w:val="0"/>
      <w:divBdr>
        <w:top w:val="none" w:sz="0" w:space="0" w:color="auto"/>
        <w:left w:val="none" w:sz="0" w:space="0" w:color="auto"/>
        <w:bottom w:val="none" w:sz="0" w:space="0" w:color="auto"/>
        <w:right w:val="none" w:sz="0" w:space="0" w:color="auto"/>
      </w:divBdr>
    </w:div>
    <w:div w:id="484204881">
      <w:bodyDiv w:val="1"/>
      <w:marLeft w:val="0"/>
      <w:marRight w:val="0"/>
      <w:marTop w:val="0"/>
      <w:marBottom w:val="0"/>
      <w:divBdr>
        <w:top w:val="none" w:sz="0" w:space="0" w:color="auto"/>
        <w:left w:val="none" w:sz="0" w:space="0" w:color="auto"/>
        <w:bottom w:val="none" w:sz="0" w:space="0" w:color="auto"/>
        <w:right w:val="none" w:sz="0" w:space="0" w:color="auto"/>
      </w:divBdr>
    </w:div>
    <w:div w:id="548229914">
      <w:bodyDiv w:val="1"/>
      <w:marLeft w:val="0"/>
      <w:marRight w:val="0"/>
      <w:marTop w:val="0"/>
      <w:marBottom w:val="0"/>
      <w:divBdr>
        <w:top w:val="none" w:sz="0" w:space="0" w:color="auto"/>
        <w:left w:val="none" w:sz="0" w:space="0" w:color="auto"/>
        <w:bottom w:val="none" w:sz="0" w:space="0" w:color="auto"/>
        <w:right w:val="none" w:sz="0" w:space="0" w:color="auto"/>
      </w:divBdr>
    </w:div>
    <w:div w:id="749812578">
      <w:bodyDiv w:val="1"/>
      <w:marLeft w:val="0"/>
      <w:marRight w:val="0"/>
      <w:marTop w:val="0"/>
      <w:marBottom w:val="0"/>
      <w:divBdr>
        <w:top w:val="none" w:sz="0" w:space="0" w:color="auto"/>
        <w:left w:val="none" w:sz="0" w:space="0" w:color="auto"/>
        <w:bottom w:val="none" w:sz="0" w:space="0" w:color="auto"/>
        <w:right w:val="none" w:sz="0" w:space="0" w:color="auto"/>
      </w:divBdr>
    </w:div>
    <w:div w:id="1067067617">
      <w:bodyDiv w:val="1"/>
      <w:marLeft w:val="0"/>
      <w:marRight w:val="0"/>
      <w:marTop w:val="0"/>
      <w:marBottom w:val="0"/>
      <w:divBdr>
        <w:top w:val="none" w:sz="0" w:space="0" w:color="auto"/>
        <w:left w:val="none" w:sz="0" w:space="0" w:color="auto"/>
        <w:bottom w:val="none" w:sz="0" w:space="0" w:color="auto"/>
        <w:right w:val="none" w:sz="0" w:space="0" w:color="auto"/>
      </w:divBdr>
    </w:div>
    <w:div w:id="1070805007">
      <w:bodyDiv w:val="1"/>
      <w:marLeft w:val="0"/>
      <w:marRight w:val="0"/>
      <w:marTop w:val="0"/>
      <w:marBottom w:val="0"/>
      <w:divBdr>
        <w:top w:val="none" w:sz="0" w:space="0" w:color="auto"/>
        <w:left w:val="none" w:sz="0" w:space="0" w:color="auto"/>
        <w:bottom w:val="none" w:sz="0" w:space="0" w:color="auto"/>
        <w:right w:val="none" w:sz="0" w:space="0" w:color="auto"/>
      </w:divBdr>
    </w:div>
    <w:div w:id="1129082846">
      <w:bodyDiv w:val="1"/>
      <w:marLeft w:val="0"/>
      <w:marRight w:val="0"/>
      <w:marTop w:val="0"/>
      <w:marBottom w:val="0"/>
      <w:divBdr>
        <w:top w:val="none" w:sz="0" w:space="0" w:color="auto"/>
        <w:left w:val="none" w:sz="0" w:space="0" w:color="auto"/>
        <w:bottom w:val="none" w:sz="0" w:space="0" w:color="auto"/>
        <w:right w:val="none" w:sz="0" w:space="0" w:color="auto"/>
      </w:divBdr>
    </w:div>
    <w:div w:id="1210190157">
      <w:bodyDiv w:val="1"/>
      <w:marLeft w:val="0"/>
      <w:marRight w:val="0"/>
      <w:marTop w:val="0"/>
      <w:marBottom w:val="0"/>
      <w:divBdr>
        <w:top w:val="none" w:sz="0" w:space="0" w:color="auto"/>
        <w:left w:val="none" w:sz="0" w:space="0" w:color="auto"/>
        <w:bottom w:val="none" w:sz="0" w:space="0" w:color="auto"/>
        <w:right w:val="none" w:sz="0" w:space="0" w:color="auto"/>
      </w:divBdr>
    </w:div>
    <w:div w:id="1429691198">
      <w:bodyDiv w:val="1"/>
      <w:marLeft w:val="0"/>
      <w:marRight w:val="0"/>
      <w:marTop w:val="0"/>
      <w:marBottom w:val="0"/>
      <w:divBdr>
        <w:top w:val="none" w:sz="0" w:space="0" w:color="auto"/>
        <w:left w:val="none" w:sz="0" w:space="0" w:color="auto"/>
        <w:bottom w:val="none" w:sz="0" w:space="0" w:color="auto"/>
        <w:right w:val="none" w:sz="0" w:space="0" w:color="auto"/>
      </w:divBdr>
    </w:div>
    <w:div w:id="1503542081">
      <w:bodyDiv w:val="1"/>
      <w:marLeft w:val="0"/>
      <w:marRight w:val="0"/>
      <w:marTop w:val="0"/>
      <w:marBottom w:val="0"/>
      <w:divBdr>
        <w:top w:val="none" w:sz="0" w:space="0" w:color="auto"/>
        <w:left w:val="none" w:sz="0" w:space="0" w:color="auto"/>
        <w:bottom w:val="none" w:sz="0" w:space="0" w:color="auto"/>
        <w:right w:val="none" w:sz="0" w:space="0" w:color="auto"/>
      </w:divBdr>
    </w:div>
    <w:div w:id="1710839595">
      <w:bodyDiv w:val="1"/>
      <w:marLeft w:val="0"/>
      <w:marRight w:val="0"/>
      <w:marTop w:val="0"/>
      <w:marBottom w:val="0"/>
      <w:divBdr>
        <w:top w:val="none" w:sz="0" w:space="0" w:color="auto"/>
        <w:left w:val="none" w:sz="0" w:space="0" w:color="auto"/>
        <w:bottom w:val="none" w:sz="0" w:space="0" w:color="auto"/>
        <w:right w:val="none" w:sz="0" w:space="0" w:color="auto"/>
      </w:divBdr>
    </w:div>
    <w:div w:id="1842158089">
      <w:bodyDiv w:val="1"/>
      <w:marLeft w:val="0"/>
      <w:marRight w:val="0"/>
      <w:marTop w:val="0"/>
      <w:marBottom w:val="0"/>
      <w:divBdr>
        <w:top w:val="none" w:sz="0" w:space="0" w:color="auto"/>
        <w:left w:val="none" w:sz="0" w:space="0" w:color="auto"/>
        <w:bottom w:val="none" w:sz="0" w:space="0" w:color="auto"/>
        <w:right w:val="none" w:sz="0" w:space="0" w:color="auto"/>
      </w:divBdr>
    </w:div>
    <w:div w:id="2007900198">
      <w:bodyDiv w:val="1"/>
      <w:marLeft w:val="0"/>
      <w:marRight w:val="0"/>
      <w:marTop w:val="0"/>
      <w:marBottom w:val="0"/>
      <w:divBdr>
        <w:top w:val="none" w:sz="0" w:space="0" w:color="auto"/>
        <w:left w:val="none" w:sz="0" w:space="0" w:color="auto"/>
        <w:bottom w:val="none" w:sz="0" w:space="0" w:color="auto"/>
        <w:right w:val="none" w:sz="0" w:space="0" w:color="auto"/>
      </w:divBdr>
      <w:divsChild>
        <w:div w:id="168182588">
          <w:marLeft w:val="0"/>
          <w:marRight w:val="0"/>
          <w:marTop w:val="0"/>
          <w:marBottom w:val="0"/>
          <w:divBdr>
            <w:top w:val="none" w:sz="0" w:space="0" w:color="auto"/>
            <w:left w:val="none" w:sz="0" w:space="0" w:color="auto"/>
            <w:bottom w:val="none" w:sz="0" w:space="0" w:color="auto"/>
            <w:right w:val="none" w:sz="0" w:space="0" w:color="auto"/>
          </w:divBdr>
          <w:divsChild>
            <w:div w:id="43470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5188">
      <w:bodyDiv w:val="1"/>
      <w:marLeft w:val="0"/>
      <w:marRight w:val="0"/>
      <w:marTop w:val="0"/>
      <w:marBottom w:val="0"/>
      <w:divBdr>
        <w:top w:val="none" w:sz="0" w:space="0" w:color="auto"/>
        <w:left w:val="none" w:sz="0" w:space="0" w:color="auto"/>
        <w:bottom w:val="none" w:sz="0" w:space="0" w:color="auto"/>
        <w:right w:val="none" w:sz="0" w:space="0" w:color="auto"/>
      </w:divBdr>
    </w:div>
    <w:div w:id="2077899515">
      <w:bodyDiv w:val="1"/>
      <w:marLeft w:val="0"/>
      <w:marRight w:val="0"/>
      <w:marTop w:val="0"/>
      <w:marBottom w:val="0"/>
      <w:divBdr>
        <w:top w:val="none" w:sz="0" w:space="0" w:color="auto"/>
        <w:left w:val="none" w:sz="0" w:space="0" w:color="auto"/>
        <w:bottom w:val="none" w:sz="0" w:space="0" w:color="auto"/>
        <w:right w:val="none" w:sz="0" w:space="0" w:color="auto"/>
      </w:divBdr>
      <w:divsChild>
        <w:div w:id="1309624331">
          <w:marLeft w:val="0"/>
          <w:marRight w:val="0"/>
          <w:marTop w:val="0"/>
          <w:marBottom w:val="0"/>
          <w:divBdr>
            <w:top w:val="none" w:sz="0" w:space="0" w:color="auto"/>
            <w:left w:val="single" w:sz="6" w:space="0" w:color="444444"/>
            <w:bottom w:val="none" w:sz="0" w:space="0" w:color="auto"/>
            <w:right w:val="single" w:sz="6" w:space="0" w:color="444444"/>
          </w:divBdr>
          <w:divsChild>
            <w:div w:id="1969703236">
              <w:marLeft w:val="0"/>
              <w:marRight w:val="0"/>
              <w:marTop w:val="0"/>
              <w:marBottom w:val="0"/>
              <w:divBdr>
                <w:top w:val="none" w:sz="0" w:space="0" w:color="auto"/>
                <w:left w:val="none" w:sz="0" w:space="0" w:color="auto"/>
                <w:bottom w:val="none" w:sz="0" w:space="0" w:color="auto"/>
                <w:right w:val="none" w:sz="0" w:space="0" w:color="auto"/>
              </w:divBdr>
              <w:divsChild>
                <w:div w:id="10330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anaska.Dineva@fda.hh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esfa.Alexander@fda.hhs.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Xiaoquan.Zhao@fd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1664</Words>
  <Characters>9389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FDA</Company>
  <LinksUpToDate>false</LinksUpToDate>
  <CharactersWithSpaces>11031</CharactersWithSpaces>
  <SharedDoc>false</SharedDoc>
  <HLinks>
    <vt:vector size="30" baseType="variant">
      <vt:variant>
        <vt:i4>1179681</vt:i4>
      </vt:variant>
      <vt:variant>
        <vt:i4>15</vt:i4>
      </vt:variant>
      <vt:variant>
        <vt:i4>0</vt:i4>
      </vt:variant>
      <vt:variant>
        <vt:i4>5</vt:i4>
      </vt:variant>
      <vt:variant>
        <vt:lpwstr>mailto:bonniehepler@rti.org</vt:lpwstr>
      </vt:variant>
      <vt:variant>
        <vt:lpwstr/>
      </vt:variant>
      <vt:variant>
        <vt:i4>5177455</vt:i4>
      </vt:variant>
      <vt:variant>
        <vt:i4>12</vt:i4>
      </vt:variant>
      <vt:variant>
        <vt:i4>0</vt:i4>
      </vt:variant>
      <vt:variant>
        <vt:i4>5</vt:i4>
      </vt:variant>
      <vt:variant>
        <vt:lpwstr>mailto:Xiaoquan.Zhao@fda.hhs.gov</vt:lpwstr>
      </vt:variant>
      <vt:variant>
        <vt:lpwstr/>
      </vt:variant>
      <vt:variant>
        <vt:i4>6946890</vt:i4>
      </vt:variant>
      <vt:variant>
        <vt:i4>9</vt:i4>
      </vt:variant>
      <vt:variant>
        <vt:i4>0</vt:i4>
      </vt:variant>
      <vt:variant>
        <vt:i4>5</vt:i4>
      </vt:variant>
      <vt:variant>
        <vt:lpwstr>mailto:Chauentta.Jones@fda.hhs.gov</vt:lpwstr>
      </vt:variant>
      <vt:variant>
        <vt:lpwstr/>
      </vt:variant>
      <vt:variant>
        <vt:i4>2490397</vt:i4>
      </vt:variant>
      <vt:variant>
        <vt:i4>6</vt:i4>
      </vt:variant>
      <vt:variant>
        <vt:i4>0</vt:i4>
      </vt:variant>
      <vt:variant>
        <vt:i4>5</vt:i4>
      </vt:variant>
      <vt:variant>
        <vt:lpwstr>mailto:Atanaska.Dineva@fda.hhs.gov</vt:lpwstr>
      </vt:variant>
      <vt:variant>
        <vt:lpwstr/>
      </vt:variant>
      <vt:variant>
        <vt:i4>7995483</vt:i4>
      </vt:variant>
      <vt:variant>
        <vt:i4>3</vt:i4>
      </vt:variant>
      <vt:variant>
        <vt:i4>0</vt:i4>
      </vt:variant>
      <vt:variant>
        <vt:i4>5</vt:i4>
      </vt:variant>
      <vt:variant>
        <vt:lpwstr>mailto:Tesfa.Alexander@fda.hhs.gov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Pritzlaff, Olivia *</dc:creator>
  <cp:lastModifiedBy>Mizrachi, Ila</cp:lastModifiedBy>
  <cp:revision>3</cp:revision>
  <cp:lastPrinted>2014-10-28T19:53:00Z</cp:lastPrinted>
  <dcterms:created xsi:type="dcterms:W3CDTF">2020-02-13T20:57:00Z</dcterms:created>
  <dcterms:modified xsi:type="dcterms:W3CDTF">2020-02-13T20:58:00Z</dcterms:modified>
</cp:coreProperties>
</file>