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1733C" w14:textId="236840CF" w:rsidR="000D4FD3" w:rsidRDefault="000D4FD3" w:rsidP="00BB1D4C">
      <w:pPr>
        <w:jc w:val="center"/>
      </w:pPr>
      <w:bookmarkStart w:id="0" w:name="_GoBack"/>
      <w:bookmarkEnd w:id="0"/>
      <w:r>
        <w:t xml:space="preserve">U.S. Food and Drug Administration </w:t>
      </w:r>
    </w:p>
    <w:p w14:paraId="280141C4" w14:textId="2AE9918C" w:rsidR="00EB7538" w:rsidRPr="009A1674" w:rsidRDefault="00391B67" w:rsidP="00BB1D4C">
      <w:pPr>
        <w:jc w:val="center"/>
      </w:pPr>
      <w:r>
        <w:t>Medical Device User Fee Cover Sheet—Form FDA 3601</w:t>
      </w:r>
    </w:p>
    <w:p w14:paraId="5344BFCA" w14:textId="77777777" w:rsidR="00B23769" w:rsidRPr="009A1674" w:rsidRDefault="00B23769" w:rsidP="00BB1D4C">
      <w:pPr>
        <w:jc w:val="center"/>
      </w:pPr>
    </w:p>
    <w:p w14:paraId="0F7E7C15" w14:textId="6347F74F" w:rsidR="00EB7538" w:rsidRPr="009A1674" w:rsidRDefault="000D4FD3" w:rsidP="00BB1D4C">
      <w:pPr>
        <w:jc w:val="center"/>
      </w:pPr>
      <w:r>
        <w:t xml:space="preserve">OMB Control Number </w:t>
      </w:r>
      <w:r w:rsidR="00EB7538" w:rsidRPr="009A1674">
        <w:t>0910-</w:t>
      </w:r>
      <w:r w:rsidR="00391B67">
        <w:t>0511</w:t>
      </w:r>
      <w:r w:rsidR="00A35D42" w:rsidRPr="009A1674">
        <w:br/>
      </w:r>
      <w:r w:rsidR="00EB7538" w:rsidRPr="009A1674">
        <w:t>SUPPORTING STATEMENT</w:t>
      </w:r>
    </w:p>
    <w:p w14:paraId="026AE0FD" w14:textId="77777777" w:rsidR="00810FF1" w:rsidRDefault="00810FF1" w:rsidP="00BB1D4C">
      <w:pPr>
        <w:jc w:val="center"/>
        <w:rPr>
          <w:b/>
        </w:rPr>
      </w:pPr>
    </w:p>
    <w:p w14:paraId="5945F598" w14:textId="77777777" w:rsidR="00810FF1" w:rsidRPr="00810FF1" w:rsidRDefault="00810FF1" w:rsidP="00BB1D4C">
      <w:r>
        <w:rPr>
          <w:b/>
        </w:rPr>
        <w:t xml:space="preserve">Terms of Clearance: </w:t>
      </w:r>
      <w:r w:rsidR="00435135">
        <w:t>none.</w:t>
      </w:r>
    </w:p>
    <w:p w14:paraId="6BEB9E16" w14:textId="77777777" w:rsidR="00BB1D4C" w:rsidRDefault="00BB1D4C" w:rsidP="00BB1D4C">
      <w:pPr>
        <w:pStyle w:val="NormalWeb"/>
        <w:spacing w:before="0" w:beforeAutospacing="0" w:after="0" w:afterAutospacing="0"/>
        <w:rPr>
          <w:b/>
          <w:bCs/>
        </w:rPr>
      </w:pPr>
    </w:p>
    <w:p w14:paraId="491CA8FA" w14:textId="77777777" w:rsidR="00EB7538" w:rsidRDefault="00EB7538" w:rsidP="00BB1D4C">
      <w:pPr>
        <w:pStyle w:val="NormalWeb"/>
        <w:spacing w:before="0" w:beforeAutospacing="0" w:after="0" w:afterAutospacing="0"/>
        <w:rPr>
          <w:b/>
          <w:bCs/>
        </w:rPr>
      </w:pPr>
      <w:r>
        <w:rPr>
          <w:b/>
          <w:bCs/>
        </w:rPr>
        <w:t>A. Justification</w:t>
      </w:r>
    </w:p>
    <w:p w14:paraId="6B8B69BE" w14:textId="77777777" w:rsidR="00BB1D4C" w:rsidRDefault="00BB1D4C" w:rsidP="00BB1D4C">
      <w:pPr>
        <w:pStyle w:val="NormalWeb"/>
        <w:spacing w:before="0" w:beforeAutospacing="0" w:after="0" w:afterAutospacing="0"/>
      </w:pPr>
    </w:p>
    <w:p w14:paraId="5E647F94" w14:textId="77777777" w:rsidR="008B30AB" w:rsidRDefault="00EB7538" w:rsidP="00BB1D4C">
      <w:pPr>
        <w:numPr>
          <w:ilvl w:val="0"/>
          <w:numId w:val="1"/>
        </w:numPr>
        <w:rPr>
          <w:u w:val="single"/>
        </w:rPr>
      </w:pPr>
      <w:r w:rsidRPr="002746DB">
        <w:rPr>
          <w:u w:val="single"/>
        </w:rPr>
        <w:t>Circumstances Making the Collection of Information Necessary</w:t>
      </w:r>
    </w:p>
    <w:p w14:paraId="507F3DC9" w14:textId="77777777" w:rsidR="00BB1D4C" w:rsidRPr="00BB1D4C" w:rsidRDefault="00BB1D4C" w:rsidP="00BB1D4C">
      <w:pPr>
        <w:pStyle w:val="HTMLPreformatted"/>
        <w:ind w:left="720"/>
        <w:rPr>
          <w:rFonts w:ascii="Times New Roman" w:eastAsia="Times New Roman" w:hAnsi="Times New Roman"/>
          <w:sz w:val="24"/>
          <w:u w:val="single"/>
        </w:rPr>
      </w:pPr>
    </w:p>
    <w:p w14:paraId="3C722CE0" w14:textId="6A4EF0A2" w:rsidR="00435135" w:rsidRDefault="00435135" w:rsidP="00BB1D4C">
      <w:pPr>
        <w:pStyle w:val="HTMLPreformatted"/>
        <w:ind w:left="720"/>
        <w:rPr>
          <w:rFonts w:ascii="Times New Roman" w:hAnsi="Times New Roman"/>
          <w:sz w:val="24"/>
          <w:szCs w:val="24"/>
        </w:rPr>
      </w:pPr>
      <w:r w:rsidRPr="00581E95">
        <w:rPr>
          <w:rFonts w:ascii="Times New Roman" w:hAnsi="Times New Roman"/>
          <w:sz w:val="24"/>
          <w:szCs w:val="24"/>
        </w:rPr>
        <w:t>The Federal Food, Drug, and Cosmetic Act (the act), as amended by the Medical Device User Fee and Modernization Act of 2002 (MDUFMA) (Public Law 107-250), and the Medical Device User Fee Amendments of 2007 (Title II of the Food and Drug Administration Amendments Act of 2007 (FDAAA)), authorizes FDA to collect user fees for certain medical device applications.  Under this authority, companies pay a fee for certain new medical device applications or supplements submitted to the agency for review. Because the submission of user fees concurrently with applications and supplements is required, the review of an application cannot begin until the fee is submitted. Form FDA 3601, the “Medical Device User Fee Cover Sheet</w:t>
      </w:r>
      <w:r w:rsidR="00A823AD">
        <w:rPr>
          <w:rFonts w:ascii="Times New Roman" w:hAnsi="Times New Roman"/>
          <w:sz w:val="24"/>
          <w:szCs w:val="24"/>
        </w:rPr>
        <w:t>,</w:t>
      </w:r>
      <w:r w:rsidRPr="00581E95">
        <w:rPr>
          <w:rFonts w:ascii="Times New Roman" w:hAnsi="Times New Roman"/>
          <w:sz w:val="24"/>
          <w:szCs w:val="24"/>
        </w:rPr>
        <w:t xml:space="preserve">” is designed to provide the minimum necessary information to determine whether a fee is required for review of an application, to determine the amount of the fee required, and to account for and track user fees. </w:t>
      </w:r>
      <w:r>
        <w:rPr>
          <w:rFonts w:ascii="Times New Roman" w:hAnsi="Times New Roman"/>
          <w:sz w:val="24"/>
          <w:szCs w:val="24"/>
        </w:rPr>
        <w:t xml:space="preserve"> </w:t>
      </w:r>
      <w:r w:rsidR="00F668EC">
        <w:rPr>
          <w:rFonts w:ascii="Times New Roman" w:hAnsi="Times New Roman"/>
          <w:sz w:val="24"/>
          <w:szCs w:val="24"/>
        </w:rPr>
        <w:t>Form FDA 3601 and instructions are available online for registered users. A pdf of the form has been attached with this ICR.</w:t>
      </w:r>
      <w:r w:rsidR="00F668EC" w:rsidDel="00F668EC">
        <w:rPr>
          <w:rFonts w:ascii="Times New Roman" w:hAnsi="Times New Roman"/>
          <w:sz w:val="24"/>
          <w:szCs w:val="24"/>
        </w:rPr>
        <w:t xml:space="preserve"> </w:t>
      </w:r>
    </w:p>
    <w:p w14:paraId="03305396" w14:textId="77777777" w:rsidR="00BB1D4C" w:rsidRPr="00581E95" w:rsidRDefault="00BB1D4C" w:rsidP="00C900C7">
      <w:pPr>
        <w:pStyle w:val="HTMLPreformatted"/>
        <w:rPr>
          <w:rFonts w:ascii="Times New Roman" w:hAnsi="Times New Roman"/>
          <w:sz w:val="24"/>
          <w:szCs w:val="24"/>
        </w:rPr>
      </w:pPr>
    </w:p>
    <w:p w14:paraId="70035C88" w14:textId="77777777" w:rsidR="008B30AB" w:rsidRDefault="00EB7538" w:rsidP="00BB1D4C">
      <w:pPr>
        <w:numPr>
          <w:ilvl w:val="0"/>
          <w:numId w:val="1"/>
        </w:numPr>
        <w:rPr>
          <w:u w:val="single"/>
        </w:rPr>
      </w:pPr>
      <w:r w:rsidRPr="002746DB">
        <w:rPr>
          <w:u w:val="single"/>
        </w:rPr>
        <w:t>Purpose and Us</w:t>
      </w:r>
      <w:r w:rsidR="00BB1D4C">
        <w:rPr>
          <w:u w:val="single"/>
        </w:rPr>
        <w:t>e of the Information Collection</w:t>
      </w:r>
    </w:p>
    <w:p w14:paraId="4C01D2B5" w14:textId="77777777" w:rsidR="00BB1D4C" w:rsidRPr="002746DB" w:rsidRDefault="00BB1D4C" w:rsidP="00BB1D4C">
      <w:pPr>
        <w:ind w:left="360"/>
        <w:rPr>
          <w:u w:val="single"/>
        </w:rPr>
      </w:pPr>
    </w:p>
    <w:p w14:paraId="7CFD398D" w14:textId="77777777" w:rsidR="00025652" w:rsidRDefault="00025652" w:rsidP="00BB1D4C">
      <w:pPr>
        <w:ind w:left="720"/>
      </w:pPr>
      <w:r>
        <w:t>The User Fee Cover Sheet is designed to be included with each medical device application subject to fees under MDUFMA submitted to FDA for review.  The information collected will be used by the FDA's Center for Device and Radiological Health (CDRH) and Center for Biologics Evaluation and Research (CBER) to initiate the administrative screening of an application or supplement.  The form provides a cross-reference of the fee submitted for an application with the actual application utilizing a unique number tracking system.  It also identifies pertinent statutory provisions under which the application may qualify for a reduced fee or be excluded from the requirement for a fee.</w:t>
      </w:r>
    </w:p>
    <w:p w14:paraId="1995C139" w14:textId="77777777" w:rsidR="00025652" w:rsidRDefault="00025652" w:rsidP="00BB1D4C">
      <w:pPr>
        <w:ind w:left="720"/>
      </w:pPr>
    </w:p>
    <w:p w14:paraId="212269DF" w14:textId="77777777" w:rsidR="00025652" w:rsidRPr="00A917B6" w:rsidRDefault="00025652" w:rsidP="00BB1D4C">
      <w:pPr>
        <w:ind w:left="720"/>
      </w:pPr>
      <w:r>
        <w:t>MDUFMA requires the submission of the user fees concurrently with applications.  If the required fees are not submitted, the review of the application will not begin.  The User Fee Cover Sheet provides the information necessary to either initiate or defer the application review</w:t>
      </w:r>
      <w:r w:rsidRPr="00A917B6">
        <w:t xml:space="preserve">.  The </w:t>
      </w:r>
      <w:r>
        <w:t>consequence of not providing all necessary information is that the submission in question cannot be reviewed</w:t>
      </w:r>
      <w:r w:rsidRPr="00A917B6">
        <w:t>.</w:t>
      </w:r>
    </w:p>
    <w:p w14:paraId="40445266" w14:textId="77777777" w:rsidR="00025652" w:rsidRDefault="00025652" w:rsidP="00BB1D4C">
      <w:pPr>
        <w:ind w:left="720"/>
      </w:pPr>
    </w:p>
    <w:p w14:paraId="1819EA59" w14:textId="77777777" w:rsidR="00025652" w:rsidRDefault="00025652" w:rsidP="00BB1D4C">
      <w:pPr>
        <w:ind w:left="720"/>
        <w:rPr>
          <w:i/>
        </w:rPr>
      </w:pPr>
      <w:r w:rsidRPr="00581E95">
        <w:t xml:space="preserve">The majority of the respondents are private sector </w:t>
      </w:r>
      <w:r w:rsidRPr="00581E95">
        <w:rPr>
          <w:iCs/>
        </w:rPr>
        <w:t>businesses, specifically medical device manufacturers.</w:t>
      </w:r>
    </w:p>
    <w:p w14:paraId="35402343" w14:textId="77777777" w:rsidR="00CC2894" w:rsidRPr="00BB1D4C" w:rsidRDefault="00CC2894" w:rsidP="00BB1D4C">
      <w:pPr>
        <w:ind w:left="720"/>
      </w:pPr>
    </w:p>
    <w:p w14:paraId="78958D64" w14:textId="77777777" w:rsidR="002746DB" w:rsidRPr="004C6979" w:rsidRDefault="00EB7538" w:rsidP="00BB1D4C">
      <w:pPr>
        <w:numPr>
          <w:ilvl w:val="0"/>
          <w:numId w:val="1"/>
        </w:numPr>
        <w:ind w:right="-1440"/>
        <w:rPr>
          <w:u w:val="single"/>
        </w:rPr>
      </w:pPr>
      <w:r w:rsidRPr="004C6979">
        <w:rPr>
          <w:u w:val="single"/>
        </w:rPr>
        <w:t xml:space="preserve">Use of Improved Information </w:t>
      </w:r>
      <w:r w:rsidR="00BB1D4C">
        <w:rPr>
          <w:u w:val="single"/>
        </w:rPr>
        <w:t>Technology and Burden Reduction</w:t>
      </w:r>
    </w:p>
    <w:p w14:paraId="1C5E1D2E" w14:textId="77777777" w:rsidR="00BB1D4C" w:rsidRDefault="00BB1D4C" w:rsidP="00BB1D4C">
      <w:pPr>
        <w:ind w:left="720"/>
      </w:pPr>
    </w:p>
    <w:p w14:paraId="61923E42" w14:textId="3AAB4F47" w:rsidR="004F3AB0" w:rsidRDefault="004F3AB0" w:rsidP="004F3AB0">
      <w:pPr>
        <w:ind w:left="720"/>
      </w:pPr>
      <w:r>
        <w:t>The MDUFMA User Fee Cover Sheet form is available on FDA’s website</w:t>
      </w:r>
      <w:r w:rsidR="00BA0D25">
        <w:t xml:space="preserve"> (</w:t>
      </w:r>
      <w:hyperlink r:id="rId9" w:history="1">
        <w:r w:rsidR="00BA0D25" w:rsidRPr="0052460D">
          <w:rPr>
            <w:rStyle w:val="Hyperlink"/>
          </w:rPr>
          <w:t>https://userfees.fda.gov/OA_HTML/mdufmaCAcdLogin.jsp?ref=https%3A%2F%2Fuserfees.fda.gov%2FOA_HTML%2FmdufmaCScdCfgItemsPopup.jsp%3Fordnum%3D6097306&amp;sitex=10459:51717:US&amp;sitex=10459:51717:US</w:t>
        </w:r>
      </w:hyperlink>
      <w:r w:rsidR="00BA0D25">
        <w:t>)</w:t>
      </w:r>
      <w:r>
        <w:t xml:space="preserve">.  The cover sheet system asks questions electronically that answer the fields in the form after the customers login the system.  The form is designed to obtain the minimum needed information for FDA to determine whether a fee is required for the review of an application, assess the amount of fee required, and account for and track user fees based on the answers provided by the customers online.  </w:t>
      </w:r>
    </w:p>
    <w:p w14:paraId="426B4DEE" w14:textId="77777777" w:rsidR="004F3AB0" w:rsidRDefault="004F3AB0" w:rsidP="004F3AB0">
      <w:pPr>
        <w:ind w:left="720"/>
      </w:pPr>
    </w:p>
    <w:p w14:paraId="29998924" w14:textId="77777777" w:rsidR="004F3AB0" w:rsidRDefault="004F3AB0" w:rsidP="004F3AB0">
      <w:pPr>
        <w:ind w:left="720"/>
      </w:pPr>
      <w:r w:rsidRPr="00581E95">
        <w:t>FDA estimates that 100% of the respondents will use electronic means to fulfill the agency’s requirement or request.</w:t>
      </w:r>
    </w:p>
    <w:p w14:paraId="022EF037" w14:textId="77777777" w:rsidR="00843752" w:rsidRDefault="00843752" w:rsidP="00BB1D4C">
      <w:pPr>
        <w:ind w:left="720"/>
      </w:pPr>
    </w:p>
    <w:p w14:paraId="5DC2220E" w14:textId="77777777" w:rsidR="002746DB" w:rsidRPr="002746DB" w:rsidRDefault="00EB7538" w:rsidP="00BB1D4C">
      <w:pPr>
        <w:numPr>
          <w:ilvl w:val="0"/>
          <w:numId w:val="1"/>
        </w:numPr>
        <w:rPr>
          <w:u w:val="single"/>
        </w:rPr>
      </w:pPr>
      <w:r w:rsidRPr="002746DB">
        <w:rPr>
          <w:u w:val="single"/>
        </w:rPr>
        <w:t xml:space="preserve">Efforts to Identify Duplication and Use of Similar Information </w:t>
      </w:r>
    </w:p>
    <w:p w14:paraId="7BA15624" w14:textId="77777777" w:rsidR="004F3AB0" w:rsidRDefault="004F3AB0" w:rsidP="00BB1D4C">
      <w:pPr>
        <w:ind w:left="720"/>
      </w:pPr>
    </w:p>
    <w:p w14:paraId="777298DD" w14:textId="77777777" w:rsidR="004F3AB0" w:rsidRDefault="004F3AB0" w:rsidP="004F3AB0">
      <w:pPr>
        <w:ind w:left="720"/>
        <w:rPr>
          <w:u w:val="single"/>
        </w:rPr>
      </w:pPr>
      <w:r>
        <w:t>FDA is the only agency that requires this information.  The required information is not available from any other sources.</w:t>
      </w:r>
    </w:p>
    <w:p w14:paraId="025F44CF" w14:textId="77777777" w:rsidR="002746DB" w:rsidRDefault="002746DB" w:rsidP="00BB1D4C">
      <w:pPr>
        <w:ind w:left="720"/>
      </w:pPr>
    </w:p>
    <w:p w14:paraId="1BDF69AE" w14:textId="77777777" w:rsidR="002746DB" w:rsidRPr="004C6979" w:rsidRDefault="00EB7538" w:rsidP="00BB1D4C">
      <w:pPr>
        <w:numPr>
          <w:ilvl w:val="0"/>
          <w:numId w:val="1"/>
        </w:numPr>
        <w:rPr>
          <w:u w:val="single"/>
        </w:rPr>
      </w:pPr>
      <w:r w:rsidRPr="004C6979">
        <w:rPr>
          <w:u w:val="single"/>
        </w:rPr>
        <w:t>Impact on Small Businesses or Other Small Entities</w:t>
      </w:r>
    </w:p>
    <w:p w14:paraId="64E5FFB1" w14:textId="77777777" w:rsidR="004F3AB0" w:rsidRDefault="004F3AB0" w:rsidP="00BB1D4C">
      <w:pPr>
        <w:ind w:left="720"/>
        <w:rPr>
          <w:i/>
          <w:highlight w:val="yellow"/>
        </w:rPr>
      </w:pPr>
    </w:p>
    <w:p w14:paraId="668F2515" w14:textId="0CCE9F77" w:rsidR="00675FED" w:rsidRDefault="00BA0D25" w:rsidP="00675FED">
      <w:pPr>
        <w:ind w:left="720"/>
      </w:pPr>
      <w:r>
        <w:t>A</w:t>
      </w:r>
      <w:r w:rsidR="005A726D">
        <w:t>pproximately</w:t>
      </w:r>
      <w:r w:rsidR="00675FED">
        <w:t xml:space="preserve"> </w:t>
      </w:r>
      <w:r>
        <w:t>25 percent of</w:t>
      </w:r>
      <w:r w:rsidR="005A726D">
        <w:t xml:space="preserve"> </w:t>
      </w:r>
      <w:r w:rsidR="00675FED">
        <w:t>coversheets</w:t>
      </w:r>
      <w:r w:rsidR="00AD0028">
        <w:t xml:space="preserve"> </w:t>
      </w:r>
      <w:r>
        <w:t xml:space="preserve">are </w:t>
      </w:r>
      <w:r w:rsidR="00675FED">
        <w:t xml:space="preserve">from companies that qualified as a small business.  While FDA does not believe it can apply different standards with respect to statutory requirements, FDA does provide special help to small businesses.  CDRH’s Division of </w:t>
      </w:r>
      <w:r w:rsidR="00D058F8">
        <w:t>Industry and</w:t>
      </w:r>
      <w:r w:rsidR="00675FED">
        <w:t xml:space="preserve"> Consumer </w:t>
      </w:r>
      <w:r w:rsidR="00D058F8">
        <w:t xml:space="preserve">Education </w:t>
      </w:r>
      <w:r w:rsidR="00675FED">
        <w:t xml:space="preserve">and CBER’s </w:t>
      </w:r>
      <w:r w:rsidR="00D058F8">
        <w:t>Division of</w:t>
      </w:r>
      <w:r w:rsidR="00675FED">
        <w:t xml:space="preserve"> Manufacturer’s Assistance</w:t>
      </w:r>
      <w:r w:rsidR="00D058F8">
        <w:t xml:space="preserve"> and Training</w:t>
      </w:r>
      <w:r w:rsidR="00675FED">
        <w:t xml:space="preserve"> provides assistance to small businesses subject to regulatory requirements.</w:t>
      </w:r>
    </w:p>
    <w:p w14:paraId="1C8E732B" w14:textId="77777777" w:rsidR="00675FED" w:rsidRDefault="00675FED" w:rsidP="00675FED">
      <w:pPr>
        <w:ind w:left="720"/>
      </w:pPr>
    </w:p>
    <w:p w14:paraId="1FE4F89D" w14:textId="27CB34C1" w:rsidR="00675FED" w:rsidRDefault="00675FED" w:rsidP="00675FED">
      <w:pPr>
        <w:ind w:left="720"/>
      </w:pPr>
      <w:r>
        <w:t>MDUFMA includes a waiver provision for small businesses that grants discounted user fee rates.  Businesses that have been granted a waiver of fees under this provision can obtain a one-time waiver of the fee for their first (ever) premarket application (premarket approval application, biologics license application, product development protocol, or premarket report)</w:t>
      </w:r>
      <w:r w:rsidR="00D058F8">
        <w:t xml:space="preserve"> (see OMB control number 0910-0508)</w:t>
      </w:r>
      <w:r>
        <w:t>.</w:t>
      </w:r>
    </w:p>
    <w:p w14:paraId="2E225728" w14:textId="77777777" w:rsidR="00CD77C3" w:rsidRDefault="00CD77C3" w:rsidP="00BB1D4C">
      <w:pPr>
        <w:pStyle w:val="BodyText2"/>
        <w:ind w:left="720"/>
      </w:pPr>
    </w:p>
    <w:p w14:paraId="7676753E" w14:textId="77777777" w:rsidR="00CD77C3" w:rsidRPr="004C6979" w:rsidRDefault="00EB7538" w:rsidP="00BB1D4C">
      <w:pPr>
        <w:numPr>
          <w:ilvl w:val="0"/>
          <w:numId w:val="1"/>
        </w:numPr>
        <w:rPr>
          <w:u w:val="single"/>
        </w:rPr>
      </w:pPr>
      <w:r w:rsidRPr="004C6979">
        <w:rPr>
          <w:u w:val="single"/>
        </w:rPr>
        <w:t>Consequences of Collecting the Information Less Frequently</w:t>
      </w:r>
    </w:p>
    <w:p w14:paraId="397CB1F3" w14:textId="77777777" w:rsidR="00675FED" w:rsidRPr="00675FED" w:rsidRDefault="00675FED" w:rsidP="00BB1D4C">
      <w:pPr>
        <w:ind w:left="720"/>
        <w:rPr>
          <w:highlight w:val="yellow"/>
        </w:rPr>
      </w:pPr>
    </w:p>
    <w:p w14:paraId="7FC39CCD" w14:textId="77777777" w:rsidR="00675FED" w:rsidRPr="00E42F5F" w:rsidRDefault="00675FED" w:rsidP="00675FED">
      <w:pPr>
        <w:ind w:left="720"/>
      </w:pPr>
      <w:r w:rsidRPr="00E42F5F">
        <w:t>Respondents do not respond to the data collection on fixed schedule or at a specific frequency.  Each time an application or supplement for a medical device is submitted to FDA, the respondent completes the form and submits the required information.</w:t>
      </w:r>
    </w:p>
    <w:p w14:paraId="0E636966" w14:textId="77777777" w:rsidR="00675FED" w:rsidRDefault="00675FED" w:rsidP="00675FED">
      <w:pPr>
        <w:ind w:left="720"/>
        <w:rPr>
          <w:highlight w:val="green"/>
        </w:rPr>
      </w:pPr>
    </w:p>
    <w:p w14:paraId="16CF2A86" w14:textId="77777777" w:rsidR="00675FED" w:rsidRDefault="00675FED" w:rsidP="00675FED">
      <w:pPr>
        <w:ind w:left="720"/>
      </w:pPr>
      <w:r>
        <w:t xml:space="preserve">This form is not used for the periodic collection of information.  Rather, the form is to be used once for each specific application or supplement at the time of submission.  Its intent is to provide specific information to allow FDA to determine that the correct fee has been paid to allow prompt acceptance and initiation of the review of medical device </w:t>
      </w:r>
      <w:r>
        <w:lastRenderedPageBreak/>
        <w:t>applications and supplements.  There can be no less frequent information collection than one request per application without the consequence of potential delay of acceptance of applications for which information necessary to process them is not provided.</w:t>
      </w:r>
    </w:p>
    <w:p w14:paraId="249F2090" w14:textId="77777777" w:rsidR="00CD77C3" w:rsidRDefault="00CD77C3" w:rsidP="00BB1D4C">
      <w:pPr>
        <w:ind w:left="720"/>
      </w:pPr>
    </w:p>
    <w:p w14:paraId="07B0EB8A" w14:textId="77777777" w:rsidR="00CD77C3" w:rsidRPr="004C6979" w:rsidRDefault="00EB7538" w:rsidP="00BB1D4C">
      <w:pPr>
        <w:numPr>
          <w:ilvl w:val="0"/>
          <w:numId w:val="1"/>
        </w:numPr>
        <w:rPr>
          <w:u w:val="single"/>
        </w:rPr>
      </w:pPr>
      <w:r w:rsidRPr="004C6979">
        <w:rPr>
          <w:u w:val="single"/>
        </w:rPr>
        <w:t>Special Circumstances Relating to the Guidelines of 5 CFR 1320.5</w:t>
      </w:r>
    </w:p>
    <w:p w14:paraId="2948BB97" w14:textId="77777777" w:rsidR="00675FED" w:rsidRDefault="00675FED" w:rsidP="00BB1D4C">
      <w:pPr>
        <w:ind w:left="720"/>
      </w:pPr>
    </w:p>
    <w:p w14:paraId="66515B02" w14:textId="77777777" w:rsidR="008108FA" w:rsidRDefault="008108FA" w:rsidP="00BB1D4C">
      <w:pPr>
        <w:ind w:left="720"/>
      </w:pPr>
      <w:r>
        <w:t xml:space="preserve">There are no special circumstances for </w:t>
      </w:r>
      <w:r w:rsidR="00675FED">
        <w:t>this collection of information.</w:t>
      </w:r>
    </w:p>
    <w:p w14:paraId="5A1D3CAF" w14:textId="77777777" w:rsidR="00675FED" w:rsidRDefault="00675FED" w:rsidP="00BB1D4C">
      <w:pPr>
        <w:ind w:left="720"/>
      </w:pPr>
    </w:p>
    <w:p w14:paraId="2EADE110" w14:textId="77777777" w:rsidR="00CD77C3" w:rsidRDefault="00EB7538" w:rsidP="00BB1D4C">
      <w:pPr>
        <w:numPr>
          <w:ilvl w:val="0"/>
          <w:numId w:val="1"/>
        </w:numPr>
        <w:rPr>
          <w:u w:val="single"/>
        </w:rPr>
      </w:pPr>
      <w:r w:rsidRPr="004C6979">
        <w:rPr>
          <w:u w:val="single"/>
        </w:rPr>
        <w:t>Comments in Response to the Federal Register Notice and Efforts to Consult Outside the Agency</w:t>
      </w:r>
    </w:p>
    <w:p w14:paraId="5F9FF455" w14:textId="77777777" w:rsidR="00675FED" w:rsidRDefault="00675FED" w:rsidP="00BB1D4C">
      <w:pPr>
        <w:ind w:left="720"/>
      </w:pPr>
    </w:p>
    <w:p w14:paraId="166D52B3" w14:textId="13D0E527" w:rsidR="004337C0" w:rsidRDefault="004337C0" w:rsidP="005A726D">
      <w:pPr>
        <w:ind w:left="720"/>
      </w:pPr>
      <w:r>
        <w:t xml:space="preserve">In accordance with 5 CFR 1320.8(d), FDA published a 60-day notice for public comment in the Federal Register of </w:t>
      </w:r>
      <w:r w:rsidR="00DC6C02">
        <w:t>December 28, 2018</w:t>
      </w:r>
      <w:r w:rsidR="00593F11">
        <w:t xml:space="preserve"> </w:t>
      </w:r>
      <w:r>
        <w:t>(</w:t>
      </w:r>
      <w:r w:rsidR="00DC6C02">
        <w:t xml:space="preserve">83 </w:t>
      </w:r>
      <w:r>
        <w:t xml:space="preserve">FR </w:t>
      </w:r>
      <w:r w:rsidR="00DC6C02">
        <w:t>67287</w:t>
      </w:r>
      <w:r w:rsidR="00593F11">
        <w:t xml:space="preserve">). </w:t>
      </w:r>
      <w:r w:rsidR="00DC6C02">
        <w:t xml:space="preserve">We received one comment in response to the notice. </w:t>
      </w:r>
      <w:r w:rsidR="009C2959">
        <w:t>The comment was generally supportive of the user fee cover sheet for medical devices. However, the comment also noted that there are costs associated with preparation of the cover sheet. The comment did not suggest specific changes to our cost or hour burden estimates provided in this information collection request. We have not changed our estimates as a result of the comment.</w:t>
      </w:r>
    </w:p>
    <w:p w14:paraId="7B0A4D21" w14:textId="77777777" w:rsidR="004337C0" w:rsidRDefault="004337C0" w:rsidP="00BB1D4C">
      <w:pPr>
        <w:ind w:left="720"/>
      </w:pPr>
    </w:p>
    <w:p w14:paraId="553DDC5B" w14:textId="77777777" w:rsidR="00CD77C3" w:rsidRPr="004C6979" w:rsidRDefault="00EB7538" w:rsidP="00BB1D4C">
      <w:pPr>
        <w:numPr>
          <w:ilvl w:val="0"/>
          <w:numId w:val="1"/>
        </w:numPr>
        <w:rPr>
          <w:u w:val="single"/>
        </w:rPr>
      </w:pPr>
      <w:r w:rsidRPr="004C6979">
        <w:rPr>
          <w:u w:val="single"/>
        </w:rPr>
        <w:t>Explanation of Any Payment or Gift to Respondents</w:t>
      </w:r>
    </w:p>
    <w:p w14:paraId="413B6228" w14:textId="77777777" w:rsidR="0061057E" w:rsidRDefault="0061057E" w:rsidP="00BB1D4C">
      <w:pPr>
        <w:ind w:left="720"/>
      </w:pPr>
    </w:p>
    <w:p w14:paraId="1E315CDE" w14:textId="4FF3C61F" w:rsidR="00CD77C3" w:rsidRDefault="0061057E" w:rsidP="00BB1D4C">
      <w:pPr>
        <w:ind w:left="720"/>
      </w:pPr>
      <w:r>
        <w:t>No payment or gift will be provided to respondents.</w:t>
      </w:r>
    </w:p>
    <w:p w14:paraId="66C47D4C" w14:textId="77777777" w:rsidR="0061057E" w:rsidRDefault="0061057E" w:rsidP="00BB1D4C">
      <w:pPr>
        <w:ind w:left="720"/>
      </w:pPr>
    </w:p>
    <w:p w14:paraId="1B07C5D9" w14:textId="77777777" w:rsidR="00CD77C3" w:rsidRPr="004C6979" w:rsidRDefault="00EB7538" w:rsidP="00BB1D4C">
      <w:pPr>
        <w:numPr>
          <w:ilvl w:val="0"/>
          <w:numId w:val="1"/>
        </w:numPr>
        <w:rPr>
          <w:u w:val="single"/>
        </w:rPr>
      </w:pPr>
      <w:r w:rsidRPr="004C6979">
        <w:rPr>
          <w:u w:val="single"/>
        </w:rPr>
        <w:t>Assurance of Confidentiality Provided to Respondents</w:t>
      </w:r>
    </w:p>
    <w:p w14:paraId="143DC544" w14:textId="77777777" w:rsidR="00107885" w:rsidRDefault="00107885" w:rsidP="00BB1D4C">
      <w:pPr>
        <w:ind w:left="720"/>
      </w:pPr>
    </w:p>
    <w:p w14:paraId="02CBAE17" w14:textId="22893A6D" w:rsidR="00E9008D" w:rsidRDefault="002C44E4" w:rsidP="00134421">
      <w:pPr>
        <w:ind w:left="720"/>
        <w:rPr>
          <w:sz w:val="22"/>
          <w:szCs w:val="22"/>
        </w:rPr>
      </w:pPr>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The PII </w:t>
      </w:r>
      <w:r>
        <w:t>submitted</w:t>
      </w:r>
      <w:r w:rsidRPr="00247F24">
        <w:t xml:space="preserve"> </w:t>
      </w:r>
      <w:r w:rsidR="00967943">
        <w:t>via</w:t>
      </w:r>
      <w:r w:rsidR="00785B60">
        <w:t xml:space="preserve"> Form </w:t>
      </w:r>
      <w:r w:rsidR="003D20E4">
        <w:t xml:space="preserve">FDA </w:t>
      </w:r>
      <w:r w:rsidR="00785B60">
        <w:t xml:space="preserve">3514 (CDRH Premarket Review Submission Cover Sheet) </w:t>
      </w:r>
      <w:r w:rsidRPr="00247F24">
        <w:t>is name</w:t>
      </w:r>
      <w:r w:rsidR="00EF43BB">
        <w:t xml:space="preserve">, address, </w:t>
      </w:r>
      <w:r w:rsidR="00785B60">
        <w:t xml:space="preserve">and </w:t>
      </w:r>
      <w:r>
        <w:t>email address</w:t>
      </w:r>
      <w:r w:rsidRPr="00D66147">
        <w:t>.</w:t>
      </w:r>
      <w:r w:rsidR="00785B60">
        <w:t xml:space="preserve"> Form </w:t>
      </w:r>
      <w:r w:rsidR="003D20E4">
        <w:t xml:space="preserve">FDA </w:t>
      </w:r>
      <w:r w:rsidR="00785B60">
        <w:t xml:space="preserve">3601 (Medical Device User Fee Cover Sheet) collects employer identification number, </w:t>
      </w:r>
      <w:r w:rsidR="00EF43BB">
        <w:t xml:space="preserve">payment identification number, </w:t>
      </w:r>
      <w:r w:rsidR="00785B60">
        <w:t>name, email address, telephone number, and fax telephone number.</w:t>
      </w:r>
      <w:r w:rsidR="00DC066A">
        <w:t xml:space="preserve"> </w:t>
      </w:r>
      <w:r w:rsidR="00155D1A">
        <w:t xml:space="preserve">Information collected via </w:t>
      </w:r>
      <w:r w:rsidR="003D20E4">
        <w:t>Form 3601</w:t>
      </w:r>
      <w:r w:rsidR="00155D1A">
        <w:t xml:space="preserve"> is maintained in a Privacy Act system of records as described in HHS/FDA System of Records Notice (SORN) 09-10-0021</w:t>
      </w:r>
      <w:r w:rsidR="003D20E4">
        <w:t xml:space="preserve"> </w:t>
      </w:r>
      <w:r w:rsidR="00155D1A">
        <w:t>for FDA’s User Fee System</w:t>
      </w:r>
      <w:r w:rsidR="003D20E4">
        <w:t>.</w:t>
      </w:r>
      <w:r w:rsidR="00155D1A">
        <w:t xml:space="preserve"> </w:t>
      </w:r>
      <w:r w:rsidR="00E9008D">
        <w:t>Individuals completing Form 3601will complete it via the webpage where a notice is displayed.</w:t>
      </w:r>
    </w:p>
    <w:p w14:paraId="0E6C7308" w14:textId="7185BC5D" w:rsidR="006937DB" w:rsidRDefault="006937DB" w:rsidP="00134421">
      <w:pPr>
        <w:ind w:left="360"/>
      </w:pPr>
    </w:p>
    <w:p w14:paraId="5E62CD05" w14:textId="7776FA17" w:rsidR="00EF43BB" w:rsidRDefault="006937DB" w:rsidP="00134421">
      <w:pPr>
        <w:ind w:left="720"/>
      </w:pPr>
      <w:r w:rsidRPr="00C33858">
        <w:t xml:space="preserve">In preparing this Supporting Statement, FDA staff consulted with the FDA Privacy Office to ensure appropriate </w:t>
      </w:r>
      <w:r w:rsidR="00967943">
        <w:t xml:space="preserve">identification and </w:t>
      </w:r>
      <w:r w:rsidRPr="00C33858">
        <w:t>handling of information collected.</w:t>
      </w:r>
      <w:r w:rsidR="00EF43BB">
        <w:t xml:space="preserve"> </w:t>
      </w:r>
      <w:r w:rsidR="00967943">
        <w:t xml:space="preserve"> Through appropriate form and webpage design, </w:t>
      </w:r>
      <w:r w:rsidR="00EF43BB" w:rsidRPr="00D66147">
        <w:t xml:space="preserve">FDA </w:t>
      </w:r>
      <w:r w:rsidR="00967943">
        <w:t>limited s</w:t>
      </w:r>
      <w:r w:rsidR="0039161D">
        <w:t>u</w:t>
      </w:r>
      <w:r w:rsidR="00967943">
        <w:t xml:space="preserve">bmission fields and </w:t>
      </w:r>
      <w:r w:rsidR="00EF43BB" w:rsidRPr="00D66147">
        <w:t>minimized the PII collected to protect the privacy of the individuals.</w:t>
      </w:r>
    </w:p>
    <w:p w14:paraId="15EBC31B" w14:textId="6C539AB4" w:rsidR="006937DB" w:rsidRDefault="006937DB" w:rsidP="0013442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14:paraId="41E26C35" w14:textId="74BE7D29" w:rsidR="00C61647" w:rsidRDefault="00C61647" w:rsidP="00134421">
      <w:pPr>
        <w:ind w:left="720"/>
      </w:pPr>
      <w:r w:rsidRPr="00C61647">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14:paraId="013FEA04" w14:textId="77777777" w:rsidR="00C61647" w:rsidRDefault="00C61647" w:rsidP="00BB1D4C">
      <w:pPr>
        <w:ind w:left="720"/>
      </w:pPr>
    </w:p>
    <w:p w14:paraId="7B9901ED" w14:textId="77777777" w:rsidR="0061057E" w:rsidRPr="0039161D" w:rsidRDefault="0061057E" w:rsidP="00BB1D4C">
      <w:pPr>
        <w:ind w:left="720"/>
        <w:rPr>
          <w:strike/>
        </w:rPr>
      </w:pPr>
    </w:p>
    <w:p w14:paraId="37EBDE4E" w14:textId="77777777" w:rsidR="004C6979" w:rsidRPr="004C6979" w:rsidRDefault="00EB7538" w:rsidP="00D56340">
      <w:pPr>
        <w:keepNext/>
        <w:numPr>
          <w:ilvl w:val="0"/>
          <w:numId w:val="1"/>
        </w:numPr>
        <w:rPr>
          <w:u w:val="single"/>
        </w:rPr>
      </w:pPr>
      <w:r w:rsidRPr="004C6979">
        <w:rPr>
          <w:u w:val="single"/>
        </w:rPr>
        <w:t>Justification for Sensitive Questions</w:t>
      </w:r>
    </w:p>
    <w:p w14:paraId="6EBC1DE4" w14:textId="77777777" w:rsidR="007505FF" w:rsidRDefault="007505FF" w:rsidP="00D56340">
      <w:pPr>
        <w:keepNext/>
        <w:ind w:left="720"/>
      </w:pPr>
    </w:p>
    <w:p w14:paraId="41D39F93" w14:textId="05DEFD87" w:rsidR="004C6979" w:rsidRDefault="007505FF" w:rsidP="00B945D6">
      <w:pPr>
        <w:pStyle w:val="BodyText2"/>
        <w:ind w:left="720"/>
      </w:pPr>
      <w:r>
        <w:t>The collection does not include</w:t>
      </w:r>
      <w:r w:rsidR="004C6979">
        <w:t xml:space="preserve"> questions that are of a sensitive nature, such as sexual behavior and attitudes, religious beliefs, and other matters that are commonly considered private.</w:t>
      </w:r>
    </w:p>
    <w:p w14:paraId="6E9DAC08" w14:textId="77777777" w:rsidR="00B945D6" w:rsidRDefault="00B945D6" w:rsidP="00B945D6">
      <w:pPr>
        <w:pStyle w:val="BodyText2"/>
        <w:ind w:left="720"/>
      </w:pPr>
    </w:p>
    <w:p w14:paraId="31DDA2BF" w14:textId="77777777" w:rsidR="004C6979" w:rsidRPr="004C6979" w:rsidRDefault="00EB7538" w:rsidP="006719CA">
      <w:pPr>
        <w:keepNext/>
        <w:numPr>
          <w:ilvl w:val="0"/>
          <w:numId w:val="1"/>
        </w:numPr>
        <w:rPr>
          <w:u w:val="single"/>
        </w:rPr>
      </w:pPr>
      <w:r w:rsidRPr="004C6979">
        <w:rPr>
          <w:u w:val="single"/>
        </w:rPr>
        <w:t>Estimates of Annualized Burden Hours and Costs</w:t>
      </w:r>
    </w:p>
    <w:p w14:paraId="1EB94C56" w14:textId="77777777" w:rsidR="004C6979" w:rsidRDefault="004C6979" w:rsidP="006719CA">
      <w:pPr>
        <w:keepNext/>
      </w:pPr>
    </w:p>
    <w:p w14:paraId="45B235A4" w14:textId="77777777" w:rsidR="004C6979" w:rsidRDefault="008B0E29" w:rsidP="006719CA">
      <w:pPr>
        <w:keepNext/>
        <w:ind w:left="720"/>
      </w:pPr>
      <w:r>
        <w:rPr>
          <w:u w:val="single"/>
        </w:rPr>
        <w:t xml:space="preserve">12 a. </w:t>
      </w:r>
      <w:r w:rsidR="00411D11">
        <w:rPr>
          <w:u w:val="single"/>
        </w:rPr>
        <w:t xml:space="preserve">Annualized </w:t>
      </w:r>
      <w:r w:rsidR="004C6979">
        <w:rPr>
          <w:u w:val="single"/>
        </w:rPr>
        <w:t>Hour Burden Estimate</w:t>
      </w:r>
    </w:p>
    <w:p w14:paraId="60C0A978" w14:textId="77777777" w:rsidR="004C6979" w:rsidRDefault="004C6979" w:rsidP="006719CA">
      <w:pPr>
        <w:keepNext/>
      </w:pPr>
    </w:p>
    <w:p w14:paraId="5A325914" w14:textId="354E8DB3" w:rsidR="00DC76C7" w:rsidRDefault="001B0F1F" w:rsidP="001B0F1F">
      <w:pPr>
        <w:ind w:left="720"/>
      </w:pPr>
      <w:r>
        <w:t xml:space="preserve">Respondents to this collection of information are </w:t>
      </w:r>
      <w:r w:rsidR="00DA48E7">
        <w:t xml:space="preserve">medical </w:t>
      </w:r>
      <w:r>
        <w:t>device manufacturers. According to FDA</w:t>
      </w:r>
      <w:r w:rsidR="009B7B40">
        <w:t>’s</w:t>
      </w:r>
      <w:r>
        <w:t xml:space="preserve"> database system, </w:t>
      </w:r>
      <w:r w:rsidR="009B7B40">
        <w:t>manufacturers of products subject to MDUFMA submit</w:t>
      </w:r>
      <w:r>
        <w:t xml:space="preserve"> </w:t>
      </w:r>
      <w:r w:rsidR="009B7B40">
        <w:t>an average of</w:t>
      </w:r>
      <w:r>
        <w:t xml:space="preserve"> </w:t>
      </w:r>
      <w:r w:rsidR="00510D68">
        <w:t>6,379</w:t>
      </w:r>
      <w:r w:rsidR="009B7B40">
        <w:t xml:space="preserve"> applications annually</w:t>
      </w:r>
      <w:r>
        <w:t>. However, not all manufacturers will have any cover</w:t>
      </w:r>
      <w:r w:rsidR="006719CA">
        <w:t xml:space="preserve"> </w:t>
      </w:r>
      <w:r>
        <w:t>sheet submissions in a given year and some may have multiple cover</w:t>
      </w:r>
      <w:r w:rsidR="006719CA">
        <w:t xml:space="preserve"> </w:t>
      </w:r>
      <w:r>
        <w:t xml:space="preserve">sheet submissions. </w:t>
      </w:r>
      <w:r w:rsidRPr="002E4423">
        <w:t xml:space="preserve">The estimated hours per response are based on past FDA experience with the </w:t>
      </w:r>
      <w:r>
        <w:t>various</w:t>
      </w:r>
      <w:r w:rsidRPr="002E4423">
        <w:t xml:space="preserve"> cover sheet submissions and range from 5 to 30 minutes. The hours per response are based on the average of these estimates</w:t>
      </w:r>
      <w:r>
        <w:t xml:space="preserve"> (18 minutes)</w:t>
      </w:r>
      <w:r w:rsidRPr="002E4423">
        <w:t>.</w:t>
      </w:r>
      <w:r w:rsidR="008250E0">
        <w:t xml:space="preserve"> The total hours are rounded to the nearest whole number.</w:t>
      </w:r>
    </w:p>
    <w:p w14:paraId="5890311A" w14:textId="77777777" w:rsidR="001B0F1F" w:rsidRDefault="001B0F1F" w:rsidP="00BB1D4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443"/>
        <w:gridCol w:w="1350"/>
        <w:gridCol w:w="1808"/>
        <w:gridCol w:w="1800"/>
        <w:gridCol w:w="1728"/>
      </w:tblGrid>
      <w:tr w:rsidR="00E65A37" w:rsidRPr="00695DD6" w14:paraId="79383AB2" w14:textId="77777777" w:rsidTr="00A365FC">
        <w:trPr>
          <w:cantSplit/>
          <w:trHeight w:val="20"/>
          <w:tblHeader/>
          <w:jc w:val="center"/>
        </w:trPr>
        <w:tc>
          <w:tcPr>
            <w:tcW w:w="5000" w:type="pct"/>
            <w:gridSpan w:val="6"/>
            <w:shd w:val="clear" w:color="auto" w:fill="auto"/>
          </w:tcPr>
          <w:p w14:paraId="2EB88E4F" w14:textId="77777777" w:rsidR="00E65A37" w:rsidRPr="00695DD6" w:rsidRDefault="00E65A37" w:rsidP="00E1654B">
            <w:pPr>
              <w:keepNext/>
              <w:jc w:val="center"/>
            </w:pPr>
            <w:r w:rsidRPr="00695DD6">
              <w:t>Table 1.--Estimated Annual Reporting Burden</w:t>
            </w:r>
          </w:p>
        </w:tc>
      </w:tr>
      <w:tr w:rsidR="00E65A37" w:rsidRPr="00695DD6" w14:paraId="3B46AA3F" w14:textId="77777777" w:rsidTr="00A365FC">
        <w:trPr>
          <w:cantSplit/>
          <w:trHeight w:val="20"/>
          <w:tblHeader/>
          <w:jc w:val="center"/>
        </w:trPr>
        <w:tc>
          <w:tcPr>
            <w:tcW w:w="756" w:type="pct"/>
            <w:shd w:val="clear" w:color="auto" w:fill="auto"/>
          </w:tcPr>
          <w:p w14:paraId="7D30C23C" w14:textId="77777777" w:rsidR="00E65A37" w:rsidRPr="00695DD6" w:rsidRDefault="00E65A37" w:rsidP="00E1654B">
            <w:pPr>
              <w:keepNext/>
              <w:jc w:val="center"/>
            </w:pPr>
            <w:r w:rsidRPr="00695DD6">
              <w:t xml:space="preserve">FDA </w:t>
            </w:r>
            <w:r w:rsidR="00330926">
              <w:t>F</w:t>
            </w:r>
            <w:r w:rsidRPr="00695DD6">
              <w:t xml:space="preserve">orm </w:t>
            </w:r>
            <w:r w:rsidR="009A5E45">
              <w:t>No.</w:t>
            </w:r>
          </w:p>
        </w:tc>
        <w:tc>
          <w:tcPr>
            <w:tcW w:w="753" w:type="pct"/>
            <w:shd w:val="clear" w:color="auto" w:fill="auto"/>
          </w:tcPr>
          <w:p w14:paraId="52987680" w14:textId="77777777" w:rsidR="00E65A37" w:rsidRPr="00695DD6" w:rsidRDefault="00E65A37" w:rsidP="00E1654B">
            <w:pPr>
              <w:keepNext/>
              <w:jc w:val="center"/>
            </w:pPr>
            <w:r w:rsidRPr="00695DD6">
              <w:t>No. of Respondents</w:t>
            </w:r>
          </w:p>
        </w:tc>
        <w:tc>
          <w:tcPr>
            <w:tcW w:w="705" w:type="pct"/>
            <w:shd w:val="clear" w:color="auto" w:fill="auto"/>
          </w:tcPr>
          <w:p w14:paraId="3E06EC55" w14:textId="77777777" w:rsidR="00E65A37" w:rsidRPr="00695DD6" w:rsidRDefault="00E65A37" w:rsidP="00E1654B">
            <w:pPr>
              <w:keepNext/>
              <w:jc w:val="center"/>
            </w:pPr>
            <w:r w:rsidRPr="00A365FC">
              <w:rPr>
                <w:bCs/>
              </w:rPr>
              <w:t>No. of Responses per Respondent</w:t>
            </w:r>
          </w:p>
        </w:tc>
        <w:tc>
          <w:tcPr>
            <w:tcW w:w="944" w:type="pct"/>
            <w:shd w:val="clear" w:color="auto" w:fill="auto"/>
          </w:tcPr>
          <w:p w14:paraId="2AA55EEF" w14:textId="77777777" w:rsidR="00E65A37" w:rsidRPr="00695DD6" w:rsidRDefault="00E65A37" w:rsidP="00E1654B">
            <w:pPr>
              <w:keepNext/>
              <w:jc w:val="center"/>
            </w:pPr>
            <w:r w:rsidRPr="00695DD6">
              <w:t>Total Annual Responses</w:t>
            </w:r>
          </w:p>
        </w:tc>
        <w:tc>
          <w:tcPr>
            <w:tcW w:w="940" w:type="pct"/>
            <w:shd w:val="clear" w:color="auto" w:fill="auto"/>
          </w:tcPr>
          <w:p w14:paraId="2537B970" w14:textId="77777777" w:rsidR="00E65A37" w:rsidRPr="00695DD6" w:rsidRDefault="00E65A37" w:rsidP="00E1654B">
            <w:pPr>
              <w:keepNext/>
              <w:jc w:val="center"/>
            </w:pPr>
            <w:r w:rsidRPr="00A365FC">
              <w:rPr>
                <w:bCs/>
              </w:rPr>
              <w:t>Average Burden per Response</w:t>
            </w:r>
          </w:p>
        </w:tc>
        <w:tc>
          <w:tcPr>
            <w:tcW w:w="902" w:type="pct"/>
            <w:shd w:val="clear" w:color="auto" w:fill="auto"/>
          </w:tcPr>
          <w:p w14:paraId="65D1C385" w14:textId="77777777" w:rsidR="00E65A37" w:rsidRPr="00695DD6" w:rsidRDefault="00E65A37" w:rsidP="00E1654B">
            <w:pPr>
              <w:keepNext/>
              <w:jc w:val="center"/>
            </w:pPr>
            <w:r w:rsidRPr="00695DD6">
              <w:t>Total Hours</w:t>
            </w:r>
          </w:p>
        </w:tc>
      </w:tr>
      <w:tr w:rsidR="00E65A37" w:rsidRPr="00695DD6" w14:paraId="62EE4C0C" w14:textId="77777777" w:rsidTr="00A365FC">
        <w:trPr>
          <w:cantSplit/>
          <w:trHeight w:val="20"/>
          <w:jc w:val="center"/>
        </w:trPr>
        <w:tc>
          <w:tcPr>
            <w:tcW w:w="756" w:type="pct"/>
            <w:shd w:val="clear" w:color="auto" w:fill="auto"/>
          </w:tcPr>
          <w:p w14:paraId="20FE0011" w14:textId="77777777" w:rsidR="00E65A37" w:rsidRPr="00695DD6" w:rsidRDefault="009A5E45" w:rsidP="00E1654B">
            <w:pPr>
              <w:keepNext/>
            </w:pPr>
            <w:r>
              <w:t>3601</w:t>
            </w:r>
          </w:p>
        </w:tc>
        <w:tc>
          <w:tcPr>
            <w:tcW w:w="753" w:type="pct"/>
            <w:shd w:val="clear" w:color="auto" w:fill="auto"/>
          </w:tcPr>
          <w:p w14:paraId="4B554319" w14:textId="219EC9D8" w:rsidR="00E65A37" w:rsidRPr="00695DD6" w:rsidRDefault="00510D68" w:rsidP="00E1654B">
            <w:pPr>
              <w:keepNext/>
              <w:jc w:val="right"/>
            </w:pPr>
            <w:r>
              <w:t>6,379</w:t>
            </w:r>
          </w:p>
        </w:tc>
        <w:tc>
          <w:tcPr>
            <w:tcW w:w="705" w:type="pct"/>
            <w:shd w:val="clear" w:color="auto" w:fill="auto"/>
          </w:tcPr>
          <w:p w14:paraId="20FBF565" w14:textId="77777777" w:rsidR="00E65A37" w:rsidRPr="00695DD6" w:rsidRDefault="009A5E45" w:rsidP="00E1654B">
            <w:pPr>
              <w:keepNext/>
              <w:jc w:val="right"/>
            </w:pPr>
            <w:r>
              <w:t>1</w:t>
            </w:r>
          </w:p>
        </w:tc>
        <w:tc>
          <w:tcPr>
            <w:tcW w:w="944" w:type="pct"/>
            <w:shd w:val="clear" w:color="auto" w:fill="auto"/>
          </w:tcPr>
          <w:p w14:paraId="7D01D8F6" w14:textId="63B237B0" w:rsidR="00E65A37" w:rsidRPr="00695DD6" w:rsidRDefault="00510D68" w:rsidP="00E1654B">
            <w:pPr>
              <w:keepNext/>
              <w:jc w:val="right"/>
            </w:pPr>
            <w:r>
              <w:t>6,379</w:t>
            </w:r>
          </w:p>
        </w:tc>
        <w:tc>
          <w:tcPr>
            <w:tcW w:w="940" w:type="pct"/>
            <w:shd w:val="clear" w:color="auto" w:fill="auto"/>
          </w:tcPr>
          <w:p w14:paraId="4AED5B30" w14:textId="77777777" w:rsidR="00E65A37" w:rsidRPr="00695DD6" w:rsidRDefault="009A5E45" w:rsidP="00E1654B">
            <w:pPr>
              <w:keepNext/>
              <w:jc w:val="right"/>
            </w:pPr>
            <w:r>
              <w:t>0.30</w:t>
            </w:r>
          </w:p>
        </w:tc>
        <w:tc>
          <w:tcPr>
            <w:tcW w:w="902" w:type="pct"/>
            <w:shd w:val="clear" w:color="auto" w:fill="auto"/>
          </w:tcPr>
          <w:p w14:paraId="0ED02A2A" w14:textId="470F3B12" w:rsidR="00E65A37" w:rsidRPr="00695DD6" w:rsidRDefault="00510D68" w:rsidP="00E1654B">
            <w:pPr>
              <w:keepNext/>
              <w:jc w:val="right"/>
            </w:pPr>
            <w:r>
              <w:t>1,914</w:t>
            </w:r>
          </w:p>
        </w:tc>
      </w:tr>
    </w:tbl>
    <w:p w14:paraId="6AE84A70" w14:textId="77777777" w:rsidR="003740BC" w:rsidRDefault="003740BC" w:rsidP="00BB1D4C">
      <w:pPr>
        <w:pStyle w:val="BodyText2"/>
        <w:ind w:left="360"/>
      </w:pPr>
    </w:p>
    <w:p w14:paraId="6C7CA1F9" w14:textId="77777777" w:rsidR="00A93ED9" w:rsidRDefault="00A93ED9" w:rsidP="006635DF">
      <w:pPr>
        <w:pStyle w:val="BodyText2"/>
        <w:ind w:left="720"/>
      </w:pPr>
      <w:r w:rsidRPr="00C75CBF">
        <w:t xml:space="preserve">12b. </w:t>
      </w:r>
      <w:r w:rsidR="00411D11" w:rsidRPr="00C75CBF">
        <w:rPr>
          <w:u w:val="single"/>
        </w:rPr>
        <w:t>Annualized Cost Burden Estimate</w:t>
      </w:r>
    </w:p>
    <w:p w14:paraId="045EADE5" w14:textId="77777777" w:rsidR="00A93ED9" w:rsidRDefault="00A93ED9" w:rsidP="006635DF">
      <w:pPr>
        <w:pStyle w:val="BodyText2"/>
        <w:ind w:left="720"/>
      </w:pPr>
    </w:p>
    <w:p w14:paraId="3F41D4FA" w14:textId="431DA859" w:rsidR="006635DF" w:rsidRDefault="006635DF" w:rsidP="006635DF">
      <w:pPr>
        <w:ind w:left="720"/>
      </w:pPr>
      <w:r>
        <w:t>The annualized cost burden estimate is based on the estimated hourly wage rate for a Regulatory Affairs Professional, $</w:t>
      </w:r>
      <w:r w:rsidR="00655CE1">
        <w:t>72</w:t>
      </w:r>
      <w:r>
        <w:t>* per hour, who is r</w:t>
      </w:r>
      <w:r w:rsidR="00EC377E">
        <w:t>esponsible for filling out, sign</w:t>
      </w:r>
      <w:r>
        <w:t>ing, and submitting the application.</w:t>
      </w:r>
      <w:r w:rsidRPr="00EF6A2B">
        <w:t xml:space="preserve"> FDA believes that the total estimated reporting burden cost will be </w:t>
      </w:r>
      <w:r w:rsidR="00151394" w:rsidRPr="00EF6A2B">
        <w:t>$</w:t>
      </w:r>
      <w:r w:rsidR="00655CE1">
        <w:t>137,808</w:t>
      </w:r>
      <w:r w:rsidR="00151394" w:rsidRPr="00EF6A2B">
        <w:t xml:space="preserve">, </w:t>
      </w:r>
      <w:r w:rsidRPr="00EF6A2B">
        <w:t xml:space="preserve">which is the total number of </w:t>
      </w:r>
      <w:r>
        <w:t xml:space="preserve">estimated annual burden </w:t>
      </w:r>
      <w:r w:rsidRPr="00EF6A2B">
        <w:t xml:space="preserve">hours </w:t>
      </w:r>
      <w:r w:rsidR="00151394" w:rsidRPr="00EF6A2B">
        <w:t>(</w:t>
      </w:r>
      <w:r w:rsidR="00E1654B">
        <w:t>1,</w:t>
      </w:r>
      <w:r w:rsidR="004A05B7">
        <w:t>914</w:t>
      </w:r>
      <w:r w:rsidR="00151394">
        <w:t>)</w:t>
      </w:r>
      <w:r w:rsidR="00151394" w:rsidRPr="00EF6A2B">
        <w:t xml:space="preserve"> </w:t>
      </w:r>
      <w:r w:rsidRPr="00EF6A2B">
        <w:t>multiplied by the wage rate of $</w:t>
      </w:r>
      <w:r w:rsidR="00655CE1">
        <w:t>72</w:t>
      </w:r>
      <w:r w:rsidRPr="00EF6A2B">
        <w:t xml:space="preserve"> per hour.</w:t>
      </w:r>
    </w:p>
    <w:p w14:paraId="5B9449CB" w14:textId="77777777" w:rsidR="003740BC" w:rsidRDefault="003740BC" w:rsidP="00BB1D4C">
      <w:pPr>
        <w:pStyle w:val="BodyText2"/>
        <w:ind w:left="720"/>
      </w:pPr>
    </w:p>
    <w:p w14:paraId="62DFDBD1" w14:textId="0C332B46" w:rsidR="00E1654B" w:rsidRDefault="00E1654B" w:rsidP="00E1654B">
      <w:pPr>
        <w:pStyle w:val="BodyText2"/>
        <w:ind w:left="720"/>
      </w:pPr>
      <w:r w:rsidRPr="00144784">
        <w:rPr>
          <w:sz w:val="20"/>
        </w:rPr>
        <w:t xml:space="preserve">*The estimated wage rate for a Regulatory Affairs Professional </w:t>
      </w:r>
      <w:r>
        <w:rPr>
          <w:sz w:val="20"/>
        </w:rPr>
        <w:t>was based on T</w:t>
      </w:r>
      <w:r w:rsidRPr="00144784">
        <w:rPr>
          <w:sz w:val="20"/>
        </w:rPr>
        <w:t>he</w:t>
      </w:r>
      <w:r>
        <w:rPr>
          <w:sz w:val="20"/>
        </w:rPr>
        <w:t xml:space="preserve"> Regulatory Affairs Professional Society (RAPS) </w:t>
      </w:r>
      <w:r w:rsidR="00655CE1">
        <w:rPr>
          <w:sz w:val="20"/>
        </w:rPr>
        <w:t>average total</w:t>
      </w:r>
      <w:r>
        <w:rPr>
          <w:sz w:val="20"/>
        </w:rPr>
        <w:t xml:space="preserve"> annual compensation of $</w:t>
      </w:r>
      <w:r w:rsidR="00655CE1">
        <w:rPr>
          <w:sz w:val="20"/>
        </w:rPr>
        <w:t>150,422</w:t>
      </w:r>
      <w:r>
        <w:rPr>
          <w:sz w:val="20"/>
        </w:rPr>
        <w:t xml:space="preserve"> for a U.S. regulatory affairs professional (</w:t>
      </w:r>
      <w:r w:rsidR="0075064C" w:rsidRPr="0075064C">
        <w:t xml:space="preserve"> </w:t>
      </w:r>
      <w:r w:rsidR="0075064C" w:rsidRPr="0075064C">
        <w:rPr>
          <w:sz w:val="20"/>
        </w:rPr>
        <w:t>https://www.raps.org/getattachment/Careers/Scope-of-Practice-Survey/2016-Scope-of-Practice-Compensation-Report-for-the-Regulatory-Profession.pdf.aspx?lang=en-US</w:t>
      </w:r>
      <w:r w:rsidR="00655CE1">
        <w:rPr>
          <w:sz w:val="20"/>
        </w:rPr>
        <w:t>, p. 11, accessed 10/26/18</w:t>
      </w:r>
      <w:r>
        <w:rPr>
          <w:sz w:val="20"/>
        </w:rPr>
        <w:t>).</w:t>
      </w:r>
      <w:r w:rsidRPr="00144784">
        <w:rPr>
          <w:sz w:val="20"/>
        </w:rPr>
        <w:t xml:space="preserve"> The hourly wage rate</w:t>
      </w:r>
      <w:r>
        <w:rPr>
          <w:sz w:val="20"/>
        </w:rPr>
        <w:t xml:space="preserve"> of $</w:t>
      </w:r>
      <w:r w:rsidR="00655CE1">
        <w:rPr>
          <w:sz w:val="20"/>
        </w:rPr>
        <w:t>72</w:t>
      </w:r>
      <w:r w:rsidR="004A05B7" w:rsidRPr="00144784">
        <w:rPr>
          <w:sz w:val="20"/>
        </w:rPr>
        <w:t xml:space="preserve"> </w:t>
      </w:r>
      <w:r w:rsidRPr="00144784">
        <w:rPr>
          <w:sz w:val="20"/>
        </w:rPr>
        <w:t>assumes a 40-hour work week</w:t>
      </w:r>
      <w:r>
        <w:rPr>
          <w:sz w:val="20"/>
        </w:rPr>
        <w:t xml:space="preserve"> and is rounded to the nearest dollar</w:t>
      </w:r>
      <w:r w:rsidRPr="00144784">
        <w:rPr>
          <w:sz w:val="20"/>
        </w:rPr>
        <w:t>.</w:t>
      </w:r>
    </w:p>
    <w:p w14:paraId="4100D06B" w14:textId="77777777" w:rsidR="00D56340" w:rsidRDefault="00D56340" w:rsidP="00BB1D4C">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14:paraId="04DA546C" w14:textId="77777777" w:rsidTr="00A365FC">
        <w:tc>
          <w:tcPr>
            <w:tcW w:w="2160" w:type="dxa"/>
            <w:shd w:val="clear" w:color="auto" w:fill="auto"/>
          </w:tcPr>
          <w:p w14:paraId="57487D80" w14:textId="77777777" w:rsidR="003740BC" w:rsidRDefault="003740BC" w:rsidP="00A365FC">
            <w:pPr>
              <w:keepNext/>
              <w:jc w:val="center"/>
            </w:pPr>
            <w:r>
              <w:t>Type of Respondent</w:t>
            </w:r>
          </w:p>
        </w:tc>
        <w:tc>
          <w:tcPr>
            <w:tcW w:w="1800" w:type="dxa"/>
            <w:shd w:val="clear" w:color="auto" w:fill="auto"/>
          </w:tcPr>
          <w:p w14:paraId="13036F2B" w14:textId="77777777" w:rsidR="003740BC" w:rsidRDefault="003740BC" w:rsidP="00A365FC">
            <w:pPr>
              <w:keepNext/>
              <w:jc w:val="center"/>
            </w:pPr>
            <w:r>
              <w:t>Total Burden Hours</w:t>
            </w:r>
          </w:p>
        </w:tc>
        <w:tc>
          <w:tcPr>
            <w:tcW w:w="2394" w:type="dxa"/>
            <w:shd w:val="clear" w:color="auto" w:fill="auto"/>
          </w:tcPr>
          <w:p w14:paraId="05CC8C08" w14:textId="77777777" w:rsidR="003740BC" w:rsidRDefault="003740BC" w:rsidP="00A365FC">
            <w:pPr>
              <w:keepNext/>
              <w:jc w:val="center"/>
            </w:pPr>
            <w:r>
              <w:t>Hourly Wage Rate</w:t>
            </w:r>
          </w:p>
        </w:tc>
        <w:tc>
          <w:tcPr>
            <w:tcW w:w="1926" w:type="dxa"/>
            <w:shd w:val="clear" w:color="auto" w:fill="auto"/>
          </w:tcPr>
          <w:p w14:paraId="1324C65B" w14:textId="77777777" w:rsidR="003740BC" w:rsidRDefault="003740BC" w:rsidP="00A365FC">
            <w:pPr>
              <w:keepNext/>
              <w:jc w:val="center"/>
            </w:pPr>
            <w:r>
              <w:t>Total Respondent Costs</w:t>
            </w:r>
          </w:p>
        </w:tc>
      </w:tr>
      <w:tr w:rsidR="003740BC" w14:paraId="788F6C00" w14:textId="77777777" w:rsidTr="00A365FC">
        <w:tc>
          <w:tcPr>
            <w:tcW w:w="2160" w:type="dxa"/>
            <w:shd w:val="clear" w:color="auto" w:fill="auto"/>
          </w:tcPr>
          <w:p w14:paraId="46E57206" w14:textId="77777777" w:rsidR="003740BC" w:rsidRDefault="007C215A" w:rsidP="00A365FC">
            <w:pPr>
              <w:keepNext/>
            </w:pPr>
            <w:r>
              <w:t>Regulatory Affairs Professional</w:t>
            </w:r>
          </w:p>
        </w:tc>
        <w:tc>
          <w:tcPr>
            <w:tcW w:w="1800" w:type="dxa"/>
            <w:shd w:val="clear" w:color="auto" w:fill="auto"/>
          </w:tcPr>
          <w:p w14:paraId="6B543242" w14:textId="220FC591" w:rsidR="003740BC" w:rsidRDefault="00E1654B" w:rsidP="00A365FC">
            <w:pPr>
              <w:keepNext/>
              <w:jc w:val="right"/>
            </w:pPr>
            <w:r>
              <w:t>1,</w:t>
            </w:r>
            <w:r w:rsidR="004A05B7">
              <w:t>914</w:t>
            </w:r>
          </w:p>
        </w:tc>
        <w:tc>
          <w:tcPr>
            <w:tcW w:w="2394" w:type="dxa"/>
            <w:shd w:val="clear" w:color="auto" w:fill="auto"/>
          </w:tcPr>
          <w:p w14:paraId="18190544" w14:textId="74DFFD1E" w:rsidR="003740BC" w:rsidRDefault="003740BC" w:rsidP="00E1654B">
            <w:pPr>
              <w:keepNext/>
              <w:jc w:val="right"/>
            </w:pPr>
            <w:r>
              <w:t>$</w:t>
            </w:r>
            <w:r w:rsidR="00655CE1">
              <w:t>72</w:t>
            </w:r>
          </w:p>
        </w:tc>
        <w:tc>
          <w:tcPr>
            <w:tcW w:w="1926" w:type="dxa"/>
            <w:shd w:val="clear" w:color="auto" w:fill="auto"/>
          </w:tcPr>
          <w:p w14:paraId="12EBBBC7" w14:textId="6A2F4A55" w:rsidR="003740BC" w:rsidRDefault="003740BC" w:rsidP="00E1654B">
            <w:pPr>
              <w:keepNext/>
              <w:jc w:val="right"/>
            </w:pPr>
            <w:r>
              <w:t>$</w:t>
            </w:r>
            <w:r w:rsidR="00655CE1">
              <w:t>137,808</w:t>
            </w:r>
          </w:p>
        </w:tc>
      </w:tr>
    </w:tbl>
    <w:p w14:paraId="312F2A5F" w14:textId="77777777" w:rsidR="005533E9" w:rsidRDefault="005533E9" w:rsidP="00BB1D4C">
      <w:pPr>
        <w:pStyle w:val="BodyText2"/>
        <w:ind w:left="720"/>
      </w:pPr>
    </w:p>
    <w:p w14:paraId="7979476A" w14:textId="77777777" w:rsidR="004C6979" w:rsidRPr="004C6979" w:rsidRDefault="00EB7538" w:rsidP="00DA48E7">
      <w:pPr>
        <w:keepNext/>
        <w:numPr>
          <w:ilvl w:val="0"/>
          <w:numId w:val="1"/>
        </w:numPr>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3CB5A398" w14:textId="77777777" w:rsidR="00F16C29" w:rsidRDefault="00F16C29" w:rsidP="00DA48E7">
      <w:pPr>
        <w:keepNext/>
        <w:ind w:left="720"/>
      </w:pPr>
    </w:p>
    <w:p w14:paraId="1F51E240" w14:textId="77777777" w:rsidR="00350523" w:rsidRDefault="00350523" w:rsidP="00BB1D4C">
      <w:pPr>
        <w:ind w:left="720"/>
      </w:pPr>
      <w:r>
        <w:t>There are no capital, start-up, operating or maintenance costs associated with this information collection.</w:t>
      </w:r>
    </w:p>
    <w:p w14:paraId="23617789" w14:textId="77777777" w:rsidR="00F16C29" w:rsidRDefault="00F16C29" w:rsidP="00BB1D4C">
      <w:pPr>
        <w:ind w:left="720"/>
      </w:pPr>
    </w:p>
    <w:p w14:paraId="6D3384C7" w14:textId="77777777" w:rsidR="004C6979" w:rsidRPr="004C6979" w:rsidRDefault="00EB7538" w:rsidP="00BB1D4C">
      <w:pPr>
        <w:numPr>
          <w:ilvl w:val="0"/>
          <w:numId w:val="1"/>
        </w:numPr>
        <w:rPr>
          <w:u w:val="single"/>
        </w:rPr>
      </w:pPr>
      <w:r w:rsidRPr="004C6979">
        <w:rPr>
          <w:u w:val="single"/>
        </w:rPr>
        <w:t>Annualized Cost to the Federal Government</w:t>
      </w:r>
    </w:p>
    <w:p w14:paraId="6C79C778" w14:textId="77777777" w:rsidR="00F16C29" w:rsidRDefault="00F16C29" w:rsidP="00BB1D4C">
      <w:pPr>
        <w:ind w:left="720"/>
      </w:pPr>
    </w:p>
    <w:p w14:paraId="16E62621" w14:textId="6955D8CD" w:rsidR="00F16C29" w:rsidRDefault="00F16C29" w:rsidP="00F16C29">
      <w:pPr>
        <w:ind w:left="720"/>
      </w:pPr>
      <w:r>
        <w:t xml:space="preserve">The estimated annualized cost to the Federal Government is </w:t>
      </w:r>
      <w:r w:rsidR="00AA6026">
        <w:t>$</w:t>
      </w:r>
      <w:r w:rsidR="00300976">
        <w:t>240,265 (rounded)</w:t>
      </w:r>
      <w:r w:rsidR="00151394">
        <w:t xml:space="preserve">.  </w:t>
      </w:r>
      <w:r>
        <w:t>The estimated time for review, data entry, and tracking is 45 minutes</w:t>
      </w:r>
      <w:r w:rsidR="0075064C">
        <w:t xml:space="preserve"> per form</w:t>
      </w:r>
      <w:r>
        <w:t>.  The information from the form will be extracted by both program and administrative support personnel (GS-4 through GS-7) with an average salary of $</w:t>
      </w:r>
      <w:r w:rsidR="00300976">
        <w:t>50.22</w:t>
      </w:r>
      <w:r>
        <w:t xml:space="preserve"> </w:t>
      </w:r>
      <w:r w:rsidR="00190B1F">
        <w:t>per</w:t>
      </w:r>
      <w:r>
        <w:t xml:space="preserve"> hour</w:t>
      </w:r>
      <w:hyperlink w:history="1"/>
      <w:r w:rsidR="00D74F00">
        <w:t xml:space="preserve"> (based on Office of Personnel Management FY2019 Salary Table 2019-DCB; </w:t>
      </w:r>
      <w:hyperlink r:id="rId10" w:history="1">
        <w:r w:rsidR="00D74F00" w:rsidRPr="0052460D">
          <w:rPr>
            <w:rStyle w:val="Hyperlink"/>
          </w:rPr>
          <w:t>https://www.opm.gov/policy-data-oversight/pay-leave/salaries-wages/salary-tables/pdf/2019/DCB_h.pdf</w:t>
        </w:r>
      </w:hyperlink>
      <w:r w:rsidR="00D74F00">
        <w:t>, accessed on April 24, 2019; rate is calculated as the average hourly rate of a GS-4 through GS-7</w:t>
      </w:r>
      <w:r w:rsidR="00300976">
        <w:t>, step 10 employee, $25.11 (rounded),</w:t>
      </w:r>
      <w:r w:rsidR="00D74F00">
        <w:t xml:space="preserve"> and multiplied by two to account for benefits and overhead</w:t>
      </w:r>
      <w:r w:rsidR="00300976">
        <w:t>, $50.22</w:t>
      </w:r>
      <w:r w:rsidR="00D74F00">
        <w:t>.)</w:t>
      </w:r>
    </w:p>
    <w:p w14:paraId="16518A3F" w14:textId="77777777" w:rsidR="00F16C29" w:rsidRDefault="00F16C29" w:rsidP="00F16C29">
      <w:pPr>
        <w:ind w:left="720"/>
      </w:pPr>
    </w:p>
    <w:p w14:paraId="499860D4" w14:textId="77777777" w:rsidR="00A70426" w:rsidRDefault="00A70426" w:rsidP="00BB1D4C">
      <w:pPr>
        <w:pStyle w:val="BodyText2"/>
        <w:ind w:left="720"/>
      </w:pPr>
    </w:p>
    <w:p w14:paraId="75C78871" w14:textId="77777777" w:rsidR="004C6979" w:rsidRPr="004C6979" w:rsidRDefault="00EB7538" w:rsidP="00241EB0">
      <w:pPr>
        <w:keepNext/>
        <w:numPr>
          <w:ilvl w:val="0"/>
          <w:numId w:val="1"/>
        </w:numPr>
        <w:rPr>
          <w:u w:val="single"/>
        </w:rPr>
      </w:pPr>
      <w:r w:rsidRPr="004C6979">
        <w:rPr>
          <w:u w:val="single"/>
        </w:rPr>
        <w:t>Explanation for Program Changes or Adjustments</w:t>
      </w:r>
    </w:p>
    <w:p w14:paraId="02CA58AE" w14:textId="77777777" w:rsidR="004125C7" w:rsidRDefault="004125C7" w:rsidP="00241EB0">
      <w:pPr>
        <w:keepNext/>
        <w:ind w:left="720"/>
      </w:pPr>
    </w:p>
    <w:p w14:paraId="27B8C7FB" w14:textId="18C34B88" w:rsidR="004125C7" w:rsidRDefault="002C24AB" w:rsidP="004125C7">
      <w:pPr>
        <w:ind w:left="720"/>
      </w:pPr>
      <w:r w:rsidRPr="002C24AB">
        <w:t xml:space="preserve">The estimated number of respondents has increased from 5,214 to 6,379 due to an increase in the number of </w:t>
      </w:r>
      <w:r w:rsidR="0075064C">
        <w:t>forms received</w:t>
      </w:r>
      <w:r w:rsidRPr="002C24AB">
        <w:t>.</w:t>
      </w:r>
      <w:r w:rsidR="005D2532">
        <w:t xml:space="preserve">  This has resulted in a </w:t>
      </w:r>
      <w:r w:rsidR="0075064C">
        <w:t>350</w:t>
      </w:r>
      <w:r w:rsidR="005D2532">
        <w:t>-hour increase to the total hour burden estimate.</w:t>
      </w:r>
      <w:r w:rsidRPr="002C24AB">
        <w:t xml:space="preserve">  No program changes were made.</w:t>
      </w:r>
      <w:r w:rsidR="008250E0">
        <w:t xml:space="preserve"> </w:t>
      </w:r>
    </w:p>
    <w:p w14:paraId="76DCA792" w14:textId="77777777" w:rsidR="009F66B5" w:rsidRDefault="009F66B5" w:rsidP="00BB1D4C">
      <w:pPr>
        <w:pStyle w:val="BodyTextIndent"/>
        <w:autoSpaceDE w:val="0"/>
        <w:autoSpaceDN w:val="0"/>
        <w:adjustRightInd w:val="0"/>
        <w:spacing w:after="0"/>
        <w:ind w:left="720"/>
      </w:pPr>
    </w:p>
    <w:p w14:paraId="0A159683" w14:textId="77777777" w:rsidR="004C6979" w:rsidRPr="004C6979" w:rsidRDefault="00EB7538" w:rsidP="00BB1D4C">
      <w:pPr>
        <w:numPr>
          <w:ilvl w:val="0"/>
          <w:numId w:val="1"/>
        </w:numPr>
        <w:rPr>
          <w:u w:val="single"/>
        </w:rPr>
      </w:pPr>
      <w:r w:rsidRPr="004C6979">
        <w:rPr>
          <w:u w:val="single"/>
        </w:rPr>
        <w:t>Plans for Tabulation and Publication and Project Time Schedule</w:t>
      </w:r>
    </w:p>
    <w:p w14:paraId="793BC679" w14:textId="77777777" w:rsidR="004125C7" w:rsidRDefault="004125C7" w:rsidP="00BB1D4C">
      <w:pPr>
        <w:ind w:left="720"/>
      </w:pPr>
    </w:p>
    <w:p w14:paraId="053A1A94" w14:textId="74CFDBF9" w:rsidR="003C4EBB" w:rsidRDefault="009E7A66" w:rsidP="00BB1D4C">
      <w:pPr>
        <w:ind w:left="720"/>
      </w:pPr>
      <w:r>
        <w:t>There are no</w:t>
      </w:r>
      <w:r w:rsidR="005D2532">
        <w:t xml:space="preserve"> plans to</w:t>
      </w:r>
      <w:r>
        <w:t xml:space="preserve"> tabulate</w:t>
      </w:r>
      <w:r w:rsidR="005D2532">
        <w:t xml:space="preserve"> or</w:t>
      </w:r>
      <w:r>
        <w:t xml:space="preserve"> publish this information collection.</w:t>
      </w:r>
    </w:p>
    <w:p w14:paraId="211A54BE" w14:textId="77777777" w:rsidR="009E7A66" w:rsidRDefault="009E7A66" w:rsidP="00BB1D4C">
      <w:pPr>
        <w:ind w:left="720"/>
      </w:pPr>
    </w:p>
    <w:p w14:paraId="0A31C09D" w14:textId="77777777" w:rsidR="004C6979" w:rsidRPr="004C6979" w:rsidRDefault="00EB7538" w:rsidP="00BB1D4C">
      <w:pPr>
        <w:numPr>
          <w:ilvl w:val="0"/>
          <w:numId w:val="1"/>
        </w:numPr>
        <w:rPr>
          <w:u w:val="single"/>
        </w:rPr>
      </w:pPr>
      <w:r w:rsidRPr="004C6979">
        <w:rPr>
          <w:u w:val="single"/>
        </w:rPr>
        <w:t>Reason(s) Display of OMB Expiration Date is Inappropriate</w:t>
      </w:r>
    </w:p>
    <w:p w14:paraId="31B6F45E" w14:textId="77777777" w:rsidR="009E7A66" w:rsidRDefault="009E7A66" w:rsidP="00BB1D4C">
      <w:pPr>
        <w:ind w:left="720"/>
      </w:pPr>
    </w:p>
    <w:p w14:paraId="52C98FDE" w14:textId="5AD11585" w:rsidR="004C6979" w:rsidRDefault="005D2532" w:rsidP="00BB1D4C">
      <w:pPr>
        <w:ind w:left="720"/>
      </w:pPr>
      <w:r w:rsidRPr="005D2532">
        <w:t>FDA will display the OMB expiration date as required by 5 CFR 1320.5.</w:t>
      </w:r>
    </w:p>
    <w:p w14:paraId="19A109B3" w14:textId="77777777" w:rsidR="009E7A66" w:rsidRDefault="009E7A66" w:rsidP="00BB1D4C">
      <w:pPr>
        <w:ind w:left="720"/>
      </w:pPr>
    </w:p>
    <w:p w14:paraId="51FDC788" w14:textId="77777777" w:rsidR="00EB7538" w:rsidRDefault="00EB7538" w:rsidP="00BB1D4C">
      <w:pPr>
        <w:numPr>
          <w:ilvl w:val="0"/>
          <w:numId w:val="1"/>
        </w:numPr>
        <w:rPr>
          <w:u w:val="single"/>
        </w:rPr>
      </w:pPr>
      <w:r w:rsidRPr="004C6979">
        <w:rPr>
          <w:u w:val="single"/>
        </w:rPr>
        <w:t>Exceptions to Certification for Paperwork Reduction Act Submissions</w:t>
      </w:r>
    </w:p>
    <w:p w14:paraId="0FDC8C65" w14:textId="77777777" w:rsidR="009E7A66" w:rsidRDefault="009E7A66" w:rsidP="00BB1D4C">
      <w:pPr>
        <w:ind w:left="720"/>
      </w:pPr>
    </w:p>
    <w:p w14:paraId="1B02A5F5" w14:textId="77777777" w:rsidR="00E00EA0" w:rsidRDefault="009E7A66" w:rsidP="00BB1D4C">
      <w:pPr>
        <w:ind w:left="720"/>
      </w:pPr>
      <w:r>
        <w:t>T</w:t>
      </w:r>
      <w:r w:rsidR="00754497">
        <w:t>here are no exceptions to the certification.</w:t>
      </w:r>
    </w:p>
    <w:p w14:paraId="4FA5625F" w14:textId="77777777" w:rsidR="009E7A66" w:rsidRDefault="009E7A66" w:rsidP="00BB1D4C">
      <w:pPr>
        <w:ind w:left="720"/>
      </w:pPr>
    </w:p>
    <w:sectPr w:rsidR="009E7A66" w:rsidSect="00EB7538">
      <w:headerReference w:type="default" r:id="rId11"/>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C5AAE" w14:textId="77777777" w:rsidR="00374C6C" w:rsidRDefault="00374C6C">
      <w:r>
        <w:separator/>
      </w:r>
    </w:p>
  </w:endnote>
  <w:endnote w:type="continuationSeparator" w:id="0">
    <w:p w14:paraId="2F66ABAA" w14:textId="77777777" w:rsidR="00374C6C" w:rsidRDefault="00374C6C">
      <w:r>
        <w:continuationSeparator/>
      </w:r>
    </w:p>
  </w:endnote>
  <w:endnote w:type="continuationNotice" w:id="1">
    <w:p w14:paraId="3E910809" w14:textId="77777777" w:rsidR="00374C6C" w:rsidRDefault="00374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BC376" w14:textId="77777777" w:rsidR="00D56340" w:rsidRDefault="00D5634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63D64" w14:textId="77777777" w:rsidR="00D56340" w:rsidRDefault="00D56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FE110" w14:textId="77777777" w:rsidR="00D56340" w:rsidRDefault="00D5634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E03">
      <w:rPr>
        <w:rStyle w:val="PageNumber"/>
        <w:noProof/>
      </w:rPr>
      <w:t>1</w:t>
    </w:r>
    <w:r>
      <w:rPr>
        <w:rStyle w:val="PageNumber"/>
      </w:rPr>
      <w:fldChar w:fldCharType="end"/>
    </w:r>
  </w:p>
  <w:p w14:paraId="75FA0557" w14:textId="77777777" w:rsidR="00D56340" w:rsidRDefault="00D56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35E2E" w14:textId="77777777" w:rsidR="00374C6C" w:rsidRDefault="00374C6C">
      <w:r>
        <w:separator/>
      </w:r>
    </w:p>
  </w:footnote>
  <w:footnote w:type="continuationSeparator" w:id="0">
    <w:p w14:paraId="1582B226" w14:textId="77777777" w:rsidR="00374C6C" w:rsidRDefault="00374C6C">
      <w:r>
        <w:continuationSeparator/>
      </w:r>
    </w:p>
  </w:footnote>
  <w:footnote w:type="continuationNotice" w:id="1">
    <w:p w14:paraId="5CB798B6" w14:textId="77777777" w:rsidR="00374C6C" w:rsidRDefault="00374C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D92C" w14:textId="77777777" w:rsidR="00E016A1" w:rsidRDefault="00E01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23DAF"/>
    <w:multiLevelType w:val="hybridMultilevel"/>
    <w:tmpl w:val="55A0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8F328F6"/>
    <w:multiLevelType w:val="hybridMultilevel"/>
    <w:tmpl w:val="8E945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8"/>
  </w:num>
  <w:num w:numId="6">
    <w:abstractNumId w:val="24"/>
  </w:num>
  <w:num w:numId="7">
    <w:abstractNumId w:val="29"/>
  </w:num>
  <w:num w:numId="8">
    <w:abstractNumId w:val="5"/>
  </w:num>
  <w:num w:numId="9">
    <w:abstractNumId w:val="25"/>
  </w:num>
  <w:num w:numId="10">
    <w:abstractNumId w:val="20"/>
  </w:num>
  <w:num w:numId="11">
    <w:abstractNumId w:val="10"/>
  </w:num>
  <w:num w:numId="12">
    <w:abstractNumId w:val="32"/>
  </w:num>
  <w:num w:numId="13">
    <w:abstractNumId w:val="19"/>
  </w:num>
  <w:num w:numId="14">
    <w:abstractNumId w:val="9"/>
  </w:num>
  <w:num w:numId="15">
    <w:abstractNumId w:val="15"/>
  </w:num>
  <w:num w:numId="16">
    <w:abstractNumId w:val="14"/>
  </w:num>
  <w:num w:numId="17">
    <w:abstractNumId w:val="28"/>
  </w:num>
  <w:num w:numId="18">
    <w:abstractNumId w:val="31"/>
  </w:num>
  <w:num w:numId="19">
    <w:abstractNumId w:val="30"/>
  </w:num>
  <w:num w:numId="20">
    <w:abstractNumId w:val="18"/>
  </w:num>
  <w:num w:numId="21">
    <w:abstractNumId w:val="13"/>
  </w:num>
  <w:num w:numId="22">
    <w:abstractNumId w:val="4"/>
  </w:num>
  <w:num w:numId="23">
    <w:abstractNumId w:val="26"/>
  </w:num>
  <w:num w:numId="24">
    <w:abstractNumId w:val="22"/>
  </w:num>
  <w:num w:numId="25">
    <w:abstractNumId w:val="12"/>
  </w:num>
  <w:num w:numId="26">
    <w:abstractNumId w:val="7"/>
  </w:num>
  <w:num w:numId="27">
    <w:abstractNumId w:val="33"/>
  </w:num>
  <w:num w:numId="28">
    <w:abstractNumId w:val="27"/>
  </w:num>
  <w:num w:numId="29">
    <w:abstractNumId w:val="6"/>
  </w:num>
  <w:num w:numId="30">
    <w:abstractNumId w:val="17"/>
  </w:num>
  <w:num w:numId="31">
    <w:abstractNumId w:val="3"/>
  </w:num>
  <w:num w:numId="32">
    <w:abstractNumId w:val="2"/>
  </w:num>
  <w:num w:numId="33">
    <w:abstractNumId w:val="1"/>
  </w:num>
  <w:num w:numId="3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6A5"/>
    <w:rsid w:val="00025652"/>
    <w:rsid w:val="0006570F"/>
    <w:rsid w:val="000A7CA9"/>
    <w:rsid w:val="000D065D"/>
    <w:rsid w:val="000D48FD"/>
    <w:rsid w:val="000D4FD3"/>
    <w:rsid w:val="000E1C64"/>
    <w:rsid w:val="00100129"/>
    <w:rsid w:val="00100739"/>
    <w:rsid w:val="00107885"/>
    <w:rsid w:val="00114FC4"/>
    <w:rsid w:val="0012329C"/>
    <w:rsid w:val="00132E31"/>
    <w:rsid w:val="00134421"/>
    <w:rsid w:val="0013467A"/>
    <w:rsid w:val="00134FA7"/>
    <w:rsid w:val="00137950"/>
    <w:rsid w:val="00151394"/>
    <w:rsid w:val="00152F29"/>
    <w:rsid w:val="00155D1A"/>
    <w:rsid w:val="00156016"/>
    <w:rsid w:val="00166BAD"/>
    <w:rsid w:val="00185270"/>
    <w:rsid w:val="00190B1F"/>
    <w:rsid w:val="001A3B5A"/>
    <w:rsid w:val="001B0F1F"/>
    <w:rsid w:val="001B7CE9"/>
    <w:rsid w:val="001D495A"/>
    <w:rsid w:val="002259EF"/>
    <w:rsid w:val="00241EB0"/>
    <w:rsid w:val="00242ED1"/>
    <w:rsid w:val="00254069"/>
    <w:rsid w:val="00255704"/>
    <w:rsid w:val="002734E5"/>
    <w:rsid w:val="002746DB"/>
    <w:rsid w:val="00280CAF"/>
    <w:rsid w:val="00282F09"/>
    <w:rsid w:val="00294B99"/>
    <w:rsid w:val="002A4916"/>
    <w:rsid w:val="002B0CD2"/>
    <w:rsid w:val="002C24AB"/>
    <w:rsid w:val="002C44E4"/>
    <w:rsid w:val="002C7D58"/>
    <w:rsid w:val="002D0FCD"/>
    <w:rsid w:val="002D14D8"/>
    <w:rsid w:val="002D4799"/>
    <w:rsid w:val="002E3FA4"/>
    <w:rsid w:val="00300976"/>
    <w:rsid w:val="0032277F"/>
    <w:rsid w:val="00330926"/>
    <w:rsid w:val="00350523"/>
    <w:rsid w:val="0035306E"/>
    <w:rsid w:val="003740BC"/>
    <w:rsid w:val="00374C6C"/>
    <w:rsid w:val="003801A3"/>
    <w:rsid w:val="00383D90"/>
    <w:rsid w:val="0039161D"/>
    <w:rsid w:val="00391B67"/>
    <w:rsid w:val="003A72ED"/>
    <w:rsid w:val="003B1190"/>
    <w:rsid w:val="003B42B3"/>
    <w:rsid w:val="003B6384"/>
    <w:rsid w:val="003C4EBB"/>
    <w:rsid w:val="003D1345"/>
    <w:rsid w:val="003D1531"/>
    <w:rsid w:val="003D20E4"/>
    <w:rsid w:val="003D39FA"/>
    <w:rsid w:val="003E4EC6"/>
    <w:rsid w:val="003E527E"/>
    <w:rsid w:val="003E553E"/>
    <w:rsid w:val="003E7078"/>
    <w:rsid w:val="003F3DF5"/>
    <w:rsid w:val="00411D11"/>
    <w:rsid w:val="004125C7"/>
    <w:rsid w:val="00415E23"/>
    <w:rsid w:val="00424061"/>
    <w:rsid w:val="004337C0"/>
    <w:rsid w:val="00435135"/>
    <w:rsid w:val="00443969"/>
    <w:rsid w:val="00447D74"/>
    <w:rsid w:val="00450A74"/>
    <w:rsid w:val="00465350"/>
    <w:rsid w:val="004772C4"/>
    <w:rsid w:val="00477F96"/>
    <w:rsid w:val="004846BF"/>
    <w:rsid w:val="004A05B7"/>
    <w:rsid w:val="004C4A24"/>
    <w:rsid w:val="004C6979"/>
    <w:rsid w:val="004D3E7A"/>
    <w:rsid w:val="004F3AB0"/>
    <w:rsid w:val="00510D68"/>
    <w:rsid w:val="00526EF8"/>
    <w:rsid w:val="00544138"/>
    <w:rsid w:val="005533E9"/>
    <w:rsid w:val="00561AD4"/>
    <w:rsid w:val="00575DB3"/>
    <w:rsid w:val="00584583"/>
    <w:rsid w:val="00593F11"/>
    <w:rsid w:val="005A0E6B"/>
    <w:rsid w:val="005A4099"/>
    <w:rsid w:val="005A726D"/>
    <w:rsid w:val="005C38B2"/>
    <w:rsid w:val="005C5029"/>
    <w:rsid w:val="005C55C2"/>
    <w:rsid w:val="005D2532"/>
    <w:rsid w:val="005D4DF5"/>
    <w:rsid w:val="0061057E"/>
    <w:rsid w:val="00610812"/>
    <w:rsid w:val="00611D6B"/>
    <w:rsid w:val="006448BD"/>
    <w:rsid w:val="006472C5"/>
    <w:rsid w:val="00655CE1"/>
    <w:rsid w:val="006635DF"/>
    <w:rsid w:val="006719CA"/>
    <w:rsid w:val="00675FED"/>
    <w:rsid w:val="006937DB"/>
    <w:rsid w:val="006A26C6"/>
    <w:rsid w:val="006A7D5D"/>
    <w:rsid w:val="006B1F83"/>
    <w:rsid w:val="006F4D6D"/>
    <w:rsid w:val="00705086"/>
    <w:rsid w:val="007505FF"/>
    <w:rsid w:val="0075064C"/>
    <w:rsid w:val="00754497"/>
    <w:rsid w:val="007618F5"/>
    <w:rsid w:val="00785B60"/>
    <w:rsid w:val="00787C39"/>
    <w:rsid w:val="00795DF3"/>
    <w:rsid w:val="00796234"/>
    <w:rsid w:val="007A373C"/>
    <w:rsid w:val="007C215A"/>
    <w:rsid w:val="007C75B1"/>
    <w:rsid w:val="007D3DFC"/>
    <w:rsid w:val="007D7AAD"/>
    <w:rsid w:val="0080776D"/>
    <w:rsid w:val="00810145"/>
    <w:rsid w:val="008108FA"/>
    <w:rsid w:val="00810FF1"/>
    <w:rsid w:val="00822336"/>
    <w:rsid w:val="00823DFA"/>
    <w:rsid w:val="008250E0"/>
    <w:rsid w:val="00843752"/>
    <w:rsid w:val="00865AF2"/>
    <w:rsid w:val="00870464"/>
    <w:rsid w:val="00880C5D"/>
    <w:rsid w:val="00885B09"/>
    <w:rsid w:val="00892400"/>
    <w:rsid w:val="00892F0C"/>
    <w:rsid w:val="008A0DCE"/>
    <w:rsid w:val="008A209D"/>
    <w:rsid w:val="008A4D6B"/>
    <w:rsid w:val="008B0E29"/>
    <w:rsid w:val="008B0EFA"/>
    <w:rsid w:val="008B30AB"/>
    <w:rsid w:val="008C68CD"/>
    <w:rsid w:val="008D2497"/>
    <w:rsid w:val="008E1839"/>
    <w:rsid w:val="00905DEF"/>
    <w:rsid w:val="00913B43"/>
    <w:rsid w:val="00930203"/>
    <w:rsid w:val="00930B70"/>
    <w:rsid w:val="009311D2"/>
    <w:rsid w:val="00931275"/>
    <w:rsid w:val="00934467"/>
    <w:rsid w:val="00936AC7"/>
    <w:rsid w:val="0096657C"/>
    <w:rsid w:val="00967943"/>
    <w:rsid w:val="009A1674"/>
    <w:rsid w:val="009A5E45"/>
    <w:rsid w:val="009B7B40"/>
    <w:rsid w:val="009C2959"/>
    <w:rsid w:val="009D074C"/>
    <w:rsid w:val="009E7A66"/>
    <w:rsid w:val="009F2B4F"/>
    <w:rsid w:val="009F66B5"/>
    <w:rsid w:val="00A20A7D"/>
    <w:rsid w:val="00A35D42"/>
    <w:rsid w:val="00A365FC"/>
    <w:rsid w:val="00A45A9E"/>
    <w:rsid w:val="00A46CCF"/>
    <w:rsid w:val="00A653F6"/>
    <w:rsid w:val="00A70426"/>
    <w:rsid w:val="00A823AD"/>
    <w:rsid w:val="00A91E9A"/>
    <w:rsid w:val="00A9326F"/>
    <w:rsid w:val="00A93ED9"/>
    <w:rsid w:val="00A94876"/>
    <w:rsid w:val="00AA6026"/>
    <w:rsid w:val="00AB2D0D"/>
    <w:rsid w:val="00AC3D09"/>
    <w:rsid w:val="00AC6A99"/>
    <w:rsid w:val="00AD0028"/>
    <w:rsid w:val="00B01505"/>
    <w:rsid w:val="00B055EF"/>
    <w:rsid w:val="00B23769"/>
    <w:rsid w:val="00B27B2F"/>
    <w:rsid w:val="00B5081E"/>
    <w:rsid w:val="00B541E3"/>
    <w:rsid w:val="00B71F80"/>
    <w:rsid w:val="00B7401D"/>
    <w:rsid w:val="00B806C3"/>
    <w:rsid w:val="00B936D0"/>
    <w:rsid w:val="00B945D6"/>
    <w:rsid w:val="00BA0D25"/>
    <w:rsid w:val="00BB1D4C"/>
    <w:rsid w:val="00BC20AD"/>
    <w:rsid w:val="00BE3600"/>
    <w:rsid w:val="00C01F6F"/>
    <w:rsid w:val="00C149AB"/>
    <w:rsid w:val="00C40694"/>
    <w:rsid w:val="00C61647"/>
    <w:rsid w:val="00C70542"/>
    <w:rsid w:val="00C75CBF"/>
    <w:rsid w:val="00C81333"/>
    <w:rsid w:val="00C87227"/>
    <w:rsid w:val="00C900C7"/>
    <w:rsid w:val="00C93220"/>
    <w:rsid w:val="00CA7C10"/>
    <w:rsid w:val="00CB270D"/>
    <w:rsid w:val="00CC2894"/>
    <w:rsid w:val="00CD2BF4"/>
    <w:rsid w:val="00CD77C3"/>
    <w:rsid w:val="00CE112C"/>
    <w:rsid w:val="00D058F8"/>
    <w:rsid w:val="00D1396D"/>
    <w:rsid w:val="00D56340"/>
    <w:rsid w:val="00D608DA"/>
    <w:rsid w:val="00D730BF"/>
    <w:rsid w:val="00D74F00"/>
    <w:rsid w:val="00DA48E7"/>
    <w:rsid w:val="00DA7467"/>
    <w:rsid w:val="00DC066A"/>
    <w:rsid w:val="00DC0CC0"/>
    <w:rsid w:val="00DC6C02"/>
    <w:rsid w:val="00DC76C7"/>
    <w:rsid w:val="00DD09F5"/>
    <w:rsid w:val="00DD4201"/>
    <w:rsid w:val="00DD712D"/>
    <w:rsid w:val="00DE1BA7"/>
    <w:rsid w:val="00DE5711"/>
    <w:rsid w:val="00DF5963"/>
    <w:rsid w:val="00E00EA0"/>
    <w:rsid w:val="00E016A1"/>
    <w:rsid w:val="00E1654B"/>
    <w:rsid w:val="00E21033"/>
    <w:rsid w:val="00E26758"/>
    <w:rsid w:val="00E4357B"/>
    <w:rsid w:val="00E50F97"/>
    <w:rsid w:val="00E62A7D"/>
    <w:rsid w:val="00E63B46"/>
    <w:rsid w:val="00E63DE5"/>
    <w:rsid w:val="00E65A37"/>
    <w:rsid w:val="00E77B48"/>
    <w:rsid w:val="00E82E70"/>
    <w:rsid w:val="00E9008D"/>
    <w:rsid w:val="00E91799"/>
    <w:rsid w:val="00EA34E3"/>
    <w:rsid w:val="00EB7538"/>
    <w:rsid w:val="00EC377E"/>
    <w:rsid w:val="00ED1FA4"/>
    <w:rsid w:val="00EF43BB"/>
    <w:rsid w:val="00EF5644"/>
    <w:rsid w:val="00F02C0B"/>
    <w:rsid w:val="00F040C7"/>
    <w:rsid w:val="00F16C29"/>
    <w:rsid w:val="00F207A4"/>
    <w:rsid w:val="00F355AC"/>
    <w:rsid w:val="00F668EC"/>
    <w:rsid w:val="00F71A5A"/>
    <w:rsid w:val="00F769E0"/>
    <w:rsid w:val="00F93E03"/>
    <w:rsid w:val="00FC6243"/>
    <w:rsid w:val="00FC6BDE"/>
    <w:rsid w:val="00FD5303"/>
    <w:rsid w:val="00FD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6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
    <w:name w:val="Unresolved Mention"/>
    <w:basedOn w:val="DefaultParagraphFont"/>
    <w:uiPriority w:val="99"/>
    <w:semiHidden/>
    <w:unhideWhenUsed/>
    <w:rsid w:val="00D74F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
    <w:name w:val="Unresolved Mention"/>
    <w:basedOn w:val="DefaultParagraphFont"/>
    <w:uiPriority w:val="99"/>
    <w:semiHidden/>
    <w:unhideWhenUsed/>
    <w:rsid w:val="00D74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20554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DCB_h.pdf" TargetMode="External"/><Relationship Id="rId4" Type="http://schemas.microsoft.com/office/2007/relationships/stylesWithEffects" Target="stylesWithEffects.xml"/><Relationship Id="rId9" Type="http://schemas.openxmlformats.org/officeDocument/2006/relationships/hyperlink" Target="https://userfees.fda.gov/OA_HTML/mdufmaCAcdLogin.jsp?ref=https%3A%2F%2Fuserfees.fda.gov%2FOA_HTML%2FmdufmaCScdCfgItemsPopup.jsp%3Fordnum%3D6097306&amp;sitex=10459:51717:US&amp;sitex=10459:51717: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7500-A760-4FC7-B689-35989A26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12091</CharactersWithSpaces>
  <SharedDoc>false</SharedDoc>
  <HLinks>
    <vt:vector size="6" baseType="variant">
      <vt:variant>
        <vt:i4>2883651</vt:i4>
      </vt:variant>
      <vt:variant>
        <vt:i4>0</vt:i4>
      </vt:variant>
      <vt:variant>
        <vt:i4>0</vt:i4>
      </vt:variant>
      <vt:variant>
        <vt:i4>5</vt:i4>
      </vt:variant>
      <vt:variant>
        <vt:lpwstr>https://fdasfinapp8.fda.gov/OA_HTML/mdufmaCAcdLogin.jsp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SYSTEM</cp:lastModifiedBy>
  <cp:revision>2</cp:revision>
  <cp:lastPrinted>2010-12-08T19:17:00Z</cp:lastPrinted>
  <dcterms:created xsi:type="dcterms:W3CDTF">2019-07-12T12:58:00Z</dcterms:created>
  <dcterms:modified xsi:type="dcterms:W3CDTF">2019-07-12T12:58:00Z</dcterms:modified>
</cp:coreProperties>
</file>