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97" w:rsidRPr="00EE3597" w:rsidRDefault="00685479" w:rsidP="00EE3597">
      <w:pPr>
        <w:spacing w:after="150" w:line="240" w:lineRule="auto"/>
        <w:jc w:val="center"/>
        <w:outlineLvl w:val="0"/>
        <w:rPr>
          <w:rFonts w:ascii="inherit" w:eastAsia="Times New Roman" w:hAnsi="inherit" w:cs="Helvetica"/>
          <w:color w:val="333333"/>
          <w:kern w:val="36"/>
          <w:sz w:val="24"/>
          <w:szCs w:val="24"/>
          <w:lang w:val="en"/>
        </w:rPr>
      </w:pPr>
      <w:bookmarkStart w:id="0" w:name="_GoBack"/>
      <w:bookmarkEnd w:id="0"/>
      <w:r>
        <w:rPr>
          <w:rFonts w:ascii="inherit" w:eastAsia="Times New Roman" w:hAnsi="inherit" w:cs="Helvetica"/>
          <w:color w:val="333333"/>
          <w:kern w:val="36"/>
          <w:sz w:val="24"/>
          <w:szCs w:val="24"/>
          <w:lang w:val="en"/>
        </w:rPr>
        <w:t>Attachment 1</w:t>
      </w:r>
      <w:r w:rsidR="00EE3597" w:rsidRPr="00EE3597">
        <w:rPr>
          <w:rFonts w:ascii="inherit" w:eastAsia="Times New Roman" w:hAnsi="inherit" w:cs="Helvetica"/>
          <w:color w:val="333333"/>
          <w:kern w:val="36"/>
          <w:sz w:val="24"/>
          <w:szCs w:val="24"/>
          <w:lang w:val="en"/>
        </w:rPr>
        <w:t>: Authorizing Legislation</w:t>
      </w:r>
    </w:p>
    <w:p w:rsidR="00EE3597" w:rsidRDefault="00EE3597" w:rsidP="00EE3597">
      <w:pPr>
        <w:spacing w:after="150" w:line="240" w:lineRule="auto"/>
        <w:outlineLvl w:val="0"/>
        <w:rPr>
          <w:rFonts w:ascii="inherit" w:eastAsia="Times New Roman" w:hAnsi="inherit" w:cs="Helvetica"/>
          <w:color w:val="333333"/>
          <w:kern w:val="36"/>
          <w:sz w:val="54"/>
          <w:szCs w:val="54"/>
          <w:lang w:val="en"/>
        </w:rPr>
      </w:pPr>
    </w:p>
    <w:p w:rsidR="00EE3597" w:rsidRPr="00EE3597" w:rsidRDefault="00EE3597" w:rsidP="00EE3597">
      <w:pPr>
        <w:spacing w:after="150" w:line="240" w:lineRule="auto"/>
        <w:outlineLvl w:val="0"/>
        <w:rPr>
          <w:rFonts w:ascii="inherit" w:eastAsia="Times New Roman" w:hAnsi="inherit" w:cs="Helvetica"/>
          <w:color w:val="333333"/>
          <w:kern w:val="36"/>
          <w:sz w:val="54"/>
          <w:szCs w:val="54"/>
          <w:lang w:val="en"/>
        </w:rPr>
      </w:pPr>
      <w:r w:rsidRPr="00EE3597">
        <w:rPr>
          <w:rFonts w:ascii="inherit" w:eastAsia="Times New Roman" w:hAnsi="inherit" w:cs="Helvetica"/>
          <w:color w:val="333333"/>
          <w:kern w:val="36"/>
          <w:sz w:val="54"/>
          <w:szCs w:val="54"/>
          <w:lang w:val="en"/>
        </w:rPr>
        <w:t xml:space="preserve">45 CFR § 75.342 - Monitoring and reporting program performance. </w:t>
      </w:r>
    </w:p>
    <w:p w:rsidR="00EE3597" w:rsidRPr="00EE3597" w:rsidRDefault="005E665C" w:rsidP="00EE359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hyperlink r:id="rId6" w:anchor="tab_default_1" w:history="1">
        <w:r w:rsidR="00EE3597" w:rsidRPr="00EE3597">
          <w:rPr>
            <w:rFonts w:ascii="Helvetica" w:eastAsia="Times New Roman" w:hAnsi="Helvetica" w:cs="Helvetica"/>
            <w:color w:val="337AB7"/>
            <w:sz w:val="21"/>
            <w:szCs w:val="21"/>
            <w:u w:val="single"/>
            <w:lang w:val="en"/>
          </w:rPr>
          <w:t xml:space="preserve">CFR </w:t>
        </w:r>
      </w:hyperlink>
    </w:p>
    <w:p w:rsidR="00EE3597" w:rsidRPr="00EE3597" w:rsidRDefault="00EE3597" w:rsidP="00EE359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RDefault="00EE3597" w:rsidP="00EE359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RDefault="00EE3597" w:rsidP="00EE359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RDefault="005E665C" w:rsidP="00EE3597">
      <w:pPr>
        <w:spacing w:after="0" w:line="240" w:lineRule="auto"/>
        <w:jc w:val="right"/>
        <w:rPr>
          <w:rFonts w:ascii="Helvetica" w:eastAsia="Times New Roman" w:hAnsi="Helvetica" w:cs="Helvetica"/>
          <w:color w:val="333333"/>
          <w:sz w:val="21"/>
          <w:szCs w:val="21"/>
          <w:lang w:val="en"/>
        </w:rPr>
      </w:pPr>
      <w:hyperlink r:id="rId7" w:history="1">
        <w:r w:rsidR="00EE3597" w:rsidRPr="00EE3597">
          <w:rPr>
            <w:rFonts w:ascii="Helvetica" w:eastAsia="Times New Roman" w:hAnsi="Helvetica" w:cs="Helvetica"/>
            <w:color w:val="337AB7"/>
            <w:sz w:val="21"/>
            <w:szCs w:val="21"/>
            <w:u w:val="single"/>
            <w:lang w:val="en"/>
          </w:rPr>
          <w:t>prev</w:t>
        </w:r>
      </w:hyperlink>
      <w:r w:rsidR="00EE3597" w:rsidRPr="00EE3597">
        <w:rPr>
          <w:rFonts w:ascii="Helvetica" w:eastAsia="Times New Roman" w:hAnsi="Helvetica" w:cs="Helvetica"/>
          <w:color w:val="333333"/>
          <w:sz w:val="21"/>
          <w:szCs w:val="21"/>
          <w:lang w:val="en"/>
        </w:rPr>
        <w:t xml:space="preserve"> | </w:t>
      </w:r>
      <w:hyperlink r:id="rId8" w:history="1">
        <w:r w:rsidR="00EE3597" w:rsidRPr="00EE3597">
          <w:rPr>
            <w:rFonts w:ascii="Helvetica" w:eastAsia="Times New Roman" w:hAnsi="Helvetica" w:cs="Helvetica"/>
            <w:color w:val="337AB7"/>
            <w:sz w:val="21"/>
            <w:szCs w:val="21"/>
            <w:u w:val="single"/>
            <w:lang w:val="en"/>
          </w:rPr>
          <w:t>next</w:t>
        </w:r>
      </w:hyperlink>
      <w:r w:rsidR="00EE3597" w:rsidRPr="00EE3597">
        <w:rPr>
          <w:rFonts w:ascii="Helvetica" w:eastAsia="Times New Roman" w:hAnsi="Helvetica" w:cs="Helvetica"/>
          <w:color w:val="333333"/>
          <w:sz w:val="21"/>
          <w:szCs w:val="21"/>
          <w:lang w:val="en"/>
        </w:rPr>
        <w:t xml:space="preserve"> </w:t>
      </w:r>
    </w:p>
    <w:p w:rsidR="00EE3597" w:rsidRPr="00EE3597" w:rsidRDefault="00EE3597" w:rsidP="00EE3597">
      <w:pPr>
        <w:spacing w:after="0" w:line="240" w:lineRule="auto"/>
        <w:rPr>
          <w:rFonts w:ascii="Helvetica" w:eastAsia="Times New Roman" w:hAnsi="Helvetica" w:cs="Helvetica"/>
          <w:b/>
          <w:bCs/>
          <w:color w:val="333333"/>
          <w:sz w:val="25"/>
          <w:szCs w:val="25"/>
          <w:lang w:val="en"/>
        </w:rPr>
      </w:pPr>
      <w:r w:rsidRPr="00EE3597">
        <w:rPr>
          <w:rFonts w:ascii="Helvetica" w:eastAsia="Times New Roman" w:hAnsi="Helvetica" w:cs="Helvetica"/>
          <w:b/>
          <w:bCs/>
          <w:color w:val="333333"/>
          <w:sz w:val="25"/>
          <w:szCs w:val="25"/>
          <w:lang w:val="en"/>
        </w:rPr>
        <w:t>§ 75.342 Monitoring and reporting program performance.</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(a)</w:t>
      </w:r>
      <w:r w:rsidRPr="00EE3597">
        <w:rPr>
          <w:rFonts w:ascii="Helvetica" w:eastAsia="Times New Roman" w:hAnsi="Helvetica" w:cs="Helvetica"/>
          <w:i/>
          <w:iCs/>
          <w:color w:val="333333"/>
          <w:sz w:val="21"/>
          <w:szCs w:val="21"/>
          <w:lang w:val="en"/>
        </w:rPr>
        <w:t>Monitoring by the non-Federal entity.</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is responsible for oversight of the operations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supported activities.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monitor its activities under </w:t>
      </w:r>
      <w:hyperlink w:history="1">
        <w:r w:rsidRPr="00EE3597">
          <w:rPr>
            <w:rFonts w:ascii="Helvetica" w:eastAsia="Times New Roman" w:hAnsi="Helvetica" w:cs="Helvetica"/>
            <w:color w:val="337AB7"/>
            <w:sz w:val="21"/>
            <w:szCs w:val="21"/>
            <w:u w:val="single"/>
            <w:lang w:val="en"/>
          </w:rPr>
          <w:t>Federal awards</w:t>
        </w:r>
      </w:hyperlink>
      <w:r w:rsidRPr="00EE3597">
        <w:rPr>
          <w:rFonts w:ascii="Helvetica" w:eastAsia="Times New Roman" w:hAnsi="Helvetica" w:cs="Helvetica"/>
          <w:color w:val="333333"/>
          <w:sz w:val="21"/>
          <w:szCs w:val="21"/>
          <w:lang w:val="en"/>
        </w:rPr>
        <w:t xml:space="preserve"> to assure compliance with applicable Federal requirements and performance expectations are being achieved. Monitoring by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cover each program, function or activity. See also </w:t>
      </w:r>
      <w:hyperlink r:id="rId9" w:history="1">
        <w:r w:rsidRPr="00EE3597">
          <w:rPr>
            <w:rFonts w:ascii="Helvetica" w:eastAsia="Times New Roman" w:hAnsi="Helvetica" w:cs="Helvetica"/>
            <w:color w:val="337AB7"/>
            <w:sz w:val="21"/>
            <w:szCs w:val="21"/>
            <w:u w:val="single"/>
            <w:lang w:val="en"/>
          </w:rPr>
          <w:t>§ 75.352</w:t>
        </w:r>
      </w:hyperlink>
      <w:r w:rsidRPr="00EE3597">
        <w:rPr>
          <w:rFonts w:ascii="Helvetica" w:eastAsia="Times New Roman" w:hAnsi="Helvetica" w:cs="Helvetica"/>
          <w:color w:val="333333"/>
          <w:sz w:val="21"/>
          <w:szCs w:val="21"/>
          <w:lang w:val="en"/>
        </w:rPr>
        <w:t xml:space="preserve">. </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(b)</w:t>
      </w:r>
      <w:r w:rsidRPr="00EE3597">
        <w:rPr>
          <w:rFonts w:ascii="Helvetica" w:eastAsia="Times New Roman" w:hAnsi="Helvetica" w:cs="Helvetica"/>
          <w:i/>
          <w:iCs/>
          <w:color w:val="333333"/>
          <w:sz w:val="21"/>
          <w:szCs w:val="21"/>
          <w:lang w:val="en"/>
        </w:rPr>
        <w:t>Non-construction performance reports.</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must use standard, OMB-approved data elements for collection of performance information (including performance progress reports, </w:t>
      </w:r>
      <w:hyperlink w:history="1">
        <w:r w:rsidRPr="00EE3597">
          <w:rPr>
            <w:rFonts w:ascii="Helvetica" w:eastAsia="Times New Roman" w:hAnsi="Helvetica" w:cs="Helvetica"/>
            <w:color w:val="337AB7"/>
            <w:sz w:val="21"/>
            <w:szCs w:val="21"/>
            <w:u w:val="single"/>
            <w:lang w:val="en"/>
          </w:rPr>
          <w:t>Research</w:t>
        </w:r>
      </w:hyperlink>
      <w:r w:rsidRPr="00EE3597">
        <w:rPr>
          <w:rFonts w:ascii="Helvetica" w:eastAsia="Times New Roman" w:hAnsi="Helvetica" w:cs="Helvetica"/>
          <w:color w:val="333333"/>
          <w:sz w:val="21"/>
          <w:szCs w:val="21"/>
          <w:lang w:val="en"/>
        </w:rPr>
        <w:t xml:space="preserve"> Performance Progress Report, or such future collections as may be approved by OMB and listed on the OMB Web site). </w:t>
      </w:r>
    </w:p>
    <w:p w:rsidR="00EE3597" w:rsidRPr="00EE3597" w:rsidRDefault="00EE3597" w:rsidP="00EE359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(1)</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submit performance reports at the interval required by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to best inform improvements in program outcomes and productivity. Intervals must be no less frequent than annually nor more frequent than quarterly except in unusual circumstances, for example where more frequent reporting is necessary for the effective monitoring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or could significantly affect program outcomes. Annual reports must be due 90 calendar days after the reporting period; quarterly or semiannual reports must be due 30 calendar days after the reporting period. Alternatively,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may require annual reports before the anniversary dates of multiple year Federal awards. The final performance report will be due 90 calendar days after the </w:t>
      </w:r>
      <w:hyperlink w:history="1">
        <w:r w:rsidRPr="00EE3597">
          <w:rPr>
            <w:rFonts w:ascii="Helvetica" w:eastAsia="Times New Roman" w:hAnsi="Helvetica" w:cs="Helvetica"/>
            <w:color w:val="337AB7"/>
            <w:sz w:val="21"/>
            <w:szCs w:val="21"/>
            <w:u w:val="single"/>
            <w:lang w:val="en"/>
          </w:rPr>
          <w:t>period of performance</w:t>
        </w:r>
      </w:hyperlink>
      <w:r w:rsidRPr="00EE3597">
        <w:rPr>
          <w:rFonts w:ascii="Helvetica" w:eastAsia="Times New Roman" w:hAnsi="Helvetica" w:cs="Helvetica"/>
          <w:color w:val="333333"/>
          <w:sz w:val="21"/>
          <w:szCs w:val="21"/>
          <w:lang w:val="en"/>
        </w:rPr>
        <w:t xml:space="preserve"> end date. If a justified request is submitted by a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extend the due date for any performance report. </w:t>
      </w:r>
    </w:p>
    <w:p w:rsidR="00EE3597" w:rsidRPr="00EE3597" w:rsidRDefault="00EE3597" w:rsidP="00EE359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(2)</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submit performance reports using OMB-approved government-wide standard information collections when providing performance information. As appropriate in accordance with the above-mentioned information collections, these reports will contain, for each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brief information on the following unless other collections are approved by OMB: </w:t>
      </w:r>
    </w:p>
    <w:p w:rsidR="00EE3597" w:rsidRPr="00EE3597" w:rsidRDefault="00EE3597" w:rsidP="00EE359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w:t>
      </w:r>
      <w:r w:rsidRPr="00EE3597">
        <w:rPr>
          <w:rFonts w:ascii="Helvetica" w:eastAsia="Times New Roman" w:hAnsi="Helvetica" w:cs="Helvetica"/>
          <w:color w:val="333333"/>
          <w:sz w:val="21"/>
          <w:szCs w:val="21"/>
          <w:lang w:val="en"/>
        </w:rPr>
        <w:t xml:space="preserve"> A comparison of actual accomplishments to the objectives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established for the period. Where the accomplishments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can be quantified, a computation of the cost (for example, related to units of accomplishment) may be required if that information will be useful. Where performance trend data and analysis would be informative to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program,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should include this as a performance reporting requirement. </w:t>
      </w:r>
    </w:p>
    <w:p w:rsidR="00EE3597" w:rsidRPr="00EE3597" w:rsidRDefault="00EE3597" w:rsidP="00EE359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(ii)</w:t>
      </w:r>
      <w:r w:rsidRPr="00EE3597">
        <w:rPr>
          <w:rFonts w:ascii="Helvetica" w:eastAsia="Times New Roman" w:hAnsi="Helvetica" w:cs="Helvetica"/>
          <w:color w:val="333333"/>
          <w:sz w:val="21"/>
          <w:szCs w:val="21"/>
          <w:lang w:val="en"/>
        </w:rPr>
        <w:t xml:space="preserve"> The reasons why established goals were not met, if appropriate. </w:t>
      </w:r>
    </w:p>
    <w:p w:rsidR="00EE3597" w:rsidRPr="00EE3597" w:rsidRDefault="00EE3597" w:rsidP="00EE3597">
      <w:pPr>
        <w:spacing w:after="150" w:line="240" w:lineRule="auto"/>
        <w:ind w:left="25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(iii)</w:t>
      </w:r>
      <w:r w:rsidRPr="00EE3597">
        <w:rPr>
          <w:rFonts w:ascii="Helvetica" w:eastAsia="Times New Roman" w:hAnsi="Helvetica" w:cs="Helvetica"/>
          <w:color w:val="333333"/>
          <w:sz w:val="21"/>
          <w:szCs w:val="21"/>
          <w:lang w:val="en"/>
        </w:rPr>
        <w:t xml:space="preserve"> Additional pertinent information including, when appropriate, analysis and explanation of cost overruns or high unit costs. </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(c)</w:t>
      </w:r>
      <w:r w:rsidRPr="00EE3597">
        <w:rPr>
          <w:rFonts w:ascii="Helvetica" w:eastAsia="Times New Roman" w:hAnsi="Helvetica" w:cs="Helvetica"/>
          <w:i/>
          <w:iCs/>
          <w:color w:val="333333"/>
          <w:sz w:val="21"/>
          <w:szCs w:val="21"/>
          <w:lang w:val="en"/>
        </w:rPr>
        <w:t>Construction performance reports.</w:t>
      </w:r>
      <w:r w:rsidRPr="00EE3597">
        <w:rPr>
          <w:rFonts w:ascii="Helvetica" w:eastAsia="Times New Roman" w:hAnsi="Helvetica" w:cs="Helvetica"/>
          <w:color w:val="333333"/>
          <w:sz w:val="21"/>
          <w:szCs w:val="21"/>
          <w:lang w:val="en"/>
        </w:rPr>
        <w:t xml:space="preserve"> For the most part, onsite technical inspections and certified percentage of completion data are relied on heavily by HHS awarding agencies and pass-through entities to </w:t>
      </w:r>
      <w:r w:rsidRPr="00EE3597">
        <w:rPr>
          <w:rFonts w:ascii="Helvetica" w:eastAsia="Times New Roman" w:hAnsi="Helvetica" w:cs="Helvetica"/>
          <w:color w:val="333333"/>
          <w:sz w:val="21"/>
          <w:szCs w:val="21"/>
          <w:lang w:val="en"/>
        </w:rPr>
        <w:lastRenderedPageBreak/>
        <w:t xml:space="preserve">monitor progress under </w:t>
      </w:r>
      <w:hyperlink w:history="1">
        <w:r w:rsidRPr="00EE3597">
          <w:rPr>
            <w:rFonts w:ascii="Helvetica" w:eastAsia="Times New Roman" w:hAnsi="Helvetica" w:cs="Helvetica"/>
            <w:color w:val="337AB7"/>
            <w:sz w:val="21"/>
            <w:szCs w:val="21"/>
            <w:u w:val="single"/>
            <w:lang w:val="en"/>
          </w:rPr>
          <w:t>Federal awards</w:t>
        </w:r>
      </w:hyperlink>
      <w:r w:rsidRPr="00EE3597">
        <w:rPr>
          <w:rFonts w:ascii="Helvetica" w:eastAsia="Times New Roman" w:hAnsi="Helvetica" w:cs="Helvetica"/>
          <w:color w:val="333333"/>
          <w:sz w:val="21"/>
          <w:szCs w:val="21"/>
          <w:lang w:val="en"/>
        </w:rPr>
        <w:t xml:space="preserve"> and </w:t>
      </w:r>
      <w:hyperlink w:history="1">
        <w:r w:rsidRPr="00EE3597">
          <w:rPr>
            <w:rFonts w:ascii="Helvetica" w:eastAsia="Times New Roman" w:hAnsi="Helvetica" w:cs="Helvetica"/>
            <w:color w:val="337AB7"/>
            <w:sz w:val="21"/>
            <w:szCs w:val="21"/>
            <w:u w:val="single"/>
            <w:lang w:val="en"/>
          </w:rPr>
          <w:t>subawards</w:t>
        </w:r>
      </w:hyperlink>
      <w:r w:rsidRPr="00EE3597">
        <w:rPr>
          <w:rFonts w:ascii="Helvetica" w:eastAsia="Times New Roman" w:hAnsi="Helvetica" w:cs="Helvetica"/>
          <w:color w:val="333333"/>
          <w:sz w:val="21"/>
          <w:szCs w:val="21"/>
          <w:lang w:val="en"/>
        </w:rPr>
        <w:t xml:space="preserve"> for construction.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require additional performance reports only when considered necessary. </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(d)</w:t>
      </w:r>
      <w:r w:rsidRPr="00EE3597">
        <w:rPr>
          <w:rFonts w:ascii="Helvetica" w:eastAsia="Times New Roman" w:hAnsi="Helvetica" w:cs="Helvetica"/>
          <w:i/>
          <w:iCs/>
          <w:color w:val="333333"/>
          <w:sz w:val="21"/>
          <w:szCs w:val="21"/>
          <w:lang w:val="en"/>
        </w:rPr>
        <w:t>Significant developments.</w:t>
      </w:r>
      <w:r w:rsidRPr="00EE3597">
        <w:rPr>
          <w:rFonts w:ascii="Helvetica" w:eastAsia="Times New Roman" w:hAnsi="Helvetica" w:cs="Helvetica"/>
          <w:color w:val="333333"/>
          <w:sz w:val="21"/>
          <w:szCs w:val="21"/>
          <w:lang w:val="en"/>
        </w:rPr>
        <w:t xml:space="preserve"> Events may occur between the scheduled performance reporting dates that have significant impact upon the supported activity. In such cases,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inform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as soon as the following types of conditions become known: </w:t>
      </w:r>
    </w:p>
    <w:p w:rsidR="00EE3597" w:rsidRPr="00EE3597" w:rsidRDefault="00EE3597" w:rsidP="00EE359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(1)</w:t>
      </w:r>
      <w:r w:rsidRPr="00EE3597">
        <w:rPr>
          <w:rFonts w:ascii="Helvetica" w:eastAsia="Times New Roman" w:hAnsi="Helvetica" w:cs="Helvetica"/>
          <w:color w:val="333333"/>
          <w:sz w:val="21"/>
          <w:szCs w:val="21"/>
          <w:lang w:val="en"/>
        </w:rPr>
        <w:t xml:space="preserve"> Problems, delays, or adverse conditions which will materially impair the ability to meet the objective of the </w:t>
      </w:r>
      <w:hyperlink w:history="1">
        <w:r w:rsidRPr="00EE3597">
          <w:rPr>
            <w:rFonts w:ascii="Helvetica" w:eastAsia="Times New Roman" w:hAnsi="Helvetica" w:cs="Helvetica"/>
            <w:color w:val="337AB7"/>
            <w:sz w:val="21"/>
            <w:szCs w:val="21"/>
            <w:u w:val="single"/>
            <w:lang w:val="en"/>
          </w:rPr>
          <w:t>Federal award</w:t>
        </w:r>
      </w:hyperlink>
      <w:r w:rsidRPr="00EE3597">
        <w:rPr>
          <w:rFonts w:ascii="Helvetica" w:eastAsia="Times New Roman" w:hAnsi="Helvetica" w:cs="Helvetica"/>
          <w:color w:val="333333"/>
          <w:sz w:val="21"/>
          <w:szCs w:val="21"/>
          <w:lang w:val="en"/>
        </w:rPr>
        <w:t xml:space="preserve">. This disclosure must include a statement of the action taken, or contemplated, and any assistance needed to resolve the situation. </w:t>
      </w:r>
    </w:p>
    <w:p w:rsidR="00EE3597" w:rsidRPr="00EE3597" w:rsidRDefault="00EE3597" w:rsidP="00EE3597">
      <w:pPr>
        <w:spacing w:after="150" w:line="240" w:lineRule="auto"/>
        <w:ind w:left="15"/>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(2)</w:t>
      </w:r>
      <w:r w:rsidRPr="00EE3597">
        <w:rPr>
          <w:rFonts w:ascii="Helvetica" w:eastAsia="Times New Roman" w:hAnsi="Helvetica" w:cs="Helvetica"/>
          <w:color w:val="333333"/>
          <w:sz w:val="21"/>
          <w:szCs w:val="21"/>
          <w:lang w:val="en"/>
        </w:rPr>
        <w:t xml:space="preserve"> Favorable developments which enable meeting time schedules and objectives sooner or at less cost than anticipated or producing more or different beneficial results than originally planned. </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(e)</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make site visits as warranted by program needs. </w:t>
      </w:r>
    </w:p>
    <w:p w:rsidR="00EE3597" w:rsidRPr="00EE3597" w:rsidRDefault="00EE3597" w:rsidP="00EE359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(f)</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waive any performance report required by this part if not needed. </w:t>
      </w:r>
    </w:p>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7C19"/>
    <w:multiLevelType w:val="multilevel"/>
    <w:tmpl w:val="317E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597"/>
    <w:rsid w:val="005E665C"/>
    <w:rsid w:val="00685479"/>
    <w:rsid w:val="00D26908"/>
    <w:rsid w:val="00EE359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E3597"/>
    <w:pPr>
      <w:spacing w:before="300" w:after="150" w:line="240" w:lineRule="auto"/>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597"/>
    <w:rPr>
      <w:rFonts w:ascii="inherit" w:eastAsia="Times New Roman" w:hAnsi="inherit" w:cs="Times New Roman"/>
      <w:kern w:val="36"/>
      <w:sz w:val="54"/>
      <w:szCs w:val="54"/>
    </w:rPr>
  </w:style>
  <w:style w:type="paragraph" w:customStyle="1" w:styleId="psection-1">
    <w:name w:val="psection-1"/>
    <w:basedOn w:val="Normal"/>
    <w:rsid w:val="00EE3597"/>
    <w:pPr>
      <w:spacing w:before="150" w:after="150" w:line="240" w:lineRule="auto"/>
    </w:pPr>
    <w:rPr>
      <w:rFonts w:ascii="Times New Roman" w:eastAsia="Times New Roman" w:hAnsi="Times New Roman" w:cs="Times New Roman"/>
      <w:sz w:val="24"/>
      <w:szCs w:val="24"/>
    </w:rPr>
  </w:style>
  <w:style w:type="paragraph" w:customStyle="1" w:styleId="psection-2">
    <w:name w:val="psection-2"/>
    <w:basedOn w:val="Normal"/>
    <w:rsid w:val="00EE3597"/>
    <w:pPr>
      <w:spacing w:after="150" w:line="240" w:lineRule="auto"/>
      <w:ind w:left="240"/>
    </w:pPr>
    <w:rPr>
      <w:rFonts w:ascii="Times New Roman" w:eastAsia="Times New Roman" w:hAnsi="Times New Roman" w:cs="Times New Roman"/>
      <w:sz w:val="24"/>
      <w:szCs w:val="24"/>
    </w:rPr>
  </w:style>
  <w:style w:type="paragraph" w:customStyle="1" w:styleId="psection-3">
    <w:name w:val="psection-3"/>
    <w:basedOn w:val="Normal"/>
    <w:rsid w:val="00EE3597"/>
    <w:pPr>
      <w:spacing w:after="150" w:line="240" w:lineRule="auto"/>
      <w:ind w:left="480"/>
    </w:pPr>
    <w:rPr>
      <w:rFonts w:ascii="Times New Roman" w:eastAsia="Times New Roman" w:hAnsi="Times New Roman" w:cs="Times New Roman"/>
      <w:sz w:val="24"/>
      <w:szCs w:val="24"/>
    </w:rPr>
  </w:style>
  <w:style w:type="character" w:customStyle="1" w:styleId="enumxml1">
    <w:name w:val="enumxml1"/>
    <w:basedOn w:val="DefaultParagraphFont"/>
    <w:rsid w:val="00EE3597"/>
    <w:rPr>
      <w:b/>
      <w:bCs/>
    </w:rPr>
  </w:style>
  <w:style w:type="character" w:customStyle="1" w:styleId="et031">
    <w:name w:val="et031"/>
    <w:basedOn w:val="DefaultParagraphFont"/>
    <w:rsid w:val="00EE3597"/>
    <w:rPr>
      <w:i/>
      <w:iCs/>
    </w:rPr>
  </w:style>
  <w:style w:type="character" w:customStyle="1" w:styleId="enumxml2">
    <w:name w:val="enumxml2"/>
    <w:basedOn w:val="DefaultParagraphFont"/>
    <w:rsid w:val="00EE3597"/>
    <w:rPr>
      <w:b/>
      <w:bCs/>
    </w:rPr>
  </w:style>
  <w:style w:type="character" w:customStyle="1" w:styleId="enumxml3">
    <w:name w:val="enumxml3"/>
    <w:basedOn w:val="DefaultParagraphFont"/>
    <w:rsid w:val="00EE35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E3597"/>
    <w:pPr>
      <w:spacing w:before="300" w:after="150" w:line="240" w:lineRule="auto"/>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597"/>
    <w:rPr>
      <w:rFonts w:ascii="inherit" w:eastAsia="Times New Roman" w:hAnsi="inherit" w:cs="Times New Roman"/>
      <w:kern w:val="36"/>
      <w:sz w:val="54"/>
      <w:szCs w:val="54"/>
    </w:rPr>
  </w:style>
  <w:style w:type="paragraph" w:customStyle="1" w:styleId="psection-1">
    <w:name w:val="psection-1"/>
    <w:basedOn w:val="Normal"/>
    <w:rsid w:val="00EE3597"/>
    <w:pPr>
      <w:spacing w:before="150" w:after="150" w:line="240" w:lineRule="auto"/>
    </w:pPr>
    <w:rPr>
      <w:rFonts w:ascii="Times New Roman" w:eastAsia="Times New Roman" w:hAnsi="Times New Roman" w:cs="Times New Roman"/>
      <w:sz w:val="24"/>
      <w:szCs w:val="24"/>
    </w:rPr>
  </w:style>
  <w:style w:type="paragraph" w:customStyle="1" w:styleId="psection-2">
    <w:name w:val="psection-2"/>
    <w:basedOn w:val="Normal"/>
    <w:rsid w:val="00EE3597"/>
    <w:pPr>
      <w:spacing w:after="150" w:line="240" w:lineRule="auto"/>
      <w:ind w:left="240"/>
    </w:pPr>
    <w:rPr>
      <w:rFonts w:ascii="Times New Roman" w:eastAsia="Times New Roman" w:hAnsi="Times New Roman" w:cs="Times New Roman"/>
      <w:sz w:val="24"/>
      <w:szCs w:val="24"/>
    </w:rPr>
  </w:style>
  <w:style w:type="paragraph" w:customStyle="1" w:styleId="psection-3">
    <w:name w:val="psection-3"/>
    <w:basedOn w:val="Normal"/>
    <w:rsid w:val="00EE3597"/>
    <w:pPr>
      <w:spacing w:after="150" w:line="240" w:lineRule="auto"/>
      <w:ind w:left="480"/>
    </w:pPr>
    <w:rPr>
      <w:rFonts w:ascii="Times New Roman" w:eastAsia="Times New Roman" w:hAnsi="Times New Roman" w:cs="Times New Roman"/>
      <w:sz w:val="24"/>
      <w:szCs w:val="24"/>
    </w:rPr>
  </w:style>
  <w:style w:type="character" w:customStyle="1" w:styleId="enumxml1">
    <w:name w:val="enumxml1"/>
    <w:basedOn w:val="DefaultParagraphFont"/>
    <w:rsid w:val="00EE3597"/>
    <w:rPr>
      <w:b/>
      <w:bCs/>
    </w:rPr>
  </w:style>
  <w:style w:type="character" w:customStyle="1" w:styleId="et031">
    <w:name w:val="et031"/>
    <w:basedOn w:val="DefaultParagraphFont"/>
    <w:rsid w:val="00EE3597"/>
    <w:rPr>
      <w:i/>
      <w:iCs/>
    </w:rPr>
  </w:style>
  <w:style w:type="character" w:customStyle="1" w:styleId="enumxml2">
    <w:name w:val="enumxml2"/>
    <w:basedOn w:val="DefaultParagraphFont"/>
    <w:rsid w:val="00EE3597"/>
    <w:rPr>
      <w:b/>
      <w:bCs/>
    </w:rPr>
  </w:style>
  <w:style w:type="character" w:customStyle="1" w:styleId="enumxml3">
    <w:name w:val="enumxml3"/>
    <w:basedOn w:val="DefaultParagraphFont"/>
    <w:rsid w:val="00EE3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98038">
      <w:bodyDiv w:val="1"/>
      <w:marLeft w:val="0"/>
      <w:marRight w:val="0"/>
      <w:marTop w:val="0"/>
      <w:marBottom w:val="0"/>
      <w:divBdr>
        <w:top w:val="none" w:sz="0" w:space="0" w:color="auto"/>
        <w:left w:val="none" w:sz="0" w:space="0" w:color="auto"/>
        <w:bottom w:val="none" w:sz="0" w:space="0" w:color="auto"/>
        <w:right w:val="none" w:sz="0" w:space="0" w:color="auto"/>
      </w:divBdr>
      <w:divsChild>
        <w:div w:id="2115513112">
          <w:marLeft w:val="0"/>
          <w:marRight w:val="0"/>
          <w:marTop w:val="2460"/>
          <w:marBottom w:val="0"/>
          <w:divBdr>
            <w:top w:val="none" w:sz="0" w:space="0" w:color="auto"/>
            <w:left w:val="none" w:sz="0" w:space="0" w:color="auto"/>
            <w:bottom w:val="none" w:sz="0" w:space="0" w:color="auto"/>
            <w:right w:val="none" w:sz="0" w:space="0" w:color="auto"/>
          </w:divBdr>
          <w:divsChild>
            <w:div w:id="529610379">
              <w:marLeft w:val="0"/>
              <w:marRight w:val="0"/>
              <w:marTop w:val="0"/>
              <w:marBottom w:val="0"/>
              <w:divBdr>
                <w:top w:val="none" w:sz="0" w:space="0" w:color="auto"/>
                <w:left w:val="none" w:sz="0" w:space="0" w:color="auto"/>
                <w:bottom w:val="none" w:sz="0" w:space="0" w:color="auto"/>
                <w:right w:val="none" w:sz="0" w:space="0" w:color="auto"/>
              </w:divBdr>
              <w:divsChild>
                <w:div w:id="1596160806">
                  <w:marLeft w:val="0"/>
                  <w:marRight w:val="0"/>
                  <w:marTop w:val="0"/>
                  <w:marBottom w:val="0"/>
                  <w:divBdr>
                    <w:top w:val="none" w:sz="0" w:space="0" w:color="auto"/>
                    <w:left w:val="none" w:sz="0" w:space="0" w:color="auto"/>
                    <w:bottom w:val="none" w:sz="0" w:space="0" w:color="auto"/>
                    <w:right w:val="none" w:sz="0" w:space="0" w:color="auto"/>
                  </w:divBdr>
                  <w:divsChild>
                    <w:div w:id="24911630">
                      <w:marLeft w:val="0"/>
                      <w:marRight w:val="0"/>
                      <w:marTop w:val="0"/>
                      <w:marBottom w:val="0"/>
                      <w:divBdr>
                        <w:top w:val="none" w:sz="0" w:space="0" w:color="auto"/>
                        <w:left w:val="none" w:sz="0" w:space="0" w:color="auto"/>
                        <w:bottom w:val="none" w:sz="0" w:space="0" w:color="auto"/>
                        <w:right w:val="none" w:sz="0" w:space="0" w:color="auto"/>
                      </w:divBdr>
                      <w:divsChild>
                        <w:div w:id="176848268">
                          <w:marLeft w:val="-225"/>
                          <w:marRight w:val="-225"/>
                          <w:marTop w:val="0"/>
                          <w:marBottom w:val="0"/>
                          <w:divBdr>
                            <w:top w:val="none" w:sz="0" w:space="0" w:color="auto"/>
                            <w:left w:val="none" w:sz="0" w:space="0" w:color="auto"/>
                            <w:bottom w:val="none" w:sz="0" w:space="0" w:color="auto"/>
                            <w:right w:val="none" w:sz="0" w:space="0" w:color="auto"/>
                          </w:divBdr>
                          <w:divsChild>
                            <w:div w:id="1698308579">
                              <w:marLeft w:val="0"/>
                              <w:marRight w:val="0"/>
                              <w:marTop w:val="0"/>
                              <w:marBottom w:val="0"/>
                              <w:divBdr>
                                <w:top w:val="single" w:sz="6" w:space="8" w:color="EEEEEE"/>
                                <w:left w:val="single" w:sz="6" w:space="8" w:color="EEEEEE"/>
                                <w:bottom w:val="single" w:sz="6" w:space="8" w:color="EEEEEE"/>
                                <w:right w:val="single" w:sz="6" w:space="8" w:color="EEEEEE"/>
                              </w:divBdr>
                              <w:divsChild>
                                <w:div w:id="429200184">
                                  <w:marLeft w:val="0"/>
                                  <w:marRight w:val="0"/>
                                  <w:marTop w:val="0"/>
                                  <w:marBottom w:val="0"/>
                                  <w:divBdr>
                                    <w:top w:val="none" w:sz="0" w:space="0" w:color="auto"/>
                                    <w:left w:val="none" w:sz="0" w:space="0" w:color="auto"/>
                                    <w:bottom w:val="none" w:sz="0" w:space="0" w:color="auto"/>
                                    <w:right w:val="none" w:sz="0" w:space="0" w:color="auto"/>
                                  </w:divBdr>
                                  <w:divsChild>
                                    <w:div w:id="1905137700">
                                      <w:marLeft w:val="0"/>
                                      <w:marRight w:val="0"/>
                                      <w:marTop w:val="0"/>
                                      <w:marBottom w:val="0"/>
                                      <w:divBdr>
                                        <w:top w:val="none" w:sz="0" w:space="0" w:color="auto"/>
                                        <w:left w:val="none" w:sz="0" w:space="0" w:color="auto"/>
                                        <w:bottom w:val="none" w:sz="0" w:space="0" w:color="auto"/>
                                        <w:right w:val="none" w:sz="0" w:space="0" w:color="auto"/>
                                      </w:divBdr>
                                      <w:divsChild>
                                        <w:div w:id="616567412">
                                          <w:marLeft w:val="0"/>
                                          <w:marRight w:val="0"/>
                                          <w:marTop w:val="0"/>
                                          <w:marBottom w:val="0"/>
                                          <w:divBdr>
                                            <w:top w:val="none" w:sz="0" w:space="0" w:color="auto"/>
                                            <w:left w:val="none" w:sz="0" w:space="0" w:color="auto"/>
                                            <w:bottom w:val="none" w:sz="0" w:space="0" w:color="auto"/>
                                            <w:right w:val="none" w:sz="0" w:space="0" w:color="auto"/>
                                          </w:divBdr>
                                          <w:divsChild>
                                            <w:div w:id="908688907">
                                              <w:marLeft w:val="0"/>
                                              <w:marRight w:val="0"/>
                                              <w:marTop w:val="0"/>
                                              <w:marBottom w:val="0"/>
                                              <w:divBdr>
                                                <w:top w:val="none" w:sz="0" w:space="0" w:color="auto"/>
                                                <w:left w:val="none" w:sz="0" w:space="0" w:color="auto"/>
                                                <w:bottom w:val="none" w:sz="0" w:space="0" w:color="auto"/>
                                                <w:right w:val="none" w:sz="0" w:space="0" w:color="auto"/>
                                              </w:divBdr>
                                              <w:divsChild>
                                                <w:div w:id="7909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45/75.343" TargetMode="External"/><Relationship Id="rId3" Type="http://schemas.microsoft.com/office/2007/relationships/stylesWithEffects" Target="stylesWithEffects.xml"/><Relationship Id="rId7" Type="http://schemas.openxmlformats.org/officeDocument/2006/relationships/hyperlink" Target="https://www.law.cornell.edu/cfr/text/45/75.3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cornell.edu/cfr/text/45/75.34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w.cornell.edu/cfr/text/45/75.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Stan (CDC/OD/OADPS)</dc:creator>
  <cp:keywords/>
  <dc:description/>
  <cp:lastModifiedBy>SYSTEM</cp:lastModifiedBy>
  <cp:revision>2</cp:revision>
  <dcterms:created xsi:type="dcterms:W3CDTF">2019-07-25T15:27:00Z</dcterms:created>
  <dcterms:modified xsi:type="dcterms:W3CDTF">2019-07-25T15:27:00Z</dcterms:modified>
</cp:coreProperties>
</file>