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63" w:rsidRPr="00354669" w:rsidRDefault="004A3E63" w:rsidP="004A3E63">
      <w:pPr>
        <w:spacing w:before="2640" w:after="240"/>
        <w:jc w:val="center"/>
        <w:outlineLvl w:val="0"/>
        <w:rPr>
          <w:rFonts w:ascii="Arial Black" w:hAnsi="Arial Black"/>
          <w:caps/>
        </w:rPr>
      </w:pPr>
      <w:bookmarkStart w:id="0" w:name="_GoBack"/>
      <w:bookmarkEnd w:id="0"/>
      <w:r w:rsidRPr="00354669">
        <w:rPr>
          <w:rFonts w:ascii="Arial Black" w:hAnsi="Arial Black"/>
          <w:caps/>
        </w:rPr>
        <w:t>A</w:t>
      </w:r>
      <w:bookmarkStart w:id="1" w:name="AppLetter"/>
      <w:bookmarkEnd w:id="1"/>
      <w:r>
        <w:rPr>
          <w:rFonts w:ascii="Arial Black" w:hAnsi="Arial Black"/>
          <w:caps/>
        </w:rPr>
        <w:t>TTACHMENT 1</w:t>
      </w:r>
    </w:p>
    <w:p w:rsidR="004A3E63" w:rsidRPr="00354669" w:rsidRDefault="004A3E63" w:rsidP="004A3E63">
      <w:pPr>
        <w:spacing w:line="480" w:lineRule="auto"/>
        <w:ind w:firstLine="432"/>
      </w:pPr>
    </w:p>
    <w:p w:rsidR="004A3E63" w:rsidRDefault="004A3E63" w:rsidP="004A3E63">
      <w:pPr>
        <w:spacing w:line="48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LEGISLATIVE AUTHORITY</w:t>
      </w:r>
    </w:p>
    <w:p w:rsidR="00A44EC8" w:rsidRDefault="00A44EC8">
      <w:pPr>
        <w:spacing w:line="240" w:lineRule="auto"/>
        <w:rPr>
          <w:rFonts w:ascii="Arial Black" w:hAnsi="Arial Black" w:cs="Arial"/>
          <w:b/>
        </w:rPr>
        <w:sectPr w:rsidR="00A44EC8" w:rsidSect="00A44E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576" w:gutter="0"/>
          <w:pgNumType w:start="1"/>
          <w:cols w:space="720"/>
          <w:titlePg/>
          <w:docGrid w:linePitch="326"/>
        </w:sectPr>
      </w:pPr>
    </w:p>
    <w:p w:rsidR="004A3E63" w:rsidRDefault="004A3E63">
      <w:pPr>
        <w:spacing w:line="240" w:lineRule="auto"/>
        <w:rPr>
          <w:rFonts w:ascii="NewCenturySchlbk-Roman" w:hAnsi="NewCenturySchlbk-Roman" w:cs="NewCenturySchlbk-Roman"/>
          <w:sz w:val="20"/>
        </w:rPr>
      </w:pPr>
    </w:p>
    <w:p w:rsidR="0039187E" w:rsidRDefault="0039187E" w:rsidP="0039187E">
      <w:pPr>
        <w:autoSpaceDE w:val="0"/>
        <w:autoSpaceDN w:val="0"/>
        <w:adjustRightInd w:val="0"/>
        <w:spacing w:line="240" w:lineRule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TITLE III—GENERAL POWERS AND DUTIES OF PUBLIC</w:t>
      </w:r>
    </w:p>
    <w:p w:rsidR="0039187E" w:rsidRDefault="0039187E" w:rsidP="0039187E">
      <w:pPr>
        <w:autoSpaceDE w:val="0"/>
        <w:autoSpaceDN w:val="0"/>
        <w:adjustRightInd w:val="0"/>
        <w:spacing w:line="240" w:lineRule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HEALTH SERVICE</w:t>
      </w:r>
    </w:p>
    <w:p w:rsidR="0039187E" w:rsidRDefault="0039187E" w:rsidP="0039187E">
      <w:pPr>
        <w:autoSpaceDE w:val="0"/>
        <w:autoSpaceDN w:val="0"/>
        <w:adjustRightInd w:val="0"/>
        <w:spacing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ART </w:t>
      </w:r>
      <w:r>
        <w:rPr>
          <w:rFonts w:ascii="NewCenturySchlbk-Roman" w:hAnsi="NewCenturySchlbk-Roman" w:cs="NewCenturySchlbk-Roman"/>
          <w:sz w:val="20"/>
        </w:rPr>
        <w:t>A—R</w:t>
      </w:r>
      <w:r>
        <w:rPr>
          <w:rFonts w:ascii="NewCenturySchlbk-Roman" w:hAnsi="NewCenturySchlbk-Roman" w:cs="NewCenturySchlbk-Roman"/>
          <w:sz w:val="15"/>
          <w:szCs w:val="15"/>
        </w:rPr>
        <w:t xml:space="preserve">ESEARCH AND </w:t>
      </w:r>
      <w:r>
        <w:rPr>
          <w:rFonts w:ascii="NewCenturySchlbk-Roman" w:hAnsi="NewCenturySchlbk-Roman" w:cs="NewCenturySchlbk-Roman"/>
          <w:sz w:val="20"/>
        </w:rPr>
        <w:t>I</w:t>
      </w:r>
      <w:r>
        <w:rPr>
          <w:rFonts w:ascii="NewCenturySchlbk-Roman" w:hAnsi="NewCenturySchlbk-Roman" w:cs="NewCenturySchlbk-Roman"/>
          <w:sz w:val="15"/>
          <w:szCs w:val="15"/>
        </w:rPr>
        <w:t>NVESTIGATION</w:t>
      </w:r>
    </w:p>
    <w:p w:rsidR="0039187E" w:rsidRDefault="0039187E" w:rsidP="0039187E">
      <w:pPr>
        <w:autoSpaceDE w:val="0"/>
        <w:autoSpaceDN w:val="0"/>
        <w:adjustRightInd w:val="0"/>
        <w:spacing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IN GENERAL</w:t>
      </w:r>
    </w:p>
    <w:p w:rsidR="0039187E" w:rsidRDefault="0039187E" w:rsidP="0039187E">
      <w:pPr>
        <w:autoSpaceDE w:val="0"/>
        <w:autoSpaceDN w:val="0"/>
        <w:adjustRightInd w:val="0"/>
        <w:spacing w:line="240" w:lineRule="auto"/>
        <w:rPr>
          <w:rFonts w:ascii="NewCenturySchlbk-Roman" w:hAnsi="NewCenturySchlbk-Roman" w:cs="NewCenturySchlbk-Roman"/>
          <w:sz w:val="15"/>
          <w:szCs w:val="15"/>
        </w:rPr>
      </w:pPr>
    </w:p>
    <w:p w:rsidR="00B35EEC" w:rsidRDefault="00B35EEC" w:rsidP="00B35EEC">
      <w:pPr>
        <w:autoSpaceDE w:val="0"/>
        <w:autoSpaceDN w:val="0"/>
        <w:adjustRightInd w:val="0"/>
        <w:spacing w:line="240" w:lineRule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EC</w:t>
      </w:r>
      <w:r>
        <w:rPr>
          <w:rFonts w:ascii="NewCenturySchlbk-Roman" w:hAnsi="NewCenturySchlbk-Roman" w:cs="NewCenturySchlbk-Roman"/>
          <w:sz w:val="20"/>
        </w:rPr>
        <w:t xml:space="preserve">. 301. </w:t>
      </w:r>
      <w:r w:rsidR="0039187E">
        <w:rPr>
          <w:rFonts w:ascii="BGsddV01" w:eastAsia="BGsddV01" w:hAnsi="NewCenturySchlbk-Roman" w:cs="BGsddV01"/>
          <w:sz w:val="20"/>
        </w:rPr>
        <w:t>[</w:t>
      </w:r>
      <w:r>
        <w:rPr>
          <w:rFonts w:ascii="NewCenturySchlbk-Roman" w:hAnsi="NewCenturySchlbk-Roman" w:cs="NewCenturySchlbk-Roman"/>
          <w:sz w:val="20"/>
        </w:rPr>
        <w:t>241</w:t>
      </w:r>
      <w:r w:rsidR="0039187E">
        <w:rPr>
          <w:rFonts w:ascii="NewCenturySchlbk-Roman" w:hAnsi="NewCenturySchlbk-Roman" w:cs="NewCenturySchlbk-Roman"/>
          <w:sz w:val="20"/>
        </w:rPr>
        <w:t>]</w:t>
      </w:r>
      <w:r>
        <w:rPr>
          <w:rFonts w:ascii="BGsddV01" w:eastAsia="BGsddV01" w:hAnsi="NewCenturySchlbk-Roman" w:cs="BGsddV01"/>
          <w:sz w:val="20"/>
        </w:rPr>
        <w:t xml:space="preserve">. </w:t>
      </w:r>
      <w:r>
        <w:rPr>
          <w:rFonts w:ascii="NewCenturySchlbk-Roman" w:hAnsi="NewCenturySchlbk-Roman" w:cs="NewCenturySchlbk-Roman"/>
          <w:sz w:val="20"/>
        </w:rPr>
        <w:t>(a) The Secretary shall conduct in the Service,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and encourage, cooperate with, and render assistance to other appropriate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public authorities, scientific institutions, and scientists in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the conduct of, and promote the coordination of, research, investigations,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experiments, demonstrations, and studies relating to the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causes, diagnosis, treatment, control, and prevention of physical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mental diseases and impairments of man, including water purification,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sewage treatment, and pollution of lakes and streams. In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carrying out the foregoing the Secretary is authorized to—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(1) collect and make available through publications and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other appropriate means, information as to, and the practical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application of, such research and other activities;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(2) make available research facilities of the Service to appropriate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public authorities, and to health officials and scientists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engaged in special study;</w:t>
      </w:r>
    </w:p>
    <w:p w:rsidR="00B35EEC" w:rsidRDefault="00B35EEC" w:rsidP="00B35EEC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16"/>
          <w:szCs w:val="16"/>
        </w:rPr>
      </w:pPr>
      <w:r>
        <w:rPr>
          <w:rFonts w:ascii="NewCenturySchlbk-Roman" w:hAnsi="NewCenturySchlbk-Roman" w:cs="NewCenturySchlbk-Roman"/>
          <w:sz w:val="20"/>
        </w:rPr>
        <w:t>(3) make grants-in-aid to universities, hospitals, laboratories,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other public or private institutions, and to individuals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for such research projects as are recommended by the advisory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council to the entity of the Department supporting such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projects and make, upon recommendation of the advisory council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to the appropriate entity of the Department, grants-in-aid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to public or nonprofit universities, hospitals, laboratories, and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other institutions for the general support of their research;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(4) secure from time to time and for such periods as he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deems advisable, the assistance and advice of experts, scholars,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consultants from the United States or abroad;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(5) for purposes of study, admit and treat at institutions,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hospitals, and stations of the Service, persons not otherwise eligible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for such treatment;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(6) make available, to health officials, scientists, and appropriate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public and other nonprofit institutions and organizations,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technical advice and assistance on the application of statistical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methods to experiments, studies, and surveys in health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medical fields;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(7) enter into contracts, including contracts for research in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accordance with and subject to the provisions of law applicable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to contracts entered into by the military departments under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title 10, United States Code, sections 2353 and 2354, except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that determination, approval, and certification required thereby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shall be by the Secretary of Health, Education, and Welfare;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(8) adopt, upon recommendations of the advisory councils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to the appropriate entities of the Department or, with respect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to mental health, the National Advisory Mental Health Council,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such additional means as the Secretary considers necessary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or appropriate to carry out the purposes of this section.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The Secretary may make available to individuals and entities, for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biomedical and behavioral research, substances and living organisms.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Such substances and organisms shall be made available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under such terms and conditions (including payment for them) as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the Secretary determines appropriate.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(b)(1) The Secretary shall conduct and may support through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grants and contracts studies and testing of substances for carcinogenicity,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teratogenicity, mutagenicity, and other harmful biological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effects. In carrying out this paragraph, the Secretary shall consult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with entities of the Federal Government, outside of the Department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of Health, Education, and Welfare, engaged in comparable activities.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The Secretary, upon request of such an entity and under appropriate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arrangements for the payment of expenses, may conduct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for such entity studies and testing of substances for carcinogenicity,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teratogenicity, mutagenicity, and other harmful biological effects.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(2)(A) The Secretary shall establish a comprehensive program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of research into the biological effects of low-level ionizing radiation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under which program the Secretary shall conduct such research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may support such research by others through grants and contracts.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(B) The Secretary shall conduct a comprehensive review of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Federal programs of research on the biological effects of ionizing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radiation.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(3) The Secretary shall conduct and may support through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grants and contracts research and studies on human nutrition,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with particular emphasis on the role of nutrition in the prevention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treatment of disease and on the maintenance and promotion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of health, and programs for the dissemination of information respecting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human nutrition to health professionals and the public. In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carrying out activities under this paragraph, the Secretary shall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provide for the coordination of such of these activities as are performed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by the different divisions within the Department of Health,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Education, and Welfare and shall consult with entities of the Federal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Government, outside of the Department of Health, Education,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Welfare, engaged in comparable activities. The Secretary, upon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request of such an entity and under appropriate arrangements for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the payment of expenses, may conduct and support such activities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for such entity.</w:t>
      </w:r>
      <w:r w:rsidR="00A44EC8">
        <w:rPr>
          <w:rFonts w:ascii="NewCenturySchlbk-Roman" w:hAnsi="NewCenturySchlbk-Roman" w:cs="NewCenturySchlbk-Roman"/>
          <w:sz w:val="20"/>
        </w:rPr>
        <w:t xml:space="preserve">  </w:t>
      </w:r>
      <w:r>
        <w:rPr>
          <w:rFonts w:ascii="NewCenturySchlbk-Roman" w:hAnsi="NewCenturySchlbk-Roman" w:cs="NewCenturySchlbk-Roman"/>
          <w:sz w:val="20"/>
        </w:rPr>
        <w:t>(4) The Secretary shall publish a biennial report which contains—(A) a list of all substances (i) which either are known to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be carcinogens or may reasonably be anticipated to be carcinogens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(ii) to which a significant number of persons residing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in the United States are exposed;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(B) information concerning the nature of such exposure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and the estimated number of persons exposed to such substances;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(C) a statement identifying (i) each substance contained in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NewCenturySchlbk-Roman" w:hAnsi="NewCenturySchlbk-Roman" w:cs="NewCenturySchlbk-Roman"/>
          <w:sz w:val="20"/>
        </w:rPr>
        <w:t>the list under subparagraph (A) for which no effluent, ambient,</w:t>
      </w:r>
      <w:r w:rsidR="00A44EC8">
        <w:rPr>
          <w:rFonts w:ascii="NewCenturySchlbk-Roman" w:hAnsi="NewCenturySchlbk-Roman" w:cs="NewCenturySchlbk-Roman"/>
          <w:sz w:val="20"/>
        </w:rPr>
        <w:t xml:space="preserve"> </w:t>
      </w:r>
      <w:hyperlink r:id="rId15" w:history="1">
        <w:r w:rsidR="00A44EC8" w:rsidRPr="002639BF">
          <w:rPr>
            <w:rStyle w:val="Hyperlink"/>
            <w:rFonts w:ascii="NewCenturySchlbk-Roman" w:hAnsi="NewCenturySchlbk-Roman" w:cs="NewCenturySchlbk-Roman"/>
            <w:sz w:val="20"/>
          </w:rPr>
          <w:t>\\143.231.149.13\DATA\COMP\PHSA\PHSA.003</w:t>
        </w:r>
      </w:hyperlink>
      <w:r w:rsidR="00A44EC8">
        <w:rPr>
          <w:rFonts w:ascii="NewCenturySchlbk-Roman" w:hAnsi="NewCenturySchlbk-Roman" w:cs="NewCenturySchlbk-Roman"/>
          <w:sz w:val="20"/>
        </w:rPr>
        <w:t xml:space="preserve"> </w:t>
      </w:r>
      <w:r>
        <w:rPr>
          <w:rFonts w:ascii="Helvetica" w:hAnsi="Helvetica" w:cs="Helvetica"/>
          <w:sz w:val="16"/>
          <w:szCs w:val="16"/>
        </w:rPr>
        <w:t>March 13, 2013</w:t>
      </w:r>
    </w:p>
    <w:sectPr w:rsidR="00B35EEC" w:rsidSect="00A44EC8">
      <w:footerReference w:type="first" r:id="rId16"/>
      <w:pgSz w:w="12240" w:h="15840" w:code="1"/>
      <w:pgMar w:top="1440" w:right="1440" w:bottom="1440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EC" w:rsidRDefault="00B35EEC">
      <w:pPr>
        <w:spacing w:line="240" w:lineRule="auto"/>
      </w:pPr>
      <w:r>
        <w:separator/>
      </w:r>
    </w:p>
  </w:endnote>
  <w:endnote w:type="continuationSeparator" w:id="0">
    <w:p w:rsidR="00B35EEC" w:rsidRDefault="00B35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5F" w:rsidRDefault="001C44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C8" w:rsidRDefault="00A44EC8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>A-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A44EC8" w:rsidRDefault="00A44E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C8" w:rsidRDefault="00A44EC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327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445F" w:rsidRDefault="001C445F">
        <w:pPr>
          <w:pStyle w:val="Footer"/>
          <w:jc w:val="center"/>
        </w:pPr>
        <w:r>
          <w:t>A-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445F" w:rsidRDefault="001C4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EC" w:rsidRDefault="00B35EEC">
      <w:pPr>
        <w:spacing w:line="240" w:lineRule="auto"/>
      </w:pPr>
      <w:r>
        <w:separator/>
      </w:r>
    </w:p>
  </w:footnote>
  <w:footnote w:type="continuationSeparator" w:id="0">
    <w:p w:rsidR="00B35EEC" w:rsidRDefault="00B35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5F" w:rsidRDefault="001C44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5F" w:rsidRDefault="001C44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5F" w:rsidRDefault="001C44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EC"/>
    <w:rsid w:val="000350E9"/>
    <w:rsid w:val="00036AF4"/>
    <w:rsid w:val="00043871"/>
    <w:rsid w:val="000447C2"/>
    <w:rsid w:val="00047085"/>
    <w:rsid w:val="00051FAB"/>
    <w:rsid w:val="000577BF"/>
    <w:rsid w:val="00057925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E07BE"/>
    <w:rsid w:val="000F4CFB"/>
    <w:rsid w:val="00101C84"/>
    <w:rsid w:val="00114C6E"/>
    <w:rsid w:val="00120A6B"/>
    <w:rsid w:val="00121A4A"/>
    <w:rsid w:val="00134EFB"/>
    <w:rsid w:val="00147D20"/>
    <w:rsid w:val="00152B01"/>
    <w:rsid w:val="00156208"/>
    <w:rsid w:val="001659AC"/>
    <w:rsid w:val="001768BA"/>
    <w:rsid w:val="00184A10"/>
    <w:rsid w:val="001A10A2"/>
    <w:rsid w:val="001B097C"/>
    <w:rsid w:val="001B6AA1"/>
    <w:rsid w:val="001C445F"/>
    <w:rsid w:val="001C69DD"/>
    <w:rsid w:val="001D0187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83C29"/>
    <w:rsid w:val="0039187E"/>
    <w:rsid w:val="00397B0B"/>
    <w:rsid w:val="003A33F2"/>
    <w:rsid w:val="003A4615"/>
    <w:rsid w:val="003A522C"/>
    <w:rsid w:val="003A6AB6"/>
    <w:rsid w:val="003C3199"/>
    <w:rsid w:val="004144E2"/>
    <w:rsid w:val="00414B36"/>
    <w:rsid w:val="004153AF"/>
    <w:rsid w:val="00417779"/>
    <w:rsid w:val="00421E98"/>
    <w:rsid w:val="004273F4"/>
    <w:rsid w:val="0047041E"/>
    <w:rsid w:val="004762B0"/>
    <w:rsid w:val="00481DB2"/>
    <w:rsid w:val="00493E51"/>
    <w:rsid w:val="004A3E63"/>
    <w:rsid w:val="004B3AEF"/>
    <w:rsid w:val="004D0D4C"/>
    <w:rsid w:val="004D3719"/>
    <w:rsid w:val="004E7AC1"/>
    <w:rsid w:val="00517BD9"/>
    <w:rsid w:val="005444F4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23A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775D"/>
    <w:rsid w:val="00795760"/>
    <w:rsid w:val="007A4BF5"/>
    <w:rsid w:val="007A76FF"/>
    <w:rsid w:val="007A7CB3"/>
    <w:rsid w:val="007C0946"/>
    <w:rsid w:val="007C2D80"/>
    <w:rsid w:val="00820C97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968D4"/>
    <w:rsid w:val="008B577C"/>
    <w:rsid w:val="008D45A5"/>
    <w:rsid w:val="00923737"/>
    <w:rsid w:val="00923C66"/>
    <w:rsid w:val="009355F7"/>
    <w:rsid w:val="00940319"/>
    <w:rsid w:val="00950A60"/>
    <w:rsid w:val="0095362B"/>
    <w:rsid w:val="0097142D"/>
    <w:rsid w:val="009871D3"/>
    <w:rsid w:val="00992616"/>
    <w:rsid w:val="00992641"/>
    <w:rsid w:val="009943A4"/>
    <w:rsid w:val="009D254B"/>
    <w:rsid w:val="00A15A6F"/>
    <w:rsid w:val="00A26E08"/>
    <w:rsid w:val="00A44935"/>
    <w:rsid w:val="00A44EC8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B06CAC"/>
    <w:rsid w:val="00B118D4"/>
    <w:rsid w:val="00B11E90"/>
    <w:rsid w:val="00B231D1"/>
    <w:rsid w:val="00B35EEC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4B4C"/>
    <w:rsid w:val="00C16990"/>
    <w:rsid w:val="00C23317"/>
    <w:rsid w:val="00C274BD"/>
    <w:rsid w:val="00C31396"/>
    <w:rsid w:val="00C41ADD"/>
    <w:rsid w:val="00C44186"/>
    <w:rsid w:val="00C50612"/>
    <w:rsid w:val="00C61ED2"/>
    <w:rsid w:val="00C81152"/>
    <w:rsid w:val="00C9296E"/>
    <w:rsid w:val="00C9473F"/>
    <w:rsid w:val="00CB6421"/>
    <w:rsid w:val="00CD70C0"/>
    <w:rsid w:val="00CE6820"/>
    <w:rsid w:val="00CF2F50"/>
    <w:rsid w:val="00D026CE"/>
    <w:rsid w:val="00D256B0"/>
    <w:rsid w:val="00D302BC"/>
    <w:rsid w:val="00D564BE"/>
    <w:rsid w:val="00D63563"/>
    <w:rsid w:val="00DB4B6E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C17B6"/>
    <w:rsid w:val="00EC5256"/>
    <w:rsid w:val="00ED3B35"/>
    <w:rsid w:val="00EE593E"/>
    <w:rsid w:val="00EF4608"/>
    <w:rsid w:val="00F10416"/>
    <w:rsid w:val="00F54A25"/>
    <w:rsid w:val="00F72113"/>
    <w:rsid w:val="00FB2FBC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A44EC8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A44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A44EC8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A44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file:///\\143.231.149.13\DATA\COMP\PHSA\PHSA.003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A097-D2BE-4EA7-961A-93A53762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Dingwall</dc:creator>
  <cp:keywords/>
  <dc:description/>
  <cp:lastModifiedBy>SYSTEM</cp:lastModifiedBy>
  <cp:revision>2</cp:revision>
  <cp:lastPrinted>2014-03-18T13:50:00Z</cp:lastPrinted>
  <dcterms:created xsi:type="dcterms:W3CDTF">2019-08-01T17:38:00Z</dcterms:created>
  <dcterms:modified xsi:type="dcterms:W3CDTF">2019-08-01T17:38:00Z</dcterms:modified>
</cp:coreProperties>
</file>