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808"/>
        <w:gridCol w:w="8280"/>
      </w:tblGrid>
      <w:tr w:rsidR="00EE7879">
        <w:trPr>
          <w:trHeight w:val="2691"/>
        </w:trPr>
        <w:tc>
          <w:tcPr>
            <w:tcW w:w="2808" w:type="dxa"/>
          </w:tcPr>
          <w:bookmarkStart w:id="0" w:name="_GoBack"/>
          <w:bookmarkEnd w:id="0"/>
          <w:p w:rsidR="00EE7879" w:rsidRDefault="001F5909">
            <w:pPr>
              <w:pStyle w:val="C2-CtrSglSp"/>
              <w:ind w:right="162"/>
              <w:jc w:val="left"/>
              <w:rPr>
                <w:b/>
                <w:sz w:val="52"/>
                <w:u w:val="single"/>
              </w:rPr>
            </w:pPr>
            <w:r>
              <w:object w:dxaOrig="3795" w:dyaOrig="3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27.5pt" o:ole="">
                  <v:imagedata r:id="rId8" o:title=""/>
                </v:shape>
                <o:OLEObject Type="Embed" ProgID="MSPhotoEd.3" ShapeID="_x0000_i1025" DrawAspect="Content" ObjectID="_1598271696" r:id="rId9"/>
              </w:object>
            </w:r>
            <w:r w:rsidR="00B705E3">
              <w:rPr>
                <w:noProof/>
              </w:rPr>
              <w:drawing>
                <wp:anchor distT="0" distB="0" distL="114300" distR="114300" simplePos="0" relativeHeight="251656704" behindDoc="0" locked="0" layoutInCell="0" allowOverlap="1" wp14:anchorId="397A63A4" wp14:editId="274D6984">
                  <wp:simplePos x="0" y="0"/>
                  <wp:positionH relativeFrom="column">
                    <wp:posOffset>2766060</wp:posOffset>
                  </wp:positionH>
                  <wp:positionV relativeFrom="paragraph">
                    <wp:posOffset>1337945</wp:posOffset>
                  </wp:positionV>
                  <wp:extent cx="4120515" cy="3257550"/>
                  <wp:effectExtent l="0" t="0" r="0" b="0"/>
                  <wp:wrapNone/>
                  <wp:docPr id="23" name="Object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c>
        <w:tc>
          <w:tcPr>
            <w:tcW w:w="8280" w:type="dxa"/>
          </w:tcPr>
          <w:p w:rsidR="00EE7879" w:rsidRDefault="00EE7879">
            <w:pPr>
              <w:pStyle w:val="C2-CtrSglSp"/>
              <w:ind w:left="-108"/>
              <w:jc w:val="right"/>
              <w:rPr>
                <w:b/>
                <w:sz w:val="52"/>
                <w:u w:val="single"/>
              </w:rPr>
            </w:pPr>
            <w:r>
              <w:rPr>
                <w:b/>
                <w:sz w:val="52"/>
                <w:u w:val="single"/>
              </w:rPr>
              <w:t>Medical Expenditure Panel Survey</w:t>
            </w:r>
          </w:p>
          <w:p w:rsidR="00EE7879" w:rsidRDefault="00EE7879">
            <w:pPr>
              <w:pStyle w:val="C2-CtrSglSp"/>
              <w:jc w:val="right"/>
              <w:rPr>
                <w:b/>
                <w:sz w:val="32"/>
                <w:u w:val="single"/>
              </w:rPr>
            </w:pPr>
          </w:p>
          <w:p w:rsidR="00EE7879" w:rsidRDefault="00EE7879">
            <w:pPr>
              <w:pStyle w:val="C2-CtrSglSp"/>
              <w:rPr>
                <w:i/>
                <w:sz w:val="36"/>
              </w:rPr>
            </w:pPr>
            <w:r>
              <w:rPr>
                <w:i/>
                <w:sz w:val="36"/>
              </w:rPr>
              <w:t>Income</w:t>
            </w:r>
          </w:p>
          <w:p w:rsidR="00EE7879" w:rsidRDefault="00EE7879">
            <w:pPr>
              <w:pStyle w:val="C2-CtrSglSp"/>
              <w:rPr>
                <w:i/>
                <w:sz w:val="36"/>
              </w:rPr>
            </w:pPr>
          </w:p>
          <w:p w:rsidR="00EE7879" w:rsidRDefault="00EE7879">
            <w:pPr>
              <w:pStyle w:val="C2-CtrSglSp"/>
              <w:ind w:left="1242"/>
              <w:rPr>
                <w:i/>
                <w:sz w:val="16"/>
              </w:rPr>
            </w:pPr>
          </w:p>
          <w:p w:rsidR="00EE7879" w:rsidRDefault="00EE7879">
            <w:pPr>
              <w:pStyle w:val="C2-CtrSglSp"/>
              <w:ind w:left="1602"/>
              <w:rPr>
                <w:b/>
                <w:sz w:val="32"/>
                <w:u w:val="single"/>
              </w:rPr>
            </w:pPr>
          </w:p>
        </w:tc>
      </w:tr>
    </w:tbl>
    <w:p w:rsidR="00EE7879" w:rsidRDefault="00EE7879">
      <w:pPr>
        <w:pStyle w:val="SL-FlLftSgl"/>
      </w:pPr>
    </w:p>
    <w:p w:rsidR="00EE7879" w:rsidRDefault="00EE7879">
      <w:pPr>
        <w:pStyle w:val="SL-FlLftSgl"/>
        <w:sectPr w:rsidR="00EE787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64" w:right="1152" w:bottom="1296" w:left="720" w:header="720" w:footer="576" w:gutter="0"/>
          <w:cols w:space="720"/>
        </w:sectPr>
      </w:pPr>
    </w:p>
    <w:p w:rsidR="00EE7879" w:rsidRDefault="00EE7879">
      <w:pPr>
        <w:pStyle w:val="SL-FlLftSgl"/>
      </w:pPr>
    </w:p>
    <w:p w:rsidR="00EE7879" w:rsidRDefault="00EE7879">
      <w:pPr>
        <w:pStyle w:val="SL-FlLftSgl"/>
      </w:pPr>
    </w:p>
    <w:p w:rsidR="00EE7879" w:rsidRDefault="00EE7879">
      <w:pPr>
        <w:pStyle w:val="SL-FlLftSgl"/>
        <w:ind w:right="522"/>
        <w:jc w:val="left"/>
      </w:pPr>
      <w:r>
        <w:t xml:space="preserve">The cost of health care is a growing concern for many Americans. More and more of families’ budgets are being consumed </w:t>
      </w:r>
      <w:r w:rsidR="00193822">
        <w:t>by health care expenses not covered by health insurance.</w:t>
      </w:r>
    </w:p>
    <w:p w:rsidR="00EE7879" w:rsidRDefault="00EE7879">
      <w:pPr>
        <w:pStyle w:val="SL-FlLftSgl"/>
      </w:pPr>
    </w:p>
    <w:p w:rsidR="00EE7879" w:rsidRDefault="00EE7879">
      <w:pPr>
        <w:pStyle w:val="SL-FlLftSgl"/>
        <w:ind w:right="522"/>
        <w:jc w:val="left"/>
      </w:pPr>
      <w:r>
        <w:t xml:space="preserve">What is more, it appears that not all people face equal financial health care burdens. People with low income tend to pay a much larger share of their income for </w:t>
      </w:r>
      <w:r w:rsidR="00B34938">
        <w:t>health</w:t>
      </w:r>
      <w:r>
        <w:t xml:space="preserve"> care than do people with high income (Graph 1), and older people tend to pay </w:t>
      </w:r>
      <w:r w:rsidR="00B34938">
        <w:t>a higher percentage of their income for medical care</w:t>
      </w:r>
      <w:r>
        <w:t xml:space="preserve"> than </w:t>
      </w:r>
      <w:r w:rsidR="00B34938">
        <w:t xml:space="preserve">do </w:t>
      </w:r>
      <w:r>
        <w:t>younger people (Graph 2).</w:t>
      </w:r>
    </w:p>
    <w:p w:rsidR="00EE7879" w:rsidRDefault="00EE7879">
      <w:pPr>
        <w:pStyle w:val="SL-FlLftSgl"/>
      </w:pPr>
    </w:p>
    <w:p w:rsidR="00EE7879" w:rsidRDefault="00EE7879">
      <w:pPr>
        <w:pStyle w:val="SL-FlLftSgl"/>
        <w:ind w:right="522"/>
        <w:jc w:val="left"/>
      </w:pPr>
      <w:r>
        <w:t>To help researchers and others working on these problems, it is important to learn the experience of people like you. The Medical Expenditure Panel Survey is designed to do just that. With the help of you and other households, we hope to see how much medical costs affect American households. To do so, we need to ask questions about your income.</w:t>
      </w:r>
    </w:p>
    <w:p w:rsidR="00EE7879" w:rsidRDefault="00EE7879">
      <w:pPr>
        <w:pStyle w:val="SL-FlLftSgl"/>
      </w:pPr>
    </w:p>
    <w:p w:rsidR="00EE7879" w:rsidRDefault="00EE7879">
      <w:pPr>
        <w:pStyle w:val="C2-CtrSglSp"/>
      </w:pPr>
      <w:r>
        <w:br w:type="column"/>
      </w:r>
    </w:p>
    <w:p w:rsidR="00EE7879" w:rsidRDefault="00615A15">
      <w:pPr>
        <w:pStyle w:val="SL-FlLftSgl"/>
      </w:pPr>
      <w:r>
        <w:rPr>
          <w:noProof/>
        </w:rPr>
        <mc:AlternateContent>
          <mc:Choice Requires="wps">
            <w:drawing>
              <wp:anchor distT="0" distB="0" distL="114300" distR="114300" simplePos="0" relativeHeight="251658752" behindDoc="0" locked="0" layoutInCell="0" allowOverlap="1" wp14:anchorId="5FD5A5BF" wp14:editId="22448474">
                <wp:simplePos x="0" y="0"/>
                <wp:positionH relativeFrom="column">
                  <wp:posOffset>742950</wp:posOffset>
                </wp:positionH>
                <wp:positionV relativeFrom="paragraph">
                  <wp:posOffset>6038850</wp:posOffset>
                </wp:positionV>
                <wp:extent cx="3055620" cy="373380"/>
                <wp:effectExtent l="0" t="0" r="1905" b="0"/>
                <wp:wrapTight wrapText="bothSides">
                  <wp:wrapPolygon edited="0">
                    <wp:start x="-224" y="0"/>
                    <wp:lineTo x="-224" y="21600"/>
                    <wp:lineTo x="21824" y="21600"/>
                    <wp:lineTo x="21824" y="0"/>
                    <wp:lineTo x="-224" y="0"/>
                  </wp:wrapPolygon>
                </wp:wrapTight>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879" w:rsidRDefault="00EE7879">
                            <w:pPr>
                              <w:pStyle w:val="BodyText"/>
                            </w:pPr>
                            <w:r>
                              <w:t>SOURCE: THE MEDICAL EXPENDITURE PANEL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8.5pt;margin-top:475.5pt;width:240.6pt;height:2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owvtgIAALo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" o:allowincell="f" filled="f" stroked="f">
                <v:textbox>
                  <w:txbxContent>
                    <w:p w:rsidR="00EE7879" w:rsidRDefault="00EE7879">
                      <w:pPr>
                        <w:pStyle w:val="BodyText"/>
                      </w:pPr>
                      <w:r>
                        <w:t>SOURCE: THE MEDICAL EXPENDITURE PANEL SURVEY</w:t>
                      </w:r>
                    </w:p>
                  </w:txbxContent>
                </v:textbox>
                <w10:wrap type="tight"/>
              </v:shape>
            </w:pict>
          </mc:Fallback>
        </mc:AlternateContent>
      </w:r>
      <w:r w:rsidR="00B705E3">
        <w:rPr>
          <w:noProof/>
        </w:rPr>
        <w:drawing>
          <wp:anchor distT="0" distB="0" distL="114300" distR="114300" simplePos="0" relativeHeight="251657728" behindDoc="0" locked="0" layoutInCell="0" allowOverlap="1" wp14:anchorId="399A177B" wp14:editId="67838C25">
            <wp:simplePos x="0" y="0"/>
            <wp:positionH relativeFrom="column">
              <wp:posOffset>95250</wp:posOffset>
            </wp:positionH>
            <wp:positionV relativeFrom="paragraph">
              <wp:posOffset>2692400</wp:posOffset>
            </wp:positionV>
            <wp:extent cx="4085590" cy="3030855"/>
            <wp:effectExtent l="0" t="0" r="0" b="0"/>
            <wp:wrapNone/>
            <wp:docPr id="24"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EE7879" w:rsidRDefault="00EE7879">
      <w:pPr>
        <w:pStyle w:val="SL-FlLftSgl"/>
        <w:sectPr w:rsidR="00EE7879">
          <w:type w:val="continuous"/>
          <w:pgSz w:w="12240" w:h="15840"/>
          <w:pgMar w:top="1152" w:right="1008" w:bottom="1008" w:left="1008" w:header="720" w:footer="576" w:gutter="0"/>
          <w:cols w:num="2" w:space="0" w:equalWidth="0">
            <w:col w:w="3672" w:space="216"/>
            <w:col w:w="6336"/>
          </w:cols>
        </w:sectPr>
      </w:pPr>
    </w:p>
    <w:p w:rsidR="00EE7879" w:rsidRDefault="00EE7879">
      <w:pPr>
        <w:pStyle w:val="SL-FlLftSgl"/>
        <w:rPr>
          <w:sz w:val="24"/>
        </w:rPr>
      </w:pPr>
      <w:r>
        <w:rPr>
          <w:i/>
          <w:sz w:val="24"/>
        </w:rPr>
        <w:lastRenderedPageBreak/>
        <w:t>Listed below are some answers to questions that others have asked about the income section of the Medical Expenditure Panel Survey</w:t>
      </w:r>
      <w:r>
        <w:rPr>
          <w:sz w:val="24"/>
        </w:rPr>
        <w:t>.</w:t>
      </w:r>
    </w:p>
    <w:p w:rsidR="00EE7879" w:rsidRDefault="00EE7879">
      <w:pPr>
        <w:pStyle w:val="SL-FlLftSgl"/>
      </w:pPr>
    </w:p>
    <w:p w:rsidR="00EE7879" w:rsidRDefault="00EE7879">
      <w:pPr>
        <w:pStyle w:val="SL-FlLftSgl"/>
        <w:rPr>
          <w:b/>
          <w:sz w:val="20"/>
          <w:u w:val="single"/>
        </w:rPr>
      </w:pPr>
      <w:r>
        <w:rPr>
          <w:b/>
          <w:sz w:val="20"/>
        </w:rPr>
        <w:t>Q.</w:t>
      </w:r>
      <w:r>
        <w:rPr>
          <w:b/>
          <w:sz w:val="20"/>
        </w:rPr>
        <w:tab/>
        <w:t>Why Are You Asking Questions About Income?</w:t>
      </w:r>
    </w:p>
    <w:p w:rsidR="00EE7879" w:rsidRDefault="00EE7879">
      <w:pPr>
        <w:pStyle w:val="SL-FlLftSgl"/>
        <w:rPr>
          <w:sz w:val="20"/>
        </w:rPr>
      </w:pPr>
    </w:p>
    <w:p w:rsidR="00EE7879" w:rsidRDefault="00EE7879">
      <w:pPr>
        <w:pStyle w:val="SL-FlLftSgl"/>
        <w:ind w:left="720" w:hanging="720"/>
        <w:rPr>
          <w:sz w:val="20"/>
        </w:rPr>
      </w:pPr>
      <w:r>
        <w:rPr>
          <w:sz w:val="20"/>
        </w:rPr>
        <w:t>A.</w:t>
      </w:r>
      <w:r>
        <w:rPr>
          <w:sz w:val="20"/>
        </w:rPr>
        <w:tab/>
        <w:t>Approximately every six months we collect information on a number of topics related to health care use and the associated costs. We ask about the health insurance coverage your household has, about the medical services received, where those services were received, who provides them, and charges and payments for services.</w:t>
      </w:r>
    </w:p>
    <w:p w:rsidR="00EE7879" w:rsidRDefault="00EE7879">
      <w:pPr>
        <w:pStyle w:val="SL-FlLftSgl"/>
        <w:ind w:left="720" w:hanging="720"/>
        <w:rPr>
          <w:sz w:val="20"/>
        </w:rPr>
      </w:pPr>
    </w:p>
    <w:p w:rsidR="00EE7879" w:rsidRDefault="00EE7879">
      <w:pPr>
        <w:pStyle w:val="SL-FlLftSgl"/>
        <w:ind w:left="720" w:hanging="720"/>
        <w:rPr>
          <w:sz w:val="20"/>
        </w:rPr>
      </w:pPr>
      <w:r>
        <w:rPr>
          <w:sz w:val="20"/>
        </w:rPr>
        <w:tab/>
        <w:t>To get a complete picture of the effects of health care costs on American families, we also need to collect information on income. This information can show how health care affects an individual’s as well as our nation’s economic well-being. This information may also show how financial resources affect the choice and use of health care services.</w:t>
      </w:r>
    </w:p>
    <w:p w:rsidR="00EE7879" w:rsidRDefault="00EE7879">
      <w:pPr>
        <w:pStyle w:val="SL-FlLftSgl"/>
        <w:ind w:left="720" w:hanging="720"/>
        <w:rPr>
          <w:sz w:val="20"/>
        </w:rPr>
      </w:pPr>
    </w:p>
    <w:p w:rsidR="00EE7879" w:rsidRDefault="00EE7879">
      <w:pPr>
        <w:pStyle w:val="SL-FlLftSgl"/>
        <w:ind w:left="720" w:hanging="720"/>
        <w:rPr>
          <w:b/>
          <w:sz w:val="20"/>
          <w:u w:val="single"/>
        </w:rPr>
      </w:pPr>
      <w:r>
        <w:rPr>
          <w:b/>
          <w:sz w:val="20"/>
        </w:rPr>
        <w:t>Q.</w:t>
      </w:r>
      <w:r>
        <w:rPr>
          <w:b/>
          <w:sz w:val="20"/>
        </w:rPr>
        <w:tab/>
        <w:t>What Are You Going to Do with This Information?</w:t>
      </w:r>
    </w:p>
    <w:p w:rsidR="00EE7879" w:rsidRDefault="00EE7879">
      <w:pPr>
        <w:pStyle w:val="SL-FlLftSgl"/>
        <w:rPr>
          <w:sz w:val="20"/>
        </w:rPr>
      </w:pPr>
    </w:p>
    <w:p w:rsidR="00EE7879" w:rsidRDefault="00EE7879">
      <w:pPr>
        <w:pStyle w:val="SL-FlLftSgl"/>
        <w:ind w:left="720" w:hanging="720"/>
        <w:rPr>
          <w:sz w:val="20"/>
        </w:rPr>
      </w:pPr>
      <w:r>
        <w:rPr>
          <w:sz w:val="20"/>
        </w:rPr>
        <w:t>A.</w:t>
      </w:r>
      <w:r>
        <w:rPr>
          <w:sz w:val="20"/>
        </w:rPr>
        <w:tab/>
        <w:t>We believe that there is an association between income and the use of health care. Your answers to the questions on income will be analyzed with your responses to other questions such as</w:t>
      </w:r>
      <w:r>
        <w:rPr>
          <w:color w:val="FF0000"/>
          <w:sz w:val="20"/>
        </w:rPr>
        <w:t xml:space="preserve"> </w:t>
      </w:r>
      <w:r>
        <w:rPr>
          <w:sz w:val="20"/>
        </w:rPr>
        <w:t>how often you see a doctor. This will allow policy makers to assess the relationship between personal finances and an individual’s expenses for health care.</w:t>
      </w:r>
    </w:p>
    <w:p w:rsidR="00EE7879" w:rsidRDefault="00EE7879">
      <w:pPr>
        <w:pStyle w:val="SL-FlLftSgl"/>
        <w:rPr>
          <w:sz w:val="20"/>
        </w:rPr>
      </w:pPr>
    </w:p>
    <w:p w:rsidR="00EE7879" w:rsidRDefault="00EE7879">
      <w:pPr>
        <w:pStyle w:val="SL-FlLftSgl"/>
        <w:rPr>
          <w:b/>
          <w:sz w:val="20"/>
        </w:rPr>
      </w:pPr>
      <w:r>
        <w:rPr>
          <w:b/>
          <w:sz w:val="20"/>
        </w:rPr>
        <w:t>Q.</w:t>
      </w:r>
      <w:r>
        <w:rPr>
          <w:b/>
          <w:sz w:val="20"/>
        </w:rPr>
        <w:tab/>
        <w:t>Is This Information Confidential?</w:t>
      </w:r>
    </w:p>
    <w:p w:rsidR="00EE7879" w:rsidRDefault="00EE7879">
      <w:pPr>
        <w:pStyle w:val="SL-FlLftSgl"/>
        <w:rPr>
          <w:sz w:val="20"/>
        </w:rPr>
      </w:pPr>
    </w:p>
    <w:p w:rsidR="00EE7879" w:rsidRDefault="00EE7879">
      <w:pPr>
        <w:pStyle w:val="SL-FlLftSgl"/>
        <w:ind w:left="720" w:hanging="720"/>
        <w:rPr>
          <w:sz w:val="20"/>
        </w:rPr>
      </w:pPr>
      <w:r>
        <w:rPr>
          <w:sz w:val="20"/>
        </w:rPr>
        <w:t>A.</w:t>
      </w:r>
      <w:r>
        <w:rPr>
          <w:sz w:val="20"/>
        </w:rPr>
        <w:tab/>
      </w:r>
      <w:r w:rsidR="003F2E15" w:rsidRPr="003F2E15">
        <w:rPr>
          <w:sz w:val="20"/>
        </w:rPr>
        <w:t>Yes, as with all information collected by the Medical Expenditure Panel Survey, the confidentiality of your responses is protected by Sections 944(c) and 308(d) of the Public Health Service Act [42 U.S.C. 299c-3(c) and 42 U.S.C. 242m(d)].  Information that could identify you will not be disclosed unless you have consented to that disclosure.</w:t>
      </w:r>
    </w:p>
    <w:p w:rsidR="00EE7879" w:rsidRDefault="00EE7879">
      <w:pPr>
        <w:pStyle w:val="SL-FlLftSgl"/>
        <w:rPr>
          <w:sz w:val="20"/>
        </w:rPr>
      </w:pPr>
    </w:p>
    <w:p w:rsidR="00EE7879" w:rsidRDefault="00EE7879">
      <w:pPr>
        <w:pStyle w:val="SL-FlLftSgl"/>
        <w:rPr>
          <w:b/>
          <w:sz w:val="20"/>
        </w:rPr>
      </w:pPr>
      <w:r>
        <w:rPr>
          <w:b/>
          <w:sz w:val="20"/>
        </w:rPr>
        <w:t>Q.</w:t>
      </w:r>
      <w:r>
        <w:rPr>
          <w:b/>
          <w:sz w:val="20"/>
        </w:rPr>
        <w:tab/>
        <w:t>What Will You be Asking Me About?</w:t>
      </w:r>
    </w:p>
    <w:p w:rsidR="00EE7879" w:rsidRDefault="00EE7879">
      <w:pPr>
        <w:pStyle w:val="SL-FlLftSgl"/>
        <w:rPr>
          <w:sz w:val="20"/>
        </w:rPr>
      </w:pPr>
    </w:p>
    <w:p w:rsidR="00EE7879" w:rsidRDefault="00EE7879">
      <w:pPr>
        <w:pStyle w:val="SL-FlLftSgl"/>
        <w:ind w:left="720" w:hanging="720"/>
        <w:rPr>
          <w:sz w:val="20"/>
        </w:rPr>
      </w:pPr>
      <w:r>
        <w:rPr>
          <w:sz w:val="20"/>
        </w:rPr>
        <w:t>A.</w:t>
      </w:r>
      <w:r>
        <w:rPr>
          <w:sz w:val="20"/>
        </w:rPr>
        <w:tab/>
        <w:t xml:space="preserve">We will be asking for the same type of information that is recorded on your Federal income tax return, such as taxable income from salaries or wages, social security, pensions, investments, etc. In fact, most of the information can be taken directly from your </w:t>
      </w:r>
      <w:r w:rsidR="0074121D">
        <w:rPr>
          <w:sz w:val="20"/>
        </w:rPr>
        <w:t xml:space="preserve">2017 </w:t>
      </w:r>
      <w:r>
        <w:rPr>
          <w:sz w:val="20"/>
        </w:rPr>
        <w:t>Federal income tax return. There are some additional questions on nontaxable income such as worker’s compensation, Supplemental Security Income (S.S.I.), public assistance, and Veterans’ payments.</w:t>
      </w:r>
    </w:p>
    <w:p w:rsidR="00EE7879" w:rsidRDefault="00EE7879">
      <w:pPr>
        <w:pStyle w:val="SL-FlLftSgl"/>
        <w:rPr>
          <w:sz w:val="20"/>
        </w:rPr>
      </w:pPr>
    </w:p>
    <w:p w:rsidR="00EE7879" w:rsidRDefault="00EE7879">
      <w:pPr>
        <w:pStyle w:val="SL-FlLftSgl"/>
        <w:rPr>
          <w:b/>
          <w:sz w:val="20"/>
        </w:rPr>
      </w:pPr>
      <w:r>
        <w:rPr>
          <w:b/>
          <w:sz w:val="20"/>
        </w:rPr>
        <w:t>Q.</w:t>
      </w:r>
      <w:r>
        <w:rPr>
          <w:b/>
          <w:sz w:val="20"/>
        </w:rPr>
        <w:tab/>
        <w:t>Do I Need Records, Such as My Income Tax Records, to Respond to These Questions?</w:t>
      </w:r>
    </w:p>
    <w:p w:rsidR="00EE7879" w:rsidRDefault="00EE7879">
      <w:pPr>
        <w:pStyle w:val="SL-FlLftSgl"/>
        <w:rPr>
          <w:sz w:val="20"/>
        </w:rPr>
      </w:pPr>
    </w:p>
    <w:p w:rsidR="00EE7879" w:rsidRDefault="00EE7879">
      <w:pPr>
        <w:pStyle w:val="SL-FlLftSgl"/>
        <w:ind w:left="720" w:hanging="720"/>
        <w:rPr>
          <w:sz w:val="20"/>
        </w:rPr>
      </w:pPr>
      <w:r>
        <w:rPr>
          <w:sz w:val="20"/>
        </w:rPr>
        <w:t>A.</w:t>
      </w:r>
      <w:r>
        <w:rPr>
          <w:sz w:val="20"/>
        </w:rPr>
        <w:tab/>
        <w:t xml:space="preserve">No, you do not. However, if you have completed your </w:t>
      </w:r>
      <w:r w:rsidR="0074121D">
        <w:rPr>
          <w:sz w:val="20"/>
        </w:rPr>
        <w:t xml:space="preserve">2017 </w:t>
      </w:r>
      <w:r>
        <w:rPr>
          <w:sz w:val="20"/>
        </w:rPr>
        <w:t xml:space="preserve">Federal income tax return, it will be very useful. If you have not completed your </w:t>
      </w:r>
      <w:r w:rsidR="0074121D">
        <w:rPr>
          <w:sz w:val="20"/>
        </w:rPr>
        <w:t xml:space="preserve">2017 </w:t>
      </w:r>
      <w:r>
        <w:rPr>
          <w:sz w:val="20"/>
        </w:rPr>
        <w:t>tax return, it might be helpful to use some of the household’s financial records that are used to complete the tax return, such as year-end bank statements, financial summaries, pay stubs, W-2 forms, and the like.</w:t>
      </w:r>
    </w:p>
    <w:p w:rsidR="00EE7879" w:rsidRDefault="00EE7879">
      <w:pPr>
        <w:pStyle w:val="SL-FlLftSgl"/>
        <w:rPr>
          <w:sz w:val="20"/>
        </w:rPr>
      </w:pPr>
    </w:p>
    <w:p w:rsidR="00EE7879" w:rsidRDefault="00EE7879">
      <w:pPr>
        <w:pStyle w:val="SL-FlLftSgl"/>
        <w:rPr>
          <w:b/>
          <w:sz w:val="20"/>
        </w:rPr>
      </w:pPr>
      <w:r>
        <w:rPr>
          <w:b/>
          <w:sz w:val="20"/>
        </w:rPr>
        <w:t>Q.</w:t>
      </w:r>
      <w:r>
        <w:rPr>
          <w:b/>
          <w:sz w:val="20"/>
        </w:rPr>
        <w:tab/>
        <w:t>What If I Do Not Know an Answer?</w:t>
      </w:r>
    </w:p>
    <w:p w:rsidR="00EE7879" w:rsidRDefault="00EE7879">
      <w:pPr>
        <w:pStyle w:val="SL-FlLftSgl"/>
        <w:rPr>
          <w:sz w:val="20"/>
        </w:rPr>
      </w:pPr>
    </w:p>
    <w:p w:rsidR="00EE7879" w:rsidRDefault="00EE7879">
      <w:pPr>
        <w:pStyle w:val="SL-FlLftSgl"/>
        <w:ind w:left="720" w:hanging="720"/>
        <w:rPr>
          <w:sz w:val="20"/>
        </w:rPr>
      </w:pPr>
      <w:r>
        <w:rPr>
          <w:sz w:val="20"/>
        </w:rPr>
        <w:t>A.</w:t>
      </w:r>
      <w:r>
        <w:rPr>
          <w:sz w:val="20"/>
        </w:rPr>
        <w:tab/>
        <w:t>Just do the best you can. If you do not know an answer to a question, tell the interviewer that you don’t know that information.</w:t>
      </w:r>
    </w:p>
    <w:p w:rsidR="00EE7879" w:rsidRDefault="00EE7879">
      <w:pPr>
        <w:pStyle w:val="SL-FlLftSgl"/>
        <w:rPr>
          <w:sz w:val="20"/>
        </w:rPr>
      </w:pPr>
    </w:p>
    <w:p w:rsidR="00EE7879" w:rsidRDefault="00EE7879">
      <w:pPr>
        <w:pStyle w:val="SL-FlLftSgl"/>
        <w:rPr>
          <w:b/>
          <w:sz w:val="20"/>
        </w:rPr>
      </w:pPr>
      <w:r>
        <w:rPr>
          <w:b/>
          <w:sz w:val="20"/>
        </w:rPr>
        <w:t>Q.</w:t>
      </w:r>
      <w:r>
        <w:rPr>
          <w:b/>
          <w:sz w:val="20"/>
        </w:rPr>
        <w:tab/>
        <w:t>Do I Have to Answer These Questions?</w:t>
      </w:r>
    </w:p>
    <w:p w:rsidR="00EE7879" w:rsidRDefault="00EE7879">
      <w:pPr>
        <w:pStyle w:val="SL-FlLftSgl"/>
        <w:rPr>
          <w:sz w:val="20"/>
        </w:rPr>
      </w:pPr>
    </w:p>
    <w:p w:rsidR="00EE7879" w:rsidRDefault="00EE7879">
      <w:pPr>
        <w:pStyle w:val="SL-FlLftSgl"/>
        <w:ind w:left="720" w:hanging="720"/>
        <w:rPr>
          <w:sz w:val="20"/>
        </w:rPr>
      </w:pPr>
      <w:r>
        <w:rPr>
          <w:sz w:val="20"/>
        </w:rPr>
        <w:t>A.</w:t>
      </w:r>
      <w:r>
        <w:rPr>
          <w:sz w:val="20"/>
        </w:rPr>
        <w:tab/>
        <w:t>No. Your participation is voluntary. You may refuse to answer any question or series of questions. However, since information about income is very important to help us understand health care, we hope you will be willing to provide us with this information.</w:t>
      </w:r>
    </w:p>
    <w:p w:rsidR="00EE7879" w:rsidRDefault="00EE7879">
      <w:pPr>
        <w:pStyle w:val="SL-FlLftSgl"/>
        <w:ind w:left="720" w:hanging="720"/>
        <w:rPr>
          <w:sz w:val="20"/>
        </w:rPr>
      </w:pPr>
    </w:p>
    <w:p w:rsidR="00EE7879" w:rsidRDefault="00EE7879">
      <w:pPr>
        <w:pStyle w:val="SL-FlLftSgl"/>
        <w:ind w:left="720" w:hanging="720"/>
        <w:rPr>
          <w:b/>
          <w:sz w:val="20"/>
        </w:rPr>
      </w:pPr>
      <w:r>
        <w:rPr>
          <w:b/>
          <w:sz w:val="20"/>
        </w:rPr>
        <w:t>Q.</w:t>
      </w:r>
      <w:r>
        <w:rPr>
          <w:b/>
          <w:sz w:val="20"/>
        </w:rPr>
        <w:tab/>
        <w:t>What Should I Do If I Have More Questions?</w:t>
      </w:r>
    </w:p>
    <w:p w:rsidR="00EE7879" w:rsidRDefault="00EE7879">
      <w:pPr>
        <w:pStyle w:val="SL-FlLftSgl"/>
        <w:rPr>
          <w:sz w:val="20"/>
        </w:rPr>
      </w:pPr>
    </w:p>
    <w:p w:rsidR="00EE7879" w:rsidRDefault="00B4566D">
      <w:pPr>
        <w:pStyle w:val="SL-FlLftSgl"/>
        <w:ind w:left="720" w:hanging="720"/>
        <w:rPr>
          <w:sz w:val="20"/>
        </w:rPr>
      </w:pPr>
      <w:r>
        <w:rPr>
          <w:sz w:val="20"/>
        </w:rPr>
        <w:t>A.</w:t>
      </w:r>
      <w:r>
        <w:rPr>
          <w:sz w:val="20"/>
        </w:rPr>
        <w:tab/>
        <w:t xml:space="preserve">If </w:t>
      </w:r>
      <w:r w:rsidR="00EE7879">
        <w:rPr>
          <w:sz w:val="20"/>
        </w:rPr>
        <w:t>you or other members of your household have any additional concerns about these questions, please call Alex Scott, a survey representative, at this toll-free number: 1-800-945-MEPS (6377).</w:t>
      </w:r>
    </w:p>
    <w:sectPr w:rsidR="00EE7879" w:rsidSect="00C47726">
      <w:pgSz w:w="12240" w:h="15840"/>
      <w:pgMar w:top="1152" w:right="864" w:bottom="1152" w:left="864"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8D" w:rsidRDefault="00F30F8D">
      <w:pPr>
        <w:spacing w:line="240" w:lineRule="auto"/>
      </w:pPr>
      <w:r>
        <w:separator/>
      </w:r>
    </w:p>
  </w:endnote>
  <w:endnote w:type="continuationSeparator" w:id="0">
    <w:p w:rsidR="00F30F8D" w:rsidRDefault="00F30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24" w:rsidRDefault="00C901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79" w:rsidRDefault="00EE7879">
    <w:pPr>
      <w:pStyle w:val="Footer"/>
      <w:jc w:val="center"/>
      <w:rPr>
        <w:b/>
        <w:sz w:val="24"/>
      </w:rPr>
    </w:pPr>
    <w:r>
      <w:rPr>
        <w:b/>
        <w:sz w:val="24"/>
      </w:rPr>
      <w:t>Thank you for your continued participation in the Medical Expenditure Panel Survey!</w:t>
    </w:r>
  </w:p>
  <w:p w:rsidR="00EE7879" w:rsidRDefault="00C022AA">
    <w:pPr>
      <w:pStyle w:val="Footer"/>
      <w:jc w:val="right"/>
      <w:rPr>
        <w:sz w:val="14"/>
      </w:rPr>
    </w:pPr>
    <w:r>
      <w:rPr>
        <w:sz w:val="14"/>
      </w:rPr>
      <w:t>1</w:t>
    </w:r>
    <w:r w:rsidR="0074121D">
      <w:rPr>
        <w:sz w:val="14"/>
      </w:rPr>
      <w:t>8</w:t>
    </w:r>
    <w:r w:rsidR="00EE7879">
      <w:rPr>
        <w:sz w:val="14"/>
      </w:rPr>
      <w:t>-214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24" w:rsidRDefault="00C90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8D" w:rsidRDefault="00F30F8D">
      <w:pPr>
        <w:spacing w:line="240" w:lineRule="auto"/>
      </w:pPr>
      <w:r>
        <w:separator/>
      </w:r>
    </w:p>
  </w:footnote>
  <w:footnote w:type="continuationSeparator" w:id="0">
    <w:p w:rsidR="00F30F8D" w:rsidRDefault="00F30F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24" w:rsidRDefault="00C90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24" w:rsidRDefault="00C901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24" w:rsidRDefault="00C901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D2"/>
    <w:rsid w:val="00064E3E"/>
    <w:rsid w:val="00065AFF"/>
    <w:rsid w:val="00074BD2"/>
    <w:rsid w:val="00085DC2"/>
    <w:rsid w:val="000E4C70"/>
    <w:rsid w:val="000E52EF"/>
    <w:rsid w:val="00193822"/>
    <w:rsid w:val="001D5802"/>
    <w:rsid w:val="001F5909"/>
    <w:rsid w:val="001F7CA0"/>
    <w:rsid w:val="0024538C"/>
    <w:rsid w:val="002A0E19"/>
    <w:rsid w:val="002B3E90"/>
    <w:rsid w:val="00381408"/>
    <w:rsid w:val="003C5EC0"/>
    <w:rsid w:val="003F2E15"/>
    <w:rsid w:val="00401B72"/>
    <w:rsid w:val="004C54B3"/>
    <w:rsid w:val="0052091B"/>
    <w:rsid w:val="00526251"/>
    <w:rsid w:val="00556AB9"/>
    <w:rsid w:val="005A0094"/>
    <w:rsid w:val="005F4531"/>
    <w:rsid w:val="005F6C3D"/>
    <w:rsid w:val="00613450"/>
    <w:rsid w:val="00615A15"/>
    <w:rsid w:val="00641A97"/>
    <w:rsid w:val="00656D9E"/>
    <w:rsid w:val="006E1428"/>
    <w:rsid w:val="006F65EF"/>
    <w:rsid w:val="00722AE6"/>
    <w:rsid w:val="0074121D"/>
    <w:rsid w:val="00797A52"/>
    <w:rsid w:val="007D5BA9"/>
    <w:rsid w:val="0082154C"/>
    <w:rsid w:val="00823523"/>
    <w:rsid w:val="00875717"/>
    <w:rsid w:val="008B1CB2"/>
    <w:rsid w:val="009164CE"/>
    <w:rsid w:val="00947BFF"/>
    <w:rsid w:val="00957A66"/>
    <w:rsid w:val="009855DA"/>
    <w:rsid w:val="00A154F8"/>
    <w:rsid w:val="00A227A7"/>
    <w:rsid w:val="00AC36F0"/>
    <w:rsid w:val="00B233A6"/>
    <w:rsid w:val="00B33B9B"/>
    <w:rsid w:val="00B34938"/>
    <w:rsid w:val="00B4566D"/>
    <w:rsid w:val="00B61788"/>
    <w:rsid w:val="00B705E3"/>
    <w:rsid w:val="00B80F2B"/>
    <w:rsid w:val="00B97C23"/>
    <w:rsid w:val="00BC7313"/>
    <w:rsid w:val="00C022AA"/>
    <w:rsid w:val="00C04D2D"/>
    <w:rsid w:val="00C47726"/>
    <w:rsid w:val="00C5427D"/>
    <w:rsid w:val="00C90124"/>
    <w:rsid w:val="00CB0395"/>
    <w:rsid w:val="00D5645B"/>
    <w:rsid w:val="00DE41A2"/>
    <w:rsid w:val="00E016C0"/>
    <w:rsid w:val="00E10DF8"/>
    <w:rsid w:val="00E91AD2"/>
    <w:rsid w:val="00EE7879"/>
    <w:rsid w:val="00F040AC"/>
    <w:rsid w:val="00F30F8D"/>
    <w:rsid w:val="00F81AE8"/>
    <w:rsid w:val="00F9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A9"/>
    <w:pPr>
      <w:spacing w:line="240" w:lineRule="atLeast"/>
      <w:jc w:val="both"/>
    </w:pPr>
    <w:rPr>
      <w:sz w:val="22"/>
    </w:rPr>
  </w:style>
  <w:style w:type="paragraph" w:styleId="Heading1">
    <w:name w:val="heading 1"/>
    <w:aliases w:val="H1-Sec.Head"/>
    <w:basedOn w:val="Normal"/>
    <w:next w:val="P1-StandPara"/>
    <w:qFormat/>
    <w:rsid w:val="007D5BA9"/>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7D5BA9"/>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rsid w:val="007D5BA9"/>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7D5BA9"/>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7D5BA9"/>
    <w:pPr>
      <w:keepLines/>
      <w:spacing w:before="360" w:line="360" w:lineRule="atLeast"/>
      <w:jc w:val="center"/>
      <w:outlineLvl w:val="4"/>
    </w:pPr>
  </w:style>
  <w:style w:type="paragraph" w:styleId="Heading6">
    <w:name w:val="heading 6"/>
    <w:basedOn w:val="Normal"/>
    <w:next w:val="Normal"/>
    <w:qFormat/>
    <w:rsid w:val="007D5BA9"/>
    <w:pPr>
      <w:keepNext/>
      <w:spacing w:before="240"/>
      <w:jc w:val="center"/>
      <w:outlineLvl w:val="5"/>
    </w:pPr>
    <w:rPr>
      <w:b/>
      <w:caps/>
    </w:rPr>
  </w:style>
  <w:style w:type="paragraph" w:styleId="Heading7">
    <w:name w:val="heading 7"/>
    <w:basedOn w:val="Normal"/>
    <w:next w:val="Normal"/>
    <w:qFormat/>
    <w:rsid w:val="007D5BA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D5BA9"/>
    <w:pPr>
      <w:keepNext/>
      <w:spacing w:after="720" w:line="240" w:lineRule="atLeast"/>
      <w:jc w:val="center"/>
    </w:pPr>
    <w:rPr>
      <w:b/>
      <w:caps/>
      <w:sz w:val="22"/>
    </w:rPr>
  </w:style>
  <w:style w:type="paragraph" w:customStyle="1" w:styleId="C2-CtrSglSp">
    <w:name w:val="C2-Ctr Sgl Sp"/>
    <w:rsid w:val="007D5BA9"/>
    <w:pPr>
      <w:keepLines/>
      <w:spacing w:line="240" w:lineRule="atLeast"/>
      <w:jc w:val="center"/>
    </w:pPr>
    <w:rPr>
      <w:sz w:val="22"/>
    </w:rPr>
  </w:style>
  <w:style w:type="paragraph" w:customStyle="1" w:styleId="C3-CtrSp12">
    <w:name w:val="C3-Ctr Sp&amp;1/2"/>
    <w:rsid w:val="007D5BA9"/>
    <w:pPr>
      <w:keepLines/>
      <w:spacing w:line="360" w:lineRule="atLeast"/>
      <w:jc w:val="center"/>
    </w:pPr>
    <w:rPr>
      <w:sz w:val="22"/>
    </w:rPr>
  </w:style>
  <w:style w:type="paragraph" w:customStyle="1" w:styleId="E1-Equation">
    <w:name w:val="E1-Equation"/>
    <w:rsid w:val="007D5BA9"/>
    <w:pPr>
      <w:tabs>
        <w:tab w:val="center" w:pos="4680"/>
        <w:tab w:val="right" w:pos="9360"/>
      </w:tabs>
      <w:spacing w:line="240" w:lineRule="atLeast"/>
      <w:jc w:val="both"/>
    </w:pPr>
    <w:rPr>
      <w:sz w:val="22"/>
    </w:rPr>
  </w:style>
  <w:style w:type="paragraph" w:customStyle="1" w:styleId="E2-Equation">
    <w:name w:val="E2-Equation"/>
    <w:basedOn w:val="E1-Equation"/>
    <w:rsid w:val="007D5BA9"/>
    <w:pPr>
      <w:tabs>
        <w:tab w:val="clear" w:pos="4680"/>
        <w:tab w:val="clear" w:pos="9360"/>
        <w:tab w:val="right" w:pos="1152"/>
        <w:tab w:val="center" w:pos="1440"/>
        <w:tab w:val="left" w:pos="1728"/>
      </w:tabs>
      <w:ind w:left="1728" w:hanging="1728"/>
    </w:pPr>
  </w:style>
  <w:style w:type="paragraph" w:styleId="FootnoteText">
    <w:name w:val="footnote text"/>
    <w:aliases w:val="F1"/>
    <w:semiHidden/>
    <w:rsid w:val="007D5BA9"/>
    <w:pPr>
      <w:tabs>
        <w:tab w:val="left" w:pos="120"/>
      </w:tabs>
      <w:spacing w:before="120" w:line="200" w:lineRule="atLeast"/>
      <w:ind w:left="115" w:hanging="115"/>
      <w:jc w:val="both"/>
    </w:pPr>
    <w:rPr>
      <w:sz w:val="16"/>
    </w:rPr>
  </w:style>
  <w:style w:type="paragraph" w:customStyle="1" w:styleId="L1-FlLSp12">
    <w:name w:val="L1-FlL Sp&amp;1/2"/>
    <w:rsid w:val="007D5BA9"/>
    <w:pPr>
      <w:tabs>
        <w:tab w:val="left" w:pos="1152"/>
      </w:tabs>
      <w:spacing w:line="360" w:lineRule="atLeast"/>
      <w:jc w:val="both"/>
    </w:pPr>
    <w:rPr>
      <w:sz w:val="22"/>
    </w:rPr>
  </w:style>
  <w:style w:type="paragraph" w:customStyle="1" w:styleId="N0-FlLftBullet">
    <w:name w:val="N0-Fl Lft Bullet"/>
    <w:basedOn w:val="Normal"/>
    <w:rsid w:val="007D5BA9"/>
    <w:pPr>
      <w:tabs>
        <w:tab w:val="left" w:pos="576"/>
      </w:tabs>
      <w:spacing w:after="240"/>
      <w:ind w:left="576" w:hanging="576"/>
    </w:pPr>
  </w:style>
  <w:style w:type="paragraph" w:customStyle="1" w:styleId="N1-1stBullet">
    <w:name w:val="N1-1st Bullet"/>
    <w:basedOn w:val="Normal"/>
    <w:rsid w:val="007D5BA9"/>
    <w:pPr>
      <w:tabs>
        <w:tab w:val="left" w:pos="1152"/>
      </w:tabs>
      <w:spacing w:after="240"/>
      <w:ind w:left="1152" w:hanging="576"/>
    </w:pPr>
  </w:style>
  <w:style w:type="paragraph" w:customStyle="1" w:styleId="N2-2ndBullet">
    <w:name w:val="N2-2nd Bullet"/>
    <w:basedOn w:val="Normal"/>
    <w:rsid w:val="007D5BA9"/>
    <w:pPr>
      <w:numPr>
        <w:numId w:val="2"/>
      </w:numPr>
      <w:tabs>
        <w:tab w:val="left" w:pos="1728"/>
      </w:tabs>
      <w:spacing w:after="240"/>
    </w:pPr>
  </w:style>
  <w:style w:type="paragraph" w:customStyle="1" w:styleId="N3-3rdBullet">
    <w:name w:val="N3-3rd Bullet"/>
    <w:basedOn w:val="Normal"/>
    <w:rsid w:val="007D5BA9"/>
    <w:pPr>
      <w:tabs>
        <w:tab w:val="left" w:pos="2304"/>
      </w:tabs>
      <w:spacing w:after="240"/>
      <w:ind w:left="2304" w:hanging="576"/>
    </w:pPr>
  </w:style>
  <w:style w:type="paragraph" w:customStyle="1" w:styleId="N4-4thBullet">
    <w:name w:val="N4-4th Bullet"/>
    <w:basedOn w:val="Normal"/>
    <w:rsid w:val="007D5BA9"/>
    <w:pPr>
      <w:tabs>
        <w:tab w:val="left" w:pos="2880"/>
      </w:tabs>
      <w:spacing w:after="240"/>
      <w:ind w:left="2880" w:hanging="576"/>
    </w:pPr>
  </w:style>
  <w:style w:type="paragraph" w:customStyle="1" w:styleId="N5-5thBullet">
    <w:name w:val="N5-5th Bullet"/>
    <w:basedOn w:val="Normal"/>
    <w:rsid w:val="007D5BA9"/>
    <w:pPr>
      <w:tabs>
        <w:tab w:val="left" w:pos="3456"/>
      </w:tabs>
      <w:spacing w:after="240"/>
      <w:ind w:left="3456" w:hanging="576"/>
    </w:pPr>
  </w:style>
  <w:style w:type="paragraph" w:customStyle="1" w:styleId="N6-DateInd">
    <w:name w:val="N6-Date Ind."/>
    <w:basedOn w:val="Normal"/>
    <w:rsid w:val="007D5BA9"/>
    <w:pPr>
      <w:tabs>
        <w:tab w:val="left" w:pos="5400"/>
      </w:tabs>
      <w:ind w:left="5400"/>
    </w:pPr>
  </w:style>
  <w:style w:type="paragraph" w:customStyle="1" w:styleId="N7-3Block">
    <w:name w:val="N7-3&quot; Block"/>
    <w:basedOn w:val="Normal"/>
    <w:rsid w:val="007D5BA9"/>
    <w:pPr>
      <w:tabs>
        <w:tab w:val="left" w:pos="1152"/>
      </w:tabs>
      <w:ind w:left="1152" w:right="1152"/>
    </w:pPr>
  </w:style>
  <w:style w:type="paragraph" w:customStyle="1" w:styleId="N8-QxQBlock">
    <w:name w:val="N8-QxQ Block"/>
    <w:rsid w:val="007D5BA9"/>
    <w:pPr>
      <w:tabs>
        <w:tab w:val="left" w:pos="1152"/>
      </w:tabs>
      <w:spacing w:after="360" w:line="360" w:lineRule="atLeast"/>
      <w:ind w:left="1152" w:hanging="1152"/>
      <w:jc w:val="both"/>
    </w:pPr>
    <w:rPr>
      <w:sz w:val="22"/>
    </w:rPr>
  </w:style>
  <w:style w:type="paragraph" w:customStyle="1" w:styleId="P1-StandPara">
    <w:name w:val="P1-Stand Para"/>
    <w:rsid w:val="007D5BA9"/>
    <w:pPr>
      <w:spacing w:line="360" w:lineRule="atLeast"/>
      <w:ind w:firstLine="1152"/>
      <w:jc w:val="both"/>
    </w:pPr>
    <w:rPr>
      <w:sz w:val="22"/>
    </w:rPr>
  </w:style>
  <w:style w:type="paragraph" w:customStyle="1" w:styleId="Q1-BestFinQ">
    <w:name w:val="Q1-Best/Fin Q"/>
    <w:rsid w:val="007D5BA9"/>
    <w:pPr>
      <w:tabs>
        <w:tab w:val="left" w:pos="1152"/>
      </w:tabs>
      <w:spacing w:after="360" w:line="240" w:lineRule="atLeast"/>
      <w:ind w:left="1152" w:hanging="1152"/>
      <w:jc w:val="both"/>
    </w:pPr>
    <w:rPr>
      <w:b/>
      <w:sz w:val="22"/>
    </w:rPr>
  </w:style>
  <w:style w:type="paragraph" w:customStyle="1" w:styleId="SH-SglSpHead">
    <w:name w:val="SH-Sgl Sp Head"/>
    <w:rsid w:val="007D5BA9"/>
    <w:pPr>
      <w:keepNext/>
      <w:tabs>
        <w:tab w:val="left" w:pos="576"/>
      </w:tabs>
      <w:spacing w:line="240" w:lineRule="atLeast"/>
      <w:ind w:left="576" w:hanging="576"/>
    </w:pPr>
    <w:rPr>
      <w:b/>
      <w:sz w:val="22"/>
    </w:rPr>
  </w:style>
  <w:style w:type="paragraph" w:customStyle="1" w:styleId="SL-FlLftSgl">
    <w:name w:val="SL-Fl Lft Sgl"/>
    <w:rsid w:val="007D5BA9"/>
    <w:pPr>
      <w:spacing w:line="240" w:lineRule="atLeast"/>
      <w:jc w:val="both"/>
    </w:pPr>
    <w:rPr>
      <w:sz w:val="22"/>
    </w:rPr>
  </w:style>
  <w:style w:type="paragraph" w:customStyle="1" w:styleId="SP-SglSpPara">
    <w:name w:val="SP-Sgl Sp Para"/>
    <w:rsid w:val="007D5BA9"/>
    <w:pPr>
      <w:tabs>
        <w:tab w:val="left" w:pos="576"/>
      </w:tabs>
      <w:spacing w:line="240" w:lineRule="atLeast"/>
      <w:ind w:firstLine="576"/>
      <w:jc w:val="both"/>
    </w:pPr>
    <w:rPr>
      <w:sz w:val="22"/>
    </w:rPr>
  </w:style>
  <w:style w:type="paragraph" w:customStyle="1" w:styleId="T0-ChapPgHd">
    <w:name w:val="T0-Chap/Pg Hd"/>
    <w:rsid w:val="007D5BA9"/>
    <w:pPr>
      <w:tabs>
        <w:tab w:val="left" w:pos="8640"/>
      </w:tabs>
      <w:spacing w:line="240" w:lineRule="atLeast"/>
      <w:jc w:val="both"/>
    </w:pPr>
    <w:rPr>
      <w:sz w:val="22"/>
      <w:u w:val="words"/>
    </w:rPr>
  </w:style>
  <w:style w:type="paragraph" w:styleId="TOC1">
    <w:name w:val="toc 1"/>
    <w:autoRedefine/>
    <w:semiHidden/>
    <w:rsid w:val="007D5BA9"/>
    <w:pPr>
      <w:tabs>
        <w:tab w:val="left" w:pos="1440"/>
        <w:tab w:val="right" w:leader="dot" w:pos="8208"/>
        <w:tab w:val="left" w:pos="8640"/>
      </w:tabs>
      <w:spacing w:line="240" w:lineRule="atLeast"/>
      <w:ind w:left="288"/>
    </w:pPr>
    <w:rPr>
      <w:caps/>
      <w:sz w:val="22"/>
    </w:rPr>
  </w:style>
  <w:style w:type="paragraph" w:styleId="TOC2">
    <w:name w:val="toc 2"/>
    <w:autoRedefine/>
    <w:semiHidden/>
    <w:rsid w:val="007D5BA9"/>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7D5BA9"/>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7D5BA9"/>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7D5BA9"/>
    <w:rPr>
      <w:caps w:val="0"/>
    </w:rPr>
  </w:style>
  <w:style w:type="paragraph" w:customStyle="1" w:styleId="TT-TableTitle">
    <w:name w:val="TT-Table Title"/>
    <w:rsid w:val="007D5BA9"/>
    <w:pPr>
      <w:tabs>
        <w:tab w:val="left" w:pos="1152"/>
      </w:tabs>
      <w:spacing w:line="240" w:lineRule="atLeast"/>
      <w:ind w:left="1152" w:hanging="1152"/>
    </w:pPr>
    <w:rPr>
      <w:sz w:val="22"/>
    </w:rPr>
  </w:style>
  <w:style w:type="paragraph" w:styleId="Header">
    <w:name w:val="header"/>
    <w:basedOn w:val="Normal"/>
    <w:rsid w:val="007D5BA9"/>
    <w:pPr>
      <w:tabs>
        <w:tab w:val="center" w:pos="4320"/>
        <w:tab w:val="right" w:pos="8640"/>
      </w:tabs>
    </w:pPr>
    <w:rPr>
      <w:sz w:val="16"/>
    </w:rPr>
  </w:style>
  <w:style w:type="paragraph" w:styleId="Footer">
    <w:name w:val="footer"/>
    <w:basedOn w:val="Normal"/>
    <w:rsid w:val="007D5BA9"/>
    <w:pPr>
      <w:tabs>
        <w:tab w:val="center" w:pos="4320"/>
        <w:tab w:val="right" w:pos="8640"/>
      </w:tabs>
    </w:pPr>
  </w:style>
  <w:style w:type="paragraph" w:styleId="BodyText">
    <w:name w:val="Body Text"/>
    <w:basedOn w:val="Normal"/>
    <w:rsid w:val="007D5BA9"/>
    <w:rPr>
      <w:i/>
      <w:sz w:val="18"/>
    </w:rPr>
  </w:style>
  <w:style w:type="paragraph" w:styleId="BalloonText">
    <w:name w:val="Balloon Text"/>
    <w:basedOn w:val="Normal"/>
    <w:semiHidden/>
    <w:rsid w:val="00C04D2D"/>
    <w:rPr>
      <w:rFonts w:ascii="Tahoma" w:hAnsi="Tahoma" w:cs="Tahoma"/>
      <w:sz w:val="16"/>
      <w:szCs w:val="16"/>
    </w:rPr>
  </w:style>
  <w:style w:type="character" w:styleId="CommentReference">
    <w:name w:val="annotation reference"/>
    <w:basedOn w:val="DefaultParagraphFont"/>
    <w:uiPriority w:val="99"/>
    <w:semiHidden/>
    <w:unhideWhenUsed/>
    <w:rsid w:val="00B233A6"/>
    <w:rPr>
      <w:sz w:val="16"/>
      <w:szCs w:val="16"/>
    </w:rPr>
  </w:style>
  <w:style w:type="paragraph" w:styleId="CommentText">
    <w:name w:val="annotation text"/>
    <w:basedOn w:val="Normal"/>
    <w:link w:val="CommentTextChar"/>
    <w:uiPriority w:val="99"/>
    <w:semiHidden/>
    <w:unhideWhenUsed/>
    <w:rsid w:val="00B233A6"/>
    <w:pPr>
      <w:spacing w:line="240" w:lineRule="auto"/>
    </w:pPr>
    <w:rPr>
      <w:sz w:val="20"/>
    </w:rPr>
  </w:style>
  <w:style w:type="character" w:customStyle="1" w:styleId="CommentTextChar">
    <w:name w:val="Comment Text Char"/>
    <w:basedOn w:val="DefaultParagraphFont"/>
    <w:link w:val="CommentText"/>
    <w:uiPriority w:val="99"/>
    <w:semiHidden/>
    <w:rsid w:val="00B233A6"/>
  </w:style>
  <w:style w:type="paragraph" w:styleId="CommentSubject">
    <w:name w:val="annotation subject"/>
    <w:basedOn w:val="CommentText"/>
    <w:next w:val="CommentText"/>
    <w:link w:val="CommentSubjectChar"/>
    <w:uiPriority w:val="99"/>
    <w:semiHidden/>
    <w:unhideWhenUsed/>
    <w:rsid w:val="00B233A6"/>
    <w:rPr>
      <w:b/>
      <w:bCs/>
    </w:rPr>
  </w:style>
  <w:style w:type="character" w:customStyle="1" w:styleId="CommentSubjectChar">
    <w:name w:val="Comment Subject Char"/>
    <w:basedOn w:val="CommentTextChar"/>
    <w:link w:val="CommentSubject"/>
    <w:uiPriority w:val="99"/>
    <w:semiHidden/>
    <w:rsid w:val="00B233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A9"/>
    <w:pPr>
      <w:spacing w:line="240" w:lineRule="atLeast"/>
      <w:jc w:val="both"/>
    </w:pPr>
    <w:rPr>
      <w:sz w:val="22"/>
    </w:rPr>
  </w:style>
  <w:style w:type="paragraph" w:styleId="Heading1">
    <w:name w:val="heading 1"/>
    <w:aliases w:val="H1-Sec.Head"/>
    <w:basedOn w:val="Normal"/>
    <w:next w:val="P1-StandPara"/>
    <w:qFormat/>
    <w:rsid w:val="007D5BA9"/>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7D5BA9"/>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rsid w:val="007D5BA9"/>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7D5BA9"/>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7D5BA9"/>
    <w:pPr>
      <w:keepLines/>
      <w:spacing w:before="360" w:line="360" w:lineRule="atLeast"/>
      <w:jc w:val="center"/>
      <w:outlineLvl w:val="4"/>
    </w:pPr>
  </w:style>
  <w:style w:type="paragraph" w:styleId="Heading6">
    <w:name w:val="heading 6"/>
    <w:basedOn w:val="Normal"/>
    <w:next w:val="Normal"/>
    <w:qFormat/>
    <w:rsid w:val="007D5BA9"/>
    <w:pPr>
      <w:keepNext/>
      <w:spacing w:before="240"/>
      <w:jc w:val="center"/>
      <w:outlineLvl w:val="5"/>
    </w:pPr>
    <w:rPr>
      <w:b/>
      <w:caps/>
    </w:rPr>
  </w:style>
  <w:style w:type="paragraph" w:styleId="Heading7">
    <w:name w:val="heading 7"/>
    <w:basedOn w:val="Normal"/>
    <w:next w:val="Normal"/>
    <w:qFormat/>
    <w:rsid w:val="007D5BA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D5BA9"/>
    <w:pPr>
      <w:keepNext/>
      <w:spacing w:after="720" w:line="240" w:lineRule="atLeast"/>
      <w:jc w:val="center"/>
    </w:pPr>
    <w:rPr>
      <w:b/>
      <w:caps/>
      <w:sz w:val="22"/>
    </w:rPr>
  </w:style>
  <w:style w:type="paragraph" w:customStyle="1" w:styleId="C2-CtrSglSp">
    <w:name w:val="C2-Ctr Sgl Sp"/>
    <w:rsid w:val="007D5BA9"/>
    <w:pPr>
      <w:keepLines/>
      <w:spacing w:line="240" w:lineRule="atLeast"/>
      <w:jc w:val="center"/>
    </w:pPr>
    <w:rPr>
      <w:sz w:val="22"/>
    </w:rPr>
  </w:style>
  <w:style w:type="paragraph" w:customStyle="1" w:styleId="C3-CtrSp12">
    <w:name w:val="C3-Ctr Sp&amp;1/2"/>
    <w:rsid w:val="007D5BA9"/>
    <w:pPr>
      <w:keepLines/>
      <w:spacing w:line="360" w:lineRule="atLeast"/>
      <w:jc w:val="center"/>
    </w:pPr>
    <w:rPr>
      <w:sz w:val="22"/>
    </w:rPr>
  </w:style>
  <w:style w:type="paragraph" w:customStyle="1" w:styleId="E1-Equation">
    <w:name w:val="E1-Equation"/>
    <w:rsid w:val="007D5BA9"/>
    <w:pPr>
      <w:tabs>
        <w:tab w:val="center" w:pos="4680"/>
        <w:tab w:val="right" w:pos="9360"/>
      </w:tabs>
      <w:spacing w:line="240" w:lineRule="atLeast"/>
      <w:jc w:val="both"/>
    </w:pPr>
    <w:rPr>
      <w:sz w:val="22"/>
    </w:rPr>
  </w:style>
  <w:style w:type="paragraph" w:customStyle="1" w:styleId="E2-Equation">
    <w:name w:val="E2-Equation"/>
    <w:basedOn w:val="E1-Equation"/>
    <w:rsid w:val="007D5BA9"/>
    <w:pPr>
      <w:tabs>
        <w:tab w:val="clear" w:pos="4680"/>
        <w:tab w:val="clear" w:pos="9360"/>
        <w:tab w:val="right" w:pos="1152"/>
        <w:tab w:val="center" w:pos="1440"/>
        <w:tab w:val="left" w:pos="1728"/>
      </w:tabs>
      <w:ind w:left="1728" w:hanging="1728"/>
    </w:pPr>
  </w:style>
  <w:style w:type="paragraph" w:styleId="FootnoteText">
    <w:name w:val="footnote text"/>
    <w:aliases w:val="F1"/>
    <w:semiHidden/>
    <w:rsid w:val="007D5BA9"/>
    <w:pPr>
      <w:tabs>
        <w:tab w:val="left" w:pos="120"/>
      </w:tabs>
      <w:spacing w:before="120" w:line="200" w:lineRule="atLeast"/>
      <w:ind w:left="115" w:hanging="115"/>
      <w:jc w:val="both"/>
    </w:pPr>
    <w:rPr>
      <w:sz w:val="16"/>
    </w:rPr>
  </w:style>
  <w:style w:type="paragraph" w:customStyle="1" w:styleId="L1-FlLSp12">
    <w:name w:val="L1-FlL Sp&amp;1/2"/>
    <w:rsid w:val="007D5BA9"/>
    <w:pPr>
      <w:tabs>
        <w:tab w:val="left" w:pos="1152"/>
      </w:tabs>
      <w:spacing w:line="360" w:lineRule="atLeast"/>
      <w:jc w:val="both"/>
    </w:pPr>
    <w:rPr>
      <w:sz w:val="22"/>
    </w:rPr>
  </w:style>
  <w:style w:type="paragraph" w:customStyle="1" w:styleId="N0-FlLftBullet">
    <w:name w:val="N0-Fl Lft Bullet"/>
    <w:basedOn w:val="Normal"/>
    <w:rsid w:val="007D5BA9"/>
    <w:pPr>
      <w:tabs>
        <w:tab w:val="left" w:pos="576"/>
      </w:tabs>
      <w:spacing w:after="240"/>
      <w:ind w:left="576" w:hanging="576"/>
    </w:pPr>
  </w:style>
  <w:style w:type="paragraph" w:customStyle="1" w:styleId="N1-1stBullet">
    <w:name w:val="N1-1st Bullet"/>
    <w:basedOn w:val="Normal"/>
    <w:rsid w:val="007D5BA9"/>
    <w:pPr>
      <w:tabs>
        <w:tab w:val="left" w:pos="1152"/>
      </w:tabs>
      <w:spacing w:after="240"/>
      <w:ind w:left="1152" w:hanging="576"/>
    </w:pPr>
  </w:style>
  <w:style w:type="paragraph" w:customStyle="1" w:styleId="N2-2ndBullet">
    <w:name w:val="N2-2nd Bullet"/>
    <w:basedOn w:val="Normal"/>
    <w:rsid w:val="007D5BA9"/>
    <w:pPr>
      <w:numPr>
        <w:numId w:val="2"/>
      </w:numPr>
      <w:tabs>
        <w:tab w:val="left" w:pos="1728"/>
      </w:tabs>
      <w:spacing w:after="240"/>
    </w:pPr>
  </w:style>
  <w:style w:type="paragraph" w:customStyle="1" w:styleId="N3-3rdBullet">
    <w:name w:val="N3-3rd Bullet"/>
    <w:basedOn w:val="Normal"/>
    <w:rsid w:val="007D5BA9"/>
    <w:pPr>
      <w:tabs>
        <w:tab w:val="left" w:pos="2304"/>
      </w:tabs>
      <w:spacing w:after="240"/>
      <w:ind w:left="2304" w:hanging="576"/>
    </w:pPr>
  </w:style>
  <w:style w:type="paragraph" w:customStyle="1" w:styleId="N4-4thBullet">
    <w:name w:val="N4-4th Bullet"/>
    <w:basedOn w:val="Normal"/>
    <w:rsid w:val="007D5BA9"/>
    <w:pPr>
      <w:tabs>
        <w:tab w:val="left" w:pos="2880"/>
      </w:tabs>
      <w:spacing w:after="240"/>
      <w:ind w:left="2880" w:hanging="576"/>
    </w:pPr>
  </w:style>
  <w:style w:type="paragraph" w:customStyle="1" w:styleId="N5-5thBullet">
    <w:name w:val="N5-5th Bullet"/>
    <w:basedOn w:val="Normal"/>
    <w:rsid w:val="007D5BA9"/>
    <w:pPr>
      <w:tabs>
        <w:tab w:val="left" w:pos="3456"/>
      </w:tabs>
      <w:spacing w:after="240"/>
      <w:ind w:left="3456" w:hanging="576"/>
    </w:pPr>
  </w:style>
  <w:style w:type="paragraph" w:customStyle="1" w:styleId="N6-DateInd">
    <w:name w:val="N6-Date Ind."/>
    <w:basedOn w:val="Normal"/>
    <w:rsid w:val="007D5BA9"/>
    <w:pPr>
      <w:tabs>
        <w:tab w:val="left" w:pos="5400"/>
      </w:tabs>
      <w:ind w:left="5400"/>
    </w:pPr>
  </w:style>
  <w:style w:type="paragraph" w:customStyle="1" w:styleId="N7-3Block">
    <w:name w:val="N7-3&quot; Block"/>
    <w:basedOn w:val="Normal"/>
    <w:rsid w:val="007D5BA9"/>
    <w:pPr>
      <w:tabs>
        <w:tab w:val="left" w:pos="1152"/>
      </w:tabs>
      <w:ind w:left="1152" w:right="1152"/>
    </w:pPr>
  </w:style>
  <w:style w:type="paragraph" w:customStyle="1" w:styleId="N8-QxQBlock">
    <w:name w:val="N8-QxQ Block"/>
    <w:rsid w:val="007D5BA9"/>
    <w:pPr>
      <w:tabs>
        <w:tab w:val="left" w:pos="1152"/>
      </w:tabs>
      <w:spacing w:after="360" w:line="360" w:lineRule="atLeast"/>
      <w:ind w:left="1152" w:hanging="1152"/>
      <w:jc w:val="both"/>
    </w:pPr>
    <w:rPr>
      <w:sz w:val="22"/>
    </w:rPr>
  </w:style>
  <w:style w:type="paragraph" w:customStyle="1" w:styleId="P1-StandPara">
    <w:name w:val="P1-Stand Para"/>
    <w:rsid w:val="007D5BA9"/>
    <w:pPr>
      <w:spacing w:line="360" w:lineRule="atLeast"/>
      <w:ind w:firstLine="1152"/>
      <w:jc w:val="both"/>
    </w:pPr>
    <w:rPr>
      <w:sz w:val="22"/>
    </w:rPr>
  </w:style>
  <w:style w:type="paragraph" w:customStyle="1" w:styleId="Q1-BestFinQ">
    <w:name w:val="Q1-Best/Fin Q"/>
    <w:rsid w:val="007D5BA9"/>
    <w:pPr>
      <w:tabs>
        <w:tab w:val="left" w:pos="1152"/>
      </w:tabs>
      <w:spacing w:after="360" w:line="240" w:lineRule="atLeast"/>
      <w:ind w:left="1152" w:hanging="1152"/>
      <w:jc w:val="both"/>
    </w:pPr>
    <w:rPr>
      <w:b/>
      <w:sz w:val="22"/>
    </w:rPr>
  </w:style>
  <w:style w:type="paragraph" w:customStyle="1" w:styleId="SH-SglSpHead">
    <w:name w:val="SH-Sgl Sp Head"/>
    <w:rsid w:val="007D5BA9"/>
    <w:pPr>
      <w:keepNext/>
      <w:tabs>
        <w:tab w:val="left" w:pos="576"/>
      </w:tabs>
      <w:spacing w:line="240" w:lineRule="atLeast"/>
      <w:ind w:left="576" w:hanging="576"/>
    </w:pPr>
    <w:rPr>
      <w:b/>
      <w:sz w:val="22"/>
    </w:rPr>
  </w:style>
  <w:style w:type="paragraph" w:customStyle="1" w:styleId="SL-FlLftSgl">
    <w:name w:val="SL-Fl Lft Sgl"/>
    <w:rsid w:val="007D5BA9"/>
    <w:pPr>
      <w:spacing w:line="240" w:lineRule="atLeast"/>
      <w:jc w:val="both"/>
    </w:pPr>
    <w:rPr>
      <w:sz w:val="22"/>
    </w:rPr>
  </w:style>
  <w:style w:type="paragraph" w:customStyle="1" w:styleId="SP-SglSpPara">
    <w:name w:val="SP-Sgl Sp Para"/>
    <w:rsid w:val="007D5BA9"/>
    <w:pPr>
      <w:tabs>
        <w:tab w:val="left" w:pos="576"/>
      </w:tabs>
      <w:spacing w:line="240" w:lineRule="atLeast"/>
      <w:ind w:firstLine="576"/>
      <w:jc w:val="both"/>
    </w:pPr>
    <w:rPr>
      <w:sz w:val="22"/>
    </w:rPr>
  </w:style>
  <w:style w:type="paragraph" w:customStyle="1" w:styleId="T0-ChapPgHd">
    <w:name w:val="T0-Chap/Pg Hd"/>
    <w:rsid w:val="007D5BA9"/>
    <w:pPr>
      <w:tabs>
        <w:tab w:val="left" w:pos="8640"/>
      </w:tabs>
      <w:spacing w:line="240" w:lineRule="atLeast"/>
      <w:jc w:val="both"/>
    </w:pPr>
    <w:rPr>
      <w:sz w:val="22"/>
      <w:u w:val="words"/>
    </w:rPr>
  </w:style>
  <w:style w:type="paragraph" w:styleId="TOC1">
    <w:name w:val="toc 1"/>
    <w:autoRedefine/>
    <w:semiHidden/>
    <w:rsid w:val="007D5BA9"/>
    <w:pPr>
      <w:tabs>
        <w:tab w:val="left" w:pos="1440"/>
        <w:tab w:val="right" w:leader="dot" w:pos="8208"/>
        <w:tab w:val="left" w:pos="8640"/>
      </w:tabs>
      <w:spacing w:line="240" w:lineRule="atLeast"/>
      <w:ind w:left="288"/>
    </w:pPr>
    <w:rPr>
      <w:caps/>
      <w:sz w:val="22"/>
    </w:rPr>
  </w:style>
  <w:style w:type="paragraph" w:styleId="TOC2">
    <w:name w:val="toc 2"/>
    <w:autoRedefine/>
    <w:semiHidden/>
    <w:rsid w:val="007D5BA9"/>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7D5BA9"/>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7D5BA9"/>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7D5BA9"/>
    <w:rPr>
      <w:caps w:val="0"/>
    </w:rPr>
  </w:style>
  <w:style w:type="paragraph" w:customStyle="1" w:styleId="TT-TableTitle">
    <w:name w:val="TT-Table Title"/>
    <w:rsid w:val="007D5BA9"/>
    <w:pPr>
      <w:tabs>
        <w:tab w:val="left" w:pos="1152"/>
      </w:tabs>
      <w:spacing w:line="240" w:lineRule="atLeast"/>
      <w:ind w:left="1152" w:hanging="1152"/>
    </w:pPr>
    <w:rPr>
      <w:sz w:val="22"/>
    </w:rPr>
  </w:style>
  <w:style w:type="paragraph" w:styleId="Header">
    <w:name w:val="header"/>
    <w:basedOn w:val="Normal"/>
    <w:rsid w:val="007D5BA9"/>
    <w:pPr>
      <w:tabs>
        <w:tab w:val="center" w:pos="4320"/>
        <w:tab w:val="right" w:pos="8640"/>
      </w:tabs>
    </w:pPr>
    <w:rPr>
      <w:sz w:val="16"/>
    </w:rPr>
  </w:style>
  <w:style w:type="paragraph" w:styleId="Footer">
    <w:name w:val="footer"/>
    <w:basedOn w:val="Normal"/>
    <w:rsid w:val="007D5BA9"/>
    <w:pPr>
      <w:tabs>
        <w:tab w:val="center" w:pos="4320"/>
        <w:tab w:val="right" w:pos="8640"/>
      </w:tabs>
    </w:pPr>
  </w:style>
  <w:style w:type="paragraph" w:styleId="BodyText">
    <w:name w:val="Body Text"/>
    <w:basedOn w:val="Normal"/>
    <w:rsid w:val="007D5BA9"/>
    <w:rPr>
      <w:i/>
      <w:sz w:val="18"/>
    </w:rPr>
  </w:style>
  <w:style w:type="paragraph" w:styleId="BalloonText">
    <w:name w:val="Balloon Text"/>
    <w:basedOn w:val="Normal"/>
    <w:semiHidden/>
    <w:rsid w:val="00C04D2D"/>
    <w:rPr>
      <w:rFonts w:ascii="Tahoma" w:hAnsi="Tahoma" w:cs="Tahoma"/>
      <w:sz w:val="16"/>
      <w:szCs w:val="16"/>
    </w:rPr>
  </w:style>
  <w:style w:type="character" w:styleId="CommentReference">
    <w:name w:val="annotation reference"/>
    <w:basedOn w:val="DefaultParagraphFont"/>
    <w:uiPriority w:val="99"/>
    <w:semiHidden/>
    <w:unhideWhenUsed/>
    <w:rsid w:val="00B233A6"/>
    <w:rPr>
      <w:sz w:val="16"/>
      <w:szCs w:val="16"/>
    </w:rPr>
  </w:style>
  <w:style w:type="paragraph" w:styleId="CommentText">
    <w:name w:val="annotation text"/>
    <w:basedOn w:val="Normal"/>
    <w:link w:val="CommentTextChar"/>
    <w:uiPriority w:val="99"/>
    <w:semiHidden/>
    <w:unhideWhenUsed/>
    <w:rsid w:val="00B233A6"/>
    <w:pPr>
      <w:spacing w:line="240" w:lineRule="auto"/>
    </w:pPr>
    <w:rPr>
      <w:sz w:val="20"/>
    </w:rPr>
  </w:style>
  <w:style w:type="character" w:customStyle="1" w:styleId="CommentTextChar">
    <w:name w:val="Comment Text Char"/>
    <w:basedOn w:val="DefaultParagraphFont"/>
    <w:link w:val="CommentText"/>
    <w:uiPriority w:val="99"/>
    <w:semiHidden/>
    <w:rsid w:val="00B233A6"/>
  </w:style>
  <w:style w:type="paragraph" w:styleId="CommentSubject">
    <w:name w:val="annotation subject"/>
    <w:basedOn w:val="CommentText"/>
    <w:next w:val="CommentText"/>
    <w:link w:val="CommentSubjectChar"/>
    <w:uiPriority w:val="99"/>
    <w:semiHidden/>
    <w:unhideWhenUsed/>
    <w:rsid w:val="00B233A6"/>
    <w:rPr>
      <w:b/>
      <w:bCs/>
    </w:rPr>
  </w:style>
  <w:style w:type="character" w:customStyle="1" w:styleId="CommentSubjectChar">
    <w:name w:val="Comment Subject Char"/>
    <w:basedOn w:val="CommentTextChar"/>
    <w:link w:val="CommentSubject"/>
    <w:uiPriority w:val="99"/>
    <w:semiHidden/>
    <w:rsid w:val="00B233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10" b="0" i="1" u="none" strike="noStrike" baseline="0">
                <a:solidFill>
                  <a:srgbClr val="000000"/>
                </a:solidFill>
                <a:latin typeface="Times New Roman"/>
                <a:ea typeface="Times New Roman"/>
                <a:cs typeface="Times New Roman"/>
              </a:defRPr>
            </a:pPr>
            <a:r>
              <a:rPr lang="en-US" sz="1010" b="0" i="1" u="none" strike="noStrike" baseline="0">
                <a:solidFill>
                  <a:srgbClr val="000000"/>
                </a:solidFill>
                <a:latin typeface="Times New Roman"/>
                <a:cs typeface="Times New Roman"/>
              </a:rPr>
              <a:t>Graph 1.</a:t>
            </a:r>
          </a:p>
          <a:p>
            <a:pPr>
              <a:defRPr sz="1010" b="0" i="1" u="none" strike="noStrike" baseline="0">
                <a:solidFill>
                  <a:srgbClr val="000000"/>
                </a:solidFill>
                <a:latin typeface="Times New Roman"/>
                <a:ea typeface="Times New Roman"/>
                <a:cs typeface="Times New Roman"/>
              </a:defRPr>
            </a:pPr>
            <a:r>
              <a:rPr lang="en-US" sz="1010" b="1" i="1" u="none" strike="noStrike" baseline="0">
                <a:solidFill>
                  <a:srgbClr val="000000"/>
                </a:solidFill>
                <a:latin typeface="Times New Roman"/>
                <a:cs typeface="Times New Roman"/>
              </a:rPr>
              <a:t>Out of Pocket Expenses for Health Care as a Percent of Income Range: 2015</a:t>
            </a:r>
          </a:p>
        </c:rich>
      </c:tx>
      <c:layout>
        <c:manualLayout>
          <c:xMode val="edge"/>
          <c:yMode val="edge"/>
          <c:x val="0.11909262759924392"/>
          <c:y val="1.923076923076927E-2"/>
        </c:manualLayout>
      </c:layout>
      <c:overlay val="0"/>
      <c:spPr>
        <a:noFill/>
        <a:ln w="29286">
          <a:noFill/>
        </a:ln>
      </c:spPr>
    </c:title>
    <c:autoTitleDeleted val="0"/>
    <c:plotArea>
      <c:layout>
        <c:manualLayout>
          <c:layoutTarget val="inner"/>
          <c:xMode val="edge"/>
          <c:yMode val="edge"/>
          <c:x val="0.15311909262759954"/>
          <c:y val="0.27644230769230782"/>
          <c:w val="0.82608695652173914"/>
          <c:h val="0.54807692307692257"/>
        </c:manualLayout>
      </c:layout>
      <c:barChart>
        <c:barDir val="col"/>
        <c:grouping val="clustered"/>
        <c:varyColors val="0"/>
        <c:ser>
          <c:idx val="0"/>
          <c:order val="0"/>
          <c:tx>
            <c:strRef>
              <c:f>Sheet1!$B$1</c:f>
              <c:strCache>
                <c:ptCount val="1"/>
                <c:pt idx="0">
                  <c:v>percent</c:v>
                </c:pt>
              </c:strCache>
            </c:strRef>
          </c:tx>
          <c:spPr>
            <a:solidFill>
              <a:srgbClr val="000000"/>
            </a:solidFill>
            <a:ln w="14643">
              <a:solidFill>
                <a:srgbClr val="000000"/>
              </a:solidFill>
              <a:prstDash val="solid"/>
            </a:ln>
          </c:spPr>
          <c:invertIfNegative val="0"/>
          <c:dLbls>
            <c:spPr>
              <a:noFill/>
              <a:ln w="29286">
                <a:noFill/>
              </a:ln>
            </c:spPr>
            <c:txPr>
              <a:bodyPr/>
              <a:lstStyle/>
              <a:p>
                <a:pPr>
                  <a:defRPr sz="922"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Sheet1!$A$2:$A$9</c:f>
              <c:strCache>
                <c:ptCount val="8"/>
                <c:pt idx="0">
                  <c:v>Less than $10,000</c:v>
                </c:pt>
                <c:pt idx="1">
                  <c:v>$10,000 to $14,999</c:v>
                </c:pt>
                <c:pt idx="2">
                  <c:v>$15,000 to $19,999</c:v>
                </c:pt>
                <c:pt idx="3">
                  <c:v>$20,000 to $29,999</c:v>
                </c:pt>
                <c:pt idx="4">
                  <c:v>$30,000 to $39,999</c:v>
                </c:pt>
                <c:pt idx="5">
                  <c:v>$40,000 to $49,999</c:v>
                </c:pt>
                <c:pt idx="6">
                  <c:v>$50,000 to $69,000</c:v>
                </c:pt>
                <c:pt idx="7">
                  <c:v>$70,000 and over</c:v>
                </c:pt>
              </c:strCache>
            </c:strRef>
          </c:cat>
          <c:val>
            <c:numRef>
              <c:f>Sheet1!$B$2:$B$9</c:f>
              <c:numCache>
                <c:formatCode>0.0%</c:formatCode>
                <c:ptCount val="8"/>
                <c:pt idx="0">
                  <c:v>0.1197</c:v>
                </c:pt>
                <c:pt idx="1">
                  <c:v>5.6399999999999999E-2</c:v>
                </c:pt>
                <c:pt idx="2">
                  <c:v>5.3999999999999999E-2</c:v>
                </c:pt>
                <c:pt idx="3">
                  <c:v>4.0800000000000003E-2</c:v>
                </c:pt>
                <c:pt idx="4">
                  <c:v>2.8199999999999999E-2</c:v>
                </c:pt>
                <c:pt idx="5">
                  <c:v>2.0500000000000001E-2</c:v>
                </c:pt>
                <c:pt idx="6">
                  <c:v>1.7000000000000001E-2</c:v>
                </c:pt>
                <c:pt idx="7">
                  <c:v>0.01</c:v>
                </c:pt>
              </c:numCache>
            </c:numRef>
          </c:val>
          <c:extLst xmlns:c16r2="http://schemas.microsoft.com/office/drawing/2015/06/chart">
            <c:ext xmlns:c16="http://schemas.microsoft.com/office/drawing/2014/chart" uri="{C3380CC4-5D6E-409C-BE32-E72D297353CC}">
              <c16:uniqueId val="{00000000-2C4C-424B-9648-9D4006E6D2F5}"/>
            </c:ext>
          </c:extLst>
        </c:ser>
        <c:dLbls>
          <c:showLegendKey val="0"/>
          <c:showVal val="1"/>
          <c:showCatName val="0"/>
          <c:showSerName val="0"/>
          <c:showPercent val="0"/>
          <c:showBubbleSize val="0"/>
        </c:dLbls>
        <c:gapWidth val="150"/>
        <c:axId val="48066560"/>
        <c:axId val="48069632"/>
      </c:barChart>
      <c:catAx>
        <c:axId val="48066560"/>
        <c:scaling>
          <c:orientation val="minMax"/>
        </c:scaling>
        <c:delete val="0"/>
        <c:axPos val="b"/>
        <c:title>
          <c:tx>
            <c:rich>
              <a:bodyPr/>
              <a:lstStyle/>
              <a:p>
                <a:pPr>
                  <a:defRPr sz="1067" b="1" i="0" u="none" strike="noStrike" baseline="0">
                    <a:solidFill>
                      <a:srgbClr val="000000"/>
                    </a:solidFill>
                    <a:latin typeface="Times New Roman"/>
                    <a:ea typeface="Times New Roman"/>
                    <a:cs typeface="Times New Roman"/>
                  </a:defRPr>
                </a:pPr>
                <a:r>
                  <a:rPr lang="en-US" sz="1000"/>
                  <a:t>Income Range</a:t>
                </a:r>
              </a:p>
            </c:rich>
          </c:tx>
          <c:layout>
            <c:manualLayout>
              <c:xMode val="edge"/>
              <c:yMode val="edge"/>
              <c:x val="0.46950757368921175"/>
              <c:y val="0.93055087412319171"/>
            </c:manualLayout>
          </c:layout>
          <c:overlay val="0"/>
          <c:spPr>
            <a:noFill/>
            <a:ln w="29286">
              <a:noFill/>
            </a:ln>
          </c:spPr>
        </c:title>
        <c:numFmt formatCode="General" sourceLinked="1"/>
        <c:majorTickMark val="out"/>
        <c:minorTickMark val="none"/>
        <c:tickLblPos val="nextTo"/>
        <c:spPr>
          <a:ln w="3661">
            <a:solidFill>
              <a:srgbClr val="000000"/>
            </a:solidFill>
            <a:prstDash val="solid"/>
          </a:ln>
        </c:spPr>
        <c:txPr>
          <a:bodyPr rot="0" vert="horz"/>
          <a:lstStyle/>
          <a:p>
            <a:pPr>
              <a:defRPr sz="663" b="0" i="0" u="none" strike="noStrike" baseline="0">
                <a:solidFill>
                  <a:srgbClr val="000000"/>
                </a:solidFill>
                <a:latin typeface="Times New Roman"/>
                <a:ea typeface="Times New Roman"/>
                <a:cs typeface="Times New Roman"/>
              </a:defRPr>
            </a:pPr>
            <a:endParaRPr lang="en-US"/>
          </a:p>
        </c:txPr>
        <c:crossAx val="48069632"/>
        <c:crosses val="autoZero"/>
        <c:auto val="1"/>
        <c:lblAlgn val="ctr"/>
        <c:lblOffset val="100"/>
        <c:tickLblSkip val="1"/>
        <c:tickMarkSkip val="1"/>
        <c:noMultiLvlLbl val="0"/>
      </c:catAx>
      <c:valAx>
        <c:axId val="48069632"/>
        <c:scaling>
          <c:orientation val="minMax"/>
        </c:scaling>
        <c:delete val="0"/>
        <c:axPos val="l"/>
        <c:majorGridlines>
          <c:spPr>
            <a:ln w="3661">
              <a:solidFill>
                <a:srgbClr val="969696"/>
              </a:solidFill>
              <a:prstDash val="solid"/>
            </a:ln>
          </c:spPr>
        </c:majorGridlines>
        <c:title>
          <c:tx>
            <c:rich>
              <a:bodyPr/>
              <a:lstStyle/>
              <a:p>
                <a:pPr>
                  <a:defRPr sz="1067" b="1" i="0" u="none" strike="noStrike" baseline="0">
                    <a:solidFill>
                      <a:srgbClr val="000000"/>
                    </a:solidFill>
                    <a:latin typeface="Times New Roman"/>
                    <a:ea typeface="Times New Roman"/>
                    <a:cs typeface="Times New Roman"/>
                  </a:defRPr>
                </a:pPr>
                <a:r>
                  <a:rPr lang="en-US" sz="1000"/>
                  <a:t>Percent of Income</a:t>
                </a:r>
              </a:p>
            </c:rich>
          </c:tx>
          <c:layout>
            <c:manualLayout>
              <c:xMode val="edge"/>
              <c:yMode val="edge"/>
              <c:x val="1.1093273534982901E-3"/>
              <c:y val="0.40144218814753418"/>
            </c:manualLayout>
          </c:layout>
          <c:overlay val="0"/>
          <c:spPr>
            <a:noFill/>
            <a:ln w="29286">
              <a:noFill/>
            </a:ln>
          </c:spPr>
        </c:title>
        <c:numFmt formatCode="0.0%" sourceLinked="1"/>
        <c:majorTickMark val="out"/>
        <c:minorTickMark val="none"/>
        <c:tickLblPos val="nextTo"/>
        <c:spPr>
          <a:ln w="3661">
            <a:solidFill>
              <a:srgbClr val="000000"/>
            </a:solidFill>
            <a:prstDash val="solid"/>
          </a:ln>
        </c:spPr>
        <c:txPr>
          <a:bodyPr rot="0" vert="horz"/>
          <a:lstStyle/>
          <a:p>
            <a:pPr>
              <a:defRPr sz="922" b="0" i="0" u="none" strike="noStrike" baseline="0">
                <a:solidFill>
                  <a:srgbClr val="000000"/>
                </a:solidFill>
                <a:latin typeface="Times New Roman"/>
                <a:ea typeface="Times New Roman"/>
                <a:cs typeface="Times New Roman"/>
              </a:defRPr>
            </a:pPr>
            <a:endParaRPr lang="en-US"/>
          </a:p>
        </c:txPr>
        <c:crossAx val="48066560"/>
        <c:crosses val="autoZero"/>
        <c:crossBetween val="between"/>
      </c:valAx>
      <c:spPr>
        <a:solidFill>
          <a:srgbClr val="FFFFFF"/>
        </a:solidFill>
        <a:ln w="14643">
          <a:solidFill>
            <a:srgbClr val="808080"/>
          </a:solidFill>
          <a:prstDash val="solid"/>
        </a:ln>
      </c:spPr>
    </c:plotArea>
    <c:plotVisOnly val="1"/>
    <c:dispBlanksAs val="gap"/>
    <c:showDLblsOverMax val="0"/>
  </c:chart>
  <c:spPr>
    <a:solidFill>
      <a:srgbClr val="FFFFFF"/>
    </a:solidFill>
    <a:ln>
      <a:noFill/>
    </a:ln>
  </c:spPr>
  <c:txPr>
    <a:bodyPr/>
    <a:lstStyle/>
    <a:p>
      <a:pPr>
        <a:defRPr sz="1326"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89" b="0" i="1" u="none" strike="noStrike" baseline="0">
                <a:solidFill>
                  <a:srgbClr val="000000"/>
                </a:solidFill>
                <a:latin typeface="Times New Roman"/>
                <a:ea typeface="Times New Roman"/>
                <a:cs typeface="Times New Roman"/>
              </a:defRPr>
            </a:pPr>
            <a:r>
              <a:rPr lang="en-US" sz="1007" b="0" i="1" u="none" strike="noStrike" baseline="0">
                <a:solidFill>
                  <a:srgbClr val="000000"/>
                </a:solidFill>
                <a:latin typeface="Times New Roman"/>
                <a:cs typeface="Times New Roman"/>
              </a:rPr>
              <a:t>Graph 2.</a:t>
            </a:r>
          </a:p>
          <a:p>
            <a:pPr>
              <a:defRPr sz="989" b="0" i="1" u="none" strike="noStrike" baseline="0">
                <a:solidFill>
                  <a:srgbClr val="000000"/>
                </a:solidFill>
                <a:latin typeface="Times New Roman"/>
                <a:ea typeface="Times New Roman"/>
                <a:cs typeface="Times New Roman"/>
              </a:defRPr>
            </a:pPr>
            <a:r>
              <a:rPr lang="en-US" sz="1007" b="1" i="1" u="none" strike="noStrike" baseline="0">
                <a:solidFill>
                  <a:srgbClr val="000000"/>
                </a:solidFill>
                <a:latin typeface="Times New Roman"/>
                <a:cs typeface="Times New Roman"/>
              </a:rPr>
              <a:t>Out-of-Pocket Expenses for Health Care as a Percent of Income by Age Group: 2015</a:t>
            </a:r>
          </a:p>
        </c:rich>
      </c:tx>
      <c:layout>
        <c:manualLayout>
          <c:xMode val="edge"/>
          <c:yMode val="edge"/>
          <c:x val="0.11238095238095239"/>
          <c:y val="2.0671834625323088E-2"/>
        </c:manualLayout>
      </c:layout>
      <c:overlay val="0"/>
      <c:spPr>
        <a:noFill/>
        <a:ln w="24943">
          <a:noFill/>
        </a:ln>
      </c:spPr>
    </c:title>
    <c:autoTitleDeleted val="0"/>
    <c:plotArea>
      <c:layout>
        <c:manualLayout>
          <c:layoutTarget val="inner"/>
          <c:xMode val="edge"/>
          <c:yMode val="edge"/>
          <c:x val="0.14285714285714318"/>
          <c:y val="0.29198966408268823"/>
          <c:w val="0.83619047619047815"/>
          <c:h val="0.48837209302325679"/>
        </c:manualLayout>
      </c:layout>
      <c:barChart>
        <c:barDir val="col"/>
        <c:grouping val="clustered"/>
        <c:varyColors val="0"/>
        <c:ser>
          <c:idx val="0"/>
          <c:order val="0"/>
          <c:tx>
            <c:strRef>
              <c:f>Sheet1!$B$1</c:f>
              <c:strCache>
                <c:ptCount val="1"/>
                <c:pt idx="0">
                  <c:v>Percent</c:v>
                </c:pt>
              </c:strCache>
            </c:strRef>
          </c:tx>
          <c:spPr>
            <a:solidFill>
              <a:srgbClr val="000000"/>
            </a:solidFill>
            <a:ln w="12471">
              <a:solidFill>
                <a:srgbClr val="000000"/>
              </a:solidFill>
              <a:prstDash val="solid"/>
            </a:ln>
          </c:spPr>
          <c:invertIfNegative val="0"/>
          <c:dLbls>
            <c:spPr>
              <a:noFill/>
              <a:ln w="24943">
                <a:noFill/>
              </a:ln>
            </c:spPr>
            <c:txPr>
              <a:bodyPr/>
              <a:lstStyle/>
              <a:p>
                <a:pPr>
                  <a:defRPr sz="786"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Sheet1!$A$2:$A$8</c:f>
              <c:strCache>
                <c:ptCount val="7"/>
                <c:pt idx="0">
                  <c:v>18-24 yrs</c:v>
                </c:pt>
                <c:pt idx="1">
                  <c:v>25-34 yrs</c:v>
                </c:pt>
                <c:pt idx="2">
                  <c:v>35-44 yrs</c:v>
                </c:pt>
                <c:pt idx="3">
                  <c:v>45-54 yrs</c:v>
                </c:pt>
                <c:pt idx="4">
                  <c:v>55-64 yrs</c:v>
                </c:pt>
                <c:pt idx="5">
                  <c:v>65-74 yrs</c:v>
                </c:pt>
                <c:pt idx="6">
                  <c:v>75 yrs and older</c:v>
                </c:pt>
              </c:strCache>
            </c:strRef>
          </c:cat>
          <c:val>
            <c:numRef>
              <c:f>Sheet1!$B$2:$B$8</c:f>
              <c:numCache>
                <c:formatCode>0.0%</c:formatCode>
                <c:ptCount val="7"/>
                <c:pt idx="0">
                  <c:v>2.9000000000000001E-2</c:v>
                </c:pt>
                <c:pt idx="1">
                  <c:v>1.38E-2</c:v>
                </c:pt>
                <c:pt idx="2">
                  <c:v>1.2800000000000001E-2</c:v>
                </c:pt>
                <c:pt idx="3">
                  <c:v>1.49E-2</c:v>
                </c:pt>
                <c:pt idx="4">
                  <c:v>2.29E-2</c:v>
                </c:pt>
                <c:pt idx="5">
                  <c:v>2.8799999999999999E-2</c:v>
                </c:pt>
                <c:pt idx="6">
                  <c:v>4.9700000000000001E-2</c:v>
                </c:pt>
              </c:numCache>
            </c:numRef>
          </c:val>
          <c:extLst xmlns:c16r2="http://schemas.microsoft.com/office/drawing/2015/06/chart">
            <c:ext xmlns:c16="http://schemas.microsoft.com/office/drawing/2014/chart" uri="{C3380CC4-5D6E-409C-BE32-E72D297353CC}">
              <c16:uniqueId val="{00000000-C4B6-4485-9083-E3AC63C580A2}"/>
            </c:ext>
          </c:extLst>
        </c:ser>
        <c:dLbls>
          <c:showLegendKey val="0"/>
          <c:showVal val="1"/>
          <c:showCatName val="0"/>
          <c:showSerName val="0"/>
          <c:showPercent val="0"/>
          <c:showBubbleSize val="0"/>
        </c:dLbls>
        <c:gapWidth val="150"/>
        <c:axId val="47997312"/>
        <c:axId val="48000384"/>
      </c:barChart>
      <c:catAx>
        <c:axId val="47997312"/>
        <c:scaling>
          <c:orientation val="minMax"/>
        </c:scaling>
        <c:delete val="0"/>
        <c:axPos val="b"/>
        <c:title>
          <c:tx>
            <c:rich>
              <a:bodyPr/>
              <a:lstStyle/>
              <a:p>
                <a:pPr>
                  <a:defRPr sz="884" b="1" i="0" u="none" strike="noStrike" baseline="0">
                    <a:solidFill>
                      <a:srgbClr val="000000"/>
                    </a:solidFill>
                    <a:latin typeface="Times New Roman"/>
                    <a:ea typeface="Times New Roman"/>
                    <a:cs typeface="Times New Roman"/>
                  </a:defRPr>
                </a:pPr>
                <a:r>
                  <a:rPr lang="en-US" sz="1000"/>
                  <a:t>Age Group</a:t>
                </a:r>
              </a:p>
            </c:rich>
          </c:tx>
          <c:layout>
            <c:manualLayout>
              <c:xMode val="edge"/>
              <c:yMode val="edge"/>
              <c:x val="0.48761916883485701"/>
              <c:y val="0.90858289162628958"/>
            </c:manualLayout>
          </c:layout>
          <c:overlay val="0"/>
          <c:spPr>
            <a:noFill/>
            <a:ln w="24943">
              <a:noFill/>
            </a:ln>
          </c:spPr>
        </c:title>
        <c:numFmt formatCode="General" sourceLinked="1"/>
        <c:majorTickMark val="out"/>
        <c:minorTickMark val="none"/>
        <c:tickLblPos val="nextTo"/>
        <c:spPr>
          <a:ln w="3118">
            <a:solidFill>
              <a:srgbClr val="000000"/>
            </a:solidFill>
            <a:prstDash val="solid"/>
          </a:ln>
        </c:spPr>
        <c:txPr>
          <a:bodyPr rot="0" vert="horz"/>
          <a:lstStyle/>
          <a:p>
            <a:pPr>
              <a:defRPr sz="786" b="0" i="0" u="none" strike="noStrike" baseline="0">
                <a:solidFill>
                  <a:srgbClr val="000000"/>
                </a:solidFill>
                <a:latin typeface="Times New Roman"/>
                <a:ea typeface="Times New Roman"/>
                <a:cs typeface="Times New Roman"/>
              </a:defRPr>
            </a:pPr>
            <a:endParaRPr lang="en-US"/>
          </a:p>
        </c:txPr>
        <c:crossAx val="48000384"/>
        <c:crosses val="autoZero"/>
        <c:auto val="1"/>
        <c:lblAlgn val="ctr"/>
        <c:lblOffset val="100"/>
        <c:tickLblSkip val="1"/>
        <c:tickMarkSkip val="1"/>
        <c:noMultiLvlLbl val="0"/>
      </c:catAx>
      <c:valAx>
        <c:axId val="48000384"/>
        <c:scaling>
          <c:orientation val="minMax"/>
        </c:scaling>
        <c:delete val="0"/>
        <c:axPos val="l"/>
        <c:majorGridlines>
          <c:spPr>
            <a:ln w="3118">
              <a:solidFill>
                <a:srgbClr val="969696"/>
              </a:solidFill>
              <a:prstDash val="solid"/>
            </a:ln>
          </c:spPr>
        </c:majorGridlines>
        <c:title>
          <c:tx>
            <c:rich>
              <a:bodyPr/>
              <a:lstStyle/>
              <a:p>
                <a:pPr>
                  <a:defRPr sz="1000" b="1" i="0" u="none" strike="noStrike" baseline="0">
                    <a:solidFill>
                      <a:srgbClr val="000000"/>
                    </a:solidFill>
                    <a:latin typeface="Times New Roman"/>
                    <a:ea typeface="Times New Roman"/>
                    <a:cs typeface="Times New Roman"/>
                  </a:defRPr>
                </a:pPr>
                <a:r>
                  <a:rPr lang="en-US" sz="1000"/>
                  <a:t>Percent of Income</a:t>
                </a:r>
              </a:p>
            </c:rich>
          </c:tx>
          <c:layout>
            <c:manualLayout>
              <c:xMode val="edge"/>
              <c:yMode val="edge"/>
              <c:x val="1.0977606661461399E-3"/>
              <c:y val="0.37467711256394648"/>
            </c:manualLayout>
          </c:layout>
          <c:overlay val="0"/>
          <c:spPr>
            <a:noFill/>
            <a:ln w="24943">
              <a:noFill/>
            </a:ln>
          </c:spPr>
        </c:title>
        <c:numFmt formatCode="0.0%" sourceLinked="1"/>
        <c:majorTickMark val="out"/>
        <c:minorTickMark val="none"/>
        <c:tickLblPos val="nextTo"/>
        <c:spPr>
          <a:ln w="3118">
            <a:solidFill>
              <a:srgbClr val="000000"/>
            </a:solidFill>
            <a:prstDash val="solid"/>
          </a:ln>
        </c:spPr>
        <c:txPr>
          <a:bodyPr rot="0" vert="horz"/>
          <a:lstStyle/>
          <a:p>
            <a:pPr>
              <a:defRPr sz="786" b="0" i="0" u="none" strike="noStrike" baseline="0">
                <a:solidFill>
                  <a:srgbClr val="000000"/>
                </a:solidFill>
                <a:latin typeface="Times New Roman"/>
                <a:ea typeface="Times New Roman"/>
                <a:cs typeface="Times New Roman"/>
              </a:defRPr>
            </a:pPr>
            <a:endParaRPr lang="en-US"/>
          </a:p>
        </c:txPr>
        <c:crossAx val="47997312"/>
        <c:crosses val="autoZero"/>
        <c:crossBetween val="between"/>
      </c:valAx>
      <c:spPr>
        <a:solidFill>
          <a:srgbClr val="FFFFFF"/>
        </a:solidFill>
        <a:ln w="12471">
          <a:solidFill>
            <a:srgbClr val="808080"/>
          </a:solidFill>
          <a:prstDash val="solid"/>
        </a:ln>
      </c:spPr>
    </c:plotArea>
    <c:plotVisOnly val="1"/>
    <c:dispBlanksAs val="gap"/>
    <c:showDLblsOverMax val="0"/>
  </c:chart>
  <c:spPr>
    <a:solidFill>
      <a:srgbClr val="FFFFFF"/>
    </a:solidFill>
    <a:ln>
      <a:noFill/>
    </a:ln>
  </c:spPr>
  <c:txPr>
    <a:bodyPr/>
    <a:lstStyle/>
    <a:p>
      <a:pPr>
        <a:defRPr sz="110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Medical Expenditure Panel Survey</vt:lpstr>
    </vt:vector>
  </TitlesOfParts>
  <Company>WESTAT</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Expenditure Panel Survey</dc:title>
  <dc:creator>gatling_c</dc:creator>
  <cp:lastModifiedBy>SYSTEM</cp:lastModifiedBy>
  <cp:revision>2</cp:revision>
  <cp:lastPrinted>2006-10-09T14:12:00Z</cp:lastPrinted>
  <dcterms:created xsi:type="dcterms:W3CDTF">2018-09-12T19:35:00Z</dcterms:created>
  <dcterms:modified xsi:type="dcterms:W3CDTF">2018-09-12T19:35:00Z</dcterms:modified>
</cp:coreProperties>
</file>