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F908" w14:textId="35268AA0" w:rsidR="0054255A" w:rsidRDefault="0054255A">
      <w:pPr>
        <w:rPr>
          <w:b/>
        </w:rPr>
      </w:pPr>
      <w:bookmarkStart w:id="0" w:name="_GoBack"/>
      <w:bookmarkEnd w:id="0"/>
    </w:p>
    <w:p w14:paraId="64EB6614" w14:textId="77777777" w:rsidR="009F2575" w:rsidRPr="00D9641E" w:rsidRDefault="009F2575" w:rsidP="009F2575">
      <w:pPr>
        <w:pStyle w:val="ReportCover-Title"/>
        <w:spacing w:line="240" w:lineRule="auto"/>
        <w:jc w:val="center"/>
        <w:rPr>
          <w:rFonts w:ascii="Arial" w:hAnsi="Arial" w:cs="Arial"/>
          <w:color w:val="auto"/>
        </w:rPr>
      </w:pPr>
      <w:r w:rsidRPr="00BA4B1B">
        <w:rPr>
          <w:rFonts w:ascii="Arial" w:eastAsia="Arial Unicode MS" w:hAnsi="Arial" w:cs="Arial"/>
          <w:noProof/>
          <w:color w:val="auto"/>
        </w:rPr>
        <w:t>State Temporary Assistance for Needy Families Case Studies</w:t>
      </w:r>
    </w:p>
    <w:p w14:paraId="11C893CE" w14:textId="77777777" w:rsidR="0054255A" w:rsidRPr="00B13297" w:rsidRDefault="0054255A" w:rsidP="00B13297">
      <w:pPr>
        <w:pStyle w:val="ReportCover-Title"/>
        <w:rPr>
          <w:rFonts w:ascii="Arial" w:hAnsi="Arial" w:cs="Arial"/>
          <w:color w:val="auto"/>
        </w:rPr>
      </w:pPr>
    </w:p>
    <w:p w14:paraId="56DAFAF6" w14:textId="77777777" w:rsidR="0054255A" w:rsidRPr="00B13297" w:rsidRDefault="0054255A" w:rsidP="00B13297">
      <w:pPr>
        <w:pStyle w:val="ReportCover-Title"/>
        <w:rPr>
          <w:rFonts w:ascii="Arial" w:hAnsi="Arial" w:cs="Arial"/>
          <w:color w:val="auto"/>
        </w:rPr>
      </w:pPr>
    </w:p>
    <w:p w14:paraId="29DA80E4" w14:textId="77777777" w:rsidR="0054255A" w:rsidRPr="00B13297" w:rsidRDefault="0054255A" w:rsidP="00B1329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297CBEC1" w14:textId="04678575" w:rsidR="002C3E6A" w:rsidRPr="00C3346D" w:rsidRDefault="002C3E6A" w:rsidP="002C3E6A">
      <w:pPr>
        <w:pStyle w:val="ReportCover-Date"/>
        <w:spacing w:after="0" w:line="240" w:lineRule="auto"/>
        <w:jc w:val="center"/>
        <w:rPr>
          <w:rFonts w:ascii="Arial" w:hAnsi="Arial" w:cs="Arial"/>
          <w:color w:val="auto"/>
          <w:lang w:val="fr-MA"/>
        </w:rPr>
      </w:pPr>
      <w:r>
        <w:rPr>
          <w:rFonts w:ascii="Arial" w:hAnsi="Arial" w:cs="Arial"/>
          <w:color w:val="auto"/>
          <w:lang w:val="fr-MA"/>
        </w:rPr>
        <w:t>0970-NEW</w:t>
      </w:r>
    </w:p>
    <w:p w14:paraId="20B97EA0" w14:textId="77777777" w:rsidR="0054255A" w:rsidRPr="00B13297" w:rsidRDefault="0054255A" w:rsidP="00B13297">
      <w:pPr>
        <w:rPr>
          <w:rFonts w:ascii="Arial" w:hAnsi="Arial" w:cs="Arial"/>
        </w:rPr>
      </w:pPr>
    </w:p>
    <w:p w14:paraId="073B8B22" w14:textId="77777777" w:rsidR="0054255A" w:rsidRPr="00B13297" w:rsidRDefault="0054255A" w:rsidP="00B13297">
      <w:pPr>
        <w:pStyle w:val="ReportCover-Date"/>
        <w:jc w:val="center"/>
        <w:rPr>
          <w:rFonts w:ascii="Arial" w:hAnsi="Arial" w:cs="Arial"/>
          <w:color w:val="auto"/>
        </w:rPr>
      </w:pPr>
    </w:p>
    <w:p w14:paraId="12554403"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6C1EE474"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14:paraId="782F2D46" w14:textId="12778BC9" w:rsidR="0054255A" w:rsidRPr="00B13297" w:rsidRDefault="002C3E6A" w:rsidP="00B13297">
      <w:pPr>
        <w:pStyle w:val="ReportCover-Date"/>
        <w:jc w:val="center"/>
        <w:rPr>
          <w:rFonts w:ascii="Arial" w:hAnsi="Arial" w:cs="Arial"/>
          <w:color w:val="auto"/>
        </w:rPr>
      </w:pPr>
      <w:r w:rsidRPr="0078330D">
        <w:rPr>
          <w:rFonts w:ascii="Arial" w:hAnsi="Arial" w:cs="Arial"/>
          <w:color w:val="auto"/>
        </w:rPr>
        <w:t>July</w:t>
      </w:r>
      <w:r w:rsidR="009F2575">
        <w:rPr>
          <w:rFonts w:ascii="Arial" w:hAnsi="Arial" w:cs="Arial"/>
          <w:color w:val="auto"/>
        </w:rPr>
        <w:t xml:space="preserve"> 2019</w:t>
      </w:r>
    </w:p>
    <w:p w14:paraId="44E8CF70" w14:textId="77777777" w:rsidR="0054255A" w:rsidRPr="00B13297" w:rsidRDefault="0054255A" w:rsidP="00B13297">
      <w:pPr>
        <w:spacing w:after="0" w:line="240" w:lineRule="auto"/>
        <w:jc w:val="center"/>
        <w:rPr>
          <w:rFonts w:ascii="Arial" w:hAnsi="Arial" w:cs="Arial"/>
        </w:rPr>
      </w:pPr>
    </w:p>
    <w:p w14:paraId="326AE304" w14:textId="77777777" w:rsidR="0054255A" w:rsidRPr="00B13297" w:rsidRDefault="0054255A" w:rsidP="00B13297">
      <w:pPr>
        <w:spacing w:after="0" w:line="240" w:lineRule="auto"/>
        <w:jc w:val="center"/>
        <w:rPr>
          <w:rFonts w:ascii="Arial" w:hAnsi="Arial" w:cs="Arial"/>
        </w:rPr>
      </w:pPr>
      <w:r w:rsidRPr="00B13297">
        <w:rPr>
          <w:rFonts w:ascii="Arial" w:hAnsi="Arial" w:cs="Arial"/>
        </w:rPr>
        <w:t>Submitted By:</w:t>
      </w:r>
    </w:p>
    <w:p w14:paraId="4993D670" w14:textId="28A31F23" w:rsidR="0054255A" w:rsidRPr="00B13297" w:rsidRDefault="0054255A" w:rsidP="00B1329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14:paraId="47965330" w14:textId="77777777" w:rsidR="0054255A" w:rsidRPr="00B13297" w:rsidRDefault="0054255A" w:rsidP="00B13297">
      <w:pPr>
        <w:spacing w:after="0" w:line="240" w:lineRule="auto"/>
        <w:jc w:val="center"/>
        <w:rPr>
          <w:rFonts w:ascii="Arial" w:hAnsi="Arial" w:cs="Arial"/>
        </w:rPr>
      </w:pPr>
      <w:r w:rsidRPr="00B13297">
        <w:rPr>
          <w:rFonts w:ascii="Arial" w:hAnsi="Arial" w:cs="Arial"/>
        </w:rPr>
        <w:t xml:space="preserve">Administration for Children and Families </w:t>
      </w:r>
    </w:p>
    <w:p w14:paraId="6D0243BB" w14:textId="77777777" w:rsidR="0054255A" w:rsidRPr="00B13297" w:rsidRDefault="0054255A" w:rsidP="00B13297">
      <w:pPr>
        <w:spacing w:after="0" w:line="240" w:lineRule="auto"/>
        <w:jc w:val="center"/>
        <w:rPr>
          <w:rFonts w:ascii="Arial" w:hAnsi="Arial" w:cs="Arial"/>
        </w:rPr>
      </w:pPr>
      <w:r w:rsidRPr="00B13297">
        <w:rPr>
          <w:rFonts w:ascii="Arial" w:hAnsi="Arial" w:cs="Arial"/>
        </w:rPr>
        <w:t>U.S. Department of Health and Human Services</w:t>
      </w:r>
    </w:p>
    <w:p w14:paraId="0AED6156" w14:textId="77777777" w:rsidR="0054255A" w:rsidRPr="00B13297" w:rsidRDefault="0054255A" w:rsidP="00B13297">
      <w:pPr>
        <w:spacing w:after="0" w:line="240" w:lineRule="auto"/>
        <w:jc w:val="center"/>
        <w:rPr>
          <w:rFonts w:ascii="Arial" w:hAnsi="Arial" w:cs="Arial"/>
        </w:rPr>
      </w:pPr>
    </w:p>
    <w:p w14:paraId="4FBBD238" w14:textId="77777777" w:rsidR="0054255A" w:rsidRPr="00B13297" w:rsidRDefault="0054255A" w:rsidP="00B1329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737C8E19" w14:textId="77777777" w:rsidR="0054255A" w:rsidRPr="00B13297" w:rsidRDefault="0054255A" w:rsidP="00B13297">
      <w:pPr>
        <w:spacing w:after="0" w:line="240" w:lineRule="auto"/>
        <w:jc w:val="center"/>
        <w:rPr>
          <w:rFonts w:ascii="Arial" w:hAnsi="Arial" w:cs="Arial"/>
        </w:rPr>
      </w:pPr>
      <w:r w:rsidRPr="00B13297">
        <w:rPr>
          <w:rFonts w:ascii="Arial" w:hAnsi="Arial" w:cs="Arial"/>
        </w:rPr>
        <w:t>330 C Street, SW</w:t>
      </w:r>
    </w:p>
    <w:p w14:paraId="0C645A88" w14:textId="77777777" w:rsidR="0054255A" w:rsidRPr="00B13297" w:rsidRDefault="0054255A" w:rsidP="00B13297">
      <w:pPr>
        <w:spacing w:after="0" w:line="240" w:lineRule="auto"/>
        <w:jc w:val="center"/>
        <w:rPr>
          <w:rFonts w:ascii="Arial" w:hAnsi="Arial" w:cs="Arial"/>
        </w:rPr>
      </w:pPr>
      <w:r w:rsidRPr="00B13297">
        <w:rPr>
          <w:rFonts w:ascii="Arial" w:hAnsi="Arial" w:cs="Arial"/>
        </w:rPr>
        <w:t>Washington, D.C. 20201</w:t>
      </w:r>
    </w:p>
    <w:p w14:paraId="00F1DA38" w14:textId="77777777" w:rsidR="0054255A" w:rsidRPr="00B13297" w:rsidRDefault="0054255A" w:rsidP="00B13297">
      <w:pPr>
        <w:spacing w:after="0" w:line="240" w:lineRule="auto"/>
        <w:jc w:val="center"/>
        <w:rPr>
          <w:rFonts w:ascii="Arial" w:hAnsi="Arial" w:cs="Arial"/>
        </w:rPr>
      </w:pPr>
    </w:p>
    <w:p w14:paraId="594D3C68" w14:textId="0F3A4CEE" w:rsidR="0054255A" w:rsidRDefault="0054255A" w:rsidP="00B13297">
      <w:pPr>
        <w:spacing w:after="0" w:line="240" w:lineRule="auto"/>
        <w:jc w:val="center"/>
        <w:rPr>
          <w:rFonts w:ascii="Arial" w:hAnsi="Arial" w:cs="Arial"/>
        </w:rPr>
      </w:pPr>
      <w:r w:rsidRPr="00B13297">
        <w:rPr>
          <w:rFonts w:ascii="Arial" w:hAnsi="Arial" w:cs="Arial"/>
        </w:rPr>
        <w:t>Project Officer:</w:t>
      </w:r>
    </w:p>
    <w:p w14:paraId="6C29D7D4" w14:textId="1C49DDAC" w:rsidR="009F2575" w:rsidRPr="002C4F75" w:rsidRDefault="009F2575" w:rsidP="00B13297">
      <w:pPr>
        <w:spacing w:after="0" w:line="240" w:lineRule="auto"/>
        <w:jc w:val="center"/>
        <w:rPr>
          <w:rFonts w:ascii="Arial" w:hAnsi="Arial" w:cs="Arial"/>
        </w:rPr>
      </w:pPr>
      <w:r>
        <w:rPr>
          <w:rFonts w:ascii="Arial" w:hAnsi="Arial" w:cs="Arial"/>
        </w:rPr>
        <w:t xml:space="preserve">Girley Wright </w:t>
      </w:r>
    </w:p>
    <w:p w14:paraId="0313461E" w14:textId="77777777" w:rsidR="0054255A" w:rsidRDefault="0054255A" w:rsidP="00B13297">
      <w:pPr>
        <w:spacing w:after="0" w:line="240" w:lineRule="auto"/>
        <w:jc w:val="center"/>
        <w:rPr>
          <w:b/>
        </w:rPr>
      </w:pPr>
    </w:p>
    <w:p w14:paraId="15758DCB" w14:textId="77777777" w:rsidR="0054255A" w:rsidRDefault="0054255A" w:rsidP="00B13297">
      <w:pPr>
        <w:spacing w:after="0" w:line="240" w:lineRule="auto"/>
        <w:jc w:val="center"/>
        <w:rPr>
          <w:b/>
        </w:rPr>
      </w:pPr>
    </w:p>
    <w:p w14:paraId="5989E49C" w14:textId="77777777" w:rsidR="00907EBF" w:rsidRDefault="00907EBF" w:rsidP="00B13297">
      <w:pPr>
        <w:jc w:val="center"/>
        <w:rPr>
          <w:b/>
        </w:rPr>
      </w:pPr>
    </w:p>
    <w:p w14:paraId="07833600" w14:textId="2B3D80AE" w:rsidR="0054255A" w:rsidRDefault="0054255A" w:rsidP="00B13297">
      <w:pPr>
        <w:rPr>
          <w:b/>
        </w:rPr>
      </w:pPr>
    </w:p>
    <w:p w14:paraId="49E4A961" w14:textId="77777777" w:rsidR="0068303E" w:rsidRDefault="0068303E">
      <w:pPr>
        <w:rPr>
          <w:b/>
        </w:rPr>
      </w:pPr>
    </w:p>
    <w:p w14:paraId="19786CBC" w14:textId="77777777" w:rsidR="00B04785" w:rsidRDefault="00B04785" w:rsidP="00624DDC">
      <w:pPr>
        <w:spacing w:after="0" w:line="240" w:lineRule="auto"/>
        <w:jc w:val="center"/>
        <w:rPr>
          <w:b/>
          <w:sz w:val="32"/>
          <w:szCs w:val="32"/>
        </w:rPr>
      </w:pPr>
    </w:p>
    <w:p w14:paraId="388A70CF" w14:textId="77777777" w:rsidR="00B04785" w:rsidRDefault="00B04785" w:rsidP="00624DDC">
      <w:pPr>
        <w:spacing w:after="0" w:line="240" w:lineRule="auto"/>
        <w:jc w:val="center"/>
        <w:rPr>
          <w:b/>
          <w:sz w:val="32"/>
          <w:szCs w:val="32"/>
        </w:rPr>
      </w:pPr>
    </w:p>
    <w:p w14:paraId="36C08276" w14:textId="671DC8EB" w:rsidR="00624DDC" w:rsidRDefault="0068303E" w:rsidP="00624DDC">
      <w:pPr>
        <w:spacing w:after="0" w:line="240" w:lineRule="auto"/>
        <w:jc w:val="center"/>
        <w:rPr>
          <w:b/>
          <w:sz w:val="32"/>
          <w:szCs w:val="32"/>
        </w:rPr>
      </w:pPr>
      <w:r w:rsidRPr="00624DDC">
        <w:rPr>
          <w:b/>
          <w:sz w:val="32"/>
          <w:szCs w:val="32"/>
        </w:rPr>
        <w:t>Part A</w:t>
      </w:r>
    </w:p>
    <w:p w14:paraId="331767F9" w14:textId="77777777" w:rsidR="00624DDC" w:rsidRDefault="00624DDC" w:rsidP="00624DDC">
      <w:pPr>
        <w:spacing w:after="0" w:line="240" w:lineRule="auto"/>
        <w:jc w:val="center"/>
        <w:rPr>
          <w:b/>
        </w:rPr>
      </w:pPr>
    </w:p>
    <w:p w14:paraId="095FF910" w14:textId="77777777" w:rsidR="00026192" w:rsidRDefault="00026192" w:rsidP="000F1E4A">
      <w:pPr>
        <w:spacing w:after="0" w:line="240" w:lineRule="auto"/>
        <w:rPr>
          <w:b/>
          <w:u w:val="single"/>
        </w:rPr>
      </w:pPr>
    </w:p>
    <w:p w14:paraId="4CA5E0BD" w14:textId="77777777" w:rsidR="00026192" w:rsidRDefault="00026192" w:rsidP="000F1E4A">
      <w:pPr>
        <w:spacing w:after="0" w:line="240" w:lineRule="auto"/>
        <w:rPr>
          <w:b/>
          <w:u w:val="single"/>
        </w:rPr>
      </w:pPr>
    </w:p>
    <w:p w14:paraId="5E4659ED" w14:textId="4B12C786" w:rsidR="00840D32" w:rsidRPr="00026192" w:rsidRDefault="00840D32" w:rsidP="000F1E4A">
      <w:pPr>
        <w:spacing w:after="0" w:line="240" w:lineRule="auto"/>
        <w:rPr>
          <w:b/>
          <w:sz w:val="28"/>
        </w:rPr>
      </w:pPr>
      <w:r w:rsidRPr="00026192">
        <w:rPr>
          <w:b/>
          <w:sz w:val="28"/>
          <w:u w:val="single"/>
        </w:rPr>
        <w:t>Executive Summary</w:t>
      </w:r>
    </w:p>
    <w:p w14:paraId="5D7B325A" w14:textId="6F433416" w:rsidR="00B04785" w:rsidRDefault="00B04785" w:rsidP="000F1E4A">
      <w:pPr>
        <w:spacing w:after="0" w:line="240" w:lineRule="auto"/>
        <w:rPr>
          <w:b/>
        </w:rPr>
      </w:pPr>
    </w:p>
    <w:p w14:paraId="51CAFB20" w14:textId="43C7DEA5" w:rsidR="00906F6A" w:rsidRDefault="00B04785" w:rsidP="00603078">
      <w:pPr>
        <w:pStyle w:val="ListParagraph"/>
        <w:numPr>
          <w:ilvl w:val="0"/>
          <w:numId w:val="2"/>
        </w:numPr>
        <w:spacing w:after="0" w:line="240" w:lineRule="auto"/>
      </w:pPr>
      <w:r w:rsidRPr="00906F6A">
        <w:rPr>
          <w:b/>
        </w:rPr>
        <w:t xml:space="preserve">Type of Request: </w:t>
      </w:r>
      <w:r w:rsidR="00A06AEB" w:rsidRPr="00764645">
        <w:t xml:space="preserve">This Information Collection Request is for a </w:t>
      </w:r>
      <w:r w:rsidR="004D4E15">
        <w:t>n</w:t>
      </w:r>
      <w:r w:rsidR="00A06AEB" w:rsidRPr="00764645">
        <w:t xml:space="preserve">ew </w:t>
      </w:r>
      <w:r w:rsidR="00444B53">
        <w:t xml:space="preserve">information </w:t>
      </w:r>
      <w:r w:rsidR="00A06AEB" w:rsidRPr="00764645">
        <w:t>collection. We are requesting 3 year</w:t>
      </w:r>
      <w:r w:rsidR="00A56368">
        <w:t>s</w:t>
      </w:r>
      <w:r w:rsidR="00A06AEB" w:rsidRPr="00764645">
        <w:t xml:space="preserve"> of approval.</w:t>
      </w:r>
    </w:p>
    <w:p w14:paraId="19E411C0" w14:textId="77777777" w:rsidR="003D570A" w:rsidRPr="00BD7963" w:rsidRDefault="003D570A" w:rsidP="003D570A">
      <w:pPr>
        <w:pStyle w:val="ListParagraph"/>
        <w:spacing w:after="0" w:line="240" w:lineRule="auto"/>
      </w:pPr>
    </w:p>
    <w:p w14:paraId="0B78AB5D" w14:textId="345F1E29" w:rsidR="00BD7963" w:rsidRPr="004B5AEF" w:rsidRDefault="00C53AEC" w:rsidP="00603078">
      <w:pPr>
        <w:pStyle w:val="NormalSS"/>
        <w:numPr>
          <w:ilvl w:val="0"/>
          <w:numId w:val="11"/>
        </w:numPr>
        <w:rPr>
          <w:rFonts w:asciiTheme="minorHAnsi" w:hAnsiTheme="minorHAnsi" w:cstheme="minorHAnsi"/>
          <w:sz w:val="22"/>
          <w:szCs w:val="22"/>
        </w:rPr>
      </w:pPr>
      <w:r w:rsidRPr="004B5AEF">
        <w:rPr>
          <w:rFonts w:asciiTheme="minorHAnsi" w:hAnsiTheme="minorHAnsi" w:cstheme="minorHAnsi"/>
          <w:b/>
          <w:sz w:val="22"/>
          <w:szCs w:val="22"/>
        </w:rPr>
        <w:t>D</w:t>
      </w:r>
      <w:r w:rsidR="003D570A" w:rsidRPr="004B5AEF">
        <w:rPr>
          <w:rFonts w:asciiTheme="minorHAnsi" w:hAnsiTheme="minorHAnsi" w:cstheme="minorHAnsi"/>
          <w:b/>
          <w:sz w:val="22"/>
          <w:szCs w:val="22"/>
        </w:rPr>
        <w:t>escription of Reques</w:t>
      </w:r>
      <w:r w:rsidRPr="004B5AEF">
        <w:rPr>
          <w:rFonts w:asciiTheme="minorHAnsi" w:hAnsiTheme="minorHAnsi" w:cstheme="minorHAnsi"/>
          <w:b/>
          <w:sz w:val="22"/>
          <w:szCs w:val="22"/>
        </w:rPr>
        <w:t xml:space="preserve">t: </w:t>
      </w:r>
      <w:r w:rsidR="003D570A" w:rsidRPr="004B5AEF">
        <w:rPr>
          <w:rFonts w:asciiTheme="minorHAnsi" w:hAnsiTheme="minorHAnsi" w:cstheme="minorHAnsi"/>
          <w:sz w:val="22"/>
          <w:szCs w:val="22"/>
        </w:rPr>
        <w:t xml:space="preserve"> </w:t>
      </w:r>
      <w:r w:rsidR="00A06AEB" w:rsidRPr="00A06AEB">
        <w:rPr>
          <w:rFonts w:asciiTheme="minorHAnsi" w:hAnsiTheme="minorHAnsi" w:cstheme="minorHAnsi"/>
          <w:sz w:val="22"/>
          <w:szCs w:val="22"/>
        </w:rPr>
        <w:t>Descriptive case studies to collect information about innovative employment and training programs for low-income individuals, including TANF recipients.</w:t>
      </w:r>
      <w:r w:rsidR="00444B53">
        <w:rPr>
          <w:rFonts w:asciiTheme="minorHAnsi" w:hAnsiTheme="minorHAnsi" w:cstheme="minorHAnsi"/>
          <w:sz w:val="22"/>
          <w:szCs w:val="22"/>
        </w:rPr>
        <w:t xml:space="preserve"> </w:t>
      </w:r>
      <w:r w:rsidR="00A06AEB" w:rsidRPr="00A06AEB">
        <w:rPr>
          <w:rFonts w:asciiTheme="minorHAnsi" w:hAnsiTheme="minorHAnsi" w:cstheme="minorHAnsi"/>
          <w:sz w:val="22"/>
          <w:szCs w:val="22"/>
        </w:rPr>
        <w:t xml:space="preserve"> </w:t>
      </w:r>
      <w:r w:rsidR="00444B53">
        <w:rPr>
          <w:rFonts w:asciiTheme="minorHAnsi" w:hAnsiTheme="minorHAnsi" w:cstheme="minorHAnsi"/>
          <w:sz w:val="22"/>
          <w:szCs w:val="22"/>
        </w:rPr>
        <w:t>We</w:t>
      </w:r>
      <w:r w:rsidR="00444B53" w:rsidRPr="004B5AEF">
        <w:rPr>
          <w:rFonts w:asciiTheme="minorHAnsi" w:hAnsiTheme="minorHAnsi" w:cstheme="minorHAnsi"/>
          <w:sz w:val="22"/>
          <w:szCs w:val="22"/>
        </w:rPr>
        <w:t xml:space="preserve"> will collect information on up to 32 innovative programs through semi-structured interviews with program staff, in-depth interviews with participants, guided case reviews, and observations. </w:t>
      </w:r>
      <w:r w:rsidR="00A06AEB" w:rsidRPr="00A06AEB">
        <w:rPr>
          <w:rFonts w:asciiTheme="minorHAnsi" w:hAnsiTheme="minorHAnsi" w:cstheme="minorHAnsi"/>
          <w:sz w:val="22"/>
          <w:szCs w:val="22"/>
        </w:rPr>
        <w:t xml:space="preserve">The data collected in the study are not intended to be generalized to a broader </w:t>
      </w:r>
      <w:r w:rsidR="00566466">
        <w:rPr>
          <w:rFonts w:asciiTheme="minorHAnsi" w:hAnsiTheme="minorHAnsi" w:cstheme="minorHAnsi"/>
          <w:sz w:val="22"/>
          <w:szCs w:val="22"/>
        </w:rPr>
        <w:t>universe</w:t>
      </w:r>
      <w:r w:rsidR="00A06AEB" w:rsidRPr="00A06AEB">
        <w:rPr>
          <w:rFonts w:asciiTheme="minorHAnsi" w:hAnsiTheme="minorHAnsi" w:cstheme="minorHAnsi"/>
          <w:sz w:val="22"/>
          <w:szCs w:val="22"/>
        </w:rPr>
        <w:t>.</w:t>
      </w:r>
    </w:p>
    <w:p w14:paraId="64C8BC8B" w14:textId="6B96A5AA" w:rsidR="00624DDC" w:rsidRDefault="00624DDC" w:rsidP="00624DDC">
      <w:pPr>
        <w:spacing w:after="0" w:line="240" w:lineRule="auto"/>
        <w:rPr>
          <w:b/>
        </w:rPr>
      </w:pPr>
    </w:p>
    <w:p w14:paraId="0D5E5383" w14:textId="77777777" w:rsidR="00624DDC" w:rsidRDefault="00624DDC" w:rsidP="00624DDC">
      <w:pPr>
        <w:spacing w:after="0" w:line="240" w:lineRule="auto"/>
        <w:rPr>
          <w:b/>
        </w:rPr>
      </w:pPr>
    </w:p>
    <w:p w14:paraId="7EEF528A" w14:textId="3BDD4276" w:rsidR="001A38FD" w:rsidRDefault="001A38FD">
      <w:r>
        <w:br w:type="page"/>
      </w:r>
      <w:r w:rsidR="00444B53" w:rsidRPr="004B5AEF">
        <w:rPr>
          <w:rFonts w:cstheme="minorHAnsi"/>
        </w:rPr>
        <w:lastRenderedPageBreak/>
        <w:t xml:space="preserve"> </w:t>
      </w:r>
    </w:p>
    <w:p w14:paraId="695C22E4" w14:textId="77777777" w:rsidR="00D5346A" w:rsidRDefault="00D5346A" w:rsidP="001A38FD">
      <w:pPr>
        <w:spacing w:after="0" w:line="240" w:lineRule="auto"/>
      </w:pPr>
    </w:p>
    <w:p w14:paraId="5CB85B8F" w14:textId="77777777" w:rsidR="004328A4" w:rsidRDefault="00BD702B" w:rsidP="007D0F6E">
      <w:pPr>
        <w:spacing w:after="120" w:line="240" w:lineRule="auto"/>
      </w:pPr>
      <w:r w:rsidRPr="00624DDC">
        <w:rPr>
          <w:b/>
        </w:rPr>
        <w:t>A1</w:t>
      </w:r>
      <w:r>
        <w:t>.</w:t>
      </w:r>
      <w:r>
        <w:tab/>
      </w:r>
      <w:r w:rsidR="004E5778" w:rsidRPr="004328A4">
        <w:rPr>
          <w:b/>
        </w:rPr>
        <w:t>Necessity for Collection</w:t>
      </w:r>
      <w:r w:rsidR="004E5778">
        <w:t xml:space="preserve"> </w:t>
      </w:r>
    </w:p>
    <w:p w14:paraId="1CCEDA9D" w14:textId="667B3D29" w:rsidR="002C3E6A" w:rsidRPr="004B5AEF" w:rsidRDefault="002C3E6A" w:rsidP="008202B3">
      <w:pPr>
        <w:pStyle w:val="NormalSS"/>
      </w:pPr>
      <w:r w:rsidRPr="004B5AEF">
        <w:rPr>
          <w:rFonts w:asciiTheme="minorHAnsi" w:hAnsiTheme="minorHAnsi" w:cstheme="minorHAnsi"/>
          <w:sz w:val="22"/>
          <w:szCs w:val="22"/>
        </w:rPr>
        <w:t xml:space="preserve">The Office of Planning, Research, and Evaluation (OPRE) in collaboration with the Office of Family Assistance (OFA) in the Administration for Children and Families (ACF) at the U.S. Department of Health and Human Services (HHS) </w:t>
      </w:r>
      <w:r w:rsidR="00444B53">
        <w:rPr>
          <w:rFonts w:asciiTheme="minorHAnsi" w:hAnsiTheme="minorHAnsi" w:cstheme="minorHAnsi"/>
          <w:sz w:val="22"/>
          <w:szCs w:val="22"/>
        </w:rPr>
        <w:t>proposes</w:t>
      </w:r>
      <w:r w:rsidRPr="004B5AEF">
        <w:rPr>
          <w:rFonts w:asciiTheme="minorHAnsi" w:hAnsiTheme="minorHAnsi" w:cstheme="minorHAnsi"/>
          <w:sz w:val="22"/>
          <w:szCs w:val="22"/>
        </w:rPr>
        <w:t xml:space="preserve"> to collect information for the State TANF Case Studies project. </w:t>
      </w:r>
    </w:p>
    <w:p w14:paraId="2349AA37" w14:textId="77777777" w:rsidR="002B0376" w:rsidRPr="004B5AEF" w:rsidRDefault="002B0376" w:rsidP="002B0376">
      <w:pPr>
        <w:pStyle w:val="ListParagraph"/>
        <w:spacing w:after="0" w:line="240" w:lineRule="auto"/>
        <w:ind w:left="0"/>
        <w:rPr>
          <w:rFonts w:cstheme="minorHAnsi"/>
          <w:b/>
        </w:rPr>
      </w:pPr>
      <w:r w:rsidRPr="004B5AEF">
        <w:rPr>
          <w:rFonts w:cstheme="minorHAnsi"/>
          <w:b/>
        </w:rPr>
        <w:t xml:space="preserve">Study Background </w:t>
      </w:r>
    </w:p>
    <w:p w14:paraId="165F0618" w14:textId="77777777" w:rsidR="002B0376" w:rsidRPr="004B5AEF" w:rsidRDefault="002B0376" w:rsidP="002B0376">
      <w:pPr>
        <w:pStyle w:val="ListParagraph"/>
        <w:spacing w:after="0" w:line="240" w:lineRule="auto"/>
        <w:ind w:left="0"/>
        <w:rPr>
          <w:rFonts w:cstheme="minorHAnsi"/>
        </w:rPr>
      </w:pPr>
    </w:p>
    <w:p w14:paraId="6E5D8A5C" w14:textId="5837E405" w:rsidR="002C3E6A" w:rsidRPr="004B5AEF" w:rsidRDefault="002C3E6A" w:rsidP="002C3E6A">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Moving toward self-sufficiency can be daunting for low-income individuals and families. In addition to dealing with serious barriers to employment, such as limited education, poor work history, or health issues, they also frequently need to interact with complex TANF, workforce, and other support systems in their efforts to obtain and maintain employment. States and localities have increasingly pursued innovative </w:t>
      </w:r>
      <w:r w:rsidR="0065526B">
        <w:rPr>
          <w:rFonts w:asciiTheme="minorHAnsi" w:hAnsiTheme="minorHAnsi" w:cstheme="minorHAnsi"/>
          <w:sz w:val="22"/>
          <w:szCs w:val="22"/>
        </w:rPr>
        <w:t xml:space="preserve"> and promising </w:t>
      </w:r>
      <w:r w:rsidRPr="004B5AEF">
        <w:rPr>
          <w:rFonts w:asciiTheme="minorHAnsi" w:hAnsiTheme="minorHAnsi" w:cstheme="minorHAnsi"/>
          <w:sz w:val="22"/>
          <w:szCs w:val="22"/>
        </w:rPr>
        <w:t xml:space="preserve">approaches to help </w:t>
      </w:r>
      <w:r w:rsidR="005C32D8">
        <w:rPr>
          <w:rFonts w:asciiTheme="minorHAnsi" w:hAnsiTheme="minorHAnsi" w:cstheme="minorHAnsi"/>
          <w:sz w:val="22"/>
          <w:szCs w:val="22"/>
        </w:rPr>
        <w:t>clients</w:t>
      </w:r>
      <w:r w:rsidRPr="004B5AEF">
        <w:rPr>
          <w:rFonts w:asciiTheme="minorHAnsi" w:hAnsiTheme="minorHAnsi" w:cstheme="minorHAnsi"/>
          <w:sz w:val="22"/>
          <w:szCs w:val="22"/>
        </w:rPr>
        <w:t xml:space="preserve"> obtain success in the workforce and increase their overall stability. </w:t>
      </w:r>
      <w:r w:rsidR="0065526B">
        <w:rPr>
          <w:rFonts w:asciiTheme="minorHAnsi" w:hAnsiTheme="minorHAnsi" w:cstheme="minorHAnsi"/>
          <w:sz w:val="22"/>
          <w:szCs w:val="22"/>
        </w:rPr>
        <w:t>Innovative and promising approaches may consist of strategies that have demonstrated empirical effectiveness or are prepared to test new interventions</w:t>
      </w:r>
      <w:r w:rsidR="0020562E">
        <w:rPr>
          <w:rFonts w:asciiTheme="minorHAnsi" w:hAnsiTheme="minorHAnsi" w:cstheme="minorHAnsi"/>
          <w:sz w:val="22"/>
          <w:szCs w:val="22"/>
        </w:rPr>
        <w:t xml:space="preserve"> with sound lo</w:t>
      </w:r>
      <w:r w:rsidR="003A4180">
        <w:rPr>
          <w:rFonts w:asciiTheme="minorHAnsi" w:hAnsiTheme="minorHAnsi" w:cstheme="minorHAnsi"/>
          <w:sz w:val="22"/>
          <w:szCs w:val="22"/>
        </w:rPr>
        <w:t>gic models</w:t>
      </w:r>
      <w:r w:rsidR="0065526B">
        <w:rPr>
          <w:rFonts w:asciiTheme="minorHAnsi" w:hAnsiTheme="minorHAnsi" w:cstheme="minorHAnsi"/>
          <w:sz w:val="22"/>
          <w:szCs w:val="22"/>
        </w:rPr>
        <w:t xml:space="preserve"> designed to demonstrate promising program components. These a</w:t>
      </w:r>
      <w:r w:rsidR="005C32D8">
        <w:rPr>
          <w:rFonts w:asciiTheme="minorHAnsi" w:hAnsiTheme="minorHAnsi" w:cstheme="minorHAnsi"/>
          <w:sz w:val="22"/>
          <w:szCs w:val="22"/>
        </w:rPr>
        <w:t xml:space="preserve">pproaches may include innovative </w:t>
      </w:r>
      <w:r w:rsidRPr="004B5AEF">
        <w:rPr>
          <w:rFonts w:asciiTheme="minorHAnsi" w:hAnsiTheme="minorHAnsi" w:cstheme="minorHAnsi"/>
          <w:sz w:val="22"/>
          <w:szCs w:val="22"/>
        </w:rPr>
        <w:t>employment and training strategies, such as apprenticeship and career pathways programs</w:t>
      </w:r>
      <w:r w:rsidR="005C32D8">
        <w:rPr>
          <w:rFonts w:asciiTheme="minorHAnsi" w:hAnsiTheme="minorHAnsi" w:cstheme="minorHAnsi"/>
          <w:sz w:val="22"/>
          <w:szCs w:val="22"/>
        </w:rPr>
        <w:t>;</w:t>
      </w:r>
      <w:r w:rsidR="005C32D8" w:rsidRPr="004B5AEF">
        <w:rPr>
          <w:rFonts w:asciiTheme="minorHAnsi" w:hAnsiTheme="minorHAnsi" w:cstheme="minorHAnsi"/>
          <w:sz w:val="22"/>
          <w:szCs w:val="22"/>
        </w:rPr>
        <w:t xml:space="preserve"> </w:t>
      </w:r>
      <w:r w:rsidRPr="004B5AEF">
        <w:rPr>
          <w:rFonts w:asciiTheme="minorHAnsi" w:hAnsiTheme="minorHAnsi" w:cstheme="minorHAnsi"/>
          <w:sz w:val="22"/>
          <w:szCs w:val="22"/>
        </w:rPr>
        <w:t>subsidized and transitional employment</w:t>
      </w:r>
      <w:r w:rsidR="005C32D8">
        <w:rPr>
          <w:rFonts w:asciiTheme="minorHAnsi" w:hAnsiTheme="minorHAnsi" w:cstheme="minorHAnsi"/>
          <w:sz w:val="22"/>
          <w:szCs w:val="22"/>
        </w:rPr>
        <w:t>;</w:t>
      </w:r>
      <w:r w:rsidR="005C32D8" w:rsidRPr="004B5AEF">
        <w:rPr>
          <w:rFonts w:asciiTheme="minorHAnsi" w:hAnsiTheme="minorHAnsi" w:cstheme="minorHAnsi"/>
          <w:sz w:val="22"/>
          <w:szCs w:val="22"/>
        </w:rPr>
        <w:t xml:space="preserve"> </w:t>
      </w:r>
      <w:r w:rsidRPr="004B5AEF">
        <w:rPr>
          <w:rFonts w:asciiTheme="minorHAnsi" w:hAnsiTheme="minorHAnsi" w:cstheme="minorHAnsi"/>
          <w:sz w:val="22"/>
          <w:szCs w:val="22"/>
        </w:rPr>
        <w:t>vocational training</w:t>
      </w:r>
      <w:r w:rsidR="005C32D8">
        <w:rPr>
          <w:rFonts w:asciiTheme="minorHAnsi" w:hAnsiTheme="minorHAnsi" w:cstheme="minorHAnsi"/>
          <w:sz w:val="22"/>
          <w:szCs w:val="22"/>
        </w:rPr>
        <w:t>;</w:t>
      </w:r>
      <w:r w:rsidR="005C32D8" w:rsidRPr="004B5AEF">
        <w:rPr>
          <w:rFonts w:asciiTheme="minorHAnsi" w:hAnsiTheme="minorHAnsi" w:cstheme="minorHAnsi"/>
          <w:sz w:val="22"/>
          <w:szCs w:val="22"/>
        </w:rPr>
        <w:t xml:space="preserve"> </w:t>
      </w:r>
      <w:r w:rsidRPr="004B5AEF">
        <w:rPr>
          <w:rFonts w:asciiTheme="minorHAnsi" w:hAnsiTheme="minorHAnsi" w:cstheme="minorHAnsi"/>
          <w:sz w:val="22"/>
          <w:szCs w:val="22"/>
        </w:rPr>
        <w:t xml:space="preserve">and goal-setting and executive function skills coaching. </w:t>
      </w:r>
      <w:r w:rsidR="005C32D8">
        <w:rPr>
          <w:rFonts w:asciiTheme="minorHAnsi" w:hAnsiTheme="minorHAnsi" w:cstheme="minorHAnsi"/>
          <w:sz w:val="22"/>
          <w:szCs w:val="22"/>
        </w:rPr>
        <w:t>Innovation in workforce support often</w:t>
      </w:r>
      <w:r w:rsidRPr="004B5AEF">
        <w:rPr>
          <w:rFonts w:asciiTheme="minorHAnsi" w:hAnsiTheme="minorHAnsi" w:cstheme="minorHAnsi"/>
          <w:sz w:val="22"/>
          <w:szCs w:val="22"/>
        </w:rPr>
        <w:t xml:space="preserve"> require</w:t>
      </w:r>
      <w:r w:rsidR="005C32D8">
        <w:rPr>
          <w:rFonts w:asciiTheme="minorHAnsi" w:hAnsiTheme="minorHAnsi" w:cstheme="minorHAnsi"/>
          <w:sz w:val="22"/>
          <w:szCs w:val="22"/>
        </w:rPr>
        <w:t>s</w:t>
      </w:r>
      <w:r w:rsidRPr="004B5AEF">
        <w:rPr>
          <w:rFonts w:asciiTheme="minorHAnsi" w:hAnsiTheme="minorHAnsi" w:cstheme="minorHAnsi"/>
          <w:sz w:val="22"/>
          <w:szCs w:val="22"/>
        </w:rPr>
        <w:t xml:space="preserve"> effective coordination with providers of wraparound services, including child care, transportation, and homeless and emergency assistance, to provide the critical supports families need for long-term success. </w:t>
      </w:r>
    </w:p>
    <w:p w14:paraId="2D383A44" w14:textId="1F754209" w:rsidR="0074168A" w:rsidRDefault="0074168A" w:rsidP="002B0376">
      <w:pPr>
        <w:pStyle w:val="ListParagraph"/>
        <w:spacing w:after="0" w:line="240" w:lineRule="auto"/>
        <w:ind w:left="0"/>
        <w:rPr>
          <w:rFonts w:cstheme="minorHAnsi"/>
        </w:rPr>
      </w:pPr>
      <w:r w:rsidRPr="004B5AEF">
        <w:rPr>
          <w:rFonts w:cstheme="minorHAnsi"/>
        </w:rPr>
        <w:t xml:space="preserve">The goal of the State TANF Case Studies project is to expand the </w:t>
      </w:r>
      <w:r w:rsidR="005C32D8">
        <w:rPr>
          <w:rFonts w:cstheme="minorHAnsi"/>
        </w:rPr>
        <w:t xml:space="preserve">descriptive </w:t>
      </w:r>
      <w:r w:rsidRPr="004B5AEF">
        <w:rPr>
          <w:rFonts w:cstheme="minorHAnsi"/>
        </w:rPr>
        <w:t xml:space="preserve">knowledge base of innovative employment and training programs for low-income individuals, including TANF recipients. </w:t>
      </w:r>
    </w:p>
    <w:p w14:paraId="499032E5" w14:textId="77777777" w:rsidR="0074168A" w:rsidRDefault="0074168A" w:rsidP="002B0376">
      <w:pPr>
        <w:pStyle w:val="ListParagraph"/>
        <w:spacing w:after="0" w:line="240" w:lineRule="auto"/>
        <w:ind w:left="0"/>
        <w:rPr>
          <w:rFonts w:cstheme="minorHAnsi"/>
        </w:rPr>
      </w:pPr>
    </w:p>
    <w:p w14:paraId="4C1E5A15" w14:textId="32A84862" w:rsidR="002C3E6A" w:rsidRPr="004B5AEF" w:rsidRDefault="002C3E6A" w:rsidP="002B0376">
      <w:pPr>
        <w:pStyle w:val="ListParagraph"/>
        <w:spacing w:after="0" w:line="240" w:lineRule="auto"/>
        <w:ind w:left="0"/>
        <w:rPr>
          <w:rFonts w:cstheme="minorHAnsi"/>
        </w:rPr>
      </w:pPr>
    </w:p>
    <w:p w14:paraId="45F7E623" w14:textId="77777777" w:rsidR="002B0376" w:rsidRPr="004B5AEF" w:rsidRDefault="002B0376" w:rsidP="002B0376">
      <w:pPr>
        <w:pStyle w:val="ListParagraph"/>
        <w:spacing w:after="0" w:line="240" w:lineRule="auto"/>
        <w:ind w:left="0"/>
        <w:rPr>
          <w:rFonts w:cstheme="minorHAnsi"/>
          <w:b/>
        </w:rPr>
      </w:pPr>
      <w:r w:rsidRPr="004B5AEF">
        <w:rPr>
          <w:rFonts w:cstheme="minorHAnsi"/>
          <w:b/>
        </w:rPr>
        <w:t xml:space="preserve">Legal or Administrative Requirements that Necessitate the Collection </w:t>
      </w:r>
    </w:p>
    <w:p w14:paraId="2E20EDFC" w14:textId="77777777" w:rsidR="002B0376" w:rsidRPr="004B5AEF" w:rsidRDefault="002B0376" w:rsidP="002B0376">
      <w:pPr>
        <w:pStyle w:val="ListParagraph"/>
        <w:spacing w:after="0" w:line="240" w:lineRule="auto"/>
        <w:ind w:left="0"/>
        <w:rPr>
          <w:rFonts w:cstheme="minorHAnsi"/>
          <w:b/>
        </w:rPr>
      </w:pPr>
    </w:p>
    <w:p w14:paraId="55E13569" w14:textId="0405E5F4" w:rsidR="004328A4" w:rsidRPr="004B5AEF" w:rsidRDefault="002C3E6A" w:rsidP="002C3E6A">
      <w:pPr>
        <w:pStyle w:val="NormalSS"/>
        <w:rPr>
          <w:rFonts w:asciiTheme="minorHAnsi" w:hAnsiTheme="minorHAnsi" w:cstheme="minorHAnsi"/>
          <w:sz w:val="22"/>
          <w:szCs w:val="22"/>
        </w:rPr>
      </w:pPr>
      <w:r w:rsidRPr="004B5AEF">
        <w:rPr>
          <w:rFonts w:asciiTheme="minorHAnsi" w:hAnsiTheme="minorHAnsi" w:cstheme="minorHAnsi"/>
          <w:sz w:val="22"/>
          <w:szCs w:val="22"/>
        </w:rPr>
        <w:t>There are no legal or administrative requirements that necessitate the collection. ACF is undertaking the collection at the discretion of the agency.</w:t>
      </w:r>
    </w:p>
    <w:p w14:paraId="778B15CC" w14:textId="77777777" w:rsidR="004328A4" w:rsidRPr="004B5AEF" w:rsidRDefault="004328A4" w:rsidP="00DF1291">
      <w:pPr>
        <w:pStyle w:val="ListParagraph"/>
        <w:spacing w:after="0" w:line="240" w:lineRule="auto"/>
        <w:ind w:left="360"/>
        <w:rPr>
          <w:rFonts w:cstheme="minorHAnsi"/>
        </w:rPr>
      </w:pPr>
    </w:p>
    <w:p w14:paraId="77508B66" w14:textId="5FCD8AB6" w:rsidR="004328A4" w:rsidRPr="004B5AEF" w:rsidRDefault="00BD702B" w:rsidP="007D0F6E">
      <w:pPr>
        <w:spacing w:after="120" w:line="240" w:lineRule="auto"/>
        <w:rPr>
          <w:rFonts w:cstheme="minorHAnsi"/>
          <w:b/>
        </w:rPr>
      </w:pPr>
      <w:r w:rsidRPr="004B5AEF">
        <w:rPr>
          <w:rFonts w:cstheme="minorHAnsi"/>
          <w:b/>
        </w:rPr>
        <w:t>A2</w:t>
      </w:r>
      <w:r w:rsidRPr="004B5AEF">
        <w:rPr>
          <w:rFonts w:cstheme="minorHAnsi"/>
        </w:rPr>
        <w:t>.</w:t>
      </w:r>
      <w:r w:rsidRPr="004B5AEF">
        <w:rPr>
          <w:rFonts w:cstheme="minorHAnsi"/>
        </w:rPr>
        <w:tab/>
      </w:r>
      <w:r w:rsidR="00107D87" w:rsidRPr="004B5AEF">
        <w:rPr>
          <w:rFonts w:cstheme="minorHAnsi"/>
          <w:b/>
        </w:rPr>
        <w:t>Purpose</w:t>
      </w:r>
    </w:p>
    <w:p w14:paraId="6DDDCEC8" w14:textId="2DD3EE30" w:rsidR="004328A4" w:rsidRPr="004B5AEF" w:rsidRDefault="004328A4" w:rsidP="007D0F6E">
      <w:pPr>
        <w:spacing w:after="120" w:line="240" w:lineRule="auto"/>
        <w:rPr>
          <w:rFonts w:cstheme="minorHAnsi"/>
          <w:i/>
        </w:rPr>
      </w:pPr>
      <w:r w:rsidRPr="004B5AEF">
        <w:rPr>
          <w:rFonts w:cstheme="minorHAnsi"/>
          <w:i/>
        </w:rPr>
        <w:t xml:space="preserve">Purpose and Use </w:t>
      </w:r>
    </w:p>
    <w:p w14:paraId="34786FB8" w14:textId="2E0DA39C" w:rsidR="002C3E6A" w:rsidRPr="004B5AEF" w:rsidRDefault="0074168A" w:rsidP="005A65A6">
      <w:pPr>
        <w:pStyle w:val="NormalSS"/>
        <w:spacing w:after="0"/>
        <w:rPr>
          <w:rFonts w:asciiTheme="minorHAnsi" w:hAnsiTheme="minorHAnsi" w:cstheme="minorHAnsi"/>
          <w:sz w:val="22"/>
          <w:szCs w:val="22"/>
        </w:rPr>
      </w:pPr>
      <w:r>
        <w:rPr>
          <w:rFonts w:asciiTheme="minorHAnsi" w:hAnsiTheme="minorHAnsi" w:cstheme="minorHAnsi"/>
          <w:sz w:val="22"/>
          <w:szCs w:val="22"/>
        </w:rPr>
        <w:t>This</w:t>
      </w:r>
      <w:r w:rsidRPr="004B5AEF">
        <w:rPr>
          <w:rFonts w:asciiTheme="minorHAnsi" w:hAnsiTheme="minorHAnsi" w:cstheme="minorHAnsi"/>
          <w:sz w:val="22"/>
          <w:szCs w:val="22"/>
        </w:rPr>
        <w:t xml:space="preserve"> descriptive study will document the implementation of innovative employment and training programs for low-income individuals, including TANF recipients. The study will also examine </w:t>
      </w:r>
      <w:r w:rsidR="005C32D8">
        <w:rPr>
          <w:rFonts w:asciiTheme="minorHAnsi" w:hAnsiTheme="minorHAnsi" w:cstheme="minorHAnsi"/>
          <w:sz w:val="22"/>
          <w:szCs w:val="22"/>
        </w:rPr>
        <w:t>how</w:t>
      </w:r>
      <w:r w:rsidRPr="004B5AEF">
        <w:rPr>
          <w:rFonts w:asciiTheme="minorHAnsi" w:hAnsiTheme="minorHAnsi" w:cstheme="minorHAnsi"/>
          <w:sz w:val="22"/>
          <w:szCs w:val="22"/>
        </w:rPr>
        <w:t xml:space="preserve"> programs provide or link families to wraparound services</w:t>
      </w:r>
      <w:r w:rsidR="005C32D8">
        <w:rPr>
          <w:rFonts w:asciiTheme="minorHAnsi" w:hAnsiTheme="minorHAnsi" w:cstheme="minorHAnsi"/>
          <w:sz w:val="22"/>
          <w:szCs w:val="22"/>
        </w:rPr>
        <w:t xml:space="preserve"> in support of program completion</w:t>
      </w:r>
      <w:r w:rsidRPr="004B5AEF">
        <w:rPr>
          <w:rFonts w:asciiTheme="minorHAnsi" w:hAnsiTheme="minorHAnsi" w:cstheme="minorHAnsi"/>
          <w:sz w:val="22"/>
          <w:szCs w:val="22"/>
        </w:rPr>
        <w:t>.</w:t>
      </w:r>
      <w:r>
        <w:rPr>
          <w:rFonts w:asciiTheme="minorHAnsi" w:hAnsiTheme="minorHAnsi" w:cstheme="minorHAnsi"/>
          <w:sz w:val="22"/>
          <w:szCs w:val="22"/>
        </w:rPr>
        <w:t xml:space="preserve"> </w:t>
      </w:r>
      <w:r w:rsidR="00B65724">
        <w:rPr>
          <w:rFonts w:asciiTheme="minorHAnsi" w:hAnsiTheme="minorHAnsi" w:cstheme="minorHAnsi"/>
          <w:sz w:val="22"/>
          <w:szCs w:val="22"/>
        </w:rPr>
        <w:br/>
      </w:r>
      <w:r w:rsidR="00B65724">
        <w:rPr>
          <w:rFonts w:asciiTheme="minorHAnsi" w:hAnsiTheme="minorHAnsi" w:cstheme="minorHAnsi"/>
          <w:sz w:val="22"/>
          <w:szCs w:val="22"/>
        </w:rPr>
        <w:br/>
      </w:r>
      <w:r w:rsidR="002C3E6A" w:rsidRPr="004B5AEF">
        <w:rPr>
          <w:rFonts w:asciiTheme="minorHAnsi" w:hAnsiTheme="minorHAnsi" w:cstheme="minorHAnsi"/>
          <w:sz w:val="22"/>
          <w:szCs w:val="22"/>
        </w:rPr>
        <w:t xml:space="preserve">The information collected under this request will </w:t>
      </w:r>
      <w:r w:rsidR="007B2A29">
        <w:rPr>
          <w:rFonts w:asciiTheme="minorHAnsi" w:hAnsiTheme="minorHAnsi" w:cstheme="minorHAnsi"/>
          <w:sz w:val="22"/>
          <w:szCs w:val="22"/>
        </w:rPr>
        <w:t>improve</w:t>
      </w:r>
      <w:r w:rsidR="002C3E6A" w:rsidRPr="004B5AEF">
        <w:rPr>
          <w:rFonts w:asciiTheme="minorHAnsi" w:eastAsiaTheme="minorHAnsi" w:hAnsiTheme="minorHAnsi" w:cstheme="minorHAnsi"/>
          <w:sz w:val="22"/>
          <w:szCs w:val="22"/>
        </w:rPr>
        <w:t xml:space="preserve"> federal, state, and local policymakers’, practitioners’, and other stakeholders’ </w:t>
      </w:r>
      <w:r w:rsidR="004D4E15">
        <w:rPr>
          <w:rFonts w:asciiTheme="minorHAnsi" w:hAnsiTheme="minorHAnsi" w:cstheme="minorHAnsi"/>
          <w:sz w:val="22"/>
          <w:szCs w:val="22"/>
        </w:rPr>
        <w:t xml:space="preserve">knowledge and </w:t>
      </w:r>
      <w:r w:rsidR="002C3E6A" w:rsidRPr="004B5AEF">
        <w:rPr>
          <w:rFonts w:asciiTheme="minorHAnsi" w:hAnsiTheme="minorHAnsi" w:cstheme="minorHAnsi"/>
          <w:sz w:val="22"/>
          <w:szCs w:val="22"/>
        </w:rPr>
        <w:t xml:space="preserve">understanding of innovative employment and training </w:t>
      </w:r>
      <w:r w:rsidR="007B2A29">
        <w:rPr>
          <w:rFonts w:asciiTheme="minorHAnsi" w:hAnsiTheme="minorHAnsi" w:cstheme="minorHAnsi"/>
          <w:sz w:val="22"/>
          <w:szCs w:val="22"/>
        </w:rPr>
        <w:t>models designed to help</w:t>
      </w:r>
      <w:r w:rsidR="002C3E6A" w:rsidRPr="004B5AEF">
        <w:rPr>
          <w:rFonts w:asciiTheme="minorHAnsi" w:hAnsiTheme="minorHAnsi" w:cstheme="minorHAnsi"/>
          <w:sz w:val="22"/>
          <w:szCs w:val="22"/>
        </w:rPr>
        <w:t xml:space="preserve"> low-income individuals succeed in the workplace.</w:t>
      </w:r>
      <w:r w:rsidR="0065526B">
        <w:rPr>
          <w:rFonts w:asciiTheme="minorHAnsi" w:hAnsiTheme="minorHAnsi" w:cstheme="minorHAnsi"/>
          <w:sz w:val="22"/>
          <w:szCs w:val="22"/>
        </w:rPr>
        <w:t xml:space="preserve"> </w:t>
      </w:r>
      <w:r w:rsidR="00D44742">
        <w:rPr>
          <w:rFonts w:asciiTheme="minorHAnsi" w:hAnsiTheme="minorHAnsi" w:cstheme="minorHAnsi"/>
          <w:sz w:val="22"/>
          <w:szCs w:val="22"/>
        </w:rPr>
        <w:t xml:space="preserve">The project will produce a single summary report consisting of summaries of site visits and case studies of each selected program. The results will serve as a source of well-documented information </w:t>
      </w:r>
      <w:r w:rsidR="00B66AAB">
        <w:rPr>
          <w:rFonts w:asciiTheme="minorHAnsi" w:hAnsiTheme="minorHAnsi" w:cstheme="minorHAnsi"/>
          <w:sz w:val="22"/>
          <w:szCs w:val="22"/>
        </w:rPr>
        <w:t>about the strategies TANF agencies and workforce development agencies are implementing to help TANF recipients and similar low-income individuals become economically self-sufficient.</w:t>
      </w:r>
      <w:r w:rsidR="002C3E6A" w:rsidRPr="004B5AEF">
        <w:rPr>
          <w:rFonts w:asciiTheme="minorHAnsi" w:hAnsiTheme="minorHAnsi" w:cstheme="minorHAnsi"/>
          <w:sz w:val="22"/>
          <w:szCs w:val="22"/>
        </w:rPr>
        <w:t xml:space="preserve"> </w:t>
      </w:r>
      <w:r w:rsidR="00A0379C">
        <w:rPr>
          <w:rFonts w:asciiTheme="minorHAnsi" w:hAnsiTheme="minorHAnsi" w:cstheme="minorHAnsi"/>
          <w:sz w:val="22"/>
          <w:szCs w:val="22"/>
        </w:rPr>
        <w:t xml:space="preserve">The results will </w:t>
      </w:r>
      <w:r w:rsidR="003A4180">
        <w:rPr>
          <w:rFonts w:asciiTheme="minorHAnsi" w:hAnsiTheme="minorHAnsi" w:cstheme="minorHAnsi"/>
          <w:sz w:val="22"/>
          <w:szCs w:val="22"/>
        </w:rPr>
        <w:t xml:space="preserve">benefit state TANF administrators and </w:t>
      </w:r>
      <w:r w:rsidR="00A0379C">
        <w:rPr>
          <w:rFonts w:asciiTheme="minorHAnsi" w:hAnsiTheme="minorHAnsi" w:cstheme="minorHAnsi"/>
          <w:sz w:val="22"/>
          <w:szCs w:val="22"/>
        </w:rPr>
        <w:t>also help ACF and other key stakeholders in setting program</w:t>
      </w:r>
      <w:r w:rsidR="00112404">
        <w:rPr>
          <w:rFonts w:asciiTheme="minorHAnsi" w:hAnsiTheme="minorHAnsi" w:cstheme="minorHAnsi"/>
          <w:sz w:val="22"/>
          <w:szCs w:val="22"/>
        </w:rPr>
        <w:t xml:space="preserve"> </w:t>
      </w:r>
      <w:r w:rsidR="00112404" w:rsidRPr="00966D8D">
        <w:rPr>
          <w:rFonts w:asciiTheme="minorHAnsi" w:hAnsiTheme="minorHAnsi" w:cstheme="minorHAnsi"/>
          <w:sz w:val="22"/>
          <w:szCs w:val="22"/>
        </w:rPr>
        <w:t>and evaluation</w:t>
      </w:r>
      <w:r w:rsidR="00A0379C">
        <w:rPr>
          <w:rFonts w:asciiTheme="minorHAnsi" w:hAnsiTheme="minorHAnsi" w:cstheme="minorHAnsi"/>
          <w:sz w:val="22"/>
          <w:szCs w:val="22"/>
        </w:rPr>
        <w:t xml:space="preserve"> priorities.</w:t>
      </w:r>
    </w:p>
    <w:p w14:paraId="0750FA93" w14:textId="77777777" w:rsidR="0074168A" w:rsidRDefault="0074168A" w:rsidP="002C3E6A">
      <w:pPr>
        <w:pStyle w:val="NormalSS"/>
        <w:rPr>
          <w:rFonts w:asciiTheme="minorHAnsi" w:hAnsiTheme="minorHAnsi" w:cstheme="minorHAnsi"/>
          <w:sz w:val="22"/>
          <w:szCs w:val="22"/>
        </w:rPr>
      </w:pPr>
    </w:p>
    <w:p w14:paraId="57EB8C37" w14:textId="4D915454" w:rsidR="004328A4" w:rsidRPr="004B5AEF" w:rsidRDefault="004328A4" w:rsidP="007D0F6E">
      <w:pPr>
        <w:spacing w:after="120" w:line="240" w:lineRule="auto"/>
        <w:rPr>
          <w:rFonts w:cstheme="minorHAnsi"/>
          <w:i/>
        </w:rPr>
      </w:pPr>
      <w:r w:rsidRPr="004B5AEF">
        <w:rPr>
          <w:rFonts w:cstheme="minorHAnsi"/>
          <w:i/>
        </w:rPr>
        <w:t>Research Questions or Tests</w:t>
      </w:r>
    </w:p>
    <w:p w14:paraId="0ABF85B0" w14:textId="77777777" w:rsidR="002C3E6A" w:rsidRPr="004B5AEF" w:rsidRDefault="002C3E6A" w:rsidP="002C3E6A">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This information collection will explore the following research questions to fully document and understand the selected innovative programs: </w:t>
      </w:r>
    </w:p>
    <w:p w14:paraId="70785979" w14:textId="6E8227CE" w:rsidR="002C3E6A" w:rsidRPr="004B5AEF" w:rsidRDefault="002C3E6A" w:rsidP="00603078">
      <w:pPr>
        <w:pStyle w:val="NormalSS"/>
        <w:numPr>
          <w:ilvl w:val="0"/>
          <w:numId w:val="8"/>
        </w:numPr>
        <w:rPr>
          <w:rFonts w:asciiTheme="minorHAnsi" w:hAnsiTheme="minorHAnsi" w:cstheme="minorHAnsi"/>
          <w:sz w:val="22"/>
          <w:szCs w:val="22"/>
        </w:rPr>
      </w:pPr>
      <w:r w:rsidRPr="004B5AEF">
        <w:rPr>
          <w:rFonts w:asciiTheme="minorHAnsi" w:hAnsiTheme="minorHAnsi" w:cstheme="minorHAnsi"/>
          <w:sz w:val="22"/>
          <w:szCs w:val="22"/>
        </w:rPr>
        <w:t xml:space="preserve">What innovative employment and training strategies </w:t>
      </w:r>
      <w:r w:rsidR="005C32D8">
        <w:rPr>
          <w:rFonts w:asciiTheme="minorHAnsi" w:hAnsiTheme="minorHAnsi" w:cstheme="minorHAnsi"/>
          <w:sz w:val="22"/>
          <w:szCs w:val="22"/>
        </w:rPr>
        <w:t xml:space="preserve">do program sites use </w:t>
      </w:r>
      <w:r w:rsidRPr="004B5AEF">
        <w:rPr>
          <w:rFonts w:asciiTheme="minorHAnsi" w:hAnsiTheme="minorHAnsi" w:cstheme="minorHAnsi"/>
          <w:sz w:val="22"/>
          <w:szCs w:val="22"/>
        </w:rPr>
        <w:t>to help move low-income individuals and families toward self-sufficiency?</w:t>
      </w:r>
    </w:p>
    <w:p w14:paraId="540D5B0F" w14:textId="4C4F4EEC" w:rsidR="002C3E6A" w:rsidRPr="004B5AEF" w:rsidRDefault="005C32D8" w:rsidP="00603078">
      <w:pPr>
        <w:pStyle w:val="NormalSS"/>
        <w:numPr>
          <w:ilvl w:val="0"/>
          <w:numId w:val="8"/>
        </w:numPr>
        <w:rPr>
          <w:rFonts w:asciiTheme="minorHAnsi" w:hAnsiTheme="minorHAnsi" w:cstheme="minorHAnsi"/>
          <w:sz w:val="22"/>
          <w:szCs w:val="22"/>
        </w:rPr>
      </w:pPr>
      <w:r>
        <w:rPr>
          <w:rFonts w:asciiTheme="minorHAnsi" w:hAnsiTheme="minorHAnsi" w:cstheme="minorHAnsi"/>
          <w:sz w:val="22"/>
          <w:szCs w:val="22"/>
        </w:rPr>
        <w:t>To what extent do</w:t>
      </w:r>
      <w:r w:rsidR="002C3E6A" w:rsidRPr="004B5AEF">
        <w:rPr>
          <w:rFonts w:asciiTheme="minorHAnsi" w:hAnsiTheme="minorHAnsi" w:cstheme="minorHAnsi"/>
          <w:sz w:val="22"/>
          <w:szCs w:val="22"/>
        </w:rPr>
        <w:t xml:space="preserve"> selected programs </w:t>
      </w:r>
      <w:r>
        <w:rPr>
          <w:rFonts w:asciiTheme="minorHAnsi" w:hAnsiTheme="minorHAnsi" w:cstheme="minorHAnsi"/>
          <w:sz w:val="22"/>
          <w:szCs w:val="22"/>
        </w:rPr>
        <w:t>incorporate wraparound services</w:t>
      </w:r>
      <w:r w:rsidR="002C3E6A" w:rsidRPr="004B5AEF">
        <w:rPr>
          <w:rFonts w:asciiTheme="minorHAnsi" w:hAnsiTheme="minorHAnsi" w:cstheme="minorHAnsi"/>
          <w:sz w:val="22"/>
          <w:szCs w:val="22"/>
        </w:rPr>
        <w:t xml:space="preserve">—in particular, child care assistance—to support participants’ </w:t>
      </w:r>
      <w:r>
        <w:rPr>
          <w:rFonts w:asciiTheme="minorHAnsi" w:hAnsiTheme="minorHAnsi" w:cstheme="minorHAnsi"/>
          <w:sz w:val="22"/>
          <w:szCs w:val="22"/>
        </w:rPr>
        <w:t>ability to</w:t>
      </w:r>
      <w:r w:rsidR="002C3E6A" w:rsidRPr="004B5AEF">
        <w:rPr>
          <w:rFonts w:asciiTheme="minorHAnsi" w:hAnsiTheme="minorHAnsi" w:cstheme="minorHAnsi"/>
          <w:sz w:val="22"/>
          <w:szCs w:val="22"/>
        </w:rPr>
        <w:t xml:space="preserve"> </w:t>
      </w:r>
      <w:r w:rsidRPr="004B5AEF">
        <w:rPr>
          <w:rFonts w:asciiTheme="minorHAnsi" w:hAnsiTheme="minorHAnsi" w:cstheme="minorHAnsi"/>
          <w:sz w:val="22"/>
          <w:szCs w:val="22"/>
        </w:rPr>
        <w:t>get</w:t>
      </w:r>
      <w:r w:rsidR="002C3E6A" w:rsidRPr="004B5AEF">
        <w:rPr>
          <w:rFonts w:asciiTheme="minorHAnsi" w:hAnsiTheme="minorHAnsi" w:cstheme="minorHAnsi"/>
          <w:sz w:val="22"/>
          <w:szCs w:val="22"/>
        </w:rPr>
        <w:t xml:space="preserve">, keep, and </w:t>
      </w:r>
      <w:r w:rsidRPr="004B5AEF">
        <w:rPr>
          <w:rFonts w:asciiTheme="minorHAnsi" w:hAnsiTheme="minorHAnsi" w:cstheme="minorHAnsi"/>
          <w:sz w:val="22"/>
          <w:szCs w:val="22"/>
        </w:rPr>
        <w:t>advanc</w:t>
      </w:r>
      <w:r>
        <w:rPr>
          <w:rFonts w:asciiTheme="minorHAnsi" w:hAnsiTheme="minorHAnsi" w:cstheme="minorHAnsi"/>
          <w:sz w:val="22"/>
          <w:szCs w:val="22"/>
        </w:rPr>
        <w:t xml:space="preserve">e </w:t>
      </w:r>
      <w:r w:rsidR="002C3E6A" w:rsidRPr="004B5AEF">
        <w:rPr>
          <w:rFonts w:asciiTheme="minorHAnsi" w:hAnsiTheme="minorHAnsi" w:cstheme="minorHAnsi"/>
          <w:sz w:val="22"/>
          <w:szCs w:val="22"/>
        </w:rPr>
        <w:t>in jobs?</w:t>
      </w:r>
    </w:p>
    <w:p w14:paraId="1F6B4211" w14:textId="4F57334B" w:rsidR="002C3E6A" w:rsidRPr="004B5AEF" w:rsidRDefault="002C3E6A" w:rsidP="00603078">
      <w:pPr>
        <w:pStyle w:val="NormalSS"/>
        <w:numPr>
          <w:ilvl w:val="0"/>
          <w:numId w:val="8"/>
        </w:numPr>
        <w:rPr>
          <w:rFonts w:asciiTheme="minorHAnsi" w:hAnsiTheme="minorHAnsi" w:cstheme="minorHAnsi"/>
          <w:sz w:val="22"/>
          <w:szCs w:val="22"/>
        </w:rPr>
      </w:pPr>
      <w:r w:rsidRPr="004B5AEF">
        <w:rPr>
          <w:rFonts w:asciiTheme="minorHAnsi" w:hAnsiTheme="minorHAnsi" w:cstheme="minorHAnsi"/>
          <w:sz w:val="22"/>
          <w:szCs w:val="22"/>
        </w:rPr>
        <w:t xml:space="preserve">How </w:t>
      </w:r>
      <w:r w:rsidR="005C32D8">
        <w:rPr>
          <w:rFonts w:asciiTheme="minorHAnsi" w:hAnsiTheme="minorHAnsi" w:cstheme="minorHAnsi"/>
          <w:sz w:val="22"/>
          <w:szCs w:val="22"/>
        </w:rPr>
        <w:t>do</w:t>
      </w:r>
      <w:r w:rsidRPr="004B5AEF">
        <w:rPr>
          <w:rFonts w:asciiTheme="minorHAnsi" w:hAnsiTheme="minorHAnsi" w:cstheme="minorHAnsi"/>
          <w:sz w:val="22"/>
          <w:szCs w:val="22"/>
        </w:rPr>
        <w:t xml:space="preserve"> selected programs deliver</w:t>
      </w:r>
      <w:r w:rsidR="005C32D8">
        <w:rPr>
          <w:rFonts w:asciiTheme="minorHAnsi" w:hAnsiTheme="minorHAnsi" w:cstheme="minorHAnsi"/>
          <w:sz w:val="22"/>
          <w:szCs w:val="22"/>
        </w:rPr>
        <w:t xml:space="preserve"> </w:t>
      </w:r>
      <w:r w:rsidRPr="004B5AEF">
        <w:rPr>
          <w:rFonts w:asciiTheme="minorHAnsi" w:hAnsiTheme="minorHAnsi" w:cstheme="minorHAnsi"/>
          <w:sz w:val="22"/>
          <w:szCs w:val="22"/>
        </w:rPr>
        <w:t>services that integrate innovative employment and training services and additional wraparound supports, such as child care assistance?</w:t>
      </w:r>
    </w:p>
    <w:p w14:paraId="074BB4AA" w14:textId="008C4567" w:rsidR="007D0F6E" w:rsidRPr="004B5AEF" w:rsidRDefault="002C3E6A" w:rsidP="00603078">
      <w:pPr>
        <w:pStyle w:val="NormalSS"/>
        <w:numPr>
          <w:ilvl w:val="0"/>
          <w:numId w:val="8"/>
        </w:numPr>
        <w:rPr>
          <w:rFonts w:asciiTheme="minorHAnsi" w:hAnsiTheme="minorHAnsi" w:cstheme="minorHAnsi"/>
          <w:sz w:val="22"/>
          <w:szCs w:val="22"/>
        </w:rPr>
      </w:pPr>
      <w:r w:rsidRPr="004B5AEF">
        <w:rPr>
          <w:rFonts w:asciiTheme="minorHAnsi" w:hAnsiTheme="minorHAnsi" w:cstheme="minorHAnsi"/>
          <w:sz w:val="22"/>
          <w:szCs w:val="22"/>
        </w:rPr>
        <w:t xml:space="preserve">What </w:t>
      </w:r>
      <w:r w:rsidR="0001459F">
        <w:rPr>
          <w:rFonts w:asciiTheme="minorHAnsi" w:hAnsiTheme="minorHAnsi" w:cstheme="minorHAnsi"/>
          <w:sz w:val="22"/>
          <w:szCs w:val="22"/>
        </w:rPr>
        <w:t xml:space="preserve">implementation challenges </w:t>
      </w:r>
      <w:r w:rsidR="000A41B8">
        <w:rPr>
          <w:rFonts w:asciiTheme="minorHAnsi" w:hAnsiTheme="minorHAnsi" w:cstheme="minorHAnsi"/>
          <w:sz w:val="22"/>
          <w:szCs w:val="22"/>
        </w:rPr>
        <w:t>d</w:t>
      </w:r>
      <w:r w:rsidR="0001459F">
        <w:rPr>
          <w:rFonts w:asciiTheme="minorHAnsi" w:hAnsiTheme="minorHAnsi" w:cstheme="minorHAnsi"/>
          <w:sz w:val="22"/>
          <w:szCs w:val="22"/>
        </w:rPr>
        <w:t xml:space="preserve">o </w:t>
      </w:r>
      <w:r w:rsidRPr="004B5AEF">
        <w:rPr>
          <w:rFonts w:asciiTheme="minorHAnsi" w:hAnsiTheme="minorHAnsi" w:cstheme="minorHAnsi"/>
          <w:sz w:val="22"/>
          <w:szCs w:val="22"/>
        </w:rPr>
        <w:t>innovative programs</w:t>
      </w:r>
      <w:r w:rsidR="0001459F">
        <w:rPr>
          <w:rFonts w:asciiTheme="minorHAnsi" w:hAnsiTheme="minorHAnsi" w:cstheme="minorHAnsi"/>
          <w:sz w:val="22"/>
          <w:szCs w:val="22"/>
        </w:rPr>
        <w:t xml:space="preserve"> face and what do staff believe to be the most important lessons they have learned in the process</w:t>
      </w:r>
      <w:r w:rsidRPr="004B5AEF">
        <w:rPr>
          <w:rFonts w:asciiTheme="minorHAnsi" w:hAnsiTheme="minorHAnsi" w:cstheme="minorHAnsi"/>
          <w:sz w:val="22"/>
          <w:szCs w:val="22"/>
        </w:rPr>
        <w:t>?</w:t>
      </w:r>
      <w:r w:rsidRPr="004B5AEF">
        <w:rPr>
          <w:rFonts w:asciiTheme="minorHAnsi" w:hAnsiTheme="minorHAnsi" w:cstheme="minorHAnsi"/>
          <w:sz w:val="22"/>
          <w:szCs w:val="22"/>
          <w:highlight w:val="yellow"/>
        </w:rPr>
        <w:t xml:space="preserve"> </w:t>
      </w:r>
    </w:p>
    <w:p w14:paraId="2C863FA2" w14:textId="77777777" w:rsidR="002C3E6A" w:rsidRPr="004B5AEF" w:rsidRDefault="002C3E6A" w:rsidP="00DF1291">
      <w:pPr>
        <w:spacing w:after="0" w:line="240" w:lineRule="auto"/>
        <w:rPr>
          <w:rFonts w:cstheme="minorHAnsi"/>
          <w:i/>
        </w:rPr>
      </w:pPr>
    </w:p>
    <w:p w14:paraId="5C99A251" w14:textId="06F137D6" w:rsidR="004328A4" w:rsidRPr="004B5AEF" w:rsidRDefault="004328A4" w:rsidP="007D0F6E">
      <w:pPr>
        <w:spacing w:after="120" w:line="240" w:lineRule="auto"/>
        <w:rPr>
          <w:rFonts w:cstheme="minorHAnsi"/>
          <w:i/>
        </w:rPr>
      </w:pPr>
      <w:r w:rsidRPr="004B5AEF">
        <w:rPr>
          <w:rFonts w:cstheme="minorHAnsi"/>
          <w:i/>
        </w:rPr>
        <w:t>Study Design</w:t>
      </w:r>
    </w:p>
    <w:p w14:paraId="69B61B05" w14:textId="2FE154D4" w:rsidR="0074168A" w:rsidRDefault="0074168A" w:rsidP="0074168A">
      <w:pPr>
        <w:pStyle w:val="NormalSS"/>
        <w:rPr>
          <w:rFonts w:asciiTheme="minorHAnsi" w:hAnsiTheme="minorHAnsi" w:cstheme="minorHAnsi"/>
          <w:sz w:val="22"/>
          <w:szCs w:val="22"/>
        </w:rPr>
      </w:pPr>
      <w:r w:rsidRPr="004B5AEF" w:rsidDel="0074168A">
        <w:rPr>
          <w:rFonts w:asciiTheme="minorHAnsi" w:hAnsiTheme="minorHAnsi" w:cstheme="minorHAnsi"/>
          <w:sz w:val="22"/>
          <w:szCs w:val="22"/>
        </w:rPr>
        <w:t xml:space="preserve">For this descriptive study, the project team will collect information on up to 32 programs </w:t>
      </w:r>
      <w:r w:rsidR="00A0379C">
        <w:rPr>
          <w:rFonts w:asciiTheme="minorHAnsi" w:hAnsiTheme="minorHAnsi" w:cstheme="minorHAnsi"/>
          <w:sz w:val="22"/>
          <w:szCs w:val="22"/>
        </w:rPr>
        <w:t xml:space="preserve">(state and local </w:t>
      </w:r>
      <w:r w:rsidR="00112404" w:rsidRPr="00966D8D">
        <w:rPr>
          <w:rFonts w:asciiTheme="minorHAnsi" w:hAnsiTheme="minorHAnsi" w:cstheme="minorHAnsi"/>
          <w:sz w:val="22"/>
          <w:szCs w:val="22"/>
        </w:rPr>
        <w:t xml:space="preserve">services operated under </w:t>
      </w:r>
      <w:r w:rsidR="00A0379C" w:rsidRPr="00966D8D">
        <w:rPr>
          <w:rFonts w:asciiTheme="minorHAnsi" w:hAnsiTheme="minorHAnsi" w:cstheme="minorHAnsi"/>
          <w:sz w:val="22"/>
          <w:szCs w:val="22"/>
        </w:rPr>
        <w:t xml:space="preserve">TANF </w:t>
      </w:r>
      <w:r w:rsidR="00191EAF" w:rsidRPr="00966D8D">
        <w:rPr>
          <w:rFonts w:asciiTheme="minorHAnsi" w:hAnsiTheme="minorHAnsi" w:cstheme="minorHAnsi"/>
          <w:sz w:val="22"/>
          <w:szCs w:val="22"/>
        </w:rPr>
        <w:t>including contracted programs</w:t>
      </w:r>
      <w:r w:rsidR="003A4180" w:rsidRPr="00966D8D">
        <w:rPr>
          <w:rFonts w:asciiTheme="minorHAnsi" w:hAnsiTheme="minorHAnsi" w:cstheme="minorHAnsi"/>
          <w:sz w:val="22"/>
          <w:szCs w:val="22"/>
        </w:rPr>
        <w:t xml:space="preserve"> and</w:t>
      </w:r>
      <w:r w:rsidR="00A0379C" w:rsidRPr="00966D8D">
        <w:rPr>
          <w:rFonts w:asciiTheme="minorHAnsi" w:hAnsiTheme="minorHAnsi" w:cstheme="minorHAnsi"/>
          <w:sz w:val="22"/>
          <w:szCs w:val="22"/>
        </w:rPr>
        <w:t xml:space="preserve"> workforce development agencies</w:t>
      </w:r>
      <w:r w:rsidR="00191EAF" w:rsidRPr="00966D8D">
        <w:rPr>
          <w:rFonts w:asciiTheme="minorHAnsi" w:hAnsiTheme="minorHAnsi" w:cstheme="minorHAnsi"/>
          <w:sz w:val="22"/>
          <w:szCs w:val="22"/>
        </w:rPr>
        <w:t xml:space="preserve">’ </w:t>
      </w:r>
      <w:r w:rsidR="00112404" w:rsidRPr="00966D8D">
        <w:rPr>
          <w:rFonts w:asciiTheme="minorHAnsi" w:hAnsiTheme="minorHAnsi" w:cstheme="minorHAnsi"/>
          <w:sz w:val="22"/>
          <w:szCs w:val="22"/>
        </w:rPr>
        <w:t>services</w:t>
      </w:r>
      <w:r w:rsidR="00191EAF">
        <w:rPr>
          <w:rFonts w:asciiTheme="minorHAnsi" w:hAnsiTheme="minorHAnsi" w:cstheme="minorHAnsi"/>
          <w:sz w:val="22"/>
          <w:szCs w:val="22"/>
        </w:rPr>
        <w:t>)</w:t>
      </w:r>
      <w:r w:rsidR="00A0379C">
        <w:rPr>
          <w:rFonts w:asciiTheme="minorHAnsi" w:hAnsiTheme="minorHAnsi" w:cstheme="minorHAnsi"/>
          <w:sz w:val="22"/>
          <w:szCs w:val="22"/>
        </w:rPr>
        <w:t xml:space="preserve"> </w:t>
      </w:r>
      <w:r w:rsidRPr="004B5AEF" w:rsidDel="0074168A">
        <w:rPr>
          <w:rFonts w:asciiTheme="minorHAnsi" w:hAnsiTheme="minorHAnsi" w:cstheme="minorHAnsi"/>
          <w:sz w:val="22"/>
          <w:szCs w:val="22"/>
        </w:rPr>
        <w:t xml:space="preserve">that </w:t>
      </w:r>
      <w:r w:rsidR="00F52471">
        <w:rPr>
          <w:rFonts w:asciiTheme="minorHAnsi" w:hAnsiTheme="minorHAnsi" w:cstheme="minorHAnsi"/>
          <w:sz w:val="22"/>
          <w:szCs w:val="22"/>
        </w:rPr>
        <w:t>implement</w:t>
      </w:r>
      <w:r w:rsidRPr="004B5AEF" w:rsidDel="0074168A">
        <w:rPr>
          <w:rFonts w:asciiTheme="minorHAnsi" w:hAnsiTheme="minorHAnsi" w:cstheme="minorHAnsi"/>
          <w:sz w:val="22"/>
          <w:szCs w:val="22"/>
        </w:rPr>
        <w:t xml:space="preserve"> innovative approaches </w:t>
      </w:r>
      <w:r w:rsidR="00F52471">
        <w:rPr>
          <w:rFonts w:asciiTheme="minorHAnsi" w:hAnsiTheme="minorHAnsi" w:cstheme="minorHAnsi"/>
          <w:sz w:val="22"/>
          <w:szCs w:val="22"/>
        </w:rPr>
        <w:t>to workforce development for</w:t>
      </w:r>
      <w:r w:rsidRPr="004B5AEF" w:rsidDel="0074168A">
        <w:rPr>
          <w:rFonts w:asciiTheme="minorHAnsi" w:hAnsiTheme="minorHAnsi" w:cstheme="minorHAnsi"/>
          <w:sz w:val="22"/>
          <w:szCs w:val="22"/>
        </w:rPr>
        <w:t xml:space="preserve"> TANF recipients and other low-income individuals</w:t>
      </w:r>
      <w:r w:rsidR="00E521B7">
        <w:rPr>
          <w:rFonts w:asciiTheme="minorHAnsi" w:hAnsiTheme="minorHAnsi" w:cstheme="minorHAnsi"/>
          <w:sz w:val="22"/>
          <w:szCs w:val="22"/>
        </w:rPr>
        <w:t xml:space="preserve">.  </w:t>
      </w:r>
      <w:r w:rsidR="001C4B7A">
        <w:rPr>
          <w:rFonts w:asciiTheme="minorHAnsi" w:hAnsiTheme="minorHAnsi" w:cstheme="minorHAnsi"/>
          <w:sz w:val="22"/>
          <w:szCs w:val="22"/>
        </w:rPr>
        <w:t xml:space="preserve">Data will be used </w:t>
      </w:r>
      <w:r w:rsidR="00F52471">
        <w:rPr>
          <w:rFonts w:asciiTheme="minorHAnsi" w:hAnsiTheme="minorHAnsi" w:cstheme="minorHAnsi"/>
          <w:sz w:val="22"/>
          <w:szCs w:val="22"/>
        </w:rPr>
        <w:t>to produce</w:t>
      </w:r>
      <w:r w:rsidR="001C4B7A">
        <w:rPr>
          <w:rFonts w:asciiTheme="minorHAnsi" w:hAnsiTheme="minorHAnsi" w:cstheme="minorHAnsi"/>
          <w:sz w:val="22"/>
          <w:szCs w:val="22"/>
        </w:rPr>
        <w:t xml:space="preserve"> individual case site descriptions and</w:t>
      </w:r>
      <w:r w:rsidR="005A65A6">
        <w:rPr>
          <w:rFonts w:asciiTheme="minorHAnsi" w:hAnsiTheme="minorHAnsi" w:cstheme="minorHAnsi"/>
          <w:sz w:val="22"/>
          <w:szCs w:val="22"/>
        </w:rPr>
        <w:t xml:space="preserve"> a case study compendium</w:t>
      </w:r>
      <w:r w:rsidR="001C4B7A">
        <w:rPr>
          <w:rFonts w:asciiTheme="minorHAnsi" w:hAnsiTheme="minorHAnsi" w:cstheme="minorHAnsi"/>
          <w:sz w:val="22"/>
          <w:szCs w:val="22"/>
        </w:rPr>
        <w:t>.</w:t>
      </w:r>
      <w:r w:rsidR="001C4B7A">
        <w:rPr>
          <w:rFonts w:asciiTheme="minorHAnsi" w:hAnsiTheme="minorHAnsi" w:cstheme="minorHAnsi"/>
          <w:sz w:val="22"/>
          <w:szCs w:val="22"/>
        </w:rPr>
        <w:br/>
      </w:r>
      <w:r w:rsidR="001C4B7A">
        <w:rPr>
          <w:rFonts w:asciiTheme="minorHAnsi" w:hAnsiTheme="minorHAnsi" w:cstheme="minorHAnsi"/>
          <w:sz w:val="22"/>
          <w:szCs w:val="22"/>
        </w:rPr>
        <w:br/>
        <w:t>D</w:t>
      </w:r>
      <w:r w:rsidR="00E521B7">
        <w:rPr>
          <w:rFonts w:asciiTheme="minorHAnsi" w:hAnsiTheme="minorHAnsi" w:cstheme="minorHAnsi"/>
          <w:sz w:val="22"/>
          <w:szCs w:val="22"/>
        </w:rPr>
        <w:t xml:space="preserve">ata will be collected </w:t>
      </w:r>
      <w:r w:rsidR="009E1F37">
        <w:rPr>
          <w:rFonts w:asciiTheme="minorHAnsi" w:hAnsiTheme="minorHAnsi" w:cstheme="minorHAnsi"/>
          <w:sz w:val="22"/>
          <w:szCs w:val="22"/>
        </w:rPr>
        <w:t>with</w:t>
      </w:r>
      <w:r w:rsidR="00E521B7">
        <w:rPr>
          <w:rFonts w:asciiTheme="minorHAnsi" w:hAnsiTheme="minorHAnsi" w:cstheme="minorHAnsi"/>
          <w:sz w:val="22"/>
          <w:szCs w:val="22"/>
        </w:rPr>
        <w:t xml:space="preserve"> </w:t>
      </w:r>
      <w:r w:rsidRPr="004B5AEF" w:rsidDel="0074168A">
        <w:rPr>
          <w:rFonts w:asciiTheme="minorHAnsi" w:hAnsiTheme="minorHAnsi" w:cstheme="minorHAnsi"/>
          <w:sz w:val="22"/>
          <w:szCs w:val="22"/>
        </w:rPr>
        <w:t xml:space="preserve">two methods: (1) in-person site visits, including semi-structured interviews with program staff, in-depth interviews with participants, guided case reviews, and observations for </w:t>
      </w:r>
      <w:r w:rsidDel="0074168A">
        <w:rPr>
          <w:rFonts w:asciiTheme="minorHAnsi" w:hAnsiTheme="minorHAnsi" w:cstheme="minorHAnsi"/>
          <w:sz w:val="22"/>
          <w:szCs w:val="22"/>
        </w:rPr>
        <w:t xml:space="preserve">up to 12 </w:t>
      </w:r>
      <w:r w:rsidRPr="004B5AEF" w:rsidDel="0074168A">
        <w:rPr>
          <w:rFonts w:asciiTheme="minorHAnsi" w:hAnsiTheme="minorHAnsi" w:cstheme="minorHAnsi"/>
          <w:sz w:val="22"/>
          <w:szCs w:val="22"/>
        </w:rPr>
        <w:t xml:space="preserve">comprehensive case studies, and (2) semi-structured phone interviews with program staff for </w:t>
      </w:r>
      <w:r w:rsidDel="0074168A">
        <w:rPr>
          <w:rFonts w:asciiTheme="minorHAnsi" w:hAnsiTheme="minorHAnsi" w:cstheme="minorHAnsi"/>
          <w:sz w:val="22"/>
          <w:szCs w:val="22"/>
        </w:rPr>
        <w:t xml:space="preserve">up to 20 </w:t>
      </w:r>
      <w:r w:rsidRPr="004B5AEF" w:rsidDel="0074168A">
        <w:rPr>
          <w:rFonts w:asciiTheme="minorHAnsi" w:hAnsiTheme="minorHAnsi" w:cstheme="minorHAnsi"/>
          <w:sz w:val="22"/>
          <w:szCs w:val="22"/>
        </w:rPr>
        <w:t xml:space="preserve">shorter case studies.  </w:t>
      </w:r>
    </w:p>
    <w:p w14:paraId="284CBCF8" w14:textId="7990D312" w:rsidR="009E1F37" w:rsidRPr="004B5AEF" w:rsidDel="0074168A" w:rsidRDefault="009E1F37" w:rsidP="0074168A">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The project team will purposively select programs for inclusion in the study. The programs </w:t>
      </w:r>
      <w:r>
        <w:rPr>
          <w:rFonts w:asciiTheme="minorHAnsi" w:hAnsiTheme="minorHAnsi" w:cstheme="minorHAnsi"/>
          <w:sz w:val="22"/>
          <w:szCs w:val="22"/>
        </w:rPr>
        <w:t>will</w:t>
      </w:r>
      <w:r w:rsidRPr="004B5AEF">
        <w:rPr>
          <w:rFonts w:asciiTheme="minorHAnsi" w:hAnsiTheme="minorHAnsi" w:cstheme="minorHAnsi"/>
          <w:sz w:val="22"/>
          <w:szCs w:val="22"/>
        </w:rPr>
        <w:t xml:space="preserve"> </w:t>
      </w:r>
      <w:r>
        <w:rPr>
          <w:rFonts w:asciiTheme="minorHAnsi" w:hAnsiTheme="minorHAnsi" w:cstheme="minorHAnsi"/>
          <w:sz w:val="22"/>
          <w:szCs w:val="22"/>
        </w:rPr>
        <w:t xml:space="preserve">represent a range of </w:t>
      </w:r>
      <w:r w:rsidRPr="004B5AEF">
        <w:rPr>
          <w:rFonts w:asciiTheme="minorHAnsi" w:hAnsiTheme="minorHAnsi" w:cstheme="minorHAnsi"/>
          <w:sz w:val="22"/>
          <w:szCs w:val="22"/>
        </w:rPr>
        <w:t xml:space="preserve">employment and training </w:t>
      </w:r>
      <w:r>
        <w:rPr>
          <w:rFonts w:asciiTheme="minorHAnsi" w:hAnsiTheme="minorHAnsi" w:cstheme="minorHAnsi"/>
          <w:sz w:val="22"/>
          <w:szCs w:val="22"/>
        </w:rPr>
        <w:t>models</w:t>
      </w:r>
      <w:r w:rsidRPr="004B5AEF">
        <w:rPr>
          <w:rFonts w:asciiTheme="minorHAnsi" w:hAnsiTheme="minorHAnsi" w:cstheme="minorHAnsi"/>
          <w:sz w:val="22"/>
          <w:szCs w:val="22"/>
        </w:rPr>
        <w:t xml:space="preserve"> </w:t>
      </w:r>
      <w:r>
        <w:rPr>
          <w:rFonts w:asciiTheme="minorHAnsi" w:hAnsiTheme="minorHAnsi" w:cstheme="minorHAnsi"/>
          <w:sz w:val="22"/>
          <w:szCs w:val="22"/>
        </w:rPr>
        <w:t>designed to</w:t>
      </w:r>
      <w:r w:rsidRPr="004B5AEF">
        <w:rPr>
          <w:rFonts w:asciiTheme="minorHAnsi" w:hAnsiTheme="minorHAnsi" w:cstheme="minorHAnsi"/>
          <w:sz w:val="22"/>
          <w:szCs w:val="22"/>
        </w:rPr>
        <w:t xml:space="preserve"> help low-income individuals and families transition to self-sufficiency</w:t>
      </w:r>
      <w:r w:rsidR="00ED4059">
        <w:rPr>
          <w:rFonts w:asciiTheme="minorHAnsi" w:hAnsiTheme="minorHAnsi" w:cstheme="minorHAnsi"/>
          <w:sz w:val="22"/>
          <w:szCs w:val="22"/>
        </w:rPr>
        <w:t xml:space="preserve"> </w:t>
      </w:r>
      <w:r w:rsidRPr="004B5AEF">
        <w:rPr>
          <w:rFonts w:asciiTheme="minorHAnsi" w:hAnsiTheme="minorHAnsi" w:cstheme="minorHAnsi"/>
          <w:sz w:val="22"/>
          <w:szCs w:val="22"/>
        </w:rPr>
        <w:t xml:space="preserve">through </w:t>
      </w:r>
      <w:r>
        <w:rPr>
          <w:rFonts w:asciiTheme="minorHAnsi" w:hAnsiTheme="minorHAnsi" w:cstheme="minorHAnsi"/>
          <w:sz w:val="22"/>
          <w:szCs w:val="22"/>
        </w:rPr>
        <w:t xml:space="preserve">direct support of employment activities </w:t>
      </w:r>
      <w:r w:rsidR="00ED4059">
        <w:rPr>
          <w:rFonts w:asciiTheme="minorHAnsi" w:hAnsiTheme="minorHAnsi" w:cstheme="minorHAnsi"/>
          <w:sz w:val="22"/>
          <w:szCs w:val="22"/>
        </w:rPr>
        <w:t>and/</w:t>
      </w:r>
      <w:r w:rsidRPr="004B5AEF">
        <w:rPr>
          <w:rFonts w:asciiTheme="minorHAnsi" w:hAnsiTheme="minorHAnsi" w:cstheme="minorHAnsi"/>
          <w:sz w:val="22"/>
          <w:szCs w:val="22"/>
        </w:rPr>
        <w:t xml:space="preserve">or indirectly, by providing supports </w:t>
      </w:r>
      <w:r>
        <w:rPr>
          <w:rFonts w:asciiTheme="minorHAnsi" w:hAnsiTheme="minorHAnsi" w:cstheme="minorHAnsi"/>
          <w:sz w:val="22"/>
          <w:szCs w:val="22"/>
        </w:rPr>
        <w:t>that</w:t>
      </w:r>
      <w:r w:rsidRPr="004B5AEF">
        <w:rPr>
          <w:rFonts w:asciiTheme="minorHAnsi" w:hAnsiTheme="minorHAnsi" w:cstheme="minorHAnsi"/>
          <w:sz w:val="22"/>
          <w:szCs w:val="22"/>
        </w:rPr>
        <w:t xml:space="preserve"> alleviat</w:t>
      </w:r>
      <w:r>
        <w:rPr>
          <w:rFonts w:asciiTheme="minorHAnsi" w:hAnsiTheme="minorHAnsi" w:cstheme="minorHAnsi"/>
          <w:sz w:val="22"/>
          <w:szCs w:val="22"/>
        </w:rPr>
        <w:t>e</w:t>
      </w:r>
      <w:r w:rsidRPr="004B5AEF">
        <w:rPr>
          <w:rFonts w:asciiTheme="minorHAnsi" w:hAnsiTheme="minorHAnsi" w:cstheme="minorHAnsi"/>
          <w:sz w:val="22"/>
          <w:szCs w:val="22"/>
        </w:rPr>
        <w:t xml:space="preserve"> barriers to employment. </w:t>
      </w:r>
      <w:r w:rsidR="001C4B7A">
        <w:rPr>
          <w:rFonts w:asciiTheme="minorHAnsi" w:hAnsiTheme="minorHAnsi" w:cstheme="minorHAnsi"/>
          <w:sz w:val="22"/>
          <w:szCs w:val="22"/>
        </w:rPr>
        <w:t xml:space="preserve"> More details about site selection are available in Supplemental Statement B.  </w:t>
      </w:r>
    </w:p>
    <w:p w14:paraId="276E8AA7" w14:textId="6F8197B2" w:rsidR="007D0F6E" w:rsidRPr="004B5AEF" w:rsidRDefault="00251327" w:rsidP="00251327">
      <w:pPr>
        <w:spacing w:after="0" w:line="240" w:lineRule="auto"/>
        <w:rPr>
          <w:rFonts w:cstheme="minorHAnsi"/>
          <w:i/>
        </w:rPr>
      </w:pPr>
      <w:r>
        <w:rPr>
          <w:rFonts w:cstheme="minorHAnsi"/>
        </w:rPr>
        <w:t>The study is intended to be descriptive in nature, and the limitations of the study methodology will be clearly stated in all published materials</w:t>
      </w:r>
      <w:r w:rsidR="002C3E6A" w:rsidRPr="004B5AEF">
        <w:rPr>
          <w:rFonts w:cstheme="minorHAnsi"/>
        </w:rPr>
        <w:t xml:space="preserve">. For the comprehensive case studies, </w:t>
      </w:r>
      <w:r w:rsidR="001C4B7A">
        <w:rPr>
          <w:rFonts w:cstheme="minorHAnsi"/>
        </w:rPr>
        <w:t xml:space="preserve">site visits will </w:t>
      </w:r>
      <w:r w:rsidR="002C3E6A" w:rsidRPr="004B5AEF">
        <w:rPr>
          <w:rFonts w:cstheme="minorHAnsi"/>
        </w:rPr>
        <w:t>be limited to 2 to 3 day</w:t>
      </w:r>
      <w:r w:rsidR="001C4B7A">
        <w:rPr>
          <w:rFonts w:cstheme="minorHAnsi"/>
        </w:rPr>
        <w:t xml:space="preserve">s each.  </w:t>
      </w:r>
      <w:r w:rsidR="002C3E6A" w:rsidRPr="004B5AEF">
        <w:rPr>
          <w:rFonts w:cstheme="minorHAnsi"/>
        </w:rPr>
        <w:t>In the time available on site, we will collect as much information as possible, focusing on activities identified as most promising or innovative</w:t>
      </w:r>
      <w:r w:rsidR="00B008AE">
        <w:rPr>
          <w:rFonts w:cstheme="minorHAnsi"/>
        </w:rPr>
        <w:t xml:space="preserve"> by the project team during the site selection process</w:t>
      </w:r>
      <w:r w:rsidR="002C3E6A" w:rsidRPr="004B5AEF">
        <w:rPr>
          <w:rFonts w:cstheme="minorHAnsi"/>
        </w:rPr>
        <w:t xml:space="preserve">. For the shorter case studies, we will rely on </w:t>
      </w:r>
      <w:r w:rsidR="001C4B7A">
        <w:rPr>
          <w:rFonts w:cstheme="minorHAnsi"/>
        </w:rPr>
        <w:t>publicly-</w:t>
      </w:r>
      <w:r w:rsidR="002C3E6A" w:rsidRPr="004B5AEF">
        <w:rPr>
          <w:rFonts w:cstheme="minorHAnsi"/>
        </w:rPr>
        <w:t xml:space="preserve">available reports and documentation to </w:t>
      </w:r>
      <w:r w:rsidR="001C4B7A">
        <w:rPr>
          <w:rFonts w:cstheme="minorHAnsi"/>
        </w:rPr>
        <w:t>generate</w:t>
      </w:r>
      <w:r w:rsidR="001C4B7A" w:rsidRPr="004B5AEF">
        <w:rPr>
          <w:rFonts w:cstheme="minorHAnsi"/>
        </w:rPr>
        <w:t xml:space="preserve"> </w:t>
      </w:r>
      <w:r w:rsidR="001C4B7A">
        <w:rPr>
          <w:rFonts w:cstheme="minorHAnsi"/>
        </w:rPr>
        <w:t xml:space="preserve">comparable </w:t>
      </w:r>
      <w:r w:rsidR="002C3E6A" w:rsidRPr="004B5AEF">
        <w:rPr>
          <w:rFonts w:cstheme="minorHAnsi"/>
        </w:rPr>
        <w:t xml:space="preserve">descriptions of selected programs. </w:t>
      </w:r>
      <w:r w:rsidR="001C4B7A">
        <w:rPr>
          <w:rFonts w:cstheme="minorHAnsi"/>
        </w:rPr>
        <w:t>T</w:t>
      </w:r>
      <w:r w:rsidR="002C3E6A" w:rsidRPr="004B5AEF">
        <w:rPr>
          <w:rFonts w:cstheme="minorHAnsi"/>
        </w:rPr>
        <w:t xml:space="preserve">elephone interviews </w:t>
      </w:r>
      <w:r w:rsidR="001C4B7A">
        <w:rPr>
          <w:rFonts w:cstheme="minorHAnsi"/>
        </w:rPr>
        <w:t>will focus on improving consistency of</w:t>
      </w:r>
      <w:r w:rsidR="002C3E6A" w:rsidRPr="004B5AEF">
        <w:rPr>
          <w:rFonts w:cstheme="minorHAnsi"/>
        </w:rPr>
        <w:t xml:space="preserve"> information across the selected programs, </w:t>
      </w:r>
      <w:r w:rsidR="001C4B7A">
        <w:rPr>
          <w:rFonts w:cstheme="minorHAnsi"/>
        </w:rPr>
        <w:t>and</w:t>
      </w:r>
      <w:r w:rsidR="001C4B7A" w:rsidRPr="004B5AEF">
        <w:rPr>
          <w:rFonts w:cstheme="minorHAnsi"/>
        </w:rPr>
        <w:t xml:space="preserve"> </w:t>
      </w:r>
      <w:r w:rsidR="001C4B7A">
        <w:rPr>
          <w:rFonts w:cstheme="minorHAnsi"/>
        </w:rPr>
        <w:t xml:space="preserve">may not </w:t>
      </w:r>
      <w:r w:rsidR="002C3E6A" w:rsidRPr="004B5AEF">
        <w:rPr>
          <w:rFonts w:cstheme="minorHAnsi"/>
        </w:rPr>
        <w:t xml:space="preserve">capture </w:t>
      </w:r>
      <w:r w:rsidR="001C4B7A">
        <w:rPr>
          <w:rFonts w:cstheme="minorHAnsi"/>
        </w:rPr>
        <w:t>the</w:t>
      </w:r>
      <w:r w:rsidR="001C4B7A" w:rsidRPr="004B5AEF">
        <w:rPr>
          <w:rFonts w:cstheme="minorHAnsi"/>
        </w:rPr>
        <w:t xml:space="preserve"> </w:t>
      </w:r>
      <w:r w:rsidR="002C3E6A" w:rsidRPr="004B5AEF">
        <w:rPr>
          <w:rFonts w:cstheme="minorHAnsi"/>
        </w:rPr>
        <w:t xml:space="preserve">full set of </w:t>
      </w:r>
      <w:r w:rsidR="00ED4059">
        <w:rPr>
          <w:rFonts w:cstheme="minorHAnsi"/>
        </w:rPr>
        <w:t>activities</w:t>
      </w:r>
      <w:r w:rsidR="00ED4059" w:rsidRPr="004B5AEF">
        <w:rPr>
          <w:rFonts w:cstheme="minorHAnsi"/>
        </w:rPr>
        <w:t xml:space="preserve"> </w:t>
      </w:r>
      <w:r w:rsidR="002C3E6A" w:rsidRPr="004B5AEF">
        <w:rPr>
          <w:rFonts w:cstheme="minorHAnsi"/>
        </w:rPr>
        <w:t>for all programs.</w:t>
      </w:r>
      <w:r>
        <w:rPr>
          <w:rFonts w:cstheme="minorHAnsi"/>
        </w:rPr>
        <w:t xml:space="preserve">  For both components of the study, information will not support causal linkage between program services and participant outcomes.</w:t>
      </w:r>
    </w:p>
    <w:p w14:paraId="17629853" w14:textId="77777777" w:rsidR="002C3E6A" w:rsidRPr="004B5AEF" w:rsidRDefault="002C3E6A" w:rsidP="00DF1291">
      <w:pPr>
        <w:spacing w:after="0" w:line="240" w:lineRule="auto"/>
        <w:rPr>
          <w:rFonts w:cstheme="minorHAnsi"/>
          <w:i/>
        </w:rPr>
      </w:pPr>
    </w:p>
    <w:p w14:paraId="7B93431A" w14:textId="77777777" w:rsidR="00C92AA9" w:rsidRPr="00561A00" w:rsidRDefault="00C92AA9" w:rsidP="00C92AA9">
      <w:pPr>
        <w:pStyle w:val="H4Number"/>
        <w:rPr>
          <w:rFonts w:asciiTheme="minorHAnsi" w:hAnsiTheme="minorHAnsi" w:cstheme="minorHAnsi"/>
          <w:color w:val="auto"/>
          <w:sz w:val="22"/>
          <w:szCs w:val="22"/>
        </w:rPr>
      </w:pPr>
      <w:bookmarkStart w:id="1" w:name="_Toc5024458"/>
      <w:bookmarkStart w:id="2" w:name="_Toc5370020"/>
      <w:bookmarkStart w:id="3" w:name="_Toc5610190"/>
      <w:r w:rsidRPr="00561A00">
        <w:rPr>
          <w:rFonts w:asciiTheme="minorHAnsi" w:hAnsiTheme="minorHAnsi" w:cstheme="minorHAnsi"/>
          <w:color w:val="auto"/>
          <w:sz w:val="22"/>
          <w:szCs w:val="22"/>
        </w:rPr>
        <w:t>Universe of Data Collection Efforts</w:t>
      </w:r>
      <w:bookmarkEnd w:id="1"/>
      <w:bookmarkEnd w:id="2"/>
      <w:bookmarkEnd w:id="3"/>
    </w:p>
    <w:p w14:paraId="5B8229C4" w14:textId="04649586" w:rsidR="00C92AA9" w:rsidRDefault="00C92AA9" w:rsidP="00C92AA9">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The project team developed </w:t>
      </w:r>
      <w:r w:rsidR="001F7319">
        <w:rPr>
          <w:rFonts w:asciiTheme="minorHAnsi" w:hAnsiTheme="minorHAnsi" w:cstheme="minorHAnsi"/>
          <w:sz w:val="22"/>
          <w:szCs w:val="22"/>
        </w:rPr>
        <w:t>three</w:t>
      </w:r>
      <w:r w:rsidR="001F7319" w:rsidRPr="004B5AEF">
        <w:rPr>
          <w:rFonts w:asciiTheme="minorHAnsi" w:hAnsiTheme="minorHAnsi" w:cstheme="minorHAnsi"/>
          <w:sz w:val="22"/>
          <w:szCs w:val="22"/>
        </w:rPr>
        <w:t xml:space="preserve"> </w:t>
      </w:r>
      <w:r w:rsidRPr="004B5AEF">
        <w:rPr>
          <w:rFonts w:asciiTheme="minorHAnsi" w:hAnsiTheme="minorHAnsi" w:cstheme="minorHAnsi"/>
          <w:sz w:val="22"/>
          <w:szCs w:val="22"/>
        </w:rPr>
        <w:t xml:space="preserve">data collection instruments: (1) a semi-structured program staff interview guide for interviews with staff during in-person site </w:t>
      </w:r>
      <w:r w:rsidR="00460B77" w:rsidRPr="004B5AEF">
        <w:rPr>
          <w:rFonts w:asciiTheme="minorHAnsi" w:hAnsiTheme="minorHAnsi" w:cstheme="minorHAnsi"/>
          <w:sz w:val="22"/>
          <w:szCs w:val="22"/>
        </w:rPr>
        <w:t>visits</w:t>
      </w:r>
      <w:r w:rsidR="00460B77" w:rsidRPr="004B5AEF" w:rsidDel="00287BC5">
        <w:rPr>
          <w:rFonts w:asciiTheme="minorHAnsi" w:hAnsiTheme="minorHAnsi" w:cstheme="minorHAnsi"/>
          <w:sz w:val="22"/>
          <w:szCs w:val="22"/>
        </w:rPr>
        <w:t xml:space="preserve"> </w:t>
      </w:r>
      <w:r w:rsidR="00460B77" w:rsidRPr="004B5AEF">
        <w:rPr>
          <w:rFonts w:asciiTheme="minorHAnsi" w:hAnsiTheme="minorHAnsi" w:cstheme="minorHAnsi"/>
          <w:sz w:val="22"/>
          <w:szCs w:val="22"/>
        </w:rPr>
        <w:t>and</w:t>
      </w:r>
      <w:r w:rsidRPr="004B5AEF">
        <w:rPr>
          <w:rFonts w:asciiTheme="minorHAnsi" w:hAnsiTheme="minorHAnsi" w:cstheme="minorHAnsi"/>
          <w:sz w:val="22"/>
          <w:szCs w:val="22"/>
        </w:rPr>
        <w:t xml:space="preserve"> telephone interviews, (2) a case review guide for use on site visits, </w:t>
      </w:r>
      <w:r w:rsidR="001F7319">
        <w:rPr>
          <w:rFonts w:asciiTheme="minorHAnsi" w:hAnsiTheme="minorHAnsi" w:cstheme="minorHAnsi"/>
          <w:sz w:val="22"/>
          <w:szCs w:val="22"/>
        </w:rPr>
        <w:t xml:space="preserve">and </w:t>
      </w:r>
      <w:r w:rsidRPr="004B5AEF">
        <w:rPr>
          <w:rFonts w:asciiTheme="minorHAnsi" w:hAnsiTheme="minorHAnsi" w:cstheme="minorHAnsi"/>
          <w:sz w:val="22"/>
          <w:szCs w:val="22"/>
        </w:rPr>
        <w:t>(3) an in-depth participant interview guide for use on site visits</w:t>
      </w:r>
      <w:r w:rsidR="001F7319">
        <w:rPr>
          <w:rFonts w:asciiTheme="minorHAnsi" w:hAnsiTheme="minorHAnsi" w:cstheme="minorHAnsi"/>
          <w:sz w:val="22"/>
          <w:szCs w:val="22"/>
        </w:rPr>
        <w:t>.</w:t>
      </w:r>
      <w:r w:rsidRPr="004B5AEF">
        <w:rPr>
          <w:rFonts w:asciiTheme="minorHAnsi" w:hAnsiTheme="minorHAnsi" w:cstheme="minorHAnsi"/>
          <w:sz w:val="22"/>
          <w:szCs w:val="22"/>
        </w:rPr>
        <w:t xml:space="preserve"> </w:t>
      </w:r>
    </w:p>
    <w:tbl>
      <w:tblPr>
        <w:tblStyle w:val="TableGrid"/>
        <w:tblW w:w="10050" w:type="dxa"/>
        <w:tblInd w:w="115" w:type="dxa"/>
        <w:tblCellMar>
          <w:left w:w="115" w:type="dxa"/>
          <w:right w:w="115" w:type="dxa"/>
        </w:tblCellMar>
        <w:tblLook w:val="04A0" w:firstRow="1" w:lastRow="0" w:firstColumn="1" w:lastColumn="0" w:noHBand="0" w:noVBand="1"/>
      </w:tblPr>
      <w:tblGrid>
        <w:gridCol w:w="2041"/>
        <w:gridCol w:w="3494"/>
        <w:gridCol w:w="2657"/>
        <w:gridCol w:w="1858"/>
      </w:tblGrid>
      <w:tr w:rsidR="008B2BDA" w:rsidRPr="006D3518" w14:paraId="7E5B88FA" w14:textId="77777777" w:rsidTr="00E0616D">
        <w:trPr>
          <w:tblHeader/>
        </w:trPr>
        <w:tc>
          <w:tcPr>
            <w:tcW w:w="2041" w:type="dxa"/>
            <w:shd w:val="clear" w:color="auto" w:fill="BFBFBF" w:themeFill="background1" w:themeFillShade="BF"/>
            <w:vAlign w:val="center"/>
          </w:tcPr>
          <w:p w14:paraId="73B09AC0" w14:textId="77777777" w:rsidR="008B2BDA" w:rsidRPr="008B2BDA" w:rsidRDefault="008B2BDA" w:rsidP="00D624FF">
            <w:pPr>
              <w:jc w:val="center"/>
              <w:rPr>
                <w:rFonts w:asciiTheme="minorHAnsi" w:hAnsiTheme="minorHAnsi" w:cstheme="minorHAnsi"/>
                <w:b/>
                <w:sz w:val="22"/>
              </w:rPr>
            </w:pPr>
            <w:r w:rsidRPr="008B2BDA">
              <w:rPr>
                <w:rFonts w:asciiTheme="minorHAnsi" w:hAnsiTheme="minorHAnsi" w:cstheme="minorHAnsi"/>
                <w:b/>
                <w:sz w:val="22"/>
              </w:rPr>
              <w:t>Data Collection Activity/Instrument</w:t>
            </w:r>
          </w:p>
        </w:tc>
        <w:tc>
          <w:tcPr>
            <w:tcW w:w="3494" w:type="dxa"/>
            <w:shd w:val="clear" w:color="auto" w:fill="BFBFBF" w:themeFill="background1" w:themeFillShade="BF"/>
            <w:vAlign w:val="center"/>
          </w:tcPr>
          <w:p w14:paraId="592DB075" w14:textId="77777777" w:rsidR="008B2BDA" w:rsidRPr="008B2BDA" w:rsidRDefault="008B2BDA" w:rsidP="00D624FF">
            <w:pPr>
              <w:jc w:val="center"/>
              <w:rPr>
                <w:rFonts w:asciiTheme="minorHAnsi" w:hAnsiTheme="minorHAnsi" w:cstheme="minorHAnsi"/>
                <w:b/>
                <w:sz w:val="22"/>
              </w:rPr>
            </w:pPr>
            <w:r w:rsidRPr="008B2BDA">
              <w:rPr>
                <w:rFonts w:asciiTheme="minorHAnsi" w:hAnsiTheme="minorHAnsi" w:cstheme="minorHAnsi"/>
                <w:b/>
                <w:sz w:val="22"/>
              </w:rPr>
              <w:t>Respondent(s)</w:t>
            </w:r>
          </w:p>
        </w:tc>
        <w:tc>
          <w:tcPr>
            <w:tcW w:w="2657" w:type="dxa"/>
            <w:shd w:val="clear" w:color="auto" w:fill="BFBFBF" w:themeFill="background1" w:themeFillShade="BF"/>
            <w:vAlign w:val="center"/>
          </w:tcPr>
          <w:p w14:paraId="48D76A52" w14:textId="77777777" w:rsidR="008B2BDA" w:rsidRPr="008B2BDA" w:rsidRDefault="008B2BDA" w:rsidP="00D624FF">
            <w:pPr>
              <w:jc w:val="center"/>
              <w:rPr>
                <w:rFonts w:asciiTheme="minorHAnsi" w:hAnsiTheme="minorHAnsi" w:cstheme="minorHAnsi"/>
                <w:b/>
                <w:sz w:val="22"/>
              </w:rPr>
            </w:pPr>
            <w:r w:rsidRPr="008B2BDA">
              <w:rPr>
                <w:rFonts w:asciiTheme="minorHAnsi" w:hAnsiTheme="minorHAnsi" w:cstheme="minorHAnsi"/>
                <w:b/>
                <w:sz w:val="22"/>
              </w:rPr>
              <w:t>Content and Reason for Collection</w:t>
            </w:r>
          </w:p>
        </w:tc>
        <w:tc>
          <w:tcPr>
            <w:tcW w:w="1858" w:type="dxa"/>
            <w:shd w:val="clear" w:color="auto" w:fill="BFBFBF" w:themeFill="background1" w:themeFillShade="BF"/>
            <w:vAlign w:val="center"/>
          </w:tcPr>
          <w:p w14:paraId="0B16A243" w14:textId="77777777" w:rsidR="008B2BDA" w:rsidRPr="008B2BDA" w:rsidRDefault="008B2BDA" w:rsidP="00D624FF">
            <w:pPr>
              <w:jc w:val="center"/>
              <w:rPr>
                <w:rFonts w:asciiTheme="minorHAnsi" w:hAnsiTheme="minorHAnsi" w:cstheme="minorHAnsi"/>
                <w:b/>
                <w:sz w:val="22"/>
              </w:rPr>
            </w:pPr>
            <w:r w:rsidRPr="008B2BDA">
              <w:rPr>
                <w:rFonts w:asciiTheme="minorHAnsi" w:hAnsiTheme="minorHAnsi" w:cstheme="minorHAnsi"/>
                <w:b/>
                <w:sz w:val="22"/>
              </w:rPr>
              <w:t>Duration and Mode</w:t>
            </w:r>
          </w:p>
        </w:tc>
      </w:tr>
      <w:tr w:rsidR="008B2BDA" w:rsidRPr="006D3518" w14:paraId="3A4D269F" w14:textId="77777777" w:rsidTr="00D624FF">
        <w:tc>
          <w:tcPr>
            <w:tcW w:w="10050" w:type="dxa"/>
            <w:gridSpan w:val="4"/>
            <w:shd w:val="clear" w:color="auto" w:fill="C3C6A8"/>
          </w:tcPr>
          <w:p w14:paraId="18A2D835" w14:textId="77777777" w:rsidR="008B2BDA" w:rsidRPr="006D3518" w:rsidRDefault="008B2BDA" w:rsidP="00D624FF">
            <w:pPr>
              <w:jc w:val="center"/>
              <w:rPr>
                <w:rFonts w:asciiTheme="minorHAnsi" w:hAnsiTheme="minorHAnsi" w:cstheme="minorHAnsi"/>
                <w:b/>
              </w:rPr>
            </w:pPr>
            <w:r w:rsidRPr="006D3518">
              <w:rPr>
                <w:rFonts w:asciiTheme="minorHAnsi" w:hAnsiTheme="minorHAnsi" w:cstheme="minorHAnsi"/>
                <w:b/>
              </w:rPr>
              <w:t>Comprehensive Case Studies</w:t>
            </w:r>
          </w:p>
        </w:tc>
      </w:tr>
      <w:tr w:rsidR="008B2BDA" w:rsidRPr="006D3518" w14:paraId="48AEF28E" w14:textId="77777777" w:rsidTr="00E0616D">
        <w:tc>
          <w:tcPr>
            <w:tcW w:w="2041" w:type="dxa"/>
            <w:shd w:val="clear" w:color="auto" w:fill="C3C6A8"/>
          </w:tcPr>
          <w:p w14:paraId="3CCF7289" w14:textId="77777777" w:rsidR="008B2BDA" w:rsidRPr="006D3518" w:rsidRDefault="008B2BDA" w:rsidP="00D624FF">
            <w:pPr>
              <w:rPr>
                <w:rFonts w:asciiTheme="minorHAnsi" w:hAnsiTheme="minorHAnsi" w:cstheme="minorHAnsi"/>
              </w:rPr>
            </w:pPr>
            <w:r w:rsidRPr="006D3518">
              <w:rPr>
                <w:rFonts w:asciiTheme="minorHAnsi" w:eastAsia="Calibri" w:hAnsiTheme="minorHAnsi" w:cstheme="minorHAnsi"/>
              </w:rPr>
              <w:t>Instrument 1: Semi-Structured Program Staff Interview Guide</w:t>
            </w:r>
          </w:p>
        </w:tc>
        <w:tc>
          <w:tcPr>
            <w:tcW w:w="3494" w:type="dxa"/>
          </w:tcPr>
          <w:p w14:paraId="7D69C443" w14:textId="77777777" w:rsidR="008B2BDA" w:rsidRPr="006D3518" w:rsidRDefault="008B2BDA" w:rsidP="00D624FF">
            <w:pPr>
              <w:rPr>
                <w:rFonts w:asciiTheme="minorHAnsi" w:eastAsia="Calibri" w:hAnsiTheme="minorHAnsi" w:cstheme="minorHAnsi"/>
              </w:rPr>
            </w:pPr>
            <w:r w:rsidRPr="006D3518">
              <w:rPr>
                <w:rFonts w:asciiTheme="minorHAnsi" w:eastAsia="Calibri" w:hAnsiTheme="minorHAnsi" w:cstheme="minorHAnsi"/>
              </w:rPr>
              <w:t xml:space="preserve">Program administrators and/or frontline staff from each of the comprehensive case study programs. </w:t>
            </w:r>
          </w:p>
          <w:p w14:paraId="5D9B3E04" w14:textId="77777777" w:rsidR="008B2BDA" w:rsidRPr="006D3518" w:rsidRDefault="008B2BDA" w:rsidP="00D624FF">
            <w:pPr>
              <w:rPr>
                <w:rFonts w:asciiTheme="minorHAnsi" w:eastAsia="Calibri" w:hAnsiTheme="minorHAnsi" w:cstheme="minorHAnsi"/>
              </w:rPr>
            </w:pPr>
          </w:p>
          <w:p w14:paraId="27A70D13" w14:textId="77777777" w:rsidR="008B2BDA" w:rsidRPr="006D3518" w:rsidRDefault="008B2BDA" w:rsidP="00D624FF">
            <w:pPr>
              <w:rPr>
                <w:rFonts w:asciiTheme="minorHAnsi" w:eastAsia="Calibri" w:hAnsiTheme="minorHAnsi" w:cstheme="minorHAnsi"/>
              </w:rPr>
            </w:pPr>
            <w:r w:rsidRPr="006D3518">
              <w:rPr>
                <w:rFonts w:asciiTheme="minorHAnsi" w:eastAsia="Calibri" w:hAnsiTheme="minorHAnsi" w:cstheme="minorHAnsi"/>
              </w:rPr>
              <w:t xml:space="preserve">Program administrators include staff who administer and supervise the case study program, TANF and employment and training programs, child care and other wraparound supports, and other workforce programs; partners, such as community colleges, adult basic education providers, and employers; and state decision makers, as appropriate. </w:t>
            </w:r>
          </w:p>
          <w:p w14:paraId="4EAD61C6" w14:textId="77777777" w:rsidR="008B2BDA" w:rsidRPr="006D3518" w:rsidRDefault="008B2BDA" w:rsidP="00D624FF">
            <w:pPr>
              <w:rPr>
                <w:rFonts w:asciiTheme="minorHAnsi" w:eastAsia="Calibri" w:hAnsiTheme="minorHAnsi" w:cstheme="minorHAnsi"/>
              </w:rPr>
            </w:pPr>
          </w:p>
          <w:p w14:paraId="6C8CDAE5" w14:textId="77777777" w:rsidR="008B2BDA" w:rsidRPr="006D3518" w:rsidRDefault="008B2BDA" w:rsidP="00D624FF">
            <w:pPr>
              <w:rPr>
                <w:rFonts w:asciiTheme="minorHAnsi" w:eastAsia="Calibri" w:hAnsiTheme="minorHAnsi" w:cstheme="minorHAnsi"/>
              </w:rPr>
            </w:pPr>
            <w:r w:rsidRPr="006D3518">
              <w:rPr>
                <w:rFonts w:asciiTheme="minorHAnsi" w:eastAsia="Calibri" w:hAnsiTheme="minorHAnsi" w:cstheme="minorHAnsi"/>
              </w:rPr>
              <w:t xml:space="preserve">Frontline program staff include intake workers, case managers, job developers, and other direct service providers who work at TANF agencies and American Job Centers, employment and training providers such as community colleges, and providers of wraparound supports, such as child care subsidy frontline staff. </w:t>
            </w:r>
          </w:p>
          <w:p w14:paraId="72B66798" w14:textId="77777777" w:rsidR="008B2BDA" w:rsidRPr="006D3518" w:rsidRDefault="008B2BDA" w:rsidP="00D624FF">
            <w:pPr>
              <w:rPr>
                <w:rFonts w:asciiTheme="minorHAnsi" w:eastAsia="Calibri" w:hAnsiTheme="minorHAnsi" w:cstheme="minorHAnsi"/>
              </w:rPr>
            </w:pPr>
          </w:p>
          <w:p w14:paraId="5AB11B58" w14:textId="77777777" w:rsidR="008B2BDA" w:rsidRPr="006D3518" w:rsidRDefault="008B2BDA" w:rsidP="00D624FF">
            <w:pPr>
              <w:rPr>
                <w:rFonts w:asciiTheme="minorHAnsi" w:hAnsiTheme="minorHAnsi" w:cstheme="minorHAnsi"/>
                <w:b/>
              </w:rPr>
            </w:pPr>
            <w:r w:rsidRPr="006D3518">
              <w:rPr>
                <w:rFonts w:asciiTheme="minorHAnsi" w:eastAsia="Calibri" w:hAnsiTheme="minorHAnsi" w:cstheme="minorHAnsi"/>
              </w:rPr>
              <w:t>We anticipate conducting interviews with up to 168 respondents.</w:t>
            </w:r>
          </w:p>
        </w:tc>
        <w:tc>
          <w:tcPr>
            <w:tcW w:w="2657" w:type="dxa"/>
          </w:tcPr>
          <w:p w14:paraId="5772D2D0" w14:textId="77777777" w:rsidR="008B2BDA" w:rsidRPr="006D3518" w:rsidRDefault="008B2BDA" w:rsidP="00D624FF">
            <w:pPr>
              <w:rPr>
                <w:rFonts w:asciiTheme="minorHAnsi" w:hAnsiTheme="minorHAnsi" w:cstheme="minorHAnsi"/>
              </w:rPr>
            </w:pPr>
            <w:r w:rsidRPr="006D3518">
              <w:rPr>
                <w:rFonts w:asciiTheme="minorHAnsi" w:eastAsia="Calibri" w:hAnsiTheme="minorHAnsi" w:cstheme="minorHAnsi"/>
              </w:rPr>
              <w:t xml:space="preserve">These interviews will capture information about: </w:t>
            </w:r>
          </w:p>
          <w:p w14:paraId="6B0E5937" w14:textId="77777777" w:rsidR="008B2BDA" w:rsidRPr="006D3518" w:rsidRDefault="008B2BDA" w:rsidP="00D624FF">
            <w:pPr>
              <w:pStyle w:val="ListParagraph"/>
              <w:numPr>
                <w:ilvl w:val="0"/>
                <w:numId w:val="11"/>
              </w:numPr>
              <w:ind w:left="151" w:hanging="151"/>
              <w:rPr>
                <w:rFonts w:asciiTheme="minorHAnsi" w:hAnsiTheme="minorHAnsi" w:cstheme="minorHAnsi"/>
              </w:rPr>
            </w:pPr>
            <w:r w:rsidRPr="006D3518">
              <w:rPr>
                <w:rFonts w:asciiTheme="minorHAnsi" w:hAnsiTheme="minorHAnsi" w:cstheme="minorHAnsi"/>
              </w:rPr>
              <w:t xml:space="preserve">program philosophy and the program’s essential components; </w:t>
            </w:r>
          </w:p>
          <w:p w14:paraId="20818326" w14:textId="77777777" w:rsidR="008B2BDA" w:rsidRPr="006D3518" w:rsidRDefault="008B2BDA" w:rsidP="00D624FF">
            <w:pPr>
              <w:pStyle w:val="ListParagraph"/>
              <w:numPr>
                <w:ilvl w:val="0"/>
                <w:numId w:val="11"/>
              </w:numPr>
              <w:ind w:left="151" w:hanging="151"/>
              <w:rPr>
                <w:rFonts w:asciiTheme="minorHAnsi" w:hAnsiTheme="minorHAnsi" w:cstheme="minorHAnsi"/>
              </w:rPr>
            </w:pPr>
            <w:r w:rsidRPr="006D3518">
              <w:rPr>
                <w:rFonts w:asciiTheme="minorHAnsi" w:hAnsiTheme="minorHAnsi" w:cstheme="minorHAnsi"/>
              </w:rPr>
              <w:t xml:space="preserve">implementation of employment and training strategies; </w:t>
            </w:r>
          </w:p>
          <w:p w14:paraId="23911F80" w14:textId="77777777" w:rsidR="008B2BDA" w:rsidRPr="006D3518" w:rsidRDefault="008B2BDA" w:rsidP="00D624FF">
            <w:pPr>
              <w:pStyle w:val="ListParagraph"/>
              <w:numPr>
                <w:ilvl w:val="0"/>
                <w:numId w:val="11"/>
              </w:numPr>
              <w:ind w:left="151" w:hanging="151"/>
              <w:rPr>
                <w:rFonts w:asciiTheme="minorHAnsi" w:hAnsiTheme="minorHAnsi" w:cstheme="minorHAnsi"/>
              </w:rPr>
            </w:pPr>
            <w:r w:rsidRPr="006D3518">
              <w:rPr>
                <w:rFonts w:asciiTheme="minorHAnsi" w:hAnsiTheme="minorHAnsi" w:cstheme="minorHAnsi"/>
              </w:rPr>
              <w:t xml:space="preserve">linkages with child care and other wraparound supports; </w:t>
            </w:r>
          </w:p>
          <w:p w14:paraId="11722B0C" w14:textId="77777777" w:rsidR="008B2BDA" w:rsidRPr="006D3518" w:rsidRDefault="008B2BDA" w:rsidP="00D624FF">
            <w:pPr>
              <w:pStyle w:val="ListParagraph"/>
              <w:numPr>
                <w:ilvl w:val="0"/>
                <w:numId w:val="11"/>
              </w:numPr>
              <w:ind w:left="151" w:hanging="151"/>
              <w:rPr>
                <w:rFonts w:asciiTheme="minorHAnsi" w:hAnsiTheme="minorHAnsi" w:cstheme="minorHAnsi"/>
              </w:rPr>
            </w:pPr>
            <w:r w:rsidRPr="006D3518">
              <w:rPr>
                <w:rFonts w:asciiTheme="minorHAnsi" w:hAnsiTheme="minorHAnsi" w:cstheme="minorHAnsi"/>
              </w:rPr>
              <w:t xml:space="preserve">perspectives of staff who work with clients; and </w:t>
            </w:r>
          </w:p>
          <w:p w14:paraId="63EA3204" w14:textId="77777777" w:rsidR="008B2BDA" w:rsidRPr="006D3518" w:rsidRDefault="008B2BDA" w:rsidP="00D624FF">
            <w:pPr>
              <w:pStyle w:val="ListParagraph"/>
              <w:numPr>
                <w:ilvl w:val="0"/>
                <w:numId w:val="11"/>
              </w:numPr>
              <w:ind w:left="151" w:hanging="151"/>
              <w:rPr>
                <w:rFonts w:asciiTheme="minorHAnsi" w:hAnsiTheme="minorHAnsi" w:cstheme="minorHAnsi"/>
              </w:rPr>
            </w:pPr>
            <w:r w:rsidRPr="006D3518">
              <w:rPr>
                <w:rFonts w:asciiTheme="minorHAnsi" w:hAnsiTheme="minorHAnsi" w:cstheme="minorHAnsi"/>
              </w:rPr>
              <w:t>outputs and outcomes.</w:t>
            </w:r>
            <w:r w:rsidRPr="006D3518">
              <w:rPr>
                <w:rFonts w:asciiTheme="minorHAnsi" w:eastAsia="Calibri" w:hAnsiTheme="minorHAnsi" w:cstheme="minorHAnsi"/>
              </w:rPr>
              <w:t xml:space="preserve"> </w:t>
            </w:r>
          </w:p>
        </w:tc>
        <w:tc>
          <w:tcPr>
            <w:tcW w:w="1858" w:type="dxa"/>
          </w:tcPr>
          <w:p w14:paraId="2A8DA84F" w14:textId="77777777" w:rsidR="008B2BDA" w:rsidRPr="006D3518" w:rsidRDefault="008B2BDA" w:rsidP="00D624FF">
            <w:pPr>
              <w:rPr>
                <w:rFonts w:asciiTheme="minorHAnsi" w:hAnsiTheme="minorHAnsi" w:cstheme="minorHAnsi"/>
              </w:rPr>
            </w:pPr>
            <w:r w:rsidRPr="00D26A77">
              <w:rPr>
                <w:rFonts w:asciiTheme="minorHAnsi" w:hAnsiTheme="minorHAnsi" w:cstheme="minorHAnsi"/>
                <w:b/>
              </w:rPr>
              <w:t>Duration:</w:t>
            </w:r>
            <w:r>
              <w:rPr>
                <w:rFonts w:asciiTheme="minorHAnsi" w:hAnsiTheme="minorHAnsi" w:cstheme="minorHAnsi"/>
              </w:rPr>
              <w:t xml:space="preserve"> </w:t>
            </w:r>
            <w:r w:rsidRPr="006D3518">
              <w:rPr>
                <w:rFonts w:asciiTheme="minorHAnsi" w:hAnsiTheme="minorHAnsi" w:cstheme="minorHAnsi"/>
              </w:rPr>
              <w:t xml:space="preserve">60 minutes </w:t>
            </w:r>
          </w:p>
          <w:p w14:paraId="177EA4E9" w14:textId="77777777" w:rsidR="008B2BDA" w:rsidRPr="006D3518" w:rsidRDefault="008B2BDA" w:rsidP="00D624FF">
            <w:pPr>
              <w:rPr>
                <w:rFonts w:asciiTheme="minorHAnsi" w:hAnsiTheme="minorHAnsi" w:cstheme="minorHAnsi"/>
              </w:rPr>
            </w:pPr>
          </w:p>
          <w:p w14:paraId="708939AF" w14:textId="77777777" w:rsidR="008B2BDA" w:rsidRPr="006D3518" w:rsidRDefault="008B2BDA" w:rsidP="00D624FF">
            <w:pPr>
              <w:rPr>
                <w:rFonts w:asciiTheme="minorHAnsi" w:hAnsiTheme="minorHAnsi" w:cstheme="minorHAnsi"/>
              </w:rPr>
            </w:pPr>
            <w:r w:rsidRPr="00D26A77">
              <w:rPr>
                <w:rFonts w:asciiTheme="minorHAnsi" w:hAnsiTheme="minorHAnsi" w:cstheme="minorHAnsi"/>
                <w:b/>
              </w:rPr>
              <w:t>Mode:</w:t>
            </w:r>
            <w:r>
              <w:rPr>
                <w:rFonts w:asciiTheme="minorHAnsi" w:hAnsiTheme="minorHAnsi" w:cstheme="minorHAnsi"/>
              </w:rPr>
              <w:t xml:space="preserve"> </w:t>
            </w:r>
            <w:r w:rsidRPr="006D3518">
              <w:rPr>
                <w:rFonts w:asciiTheme="minorHAnsi" w:hAnsiTheme="minorHAnsi" w:cstheme="minorHAnsi"/>
              </w:rPr>
              <w:t>In-Person</w:t>
            </w:r>
          </w:p>
          <w:p w14:paraId="5B76F3DF" w14:textId="77777777" w:rsidR="008B2BDA" w:rsidRPr="006D3518" w:rsidRDefault="008B2BDA" w:rsidP="00D624FF">
            <w:pPr>
              <w:rPr>
                <w:rFonts w:asciiTheme="minorHAnsi" w:hAnsiTheme="minorHAnsi" w:cstheme="minorHAnsi"/>
              </w:rPr>
            </w:pPr>
          </w:p>
          <w:p w14:paraId="7D76913E" w14:textId="02238BA0" w:rsidR="008B2BDA" w:rsidRPr="006D3518" w:rsidRDefault="008B2BDA" w:rsidP="00D624FF">
            <w:pPr>
              <w:rPr>
                <w:rFonts w:asciiTheme="minorHAnsi" w:hAnsiTheme="minorHAnsi" w:cstheme="minorHAnsi"/>
              </w:rPr>
            </w:pPr>
            <w:r w:rsidRPr="006D3518">
              <w:rPr>
                <w:rFonts w:asciiTheme="minorHAnsi" w:hAnsiTheme="minorHAnsi" w:cstheme="minorHAnsi"/>
              </w:rPr>
              <w:t xml:space="preserve">Note: </w:t>
            </w:r>
            <w:r>
              <w:rPr>
                <w:rFonts w:asciiTheme="minorHAnsi" w:hAnsiTheme="minorHAnsi" w:cstheme="minorHAnsi"/>
              </w:rPr>
              <w:t>We will not</w:t>
            </w:r>
            <w:r w:rsidRPr="006D3518">
              <w:rPr>
                <w:rFonts w:asciiTheme="minorHAnsi" w:hAnsiTheme="minorHAnsi" w:cstheme="minorHAnsi"/>
              </w:rPr>
              <w:t xml:space="preserve"> administer</w:t>
            </w:r>
            <w:r>
              <w:rPr>
                <w:rFonts w:asciiTheme="minorHAnsi" w:hAnsiTheme="minorHAnsi" w:cstheme="minorHAnsi"/>
              </w:rPr>
              <w:t xml:space="preserve"> the interview</w:t>
            </w:r>
            <w:r w:rsidR="00EA052A">
              <w:rPr>
                <w:rFonts w:asciiTheme="minorHAnsi" w:hAnsiTheme="minorHAnsi" w:cstheme="minorHAnsi"/>
              </w:rPr>
              <w:t xml:space="preserve"> guide</w:t>
            </w:r>
            <w:r w:rsidRPr="006D3518">
              <w:rPr>
                <w:rFonts w:asciiTheme="minorHAnsi" w:hAnsiTheme="minorHAnsi" w:cstheme="minorHAnsi"/>
              </w:rPr>
              <w:t xml:space="preserve"> in its entirety, instead t</w:t>
            </w:r>
            <w:r w:rsidRPr="006D3518">
              <w:rPr>
                <w:rFonts w:asciiTheme="minorHAnsi" w:eastAsia="Calibri" w:hAnsiTheme="minorHAnsi" w:cstheme="minorHAnsi"/>
              </w:rPr>
              <w:t>he project team will select and ask questions that are relevant to each respondent and program.</w:t>
            </w:r>
          </w:p>
        </w:tc>
      </w:tr>
      <w:tr w:rsidR="008B2BDA" w:rsidRPr="006D3518" w14:paraId="0E42D188" w14:textId="77777777" w:rsidTr="00E0616D">
        <w:tc>
          <w:tcPr>
            <w:tcW w:w="2041" w:type="dxa"/>
            <w:shd w:val="clear" w:color="auto" w:fill="C3C6A8"/>
          </w:tcPr>
          <w:p w14:paraId="7A9C1550" w14:textId="77777777" w:rsidR="008B2BDA" w:rsidRPr="006D3518" w:rsidRDefault="008B2BDA" w:rsidP="00D624FF">
            <w:pPr>
              <w:rPr>
                <w:rFonts w:asciiTheme="minorHAnsi" w:hAnsiTheme="minorHAnsi" w:cstheme="minorHAnsi"/>
              </w:rPr>
            </w:pPr>
            <w:r w:rsidRPr="006D3518">
              <w:rPr>
                <w:rFonts w:asciiTheme="minorHAnsi" w:eastAsia="Calibri" w:hAnsiTheme="minorHAnsi" w:cstheme="minorHAnsi"/>
              </w:rPr>
              <w:t>Instrument 2: Case Review Guide</w:t>
            </w:r>
          </w:p>
        </w:tc>
        <w:tc>
          <w:tcPr>
            <w:tcW w:w="3494" w:type="dxa"/>
          </w:tcPr>
          <w:p w14:paraId="50EA9533" w14:textId="77777777" w:rsidR="008B2BDA" w:rsidRPr="006D3518" w:rsidRDefault="008B2BDA" w:rsidP="00D624FF">
            <w:pPr>
              <w:rPr>
                <w:rFonts w:asciiTheme="minorHAnsi" w:eastAsiaTheme="minorHAnsi" w:hAnsiTheme="minorHAnsi" w:cstheme="minorHAnsi"/>
              </w:rPr>
            </w:pPr>
            <w:r w:rsidRPr="006D3518">
              <w:rPr>
                <w:rFonts w:asciiTheme="minorHAnsi" w:eastAsiaTheme="minorHAnsi" w:hAnsiTheme="minorHAnsi" w:cstheme="minorHAnsi"/>
              </w:rPr>
              <w:t xml:space="preserve">Frontline staff who work with the clients whose cases are under review. </w:t>
            </w:r>
          </w:p>
          <w:p w14:paraId="526A982C" w14:textId="77777777" w:rsidR="008B2BDA" w:rsidRPr="006D3518" w:rsidRDefault="008B2BDA" w:rsidP="00D624FF">
            <w:pPr>
              <w:rPr>
                <w:rFonts w:asciiTheme="minorHAnsi" w:eastAsiaTheme="minorHAnsi" w:hAnsiTheme="minorHAnsi" w:cstheme="minorHAnsi"/>
              </w:rPr>
            </w:pPr>
          </w:p>
          <w:p w14:paraId="5E5CB73C" w14:textId="77777777" w:rsidR="008B2BDA" w:rsidRPr="006D3518" w:rsidRDefault="008B2BDA" w:rsidP="00D624FF">
            <w:pPr>
              <w:rPr>
                <w:rFonts w:asciiTheme="minorHAnsi" w:hAnsiTheme="minorHAnsi" w:cstheme="minorHAnsi"/>
                <w:b/>
              </w:rPr>
            </w:pPr>
            <w:r w:rsidRPr="006D3518">
              <w:rPr>
                <w:rFonts w:asciiTheme="minorHAnsi" w:eastAsiaTheme="minorHAnsi" w:hAnsiTheme="minorHAnsi" w:cstheme="minorHAnsi"/>
              </w:rPr>
              <w:t>We expect two respondents (likely case managers) per program for a total of 24 respondents.</w:t>
            </w:r>
          </w:p>
        </w:tc>
        <w:tc>
          <w:tcPr>
            <w:tcW w:w="2657" w:type="dxa"/>
          </w:tcPr>
          <w:p w14:paraId="25EE5E2D" w14:textId="77777777" w:rsidR="008B2BDA" w:rsidRPr="006D3518" w:rsidRDefault="008B2BDA" w:rsidP="00D624FF">
            <w:pPr>
              <w:pStyle w:val="NormalSS"/>
              <w:spacing w:after="0"/>
              <w:rPr>
                <w:rFonts w:asciiTheme="minorHAnsi" w:eastAsiaTheme="minorHAnsi" w:hAnsiTheme="minorHAnsi" w:cstheme="minorHAnsi"/>
                <w:sz w:val="20"/>
              </w:rPr>
            </w:pPr>
            <w:r>
              <w:rPr>
                <w:rFonts w:asciiTheme="minorHAnsi" w:eastAsia="Calibri" w:hAnsiTheme="minorHAnsi" w:cstheme="minorHAnsi"/>
                <w:sz w:val="20"/>
              </w:rPr>
              <w:t>These r</w:t>
            </w:r>
            <w:r w:rsidRPr="006D3518">
              <w:rPr>
                <w:rFonts w:asciiTheme="minorHAnsi" w:eastAsia="Calibri" w:hAnsiTheme="minorHAnsi" w:cstheme="minorHAnsi"/>
                <w:sz w:val="20"/>
              </w:rPr>
              <w:t xml:space="preserve">eviews will </w:t>
            </w:r>
            <w:r w:rsidRPr="006D3518">
              <w:rPr>
                <w:rFonts w:asciiTheme="minorHAnsi" w:eastAsiaTheme="minorHAnsi" w:hAnsiTheme="minorHAnsi" w:cstheme="minorHAnsi"/>
                <w:sz w:val="20"/>
              </w:rPr>
              <w:t xml:space="preserve">allow us to understand the sequencing and tailoring of services. </w:t>
            </w:r>
          </w:p>
          <w:p w14:paraId="449FB4F8" w14:textId="77777777" w:rsidR="008B2BDA" w:rsidRDefault="008B2BDA" w:rsidP="00D624FF">
            <w:pPr>
              <w:pStyle w:val="NormalSS"/>
              <w:spacing w:after="0"/>
              <w:rPr>
                <w:rFonts w:asciiTheme="minorHAnsi" w:hAnsiTheme="minorHAnsi" w:cstheme="minorHAnsi"/>
                <w:sz w:val="20"/>
              </w:rPr>
            </w:pPr>
          </w:p>
          <w:p w14:paraId="3DEE7904" w14:textId="77777777" w:rsidR="008B2BDA" w:rsidRPr="006D3518" w:rsidRDefault="008B2BDA" w:rsidP="00D624FF">
            <w:pPr>
              <w:pStyle w:val="NormalSS"/>
              <w:spacing w:after="0"/>
              <w:rPr>
                <w:rFonts w:asciiTheme="minorHAnsi" w:hAnsiTheme="minorHAnsi" w:cstheme="minorHAnsi"/>
                <w:sz w:val="20"/>
              </w:rPr>
            </w:pPr>
            <w:r w:rsidRPr="006D3518">
              <w:rPr>
                <w:rFonts w:asciiTheme="minorHAnsi" w:hAnsiTheme="minorHAnsi" w:cstheme="minorHAnsi"/>
                <w:sz w:val="20"/>
              </w:rPr>
              <w:t xml:space="preserve">For a purposive sample of cases, reviews will capture information about: </w:t>
            </w:r>
          </w:p>
          <w:p w14:paraId="00A57004" w14:textId="77777777" w:rsidR="008B2BDA" w:rsidRPr="006D3518" w:rsidRDefault="008B2BDA" w:rsidP="00D624FF">
            <w:pPr>
              <w:pStyle w:val="NormalSS"/>
              <w:numPr>
                <w:ilvl w:val="0"/>
                <w:numId w:val="12"/>
              </w:numPr>
              <w:spacing w:after="0"/>
              <w:ind w:left="181" w:hanging="181"/>
              <w:rPr>
                <w:rFonts w:asciiTheme="minorHAnsi" w:eastAsia="Calibri" w:hAnsiTheme="minorHAnsi" w:cstheme="minorHAnsi"/>
                <w:sz w:val="20"/>
              </w:rPr>
            </w:pPr>
            <w:r w:rsidRPr="006D3518">
              <w:rPr>
                <w:rFonts w:asciiTheme="minorHAnsi" w:hAnsiTheme="minorHAnsi" w:cstheme="minorHAnsi"/>
                <w:sz w:val="20"/>
              </w:rPr>
              <w:t xml:space="preserve">the clients’ background as well as their service goals; </w:t>
            </w:r>
          </w:p>
          <w:p w14:paraId="65C6E998" w14:textId="77777777" w:rsidR="008B2BDA" w:rsidRPr="006D3518" w:rsidRDefault="008B2BDA" w:rsidP="00D624FF">
            <w:pPr>
              <w:pStyle w:val="NormalSS"/>
              <w:numPr>
                <w:ilvl w:val="0"/>
                <w:numId w:val="12"/>
              </w:numPr>
              <w:spacing w:after="0"/>
              <w:ind w:left="181" w:hanging="181"/>
              <w:rPr>
                <w:rFonts w:asciiTheme="minorHAnsi" w:eastAsia="Calibri" w:hAnsiTheme="minorHAnsi" w:cstheme="minorHAnsi"/>
                <w:sz w:val="20"/>
              </w:rPr>
            </w:pPr>
            <w:r w:rsidRPr="006D3518">
              <w:rPr>
                <w:rFonts w:asciiTheme="minorHAnsi" w:hAnsiTheme="minorHAnsi" w:cstheme="minorHAnsi"/>
                <w:sz w:val="20"/>
              </w:rPr>
              <w:t xml:space="preserve">which program services were delivered and their frequency, timing, dosage, and intensity; </w:t>
            </w:r>
          </w:p>
          <w:p w14:paraId="1AFC6981" w14:textId="77777777" w:rsidR="008B2BDA" w:rsidRPr="006D3518" w:rsidRDefault="008B2BDA" w:rsidP="00D624FF">
            <w:pPr>
              <w:pStyle w:val="NormalSS"/>
              <w:numPr>
                <w:ilvl w:val="0"/>
                <w:numId w:val="12"/>
              </w:numPr>
              <w:spacing w:after="0"/>
              <w:ind w:left="181" w:hanging="181"/>
              <w:rPr>
                <w:rFonts w:asciiTheme="minorHAnsi" w:eastAsia="Calibri" w:hAnsiTheme="minorHAnsi" w:cstheme="minorHAnsi"/>
                <w:sz w:val="20"/>
              </w:rPr>
            </w:pPr>
            <w:r w:rsidRPr="006D3518">
              <w:rPr>
                <w:rFonts w:asciiTheme="minorHAnsi" w:hAnsiTheme="minorHAnsi" w:cstheme="minorHAnsi"/>
                <w:sz w:val="20"/>
              </w:rPr>
              <w:t xml:space="preserve">the role of wraparound services; </w:t>
            </w:r>
          </w:p>
          <w:p w14:paraId="60682D6A" w14:textId="77777777" w:rsidR="008B2BDA" w:rsidRPr="006D3518" w:rsidRDefault="008B2BDA" w:rsidP="00D624FF">
            <w:pPr>
              <w:pStyle w:val="NormalSS"/>
              <w:numPr>
                <w:ilvl w:val="0"/>
                <w:numId w:val="12"/>
              </w:numPr>
              <w:spacing w:after="0"/>
              <w:ind w:left="181" w:hanging="181"/>
              <w:rPr>
                <w:rFonts w:asciiTheme="minorHAnsi" w:eastAsia="Calibri" w:hAnsiTheme="minorHAnsi" w:cstheme="minorHAnsi"/>
                <w:sz w:val="20"/>
              </w:rPr>
            </w:pPr>
            <w:r w:rsidRPr="006D3518">
              <w:rPr>
                <w:rFonts w:asciiTheme="minorHAnsi" w:hAnsiTheme="minorHAnsi" w:cstheme="minorHAnsi"/>
                <w:sz w:val="20"/>
              </w:rPr>
              <w:t xml:space="preserve">clients’ barriers; and </w:t>
            </w:r>
          </w:p>
          <w:p w14:paraId="17A31427" w14:textId="77777777" w:rsidR="008B2BDA" w:rsidRPr="006D3518" w:rsidRDefault="008B2BDA" w:rsidP="00D624FF">
            <w:pPr>
              <w:pStyle w:val="NormalSS"/>
              <w:numPr>
                <w:ilvl w:val="0"/>
                <w:numId w:val="12"/>
              </w:numPr>
              <w:spacing w:after="0"/>
              <w:ind w:left="181" w:hanging="181"/>
              <w:rPr>
                <w:rFonts w:asciiTheme="minorHAnsi" w:eastAsia="Calibri" w:hAnsiTheme="minorHAnsi" w:cstheme="minorHAnsi"/>
                <w:sz w:val="20"/>
              </w:rPr>
            </w:pPr>
            <w:r w:rsidRPr="006D3518">
              <w:rPr>
                <w:rFonts w:asciiTheme="minorHAnsi" w:hAnsiTheme="minorHAnsi" w:cstheme="minorHAnsi"/>
                <w:sz w:val="20"/>
              </w:rPr>
              <w:t xml:space="preserve">case outcomes. </w:t>
            </w:r>
          </w:p>
          <w:p w14:paraId="6648CB12" w14:textId="77777777" w:rsidR="008B2BDA" w:rsidRDefault="008B2BDA" w:rsidP="00D624FF">
            <w:pPr>
              <w:pStyle w:val="NormalSS"/>
              <w:spacing w:after="0"/>
              <w:rPr>
                <w:rFonts w:asciiTheme="minorHAnsi" w:hAnsiTheme="minorHAnsi" w:cstheme="minorHAnsi"/>
                <w:sz w:val="20"/>
              </w:rPr>
            </w:pPr>
          </w:p>
          <w:p w14:paraId="11A36681" w14:textId="77777777" w:rsidR="008B2BDA" w:rsidRPr="006D3518" w:rsidRDefault="008B2BDA" w:rsidP="00D624FF">
            <w:pPr>
              <w:pStyle w:val="NormalSS"/>
              <w:spacing w:after="0"/>
              <w:rPr>
                <w:rFonts w:asciiTheme="minorHAnsi" w:eastAsia="Calibri" w:hAnsiTheme="minorHAnsi" w:cstheme="minorHAnsi"/>
                <w:sz w:val="20"/>
              </w:rPr>
            </w:pPr>
            <w:r w:rsidRPr="006D3518">
              <w:rPr>
                <w:rFonts w:asciiTheme="minorHAnsi" w:hAnsiTheme="minorHAnsi" w:cstheme="minorHAnsi"/>
                <w:sz w:val="20"/>
              </w:rPr>
              <w:t xml:space="preserve">Note: </w:t>
            </w:r>
            <w:r w:rsidRPr="006D3518">
              <w:rPr>
                <w:rFonts w:asciiTheme="minorHAnsi" w:eastAsiaTheme="minorHAnsi" w:hAnsiTheme="minorHAnsi" w:cstheme="minorHAnsi"/>
                <w:sz w:val="20"/>
              </w:rPr>
              <w:t xml:space="preserve">The case review guide does not ask for any personally-identifiable information </w:t>
            </w:r>
            <w:r>
              <w:rPr>
                <w:rFonts w:asciiTheme="minorHAnsi" w:eastAsiaTheme="minorHAnsi" w:hAnsiTheme="minorHAnsi" w:cstheme="minorHAnsi"/>
                <w:sz w:val="20"/>
              </w:rPr>
              <w:t xml:space="preserve">(PII) </w:t>
            </w:r>
            <w:r w:rsidRPr="006D3518">
              <w:rPr>
                <w:rFonts w:asciiTheme="minorHAnsi" w:eastAsiaTheme="minorHAnsi" w:hAnsiTheme="minorHAnsi" w:cstheme="minorHAnsi"/>
                <w:sz w:val="20"/>
              </w:rPr>
              <w:t xml:space="preserve">about the client. The project team will ask frontline staff to remove any </w:t>
            </w:r>
            <w:r>
              <w:rPr>
                <w:rFonts w:asciiTheme="minorHAnsi" w:eastAsiaTheme="minorHAnsi" w:hAnsiTheme="minorHAnsi" w:cstheme="minorHAnsi"/>
                <w:sz w:val="20"/>
              </w:rPr>
              <w:t>PII</w:t>
            </w:r>
            <w:r w:rsidRPr="006D3518">
              <w:rPr>
                <w:rFonts w:asciiTheme="minorHAnsi" w:eastAsiaTheme="minorHAnsi" w:hAnsiTheme="minorHAnsi" w:cstheme="minorHAnsi"/>
                <w:sz w:val="20"/>
              </w:rPr>
              <w:t xml:space="preserve"> from the case file prior to reviewing the cases with frontline staff who work with the clients whose cases are under review.  </w:t>
            </w:r>
          </w:p>
          <w:p w14:paraId="44A02B18" w14:textId="77777777" w:rsidR="008B2BDA" w:rsidRPr="006D3518" w:rsidRDefault="008B2BDA" w:rsidP="00D624FF">
            <w:pPr>
              <w:rPr>
                <w:rFonts w:asciiTheme="minorHAnsi" w:hAnsiTheme="minorHAnsi" w:cstheme="minorHAnsi"/>
              </w:rPr>
            </w:pPr>
          </w:p>
        </w:tc>
        <w:tc>
          <w:tcPr>
            <w:tcW w:w="1858" w:type="dxa"/>
          </w:tcPr>
          <w:p w14:paraId="4FA21574" w14:textId="77777777" w:rsidR="008B2BDA" w:rsidRPr="006D3518" w:rsidRDefault="008B2BDA" w:rsidP="00D624FF">
            <w:pPr>
              <w:rPr>
                <w:rFonts w:asciiTheme="minorHAnsi" w:eastAsiaTheme="minorHAnsi" w:hAnsiTheme="minorHAnsi" w:cstheme="minorHAnsi"/>
              </w:rPr>
            </w:pPr>
            <w:r w:rsidRPr="00D26A77">
              <w:rPr>
                <w:rFonts w:asciiTheme="minorHAnsi" w:hAnsiTheme="minorHAnsi" w:cstheme="minorHAnsi"/>
                <w:b/>
              </w:rPr>
              <w:t>Duration:</w:t>
            </w:r>
            <w:r>
              <w:rPr>
                <w:rFonts w:asciiTheme="minorHAnsi" w:hAnsiTheme="minorHAnsi" w:cstheme="minorHAnsi"/>
              </w:rPr>
              <w:t xml:space="preserve"> </w:t>
            </w:r>
            <w:r w:rsidRPr="006D3518">
              <w:rPr>
                <w:rFonts w:asciiTheme="minorHAnsi" w:eastAsiaTheme="minorHAnsi" w:hAnsiTheme="minorHAnsi" w:cstheme="minorHAnsi"/>
              </w:rPr>
              <w:t>Two 45-minutes case reviews per staff member</w:t>
            </w:r>
            <w:r>
              <w:rPr>
                <w:rFonts w:asciiTheme="minorHAnsi" w:eastAsiaTheme="minorHAnsi" w:hAnsiTheme="minorHAnsi" w:cstheme="minorHAnsi"/>
              </w:rPr>
              <w:t>.</w:t>
            </w:r>
            <w:r w:rsidRPr="006D3518">
              <w:rPr>
                <w:rFonts w:asciiTheme="minorHAnsi" w:eastAsiaTheme="minorHAnsi" w:hAnsiTheme="minorHAnsi" w:cstheme="minorHAnsi"/>
              </w:rPr>
              <w:t xml:space="preserve"> </w:t>
            </w:r>
          </w:p>
          <w:p w14:paraId="181DE5E6" w14:textId="77777777" w:rsidR="008B2BDA" w:rsidRPr="006D3518" w:rsidRDefault="008B2BDA" w:rsidP="00D624FF">
            <w:pPr>
              <w:rPr>
                <w:rFonts w:asciiTheme="minorHAnsi" w:eastAsiaTheme="minorHAnsi" w:hAnsiTheme="minorHAnsi" w:cstheme="minorHAnsi"/>
              </w:rPr>
            </w:pPr>
          </w:p>
          <w:p w14:paraId="4E096B77" w14:textId="77777777" w:rsidR="008B2BDA" w:rsidRPr="006D3518" w:rsidRDefault="008B2BDA" w:rsidP="00D624FF">
            <w:pPr>
              <w:rPr>
                <w:rFonts w:asciiTheme="minorHAnsi" w:hAnsiTheme="minorHAnsi" w:cstheme="minorHAnsi"/>
              </w:rPr>
            </w:pPr>
            <w:r>
              <w:rPr>
                <w:rFonts w:asciiTheme="minorHAnsi" w:hAnsiTheme="minorHAnsi" w:cstheme="minorHAnsi"/>
                <w:b/>
              </w:rPr>
              <w:t>Mode</w:t>
            </w:r>
            <w:r w:rsidRPr="00D26A77">
              <w:rPr>
                <w:rFonts w:asciiTheme="minorHAnsi" w:hAnsiTheme="minorHAnsi" w:cstheme="minorHAnsi"/>
                <w:b/>
              </w:rPr>
              <w:t>:</w:t>
            </w:r>
            <w:r>
              <w:rPr>
                <w:rFonts w:asciiTheme="minorHAnsi" w:hAnsiTheme="minorHAnsi" w:cstheme="minorHAnsi"/>
              </w:rPr>
              <w:t xml:space="preserve"> </w:t>
            </w:r>
            <w:r w:rsidRPr="006D3518">
              <w:rPr>
                <w:rFonts w:asciiTheme="minorHAnsi" w:hAnsiTheme="minorHAnsi" w:cstheme="minorHAnsi"/>
              </w:rPr>
              <w:t>In-Person</w:t>
            </w:r>
          </w:p>
          <w:p w14:paraId="5A6C95F0" w14:textId="77777777" w:rsidR="008B2BDA" w:rsidRPr="006D3518" w:rsidRDefault="008B2BDA" w:rsidP="00D624FF">
            <w:pPr>
              <w:pStyle w:val="NormalSS"/>
              <w:spacing w:after="0"/>
              <w:rPr>
                <w:rFonts w:asciiTheme="minorHAnsi" w:eastAsia="Calibri" w:hAnsiTheme="minorHAnsi" w:cstheme="minorHAnsi"/>
                <w:sz w:val="20"/>
              </w:rPr>
            </w:pPr>
          </w:p>
          <w:p w14:paraId="12C0ECA3" w14:textId="36B3A15B" w:rsidR="008B2BDA" w:rsidRPr="006D3518" w:rsidRDefault="00EA052A" w:rsidP="00D624FF">
            <w:pPr>
              <w:rPr>
                <w:rFonts w:asciiTheme="minorHAnsi" w:hAnsiTheme="minorHAnsi" w:cstheme="minorHAnsi"/>
              </w:rPr>
            </w:pPr>
            <w:r w:rsidRPr="00EA052A">
              <w:rPr>
                <w:rFonts w:asciiTheme="minorHAnsi" w:hAnsiTheme="minorHAnsi" w:cstheme="minorHAnsi"/>
              </w:rPr>
              <w:t>Note: We will not administer</w:t>
            </w:r>
            <w:r>
              <w:rPr>
                <w:rFonts w:asciiTheme="minorHAnsi" w:hAnsiTheme="minorHAnsi" w:cstheme="minorHAnsi"/>
              </w:rPr>
              <w:t xml:space="preserve"> the </w:t>
            </w:r>
            <w:r w:rsidRPr="00EA052A">
              <w:rPr>
                <w:rFonts w:asciiTheme="minorHAnsi" w:hAnsiTheme="minorHAnsi" w:cstheme="minorHAnsi"/>
              </w:rPr>
              <w:t xml:space="preserve"> guide in its entirety, instead the project team will select and ask questions that are relevant to each respondent and program.</w:t>
            </w:r>
          </w:p>
        </w:tc>
      </w:tr>
      <w:tr w:rsidR="008B2BDA" w:rsidRPr="006D3518" w14:paraId="67613D72" w14:textId="77777777" w:rsidTr="00E0616D">
        <w:tc>
          <w:tcPr>
            <w:tcW w:w="2041" w:type="dxa"/>
            <w:shd w:val="clear" w:color="auto" w:fill="C3C6A8"/>
          </w:tcPr>
          <w:p w14:paraId="346CF73E" w14:textId="77777777" w:rsidR="008B2BDA" w:rsidRPr="006D3518" w:rsidRDefault="008B2BDA" w:rsidP="00D624FF">
            <w:pPr>
              <w:rPr>
                <w:rFonts w:asciiTheme="minorHAnsi" w:hAnsiTheme="minorHAnsi" w:cstheme="minorHAnsi"/>
              </w:rPr>
            </w:pPr>
            <w:r w:rsidRPr="006D3518">
              <w:rPr>
                <w:rFonts w:asciiTheme="minorHAnsi" w:eastAsia="Calibri" w:hAnsiTheme="minorHAnsi" w:cstheme="minorHAnsi"/>
              </w:rPr>
              <w:t>Instrument 3: In-Depth Participant Interview Guide</w:t>
            </w:r>
          </w:p>
        </w:tc>
        <w:tc>
          <w:tcPr>
            <w:tcW w:w="3494" w:type="dxa"/>
          </w:tcPr>
          <w:p w14:paraId="5355DF23" w14:textId="77777777" w:rsidR="008B2BDA" w:rsidRPr="006D3518" w:rsidRDefault="008B2BDA" w:rsidP="00D624FF">
            <w:pPr>
              <w:rPr>
                <w:rFonts w:asciiTheme="minorHAnsi" w:hAnsiTheme="minorHAnsi" w:cstheme="minorHAnsi"/>
              </w:rPr>
            </w:pPr>
            <w:r w:rsidRPr="006D3518">
              <w:rPr>
                <w:rFonts w:asciiTheme="minorHAnsi" w:hAnsiTheme="minorHAnsi" w:cstheme="minorHAnsi"/>
              </w:rPr>
              <w:t xml:space="preserve">Program participants </w:t>
            </w:r>
          </w:p>
          <w:p w14:paraId="205E24D9" w14:textId="77777777" w:rsidR="008B2BDA" w:rsidRPr="006D3518" w:rsidRDefault="008B2BDA" w:rsidP="00D624FF">
            <w:pPr>
              <w:rPr>
                <w:rFonts w:asciiTheme="minorHAnsi" w:hAnsiTheme="minorHAnsi" w:cstheme="minorHAnsi"/>
                <w:b/>
              </w:rPr>
            </w:pPr>
          </w:p>
          <w:p w14:paraId="56B85838" w14:textId="77777777" w:rsidR="008B2BDA" w:rsidRPr="006D3518" w:rsidRDefault="008B2BDA" w:rsidP="00D624FF">
            <w:pPr>
              <w:rPr>
                <w:rFonts w:asciiTheme="minorHAnsi" w:hAnsiTheme="minorHAnsi" w:cstheme="minorHAnsi"/>
              </w:rPr>
            </w:pPr>
            <w:r w:rsidRPr="006D3518">
              <w:rPr>
                <w:rFonts w:asciiTheme="minorHAnsi" w:hAnsiTheme="minorHAnsi" w:cstheme="minorHAnsi"/>
              </w:rPr>
              <w:t>We will ask program staff to identify two clients with different service needs and different program experiences.</w:t>
            </w:r>
          </w:p>
          <w:p w14:paraId="791D4FCE" w14:textId="77777777" w:rsidR="008B2BDA" w:rsidRPr="006D3518" w:rsidRDefault="008B2BDA" w:rsidP="00D624FF">
            <w:pPr>
              <w:rPr>
                <w:rFonts w:asciiTheme="minorHAnsi" w:hAnsiTheme="minorHAnsi" w:cstheme="minorHAnsi"/>
                <w:b/>
              </w:rPr>
            </w:pPr>
          </w:p>
          <w:p w14:paraId="748B8E84" w14:textId="77777777" w:rsidR="008B2BDA" w:rsidRPr="006D3518" w:rsidRDefault="008B2BDA" w:rsidP="00D624FF">
            <w:pPr>
              <w:rPr>
                <w:rFonts w:asciiTheme="minorHAnsi" w:hAnsiTheme="minorHAnsi" w:cstheme="minorHAnsi"/>
                <w:b/>
              </w:rPr>
            </w:pPr>
            <w:r w:rsidRPr="006D3518">
              <w:rPr>
                <w:rFonts w:asciiTheme="minorHAnsi" w:eastAsiaTheme="minorHAnsi" w:hAnsiTheme="minorHAnsi" w:cstheme="minorHAnsi"/>
              </w:rPr>
              <w:t>We expect two respondents per program for a total of 24 respondents.</w:t>
            </w:r>
          </w:p>
        </w:tc>
        <w:tc>
          <w:tcPr>
            <w:tcW w:w="2657" w:type="dxa"/>
          </w:tcPr>
          <w:p w14:paraId="28E74162" w14:textId="77777777" w:rsidR="008B2BDA" w:rsidRDefault="008B2BDA" w:rsidP="00D624FF">
            <w:pPr>
              <w:pStyle w:val="NormalSS"/>
              <w:spacing w:after="0"/>
              <w:rPr>
                <w:rFonts w:asciiTheme="minorHAnsi" w:eastAsia="Calibri" w:hAnsiTheme="minorHAnsi" w:cstheme="minorHAnsi"/>
                <w:sz w:val="20"/>
              </w:rPr>
            </w:pPr>
            <w:r>
              <w:rPr>
                <w:rFonts w:asciiTheme="minorHAnsi" w:eastAsia="Calibri" w:hAnsiTheme="minorHAnsi" w:cstheme="minorHAnsi"/>
                <w:sz w:val="20"/>
              </w:rPr>
              <w:t>These interviews</w:t>
            </w:r>
            <w:r w:rsidRPr="006D3518">
              <w:rPr>
                <w:rFonts w:asciiTheme="minorHAnsi" w:eastAsia="Calibri" w:hAnsiTheme="minorHAnsi" w:cstheme="minorHAnsi"/>
                <w:sz w:val="20"/>
              </w:rPr>
              <w:t xml:space="preserve"> will enable the research team to obtain a comprehensive picture of client experiences and perspectives. </w:t>
            </w:r>
          </w:p>
          <w:p w14:paraId="4AC427F0" w14:textId="77777777" w:rsidR="008B2BDA" w:rsidRPr="006D3518" w:rsidRDefault="008B2BDA" w:rsidP="00D624FF">
            <w:pPr>
              <w:pStyle w:val="NormalSS"/>
              <w:spacing w:after="0"/>
              <w:rPr>
                <w:rFonts w:asciiTheme="minorHAnsi" w:eastAsia="Calibri" w:hAnsiTheme="minorHAnsi" w:cstheme="minorHAnsi"/>
                <w:sz w:val="20"/>
              </w:rPr>
            </w:pPr>
          </w:p>
          <w:p w14:paraId="623D0C22" w14:textId="77777777" w:rsidR="008B2BDA" w:rsidRDefault="008B2BDA" w:rsidP="00D624FF">
            <w:pPr>
              <w:pStyle w:val="NormalSS"/>
              <w:spacing w:after="0"/>
              <w:rPr>
                <w:rFonts w:asciiTheme="minorHAnsi" w:hAnsiTheme="minorHAnsi" w:cstheme="minorHAnsi"/>
                <w:sz w:val="20"/>
              </w:rPr>
            </w:pPr>
            <w:r w:rsidRPr="006D3518">
              <w:rPr>
                <w:rFonts w:asciiTheme="minorHAnsi" w:hAnsiTheme="minorHAnsi" w:cstheme="minorHAnsi"/>
                <w:sz w:val="20"/>
              </w:rPr>
              <w:t xml:space="preserve">By conducting in-depth interviews following program staff interviews and case reviews, we will gain an in-depth understanding of how clients’ individual and family circumstances interact with services delivered and the outcomes they experience. </w:t>
            </w:r>
          </w:p>
          <w:p w14:paraId="5B076E69" w14:textId="77777777" w:rsidR="008B2BDA" w:rsidRDefault="008B2BDA" w:rsidP="00D624FF">
            <w:pPr>
              <w:pStyle w:val="NormalSS"/>
              <w:spacing w:after="0"/>
              <w:rPr>
                <w:rFonts w:asciiTheme="minorHAnsi" w:hAnsiTheme="minorHAnsi" w:cstheme="minorHAnsi"/>
                <w:sz w:val="20"/>
              </w:rPr>
            </w:pPr>
          </w:p>
          <w:p w14:paraId="472387DD" w14:textId="77777777" w:rsidR="008B2BDA" w:rsidRPr="006D3518" w:rsidRDefault="008B2BDA" w:rsidP="00D624FF">
            <w:pPr>
              <w:pStyle w:val="NormalSS"/>
              <w:spacing w:after="0"/>
              <w:rPr>
                <w:rFonts w:asciiTheme="minorHAnsi" w:eastAsia="Calibri" w:hAnsiTheme="minorHAnsi" w:cstheme="minorHAnsi"/>
                <w:sz w:val="20"/>
              </w:rPr>
            </w:pPr>
            <w:r w:rsidRPr="006D3518">
              <w:rPr>
                <w:rFonts w:asciiTheme="minorHAnsi" w:hAnsiTheme="minorHAnsi" w:cstheme="minorHAnsi"/>
                <w:sz w:val="20"/>
              </w:rPr>
              <w:t xml:space="preserve">We will conduct interviews with rigorous attention to cultural sensitivities, following approved consent and assent procedures, and obtaining detailed information on how participants view the programs’ effect within the broader context of their lives. </w:t>
            </w:r>
          </w:p>
          <w:p w14:paraId="391FFB55" w14:textId="77777777" w:rsidR="008B2BDA" w:rsidRPr="006D3518" w:rsidRDefault="008B2BDA" w:rsidP="00D624FF">
            <w:pPr>
              <w:rPr>
                <w:rFonts w:asciiTheme="minorHAnsi" w:hAnsiTheme="minorHAnsi" w:cstheme="minorHAnsi"/>
              </w:rPr>
            </w:pPr>
          </w:p>
        </w:tc>
        <w:tc>
          <w:tcPr>
            <w:tcW w:w="1858" w:type="dxa"/>
          </w:tcPr>
          <w:p w14:paraId="1AF9C1C0" w14:textId="77777777" w:rsidR="008B2BDA" w:rsidRPr="006D3518" w:rsidRDefault="008B2BDA" w:rsidP="00D624FF">
            <w:pPr>
              <w:rPr>
                <w:rFonts w:asciiTheme="minorHAnsi" w:eastAsia="Calibri" w:hAnsiTheme="minorHAnsi" w:cstheme="minorHAnsi"/>
              </w:rPr>
            </w:pPr>
            <w:r>
              <w:rPr>
                <w:rFonts w:asciiTheme="minorHAnsi" w:eastAsia="Calibri" w:hAnsiTheme="minorHAnsi" w:cstheme="minorHAnsi"/>
                <w:b/>
              </w:rPr>
              <w:t xml:space="preserve">Duration: </w:t>
            </w:r>
            <w:r w:rsidRPr="006D3518">
              <w:rPr>
                <w:rFonts w:asciiTheme="minorHAnsi" w:eastAsia="Calibri" w:hAnsiTheme="minorHAnsi" w:cstheme="minorHAnsi"/>
              </w:rPr>
              <w:t>90 minutes</w:t>
            </w:r>
          </w:p>
          <w:p w14:paraId="7A8A9C5E" w14:textId="77777777" w:rsidR="008B2BDA" w:rsidRPr="006D3518" w:rsidRDefault="008B2BDA" w:rsidP="00D624FF">
            <w:pPr>
              <w:rPr>
                <w:rFonts w:asciiTheme="minorHAnsi" w:eastAsia="Calibri" w:hAnsiTheme="minorHAnsi" w:cstheme="minorHAnsi"/>
              </w:rPr>
            </w:pPr>
          </w:p>
          <w:p w14:paraId="41967317" w14:textId="77777777" w:rsidR="008B2BDA" w:rsidRDefault="008B2BDA" w:rsidP="00D624FF">
            <w:pPr>
              <w:rPr>
                <w:rFonts w:asciiTheme="minorHAnsi" w:eastAsia="Calibri" w:hAnsiTheme="minorHAnsi" w:cstheme="minorHAnsi"/>
              </w:rPr>
            </w:pPr>
            <w:r>
              <w:rPr>
                <w:rFonts w:asciiTheme="minorHAnsi" w:eastAsia="Calibri" w:hAnsiTheme="minorHAnsi" w:cstheme="minorHAnsi"/>
                <w:b/>
              </w:rPr>
              <w:t xml:space="preserve">Mode: </w:t>
            </w:r>
            <w:r w:rsidRPr="006D3518">
              <w:rPr>
                <w:rFonts w:asciiTheme="minorHAnsi" w:eastAsia="Calibri" w:hAnsiTheme="minorHAnsi" w:cstheme="minorHAnsi"/>
              </w:rPr>
              <w:t>In-Person</w:t>
            </w:r>
          </w:p>
          <w:p w14:paraId="43CA0C14" w14:textId="77777777" w:rsidR="00EA052A" w:rsidRDefault="00EA052A" w:rsidP="00D624FF">
            <w:pPr>
              <w:rPr>
                <w:rFonts w:asciiTheme="minorHAnsi" w:eastAsia="Calibri" w:hAnsiTheme="minorHAnsi" w:cstheme="minorHAnsi"/>
              </w:rPr>
            </w:pPr>
          </w:p>
          <w:p w14:paraId="329DB623" w14:textId="1E6E3988" w:rsidR="00EA052A" w:rsidRPr="006D3518" w:rsidRDefault="00EA052A" w:rsidP="00D624FF">
            <w:pPr>
              <w:rPr>
                <w:rFonts w:asciiTheme="minorHAnsi" w:hAnsiTheme="minorHAnsi" w:cstheme="minorHAnsi"/>
              </w:rPr>
            </w:pPr>
            <w:r w:rsidRPr="00EA052A">
              <w:rPr>
                <w:rFonts w:asciiTheme="minorHAnsi" w:hAnsiTheme="minorHAnsi" w:cstheme="minorHAnsi"/>
              </w:rPr>
              <w:t>Note: We will not administer the interview guide in its entirety, instead the project team will select and ask questions that are relevant to each respondent and program.</w:t>
            </w:r>
          </w:p>
        </w:tc>
      </w:tr>
      <w:tr w:rsidR="008B2BDA" w:rsidRPr="006D3518" w14:paraId="61AF464E" w14:textId="77777777" w:rsidTr="00D624FF">
        <w:tc>
          <w:tcPr>
            <w:tcW w:w="10050" w:type="dxa"/>
            <w:gridSpan w:val="4"/>
            <w:shd w:val="clear" w:color="auto" w:fill="C3C6A8"/>
          </w:tcPr>
          <w:p w14:paraId="187F2B5D" w14:textId="77777777" w:rsidR="008B2BDA" w:rsidRPr="006D3518" w:rsidRDefault="008B2BDA" w:rsidP="00D624FF">
            <w:pPr>
              <w:jc w:val="center"/>
              <w:rPr>
                <w:rFonts w:asciiTheme="minorHAnsi" w:hAnsiTheme="minorHAnsi" w:cstheme="minorHAnsi"/>
                <w:b/>
              </w:rPr>
            </w:pPr>
            <w:r w:rsidRPr="006D3518">
              <w:rPr>
                <w:rFonts w:asciiTheme="minorHAnsi" w:hAnsiTheme="minorHAnsi" w:cstheme="minorHAnsi"/>
                <w:b/>
              </w:rPr>
              <w:t>Shorter Case Studies</w:t>
            </w:r>
          </w:p>
        </w:tc>
      </w:tr>
      <w:tr w:rsidR="008B2BDA" w:rsidRPr="006D3518" w14:paraId="72C9BDA1" w14:textId="77777777" w:rsidTr="00E0616D">
        <w:tc>
          <w:tcPr>
            <w:tcW w:w="2041" w:type="dxa"/>
            <w:shd w:val="clear" w:color="auto" w:fill="C3C6A8"/>
          </w:tcPr>
          <w:p w14:paraId="1C290F08" w14:textId="77777777" w:rsidR="008B2BDA" w:rsidRPr="006D3518" w:rsidRDefault="008B2BDA" w:rsidP="00D624FF">
            <w:pPr>
              <w:rPr>
                <w:rFonts w:asciiTheme="minorHAnsi" w:hAnsiTheme="minorHAnsi" w:cstheme="minorHAnsi"/>
                <w:b/>
              </w:rPr>
            </w:pPr>
            <w:r w:rsidRPr="006D3518">
              <w:rPr>
                <w:rFonts w:asciiTheme="minorHAnsi" w:eastAsia="Calibri" w:hAnsiTheme="minorHAnsi" w:cstheme="minorHAnsi"/>
              </w:rPr>
              <w:t>Instrument 1: Semi-Structured Program Staff Interview Guide</w:t>
            </w:r>
          </w:p>
        </w:tc>
        <w:tc>
          <w:tcPr>
            <w:tcW w:w="3494" w:type="dxa"/>
          </w:tcPr>
          <w:p w14:paraId="6E326093" w14:textId="77777777" w:rsidR="008B2BDA" w:rsidRPr="006D3518" w:rsidRDefault="008B2BDA" w:rsidP="00D624FF">
            <w:pPr>
              <w:rPr>
                <w:rFonts w:asciiTheme="minorHAnsi" w:eastAsia="Calibri" w:hAnsiTheme="minorHAnsi" w:cstheme="minorHAnsi"/>
              </w:rPr>
            </w:pPr>
            <w:r w:rsidRPr="006D3518">
              <w:rPr>
                <w:rFonts w:asciiTheme="minorHAnsi" w:eastAsia="Calibri" w:hAnsiTheme="minorHAnsi" w:cstheme="minorHAnsi"/>
              </w:rPr>
              <w:t>Program administrators and/or frontline staff from each of the shorter case study programs</w:t>
            </w:r>
          </w:p>
          <w:p w14:paraId="1DAFC9DC" w14:textId="77777777" w:rsidR="008B2BDA" w:rsidRPr="006D3518" w:rsidRDefault="008B2BDA" w:rsidP="00D624FF">
            <w:pPr>
              <w:rPr>
                <w:rFonts w:asciiTheme="minorHAnsi" w:eastAsia="Calibri" w:hAnsiTheme="minorHAnsi" w:cstheme="minorHAnsi"/>
              </w:rPr>
            </w:pPr>
          </w:p>
          <w:p w14:paraId="7BDFCA78" w14:textId="77777777" w:rsidR="008B2BDA" w:rsidRPr="006D3518" w:rsidRDefault="008B2BDA" w:rsidP="00D624FF">
            <w:pPr>
              <w:rPr>
                <w:rFonts w:asciiTheme="minorHAnsi" w:hAnsiTheme="minorHAnsi" w:cstheme="minorHAnsi"/>
                <w:b/>
              </w:rPr>
            </w:pPr>
            <w:r w:rsidRPr="006D3518">
              <w:rPr>
                <w:rFonts w:asciiTheme="minorHAnsi" w:eastAsia="Calibri" w:hAnsiTheme="minorHAnsi" w:cstheme="minorHAnsi"/>
              </w:rPr>
              <w:t>We anticipate conducting interviews with up to 32 respondents.</w:t>
            </w:r>
          </w:p>
        </w:tc>
        <w:tc>
          <w:tcPr>
            <w:tcW w:w="2657" w:type="dxa"/>
          </w:tcPr>
          <w:p w14:paraId="53675DB8" w14:textId="77777777" w:rsidR="008B2BDA" w:rsidRPr="006D3518" w:rsidRDefault="008B2BDA" w:rsidP="00D624FF">
            <w:pPr>
              <w:pStyle w:val="NormalSS"/>
              <w:spacing w:after="0"/>
              <w:rPr>
                <w:rFonts w:asciiTheme="minorHAnsi" w:eastAsia="Calibri" w:hAnsiTheme="minorHAnsi" w:cstheme="minorHAnsi"/>
                <w:sz w:val="20"/>
              </w:rPr>
            </w:pPr>
            <w:r w:rsidRPr="006D3518">
              <w:rPr>
                <w:rFonts w:asciiTheme="minorHAnsi" w:eastAsia="Calibri" w:hAnsiTheme="minorHAnsi" w:cstheme="minorHAnsi"/>
                <w:sz w:val="20"/>
              </w:rPr>
              <w:t xml:space="preserve">For each program, the semi-structured interviews will focus on filling in information not captured by a review of available reports and documentation, including information about: </w:t>
            </w:r>
          </w:p>
          <w:p w14:paraId="3F834D10" w14:textId="77777777" w:rsidR="008B2BDA" w:rsidRPr="006D3518" w:rsidRDefault="008B2BDA" w:rsidP="00D624FF">
            <w:pPr>
              <w:pStyle w:val="NormalSS"/>
              <w:numPr>
                <w:ilvl w:val="0"/>
                <w:numId w:val="13"/>
              </w:numPr>
              <w:spacing w:after="0"/>
              <w:ind w:left="196" w:hanging="196"/>
              <w:rPr>
                <w:rFonts w:asciiTheme="minorHAnsi" w:eastAsia="Calibri" w:hAnsiTheme="minorHAnsi" w:cstheme="minorHAnsi"/>
                <w:sz w:val="20"/>
              </w:rPr>
            </w:pPr>
            <w:r w:rsidRPr="006D3518">
              <w:rPr>
                <w:rFonts w:asciiTheme="minorHAnsi" w:hAnsiTheme="minorHAnsi" w:cstheme="minorHAnsi"/>
                <w:sz w:val="20"/>
              </w:rPr>
              <w:t xml:space="preserve">program philosophy and the program’s essential components; </w:t>
            </w:r>
          </w:p>
          <w:p w14:paraId="2B3023E6" w14:textId="77777777" w:rsidR="008B2BDA" w:rsidRPr="006D3518" w:rsidRDefault="008B2BDA" w:rsidP="00D624FF">
            <w:pPr>
              <w:pStyle w:val="NormalSS"/>
              <w:numPr>
                <w:ilvl w:val="0"/>
                <w:numId w:val="13"/>
              </w:numPr>
              <w:spacing w:after="0"/>
              <w:ind w:left="196" w:hanging="196"/>
              <w:rPr>
                <w:rFonts w:asciiTheme="minorHAnsi" w:eastAsia="Calibri" w:hAnsiTheme="minorHAnsi" w:cstheme="minorHAnsi"/>
                <w:sz w:val="20"/>
              </w:rPr>
            </w:pPr>
            <w:r w:rsidRPr="006D3518">
              <w:rPr>
                <w:rFonts w:asciiTheme="minorHAnsi" w:hAnsiTheme="minorHAnsi" w:cstheme="minorHAnsi"/>
                <w:sz w:val="20"/>
              </w:rPr>
              <w:t xml:space="preserve">implementation of employment and training strategies; </w:t>
            </w:r>
          </w:p>
          <w:p w14:paraId="70DDF429" w14:textId="77777777" w:rsidR="008B2BDA" w:rsidRPr="006D3518" w:rsidRDefault="008B2BDA" w:rsidP="00D624FF">
            <w:pPr>
              <w:pStyle w:val="NormalSS"/>
              <w:numPr>
                <w:ilvl w:val="0"/>
                <w:numId w:val="13"/>
              </w:numPr>
              <w:spacing w:after="0"/>
              <w:ind w:left="196" w:hanging="196"/>
              <w:rPr>
                <w:rFonts w:asciiTheme="minorHAnsi" w:eastAsia="Calibri" w:hAnsiTheme="minorHAnsi" w:cstheme="minorHAnsi"/>
                <w:sz w:val="20"/>
              </w:rPr>
            </w:pPr>
            <w:r w:rsidRPr="006D3518">
              <w:rPr>
                <w:rFonts w:asciiTheme="minorHAnsi" w:hAnsiTheme="minorHAnsi" w:cstheme="minorHAnsi"/>
                <w:sz w:val="20"/>
              </w:rPr>
              <w:t>linkages with child care and other wraparound supports;</w:t>
            </w:r>
          </w:p>
          <w:p w14:paraId="0DECBF49" w14:textId="77777777" w:rsidR="008B2BDA" w:rsidRPr="006D3518" w:rsidRDefault="008B2BDA" w:rsidP="00D624FF">
            <w:pPr>
              <w:pStyle w:val="NormalSS"/>
              <w:numPr>
                <w:ilvl w:val="0"/>
                <w:numId w:val="13"/>
              </w:numPr>
              <w:spacing w:after="0"/>
              <w:ind w:left="196" w:hanging="196"/>
              <w:rPr>
                <w:rFonts w:asciiTheme="minorHAnsi" w:eastAsia="Calibri" w:hAnsiTheme="minorHAnsi" w:cstheme="minorHAnsi"/>
                <w:sz w:val="20"/>
              </w:rPr>
            </w:pPr>
            <w:r w:rsidRPr="006D3518">
              <w:rPr>
                <w:rFonts w:asciiTheme="minorHAnsi" w:hAnsiTheme="minorHAnsi" w:cstheme="minorHAnsi"/>
                <w:sz w:val="20"/>
              </w:rPr>
              <w:t xml:space="preserve">perspectives of staff who work with clients; and </w:t>
            </w:r>
          </w:p>
          <w:p w14:paraId="4E7306B2" w14:textId="77777777" w:rsidR="008B2BDA" w:rsidRPr="006D3518" w:rsidRDefault="008B2BDA" w:rsidP="00D624FF">
            <w:pPr>
              <w:pStyle w:val="NormalSS"/>
              <w:numPr>
                <w:ilvl w:val="0"/>
                <w:numId w:val="13"/>
              </w:numPr>
              <w:spacing w:after="0"/>
              <w:ind w:left="196" w:hanging="196"/>
              <w:rPr>
                <w:rFonts w:asciiTheme="minorHAnsi" w:eastAsia="Calibri" w:hAnsiTheme="minorHAnsi" w:cstheme="minorHAnsi"/>
                <w:sz w:val="20"/>
              </w:rPr>
            </w:pPr>
            <w:r w:rsidRPr="006D3518">
              <w:rPr>
                <w:rFonts w:asciiTheme="minorHAnsi" w:hAnsiTheme="minorHAnsi" w:cstheme="minorHAnsi"/>
                <w:sz w:val="20"/>
              </w:rPr>
              <w:t>outputs and outcomes.</w:t>
            </w:r>
            <w:r w:rsidRPr="006D3518">
              <w:rPr>
                <w:rFonts w:asciiTheme="minorHAnsi" w:eastAsia="Calibri" w:hAnsiTheme="minorHAnsi" w:cstheme="minorHAnsi"/>
                <w:sz w:val="20"/>
              </w:rPr>
              <w:t xml:space="preserve"> </w:t>
            </w:r>
          </w:p>
          <w:p w14:paraId="2DD4B6D4" w14:textId="77777777" w:rsidR="008B2BDA" w:rsidRPr="006D3518" w:rsidRDefault="008B2BDA" w:rsidP="00D624FF">
            <w:pPr>
              <w:rPr>
                <w:rFonts w:asciiTheme="minorHAnsi" w:hAnsiTheme="minorHAnsi" w:cstheme="minorHAnsi"/>
              </w:rPr>
            </w:pPr>
          </w:p>
        </w:tc>
        <w:tc>
          <w:tcPr>
            <w:tcW w:w="1858" w:type="dxa"/>
          </w:tcPr>
          <w:p w14:paraId="5476A686" w14:textId="77777777" w:rsidR="008B2BDA" w:rsidRPr="006D3518" w:rsidRDefault="008B2BDA" w:rsidP="00D624FF">
            <w:pPr>
              <w:rPr>
                <w:rFonts w:asciiTheme="minorHAnsi" w:hAnsiTheme="minorHAnsi" w:cstheme="minorHAnsi"/>
              </w:rPr>
            </w:pPr>
            <w:r>
              <w:rPr>
                <w:rFonts w:asciiTheme="minorHAnsi" w:hAnsiTheme="minorHAnsi" w:cstheme="minorHAnsi"/>
                <w:b/>
              </w:rPr>
              <w:t xml:space="preserve">Duration: </w:t>
            </w:r>
            <w:r w:rsidRPr="006D3518">
              <w:rPr>
                <w:rFonts w:asciiTheme="minorHAnsi" w:hAnsiTheme="minorHAnsi" w:cstheme="minorHAnsi"/>
              </w:rPr>
              <w:t>60 minutes</w:t>
            </w:r>
          </w:p>
          <w:p w14:paraId="66DF55C4" w14:textId="77777777" w:rsidR="008B2BDA" w:rsidRPr="006D3518" w:rsidRDefault="008B2BDA" w:rsidP="00D624FF">
            <w:pPr>
              <w:rPr>
                <w:rFonts w:asciiTheme="minorHAnsi" w:hAnsiTheme="minorHAnsi" w:cstheme="minorHAnsi"/>
              </w:rPr>
            </w:pPr>
          </w:p>
          <w:p w14:paraId="20EA4068" w14:textId="77777777" w:rsidR="008B2BDA" w:rsidRPr="006D3518" w:rsidRDefault="008B2BDA" w:rsidP="00D624FF">
            <w:pPr>
              <w:rPr>
                <w:rFonts w:asciiTheme="minorHAnsi" w:hAnsiTheme="minorHAnsi" w:cstheme="minorHAnsi"/>
              </w:rPr>
            </w:pPr>
            <w:r>
              <w:rPr>
                <w:rFonts w:asciiTheme="minorHAnsi" w:hAnsiTheme="minorHAnsi" w:cstheme="minorHAnsi"/>
                <w:b/>
              </w:rPr>
              <w:t xml:space="preserve">Mode: </w:t>
            </w:r>
            <w:r w:rsidRPr="006D3518">
              <w:rPr>
                <w:rFonts w:asciiTheme="minorHAnsi" w:hAnsiTheme="minorHAnsi" w:cstheme="minorHAnsi"/>
              </w:rPr>
              <w:t>Phone</w:t>
            </w:r>
          </w:p>
          <w:p w14:paraId="55B5A774" w14:textId="77777777" w:rsidR="008B2BDA" w:rsidRPr="006D3518" w:rsidRDefault="008B2BDA" w:rsidP="00D624FF">
            <w:pPr>
              <w:rPr>
                <w:rFonts w:asciiTheme="minorHAnsi" w:hAnsiTheme="minorHAnsi" w:cstheme="minorHAnsi"/>
              </w:rPr>
            </w:pPr>
          </w:p>
          <w:p w14:paraId="34E5E688" w14:textId="28B026C2" w:rsidR="008B2BDA" w:rsidRPr="006D3518" w:rsidRDefault="008B2BDA" w:rsidP="00D624FF">
            <w:pPr>
              <w:rPr>
                <w:rFonts w:asciiTheme="minorHAnsi" w:hAnsiTheme="minorHAnsi" w:cstheme="minorHAnsi"/>
              </w:rPr>
            </w:pPr>
            <w:r w:rsidRPr="006D3518">
              <w:rPr>
                <w:rFonts w:asciiTheme="minorHAnsi" w:hAnsiTheme="minorHAnsi" w:cstheme="minorHAnsi"/>
              </w:rPr>
              <w:t xml:space="preserve">Note: </w:t>
            </w:r>
            <w:r>
              <w:rPr>
                <w:rFonts w:asciiTheme="minorHAnsi" w:hAnsiTheme="minorHAnsi" w:cstheme="minorHAnsi"/>
              </w:rPr>
              <w:t>We will not</w:t>
            </w:r>
            <w:r w:rsidRPr="006D3518">
              <w:rPr>
                <w:rFonts w:asciiTheme="minorHAnsi" w:hAnsiTheme="minorHAnsi" w:cstheme="minorHAnsi"/>
              </w:rPr>
              <w:t xml:space="preserve"> administer</w:t>
            </w:r>
            <w:r>
              <w:rPr>
                <w:rFonts w:asciiTheme="minorHAnsi" w:hAnsiTheme="minorHAnsi" w:cstheme="minorHAnsi"/>
              </w:rPr>
              <w:t xml:space="preserve"> the interview</w:t>
            </w:r>
            <w:r w:rsidRPr="006D3518">
              <w:rPr>
                <w:rFonts w:asciiTheme="minorHAnsi" w:hAnsiTheme="minorHAnsi" w:cstheme="minorHAnsi"/>
              </w:rPr>
              <w:t xml:space="preserve"> </w:t>
            </w:r>
            <w:r w:rsidR="00EA052A">
              <w:rPr>
                <w:rFonts w:asciiTheme="minorHAnsi" w:hAnsiTheme="minorHAnsi" w:cstheme="minorHAnsi"/>
              </w:rPr>
              <w:t xml:space="preserve">guide </w:t>
            </w:r>
            <w:r w:rsidRPr="006D3518">
              <w:rPr>
                <w:rFonts w:asciiTheme="minorHAnsi" w:hAnsiTheme="minorHAnsi" w:cstheme="minorHAnsi"/>
              </w:rPr>
              <w:t>in its entirety, instead t</w:t>
            </w:r>
            <w:r w:rsidRPr="006D3518">
              <w:rPr>
                <w:rFonts w:asciiTheme="minorHAnsi" w:eastAsia="Calibri" w:hAnsiTheme="minorHAnsi" w:cstheme="minorHAnsi"/>
              </w:rPr>
              <w:t>he project team will select and ask questions that are relevant to each respondent and program.</w:t>
            </w:r>
          </w:p>
        </w:tc>
      </w:tr>
    </w:tbl>
    <w:p w14:paraId="355F9EFE" w14:textId="77777777" w:rsidR="00D26A77" w:rsidRDefault="00D26A77" w:rsidP="00C92AA9">
      <w:pPr>
        <w:pStyle w:val="NormalSS"/>
        <w:rPr>
          <w:rFonts w:asciiTheme="minorHAnsi" w:eastAsia="Calibri" w:hAnsiTheme="minorHAnsi" w:cstheme="minorHAnsi"/>
          <w:i/>
          <w:sz w:val="22"/>
          <w:szCs w:val="22"/>
          <w:u w:val="single"/>
        </w:rPr>
      </w:pPr>
    </w:p>
    <w:p w14:paraId="5A42FDA1" w14:textId="7A6DDE8F" w:rsidR="00C92AA9" w:rsidRPr="004B5AEF" w:rsidRDefault="00F468DE" w:rsidP="00C92AA9">
      <w:pPr>
        <w:pStyle w:val="NormalSS"/>
        <w:rPr>
          <w:rFonts w:asciiTheme="minorHAnsi" w:eastAsiaTheme="minorHAnsi" w:hAnsiTheme="minorHAnsi" w:cstheme="minorHAnsi"/>
          <w:sz w:val="22"/>
          <w:szCs w:val="22"/>
        </w:rPr>
      </w:pPr>
      <w:r>
        <w:rPr>
          <w:rFonts w:asciiTheme="minorHAnsi" w:eastAsia="Calibri" w:hAnsiTheme="minorHAnsi" w:cstheme="minorHAnsi"/>
          <w:sz w:val="22"/>
          <w:szCs w:val="22"/>
        </w:rPr>
        <w:t>As part of</w:t>
      </w:r>
      <w:r w:rsidR="00504B37">
        <w:rPr>
          <w:rFonts w:asciiTheme="minorHAnsi" w:eastAsia="Calibri" w:hAnsiTheme="minorHAnsi" w:cstheme="minorHAnsi"/>
          <w:sz w:val="22"/>
          <w:szCs w:val="22"/>
        </w:rPr>
        <w:t xml:space="preserve"> the on-site data collection conducted for the comprehensive case studies, t</w:t>
      </w:r>
      <w:r w:rsidR="00C92AA9" w:rsidRPr="004B5AEF">
        <w:rPr>
          <w:rFonts w:asciiTheme="minorHAnsi" w:eastAsia="Calibri" w:hAnsiTheme="minorHAnsi" w:cstheme="minorHAnsi"/>
          <w:sz w:val="22"/>
          <w:szCs w:val="22"/>
        </w:rPr>
        <w:t>he project team will also</w:t>
      </w:r>
      <w:r w:rsidR="00C92AA9" w:rsidRPr="004B5AEF">
        <w:rPr>
          <w:rFonts w:asciiTheme="minorHAnsi" w:eastAsia="Calibri" w:hAnsiTheme="minorHAnsi" w:cstheme="minorHAnsi"/>
          <w:b/>
          <w:sz w:val="22"/>
          <w:szCs w:val="22"/>
        </w:rPr>
        <w:t xml:space="preserve"> </w:t>
      </w:r>
      <w:r w:rsidR="00C92AA9" w:rsidRPr="004B5AEF">
        <w:rPr>
          <w:rFonts w:asciiTheme="minorHAnsi" w:eastAsia="Calibri" w:hAnsiTheme="minorHAnsi" w:cstheme="minorHAnsi"/>
          <w:sz w:val="22"/>
          <w:szCs w:val="22"/>
        </w:rPr>
        <w:t>conduct up to four observations (A</w:t>
      </w:r>
      <w:r w:rsidR="002820F7">
        <w:rPr>
          <w:rFonts w:asciiTheme="minorHAnsi" w:eastAsia="Calibri" w:hAnsiTheme="minorHAnsi" w:cstheme="minorHAnsi"/>
          <w:sz w:val="22"/>
          <w:szCs w:val="22"/>
        </w:rPr>
        <w:t xml:space="preserve">ppendix </w:t>
      </w:r>
      <w:r w:rsidR="00C92AA9" w:rsidRPr="004B5AEF">
        <w:rPr>
          <w:rFonts w:asciiTheme="minorHAnsi" w:eastAsia="Calibri" w:hAnsiTheme="minorHAnsi" w:cstheme="minorHAnsi"/>
          <w:sz w:val="22"/>
          <w:szCs w:val="22"/>
        </w:rPr>
        <w:t>4)</w:t>
      </w:r>
      <w:r w:rsidR="00C92AA9" w:rsidRPr="004B5AEF">
        <w:rPr>
          <w:rFonts w:asciiTheme="minorHAnsi" w:eastAsia="Calibri" w:hAnsiTheme="minorHAnsi" w:cstheme="minorHAnsi"/>
          <w:b/>
          <w:sz w:val="22"/>
          <w:szCs w:val="22"/>
        </w:rPr>
        <w:t xml:space="preserve"> </w:t>
      </w:r>
      <w:r w:rsidR="00C92AA9" w:rsidRPr="004B5AEF">
        <w:rPr>
          <w:rFonts w:asciiTheme="minorHAnsi" w:eastAsia="Calibri" w:hAnsiTheme="minorHAnsi" w:cstheme="minorHAnsi"/>
          <w:sz w:val="22"/>
          <w:szCs w:val="22"/>
        </w:rPr>
        <w:t xml:space="preserve">of each program’s services, activities, and environment. </w:t>
      </w:r>
      <w:r w:rsidR="00C92AA9" w:rsidRPr="004B5AEF">
        <w:rPr>
          <w:rFonts w:asciiTheme="minorHAnsi" w:eastAsiaTheme="minorHAnsi" w:hAnsiTheme="minorHAnsi" w:cstheme="minorHAnsi"/>
          <w:sz w:val="22"/>
          <w:szCs w:val="22"/>
        </w:rPr>
        <w:t>Observations will help us to document whether and how each program follows a human-centered design approach, such as offering services in a comfortable and welcoming physical environment, promoting positive staff-client relationships, and maintaining a positive and streamlined service delivery flow.</w:t>
      </w:r>
      <w:r w:rsidR="00C92AA9" w:rsidRPr="004B5AEF">
        <w:rPr>
          <w:rFonts w:asciiTheme="minorHAnsi" w:eastAsia="Calibri" w:hAnsiTheme="minorHAnsi" w:cstheme="minorHAnsi"/>
          <w:sz w:val="22"/>
          <w:szCs w:val="22"/>
        </w:rPr>
        <w:t xml:space="preserve"> We will use a versatile observation guide that can be adapted for observations of different activities, such as intakes, referrals, a job club or other type of employment workshop, and a transitional job experience. Depending on the program design, the project team may observe a subset of the following elements: office layout, decor (including signage), intake activities, client-staff meetings (when both consent), delivery of classroom training, and job placement activity. This activity does not impose any burden on study participants. </w:t>
      </w:r>
    </w:p>
    <w:p w14:paraId="6B7E22CE" w14:textId="14554C6B" w:rsidR="004328A4" w:rsidRPr="004B5AEF" w:rsidRDefault="007D0F6E" w:rsidP="007D0F6E">
      <w:pPr>
        <w:spacing w:after="120" w:line="240" w:lineRule="auto"/>
        <w:rPr>
          <w:rFonts w:cstheme="minorHAnsi"/>
          <w:i/>
        </w:rPr>
      </w:pPr>
      <w:r w:rsidRPr="004B5AEF">
        <w:rPr>
          <w:rFonts w:cstheme="minorHAnsi"/>
          <w:i/>
        </w:rPr>
        <w:t>Other Data Sources and Uses of Information</w:t>
      </w:r>
    </w:p>
    <w:p w14:paraId="6B426E89" w14:textId="0BCFC0E6" w:rsidR="007D0F6E" w:rsidRPr="004B5AEF" w:rsidRDefault="00892D2F" w:rsidP="00A37219">
      <w:pPr>
        <w:pStyle w:val="NormalSS"/>
      </w:pPr>
      <w:r>
        <w:rPr>
          <w:rFonts w:asciiTheme="minorHAnsi" w:eastAsia="Calibri" w:hAnsiTheme="minorHAnsi" w:cstheme="minorHAnsi"/>
          <w:sz w:val="22"/>
          <w:szCs w:val="22"/>
        </w:rPr>
        <w:t>T</w:t>
      </w:r>
      <w:r w:rsidR="00251327">
        <w:rPr>
          <w:rFonts w:asciiTheme="minorHAnsi" w:eastAsia="Calibri" w:hAnsiTheme="minorHAnsi" w:cstheme="minorHAnsi"/>
          <w:sz w:val="22"/>
          <w:szCs w:val="22"/>
        </w:rPr>
        <w:t>o reduce burden on participating sites, t</w:t>
      </w:r>
      <w:r w:rsidRPr="004B5AEF">
        <w:rPr>
          <w:rFonts w:asciiTheme="minorHAnsi" w:eastAsia="Calibri" w:hAnsiTheme="minorHAnsi" w:cstheme="minorHAnsi"/>
          <w:sz w:val="22"/>
          <w:szCs w:val="22"/>
        </w:rPr>
        <w:t xml:space="preserve">he project team will review </w:t>
      </w:r>
      <w:r w:rsidR="00251327">
        <w:rPr>
          <w:rFonts w:asciiTheme="minorHAnsi" w:eastAsia="Calibri" w:hAnsiTheme="minorHAnsi" w:cstheme="minorHAnsi"/>
          <w:sz w:val="22"/>
          <w:szCs w:val="22"/>
        </w:rPr>
        <w:t>publicly</w:t>
      </w:r>
      <w:r w:rsidRPr="004B5AEF">
        <w:rPr>
          <w:rFonts w:asciiTheme="minorHAnsi" w:eastAsia="Calibri" w:hAnsiTheme="minorHAnsi" w:cstheme="minorHAnsi"/>
          <w:sz w:val="22"/>
          <w:szCs w:val="22"/>
        </w:rPr>
        <w:t xml:space="preserve"> available program documents, such as policy manuals, organizational charts, annual reports, </w:t>
      </w:r>
      <w:r w:rsidR="00251327">
        <w:rPr>
          <w:rFonts w:asciiTheme="minorHAnsi" w:eastAsia="Calibri" w:hAnsiTheme="minorHAnsi" w:cstheme="minorHAnsi"/>
          <w:sz w:val="22"/>
          <w:szCs w:val="22"/>
        </w:rPr>
        <w:t xml:space="preserve">and </w:t>
      </w:r>
      <w:r w:rsidRPr="004B5AEF">
        <w:rPr>
          <w:rFonts w:asciiTheme="minorHAnsi" w:eastAsia="Calibri" w:hAnsiTheme="minorHAnsi" w:cstheme="minorHAnsi"/>
          <w:sz w:val="22"/>
          <w:szCs w:val="22"/>
        </w:rPr>
        <w:t>outreach documents</w:t>
      </w:r>
      <w:r w:rsidR="00251327">
        <w:rPr>
          <w:rFonts w:asciiTheme="minorHAnsi" w:eastAsia="Calibri" w:hAnsiTheme="minorHAnsi" w:cstheme="minorHAnsi"/>
          <w:sz w:val="22"/>
          <w:szCs w:val="22"/>
        </w:rPr>
        <w:t>.  Where available, the team will request copies of</w:t>
      </w:r>
      <w:r w:rsidRPr="004B5AEF">
        <w:rPr>
          <w:rFonts w:asciiTheme="minorHAnsi" w:eastAsia="Calibri" w:hAnsiTheme="minorHAnsi" w:cstheme="minorHAnsi"/>
          <w:sz w:val="22"/>
          <w:szCs w:val="22"/>
        </w:rPr>
        <w:t xml:space="preserve"> memorandum of agreements (MOUs) with </w:t>
      </w:r>
      <w:r w:rsidR="00251327">
        <w:rPr>
          <w:rFonts w:asciiTheme="minorHAnsi" w:eastAsia="Calibri" w:hAnsiTheme="minorHAnsi" w:cstheme="minorHAnsi"/>
          <w:sz w:val="22"/>
          <w:szCs w:val="22"/>
        </w:rPr>
        <w:t xml:space="preserve">service </w:t>
      </w:r>
      <w:r w:rsidRPr="004B5AEF">
        <w:rPr>
          <w:rFonts w:asciiTheme="minorHAnsi" w:eastAsia="Calibri" w:hAnsiTheme="minorHAnsi" w:cstheme="minorHAnsi"/>
          <w:sz w:val="22"/>
          <w:szCs w:val="22"/>
        </w:rPr>
        <w:t xml:space="preserve">partners and operating budgets. </w:t>
      </w:r>
      <w:r w:rsidR="00251327">
        <w:rPr>
          <w:rFonts w:asciiTheme="minorHAnsi" w:eastAsia="Calibri" w:hAnsiTheme="minorHAnsi" w:cstheme="minorHAnsi"/>
          <w:sz w:val="22"/>
          <w:szCs w:val="22"/>
        </w:rPr>
        <w:t xml:space="preserve">Beyond </w:t>
      </w:r>
      <w:r w:rsidR="001C1FC1">
        <w:rPr>
          <w:rFonts w:asciiTheme="minorHAnsi" w:eastAsia="Calibri" w:hAnsiTheme="minorHAnsi" w:cstheme="minorHAnsi"/>
          <w:sz w:val="22"/>
          <w:szCs w:val="22"/>
        </w:rPr>
        <w:t xml:space="preserve">the time necessary for </w:t>
      </w:r>
      <w:r w:rsidR="00251327">
        <w:rPr>
          <w:rFonts w:asciiTheme="minorHAnsi" w:eastAsia="Calibri" w:hAnsiTheme="minorHAnsi" w:cstheme="minorHAnsi"/>
          <w:sz w:val="22"/>
          <w:szCs w:val="22"/>
        </w:rPr>
        <w:t>identifying appropriate documents to share, this</w:t>
      </w:r>
      <w:r w:rsidRPr="004B5AEF">
        <w:rPr>
          <w:rFonts w:asciiTheme="minorHAnsi" w:eastAsia="Calibri" w:hAnsiTheme="minorHAnsi" w:cstheme="minorHAnsi"/>
          <w:sz w:val="22"/>
          <w:szCs w:val="22"/>
        </w:rPr>
        <w:t xml:space="preserve"> activity does not impose any burden on study participants.</w:t>
      </w:r>
    </w:p>
    <w:p w14:paraId="3D73964B" w14:textId="77777777" w:rsidR="00CB1F9B" w:rsidRPr="004B5AEF" w:rsidRDefault="00CB1F9B" w:rsidP="007D0F6E">
      <w:pPr>
        <w:spacing w:after="0" w:line="240" w:lineRule="auto"/>
        <w:rPr>
          <w:rFonts w:cstheme="minorHAnsi"/>
        </w:rPr>
      </w:pPr>
    </w:p>
    <w:p w14:paraId="14276DBE" w14:textId="517D48DC" w:rsidR="007D0F6E" w:rsidRPr="004B5AEF" w:rsidRDefault="00BD702B" w:rsidP="007D0F6E">
      <w:pPr>
        <w:spacing w:after="120" w:line="240" w:lineRule="auto"/>
        <w:rPr>
          <w:rFonts w:cstheme="minorHAnsi"/>
          <w:b/>
        </w:rPr>
      </w:pPr>
      <w:r w:rsidRPr="004B5AEF">
        <w:rPr>
          <w:rFonts w:cstheme="minorHAnsi"/>
          <w:b/>
        </w:rPr>
        <w:t>A3</w:t>
      </w:r>
      <w:r w:rsidR="007D0F6E" w:rsidRPr="004B5AEF">
        <w:rPr>
          <w:rFonts w:cstheme="minorHAnsi"/>
        </w:rPr>
        <w:t>.</w:t>
      </w:r>
      <w:r w:rsidR="007D0F6E" w:rsidRPr="004B5AEF">
        <w:rPr>
          <w:rFonts w:cstheme="minorHAnsi"/>
        </w:rPr>
        <w:tab/>
      </w:r>
      <w:r w:rsidR="004E5778" w:rsidRPr="004B5AEF">
        <w:rPr>
          <w:rFonts w:cstheme="minorHAnsi"/>
          <w:b/>
        </w:rPr>
        <w:t>Use of Information Technology to Reduce Burden</w:t>
      </w:r>
    </w:p>
    <w:p w14:paraId="3BD5DB6D" w14:textId="500CA261" w:rsidR="005B5FCC" w:rsidRDefault="007457D8" w:rsidP="007457D8">
      <w:pPr>
        <w:pStyle w:val="NormalSS"/>
        <w:spacing w:after="0"/>
        <w:rPr>
          <w:rFonts w:asciiTheme="minorHAnsi" w:hAnsiTheme="minorHAnsi" w:cstheme="minorHAnsi"/>
          <w:sz w:val="22"/>
          <w:szCs w:val="22"/>
        </w:rPr>
      </w:pPr>
      <w:r>
        <w:rPr>
          <w:rFonts w:asciiTheme="minorHAnsi" w:hAnsiTheme="minorHAnsi" w:cstheme="minorHAnsi"/>
          <w:sz w:val="22"/>
          <w:szCs w:val="22"/>
        </w:rPr>
        <w:t>T</w:t>
      </w:r>
      <w:r w:rsidRPr="004B5AEF">
        <w:rPr>
          <w:rFonts w:asciiTheme="minorHAnsi" w:hAnsiTheme="minorHAnsi" w:cstheme="minorHAnsi"/>
          <w:sz w:val="22"/>
          <w:szCs w:val="22"/>
        </w:rPr>
        <w:t xml:space="preserve">he most efficient way to collect </w:t>
      </w:r>
      <w:r>
        <w:rPr>
          <w:rFonts w:asciiTheme="minorHAnsi" w:hAnsiTheme="minorHAnsi" w:cstheme="minorHAnsi"/>
          <w:sz w:val="22"/>
          <w:szCs w:val="22"/>
        </w:rPr>
        <w:t xml:space="preserve">most of </w:t>
      </w:r>
      <w:r w:rsidRPr="004B5AEF">
        <w:rPr>
          <w:rFonts w:asciiTheme="minorHAnsi" w:hAnsiTheme="minorHAnsi" w:cstheme="minorHAnsi"/>
          <w:sz w:val="22"/>
          <w:szCs w:val="22"/>
        </w:rPr>
        <w:t>the</w:t>
      </w:r>
      <w:r>
        <w:rPr>
          <w:rFonts w:asciiTheme="minorHAnsi" w:hAnsiTheme="minorHAnsi" w:cstheme="minorHAnsi"/>
          <w:sz w:val="22"/>
          <w:szCs w:val="22"/>
        </w:rPr>
        <w:t xml:space="preserve"> required</w:t>
      </w:r>
      <w:r w:rsidRPr="004B5AEF">
        <w:rPr>
          <w:rFonts w:asciiTheme="minorHAnsi" w:hAnsiTheme="minorHAnsi" w:cstheme="minorHAnsi"/>
          <w:sz w:val="22"/>
          <w:szCs w:val="22"/>
        </w:rPr>
        <w:t xml:space="preserve"> information</w:t>
      </w:r>
      <w:r>
        <w:rPr>
          <w:rFonts w:asciiTheme="minorHAnsi" w:hAnsiTheme="minorHAnsi" w:cstheme="minorHAnsi"/>
          <w:sz w:val="22"/>
          <w:szCs w:val="22"/>
        </w:rPr>
        <w:t xml:space="preserve"> </w:t>
      </w:r>
      <w:r w:rsidRPr="004B5AEF">
        <w:rPr>
          <w:rFonts w:asciiTheme="minorHAnsi" w:hAnsiTheme="minorHAnsi" w:cstheme="minorHAnsi"/>
          <w:sz w:val="22"/>
          <w:szCs w:val="22"/>
        </w:rPr>
        <w:t xml:space="preserve">is to interview </w:t>
      </w:r>
      <w:r>
        <w:rPr>
          <w:rFonts w:asciiTheme="minorHAnsi" w:hAnsiTheme="minorHAnsi" w:cstheme="minorHAnsi"/>
          <w:sz w:val="22"/>
          <w:szCs w:val="22"/>
        </w:rPr>
        <w:t xml:space="preserve">program </w:t>
      </w:r>
      <w:r w:rsidRPr="004B5AEF">
        <w:rPr>
          <w:rFonts w:asciiTheme="minorHAnsi" w:hAnsiTheme="minorHAnsi" w:cstheme="minorHAnsi"/>
          <w:sz w:val="22"/>
          <w:szCs w:val="22"/>
        </w:rPr>
        <w:t xml:space="preserve">staff and participants. </w:t>
      </w:r>
      <w:r>
        <w:rPr>
          <w:rFonts w:asciiTheme="minorHAnsi" w:hAnsiTheme="minorHAnsi" w:cstheme="minorHAnsi"/>
          <w:sz w:val="22"/>
          <w:szCs w:val="22"/>
        </w:rPr>
        <w:t>However, w</w:t>
      </w:r>
      <w:r w:rsidR="00C92AA9" w:rsidRPr="004B5AEF">
        <w:rPr>
          <w:rFonts w:asciiTheme="minorHAnsi" w:hAnsiTheme="minorHAnsi" w:cstheme="minorHAnsi"/>
          <w:sz w:val="22"/>
          <w:szCs w:val="22"/>
        </w:rPr>
        <w:t xml:space="preserve">henever possible, information technology will be used in data collection efforts to reduce burden on </w:t>
      </w:r>
      <w:r w:rsidR="009A2B19">
        <w:rPr>
          <w:rFonts w:asciiTheme="minorHAnsi" w:hAnsiTheme="minorHAnsi" w:cstheme="minorHAnsi"/>
          <w:sz w:val="22"/>
          <w:szCs w:val="22"/>
        </w:rPr>
        <w:t>program</w:t>
      </w:r>
      <w:r w:rsidR="00C92AA9" w:rsidRPr="004B5AEF">
        <w:rPr>
          <w:rFonts w:asciiTheme="minorHAnsi" w:hAnsiTheme="minorHAnsi" w:cstheme="minorHAnsi"/>
          <w:sz w:val="22"/>
          <w:szCs w:val="22"/>
        </w:rPr>
        <w:t xml:space="preserve"> staff and in-depth interview participants. </w:t>
      </w:r>
      <w:r>
        <w:rPr>
          <w:rFonts w:asciiTheme="minorHAnsi" w:hAnsiTheme="minorHAnsi" w:cstheme="minorHAnsi"/>
          <w:sz w:val="22"/>
          <w:szCs w:val="22"/>
        </w:rPr>
        <w:t xml:space="preserve">For example, interviews may be conducted by teleconference </w:t>
      </w:r>
      <w:r w:rsidR="00A37219">
        <w:rPr>
          <w:rFonts w:asciiTheme="minorHAnsi" w:hAnsiTheme="minorHAnsi" w:cstheme="minorHAnsi"/>
          <w:sz w:val="22"/>
          <w:szCs w:val="22"/>
        </w:rPr>
        <w:t xml:space="preserve">or WebEx </w:t>
      </w:r>
      <w:r>
        <w:rPr>
          <w:rFonts w:asciiTheme="minorHAnsi" w:hAnsiTheme="minorHAnsi" w:cstheme="minorHAnsi"/>
          <w:sz w:val="22"/>
          <w:szCs w:val="22"/>
        </w:rPr>
        <w:t xml:space="preserve">to accommodate the needs of respondents.  </w:t>
      </w:r>
    </w:p>
    <w:p w14:paraId="27BB22C8" w14:textId="2D05728A" w:rsidR="005C3B80" w:rsidRDefault="005C3B80" w:rsidP="007457D8">
      <w:pPr>
        <w:pStyle w:val="NormalSS"/>
        <w:spacing w:after="0"/>
        <w:rPr>
          <w:rFonts w:asciiTheme="minorHAnsi" w:hAnsiTheme="minorHAnsi" w:cstheme="minorHAnsi"/>
          <w:sz w:val="22"/>
          <w:szCs w:val="22"/>
        </w:rPr>
      </w:pPr>
    </w:p>
    <w:p w14:paraId="4507D68C" w14:textId="77777777" w:rsidR="005C3B80" w:rsidRPr="004B5AEF" w:rsidRDefault="005C3B80" w:rsidP="007457D8">
      <w:pPr>
        <w:pStyle w:val="NormalSS"/>
        <w:spacing w:after="0"/>
        <w:rPr>
          <w:rFonts w:asciiTheme="minorHAnsi" w:hAnsiTheme="minorHAnsi" w:cstheme="minorHAnsi"/>
          <w:sz w:val="22"/>
          <w:szCs w:val="22"/>
        </w:rPr>
      </w:pPr>
    </w:p>
    <w:p w14:paraId="1F639D74" w14:textId="4176EB33" w:rsidR="00891CD9" w:rsidRPr="004B5AEF" w:rsidRDefault="00BD702B" w:rsidP="007D0F6E">
      <w:pPr>
        <w:spacing w:after="120" w:line="240" w:lineRule="auto"/>
        <w:ind w:left="720" w:hanging="720"/>
        <w:rPr>
          <w:rFonts w:cstheme="minorHAnsi"/>
          <w:b/>
        </w:rPr>
      </w:pPr>
      <w:r w:rsidRPr="004B5AEF">
        <w:rPr>
          <w:rFonts w:cstheme="minorHAnsi"/>
          <w:b/>
        </w:rPr>
        <w:t>A4</w:t>
      </w:r>
      <w:r w:rsidRPr="004B5AEF">
        <w:rPr>
          <w:rFonts w:cstheme="minorHAnsi"/>
        </w:rPr>
        <w:t>.</w:t>
      </w:r>
      <w:r w:rsidRPr="004B5AEF">
        <w:rPr>
          <w:rFonts w:cstheme="minorHAnsi"/>
        </w:rPr>
        <w:tab/>
      </w:r>
      <w:r w:rsidR="004E5778" w:rsidRPr="004B5AEF">
        <w:rPr>
          <w:rFonts w:cstheme="minorHAnsi"/>
          <w:b/>
        </w:rPr>
        <w:t xml:space="preserve">Use of Existing Data: </w:t>
      </w:r>
      <w:r w:rsidR="0068303E" w:rsidRPr="004B5AEF">
        <w:rPr>
          <w:rFonts w:cstheme="minorHAnsi"/>
          <w:b/>
        </w:rPr>
        <w:t>E</w:t>
      </w:r>
      <w:r w:rsidR="00CC4651" w:rsidRPr="004B5AEF">
        <w:rPr>
          <w:rFonts w:cstheme="minorHAnsi"/>
          <w:b/>
        </w:rPr>
        <w:t>fforts to</w:t>
      </w:r>
      <w:r w:rsidR="00891CD9" w:rsidRPr="004B5AEF">
        <w:rPr>
          <w:rFonts w:cstheme="minorHAnsi"/>
          <w:b/>
        </w:rPr>
        <w:t xml:space="preserve"> reduce duplication</w:t>
      </w:r>
      <w:r w:rsidR="009A3AD8" w:rsidRPr="004B5AEF">
        <w:rPr>
          <w:rFonts w:cstheme="minorHAnsi"/>
          <w:b/>
        </w:rPr>
        <w:t>,</w:t>
      </w:r>
      <w:r w:rsidR="00EA0D4F" w:rsidRPr="004B5AEF">
        <w:rPr>
          <w:rFonts w:cstheme="minorHAnsi"/>
          <w:b/>
        </w:rPr>
        <w:t xml:space="preserve"> minimize burden</w:t>
      </w:r>
      <w:r w:rsidR="009A3AD8" w:rsidRPr="004B5AEF">
        <w:rPr>
          <w:rFonts w:cstheme="minorHAnsi"/>
          <w:b/>
        </w:rPr>
        <w:t>,</w:t>
      </w:r>
      <w:r w:rsidR="00A03E3F" w:rsidRPr="004B5AEF">
        <w:rPr>
          <w:rFonts w:cstheme="minorHAnsi"/>
          <w:b/>
        </w:rPr>
        <w:t xml:space="preserve"> and</w:t>
      </w:r>
      <w:r w:rsidR="00EA0D4F" w:rsidRPr="004B5AEF">
        <w:rPr>
          <w:rFonts w:cstheme="minorHAnsi"/>
          <w:b/>
        </w:rPr>
        <w:t xml:space="preserve"> increase</w:t>
      </w:r>
      <w:r w:rsidR="00D55767" w:rsidRPr="004B5AEF">
        <w:rPr>
          <w:rFonts w:cstheme="minorHAnsi"/>
          <w:b/>
        </w:rPr>
        <w:t xml:space="preserve"> utility and</w:t>
      </w:r>
      <w:r w:rsidR="00EA0D4F" w:rsidRPr="004B5AEF">
        <w:rPr>
          <w:rFonts w:cstheme="minorHAnsi"/>
          <w:b/>
        </w:rPr>
        <w:t xml:space="preserve"> government </w:t>
      </w:r>
      <w:r w:rsidR="00591283" w:rsidRPr="004B5AEF">
        <w:rPr>
          <w:rFonts w:cstheme="minorHAnsi"/>
          <w:b/>
        </w:rPr>
        <w:t>efficiency</w:t>
      </w:r>
    </w:p>
    <w:p w14:paraId="450CC0C7" w14:textId="29412E93" w:rsidR="007B2A29" w:rsidRDefault="00C92AA9" w:rsidP="00C92AA9">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The project will systematically and comprehensively collect data </w:t>
      </w:r>
      <w:r w:rsidR="00B65724">
        <w:rPr>
          <w:rFonts w:asciiTheme="minorHAnsi" w:hAnsiTheme="minorHAnsi" w:cstheme="minorHAnsi"/>
          <w:sz w:val="22"/>
          <w:szCs w:val="22"/>
        </w:rPr>
        <w:t>to describe</w:t>
      </w:r>
      <w:r w:rsidR="00B65724" w:rsidRPr="004B5AEF">
        <w:rPr>
          <w:rFonts w:asciiTheme="minorHAnsi" w:hAnsiTheme="minorHAnsi" w:cstheme="minorHAnsi"/>
          <w:sz w:val="22"/>
          <w:szCs w:val="22"/>
        </w:rPr>
        <w:t xml:space="preserve"> </w:t>
      </w:r>
      <w:r w:rsidRPr="004B5AEF">
        <w:rPr>
          <w:rFonts w:asciiTheme="minorHAnsi" w:hAnsiTheme="minorHAnsi" w:cstheme="minorHAnsi"/>
          <w:sz w:val="22"/>
          <w:szCs w:val="22"/>
        </w:rPr>
        <w:t>innovative employment programs for TANF recipients and other low-income families that is not</w:t>
      </w:r>
      <w:r w:rsidR="00B65724">
        <w:rPr>
          <w:rFonts w:asciiTheme="minorHAnsi" w:hAnsiTheme="minorHAnsi" w:cstheme="minorHAnsi"/>
          <w:sz w:val="22"/>
          <w:szCs w:val="22"/>
        </w:rPr>
        <w:t xml:space="preserve"> available in comparable format</w:t>
      </w:r>
      <w:r w:rsidRPr="004B5AEF">
        <w:rPr>
          <w:rFonts w:asciiTheme="minorHAnsi" w:hAnsiTheme="minorHAnsi" w:cstheme="minorHAnsi"/>
          <w:sz w:val="22"/>
          <w:szCs w:val="22"/>
        </w:rPr>
        <w:t xml:space="preserve"> elsewhere. </w:t>
      </w:r>
    </w:p>
    <w:p w14:paraId="59E2CD5E" w14:textId="4E2F3FED" w:rsidR="007B2A29" w:rsidRDefault="007B2A29" w:rsidP="007B2A29">
      <w:pPr>
        <w:pStyle w:val="NormalSS"/>
        <w:spacing w:after="0"/>
        <w:rPr>
          <w:rFonts w:asciiTheme="minorHAnsi" w:hAnsiTheme="minorHAnsi" w:cstheme="minorHAnsi"/>
          <w:sz w:val="22"/>
          <w:szCs w:val="22"/>
        </w:rPr>
      </w:pPr>
      <w:r>
        <w:rPr>
          <w:rFonts w:asciiTheme="minorHAnsi" w:hAnsiTheme="minorHAnsi" w:cstheme="minorHAnsi"/>
          <w:sz w:val="22"/>
          <w:szCs w:val="22"/>
        </w:rPr>
        <w:t>To allocate</w:t>
      </w:r>
      <w:r w:rsidR="00B93328">
        <w:rPr>
          <w:rFonts w:asciiTheme="minorHAnsi" w:hAnsiTheme="minorHAnsi" w:cstheme="minorHAnsi"/>
          <w:sz w:val="22"/>
          <w:szCs w:val="22"/>
        </w:rPr>
        <w:t xml:space="preserve"> government</w:t>
      </w:r>
      <w:r>
        <w:rPr>
          <w:rFonts w:asciiTheme="minorHAnsi" w:hAnsiTheme="minorHAnsi" w:cstheme="minorHAnsi"/>
          <w:sz w:val="22"/>
          <w:szCs w:val="22"/>
        </w:rPr>
        <w:t xml:space="preserve"> resources towards collecting new information and </w:t>
      </w:r>
      <w:r w:rsidR="00ED4059">
        <w:rPr>
          <w:rFonts w:asciiTheme="minorHAnsi" w:hAnsiTheme="minorHAnsi" w:cstheme="minorHAnsi"/>
          <w:sz w:val="22"/>
          <w:szCs w:val="22"/>
        </w:rPr>
        <w:t>generating</w:t>
      </w:r>
      <w:r>
        <w:rPr>
          <w:rFonts w:asciiTheme="minorHAnsi" w:hAnsiTheme="minorHAnsi" w:cstheme="minorHAnsi"/>
          <w:sz w:val="22"/>
          <w:szCs w:val="22"/>
        </w:rPr>
        <w:t xml:space="preserve"> </w:t>
      </w:r>
      <w:r w:rsidR="00B93328">
        <w:rPr>
          <w:rFonts w:asciiTheme="minorHAnsi" w:hAnsiTheme="minorHAnsi" w:cstheme="minorHAnsi"/>
          <w:sz w:val="22"/>
          <w:szCs w:val="22"/>
        </w:rPr>
        <w:t xml:space="preserve">a comparable </w:t>
      </w:r>
      <w:r>
        <w:rPr>
          <w:rFonts w:asciiTheme="minorHAnsi" w:hAnsiTheme="minorHAnsi" w:cstheme="minorHAnsi"/>
          <w:sz w:val="22"/>
          <w:szCs w:val="22"/>
        </w:rPr>
        <w:t>understanding</w:t>
      </w:r>
      <w:r w:rsidR="00B93328">
        <w:rPr>
          <w:rFonts w:asciiTheme="minorHAnsi" w:hAnsiTheme="minorHAnsi" w:cstheme="minorHAnsi"/>
          <w:sz w:val="22"/>
          <w:szCs w:val="22"/>
        </w:rPr>
        <w:t xml:space="preserve"> of programs</w:t>
      </w:r>
      <w:r w:rsidRPr="004B5AEF">
        <w:rPr>
          <w:rFonts w:asciiTheme="minorHAnsi" w:hAnsiTheme="minorHAnsi" w:cstheme="minorHAnsi"/>
          <w:sz w:val="22"/>
          <w:szCs w:val="22"/>
        </w:rPr>
        <w:t>, the project team will not</w:t>
      </w:r>
      <w:r>
        <w:rPr>
          <w:rFonts w:asciiTheme="minorHAnsi" w:hAnsiTheme="minorHAnsi" w:cstheme="minorHAnsi"/>
          <w:sz w:val="22"/>
          <w:szCs w:val="22"/>
        </w:rPr>
        <w:t xml:space="preserve"> begin data</w:t>
      </w:r>
      <w:r w:rsidRPr="004B5AEF">
        <w:rPr>
          <w:rFonts w:asciiTheme="minorHAnsi" w:hAnsiTheme="minorHAnsi" w:cstheme="minorHAnsi"/>
          <w:sz w:val="22"/>
          <w:szCs w:val="22"/>
        </w:rPr>
        <w:t xml:space="preserve"> collect</w:t>
      </w:r>
      <w:r>
        <w:rPr>
          <w:rFonts w:asciiTheme="minorHAnsi" w:hAnsiTheme="minorHAnsi" w:cstheme="minorHAnsi"/>
          <w:sz w:val="22"/>
          <w:szCs w:val="22"/>
        </w:rPr>
        <w:t>ion with sites</w:t>
      </w:r>
      <w:r w:rsidRPr="004B5AEF">
        <w:rPr>
          <w:rFonts w:asciiTheme="minorHAnsi" w:hAnsiTheme="minorHAnsi" w:cstheme="minorHAnsi"/>
          <w:sz w:val="22"/>
          <w:szCs w:val="22"/>
        </w:rPr>
        <w:t xml:space="preserve"> until </w:t>
      </w:r>
      <w:r>
        <w:rPr>
          <w:rFonts w:asciiTheme="minorHAnsi" w:hAnsiTheme="minorHAnsi" w:cstheme="minorHAnsi"/>
          <w:sz w:val="22"/>
          <w:szCs w:val="22"/>
        </w:rPr>
        <w:t>after</w:t>
      </w:r>
      <w:r w:rsidRPr="004B5AEF">
        <w:rPr>
          <w:rFonts w:asciiTheme="minorHAnsi" w:hAnsiTheme="minorHAnsi" w:cstheme="minorHAnsi"/>
          <w:sz w:val="22"/>
          <w:szCs w:val="22"/>
        </w:rPr>
        <w:t xml:space="preserve"> thorough review</w:t>
      </w:r>
      <w:r>
        <w:rPr>
          <w:rFonts w:asciiTheme="minorHAnsi" w:hAnsiTheme="minorHAnsi" w:cstheme="minorHAnsi"/>
          <w:sz w:val="22"/>
          <w:szCs w:val="22"/>
        </w:rPr>
        <w:t xml:space="preserve"> of</w:t>
      </w:r>
      <w:r w:rsidRPr="004B5AEF">
        <w:rPr>
          <w:rFonts w:asciiTheme="minorHAnsi" w:hAnsiTheme="minorHAnsi" w:cstheme="minorHAnsi"/>
          <w:sz w:val="22"/>
          <w:szCs w:val="22"/>
        </w:rPr>
        <w:t xml:space="preserve"> </w:t>
      </w:r>
      <w:r w:rsidR="00B93328">
        <w:rPr>
          <w:rFonts w:asciiTheme="minorHAnsi" w:hAnsiTheme="minorHAnsi" w:cstheme="minorHAnsi"/>
          <w:sz w:val="22"/>
          <w:szCs w:val="22"/>
        </w:rPr>
        <w:t>publicly available information, as described in A2 above.</w:t>
      </w:r>
      <w:r w:rsidRPr="004B5AEF">
        <w:rPr>
          <w:rFonts w:asciiTheme="minorHAnsi" w:hAnsiTheme="minorHAnsi" w:cstheme="minorHAnsi"/>
          <w:sz w:val="22"/>
          <w:szCs w:val="22"/>
        </w:rPr>
        <w:t xml:space="preserve"> </w:t>
      </w:r>
    </w:p>
    <w:p w14:paraId="3439AA4E" w14:textId="77777777" w:rsidR="007B2A29" w:rsidRPr="004B5AEF" w:rsidRDefault="007B2A29" w:rsidP="00C92AA9">
      <w:pPr>
        <w:pStyle w:val="NormalSS"/>
        <w:rPr>
          <w:rFonts w:asciiTheme="minorHAnsi" w:hAnsiTheme="minorHAnsi" w:cstheme="minorHAnsi"/>
          <w:sz w:val="22"/>
          <w:szCs w:val="22"/>
        </w:rPr>
      </w:pPr>
    </w:p>
    <w:p w14:paraId="0F92E2E6" w14:textId="7DC386E7" w:rsidR="00B9441B" w:rsidRPr="004B5AEF" w:rsidRDefault="00BD702B" w:rsidP="00060B30">
      <w:pPr>
        <w:spacing w:after="120" w:line="240" w:lineRule="auto"/>
        <w:rPr>
          <w:rFonts w:cstheme="minorHAnsi"/>
        </w:rPr>
      </w:pPr>
      <w:r w:rsidRPr="004B5AEF">
        <w:rPr>
          <w:rFonts w:cstheme="minorHAnsi"/>
          <w:b/>
        </w:rPr>
        <w:t>A5</w:t>
      </w:r>
      <w:r w:rsidRPr="004B5AEF">
        <w:rPr>
          <w:rFonts w:cstheme="minorHAnsi"/>
        </w:rPr>
        <w:t>.</w:t>
      </w:r>
      <w:r w:rsidRPr="004B5AEF">
        <w:rPr>
          <w:rFonts w:cstheme="minorHAnsi"/>
        </w:rPr>
        <w:tab/>
      </w:r>
      <w:r w:rsidR="004E5778" w:rsidRPr="004B5AEF">
        <w:rPr>
          <w:rFonts w:cstheme="minorHAnsi"/>
          <w:b/>
        </w:rPr>
        <w:t>Impact on Small Businesses</w:t>
      </w:r>
      <w:r w:rsidR="004E5778" w:rsidRPr="004B5AEF">
        <w:rPr>
          <w:rFonts w:cstheme="minorHAnsi"/>
        </w:rPr>
        <w:t xml:space="preserve"> </w:t>
      </w:r>
    </w:p>
    <w:p w14:paraId="76F6B85B" w14:textId="77777777" w:rsidR="00C92AA9" w:rsidRPr="004B5AEF" w:rsidRDefault="00C92AA9" w:rsidP="00A37219">
      <w:pPr>
        <w:pStyle w:val="NormalSS"/>
        <w:spacing w:after="0"/>
        <w:rPr>
          <w:rFonts w:asciiTheme="minorHAnsi" w:hAnsiTheme="minorHAnsi" w:cstheme="minorHAnsi"/>
          <w:sz w:val="22"/>
          <w:szCs w:val="22"/>
        </w:rPr>
      </w:pPr>
      <w:r w:rsidRPr="004B5AEF">
        <w:rPr>
          <w:rFonts w:asciiTheme="minorHAnsi" w:hAnsiTheme="minorHAnsi" w:cstheme="minorHAnsi"/>
          <w:sz w:val="22"/>
          <w:szCs w:val="22"/>
        </w:rPr>
        <w:t>This study might include small, nonprofit organizations. The project team will minimize burden for respondents by restricting the interview length to the minimum required and conducting interviews at times convenient for the respondents.</w:t>
      </w:r>
    </w:p>
    <w:p w14:paraId="1571A245" w14:textId="5C69F0BA" w:rsidR="00C92AA9" w:rsidRDefault="00C92AA9" w:rsidP="00DF1291">
      <w:pPr>
        <w:spacing w:after="0" w:line="240" w:lineRule="auto"/>
        <w:rPr>
          <w:rFonts w:cstheme="minorHAnsi"/>
        </w:rPr>
      </w:pPr>
    </w:p>
    <w:p w14:paraId="6744EAE8" w14:textId="77777777" w:rsidR="00DD6543" w:rsidRPr="004B5AEF" w:rsidRDefault="00DD6543" w:rsidP="00DF1291">
      <w:pPr>
        <w:spacing w:after="0" w:line="240" w:lineRule="auto"/>
        <w:rPr>
          <w:rFonts w:cstheme="minorHAnsi"/>
        </w:rPr>
      </w:pPr>
    </w:p>
    <w:p w14:paraId="0B3334AC" w14:textId="7368B523" w:rsidR="00CC4651" w:rsidRPr="004B5AEF" w:rsidRDefault="00BD702B" w:rsidP="00060B30">
      <w:pPr>
        <w:spacing w:after="120"/>
        <w:rPr>
          <w:rFonts w:cstheme="minorHAnsi"/>
        </w:rPr>
      </w:pPr>
      <w:r w:rsidRPr="004B5AEF">
        <w:rPr>
          <w:rFonts w:cstheme="minorHAnsi"/>
          <w:b/>
        </w:rPr>
        <w:t>A6</w:t>
      </w:r>
      <w:r w:rsidRPr="004B5AEF">
        <w:rPr>
          <w:rFonts w:cstheme="minorHAnsi"/>
        </w:rPr>
        <w:t>.</w:t>
      </w:r>
      <w:r w:rsidRPr="004B5AEF">
        <w:rPr>
          <w:rFonts w:cstheme="minorHAnsi"/>
        </w:rPr>
        <w:tab/>
      </w:r>
      <w:r w:rsidR="004E5778" w:rsidRPr="004B5AEF">
        <w:rPr>
          <w:rFonts w:cstheme="minorHAnsi"/>
          <w:b/>
        </w:rPr>
        <w:t>Consequences of Less Frequent Collection</w:t>
      </w:r>
      <w:r w:rsidR="004E5778" w:rsidRPr="004B5AEF">
        <w:rPr>
          <w:rFonts w:cstheme="minorHAnsi"/>
        </w:rPr>
        <w:t xml:space="preserve"> </w:t>
      </w:r>
      <w:r w:rsidR="001253F4" w:rsidRPr="004B5AEF">
        <w:rPr>
          <w:rFonts w:cstheme="minorHAnsi"/>
        </w:rPr>
        <w:t xml:space="preserve"> </w:t>
      </w:r>
    </w:p>
    <w:p w14:paraId="683B784A" w14:textId="5ACB02B4" w:rsidR="00C92AA9" w:rsidRDefault="00C92AA9" w:rsidP="00DD6543">
      <w:pPr>
        <w:pStyle w:val="NormalSS"/>
        <w:spacing w:after="0"/>
        <w:rPr>
          <w:rFonts w:asciiTheme="minorHAnsi" w:hAnsiTheme="minorHAnsi" w:cstheme="minorHAnsi"/>
          <w:sz w:val="22"/>
          <w:szCs w:val="22"/>
        </w:rPr>
      </w:pPr>
      <w:r w:rsidRPr="004B5AEF">
        <w:rPr>
          <w:rFonts w:asciiTheme="minorHAnsi" w:hAnsiTheme="minorHAnsi" w:cstheme="minorHAnsi"/>
          <w:sz w:val="22"/>
          <w:szCs w:val="22"/>
        </w:rPr>
        <w:t xml:space="preserve">This is a one-time request for information. </w:t>
      </w:r>
    </w:p>
    <w:p w14:paraId="3933AB21" w14:textId="2CE70055" w:rsidR="00DD6543" w:rsidRDefault="00DD6543" w:rsidP="00DD6543">
      <w:pPr>
        <w:pStyle w:val="NormalSS"/>
        <w:spacing w:after="0"/>
        <w:rPr>
          <w:rFonts w:asciiTheme="minorHAnsi" w:hAnsiTheme="minorHAnsi" w:cstheme="minorHAnsi"/>
          <w:sz w:val="22"/>
          <w:szCs w:val="22"/>
        </w:rPr>
      </w:pPr>
    </w:p>
    <w:p w14:paraId="350481D0" w14:textId="77777777" w:rsidR="00DD6543" w:rsidRPr="004B5AEF" w:rsidRDefault="00DD6543" w:rsidP="00DD6543">
      <w:pPr>
        <w:pStyle w:val="NormalSS"/>
        <w:spacing w:after="0"/>
        <w:rPr>
          <w:rFonts w:asciiTheme="minorHAnsi" w:hAnsiTheme="minorHAnsi" w:cstheme="minorHAnsi"/>
          <w:sz w:val="22"/>
          <w:szCs w:val="22"/>
        </w:rPr>
      </w:pPr>
    </w:p>
    <w:p w14:paraId="109190DF" w14:textId="7E0E27E8" w:rsidR="00B9441B" w:rsidRDefault="00BD702B" w:rsidP="00060B30">
      <w:pPr>
        <w:spacing w:after="120" w:line="240" w:lineRule="auto"/>
        <w:rPr>
          <w:rFonts w:cstheme="minorHAnsi"/>
          <w:b/>
        </w:rPr>
      </w:pPr>
      <w:r w:rsidRPr="004B5AEF">
        <w:rPr>
          <w:rFonts w:cstheme="minorHAnsi"/>
          <w:b/>
        </w:rPr>
        <w:t>A7</w:t>
      </w:r>
      <w:r w:rsidRPr="004B5AEF">
        <w:rPr>
          <w:rFonts w:cstheme="minorHAnsi"/>
        </w:rPr>
        <w:t>.</w:t>
      </w:r>
      <w:r w:rsidRPr="004B5AEF">
        <w:rPr>
          <w:rFonts w:cstheme="minorHAnsi"/>
        </w:rPr>
        <w:tab/>
      </w:r>
      <w:r w:rsidR="00B9441B" w:rsidRPr="004B5AEF">
        <w:rPr>
          <w:rFonts w:cstheme="minorHAnsi"/>
          <w:b/>
        </w:rPr>
        <w:t>Now subsumed under 2(b) above and 10 (below)</w:t>
      </w:r>
    </w:p>
    <w:p w14:paraId="001DDEC7" w14:textId="2F171EAF" w:rsidR="00DD6543" w:rsidRDefault="00DD6543" w:rsidP="00DD6543">
      <w:pPr>
        <w:spacing w:after="0" w:line="240" w:lineRule="auto"/>
        <w:rPr>
          <w:rFonts w:cstheme="minorHAnsi"/>
          <w:b/>
        </w:rPr>
      </w:pPr>
    </w:p>
    <w:p w14:paraId="2500F6CB" w14:textId="77777777" w:rsidR="00DD6543" w:rsidRPr="004B5AEF" w:rsidRDefault="00DD6543" w:rsidP="00DD6543">
      <w:pPr>
        <w:spacing w:after="0" w:line="240" w:lineRule="auto"/>
        <w:rPr>
          <w:rFonts w:cstheme="minorHAnsi"/>
          <w:b/>
        </w:rPr>
      </w:pPr>
    </w:p>
    <w:p w14:paraId="3B6F8604" w14:textId="28A5BD20" w:rsidR="00B9441B" w:rsidRPr="004B5AEF" w:rsidRDefault="00BD702B" w:rsidP="00060B30">
      <w:pPr>
        <w:spacing w:after="120"/>
        <w:rPr>
          <w:rFonts w:cstheme="minorHAnsi"/>
          <w:b/>
        </w:rPr>
      </w:pPr>
      <w:r w:rsidRPr="004B5AEF">
        <w:rPr>
          <w:rFonts w:cstheme="minorHAnsi"/>
          <w:b/>
        </w:rPr>
        <w:t>A8</w:t>
      </w:r>
      <w:r w:rsidRPr="004B5AEF">
        <w:rPr>
          <w:rFonts w:cstheme="minorHAnsi"/>
        </w:rPr>
        <w:t>.</w:t>
      </w:r>
      <w:r w:rsidRPr="004B5AEF">
        <w:rPr>
          <w:rFonts w:cstheme="minorHAnsi"/>
        </w:rPr>
        <w:tab/>
      </w:r>
      <w:r w:rsidR="00B9441B" w:rsidRPr="004B5AEF">
        <w:rPr>
          <w:rFonts w:cstheme="minorHAnsi"/>
          <w:b/>
        </w:rPr>
        <w:t>Consultation</w:t>
      </w:r>
    </w:p>
    <w:p w14:paraId="2F3836D2" w14:textId="77777777" w:rsidR="00060B30" w:rsidRPr="004B5AEF" w:rsidRDefault="00060B30" w:rsidP="00060B30">
      <w:pPr>
        <w:spacing w:after="120"/>
        <w:rPr>
          <w:rFonts w:cstheme="minorHAnsi"/>
          <w:i/>
        </w:rPr>
      </w:pPr>
      <w:r w:rsidRPr="004B5AEF">
        <w:rPr>
          <w:rFonts w:cstheme="minorHAnsi"/>
          <w:i/>
        </w:rPr>
        <w:t>Federal Register Notice and Comments</w:t>
      </w:r>
    </w:p>
    <w:p w14:paraId="1A9BD6E1" w14:textId="0FBE518A" w:rsidR="00060B30" w:rsidRPr="004B5AEF" w:rsidRDefault="00060B30" w:rsidP="00060B30">
      <w:pPr>
        <w:rPr>
          <w:rFonts w:cstheme="minorHAnsi"/>
        </w:rPr>
      </w:pPr>
      <w:r w:rsidRPr="004B5AEF">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3439AD" w:rsidRPr="004B5AEF">
        <w:rPr>
          <w:rFonts w:cstheme="minorHAnsi"/>
        </w:rPr>
        <w:t>May 10, 2019</w:t>
      </w:r>
      <w:r w:rsidRPr="004B5AEF">
        <w:rPr>
          <w:rFonts w:cstheme="minorHAnsi"/>
        </w:rPr>
        <w:t xml:space="preserve">, Volume </w:t>
      </w:r>
      <w:r w:rsidR="003439AD" w:rsidRPr="004B5AEF">
        <w:rPr>
          <w:rFonts w:cstheme="minorHAnsi"/>
        </w:rPr>
        <w:t>84</w:t>
      </w:r>
      <w:r w:rsidRPr="004B5AEF">
        <w:rPr>
          <w:rFonts w:cstheme="minorHAnsi"/>
        </w:rPr>
        <w:t xml:space="preserve">, Number </w:t>
      </w:r>
      <w:r w:rsidR="003439AD" w:rsidRPr="004B5AEF">
        <w:rPr>
          <w:rFonts w:cstheme="minorHAnsi"/>
        </w:rPr>
        <w:t xml:space="preserve">91, </w:t>
      </w:r>
      <w:r w:rsidRPr="004B5AEF">
        <w:rPr>
          <w:rFonts w:cstheme="minorHAnsi"/>
        </w:rPr>
        <w:t xml:space="preserve">page </w:t>
      </w:r>
      <w:r w:rsidR="003439AD" w:rsidRPr="004B5AEF">
        <w:rPr>
          <w:rFonts w:cstheme="minorHAnsi"/>
        </w:rPr>
        <w:t xml:space="preserve">20632, </w:t>
      </w:r>
      <w:r w:rsidRPr="004B5AEF">
        <w:rPr>
          <w:rFonts w:cstheme="minorHAnsi"/>
        </w:rPr>
        <w:t>and provided a sixty-day period for public comment.  A copy of this notice is attached as A</w:t>
      </w:r>
      <w:r w:rsidR="00213A90">
        <w:rPr>
          <w:rFonts w:cstheme="minorHAnsi"/>
        </w:rPr>
        <w:t>ppendix</w:t>
      </w:r>
      <w:r w:rsidRPr="004B5AEF">
        <w:rPr>
          <w:rFonts w:cstheme="minorHAnsi"/>
        </w:rPr>
        <w:t xml:space="preserve"> </w:t>
      </w:r>
      <w:r w:rsidR="008202B3">
        <w:rPr>
          <w:rFonts w:cstheme="minorHAnsi"/>
        </w:rPr>
        <w:t>5</w:t>
      </w:r>
      <w:r w:rsidRPr="004B5AEF">
        <w:rPr>
          <w:rFonts w:cstheme="minorHAnsi"/>
        </w:rPr>
        <w:t xml:space="preserve">.  </w:t>
      </w:r>
      <w:r w:rsidRPr="00460B77">
        <w:rPr>
          <w:rFonts w:cstheme="minorHAnsi"/>
        </w:rPr>
        <w:t xml:space="preserve">During the notice and comment period, </w:t>
      </w:r>
      <w:r w:rsidR="00B37A61" w:rsidRPr="00460B77">
        <w:rPr>
          <w:rFonts w:cstheme="minorHAnsi"/>
        </w:rPr>
        <w:t>no substantive comments were</w:t>
      </w:r>
      <w:r w:rsidRPr="00460B77">
        <w:rPr>
          <w:rFonts w:cstheme="minorHAnsi"/>
        </w:rPr>
        <w:t xml:space="preserve"> received</w:t>
      </w:r>
      <w:r w:rsidR="00C92AA9" w:rsidRPr="00460B77">
        <w:rPr>
          <w:rFonts w:cstheme="minorHAnsi"/>
        </w:rPr>
        <w:t>.</w:t>
      </w:r>
      <w:r w:rsidRPr="00460B77">
        <w:rPr>
          <w:rFonts w:cstheme="minorHAnsi"/>
        </w:rPr>
        <w:t xml:space="preserve"> </w:t>
      </w:r>
    </w:p>
    <w:p w14:paraId="678F3F3E" w14:textId="77777777" w:rsidR="00060B30" w:rsidRPr="004B5AEF" w:rsidRDefault="00060B30" w:rsidP="00060B30">
      <w:pPr>
        <w:pStyle w:val="Heading4"/>
        <w:spacing w:before="0" w:after="120"/>
        <w:rPr>
          <w:rFonts w:asciiTheme="minorHAnsi" w:hAnsiTheme="minorHAnsi" w:cstheme="minorHAnsi"/>
          <w:b w:val="0"/>
          <w:i/>
          <w:sz w:val="22"/>
          <w:szCs w:val="22"/>
        </w:rPr>
      </w:pPr>
      <w:r w:rsidRPr="004B5AEF">
        <w:rPr>
          <w:rFonts w:asciiTheme="minorHAnsi" w:hAnsiTheme="minorHAnsi" w:cstheme="minorHAnsi"/>
          <w:b w:val="0"/>
          <w:i/>
          <w:sz w:val="22"/>
          <w:szCs w:val="22"/>
        </w:rPr>
        <w:t>Consultation with Experts Outside of the Study</w:t>
      </w:r>
    </w:p>
    <w:p w14:paraId="00E7417B" w14:textId="77777777" w:rsidR="00C92AA9" w:rsidRPr="004B5AEF" w:rsidRDefault="00C92AA9" w:rsidP="00C92AA9">
      <w:pPr>
        <w:pStyle w:val="NormalSS"/>
        <w:rPr>
          <w:rFonts w:asciiTheme="minorHAnsi" w:hAnsiTheme="minorHAnsi" w:cstheme="minorHAnsi"/>
          <w:sz w:val="22"/>
          <w:szCs w:val="22"/>
        </w:rPr>
      </w:pPr>
      <w:r w:rsidRPr="004B5AEF">
        <w:rPr>
          <w:rFonts w:asciiTheme="minorHAnsi" w:hAnsiTheme="minorHAnsi" w:cstheme="minorHAnsi"/>
          <w:sz w:val="22"/>
          <w:szCs w:val="22"/>
        </w:rPr>
        <w:t>Experts in their respective fields from Mathematica and other entities listed below were consulted in developing the design, data collection plan, and materials for which clearance is requested.</w:t>
      </w:r>
    </w:p>
    <w:p w14:paraId="42C7B019" w14:textId="77777777" w:rsidR="00C92AA9" w:rsidRPr="004B5AEF" w:rsidRDefault="00C92AA9" w:rsidP="00C92AA9">
      <w:pPr>
        <w:pStyle w:val="NormalSS"/>
        <w:spacing w:after="0"/>
        <w:rPr>
          <w:rFonts w:asciiTheme="minorHAnsi" w:hAnsiTheme="minorHAnsi" w:cstheme="minorHAnsi"/>
          <w:sz w:val="22"/>
          <w:szCs w:val="22"/>
        </w:rPr>
      </w:pPr>
      <w:r w:rsidRPr="004B5AEF">
        <w:rPr>
          <w:rFonts w:asciiTheme="minorHAnsi" w:hAnsiTheme="minorHAnsi" w:cstheme="minorHAnsi"/>
          <w:sz w:val="22"/>
          <w:szCs w:val="22"/>
        </w:rPr>
        <w:t>Yvette Chocolaad, National Association of State Workforce Agencies</w:t>
      </w:r>
    </w:p>
    <w:p w14:paraId="01BB9391" w14:textId="77777777" w:rsidR="00C92AA9" w:rsidRPr="004B5AEF" w:rsidRDefault="00C92AA9" w:rsidP="00C92AA9">
      <w:pPr>
        <w:pStyle w:val="NormalSS"/>
        <w:spacing w:after="0"/>
        <w:rPr>
          <w:rFonts w:asciiTheme="minorHAnsi" w:hAnsiTheme="minorHAnsi" w:cstheme="minorHAnsi"/>
          <w:sz w:val="22"/>
          <w:szCs w:val="22"/>
        </w:rPr>
      </w:pPr>
      <w:r w:rsidRPr="004B5AEF">
        <w:rPr>
          <w:rFonts w:asciiTheme="minorHAnsi" w:hAnsiTheme="minorHAnsi" w:cstheme="minorHAnsi"/>
          <w:sz w:val="22"/>
          <w:szCs w:val="22"/>
        </w:rPr>
        <w:t>Kerry Desjardins, American Public Human Services Association</w:t>
      </w:r>
    </w:p>
    <w:p w14:paraId="1418D082" w14:textId="77777777" w:rsidR="00C92AA9" w:rsidRPr="004B5AEF" w:rsidRDefault="00C92AA9" w:rsidP="00C92AA9">
      <w:pPr>
        <w:pStyle w:val="NormalSS"/>
        <w:spacing w:after="0"/>
        <w:rPr>
          <w:rFonts w:asciiTheme="minorHAnsi" w:hAnsiTheme="minorHAnsi" w:cstheme="minorHAnsi"/>
          <w:sz w:val="22"/>
          <w:szCs w:val="22"/>
        </w:rPr>
      </w:pPr>
      <w:r w:rsidRPr="004B5AEF">
        <w:rPr>
          <w:rFonts w:asciiTheme="minorHAnsi" w:hAnsiTheme="minorHAnsi" w:cstheme="minorHAnsi"/>
          <w:sz w:val="22"/>
          <w:szCs w:val="22"/>
        </w:rPr>
        <w:t>Angela Rachidi, Mathematica</w:t>
      </w:r>
    </w:p>
    <w:p w14:paraId="1703D2DD" w14:textId="77777777" w:rsidR="00C92AA9" w:rsidRPr="004B5AEF" w:rsidRDefault="00C92AA9" w:rsidP="00DD6543">
      <w:pPr>
        <w:pStyle w:val="NormalSS"/>
        <w:spacing w:after="0"/>
        <w:rPr>
          <w:rFonts w:asciiTheme="minorHAnsi" w:hAnsiTheme="minorHAnsi" w:cstheme="minorHAnsi"/>
          <w:sz w:val="22"/>
          <w:szCs w:val="22"/>
        </w:rPr>
      </w:pPr>
      <w:r w:rsidRPr="004B5AEF">
        <w:rPr>
          <w:rFonts w:asciiTheme="minorHAnsi" w:hAnsiTheme="minorHAnsi" w:cstheme="minorHAnsi"/>
          <w:sz w:val="22"/>
          <w:szCs w:val="22"/>
        </w:rPr>
        <w:t>Debra Strong, Mathematica</w:t>
      </w:r>
    </w:p>
    <w:p w14:paraId="4F415BD5" w14:textId="3BA3D060" w:rsidR="002560D7" w:rsidRDefault="002560D7" w:rsidP="002560D7">
      <w:pPr>
        <w:spacing w:after="0" w:line="240" w:lineRule="auto"/>
        <w:rPr>
          <w:rFonts w:cstheme="minorHAnsi"/>
        </w:rPr>
      </w:pPr>
    </w:p>
    <w:p w14:paraId="167DC6B9" w14:textId="77777777" w:rsidR="00DD6543" w:rsidRPr="004B5AEF" w:rsidRDefault="00DD6543" w:rsidP="002560D7">
      <w:pPr>
        <w:spacing w:after="0" w:line="240" w:lineRule="auto"/>
        <w:rPr>
          <w:rFonts w:cstheme="minorHAnsi"/>
        </w:rPr>
      </w:pPr>
    </w:p>
    <w:p w14:paraId="4ADF0CCE" w14:textId="50F60419" w:rsidR="009A39E1" w:rsidRPr="004B5AEF" w:rsidRDefault="00BD702B" w:rsidP="002560D7">
      <w:pPr>
        <w:spacing w:after="120" w:line="240" w:lineRule="auto"/>
        <w:rPr>
          <w:rFonts w:cstheme="minorHAnsi"/>
        </w:rPr>
      </w:pPr>
      <w:r w:rsidRPr="004B5AEF">
        <w:rPr>
          <w:rFonts w:cstheme="minorHAnsi"/>
          <w:b/>
        </w:rPr>
        <w:t>A9</w:t>
      </w:r>
      <w:r w:rsidRPr="004B5AEF">
        <w:rPr>
          <w:rFonts w:cstheme="minorHAnsi"/>
        </w:rPr>
        <w:t>.</w:t>
      </w:r>
      <w:r w:rsidRPr="004B5AEF">
        <w:rPr>
          <w:rFonts w:cstheme="minorHAnsi"/>
        </w:rPr>
        <w:tab/>
      </w:r>
      <w:r w:rsidR="009A39E1" w:rsidRPr="004B5AEF">
        <w:rPr>
          <w:rFonts w:cstheme="minorHAnsi"/>
          <w:b/>
        </w:rPr>
        <w:t>Tokens of App</w:t>
      </w:r>
      <w:r w:rsidR="005B5FCC" w:rsidRPr="004B5AEF">
        <w:rPr>
          <w:rFonts w:cstheme="minorHAnsi"/>
          <w:b/>
        </w:rPr>
        <w:t>reciation</w:t>
      </w:r>
    </w:p>
    <w:p w14:paraId="081C54E2" w14:textId="1607F0B6" w:rsidR="002560D7" w:rsidRPr="004B5AEF" w:rsidRDefault="00C92AA9" w:rsidP="0091473D">
      <w:pPr>
        <w:spacing w:after="240" w:line="240" w:lineRule="auto"/>
        <w:rPr>
          <w:rFonts w:cstheme="minorHAnsi"/>
        </w:rPr>
      </w:pPr>
      <w:r w:rsidRPr="004B5AEF">
        <w:rPr>
          <w:rFonts w:cstheme="minorHAnsi"/>
        </w:rPr>
        <w:t xml:space="preserve">Program participant interview data are not intended to be representative in a statistical sense, in that they will not be used to make statements about the prevalence of experiences in the TANF or other program population.  However, at each site, it is important to speak with participants with a range of background characteristics to capture a variety of possible experiences with the </w:t>
      </w:r>
      <w:r w:rsidR="007B2A29">
        <w:rPr>
          <w:rFonts w:cstheme="minorHAnsi"/>
        </w:rPr>
        <w:t>site’s</w:t>
      </w:r>
      <w:r w:rsidR="007B2A29" w:rsidRPr="004B5AEF">
        <w:rPr>
          <w:rFonts w:cstheme="minorHAnsi"/>
        </w:rPr>
        <w:t xml:space="preserve"> </w:t>
      </w:r>
      <w:r w:rsidRPr="004B5AEF">
        <w:rPr>
          <w:rFonts w:cstheme="minorHAnsi"/>
        </w:rPr>
        <w:t xml:space="preserve">employment and training services.  Without offsetting the direct costs incurred by respondents for attending interviews, such as arranging child care or transportation, the research team increases the risk that only those individuals able to overcome the financial barriers will participate in the study, affecting the quality of the resulting data and insights. </w:t>
      </w:r>
      <w:r w:rsidRPr="004B5AEF">
        <w:rPr>
          <w:rFonts w:cstheme="minorHAnsi"/>
        </w:rPr>
        <w:br/>
      </w:r>
      <w:r w:rsidRPr="004B5AEF">
        <w:rPr>
          <w:rFonts w:cstheme="minorHAnsi"/>
        </w:rPr>
        <w:br/>
        <w:t xml:space="preserve">The in-depth program participant interviews will take place in person and during scheduled visits to the participating employment and training programs. To offset costs of participation in the 90-minute interviews, we plan to offer program participants a $20 gift card. The </w:t>
      </w:r>
      <w:r w:rsidR="003439AD" w:rsidRPr="004B5AEF">
        <w:rPr>
          <w:rFonts w:cstheme="minorHAnsi"/>
        </w:rPr>
        <w:t>token of appreciation</w:t>
      </w:r>
      <w:r w:rsidRPr="004B5AEF">
        <w:rPr>
          <w:rFonts w:cstheme="minorHAnsi"/>
        </w:rPr>
        <w:t xml:space="preserve"> will be provided at the time of the interview, after careful explanation of the interview procedures. Any individual who chooses not to participate after receiving the detailed explanation will be provided the </w:t>
      </w:r>
      <w:r w:rsidR="00644839" w:rsidRPr="004B5AEF">
        <w:rPr>
          <w:rFonts w:cstheme="minorHAnsi"/>
        </w:rPr>
        <w:t>token</w:t>
      </w:r>
      <w:r w:rsidRPr="004B5AEF">
        <w:rPr>
          <w:rFonts w:cstheme="minorHAnsi"/>
        </w:rPr>
        <w:t xml:space="preserve"> so that the </w:t>
      </w:r>
      <w:r w:rsidR="00644839" w:rsidRPr="004B5AEF">
        <w:rPr>
          <w:rFonts w:cstheme="minorHAnsi"/>
        </w:rPr>
        <w:t>token</w:t>
      </w:r>
      <w:r w:rsidRPr="004B5AEF">
        <w:rPr>
          <w:rFonts w:cstheme="minorHAnsi"/>
        </w:rPr>
        <w:t xml:space="preserve"> is not perceived as a coercion to participate. </w:t>
      </w:r>
    </w:p>
    <w:p w14:paraId="5D637BF8" w14:textId="7C5B3D6C" w:rsidR="00644E49" w:rsidRPr="004B5AEF" w:rsidRDefault="00BD702B" w:rsidP="00CB57CE">
      <w:pPr>
        <w:spacing w:after="120" w:line="240" w:lineRule="auto"/>
        <w:rPr>
          <w:rFonts w:cstheme="minorHAnsi"/>
        </w:rPr>
      </w:pPr>
      <w:r w:rsidRPr="004B5AEF">
        <w:rPr>
          <w:rFonts w:cstheme="minorHAnsi"/>
          <w:b/>
        </w:rPr>
        <w:t>A10</w:t>
      </w:r>
      <w:r w:rsidRPr="004B5AEF">
        <w:rPr>
          <w:rFonts w:cstheme="minorHAnsi"/>
        </w:rPr>
        <w:t>.</w:t>
      </w:r>
      <w:r w:rsidRPr="004B5AEF">
        <w:rPr>
          <w:rFonts w:cstheme="minorHAnsi"/>
        </w:rPr>
        <w:tab/>
      </w:r>
      <w:r w:rsidR="002A41C6" w:rsidRPr="004B5AEF">
        <w:rPr>
          <w:rFonts w:cstheme="minorHAnsi"/>
          <w:b/>
        </w:rPr>
        <w:t xml:space="preserve">Privacy:  </w:t>
      </w:r>
      <w:r w:rsidR="00FB5BF6" w:rsidRPr="004B5AEF">
        <w:rPr>
          <w:rFonts w:cstheme="minorHAnsi"/>
          <w:b/>
        </w:rPr>
        <w:t>Procedures to p</w:t>
      </w:r>
      <w:r w:rsidR="004B75AC" w:rsidRPr="004B5AEF">
        <w:rPr>
          <w:rFonts w:cstheme="minorHAnsi"/>
          <w:b/>
        </w:rPr>
        <w:t xml:space="preserve">rotect </w:t>
      </w:r>
      <w:r w:rsidR="00FB5BF6" w:rsidRPr="004B5AEF">
        <w:rPr>
          <w:rFonts w:cstheme="minorHAnsi"/>
          <w:b/>
        </w:rPr>
        <w:t>p</w:t>
      </w:r>
      <w:r w:rsidR="00083227" w:rsidRPr="004B5AEF">
        <w:rPr>
          <w:rFonts w:cstheme="minorHAnsi"/>
          <w:b/>
        </w:rPr>
        <w:t>rivacy</w:t>
      </w:r>
      <w:r w:rsidR="004B75AC" w:rsidRPr="004B5AEF">
        <w:rPr>
          <w:rFonts w:cstheme="minorHAnsi"/>
          <w:b/>
        </w:rPr>
        <w:t xml:space="preserve"> of </w:t>
      </w:r>
      <w:r w:rsidR="00FB5BF6" w:rsidRPr="004B5AEF">
        <w:rPr>
          <w:rFonts w:cstheme="minorHAnsi"/>
          <w:b/>
        </w:rPr>
        <w:t>i</w:t>
      </w:r>
      <w:r w:rsidR="004B75AC" w:rsidRPr="004B5AEF">
        <w:rPr>
          <w:rFonts w:cstheme="minorHAnsi"/>
          <w:b/>
        </w:rPr>
        <w:t>nformation</w:t>
      </w:r>
      <w:r w:rsidR="00FB5BF6" w:rsidRPr="004B5AEF">
        <w:rPr>
          <w:rFonts w:cstheme="minorHAnsi"/>
          <w:b/>
        </w:rPr>
        <w:t>, while maximizing data sharing</w:t>
      </w:r>
    </w:p>
    <w:p w14:paraId="6433E3BC" w14:textId="584A6F56" w:rsidR="00CB57CE" w:rsidRPr="004B5AEF" w:rsidRDefault="00CB57CE" w:rsidP="00CB57CE">
      <w:pPr>
        <w:spacing w:after="120" w:line="240" w:lineRule="auto"/>
        <w:rPr>
          <w:rFonts w:cstheme="minorHAnsi"/>
          <w:i/>
        </w:rPr>
      </w:pPr>
      <w:r w:rsidRPr="004B5AEF">
        <w:rPr>
          <w:rFonts w:cstheme="minorHAnsi"/>
          <w:i/>
        </w:rPr>
        <w:t>Personally Identifiable Information</w:t>
      </w:r>
    </w:p>
    <w:p w14:paraId="245EE384" w14:textId="2725209E" w:rsidR="00DD6543" w:rsidRDefault="00DD6543" w:rsidP="00144282">
      <w:pPr>
        <w:pStyle w:val="NormalSS"/>
        <w:rPr>
          <w:rFonts w:asciiTheme="minorHAnsi" w:hAnsiTheme="minorHAnsi" w:cstheme="minorHAnsi"/>
          <w:sz w:val="22"/>
          <w:szCs w:val="22"/>
        </w:rPr>
      </w:pPr>
      <w:r>
        <w:rPr>
          <w:rFonts w:asciiTheme="minorHAnsi" w:hAnsiTheme="minorHAnsi" w:cstheme="minorHAnsi"/>
          <w:sz w:val="22"/>
          <w:szCs w:val="22"/>
        </w:rPr>
        <w:t xml:space="preserve">We will collect </w:t>
      </w:r>
      <w:r w:rsidR="007B2A29">
        <w:rPr>
          <w:rFonts w:asciiTheme="minorHAnsi" w:hAnsiTheme="minorHAnsi" w:cstheme="minorHAnsi"/>
          <w:sz w:val="22"/>
          <w:szCs w:val="22"/>
        </w:rPr>
        <w:t xml:space="preserve">program staff and participants’ </w:t>
      </w:r>
      <w:r>
        <w:rPr>
          <w:rFonts w:asciiTheme="minorHAnsi" w:hAnsiTheme="minorHAnsi" w:cstheme="minorHAnsi"/>
          <w:sz w:val="22"/>
          <w:szCs w:val="22"/>
        </w:rPr>
        <w:t xml:space="preserve">names and telephone numbers for use during </w:t>
      </w:r>
      <w:r w:rsidR="007B2A29">
        <w:rPr>
          <w:rFonts w:asciiTheme="minorHAnsi" w:hAnsiTheme="minorHAnsi" w:cstheme="minorHAnsi"/>
          <w:sz w:val="22"/>
          <w:szCs w:val="22"/>
        </w:rPr>
        <w:t xml:space="preserve">study </w:t>
      </w:r>
      <w:r>
        <w:rPr>
          <w:rFonts w:asciiTheme="minorHAnsi" w:hAnsiTheme="minorHAnsi" w:cstheme="minorHAnsi"/>
          <w:sz w:val="22"/>
          <w:szCs w:val="22"/>
        </w:rPr>
        <w:t xml:space="preserve">recruitment. This personally identifiable information </w:t>
      </w:r>
      <w:r w:rsidR="00144282" w:rsidRPr="004B5AEF">
        <w:rPr>
          <w:rFonts w:asciiTheme="minorHAnsi" w:hAnsiTheme="minorHAnsi" w:cstheme="minorHAnsi"/>
          <w:sz w:val="22"/>
          <w:szCs w:val="22"/>
        </w:rPr>
        <w:t xml:space="preserve">will be destroyed after completion of the interviews. </w:t>
      </w:r>
    </w:p>
    <w:p w14:paraId="1E520011" w14:textId="77777777" w:rsidR="0091473D"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Information will not be maintained in a paper or electronic system from which </w:t>
      </w:r>
      <w:r w:rsidR="007F1A93">
        <w:rPr>
          <w:rFonts w:asciiTheme="minorHAnsi" w:hAnsiTheme="minorHAnsi" w:cstheme="minorHAnsi"/>
          <w:sz w:val="22"/>
          <w:szCs w:val="22"/>
        </w:rPr>
        <w:t>it is</w:t>
      </w:r>
      <w:r w:rsidR="007F1A93" w:rsidRPr="004B5AEF">
        <w:rPr>
          <w:rFonts w:asciiTheme="minorHAnsi" w:hAnsiTheme="minorHAnsi" w:cstheme="minorHAnsi"/>
          <w:sz w:val="22"/>
          <w:szCs w:val="22"/>
        </w:rPr>
        <w:t xml:space="preserve"> </w:t>
      </w:r>
      <w:r w:rsidRPr="004B5AEF">
        <w:rPr>
          <w:rFonts w:asciiTheme="minorHAnsi" w:hAnsiTheme="minorHAnsi" w:cstheme="minorHAnsi"/>
          <w:sz w:val="22"/>
          <w:szCs w:val="22"/>
        </w:rPr>
        <w:t>actually or directly retrieved by an individual</w:t>
      </w:r>
      <w:r w:rsidR="00A56368">
        <w:rPr>
          <w:rFonts w:asciiTheme="minorHAnsi" w:hAnsiTheme="minorHAnsi" w:cstheme="minorHAnsi"/>
          <w:sz w:val="22"/>
          <w:szCs w:val="22"/>
        </w:rPr>
        <w:t>’</w:t>
      </w:r>
      <w:r w:rsidRPr="004B5AEF">
        <w:rPr>
          <w:rFonts w:asciiTheme="minorHAnsi" w:hAnsiTheme="minorHAnsi" w:cstheme="minorHAnsi"/>
          <w:sz w:val="22"/>
          <w:szCs w:val="22"/>
        </w:rPr>
        <w:t>s personal identifier.</w:t>
      </w:r>
    </w:p>
    <w:p w14:paraId="18EED10A" w14:textId="4014E3C3" w:rsidR="002560D7" w:rsidRPr="004B5AEF" w:rsidRDefault="002820F7" w:rsidP="0091473D">
      <w:pPr>
        <w:pStyle w:val="NormalSS"/>
      </w:pPr>
      <w:r>
        <w:rPr>
          <w:rFonts w:asciiTheme="minorHAnsi" w:hAnsiTheme="minorHAnsi" w:cstheme="minorHAnsi"/>
          <w:sz w:val="22"/>
          <w:szCs w:val="22"/>
        </w:rPr>
        <w:t>To maintain participant privacy during case file reviews with frontl</w:t>
      </w:r>
      <w:r w:rsidR="0091473D">
        <w:rPr>
          <w:rFonts w:asciiTheme="minorHAnsi" w:hAnsiTheme="minorHAnsi" w:cstheme="minorHAnsi"/>
          <w:sz w:val="22"/>
          <w:szCs w:val="22"/>
        </w:rPr>
        <w:t>ine staff</w:t>
      </w:r>
      <w:r>
        <w:rPr>
          <w:rFonts w:asciiTheme="minorHAnsi" w:hAnsiTheme="minorHAnsi" w:cstheme="minorHAnsi"/>
          <w:sz w:val="22"/>
          <w:szCs w:val="22"/>
        </w:rPr>
        <w:t>, we will ask frontline staff to remove any personally-identifiable information from the case file prior to the review. The case review guide does not ask for</w:t>
      </w:r>
      <w:r w:rsidRPr="002820F7">
        <w:rPr>
          <w:rFonts w:asciiTheme="minorHAnsi" w:eastAsiaTheme="minorHAnsi" w:hAnsiTheme="minorHAnsi" w:cstheme="minorHAnsi"/>
          <w:sz w:val="22"/>
          <w:szCs w:val="22"/>
        </w:rPr>
        <w:t xml:space="preserve"> </w:t>
      </w:r>
      <w:r w:rsidRPr="002820F7">
        <w:rPr>
          <w:rFonts w:asciiTheme="minorHAnsi" w:hAnsiTheme="minorHAnsi" w:cstheme="minorHAnsi"/>
          <w:sz w:val="22"/>
          <w:szCs w:val="22"/>
        </w:rPr>
        <w:t>personally-identifiable information</w:t>
      </w:r>
      <w:r>
        <w:rPr>
          <w:rFonts w:asciiTheme="minorHAnsi" w:hAnsiTheme="minorHAnsi" w:cstheme="minorHAnsi"/>
          <w:sz w:val="22"/>
          <w:szCs w:val="22"/>
        </w:rPr>
        <w:t xml:space="preserve"> and members of the </w:t>
      </w:r>
      <w:r w:rsidR="00C57FF2">
        <w:rPr>
          <w:rFonts w:asciiTheme="minorHAnsi" w:hAnsiTheme="minorHAnsi" w:cstheme="minorHAnsi"/>
          <w:sz w:val="22"/>
          <w:szCs w:val="22"/>
        </w:rPr>
        <w:t>project</w:t>
      </w:r>
      <w:r>
        <w:rPr>
          <w:rFonts w:asciiTheme="minorHAnsi" w:hAnsiTheme="minorHAnsi" w:cstheme="minorHAnsi"/>
          <w:sz w:val="22"/>
          <w:szCs w:val="22"/>
        </w:rPr>
        <w:t xml:space="preserve"> team will be instructed not to collect such information. </w:t>
      </w:r>
    </w:p>
    <w:p w14:paraId="28D37A40" w14:textId="7557B9D2" w:rsidR="002560D7" w:rsidRPr="004B5AEF" w:rsidRDefault="002560D7" w:rsidP="00CB57CE">
      <w:pPr>
        <w:spacing w:after="120" w:line="240" w:lineRule="auto"/>
        <w:rPr>
          <w:rFonts w:cstheme="minorHAnsi"/>
          <w:i/>
        </w:rPr>
      </w:pPr>
      <w:r w:rsidRPr="004B5AEF">
        <w:rPr>
          <w:rFonts w:cstheme="minorHAnsi"/>
          <w:i/>
        </w:rPr>
        <w:t>Assurances of Privacy</w:t>
      </w:r>
    </w:p>
    <w:p w14:paraId="6E979ED9" w14:textId="5EAAEC1A" w:rsidR="002560D7" w:rsidRDefault="00144282" w:rsidP="00285DCF">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5E309210" w14:textId="5D91B03B" w:rsidR="00DD6543" w:rsidRDefault="00DD6543" w:rsidP="00DD6543">
      <w:pPr>
        <w:pStyle w:val="NormalSS"/>
        <w:rPr>
          <w:rFonts w:asciiTheme="minorHAnsi" w:hAnsiTheme="minorHAnsi" w:cstheme="minorHAnsi"/>
          <w:sz w:val="22"/>
          <w:szCs w:val="22"/>
        </w:rPr>
      </w:pPr>
      <w:r>
        <w:rPr>
          <w:rFonts w:asciiTheme="minorHAnsi" w:hAnsiTheme="minorHAnsi" w:cstheme="minorHAnsi"/>
          <w:sz w:val="22"/>
          <w:szCs w:val="22"/>
        </w:rPr>
        <w:t>A</w:t>
      </w:r>
      <w:r w:rsidRPr="004B5AEF">
        <w:rPr>
          <w:rFonts w:asciiTheme="minorHAnsi" w:hAnsiTheme="minorHAnsi" w:cstheme="minorHAnsi"/>
          <w:sz w:val="22"/>
          <w:szCs w:val="22"/>
        </w:rPr>
        <w:t xml:space="preserve">s specified in the contract, Mathematica will adhere to a strict set of approaches to ensure that data and respondent privacy are protected to the extent permitted by law. All interview respondents will be notified at the beginning of each interview as is stated in the </w:t>
      </w:r>
      <w:r>
        <w:rPr>
          <w:rFonts w:asciiTheme="minorHAnsi" w:hAnsiTheme="minorHAnsi" w:cstheme="minorHAnsi"/>
          <w:sz w:val="22"/>
          <w:szCs w:val="22"/>
        </w:rPr>
        <w:t>instruments</w:t>
      </w:r>
      <w:r w:rsidRPr="004B5AEF">
        <w:rPr>
          <w:rFonts w:asciiTheme="minorHAnsi" w:hAnsiTheme="minorHAnsi" w:cstheme="minorHAnsi"/>
          <w:sz w:val="22"/>
          <w:szCs w:val="22"/>
        </w:rPr>
        <w:t xml:space="preserve"> (see </w:t>
      </w:r>
      <w:r>
        <w:rPr>
          <w:rFonts w:asciiTheme="minorHAnsi" w:hAnsiTheme="minorHAnsi" w:cstheme="minorHAnsi"/>
          <w:sz w:val="22"/>
          <w:szCs w:val="22"/>
        </w:rPr>
        <w:t>Instruments 1, 2, and 3</w:t>
      </w:r>
      <w:r w:rsidRPr="004B5AEF">
        <w:rPr>
          <w:rFonts w:asciiTheme="minorHAnsi" w:hAnsiTheme="minorHAnsi" w:cstheme="minorHAnsi"/>
          <w:sz w:val="22"/>
          <w:szCs w:val="22"/>
        </w:rPr>
        <w:t xml:space="preserve">) that the information that they provide will never be linked to their names, that their names will never be shared in </w:t>
      </w:r>
      <w:r>
        <w:rPr>
          <w:rFonts w:asciiTheme="minorHAnsi" w:hAnsiTheme="minorHAnsi" w:cstheme="minorHAnsi"/>
          <w:sz w:val="22"/>
          <w:szCs w:val="22"/>
        </w:rPr>
        <w:t xml:space="preserve">interview transcripts or </w:t>
      </w:r>
      <w:r w:rsidRPr="004B5AEF">
        <w:rPr>
          <w:rFonts w:asciiTheme="minorHAnsi" w:hAnsiTheme="minorHAnsi" w:cstheme="minorHAnsi"/>
          <w:sz w:val="22"/>
          <w:szCs w:val="22"/>
        </w:rPr>
        <w:t>any study report, and that their participation is voluntary. On-site staff and in-depth participant interviews will be conducted in private areas, such as enclosed offices or conference rooms.</w:t>
      </w:r>
    </w:p>
    <w:p w14:paraId="6A86AC22" w14:textId="155C80A4" w:rsidR="00DD6543" w:rsidRPr="004B5AEF" w:rsidRDefault="00DD6543" w:rsidP="00DD6543">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Interview notes will not be shared by the </w:t>
      </w:r>
      <w:r w:rsidR="00C57FF2">
        <w:rPr>
          <w:rFonts w:asciiTheme="minorHAnsi" w:hAnsiTheme="minorHAnsi" w:cstheme="minorHAnsi"/>
          <w:sz w:val="22"/>
          <w:szCs w:val="22"/>
        </w:rPr>
        <w:t>project</w:t>
      </w:r>
      <w:r w:rsidRPr="004B5AEF">
        <w:rPr>
          <w:rFonts w:asciiTheme="minorHAnsi" w:hAnsiTheme="minorHAnsi" w:cstheme="minorHAnsi"/>
          <w:sz w:val="22"/>
          <w:szCs w:val="22"/>
        </w:rPr>
        <w:t xml:space="preserve"> team with ACF or anyone outside of the project team, except as otherwise required by law. All </w:t>
      </w:r>
      <w:r w:rsidR="00C57FF2">
        <w:rPr>
          <w:rFonts w:asciiTheme="minorHAnsi" w:hAnsiTheme="minorHAnsi" w:cstheme="minorHAnsi"/>
          <w:sz w:val="22"/>
          <w:szCs w:val="22"/>
        </w:rPr>
        <w:t>project</w:t>
      </w:r>
      <w:r w:rsidRPr="004B5AEF">
        <w:rPr>
          <w:rFonts w:asciiTheme="minorHAnsi" w:hAnsiTheme="minorHAnsi" w:cstheme="minorHAnsi"/>
          <w:sz w:val="22"/>
          <w:szCs w:val="22"/>
        </w:rPr>
        <w:t xml:space="preserve"> team site visitors and interviewers have received training in privacy procedures. </w:t>
      </w:r>
    </w:p>
    <w:p w14:paraId="77764725" w14:textId="77777777" w:rsidR="00285DCF" w:rsidRDefault="002560D7" w:rsidP="002560D7">
      <w:pPr>
        <w:spacing w:after="120" w:line="240" w:lineRule="auto"/>
        <w:rPr>
          <w:rFonts w:cstheme="minorHAnsi"/>
          <w:i/>
        </w:rPr>
      </w:pPr>
      <w:r w:rsidRPr="004B5AEF">
        <w:rPr>
          <w:rFonts w:cstheme="minorHAnsi"/>
          <w:i/>
        </w:rPr>
        <w:t>Data Security and Monitoring</w:t>
      </w:r>
    </w:p>
    <w:p w14:paraId="36EDE293" w14:textId="52181CF6" w:rsidR="00991F18" w:rsidRDefault="00991F18" w:rsidP="00991F18">
      <w:pPr>
        <w:spacing w:after="0" w:line="240" w:lineRule="auto"/>
        <w:rPr>
          <w:rFonts w:cstheme="minorHAnsi"/>
        </w:rPr>
      </w:pPr>
      <w:r w:rsidRPr="00991F18">
        <w:rPr>
          <w:rFonts w:cstheme="minorHAnsi"/>
        </w:rPr>
        <w:t>We will store data collected in a restricted folder on Mathematica’s servers. Mathematica’s servers are located behind Mathematica’s firewall and housed in a locked data center located in Mathematica’s locked</w:t>
      </w:r>
      <w:r w:rsidR="004C2AC2">
        <w:rPr>
          <w:rFonts w:cstheme="minorHAnsi"/>
        </w:rPr>
        <w:t xml:space="preserve"> </w:t>
      </w:r>
      <w:r w:rsidRPr="00991F18">
        <w:rPr>
          <w:rFonts w:cstheme="minorHAnsi"/>
        </w:rPr>
        <w:t>access-controlled office suite. The data is mirrored in a secure, fault-tolerant data center; only authorized Mathematica Information Technology Services staff have physical and or logical access to the data mirror. Sensitive data resides on a project-specific folder that is only accessible to Mathematica staff who have a business need-to-know, as restricted by identity-based policies and access control lists. The data is encrypted as it is stored on the server with an Advanced Encryption Standard (AES) 256-bit key, which is FIPS 140-2 compliant. The folder in which the data resides is backed up onto encrypted disks. These backups are overwritten every two months by backups of newer secure data, a process that enables compliance with secure data destruction requirements.</w:t>
      </w:r>
    </w:p>
    <w:p w14:paraId="0C1FFB65" w14:textId="77777777" w:rsidR="00DD6543" w:rsidRDefault="00991F18" w:rsidP="00DD6543">
      <w:pPr>
        <w:spacing w:after="0" w:line="240" w:lineRule="auto"/>
        <w:rPr>
          <w:rFonts w:cstheme="minorHAnsi"/>
        </w:rPr>
      </w:pPr>
      <w:r w:rsidRPr="00991F18">
        <w:rPr>
          <w:rFonts w:cstheme="minorHAnsi"/>
        </w:rPr>
        <w:t xml:space="preserve"> </w:t>
      </w:r>
    </w:p>
    <w:p w14:paraId="2976583A" w14:textId="18BFC063" w:rsidR="00991F18" w:rsidRPr="00991F18" w:rsidRDefault="00DD6543" w:rsidP="00DD6543">
      <w:pPr>
        <w:spacing w:after="0" w:line="240" w:lineRule="auto"/>
        <w:rPr>
          <w:rFonts w:cstheme="minorHAnsi"/>
        </w:rPr>
      </w:pPr>
      <w:r w:rsidRPr="004B5AEF">
        <w:rPr>
          <w:rFonts w:cstheme="minorHAnsi"/>
        </w:rPr>
        <w:t xml:space="preserve">All </w:t>
      </w:r>
      <w:r w:rsidR="00C57FF2">
        <w:rPr>
          <w:rFonts w:cstheme="minorHAnsi"/>
        </w:rPr>
        <w:t>project</w:t>
      </w:r>
      <w:r w:rsidRPr="004B5AEF">
        <w:rPr>
          <w:rFonts w:cstheme="minorHAnsi"/>
        </w:rPr>
        <w:t xml:space="preserve"> team site visitors and interviewers have received training in data security procedures.</w:t>
      </w:r>
    </w:p>
    <w:p w14:paraId="5C73375C" w14:textId="77777777" w:rsidR="00991F18" w:rsidRPr="004B5AEF" w:rsidRDefault="00991F18" w:rsidP="002560D7">
      <w:pPr>
        <w:spacing w:after="0" w:line="240" w:lineRule="auto"/>
        <w:rPr>
          <w:rFonts w:cstheme="minorHAnsi"/>
        </w:rPr>
      </w:pPr>
    </w:p>
    <w:p w14:paraId="38C28436" w14:textId="4298E7E3" w:rsidR="00717BDC" w:rsidRPr="004B5AEF" w:rsidRDefault="00B23277" w:rsidP="00D32E6D">
      <w:pPr>
        <w:spacing w:after="120" w:line="240" w:lineRule="auto"/>
        <w:rPr>
          <w:rFonts w:cstheme="minorHAnsi"/>
        </w:rPr>
      </w:pPr>
      <w:r w:rsidRPr="004B5AEF">
        <w:rPr>
          <w:rFonts w:cstheme="minorHAnsi"/>
          <w:b/>
        </w:rPr>
        <w:t>A11</w:t>
      </w:r>
      <w:r w:rsidRPr="004B5AEF">
        <w:rPr>
          <w:rFonts w:cstheme="minorHAnsi"/>
        </w:rPr>
        <w:t>.</w:t>
      </w:r>
      <w:r w:rsidRPr="004B5AEF">
        <w:rPr>
          <w:rFonts w:cstheme="minorHAnsi"/>
        </w:rPr>
        <w:tab/>
      </w:r>
      <w:r w:rsidR="002A41C6" w:rsidRPr="004B5AEF">
        <w:rPr>
          <w:rFonts w:cstheme="minorHAnsi"/>
          <w:b/>
        </w:rPr>
        <w:t>Sensitive Information</w:t>
      </w:r>
      <w:r w:rsidR="002560D7" w:rsidRPr="004B5AEF">
        <w:rPr>
          <w:rStyle w:val="FootnoteReference"/>
          <w:rFonts w:cstheme="minorHAnsi"/>
        </w:rPr>
        <w:t xml:space="preserve"> </w:t>
      </w:r>
      <w:r w:rsidR="002560D7" w:rsidRPr="004B5AEF">
        <w:rPr>
          <w:rStyle w:val="FootnoteReference"/>
          <w:rFonts w:cstheme="minorHAnsi"/>
        </w:rPr>
        <w:footnoteReference w:id="1"/>
      </w:r>
    </w:p>
    <w:p w14:paraId="0E16733C" w14:textId="77777777" w:rsidR="00144282"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Some sensitive questions are necessary in a study of programs designed to affect employment of vulnerable populations. Before starting the in-depth interviews, all respondents will be informed that their identities will be kept private and that they do not have to answer any question that makes them uncomfortable. Although some questions may be sensitive for many respondents, they have been successfully asked of similar respondents in other data collection efforts, such as Parents and Children Together (OMB control number 0970-0403) and the Evaluation of Employment Coaching for TANF and Related Populations (0970-0506). </w:t>
      </w:r>
    </w:p>
    <w:p w14:paraId="0E4F6FF5" w14:textId="77777777" w:rsidR="00144282"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The sensitive questions in the data collection instruments relevant for this ICR include:</w:t>
      </w:r>
    </w:p>
    <w:p w14:paraId="1886D576" w14:textId="77777777" w:rsidR="00144282" w:rsidRPr="004B5AEF" w:rsidRDefault="00144282" w:rsidP="00603078">
      <w:pPr>
        <w:pStyle w:val="NormalSS"/>
        <w:numPr>
          <w:ilvl w:val="0"/>
          <w:numId w:val="7"/>
        </w:numPr>
        <w:spacing w:after="120"/>
        <w:ind w:left="720"/>
        <w:rPr>
          <w:rFonts w:asciiTheme="minorHAnsi" w:hAnsiTheme="minorHAnsi" w:cstheme="minorHAnsi"/>
          <w:sz w:val="22"/>
          <w:szCs w:val="22"/>
        </w:rPr>
      </w:pPr>
      <w:r w:rsidRPr="004B5AEF">
        <w:rPr>
          <w:rFonts w:asciiTheme="minorHAnsi" w:hAnsiTheme="minorHAnsi" w:cstheme="minorHAnsi"/>
          <w:b/>
          <w:sz w:val="22"/>
          <w:szCs w:val="22"/>
        </w:rPr>
        <w:t xml:space="preserve">Wage rates. </w:t>
      </w:r>
      <w:r w:rsidRPr="004B5AEF">
        <w:rPr>
          <w:rFonts w:asciiTheme="minorHAnsi" w:hAnsiTheme="minorHAnsi" w:cstheme="minorHAnsi"/>
          <w:sz w:val="22"/>
          <w:szCs w:val="22"/>
        </w:rPr>
        <w:t xml:space="preserve">It is necessary to ask about earnings because increasing participants’ earnings is a key goal of these programs. During the in-depth interviews, we will ask about participants’ jobs and how much they earned. </w:t>
      </w:r>
    </w:p>
    <w:p w14:paraId="07B7BFFA" w14:textId="77777777" w:rsidR="00144282" w:rsidRPr="004B5AEF" w:rsidRDefault="00144282" w:rsidP="00603078">
      <w:pPr>
        <w:pStyle w:val="NormalSS"/>
        <w:numPr>
          <w:ilvl w:val="0"/>
          <w:numId w:val="7"/>
        </w:numPr>
        <w:spacing w:after="120"/>
        <w:ind w:left="720"/>
        <w:rPr>
          <w:rFonts w:asciiTheme="minorHAnsi" w:hAnsiTheme="minorHAnsi" w:cstheme="minorHAnsi"/>
          <w:sz w:val="22"/>
          <w:szCs w:val="22"/>
        </w:rPr>
      </w:pPr>
      <w:r w:rsidRPr="004B5AEF">
        <w:rPr>
          <w:rFonts w:asciiTheme="minorHAnsi" w:hAnsiTheme="minorHAnsi" w:cstheme="minorHAnsi"/>
          <w:b/>
          <w:sz w:val="22"/>
          <w:szCs w:val="22"/>
        </w:rPr>
        <w:t>Challenges to employment</w:t>
      </w:r>
      <w:r w:rsidRPr="004B5AEF">
        <w:rPr>
          <w:rFonts w:asciiTheme="minorHAnsi" w:hAnsiTheme="minorHAnsi" w:cstheme="minorHAnsi"/>
          <w:b/>
          <w:i/>
          <w:sz w:val="22"/>
          <w:szCs w:val="22"/>
        </w:rPr>
        <w:t>.</w:t>
      </w:r>
      <w:r w:rsidRPr="004B5AEF">
        <w:rPr>
          <w:rFonts w:asciiTheme="minorHAnsi" w:hAnsiTheme="minorHAnsi" w:cstheme="minorHAnsi"/>
          <w:sz w:val="22"/>
          <w:szCs w:val="22"/>
        </w:rPr>
        <w:t xml:space="preserve"> It is important to ask about challenges to employment to understand the subgroups the programs are serving and the types of challenges the programs might be addressing. Challenges discussed during the in-depth participant interviews include having health issues and lack of education or work skills.</w:t>
      </w:r>
    </w:p>
    <w:p w14:paraId="2F4C7E76" w14:textId="62182101" w:rsidR="00144282" w:rsidRPr="004B5AEF" w:rsidRDefault="00144282" w:rsidP="00603078">
      <w:pPr>
        <w:pStyle w:val="NormalSS"/>
        <w:numPr>
          <w:ilvl w:val="0"/>
          <w:numId w:val="7"/>
        </w:numPr>
        <w:spacing w:after="120"/>
        <w:ind w:left="720"/>
        <w:rPr>
          <w:rFonts w:asciiTheme="minorHAnsi" w:hAnsiTheme="minorHAnsi" w:cstheme="minorHAnsi"/>
          <w:sz w:val="22"/>
          <w:szCs w:val="22"/>
        </w:rPr>
      </w:pPr>
      <w:r w:rsidRPr="004B5AEF">
        <w:rPr>
          <w:rFonts w:asciiTheme="minorHAnsi" w:hAnsiTheme="minorHAnsi" w:cstheme="minorHAnsi"/>
          <w:b/>
          <w:sz w:val="22"/>
          <w:szCs w:val="22"/>
        </w:rPr>
        <w:t xml:space="preserve">Criminal record. </w:t>
      </w:r>
      <w:r w:rsidRPr="004B5AEF">
        <w:rPr>
          <w:rFonts w:asciiTheme="minorHAnsi" w:hAnsiTheme="minorHAnsi" w:cstheme="minorHAnsi"/>
          <w:sz w:val="22"/>
          <w:szCs w:val="22"/>
        </w:rPr>
        <w:t xml:space="preserve">Prior involvement in the criminal justice system makes it harder to find employment. Hence, for the in-depth interview participants with a criminal record, it is important to discuss their views on whether and how having a criminal record affected their employment prospects and history. </w:t>
      </w:r>
    </w:p>
    <w:p w14:paraId="249C47E4" w14:textId="77777777" w:rsidR="00144282" w:rsidRPr="004B5AEF" w:rsidRDefault="00144282" w:rsidP="00603078">
      <w:pPr>
        <w:pStyle w:val="NormalSS"/>
        <w:numPr>
          <w:ilvl w:val="0"/>
          <w:numId w:val="7"/>
        </w:numPr>
        <w:spacing w:after="120"/>
        <w:ind w:left="720"/>
        <w:rPr>
          <w:rFonts w:asciiTheme="minorHAnsi" w:hAnsiTheme="minorHAnsi" w:cstheme="minorHAnsi"/>
          <w:sz w:val="22"/>
          <w:szCs w:val="22"/>
        </w:rPr>
      </w:pPr>
      <w:r w:rsidRPr="004B5AEF">
        <w:rPr>
          <w:rFonts w:asciiTheme="minorHAnsi" w:hAnsiTheme="minorHAnsi" w:cstheme="minorHAnsi"/>
          <w:b/>
          <w:sz w:val="22"/>
          <w:szCs w:val="22"/>
        </w:rPr>
        <w:t>Economic hardships</w:t>
      </w:r>
      <w:r w:rsidRPr="004B5AEF">
        <w:rPr>
          <w:rFonts w:asciiTheme="minorHAnsi" w:hAnsiTheme="minorHAnsi" w:cstheme="minorHAnsi"/>
          <w:b/>
          <w:i/>
          <w:sz w:val="22"/>
          <w:szCs w:val="22"/>
        </w:rPr>
        <w:t>.</w:t>
      </w:r>
      <w:r w:rsidRPr="004B5AEF">
        <w:rPr>
          <w:rFonts w:asciiTheme="minorHAnsi" w:hAnsiTheme="minorHAnsi" w:cstheme="minorHAnsi"/>
          <w:sz w:val="22"/>
          <w:szCs w:val="22"/>
        </w:rPr>
        <w:t xml:space="preserve"> The in-depth interviews may include questions about economic hardships, such as difficulty paying bills, credit problems, or needing to borrow money from friends. These outcomes reflect a lack of self-sufficiency and may be affected by the programs. </w:t>
      </w:r>
    </w:p>
    <w:p w14:paraId="1A7EB332" w14:textId="77777777" w:rsidR="00144282" w:rsidRPr="004B5AEF" w:rsidRDefault="00144282" w:rsidP="00603078">
      <w:pPr>
        <w:pStyle w:val="NormalSS"/>
        <w:numPr>
          <w:ilvl w:val="0"/>
          <w:numId w:val="7"/>
        </w:numPr>
        <w:spacing w:after="120"/>
        <w:ind w:left="720"/>
        <w:rPr>
          <w:rFonts w:asciiTheme="minorHAnsi" w:hAnsiTheme="minorHAnsi" w:cstheme="minorHAnsi"/>
          <w:b/>
          <w:sz w:val="22"/>
          <w:szCs w:val="22"/>
        </w:rPr>
      </w:pPr>
      <w:r w:rsidRPr="004B5AEF">
        <w:rPr>
          <w:rFonts w:asciiTheme="minorHAnsi" w:hAnsiTheme="minorHAnsi" w:cstheme="minorHAnsi"/>
          <w:b/>
          <w:sz w:val="22"/>
          <w:szCs w:val="22"/>
        </w:rPr>
        <w:t>Health</w:t>
      </w:r>
      <w:r w:rsidRPr="004B5AEF">
        <w:rPr>
          <w:rFonts w:asciiTheme="minorHAnsi" w:hAnsiTheme="minorHAnsi" w:cstheme="minorHAnsi"/>
          <w:sz w:val="22"/>
          <w:szCs w:val="22"/>
        </w:rPr>
        <w:t xml:space="preserve">. The in-depth interviews will collect information on participants’ health and whether health issues impact participants’ ability to work or sustain work. Health factors could play a major role in participants’ ability to maintain employment. </w:t>
      </w:r>
    </w:p>
    <w:p w14:paraId="0DA926DF" w14:textId="77777777" w:rsidR="00D32E6D" w:rsidRPr="004B5AEF" w:rsidRDefault="00D32E6D" w:rsidP="00D32E6D">
      <w:pPr>
        <w:spacing w:after="0" w:line="240" w:lineRule="auto"/>
        <w:rPr>
          <w:rFonts w:cstheme="minorHAnsi"/>
        </w:rPr>
      </w:pPr>
    </w:p>
    <w:p w14:paraId="1316A99D" w14:textId="4C48D95C" w:rsidR="00230CAA" w:rsidRPr="004B5AEF" w:rsidRDefault="00B23277" w:rsidP="001F0446">
      <w:pPr>
        <w:spacing w:after="120" w:line="240" w:lineRule="auto"/>
        <w:rPr>
          <w:rFonts w:cstheme="minorHAnsi"/>
          <w:b/>
        </w:rPr>
      </w:pPr>
      <w:r w:rsidRPr="004B5AEF">
        <w:rPr>
          <w:rFonts w:cstheme="minorHAnsi"/>
          <w:b/>
        </w:rPr>
        <w:t>A12</w:t>
      </w:r>
      <w:r w:rsidRPr="004B5AEF">
        <w:rPr>
          <w:rFonts w:cstheme="minorHAnsi"/>
        </w:rPr>
        <w:t>.</w:t>
      </w:r>
      <w:r w:rsidRPr="004B5AEF">
        <w:rPr>
          <w:rFonts w:cstheme="minorHAnsi"/>
        </w:rPr>
        <w:tab/>
      </w:r>
      <w:r w:rsidR="005D4A40" w:rsidRPr="004B5AEF">
        <w:rPr>
          <w:rFonts w:cstheme="minorHAnsi"/>
          <w:b/>
        </w:rPr>
        <w:t>Burden</w:t>
      </w:r>
    </w:p>
    <w:p w14:paraId="5972B4E8" w14:textId="19743EC4" w:rsidR="00230CAA" w:rsidRPr="004B5AEF" w:rsidRDefault="00230CAA" w:rsidP="001F0446">
      <w:pPr>
        <w:spacing w:after="120" w:line="240" w:lineRule="auto"/>
        <w:rPr>
          <w:rFonts w:cstheme="minorHAnsi"/>
          <w:i/>
        </w:rPr>
      </w:pPr>
      <w:r w:rsidRPr="004B5AEF">
        <w:rPr>
          <w:rFonts w:cstheme="minorHAnsi"/>
          <w:i/>
        </w:rPr>
        <w:t>Explanation of Burden Estimates</w:t>
      </w:r>
    </w:p>
    <w:p w14:paraId="216DD01E" w14:textId="6C81BAA1" w:rsidR="00144282"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We estimate the information collection burden for each of the three instruments in Table 1 below. </w:t>
      </w:r>
      <w:r w:rsidR="00CB2F94">
        <w:rPr>
          <w:rFonts w:asciiTheme="minorHAnsi" w:hAnsiTheme="minorHAnsi" w:cstheme="minorHAnsi"/>
          <w:sz w:val="22"/>
          <w:szCs w:val="22"/>
        </w:rPr>
        <w:t>See section</w:t>
      </w:r>
      <w:r w:rsidR="00A53293">
        <w:rPr>
          <w:rFonts w:asciiTheme="minorHAnsi" w:hAnsiTheme="minorHAnsi" w:cstheme="minorHAnsi"/>
          <w:sz w:val="22"/>
          <w:szCs w:val="22"/>
        </w:rPr>
        <w:t>s</w:t>
      </w:r>
      <w:r w:rsidR="00CB2F94">
        <w:rPr>
          <w:rFonts w:asciiTheme="minorHAnsi" w:hAnsiTheme="minorHAnsi" w:cstheme="minorHAnsi"/>
          <w:sz w:val="22"/>
          <w:szCs w:val="22"/>
        </w:rPr>
        <w:t xml:space="preserve"> A2 </w:t>
      </w:r>
      <w:r w:rsidR="00A53293">
        <w:rPr>
          <w:rFonts w:asciiTheme="minorHAnsi" w:hAnsiTheme="minorHAnsi" w:cstheme="minorHAnsi"/>
          <w:sz w:val="22"/>
          <w:szCs w:val="22"/>
        </w:rPr>
        <w:t xml:space="preserve">and B2 </w:t>
      </w:r>
      <w:r w:rsidR="00CB2F94">
        <w:rPr>
          <w:rFonts w:asciiTheme="minorHAnsi" w:hAnsiTheme="minorHAnsi" w:cstheme="minorHAnsi"/>
          <w:sz w:val="22"/>
          <w:szCs w:val="22"/>
        </w:rPr>
        <w:t>for details about each instrument</w:t>
      </w:r>
      <w:r w:rsidR="00A53293">
        <w:rPr>
          <w:rFonts w:asciiTheme="minorHAnsi" w:hAnsiTheme="minorHAnsi" w:cstheme="minorHAnsi"/>
          <w:sz w:val="22"/>
          <w:szCs w:val="22"/>
        </w:rPr>
        <w:t xml:space="preserve"> and respondents</w:t>
      </w:r>
      <w:r w:rsidR="00CB2F94">
        <w:rPr>
          <w:rFonts w:asciiTheme="minorHAnsi" w:hAnsiTheme="minorHAnsi" w:cstheme="minorHAnsi"/>
          <w:sz w:val="22"/>
          <w:szCs w:val="22"/>
        </w:rPr>
        <w:t>.</w:t>
      </w:r>
    </w:p>
    <w:p w14:paraId="0CD5E3DF" w14:textId="77777777" w:rsidR="00144282" w:rsidRPr="004B5AEF" w:rsidRDefault="00144282" w:rsidP="00144282">
      <w:pPr>
        <w:pStyle w:val="MarkforTableTitle"/>
        <w:keepLines/>
        <w:spacing w:after="0"/>
        <w:rPr>
          <w:rFonts w:asciiTheme="minorHAnsi" w:hAnsiTheme="minorHAnsi" w:cstheme="minorHAnsi"/>
          <w:b/>
          <w:szCs w:val="22"/>
        </w:rPr>
      </w:pPr>
      <w:bookmarkStart w:id="4" w:name="_Toc520712277"/>
      <w:bookmarkStart w:id="5" w:name="_Toc528053353"/>
      <w:bookmarkStart w:id="6" w:name="_Toc880907"/>
      <w:bookmarkStart w:id="7" w:name="_Toc5370090"/>
      <w:bookmarkStart w:id="8" w:name="_Toc5370105"/>
      <w:r w:rsidRPr="004B5AEF">
        <w:rPr>
          <w:rFonts w:asciiTheme="minorHAnsi" w:hAnsiTheme="minorHAnsi" w:cstheme="minorHAnsi"/>
          <w:b/>
          <w:szCs w:val="22"/>
        </w:rPr>
        <w:t>Table 1. Annual burden hours requested under this information collection</w:t>
      </w:r>
      <w:bookmarkEnd w:id="4"/>
      <w:r w:rsidRPr="004B5AEF">
        <w:rPr>
          <w:rFonts w:asciiTheme="minorHAnsi" w:hAnsiTheme="minorHAnsi" w:cstheme="minorHAnsi"/>
          <w:b/>
          <w:szCs w:val="22"/>
        </w:rPr>
        <w:t xml:space="preserve"> (over the 3-year period of the project)</w:t>
      </w:r>
      <w:bookmarkEnd w:id="5"/>
      <w:bookmarkEnd w:id="6"/>
      <w:bookmarkEnd w:id="7"/>
      <w:bookmarkEnd w:id="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10"/>
        <w:gridCol w:w="1197"/>
        <w:gridCol w:w="1025"/>
        <w:gridCol w:w="1186"/>
        <w:gridCol w:w="1015"/>
        <w:gridCol w:w="831"/>
        <w:gridCol w:w="1013"/>
        <w:gridCol w:w="1099"/>
      </w:tblGrid>
      <w:tr w:rsidR="00144282" w:rsidRPr="00730AB1" w14:paraId="7CD42600" w14:textId="77777777" w:rsidTr="00944B75">
        <w:trPr>
          <w:jc w:val="center"/>
        </w:trPr>
        <w:tc>
          <w:tcPr>
            <w:tcW w:w="1154" w:type="pct"/>
            <w:tcBorders>
              <w:top w:val="nil"/>
              <w:left w:val="nil"/>
              <w:bottom w:val="nil"/>
              <w:right w:val="single" w:sz="4" w:space="0" w:color="FFFFFF" w:themeColor="background1"/>
            </w:tcBorders>
            <w:shd w:val="clear" w:color="auto" w:fill="6C6F70"/>
            <w:vAlign w:val="bottom"/>
          </w:tcPr>
          <w:p w14:paraId="049394BE" w14:textId="77777777" w:rsidR="00144282" w:rsidRPr="0025659D" w:rsidRDefault="00144282" w:rsidP="00944B75">
            <w:pPr>
              <w:pStyle w:val="TableHeaderLeft"/>
              <w:keepNext/>
              <w:keepLines/>
              <w:spacing w:before="0" w:after="0"/>
              <w:rPr>
                <w:sz w:val="16"/>
                <w:szCs w:val="16"/>
              </w:rPr>
            </w:pPr>
            <w:r w:rsidRPr="0025659D">
              <w:rPr>
                <w:sz w:val="16"/>
                <w:szCs w:val="16"/>
              </w:rPr>
              <w:t>Instrument</w:t>
            </w:r>
          </w:p>
        </w:tc>
        <w:tc>
          <w:tcPr>
            <w:tcW w:w="625" w:type="pct"/>
            <w:tcBorders>
              <w:top w:val="nil"/>
              <w:left w:val="single" w:sz="4" w:space="0" w:color="FFFFFF" w:themeColor="background1"/>
              <w:bottom w:val="nil"/>
              <w:right w:val="single" w:sz="4" w:space="0" w:color="FFFFFF" w:themeColor="background1"/>
            </w:tcBorders>
            <w:shd w:val="clear" w:color="auto" w:fill="6C6F70"/>
            <w:vAlign w:val="bottom"/>
          </w:tcPr>
          <w:p w14:paraId="2CBDEF60" w14:textId="77777777" w:rsidR="00144282" w:rsidRPr="0025659D" w:rsidRDefault="00144282" w:rsidP="00944B75">
            <w:pPr>
              <w:pStyle w:val="TableHeaderCenter"/>
              <w:keepNext/>
              <w:keepLines/>
              <w:spacing w:before="0" w:after="0"/>
              <w:ind w:left="-25"/>
              <w:rPr>
                <w:b w:val="0"/>
                <w:sz w:val="16"/>
                <w:szCs w:val="16"/>
              </w:rPr>
            </w:pPr>
            <w:r w:rsidRPr="0025659D">
              <w:rPr>
                <w:b w:val="0"/>
                <w:sz w:val="16"/>
                <w:szCs w:val="16"/>
              </w:rPr>
              <w:t>Total number of respondents over study</w:t>
            </w:r>
          </w:p>
        </w:tc>
        <w:tc>
          <w:tcPr>
            <w:tcW w:w="535" w:type="pct"/>
            <w:tcBorders>
              <w:top w:val="nil"/>
              <w:left w:val="single" w:sz="4" w:space="0" w:color="FFFFFF" w:themeColor="background1"/>
              <w:bottom w:val="nil"/>
              <w:right w:val="single" w:sz="4" w:space="0" w:color="FFFFFF" w:themeColor="background1"/>
            </w:tcBorders>
            <w:shd w:val="clear" w:color="auto" w:fill="6C6F70"/>
            <w:vAlign w:val="bottom"/>
          </w:tcPr>
          <w:p w14:paraId="0D95121D" w14:textId="77777777" w:rsidR="00144282" w:rsidRPr="0025659D" w:rsidRDefault="00144282" w:rsidP="00944B75">
            <w:pPr>
              <w:pStyle w:val="TableHeaderCenter"/>
              <w:keepNext/>
              <w:keepLines/>
              <w:spacing w:before="0" w:after="0"/>
              <w:ind w:left="-25"/>
              <w:rPr>
                <w:b w:val="0"/>
                <w:sz w:val="16"/>
                <w:szCs w:val="16"/>
              </w:rPr>
            </w:pPr>
            <w:r w:rsidRPr="0025659D">
              <w:rPr>
                <w:b w:val="0"/>
                <w:sz w:val="16"/>
                <w:szCs w:val="16"/>
              </w:rPr>
              <w:t>Number of responses per respondent</w:t>
            </w:r>
          </w:p>
        </w:tc>
        <w:tc>
          <w:tcPr>
            <w:tcW w:w="619" w:type="pct"/>
            <w:tcBorders>
              <w:top w:val="nil"/>
              <w:left w:val="single" w:sz="4" w:space="0" w:color="FFFFFF" w:themeColor="background1"/>
              <w:bottom w:val="nil"/>
              <w:right w:val="single" w:sz="4" w:space="0" w:color="FFFFFF" w:themeColor="background1"/>
            </w:tcBorders>
            <w:shd w:val="clear" w:color="auto" w:fill="6C6F70"/>
            <w:vAlign w:val="bottom"/>
          </w:tcPr>
          <w:p w14:paraId="2AE4AD04" w14:textId="77777777" w:rsidR="00144282" w:rsidRPr="0025659D" w:rsidRDefault="00144282" w:rsidP="00944B75">
            <w:pPr>
              <w:pStyle w:val="TableHeaderCenter"/>
              <w:keepNext/>
              <w:keepLines/>
              <w:spacing w:before="0" w:after="0"/>
              <w:rPr>
                <w:b w:val="0"/>
                <w:sz w:val="16"/>
                <w:szCs w:val="16"/>
              </w:rPr>
            </w:pPr>
            <w:r w:rsidRPr="0025659D">
              <w:rPr>
                <w:b w:val="0"/>
                <w:sz w:val="16"/>
                <w:szCs w:val="16"/>
              </w:rPr>
              <w:t>Average burden hours per response</w:t>
            </w:r>
          </w:p>
        </w:tc>
        <w:tc>
          <w:tcPr>
            <w:tcW w:w="530" w:type="pct"/>
            <w:tcBorders>
              <w:top w:val="nil"/>
              <w:left w:val="single" w:sz="4" w:space="0" w:color="FFFFFF" w:themeColor="background1"/>
              <w:bottom w:val="nil"/>
              <w:right w:val="single" w:sz="4" w:space="0" w:color="FFFFFF" w:themeColor="background1"/>
            </w:tcBorders>
            <w:shd w:val="clear" w:color="auto" w:fill="6C6F70"/>
            <w:vAlign w:val="bottom"/>
          </w:tcPr>
          <w:p w14:paraId="21CE3B10" w14:textId="77777777" w:rsidR="00144282" w:rsidRPr="0025659D" w:rsidRDefault="00144282" w:rsidP="00944B75">
            <w:pPr>
              <w:pStyle w:val="TableHeaderCenter"/>
              <w:keepNext/>
              <w:keepLines/>
              <w:spacing w:before="0" w:after="0"/>
              <w:rPr>
                <w:b w:val="0"/>
                <w:bCs/>
                <w:sz w:val="16"/>
                <w:szCs w:val="16"/>
              </w:rPr>
            </w:pPr>
            <w:r w:rsidRPr="0025659D">
              <w:rPr>
                <w:b w:val="0"/>
                <w:bCs/>
                <w:sz w:val="16"/>
                <w:szCs w:val="16"/>
              </w:rPr>
              <w:t>Total burden hours over study</w:t>
            </w:r>
          </w:p>
        </w:tc>
        <w:tc>
          <w:tcPr>
            <w:tcW w:w="434" w:type="pct"/>
            <w:tcBorders>
              <w:top w:val="nil"/>
              <w:left w:val="single" w:sz="4" w:space="0" w:color="FFFFFF" w:themeColor="background1"/>
              <w:bottom w:val="nil"/>
              <w:right w:val="single" w:sz="4" w:space="0" w:color="FFFFFF" w:themeColor="background1"/>
            </w:tcBorders>
            <w:shd w:val="clear" w:color="auto" w:fill="6C6F70"/>
            <w:vAlign w:val="bottom"/>
          </w:tcPr>
          <w:p w14:paraId="7FBC88A9" w14:textId="77777777" w:rsidR="00144282" w:rsidRPr="0025659D" w:rsidRDefault="00144282" w:rsidP="00944B75">
            <w:pPr>
              <w:pStyle w:val="TableHeaderCenter"/>
              <w:keepNext/>
              <w:keepLines/>
              <w:spacing w:before="0" w:after="0"/>
              <w:rPr>
                <w:b w:val="0"/>
                <w:bCs/>
                <w:sz w:val="16"/>
                <w:szCs w:val="16"/>
              </w:rPr>
            </w:pPr>
            <w:r w:rsidRPr="0025659D">
              <w:rPr>
                <w:b w:val="0"/>
                <w:bCs/>
                <w:sz w:val="16"/>
                <w:szCs w:val="16"/>
              </w:rPr>
              <w:t>Annual burden hours</w:t>
            </w:r>
          </w:p>
        </w:tc>
        <w:tc>
          <w:tcPr>
            <w:tcW w:w="529" w:type="pct"/>
            <w:tcBorders>
              <w:top w:val="nil"/>
              <w:left w:val="single" w:sz="4" w:space="0" w:color="FFFFFF" w:themeColor="background1"/>
              <w:bottom w:val="nil"/>
              <w:right w:val="single" w:sz="4" w:space="0" w:color="FFFFFF" w:themeColor="background1"/>
            </w:tcBorders>
            <w:shd w:val="clear" w:color="auto" w:fill="6C6F70"/>
            <w:vAlign w:val="bottom"/>
          </w:tcPr>
          <w:p w14:paraId="7ED3AFE8" w14:textId="77777777" w:rsidR="00144282" w:rsidRPr="0025659D" w:rsidRDefault="00144282" w:rsidP="00944B75">
            <w:pPr>
              <w:pStyle w:val="TableHeaderCenter"/>
              <w:keepNext/>
              <w:keepLines/>
              <w:spacing w:before="0" w:after="0"/>
              <w:rPr>
                <w:b w:val="0"/>
                <w:sz w:val="16"/>
                <w:szCs w:val="16"/>
              </w:rPr>
            </w:pPr>
            <w:r w:rsidRPr="0025659D">
              <w:rPr>
                <w:b w:val="0"/>
                <w:bCs/>
                <w:sz w:val="16"/>
                <w:szCs w:val="16"/>
              </w:rPr>
              <w:t>Average hourly wage</w:t>
            </w:r>
          </w:p>
        </w:tc>
        <w:tc>
          <w:tcPr>
            <w:tcW w:w="574" w:type="pct"/>
            <w:tcBorders>
              <w:top w:val="nil"/>
              <w:left w:val="single" w:sz="4" w:space="0" w:color="FFFFFF" w:themeColor="background1"/>
              <w:bottom w:val="nil"/>
              <w:right w:val="nil"/>
            </w:tcBorders>
            <w:shd w:val="clear" w:color="auto" w:fill="6C6F70"/>
            <w:vAlign w:val="bottom"/>
          </w:tcPr>
          <w:p w14:paraId="1A104282" w14:textId="77777777" w:rsidR="00144282" w:rsidRPr="0025659D" w:rsidRDefault="00144282" w:rsidP="00944B75">
            <w:pPr>
              <w:pStyle w:val="TableHeaderCenter"/>
              <w:keepNext/>
              <w:keepLines/>
              <w:spacing w:before="0" w:after="0"/>
              <w:rPr>
                <w:b w:val="0"/>
                <w:sz w:val="16"/>
                <w:szCs w:val="16"/>
              </w:rPr>
            </w:pPr>
            <w:r w:rsidRPr="0025659D">
              <w:rPr>
                <w:b w:val="0"/>
                <w:bCs/>
                <w:sz w:val="16"/>
                <w:szCs w:val="16"/>
              </w:rPr>
              <w:t>Total annual cost</w:t>
            </w:r>
          </w:p>
        </w:tc>
      </w:tr>
      <w:tr w:rsidR="00144282" w:rsidRPr="00730AB1" w14:paraId="7AE86D73" w14:textId="77777777" w:rsidTr="00944B75">
        <w:trPr>
          <w:trHeight w:val="432"/>
          <w:jc w:val="center"/>
        </w:trPr>
        <w:tc>
          <w:tcPr>
            <w:tcW w:w="1154" w:type="pct"/>
            <w:vAlign w:val="center"/>
          </w:tcPr>
          <w:p w14:paraId="71C2D7B7" w14:textId="52B70EBC" w:rsidR="00144282" w:rsidRPr="0025659D" w:rsidRDefault="00795F43" w:rsidP="00944B75">
            <w:pPr>
              <w:pStyle w:val="TableText"/>
              <w:keepNext/>
              <w:keepLines/>
              <w:rPr>
                <w:rFonts w:cs="Arial"/>
                <w:sz w:val="16"/>
                <w:szCs w:val="16"/>
              </w:rPr>
            </w:pPr>
            <w:r>
              <w:rPr>
                <w:rFonts w:cs="Arial"/>
                <w:sz w:val="16"/>
                <w:szCs w:val="16"/>
              </w:rPr>
              <w:t>Instrument 1</w:t>
            </w:r>
            <w:r w:rsidR="00144282" w:rsidRPr="0025659D">
              <w:rPr>
                <w:rFonts w:cs="Arial"/>
                <w:sz w:val="16"/>
                <w:szCs w:val="16"/>
              </w:rPr>
              <w:t xml:space="preserve">: Semi-structured program staff interview guide </w:t>
            </w:r>
          </w:p>
        </w:tc>
        <w:tc>
          <w:tcPr>
            <w:tcW w:w="625" w:type="pct"/>
            <w:vAlign w:val="center"/>
          </w:tcPr>
          <w:p w14:paraId="5ADA8249" w14:textId="77777777" w:rsidR="00144282" w:rsidRPr="0025659D" w:rsidRDefault="00144282" w:rsidP="00944B75">
            <w:pPr>
              <w:pStyle w:val="TableText"/>
              <w:keepNext/>
              <w:keepLines/>
              <w:jc w:val="center"/>
              <w:rPr>
                <w:rFonts w:cs="Arial"/>
                <w:sz w:val="16"/>
                <w:szCs w:val="16"/>
              </w:rPr>
            </w:pPr>
            <w:r>
              <w:rPr>
                <w:rFonts w:cs="Arial"/>
                <w:sz w:val="16"/>
                <w:szCs w:val="16"/>
              </w:rPr>
              <w:t>200</w:t>
            </w:r>
          </w:p>
        </w:tc>
        <w:tc>
          <w:tcPr>
            <w:tcW w:w="535" w:type="pct"/>
            <w:vAlign w:val="center"/>
          </w:tcPr>
          <w:p w14:paraId="0BC51FA3" w14:textId="77777777" w:rsidR="00144282" w:rsidRPr="0025659D" w:rsidRDefault="00144282" w:rsidP="00944B75">
            <w:pPr>
              <w:pStyle w:val="TableText"/>
              <w:keepNext/>
              <w:keepLines/>
              <w:jc w:val="center"/>
              <w:rPr>
                <w:rFonts w:cs="Arial"/>
                <w:sz w:val="16"/>
                <w:szCs w:val="16"/>
              </w:rPr>
            </w:pPr>
            <w:r>
              <w:rPr>
                <w:rFonts w:cs="Arial"/>
                <w:sz w:val="16"/>
                <w:szCs w:val="16"/>
              </w:rPr>
              <w:t>1</w:t>
            </w:r>
          </w:p>
        </w:tc>
        <w:tc>
          <w:tcPr>
            <w:tcW w:w="619" w:type="pct"/>
            <w:vAlign w:val="center"/>
          </w:tcPr>
          <w:p w14:paraId="245B6005" w14:textId="77777777" w:rsidR="00144282" w:rsidRPr="0025659D" w:rsidRDefault="00144282" w:rsidP="00944B75">
            <w:pPr>
              <w:pStyle w:val="TableText"/>
              <w:keepNext/>
              <w:keepLines/>
              <w:jc w:val="center"/>
              <w:rPr>
                <w:rFonts w:cs="Arial"/>
                <w:sz w:val="16"/>
                <w:szCs w:val="16"/>
              </w:rPr>
            </w:pPr>
            <w:r>
              <w:rPr>
                <w:rFonts w:cs="Arial"/>
                <w:sz w:val="16"/>
                <w:szCs w:val="16"/>
              </w:rPr>
              <w:t>1</w:t>
            </w:r>
          </w:p>
        </w:tc>
        <w:tc>
          <w:tcPr>
            <w:tcW w:w="530" w:type="pct"/>
            <w:vAlign w:val="center"/>
          </w:tcPr>
          <w:p w14:paraId="607F754F" w14:textId="77777777" w:rsidR="00144282" w:rsidRPr="0025659D" w:rsidDel="00C65F0C" w:rsidRDefault="00144282" w:rsidP="00944B75">
            <w:pPr>
              <w:pStyle w:val="TableText"/>
              <w:keepNext/>
              <w:keepLines/>
              <w:jc w:val="center"/>
              <w:rPr>
                <w:rFonts w:cs="Arial"/>
                <w:sz w:val="16"/>
                <w:szCs w:val="16"/>
              </w:rPr>
            </w:pPr>
            <w:r>
              <w:rPr>
                <w:rFonts w:cs="Arial"/>
                <w:sz w:val="16"/>
                <w:szCs w:val="16"/>
              </w:rPr>
              <w:t>200</w:t>
            </w:r>
          </w:p>
        </w:tc>
        <w:tc>
          <w:tcPr>
            <w:tcW w:w="434" w:type="pct"/>
            <w:vAlign w:val="center"/>
          </w:tcPr>
          <w:p w14:paraId="14C43B35" w14:textId="77777777" w:rsidR="00144282" w:rsidRPr="0025659D" w:rsidRDefault="00144282" w:rsidP="00944B75">
            <w:pPr>
              <w:pStyle w:val="TableText"/>
              <w:keepNext/>
              <w:keepLines/>
              <w:jc w:val="center"/>
              <w:rPr>
                <w:rFonts w:cs="Arial"/>
                <w:sz w:val="16"/>
                <w:szCs w:val="16"/>
              </w:rPr>
            </w:pPr>
            <w:r>
              <w:rPr>
                <w:rFonts w:cs="Arial"/>
                <w:sz w:val="16"/>
                <w:szCs w:val="16"/>
              </w:rPr>
              <w:t>67</w:t>
            </w:r>
          </w:p>
        </w:tc>
        <w:tc>
          <w:tcPr>
            <w:tcW w:w="529" w:type="pct"/>
            <w:vAlign w:val="center"/>
          </w:tcPr>
          <w:p w14:paraId="47201C1F" w14:textId="77777777" w:rsidR="00144282" w:rsidRPr="0025659D" w:rsidRDefault="00144282" w:rsidP="00944B75">
            <w:pPr>
              <w:pStyle w:val="TableText"/>
              <w:keepNext/>
              <w:keepLines/>
              <w:jc w:val="center"/>
              <w:rPr>
                <w:rFonts w:cs="Arial"/>
                <w:sz w:val="16"/>
                <w:szCs w:val="16"/>
              </w:rPr>
            </w:pPr>
            <w:r w:rsidRPr="0025659D">
              <w:rPr>
                <w:rFonts w:cs="Arial"/>
                <w:sz w:val="16"/>
                <w:szCs w:val="16"/>
              </w:rPr>
              <w:t>$</w:t>
            </w:r>
            <w:r>
              <w:rPr>
                <w:rFonts w:cs="Arial"/>
                <w:sz w:val="16"/>
                <w:szCs w:val="16"/>
              </w:rPr>
              <w:t>33.91</w:t>
            </w:r>
          </w:p>
        </w:tc>
        <w:tc>
          <w:tcPr>
            <w:tcW w:w="574" w:type="pct"/>
            <w:vAlign w:val="center"/>
          </w:tcPr>
          <w:p w14:paraId="35E3B01F" w14:textId="77777777" w:rsidR="00144282" w:rsidRPr="0025659D" w:rsidRDefault="00144282" w:rsidP="00944B75">
            <w:pPr>
              <w:pStyle w:val="TableText"/>
              <w:keepNext/>
              <w:keepLines/>
              <w:jc w:val="center"/>
              <w:rPr>
                <w:rFonts w:cs="Arial"/>
                <w:sz w:val="16"/>
                <w:szCs w:val="16"/>
              </w:rPr>
            </w:pPr>
            <w:r>
              <w:rPr>
                <w:rFonts w:cs="Arial"/>
                <w:sz w:val="16"/>
                <w:szCs w:val="16"/>
              </w:rPr>
              <w:t>$2,271.97</w:t>
            </w:r>
          </w:p>
        </w:tc>
      </w:tr>
      <w:tr w:rsidR="00144282" w:rsidRPr="00730AB1" w14:paraId="024E71FE" w14:textId="77777777" w:rsidTr="00944B75">
        <w:trPr>
          <w:trHeight w:val="432"/>
          <w:jc w:val="center"/>
        </w:trPr>
        <w:tc>
          <w:tcPr>
            <w:tcW w:w="1154" w:type="pct"/>
            <w:tcBorders>
              <w:top w:val="single" w:sz="4" w:space="0" w:color="000000"/>
              <w:left w:val="single" w:sz="4" w:space="0" w:color="000000"/>
              <w:bottom w:val="single" w:sz="4" w:space="0" w:color="000000"/>
              <w:right w:val="single" w:sz="4" w:space="0" w:color="000000"/>
            </w:tcBorders>
            <w:vAlign w:val="center"/>
          </w:tcPr>
          <w:p w14:paraId="41BBCCF6" w14:textId="1C515555" w:rsidR="00144282" w:rsidRPr="00392DAB" w:rsidRDefault="00795F43" w:rsidP="00944B75">
            <w:pPr>
              <w:pStyle w:val="TableText"/>
              <w:keepNext/>
              <w:keepLines/>
              <w:rPr>
                <w:rFonts w:cs="Arial"/>
                <w:sz w:val="16"/>
                <w:szCs w:val="16"/>
              </w:rPr>
            </w:pPr>
            <w:r>
              <w:rPr>
                <w:rFonts w:cs="Arial"/>
                <w:sz w:val="16"/>
                <w:szCs w:val="16"/>
              </w:rPr>
              <w:t>Instrument 2</w:t>
            </w:r>
            <w:r w:rsidR="00144282" w:rsidRPr="00392DAB">
              <w:rPr>
                <w:rFonts w:cs="Arial"/>
                <w:sz w:val="16"/>
                <w:szCs w:val="16"/>
              </w:rPr>
              <w:t>: Case review guide</w:t>
            </w:r>
          </w:p>
        </w:tc>
        <w:tc>
          <w:tcPr>
            <w:tcW w:w="625" w:type="pct"/>
            <w:tcBorders>
              <w:top w:val="single" w:sz="4" w:space="0" w:color="000000"/>
              <w:left w:val="single" w:sz="4" w:space="0" w:color="000000"/>
              <w:bottom w:val="single" w:sz="4" w:space="0" w:color="000000"/>
              <w:right w:val="single" w:sz="4" w:space="0" w:color="000000"/>
            </w:tcBorders>
            <w:vAlign w:val="center"/>
          </w:tcPr>
          <w:p w14:paraId="5CB2E0B1" w14:textId="77777777" w:rsidR="00144282" w:rsidRPr="00392DAB" w:rsidRDefault="00144282" w:rsidP="00944B75">
            <w:pPr>
              <w:pStyle w:val="TableText"/>
              <w:keepNext/>
              <w:keepLines/>
              <w:jc w:val="center"/>
              <w:rPr>
                <w:rFonts w:cs="Arial"/>
                <w:sz w:val="16"/>
                <w:szCs w:val="16"/>
              </w:rPr>
            </w:pPr>
            <w:r w:rsidRPr="00392DAB">
              <w:rPr>
                <w:rFonts w:cs="Arial"/>
                <w:sz w:val="16"/>
                <w:szCs w:val="16"/>
              </w:rPr>
              <w:t>24</w:t>
            </w:r>
          </w:p>
        </w:tc>
        <w:tc>
          <w:tcPr>
            <w:tcW w:w="535" w:type="pct"/>
            <w:tcBorders>
              <w:top w:val="single" w:sz="4" w:space="0" w:color="000000"/>
              <w:left w:val="single" w:sz="4" w:space="0" w:color="000000"/>
              <w:bottom w:val="single" w:sz="4" w:space="0" w:color="000000"/>
              <w:right w:val="single" w:sz="4" w:space="0" w:color="000000"/>
            </w:tcBorders>
            <w:vAlign w:val="center"/>
          </w:tcPr>
          <w:p w14:paraId="5562D2A5" w14:textId="77777777" w:rsidR="00144282" w:rsidRPr="00392DAB" w:rsidRDefault="00144282" w:rsidP="00944B75">
            <w:pPr>
              <w:pStyle w:val="TableText"/>
              <w:keepNext/>
              <w:keepLines/>
              <w:jc w:val="center"/>
              <w:rPr>
                <w:rFonts w:cs="Arial"/>
                <w:sz w:val="16"/>
                <w:szCs w:val="16"/>
              </w:rPr>
            </w:pPr>
            <w:r w:rsidRPr="00392DAB">
              <w:rPr>
                <w:rFonts w:cs="Arial"/>
                <w:sz w:val="16"/>
                <w:szCs w:val="16"/>
              </w:rPr>
              <w:t>2</w:t>
            </w:r>
          </w:p>
        </w:tc>
        <w:tc>
          <w:tcPr>
            <w:tcW w:w="619" w:type="pct"/>
            <w:tcBorders>
              <w:top w:val="single" w:sz="4" w:space="0" w:color="000000"/>
              <w:left w:val="single" w:sz="4" w:space="0" w:color="000000"/>
              <w:bottom w:val="single" w:sz="4" w:space="0" w:color="000000"/>
              <w:right w:val="single" w:sz="4" w:space="0" w:color="000000"/>
            </w:tcBorders>
            <w:vAlign w:val="center"/>
          </w:tcPr>
          <w:p w14:paraId="4B37F6CE" w14:textId="77777777" w:rsidR="00144282" w:rsidRPr="00392DAB" w:rsidRDefault="00144282" w:rsidP="00944B75">
            <w:pPr>
              <w:pStyle w:val="TableText"/>
              <w:keepNext/>
              <w:keepLines/>
              <w:jc w:val="center"/>
              <w:rPr>
                <w:rFonts w:cs="Arial"/>
                <w:sz w:val="16"/>
                <w:szCs w:val="16"/>
              </w:rPr>
            </w:pPr>
            <w:r w:rsidRPr="00392DAB">
              <w:rPr>
                <w:rFonts w:cs="Arial"/>
                <w:sz w:val="16"/>
                <w:szCs w:val="16"/>
              </w:rPr>
              <w:t>.75</w:t>
            </w:r>
          </w:p>
        </w:tc>
        <w:tc>
          <w:tcPr>
            <w:tcW w:w="530" w:type="pct"/>
            <w:tcBorders>
              <w:top w:val="single" w:sz="4" w:space="0" w:color="000000"/>
              <w:left w:val="single" w:sz="4" w:space="0" w:color="000000"/>
              <w:bottom w:val="single" w:sz="4" w:space="0" w:color="000000"/>
              <w:right w:val="single" w:sz="4" w:space="0" w:color="000000"/>
            </w:tcBorders>
            <w:vAlign w:val="center"/>
          </w:tcPr>
          <w:p w14:paraId="3D042822" w14:textId="77777777" w:rsidR="00144282" w:rsidRPr="00392DAB" w:rsidRDefault="00144282" w:rsidP="00944B75">
            <w:pPr>
              <w:pStyle w:val="TableText"/>
              <w:keepNext/>
              <w:keepLines/>
              <w:jc w:val="center"/>
              <w:rPr>
                <w:rFonts w:cs="Arial"/>
                <w:sz w:val="16"/>
                <w:szCs w:val="16"/>
              </w:rPr>
            </w:pPr>
            <w:r w:rsidRPr="00392DAB">
              <w:rPr>
                <w:rFonts w:cs="Arial"/>
                <w:sz w:val="16"/>
                <w:szCs w:val="16"/>
              </w:rPr>
              <w:t>36</w:t>
            </w:r>
          </w:p>
        </w:tc>
        <w:tc>
          <w:tcPr>
            <w:tcW w:w="434" w:type="pct"/>
            <w:tcBorders>
              <w:top w:val="single" w:sz="4" w:space="0" w:color="000000"/>
              <w:left w:val="single" w:sz="4" w:space="0" w:color="000000"/>
              <w:bottom w:val="single" w:sz="4" w:space="0" w:color="000000"/>
              <w:right w:val="single" w:sz="4" w:space="0" w:color="000000"/>
            </w:tcBorders>
            <w:vAlign w:val="center"/>
          </w:tcPr>
          <w:p w14:paraId="63847E62" w14:textId="77777777" w:rsidR="00144282" w:rsidRPr="00392DAB" w:rsidRDefault="00144282" w:rsidP="00944B75">
            <w:pPr>
              <w:pStyle w:val="TableText"/>
              <w:keepNext/>
              <w:keepLines/>
              <w:jc w:val="center"/>
              <w:rPr>
                <w:rFonts w:cs="Arial"/>
                <w:sz w:val="16"/>
                <w:szCs w:val="16"/>
              </w:rPr>
            </w:pPr>
            <w:r>
              <w:rPr>
                <w:rFonts w:cs="Arial"/>
                <w:sz w:val="16"/>
                <w:szCs w:val="16"/>
              </w:rPr>
              <w:t>12</w:t>
            </w:r>
          </w:p>
        </w:tc>
        <w:tc>
          <w:tcPr>
            <w:tcW w:w="529" w:type="pct"/>
            <w:tcBorders>
              <w:top w:val="single" w:sz="4" w:space="0" w:color="000000"/>
              <w:left w:val="single" w:sz="4" w:space="0" w:color="000000"/>
              <w:bottom w:val="single" w:sz="4" w:space="0" w:color="000000"/>
              <w:right w:val="single" w:sz="4" w:space="0" w:color="000000"/>
            </w:tcBorders>
            <w:vAlign w:val="center"/>
          </w:tcPr>
          <w:p w14:paraId="6CF1743A" w14:textId="77777777" w:rsidR="00144282" w:rsidRPr="00392DAB" w:rsidRDefault="00144282" w:rsidP="00944B75">
            <w:pPr>
              <w:pStyle w:val="TableText"/>
              <w:keepNext/>
              <w:keepLines/>
              <w:jc w:val="center"/>
              <w:rPr>
                <w:rFonts w:cs="Arial"/>
                <w:sz w:val="16"/>
                <w:szCs w:val="16"/>
              </w:rPr>
            </w:pPr>
            <w:r w:rsidRPr="00392DAB">
              <w:rPr>
                <w:rFonts w:cs="Arial"/>
                <w:sz w:val="16"/>
                <w:szCs w:val="16"/>
              </w:rPr>
              <w:t>$33.91</w:t>
            </w:r>
          </w:p>
        </w:tc>
        <w:tc>
          <w:tcPr>
            <w:tcW w:w="574" w:type="pct"/>
            <w:tcBorders>
              <w:top w:val="single" w:sz="4" w:space="0" w:color="000000"/>
              <w:left w:val="single" w:sz="4" w:space="0" w:color="000000"/>
              <w:bottom w:val="single" w:sz="4" w:space="0" w:color="000000"/>
              <w:right w:val="single" w:sz="4" w:space="0" w:color="000000"/>
            </w:tcBorders>
            <w:vAlign w:val="center"/>
          </w:tcPr>
          <w:p w14:paraId="0604D43A" w14:textId="77777777" w:rsidR="00144282" w:rsidRPr="00392DAB" w:rsidRDefault="00144282" w:rsidP="00944B75">
            <w:pPr>
              <w:pStyle w:val="TableText"/>
              <w:keepNext/>
              <w:keepLines/>
              <w:jc w:val="center"/>
              <w:rPr>
                <w:rFonts w:cs="Arial"/>
                <w:sz w:val="16"/>
                <w:szCs w:val="16"/>
              </w:rPr>
            </w:pPr>
            <w:r>
              <w:rPr>
                <w:rFonts w:cs="Arial"/>
                <w:sz w:val="16"/>
                <w:szCs w:val="16"/>
              </w:rPr>
              <w:t>$406.92</w:t>
            </w:r>
          </w:p>
        </w:tc>
      </w:tr>
      <w:tr w:rsidR="00144282" w:rsidRPr="00730AB1" w14:paraId="2F8F945B" w14:textId="77777777" w:rsidTr="00944B75">
        <w:trPr>
          <w:trHeight w:val="432"/>
          <w:jc w:val="center"/>
        </w:trPr>
        <w:tc>
          <w:tcPr>
            <w:tcW w:w="1154" w:type="pct"/>
            <w:vAlign w:val="center"/>
          </w:tcPr>
          <w:p w14:paraId="1677C43D" w14:textId="6FB9BD84" w:rsidR="00144282" w:rsidRPr="0025659D" w:rsidRDefault="00795F43" w:rsidP="00944B75">
            <w:pPr>
              <w:pStyle w:val="TableText"/>
              <w:keepNext/>
              <w:keepLines/>
              <w:rPr>
                <w:rFonts w:cs="Arial"/>
                <w:sz w:val="16"/>
                <w:szCs w:val="16"/>
                <w:lang w:val="fr-MA"/>
              </w:rPr>
            </w:pPr>
            <w:r>
              <w:rPr>
                <w:rFonts w:cs="Arial"/>
                <w:sz w:val="16"/>
                <w:szCs w:val="16"/>
              </w:rPr>
              <w:t>Instrument 3</w:t>
            </w:r>
            <w:r w:rsidR="00144282" w:rsidRPr="0025659D">
              <w:rPr>
                <w:rFonts w:cs="Arial"/>
                <w:sz w:val="16"/>
                <w:szCs w:val="16"/>
              </w:rPr>
              <w:t>: In-depth participant interview guide</w:t>
            </w:r>
          </w:p>
        </w:tc>
        <w:tc>
          <w:tcPr>
            <w:tcW w:w="625" w:type="pct"/>
            <w:vAlign w:val="center"/>
          </w:tcPr>
          <w:p w14:paraId="0BB01D06" w14:textId="77777777" w:rsidR="00144282" w:rsidRPr="0025659D" w:rsidRDefault="00144282" w:rsidP="00944B75">
            <w:pPr>
              <w:pStyle w:val="TableText"/>
              <w:keepNext/>
              <w:keepLines/>
              <w:jc w:val="center"/>
              <w:rPr>
                <w:rFonts w:cs="Arial"/>
                <w:sz w:val="16"/>
                <w:szCs w:val="16"/>
              </w:rPr>
            </w:pPr>
            <w:r>
              <w:rPr>
                <w:rFonts w:cs="Arial"/>
                <w:sz w:val="16"/>
                <w:szCs w:val="16"/>
              </w:rPr>
              <w:t>24</w:t>
            </w:r>
          </w:p>
        </w:tc>
        <w:tc>
          <w:tcPr>
            <w:tcW w:w="535" w:type="pct"/>
            <w:vAlign w:val="center"/>
          </w:tcPr>
          <w:p w14:paraId="7E5636E2" w14:textId="77777777" w:rsidR="00144282" w:rsidRPr="0025659D" w:rsidRDefault="00144282" w:rsidP="00944B75">
            <w:pPr>
              <w:pStyle w:val="TableText"/>
              <w:keepNext/>
              <w:keepLines/>
              <w:jc w:val="center"/>
              <w:rPr>
                <w:rFonts w:cs="Arial"/>
                <w:sz w:val="16"/>
                <w:szCs w:val="16"/>
              </w:rPr>
            </w:pPr>
            <w:r>
              <w:rPr>
                <w:rFonts w:cs="Arial"/>
                <w:sz w:val="16"/>
                <w:szCs w:val="16"/>
              </w:rPr>
              <w:t>1</w:t>
            </w:r>
          </w:p>
        </w:tc>
        <w:tc>
          <w:tcPr>
            <w:tcW w:w="619" w:type="pct"/>
            <w:vAlign w:val="center"/>
          </w:tcPr>
          <w:p w14:paraId="4C8475C9" w14:textId="77777777" w:rsidR="00144282" w:rsidRPr="0025659D" w:rsidRDefault="00144282" w:rsidP="00944B75">
            <w:pPr>
              <w:pStyle w:val="TableText"/>
              <w:keepNext/>
              <w:keepLines/>
              <w:jc w:val="center"/>
              <w:rPr>
                <w:rFonts w:cs="Arial"/>
                <w:sz w:val="16"/>
                <w:szCs w:val="16"/>
              </w:rPr>
            </w:pPr>
            <w:r>
              <w:rPr>
                <w:rFonts w:cs="Arial"/>
                <w:sz w:val="16"/>
                <w:szCs w:val="16"/>
              </w:rPr>
              <w:t>1.5</w:t>
            </w:r>
          </w:p>
        </w:tc>
        <w:tc>
          <w:tcPr>
            <w:tcW w:w="530" w:type="pct"/>
            <w:vAlign w:val="center"/>
          </w:tcPr>
          <w:p w14:paraId="10A77943" w14:textId="77777777" w:rsidR="00144282" w:rsidRPr="0025659D" w:rsidDel="00C65F0C" w:rsidRDefault="00144282" w:rsidP="00944B75">
            <w:pPr>
              <w:pStyle w:val="TableText"/>
              <w:keepNext/>
              <w:keepLines/>
              <w:jc w:val="center"/>
              <w:rPr>
                <w:rFonts w:cs="Arial"/>
                <w:sz w:val="16"/>
                <w:szCs w:val="16"/>
              </w:rPr>
            </w:pPr>
            <w:r>
              <w:rPr>
                <w:rFonts w:cs="Arial"/>
                <w:sz w:val="16"/>
                <w:szCs w:val="16"/>
              </w:rPr>
              <w:t>36</w:t>
            </w:r>
          </w:p>
        </w:tc>
        <w:tc>
          <w:tcPr>
            <w:tcW w:w="434" w:type="pct"/>
            <w:vAlign w:val="center"/>
          </w:tcPr>
          <w:p w14:paraId="03E3BFA2" w14:textId="77777777" w:rsidR="00144282" w:rsidRPr="0025659D" w:rsidRDefault="00144282" w:rsidP="00944B75">
            <w:pPr>
              <w:pStyle w:val="TableText"/>
              <w:keepNext/>
              <w:keepLines/>
              <w:jc w:val="center"/>
              <w:rPr>
                <w:rFonts w:cs="Arial"/>
                <w:sz w:val="16"/>
                <w:szCs w:val="16"/>
              </w:rPr>
            </w:pPr>
            <w:r>
              <w:rPr>
                <w:rFonts w:cs="Arial"/>
                <w:sz w:val="16"/>
                <w:szCs w:val="16"/>
              </w:rPr>
              <w:t>12</w:t>
            </w:r>
          </w:p>
        </w:tc>
        <w:tc>
          <w:tcPr>
            <w:tcW w:w="529" w:type="pct"/>
            <w:vAlign w:val="center"/>
          </w:tcPr>
          <w:p w14:paraId="533B577B" w14:textId="77777777" w:rsidR="00144282" w:rsidRPr="0025659D" w:rsidRDefault="00144282" w:rsidP="00944B75">
            <w:pPr>
              <w:pStyle w:val="TableText"/>
              <w:keepNext/>
              <w:keepLines/>
              <w:jc w:val="center"/>
              <w:rPr>
                <w:rFonts w:cs="Arial"/>
                <w:sz w:val="16"/>
                <w:szCs w:val="16"/>
              </w:rPr>
            </w:pPr>
            <w:r w:rsidRPr="0025659D">
              <w:rPr>
                <w:rFonts w:cs="Arial"/>
                <w:sz w:val="16"/>
                <w:szCs w:val="16"/>
              </w:rPr>
              <w:t>$</w:t>
            </w:r>
            <w:r>
              <w:rPr>
                <w:rFonts w:cs="Arial"/>
                <w:sz w:val="16"/>
                <w:szCs w:val="16"/>
              </w:rPr>
              <w:t>7.25</w:t>
            </w:r>
          </w:p>
        </w:tc>
        <w:tc>
          <w:tcPr>
            <w:tcW w:w="574" w:type="pct"/>
            <w:vAlign w:val="center"/>
          </w:tcPr>
          <w:p w14:paraId="2697FB47" w14:textId="77777777" w:rsidR="00144282" w:rsidRPr="0025659D" w:rsidRDefault="00144282" w:rsidP="00944B75">
            <w:pPr>
              <w:pStyle w:val="TableText"/>
              <w:keepNext/>
              <w:keepLines/>
              <w:jc w:val="center"/>
              <w:rPr>
                <w:rFonts w:cs="Arial"/>
                <w:sz w:val="16"/>
                <w:szCs w:val="16"/>
              </w:rPr>
            </w:pPr>
            <w:r>
              <w:rPr>
                <w:rFonts w:cs="Arial"/>
                <w:sz w:val="16"/>
                <w:szCs w:val="16"/>
              </w:rPr>
              <w:t>$87.00</w:t>
            </w:r>
          </w:p>
        </w:tc>
      </w:tr>
      <w:tr w:rsidR="00144282" w:rsidRPr="00D9641E" w14:paraId="0F05522D" w14:textId="77777777" w:rsidTr="00944B75">
        <w:trPr>
          <w:trHeight w:val="432"/>
          <w:jc w:val="center"/>
        </w:trPr>
        <w:tc>
          <w:tcPr>
            <w:tcW w:w="2933" w:type="pct"/>
            <w:gridSpan w:val="4"/>
            <w:vAlign w:val="center"/>
          </w:tcPr>
          <w:p w14:paraId="323B3E6D" w14:textId="77777777" w:rsidR="00144282" w:rsidRPr="00392DAB" w:rsidDel="00C65F0C" w:rsidRDefault="00144282" w:rsidP="00944B75">
            <w:pPr>
              <w:pStyle w:val="TableText"/>
              <w:keepNext/>
              <w:keepLines/>
              <w:rPr>
                <w:b/>
                <w:sz w:val="16"/>
                <w:szCs w:val="16"/>
              </w:rPr>
            </w:pPr>
            <w:r w:rsidRPr="00392DAB">
              <w:rPr>
                <w:b/>
                <w:sz w:val="16"/>
                <w:szCs w:val="16"/>
              </w:rPr>
              <w:t>Estimated annual burden total</w:t>
            </w:r>
          </w:p>
        </w:tc>
        <w:tc>
          <w:tcPr>
            <w:tcW w:w="530" w:type="pct"/>
            <w:vAlign w:val="center"/>
          </w:tcPr>
          <w:p w14:paraId="25D6AD7F" w14:textId="77777777" w:rsidR="00144282" w:rsidRPr="00392DAB" w:rsidDel="00C65F0C" w:rsidRDefault="00144282" w:rsidP="00944B75">
            <w:pPr>
              <w:pStyle w:val="TableText"/>
              <w:keepNext/>
              <w:keepLines/>
              <w:jc w:val="center"/>
              <w:rPr>
                <w:b/>
                <w:sz w:val="16"/>
                <w:szCs w:val="16"/>
              </w:rPr>
            </w:pPr>
            <w:r w:rsidRPr="00392DAB">
              <w:rPr>
                <w:b/>
                <w:sz w:val="16"/>
                <w:szCs w:val="16"/>
              </w:rPr>
              <w:t>2</w:t>
            </w:r>
            <w:r>
              <w:rPr>
                <w:b/>
                <w:sz w:val="16"/>
                <w:szCs w:val="16"/>
              </w:rPr>
              <w:t>7</w:t>
            </w:r>
            <w:r w:rsidRPr="00392DAB">
              <w:rPr>
                <w:b/>
                <w:sz w:val="16"/>
                <w:szCs w:val="16"/>
              </w:rPr>
              <w:t>2</w:t>
            </w:r>
          </w:p>
        </w:tc>
        <w:tc>
          <w:tcPr>
            <w:tcW w:w="434" w:type="pct"/>
            <w:vAlign w:val="center"/>
          </w:tcPr>
          <w:p w14:paraId="37CAA912" w14:textId="77777777" w:rsidR="00144282" w:rsidRPr="00392DAB" w:rsidRDefault="00144282" w:rsidP="00944B75">
            <w:pPr>
              <w:pStyle w:val="TableText"/>
              <w:keepNext/>
              <w:keepLines/>
              <w:jc w:val="center"/>
              <w:rPr>
                <w:b/>
                <w:sz w:val="16"/>
                <w:szCs w:val="16"/>
              </w:rPr>
            </w:pPr>
            <w:r>
              <w:rPr>
                <w:b/>
                <w:sz w:val="16"/>
                <w:szCs w:val="16"/>
              </w:rPr>
              <w:t>91</w:t>
            </w:r>
          </w:p>
        </w:tc>
        <w:tc>
          <w:tcPr>
            <w:tcW w:w="529" w:type="pct"/>
            <w:vAlign w:val="center"/>
          </w:tcPr>
          <w:p w14:paraId="74C4D966" w14:textId="77777777" w:rsidR="00144282" w:rsidRPr="00392DAB" w:rsidRDefault="00144282" w:rsidP="00944B75">
            <w:pPr>
              <w:pStyle w:val="TableText"/>
              <w:keepNext/>
              <w:keepLines/>
              <w:jc w:val="center"/>
              <w:rPr>
                <w:b/>
                <w:sz w:val="16"/>
                <w:szCs w:val="16"/>
              </w:rPr>
            </w:pPr>
            <w:r>
              <w:rPr>
                <w:b/>
                <w:sz w:val="16"/>
                <w:szCs w:val="16"/>
              </w:rPr>
              <w:t>$29.76</w:t>
            </w:r>
          </w:p>
        </w:tc>
        <w:tc>
          <w:tcPr>
            <w:tcW w:w="574" w:type="pct"/>
            <w:vAlign w:val="center"/>
          </w:tcPr>
          <w:p w14:paraId="3ED5114B" w14:textId="77777777" w:rsidR="00144282" w:rsidRPr="00392DAB" w:rsidRDefault="00144282" w:rsidP="00944B75">
            <w:pPr>
              <w:pStyle w:val="TableText"/>
              <w:keepNext/>
              <w:keepLines/>
              <w:jc w:val="center"/>
              <w:rPr>
                <w:b/>
                <w:sz w:val="16"/>
                <w:szCs w:val="16"/>
              </w:rPr>
            </w:pPr>
            <w:r>
              <w:rPr>
                <w:b/>
                <w:sz w:val="16"/>
                <w:szCs w:val="16"/>
              </w:rPr>
              <w:t>$2,765.89</w:t>
            </w:r>
          </w:p>
        </w:tc>
      </w:tr>
    </w:tbl>
    <w:p w14:paraId="0713D467" w14:textId="77777777" w:rsidR="00BC4E82" w:rsidRDefault="00BC4E82" w:rsidP="006F6044">
      <w:pPr>
        <w:spacing w:after="120" w:line="240" w:lineRule="auto"/>
        <w:rPr>
          <w:rFonts w:cstheme="minorHAnsi"/>
          <w:i/>
        </w:rPr>
      </w:pPr>
    </w:p>
    <w:p w14:paraId="4012190D" w14:textId="162A993F" w:rsidR="000D7D44" w:rsidRPr="004B5AEF" w:rsidRDefault="001F0446" w:rsidP="006F6044">
      <w:pPr>
        <w:spacing w:after="120" w:line="240" w:lineRule="auto"/>
        <w:rPr>
          <w:rFonts w:cstheme="minorHAnsi"/>
          <w:i/>
        </w:rPr>
      </w:pPr>
      <w:r w:rsidRPr="004B5AEF">
        <w:rPr>
          <w:rFonts w:cstheme="minorHAnsi"/>
          <w:i/>
        </w:rPr>
        <w:t>Estimated Annualized Cost to Respondents</w:t>
      </w:r>
    </w:p>
    <w:p w14:paraId="50A5A626" w14:textId="77777777" w:rsidR="00144282" w:rsidRPr="004B5AEF" w:rsidRDefault="00144282" w:rsidP="00144282">
      <w:pPr>
        <w:spacing w:line="240" w:lineRule="auto"/>
        <w:rPr>
          <w:rFonts w:cstheme="minorHAnsi"/>
        </w:rPr>
      </w:pPr>
      <w:r w:rsidRPr="004B5AEF">
        <w:rPr>
          <w:rFonts w:cstheme="minorHAnsi"/>
        </w:rPr>
        <w:t>The total annual cost is $2,765.89. The total estimated cost figures are computed from the total annual burden hours and an average hourly wage for staff, participants, and employers. We estimate the average hourly wage for program staff to be the average hourly wage of Social and Community Service Managers (SOC 11-9151) taken from the U.S. Bureau of Labor Statistics National Compensation Survey, 2017 ($33.91). The average hourly wage of study participants is estimated to be $7.25, the federal minimum wage.</w:t>
      </w:r>
    </w:p>
    <w:p w14:paraId="6D094BD5" w14:textId="77777777" w:rsidR="001F0446" w:rsidRPr="004B5AEF" w:rsidRDefault="001F0446" w:rsidP="00373D2F">
      <w:pPr>
        <w:spacing w:after="0" w:line="240" w:lineRule="auto"/>
        <w:rPr>
          <w:rFonts w:cstheme="minorHAnsi"/>
        </w:rPr>
      </w:pPr>
    </w:p>
    <w:p w14:paraId="3D55F30E" w14:textId="079CEC34" w:rsidR="00373D2F" w:rsidRPr="004B5AEF" w:rsidRDefault="00B23277" w:rsidP="00577243">
      <w:pPr>
        <w:spacing w:after="120" w:line="240" w:lineRule="auto"/>
        <w:rPr>
          <w:rFonts w:cstheme="minorHAnsi"/>
        </w:rPr>
      </w:pPr>
      <w:r w:rsidRPr="004B5AEF">
        <w:rPr>
          <w:rFonts w:cstheme="minorHAnsi"/>
          <w:b/>
        </w:rPr>
        <w:t>A13</w:t>
      </w:r>
      <w:r w:rsidRPr="004B5AEF">
        <w:rPr>
          <w:rFonts w:cstheme="minorHAnsi"/>
        </w:rPr>
        <w:t>.</w:t>
      </w:r>
      <w:r w:rsidRPr="004B5AEF">
        <w:rPr>
          <w:rFonts w:cstheme="minorHAnsi"/>
        </w:rPr>
        <w:tab/>
      </w:r>
      <w:r w:rsidR="00083227" w:rsidRPr="004B5AEF">
        <w:rPr>
          <w:rFonts w:cstheme="minorHAnsi"/>
          <w:b/>
        </w:rPr>
        <w:t>Costs</w:t>
      </w:r>
    </w:p>
    <w:p w14:paraId="262B006D" w14:textId="3B2CB6B0" w:rsidR="00577243"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There are no direct costs to respondents.</w:t>
      </w:r>
    </w:p>
    <w:p w14:paraId="456CA4E3" w14:textId="77777777" w:rsidR="00577243" w:rsidRPr="004B5AEF" w:rsidRDefault="00577243" w:rsidP="00577243">
      <w:pPr>
        <w:autoSpaceDE w:val="0"/>
        <w:autoSpaceDN w:val="0"/>
        <w:adjustRightInd w:val="0"/>
        <w:spacing w:after="0" w:line="240" w:lineRule="auto"/>
        <w:rPr>
          <w:rFonts w:cstheme="minorHAnsi"/>
        </w:rPr>
      </w:pPr>
    </w:p>
    <w:p w14:paraId="6D7CE77A" w14:textId="01F078C4" w:rsidR="00373D2F" w:rsidRPr="004B5AEF" w:rsidRDefault="00B23277" w:rsidP="00577243">
      <w:pPr>
        <w:spacing w:after="120" w:line="240" w:lineRule="auto"/>
        <w:rPr>
          <w:rFonts w:cstheme="minorHAnsi"/>
        </w:rPr>
      </w:pPr>
      <w:r w:rsidRPr="004B5AEF">
        <w:rPr>
          <w:rFonts w:cstheme="minorHAnsi"/>
          <w:b/>
        </w:rPr>
        <w:t>A14</w:t>
      </w:r>
      <w:r w:rsidRPr="004B5AEF">
        <w:rPr>
          <w:rFonts w:cstheme="minorHAnsi"/>
        </w:rPr>
        <w:t>.</w:t>
      </w:r>
      <w:r w:rsidRPr="004B5AEF">
        <w:rPr>
          <w:rFonts w:cstheme="minorHAnsi"/>
        </w:rPr>
        <w:tab/>
      </w:r>
      <w:r w:rsidR="00577243" w:rsidRPr="004B5AEF">
        <w:rPr>
          <w:rFonts w:cstheme="minorHAnsi"/>
          <w:b/>
        </w:rPr>
        <w:t>Estimated Annualized Costs to the Federal Government</w:t>
      </w:r>
      <w:r w:rsidR="00577243" w:rsidRPr="004B5AEF">
        <w:rPr>
          <w:rFonts w:cstheme="minorHAnsi"/>
        </w:rPr>
        <w:t xml:space="preserve"> </w:t>
      </w:r>
    </w:p>
    <w:p w14:paraId="4284A0F7" w14:textId="429E0084" w:rsidR="00144282" w:rsidRPr="004B5AEF" w:rsidRDefault="00144282" w:rsidP="0091473D">
      <w:pPr>
        <w:pStyle w:val="NormalSS"/>
        <w:spacing w:after="0"/>
        <w:rPr>
          <w:rFonts w:asciiTheme="minorHAnsi" w:hAnsiTheme="minorHAnsi" w:cstheme="minorHAnsi"/>
          <w:sz w:val="22"/>
          <w:szCs w:val="22"/>
        </w:rPr>
      </w:pPr>
      <w:r w:rsidRPr="004B5AEF">
        <w:rPr>
          <w:rFonts w:asciiTheme="minorHAnsi" w:hAnsiTheme="minorHAnsi" w:cstheme="minorHAnsi"/>
          <w:sz w:val="22"/>
          <w:szCs w:val="22"/>
        </w:rPr>
        <w:t>The total cost for the data collection activities under this current request will be $1,118,334</w:t>
      </w:r>
      <w:r w:rsidR="009C0B09">
        <w:rPr>
          <w:rFonts w:asciiTheme="minorHAnsi" w:hAnsiTheme="minorHAnsi" w:cstheme="minorHAnsi"/>
          <w:sz w:val="22"/>
          <w:szCs w:val="22"/>
        </w:rPr>
        <w:t xml:space="preserve"> over three years. The annual cost is $372,778</w:t>
      </w:r>
      <w:r w:rsidRPr="004B5AEF">
        <w:rPr>
          <w:rFonts w:asciiTheme="minorHAnsi" w:hAnsiTheme="minorHAnsi" w:cstheme="minorHAnsi"/>
          <w:sz w:val="22"/>
          <w:szCs w:val="22"/>
        </w:rPr>
        <w:t>. We estimate the cost for each study activity in Table 2 below. Estimated costs include staff labor hours; operational expenses including equipment, overhead, printing, staff support, and travel; and any other expenses which would not have been incurred without</w:t>
      </w:r>
      <w:r w:rsidR="004B5AEF">
        <w:rPr>
          <w:rFonts w:asciiTheme="minorHAnsi" w:hAnsiTheme="minorHAnsi" w:cstheme="minorHAnsi"/>
          <w:sz w:val="22"/>
          <w:szCs w:val="22"/>
        </w:rPr>
        <w:t xml:space="preserve"> this collection of information.</w:t>
      </w:r>
    </w:p>
    <w:p w14:paraId="3D69475E" w14:textId="1614894B" w:rsidR="00144282" w:rsidRDefault="00144282" w:rsidP="00577243">
      <w:pPr>
        <w:spacing w:after="120" w:line="240" w:lineRule="auto"/>
        <w:rPr>
          <w:rFonts w:cstheme="minorHAnsi"/>
        </w:rPr>
      </w:pPr>
    </w:p>
    <w:p w14:paraId="0AE3BB4A" w14:textId="14531C06" w:rsidR="00144282" w:rsidRPr="00527A78" w:rsidRDefault="00527A78" w:rsidP="00577243">
      <w:pPr>
        <w:spacing w:after="120" w:line="240" w:lineRule="auto"/>
        <w:rPr>
          <w:rFonts w:cstheme="minorHAnsi"/>
          <w:b/>
        </w:rPr>
      </w:pPr>
      <w:r w:rsidRPr="00527A78">
        <w:rPr>
          <w:rFonts w:cstheme="minorHAnsi"/>
          <w:b/>
        </w:rPr>
        <w:t>Table 2. Estimated costs of this information collection (over the 3-year period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8"/>
        <w:gridCol w:w="2250"/>
      </w:tblGrid>
      <w:tr w:rsidR="00B13DC4" w:rsidRPr="00B13297" w14:paraId="799745E2" w14:textId="77777777" w:rsidTr="00CB2F94">
        <w:tc>
          <w:tcPr>
            <w:tcW w:w="4878" w:type="dxa"/>
            <w:shd w:val="clear" w:color="auto" w:fill="BFBFBF"/>
            <w:tcMar>
              <w:top w:w="0" w:type="dxa"/>
              <w:left w:w="108" w:type="dxa"/>
              <w:bottom w:w="0" w:type="dxa"/>
              <w:right w:w="108" w:type="dxa"/>
            </w:tcMar>
            <w:hideMark/>
          </w:tcPr>
          <w:p w14:paraId="4E01E280" w14:textId="77777777" w:rsidR="00B13DC4" w:rsidRPr="00B13297" w:rsidRDefault="00B13DC4" w:rsidP="00944B75">
            <w:pPr>
              <w:rPr>
                <w:b/>
                <w:bCs/>
                <w:sz w:val="20"/>
              </w:rPr>
            </w:pPr>
            <w:r w:rsidRPr="00B13297">
              <w:rPr>
                <w:b/>
                <w:bCs/>
                <w:sz w:val="20"/>
              </w:rPr>
              <w:t>Cost Category</w:t>
            </w:r>
          </w:p>
        </w:tc>
        <w:tc>
          <w:tcPr>
            <w:tcW w:w="2250" w:type="dxa"/>
            <w:shd w:val="clear" w:color="auto" w:fill="BFBFBF"/>
            <w:tcMar>
              <w:top w:w="0" w:type="dxa"/>
              <w:left w:w="108" w:type="dxa"/>
              <w:bottom w:w="0" w:type="dxa"/>
              <w:right w:w="108" w:type="dxa"/>
            </w:tcMar>
            <w:hideMark/>
          </w:tcPr>
          <w:p w14:paraId="395B2B42" w14:textId="77777777" w:rsidR="00B13DC4" w:rsidRPr="00B13297" w:rsidRDefault="00B13DC4" w:rsidP="00944B75">
            <w:pPr>
              <w:jc w:val="center"/>
              <w:rPr>
                <w:b/>
                <w:bCs/>
                <w:sz w:val="20"/>
              </w:rPr>
            </w:pPr>
            <w:r w:rsidRPr="00B13297">
              <w:rPr>
                <w:b/>
                <w:bCs/>
                <w:sz w:val="20"/>
              </w:rPr>
              <w:t>Estimated Costs</w:t>
            </w:r>
          </w:p>
        </w:tc>
      </w:tr>
      <w:tr w:rsidR="00CB4358" w:rsidRPr="00B13297" w14:paraId="51B075A3" w14:textId="77777777" w:rsidTr="00CB2F94">
        <w:tc>
          <w:tcPr>
            <w:tcW w:w="4878" w:type="dxa"/>
            <w:tcMar>
              <w:top w:w="0" w:type="dxa"/>
              <w:left w:w="108" w:type="dxa"/>
              <w:bottom w:w="0" w:type="dxa"/>
              <w:right w:w="108" w:type="dxa"/>
            </w:tcMar>
            <w:vAlign w:val="center"/>
            <w:hideMark/>
          </w:tcPr>
          <w:p w14:paraId="3B60F72C" w14:textId="77777777" w:rsidR="00CB4358" w:rsidRPr="00B13297" w:rsidRDefault="00CB4358" w:rsidP="00CB4358">
            <w:pPr>
              <w:spacing w:after="0"/>
              <w:rPr>
                <w:sz w:val="20"/>
              </w:rPr>
            </w:pPr>
            <w:r w:rsidRPr="00B13297">
              <w:rPr>
                <w:sz w:val="20"/>
              </w:rPr>
              <w:t>Instrument Development and OMB Clearance</w:t>
            </w:r>
          </w:p>
        </w:tc>
        <w:tc>
          <w:tcPr>
            <w:tcW w:w="2250" w:type="dxa"/>
            <w:tcMar>
              <w:top w:w="0" w:type="dxa"/>
              <w:left w:w="108" w:type="dxa"/>
              <w:bottom w:w="0" w:type="dxa"/>
              <w:right w:w="108" w:type="dxa"/>
            </w:tcMar>
            <w:vAlign w:val="center"/>
            <w:hideMark/>
          </w:tcPr>
          <w:p w14:paraId="11F7276F" w14:textId="1CAA842B" w:rsidR="00CB4358" w:rsidRPr="00B13297" w:rsidRDefault="00CB4358" w:rsidP="00CB4358">
            <w:pPr>
              <w:spacing w:after="0"/>
              <w:jc w:val="center"/>
              <w:rPr>
                <w:sz w:val="20"/>
              </w:rPr>
            </w:pPr>
            <w:r w:rsidRPr="00B13297">
              <w:rPr>
                <w:sz w:val="20"/>
              </w:rPr>
              <w:t>$</w:t>
            </w:r>
            <w:r w:rsidR="00644839" w:rsidRPr="00644839">
              <w:rPr>
                <w:sz w:val="20"/>
              </w:rPr>
              <w:t>137,626.14</w:t>
            </w:r>
          </w:p>
        </w:tc>
      </w:tr>
      <w:tr w:rsidR="00CB4358" w:rsidRPr="00B13297" w14:paraId="2CCC3965" w14:textId="77777777" w:rsidTr="00CB2F94">
        <w:tc>
          <w:tcPr>
            <w:tcW w:w="4878" w:type="dxa"/>
            <w:tcMar>
              <w:top w:w="0" w:type="dxa"/>
              <w:left w:w="108" w:type="dxa"/>
              <w:bottom w:w="0" w:type="dxa"/>
              <w:right w:w="108" w:type="dxa"/>
            </w:tcMar>
            <w:vAlign w:val="center"/>
            <w:hideMark/>
          </w:tcPr>
          <w:p w14:paraId="799DBD69" w14:textId="77777777" w:rsidR="00CB4358" w:rsidRPr="00B13297" w:rsidRDefault="00CB4358" w:rsidP="00CB4358">
            <w:pPr>
              <w:spacing w:after="0"/>
              <w:rPr>
                <w:rFonts w:ascii="Calibri" w:eastAsia="Calibri" w:hAnsi="Calibri" w:cs="Calibri"/>
                <w:sz w:val="20"/>
              </w:rPr>
            </w:pPr>
            <w:r w:rsidRPr="00B13297">
              <w:rPr>
                <w:sz w:val="20"/>
              </w:rPr>
              <w:t>Field Work</w:t>
            </w:r>
          </w:p>
        </w:tc>
        <w:tc>
          <w:tcPr>
            <w:tcW w:w="2250" w:type="dxa"/>
            <w:tcMar>
              <w:top w:w="0" w:type="dxa"/>
              <w:left w:w="108" w:type="dxa"/>
              <w:bottom w:w="0" w:type="dxa"/>
              <w:right w:w="108" w:type="dxa"/>
            </w:tcMar>
            <w:vAlign w:val="center"/>
            <w:hideMark/>
          </w:tcPr>
          <w:p w14:paraId="33786520" w14:textId="04439F94" w:rsidR="00CB4358" w:rsidRPr="00B13297" w:rsidRDefault="00CB4358" w:rsidP="00CB4358">
            <w:pPr>
              <w:spacing w:after="0"/>
              <w:jc w:val="center"/>
              <w:rPr>
                <w:sz w:val="20"/>
              </w:rPr>
            </w:pPr>
            <w:r w:rsidRPr="00B13297">
              <w:rPr>
                <w:sz w:val="20"/>
              </w:rPr>
              <w:t>$</w:t>
            </w:r>
            <w:r w:rsidR="00644839" w:rsidRPr="00644839">
              <w:rPr>
                <w:sz w:val="20"/>
              </w:rPr>
              <w:t>309,990.90</w:t>
            </w:r>
          </w:p>
        </w:tc>
      </w:tr>
      <w:tr w:rsidR="00CB4358" w:rsidRPr="00B13297" w14:paraId="32235541" w14:textId="77777777" w:rsidTr="00CB2F94">
        <w:tc>
          <w:tcPr>
            <w:tcW w:w="4878" w:type="dxa"/>
            <w:tcMar>
              <w:top w:w="0" w:type="dxa"/>
              <w:left w:w="108" w:type="dxa"/>
              <w:bottom w:w="0" w:type="dxa"/>
              <w:right w:w="108" w:type="dxa"/>
            </w:tcMar>
            <w:vAlign w:val="center"/>
            <w:hideMark/>
          </w:tcPr>
          <w:p w14:paraId="31C29715" w14:textId="77777777" w:rsidR="00CB4358" w:rsidRPr="00B13297" w:rsidRDefault="00CB4358" w:rsidP="00CB4358">
            <w:pPr>
              <w:spacing w:after="0"/>
              <w:rPr>
                <w:rFonts w:ascii="Calibri" w:eastAsia="Calibri" w:hAnsi="Calibri" w:cs="Calibri"/>
                <w:sz w:val="20"/>
              </w:rPr>
            </w:pPr>
            <w:r w:rsidRPr="00B13297">
              <w:rPr>
                <w:sz w:val="20"/>
              </w:rPr>
              <w:t>Publications/Dissemination</w:t>
            </w:r>
          </w:p>
        </w:tc>
        <w:tc>
          <w:tcPr>
            <w:tcW w:w="2250" w:type="dxa"/>
            <w:tcMar>
              <w:top w:w="0" w:type="dxa"/>
              <w:left w:w="108" w:type="dxa"/>
              <w:bottom w:w="0" w:type="dxa"/>
              <w:right w:w="108" w:type="dxa"/>
            </w:tcMar>
            <w:vAlign w:val="center"/>
            <w:hideMark/>
          </w:tcPr>
          <w:p w14:paraId="112ACDBC" w14:textId="2282A779" w:rsidR="00CB4358" w:rsidRPr="00B13297" w:rsidRDefault="00CB4358" w:rsidP="00CB4358">
            <w:pPr>
              <w:spacing w:after="0"/>
              <w:jc w:val="center"/>
              <w:rPr>
                <w:sz w:val="20"/>
              </w:rPr>
            </w:pPr>
            <w:r w:rsidRPr="00B13297">
              <w:rPr>
                <w:sz w:val="20"/>
              </w:rPr>
              <w:t>$</w:t>
            </w:r>
            <w:r w:rsidR="00644839" w:rsidRPr="00644839">
              <w:rPr>
                <w:sz w:val="20"/>
              </w:rPr>
              <w:t>670,716.81</w:t>
            </w:r>
          </w:p>
        </w:tc>
      </w:tr>
      <w:tr w:rsidR="00CB4358" w:rsidRPr="00B13297" w14:paraId="4667EDF0" w14:textId="77777777" w:rsidTr="00CB2F94">
        <w:tc>
          <w:tcPr>
            <w:tcW w:w="4878" w:type="dxa"/>
            <w:tcMar>
              <w:top w:w="0" w:type="dxa"/>
              <w:left w:w="108" w:type="dxa"/>
              <w:bottom w:w="0" w:type="dxa"/>
              <w:right w:w="108" w:type="dxa"/>
            </w:tcMar>
            <w:vAlign w:val="center"/>
            <w:hideMark/>
          </w:tcPr>
          <w:p w14:paraId="108A5BAF" w14:textId="74624A89" w:rsidR="00CB4358" w:rsidRPr="00B13297" w:rsidRDefault="00CB4358" w:rsidP="00CB4358">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Mar>
              <w:top w:w="0" w:type="dxa"/>
              <w:left w:w="108" w:type="dxa"/>
              <w:bottom w:w="0" w:type="dxa"/>
              <w:right w:w="108" w:type="dxa"/>
            </w:tcMar>
            <w:vAlign w:val="center"/>
            <w:hideMark/>
          </w:tcPr>
          <w:p w14:paraId="26EBFD7A" w14:textId="1DEB4F5B" w:rsidR="00CB4358" w:rsidRPr="00985F71" w:rsidRDefault="00CB4358" w:rsidP="00CB4358">
            <w:pPr>
              <w:spacing w:after="0"/>
              <w:jc w:val="center"/>
              <w:rPr>
                <w:bCs/>
                <w:sz w:val="20"/>
              </w:rPr>
            </w:pPr>
            <w:r w:rsidRPr="00527A78">
              <w:rPr>
                <w:sz w:val="20"/>
              </w:rPr>
              <w:t>$</w:t>
            </w:r>
            <w:r w:rsidR="00644839" w:rsidRPr="00985F71">
              <w:rPr>
                <w:iCs/>
                <w:sz w:val="20"/>
              </w:rPr>
              <w:t>1,118,333.85</w:t>
            </w:r>
          </w:p>
        </w:tc>
      </w:tr>
      <w:tr w:rsidR="00CB4358" w:rsidRPr="00B13297" w14:paraId="404E900D" w14:textId="77777777" w:rsidTr="00CB2F94">
        <w:tc>
          <w:tcPr>
            <w:tcW w:w="4878" w:type="dxa"/>
            <w:tcMar>
              <w:top w:w="0" w:type="dxa"/>
              <w:left w:w="108" w:type="dxa"/>
              <w:bottom w:w="0" w:type="dxa"/>
              <w:right w:w="108" w:type="dxa"/>
            </w:tcMar>
            <w:vAlign w:val="center"/>
          </w:tcPr>
          <w:p w14:paraId="460ED502" w14:textId="79D25F54" w:rsidR="00CB4358" w:rsidRPr="00B13297" w:rsidRDefault="00CB4358" w:rsidP="00CB4358">
            <w:pPr>
              <w:spacing w:after="0"/>
              <w:jc w:val="right"/>
              <w:rPr>
                <w:b/>
                <w:bCs/>
                <w:sz w:val="20"/>
              </w:rPr>
            </w:pPr>
            <w:r w:rsidRPr="00B13297">
              <w:rPr>
                <w:b/>
                <w:color w:val="000000"/>
                <w:sz w:val="20"/>
              </w:rPr>
              <w:t>Annual costs</w:t>
            </w:r>
          </w:p>
        </w:tc>
        <w:tc>
          <w:tcPr>
            <w:tcW w:w="2250" w:type="dxa"/>
            <w:tcMar>
              <w:top w:w="0" w:type="dxa"/>
              <w:left w:w="108" w:type="dxa"/>
              <w:bottom w:w="0" w:type="dxa"/>
              <w:right w:w="108" w:type="dxa"/>
            </w:tcMar>
            <w:vAlign w:val="center"/>
          </w:tcPr>
          <w:p w14:paraId="420E7941" w14:textId="292501ED" w:rsidR="00CB4358" w:rsidRPr="00985F71" w:rsidRDefault="00CB4358" w:rsidP="00CB4358">
            <w:pPr>
              <w:spacing w:after="0"/>
              <w:jc w:val="center"/>
              <w:rPr>
                <w:bCs/>
                <w:sz w:val="20"/>
              </w:rPr>
            </w:pPr>
            <w:r w:rsidRPr="00527A78">
              <w:rPr>
                <w:sz w:val="20"/>
              </w:rPr>
              <w:t>$</w:t>
            </w:r>
            <w:r w:rsidR="00644839" w:rsidRPr="00985F71">
              <w:rPr>
                <w:bCs/>
                <w:sz w:val="20"/>
              </w:rPr>
              <w:t>372,777.95</w:t>
            </w:r>
          </w:p>
        </w:tc>
      </w:tr>
    </w:tbl>
    <w:p w14:paraId="16602EA3" w14:textId="77777777" w:rsidR="00B13DC4" w:rsidRPr="001E3F6B" w:rsidRDefault="00B13DC4" w:rsidP="00B13DC4">
      <w:pPr>
        <w:rPr>
          <w:rFonts w:ascii="Calibri" w:eastAsia="Calibri" w:hAnsi="Calibri" w:cs="Calibri"/>
          <w:color w:val="1F497D"/>
        </w:rPr>
      </w:pPr>
    </w:p>
    <w:p w14:paraId="3C111F63" w14:textId="03C1A042" w:rsidR="0068383E" w:rsidRPr="004B5AEF" w:rsidRDefault="00B23277" w:rsidP="00CB4358">
      <w:pPr>
        <w:spacing w:after="120" w:line="240" w:lineRule="auto"/>
        <w:rPr>
          <w:rFonts w:cstheme="minorHAnsi"/>
        </w:rPr>
      </w:pPr>
      <w:r w:rsidRPr="004B5AEF">
        <w:rPr>
          <w:rFonts w:cstheme="minorHAnsi"/>
          <w:b/>
        </w:rPr>
        <w:t>A15</w:t>
      </w:r>
      <w:r w:rsidRPr="004B5AEF">
        <w:rPr>
          <w:rFonts w:cstheme="minorHAnsi"/>
        </w:rPr>
        <w:t>.</w:t>
      </w:r>
      <w:r w:rsidRPr="004B5AEF">
        <w:rPr>
          <w:rFonts w:cstheme="minorHAnsi"/>
        </w:rPr>
        <w:tab/>
      </w:r>
      <w:r w:rsidR="007C7B4B" w:rsidRPr="004B5AEF">
        <w:rPr>
          <w:rFonts w:cstheme="minorHAnsi"/>
          <w:b/>
        </w:rPr>
        <w:t>Reasons for changes in burden</w:t>
      </w:r>
      <w:r w:rsidR="007C7B4B" w:rsidRPr="004B5AEF">
        <w:rPr>
          <w:rFonts w:cstheme="minorHAnsi"/>
        </w:rPr>
        <w:t xml:space="preserve"> </w:t>
      </w:r>
    </w:p>
    <w:p w14:paraId="67DF3E79" w14:textId="378A66B3" w:rsidR="0068383E"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This is a new </w:t>
      </w:r>
      <w:r w:rsidR="00603078" w:rsidRPr="004B5AEF">
        <w:rPr>
          <w:rFonts w:asciiTheme="minorHAnsi" w:hAnsiTheme="minorHAnsi" w:cstheme="minorHAnsi"/>
          <w:sz w:val="22"/>
          <w:szCs w:val="22"/>
        </w:rPr>
        <w:t xml:space="preserve">information </w:t>
      </w:r>
      <w:r w:rsidRPr="004B5AEF">
        <w:rPr>
          <w:rFonts w:asciiTheme="minorHAnsi" w:hAnsiTheme="minorHAnsi" w:cstheme="minorHAnsi"/>
          <w:sz w:val="22"/>
          <w:szCs w:val="22"/>
        </w:rPr>
        <w:t>collection</w:t>
      </w:r>
      <w:r w:rsidR="00603078" w:rsidRPr="004B5AEF">
        <w:rPr>
          <w:rFonts w:asciiTheme="minorHAnsi" w:hAnsiTheme="minorHAnsi" w:cstheme="minorHAnsi"/>
          <w:sz w:val="22"/>
          <w:szCs w:val="22"/>
        </w:rPr>
        <w:t xml:space="preserve"> request</w:t>
      </w:r>
      <w:r w:rsidRPr="004B5AEF">
        <w:rPr>
          <w:rFonts w:asciiTheme="minorHAnsi" w:hAnsiTheme="minorHAnsi" w:cstheme="minorHAnsi"/>
          <w:sz w:val="22"/>
          <w:szCs w:val="22"/>
        </w:rPr>
        <w:t>.</w:t>
      </w:r>
    </w:p>
    <w:p w14:paraId="08700A1E" w14:textId="77777777" w:rsidR="00CB4358" w:rsidRPr="004B5AEF" w:rsidRDefault="00CB4358" w:rsidP="00CB4358">
      <w:pPr>
        <w:spacing w:after="0" w:line="240" w:lineRule="auto"/>
        <w:rPr>
          <w:rFonts w:cstheme="minorHAnsi"/>
        </w:rPr>
      </w:pPr>
    </w:p>
    <w:p w14:paraId="2FB760D1" w14:textId="50337F9C" w:rsidR="000D4E9A" w:rsidRPr="004B5AEF" w:rsidRDefault="00B23277" w:rsidP="00CB4358">
      <w:pPr>
        <w:spacing w:after="120" w:line="240" w:lineRule="auto"/>
        <w:rPr>
          <w:rFonts w:cstheme="minorHAnsi"/>
        </w:rPr>
      </w:pPr>
      <w:r w:rsidRPr="004B5AEF">
        <w:rPr>
          <w:rFonts w:cstheme="minorHAnsi"/>
          <w:b/>
        </w:rPr>
        <w:t>A16</w:t>
      </w:r>
      <w:r w:rsidRPr="004B5AEF">
        <w:rPr>
          <w:rFonts w:cstheme="minorHAnsi"/>
        </w:rPr>
        <w:t>.</w:t>
      </w:r>
      <w:r w:rsidRPr="004B5AEF">
        <w:rPr>
          <w:rFonts w:cstheme="minorHAnsi"/>
        </w:rPr>
        <w:tab/>
      </w:r>
      <w:r w:rsidR="00083227" w:rsidRPr="004B5AEF">
        <w:rPr>
          <w:rFonts w:cstheme="minorHAnsi"/>
          <w:b/>
        </w:rPr>
        <w:t>Timeline</w:t>
      </w:r>
    </w:p>
    <w:p w14:paraId="1143372A" w14:textId="288EEDC2" w:rsidR="00144282"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Document reviews </w:t>
      </w:r>
      <w:r w:rsidR="00191EAF">
        <w:rPr>
          <w:rFonts w:asciiTheme="minorHAnsi" w:hAnsiTheme="minorHAnsi" w:cstheme="minorHAnsi"/>
          <w:sz w:val="22"/>
          <w:szCs w:val="22"/>
        </w:rPr>
        <w:t xml:space="preserve">began in the second quarter of 2019 </w:t>
      </w:r>
      <w:r w:rsidRPr="004B5AEF">
        <w:rPr>
          <w:rFonts w:asciiTheme="minorHAnsi" w:hAnsiTheme="minorHAnsi" w:cstheme="minorHAnsi"/>
          <w:sz w:val="22"/>
          <w:szCs w:val="22"/>
        </w:rPr>
        <w:t xml:space="preserve">and program consultations will take place beginning in the </w:t>
      </w:r>
      <w:r w:rsidR="00191EAF">
        <w:rPr>
          <w:rFonts w:asciiTheme="minorHAnsi" w:hAnsiTheme="minorHAnsi" w:cstheme="minorHAnsi"/>
          <w:sz w:val="22"/>
          <w:szCs w:val="22"/>
        </w:rPr>
        <w:t>third</w:t>
      </w:r>
      <w:r w:rsidRPr="004B5AEF">
        <w:rPr>
          <w:rFonts w:asciiTheme="minorHAnsi" w:hAnsiTheme="minorHAnsi" w:cstheme="minorHAnsi"/>
          <w:sz w:val="22"/>
          <w:szCs w:val="22"/>
        </w:rPr>
        <w:t xml:space="preserve"> quarter of 2019. </w:t>
      </w:r>
    </w:p>
    <w:p w14:paraId="69F8E639" w14:textId="7F675DA8" w:rsidR="009C0B09"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The project team will conduct </w:t>
      </w:r>
      <w:r w:rsidR="009C0B09">
        <w:rPr>
          <w:rFonts w:asciiTheme="minorHAnsi" w:hAnsiTheme="minorHAnsi" w:cstheme="minorHAnsi"/>
          <w:sz w:val="22"/>
          <w:szCs w:val="22"/>
        </w:rPr>
        <w:t xml:space="preserve">the </w:t>
      </w:r>
      <w:r w:rsidRPr="004B5AEF">
        <w:rPr>
          <w:rFonts w:asciiTheme="minorHAnsi" w:hAnsiTheme="minorHAnsi" w:cstheme="minorHAnsi"/>
          <w:sz w:val="22"/>
          <w:szCs w:val="22"/>
        </w:rPr>
        <w:t>site visits to up to 12 programs</w:t>
      </w:r>
      <w:r w:rsidR="009C0B09">
        <w:rPr>
          <w:rFonts w:asciiTheme="minorHAnsi" w:hAnsiTheme="minorHAnsi" w:cstheme="minorHAnsi"/>
          <w:sz w:val="22"/>
          <w:szCs w:val="22"/>
        </w:rPr>
        <w:t xml:space="preserve"> </w:t>
      </w:r>
      <w:r w:rsidRPr="004B5AEF">
        <w:rPr>
          <w:rFonts w:asciiTheme="minorHAnsi" w:hAnsiTheme="minorHAnsi" w:cstheme="minorHAnsi"/>
          <w:sz w:val="22"/>
          <w:szCs w:val="22"/>
        </w:rPr>
        <w:t xml:space="preserve">over a period of six months, beginning one month after program selection. After each site visit, the project team will prepare a short summary of the visit. The summary will describe the site visit activities and briefly describe the program’s key services. All site visit summaries are expected to be completed within one month after the end of data collection. </w:t>
      </w:r>
    </w:p>
    <w:p w14:paraId="5AA80DAA" w14:textId="2F77C76C" w:rsidR="00144282"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The project team will conduct </w:t>
      </w:r>
      <w:r w:rsidR="009C0B09">
        <w:rPr>
          <w:rFonts w:asciiTheme="minorHAnsi" w:hAnsiTheme="minorHAnsi" w:cstheme="minorHAnsi"/>
          <w:sz w:val="22"/>
          <w:szCs w:val="22"/>
        </w:rPr>
        <w:t xml:space="preserve">the </w:t>
      </w:r>
      <w:r w:rsidRPr="004B5AEF">
        <w:rPr>
          <w:rFonts w:asciiTheme="minorHAnsi" w:hAnsiTheme="minorHAnsi" w:cstheme="minorHAnsi"/>
          <w:sz w:val="22"/>
          <w:szCs w:val="22"/>
        </w:rPr>
        <w:t xml:space="preserve">semi-structured phone interviews with up to 20 programs over 18 months, beginning one month after program selection. </w:t>
      </w:r>
    </w:p>
    <w:p w14:paraId="6570D164" w14:textId="7C7BB5D7" w:rsidR="009C0B09"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All comprehensive case study drafts will be completed within three months after the end of data collection. </w:t>
      </w:r>
      <w:r w:rsidR="009C0B09" w:rsidRPr="004B5AEF">
        <w:rPr>
          <w:rFonts w:asciiTheme="minorHAnsi" w:hAnsiTheme="minorHAnsi" w:cstheme="minorHAnsi"/>
          <w:sz w:val="22"/>
          <w:szCs w:val="22"/>
        </w:rPr>
        <w:t xml:space="preserve">For programs that participate only in a phone interview with no site visit, the project team will produce up to 20 shorter case studies. The shorter case studies will be completed within six months after the end of data collection. The shorter case studies will be published on the new Pathways to Work Evidence Clearinghouse website. </w:t>
      </w:r>
    </w:p>
    <w:p w14:paraId="1B857467" w14:textId="50298F71" w:rsidR="00144282"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Within six months after data collection is completed, the project team will produce a public-facing final report that describes the project objectives and activities, summarizes the programs and innovative approaches included in the case studies, and includes all the completed case studies. </w:t>
      </w:r>
    </w:p>
    <w:p w14:paraId="51947D34" w14:textId="77777777" w:rsidR="00144282" w:rsidRPr="004B5AEF" w:rsidRDefault="00144282" w:rsidP="00144282">
      <w:pPr>
        <w:pStyle w:val="NormalSS"/>
        <w:rPr>
          <w:rFonts w:asciiTheme="minorHAnsi" w:hAnsiTheme="minorHAnsi" w:cstheme="minorHAnsi"/>
          <w:sz w:val="22"/>
          <w:szCs w:val="22"/>
        </w:rPr>
      </w:pPr>
      <w:r w:rsidRPr="004B5AEF">
        <w:rPr>
          <w:rFonts w:asciiTheme="minorHAnsi" w:hAnsiTheme="minorHAnsi" w:cstheme="minorHAnsi"/>
          <w:sz w:val="22"/>
          <w:szCs w:val="22"/>
        </w:rPr>
        <w:t xml:space="preserve">Table 3 below provides a schedule of the data collection and publication activities. </w:t>
      </w:r>
    </w:p>
    <w:p w14:paraId="075D9B3E" w14:textId="3D3884AB" w:rsidR="00144282" w:rsidRPr="004B5AEF" w:rsidRDefault="00144282" w:rsidP="00144282">
      <w:pPr>
        <w:pStyle w:val="MarkforTableTitle"/>
        <w:keepLines/>
        <w:spacing w:after="0"/>
        <w:rPr>
          <w:rFonts w:asciiTheme="minorHAnsi" w:hAnsiTheme="minorHAnsi" w:cstheme="minorHAnsi"/>
          <w:b/>
          <w:szCs w:val="22"/>
        </w:rPr>
      </w:pPr>
      <w:bookmarkStart w:id="9" w:name="_Toc5370092"/>
      <w:bookmarkStart w:id="10" w:name="_Toc5370107"/>
      <w:bookmarkStart w:id="11" w:name="_Toc520712278"/>
      <w:bookmarkStart w:id="12" w:name="_Toc528053354"/>
      <w:bookmarkStart w:id="13" w:name="_Toc880908"/>
      <w:r w:rsidRPr="004B5AEF">
        <w:rPr>
          <w:rFonts w:asciiTheme="minorHAnsi" w:hAnsiTheme="minorHAnsi" w:cstheme="minorHAnsi"/>
          <w:b/>
          <w:szCs w:val="22"/>
        </w:rPr>
        <w:t xml:space="preserve">Table 3. Data collection and reporting </w:t>
      </w:r>
      <w:bookmarkEnd w:id="9"/>
      <w:bookmarkEnd w:id="10"/>
      <w:bookmarkEnd w:id="11"/>
      <w:bookmarkEnd w:id="12"/>
      <w:bookmarkEnd w:id="13"/>
      <w:r w:rsidRPr="004B5AEF">
        <w:rPr>
          <w:rFonts w:asciiTheme="minorHAnsi" w:hAnsiTheme="minorHAnsi" w:cstheme="minorHAnsi"/>
          <w:b/>
          <w:szCs w:val="22"/>
        </w:rPr>
        <w:t xml:space="preserve">timeframe </w:t>
      </w:r>
    </w:p>
    <w:tbl>
      <w:tblPr>
        <w:tblStyle w:val="LightList1"/>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4604"/>
        <w:gridCol w:w="1934"/>
        <w:gridCol w:w="3038"/>
      </w:tblGrid>
      <w:tr w:rsidR="004D35D9" w:rsidRPr="00E90D4D" w14:paraId="73BAC0B5" w14:textId="68BCEDDD" w:rsidTr="00D61D6A">
        <w:trPr>
          <w:cnfStyle w:val="100000000000" w:firstRow="1" w:lastRow="0" w:firstColumn="0" w:lastColumn="0" w:oddVBand="0" w:evenVBand="0" w:oddHBand="0" w:evenHBand="0" w:firstRowFirstColumn="0" w:firstRowLastColumn="0" w:lastRowFirstColumn="0" w:lastRowLastColumn="0"/>
          <w:tblHeader/>
        </w:trPr>
        <w:tc>
          <w:tcPr>
            <w:tcW w:w="2404" w:type="pct"/>
            <w:tcBorders>
              <w:bottom w:val="single" w:sz="4" w:space="0" w:color="FFFFFF" w:themeColor="background1"/>
              <w:right w:val="single" w:sz="4" w:space="0" w:color="FFFFFF" w:themeColor="background1"/>
            </w:tcBorders>
            <w:shd w:val="clear" w:color="auto" w:fill="808080" w:themeFill="background1" w:themeFillShade="80"/>
            <w:vAlign w:val="bottom"/>
          </w:tcPr>
          <w:p w14:paraId="22E1ABE1" w14:textId="77777777" w:rsidR="004D35D9" w:rsidRPr="00E90D4D" w:rsidRDefault="004D35D9" w:rsidP="00944B75">
            <w:pPr>
              <w:pStyle w:val="TableHeaderLeft"/>
              <w:keepNext/>
              <w:keepLines/>
              <w:rPr>
                <w:rFonts w:cs="Arial"/>
                <w:b/>
                <w:bCs w:val="0"/>
              </w:rPr>
            </w:pPr>
          </w:p>
        </w:tc>
        <w:tc>
          <w:tcPr>
            <w:tcW w:w="1010" w:type="pct"/>
            <w:tcBorders>
              <w:left w:val="single" w:sz="4" w:space="0" w:color="FFFFFF" w:themeColor="background1"/>
              <w:bottom w:val="single" w:sz="4" w:space="0" w:color="FFFFFF" w:themeColor="background1"/>
            </w:tcBorders>
            <w:shd w:val="clear" w:color="auto" w:fill="808080" w:themeFill="background1" w:themeFillShade="80"/>
            <w:vAlign w:val="bottom"/>
          </w:tcPr>
          <w:p w14:paraId="468B9408" w14:textId="77777777" w:rsidR="004D35D9" w:rsidRPr="00E90D4D" w:rsidRDefault="004D35D9" w:rsidP="00944B75">
            <w:pPr>
              <w:pStyle w:val="TableHeaderCenter"/>
              <w:keepNext/>
              <w:keepLines/>
              <w:rPr>
                <w:rFonts w:cs="Arial"/>
                <w:b/>
              </w:rPr>
            </w:pPr>
            <w:r>
              <w:rPr>
                <w:rFonts w:cs="Arial"/>
                <w:b/>
              </w:rPr>
              <w:t>Number of months</w:t>
            </w:r>
          </w:p>
        </w:tc>
        <w:tc>
          <w:tcPr>
            <w:tcW w:w="1586" w:type="pct"/>
            <w:tcBorders>
              <w:left w:val="single" w:sz="4" w:space="0" w:color="FFFFFF" w:themeColor="background1"/>
              <w:bottom w:val="single" w:sz="4" w:space="0" w:color="FFFFFF" w:themeColor="background1"/>
            </w:tcBorders>
            <w:shd w:val="clear" w:color="auto" w:fill="808080" w:themeFill="background1" w:themeFillShade="80"/>
          </w:tcPr>
          <w:p w14:paraId="32FE2C8D" w14:textId="4700E4DE" w:rsidR="004D35D9" w:rsidRDefault="00D61D6A" w:rsidP="00D61D6A">
            <w:pPr>
              <w:pStyle w:val="TableHeaderCenter"/>
              <w:keepNext/>
              <w:keepLines/>
              <w:rPr>
                <w:rFonts w:cs="Arial"/>
              </w:rPr>
            </w:pPr>
            <w:r>
              <w:rPr>
                <w:rFonts w:cs="Arial"/>
              </w:rPr>
              <w:t>Start date</w:t>
            </w:r>
          </w:p>
        </w:tc>
      </w:tr>
      <w:tr w:rsidR="004D35D9" w:rsidRPr="00730AB1" w14:paraId="4B8A7BF0" w14:textId="5BFFDAF6" w:rsidTr="00D61D6A">
        <w:trPr>
          <w:trHeight w:val="259"/>
        </w:trPr>
        <w:tc>
          <w:tcPr>
            <w:tcW w:w="2404" w:type="pct"/>
            <w:vAlign w:val="center"/>
          </w:tcPr>
          <w:p w14:paraId="5E7FDCBC" w14:textId="77777777" w:rsidR="004D35D9" w:rsidRPr="006D36E1" w:rsidRDefault="004D35D9" w:rsidP="00944B75">
            <w:pPr>
              <w:pStyle w:val="TableText"/>
              <w:keepNext/>
              <w:keepLines/>
              <w:rPr>
                <w:b/>
              </w:rPr>
            </w:pPr>
            <w:r w:rsidRPr="006D36E1">
              <w:rPr>
                <w:b/>
              </w:rPr>
              <w:t>Data collection</w:t>
            </w:r>
          </w:p>
        </w:tc>
        <w:tc>
          <w:tcPr>
            <w:tcW w:w="1010" w:type="pct"/>
            <w:vAlign w:val="center"/>
          </w:tcPr>
          <w:p w14:paraId="6A43F13C" w14:textId="77777777" w:rsidR="004D35D9" w:rsidRPr="00730AB1" w:rsidRDefault="004D35D9" w:rsidP="00944B75">
            <w:pPr>
              <w:pStyle w:val="TableText"/>
              <w:keepNext/>
              <w:keepLines/>
              <w:jc w:val="center"/>
              <w:rPr>
                <w:highlight w:val="yellow"/>
              </w:rPr>
            </w:pPr>
          </w:p>
        </w:tc>
        <w:tc>
          <w:tcPr>
            <w:tcW w:w="1586" w:type="pct"/>
          </w:tcPr>
          <w:p w14:paraId="018002FC" w14:textId="77777777" w:rsidR="004D35D9" w:rsidRPr="00730AB1" w:rsidRDefault="004D35D9" w:rsidP="00944B75">
            <w:pPr>
              <w:pStyle w:val="TableText"/>
              <w:keepNext/>
              <w:keepLines/>
              <w:jc w:val="center"/>
              <w:rPr>
                <w:highlight w:val="yellow"/>
              </w:rPr>
            </w:pPr>
          </w:p>
        </w:tc>
      </w:tr>
      <w:tr w:rsidR="004D35D9" w:rsidRPr="00730AB1" w14:paraId="068EF9D9" w14:textId="26FF3B71" w:rsidTr="00D61D6A">
        <w:trPr>
          <w:trHeight w:val="333"/>
        </w:trPr>
        <w:tc>
          <w:tcPr>
            <w:tcW w:w="2404" w:type="pct"/>
            <w:vAlign w:val="center"/>
          </w:tcPr>
          <w:p w14:paraId="1AC18AAB" w14:textId="77777777" w:rsidR="004D35D9" w:rsidRPr="00D53218" w:rsidRDefault="004D35D9" w:rsidP="00944B75">
            <w:pPr>
              <w:pStyle w:val="TableText"/>
              <w:keepNext/>
              <w:keepLines/>
              <w:ind w:left="162" w:hanging="90"/>
            </w:pPr>
            <w:r w:rsidRPr="00D53218">
              <w:t>Document review</w:t>
            </w:r>
          </w:p>
        </w:tc>
        <w:tc>
          <w:tcPr>
            <w:tcW w:w="1010" w:type="pct"/>
            <w:vAlign w:val="center"/>
          </w:tcPr>
          <w:p w14:paraId="0DF18BDB" w14:textId="77777777" w:rsidR="004D35D9" w:rsidRPr="00A62905" w:rsidRDefault="004D35D9" w:rsidP="00944B75">
            <w:pPr>
              <w:pStyle w:val="TableText"/>
              <w:keepNext/>
              <w:keepLines/>
              <w:jc w:val="center"/>
              <w:rPr>
                <w:iCs/>
              </w:rPr>
            </w:pPr>
            <w:r w:rsidRPr="00A62905">
              <w:rPr>
                <w:iCs/>
              </w:rPr>
              <w:t>12</w:t>
            </w:r>
          </w:p>
        </w:tc>
        <w:tc>
          <w:tcPr>
            <w:tcW w:w="1586" w:type="pct"/>
          </w:tcPr>
          <w:p w14:paraId="289812E1" w14:textId="411CF16F" w:rsidR="004D35D9" w:rsidRPr="00A62905" w:rsidRDefault="004D35D9" w:rsidP="00944B75">
            <w:pPr>
              <w:pStyle w:val="TableText"/>
              <w:keepNext/>
              <w:keepLines/>
              <w:jc w:val="center"/>
              <w:rPr>
                <w:iCs/>
              </w:rPr>
            </w:pPr>
            <w:r>
              <w:rPr>
                <w:iCs/>
              </w:rPr>
              <w:t>Immediately following program selection</w:t>
            </w:r>
          </w:p>
        </w:tc>
      </w:tr>
      <w:tr w:rsidR="004D35D9" w:rsidRPr="00730AB1" w14:paraId="30FFBC33" w14:textId="6D1902E3" w:rsidTr="00D61D6A">
        <w:trPr>
          <w:trHeight w:val="162"/>
        </w:trPr>
        <w:tc>
          <w:tcPr>
            <w:tcW w:w="2404" w:type="pct"/>
            <w:vAlign w:val="center"/>
          </w:tcPr>
          <w:p w14:paraId="3613B088" w14:textId="77777777" w:rsidR="004D35D9" w:rsidRPr="00D53218" w:rsidRDefault="004D35D9" w:rsidP="00944B75">
            <w:pPr>
              <w:pStyle w:val="TableText"/>
              <w:keepNext/>
              <w:keepLines/>
              <w:ind w:left="162" w:hanging="90"/>
            </w:pPr>
            <w:r w:rsidRPr="003E7756">
              <w:rPr>
                <w:rFonts w:cs="Arial"/>
                <w:szCs w:val="18"/>
              </w:rPr>
              <w:t>Semi-structured program staff interview</w:t>
            </w:r>
            <w:r>
              <w:rPr>
                <w:rFonts w:cs="Arial"/>
                <w:szCs w:val="18"/>
              </w:rPr>
              <w:t>s (phone)</w:t>
            </w:r>
            <w:r w:rsidRPr="003E7756">
              <w:rPr>
                <w:rFonts w:cs="Arial"/>
                <w:szCs w:val="18"/>
              </w:rPr>
              <w:t xml:space="preserve"> </w:t>
            </w:r>
          </w:p>
        </w:tc>
        <w:tc>
          <w:tcPr>
            <w:tcW w:w="1010" w:type="pct"/>
            <w:vAlign w:val="center"/>
          </w:tcPr>
          <w:p w14:paraId="2C681BD0" w14:textId="77777777" w:rsidR="004D35D9" w:rsidRPr="00A62905" w:rsidRDefault="004D35D9" w:rsidP="00944B75">
            <w:pPr>
              <w:pStyle w:val="TableText"/>
              <w:keepNext/>
              <w:keepLines/>
              <w:jc w:val="center"/>
              <w:rPr>
                <w:iCs/>
              </w:rPr>
            </w:pPr>
            <w:r w:rsidRPr="00A62905">
              <w:rPr>
                <w:iCs/>
              </w:rPr>
              <w:t>18</w:t>
            </w:r>
          </w:p>
        </w:tc>
        <w:tc>
          <w:tcPr>
            <w:tcW w:w="1586" w:type="pct"/>
          </w:tcPr>
          <w:p w14:paraId="7390A90C" w14:textId="79DAB0E4" w:rsidR="004D35D9" w:rsidRPr="00A62905" w:rsidRDefault="004D35D9" w:rsidP="00944B75">
            <w:pPr>
              <w:pStyle w:val="TableText"/>
              <w:keepNext/>
              <w:keepLines/>
              <w:jc w:val="center"/>
              <w:rPr>
                <w:iCs/>
              </w:rPr>
            </w:pPr>
            <w:r>
              <w:rPr>
                <w:iCs/>
              </w:rPr>
              <w:t>1 month after program selection</w:t>
            </w:r>
          </w:p>
        </w:tc>
      </w:tr>
      <w:tr w:rsidR="004D35D9" w:rsidRPr="00730AB1" w14:paraId="64B8A81E" w14:textId="0FB22D38" w:rsidTr="00D61D6A">
        <w:trPr>
          <w:trHeight w:val="315"/>
        </w:trPr>
        <w:tc>
          <w:tcPr>
            <w:tcW w:w="2404" w:type="pct"/>
            <w:vAlign w:val="center"/>
          </w:tcPr>
          <w:p w14:paraId="5DE3CEDC" w14:textId="77777777" w:rsidR="004D35D9" w:rsidRPr="003E7756" w:rsidRDefault="004D35D9" w:rsidP="00944B75">
            <w:pPr>
              <w:pStyle w:val="TableText"/>
              <w:keepNext/>
              <w:keepLines/>
              <w:ind w:left="162" w:hanging="90"/>
              <w:rPr>
                <w:szCs w:val="18"/>
                <w:highlight w:val="yellow"/>
              </w:rPr>
            </w:pPr>
            <w:r w:rsidRPr="00456610">
              <w:t>Semi-structured program staff interviews</w:t>
            </w:r>
            <w:r>
              <w:t xml:space="preserve"> (in person)</w:t>
            </w:r>
          </w:p>
        </w:tc>
        <w:tc>
          <w:tcPr>
            <w:tcW w:w="1010" w:type="pct"/>
            <w:vAlign w:val="center"/>
          </w:tcPr>
          <w:p w14:paraId="0783C211" w14:textId="77777777" w:rsidR="004D35D9" w:rsidRPr="00A62905" w:rsidRDefault="004D35D9" w:rsidP="00944B75">
            <w:pPr>
              <w:pStyle w:val="TableText"/>
              <w:keepNext/>
              <w:keepLines/>
              <w:jc w:val="center"/>
            </w:pPr>
            <w:r w:rsidRPr="00A62905">
              <w:t>6</w:t>
            </w:r>
          </w:p>
        </w:tc>
        <w:tc>
          <w:tcPr>
            <w:tcW w:w="1586" w:type="pct"/>
          </w:tcPr>
          <w:p w14:paraId="417D7A8F" w14:textId="69E3CE59" w:rsidR="004D35D9" w:rsidRPr="00A62905" w:rsidRDefault="004D35D9" w:rsidP="00944B75">
            <w:pPr>
              <w:pStyle w:val="TableText"/>
              <w:keepNext/>
              <w:keepLines/>
              <w:jc w:val="center"/>
            </w:pPr>
            <w:r>
              <w:t>1 month after program selection</w:t>
            </w:r>
          </w:p>
        </w:tc>
      </w:tr>
      <w:tr w:rsidR="004D35D9" w:rsidRPr="00D9641E" w14:paraId="73B70469" w14:textId="05D3A927" w:rsidTr="00D61D6A">
        <w:trPr>
          <w:trHeight w:val="261"/>
        </w:trPr>
        <w:tc>
          <w:tcPr>
            <w:tcW w:w="2404" w:type="pct"/>
            <w:vAlign w:val="center"/>
          </w:tcPr>
          <w:p w14:paraId="1B166B9B" w14:textId="77777777" w:rsidR="004D35D9" w:rsidRPr="003E7756" w:rsidRDefault="004D35D9" w:rsidP="00944B75">
            <w:pPr>
              <w:pStyle w:val="TableText"/>
              <w:keepNext/>
              <w:keepLines/>
              <w:ind w:left="162" w:hanging="90"/>
              <w:rPr>
                <w:szCs w:val="18"/>
                <w:highlight w:val="yellow"/>
              </w:rPr>
            </w:pPr>
            <w:r w:rsidRPr="003E7756">
              <w:rPr>
                <w:rFonts w:cs="Arial"/>
                <w:szCs w:val="18"/>
              </w:rPr>
              <w:t>In-depth participant interview</w:t>
            </w:r>
            <w:r>
              <w:rPr>
                <w:rFonts w:cs="Arial"/>
                <w:szCs w:val="18"/>
              </w:rPr>
              <w:t>s (In person)</w:t>
            </w:r>
          </w:p>
        </w:tc>
        <w:tc>
          <w:tcPr>
            <w:tcW w:w="1010" w:type="pct"/>
            <w:vAlign w:val="center"/>
          </w:tcPr>
          <w:p w14:paraId="462AD194" w14:textId="77777777" w:rsidR="004D35D9" w:rsidRPr="00A62905" w:rsidRDefault="004D35D9" w:rsidP="00944B75">
            <w:pPr>
              <w:pStyle w:val="TableText"/>
              <w:keepNext/>
              <w:keepLines/>
              <w:jc w:val="center"/>
            </w:pPr>
            <w:r w:rsidRPr="00A62905">
              <w:t>6</w:t>
            </w:r>
          </w:p>
        </w:tc>
        <w:tc>
          <w:tcPr>
            <w:tcW w:w="1586" w:type="pct"/>
          </w:tcPr>
          <w:p w14:paraId="240CF18B" w14:textId="4A9FC4F4" w:rsidR="004D35D9" w:rsidRPr="00A62905" w:rsidRDefault="004D35D9" w:rsidP="00944B75">
            <w:pPr>
              <w:pStyle w:val="TableText"/>
              <w:keepNext/>
              <w:keepLines/>
              <w:jc w:val="center"/>
            </w:pPr>
            <w:r w:rsidRPr="004D35D9">
              <w:t>1 month after program selection</w:t>
            </w:r>
          </w:p>
        </w:tc>
      </w:tr>
      <w:tr w:rsidR="004D35D9" w:rsidRPr="00D9641E" w14:paraId="1F831549" w14:textId="1F9B3A10" w:rsidTr="00D61D6A">
        <w:trPr>
          <w:trHeight w:val="261"/>
        </w:trPr>
        <w:tc>
          <w:tcPr>
            <w:tcW w:w="2404" w:type="pct"/>
            <w:vAlign w:val="center"/>
          </w:tcPr>
          <w:p w14:paraId="4F3134B1" w14:textId="77777777" w:rsidR="004D35D9" w:rsidRPr="003E7756" w:rsidRDefault="004D35D9" w:rsidP="00944B75">
            <w:pPr>
              <w:pStyle w:val="TableText"/>
              <w:keepNext/>
              <w:keepLines/>
              <w:ind w:left="162" w:hanging="90"/>
              <w:rPr>
                <w:szCs w:val="18"/>
                <w:highlight w:val="yellow"/>
              </w:rPr>
            </w:pPr>
            <w:r w:rsidRPr="003E7756">
              <w:rPr>
                <w:rFonts w:cs="Arial"/>
                <w:szCs w:val="18"/>
              </w:rPr>
              <w:t>Case review</w:t>
            </w:r>
            <w:r>
              <w:rPr>
                <w:rFonts w:cs="Arial"/>
                <w:szCs w:val="18"/>
              </w:rPr>
              <w:t>s (in person)</w:t>
            </w:r>
          </w:p>
        </w:tc>
        <w:tc>
          <w:tcPr>
            <w:tcW w:w="1010" w:type="pct"/>
            <w:vAlign w:val="center"/>
          </w:tcPr>
          <w:p w14:paraId="2DBF5094" w14:textId="77777777" w:rsidR="004D35D9" w:rsidRPr="00A62905" w:rsidRDefault="004D35D9" w:rsidP="00944B75">
            <w:pPr>
              <w:pStyle w:val="TableText"/>
              <w:keepNext/>
              <w:keepLines/>
              <w:jc w:val="center"/>
            </w:pPr>
            <w:r w:rsidRPr="00A62905">
              <w:t>6</w:t>
            </w:r>
          </w:p>
        </w:tc>
        <w:tc>
          <w:tcPr>
            <w:tcW w:w="1586" w:type="pct"/>
          </w:tcPr>
          <w:p w14:paraId="210F461D" w14:textId="4987CD93" w:rsidR="004D35D9" w:rsidRPr="00A62905" w:rsidRDefault="004D35D9" w:rsidP="00944B75">
            <w:pPr>
              <w:pStyle w:val="TableText"/>
              <w:keepNext/>
              <w:keepLines/>
              <w:jc w:val="center"/>
            </w:pPr>
            <w:r w:rsidRPr="004D35D9">
              <w:t>1 month after program selection</w:t>
            </w:r>
          </w:p>
        </w:tc>
      </w:tr>
      <w:tr w:rsidR="004D35D9" w:rsidRPr="00D9641E" w14:paraId="30B11358" w14:textId="62019941" w:rsidTr="00D61D6A">
        <w:trPr>
          <w:trHeight w:val="261"/>
        </w:trPr>
        <w:tc>
          <w:tcPr>
            <w:tcW w:w="2404" w:type="pct"/>
            <w:vAlign w:val="center"/>
          </w:tcPr>
          <w:p w14:paraId="02D44AFE" w14:textId="77777777" w:rsidR="004D35D9" w:rsidRPr="003E7756" w:rsidRDefault="004D35D9" w:rsidP="00944B75">
            <w:pPr>
              <w:pStyle w:val="TableText"/>
              <w:keepNext/>
              <w:keepLines/>
              <w:ind w:left="162" w:hanging="90"/>
              <w:rPr>
                <w:rFonts w:cs="Arial"/>
                <w:szCs w:val="18"/>
              </w:rPr>
            </w:pPr>
            <w:r>
              <w:rPr>
                <w:rFonts w:cs="Arial"/>
                <w:szCs w:val="18"/>
              </w:rPr>
              <w:t>Observations (in person)</w:t>
            </w:r>
          </w:p>
        </w:tc>
        <w:tc>
          <w:tcPr>
            <w:tcW w:w="1010" w:type="pct"/>
            <w:vAlign w:val="center"/>
          </w:tcPr>
          <w:p w14:paraId="254DB1F7" w14:textId="77777777" w:rsidR="004D35D9" w:rsidRPr="00A62905" w:rsidRDefault="004D35D9" w:rsidP="00944B75">
            <w:pPr>
              <w:pStyle w:val="TableText"/>
              <w:keepNext/>
              <w:keepLines/>
              <w:jc w:val="center"/>
            </w:pPr>
            <w:r w:rsidRPr="00A62905">
              <w:t>6</w:t>
            </w:r>
          </w:p>
        </w:tc>
        <w:tc>
          <w:tcPr>
            <w:tcW w:w="1586" w:type="pct"/>
          </w:tcPr>
          <w:p w14:paraId="726140D4" w14:textId="53F2051F" w:rsidR="004D35D9" w:rsidRPr="00A62905" w:rsidRDefault="004D35D9" w:rsidP="00944B75">
            <w:pPr>
              <w:pStyle w:val="TableText"/>
              <w:keepNext/>
              <w:keepLines/>
              <w:jc w:val="center"/>
            </w:pPr>
            <w:r w:rsidRPr="004D35D9">
              <w:t>1 month after program selection</w:t>
            </w:r>
          </w:p>
        </w:tc>
      </w:tr>
      <w:tr w:rsidR="004D35D9" w:rsidRPr="00D9641E" w14:paraId="6142FE07" w14:textId="18010CA3" w:rsidTr="00D61D6A">
        <w:trPr>
          <w:trHeight w:val="261"/>
        </w:trPr>
        <w:tc>
          <w:tcPr>
            <w:tcW w:w="2404" w:type="pct"/>
            <w:vAlign w:val="center"/>
          </w:tcPr>
          <w:p w14:paraId="143FF3CF" w14:textId="77777777" w:rsidR="004D35D9" w:rsidRPr="005756B8" w:rsidRDefault="004D35D9" w:rsidP="00944B75">
            <w:pPr>
              <w:pStyle w:val="TableText"/>
              <w:keepNext/>
              <w:keepLines/>
              <w:rPr>
                <w:rFonts w:cs="Arial"/>
                <w:b/>
                <w:szCs w:val="18"/>
              </w:rPr>
            </w:pPr>
            <w:r w:rsidRPr="005756B8">
              <w:rPr>
                <w:rFonts w:cs="Arial"/>
                <w:b/>
                <w:szCs w:val="18"/>
              </w:rPr>
              <w:t>Reporting</w:t>
            </w:r>
          </w:p>
        </w:tc>
        <w:tc>
          <w:tcPr>
            <w:tcW w:w="1010" w:type="pct"/>
            <w:vAlign w:val="center"/>
          </w:tcPr>
          <w:p w14:paraId="747901B2" w14:textId="77777777" w:rsidR="004D35D9" w:rsidRPr="00A62905" w:rsidRDefault="004D35D9" w:rsidP="00944B75">
            <w:pPr>
              <w:pStyle w:val="TableText"/>
              <w:keepNext/>
              <w:keepLines/>
              <w:jc w:val="center"/>
            </w:pPr>
          </w:p>
        </w:tc>
        <w:tc>
          <w:tcPr>
            <w:tcW w:w="1586" w:type="pct"/>
          </w:tcPr>
          <w:p w14:paraId="7B4E9A5C" w14:textId="77777777" w:rsidR="004D35D9" w:rsidRPr="00A62905" w:rsidRDefault="004D35D9" w:rsidP="00944B75">
            <w:pPr>
              <w:pStyle w:val="TableText"/>
              <w:keepNext/>
              <w:keepLines/>
              <w:jc w:val="center"/>
            </w:pPr>
          </w:p>
        </w:tc>
      </w:tr>
      <w:tr w:rsidR="004D35D9" w:rsidRPr="00D9641E" w14:paraId="0B58C6CB" w14:textId="1184B0C3" w:rsidTr="00D61D6A">
        <w:trPr>
          <w:trHeight w:val="261"/>
        </w:trPr>
        <w:tc>
          <w:tcPr>
            <w:tcW w:w="2404" w:type="pct"/>
            <w:vAlign w:val="center"/>
          </w:tcPr>
          <w:p w14:paraId="62182FD4" w14:textId="77777777" w:rsidR="004D35D9" w:rsidRDefault="004D35D9" w:rsidP="00944B75">
            <w:pPr>
              <w:pStyle w:val="TableText"/>
              <w:keepNext/>
              <w:keepLines/>
              <w:ind w:firstLine="72"/>
              <w:rPr>
                <w:rFonts w:cs="Arial"/>
                <w:szCs w:val="18"/>
              </w:rPr>
            </w:pPr>
            <w:r>
              <w:rPr>
                <w:rFonts w:cs="Arial"/>
                <w:szCs w:val="18"/>
              </w:rPr>
              <w:t>Case studies</w:t>
            </w:r>
          </w:p>
        </w:tc>
        <w:tc>
          <w:tcPr>
            <w:tcW w:w="1010" w:type="pct"/>
            <w:vAlign w:val="center"/>
          </w:tcPr>
          <w:p w14:paraId="54EFB753" w14:textId="77777777" w:rsidR="004D35D9" w:rsidRPr="00A62905" w:rsidRDefault="004D35D9" w:rsidP="00944B75">
            <w:pPr>
              <w:pStyle w:val="TableText"/>
              <w:keepNext/>
              <w:keepLines/>
              <w:jc w:val="center"/>
            </w:pPr>
            <w:r w:rsidRPr="00A62905">
              <w:t>21</w:t>
            </w:r>
          </w:p>
        </w:tc>
        <w:tc>
          <w:tcPr>
            <w:tcW w:w="1586" w:type="pct"/>
          </w:tcPr>
          <w:p w14:paraId="2A7DEDB3" w14:textId="3789154E" w:rsidR="004D35D9" w:rsidRPr="00A62905" w:rsidRDefault="00D61D6A" w:rsidP="00944B75">
            <w:pPr>
              <w:pStyle w:val="TableText"/>
              <w:keepNext/>
              <w:keepLines/>
              <w:jc w:val="center"/>
            </w:pPr>
            <w:r>
              <w:t>3 or 6 months after data collection</w:t>
            </w:r>
          </w:p>
        </w:tc>
      </w:tr>
      <w:tr w:rsidR="004D35D9" w:rsidRPr="00D9641E" w14:paraId="7D51096D" w14:textId="3C14C318" w:rsidTr="00D61D6A">
        <w:trPr>
          <w:trHeight w:val="261"/>
        </w:trPr>
        <w:tc>
          <w:tcPr>
            <w:tcW w:w="2404" w:type="pct"/>
            <w:tcBorders>
              <w:bottom w:val="single" w:sz="4" w:space="0" w:color="auto"/>
            </w:tcBorders>
            <w:vAlign w:val="center"/>
          </w:tcPr>
          <w:p w14:paraId="67CF12D7" w14:textId="77777777" w:rsidR="004D35D9" w:rsidRDefault="004D35D9" w:rsidP="00944B75">
            <w:pPr>
              <w:pStyle w:val="TableText"/>
              <w:keepNext/>
              <w:keepLines/>
              <w:ind w:firstLine="72"/>
              <w:rPr>
                <w:rFonts w:cs="Arial"/>
                <w:szCs w:val="18"/>
              </w:rPr>
            </w:pPr>
            <w:r>
              <w:rPr>
                <w:rFonts w:cs="Arial"/>
                <w:szCs w:val="18"/>
              </w:rPr>
              <w:t>Final report</w:t>
            </w:r>
          </w:p>
        </w:tc>
        <w:tc>
          <w:tcPr>
            <w:tcW w:w="1010" w:type="pct"/>
            <w:tcBorders>
              <w:bottom w:val="single" w:sz="4" w:space="0" w:color="auto"/>
            </w:tcBorders>
            <w:vAlign w:val="center"/>
          </w:tcPr>
          <w:p w14:paraId="0E12ABAF" w14:textId="77777777" w:rsidR="004D35D9" w:rsidRPr="00A62905" w:rsidRDefault="004D35D9" w:rsidP="00944B75">
            <w:pPr>
              <w:pStyle w:val="TableText"/>
              <w:keepNext/>
              <w:keepLines/>
              <w:jc w:val="center"/>
            </w:pPr>
            <w:r w:rsidRPr="00A62905">
              <w:t>3</w:t>
            </w:r>
          </w:p>
        </w:tc>
        <w:tc>
          <w:tcPr>
            <w:tcW w:w="1586" w:type="pct"/>
            <w:tcBorders>
              <w:bottom w:val="single" w:sz="4" w:space="0" w:color="auto"/>
            </w:tcBorders>
          </w:tcPr>
          <w:p w14:paraId="038D4C1C" w14:textId="2103118D" w:rsidR="004D35D9" w:rsidRPr="00A62905" w:rsidRDefault="00D61D6A" w:rsidP="00944B75">
            <w:pPr>
              <w:pStyle w:val="TableText"/>
              <w:keepNext/>
              <w:keepLines/>
              <w:jc w:val="center"/>
            </w:pPr>
            <w:r>
              <w:t>6 months after data collection is complete</w:t>
            </w:r>
          </w:p>
        </w:tc>
      </w:tr>
    </w:tbl>
    <w:p w14:paraId="28E384EC" w14:textId="77777777" w:rsidR="00144282" w:rsidRDefault="00144282" w:rsidP="00144282">
      <w:pPr>
        <w:pStyle w:val="H3Alpha"/>
      </w:pPr>
    </w:p>
    <w:p w14:paraId="384953EB" w14:textId="77777777" w:rsidR="00144282" w:rsidRPr="00CB4358" w:rsidRDefault="00144282" w:rsidP="00CB4358">
      <w:pPr>
        <w:spacing w:after="0" w:line="240" w:lineRule="auto"/>
        <w:rPr>
          <w:rFonts w:cstheme="minorHAnsi"/>
        </w:rPr>
      </w:pPr>
    </w:p>
    <w:p w14:paraId="2F1B2639" w14:textId="0320905F" w:rsidR="00C73360" w:rsidRPr="004B5AEF" w:rsidRDefault="00B23277" w:rsidP="00CB1F9B">
      <w:pPr>
        <w:spacing w:after="120" w:line="240" w:lineRule="auto"/>
        <w:rPr>
          <w:rFonts w:cstheme="minorHAnsi"/>
        </w:rPr>
      </w:pPr>
      <w:r w:rsidRPr="004B5AEF">
        <w:rPr>
          <w:rFonts w:cstheme="minorHAnsi"/>
          <w:b/>
        </w:rPr>
        <w:t>A17</w:t>
      </w:r>
      <w:r w:rsidRPr="004B5AEF">
        <w:rPr>
          <w:rFonts w:cstheme="minorHAnsi"/>
        </w:rPr>
        <w:t>.</w:t>
      </w:r>
      <w:r w:rsidRPr="004B5AEF">
        <w:rPr>
          <w:rFonts w:cstheme="minorHAnsi"/>
        </w:rPr>
        <w:tab/>
      </w:r>
      <w:r w:rsidR="00C73360" w:rsidRPr="004B5AEF">
        <w:rPr>
          <w:rFonts w:cstheme="minorHAnsi"/>
          <w:b/>
        </w:rPr>
        <w:t>Exceptions</w:t>
      </w:r>
    </w:p>
    <w:p w14:paraId="1E574BF6" w14:textId="46F38EE4" w:rsidR="00083227" w:rsidRPr="004B5AEF" w:rsidRDefault="00CB1F9B" w:rsidP="00B13297">
      <w:pPr>
        <w:rPr>
          <w:rFonts w:cstheme="minorHAnsi"/>
        </w:rPr>
      </w:pPr>
      <w:r w:rsidRPr="004B5AEF">
        <w:rPr>
          <w:rFonts w:cstheme="minorHAnsi"/>
        </w:rPr>
        <w:t>No exceptions are necessary for this information collection.</w:t>
      </w:r>
      <w:r w:rsidRPr="004B5AEF">
        <w:rPr>
          <w:rFonts w:cstheme="minorHAnsi"/>
        </w:rPr>
        <w:tab/>
      </w:r>
    </w:p>
    <w:p w14:paraId="3249A322" w14:textId="77777777" w:rsidR="009C0B09" w:rsidRDefault="009C0B09" w:rsidP="00D61D6A">
      <w:pPr>
        <w:spacing w:after="120" w:line="240" w:lineRule="auto"/>
        <w:rPr>
          <w:rFonts w:cstheme="minorHAnsi"/>
          <w:b/>
        </w:rPr>
      </w:pPr>
      <w:r>
        <w:rPr>
          <w:rFonts w:cstheme="minorHAnsi"/>
          <w:b/>
        </w:rPr>
        <w:t>Attachments</w:t>
      </w:r>
    </w:p>
    <w:p w14:paraId="696F9060" w14:textId="3B250840" w:rsidR="00F513A8" w:rsidRPr="00F513A8" w:rsidRDefault="00F513A8" w:rsidP="00306028">
      <w:pPr>
        <w:spacing w:after="0" w:line="240" w:lineRule="auto"/>
        <w:rPr>
          <w:rFonts w:cstheme="minorHAnsi"/>
          <w:b/>
        </w:rPr>
      </w:pPr>
      <w:r w:rsidRPr="00F513A8">
        <w:rPr>
          <w:rFonts w:cstheme="minorHAnsi"/>
          <w:b/>
        </w:rPr>
        <w:t>Instruments</w:t>
      </w:r>
    </w:p>
    <w:p w14:paraId="054FEEF2" w14:textId="263C4660" w:rsidR="00F513A8" w:rsidRPr="00F513A8" w:rsidRDefault="0078330D" w:rsidP="00306028">
      <w:pPr>
        <w:spacing w:after="0" w:line="240" w:lineRule="auto"/>
        <w:rPr>
          <w:rFonts w:cstheme="minorHAnsi"/>
        </w:rPr>
      </w:pPr>
      <w:r>
        <w:rPr>
          <w:rFonts w:cstheme="minorHAnsi"/>
        </w:rPr>
        <w:t>Instrument 1: Semi-Structured P</w:t>
      </w:r>
      <w:r w:rsidR="00F513A8" w:rsidRPr="00F513A8">
        <w:rPr>
          <w:rFonts w:cstheme="minorHAnsi"/>
        </w:rPr>
        <w:t>rogram</w:t>
      </w:r>
      <w:r>
        <w:rPr>
          <w:rFonts w:cstheme="minorHAnsi"/>
        </w:rPr>
        <w:t xml:space="preserve"> Staff Interview G</w:t>
      </w:r>
      <w:r w:rsidR="00F513A8" w:rsidRPr="00F513A8">
        <w:rPr>
          <w:rFonts w:cstheme="minorHAnsi"/>
        </w:rPr>
        <w:t>uide</w:t>
      </w:r>
    </w:p>
    <w:p w14:paraId="7FCE1518" w14:textId="2B770213" w:rsidR="00F513A8" w:rsidRPr="00764645" w:rsidRDefault="00F513A8" w:rsidP="00306028">
      <w:pPr>
        <w:spacing w:after="0" w:line="240" w:lineRule="auto"/>
        <w:rPr>
          <w:rFonts w:cstheme="minorHAnsi"/>
        </w:rPr>
      </w:pPr>
      <w:r w:rsidRPr="004A7FCE">
        <w:rPr>
          <w:rFonts w:cstheme="minorHAnsi"/>
        </w:rPr>
        <w:t>Instrument 2:</w:t>
      </w:r>
      <w:r w:rsidR="0078330D">
        <w:rPr>
          <w:rFonts w:cstheme="minorHAnsi"/>
        </w:rPr>
        <w:t xml:space="preserve"> Case Review G</w:t>
      </w:r>
      <w:r w:rsidRPr="00764645">
        <w:rPr>
          <w:rFonts w:cstheme="minorHAnsi"/>
        </w:rPr>
        <w:t>uide</w:t>
      </w:r>
    </w:p>
    <w:p w14:paraId="0E595875" w14:textId="1102F991" w:rsidR="00F513A8" w:rsidRPr="00F513A8" w:rsidRDefault="0078330D" w:rsidP="00306028">
      <w:pPr>
        <w:spacing w:after="0" w:line="240" w:lineRule="auto"/>
        <w:rPr>
          <w:rFonts w:cstheme="minorHAnsi"/>
        </w:rPr>
      </w:pPr>
      <w:r>
        <w:rPr>
          <w:rFonts w:cstheme="minorHAnsi"/>
        </w:rPr>
        <w:t>Instrument 3: In-Depth Participant Interview G</w:t>
      </w:r>
      <w:r w:rsidR="00F513A8" w:rsidRPr="00764645">
        <w:rPr>
          <w:rFonts w:cstheme="minorHAnsi"/>
        </w:rPr>
        <w:t>uide</w:t>
      </w:r>
    </w:p>
    <w:p w14:paraId="1544A3E3" w14:textId="77777777" w:rsidR="00F513A8" w:rsidRPr="00F513A8" w:rsidRDefault="00F513A8" w:rsidP="00306028">
      <w:pPr>
        <w:spacing w:after="0" w:line="240" w:lineRule="auto"/>
        <w:rPr>
          <w:rFonts w:cstheme="minorHAnsi"/>
          <w:b/>
        </w:rPr>
      </w:pPr>
    </w:p>
    <w:p w14:paraId="503603E8" w14:textId="580ACF31" w:rsidR="00306028" w:rsidRPr="00F513A8" w:rsidRDefault="009C0B09" w:rsidP="00306028">
      <w:pPr>
        <w:spacing w:after="0" w:line="240" w:lineRule="auto"/>
        <w:rPr>
          <w:rFonts w:cstheme="minorHAnsi"/>
          <w:b/>
        </w:rPr>
      </w:pPr>
      <w:r>
        <w:rPr>
          <w:rFonts w:cstheme="minorHAnsi"/>
          <w:b/>
        </w:rPr>
        <w:t>Appendices</w:t>
      </w:r>
    </w:p>
    <w:p w14:paraId="2FF0F42C" w14:textId="31BB755A" w:rsidR="00BD3289" w:rsidRDefault="009C0B09" w:rsidP="00D61D6A">
      <w:pPr>
        <w:spacing w:after="0" w:line="240" w:lineRule="auto"/>
        <w:rPr>
          <w:rFonts w:cstheme="minorHAnsi"/>
        </w:rPr>
      </w:pPr>
      <w:r>
        <w:rPr>
          <w:rFonts w:cstheme="minorHAnsi"/>
        </w:rPr>
        <w:t xml:space="preserve">Appendix </w:t>
      </w:r>
      <w:r w:rsidR="0078330D">
        <w:rPr>
          <w:rFonts w:cstheme="minorHAnsi"/>
        </w:rPr>
        <w:t>1: Program Recruitment E</w:t>
      </w:r>
      <w:r w:rsidR="0084727F" w:rsidRPr="00F513A8">
        <w:rPr>
          <w:rFonts w:cstheme="minorHAnsi"/>
        </w:rPr>
        <w:t>mails</w:t>
      </w:r>
    </w:p>
    <w:p w14:paraId="6AF1C6A9" w14:textId="7F91BC68" w:rsidR="0084727F" w:rsidRPr="00F513A8" w:rsidRDefault="009C0B09" w:rsidP="00D61D6A">
      <w:pPr>
        <w:spacing w:after="0" w:line="240" w:lineRule="auto"/>
        <w:rPr>
          <w:rFonts w:cstheme="minorHAnsi"/>
        </w:rPr>
      </w:pPr>
      <w:r>
        <w:rPr>
          <w:rFonts w:cstheme="minorHAnsi"/>
        </w:rPr>
        <w:t>Appendix</w:t>
      </w:r>
      <w:r w:rsidR="0078330D">
        <w:rPr>
          <w:rFonts w:cstheme="minorHAnsi"/>
        </w:rPr>
        <w:t xml:space="preserve"> 2: Participant Recruitment E</w:t>
      </w:r>
      <w:r w:rsidR="0084727F" w:rsidRPr="00F513A8">
        <w:rPr>
          <w:rFonts w:cstheme="minorHAnsi"/>
        </w:rPr>
        <w:t>mails</w:t>
      </w:r>
    </w:p>
    <w:p w14:paraId="585F2DAA" w14:textId="14F5E343" w:rsidR="0084727F" w:rsidRPr="00F513A8" w:rsidRDefault="009C0B09" w:rsidP="00D61D6A">
      <w:pPr>
        <w:spacing w:after="0" w:line="240" w:lineRule="auto"/>
        <w:rPr>
          <w:rFonts w:cstheme="minorHAnsi"/>
        </w:rPr>
      </w:pPr>
      <w:r>
        <w:rPr>
          <w:rFonts w:cstheme="minorHAnsi"/>
        </w:rPr>
        <w:t>Appendix</w:t>
      </w:r>
      <w:r w:rsidR="0078330D">
        <w:rPr>
          <w:rFonts w:cstheme="minorHAnsi"/>
        </w:rPr>
        <w:t xml:space="preserve"> 3: Project D</w:t>
      </w:r>
      <w:r w:rsidR="0084727F" w:rsidRPr="00F513A8">
        <w:rPr>
          <w:rFonts w:cstheme="minorHAnsi"/>
        </w:rPr>
        <w:t>escription</w:t>
      </w:r>
    </w:p>
    <w:p w14:paraId="1A808071" w14:textId="381C3005" w:rsidR="008202B3" w:rsidRPr="00F513A8" w:rsidRDefault="009C0B09" w:rsidP="00D61D6A">
      <w:pPr>
        <w:spacing w:after="0" w:line="240" w:lineRule="auto"/>
        <w:rPr>
          <w:rFonts w:cstheme="minorHAnsi"/>
        </w:rPr>
      </w:pPr>
      <w:r>
        <w:rPr>
          <w:rFonts w:cstheme="minorHAnsi"/>
        </w:rPr>
        <w:t>Appendix</w:t>
      </w:r>
      <w:r w:rsidR="0084727F" w:rsidRPr="00F513A8">
        <w:rPr>
          <w:rFonts w:cstheme="minorHAnsi"/>
        </w:rPr>
        <w:t xml:space="preserve"> 4: Obs</w:t>
      </w:r>
      <w:r w:rsidR="0078330D">
        <w:rPr>
          <w:rFonts w:cstheme="minorHAnsi"/>
        </w:rPr>
        <w:t>ervation G</w:t>
      </w:r>
      <w:r w:rsidR="0084727F" w:rsidRPr="00F513A8">
        <w:rPr>
          <w:rFonts w:cstheme="minorHAnsi"/>
        </w:rPr>
        <w:t>uide</w:t>
      </w:r>
    </w:p>
    <w:p w14:paraId="3B739F7C" w14:textId="2C6B0FE0" w:rsidR="008202B3" w:rsidRDefault="009C0B09" w:rsidP="00D61D6A">
      <w:pPr>
        <w:spacing w:after="0" w:line="240" w:lineRule="auto"/>
        <w:rPr>
          <w:rFonts w:cstheme="minorHAnsi"/>
        </w:rPr>
      </w:pPr>
      <w:r>
        <w:rPr>
          <w:rFonts w:cstheme="minorHAnsi"/>
        </w:rPr>
        <w:t xml:space="preserve">Appendix </w:t>
      </w:r>
      <w:r w:rsidR="008202B3" w:rsidRPr="00F513A8">
        <w:rPr>
          <w:rFonts w:cstheme="minorHAnsi"/>
        </w:rPr>
        <w:t xml:space="preserve">5: 60 </w:t>
      </w:r>
      <w:r w:rsidR="007242EC" w:rsidRPr="00F513A8">
        <w:rPr>
          <w:rFonts w:cstheme="minorHAnsi"/>
        </w:rPr>
        <w:t>D</w:t>
      </w:r>
      <w:r w:rsidR="008202B3" w:rsidRPr="00F513A8">
        <w:rPr>
          <w:rFonts w:cstheme="minorHAnsi"/>
        </w:rPr>
        <w:t xml:space="preserve">ay </w:t>
      </w:r>
      <w:r w:rsidR="007242EC" w:rsidRPr="00F513A8">
        <w:rPr>
          <w:rFonts w:cstheme="minorHAnsi"/>
        </w:rPr>
        <w:t>Federal Register N</w:t>
      </w:r>
      <w:r w:rsidR="008202B3" w:rsidRPr="00F513A8">
        <w:rPr>
          <w:rFonts w:cstheme="minorHAnsi"/>
        </w:rPr>
        <w:t>otic</w:t>
      </w:r>
      <w:r w:rsidR="00460B77">
        <w:rPr>
          <w:rFonts w:cstheme="minorHAnsi"/>
        </w:rPr>
        <w:t>e</w:t>
      </w:r>
    </w:p>
    <w:p w14:paraId="3BFFEB25" w14:textId="7D22811B" w:rsidR="00460B77" w:rsidRDefault="00460B77" w:rsidP="0084727F">
      <w:pPr>
        <w:spacing w:line="240" w:lineRule="auto"/>
        <w:rPr>
          <w:rFonts w:cstheme="minorHAnsi"/>
        </w:rPr>
      </w:pPr>
    </w:p>
    <w:p w14:paraId="08BDA7B5" w14:textId="77777777" w:rsidR="00306028" w:rsidRPr="004B5AEF" w:rsidRDefault="00306028" w:rsidP="00460B77">
      <w:pPr>
        <w:rPr>
          <w:rFonts w:cstheme="minorHAnsi"/>
        </w:rPr>
      </w:pPr>
    </w:p>
    <w:sectPr w:rsidR="00306028" w:rsidRPr="004B5AEF" w:rsidSect="00C91C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41C15" w14:textId="77777777" w:rsidR="001F5ACB" w:rsidRDefault="001F5ACB" w:rsidP="0004063C">
      <w:pPr>
        <w:spacing w:after="0" w:line="240" w:lineRule="auto"/>
      </w:pPr>
      <w:r>
        <w:separator/>
      </w:r>
    </w:p>
  </w:endnote>
  <w:endnote w:type="continuationSeparator" w:id="0">
    <w:p w14:paraId="11E51437" w14:textId="77777777" w:rsidR="001F5ACB" w:rsidRDefault="001F5AC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7BFE640E" w:rsidR="00B65724" w:rsidRDefault="00B65724">
        <w:pPr>
          <w:pStyle w:val="Footer"/>
          <w:jc w:val="right"/>
        </w:pPr>
        <w:r>
          <w:fldChar w:fldCharType="begin"/>
        </w:r>
        <w:r>
          <w:instrText xml:space="preserve"> PAGE   \* MERGEFORMAT </w:instrText>
        </w:r>
        <w:r>
          <w:fldChar w:fldCharType="separate"/>
        </w:r>
        <w:r w:rsidR="00A66052">
          <w:rPr>
            <w:noProof/>
          </w:rPr>
          <w:t>1</w:t>
        </w:r>
        <w:r>
          <w:rPr>
            <w:noProof/>
          </w:rPr>
          <w:fldChar w:fldCharType="end"/>
        </w:r>
      </w:p>
    </w:sdtContent>
  </w:sdt>
  <w:p w14:paraId="04723F22" w14:textId="77777777" w:rsidR="00B65724" w:rsidRDefault="00B65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3B76E" w14:textId="77777777" w:rsidR="001F5ACB" w:rsidRDefault="001F5ACB" w:rsidP="0004063C">
      <w:pPr>
        <w:spacing w:after="0" w:line="240" w:lineRule="auto"/>
      </w:pPr>
      <w:r>
        <w:separator/>
      </w:r>
    </w:p>
  </w:footnote>
  <w:footnote w:type="continuationSeparator" w:id="0">
    <w:p w14:paraId="61396D15" w14:textId="77777777" w:rsidR="001F5ACB" w:rsidRDefault="001F5ACB" w:rsidP="0004063C">
      <w:pPr>
        <w:spacing w:after="0" w:line="240" w:lineRule="auto"/>
      </w:pPr>
      <w:r>
        <w:continuationSeparator/>
      </w:r>
    </w:p>
  </w:footnote>
  <w:footnote w:id="1">
    <w:p w14:paraId="4F110D3D" w14:textId="06A31467" w:rsidR="00B65724" w:rsidRPr="00D82755" w:rsidRDefault="00B65724"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24A" w14:textId="0F446145" w:rsidR="00B65724" w:rsidRPr="000D7D44" w:rsidRDefault="00B6572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B65724" w:rsidRDefault="00B6572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A459C"/>
    <w:multiLevelType w:val="hybridMultilevel"/>
    <w:tmpl w:val="F0DC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A35E8A"/>
    <w:multiLevelType w:val="hybridMultilevel"/>
    <w:tmpl w:val="5E1E1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CA6733A"/>
    <w:multiLevelType w:val="hybridMultilevel"/>
    <w:tmpl w:val="0DFE2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E09AA"/>
    <w:multiLevelType w:val="hybridMultilevel"/>
    <w:tmpl w:val="EF80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3AF4F32"/>
    <w:multiLevelType w:val="hybridMultilevel"/>
    <w:tmpl w:val="FA32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25411"/>
    <w:multiLevelType w:val="hybridMultilevel"/>
    <w:tmpl w:val="CFAE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12"/>
  </w:num>
  <w:num w:numId="7">
    <w:abstractNumId w:val="7"/>
  </w:num>
  <w:num w:numId="8">
    <w:abstractNumId w:val="8"/>
  </w:num>
  <w:num w:numId="9">
    <w:abstractNumId w:val="4"/>
  </w:num>
  <w:num w:numId="10">
    <w:abstractNumId w:val="9"/>
  </w:num>
  <w:num w:numId="11">
    <w:abstractNumId w:val="10"/>
  </w:num>
  <w:num w:numId="12">
    <w:abstractNumId w:val="6"/>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MA" w:vendorID="64" w:dllVersion="131078" w:nlCheck="1" w:checkStyle="0"/>
  <w:activeWritingStyle w:appName="MSWord" w:lang="en-US" w:vendorID="64" w:dllVersion="131078" w:nlCheck="1" w:checkStyle="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1255D"/>
    <w:rsid w:val="0001459F"/>
    <w:rsid w:val="00026192"/>
    <w:rsid w:val="00027E79"/>
    <w:rsid w:val="0004063C"/>
    <w:rsid w:val="0004247F"/>
    <w:rsid w:val="00060B30"/>
    <w:rsid w:val="00060C59"/>
    <w:rsid w:val="00062AFB"/>
    <w:rsid w:val="000655DD"/>
    <w:rsid w:val="00071F79"/>
    <w:rsid w:val="0007251B"/>
    <w:rsid w:val="000733A5"/>
    <w:rsid w:val="00082C5B"/>
    <w:rsid w:val="00083227"/>
    <w:rsid w:val="00086CBE"/>
    <w:rsid w:val="00087A90"/>
    <w:rsid w:val="00090812"/>
    <w:rsid w:val="000921F0"/>
    <w:rsid w:val="000A012A"/>
    <w:rsid w:val="000A41B8"/>
    <w:rsid w:val="000D26FD"/>
    <w:rsid w:val="000D4E9A"/>
    <w:rsid w:val="000D7D44"/>
    <w:rsid w:val="000F1E4A"/>
    <w:rsid w:val="00100D34"/>
    <w:rsid w:val="00103EFD"/>
    <w:rsid w:val="00107D87"/>
    <w:rsid w:val="00112404"/>
    <w:rsid w:val="0011591E"/>
    <w:rsid w:val="00117016"/>
    <w:rsid w:val="00117CA8"/>
    <w:rsid w:val="00120D22"/>
    <w:rsid w:val="001213F5"/>
    <w:rsid w:val="001253F4"/>
    <w:rsid w:val="00144282"/>
    <w:rsid w:val="00150FDF"/>
    <w:rsid w:val="00157482"/>
    <w:rsid w:val="001707D8"/>
    <w:rsid w:val="001837DB"/>
    <w:rsid w:val="00183B03"/>
    <w:rsid w:val="00191EAF"/>
    <w:rsid w:val="001A001B"/>
    <w:rsid w:val="001A38FD"/>
    <w:rsid w:val="001B0A76"/>
    <w:rsid w:val="001B6E1A"/>
    <w:rsid w:val="001C1FC1"/>
    <w:rsid w:val="001C4B7A"/>
    <w:rsid w:val="001D6850"/>
    <w:rsid w:val="001D7761"/>
    <w:rsid w:val="001F0446"/>
    <w:rsid w:val="001F57F5"/>
    <w:rsid w:val="001F5ACB"/>
    <w:rsid w:val="001F7319"/>
    <w:rsid w:val="0020401C"/>
    <w:rsid w:val="0020562E"/>
    <w:rsid w:val="0020629A"/>
    <w:rsid w:val="00206E11"/>
    <w:rsid w:val="00206FE3"/>
    <w:rsid w:val="00207554"/>
    <w:rsid w:val="00211261"/>
    <w:rsid w:val="00213A90"/>
    <w:rsid w:val="00222103"/>
    <w:rsid w:val="00224CC9"/>
    <w:rsid w:val="00230CAA"/>
    <w:rsid w:val="00244579"/>
    <w:rsid w:val="0025098D"/>
    <w:rsid w:val="00251327"/>
    <w:rsid w:val="002517BB"/>
    <w:rsid w:val="002560D7"/>
    <w:rsid w:val="00256E24"/>
    <w:rsid w:val="00265491"/>
    <w:rsid w:val="00276CE2"/>
    <w:rsid w:val="002772ED"/>
    <w:rsid w:val="002820F7"/>
    <w:rsid w:val="00285DCF"/>
    <w:rsid w:val="00287AF1"/>
    <w:rsid w:val="00292BFA"/>
    <w:rsid w:val="002A41C6"/>
    <w:rsid w:val="002B0376"/>
    <w:rsid w:val="002B29C2"/>
    <w:rsid w:val="002B2E17"/>
    <w:rsid w:val="002B5DBE"/>
    <w:rsid w:val="002B785B"/>
    <w:rsid w:val="002C3E6A"/>
    <w:rsid w:val="002E6CCF"/>
    <w:rsid w:val="002F33D0"/>
    <w:rsid w:val="00300722"/>
    <w:rsid w:val="0030316D"/>
    <w:rsid w:val="00306028"/>
    <w:rsid w:val="0033155D"/>
    <w:rsid w:val="00332B8A"/>
    <w:rsid w:val="003439AD"/>
    <w:rsid w:val="003664F6"/>
    <w:rsid w:val="00373D2F"/>
    <w:rsid w:val="0038003A"/>
    <w:rsid w:val="003A4180"/>
    <w:rsid w:val="003A7774"/>
    <w:rsid w:val="003C2D00"/>
    <w:rsid w:val="003C7358"/>
    <w:rsid w:val="003D570A"/>
    <w:rsid w:val="003E61F6"/>
    <w:rsid w:val="00401D0C"/>
    <w:rsid w:val="00407537"/>
    <w:rsid w:val="004165BD"/>
    <w:rsid w:val="00421535"/>
    <w:rsid w:val="0042220D"/>
    <w:rsid w:val="004328A4"/>
    <w:rsid w:val="0043377A"/>
    <w:rsid w:val="004379B6"/>
    <w:rsid w:val="0044428E"/>
    <w:rsid w:val="00444B53"/>
    <w:rsid w:val="00446465"/>
    <w:rsid w:val="0045061E"/>
    <w:rsid w:val="004507B3"/>
    <w:rsid w:val="00460B77"/>
    <w:rsid w:val="00460D54"/>
    <w:rsid w:val="00461D3E"/>
    <w:rsid w:val="004706CC"/>
    <w:rsid w:val="00475395"/>
    <w:rsid w:val="004A7FCE"/>
    <w:rsid w:val="004B4839"/>
    <w:rsid w:val="004B5AEF"/>
    <w:rsid w:val="004B75AC"/>
    <w:rsid w:val="004C2AC2"/>
    <w:rsid w:val="004C3644"/>
    <w:rsid w:val="004D12DD"/>
    <w:rsid w:val="004D35D9"/>
    <w:rsid w:val="004D4E15"/>
    <w:rsid w:val="004E5778"/>
    <w:rsid w:val="004E7ED8"/>
    <w:rsid w:val="0050376D"/>
    <w:rsid w:val="00504B37"/>
    <w:rsid w:val="00512C25"/>
    <w:rsid w:val="00527A78"/>
    <w:rsid w:val="005302CB"/>
    <w:rsid w:val="0054255A"/>
    <w:rsid w:val="0055434C"/>
    <w:rsid w:val="00561A00"/>
    <w:rsid w:val="00562456"/>
    <w:rsid w:val="00566466"/>
    <w:rsid w:val="00577243"/>
    <w:rsid w:val="00591283"/>
    <w:rsid w:val="00597E98"/>
    <w:rsid w:val="005A61CE"/>
    <w:rsid w:val="005A65A6"/>
    <w:rsid w:val="005A7E5A"/>
    <w:rsid w:val="005B1285"/>
    <w:rsid w:val="005B1410"/>
    <w:rsid w:val="005B5FCC"/>
    <w:rsid w:val="005C32D8"/>
    <w:rsid w:val="005C3B80"/>
    <w:rsid w:val="005D254D"/>
    <w:rsid w:val="005D4A40"/>
    <w:rsid w:val="005E3F36"/>
    <w:rsid w:val="005E493B"/>
    <w:rsid w:val="005F2951"/>
    <w:rsid w:val="00603078"/>
    <w:rsid w:val="00624DDC"/>
    <w:rsid w:val="006253B6"/>
    <w:rsid w:val="006257ED"/>
    <w:rsid w:val="0062686E"/>
    <w:rsid w:val="00630B30"/>
    <w:rsid w:val="00637031"/>
    <w:rsid w:val="00644839"/>
    <w:rsid w:val="00644E49"/>
    <w:rsid w:val="00651FF6"/>
    <w:rsid w:val="0065526B"/>
    <w:rsid w:val="0068303E"/>
    <w:rsid w:val="0068383E"/>
    <w:rsid w:val="006A2B00"/>
    <w:rsid w:val="006A4D02"/>
    <w:rsid w:val="006B1BF9"/>
    <w:rsid w:val="006B256D"/>
    <w:rsid w:val="006B31DA"/>
    <w:rsid w:val="006B53F1"/>
    <w:rsid w:val="006B6037"/>
    <w:rsid w:val="006C0E56"/>
    <w:rsid w:val="006E4F82"/>
    <w:rsid w:val="006F6044"/>
    <w:rsid w:val="00717BDC"/>
    <w:rsid w:val="00721395"/>
    <w:rsid w:val="007220E9"/>
    <w:rsid w:val="00723A28"/>
    <w:rsid w:val="007242EC"/>
    <w:rsid w:val="00736B62"/>
    <w:rsid w:val="0074168A"/>
    <w:rsid w:val="007457D8"/>
    <w:rsid w:val="00764645"/>
    <w:rsid w:val="00764C85"/>
    <w:rsid w:val="00776C2F"/>
    <w:rsid w:val="0078330D"/>
    <w:rsid w:val="00793E3E"/>
    <w:rsid w:val="00795F43"/>
    <w:rsid w:val="007A29C5"/>
    <w:rsid w:val="007B2A29"/>
    <w:rsid w:val="007C7B4B"/>
    <w:rsid w:val="007D0F6E"/>
    <w:rsid w:val="007F1A93"/>
    <w:rsid w:val="007F6681"/>
    <w:rsid w:val="008202B3"/>
    <w:rsid w:val="00823428"/>
    <w:rsid w:val="00834C54"/>
    <w:rsid w:val="008369BA"/>
    <w:rsid w:val="00840D32"/>
    <w:rsid w:val="00843933"/>
    <w:rsid w:val="0084727F"/>
    <w:rsid w:val="008502D9"/>
    <w:rsid w:val="00850F4C"/>
    <w:rsid w:val="00864C1F"/>
    <w:rsid w:val="008674D8"/>
    <w:rsid w:val="00870FA1"/>
    <w:rsid w:val="00875220"/>
    <w:rsid w:val="00891CD9"/>
    <w:rsid w:val="00892D2F"/>
    <w:rsid w:val="008A2C82"/>
    <w:rsid w:val="008B2BDA"/>
    <w:rsid w:val="008C7CA9"/>
    <w:rsid w:val="008E0239"/>
    <w:rsid w:val="008E4718"/>
    <w:rsid w:val="008F2446"/>
    <w:rsid w:val="008F3D13"/>
    <w:rsid w:val="00901040"/>
    <w:rsid w:val="00906F6A"/>
    <w:rsid w:val="00907EBF"/>
    <w:rsid w:val="009102D9"/>
    <w:rsid w:val="0091473D"/>
    <w:rsid w:val="00923F25"/>
    <w:rsid w:val="009364B1"/>
    <w:rsid w:val="00944B75"/>
    <w:rsid w:val="00963503"/>
    <w:rsid w:val="00965DBD"/>
    <w:rsid w:val="00966D8D"/>
    <w:rsid w:val="00971944"/>
    <w:rsid w:val="009800C2"/>
    <w:rsid w:val="009815C6"/>
    <w:rsid w:val="00985F71"/>
    <w:rsid w:val="00991F18"/>
    <w:rsid w:val="00996201"/>
    <w:rsid w:val="009968F5"/>
    <w:rsid w:val="009A2B19"/>
    <w:rsid w:val="009A39E1"/>
    <w:rsid w:val="009A3AD8"/>
    <w:rsid w:val="009A6EE8"/>
    <w:rsid w:val="009B0F58"/>
    <w:rsid w:val="009C0B09"/>
    <w:rsid w:val="009C3380"/>
    <w:rsid w:val="009E0C33"/>
    <w:rsid w:val="009E1F37"/>
    <w:rsid w:val="009E79F7"/>
    <w:rsid w:val="009E7E38"/>
    <w:rsid w:val="009F2575"/>
    <w:rsid w:val="009F265B"/>
    <w:rsid w:val="009F482C"/>
    <w:rsid w:val="009F68DB"/>
    <w:rsid w:val="00A0379C"/>
    <w:rsid w:val="00A03E3F"/>
    <w:rsid w:val="00A04FE7"/>
    <w:rsid w:val="00A06AEB"/>
    <w:rsid w:val="00A1108E"/>
    <w:rsid w:val="00A27CD0"/>
    <w:rsid w:val="00A362B6"/>
    <w:rsid w:val="00A37219"/>
    <w:rsid w:val="00A40621"/>
    <w:rsid w:val="00A426C7"/>
    <w:rsid w:val="00A51D99"/>
    <w:rsid w:val="00A53293"/>
    <w:rsid w:val="00A56368"/>
    <w:rsid w:val="00A56E09"/>
    <w:rsid w:val="00A66052"/>
    <w:rsid w:val="00A67DFF"/>
    <w:rsid w:val="00A71475"/>
    <w:rsid w:val="00A714DC"/>
    <w:rsid w:val="00A7179C"/>
    <w:rsid w:val="00A71D77"/>
    <w:rsid w:val="00A761CB"/>
    <w:rsid w:val="00A85701"/>
    <w:rsid w:val="00AD0344"/>
    <w:rsid w:val="00AD3261"/>
    <w:rsid w:val="00AD4355"/>
    <w:rsid w:val="00AE0A37"/>
    <w:rsid w:val="00AE3F5F"/>
    <w:rsid w:val="00AF5CDE"/>
    <w:rsid w:val="00B008AE"/>
    <w:rsid w:val="00B026D1"/>
    <w:rsid w:val="00B04785"/>
    <w:rsid w:val="00B13297"/>
    <w:rsid w:val="00B13DC4"/>
    <w:rsid w:val="00B17B7C"/>
    <w:rsid w:val="00B23277"/>
    <w:rsid w:val="00B245AD"/>
    <w:rsid w:val="00B37A61"/>
    <w:rsid w:val="00B4182B"/>
    <w:rsid w:val="00B55E54"/>
    <w:rsid w:val="00B56589"/>
    <w:rsid w:val="00B64D05"/>
    <w:rsid w:val="00B65724"/>
    <w:rsid w:val="00B66AAB"/>
    <w:rsid w:val="00B67CA7"/>
    <w:rsid w:val="00B70460"/>
    <w:rsid w:val="00B93328"/>
    <w:rsid w:val="00B9441B"/>
    <w:rsid w:val="00BB4BF8"/>
    <w:rsid w:val="00BC04F5"/>
    <w:rsid w:val="00BC2629"/>
    <w:rsid w:val="00BC4E82"/>
    <w:rsid w:val="00BD05FC"/>
    <w:rsid w:val="00BD3289"/>
    <w:rsid w:val="00BD702B"/>
    <w:rsid w:val="00BD7963"/>
    <w:rsid w:val="00BD7B78"/>
    <w:rsid w:val="00BE371B"/>
    <w:rsid w:val="00BE773B"/>
    <w:rsid w:val="00C05352"/>
    <w:rsid w:val="00C23CE8"/>
    <w:rsid w:val="00C24ED7"/>
    <w:rsid w:val="00C32404"/>
    <w:rsid w:val="00C53AEC"/>
    <w:rsid w:val="00C57FF2"/>
    <w:rsid w:val="00C7108D"/>
    <w:rsid w:val="00C7152E"/>
    <w:rsid w:val="00C73360"/>
    <w:rsid w:val="00C86CB2"/>
    <w:rsid w:val="00C91C71"/>
    <w:rsid w:val="00C92AA9"/>
    <w:rsid w:val="00C92D4F"/>
    <w:rsid w:val="00C95126"/>
    <w:rsid w:val="00CA72A5"/>
    <w:rsid w:val="00CB1F9B"/>
    <w:rsid w:val="00CB2F94"/>
    <w:rsid w:val="00CB4358"/>
    <w:rsid w:val="00CB57CE"/>
    <w:rsid w:val="00CC07BF"/>
    <w:rsid w:val="00CC3A0A"/>
    <w:rsid w:val="00CC4651"/>
    <w:rsid w:val="00CE018E"/>
    <w:rsid w:val="00CE7A4A"/>
    <w:rsid w:val="00CF1039"/>
    <w:rsid w:val="00CF315D"/>
    <w:rsid w:val="00D1343F"/>
    <w:rsid w:val="00D13AA8"/>
    <w:rsid w:val="00D239B5"/>
    <w:rsid w:val="00D26A77"/>
    <w:rsid w:val="00D30B6F"/>
    <w:rsid w:val="00D32B72"/>
    <w:rsid w:val="00D32E6D"/>
    <w:rsid w:val="00D3749C"/>
    <w:rsid w:val="00D4033C"/>
    <w:rsid w:val="00D44742"/>
    <w:rsid w:val="00D45504"/>
    <w:rsid w:val="00D5346A"/>
    <w:rsid w:val="00D54B5D"/>
    <w:rsid w:val="00D55767"/>
    <w:rsid w:val="00D6030E"/>
    <w:rsid w:val="00D61D6A"/>
    <w:rsid w:val="00D62B27"/>
    <w:rsid w:val="00D71BA0"/>
    <w:rsid w:val="00D749DF"/>
    <w:rsid w:val="00D82755"/>
    <w:rsid w:val="00D82E67"/>
    <w:rsid w:val="00D831AC"/>
    <w:rsid w:val="00D87B09"/>
    <w:rsid w:val="00D97926"/>
    <w:rsid w:val="00DA3557"/>
    <w:rsid w:val="00DA4701"/>
    <w:rsid w:val="00DB54A2"/>
    <w:rsid w:val="00DC1A06"/>
    <w:rsid w:val="00DC65F2"/>
    <w:rsid w:val="00DC7876"/>
    <w:rsid w:val="00DC7DD5"/>
    <w:rsid w:val="00DD6543"/>
    <w:rsid w:val="00DE3ED7"/>
    <w:rsid w:val="00DF1291"/>
    <w:rsid w:val="00DF1CC8"/>
    <w:rsid w:val="00E043A3"/>
    <w:rsid w:val="00E0616D"/>
    <w:rsid w:val="00E1392C"/>
    <w:rsid w:val="00E22AC6"/>
    <w:rsid w:val="00E24830"/>
    <w:rsid w:val="00E2696F"/>
    <w:rsid w:val="00E318A6"/>
    <w:rsid w:val="00E405E7"/>
    <w:rsid w:val="00E41C62"/>
    <w:rsid w:val="00E41EE9"/>
    <w:rsid w:val="00E44AB6"/>
    <w:rsid w:val="00E44C21"/>
    <w:rsid w:val="00E461D4"/>
    <w:rsid w:val="00E521B7"/>
    <w:rsid w:val="00E54F34"/>
    <w:rsid w:val="00E62285"/>
    <w:rsid w:val="00E62819"/>
    <w:rsid w:val="00E71E25"/>
    <w:rsid w:val="00E9045F"/>
    <w:rsid w:val="00EA052A"/>
    <w:rsid w:val="00EA0D4F"/>
    <w:rsid w:val="00EA2C75"/>
    <w:rsid w:val="00EA405B"/>
    <w:rsid w:val="00EB4C26"/>
    <w:rsid w:val="00EB6134"/>
    <w:rsid w:val="00EC1A6C"/>
    <w:rsid w:val="00EC282C"/>
    <w:rsid w:val="00EC46E1"/>
    <w:rsid w:val="00ED4059"/>
    <w:rsid w:val="00ED7509"/>
    <w:rsid w:val="00EE38AF"/>
    <w:rsid w:val="00EF254B"/>
    <w:rsid w:val="00EF4FF2"/>
    <w:rsid w:val="00F01B90"/>
    <w:rsid w:val="00F071DE"/>
    <w:rsid w:val="00F24267"/>
    <w:rsid w:val="00F42246"/>
    <w:rsid w:val="00F468DE"/>
    <w:rsid w:val="00F513A8"/>
    <w:rsid w:val="00F52471"/>
    <w:rsid w:val="00F56C3C"/>
    <w:rsid w:val="00F70D41"/>
    <w:rsid w:val="00F74630"/>
    <w:rsid w:val="00F842D3"/>
    <w:rsid w:val="00F87CA1"/>
    <w:rsid w:val="00F9122A"/>
    <w:rsid w:val="00FA6D2C"/>
    <w:rsid w:val="00FB1450"/>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1442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A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MPRBaseTable">
    <w:name w:val="MPR Base Table"/>
    <w:basedOn w:val="TableNormal"/>
    <w:uiPriority w:val="99"/>
    <w:rsid w:val="001D6850"/>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NormalSS">
    <w:name w:val="NormalSS"/>
    <w:basedOn w:val="Normal"/>
    <w:link w:val="NormalSSChar"/>
    <w:qFormat/>
    <w:rsid w:val="002C3E6A"/>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2C3E6A"/>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C92AA9"/>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C92AA9"/>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C92AA9"/>
    <w:rPr>
      <w:rFonts w:asciiTheme="majorHAnsi" w:eastAsiaTheme="majorEastAsia" w:hAnsiTheme="majorHAnsi" w:cstheme="majorBidi"/>
      <w:color w:val="243F60" w:themeColor="accent1" w:themeShade="7F"/>
      <w:sz w:val="24"/>
      <w:szCs w:val="24"/>
    </w:rPr>
  </w:style>
  <w:style w:type="paragraph" w:customStyle="1" w:styleId="TableHeaderCenter">
    <w:name w:val="Table Header Center"/>
    <w:basedOn w:val="TableHeaderLeft"/>
    <w:qFormat/>
    <w:rsid w:val="00144282"/>
    <w:pPr>
      <w:jc w:val="center"/>
    </w:pPr>
  </w:style>
  <w:style w:type="paragraph" w:customStyle="1" w:styleId="TableHeaderLeft">
    <w:name w:val="Table Header Left"/>
    <w:basedOn w:val="TableText"/>
    <w:next w:val="TableText"/>
    <w:qFormat/>
    <w:rsid w:val="00144282"/>
    <w:pPr>
      <w:spacing w:before="120" w:after="60"/>
    </w:pPr>
    <w:rPr>
      <w:b/>
      <w:color w:val="FFFFFF" w:themeColor="background1"/>
    </w:rPr>
  </w:style>
  <w:style w:type="paragraph" w:customStyle="1" w:styleId="TableText">
    <w:name w:val="Table Text"/>
    <w:basedOn w:val="Normal"/>
    <w:qFormat/>
    <w:rsid w:val="00144282"/>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qFormat/>
    <w:rsid w:val="00144282"/>
    <w:pPr>
      <w:keepNext/>
      <w:spacing w:after="60" w:line="240" w:lineRule="auto"/>
    </w:pPr>
    <w:rPr>
      <w:rFonts w:ascii="Arial Black" w:eastAsia="Times New Roman" w:hAnsi="Arial Black" w:cs="Times New Roman"/>
      <w:szCs w:val="20"/>
    </w:rPr>
  </w:style>
  <w:style w:type="table" w:styleId="LightList">
    <w:name w:val="Light List"/>
    <w:basedOn w:val="TableNormal"/>
    <w:uiPriority w:val="61"/>
    <w:rsid w:val="0014428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3Alpha">
    <w:name w:val="H3_Alpha"/>
    <w:basedOn w:val="Heading2"/>
    <w:next w:val="NormalSS"/>
    <w:link w:val="H3AlphaChar"/>
    <w:qFormat/>
    <w:rsid w:val="00144282"/>
    <w:pPr>
      <w:keepLines w:val="0"/>
      <w:tabs>
        <w:tab w:val="left" w:pos="432"/>
      </w:tabs>
      <w:spacing w:before="0" w:after="120" w:line="240" w:lineRule="auto"/>
      <w:ind w:left="432" w:hanging="432"/>
      <w:outlineLvl w:val="2"/>
    </w:pPr>
    <w:rPr>
      <w:rFonts w:ascii="Times New Roman" w:eastAsia="Times New Roman" w:hAnsi="Times New Roman" w:cs="Times New Roman"/>
      <w:b/>
      <w:sz w:val="24"/>
      <w:szCs w:val="24"/>
    </w:rPr>
  </w:style>
  <w:style w:type="character" w:customStyle="1" w:styleId="H3AlphaChar">
    <w:name w:val="H3_Alpha Char"/>
    <w:basedOn w:val="Heading2Char"/>
    <w:link w:val="H3Alpha"/>
    <w:rsid w:val="00144282"/>
    <w:rPr>
      <w:rFonts w:ascii="Times New Roman" w:eastAsia="Times New Roman" w:hAnsi="Times New Roman" w:cs="Times New Roman"/>
      <w:b/>
      <w:color w:val="365F91" w:themeColor="accent1" w:themeShade="BF"/>
      <w:sz w:val="24"/>
      <w:szCs w:val="24"/>
    </w:rPr>
  </w:style>
  <w:style w:type="table" w:customStyle="1" w:styleId="LightList1">
    <w:name w:val="Light List1"/>
    <w:basedOn w:val="TableNormal"/>
    <w:next w:val="LightList"/>
    <w:uiPriority w:val="61"/>
    <w:rsid w:val="0014428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semiHidden/>
    <w:rsid w:val="00144282"/>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1442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A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MPRBaseTable">
    <w:name w:val="MPR Base Table"/>
    <w:basedOn w:val="TableNormal"/>
    <w:uiPriority w:val="99"/>
    <w:rsid w:val="001D6850"/>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NormalSS">
    <w:name w:val="NormalSS"/>
    <w:basedOn w:val="Normal"/>
    <w:link w:val="NormalSSChar"/>
    <w:qFormat/>
    <w:rsid w:val="002C3E6A"/>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2C3E6A"/>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C92AA9"/>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C92AA9"/>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C92AA9"/>
    <w:rPr>
      <w:rFonts w:asciiTheme="majorHAnsi" w:eastAsiaTheme="majorEastAsia" w:hAnsiTheme="majorHAnsi" w:cstheme="majorBidi"/>
      <w:color w:val="243F60" w:themeColor="accent1" w:themeShade="7F"/>
      <w:sz w:val="24"/>
      <w:szCs w:val="24"/>
    </w:rPr>
  </w:style>
  <w:style w:type="paragraph" w:customStyle="1" w:styleId="TableHeaderCenter">
    <w:name w:val="Table Header Center"/>
    <w:basedOn w:val="TableHeaderLeft"/>
    <w:qFormat/>
    <w:rsid w:val="00144282"/>
    <w:pPr>
      <w:jc w:val="center"/>
    </w:pPr>
  </w:style>
  <w:style w:type="paragraph" w:customStyle="1" w:styleId="TableHeaderLeft">
    <w:name w:val="Table Header Left"/>
    <w:basedOn w:val="TableText"/>
    <w:next w:val="TableText"/>
    <w:qFormat/>
    <w:rsid w:val="00144282"/>
    <w:pPr>
      <w:spacing w:before="120" w:after="60"/>
    </w:pPr>
    <w:rPr>
      <w:b/>
      <w:color w:val="FFFFFF" w:themeColor="background1"/>
    </w:rPr>
  </w:style>
  <w:style w:type="paragraph" w:customStyle="1" w:styleId="TableText">
    <w:name w:val="Table Text"/>
    <w:basedOn w:val="Normal"/>
    <w:qFormat/>
    <w:rsid w:val="00144282"/>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qFormat/>
    <w:rsid w:val="00144282"/>
    <w:pPr>
      <w:keepNext/>
      <w:spacing w:after="60" w:line="240" w:lineRule="auto"/>
    </w:pPr>
    <w:rPr>
      <w:rFonts w:ascii="Arial Black" w:eastAsia="Times New Roman" w:hAnsi="Arial Black" w:cs="Times New Roman"/>
      <w:szCs w:val="20"/>
    </w:rPr>
  </w:style>
  <w:style w:type="table" w:styleId="LightList">
    <w:name w:val="Light List"/>
    <w:basedOn w:val="TableNormal"/>
    <w:uiPriority w:val="61"/>
    <w:rsid w:val="0014428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3Alpha">
    <w:name w:val="H3_Alpha"/>
    <w:basedOn w:val="Heading2"/>
    <w:next w:val="NormalSS"/>
    <w:link w:val="H3AlphaChar"/>
    <w:qFormat/>
    <w:rsid w:val="00144282"/>
    <w:pPr>
      <w:keepLines w:val="0"/>
      <w:tabs>
        <w:tab w:val="left" w:pos="432"/>
      </w:tabs>
      <w:spacing w:before="0" w:after="120" w:line="240" w:lineRule="auto"/>
      <w:ind w:left="432" w:hanging="432"/>
      <w:outlineLvl w:val="2"/>
    </w:pPr>
    <w:rPr>
      <w:rFonts w:ascii="Times New Roman" w:eastAsia="Times New Roman" w:hAnsi="Times New Roman" w:cs="Times New Roman"/>
      <w:b/>
      <w:sz w:val="24"/>
      <w:szCs w:val="24"/>
    </w:rPr>
  </w:style>
  <w:style w:type="character" w:customStyle="1" w:styleId="H3AlphaChar">
    <w:name w:val="H3_Alpha Char"/>
    <w:basedOn w:val="Heading2Char"/>
    <w:link w:val="H3Alpha"/>
    <w:rsid w:val="00144282"/>
    <w:rPr>
      <w:rFonts w:ascii="Times New Roman" w:eastAsia="Times New Roman" w:hAnsi="Times New Roman" w:cs="Times New Roman"/>
      <w:b/>
      <w:color w:val="365F91" w:themeColor="accent1" w:themeShade="BF"/>
      <w:sz w:val="24"/>
      <w:szCs w:val="24"/>
    </w:rPr>
  </w:style>
  <w:style w:type="table" w:customStyle="1" w:styleId="LightList1">
    <w:name w:val="Light List1"/>
    <w:basedOn w:val="TableNormal"/>
    <w:next w:val="LightList"/>
    <w:uiPriority w:val="61"/>
    <w:rsid w:val="0014428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semiHidden/>
    <w:rsid w:val="001442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CF8D5-2317-434A-BF6E-36A16BEF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2019-08-08T09:37:00Z</dcterms:created>
  <dcterms:modified xsi:type="dcterms:W3CDTF">2019-08-08T09:37:00Z</dcterms:modified>
</cp:coreProperties>
</file>