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6AE" w:rsidP="00043B68" w:rsidRDefault="008126AE" w14:paraId="10270119" w14:textId="77777777">
      <w:r>
        <w:t>Supporting Statement B</w:t>
      </w:r>
    </w:p>
    <w:p w:rsidR="008126AE" w:rsidP="008126AE" w:rsidRDefault="008126AE" w14:paraId="4361C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Pr="005045FE" w:rsidR="008126AE" w:rsidP="008126AE" w:rsidRDefault="004452EA" w14:paraId="189B6730" w14:textId="432EED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Co</w:t>
      </w:r>
      <w:r w:rsidR="00E77EAB">
        <w:rPr>
          <w:b/>
          <w:bCs/>
          <w:sz w:val="32"/>
          <w:szCs w:val="32"/>
        </w:rPr>
        <w:t>nsolidated Consumers’ Report</w:t>
      </w:r>
      <w:r>
        <w:rPr>
          <w:b/>
          <w:bCs/>
          <w:sz w:val="32"/>
          <w:szCs w:val="32"/>
        </w:rPr>
        <w:t xml:space="preserve"> (1 form: 9-4</w:t>
      </w:r>
      <w:r w:rsidR="00E77EAB">
        <w:rPr>
          <w:b/>
          <w:bCs/>
          <w:sz w:val="32"/>
          <w:szCs w:val="32"/>
        </w:rPr>
        <w:t>117</w:t>
      </w:r>
      <w:r>
        <w:rPr>
          <w:b/>
          <w:bCs/>
          <w:sz w:val="32"/>
          <w:szCs w:val="32"/>
        </w:rPr>
        <w:t>-</w:t>
      </w:r>
      <w:r w:rsidR="00E77EAB">
        <w:rPr>
          <w:b/>
          <w:bCs/>
          <w:sz w:val="32"/>
          <w:szCs w:val="32"/>
        </w:rPr>
        <w:t>M</w:t>
      </w:r>
      <w:r>
        <w:rPr>
          <w:b/>
          <w:bCs/>
          <w:sz w:val="32"/>
          <w:szCs w:val="32"/>
        </w:rPr>
        <w:t>A)</w:t>
      </w:r>
    </w:p>
    <w:p w:rsidR="008126AE" w:rsidP="008126AE" w:rsidRDefault="008126AE" w14:paraId="1CD252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Pr="008126AE" w:rsidR="008126AE" w:rsidP="008126AE" w:rsidRDefault="008126AE" w14:paraId="4BB53127" w14:textId="1B06FD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7B61E0">
        <w:rPr>
          <w:b/>
          <w:bCs/>
          <w:sz w:val="32"/>
          <w:szCs w:val="32"/>
        </w:rPr>
        <w:t>1028</w:t>
      </w:r>
      <w:r>
        <w:rPr>
          <w:b/>
          <w:bCs/>
          <w:sz w:val="32"/>
          <w:szCs w:val="32"/>
        </w:rPr>
        <w:t>-</w:t>
      </w:r>
      <w:r w:rsidR="002E083E">
        <w:rPr>
          <w:b/>
          <w:bCs/>
          <w:sz w:val="32"/>
          <w:szCs w:val="32"/>
        </w:rPr>
        <w:t>00</w:t>
      </w:r>
      <w:r w:rsidR="00E77EAB">
        <w:rPr>
          <w:b/>
          <w:bCs/>
          <w:sz w:val="32"/>
          <w:szCs w:val="32"/>
        </w:rPr>
        <w:t>70</w:t>
      </w:r>
    </w:p>
    <w:p w:rsidR="008126AE" w:rsidP="008126AE" w:rsidRDefault="008126AE" w14:paraId="012B87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7E049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106C24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rsidRDefault="008126AE" w14:paraId="1FC6F9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rsidRDefault="008126AE" w14:paraId="2F6DE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rsidRDefault="008126AE" w14:paraId="265A49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70B220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w:t>
      </w:r>
      <w:proofErr w:type="gramStart"/>
      <w:r w:rsidRPr="005C17DE">
        <w:rPr>
          <w:b/>
          <w:sz w:val="24"/>
          <w:szCs w:val="24"/>
        </w:rPr>
        <w:t>as a whole and</w:t>
      </w:r>
      <w:proofErr w:type="gramEnd"/>
      <w:r w:rsidRPr="005C17DE">
        <w:rPr>
          <w:b/>
          <w:sz w:val="24"/>
          <w:szCs w:val="24"/>
        </w:rPr>
        <w:t xml:space="preserve"> for each of the strata in the proposed sample.  Indicate expected response rates for the </w:t>
      </w:r>
      <w:proofErr w:type="gramStart"/>
      <w:r w:rsidRPr="005C17DE">
        <w:rPr>
          <w:b/>
          <w:sz w:val="24"/>
          <w:szCs w:val="24"/>
        </w:rPr>
        <w:t>collection as a whole</w:t>
      </w:r>
      <w:proofErr w:type="gramEnd"/>
      <w:r w:rsidRPr="005C17DE">
        <w:rPr>
          <w:b/>
          <w:sz w:val="24"/>
          <w:szCs w:val="24"/>
        </w:rPr>
        <w:t>.  If the collection had been conducted previously, include the actual response rate achieved during the last collection.</w:t>
      </w:r>
    </w:p>
    <w:p w:rsidR="008126AE" w:rsidP="008126AE" w:rsidRDefault="008126AE" w14:paraId="7C9EC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97496" w:rsidR="007727B5" w:rsidP="008126AE" w:rsidRDefault="007727B5" w14:paraId="2D2B6E88" w14:textId="198EF3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i/>
          <w:sz w:val="22"/>
          <w:szCs w:val="22"/>
        </w:rPr>
      </w:pPr>
      <w:r>
        <w:rPr>
          <w:rFonts w:ascii="Calibri" w:hAnsi="Calibri" w:cs="Calibri"/>
          <w:sz w:val="22"/>
          <w:szCs w:val="22"/>
        </w:rPr>
        <w:tab/>
        <w:t xml:space="preserve">The </w:t>
      </w:r>
      <w:r w:rsidR="00E87D11">
        <w:rPr>
          <w:rFonts w:ascii="Calibri" w:hAnsi="Calibri" w:cs="Calibri"/>
          <w:sz w:val="22"/>
          <w:szCs w:val="22"/>
        </w:rPr>
        <w:t xml:space="preserve">single canvass in this </w:t>
      </w:r>
      <w:r w:rsidR="00D76AD7">
        <w:rPr>
          <w:rFonts w:ascii="Calibri" w:hAnsi="Calibri" w:cs="Calibri"/>
          <w:sz w:val="22"/>
          <w:szCs w:val="22"/>
        </w:rPr>
        <w:t>Information Collection</w:t>
      </w:r>
      <w:r w:rsidR="00E87D11">
        <w:rPr>
          <w:rFonts w:ascii="Calibri" w:hAnsi="Calibri" w:cs="Calibri"/>
          <w:sz w:val="22"/>
          <w:szCs w:val="22"/>
        </w:rPr>
        <w:t xml:space="preserve"> is conducted as a complete census. No sampling is performed. The total universe is approximately</w:t>
      </w:r>
      <w:r w:rsidR="00807B0E">
        <w:rPr>
          <w:rFonts w:ascii="Calibri" w:hAnsi="Calibri" w:cs="Calibri"/>
          <w:sz w:val="22"/>
          <w:szCs w:val="22"/>
        </w:rPr>
        <w:t xml:space="preserve"> </w:t>
      </w:r>
      <w:r w:rsidR="004800C7">
        <w:rPr>
          <w:rFonts w:ascii="Calibri" w:hAnsi="Calibri" w:cs="Calibri"/>
          <w:sz w:val="22"/>
          <w:szCs w:val="22"/>
        </w:rPr>
        <w:t>2</w:t>
      </w:r>
      <w:r w:rsidR="00A45A3B">
        <w:rPr>
          <w:rFonts w:ascii="Calibri" w:hAnsi="Calibri" w:cs="Calibri"/>
          <w:sz w:val="22"/>
          <w:szCs w:val="22"/>
        </w:rPr>
        <w:t>41</w:t>
      </w:r>
      <w:r w:rsidR="00807B0E">
        <w:rPr>
          <w:rFonts w:ascii="Calibri" w:hAnsi="Calibri" w:cs="Calibri"/>
          <w:sz w:val="22"/>
          <w:szCs w:val="22"/>
        </w:rPr>
        <w:t xml:space="preserve"> respondents that are business or other for-profit institutions (Table 1 below)</w:t>
      </w:r>
      <w:r w:rsidR="00364D6C">
        <w:rPr>
          <w:rFonts w:ascii="Calibri" w:hAnsi="Calibri" w:cs="Calibri"/>
          <w:sz w:val="22"/>
          <w:szCs w:val="22"/>
        </w:rPr>
        <w:t>.</w:t>
      </w:r>
    </w:p>
    <w:p w:rsidRPr="002A2C12" w:rsidR="002D39E7" w:rsidP="008126AE" w:rsidRDefault="002D39E7" w14:paraId="2A4D7402" w14:textId="198194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23995" w:rsidP="00F23995" w:rsidRDefault="00F23995" w14:paraId="7868465E" w14:textId="54915070">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rsidR="004148CB" w:rsidP="008126AE" w:rsidRDefault="00925A9D" w14:paraId="5B2B49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p>
    <w:tbl>
      <w:tblPr>
        <w:tblW w:w="8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
        <w:gridCol w:w="1260"/>
        <w:gridCol w:w="1350"/>
        <w:gridCol w:w="1350"/>
        <w:gridCol w:w="1170"/>
        <w:gridCol w:w="1260"/>
        <w:gridCol w:w="1350"/>
      </w:tblGrid>
      <w:tr w:rsidRPr="00404750" w:rsidR="0085037C" w:rsidTr="00845558" w14:paraId="68AA7B10" w14:textId="77777777">
        <w:trPr>
          <w:trHeight w:val="368"/>
        </w:trPr>
        <w:tc>
          <w:tcPr>
            <w:tcW w:w="3060" w:type="dxa"/>
            <w:gridSpan w:val="3"/>
          </w:tcPr>
          <w:p w:rsidRPr="00404750" w:rsidR="0085037C" w:rsidP="00845558" w:rsidRDefault="0085037C" w14:paraId="51D85FE7" w14:textId="77777777">
            <w:pPr>
              <w:spacing w:line="276" w:lineRule="auto"/>
              <w:rPr>
                <w:rFonts w:ascii="Calibri" w:hAnsi="Calibri" w:cs="Calibri"/>
              </w:rPr>
            </w:pPr>
          </w:p>
        </w:tc>
        <w:tc>
          <w:tcPr>
            <w:tcW w:w="5130" w:type="dxa"/>
            <w:gridSpan w:val="4"/>
            <w:tcBorders>
              <w:left w:val="single" w:color="auto" w:sz="18" w:space="0"/>
              <w:right w:val="single" w:color="auto" w:sz="12" w:space="0"/>
            </w:tcBorders>
            <w:shd w:val="clear" w:color="auto" w:fill="D9D9D9"/>
            <w:vAlign w:val="center"/>
          </w:tcPr>
          <w:p w:rsidRPr="00404750" w:rsidR="0085037C" w:rsidP="00845558" w:rsidRDefault="009C376D" w14:paraId="74E3F7E8" w14:textId="5F308E0F">
            <w:pPr>
              <w:spacing w:line="276" w:lineRule="auto"/>
              <w:jc w:val="center"/>
              <w:rPr>
                <w:rFonts w:ascii="Calibri" w:hAnsi="Calibri" w:cs="Calibri"/>
                <w:b/>
              </w:rPr>
            </w:pPr>
            <w:r>
              <w:rPr>
                <w:rFonts w:ascii="Calibri" w:hAnsi="Calibri" w:cs="Calibri"/>
                <w:b/>
              </w:rPr>
              <w:t>PRIVATE</w:t>
            </w:r>
            <w:r w:rsidRPr="00404750" w:rsidR="0085037C">
              <w:rPr>
                <w:rFonts w:ascii="Calibri" w:hAnsi="Calibri" w:cs="Calibri"/>
                <w:b/>
              </w:rPr>
              <w:t xml:space="preserve"> SECTOR</w:t>
            </w:r>
          </w:p>
        </w:tc>
      </w:tr>
      <w:tr w:rsidRPr="00404750" w:rsidR="0085037C" w:rsidTr="00845558" w14:paraId="5DC7DAC3" w14:textId="77777777">
        <w:tc>
          <w:tcPr>
            <w:tcW w:w="450" w:type="dxa"/>
          </w:tcPr>
          <w:p w:rsidRPr="00404750" w:rsidR="0085037C" w:rsidP="00845558" w:rsidRDefault="0085037C" w14:paraId="6F3FF159" w14:textId="77777777">
            <w:pPr>
              <w:spacing w:line="276" w:lineRule="auto"/>
              <w:jc w:val="center"/>
              <w:rPr>
                <w:rFonts w:ascii="Calibri" w:hAnsi="Calibri" w:cs="Calibri"/>
                <w:b/>
              </w:rPr>
            </w:pPr>
          </w:p>
        </w:tc>
        <w:tc>
          <w:tcPr>
            <w:tcW w:w="1260" w:type="dxa"/>
            <w:shd w:val="clear" w:color="auto" w:fill="auto"/>
            <w:vAlign w:val="center"/>
          </w:tcPr>
          <w:p w:rsidRPr="00404750" w:rsidR="0085037C" w:rsidP="00845558" w:rsidRDefault="0085037C" w14:paraId="031AC9B0" w14:textId="77777777">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rsidRPr="00404750" w:rsidR="0085037C" w:rsidP="00845558" w:rsidRDefault="0085037C" w14:paraId="35B81D36" w14:textId="77777777">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color="auto" w:sz="18" w:space="0"/>
            </w:tcBorders>
            <w:shd w:val="clear" w:color="auto" w:fill="D9D9D9"/>
            <w:vAlign w:val="center"/>
          </w:tcPr>
          <w:p w:rsidRPr="00404750" w:rsidR="0085037C" w:rsidP="00845558" w:rsidRDefault="0085037C" w14:paraId="734563E7" w14:textId="77777777">
            <w:pPr>
              <w:spacing w:line="276" w:lineRule="auto"/>
              <w:jc w:val="center"/>
              <w:rPr>
                <w:rFonts w:ascii="Calibri" w:hAnsi="Calibri" w:cs="Calibri"/>
                <w:b/>
              </w:rPr>
            </w:pPr>
            <w:r w:rsidRPr="00404750">
              <w:rPr>
                <w:rFonts w:ascii="Calibri" w:hAnsi="Calibri" w:cs="Calibri"/>
                <w:b/>
              </w:rPr>
              <w:t>Number of</w:t>
            </w:r>
          </w:p>
          <w:p w:rsidRPr="00404750" w:rsidR="0085037C" w:rsidP="00845558" w:rsidRDefault="0085037C" w14:paraId="48168A1B" w14:textId="77777777">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color="auto" w:sz="8" w:space="0"/>
            </w:tcBorders>
            <w:shd w:val="clear" w:color="auto" w:fill="D9D9D9"/>
            <w:vAlign w:val="center"/>
          </w:tcPr>
          <w:p w:rsidRPr="00404750" w:rsidR="0085037C" w:rsidP="00845558" w:rsidRDefault="0085037C" w14:paraId="23BD0AF2" w14:textId="77777777">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color="auto" w:sz="8" w:space="0"/>
              <w:right w:val="single" w:color="auto" w:sz="12" w:space="0"/>
            </w:tcBorders>
            <w:shd w:val="clear" w:color="auto" w:fill="D9D9D9"/>
            <w:vAlign w:val="center"/>
          </w:tcPr>
          <w:p w:rsidRPr="00404750" w:rsidR="0085037C" w:rsidP="00845558" w:rsidRDefault="0085037C" w14:paraId="2659B74A" w14:textId="77777777">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color="auto" w:sz="8" w:space="0"/>
              <w:right w:val="single" w:color="auto" w:sz="12" w:space="0"/>
            </w:tcBorders>
            <w:shd w:val="clear" w:color="auto" w:fill="D9D9D9"/>
            <w:vAlign w:val="center"/>
          </w:tcPr>
          <w:p w:rsidRPr="00404750" w:rsidR="0085037C" w:rsidP="00845558" w:rsidRDefault="0085037C" w14:paraId="5AD94F66" w14:textId="77777777">
            <w:pPr>
              <w:spacing w:line="276" w:lineRule="auto"/>
              <w:jc w:val="center"/>
              <w:rPr>
                <w:rFonts w:ascii="Calibri" w:hAnsi="Calibri" w:cs="Calibri"/>
                <w:b/>
              </w:rPr>
            </w:pPr>
            <w:r w:rsidRPr="00404750">
              <w:rPr>
                <w:rFonts w:ascii="Calibri" w:hAnsi="Calibri" w:cs="Calibri"/>
                <w:b/>
              </w:rPr>
              <w:t>Burden Hours</w:t>
            </w:r>
          </w:p>
        </w:tc>
      </w:tr>
      <w:tr w:rsidRPr="00404750" w:rsidR="0085037C" w:rsidTr="00845558" w14:paraId="3AAB4432" w14:textId="77777777">
        <w:tc>
          <w:tcPr>
            <w:tcW w:w="450" w:type="dxa"/>
          </w:tcPr>
          <w:p w:rsidRPr="00404750" w:rsidR="0085037C" w:rsidP="00845558" w:rsidRDefault="0085037C" w14:paraId="57205B75" w14:textId="77777777">
            <w:pPr>
              <w:spacing w:line="276" w:lineRule="auto"/>
              <w:rPr>
                <w:rFonts w:ascii="Calibri" w:hAnsi="Calibri" w:cs="Calibri"/>
              </w:rPr>
            </w:pPr>
          </w:p>
        </w:tc>
        <w:tc>
          <w:tcPr>
            <w:tcW w:w="1260" w:type="dxa"/>
            <w:shd w:val="clear" w:color="auto" w:fill="auto"/>
            <w:vAlign w:val="center"/>
          </w:tcPr>
          <w:p w:rsidRPr="00404750" w:rsidR="0085037C" w:rsidP="00845558" w:rsidRDefault="0085037C" w14:paraId="0F617192" w14:textId="77777777">
            <w:pPr>
              <w:spacing w:line="276" w:lineRule="auto"/>
              <w:rPr>
                <w:rFonts w:ascii="Calibri" w:hAnsi="Calibri" w:cs="Calibri"/>
              </w:rPr>
            </w:pPr>
          </w:p>
        </w:tc>
        <w:tc>
          <w:tcPr>
            <w:tcW w:w="1350" w:type="dxa"/>
            <w:shd w:val="clear" w:color="auto" w:fill="auto"/>
            <w:vAlign w:val="center"/>
          </w:tcPr>
          <w:p w:rsidRPr="00404750" w:rsidR="0085037C" w:rsidP="00845558" w:rsidRDefault="0085037C" w14:paraId="284EAE41" w14:textId="77777777">
            <w:pPr>
              <w:spacing w:line="276" w:lineRule="auto"/>
              <w:rPr>
                <w:rFonts w:ascii="Calibri" w:hAnsi="Calibri" w:cs="Calibri"/>
              </w:rPr>
            </w:pPr>
          </w:p>
        </w:tc>
        <w:tc>
          <w:tcPr>
            <w:tcW w:w="1350" w:type="dxa"/>
            <w:tcBorders>
              <w:left w:val="single" w:color="auto" w:sz="18" w:space="0"/>
            </w:tcBorders>
            <w:shd w:val="clear" w:color="auto" w:fill="auto"/>
            <w:vAlign w:val="center"/>
          </w:tcPr>
          <w:p w:rsidRPr="00404750" w:rsidR="0085037C" w:rsidP="00845558" w:rsidRDefault="0085037C" w14:paraId="6D7FC0A3" w14:textId="77777777">
            <w:pPr>
              <w:spacing w:line="276" w:lineRule="auto"/>
              <w:rPr>
                <w:rFonts w:ascii="Calibri" w:hAnsi="Calibri" w:cs="Calibri"/>
              </w:rPr>
            </w:pPr>
          </w:p>
        </w:tc>
        <w:tc>
          <w:tcPr>
            <w:tcW w:w="1170" w:type="dxa"/>
            <w:tcBorders>
              <w:right w:val="single" w:color="auto" w:sz="8" w:space="0"/>
            </w:tcBorders>
            <w:shd w:val="clear" w:color="auto" w:fill="auto"/>
            <w:vAlign w:val="center"/>
          </w:tcPr>
          <w:p w:rsidRPr="00404750" w:rsidR="0085037C" w:rsidP="00845558" w:rsidRDefault="0085037C" w14:paraId="590E22ED" w14:textId="77777777">
            <w:pPr>
              <w:spacing w:line="276" w:lineRule="auto"/>
              <w:rPr>
                <w:rFonts w:ascii="Calibri" w:hAnsi="Calibri" w:cs="Calibri"/>
              </w:rPr>
            </w:pPr>
          </w:p>
        </w:tc>
        <w:tc>
          <w:tcPr>
            <w:tcW w:w="1260" w:type="dxa"/>
            <w:tcBorders>
              <w:left w:val="single" w:color="auto" w:sz="8" w:space="0"/>
              <w:right w:val="single" w:color="auto" w:sz="12" w:space="0"/>
            </w:tcBorders>
            <w:shd w:val="clear" w:color="auto" w:fill="auto"/>
            <w:vAlign w:val="center"/>
          </w:tcPr>
          <w:p w:rsidRPr="00404750" w:rsidR="0085037C" w:rsidP="00845558" w:rsidRDefault="0085037C" w14:paraId="0E5EC5BA" w14:textId="77777777">
            <w:pPr>
              <w:spacing w:line="276" w:lineRule="auto"/>
              <w:rPr>
                <w:rFonts w:ascii="Calibri" w:hAnsi="Calibri" w:cs="Calibri"/>
              </w:rPr>
            </w:pPr>
          </w:p>
        </w:tc>
        <w:tc>
          <w:tcPr>
            <w:tcW w:w="1350" w:type="dxa"/>
            <w:tcBorders>
              <w:left w:val="single" w:color="auto" w:sz="8" w:space="0"/>
              <w:right w:val="single" w:color="auto" w:sz="12" w:space="0"/>
            </w:tcBorders>
            <w:shd w:val="clear" w:color="auto" w:fill="auto"/>
            <w:vAlign w:val="center"/>
          </w:tcPr>
          <w:p w:rsidRPr="00404750" w:rsidR="0085037C" w:rsidP="00845558" w:rsidRDefault="0085037C" w14:paraId="64D42C10" w14:textId="77777777">
            <w:pPr>
              <w:spacing w:line="276" w:lineRule="auto"/>
              <w:rPr>
                <w:rFonts w:ascii="Calibri" w:hAnsi="Calibri" w:cs="Calibri"/>
              </w:rPr>
            </w:pPr>
          </w:p>
        </w:tc>
      </w:tr>
      <w:tr w:rsidRPr="00404750" w:rsidR="0085037C" w:rsidTr="00845558" w14:paraId="1D7D8568" w14:textId="77777777">
        <w:tc>
          <w:tcPr>
            <w:tcW w:w="450" w:type="dxa"/>
          </w:tcPr>
          <w:p w:rsidRPr="00404750" w:rsidR="0085037C" w:rsidP="00845558" w:rsidRDefault="00DC49F9" w14:paraId="5763F898" w14:textId="151B6F98">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rsidRPr="00404750" w:rsidR="0085037C" w:rsidP="00845558" w:rsidRDefault="00D67DEB" w14:paraId="3144D588" w14:textId="6199B34C">
            <w:pPr>
              <w:spacing w:line="276" w:lineRule="auto"/>
              <w:rPr>
                <w:rFonts w:ascii="Calibri" w:hAnsi="Calibri" w:cs="Calibri"/>
              </w:rPr>
            </w:pPr>
            <w:r>
              <w:rPr>
                <w:rFonts w:ascii="Calibri" w:hAnsi="Calibri" w:cs="Calibri"/>
              </w:rPr>
              <w:t>9-4</w:t>
            </w:r>
            <w:r w:rsidR="00DC49F9">
              <w:rPr>
                <w:rFonts w:ascii="Calibri" w:hAnsi="Calibri" w:cs="Calibri"/>
              </w:rPr>
              <w:t>117</w:t>
            </w:r>
            <w:r w:rsidR="0085037C">
              <w:rPr>
                <w:rFonts w:ascii="Calibri" w:hAnsi="Calibri" w:cs="Calibri"/>
              </w:rPr>
              <w:t>-</w:t>
            </w:r>
            <w:r w:rsidR="00DC49F9">
              <w:rPr>
                <w:rFonts w:ascii="Calibri" w:hAnsi="Calibri" w:cs="Calibri"/>
              </w:rPr>
              <w:t>M</w:t>
            </w:r>
            <w:r w:rsidR="0085037C">
              <w:rPr>
                <w:rFonts w:ascii="Calibri" w:hAnsi="Calibri" w:cs="Calibri"/>
              </w:rPr>
              <w:t>A</w:t>
            </w:r>
          </w:p>
        </w:tc>
        <w:tc>
          <w:tcPr>
            <w:tcW w:w="1350" w:type="dxa"/>
            <w:shd w:val="clear" w:color="auto" w:fill="auto"/>
            <w:vAlign w:val="center"/>
          </w:tcPr>
          <w:p w:rsidRPr="00404750" w:rsidR="0085037C" w:rsidP="00845558" w:rsidRDefault="00DC49F9" w14:paraId="38C094FA" w14:textId="249A0EAD">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Pr="00404750" w:rsidR="0085037C" w:rsidP="00845558" w:rsidRDefault="00DC49F9" w14:paraId="4F201B1A" w14:textId="7EE1BC9E">
            <w:pPr>
              <w:spacing w:line="276" w:lineRule="auto"/>
              <w:jc w:val="right"/>
              <w:rPr>
                <w:rFonts w:ascii="Calibri" w:hAnsi="Calibri" w:cs="Calibri"/>
              </w:rPr>
            </w:pPr>
            <w:r>
              <w:rPr>
                <w:rFonts w:ascii="Calibri" w:hAnsi="Calibri" w:cs="Calibri"/>
              </w:rPr>
              <w:t>94</w:t>
            </w:r>
          </w:p>
        </w:tc>
        <w:tc>
          <w:tcPr>
            <w:tcW w:w="1170" w:type="dxa"/>
            <w:tcBorders>
              <w:right w:val="single" w:color="auto" w:sz="8" w:space="0"/>
            </w:tcBorders>
            <w:shd w:val="clear" w:color="auto" w:fill="auto"/>
            <w:vAlign w:val="center"/>
          </w:tcPr>
          <w:p w:rsidRPr="00404750" w:rsidR="0085037C" w:rsidP="00845558" w:rsidRDefault="00DC49F9" w14:paraId="1DBC9DF2" w14:textId="053E8191">
            <w:pPr>
              <w:spacing w:line="276" w:lineRule="auto"/>
              <w:jc w:val="right"/>
              <w:rPr>
                <w:rFonts w:ascii="Calibri" w:hAnsi="Calibri" w:cs="Calibri"/>
              </w:rPr>
            </w:pPr>
            <w:r>
              <w:rPr>
                <w:rFonts w:ascii="Calibri" w:hAnsi="Calibri" w:cs="Calibri"/>
              </w:rPr>
              <w:t>1,128</w:t>
            </w:r>
          </w:p>
        </w:tc>
        <w:tc>
          <w:tcPr>
            <w:tcW w:w="1260" w:type="dxa"/>
            <w:tcBorders>
              <w:left w:val="single" w:color="auto" w:sz="8" w:space="0"/>
              <w:right w:val="single" w:color="auto" w:sz="12" w:space="0"/>
            </w:tcBorders>
            <w:shd w:val="clear" w:color="auto" w:fill="auto"/>
            <w:vAlign w:val="center"/>
          </w:tcPr>
          <w:p w:rsidRPr="00404750" w:rsidR="0085037C" w:rsidP="00845558" w:rsidRDefault="00DC49F9" w14:paraId="68041D29" w14:textId="13D19902">
            <w:pPr>
              <w:spacing w:line="276" w:lineRule="auto"/>
              <w:jc w:val="center"/>
              <w:rPr>
                <w:rFonts w:ascii="Calibri" w:hAnsi="Calibri" w:cs="Calibri"/>
              </w:rPr>
            </w:pPr>
            <w:r>
              <w:rPr>
                <w:rFonts w:ascii="Calibri" w:hAnsi="Calibri" w:cs="Calibri"/>
              </w:rPr>
              <w:t>4</w:t>
            </w:r>
            <w:r w:rsidR="00DE0807">
              <w:rPr>
                <w:rFonts w:ascii="Calibri" w:hAnsi="Calibri" w:cs="Calibri"/>
              </w:rPr>
              <w:t>5</w:t>
            </w:r>
            <w:r w:rsidR="0085037C">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Pr="00404750" w:rsidR="0085037C" w:rsidP="00845558" w:rsidRDefault="00DC49F9" w14:paraId="00DF9C58" w14:textId="450D416C">
            <w:pPr>
              <w:spacing w:line="276" w:lineRule="auto"/>
              <w:jc w:val="right"/>
              <w:rPr>
                <w:rFonts w:ascii="Calibri" w:hAnsi="Calibri" w:cs="Calibri"/>
              </w:rPr>
            </w:pPr>
            <w:r>
              <w:rPr>
                <w:rFonts w:ascii="Calibri" w:hAnsi="Calibri" w:cs="Calibri"/>
              </w:rPr>
              <w:t>846</w:t>
            </w:r>
          </w:p>
        </w:tc>
      </w:tr>
      <w:tr w:rsidRPr="00404750" w:rsidR="00910D3B" w:rsidTr="00845558" w14:paraId="45CF7ED8" w14:textId="77777777">
        <w:tc>
          <w:tcPr>
            <w:tcW w:w="450" w:type="dxa"/>
          </w:tcPr>
          <w:p w:rsidR="00910D3B" w:rsidP="00845558" w:rsidRDefault="00910D3B" w14:paraId="5E5ABC31" w14:textId="4441EC2D">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rsidR="00910D3B" w:rsidP="00845558" w:rsidRDefault="00910D3B" w14:paraId="59F295B1" w14:textId="0367AFAB">
            <w:pPr>
              <w:spacing w:line="276" w:lineRule="auto"/>
              <w:rPr>
                <w:rFonts w:ascii="Calibri" w:hAnsi="Calibri" w:cs="Calibri"/>
              </w:rPr>
            </w:pPr>
            <w:r>
              <w:rPr>
                <w:rFonts w:ascii="Calibri" w:hAnsi="Calibri" w:cs="Calibri"/>
              </w:rPr>
              <w:t>9-4117-MA</w:t>
            </w:r>
          </w:p>
        </w:tc>
        <w:tc>
          <w:tcPr>
            <w:tcW w:w="1350" w:type="dxa"/>
            <w:shd w:val="clear" w:color="auto" w:fill="auto"/>
            <w:vAlign w:val="center"/>
          </w:tcPr>
          <w:p w:rsidR="00910D3B" w:rsidP="00845558" w:rsidRDefault="00910D3B" w14:paraId="4A6584BC" w14:textId="574763DC">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910D3B" w:rsidP="00845558" w:rsidRDefault="00910D3B" w14:paraId="33A20D8B" w14:textId="020E14A6">
            <w:pPr>
              <w:spacing w:line="276" w:lineRule="auto"/>
              <w:jc w:val="right"/>
              <w:rPr>
                <w:rFonts w:ascii="Calibri" w:hAnsi="Calibri" w:cs="Calibri"/>
              </w:rPr>
            </w:pPr>
            <w:r>
              <w:rPr>
                <w:rFonts w:ascii="Calibri" w:hAnsi="Calibri" w:cs="Calibri"/>
              </w:rPr>
              <w:t>147</w:t>
            </w:r>
          </w:p>
        </w:tc>
        <w:tc>
          <w:tcPr>
            <w:tcW w:w="1170" w:type="dxa"/>
            <w:tcBorders>
              <w:right w:val="single" w:color="auto" w:sz="8" w:space="0"/>
            </w:tcBorders>
            <w:shd w:val="clear" w:color="auto" w:fill="auto"/>
            <w:vAlign w:val="center"/>
          </w:tcPr>
          <w:p w:rsidR="00910D3B" w:rsidP="00845558" w:rsidRDefault="00910D3B" w14:paraId="6AEE60E4" w14:textId="5211B922">
            <w:pPr>
              <w:spacing w:line="276" w:lineRule="auto"/>
              <w:jc w:val="right"/>
              <w:rPr>
                <w:rFonts w:ascii="Calibri" w:hAnsi="Calibri" w:cs="Calibri"/>
              </w:rPr>
            </w:pPr>
            <w:r>
              <w:rPr>
                <w:rFonts w:ascii="Calibri" w:hAnsi="Calibri" w:cs="Calibri"/>
              </w:rPr>
              <w:t>147</w:t>
            </w:r>
          </w:p>
        </w:tc>
        <w:tc>
          <w:tcPr>
            <w:tcW w:w="1260" w:type="dxa"/>
            <w:tcBorders>
              <w:left w:val="single" w:color="auto" w:sz="8" w:space="0"/>
              <w:right w:val="single" w:color="auto" w:sz="12" w:space="0"/>
            </w:tcBorders>
            <w:shd w:val="clear" w:color="auto" w:fill="auto"/>
            <w:vAlign w:val="center"/>
          </w:tcPr>
          <w:p w:rsidR="00910D3B" w:rsidP="00845558" w:rsidRDefault="00910D3B" w14:paraId="5607EB09" w14:textId="369267DF">
            <w:pPr>
              <w:spacing w:line="276" w:lineRule="auto"/>
              <w:jc w:val="center"/>
              <w:rPr>
                <w:rFonts w:ascii="Calibri" w:hAnsi="Calibri" w:cs="Calibri"/>
              </w:rPr>
            </w:pPr>
            <w:r>
              <w:rPr>
                <w:rFonts w:ascii="Calibri" w:hAnsi="Calibri" w:cs="Calibri"/>
              </w:rPr>
              <w:t>45 min</w:t>
            </w:r>
          </w:p>
        </w:tc>
        <w:tc>
          <w:tcPr>
            <w:tcW w:w="1350" w:type="dxa"/>
            <w:tcBorders>
              <w:left w:val="single" w:color="auto" w:sz="8" w:space="0"/>
              <w:right w:val="single" w:color="auto" w:sz="12" w:space="0"/>
            </w:tcBorders>
            <w:shd w:val="clear" w:color="auto" w:fill="auto"/>
            <w:vAlign w:val="center"/>
          </w:tcPr>
          <w:p w:rsidR="00910D3B" w:rsidP="00845558" w:rsidRDefault="00910D3B" w14:paraId="08D09ACE" w14:textId="0C041F02">
            <w:pPr>
              <w:spacing w:line="276" w:lineRule="auto"/>
              <w:jc w:val="right"/>
              <w:rPr>
                <w:rFonts w:ascii="Calibri" w:hAnsi="Calibri" w:cs="Calibri"/>
              </w:rPr>
            </w:pPr>
            <w:r>
              <w:rPr>
                <w:rFonts w:ascii="Calibri" w:hAnsi="Calibri" w:cs="Calibri"/>
              </w:rPr>
              <w:t>110</w:t>
            </w:r>
          </w:p>
        </w:tc>
      </w:tr>
      <w:tr w:rsidRPr="00A859BB" w:rsidR="0085037C" w:rsidTr="00845558" w14:paraId="463AB208" w14:textId="77777777">
        <w:tc>
          <w:tcPr>
            <w:tcW w:w="3060" w:type="dxa"/>
            <w:gridSpan w:val="3"/>
          </w:tcPr>
          <w:p w:rsidRPr="00A859BB" w:rsidR="0085037C" w:rsidP="00845558" w:rsidRDefault="0085037C" w14:paraId="53C86ED4" w14:textId="77777777">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color="auto" w:sz="18" w:space="0"/>
            </w:tcBorders>
            <w:shd w:val="clear" w:color="auto" w:fill="auto"/>
            <w:vAlign w:val="center"/>
          </w:tcPr>
          <w:p w:rsidRPr="00A859BB" w:rsidR="0085037C" w:rsidP="00845558" w:rsidRDefault="00910D3B" w14:paraId="4B5096CD" w14:textId="1C2A1724">
            <w:pPr>
              <w:spacing w:line="276" w:lineRule="auto"/>
              <w:jc w:val="right"/>
              <w:rPr>
                <w:rFonts w:ascii="Calibri" w:hAnsi="Calibri" w:cs="Calibri"/>
                <w:b/>
              </w:rPr>
            </w:pPr>
            <w:r>
              <w:rPr>
                <w:rFonts w:ascii="Calibri" w:hAnsi="Calibri" w:cs="Calibri"/>
                <w:b/>
              </w:rPr>
              <w:t>241</w:t>
            </w:r>
          </w:p>
        </w:tc>
        <w:tc>
          <w:tcPr>
            <w:tcW w:w="1170" w:type="dxa"/>
            <w:tcBorders>
              <w:right w:val="single" w:color="auto" w:sz="8" w:space="0"/>
            </w:tcBorders>
            <w:shd w:val="clear" w:color="auto" w:fill="auto"/>
            <w:vAlign w:val="center"/>
          </w:tcPr>
          <w:p w:rsidRPr="00A859BB" w:rsidR="0085037C" w:rsidP="00845558" w:rsidRDefault="00910D3B" w14:paraId="6DB623DE" w14:textId="52B783F7">
            <w:pPr>
              <w:spacing w:line="276" w:lineRule="auto"/>
              <w:jc w:val="right"/>
              <w:rPr>
                <w:rFonts w:ascii="Calibri" w:hAnsi="Calibri" w:cs="Calibri"/>
                <w:b/>
              </w:rPr>
            </w:pPr>
            <w:r>
              <w:rPr>
                <w:rFonts w:ascii="Calibri" w:hAnsi="Calibri" w:cs="Calibri"/>
                <w:b/>
              </w:rPr>
              <w:t>1,275</w:t>
            </w:r>
          </w:p>
        </w:tc>
        <w:tc>
          <w:tcPr>
            <w:tcW w:w="1260" w:type="dxa"/>
            <w:tcBorders>
              <w:left w:val="single" w:color="auto" w:sz="8" w:space="0"/>
              <w:right w:val="single" w:color="auto" w:sz="12" w:space="0"/>
            </w:tcBorders>
            <w:shd w:val="clear" w:color="auto" w:fill="D9D9D9"/>
            <w:vAlign w:val="center"/>
          </w:tcPr>
          <w:p w:rsidRPr="00A859BB" w:rsidR="0085037C" w:rsidP="00845558" w:rsidRDefault="0085037C" w14:paraId="7F8ADCFA" w14:textId="77777777">
            <w:pPr>
              <w:spacing w:line="276" w:lineRule="auto"/>
              <w:jc w:val="center"/>
              <w:rPr>
                <w:rFonts w:ascii="Calibri" w:hAnsi="Calibri" w:cs="Calibri"/>
              </w:rPr>
            </w:pPr>
          </w:p>
        </w:tc>
        <w:tc>
          <w:tcPr>
            <w:tcW w:w="1350" w:type="dxa"/>
            <w:tcBorders>
              <w:left w:val="single" w:color="auto" w:sz="8" w:space="0"/>
              <w:right w:val="single" w:color="auto" w:sz="12" w:space="0"/>
            </w:tcBorders>
            <w:shd w:val="clear" w:color="auto" w:fill="auto"/>
            <w:vAlign w:val="center"/>
          </w:tcPr>
          <w:p w:rsidRPr="00A859BB" w:rsidR="0085037C" w:rsidP="00845558" w:rsidRDefault="00910D3B" w14:paraId="0D4C613A" w14:textId="196C2965">
            <w:pPr>
              <w:spacing w:line="276" w:lineRule="auto"/>
              <w:jc w:val="right"/>
              <w:rPr>
                <w:rFonts w:ascii="Calibri" w:hAnsi="Calibri" w:cs="Calibri"/>
                <w:b/>
              </w:rPr>
            </w:pPr>
            <w:r>
              <w:rPr>
                <w:rFonts w:ascii="Calibri" w:hAnsi="Calibri" w:cs="Calibri"/>
                <w:b/>
              </w:rPr>
              <w:t>956</w:t>
            </w:r>
          </w:p>
        </w:tc>
      </w:tr>
    </w:tbl>
    <w:p w:rsidR="00845558" w:rsidP="00845558" w:rsidRDefault="00845558" w14:paraId="0F182B5F" w14:textId="77777777">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rsidR="00A57848" w:rsidP="008126AE" w:rsidRDefault="00A57848" w14:paraId="7307FF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DA2A6F" w:rsidR="003B792A" w:rsidP="008126AE" w:rsidRDefault="004148CB" w14:paraId="67E9C7B5" w14:textId="62F5AA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EE0030">
        <w:rPr>
          <w:rFonts w:ascii="Calibri" w:hAnsi="Calibri" w:cs="Calibri"/>
          <w:sz w:val="22"/>
          <w:szCs w:val="22"/>
        </w:rPr>
        <w:t xml:space="preserve">The 83% response rate for this collection </w:t>
      </w:r>
      <w:r w:rsidR="00DB0386">
        <w:rPr>
          <w:rFonts w:ascii="Calibri" w:hAnsi="Calibri" w:cs="Calibri"/>
          <w:sz w:val="22"/>
          <w:szCs w:val="22"/>
        </w:rPr>
        <w:t xml:space="preserve">over the past 3 years </w:t>
      </w:r>
      <w:r w:rsidR="00EE0030">
        <w:rPr>
          <w:rFonts w:ascii="Calibri" w:hAnsi="Calibri" w:cs="Calibri"/>
          <w:sz w:val="22"/>
          <w:szCs w:val="22"/>
        </w:rPr>
        <w:t xml:space="preserve">is expected to continue, based on the number of </w:t>
      </w:r>
      <w:r w:rsidR="00DB0386">
        <w:rPr>
          <w:rFonts w:ascii="Calibri" w:hAnsi="Calibri" w:cs="Calibri"/>
          <w:sz w:val="22"/>
          <w:szCs w:val="22"/>
        </w:rPr>
        <w:t>establishments that have traditionally responded to this request for information.</w:t>
      </w:r>
    </w:p>
    <w:p w:rsidR="00EA7257" w:rsidP="008126AE" w:rsidRDefault="00EA7257" w14:paraId="207909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5E7796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rsidRPr="005C17DE" w:rsidR="008126AE" w:rsidP="008126AE" w:rsidRDefault="008126AE" w14:paraId="2CE46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rsidRPr="005C17DE" w:rsidR="008126AE" w:rsidP="008126AE" w:rsidRDefault="008126AE" w14:paraId="522891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rsidRPr="005C17DE" w:rsidR="008126AE" w:rsidP="008126AE" w:rsidRDefault="008126AE" w14:paraId="796EC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lastRenderedPageBreak/>
        <w:tab/>
        <w:t>*</w:t>
      </w:r>
      <w:r w:rsidRPr="005C17DE">
        <w:rPr>
          <w:b/>
          <w:sz w:val="24"/>
          <w:szCs w:val="24"/>
        </w:rPr>
        <w:tab/>
        <w:t>Degree of accuracy needed for the purpose described in the justification,</w:t>
      </w:r>
    </w:p>
    <w:p w:rsidRPr="005C17DE" w:rsidR="008126AE" w:rsidP="008126AE" w:rsidRDefault="008126AE" w14:paraId="2A0645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rsidRPr="005C17DE" w:rsidR="008126AE" w:rsidP="008126AE" w:rsidRDefault="008126AE" w14:paraId="4D9E7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rsidR="00A76BEF" w:rsidP="008126AE" w:rsidRDefault="00A76BEF" w14:paraId="52AD6A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5C17DE" w:rsidP="0043772B" w:rsidRDefault="000516CD" w14:paraId="61DDE150" w14:textId="4AD850C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270C74">
        <w:rPr>
          <w:rFonts w:ascii="Calibri" w:hAnsi="Calibri" w:cs="Calibri"/>
          <w:sz w:val="22"/>
          <w:szCs w:val="22"/>
        </w:rPr>
        <w:t>T</w:t>
      </w:r>
      <w:r w:rsidR="00B358B9">
        <w:rPr>
          <w:rFonts w:ascii="Calibri" w:hAnsi="Calibri" w:cs="Calibri"/>
          <w:sz w:val="22"/>
          <w:szCs w:val="22"/>
        </w:rPr>
        <w:t>his canvass does not employ sampling techniques.</w:t>
      </w:r>
      <w:r w:rsidR="00953026">
        <w:rPr>
          <w:rFonts w:ascii="Calibri" w:hAnsi="Calibri" w:cs="Calibri"/>
          <w:sz w:val="22"/>
          <w:szCs w:val="22"/>
        </w:rPr>
        <w:t xml:space="preserve"> In some cases, individual establishments, by mutual agreement, have converted to reporting on an annual, rather than a monthly basis to reduce their burden. For those establishments, a monthly response is imputed from their annual response. Data are imputed for all </w:t>
      </w:r>
      <w:proofErr w:type="spellStart"/>
      <w:r w:rsidR="00953026">
        <w:rPr>
          <w:rFonts w:ascii="Calibri" w:hAnsi="Calibri" w:cs="Calibri"/>
          <w:sz w:val="22"/>
          <w:szCs w:val="22"/>
        </w:rPr>
        <w:t>nonrespondents</w:t>
      </w:r>
      <w:proofErr w:type="spellEnd"/>
      <w:r w:rsidR="00953026">
        <w:rPr>
          <w:rFonts w:ascii="Calibri" w:hAnsi="Calibri" w:cs="Calibri"/>
          <w:sz w:val="22"/>
          <w:szCs w:val="22"/>
        </w:rPr>
        <w:t xml:space="preserve">. </w:t>
      </w:r>
      <w:proofErr w:type="gramStart"/>
      <w:r w:rsidR="00953026">
        <w:rPr>
          <w:rFonts w:ascii="Calibri" w:hAnsi="Calibri" w:cs="Calibri"/>
          <w:sz w:val="22"/>
          <w:szCs w:val="22"/>
        </w:rPr>
        <w:t>The majority of</w:t>
      </w:r>
      <w:proofErr w:type="gramEnd"/>
      <w:r w:rsidR="00953026">
        <w:rPr>
          <w:rFonts w:ascii="Calibri" w:hAnsi="Calibri" w:cs="Calibri"/>
          <w:sz w:val="22"/>
          <w:szCs w:val="22"/>
        </w:rPr>
        <w:t xml:space="preserve"> published statistics are rounded to three significant digits. Estimation procedures for </w:t>
      </w:r>
      <w:proofErr w:type="spellStart"/>
      <w:r w:rsidR="00953026">
        <w:rPr>
          <w:rFonts w:ascii="Calibri" w:hAnsi="Calibri" w:cs="Calibri"/>
          <w:sz w:val="22"/>
          <w:szCs w:val="22"/>
        </w:rPr>
        <w:t>nonrespondents</w:t>
      </w:r>
      <w:proofErr w:type="spellEnd"/>
      <w:r w:rsidR="00953026">
        <w:rPr>
          <w:rFonts w:ascii="Calibri" w:hAnsi="Calibri" w:cs="Calibri"/>
          <w:sz w:val="22"/>
          <w:szCs w:val="22"/>
        </w:rPr>
        <w:t xml:space="preserve"> are described in item (3) below.</w:t>
      </w:r>
    </w:p>
    <w:p w:rsidR="005C17DE" w:rsidP="00A56FDC" w:rsidRDefault="005C17DE" w14:paraId="1819B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2D060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D47E1" w:rsidP="00F43944" w:rsidRDefault="002D47E1" w14:paraId="2606BE44" w14:textId="77777777">
      <w:pPr>
        <w:pStyle w:val="BodyTextIndent"/>
        <w:ind w:left="0"/>
        <w:rPr>
          <w:rFonts w:ascii="Calibri" w:hAnsi="Calibri" w:cs="Calibri"/>
          <w:sz w:val="22"/>
          <w:szCs w:val="22"/>
          <w:lang w:val="en-US"/>
        </w:rPr>
      </w:pPr>
    </w:p>
    <w:p w:rsidRPr="00BA1C80" w:rsidR="00427CE8" w:rsidP="002D47E1" w:rsidRDefault="00556A7A" w14:paraId="721E7C79" w14:textId="622F70B9">
      <w:pPr>
        <w:pStyle w:val="BodyTextIndent"/>
        <w:ind w:left="0" w:firstLine="360"/>
        <w:rPr>
          <w:rFonts w:ascii="Calibri" w:hAnsi="Calibri" w:cs="Calibri"/>
          <w:sz w:val="22"/>
          <w:szCs w:val="22"/>
          <w:lang w:val="en-US"/>
        </w:rPr>
      </w:pPr>
      <w:r>
        <w:rPr>
          <w:rFonts w:ascii="Calibri" w:hAnsi="Calibri" w:cs="Calibri"/>
          <w:sz w:val="22"/>
          <w:szCs w:val="22"/>
          <w:lang w:val="en-US"/>
        </w:rPr>
        <w:t xml:space="preserve">Mineral commodity specialists or statistical assistants call these monthly and annual </w:t>
      </w:r>
      <w:proofErr w:type="spellStart"/>
      <w:r>
        <w:rPr>
          <w:rFonts w:ascii="Calibri" w:hAnsi="Calibri" w:cs="Calibri"/>
          <w:sz w:val="22"/>
          <w:szCs w:val="22"/>
          <w:lang w:val="en-US"/>
        </w:rPr>
        <w:t>nonrespondents</w:t>
      </w:r>
      <w:proofErr w:type="spellEnd"/>
      <w:r>
        <w:rPr>
          <w:rFonts w:ascii="Calibri" w:hAnsi="Calibri" w:cs="Calibri"/>
          <w:sz w:val="22"/>
          <w:szCs w:val="22"/>
          <w:lang w:val="en-US"/>
        </w:rPr>
        <w:t xml:space="preserve"> or alternative company contacts on or before the data close-out date.</w:t>
      </w:r>
    </w:p>
    <w:p w:rsidR="00A816D9" w:rsidP="00A816D9" w:rsidRDefault="00A816D9" w14:paraId="169A2DA3" w14:textId="77777777">
      <w:pPr>
        <w:pStyle w:val="BodyTextIndent"/>
        <w:ind w:left="0"/>
        <w:rPr>
          <w:rFonts w:ascii="Calibri" w:hAnsi="Calibri" w:cs="Calibri"/>
          <w:sz w:val="22"/>
          <w:szCs w:val="22"/>
          <w:lang w:val="en-US"/>
        </w:rPr>
      </w:pPr>
      <w:r>
        <w:rPr>
          <w:rFonts w:ascii="Calibri" w:hAnsi="Calibri" w:cs="Calibri"/>
          <w:sz w:val="22"/>
          <w:szCs w:val="22"/>
          <w:u w:val="single"/>
          <w:lang w:val="en-US"/>
        </w:rPr>
        <w:t>Nonresponse</w:t>
      </w:r>
      <w:r>
        <w:rPr>
          <w:rFonts w:ascii="Calibri" w:hAnsi="Calibri" w:cs="Calibri"/>
          <w:sz w:val="22"/>
          <w:szCs w:val="22"/>
          <w:lang w:val="en-US"/>
        </w:rPr>
        <w:t>:</w:t>
      </w:r>
    </w:p>
    <w:p w:rsidR="004C2ABB" w:rsidP="00A816D9" w:rsidRDefault="00A816D9" w14:paraId="60E6E34E" w14:textId="12C699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BD2AA6">
        <w:rPr>
          <w:rFonts w:ascii="Calibri" w:hAnsi="Calibri" w:cs="Calibri"/>
          <w:sz w:val="22"/>
          <w:szCs w:val="22"/>
        </w:rPr>
        <w:t xml:space="preserve">Several sources of information are used to impute data for </w:t>
      </w:r>
      <w:proofErr w:type="spellStart"/>
      <w:r w:rsidR="00BD2AA6">
        <w:rPr>
          <w:rFonts w:ascii="Calibri" w:hAnsi="Calibri" w:cs="Calibri"/>
          <w:sz w:val="22"/>
          <w:szCs w:val="22"/>
        </w:rPr>
        <w:t>nonrespondents</w:t>
      </w:r>
      <w:proofErr w:type="spellEnd"/>
      <w:r w:rsidR="00BD2AA6">
        <w:rPr>
          <w:rFonts w:ascii="Calibri" w:hAnsi="Calibri" w:cs="Calibri"/>
          <w:sz w:val="22"/>
          <w:szCs w:val="22"/>
        </w:rPr>
        <w:t xml:space="preserve">. One important source of information is the data on the number of employees and employee hours than mining operations are required to submit to the </w:t>
      </w:r>
      <w:r w:rsidR="00BD2AA6">
        <w:rPr>
          <w:rFonts w:ascii="Calibri" w:hAnsi="Calibri" w:cs="Calibri"/>
          <w:b/>
          <w:sz w:val="22"/>
          <w:szCs w:val="22"/>
        </w:rPr>
        <w:t>Mine Safety and Health Administration</w:t>
      </w:r>
      <w:r w:rsidR="00BD2AA6">
        <w:rPr>
          <w:rFonts w:ascii="Calibri" w:hAnsi="Calibri" w:cs="Calibri"/>
          <w:sz w:val="22"/>
          <w:szCs w:val="22"/>
        </w:rPr>
        <w:t xml:space="preserve">. These employment data are closely related to consumption. Ratios of employee hours to consumption can be computed for companies that respond, and those ratios can be used to estimate consumption for </w:t>
      </w:r>
      <w:proofErr w:type="spellStart"/>
      <w:r w:rsidR="00BD2AA6">
        <w:rPr>
          <w:rFonts w:ascii="Calibri" w:hAnsi="Calibri" w:cs="Calibri"/>
          <w:sz w:val="22"/>
          <w:szCs w:val="22"/>
        </w:rPr>
        <w:t>nonrespondents</w:t>
      </w:r>
      <w:proofErr w:type="spellEnd"/>
      <w:r w:rsidR="00BD2AA6">
        <w:rPr>
          <w:rFonts w:ascii="Calibri" w:hAnsi="Calibri" w:cs="Calibri"/>
          <w:sz w:val="22"/>
          <w:szCs w:val="22"/>
        </w:rPr>
        <w:t>.</w:t>
      </w:r>
    </w:p>
    <w:p w:rsidR="00173958" w:rsidP="00A816D9" w:rsidRDefault="00173958" w14:paraId="67FB1318" w14:textId="261872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173958" w:rsidP="00A816D9" w:rsidRDefault="00173958" w14:paraId="12FC28E9" w14:textId="27C874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Forms 10-K or 10-Q filed with the </w:t>
      </w:r>
      <w:r>
        <w:rPr>
          <w:rFonts w:ascii="Calibri" w:hAnsi="Calibri" w:cs="Calibri"/>
          <w:b/>
          <w:sz w:val="22"/>
          <w:szCs w:val="22"/>
        </w:rPr>
        <w:t>Security and Exchange Commission</w:t>
      </w:r>
      <w:r>
        <w:rPr>
          <w:rFonts w:ascii="Calibri" w:hAnsi="Calibri" w:cs="Calibri"/>
          <w:sz w:val="22"/>
          <w:szCs w:val="22"/>
        </w:rPr>
        <w:t xml:space="preserve"> and company annual reports can also provide valuable sources of information. Publicly traded companies must file annual reports on Form 10-K (OMB Control Number 3225-0063) including comprehensive overviews of their business and financial conditions and audited financial statements. This form may also contain consumption and sales information. Publicly traded companies sometimes elect to send Form 10-K to shareholders in lieu of less detailed annual reports. Publicly traded companies must also</w:t>
      </w:r>
      <w:r w:rsidR="00050797">
        <w:rPr>
          <w:rFonts w:ascii="Calibri" w:hAnsi="Calibri" w:cs="Calibri"/>
          <w:sz w:val="22"/>
          <w:szCs w:val="22"/>
        </w:rPr>
        <w:t xml:space="preserve"> file Form 10-Q (OMB Control Number 3235-0070) quarterly.</w:t>
      </w:r>
    </w:p>
    <w:p w:rsidR="00DA016F" w:rsidP="00A816D9" w:rsidRDefault="00DA016F" w14:paraId="501A56DF" w14:textId="1D8377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173958" w:rsidR="00DA016F" w:rsidP="00A816D9" w:rsidRDefault="00DA016F" w14:paraId="577AFB33" w14:textId="0BA845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3A44C5">
        <w:rPr>
          <w:rFonts w:ascii="Calibri" w:hAnsi="Calibri" w:cs="Calibri"/>
          <w:sz w:val="22"/>
          <w:szCs w:val="22"/>
        </w:rPr>
        <w:t>The USGS also retrieves from company Web sites state-of-the-company annual shareholder reports containing financial data, results of continuing operations, market segment information, new product plans, subsidiary activities, and research and development activities on future programs.</w:t>
      </w:r>
    </w:p>
    <w:p w:rsidR="00AA2D92" w:rsidP="00A816D9" w:rsidRDefault="00AA2D92" w14:paraId="14AB1B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AA2D92" w:rsidP="00A816D9" w:rsidRDefault="00AA2D92" w14:paraId="03527F3E" w14:textId="6A1CB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USGS believes t</w:t>
      </w:r>
      <w:r w:rsidR="00ED636D">
        <w:rPr>
          <w:rFonts w:ascii="Calibri" w:hAnsi="Calibri" w:cs="Calibri"/>
          <w:sz w:val="22"/>
          <w:szCs w:val="22"/>
        </w:rPr>
        <w:t>hat there is no significant non</w:t>
      </w:r>
      <w:r>
        <w:rPr>
          <w:rFonts w:ascii="Calibri" w:hAnsi="Calibri" w:cs="Calibri"/>
          <w:sz w:val="22"/>
          <w:szCs w:val="22"/>
        </w:rPr>
        <w:t xml:space="preserve">response bias because of the suitable information on which to base imputations. This </w:t>
      </w:r>
      <w:r w:rsidR="00066A78">
        <w:rPr>
          <w:rFonts w:ascii="Calibri" w:hAnsi="Calibri" w:cs="Calibri"/>
          <w:sz w:val="22"/>
          <w:szCs w:val="22"/>
        </w:rPr>
        <w:t>I</w:t>
      </w:r>
      <w:r>
        <w:rPr>
          <w:rFonts w:ascii="Calibri" w:hAnsi="Calibri" w:cs="Calibri"/>
          <w:sz w:val="22"/>
          <w:szCs w:val="22"/>
        </w:rPr>
        <w:t>nformation Collection Request does not contain a canvass of opinion.</w:t>
      </w:r>
    </w:p>
    <w:p w:rsidR="00AA2D92" w:rsidP="00A816D9" w:rsidRDefault="00AA2D92" w14:paraId="0EE81F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33450A" w:rsidR="009D03A6" w:rsidP="00847056" w:rsidRDefault="00AA2D92" w14:paraId="2208AFEF" w14:textId="1C3B77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Industry acceptance of th</w:t>
      </w:r>
      <w:r w:rsidR="00847056">
        <w:rPr>
          <w:rFonts w:ascii="Calibri" w:hAnsi="Calibri" w:cs="Calibri"/>
          <w:sz w:val="22"/>
          <w:szCs w:val="22"/>
        </w:rPr>
        <w:t>is</w:t>
      </w:r>
      <w:r>
        <w:rPr>
          <w:rFonts w:ascii="Calibri" w:hAnsi="Calibri" w:cs="Calibri"/>
          <w:sz w:val="22"/>
          <w:szCs w:val="22"/>
        </w:rPr>
        <w:t xml:space="preserve"> canvass</w:t>
      </w:r>
      <w:r w:rsidR="007207F5">
        <w:rPr>
          <w:rFonts w:ascii="Calibri" w:hAnsi="Calibri" w:cs="Calibri"/>
          <w:sz w:val="22"/>
          <w:szCs w:val="22"/>
        </w:rPr>
        <w:t xml:space="preserve"> </w:t>
      </w:r>
      <w:r>
        <w:rPr>
          <w:rFonts w:ascii="Calibri" w:hAnsi="Calibri" w:cs="Calibri"/>
          <w:sz w:val="22"/>
          <w:szCs w:val="22"/>
        </w:rPr>
        <w:t>continue</w:t>
      </w:r>
      <w:r w:rsidR="007207F5">
        <w:rPr>
          <w:rFonts w:ascii="Calibri" w:hAnsi="Calibri" w:cs="Calibri"/>
          <w:sz w:val="22"/>
          <w:szCs w:val="22"/>
        </w:rPr>
        <w:t>s</w:t>
      </w:r>
      <w:r>
        <w:rPr>
          <w:rFonts w:ascii="Calibri" w:hAnsi="Calibri" w:cs="Calibri"/>
          <w:sz w:val="22"/>
          <w:szCs w:val="22"/>
        </w:rPr>
        <w:t xml:space="preserve"> to be extremely positive.</w:t>
      </w:r>
    </w:p>
    <w:p w:rsidR="00F43944" w:rsidP="00F43944" w:rsidRDefault="00F43944" w14:paraId="6BF347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6EFA14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 xml:space="preserve">Describe any tests of procedures or methods to be undertaken.  Testing is encouraged as an effective means of refining collections of information to minimize burden and </w:t>
      </w:r>
      <w:r w:rsidRPr="005C17DE">
        <w:rPr>
          <w:b/>
          <w:sz w:val="24"/>
          <w:szCs w:val="24"/>
        </w:rPr>
        <w:lastRenderedPageBreak/>
        <w:t>improve utility.  Tests must be approved if they call for answers to identical questions from 10 or more respondents.  A proposed test or set of tests may be submitted for approval separately or in combination with the main collection of information.</w:t>
      </w:r>
    </w:p>
    <w:p w:rsidR="008126AE" w:rsidP="008126AE" w:rsidRDefault="008126AE" w14:paraId="0AFE6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B3D49" w:rsidP="0015596C" w:rsidRDefault="00715B49" w14:paraId="1C255651" w14:textId="4FABFA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01646E">
        <w:rPr>
          <w:rFonts w:ascii="Calibri" w:hAnsi="Calibri" w:cs="Calibri"/>
          <w:sz w:val="22"/>
          <w:szCs w:val="22"/>
        </w:rPr>
        <w:t>Many of the USGS’ information customers are also businesses that respond to the single canvass in this information collection. USGS mineral commodity specialists are in frequent contact with companies by way of industry associations and conferences (</w:t>
      </w:r>
      <w:r w:rsidR="004D49EC">
        <w:rPr>
          <w:rFonts w:ascii="Calibri" w:hAnsi="Calibri" w:cs="Calibri"/>
          <w:sz w:val="22"/>
          <w:szCs w:val="22"/>
        </w:rPr>
        <w:t xml:space="preserve">for example, the International Tungsten Association, the Cobalt Development Institute, the International Chromium Development Association, the Tantalum-Niobium International Study Center, the International Molybdenum Association, and the International Titanium Association). The information exchanged with these industry associations and at conferences includes trade, consumption, and production statistics, as well as information on technology developments within the </w:t>
      </w:r>
      <w:proofErr w:type="gramStart"/>
      <w:r w:rsidR="004D49EC">
        <w:rPr>
          <w:rFonts w:ascii="Calibri" w:hAnsi="Calibri" w:cs="Calibri"/>
          <w:sz w:val="22"/>
          <w:szCs w:val="22"/>
        </w:rPr>
        <w:t>particular industry</w:t>
      </w:r>
      <w:proofErr w:type="gramEnd"/>
      <w:r w:rsidR="004D49EC">
        <w:rPr>
          <w:rFonts w:ascii="Calibri" w:hAnsi="Calibri" w:cs="Calibri"/>
          <w:sz w:val="22"/>
          <w:szCs w:val="22"/>
        </w:rPr>
        <w:t>.</w:t>
      </w:r>
    </w:p>
    <w:p w:rsidR="00313C41" w:rsidP="0015596C" w:rsidRDefault="00313C41" w14:paraId="13C7F03C" w14:textId="7857F6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15596C" w:rsidR="00313C41" w:rsidP="0015596C" w:rsidRDefault="00313C41" w14:paraId="61892826" w14:textId="4C6B49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Informal communications during periodic contacts with our customers allow us to determine if the published canvass data are meeting their needs. Any feedback concerning this information collection discussed during these communications or nonresponse follow-up telephone contacts is used as suggestions that might facilitate clarification or ease respondent burden.</w:t>
      </w:r>
      <w:r w:rsidR="00912E0B">
        <w:rPr>
          <w:rFonts w:ascii="Calibri" w:hAnsi="Calibri" w:cs="Calibri"/>
          <w:sz w:val="22"/>
          <w:szCs w:val="22"/>
        </w:rPr>
        <w:t xml:space="preserve"> Respondents are also encouraged to submit comments via a feedback link on the Web at </w:t>
      </w:r>
      <w:r w:rsidRPr="00EF0510" w:rsidR="00EF0510">
        <w:rPr>
          <w:rFonts w:ascii="Calibri" w:hAnsi="Calibri" w:cs="Calibri"/>
          <w:sz w:val="22"/>
          <w:szCs w:val="22"/>
        </w:rPr>
        <w:t>https://mids.er.usgs.gov/Feedback</w:t>
      </w:r>
      <w:r w:rsidR="00912E0B">
        <w:rPr>
          <w:rFonts w:ascii="Calibri" w:hAnsi="Calibri" w:cs="Calibri"/>
          <w:sz w:val="22"/>
          <w:szCs w:val="22"/>
        </w:rPr>
        <w:t>.</w:t>
      </w:r>
      <w:r w:rsidR="00EF0510">
        <w:rPr>
          <w:rFonts w:ascii="Calibri" w:hAnsi="Calibri" w:cs="Calibri"/>
          <w:sz w:val="22"/>
          <w:szCs w:val="22"/>
        </w:rPr>
        <w:t xml:space="preserve"> An annual letter is sent to our voluntary canvass respondents thanking them for their support and encouraging them to view our data products. At present, no formal tests are in progress that would require clearance.</w:t>
      </w:r>
    </w:p>
    <w:p w:rsidR="005C17DE" w:rsidP="008126AE" w:rsidRDefault="005C17DE" w14:paraId="5F6D2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EB3B45" w:rsidP="00A76BEF" w:rsidRDefault="008126AE" w14:paraId="79B5F1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Pr="005C17DE" w:rsidR="00DD29FE">
        <w:rPr>
          <w:b/>
          <w:sz w:val="24"/>
          <w:szCs w:val="24"/>
        </w:rPr>
        <w:t>s</w:t>
      </w:r>
      <w:r w:rsidRPr="005C17DE">
        <w:rPr>
          <w:b/>
          <w:sz w:val="24"/>
          <w:szCs w:val="24"/>
        </w:rPr>
        <w:t xml:space="preserve"> and telephone number</w:t>
      </w:r>
      <w:r w:rsidRPr="005C17DE" w:rsidR="00DD29FE">
        <w:rPr>
          <w:b/>
          <w:sz w:val="24"/>
          <w:szCs w:val="24"/>
        </w:rPr>
        <w:t>s</w:t>
      </w:r>
      <w:r w:rsidRPr="005C17DE">
        <w:rPr>
          <w:b/>
          <w:sz w:val="24"/>
          <w:szCs w:val="24"/>
        </w:rPr>
        <w:t xml:space="preserve"> of individuals consulted on statistical aspects of the design and the name of the agency unit, contractor(s), grantee(s), or other person(s) who will </w:t>
      </w:r>
      <w:proofErr w:type="gramStart"/>
      <w:r w:rsidRPr="005C17DE">
        <w:rPr>
          <w:b/>
          <w:sz w:val="24"/>
          <w:szCs w:val="24"/>
        </w:rPr>
        <w:t>actually collect</w:t>
      </w:r>
      <w:proofErr w:type="gramEnd"/>
      <w:r w:rsidRPr="005C17DE">
        <w:rPr>
          <w:b/>
          <w:sz w:val="24"/>
          <w:szCs w:val="24"/>
        </w:rPr>
        <w:t xml:space="preserve"> and/or analyze the information for the agency.</w:t>
      </w:r>
    </w:p>
    <w:p w:rsidR="00A76BEF" w:rsidP="00A76BEF" w:rsidRDefault="00A76BEF" w14:paraId="540B7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P="007E2921" w:rsidRDefault="004B63FE" w14:paraId="56D5E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 further information concerning this information collection, please contact:</w:t>
      </w:r>
    </w:p>
    <w:p w:rsidRPr="00664CD7" w:rsidR="00F9535B" w:rsidP="00F9535B" w:rsidRDefault="00F9535B" w14:paraId="662CA356"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Jeffrey</w:t>
      </w:r>
      <w:r w:rsidR="00664CD7">
        <w:rPr>
          <w:rFonts w:ascii="Calibri" w:hAnsi="Calibri" w:cs="Calibri"/>
          <w:sz w:val="22"/>
          <w:szCs w:val="22"/>
        </w:rPr>
        <w:t xml:space="preserve"> P. </w:t>
      </w:r>
      <w:proofErr w:type="spellStart"/>
      <w:r w:rsidR="00664CD7">
        <w:rPr>
          <w:rFonts w:ascii="Calibri" w:hAnsi="Calibri" w:cs="Calibri"/>
          <w:sz w:val="22"/>
          <w:szCs w:val="22"/>
        </w:rPr>
        <w:t>Busse</w:t>
      </w:r>
      <w:proofErr w:type="spellEnd"/>
      <w:r w:rsidR="00664CD7">
        <w:rPr>
          <w:rFonts w:ascii="Calibri" w:hAnsi="Calibri" w:cs="Calibri"/>
          <w:sz w:val="22"/>
          <w:szCs w:val="22"/>
        </w:rPr>
        <w:t xml:space="preserve">, Statistician, 703-648-4914, </w:t>
      </w:r>
      <w:r w:rsidRPr="00664CD7" w:rsidR="00664CD7">
        <w:rPr>
          <w:rFonts w:ascii="Calibri" w:hAnsi="Calibri" w:cs="Calibri"/>
          <w:sz w:val="22"/>
          <w:szCs w:val="22"/>
        </w:rPr>
        <w:t>jbusse@usgs.gov</w:t>
      </w:r>
      <w:r w:rsidR="00664CD7">
        <w:rPr>
          <w:rFonts w:ascii="Calibri" w:hAnsi="Calibri" w:cs="Calibri"/>
          <w:sz w:val="22"/>
          <w:szCs w:val="22"/>
        </w:rPr>
        <w:t>,</w:t>
      </w:r>
    </w:p>
    <w:p w:rsidRPr="000527D4" w:rsidR="00F25E1E" w:rsidP="00D60387" w:rsidRDefault="000527D4" w14:paraId="2AD2DF1A" w14:textId="58984EE3">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 xml:space="preserve">Elizabeth S. </w:t>
      </w:r>
      <w:proofErr w:type="spellStart"/>
      <w:r>
        <w:rPr>
          <w:rFonts w:ascii="Calibri" w:hAnsi="Calibri" w:cs="Calibri"/>
          <w:sz w:val="22"/>
          <w:szCs w:val="22"/>
        </w:rPr>
        <w:t>Sangine</w:t>
      </w:r>
      <w:bookmarkStart w:name="_GoBack" w:id="0"/>
      <w:bookmarkEnd w:id="0"/>
      <w:proofErr w:type="spellEnd"/>
      <w:r>
        <w:rPr>
          <w:rFonts w:ascii="Calibri" w:hAnsi="Calibri" w:cs="Calibri"/>
          <w:sz w:val="22"/>
          <w:szCs w:val="22"/>
        </w:rPr>
        <w:t xml:space="preserve">, Chief, Mineral Commodities Section, 703-648-7720, </w:t>
      </w:r>
      <w:r w:rsidRPr="00824082" w:rsidR="00D60387">
        <w:rPr>
          <w:rFonts w:ascii="Calibri" w:hAnsi="Calibri" w:cs="Calibri"/>
          <w:sz w:val="22"/>
          <w:szCs w:val="22"/>
        </w:rPr>
        <w:t>escottsangine@usgs.gov</w:t>
      </w:r>
      <w:r>
        <w:rPr>
          <w:rFonts w:ascii="Calibri" w:hAnsi="Calibri" w:cs="Calibri"/>
          <w:sz w:val="22"/>
          <w:szCs w:val="22"/>
        </w:rPr>
        <w:t>,</w:t>
      </w:r>
    </w:p>
    <w:p w:rsidR="000527D4" w:rsidP="00F4579A" w:rsidRDefault="003610A9" w14:paraId="11394B8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cs="Calibri"/>
          <w:sz w:val="22"/>
          <w:szCs w:val="22"/>
        </w:rPr>
      </w:pPr>
      <w:r>
        <w:rPr>
          <w:rFonts w:ascii="Calibri" w:hAnsi="Calibri" w:cs="Calibri"/>
          <w:sz w:val="22"/>
          <w:szCs w:val="22"/>
        </w:rPr>
        <w:t>o</w:t>
      </w:r>
      <w:r w:rsidR="000527D4">
        <w:rPr>
          <w:rFonts w:ascii="Calibri" w:hAnsi="Calibri" w:cs="Calibri"/>
          <w:sz w:val="22"/>
          <w:szCs w:val="22"/>
        </w:rPr>
        <w:t>r</w:t>
      </w:r>
    </w:p>
    <w:p w:rsidR="00D60387" w:rsidP="00D60387" w:rsidRDefault="00D60387" w14:paraId="1F2A45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Shonta Osborne, Chief, Data Collection and Analysis Group, 703-648-7960, </w:t>
      </w:r>
    </w:p>
    <w:p w:rsidRPr="00D60387" w:rsidR="00DB4DE9" w:rsidP="00D60387" w:rsidRDefault="00D60387" w14:paraId="5E132906" w14:textId="04C5C3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sosborne@usgs.gov.</w:t>
      </w:r>
    </w:p>
    <w:sectPr w:rsidRPr="00D60387" w:rsidR="00DB4DE9" w:rsidSect="00EB3B4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7D60" w14:textId="77777777" w:rsidR="00D8153F" w:rsidRDefault="00D8153F" w:rsidP="00320B2A">
      <w:r>
        <w:separator/>
      </w:r>
    </w:p>
  </w:endnote>
  <w:endnote w:type="continuationSeparator" w:id="0">
    <w:p w14:paraId="24AAA350" w14:textId="77777777" w:rsidR="00D8153F" w:rsidRDefault="00D8153F"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9FC" w14:textId="77777777" w:rsidR="00446D7B" w:rsidRDefault="00446D7B"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8F886" w14:textId="77777777" w:rsidR="00446D7B" w:rsidRDefault="0044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446D7B" w:rsidRPr="004513E4" w14:paraId="49B07808" w14:textId="77777777" w:rsidTr="008C542C">
          <w:tc>
            <w:tcPr>
              <w:tcW w:w="6750" w:type="dxa"/>
            </w:tcPr>
            <w:p w14:paraId="1A1175C0" w14:textId="06FA16C0" w:rsidR="00446D7B" w:rsidRPr="004513E4" w:rsidRDefault="00F93ECF" w:rsidP="000B4D95">
              <w:pPr>
                <w:pStyle w:val="Footer"/>
              </w:pPr>
              <w:r w:rsidRPr="00B85A36">
                <w:rPr>
                  <w:rFonts w:asciiTheme="minorHAnsi" w:hAnsiTheme="minorHAnsi" w:cstheme="minorHAnsi"/>
                  <w:noProof/>
                </w:rPr>
                <w:fldChar w:fldCharType="begin"/>
              </w:r>
              <w:r w:rsidRPr="00B85A36">
                <w:rPr>
                  <w:rFonts w:asciiTheme="minorHAnsi" w:hAnsiTheme="minorHAnsi" w:cstheme="minorHAnsi"/>
                  <w:noProof/>
                </w:rPr>
                <w:instrText xml:space="preserve"> FILENAME   \* MERGEFORMAT </w:instrText>
              </w:r>
              <w:r w:rsidRPr="00B85A36">
                <w:rPr>
                  <w:rFonts w:asciiTheme="minorHAnsi" w:hAnsiTheme="minorHAnsi" w:cstheme="minorHAnsi"/>
                  <w:noProof/>
                </w:rPr>
                <w:fldChar w:fldCharType="separate"/>
              </w:r>
              <w:r w:rsidR="00446D7B" w:rsidRPr="00B85A36">
                <w:rPr>
                  <w:rFonts w:asciiTheme="minorHAnsi" w:hAnsiTheme="minorHAnsi" w:cstheme="minorHAnsi"/>
                  <w:noProof/>
                </w:rPr>
                <w:t>1028-00</w:t>
              </w:r>
              <w:r w:rsidR="00C76FCE" w:rsidRPr="00B85A36">
                <w:rPr>
                  <w:rFonts w:asciiTheme="minorHAnsi" w:hAnsiTheme="minorHAnsi" w:cstheme="minorHAnsi"/>
                  <w:noProof/>
                </w:rPr>
                <w:t>70</w:t>
              </w:r>
              <w:r w:rsidR="00446D7B" w:rsidRPr="00B85A36">
                <w:rPr>
                  <w:rFonts w:asciiTheme="minorHAnsi" w:hAnsiTheme="minorHAnsi" w:cstheme="minorHAnsi"/>
                  <w:noProof/>
                </w:rPr>
                <w:t xml:space="preserve"> SS-B </w:t>
              </w:r>
              <w:r w:rsidR="006E0A9D" w:rsidRPr="00B85A36">
                <w:rPr>
                  <w:rFonts w:asciiTheme="minorHAnsi" w:hAnsiTheme="minorHAnsi" w:cstheme="minorHAnsi"/>
                  <w:noProof/>
                </w:rPr>
                <w:t>Co</w:t>
              </w:r>
              <w:r w:rsidR="00C76FCE" w:rsidRPr="00B85A36">
                <w:rPr>
                  <w:rFonts w:asciiTheme="minorHAnsi" w:hAnsiTheme="minorHAnsi" w:cstheme="minorHAnsi"/>
                  <w:noProof/>
                </w:rPr>
                <w:t>nsolidated Consumers' Report</w:t>
              </w:r>
              <w:r w:rsidR="00446D7B" w:rsidRPr="00B85A36">
                <w:rPr>
                  <w:rFonts w:asciiTheme="minorHAnsi" w:hAnsiTheme="minorHAnsi" w:cstheme="minorHAnsi"/>
                  <w:noProof/>
                </w:rPr>
                <w:t xml:space="preserve"> </w:t>
              </w:r>
              <w:r w:rsidR="007C3EFA" w:rsidRPr="00B85A36">
                <w:rPr>
                  <w:rFonts w:asciiTheme="minorHAnsi" w:hAnsiTheme="minorHAnsi" w:cstheme="minorHAnsi"/>
                  <w:noProof/>
                </w:rPr>
                <w:t>2019-</w:t>
              </w:r>
              <w:r w:rsidR="00C76FCE" w:rsidRPr="00B85A36">
                <w:rPr>
                  <w:rFonts w:asciiTheme="minorHAnsi" w:hAnsiTheme="minorHAnsi" w:cstheme="minorHAnsi"/>
                  <w:noProof/>
                </w:rPr>
                <w:t>10</w:t>
              </w:r>
              <w:r w:rsidR="007C3EFA" w:rsidRPr="00B85A36">
                <w:rPr>
                  <w:rFonts w:asciiTheme="minorHAnsi" w:hAnsiTheme="minorHAnsi" w:cstheme="minorHAnsi"/>
                  <w:noProof/>
                </w:rPr>
                <w:t>-</w:t>
              </w:r>
              <w:r w:rsidR="00C76FCE" w:rsidRPr="00B85A36">
                <w:rPr>
                  <w:rFonts w:asciiTheme="minorHAnsi" w:hAnsiTheme="minorHAnsi" w:cstheme="minorHAnsi"/>
                  <w:noProof/>
                </w:rPr>
                <w:t>28</w:t>
              </w:r>
              <w:r w:rsidR="007C3EFA" w:rsidRPr="00B85A36">
                <w:rPr>
                  <w:rFonts w:asciiTheme="minorHAnsi" w:hAnsiTheme="minorHAnsi" w:cstheme="minorHAnsi"/>
                  <w:noProof/>
                </w:rPr>
                <w:t xml:space="preserve"> v</w:t>
              </w:r>
              <w:r w:rsidR="00C76FCE" w:rsidRPr="00B85A36">
                <w:rPr>
                  <w:rFonts w:asciiTheme="minorHAnsi" w:hAnsiTheme="minorHAnsi" w:cstheme="minorHAnsi"/>
                  <w:noProof/>
                </w:rPr>
                <w:t>1</w:t>
              </w:r>
              <w:r w:rsidR="00446D7B" w:rsidRPr="00B85A36">
                <w:rPr>
                  <w:rFonts w:asciiTheme="minorHAnsi" w:hAnsiTheme="minorHAnsi" w:cstheme="minorHAnsi"/>
                  <w:noProof/>
                </w:rPr>
                <w:t>.docx</w:t>
              </w:r>
              <w:r w:rsidRPr="00B85A36">
                <w:rPr>
                  <w:rFonts w:asciiTheme="minorHAnsi" w:hAnsiTheme="minorHAnsi" w:cstheme="minorHAnsi"/>
                  <w:noProof/>
                </w:rPr>
                <w:fldChar w:fldCharType="end"/>
              </w:r>
            </w:p>
          </w:tc>
          <w:tc>
            <w:tcPr>
              <w:tcW w:w="2600" w:type="dxa"/>
            </w:tcPr>
            <w:p w14:paraId="2ADF0ADD" w14:textId="07782DEF" w:rsidR="00446D7B" w:rsidRPr="00B85A36" w:rsidRDefault="00446D7B" w:rsidP="008C542C">
              <w:pPr>
                <w:pStyle w:val="Footer"/>
                <w:jc w:val="right"/>
                <w:rPr>
                  <w:rFonts w:asciiTheme="minorHAnsi" w:hAnsiTheme="minorHAnsi" w:cstheme="minorHAnsi"/>
                </w:rPr>
              </w:pPr>
              <w:r w:rsidRPr="00B85A36">
                <w:rPr>
                  <w:rFonts w:asciiTheme="minorHAnsi" w:hAnsiTheme="minorHAnsi" w:cstheme="minorHAnsi"/>
                </w:rPr>
                <w:t xml:space="preserve">Page </w:t>
              </w:r>
              <w:r w:rsidRPr="00B85A36">
                <w:rPr>
                  <w:rFonts w:asciiTheme="minorHAnsi" w:hAnsiTheme="minorHAnsi" w:cstheme="minorHAnsi"/>
                </w:rPr>
                <w:fldChar w:fldCharType="begin"/>
              </w:r>
              <w:r w:rsidRPr="00B85A36">
                <w:rPr>
                  <w:rFonts w:asciiTheme="minorHAnsi" w:hAnsiTheme="minorHAnsi" w:cstheme="minorHAnsi"/>
                </w:rPr>
                <w:instrText xml:space="preserve"> PAGE  \* Arabic  \* MERGEFORMAT </w:instrText>
              </w:r>
              <w:r w:rsidRPr="00B85A36">
                <w:rPr>
                  <w:rFonts w:asciiTheme="minorHAnsi" w:hAnsiTheme="minorHAnsi" w:cstheme="minorHAnsi"/>
                </w:rPr>
                <w:fldChar w:fldCharType="separate"/>
              </w:r>
              <w:r w:rsidR="00ED5297" w:rsidRPr="00B85A36">
                <w:rPr>
                  <w:rFonts w:asciiTheme="minorHAnsi" w:hAnsiTheme="minorHAnsi" w:cstheme="minorHAnsi"/>
                  <w:noProof/>
                </w:rPr>
                <w:t>1</w:t>
              </w:r>
              <w:r w:rsidRPr="00B85A36">
                <w:rPr>
                  <w:rFonts w:asciiTheme="minorHAnsi" w:hAnsiTheme="minorHAnsi" w:cstheme="minorHAnsi"/>
                </w:rPr>
                <w:fldChar w:fldCharType="end"/>
              </w:r>
            </w:p>
          </w:tc>
        </w:tr>
      </w:tbl>
      <w:p w14:paraId="11F9AA25" w14:textId="77777777" w:rsidR="00446D7B" w:rsidRPr="004513E4" w:rsidRDefault="00446D7B">
        <w:pPr>
          <w:pStyle w:val="Footer"/>
        </w:pPr>
      </w:p>
      <w:p w14:paraId="3200FBC0" w14:textId="77777777" w:rsidR="00446D7B" w:rsidRPr="001272A9" w:rsidRDefault="00D8153F" w:rsidP="001272A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1135" w14:textId="77777777" w:rsidR="00D8153F" w:rsidRDefault="00D8153F" w:rsidP="00320B2A">
      <w:r>
        <w:separator/>
      </w:r>
    </w:p>
  </w:footnote>
  <w:footnote w:type="continuationSeparator" w:id="0">
    <w:p w14:paraId="5711A6A8" w14:textId="77777777" w:rsidR="00D8153F" w:rsidRDefault="00D8153F" w:rsidP="00320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C28AB"/>
    <w:multiLevelType w:val="hybridMultilevel"/>
    <w:tmpl w:val="3D1C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F3494"/>
    <w:multiLevelType w:val="hybridMultilevel"/>
    <w:tmpl w:val="C13E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6AE"/>
    <w:rsid w:val="000011CE"/>
    <w:rsid w:val="00013391"/>
    <w:rsid w:val="000155F5"/>
    <w:rsid w:val="0001646E"/>
    <w:rsid w:val="00017A58"/>
    <w:rsid w:val="00020A40"/>
    <w:rsid w:val="000327FB"/>
    <w:rsid w:val="000423B4"/>
    <w:rsid w:val="00043B68"/>
    <w:rsid w:val="000452CF"/>
    <w:rsid w:val="00050797"/>
    <w:rsid w:val="000516CD"/>
    <w:rsid w:val="000527D4"/>
    <w:rsid w:val="00062E07"/>
    <w:rsid w:val="00065FE3"/>
    <w:rsid w:val="000660D8"/>
    <w:rsid w:val="00066A78"/>
    <w:rsid w:val="000821EA"/>
    <w:rsid w:val="000B4D95"/>
    <w:rsid w:val="000C30DF"/>
    <w:rsid w:val="000D59F9"/>
    <w:rsid w:val="000F5B84"/>
    <w:rsid w:val="00106967"/>
    <w:rsid w:val="00110A71"/>
    <w:rsid w:val="00115AC6"/>
    <w:rsid w:val="0012051B"/>
    <w:rsid w:val="00122044"/>
    <w:rsid w:val="00123AC1"/>
    <w:rsid w:val="001272A9"/>
    <w:rsid w:val="0013541F"/>
    <w:rsid w:val="00143B57"/>
    <w:rsid w:val="00154C6F"/>
    <w:rsid w:val="0015596C"/>
    <w:rsid w:val="00170139"/>
    <w:rsid w:val="00173958"/>
    <w:rsid w:val="001807C3"/>
    <w:rsid w:val="00190908"/>
    <w:rsid w:val="001950F6"/>
    <w:rsid w:val="001A1177"/>
    <w:rsid w:val="001B4B48"/>
    <w:rsid w:val="001C2E43"/>
    <w:rsid w:val="001C6D84"/>
    <w:rsid w:val="001C77DE"/>
    <w:rsid w:val="001E5AA9"/>
    <w:rsid w:val="002064FB"/>
    <w:rsid w:val="00211506"/>
    <w:rsid w:val="00212545"/>
    <w:rsid w:val="00233BBC"/>
    <w:rsid w:val="00260880"/>
    <w:rsid w:val="00265C6A"/>
    <w:rsid w:val="00270C74"/>
    <w:rsid w:val="002719FE"/>
    <w:rsid w:val="00273D93"/>
    <w:rsid w:val="00281AFD"/>
    <w:rsid w:val="002A2C12"/>
    <w:rsid w:val="002A3FBC"/>
    <w:rsid w:val="002A6CA4"/>
    <w:rsid w:val="002B2661"/>
    <w:rsid w:val="002D39E7"/>
    <w:rsid w:val="002D47E1"/>
    <w:rsid w:val="002E083E"/>
    <w:rsid w:val="002E3E85"/>
    <w:rsid w:val="002F09E2"/>
    <w:rsid w:val="002F250E"/>
    <w:rsid w:val="00310124"/>
    <w:rsid w:val="00313C41"/>
    <w:rsid w:val="00320035"/>
    <w:rsid w:val="00320B2A"/>
    <w:rsid w:val="0033450A"/>
    <w:rsid w:val="0033660D"/>
    <w:rsid w:val="00337CBD"/>
    <w:rsid w:val="00354B15"/>
    <w:rsid w:val="003573EA"/>
    <w:rsid w:val="003610A9"/>
    <w:rsid w:val="00364D6C"/>
    <w:rsid w:val="00365255"/>
    <w:rsid w:val="00376468"/>
    <w:rsid w:val="00382AC7"/>
    <w:rsid w:val="00384A09"/>
    <w:rsid w:val="003964E0"/>
    <w:rsid w:val="00397496"/>
    <w:rsid w:val="003A40AB"/>
    <w:rsid w:val="003A44C5"/>
    <w:rsid w:val="003B792A"/>
    <w:rsid w:val="003D5A4F"/>
    <w:rsid w:val="003F1530"/>
    <w:rsid w:val="003F336E"/>
    <w:rsid w:val="003F43ED"/>
    <w:rsid w:val="003F7C7E"/>
    <w:rsid w:val="004023D0"/>
    <w:rsid w:val="00403BC0"/>
    <w:rsid w:val="004148CB"/>
    <w:rsid w:val="00427B5B"/>
    <w:rsid w:val="00427CE8"/>
    <w:rsid w:val="004346DF"/>
    <w:rsid w:val="0043772B"/>
    <w:rsid w:val="004452EA"/>
    <w:rsid w:val="00446D7B"/>
    <w:rsid w:val="00454313"/>
    <w:rsid w:val="00474203"/>
    <w:rsid w:val="004800C7"/>
    <w:rsid w:val="00491340"/>
    <w:rsid w:val="004926C3"/>
    <w:rsid w:val="004B63FE"/>
    <w:rsid w:val="004C2ABB"/>
    <w:rsid w:val="004C5370"/>
    <w:rsid w:val="004C5539"/>
    <w:rsid w:val="004C56C5"/>
    <w:rsid w:val="004D49EC"/>
    <w:rsid w:val="004E2059"/>
    <w:rsid w:val="004F03D8"/>
    <w:rsid w:val="004F43E6"/>
    <w:rsid w:val="0050020F"/>
    <w:rsid w:val="0050317A"/>
    <w:rsid w:val="005045FE"/>
    <w:rsid w:val="00511518"/>
    <w:rsid w:val="00513D11"/>
    <w:rsid w:val="005332B7"/>
    <w:rsid w:val="00533F57"/>
    <w:rsid w:val="00535014"/>
    <w:rsid w:val="005552F7"/>
    <w:rsid w:val="00556A7A"/>
    <w:rsid w:val="00576690"/>
    <w:rsid w:val="00576D57"/>
    <w:rsid w:val="005A07F7"/>
    <w:rsid w:val="005A7654"/>
    <w:rsid w:val="005A7659"/>
    <w:rsid w:val="005B0D90"/>
    <w:rsid w:val="005C17DE"/>
    <w:rsid w:val="005D441C"/>
    <w:rsid w:val="005F51C7"/>
    <w:rsid w:val="005F6B97"/>
    <w:rsid w:val="00604E4E"/>
    <w:rsid w:val="006076CA"/>
    <w:rsid w:val="0061107C"/>
    <w:rsid w:val="00633AC7"/>
    <w:rsid w:val="0064165E"/>
    <w:rsid w:val="00653080"/>
    <w:rsid w:val="00664CD7"/>
    <w:rsid w:val="006A0326"/>
    <w:rsid w:val="006C2E0D"/>
    <w:rsid w:val="006C5BAA"/>
    <w:rsid w:val="006C6223"/>
    <w:rsid w:val="006D3AE8"/>
    <w:rsid w:val="006E0A9D"/>
    <w:rsid w:val="006E3C32"/>
    <w:rsid w:val="006F2D2E"/>
    <w:rsid w:val="006F348D"/>
    <w:rsid w:val="006F7898"/>
    <w:rsid w:val="00703EB2"/>
    <w:rsid w:val="00710265"/>
    <w:rsid w:val="00712445"/>
    <w:rsid w:val="007133AA"/>
    <w:rsid w:val="00715B49"/>
    <w:rsid w:val="007207F5"/>
    <w:rsid w:val="007250BD"/>
    <w:rsid w:val="007339BD"/>
    <w:rsid w:val="007408BD"/>
    <w:rsid w:val="00742D06"/>
    <w:rsid w:val="00754DF2"/>
    <w:rsid w:val="00760C0F"/>
    <w:rsid w:val="00761CA8"/>
    <w:rsid w:val="007727B5"/>
    <w:rsid w:val="00774BBF"/>
    <w:rsid w:val="00775A17"/>
    <w:rsid w:val="00794CD2"/>
    <w:rsid w:val="007A6AE2"/>
    <w:rsid w:val="007A7A0F"/>
    <w:rsid w:val="007B61E0"/>
    <w:rsid w:val="007C0EFC"/>
    <w:rsid w:val="007C3EFA"/>
    <w:rsid w:val="007C70BF"/>
    <w:rsid w:val="007E2138"/>
    <w:rsid w:val="007E2921"/>
    <w:rsid w:val="007E29E2"/>
    <w:rsid w:val="008058B4"/>
    <w:rsid w:val="00807B0E"/>
    <w:rsid w:val="008126AE"/>
    <w:rsid w:val="00820BB6"/>
    <w:rsid w:val="00821E5E"/>
    <w:rsid w:val="00823BDF"/>
    <w:rsid w:val="00824082"/>
    <w:rsid w:val="008240BF"/>
    <w:rsid w:val="00830002"/>
    <w:rsid w:val="00843474"/>
    <w:rsid w:val="008454F4"/>
    <w:rsid w:val="00845558"/>
    <w:rsid w:val="00846C10"/>
    <w:rsid w:val="00847056"/>
    <w:rsid w:val="0085037C"/>
    <w:rsid w:val="008568D4"/>
    <w:rsid w:val="0086140A"/>
    <w:rsid w:val="008649B1"/>
    <w:rsid w:val="00876230"/>
    <w:rsid w:val="008950F4"/>
    <w:rsid w:val="00897CCE"/>
    <w:rsid w:val="008A297E"/>
    <w:rsid w:val="008C18AC"/>
    <w:rsid w:val="008C542C"/>
    <w:rsid w:val="008C5655"/>
    <w:rsid w:val="008E0BA0"/>
    <w:rsid w:val="008E7F46"/>
    <w:rsid w:val="00904410"/>
    <w:rsid w:val="00910D3B"/>
    <w:rsid w:val="00912E0B"/>
    <w:rsid w:val="00914C6A"/>
    <w:rsid w:val="00925A9D"/>
    <w:rsid w:val="00935B9A"/>
    <w:rsid w:val="0095122F"/>
    <w:rsid w:val="00953026"/>
    <w:rsid w:val="00957E7F"/>
    <w:rsid w:val="00977BDA"/>
    <w:rsid w:val="00997596"/>
    <w:rsid w:val="009A1C7E"/>
    <w:rsid w:val="009C376D"/>
    <w:rsid w:val="009C3B13"/>
    <w:rsid w:val="009D03A6"/>
    <w:rsid w:val="009D7CB5"/>
    <w:rsid w:val="009E44A3"/>
    <w:rsid w:val="00A16DF2"/>
    <w:rsid w:val="00A24A78"/>
    <w:rsid w:val="00A30BF7"/>
    <w:rsid w:val="00A324E3"/>
    <w:rsid w:val="00A45A3B"/>
    <w:rsid w:val="00A52935"/>
    <w:rsid w:val="00A55527"/>
    <w:rsid w:val="00A56FDC"/>
    <w:rsid w:val="00A57848"/>
    <w:rsid w:val="00A76BEF"/>
    <w:rsid w:val="00A816D9"/>
    <w:rsid w:val="00A94550"/>
    <w:rsid w:val="00A95C54"/>
    <w:rsid w:val="00AA2D92"/>
    <w:rsid w:val="00AB331B"/>
    <w:rsid w:val="00AB6F86"/>
    <w:rsid w:val="00AB7B10"/>
    <w:rsid w:val="00AF136B"/>
    <w:rsid w:val="00B03A45"/>
    <w:rsid w:val="00B057C5"/>
    <w:rsid w:val="00B16CC1"/>
    <w:rsid w:val="00B27B54"/>
    <w:rsid w:val="00B31CAC"/>
    <w:rsid w:val="00B358B9"/>
    <w:rsid w:val="00B43D1A"/>
    <w:rsid w:val="00B47B85"/>
    <w:rsid w:val="00B511C2"/>
    <w:rsid w:val="00B61CF3"/>
    <w:rsid w:val="00B62B1A"/>
    <w:rsid w:val="00B8053E"/>
    <w:rsid w:val="00B808D6"/>
    <w:rsid w:val="00B81E29"/>
    <w:rsid w:val="00B85A36"/>
    <w:rsid w:val="00B87EB3"/>
    <w:rsid w:val="00B940D1"/>
    <w:rsid w:val="00BA1C80"/>
    <w:rsid w:val="00BA376C"/>
    <w:rsid w:val="00BC3234"/>
    <w:rsid w:val="00BC5FD4"/>
    <w:rsid w:val="00BD1B71"/>
    <w:rsid w:val="00BD2AA6"/>
    <w:rsid w:val="00BD6B76"/>
    <w:rsid w:val="00BE3135"/>
    <w:rsid w:val="00C001FA"/>
    <w:rsid w:val="00C07772"/>
    <w:rsid w:val="00C159F0"/>
    <w:rsid w:val="00C32DDF"/>
    <w:rsid w:val="00C33A72"/>
    <w:rsid w:val="00C34B72"/>
    <w:rsid w:val="00C47856"/>
    <w:rsid w:val="00C514D2"/>
    <w:rsid w:val="00C70322"/>
    <w:rsid w:val="00C73445"/>
    <w:rsid w:val="00C76FCE"/>
    <w:rsid w:val="00C8472B"/>
    <w:rsid w:val="00C92210"/>
    <w:rsid w:val="00CA1C1E"/>
    <w:rsid w:val="00CA6A49"/>
    <w:rsid w:val="00CB5CA6"/>
    <w:rsid w:val="00CD34B9"/>
    <w:rsid w:val="00CD7C21"/>
    <w:rsid w:val="00CE1D82"/>
    <w:rsid w:val="00D01987"/>
    <w:rsid w:val="00D02F50"/>
    <w:rsid w:val="00D1092F"/>
    <w:rsid w:val="00D31710"/>
    <w:rsid w:val="00D46D63"/>
    <w:rsid w:val="00D60387"/>
    <w:rsid w:val="00D67DEB"/>
    <w:rsid w:val="00D7197F"/>
    <w:rsid w:val="00D74065"/>
    <w:rsid w:val="00D76AD7"/>
    <w:rsid w:val="00D76EC5"/>
    <w:rsid w:val="00D8153F"/>
    <w:rsid w:val="00D81A2E"/>
    <w:rsid w:val="00D823BD"/>
    <w:rsid w:val="00D833B0"/>
    <w:rsid w:val="00D940C4"/>
    <w:rsid w:val="00D944FF"/>
    <w:rsid w:val="00D96225"/>
    <w:rsid w:val="00DA016F"/>
    <w:rsid w:val="00DA289E"/>
    <w:rsid w:val="00DA2A6F"/>
    <w:rsid w:val="00DB0386"/>
    <w:rsid w:val="00DB1F9D"/>
    <w:rsid w:val="00DB4DE9"/>
    <w:rsid w:val="00DC2683"/>
    <w:rsid w:val="00DC313B"/>
    <w:rsid w:val="00DC49F9"/>
    <w:rsid w:val="00DD1035"/>
    <w:rsid w:val="00DD29FE"/>
    <w:rsid w:val="00DE0807"/>
    <w:rsid w:val="00E010AC"/>
    <w:rsid w:val="00E14908"/>
    <w:rsid w:val="00E15F99"/>
    <w:rsid w:val="00E703B3"/>
    <w:rsid w:val="00E77B5E"/>
    <w:rsid w:val="00E77EAB"/>
    <w:rsid w:val="00E860CF"/>
    <w:rsid w:val="00E87D11"/>
    <w:rsid w:val="00E96256"/>
    <w:rsid w:val="00EA11CE"/>
    <w:rsid w:val="00EA2CC9"/>
    <w:rsid w:val="00EA2F0C"/>
    <w:rsid w:val="00EA3007"/>
    <w:rsid w:val="00EA385C"/>
    <w:rsid w:val="00EA7257"/>
    <w:rsid w:val="00EB3B45"/>
    <w:rsid w:val="00EC6AF0"/>
    <w:rsid w:val="00ED5297"/>
    <w:rsid w:val="00ED636D"/>
    <w:rsid w:val="00ED7F16"/>
    <w:rsid w:val="00EE0030"/>
    <w:rsid w:val="00EF0510"/>
    <w:rsid w:val="00EF4DDB"/>
    <w:rsid w:val="00F100DD"/>
    <w:rsid w:val="00F161F5"/>
    <w:rsid w:val="00F1685B"/>
    <w:rsid w:val="00F23995"/>
    <w:rsid w:val="00F25E1E"/>
    <w:rsid w:val="00F377D5"/>
    <w:rsid w:val="00F400E8"/>
    <w:rsid w:val="00F43944"/>
    <w:rsid w:val="00F4579A"/>
    <w:rsid w:val="00F47845"/>
    <w:rsid w:val="00F508F7"/>
    <w:rsid w:val="00F519A1"/>
    <w:rsid w:val="00F65282"/>
    <w:rsid w:val="00F704BB"/>
    <w:rsid w:val="00F70EF6"/>
    <w:rsid w:val="00F86205"/>
    <w:rsid w:val="00F91621"/>
    <w:rsid w:val="00F91C20"/>
    <w:rsid w:val="00F93ECF"/>
    <w:rsid w:val="00F9535B"/>
    <w:rsid w:val="00FA4F35"/>
    <w:rsid w:val="00FA6A14"/>
    <w:rsid w:val="00FA70C1"/>
    <w:rsid w:val="00FB3D49"/>
    <w:rsid w:val="00FB6CDC"/>
    <w:rsid w:val="00FC5CA2"/>
    <w:rsid w:val="00FC6360"/>
    <w:rsid w:val="00FD3783"/>
    <w:rsid w:val="00FD3862"/>
    <w:rsid w:val="00FD4038"/>
    <w:rsid w:val="00FD4888"/>
    <w:rsid w:val="00FD527E"/>
    <w:rsid w:val="00FD68D9"/>
    <w:rsid w:val="00FE00FF"/>
    <w:rsid w:val="00FF0491"/>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8F18"/>
  <w14:defaultImageDpi w14:val="300"/>
  <w15:docId w15:val="{3D7876AD-DACF-4FCB-808C-573E0EFA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 w:type="character" w:styleId="CommentReference">
    <w:name w:val="annotation reference"/>
    <w:basedOn w:val="DefaultParagraphFont"/>
    <w:uiPriority w:val="99"/>
    <w:semiHidden/>
    <w:unhideWhenUsed/>
    <w:rsid w:val="00633AC7"/>
    <w:rPr>
      <w:sz w:val="16"/>
      <w:szCs w:val="16"/>
    </w:rPr>
  </w:style>
  <w:style w:type="paragraph" w:styleId="CommentText">
    <w:name w:val="annotation text"/>
    <w:basedOn w:val="Normal"/>
    <w:link w:val="CommentTextChar"/>
    <w:uiPriority w:val="99"/>
    <w:semiHidden/>
    <w:unhideWhenUsed/>
    <w:rsid w:val="00633AC7"/>
  </w:style>
  <w:style w:type="character" w:customStyle="1" w:styleId="CommentTextChar">
    <w:name w:val="Comment Text Char"/>
    <w:basedOn w:val="DefaultParagraphFont"/>
    <w:link w:val="CommentText"/>
    <w:uiPriority w:val="99"/>
    <w:semiHidden/>
    <w:rsid w:val="00633A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AC7"/>
    <w:rPr>
      <w:b/>
      <w:bCs/>
    </w:rPr>
  </w:style>
  <w:style w:type="character" w:customStyle="1" w:styleId="CommentSubjectChar">
    <w:name w:val="Comment Subject Char"/>
    <w:basedOn w:val="CommentTextChar"/>
    <w:link w:val="CommentSubject"/>
    <w:uiPriority w:val="99"/>
    <w:semiHidden/>
    <w:rsid w:val="00633AC7"/>
    <w:rPr>
      <w:rFonts w:ascii="Times New Roman" w:eastAsia="Times New Roman" w:hAnsi="Times New Roman"/>
      <w:b/>
      <w:bCs/>
    </w:rPr>
  </w:style>
  <w:style w:type="character" w:styleId="UnresolvedMention">
    <w:name w:val="Unresolved Mention"/>
    <w:basedOn w:val="DefaultParagraphFont"/>
    <w:uiPriority w:val="99"/>
    <w:semiHidden/>
    <w:unhideWhenUsed/>
    <w:rsid w:val="00F2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 w:id="1776250258">
      <w:bodyDiv w:val="1"/>
      <w:marLeft w:val="0"/>
      <w:marRight w:val="0"/>
      <w:marTop w:val="0"/>
      <w:marBottom w:val="0"/>
      <w:divBdr>
        <w:top w:val="none" w:sz="0" w:space="0" w:color="auto"/>
        <w:left w:val="none" w:sz="0" w:space="0" w:color="auto"/>
        <w:bottom w:val="none" w:sz="0" w:space="0" w:color="auto"/>
        <w:right w:val="none" w:sz="0" w:space="0" w:color="auto"/>
      </w:divBdr>
      <w:divsChild>
        <w:div w:id="90803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53"/>
    <w:rsid w:val="00073765"/>
    <w:rsid w:val="000748FE"/>
    <w:rsid w:val="00150657"/>
    <w:rsid w:val="00172FCD"/>
    <w:rsid w:val="00187C6C"/>
    <w:rsid w:val="00193253"/>
    <w:rsid w:val="002528D7"/>
    <w:rsid w:val="002C03B7"/>
    <w:rsid w:val="003C0B87"/>
    <w:rsid w:val="003D07B9"/>
    <w:rsid w:val="003F0BBC"/>
    <w:rsid w:val="004701D4"/>
    <w:rsid w:val="00473999"/>
    <w:rsid w:val="00484FFD"/>
    <w:rsid w:val="004B0990"/>
    <w:rsid w:val="005C78F4"/>
    <w:rsid w:val="005F4F8B"/>
    <w:rsid w:val="00630706"/>
    <w:rsid w:val="006E19DC"/>
    <w:rsid w:val="0071444C"/>
    <w:rsid w:val="00765CE4"/>
    <w:rsid w:val="00775520"/>
    <w:rsid w:val="0078786E"/>
    <w:rsid w:val="007E713E"/>
    <w:rsid w:val="00870B44"/>
    <w:rsid w:val="00886F70"/>
    <w:rsid w:val="008E186D"/>
    <w:rsid w:val="00957C04"/>
    <w:rsid w:val="0096598C"/>
    <w:rsid w:val="00971101"/>
    <w:rsid w:val="00A16000"/>
    <w:rsid w:val="00A521E9"/>
    <w:rsid w:val="00A85EE4"/>
    <w:rsid w:val="00A94E53"/>
    <w:rsid w:val="00AC2315"/>
    <w:rsid w:val="00AF7892"/>
    <w:rsid w:val="00B2254E"/>
    <w:rsid w:val="00BF5C8E"/>
    <w:rsid w:val="00CF590A"/>
    <w:rsid w:val="00D0125A"/>
    <w:rsid w:val="00DB5248"/>
    <w:rsid w:val="00DB72BD"/>
    <w:rsid w:val="00DC7954"/>
    <w:rsid w:val="00DD0F5D"/>
    <w:rsid w:val="00DE0ED5"/>
    <w:rsid w:val="00E444BE"/>
    <w:rsid w:val="00F2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8261-BB5B-431B-8BE2-BCD08DE7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7556</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Stoller, Steven T</cp:lastModifiedBy>
  <cp:revision>77</cp:revision>
  <dcterms:created xsi:type="dcterms:W3CDTF">2018-09-24T19:02:00Z</dcterms:created>
  <dcterms:modified xsi:type="dcterms:W3CDTF">2019-10-31T15:34:00Z</dcterms:modified>
</cp:coreProperties>
</file>