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BF5087" w:rsidRDefault="00BF5087">
      <w:pPr>
        <w:keepLines/>
        <w:spacing w:before="100"/>
        <w:rPr>
          <w:sz w:val="20"/>
        </w:rPr>
      </w:pPr>
      <w:r>
        <w:rPr>
          <w:sz w:val="20"/>
        </w:rPr>
        <w:fldChar w:fldCharType="begin"/>
      </w:r>
      <w:r>
        <w:instrText xml:space="preserve"> SEQ CHAPTER \h \r 1</w:instrText>
      </w:r>
      <w:r>
        <w:fldChar w:fldCharType="end"/>
      </w:r>
      <w:r>
        <w:rPr>
          <w:b/>
          <w:sz w:val="36"/>
        </w:rPr>
        <w:t xml:space="preserve">42 U.S.C. § </w:t>
      </w:r>
      <w:proofErr w:type="gramStart"/>
      <w:r>
        <w:rPr>
          <w:b/>
          <w:sz w:val="36"/>
        </w:rPr>
        <w:t>3715 :</w:t>
      </w:r>
      <w:proofErr w:type="gramEnd"/>
      <w:r>
        <w:rPr>
          <w:b/>
          <w:sz w:val="36"/>
        </w:rPr>
        <w:t xml:space="preserve"> US Code - Section 3715: Office of Justice Programs grants, cooperative agreements, and contracts</w:t>
      </w:r>
    </w:p>
    <w:p w:rsidR="00BF5087" w:rsidRDefault="00BF5087">
      <w:pPr>
        <w:rPr>
          <w:sz w:val="20"/>
        </w:rPr>
      </w:pPr>
    </w:p>
    <w:p w:rsidR="00BF5087" w:rsidRDefault="00BF5087">
      <w:pPr>
        <w:rPr>
          <w:sz w:val="20"/>
        </w:rPr>
      </w:pPr>
    </w:p>
    <w:p w:rsidR="00BF5087" w:rsidRDefault="00BF5087">
      <w:pPr>
        <w:rPr>
          <w:rFonts w:ascii="Arial" w:hAnsi="Arial"/>
          <w:color w:val="000080"/>
          <w:sz w:val="20"/>
        </w:rPr>
      </w:pPr>
      <w:r>
        <w:rPr>
          <w:sz w:val="20"/>
        </w:rPr>
        <w:t>Notwithstanding any other provision of law, for fiscal year 2000, the Assistant Attorney General for the Office of Justice Programs of the Department of Justice - "(1) may make grants, or enter into cooperative agreements and contracts, for the Office of Justice Programs and the component organizations of that Office (including, notwithstanding any contrary provision of law (unless the same should expressly refer to this section), any organization that administers any program established in title 1 of Public Law 90-351 [see References in Text note above]); and "(2) shall have final authority over all functions, including any grants, cooperative agreements and contracts made, or entered into, for the Office of Justice Programs and the component organizations of that Office (including, notwithstanding any contrary provision of law (unless the same should expressly refer to this section), any organization that administers any program established in title 1 of Public Law 90-351 [see References in Text note above]), except for grants made under the provisions of sections 201, 202, 301, and 302 of the Omnibus Crime Control and Safe Streets Act of 1968 [</w:t>
      </w:r>
      <w:hyperlink w:history="1" r:id="rId5">
        <w:r>
          <w:rPr>
            <w:rStyle w:val="WPHyperlink"/>
            <w:sz w:val="20"/>
          </w:rPr>
          <w:t>42 U.S.C. 3721</w:t>
        </w:r>
      </w:hyperlink>
      <w:r>
        <w:rPr>
          <w:sz w:val="20"/>
        </w:rPr>
        <w:t>, 3722, 3731, 3732], as amended; and sections 204(b)(3), 241(e)(1), 243(a)(1), 243(a)(14) and 287A(3) of the Juvenile Justice and Delinquency Prevention Act of 1974 [</w:t>
      </w:r>
      <w:hyperlink w:history="1" r:id="rId6">
        <w:r>
          <w:rPr>
            <w:rStyle w:val="WPHyperlink"/>
            <w:sz w:val="20"/>
          </w:rPr>
          <w:t>42 U.S.C. 5614</w:t>
        </w:r>
      </w:hyperlink>
      <w:r>
        <w:rPr>
          <w:sz w:val="20"/>
        </w:rPr>
        <w:t xml:space="preserve">(b)(3) and former </w:t>
      </w:r>
      <w:hyperlink w:history="1" r:id="rId7">
        <w:r>
          <w:rPr>
            <w:rStyle w:val="WPHyperlink"/>
            <w:sz w:val="20"/>
          </w:rPr>
          <w:t>42 U.S.C. 5651</w:t>
        </w:r>
      </w:hyperlink>
      <w:r>
        <w:rPr>
          <w:sz w:val="20"/>
        </w:rPr>
        <w:t>(e)(1), 5653(a)(1), (14), 5667d-1(3)], as amended."</w:t>
      </w:r>
    </w:p>
    <w:p w:rsidR="00BF5087" w:rsidRDefault="00BF5087">
      <w:pPr>
        <w:rPr>
          <w:rFonts w:ascii="Arial" w:hAnsi="Arial"/>
          <w:color w:val="000080"/>
          <w:sz w:val="20"/>
        </w:rPr>
      </w:pPr>
    </w:p>
    <w:sectPr w:rsidR="00BF50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33"/>
    <w:rsid w:val="008A1633"/>
    <w:rsid w:val="009F1D70"/>
    <w:rsid w:val="00BF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FAF3CAC-6F09-4627-8D0F-9587F9F4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character" w:customStyle="1" w:styleId="WPHyperlink">
    <w:name w:val="WP_Hyperlink"/>
    <w:rPr>
      <w:color w:val="0000FF"/>
      <w:u w:val="single"/>
    </w:r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b/>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lex.com/vid/19248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lex.com/vid/19248305" TargetMode="External"/><Relationship Id="rId5" Type="http://schemas.openxmlformats.org/officeDocument/2006/relationships/hyperlink" Target="http://vlex.com/vid/1924964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1710</CharactersWithSpaces>
  <SharedDoc>false</SharedDoc>
  <HLinks>
    <vt:vector size="18" baseType="variant">
      <vt:variant>
        <vt:i4>1441794</vt:i4>
      </vt:variant>
      <vt:variant>
        <vt:i4>8</vt:i4>
      </vt:variant>
      <vt:variant>
        <vt:i4>0</vt:i4>
      </vt:variant>
      <vt:variant>
        <vt:i4>5</vt:i4>
      </vt:variant>
      <vt:variant>
        <vt:lpwstr>http://vlex.com/vid/19248289</vt:lpwstr>
      </vt:variant>
      <vt:variant>
        <vt:lpwstr/>
      </vt:variant>
      <vt:variant>
        <vt:i4>1769482</vt:i4>
      </vt:variant>
      <vt:variant>
        <vt:i4>5</vt:i4>
      </vt:variant>
      <vt:variant>
        <vt:i4>0</vt:i4>
      </vt:variant>
      <vt:variant>
        <vt:i4>5</vt:i4>
      </vt:variant>
      <vt:variant>
        <vt:lpwstr>http://vlex.com/vid/19248305</vt:lpwstr>
      </vt:variant>
      <vt:variant>
        <vt:lpwstr/>
      </vt:variant>
      <vt:variant>
        <vt:i4>1835023</vt:i4>
      </vt:variant>
      <vt:variant>
        <vt:i4>2</vt:i4>
      </vt:variant>
      <vt:variant>
        <vt:i4>0</vt:i4>
      </vt:variant>
      <vt:variant>
        <vt:i4>5</vt:i4>
      </vt:variant>
      <vt:variant>
        <vt:lpwstr>http://vlex.com/vid/19249647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Angela</dc:creator>
  <cp:keywords/>
  <cp:lastModifiedBy>Scarborough, Angela</cp:lastModifiedBy>
  <cp:revision>2</cp:revision>
  <cp:lastPrinted>2020-02-06T22:22:00Z</cp:lastPrinted>
  <dcterms:created xsi:type="dcterms:W3CDTF">2020-02-06T17:22:00Z</dcterms:created>
  <dcterms:modified xsi:type="dcterms:W3CDTF">2020-02-06T17:22:00Z</dcterms:modified>
</cp:coreProperties>
</file>