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86" w:rsidP="000E54E9" w:rsidRDefault="00AC7486">
      <w:pPr>
        <w:pStyle w:val="Heading1"/>
        <w:jc w:val="center"/>
      </w:pPr>
      <w:r>
        <w:t>DEPARTMENT OF HOMELAND SECURITY</w:t>
      </w:r>
    </w:p>
    <w:p w:rsidRPr="00AA74A2" w:rsidR="000E54E9" w:rsidP="000E54E9" w:rsidRDefault="000E54E9">
      <w:pPr>
        <w:pStyle w:val="Heading1"/>
        <w:jc w:val="center"/>
      </w:pPr>
      <w:r w:rsidRPr="00AA74A2">
        <w:t>SUPPORTING STATEMENT</w:t>
      </w:r>
      <w:r w:rsidR="00AC7486">
        <w:t xml:space="preserve"> A</w:t>
      </w:r>
      <w:r w:rsidR="00953DAA">
        <w:t xml:space="preserve">. </w:t>
      </w:r>
      <w:r w:rsidR="00AC7486">
        <w:t xml:space="preserve"> FOR</w:t>
      </w:r>
    </w:p>
    <w:p w:rsidRPr="00AA74A2" w:rsidR="000E54E9" w:rsidP="000E54E9" w:rsidRDefault="000E54E9">
      <w:pPr>
        <w:jc w:val="center"/>
        <w:rPr>
          <w:rFonts w:ascii="Times New Roman" w:hAnsi="Times New Roman"/>
          <w:b/>
        </w:rPr>
      </w:pPr>
    </w:p>
    <w:p w:rsidRPr="00AA74A2" w:rsidR="000E54E9" w:rsidP="000E54E9" w:rsidRDefault="000E54E9">
      <w:pPr>
        <w:spacing w:line="480" w:lineRule="auto"/>
        <w:jc w:val="center"/>
        <w:rPr>
          <w:rFonts w:ascii="Times New Roman" w:hAnsi="Times New Roman"/>
          <w:b/>
        </w:rPr>
      </w:pPr>
      <w:r>
        <w:rPr>
          <w:rFonts w:ascii="Times New Roman" w:hAnsi="Times New Roman"/>
          <w:b/>
        </w:rPr>
        <w:t>Project 25 Compliance Assessment Program</w:t>
      </w:r>
      <w:r w:rsidR="00DE1E36">
        <w:rPr>
          <w:rFonts w:ascii="Times New Roman" w:hAnsi="Times New Roman"/>
          <w:b/>
        </w:rPr>
        <w:t xml:space="preserve"> </w:t>
      </w:r>
      <w:r w:rsidRPr="00EC6ABE" w:rsidR="00DE1E36">
        <w:rPr>
          <w:rFonts w:ascii="Times New Roman" w:hAnsi="Times New Roman"/>
          <w:b/>
        </w:rPr>
        <w:t>(P25 CAP)</w:t>
      </w:r>
    </w:p>
    <w:p w:rsidR="000E54E9" w:rsidP="000E54E9" w:rsidRDefault="000E54E9">
      <w:pPr>
        <w:jc w:val="center"/>
        <w:rPr>
          <w:rFonts w:ascii="Times New Roman" w:hAnsi="Times New Roman"/>
          <w:b/>
          <w:bCs/>
        </w:rPr>
      </w:pPr>
      <w:r w:rsidRPr="00AA74A2">
        <w:rPr>
          <w:rFonts w:ascii="Times New Roman" w:hAnsi="Times New Roman"/>
          <w:b/>
          <w:bCs/>
        </w:rPr>
        <w:t>(OMB No. 1640-</w:t>
      </w:r>
      <w:r>
        <w:rPr>
          <w:rFonts w:ascii="Times New Roman" w:hAnsi="Times New Roman"/>
          <w:b/>
          <w:bCs/>
        </w:rPr>
        <w:t>0015</w:t>
      </w:r>
      <w:r w:rsidRPr="00AA74A2">
        <w:rPr>
          <w:rFonts w:ascii="Times New Roman" w:hAnsi="Times New Roman"/>
          <w:b/>
          <w:bCs/>
        </w:rPr>
        <w:t>)</w:t>
      </w:r>
    </w:p>
    <w:p w:rsidR="00897BC7" w:rsidP="000E54E9" w:rsidRDefault="00897BC7">
      <w:pPr>
        <w:jc w:val="center"/>
        <w:rPr>
          <w:rFonts w:ascii="Times New Roman" w:hAnsi="Times New Roman"/>
          <w:b/>
          <w:bCs/>
        </w:rPr>
      </w:pPr>
      <w:r w:rsidRPr="00897BC7">
        <w:rPr>
          <w:rFonts w:ascii="Times New Roman" w:hAnsi="Times New Roman"/>
          <w:b/>
          <w:bCs/>
        </w:rPr>
        <w:t xml:space="preserve">Suppliers Declaration of Compliance </w:t>
      </w:r>
      <w:r>
        <w:rPr>
          <w:rFonts w:ascii="Times New Roman" w:hAnsi="Times New Roman"/>
          <w:b/>
          <w:bCs/>
        </w:rPr>
        <w:t>(SDoC) form</w:t>
      </w:r>
    </w:p>
    <w:p w:rsidRPr="008A5EF1" w:rsidR="000E54E9" w:rsidP="00202CFA" w:rsidRDefault="00897BC7">
      <w:pPr>
        <w:jc w:val="center"/>
        <w:rPr>
          <w:rFonts w:ascii="Times New Roman" w:hAnsi="Times New Roman"/>
        </w:rPr>
      </w:pPr>
      <w:r w:rsidRPr="00897BC7">
        <w:rPr>
          <w:rFonts w:ascii="Times New Roman" w:hAnsi="Times New Roman"/>
          <w:b/>
          <w:bCs/>
        </w:rPr>
        <w:t>Summary Test Report (STR)</w:t>
      </w:r>
      <w:r>
        <w:rPr>
          <w:rFonts w:ascii="Times New Roman" w:hAnsi="Times New Roman"/>
          <w:b/>
          <w:bCs/>
        </w:rPr>
        <w:t xml:space="preserve"> report</w:t>
      </w:r>
    </w:p>
    <w:p w:rsidRPr="008A5EF1" w:rsidR="000E54E9" w:rsidRDefault="000E54E9">
      <w:pPr>
        <w:jc w:val="both"/>
        <w:rPr>
          <w:rFonts w:ascii="Times New Roman" w:hAnsi="Times New Roman"/>
        </w:rPr>
      </w:pPr>
    </w:p>
    <w:p w:rsidRPr="008A5EF1" w:rsidR="000E54E9" w:rsidRDefault="000E54E9">
      <w:pPr>
        <w:jc w:val="both"/>
        <w:rPr>
          <w:rFonts w:ascii="Times New Roman" w:hAnsi="Times New Roman"/>
        </w:rPr>
      </w:pPr>
      <w:r w:rsidRPr="008A5EF1">
        <w:rPr>
          <w:rFonts w:ascii="Times New Roman" w:hAnsi="Times New Roman"/>
          <w:b/>
          <w:bCs/>
        </w:rPr>
        <w:t>A.  Justification</w:t>
      </w:r>
    </w:p>
    <w:p w:rsidRPr="008A5EF1" w:rsidR="000E54E9" w:rsidRDefault="000E54E9">
      <w:pPr>
        <w:jc w:val="both"/>
        <w:rPr>
          <w:rFonts w:ascii="Times New Roman" w:hAnsi="Times New Roman"/>
        </w:rPr>
      </w:pPr>
    </w:p>
    <w:p w:rsidR="00980494" w:rsidP="00980494" w:rsidRDefault="000E54E9">
      <w:pPr>
        <w:numPr>
          <w:ilvl w:val="0"/>
          <w:numId w:val="10"/>
        </w:numPr>
        <w:rPr>
          <w:rFonts w:ascii="Times New Roman" w:hAnsi="Times New Roman"/>
        </w:rPr>
      </w:pPr>
      <w:r w:rsidRPr="005A7DD1">
        <w:rPr>
          <w:rFonts w:ascii="Times New Roman" w:hAnsi="Times New Roman"/>
        </w:rPr>
        <w:t>The following is a request for a review of the Supplier</w:t>
      </w:r>
      <w:r w:rsidRPr="006B47F7" w:rsidR="00DE1E36">
        <w:rPr>
          <w:rFonts w:ascii="Times New Roman" w:hAnsi="Times New Roman"/>
        </w:rPr>
        <w:t>s</w:t>
      </w:r>
      <w:r w:rsidRPr="006B47F7">
        <w:rPr>
          <w:rFonts w:ascii="Times New Roman" w:hAnsi="Times New Roman"/>
        </w:rPr>
        <w:t>’</w:t>
      </w:r>
      <w:r w:rsidRPr="005A7DD1">
        <w:rPr>
          <w:rFonts w:ascii="Times New Roman" w:hAnsi="Times New Roman"/>
        </w:rPr>
        <w:t xml:space="preserve"> Declaration of Compliance</w:t>
      </w:r>
      <w:r w:rsidR="006B47F7">
        <w:rPr>
          <w:rFonts w:ascii="Times New Roman" w:hAnsi="Times New Roman"/>
        </w:rPr>
        <w:t xml:space="preserve"> </w:t>
      </w:r>
      <w:r w:rsidRPr="00202CFA" w:rsidR="006B47F7">
        <w:rPr>
          <w:rFonts w:ascii="Times New Roman" w:hAnsi="Times New Roman"/>
        </w:rPr>
        <w:t>(SDoC)</w:t>
      </w:r>
      <w:r w:rsidRPr="005A7DD1">
        <w:rPr>
          <w:rFonts w:ascii="Times New Roman" w:hAnsi="Times New Roman"/>
        </w:rPr>
        <w:t xml:space="preserve"> form for the Department of Homeland Security (DHS)</w:t>
      </w:r>
      <w:r w:rsidR="00DE1E36">
        <w:rPr>
          <w:rFonts w:ascii="Times New Roman" w:hAnsi="Times New Roman"/>
        </w:rPr>
        <w:t xml:space="preserve"> Science and Technology (S&amp;T) Directorate</w:t>
      </w:r>
      <w:r w:rsidRPr="005A7DD1">
        <w:rPr>
          <w:rFonts w:ascii="Times New Roman" w:hAnsi="Times New Roman"/>
        </w:rPr>
        <w:t xml:space="preserve"> Project 25 Compliance Assessment Program (P25 CAP).  The September 11 attacks and Hurricane Katrina made apparent the need for public safety radio systems to interoperate, regardless of who manufactured the equipment.  </w:t>
      </w:r>
      <w:r w:rsidRPr="00980494" w:rsidR="00980494">
        <w:rPr>
          <w:rFonts w:ascii="Times New Roman" w:hAnsi="Times New Roman"/>
        </w:rPr>
        <w:t>The Intelligence Reform and Terrorism Prevention Act of 2004</w:t>
      </w:r>
      <w:r w:rsidR="002C6885">
        <w:rPr>
          <w:rFonts w:ascii="Times New Roman" w:hAnsi="Times New Roman"/>
        </w:rPr>
        <w:t xml:space="preserve">, </w:t>
      </w:r>
      <w:r w:rsidRPr="00980494" w:rsidR="00980494">
        <w:rPr>
          <w:rFonts w:ascii="Times New Roman" w:hAnsi="Times New Roman"/>
        </w:rPr>
        <w:t>Public Law 108-458</w:t>
      </w:r>
      <w:r w:rsidR="002C6885">
        <w:rPr>
          <w:rFonts w:ascii="Times New Roman" w:hAnsi="Times New Roman"/>
        </w:rPr>
        <w:t>, codified at 6 U.S.C. § 194,</w:t>
      </w:r>
      <w:r w:rsidRPr="00980494" w:rsidR="00980494">
        <w:rPr>
          <w:rFonts w:ascii="Times New Roman" w:hAnsi="Times New Roman"/>
        </w:rPr>
        <w:t xml:space="preserve"> established the Office for Interoperability and Compatibility (OIC), within the </w:t>
      </w:r>
      <w:r w:rsidR="00202CFA">
        <w:rPr>
          <w:rFonts w:ascii="Times New Roman" w:hAnsi="Times New Roman"/>
        </w:rPr>
        <w:t>S&amp;T</w:t>
      </w:r>
      <w:r w:rsidRPr="00980494" w:rsidR="00980494">
        <w:rPr>
          <w:rFonts w:ascii="Times New Roman" w:hAnsi="Times New Roman"/>
        </w:rPr>
        <w:t xml:space="preserve"> Directorate, to enhance public safety interoperable communications at all levels of government.</w:t>
      </w:r>
    </w:p>
    <w:p w:rsidRPr="00980494" w:rsidR="00264D08" w:rsidP="00264D08" w:rsidRDefault="00264D08">
      <w:pPr>
        <w:ind w:left="630"/>
        <w:rPr>
          <w:rFonts w:ascii="Times New Roman" w:hAnsi="Times New Roman"/>
        </w:rPr>
      </w:pPr>
    </w:p>
    <w:p w:rsidRPr="005A7DD1" w:rsidR="000E54E9" w:rsidP="00DE1E36" w:rsidRDefault="00980494">
      <w:pPr>
        <w:ind w:left="630"/>
        <w:rPr>
          <w:rFonts w:ascii="Times New Roman" w:hAnsi="Times New Roman"/>
        </w:rPr>
      </w:pPr>
      <w:r w:rsidRPr="00980494">
        <w:rPr>
          <w:rFonts w:ascii="Times New Roman" w:hAnsi="Times New Roman"/>
        </w:rPr>
        <w:t>The Homeland Security Appropriations Act, 2007</w:t>
      </w:r>
      <w:r w:rsidR="002C6885">
        <w:rPr>
          <w:rFonts w:ascii="Times New Roman" w:hAnsi="Times New Roman"/>
        </w:rPr>
        <w:t xml:space="preserve">, </w:t>
      </w:r>
      <w:r w:rsidRPr="00980494">
        <w:rPr>
          <w:rFonts w:ascii="Times New Roman" w:hAnsi="Times New Roman"/>
        </w:rPr>
        <w:t>Public Law 109-295</w:t>
      </w:r>
      <w:r w:rsidR="002C6885">
        <w:rPr>
          <w:rFonts w:ascii="Times New Roman" w:hAnsi="Times New Roman"/>
        </w:rPr>
        <w:t>, codified at 6 U.S.C. §</w:t>
      </w:r>
      <w:r w:rsidR="00317773">
        <w:rPr>
          <w:rFonts w:ascii="Times New Roman" w:hAnsi="Times New Roman"/>
        </w:rPr>
        <w:t>§</w:t>
      </w:r>
      <w:r w:rsidR="002C6885">
        <w:rPr>
          <w:rFonts w:ascii="Times New Roman" w:hAnsi="Times New Roman"/>
        </w:rPr>
        <w:t xml:space="preserve"> 195</w:t>
      </w:r>
      <w:r w:rsidR="00317773">
        <w:rPr>
          <w:rFonts w:ascii="Times New Roman" w:hAnsi="Times New Roman"/>
        </w:rPr>
        <w:t xml:space="preserve"> and 195a</w:t>
      </w:r>
      <w:r w:rsidRPr="00980494">
        <w:rPr>
          <w:rFonts w:ascii="Times New Roman" w:hAnsi="Times New Roman"/>
        </w:rPr>
        <w:t xml:space="preserve"> further </w:t>
      </w:r>
      <w:r w:rsidR="002C6885">
        <w:rPr>
          <w:rFonts w:ascii="Times New Roman" w:hAnsi="Times New Roman"/>
        </w:rPr>
        <w:t>authorized</w:t>
      </w:r>
      <w:r w:rsidRPr="00980494">
        <w:rPr>
          <w:rFonts w:ascii="Times New Roman" w:hAnsi="Times New Roman"/>
        </w:rPr>
        <w:t xml:space="preserve"> OIC</w:t>
      </w:r>
      <w:r w:rsidR="002C6885">
        <w:rPr>
          <w:rFonts w:ascii="Times New Roman" w:hAnsi="Times New Roman"/>
        </w:rPr>
        <w:t xml:space="preserve"> </w:t>
      </w:r>
      <w:r w:rsidRPr="00980494">
        <w:rPr>
          <w:rFonts w:ascii="Times New Roman" w:hAnsi="Times New Roman"/>
        </w:rPr>
        <w:t>to focus on research, development, testing, and evaluation and acceleration of the development of standards to improve interoperable communications.</w:t>
      </w:r>
      <w:r>
        <w:rPr>
          <w:rFonts w:ascii="Times New Roman" w:hAnsi="Times New Roman"/>
        </w:rPr>
        <w:t xml:space="preserve">  As part of these responsibilities and i</w:t>
      </w:r>
      <w:r w:rsidRPr="005A7DD1" w:rsidR="000E54E9">
        <w:rPr>
          <w:rFonts w:ascii="Times New Roman" w:hAnsi="Times New Roman"/>
        </w:rPr>
        <w:t>n response</w:t>
      </w:r>
      <w:r>
        <w:rPr>
          <w:rFonts w:ascii="Times New Roman" w:hAnsi="Times New Roman"/>
        </w:rPr>
        <w:t xml:space="preserve"> to specific </w:t>
      </w:r>
      <w:r w:rsidRPr="00796CC8" w:rsidR="000E54E9">
        <w:rPr>
          <w:rFonts w:ascii="Times New Roman" w:hAnsi="Times New Roman"/>
        </w:rPr>
        <w:t>Congressional direction</w:t>
      </w:r>
      <w:r w:rsidRPr="005A7DD1" w:rsidR="000E54E9">
        <w:rPr>
          <w:rFonts w:ascii="Times New Roman" w:hAnsi="Times New Roman"/>
        </w:rPr>
        <w:t>, DHS developed the P25 CAP to improve public safety confidence in purchasing land mobile radio (LMR) equipment built to Project 25 LMR (P25) standards, especially those P25 standards related to improving interoperability between different manufacturer</w:t>
      </w:r>
      <w:r w:rsidR="00DE3771">
        <w:rPr>
          <w:rFonts w:ascii="Times New Roman" w:hAnsi="Times New Roman"/>
        </w:rPr>
        <w:t>s</w:t>
      </w:r>
      <w:r w:rsidRPr="005A7DD1" w:rsidR="000E54E9">
        <w:rPr>
          <w:rFonts w:ascii="Times New Roman" w:hAnsi="Times New Roman"/>
        </w:rPr>
        <w:t>’ radio systems.</w:t>
      </w:r>
      <w:r w:rsidRPr="005A7DD1" w:rsidR="000E54E9">
        <w:rPr>
          <w:rStyle w:val="FootnoteReference"/>
          <w:rFonts w:ascii="Times New Roman" w:hAnsi="Times New Roman"/>
          <w:vertAlign w:val="superscript"/>
        </w:rPr>
        <w:footnoteReference w:id="1"/>
      </w:r>
      <w:r w:rsidRPr="005A7DD1" w:rsidR="000E54E9">
        <w:rPr>
          <w:rFonts w:ascii="Times New Roman" w:hAnsi="Times New Roman"/>
        </w:rPr>
        <w:t xml:space="preserve">  A key part of the program involves informing the emergency response community of products that comply with P25 standards.  The DHS</w:t>
      </w:r>
      <w:r w:rsidR="00DE3771">
        <w:rPr>
          <w:rFonts w:ascii="Times New Roman" w:hAnsi="Times New Roman"/>
        </w:rPr>
        <w:t xml:space="preserve"> </w:t>
      </w:r>
      <w:r w:rsidRPr="005A7DD1" w:rsidR="000E54E9">
        <w:rPr>
          <w:rFonts w:ascii="Times New Roman" w:hAnsi="Times New Roman"/>
        </w:rPr>
        <w:t>needs to be able to collect essential information from manufacture</w:t>
      </w:r>
      <w:r w:rsidR="00DE3771">
        <w:rPr>
          <w:rFonts w:ascii="Times New Roman" w:hAnsi="Times New Roman"/>
        </w:rPr>
        <w:t>r</w:t>
      </w:r>
      <w:r w:rsidRPr="005A7DD1" w:rsidR="000E54E9">
        <w:rPr>
          <w:rFonts w:ascii="Times New Roman" w:hAnsi="Times New Roman"/>
        </w:rPr>
        <w:t>s on their products that have met P25 standards as demonstrated through the P25 CAP.</w:t>
      </w:r>
    </w:p>
    <w:p w:rsidRPr="005A7DD1" w:rsidR="000E54E9" w:rsidP="000E54E9" w:rsidRDefault="000E54E9">
      <w:pPr>
        <w:rPr>
          <w:rFonts w:ascii="Times New Roman" w:hAnsi="Times New Roman"/>
        </w:rPr>
      </w:pPr>
    </w:p>
    <w:p w:rsidRPr="005A7DD1" w:rsidR="000E54E9" w:rsidP="000E54E9" w:rsidRDefault="000E54E9">
      <w:pPr>
        <w:ind w:left="720"/>
        <w:rPr>
          <w:rFonts w:ascii="Times New Roman" w:hAnsi="Times New Roman"/>
        </w:rPr>
      </w:pPr>
      <w:r w:rsidRPr="005A7DD1">
        <w:rPr>
          <w:rFonts w:ascii="Times New Roman" w:hAnsi="Times New Roman"/>
        </w:rPr>
        <w:t xml:space="preserve">It is important to note that the P25 CAP </w:t>
      </w:r>
      <w:r w:rsidR="00EA0FC2">
        <w:rPr>
          <w:rFonts w:ascii="Times New Roman" w:hAnsi="Times New Roman"/>
        </w:rPr>
        <w:t xml:space="preserve">has had </w:t>
      </w:r>
      <w:r w:rsidRPr="005A7DD1">
        <w:rPr>
          <w:rFonts w:ascii="Times New Roman" w:hAnsi="Times New Roman"/>
        </w:rPr>
        <w:t xml:space="preserve">an impact on over </w:t>
      </w:r>
      <w:r w:rsidR="00EA0FC2">
        <w:rPr>
          <w:rFonts w:ascii="Times New Roman" w:hAnsi="Times New Roman"/>
        </w:rPr>
        <w:t xml:space="preserve">a </w:t>
      </w:r>
      <w:r w:rsidRPr="005A7DD1">
        <w:rPr>
          <w:rFonts w:ascii="Times New Roman" w:hAnsi="Times New Roman"/>
          <w:i/>
        </w:rPr>
        <w:t>$1 billion in Federal grants</w:t>
      </w:r>
      <w:r w:rsidRPr="005A7DD1">
        <w:rPr>
          <w:rFonts w:ascii="Times New Roman" w:hAnsi="Times New Roman"/>
        </w:rPr>
        <w:t>, including;</w:t>
      </w:r>
    </w:p>
    <w:p w:rsidRPr="005A7DD1" w:rsidR="000E54E9" w:rsidP="000E54E9" w:rsidRDefault="000E54E9">
      <w:pPr>
        <w:ind w:left="720"/>
        <w:rPr>
          <w:rFonts w:ascii="Times New Roman" w:hAnsi="Times New Roman"/>
        </w:rPr>
      </w:pPr>
    </w:p>
    <w:p w:rsidRPr="005A7DD1" w:rsidR="000E54E9" w:rsidP="000E54E9" w:rsidRDefault="000E54E9">
      <w:pPr>
        <w:widowControl/>
        <w:numPr>
          <w:ilvl w:val="0"/>
          <w:numId w:val="1"/>
        </w:numPr>
        <w:autoSpaceDE/>
        <w:autoSpaceDN/>
        <w:adjustRightInd/>
        <w:ind w:left="720" w:firstLine="0"/>
        <w:rPr>
          <w:rFonts w:ascii="Times New Roman" w:hAnsi="Times New Roman"/>
        </w:rPr>
      </w:pPr>
      <w:r w:rsidRPr="005A7DD1">
        <w:rPr>
          <w:rFonts w:ascii="Times New Roman" w:hAnsi="Times New Roman"/>
        </w:rPr>
        <w:t>The Public Safety Interoperable Communications (PSIC) grant program being administered jointly by the Department of Commerce and DHS;</w:t>
      </w:r>
    </w:p>
    <w:p w:rsidRPr="005A7DD1" w:rsidR="000E54E9" w:rsidP="000E54E9" w:rsidRDefault="000E54E9">
      <w:pPr>
        <w:widowControl/>
        <w:numPr>
          <w:ilvl w:val="0"/>
          <w:numId w:val="1"/>
        </w:numPr>
        <w:autoSpaceDE/>
        <w:autoSpaceDN/>
        <w:adjustRightInd/>
        <w:ind w:left="720" w:firstLine="0"/>
        <w:rPr>
          <w:rFonts w:ascii="Times New Roman" w:hAnsi="Times New Roman"/>
        </w:rPr>
      </w:pPr>
      <w:r w:rsidRPr="005A7DD1">
        <w:rPr>
          <w:rFonts w:ascii="Times New Roman" w:hAnsi="Times New Roman"/>
        </w:rPr>
        <w:t>A discretionary grant program for public safety interoperability to be administered by the DHS Office of Emergency Communications; and</w:t>
      </w:r>
    </w:p>
    <w:p w:rsidRPr="005A7DD1" w:rsidR="000E54E9" w:rsidP="000E54E9" w:rsidRDefault="00EA0FC2">
      <w:pPr>
        <w:widowControl/>
        <w:numPr>
          <w:ilvl w:val="0"/>
          <w:numId w:val="1"/>
        </w:numPr>
        <w:autoSpaceDE/>
        <w:autoSpaceDN/>
        <w:adjustRightInd/>
        <w:ind w:left="720" w:firstLine="0"/>
        <w:rPr>
          <w:rFonts w:ascii="Times New Roman" w:hAnsi="Times New Roman"/>
        </w:rPr>
      </w:pPr>
      <w:r>
        <w:rPr>
          <w:rFonts w:ascii="Times New Roman" w:hAnsi="Times New Roman"/>
        </w:rPr>
        <w:lastRenderedPageBreak/>
        <w:t>D</w:t>
      </w:r>
      <w:r w:rsidRPr="005A7DD1" w:rsidR="000E54E9">
        <w:rPr>
          <w:rFonts w:ascii="Times New Roman" w:hAnsi="Times New Roman"/>
        </w:rPr>
        <w:t xml:space="preserve">irected grants for public safety interoperable equipment to be administered by the </w:t>
      </w:r>
      <w:r w:rsidR="00EC6ABE">
        <w:rPr>
          <w:rFonts w:ascii="Times New Roman" w:hAnsi="Times New Roman"/>
        </w:rPr>
        <w:t>Department of Justice (</w:t>
      </w:r>
      <w:r w:rsidRPr="005A7DD1" w:rsidR="000E54E9">
        <w:rPr>
          <w:rFonts w:ascii="Times New Roman" w:hAnsi="Times New Roman"/>
        </w:rPr>
        <w:t>DoJ</w:t>
      </w:r>
      <w:r w:rsidR="00EC6ABE">
        <w:rPr>
          <w:rFonts w:ascii="Times New Roman" w:hAnsi="Times New Roman"/>
        </w:rPr>
        <w:t>)</w:t>
      </w:r>
      <w:r w:rsidRPr="005A7DD1" w:rsidR="000E54E9">
        <w:rPr>
          <w:rFonts w:ascii="Times New Roman" w:hAnsi="Times New Roman"/>
        </w:rPr>
        <w:t xml:space="preserve"> Office of Community Oriented Policing Services.</w:t>
      </w:r>
    </w:p>
    <w:p w:rsidRPr="005A7DD1" w:rsidR="000E54E9" w:rsidP="000E54E9" w:rsidRDefault="000E54E9">
      <w:pPr>
        <w:ind w:left="720"/>
        <w:rPr>
          <w:rFonts w:ascii="Times New Roman" w:hAnsi="Times New Roman"/>
        </w:rPr>
      </w:pPr>
    </w:p>
    <w:p w:rsidRPr="005A7DD1" w:rsidR="000E54E9" w:rsidP="000E54E9" w:rsidRDefault="000E54E9">
      <w:pPr>
        <w:ind w:left="720"/>
        <w:rPr>
          <w:rFonts w:ascii="Times New Roman" w:hAnsi="Times New Roman"/>
        </w:rPr>
      </w:pPr>
      <w:r w:rsidRPr="005A7DD1">
        <w:rPr>
          <w:rFonts w:ascii="Times New Roman" w:hAnsi="Times New Roman"/>
        </w:rPr>
        <w:t xml:space="preserve">It should also be understood that because it can take up to a year or more for Federal grant dollars to be made available to the ultimate grant recipient (the local entity after being administered by the State), in addition to the amount of time required for agencies to develop Requests for Proposals (RFPs) for vendors, it is very likely that </w:t>
      </w:r>
      <w:r w:rsidR="009E5719">
        <w:rPr>
          <w:rFonts w:ascii="Times New Roman" w:hAnsi="Times New Roman"/>
        </w:rPr>
        <w:t xml:space="preserve">since the </w:t>
      </w:r>
      <w:r w:rsidRPr="005A7DD1">
        <w:rPr>
          <w:rFonts w:ascii="Times New Roman" w:hAnsi="Times New Roman"/>
        </w:rPr>
        <w:t>launch of the P25 CAP</w:t>
      </w:r>
      <w:r w:rsidR="007C4BDB">
        <w:rPr>
          <w:rFonts w:ascii="Times New Roman" w:hAnsi="Times New Roman"/>
        </w:rPr>
        <w:t>,</w:t>
      </w:r>
      <w:r w:rsidRPr="005A7DD1">
        <w:rPr>
          <w:rFonts w:ascii="Times New Roman" w:hAnsi="Times New Roman"/>
        </w:rPr>
        <w:t xml:space="preserve"> Federal grant dollars from FY06 and FY07 (potentially another $1-$3</w:t>
      </w:r>
      <w:r w:rsidR="007506C9">
        <w:rPr>
          <w:rFonts w:ascii="Times New Roman" w:hAnsi="Times New Roman"/>
        </w:rPr>
        <w:t xml:space="preserve"> </w:t>
      </w:r>
      <w:r w:rsidRPr="005A7DD1">
        <w:rPr>
          <w:rFonts w:ascii="Times New Roman" w:hAnsi="Times New Roman"/>
        </w:rPr>
        <w:t>billion in Federal grants)</w:t>
      </w:r>
      <w:r w:rsidR="009E5719">
        <w:rPr>
          <w:rFonts w:ascii="Times New Roman" w:hAnsi="Times New Roman"/>
        </w:rPr>
        <w:t xml:space="preserve"> have been impacted.</w:t>
      </w:r>
      <w:r w:rsidRPr="005A7DD1">
        <w:rPr>
          <w:rStyle w:val="FootnoteReference"/>
          <w:rFonts w:ascii="Times New Roman" w:hAnsi="Times New Roman"/>
          <w:vertAlign w:val="superscript"/>
        </w:rPr>
        <w:footnoteReference w:id="2"/>
      </w:r>
    </w:p>
    <w:p w:rsidRPr="005A7DD1" w:rsidR="000E54E9" w:rsidP="000E54E9" w:rsidRDefault="000E54E9">
      <w:pPr>
        <w:ind w:left="720"/>
        <w:rPr>
          <w:rFonts w:ascii="Times New Roman" w:hAnsi="Times New Roman"/>
        </w:rPr>
      </w:pPr>
    </w:p>
    <w:p w:rsidRPr="008A5EF1" w:rsidR="000E54E9" w:rsidP="000E54E9" w:rsidRDefault="000E54E9">
      <w:pPr>
        <w:ind w:left="720"/>
        <w:rPr>
          <w:rFonts w:ascii="Times New Roman" w:hAnsi="Times New Roman"/>
        </w:rPr>
      </w:pPr>
      <w:r w:rsidRPr="005A7DD1">
        <w:rPr>
          <w:rFonts w:ascii="Times New Roman" w:hAnsi="Times New Roman"/>
        </w:rPr>
        <w:t>These estimates do not include the significant amount of funds spent every year by Federal public safety agencies procuring equipment for their own activities, or the billions spent annually by State and local governments using their own tax dollars to buy LMR equipment.  It is expected that many of these agencies would also leverage the P25 CAP for their procurements.</w:t>
      </w:r>
    </w:p>
    <w:p w:rsidR="008B102E" w:rsidP="000E54E9" w:rsidRDefault="008B102E">
      <w:pPr>
        <w:tabs>
          <w:tab w:val="left" w:pos="-1440"/>
        </w:tabs>
        <w:jc w:val="both"/>
        <w:rPr>
          <w:rFonts w:ascii="Times New Roman" w:hAnsi="Times New Roman"/>
        </w:rPr>
      </w:pPr>
    </w:p>
    <w:p w:rsidRPr="005A7DD1" w:rsidR="000E54E9" w:rsidP="00CA5CC5" w:rsidRDefault="000E54E9">
      <w:pPr>
        <w:numPr>
          <w:ilvl w:val="0"/>
          <w:numId w:val="10"/>
        </w:numPr>
        <w:tabs>
          <w:tab w:val="left" w:pos="-1440"/>
        </w:tabs>
        <w:ind w:hanging="630"/>
        <w:jc w:val="both"/>
        <w:rPr>
          <w:rFonts w:ascii="Times New Roman" w:hAnsi="Times New Roman"/>
        </w:rPr>
      </w:pPr>
      <w:r w:rsidRPr="005A7DD1">
        <w:rPr>
          <w:rFonts w:ascii="Times New Roman" w:hAnsi="Times New Roman"/>
        </w:rPr>
        <w:t>Equipment suppliers provide the information to publicly attest to their products</w:t>
      </w:r>
      <w:r w:rsidR="00264D08">
        <w:rPr>
          <w:rFonts w:ascii="Times New Roman" w:hAnsi="Times New Roman"/>
        </w:rPr>
        <w:t>’</w:t>
      </w:r>
      <w:r w:rsidRPr="005A7DD1">
        <w:rPr>
          <w:rFonts w:ascii="Times New Roman" w:hAnsi="Times New Roman"/>
        </w:rPr>
        <w:t xml:space="preserve"> compliance with a specific set of P25 standards.  The SDoC, and an accompanying summary test report which substantiates the declaration, constitutes a compan</w:t>
      </w:r>
      <w:r w:rsidR="00566BCA">
        <w:rPr>
          <w:rFonts w:ascii="Times New Roman" w:hAnsi="Times New Roman"/>
        </w:rPr>
        <w:t>y’</w:t>
      </w:r>
      <w:r w:rsidRPr="005A7DD1">
        <w:rPr>
          <w:rFonts w:ascii="Times New Roman" w:hAnsi="Times New Roman"/>
        </w:rPr>
        <w:t xml:space="preserve">s formal, public attestation of compliance with the standards for the equipment.  In turn, </w:t>
      </w:r>
      <w:r w:rsidR="008F5C80">
        <w:rPr>
          <w:rFonts w:ascii="Times New Roman" w:hAnsi="Times New Roman"/>
        </w:rPr>
        <w:t>f</w:t>
      </w:r>
      <w:r w:rsidRPr="008F5C80" w:rsidR="008F5C80">
        <w:rPr>
          <w:rFonts w:ascii="Times New Roman" w:hAnsi="Times New Roman"/>
        </w:rPr>
        <w:t>irst responders at local, tribal, state, and federal levels across multiple disciplines including law enforcement, fire, and emergency medical services personnel</w:t>
      </w:r>
      <w:r w:rsidR="008F5C80">
        <w:rPr>
          <w:rFonts w:ascii="Times New Roman" w:hAnsi="Times New Roman"/>
        </w:rPr>
        <w:t xml:space="preserve">, </w:t>
      </w:r>
      <w:r w:rsidRPr="005A7DD1">
        <w:rPr>
          <w:rFonts w:ascii="Times New Roman" w:hAnsi="Times New Roman"/>
        </w:rPr>
        <w:t>will use this information to identify P25 compliant communications system products.  The P25 CAP Program Manager performs a simple administrative review to ensure the documentation is complete and accurate in accordance with the current P25 CAP processes.</w:t>
      </w:r>
    </w:p>
    <w:p w:rsidRPr="005A7DD1" w:rsidR="000E54E9" w:rsidP="000E54E9" w:rsidRDefault="000E54E9">
      <w:pPr>
        <w:rPr>
          <w:rFonts w:ascii="Times New Roman" w:hAnsi="Times New Roman"/>
        </w:rPr>
      </w:pPr>
    </w:p>
    <w:p w:rsidRPr="008A5EF1" w:rsidR="000E54E9" w:rsidP="00D04C7C" w:rsidRDefault="000E54E9">
      <w:pPr>
        <w:ind w:left="630"/>
        <w:rPr>
          <w:rFonts w:ascii="Times New Roman" w:hAnsi="Times New Roman"/>
        </w:rPr>
      </w:pPr>
      <w:r w:rsidRPr="005A7DD1">
        <w:rPr>
          <w:rFonts w:ascii="Times New Roman" w:hAnsi="Times New Roman"/>
        </w:rPr>
        <w:t>This information is collected, maintained, and used in a way that is consistent with the applicable DHS CIO Information Quality Guidelines and Standards. Information quality is ensured through the effective implementation of the DHS Management System, which is documented through a quality manual and supporting procedures, instructions and forms.  The template is based on requirements in ISO/IEC 17050:2004.</w:t>
      </w:r>
      <w:r w:rsidRPr="008A5EF1">
        <w:rPr>
          <w:rFonts w:ascii="Times New Roman" w:hAnsi="Times New Roman"/>
        </w:rPr>
        <w:t xml:space="preserve"> </w:t>
      </w:r>
    </w:p>
    <w:p w:rsidR="000E54E9" w:rsidRDefault="000E54E9">
      <w:pPr>
        <w:tabs>
          <w:tab w:val="left" w:pos="-1440"/>
        </w:tabs>
        <w:ind w:left="720" w:hanging="720"/>
        <w:jc w:val="both"/>
        <w:rPr>
          <w:rFonts w:ascii="Times New Roman" w:hAnsi="Times New Roman"/>
        </w:rPr>
      </w:pPr>
    </w:p>
    <w:p w:rsidRPr="009C6C2D" w:rsidR="009C6C2D" w:rsidP="00590C0C" w:rsidRDefault="000E54E9">
      <w:pPr>
        <w:numPr>
          <w:ilvl w:val="0"/>
          <w:numId w:val="10"/>
        </w:numPr>
        <w:jc w:val="both"/>
        <w:rPr>
          <w:rFonts w:ascii="Times New Roman" w:hAnsi="Times New Roman"/>
        </w:rPr>
      </w:pPr>
      <w:r w:rsidRPr="009C6C2D">
        <w:rPr>
          <w:rFonts w:ascii="Times New Roman" w:hAnsi="Times New Roman"/>
        </w:rPr>
        <w:t>The Suppliers</w:t>
      </w:r>
      <w:r w:rsidR="006B47F7">
        <w:rPr>
          <w:rFonts w:ascii="Times New Roman" w:hAnsi="Times New Roman"/>
        </w:rPr>
        <w:t>’</w:t>
      </w:r>
      <w:r w:rsidRPr="009C6C2D">
        <w:rPr>
          <w:rFonts w:ascii="Times New Roman" w:hAnsi="Times New Roman"/>
        </w:rPr>
        <w:t xml:space="preserve"> Declaration of Compliance (SDoC) will be posted on the </w:t>
      </w:r>
      <w:r w:rsidR="00590C0C">
        <w:rPr>
          <w:rFonts w:ascii="Times New Roman" w:hAnsi="Times New Roman"/>
        </w:rPr>
        <w:t>dhs</w:t>
      </w:r>
      <w:r w:rsidR="00F22EA1">
        <w:rPr>
          <w:rFonts w:ascii="Times New Roman" w:hAnsi="Times New Roman"/>
        </w:rPr>
        <w:t>.gov</w:t>
      </w:r>
      <w:r w:rsidRPr="009C6C2D">
        <w:rPr>
          <w:rFonts w:ascii="Times New Roman" w:hAnsi="Times New Roman"/>
        </w:rPr>
        <w:t xml:space="preserve"> website (</w:t>
      </w:r>
      <w:r w:rsidRPr="00590C0C" w:rsidR="00590C0C">
        <w:rPr>
          <w:rFonts w:ascii="Times New Roman" w:hAnsi="Times New Roman"/>
        </w:rPr>
        <w:t>https://www.dhs.gov/science-and-technology/p25-cap</w:t>
      </w:r>
      <w:r w:rsidR="009C6C2D">
        <w:rPr>
          <w:rFonts w:ascii="Times New Roman" w:hAnsi="Times New Roman"/>
        </w:rPr>
        <w:t xml:space="preserve">). </w:t>
      </w:r>
      <w:r w:rsidR="00871CB6">
        <w:rPr>
          <w:rFonts w:ascii="Times New Roman" w:hAnsi="Times New Roman"/>
        </w:rPr>
        <w:t xml:space="preserve">The Summary Test Report (STR) will be made available upon request (P25CAP@hq.dhs.gov). </w:t>
      </w:r>
      <w:r w:rsidRPr="009C6C2D" w:rsidR="009C6C2D">
        <w:rPr>
          <w:rFonts w:ascii="Times New Roman" w:hAnsi="Times New Roman"/>
        </w:rPr>
        <w:t>The supplier may complete the form</w:t>
      </w:r>
      <w:r w:rsidR="009C6C2D">
        <w:rPr>
          <w:rFonts w:ascii="Times New Roman" w:hAnsi="Times New Roman"/>
        </w:rPr>
        <w:t>s</w:t>
      </w:r>
      <w:r w:rsidRPr="009C6C2D" w:rsidR="009C6C2D">
        <w:rPr>
          <w:rFonts w:ascii="Times New Roman" w:hAnsi="Times New Roman"/>
        </w:rPr>
        <w:t xml:space="preserve"> electronically or by hand. The completed form may then be submitted via email</w:t>
      </w:r>
      <w:r w:rsidR="00590C0C">
        <w:rPr>
          <w:rFonts w:ascii="Times New Roman" w:hAnsi="Times New Roman"/>
        </w:rPr>
        <w:t xml:space="preserve"> (</w:t>
      </w:r>
      <w:hyperlink w:history="1" r:id="rId11">
        <w:r w:rsidRPr="003F75A2" w:rsidR="00590C0C">
          <w:rPr>
            <w:rStyle w:val="Hyperlink"/>
            <w:rFonts w:ascii="Times New Roman" w:hAnsi="Times New Roman"/>
          </w:rPr>
          <w:t>P25CAP@hq.dhs.gov</w:t>
        </w:r>
      </w:hyperlink>
      <w:r w:rsidR="00590C0C">
        <w:rPr>
          <w:rFonts w:ascii="Times New Roman" w:hAnsi="Times New Roman"/>
        </w:rPr>
        <w:t xml:space="preserve">) </w:t>
      </w:r>
      <w:r w:rsidRPr="009C6C2D" w:rsidR="009C6C2D">
        <w:rPr>
          <w:rFonts w:ascii="Times New Roman" w:hAnsi="Times New Roman"/>
        </w:rPr>
        <w:t>to the OIC P25 CAP Program Manager.</w:t>
      </w:r>
    </w:p>
    <w:p w:rsidR="000E54E9" w:rsidP="009C6C2D" w:rsidRDefault="000E54E9">
      <w:pPr>
        <w:jc w:val="both"/>
        <w:rPr>
          <w:rFonts w:ascii="Times New Roman" w:hAnsi="Times New Roman"/>
        </w:rPr>
      </w:pPr>
    </w:p>
    <w:p w:rsidRPr="009C6C2D" w:rsidR="008B102E" w:rsidP="009C6C2D" w:rsidRDefault="008B102E">
      <w:pPr>
        <w:jc w:val="both"/>
        <w:rPr>
          <w:rFonts w:ascii="Times New Roman" w:hAnsi="Times New Roman"/>
        </w:rPr>
      </w:pPr>
    </w:p>
    <w:p w:rsidR="00EC6ABE" w:rsidP="00EC6ABE" w:rsidRDefault="00EC6ABE">
      <w:pPr>
        <w:numPr>
          <w:ilvl w:val="0"/>
          <w:numId w:val="10"/>
        </w:numPr>
        <w:tabs>
          <w:tab w:val="left" w:pos="-1440"/>
        </w:tabs>
        <w:jc w:val="both"/>
        <w:rPr>
          <w:rFonts w:ascii="Times New Roman" w:hAnsi="Times New Roman"/>
        </w:rPr>
      </w:pPr>
      <w:r w:rsidRPr="00EC6ABE">
        <w:rPr>
          <w:rFonts w:ascii="Times New Roman" w:hAnsi="Times New Roman"/>
        </w:rPr>
        <w:lastRenderedPageBreak/>
        <w:t>This information is not collected in any form, and therefor</w:t>
      </w:r>
      <w:r>
        <w:rPr>
          <w:rFonts w:ascii="Times New Roman" w:hAnsi="Times New Roman"/>
        </w:rPr>
        <w:t>e</w:t>
      </w:r>
      <w:r w:rsidRPr="00EC6ABE">
        <w:rPr>
          <w:rFonts w:ascii="Times New Roman" w:hAnsi="Times New Roman"/>
        </w:rPr>
        <w:t xml:space="preserve"> is not duplicated elsewhere.</w:t>
      </w:r>
    </w:p>
    <w:p w:rsidR="00EC6ABE" w:rsidP="00EC6ABE" w:rsidRDefault="00EC6ABE">
      <w:pPr>
        <w:tabs>
          <w:tab w:val="left" w:pos="-1440"/>
        </w:tabs>
        <w:ind w:left="630"/>
        <w:jc w:val="both"/>
        <w:rPr>
          <w:rFonts w:ascii="Times New Roman" w:hAnsi="Times New Roman"/>
        </w:rPr>
      </w:pPr>
    </w:p>
    <w:p w:rsidR="000E54E9" w:rsidP="00EC6ABE" w:rsidRDefault="000E54E9">
      <w:pPr>
        <w:pStyle w:val="Default"/>
        <w:numPr>
          <w:ilvl w:val="0"/>
          <w:numId w:val="10"/>
        </w:numPr>
        <w:tabs>
          <w:tab w:val="left" w:pos="-1440"/>
        </w:tabs>
        <w:jc w:val="both"/>
      </w:pPr>
      <w:r w:rsidRPr="00234CF9">
        <w:t>The collection of this information does not impact small business or other small entities.</w:t>
      </w:r>
    </w:p>
    <w:p w:rsidR="00264D08" w:rsidP="00264D08" w:rsidRDefault="00264D08">
      <w:pPr>
        <w:pStyle w:val="ListParagraph"/>
      </w:pPr>
    </w:p>
    <w:p w:rsidRPr="00264D08" w:rsidR="000E54E9" w:rsidP="004170F3" w:rsidRDefault="000E54E9">
      <w:pPr>
        <w:pStyle w:val="Default"/>
        <w:numPr>
          <w:ilvl w:val="0"/>
          <w:numId w:val="10"/>
        </w:numPr>
        <w:tabs>
          <w:tab w:val="left" w:pos="-1440"/>
        </w:tabs>
        <w:jc w:val="both"/>
      </w:pPr>
      <w:r w:rsidRPr="00264D08">
        <w:t xml:space="preserve">If the information is not collected or not collected on a regular interval, P25 CAP could not operate in conformance with the Charter for the Project 25 Compliance Assessment Program: </w:t>
      </w:r>
      <w:r w:rsidRPr="00264D08" w:rsidR="00871CB6">
        <w:t xml:space="preserve">December </w:t>
      </w:r>
      <w:r w:rsidRPr="00264D08">
        <w:t>20</w:t>
      </w:r>
      <w:r w:rsidRPr="00264D08" w:rsidR="00871CB6">
        <w:t>16</w:t>
      </w:r>
      <w:r w:rsidRPr="00264D08">
        <w:t>,</w:t>
      </w:r>
      <w:r w:rsidRPr="00264D08" w:rsidR="004170F3">
        <w:t xml:space="preserve"> </w:t>
      </w:r>
      <w:r w:rsidRPr="00264D08" w:rsidR="004170F3">
        <w:rPr>
          <w:rFonts w:eastAsia="Calibri"/>
          <w:bCs/>
          <w:lang w:val="en"/>
        </w:rPr>
        <w:t>International Organization for Standardization/International Electrotechnical Commission</w:t>
      </w:r>
      <w:r w:rsidRPr="00264D08">
        <w:t xml:space="preserve"> </w:t>
      </w:r>
      <w:r w:rsidRPr="00264D08" w:rsidR="005D6E0C">
        <w:t>(</w:t>
      </w:r>
      <w:r w:rsidRPr="00264D08">
        <w:t>ISO/IEC</w:t>
      </w:r>
      <w:r w:rsidRPr="00264D08" w:rsidR="005D6E0C">
        <w:t>)</w:t>
      </w:r>
      <w:r w:rsidRPr="00264D08">
        <w:t xml:space="preserve"> 17050:2004, </w:t>
      </w:r>
      <w:r w:rsidRPr="00264D08">
        <w:rPr>
          <w:rFonts w:eastAsia="Calibri"/>
          <w:bCs/>
          <w:lang w:val="en"/>
        </w:rPr>
        <w:t>and</w:t>
      </w:r>
      <w:r w:rsidRPr="00264D08" w:rsidR="004170F3">
        <w:rPr>
          <w:rFonts w:eastAsia="Calibri"/>
          <w:bCs/>
          <w:lang w:val="en"/>
        </w:rPr>
        <w:t xml:space="preserve"> </w:t>
      </w:r>
      <w:hyperlink w:history="1" r:id="rId12">
        <w:r w:rsidRPr="00264D08" w:rsidR="004170F3">
          <w:rPr>
            <w:rFonts w:eastAsia="Calibri"/>
            <w:bCs/>
            <w:color w:val="auto"/>
            <w:lang w:val="en"/>
          </w:rPr>
          <w:t>National Institute of Science and Technology</w:t>
        </w:r>
      </w:hyperlink>
      <w:r w:rsidRPr="00264D08">
        <w:t xml:space="preserve"> </w:t>
      </w:r>
      <w:r w:rsidRPr="00264D08" w:rsidR="00264D08">
        <w:t>(</w:t>
      </w:r>
      <w:r w:rsidRPr="00264D08">
        <w:t>NIST</w:t>
      </w:r>
      <w:r w:rsidRPr="00264D08" w:rsidR="00264D08">
        <w:t>)</w:t>
      </w:r>
      <w:r w:rsidRPr="00264D08">
        <w:t xml:space="preserve"> Handbook 153:2009. </w:t>
      </w:r>
    </w:p>
    <w:p w:rsidRPr="008A5EF1" w:rsidR="000E54E9" w:rsidP="000E54E9" w:rsidRDefault="000E54E9">
      <w:pPr>
        <w:rPr>
          <w:rFonts w:ascii="Times New Roman" w:hAnsi="Times New Roman"/>
        </w:rPr>
      </w:pPr>
    </w:p>
    <w:p w:rsidR="000E54E9" w:rsidP="000E54E9" w:rsidRDefault="000E54E9">
      <w:pPr>
        <w:ind w:left="720"/>
        <w:rPr>
          <w:rFonts w:ascii="Times New Roman" w:hAnsi="Times New Roman"/>
        </w:rPr>
      </w:pPr>
      <w:r w:rsidRPr="008A5EF1">
        <w:rPr>
          <w:rFonts w:ascii="Times New Roman" w:hAnsi="Times New Roman"/>
        </w:rPr>
        <w:t>If the information is collected less frequently</w:t>
      </w:r>
      <w:r w:rsidR="00D04C7C">
        <w:rPr>
          <w:rFonts w:ascii="Times New Roman" w:hAnsi="Times New Roman"/>
        </w:rPr>
        <w:t>,</w:t>
      </w:r>
      <w:r w:rsidRPr="008A5EF1">
        <w:rPr>
          <w:rFonts w:ascii="Times New Roman" w:hAnsi="Times New Roman"/>
        </w:rPr>
        <w:t xml:space="preserve"> then the P25 CAP is at risk that</w:t>
      </w:r>
      <w:r>
        <w:rPr>
          <w:rFonts w:ascii="Times New Roman" w:hAnsi="Times New Roman"/>
        </w:rPr>
        <w:t xml:space="preserve"> e</w:t>
      </w:r>
      <w:r w:rsidRPr="005A7DD1">
        <w:rPr>
          <w:rFonts w:ascii="Times New Roman" w:hAnsi="Times New Roman"/>
        </w:rPr>
        <w:t xml:space="preserve">quipment suppliers will </w:t>
      </w:r>
      <w:r>
        <w:rPr>
          <w:rFonts w:ascii="Times New Roman" w:hAnsi="Times New Roman"/>
        </w:rPr>
        <w:t xml:space="preserve">be unable to </w:t>
      </w:r>
      <w:r w:rsidRPr="005A7DD1">
        <w:rPr>
          <w:rFonts w:ascii="Times New Roman" w:hAnsi="Times New Roman"/>
        </w:rPr>
        <w:t>publicly attest to their products</w:t>
      </w:r>
      <w:r w:rsidR="00D04C7C">
        <w:rPr>
          <w:rFonts w:ascii="Times New Roman" w:hAnsi="Times New Roman"/>
        </w:rPr>
        <w:t>’</w:t>
      </w:r>
      <w:r w:rsidRPr="005A7DD1">
        <w:rPr>
          <w:rFonts w:ascii="Times New Roman" w:hAnsi="Times New Roman"/>
        </w:rPr>
        <w:t xml:space="preserve"> compliance with a specific set of P25 standards</w:t>
      </w:r>
      <w:r>
        <w:rPr>
          <w:rFonts w:ascii="Times New Roman" w:hAnsi="Times New Roman"/>
        </w:rPr>
        <w:t xml:space="preserve"> through a rigorous assessment process.  In addition, </w:t>
      </w:r>
      <w:r w:rsidRPr="005A7DD1">
        <w:rPr>
          <w:rFonts w:ascii="Times New Roman" w:hAnsi="Times New Roman"/>
        </w:rPr>
        <w:t xml:space="preserve">the emergency </w:t>
      </w:r>
      <w:r w:rsidR="009E5719">
        <w:rPr>
          <w:rFonts w:ascii="Times New Roman" w:hAnsi="Times New Roman"/>
        </w:rPr>
        <w:t xml:space="preserve">response </w:t>
      </w:r>
      <w:r w:rsidRPr="005A7DD1">
        <w:rPr>
          <w:rFonts w:ascii="Times New Roman" w:hAnsi="Times New Roman"/>
        </w:rPr>
        <w:t xml:space="preserve">community will </w:t>
      </w:r>
      <w:r>
        <w:rPr>
          <w:rFonts w:ascii="Times New Roman" w:hAnsi="Times New Roman"/>
        </w:rPr>
        <w:t xml:space="preserve">be unable to </w:t>
      </w:r>
      <w:r w:rsidRPr="005A7DD1">
        <w:rPr>
          <w:rFonts w:ascii="Times New Roman" w:hAnsi="Times New Roman"/>
        </w:rPr>
        <w:t>identify P25 compliant c</w:t>
      </w:r>
      <w:r>
        <w:rPr>
          <w:rFonts w:ascii="Times New Roman" w:hAnsi="Times New Roman"/>
        </w:rPr>
        <w:t xml:space="preserve">ommunications system products as attested by a rigorous assessment process. </w:t>
      </w:r>
    </w:p>
    <w:p w:rsidRPr="008A5EF1" w:rsidR="000E54E9" w:rsidP="000E54E9" w:rsidRDefault="000E54E9">
      <w:pPr>
        <w:ind w:left="720"/>
        <w:rPr>
          <w:rFonts w:ascii="Times New Roman" w:hAnsi="Times New Roman"/>
        </w:rPr>
      </w:pPr>
    </w:p>
    <w:p w:rsidRPr="008A5EF1" w:rsidR="000E54E9" w:rsidP="000E54E9" w:rsidRDefault="000E54E9">
      <w:pPr>
        <w:ind w:left="720"/>
        <w:rPr>
          <w:rFonts w:ascii="Times New Roman" w:hAnsi="Times New Roman"/>
        </w:rPr>
      </w:pPr>
      <w:r w:rsidRPr="008A5EF1">
        <w:rPr>
          <w:rFonts w:ascii="Times New Roman" w:hAnsi="Times New Roman"/>
        </w:rPr>
        <w:t>If not conducted, DHS S&amp;T would be unable to comply with the specific Congressional direction previously mentioned</w:t>
      </w:r>
      <w:r w:rsidR="00264D08">
        <w:rPr>
          <w:rFonts w:ascii="Times New Roman" w:hAnsi="Times New Roman"/>
        </w:rPr>
        <w:t xml:space="preserve"> (see footnote 1)</w:t>
      </w:r>
      <w:r w:rsidRPr="008A5EF1">
        <w:rPr>
          <w:rFonts w:ascii="Times New Roman" w:hAnsi="Times New Roman"/>
        </w:rPr>
        <w:t>.</w:t>
      </w:r>
    </w:p>
    <w:p w:rsidRPr="008A5EF1" w:rsidR="008B102E" w:rsidRDefault="008B102E">
      <w:pPr>
        <w:jc w:val="both"/>
        <w:rPr>
          <w:rFonts w:ascii="Times New Roman" w:hAnsi="Times New Roman"/>
        </w:rPr>
      </w:pPr>
    </w:p>
    <w:p w:rsidR="006F19C8" w:rsidP="00566BCA" w:rsidRDefault="00566BCA">
      <w:pPr>
        <w:numPr>
          <w:ilvl w:val="0"/>
          <w:numId w:val="10"/>
        </w:numPr>
        <w:tabs>
          <w:tab w:val="left" w:pos="-1440"/>
        </w:tabs>
        <w:ind w:hanging="630"/>
        <w:jc w:val="both"/>
        <w:rPr>
          <w:rFonts w:ascii="Times New Roman" w:hAnsi="Times New Roman"/>
        </w:rPr>
      </w:pPr>
      <w:r w:rsidRPr="00566BCA">
        <w:rPr>
          <w:rFonts w:ascii="Times New Roman" w:hAnsi="Times New Roman"/>
        </w:rPr>
        <w:t>This information collection is conducted in a manner consistent with guidelines 5 CFR 1320.5(d)(2).</w:t>
      </w:r>
    </w:p>
    <w:p w:rsidR="008B102E" w:rsidP="006F19C8" w:rsidRDefault="008B102E">
      <w:pPr>
        <w:tabs>
          <w:tab w:val="left" w:pos="-1440"/>
        </w:tabs>
        <w:ind w:left="720"/>
        <w:jc w:val="both"/>
        <w:rPr>
          <w:rFonts w:ascii="Times New Roman" w:hAnsi="Times New Roman"/>
        </w:rPr>
      </w:pPr>
    </w:p>
    <w:p w:rsidR="009D1439" w:rsidP="00864C3F" w:rsidRDefault="00864C3F">
      <w:pPr>
        <w:numPr>
          <w:ilvl w:val="0"/>
          <w:numId w:val="10"/>
        </w:numPr>
        <w:tabs>
          <w:tab w:val="left" w:pos="-1440"/>
        </w:tabs>
        <w:jc w:val="both"/>
        <w:rPr>
          <w:rFonts w:ascii="Times New Roman" w:hAnsi="Times New Roman"/>
        </w:rPr>
      </w:pPr>
      <w:r w:rsidRPr="00864C3F">
        <w:rPr>
          <w:rFonts w:ascii="Times New Roman" w:hAnsi="Times New Roman"/>
        </w:rPr>
        <w:t>In accordance with 5 CFR 1320.8(d)</w:t>
      </w:r>
      <w:r>
        <w:rPr>
          <w:rFonts w:ascii="Times New Roman" w:hAnsi="Times New Roman"/>
        </w:rPr>
        <w:t xml:space="preserve">, </w:t>
      </w:r>
      <w:r w:rsidR="00955B34">
        <w:rPr>
          <w:rFonts w:ascii="Times New Roman" w:hAnsi="Times New Roman"/>
        </w:rPr>
        <w:t xml:space="preserve">a 60-day </w:t>
      </w:r>
      <w:r w:rsidR="00CD1298">
        <w:rPr>
          <w:rFonts w:ascii="Times New Roman" w:hAnsi="Times New Roman"/>
        </w:rPr>
        <w:t>notice for public comment was</w:t>
      </w:r>
      <w:r w:rsidR="00955B34">
        <w:rPr>
          <w:rFonts w:ascii="Times New Roman" w:hAnsi="Times New Roman"/>
        </w:rPr>
        <w:t xml:space="preserve"> published </w:t>
      </w:r>
      <w:r w:rsidR="00CD1298">
        <w:rPr>
          <w:rFonts w:ascii="Times New Roman" w:hAnsi="Times New Roman"/>
        </w:rPr>
        <w:t>in the Federal Register on 21 March 2019</w:t>
      </w:r>
      <w:r w:rsidR="009D1439">
        <w:rPr>
          <w:rFonts w:ascii="Times New Roman" w:hAnsi="Times New Roman"/>
        </w:rPr>
        <w:t xml:space="preserve"> </w:t>
      </w:r>
      <w:r w:rsidR="00955B34">
        <w:rPr>
          <w:rFonts w:ascii="Times New Roman" w:hAnsi="Times New Roman"/>
        </w:rPr>
        <w:t xml:space="preserve">at </w:t>
      </w:r>
      <w:r w:rsidR="007C608F">
        <w:rPr>
          <w:rFonts w:ascii="Times New Roman" w:hAnsi="Times New Roman"/>
        </w:rPr>
        <w:t>84</w:t>
      </w:r>
      <w:r w:rsidRPr="00955B34" w:rsidR="00123BB2">
        <w:rPr>
          <w:rFonts w:ascii="Times New Roman" w:hAnsi="Times New Roman"/>
        </w:rPr>
        <w:t xml:space="preserve"> </w:t>
      </w:r>
      <w:r w:rsidRPr="00955B34" w:rsidR="00955B34">
        <w:rPr>
          <w:rFonts w:ascii="Times New Roman" w:hAnsi="Times New Roman"/>
        </w:rPr>
        <w:t>FR</w:t>
      </w:r>
      <w:r w:rsidR="00CD1298">
        <w:rPr>
          <w:rFonts w:ascii="Times New Roman" w:hAnsi="Times New Roman"/>
        </w:rPr>
        <w:t xml:space="preserve"> </w:t>
      </w:r>
      <w:r w:rsidR="007C608F">
        <w:rPr>
          <w:rFonts w:ascii="Times New Roman" w:hAnsi="Times New Roman"/>
        </w:rPr>
        <w:t>10524</w:t>
      </w:r>
      <w:r w:rsidR="00955B34">
        <w:rPr>
          <w:rFonts w:ascii="Times New Roman" w:hAnsi="Times New Roman"/>
        </w:rPr>
        <w:t xml:space="preserve"> and no public comments were received.  </w:t>
      </w:r>
      <w:r w:rsidR="00ED563F">
        <w:rPr>
          <w:rFonts w:ascii="Times New Roman" w:hAnsi="Times New Roman"/>
        </w:rPr>
        <w:t xml:space="preserve">Further, a second Federal Register Notice soliciting public comment for a 30-day period was published on </w:t>
      </w:r>
      <w:r w:rsidR="007C608F">
        <w:rPr>
          <w:rFonts w:ascii="Times New Roman" w:hAnsi="Times New Roman"/>
        </w:rPr>
        <w:t xml:space="preserve">1 </w:t>
      </w:r>
      <w:r w:rsidR="00CD1298">
        <w:rPr>
          <w:rFonts w:ascii="Times New Roman" w:hAnsi="Times New Roman"/>
        </w:rPr>
        <w:t xml:space="preserve">July </w:t>
      </w:r>
      <w:r w:rsidR="007C608F">
        <w:rPr>
          <w:rFonts w:ascii="Times New Roman" w:hAnsi="Times New Roman"/>
        </w:rPr>
        <w:t>2019</w:t>
      </w:r>
      <w:r w:rsidR="00ED563F">
        <w:rPr>
          <w:rFonts w:ascii="Times New Roman" w:hAnsi="Times New Roman"/>
        </w:rPr>
        <w:t xml:space="preserve"> at </w:t>
      </w:r>
      <w:r w:rsidR="007C608F">
        <w:rPr>
          <w:rFonts w:ascii="Times New Roman" w:hAnsi="Times New Roman"/>
        </w:rPr>
        <w:t>84</w:t>
      </w:r>
      <w:r w:rsidR="00ED563F">
        <w:rPr>
          <w:rFonts w:ascii="Times New Roman" w:hAnsi="Times New Roman"/>
        </w:rPr>
        <w:t xml:space="preserve"> FR </w:t>
      </w:r>
      <w:r w:rsidR="007C608F">
        <w:rPr>
          <w:rFonts w:ascii="Times New Roman" w:hAnsi="Times New Roman"/>
        </w:rPr>
        <w:t>31327</w:t>
      </w:r>
      <w:r w:rsidR="00ED563F">
        <w:rPr>
          <w:rFonts w:ascii="Times New Roman" w:hAnsi="Times New Roman"/>
        </w:rPr>
        <w:t xml:space="preserve"> and public comments </w:t>
      </w:r>
      <w:r w:rsidR="007C608F">
        <w:rPr>
          <w:rFonts w:ascii="Times New Roman" w:hAnsi="Times New Roman"/>
        </w:rPr>
        <w:t>are not anticipated.</w:t>
      </w:r>
      <w:r w:rsidR="00ED563F">
        <w:rPr>
          <w:rFonts w:ascii="Times New Roman" w:hAnsi="Times New Roman"/>
        </w:rPr>
        <w:t xml:space="preserve">.  </w:t>
      </w:r>
    </w:p>
    <w:p w:rsidR="009D1439" w:rsidP="009E621C" w:rsidRDefault="009D1439">
      <w:pPr>
        <w:pStyle w:val="ListParagraph"/>
        <w:ind w:hanging="630"/>
        <w:rPr>
          <w:rFonts w:ascii="Times New Roman" w:hAnsi="Times New Roman"/>
        </w:rPr>
      </w:pPr>
    </w:p>
    <w:p w:rsidRPr="008A5EF1" w:rsidR="000E54E9" w:rsidP="00CA5CC5" w:rsidRDefault="000E54E9">
      <w:pPr>
        <w:numPr>
          <w:ilvl w:val="0"/>
          <w:numId w:val="10"/>
        </w:numPr>
        <w:tabs>
          <w:tab w:val="left" w:pos="-1440"/>
        </w:tabs>
        <w:ind w:hanging="630"/>
        <w:jc w:val="both"/>
        <w:rPr>
          <w:rFonts w:ascii="Times New Roman" w:hAnsi="Times New Roman"/>
        </w:rPr>
      </w:pPr>
      <w:r w:rsidRPr="001F3F19">
        <w:rPr>
          <w:rFonts w:ascii="Times New Roman" w:hAnsi="Times New Roman"/>
        </w:rPr>
        <w:t>DHS S&amp;T does not provide payments or gifts to respondents in exchange for a benefit sought.</w:t>
      </w:r>
    </w:p>
    <w:p w:rsidRPr="008A5EF1" w:rsidR="008B102E" w:rsidP="00CA5CC5" w:rsidRDefault="008B102E">
      <w:pPr>
        <w:tabs>
          <w:tab w:val="left" w:pos="-1440"/>
        </w:tabs>
        <w:ind w:left="720" w:hanging="630"/>
        <w:jc w:val="both"/>
        <w:rPr>
          <w:rFonts w:ascii="Times New Roman" w:hAnsi="Times New Roman"/>
        </w:rPr>
      </w:pPr>
    </w:p>
    <w:p w:rsidR="00A2013B" w:rsidP="00A2013B" w:rsidRDefault="006B47F7">
      <w:pPr>
        <w:numPr>
          <w:ilvl w:val="0"/>
          <w:numId w:val="15"/>
        </w:numPr>
        <w:tabs>
          <w:tab w:val="left" w:pos="-1440"/>
        </w:tabs>
        <w:jc w:val="both"/>
        <w:rPr>
          <w:rFonts w:ascii="Times New Roman" w:hAnsi="Times New Roman"/>
        </w:rPr>
      </w:pPr>
      <w:r w:rsidRPr="00566BCA">
        <w:rPr>
          <w:rFonts w:ascii="Times New Roman" w:hAnsi="Times New Roman"/>
        </w:rPr>
        <w:t>DHS has no assurances of confidentiality.  There is an existing Privacy Impact Assessment (DHS/ALL/PIA-006</w:t>
      </w:r>
      <w:r w:rsidR="00A2013B">
        <w:rPr>
          <w:rFonts w:ascii="Times New Roman" w:hAnsi="Times New Roman"/>
        </w:rPr>
        <w:t xml:space="preserve"> DHS General Contact Lists) for this collection.  The DHS Privacy Office has determined that no System of Records Notice is required in connection with this collection.</w:t>
      </w:r>
    </w:p>
    <w:p w:rsidR="006B47F7" w:rsidP="00566BCA" w:rsidRDefault="006B47F7">
      <w:pPr>
        <w:pStyle w:val="CommentText"/>
        <w:ind w:left="270"/>
      </w:pPr>
    </w:p>
    <w:p w:rsidR="000E54E9" w:rsidP="00CA5CC5" w:rsidRDefault="008E44E7">
      <w:pPr>
        <w:numPr>
          <w:ilvl w:val="0"/>
          <w:numId w:val="10"/>
        </w:numPr>
        <w:ind w:hanging="630"/>
        <w:rPr>
          <w:rFonts w:ascii="Times New Roman" w:hAnsi="Times New Roman"/>
        </w:rPr>
      </w:pPr>
      <w:r>
        <w:rPr>
          <w:rFonts w:ascii="Times New Roman" w:hAnsi="Times New Roman"/>
        </w:rPr>
        <w:t>There are no questions of a sensitive nature</w:t>
      </w:r>
      <w:r w:rsidR="00FF3DBE">
        <w:rPr>
          <w:rFonts w:ascii="Times New Roman" w:hAnsi="Times New Roman"/>
        </w:rPr>
        <w:t>.</w:t>
      </w:r>
      <w:r>
        <w:rPr>
          <w:rFonts w:ascii="Times New Roman" w:hAnsi="Times New Roman"/>
        </w:rPr>
        <w:t xml:space="preserve"> </w:t>
      </w:r>
    </w:p>
    <w:p w:rsidR="008014CC" w:rsidP="0023491B" w:rsidRDefault="008014CC">
      <w:pPr>
        <w:pStyle w:val="ListParagraph"/>
        <w:ind w:left="0"/>
        <w:rPr>
          <w:rFonts w:ascii="Times New Roman" w:hAnsi="Times New Roman"/>
        </w:rPr>
      </w:pPr>
    </w:p>
    <w:p w:rsidR="0023491B" w:rsidP="0023491B" w:rsidRDefault="0023491B">
      <w:pPr>
        <w:pStyle w:val="ListParagraph"/>
        <w:ind w:left="0"/>
        <w:rPr>
          <w:rFonts w:ascii="Times New Roman" w:hAnsi="Times New Roman"/>
        </w:rPr>
      </w:pPr>
    </w:p>
    <w:p w:rsidR="0023491B" w:rsidP="0023491B" w:rsidRDefault="0023491B">
      <w:pPr>
        <w:pStyle w:val="ListParagraph"/>
        <w:ind w:left="0"/>
        <w:rPr>
          <w:rFonts w:ascii="Times New Roman" w:hAnsi="Times New Roman"/>
        </w:rPr>
      </w:pPr>
    </w:p>
    <w:p w:rsidR="0023491B" w:rsidP="0023491B" w:rsidRDefault="0023491B">
      <w:pPr>
        <w:pStyle w:val="ListParagraph"/>
        <w:ind w:left="0"/>
        <w:rPr>
          <w:rFonts w:ascii="Times New Roman" w:hAnsi="Times New Roman"/>
        </w:rPr>
      </w:pPr>
    </w:p>
    <w:p w:rsidR="0023491B" w:rsidP="0023491B" w:rsidRDefault="0023491B">
      <w:pPr>
        <w:pStyle w:val="ListParagraph"/>
        <w:ind w:left="0"/>
        <w:rPr>
          <w:rFonts w:ascii="Times New Roman" w:hAnsi="Times New Roman"/>
        </w:rPr>
      </w:pPr>
    </w:p>
    <w:p w:rsidR="0023491B" w:rsidP="0023491B" w:rsidRDefault="0023491B">
      <w:pPr>
        <w:pStyle w:val="ListParagraph"/>
        <w:ind w:left="0"/>
        <w:rPr>
          <w:rFonts w:ascii="Times New Roman" w:hAnsi="Times New Roman"/>
        </w:rPr>
      </w:pPr>
    </w:p>
    <w:p w:rsidR="008E44E7" w:rsidP="00CA5CC5" w:rsidRDefault="008E44E7">
      <w:pPr>
        <w:numPr>
          <w:ilvl w:val="0"/>
          <w:numId w:val="10"/>
        </w:numPr>
        <w:ind w:hanging="630"/>
        <w:rPr>
          <w:rFonts w:ascii="Times New Roman" w:hAnsi="Times New Roman"/>
        </w:rPr>
      </w:pPr>
      <w:r>
        <w:rPr>
          <w:rFonts w:ascii="Times New Roman" w:hAnsi="Times New Roman"/>
        </w:rPr>
        <w:t>Estimated Annualized Burden Hours and Costs</w:t>
      </w:r>
    </w:p>
    <w:p w:rsidR="00047F16" w:rsidP="00D345CB" w:rsidRDefault="00047F16">
      <w:pPr>
        <w:tabs>
          <w:tab w:val="left" w:pos="-1440"/>
        </w:tabs>
        <w:jc w:val="both"/>
        <w:rPr>
          <w:rFonts w:ascii="Times New Roman" w:hAnsi="Times New Roman"/>
          <w:b/>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1"/>
        <w:gridCol w:w="1376"/>
        <w:gridCol w:w="1524"/>
        <w:gridCol w:w="1270"/>
        <w:gridCol w:w="1176"/>
        <w:gridCol w:w="992"/>
        <w:gridCol w:w="951"/>
        <w:gridCol w:w="1431"/>
      </w:tblGrid>
      <w:tr w:rsidRPr="00263AC3" w:rsidR="002E0C0E" w:rsidTr="002E0C0E">
        <w:tc>
          <w:tcPr>
            <w:tcW w:w="1349" w:type="dxa"/>
            <w:shd w:val="clear" w:color="auto" w:fill="auto"/>
          </w:tcPr>
          <w:p w:rsidRPr="00263AC3" w:rsidR="00047F16" w:rsidP="0023491B" w:rsidRDefault="00047F16">
            <w:pPr>
              <w:tabs>
                <w:tab w:val="left" w:pos="-1440"/>
              </w:tabs>
              <w:jc w:val="center"/>
              <w:rPr>
                <w:rFonts w:ascii="Times New Roman" w:hAnsi="Times New Roman"/>
                <w:b/>
              </w:rPr>
            </w:pPr>
            <w:r w:rsidRPr="00263AC3">
              <w:rPr>
                <w:rFonts w:ascii="Times New Roman" w:hAnsi="Times New Roman"/>
                <w:b/>
              </w:rPr>
              <w:t>Type of Respondent</w:t>
            </w:r>
          </w:p>
        </w:tc>
        <w:tc>
          <w:tcPr>
            <w:tcW w:w="1376" w:type="dxa"/>
            <w:shd w:val="clear" w:color="auto" w:fill="auto"/>
          </w:tcPr>
          <w:p w:rsidRPr="00263AC3" w:rsidR="00047F16" w:rsidP="0023491B" w:rsidRDefault="00047F16">
            <w:pPr>
              <w:tabs>
                <w:tab w:val="left" w:pos="-1440"/>
              </w:tabs>
              <w:jc w:val="center"/>
              <w:rPr>
                <w:rFonts w:ascii="Times New Roman" w:hAnsi="Times New Roman"/>
                <w:b/>
              </w:rPr>
            </w:pPr>
            <w:r w:rsidRPr="00263AC3">
              <w:rPr>
                <w:rFonts w:ascii="Times New Roman" w:hAnsi="Times New Roman"/>
                <w:b/>
              </w:rPr>
              <w:t>Form Name/ Form Number</w:t>
            </w:r>
          </w:p>
        </w:tc>
        <w:tc>
          <w:tcPr>
            <w:tcW w:w="1443" w:type="dxa"/>
            <w:shd w:val="clear" w:color="auto" w:fill="auto"/>
          </w:tcPr>
          <w:p w:rsidRPr="00263AC3" w:rsidR="00047F16" w:rsidP="0023491B" w:rsidRDefault="00047F16">
            <w:pPr>
              <w:tabs>
                <w:tab w:val="left" w:pos="-1440"/>
              </w:tabs>
              <w:jc w:val="center"/>
              <w:rPr>
                <w:rFonts w:ascii="Times New Roman" w:hAnsi="Times New Roman"/>
                <w:b/>
              </w:rPr>
            </w:pPr>
            <w:r w:rsidRPr="00263AC3">
              <w:rPr>
                <w:rFonts w:ascii="Times New Roman" w:hAnsi="Times New Roman"/>
                <w:b/>
              </w:rPr>
              <w:t>No. of Respondents</w:t>
            </w:r>
          </w:p>
        </w:tc>
        <w:tc>
          <w:tcPr>
            <w:tcW w:w="1250" w:type="dxa"/>
            <w:shd w:val="clear" w:color="auto" w:fill="auto"/>
          </w:tcPr>
          <w:p w:rsidRPr="00263AC3" w:rsidR="00047F16" w:rsidP="0023491B" w:rsidRDefault="00840855">
            <w:pPr>
              <w:tabs>
                <w:tab w:val="left" w:pos="-1440"/>
              </w:tabs>
              <w:jc w:val="center"/>
              <w:rPr>
                <w:rFonts w:ascii="Times New Roman" w:hAnsi="Times New Roman"/>
                <w:b/>
              </w:rPr>
            </w:pPr>
            <w:r w:rsidRPr="00263AC3">
              <w:rPr>
                <w:rFonts w:ascii="Times New Roman" w:hAnsi="Times New Roman"/>
                <w:b/>
              </w:rPr>
              <w:t>Total N</w:t>
            </w:r>
            <w:r w:rsidRPr="00263AC3" w:rsidR="0023491B">
              <w:rPr>
                <w:rFonts w:ascii="Times New Roman" w:hAnsi="Times New Roman"/>
                <w:b/>
              </w:rPr>
              <w:t>o.</w:t>
            </w:r>
            <w:r w:rsidRPr="00263AC3">
              <w:rPr>
                <w:rFonts w:ascii="Times New Roman" w:hAnsi="Times New Roman"/>
                <w:b/>
              </w:rPr>
              <w:t xml:space="preserve"> of </w:t>
            </w:r>
            <w:r w:rsidRPr="00263AC3" w:rsidR="005827C7">
              <w:rPr>
                <w:rFonts w:ascii="Times New Roman" w:hAnsi="Times New Roman"/>
                <w:b/>
              </w:rPr>
              <w:t>Responses</w:t>
            </w:r>
          </w:p>
        </w:tc>
        <w:tc>
          <w:tcPr>
            <w:tcW w:w="1250" w:type="dxa"/>
            <w:shd w:val="clear" w:color="auto" w:fill="auto"/>
          </w:tcPr>
          <w:p w:rsidRPr="00263AC3" w:rsidR="00047F16" w:rsidP="0023491B" w:rsidRDefault="00840855">
            <w:pPr>
              <w:tabs>
                <w:tab w:val="left" w:pos="-1440"/>
              </w:tabs>
              <w:jc w:val="center"/>
              <w:rPr>
                <w:rFonts w:ascii="Times New Roman" w:hAnsi="Times New Roman"/>
                <w:b/>
              </w:rPr>
            </w:pPr>
            <w:r w:rsidRPr="00263AC3">
              <w:rPr>
                <w:rFonts w:ascii="Times New Roman" w:hAnsi="Times New Roman"/>
                <w:b/>
              </w:rPr>
              <w:t>**</w:t>
            </w:r>
            <w:r w:rsidRPr="00263AC3" w:rsidR="00047F16">
              <w:rPr>
                <w:rFonts w:ascii="Times New Roman" w:hAnsi="Times New Roman"/>
                <w:b/>
              </w:rPr>
              <w:t>Avg. Burden per Response (in hours)</w:t>
            </w:r>
          </w:p>
        </w:tc>
        <w:tc>
          <w:tcPr>
            <w:tcW w:w="922" w:type="dxa"/>
            <w:shd w:val="clear" w:color="auto" w:fill="auto"/>
          </w:tcPr>
          <w:p w:rsidRPr="00263AC3" w:rsidR="00047F16" w:rsidP="0023491B" w:rsidRDefault="00047F16">
            <w:pPr>
              <w:tabs>
                <w:tab w:val="left" w:pos="-1440"/>
              </w:tabs>
              <w:jc w:val="center"/>
              <w:rPr>
                <w:rFonts w:ascii="Times New Roman" w:hAnsi="Times New Roman"/>
                <w:b/>
              </w:rPr>
            </w:pPr>
            <w:r w:rsidRPr="00263AC3">
              <w:rPr>
                <w:rFonts w:ascii="Times New Roman" w:hAnsi="Times New Roman"/>
                <w:b/>
              </w:rPr>
              <w:t xml:space="preserve">Avg. </w:t>
            </w:r>
            <w:r w:rsidRPr="00263AC3" w:rsidR="00897BC7">
              <w:rPr>
                <w:rFonts w:ascii="Times New Roman" w:hAnsi="Times New Roman"/>
                <w:b/>
              </w:rPr>
              <w:t>Annual Burden (in hours)</w:t>
            </w:r>
          </w:p>
        </w:tc>
        <w:tc>
          <w:tcPr>
            <w:tcW w:w="1248" w:type="dxa"/>
            <w:shd w:val="clear" w:color="auto" w:fill="auto"/>
          </w:tcPr>
          <w:p w:rsidRPr="00263AC3" w:rsidR="00047F16" w:rsidP="0023491B" w:rsidRDefault="006D633B">
            <w:pPr>
              <w:tabs>
                <w:tab w:val="left" w:pos="-1440"/>
              </w:tabs>
              <w:jc w:val="center"/>
              <w:rPr>
                <w:rFonts w:ascii="Times New Roman" w:hAnsi="Times New Roman"/>
                <w:b/>
              </w:rPr>
            </w:pPr>
            <w:r w:rsidRPr="00263AC3">
              <w:rPr>
                <w:rFonts w:ascii="Times New Roman" w:hAnsi="Times New Roman"/>
                <w:b/>
              </w:rPr>
              <w:t>*</w:t>
            </w:r>
            <w:r w:rsidRPr="00263AC3" w:rsidR="00897BC7">
              <w:rPr>
                <w:rFonts w:ascii="Times New Roman" w:hAnsi="Times New Roman"/>
                <w:b/>
              </w:rPr>
              <w:t>Avg. Hourly Wage Rate</w:t>
            </w:r>
          </w:p>
        </w:tc>
        <w:tc>
          <w:tcPr>
            <w:tcW w:w="1260" w:type="dxa"/>
            <w:shd w:val="clear" w:color="auto" w:fill="auto"/>
          </w:tcPr>
          <w:p w:rsidRPr="00263AC3" w:rsidR="00047F16" w:rsidP="0023491B" w:rsidRDefault="00897BC7">
            <w:pPr>
              <w:tabs>
                <w:tab w:val="left" w:pos="-1440"/>
              </w:tabs>
              <w:jc w:val="center"/>
              <w:rPr>
                <w:rFonts w:ascii="Times New Roman" w:hAnsi="Times New Roman"/>
                <w:b/>
              </w:rPr>
            </w:pPr>
            <w:r w:rsidRPr="00263AC3">
              <w:rPr>
                <w:rFonts w:ascii="Times New Roman" w:hAnsi="Times New Roman"/>
                <w:b/>
              </w:rPr>
              <w:t>Total Annual Respondent</w:t>
            </w:r>
          </w:p>
        </w:tc>
      </w:tr>
      <w:tr w:rsidRPr="00CB1E9D" w:rsidR="00263AC3" w:rsidTr="002E0C0E">
        <w:tc>
          <w:tcPr>
            <w:tcW w:w="1349" w:type="dxa"/>
            <w:shd w:val="clear" w:color="auto" w:fill="auto"/>
          </w:tcPr>
          <w:p w:rsidRPr="00184B53" w:rsidR="00047F16" w:rsidP="00CB1E9D" w:rsidRDefault="00897BC7">
            <w:pPr>
              <w:tabs>
                <w:tab w:val="left" w:pos="-1440"/>
              </w:tabs>
              <w:jc w:val="both"/>
              <w:rPr>
                <w:rFonts w:ascii="Times New Roman" w:hAnsi="Times New Roman"/>
              </w:rPr>
            </w:pPr>
            <w:r w:rsidRPr="00184B53">
              <w:rPr>
                <w:rFonts w:ascii="Times New Roman" w:hAnsi="Times New Roman"/>
              </w:rPr>
              <w:t>Electrical Engineers</w:t>
            </w:r>
          </w:p>
        </w:tc>
        <w:tc>
          <w:tcPr>
            <w:tcW w:w="1376" w:type="dxa"/>
            <w:shd w:val="clear" w:color="auto" w:fill="auto"/>
          </w:tcPr>
          <w:p w:rsidRPr="008D49F3" w:rsidR="00047F16" w:rsidP="00263AC3" w:rsidRDefault="00897BC7">
            <w:pPr>
              <w:tabs>
                <w:tab w:val="left" w:pos="-1440"/>
              </w:tabs>
              <w:jc w:val="center"/>
              <w:rPr>
                <w:rFonts w:ascii="Times New Roman" w:hAnsi="Times New Roman"/>
              </w:rPr>
            </w:pPr>
            <w:r w:rsidRPr="008D49F3">
              <w:rPr>
                <w:rFonts w:ascii="Times New Roman" w:hAnsi="Times New Roman"/>
              </w:rPr>
              <w:t>Suppliers</w:t>
            </w:r>
            <w:r w:rsidR="002E0C0E">
              <w:rPr>
                <w:rFonts w:ascii="Times New Roman" w:hAnsi="Times New Roman"/>
              </w:rPr>
              <w:t>’</w:t>
            </w:r>
            <w:r w:rsidRPr="008D49F3">
              <w:rPr>
                <w:rFonts w:ascii="Times New Roman" w:hAnsi="Times New Roman"/>
              </w:rPr>
              <w:t xml:space="preserve"> Declaration of Compliance (SDoC) form</w:t>
            </w:r>
          </w:p>
        </w:tc>
        <w:tc>
          <w:tcPr>
            <w:tcW w:w="1443" w:type="dxa"/>
            <w:shd w:val="clear" w:color="auto" w:fill="auto"/>
          </w:tcPr>
          <w:p w:rsidRPr="002E0C0E" w:rsidR="00047F16" w:rsidP="00CB1E9D" w:rsidRDefault="00CE574D">
            <w:pPr>
              <w:tabs>
                <w:tab w:val="left" w:pos="-1440"/>
              </w:tabs>
              <w:jc w:val="both"/>
              <w:rPr>
                <w:rFonts w:ascii="Times New Roman" w:hAnsi="Times New Roman"/>
              </w:rPr>
            </w:pPr>
            <w:r w:rsidRPr="002E0C0E">
              <w:rPr>
                <w:rFonts w:ascii="Times New Roman" w:hAnsi="Times New Roman"/>
              </w:rPr>
              <w:t>12</w:t>
            </w:r>
          </w:p>
        </w:tc>
        <w:tc>
          <w:tcPr>
            <w:tcW w:w="1250" w:type="dxa"/>
            <w:shd w:val="clear" w:color="auto" w:fill="auto"/>
          </w:tcPr>
          <w:p w:rsidRPr="002E0C0E" w:rsidR="00047F16" w:rsidP="00CB1E9D" w:rsidRDefault="00840855">
            <w:pPr>
              <w:tabs>
                <w:tab w:val="left" w:pos="-1440"/>
              </w:tabs>
              <w:jc w:val="both"/>
              <w:rPr>
                <w:rFonts w:ascii="Times New Roman" w:hAnsi="Times New Roman"/>
              </w:rPr>
            </w:pPr>
            <w:r w:rsidRPr="002E0C0E">
              <w:rPr>
                <w:rFonts w:ascii="Times New Roman" w:hAnsi="Times New Roman"/>
              </w:rPr>
              <w:t>144</w:t>
            </w:r>
          </w:p>
        </w:tc>
        <w:tc>
          <w:tcPr>
            <w:tcW w:w="1250"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1</w:t>
            </w:r>
          </w:p>
        </w:tc>
        <w:tc>
          <w:tcPr>
            <w:tcW w:w="922"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144</w:t>
            </w:r>
          </w:p>
        </w:tc>
        <w:tc>
          <w:tcPr>
            <w:tcW w:w="1248"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$65.94</w:t>
            </w:r>
          </w:p>
        </w:tc>
        <w:tc>
          <w:tcPr>
            <w:tcW w:w="1260"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w:t>
            </w:r>
            <w:r w:rsidR="002E0C0E">
              <w:rPr>
                <w:rFonts w:ascii="Times New Roman" w:hAnsi="Times New Roman"/>
              </w:rPr>
              <w:t xml:space="preserve"> </w:t>
            </w:r>
            <w:r w:rsidRPr="002E0C0E">
              <w:rPr>
                <w:rFonts w:ascii="Times New Roman" w:hAnsi="Times New Roman"/>
              </w:rPr>
              <w:t>9,495.36</w:t>
            </w:r>
          </w:p>
        </w:tc>
      </w:tr>
      <w:tr w:rsidRPr="00CB1E9D" w:rsidR="00263AC3" w:rsidTr="002E0C0E">
        <w:tc>
          <w:tcPr>
            <w:tcW w:w="1349" w:type="dxa"/>
            <w:shd w:val="clear" w:color="auto" w:fill="auto"/>
          </w:tcPr>
          <w:p w:rsidRPr="00184B53" w:rsidR="00047F16" w:rsidP="00CB1E9D" w:rsidRDefault="00897BC7">
            <w:pPr>
              <w:tabs>
                <w:tab w:val="left" w:pos="-1440"/>
              </w:tabs>
              <w:jc w:val="both"/>
              <w:rPr>
                <w:rFonts w:ascii="Times New Roman" w:hAnsi="Times New Roman"/>
              </w:rPr>
            </w:pPr>
            <w:r w:rsidRPr="00184B53">
              <w:rPr>
                <w:rFonts w:ascii="Times New Roman" w:hAnsi="Times New Roman"/>
              </w:rPr>
              <w:t>Electrical Engineers</w:t>
            </w:r>
          </w:p>
        </w:tc>
        <w:tc>
          <w:tcPr>
            <w:tcW w:w="1376" w:type="dxa"/>
            <w:shd w:val="clear" w:color="auto" w:fill="auto"/>
          </w:tcPr>
          <w:p w:rsidRPr="008D49F3" w:rsidR="00047F16" w:rsidP="00CB1E9D" w:rsidRDefault="00897BC7">
            <w:pPr>
              <w:tabs>
                <w:tab w:val="left" w:pos="-1440"/>
              </w:tabs>
              <w:jc w:val="both"/>
              <w:rPr>
                <w:rFonts w:ascii="Times New Roman" w:hAnsi="Times New Roman"/>
              </w:rPr>
            </w:pPr>
            <w:r w:rsidRPr="008D49F3">
              <w:rPr>
                <w:rFonts w:ascii="Times New Roman" w:hAnsi="Times New Roman"/>
              </w:rPr>
              <w:t>Summary Test Report (STR) form</w:t>
            </w:r>
          </w:p>
        </w:tc>
        <w:tc>
          <w:tcPr>
            <w:tcW w:w="1443" w:type="dxa"/>
            <w:shd w:val="clear" w:color="auto" w:fill="auto"/>
          </w:tcPr>
          <w:p w:rsidRPr="002E0C0E" w:rsidR="00047F16" w:rsidP="00CB1E9D" w:rsidRDefault="00CE574D">
            <w:pPr>
              <w:tabs>
                <w:tab w:val="left" w:pos="-1440"/>
              </w:tabs>
              <w:jc w:val="both"/>
              <w:rPr>
                <w:rFonts w:ascii="Times New Roman" w:hAnsi="Times New Roman"/>
              </w:rPr>
            </w:pPr>
            <w:r w:rsidRPr="002E0C0E">
              <w:rPr>
                <w:rFonts w:ascii="Times New Roman" w:hAnsi="Times New Roman"/>
              </w:rPr>
              <w:t>12</w:t>
            </w:r>
          </w:p>
        </w:tc>
        <w:tc>
          <w:tcPr>
            <w:tcW w:w="1250" w:type="dxa"/>
            <w:shd w:val="clear" w:color="auto" w:fill="auto"/>
          </w:tcPr>
          <w:p w:rsidRPr="002E0C0E" w:rsidR="00047F16" w:rsidP="00CB1E9D" w:rsidRDefault="002E0C0E">
            <w:pPr>
              <w:tabs>
                <w:tab w:val="left" w:pos="-1440"/>
              </w:tabs>
              <w:jc w:val="both"/>
              <w:rPr>
                <w:rFonts w:ascii="Times New Roman" w:hAnsi="Times New Roman"/>
              </w:rPr>
            </w:pPr>
            <w:r>
              <w:rPr>
                <w:rFonts w:ascii="Times New Roman" w:hAnsi="Times New Roman"/>
              </w:rPr>
              <w:t xml:space="preserve"> </w:t>
            </w:r>
            <w:r w:rsidRPr="002E0C0E" w:rsidR="00840855">
              <w:rPr>
                <w:rFonts w:ascii="Times New Roman" w:hAnsi="Times New Roman"/>
              </w:rPr>
              <w:t>12</w:t>
            </w:r>
          </w:p>
        </w:tc>
        <w:tc>
          <w:tcPr>
            <w:tcW w:w="1250"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1</w:t>
            </w:r>
          </w:p>
        </w:tc>
        <w:tc>
          <w:tcPr>
            <w:tcW w:w="922"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12</w:t>
            </w:r>
          </w:p>
        </w:tc>
        <w:tc>
          <w:tcPr>
            <w:tcW w:w="1248"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$65.94</w:t>
            </w:r>
          </w:p>
        </w:tc>
        <w:tc>
          <w:tcPr>
            <w:tcW w:w="1260" w:type="dxa"/>
            <w:shd w:val="clear" w:color="auto" w:fill="auto"/>
          </w:tcPr>
          <w:p w:rsidRPr="002E0C0E" w:rsidR="00047F16" w:rsidP="00CB1E9D" w:rsidRDefault="00970469">
            <w:pPr>
              <w:tabs>
                <w:tab w:val="left" w:pos="-1440"/>
              </w:tabs>
              <w:jc w:val="both"/>
              <w:rPr>
                <w:rFonts w:ascii="Times New Roman" w:hAnsi="Times New Roman"/>
              </w:rPr>
            </w:pPr>
            <w:r w:rsidRPr="002E0C0E">
              <w:rPr>
                <w:rFonts w:ascii="Times New Roman" w:hAnsi="Times New Roman"/>
              </w:rPr>
              <w:t>$</w:t>
            </w:r>
            <w:r w:rsidR="002E0C0E">
              <w:rPr>
                <w:rFonts w:ascii="Times New Roman" w:hAnsi="Times New Roman"/>
              </w:rPr>
              <w:t xml:space="preserve">     </w:t>
            </w:r>
            <w:r w:rsidRPr="002E0C0E">
              <w:rPr>
                <w:rFonts w:ascii="Times New Roman" w:hAnsi="Times New Roman"/>
              </w:rPr>
              <w:t>791.28</w:t>
            </w:r>
          </w:p>
        </w:tc>
      </w:tr>
      <w:tr w:rsidRPr="00CB1E9D" w:rsidR="00263AC3" w:rsidTr="002E0C0E">
        <w:tc>
          <w:tcPr>
            <w:tcW w:w="1349" w:type="dxa"/>
            <w:shd w:val="clear" w:color="auto" w:fill="auto"/>
          </w:tcPr>
          <w:p w:rsidRPr="00CB1E9D" w:rsidR="00047F16" w:rsidP="00CB1E9D" w:rsidRDefault="00897BC7">
            <w:pPr>
              <w:tabs>
                <w:tab w:val="left" w:pos="-1440"/>
              </w:tabs>
              <w:jc w:val="both"/>
              <w:rPr>
                <w:rFonts w:ascii="Times New Roman" w:hAnsi="Times New Roman"/>
                <w:b/>
              </w:rPr>
            </w:pPr>
            <w:r w:rsidRPr="00CB1E9D">
              <w:rPr>
                <w:rFonts w:ascii="Times New Roman" w:hAnsi="Times New Roman"/>
                <w:b/>
              </w:rPr>
              <w:t>Total:</w:t>
            </w:r>
          </w:p>
        </w:tc>
        <w:tc>
          <w:tcPr>
            <w:tcW w:w="1376" w:type="dxa"/>
            <w:shd w:val="clear" w:color="auto" w:fill="auto"/>
          </w:tcPr>
          <w:p w:rsidRPr="008D49F3" w:rsidR="00047F16" w:rsidP="00CB1E9D" w:rsidRDefault="00047F16">
            <w:pPr>
              <w:tabs>
                <w:tab w:val="left" w:pos="-1440"/>
              </w:tabs>
              <w:jc w:val="both"/>
              <w:rPr>
                <w:rFonts w:ascii="Times New Roman" w:hAnsi="Times New Roman"/>
                <w:b/>
              </w:rPr>
            </w:pPr>
          </w:p>
        </w:tc>
        <w:tc>
          <w:tcPr>
            <w:tcW w:w="1443" w:type="dxa"/>
            <w:shd w:val="clear" w:color="auto" w:fill="auto"/>
          </w:tcPr>
          <w:p w:rsidRPr="002E0C0E" w:rsidR="00047F16" w:rsidP="00CB1E9D" w:rsidRDefault="002E0C0E">
            <w:pPr>
              <w:tabs>
                <w:tab w:val="left" w:pos="-1440"/>
              </w:tabs>
              <w:jc w:val="both"/>
              <w:rPr>
                <w:rFonts w:ascii="Times New Roman" w:hAnsi="Times New Roman"/>
              </w:rPr>
            </w:pPr>
            <w:r>
              <w:rPr>
                <w:rFonts w:ascii="Times New Roman" w:hAnsi="Times New Roman"/>
              </w:rPr>
              <w:t>24</w:t>
            </w:r>
          </w:p>
        </w:tc>
        <w:tc>
          <w:tcPr>
            <w:tcW w:w="1250" w:type="dxa"/>
            <w:shd w:val="clear" w:color="auto" w:fill="auto"/>
          </w:tcPr>
          <w:p w:rsidRPr="002E0C0E" w:rsidR="00047F16" w:rsidP="00CB1E9D" w:rsidRDefault="002E0C0E">
            <w:pPr>
              <w:tabs>
                <w:tab w:val="left" w:pos="-1440"/>
              </w:tabs>
              <w:jc w:val="both"/>
              <w:rPr>
                <w:rFonts w:ascii="Times New Roman" w:hAnsi="Times New Roman"/>
              </w:rPr>
            </w:pPr>
            <w:r>
              <w:rPr>
                <w:rFonts w:ascii="Times New Roman" w:hAnsi="Times New Roman"/>
              </w:rPr>
              <w:t>156</w:t>
            </w:r>
          </w:p>
        </w:tc>
        <w:tc>
          <w:tcPr>
            <w:tcW w:w="1250" w:type="dxa"/>
            <w:shd w:val="clear" w:color="auto" w:fill="auto"/>
          </w:tcPr>
          <w:p w:rsidRPr="002E0C0E" w:rsidR="00047F16" w:rsidP="00CB1E9D" w:rsidRDefault="002E0C0E">
            <w:pPr>
              <w:tabs>
                <w:tab w:val="left" w:pos="-1440"/>
              </w:tabs>
              <w:jc w:val="both"/>
              <w:rPr>
                <w:rFonts w:ascii="Times New Roman" w:hAnsi="Times New Roman"/>
              </w:rPr>
            </w:pPr>
            <w:r>
              <w:rPr>
                <w:rFonts w:ascii="Times New Roman" w:hAnsi="Times New Roman"/>
              </w:rPr>
              <w:t>2</w:t>
            </w:r>
          </w:p>
        </w:tc>
        <w:tc>
          <w:tcPr>
            <w:tcW w:w="922" w:type="dxa"/>
            <w:shd w:val="clear" w:color="auto" w:fill="auto"/>
          </w:tcPr>
          <w:p w:rsidRPr="002E0C0E" w:rsidR="00047F16" w:rsidP="00CB1E9D" w:rsidRDefault="002E0C0E">
            <w:pPr>
              <w:tabs>
                <w:tab w:val="left" w:pos="-1440"/>
              </w:tabs>
              <w:jc w:val="both"/>
              <w:rPr>
                <w:rFonts w:ascii="Times New Roman" w:hAnsi="Times New Roman"/>
              </w:rPr>
            </w:pPr>
            <w:r>
              <w:rPr>
                <w:rFonts w:ascii="Times New Roman" w:hAnsi="Times New Roman"/>
              </w:rPr>
              <w:t>156</w:t>
            </w:r>
          </w:p>
        </w:tc>
        <w:tc>
          <w:tcPr>
            <w:tcW w:w="1248" w:type="dxa"/>
            <w:shd w:val="clear" w:color="auto" w:fill="auto"/>
          </w:tcPr>
          <w:p w:rsidRPr="002E0C0E" w:rsidR="00047F16" w:rsidP="00CB1E9D" w:rsidRDefault="00047F16">
            <w:pPr>
              <w:tabs>
                <w:tab w:val="left" w:pos="-1440"/>
              </w:tabs>
              <w:jc w:val="both"/>
              <w:rPr>
                <w:rFonts w:ascii="Times New Roman" w:hAnsi="Times New Roman"/>
              </w:rPr>
            </w:pPr>
          </w:p>
        </w:tc>
        <w:tc>
          <w:tcPr>
            <w:tcW w:w="1260" w:type="dxa"/>
            <w:shd w:val="clear" w:color="auto" w:fill="auto"/>
          </w:tcPr>
          <w:p w:rsidRPr="002E0C0E" w:rsidR="00047F16" w:rsidP="008D49F3" w:rsidRDefault="00970469">
            <w:pPr>
              <w:tabs>
                <w:tab w:val="left" w:pos="-1440"/>
              </w:tabs>
              <w:jc w:val="both"/>
              <w:rPr>
                <w:rFonts w:ascii="Times New Roman" w:hAnsi="Times New Roman"/>
                <w:u w:val="single"/>
              </w:rPr>
            </w:pPr>
            <w:r w:rsidRPr="002E0C0E">
              <w:rPr>
                <w:rFonts w:ascii="Times New Roman" w:hAnsi="Times New Roman"/>
                <w:u w:val="single"/>
              </w:rPr>
              <w:t>$10</w:t>
            </w:r>
            <w:r w:rsidRPr="002E0C0E" w:rsidR="008D49F3">
              <w:rPr>
                <w:rFonts w:ascii="Times New Roman" w:hAnsi="Times New Roman"/>
                <w:u w:val="single"/>
              </w:rPr>
              <w:t>, 286</w:t>
            </w:r>
            <w:r w:rsidRPr="002E0C0E">
              <w:rPr>
                <w:rFonts w:ascii="Times New Roman" w:hAnsi="Times New Roman"/>
                <w:u w:val="single"/>
              </w:rPr>
              <w:t>.64</w:t>
            </w:r>
          </w:p>
        </w:tc>
      </w:tr>
    </w:tbl>
    <w:p w:rsidR="00047F16" w:rsidP="00D345CB" w:rsidRDefault="00047F16">
      <w:pPr>
        <w:tabs>
          <w:tab w:val="left" w:pos="-1440"/>
        </w:tabs>
        <w:jc w:val="both"/>
        <w:rPr>
          <w:rFonts w:ascii="Times New Roman" w:hAnsi="Times New Roman"/>
          <w:b/>
        </w:rPr>
      </w:pPr>
    </w:p>
    <w:p w:rsidR="000E54E9" w:rsidP="008D49F3" w:rsidRDefault="000E54E9">
      <w:pPr>
        <w:ind w:left="720"/>
        <w:jc w:val="both"/>
        <w:rPr>
          <w:rFonts w:ascii="Times New Roman" w:hAnsi="Times New Roman"/>
        </w:rPr>
      </w:pPr>
      <w:r w:rsidRPr="00245978">
        <w:rPr>
          <w:rFonts w:ascii="Times New Roman" w:hAnsi="Times New Roman"/>
          <w:b/>
        </w:rPr>
        <w:t>The estimated annual public cost is $</w:t>
      </w:r>
      <w:r w:rsidR="008D49F3">
        <w:rPr>
          <w:rFonts w:ascii="Times New Roman" w:hAnsi="Times New Roman"/>
          <w:b/>
        </w:rPr>
        <w:t>10, 286.64</w:t>
      </w:r>
      <w:r w:rsidR="00E43ED1">
        <w:rPr>
          <w:rFonts w:ascii="Times New Roman" w:hAnsi="Times New Roman"/>
          <w:b/>
        </w:rPr>
        <w:t>.</w:t>
      </w:r>
      <w:r w:rsidR="007C13B9">
        <w:rPr>
          <w:rFonts w:ascii="Times New Roman" w:hAnsi="Times New Roman"/>
          <w:b/>
        </w:rPr>
        <w:t xml:space="preserve">  </w:t>
      </w:r>
      <w:r w:rsidRPr="00245978">
        <w:rPr>
          <w:rFonts w:ascii="Times New Roman" w:hAnsi="Times New Roman"/>
        </w:rPr>
        <w:t>This figure was derived by summing the estimated annual respondent costs for all forms.</w:t>
      </w:r>
    </w:p>
    <w:p w:rsidR="008D49F3" w:rsidP="008D49F3" w:rsidRDefault="008D49F3">
      <w:pPr>
        <w:pStyle w:val="Default"/>
        <w:ind w:left="720"/>
      </w:pPr>
    </w:p>
    <w:p w:rsidRPr="00FB6C35" w:rsidR="00840855" w:rsidP="008D49F3" w:rsidRDefault="00840855">
      <w:pPr>
        <w:pStyle w:val="Default"/>
        <w:ind w:left="720"/>
        <w:rPr>
          <w:i/>
          <w:iCs/>
        </w:rPr>
      </w:pPr>
      <w:r w:rsidRPr="00FB6C35">
        <w:t xml:space="preserve">NOTES ON HOUR BURDEN: </w:t>
      </w:r>
      <w:r w:rsidRPr="00FB6C35">
        <w:tab/>
      </w:r>
      <w:r w:rsidRPr="00FB6C35">
        <w:br/>
      </w:r>
      <w:r w:rsidRPr="00FB6C35">
        <w:rPr>
          <w:i/>
          <w:iCs/>
        </w:rPr>
        <w:t xml:space="preserve">*  </w:t>
      </w:r>
      <w:r w:rsidRPr="00FB6C35">
        <w:rPr>
          <w:iCs/>
        </w:rPr>
        <w:t>The above Average Hourly Wage Rate for</w:t>
      </w:r>
      <w:r w:rsidRPr="00FB6C35">
        <w:rPr>
          <w:i/>
          <w:iCs/>
        </w:rPr>
        <w:t xml:space="preserve"> “</w:t>
      </w:r>
      <w:r>
        <w:rPr>
          <w:i/>
          <w:iCs/>
        </w:rPr>
        <w:t>Electrical Engineers</w:t>
      </w:r>
      <w:r w:rsidRPr="00FB6C35">
        <w:rPr>
          <w:i/>
          <w:iCs/>
        </w:rPr>
        <w:t>”, is the median hourly wage rate, $</w:t>
      </w:r>
      <w:r>
        <w:rPr>
          <w:i/>
          <w:iCs/>
        </w:rPr>
        <w:t>43.10</w:t>
      </w:r>
      <w:r w:rsidRPr="00FB6C35">
        <w:rPr>
          <w:i/>
          <w:iCs/>
        </w:rPr>
        <w:t xml:space="preserve">, </w:t>
      </w:r>
      <w:bookmarkStart w:name="OLE_LINK18" w:id="0"/>
      <w:bookmarkStart w:name="OLE_LINK19" w:id="1"/>
      <w:r w:rsidRPr="00FB6C35">
        <w:rPr>
          <w:iCs/>
        </w:rPr>
        <w:t xml:space="preserve">times the wage rate benefit multiplier of 1.4 (to account for benefits provided) equaling </w:t>
      </w:r>
      <w:r w:rsidRPr="00202CFA">
        <w:rPr>
          <w:iCs/>
        </w:rPr>
        <w:t>$</w:t>
      </w:r>
      <w:r>
        <w:rPr>
          <w:iCs/>
        </w:rPr>
        <w:t>65.94</w:t>
      </w:r>
      <w:r w:rsidRPr="00FB6C35">
        <w:rPr>
          <w:iCs/>
        </w:rPr>
        <w:t xml:space="preserve"> fully-loaded wage rate.</w:t>
      </w:r>
      <w:bookmarkEnd w:id="0"/>
      <w:bookmarkEnd w:id="1"/>
      <w:r w:rsidRPr="00FB6C35">
        <w:rPr>
          <w:iCs/>
        </w:rPr>
        <w:t xml:space="preserve"> The </w:t>
      </w:r>
      <w:r w:rsidR="005827C7">
        <w:rPr>
          <w:i/>
          <w:iCs/>
        </w:rPr>
        <w:t>median</w:t>
      </w:r>
      <w:r w:rsidRPr="00FB6C35">
        <w:rPr>
          <w:i/>
          <w:iCs/>
        </w:rPr>
        <w:t xml:space="preserve"> hourly wage rates w</w:t>
      </w:r>
      <w:r>
        <w:rPr>
          <w:i/>
          <w:iCs/>
        </w:rPr>
        <w:t>as</w:t>
      </w:r>
      <w:r w:rsidRPr="00FB6C35">
        <w:rPr>
          <w:i/>
          <w:iCs/>
        </w:rPr>
        <w:t xml:space="preserve"> taken from the May 2017 Bureau of Labor Statistics (</w:t>
      </w:r>
      <w:hyperlink w:history="1" w:anchor="33-0000" r:id="rId13">
        <w:r w:rsidRPr="00FB6C35">
          <w:rPr>
            <w:rStyle w:val="Hyperlink"/>
            <w:i/>
            <w:iCs/>
          </w:rPr>
          <w:t>https://www.bls.gov/oes/current/999001.htm#33-0000</w:t>
        </w:r>
      </w:hyperlink>
      <w:r w:rsidRPr="00FB6C35">
        <w:rPr>
          <w:i/>
          <w:iCs/>
        </w:rPr>
        <w:t>), Occupational Employment Statistics.</w:t>
      </w:r>
    </w:p>
    <w:p w:rsidRPr="00FB6C35" w:rsidR="00840855" w:rsidP="00840855" w:rsidRDefault="00840855">
      <w:pPr>
        <w:tabs>
          <w:tab w:val="left" w:pos="-1440"/>
        </w:tabs>
        <w:ind w:left="720"/>
        <w:rPr>
          <w:i/>
          <w:iCs/>
        </w:rPr>
      </w:pPr>
    </w:p>
    <w:p w:rsidRPr="002330B6" w:rsidR="00202CFA" w:rsidP="00202CFA" w:rsidRDefault="00202CFA">
      <w:pPr>
        <w:tabs>
          <w:tab w:val="left" w:pos="-1440"/>
        </w:tabs>
        <w:ind w:left="720"/>
        <w:rPr>
          <w:rFonts w:ascii="Times New Roman" w:hAnsi="Times New Roman"/>
          <w:i/>
          <w:iCs/>
        </w:rPr>
      </w:pPr>
      <w:r w:rsidRPr="002330B6">
        <w:rPr>
          <w:rFonts w:ascii="Times New Roman" w:hAnsi="Times New Roman"/>
          <w:i/>
          <w:iCs/>
        </w:rPr>
        <w:t>**  P25 CAP has estimated average time required to complete each of the forms as 1 hour (60</w:t>
      </w:r>
      <w:r>
        <w:rPr>
          <w:rFonts w:ascii="Times New Roman" w:hAnsi="Times New Roman"/>
          <w:i/>
          <w:iCs/>
        </w:rPr>
        <w:t xml:space="preserve"> minutes).  This time includes:</w:t>
      </w:r>
    </w:p>
    <w:p w:rsidRPr="00202CFA" w:rsidR="00202CFA" w:rsidP="00202CFA" w:rsidRDefault="00202CFA">
      <w:pPr>
        <w:numPr>
          <w:ilvl w:val="0"/>
          <w:numId w:val="16"/>
        </w:numPr>
        <w:tabs>
          <w:tab w:val="left" w:pos="-1440"/>
          <w:tab w:val="left" w:pos="1080"/>
        </w:tabs>
        <w:rPr>
          <w:rFonts w:ascii="Times New Roman" w:hAnsi="Times New Roman"/>
          <w:i/>
          <w:iCs/>
        </w:rPr>
      </w:pPr>
      <w:r w:rsidRPr="00202CFA">
        <w:rPr>
          <w:rFonts w:ascii="Times New Roman" w:hAnsi="Times New Roman"/>
          <w:i/>
          <w:iCs/>
        </w:rPr>
        <w:t xml:space="preserve">Reviewing document – 10 minutes </w:t>
      </w:r>
    </w:p>
    <w:p w:rsidRPr="002330B6" w:rsidR="00202CFA" w:rsidP="00202CFA" w:rsidRDefault="00202CFA">
      <w:pPr>
        <w:numPr>
          <w:ilvl w:val="0"/>
          <w:numId w:val="16"/>
        </w:numPr>
        <w:tabs>
          <w:tab w:val="left" w:pos="-1440"/>
          <w:tab w:val="left" w:pos="1080"/>
        </w:tabs>
        <w:rPr>
          <w:rFonts w:ascii="Times New Roman" w:hAnsi="Times New Roman"/>
          <w:i/>
          <w:iCs/>
        </w:rPr>
      </w:pPr>
      <w:r w:rsidRPr="002330B6">
        <w:rPr>
          <w:rFonts w:ascii="Times New Roman" w:hAnsi="Times New Roman"/>
          <w:i/>
          <w:iCs/>
        </w:rPr>
        <w:t>Completing the form/request to include contact information, test results, attestation statements, etc. – 40  minutes</w:t>
      </w:r>
    </w:p>
    <w:p w:rsidRPr="002330B6" w:rsidR="00202CFA" w:rsidP="00202CFA" w:rsidRDefault="00202CFA">
      <w:pPr>
        <w:numPr>
          <w:ilvl w:val="0"/>
          <w:numId w:val="16"/>
        </w:numPr>
        <w:tabs>
          <w:tab w:val="left" w:pos="-1440"/>
          <w:tab w:val="left" w:pos="1080"/>
        </w:tabs>
        <w:rPr>
          <w:rFonts w:ascii="Times New Roman" w:hAnsi="Times New Roman"/>
          <w:i/>
          <w:iCs/>
        </w:rPr>
      </w:pPr>
      <w:r w:rsidRPr="002330B6">
        <w:rPr>
          <w:rFonts w:ascii="Times New Roman" w:hAnsi="Times New Roman"/>
          <w:i/>
          <w:iCs/>
        </w:rPr>
        <w:t>Reviewing the inputted information for accuracy -  10 minutes</w:t>
      </w:r>
    </w:p>
    <w:p w:rsidR="008B102E" w:rsidP="000E54E9" w:rsidRDefault="008B102E">
      <w:pPr>
        <w:spacing w:line="480" w:lineRule="auto"/>
        <w:ind w:left="720"/>
        <w:jc w:val="both"/>
        <w:rPr>
          <w:rFonts w:ascii="Times New Roman" w:hAnsi="Times New Roman"/>
        </w:rPr>
      </w:pPr>
    </w:p>
    <w:p w:rsidR="000E54E9" w:rsidP="00CA5CC5" w:rsidRDefault="006F261B">
      <w:pPr>
        <w:numPr>
          <w:ilvl w:val="0"/>
          <w:numId w:val="10"/>
        </w:numPr>
        <w:tabs>
          <w:tab w:val="left" w:pos="-1440"/>
        </w:tabs>
        <w:ind w:hanging="630"/>
        <w:jc w:val="both"/>
        <w:rPr>
          <w:rFonts w:ascii="Times New Roman" w:hAnsi="Times New Roman"/>
        </w:rPr>
      </w:pPr>
      <w:r w:rsidRPr="006F261B">
        <w:rPr>
          <w:rFonts w:ascii="Times New Roman" w:hAnsi="Times New Roman"/>
        </w:rPr>
        <w:t>There are no record keeping, capital, start-up or maintenance costs associated with this information collection.</w:t>
      </w:r>
    </w:p>
    <w:p w:rsidR="000E54E9" w:rsidP="00263AC3" w:rsidRDefault="000E54E9">
      <w:pPr>
        <w:spacing w:before="240"/>
        <w:ind w:left="720"/>
        <w:jc w:val="both"/>
        <w:rPr>
          <w:rFonts w:ascii="Times New Roman" w:hAnsi="Times New Roman"/>
        </w:rPr>
      </w:pPr>
      <w:r w:rsidRPr="00245978">
        <w:rPr>
          <w:rFonts w:ascii="Times New Roman" w:hAnsi="Times New Roman"/>
          <w:b/>
        </w:rPr>
        <w:t xml:space="preserve">The estimated annual </w:t>
      </w:r>
      <w:r>
        <w:rPr>
          <w:rFonts w:ascii="Times New Roman" w:hAnsi="Times New Roman"/>
          <w:b/>
        </w:rPr>
        <w:t xml:space="preserve">non-labor costs to respondents is </w:t>
      </w:r>
      <w:r w:rsidRPr="00245978">
        <w:rPr>
          <w:rFonts w:ascii="Times New Roman" w:hAnsi="Times New Roman"/>
          <w:b/>
        </w:rPr>
        <w:t>$</w:t>
      </w:r>
      <w:r>
        <w:rPr>
          <w:rFonts w:ascii="Times New Roman" w:hAnsi="Times New Roman"/>
          <w:b/>
        </w:rPr>
        <w:t>0</w:t>
      </w:r>
      <w:r w:rsidR="008014CC">
        <w:rPr>
          <w:rFonts w:ascii="Times New Roman" w:hAnsi="Times New Roman"/>
        </w:rPr>
        <w:t>.</w:t>
      </w:r>
    </w:p>
    <w:p w:rsidRPr="00245978" w:rsidR="008014CC" w:rsidP="006F647A" w:rsidRDefault="008014CC">
      <w:pPr>
        <w:spacing w:line="480" w:lineRule="auto"/>
        <w:ind w:left="720"/>
        <w:jc w:val="both"/>
        <w:rPr>
          <w:rFonts w:ascii="Times New Roman" w:hAnsi="Times New Roman"/>
        </w:rPr>
      </w:pPr>
    </w:p>
    <w:p w:rsidRPr="008A5EF1" w:rsidR="000E54E9" w:rsidP="00CA5CC5" w:rsidRDefault="000E54E9">
      <w:pPr>
        <w:numPr>
          <w:ilvl w:val="0"/>
          <w:numId w:val="10"/>
        </w:numPr>
        <w:tabs>
          <w:tab w:val="left" w:pos="-1440"/>
        </w:tabs>
        <w:ind w:hanging="630"/>
        <w:jc w:val="both"/>
        <w:rPr>
          <w:rFonts w:ascii="Times New Roman" w:hAnsi="Times New Roman"/>
        </w:rPr>
      </w:pPr>
    </w:p>
    <w:p w:rsidR="000E54E9" w:rsidP="00FD347C" w:rsidRDefault="000E54E9">
      <w:pPr>
        <w:jc w:val="both"/>
        <w:rPr>
          <w:rFonts w:ascii="Times New Roman" w:hAnsi="Times New Roman"/>
        </w:rPr>
      </w:pPr>
      <w:r w:rsidRPr="00245978">
        <w:rPr>
          <w:rFonts w:ascii="Times New Roman" w:hAnsi="Times New Roman"/>
          <w:b/>
        </w:rPr>
        <w:t>The estimated annual cost to the federal government in relation to th</w:t>
      </w:r>
      <w:r>
        <w:rPr>
          <w:rFonts w:ascii="Times New Roman" w:hAnsi="Times New Roman"/>
          <w:b/>
        </w:rPr>
        <w:t>is information collection is $</w:t>
      </w:r>
      <w:r w:rsidR="00A075FD">
        <w:rPr>
          <w:rFonts w:ascii="Times New Roman" w:hAnsi="Times New Roman"/>
          <w:b/>
        </w:rPr>
        <w:t>10,427.70</w:t>
      </w:r>
      <w:r w:rsidRPr="00AA74A2">
        <w:rPr>
          <w:rFonts w:ascii="Times New Roman" w:hAnsi="Times New Roman"/>
        </w:rPr>
        <w:t xml:space="preserve"> </w:t>
      </w:r>
    </w:p>
    <w:p w:rsidRPr="00FD347C" w:rsidR="00FD347C" w:rsidP="00FD347C" w:rsidRDefault="00FD347C">
      <w:pPr>
        <w:jc w:val="both"/>
        <w:rPr>
          <w:rFonts w:ascii="Times New Roman" w:hAnsi="Times New Roman"/>
        </w:rPr>
      </w:pPr>
      <w:r w:rsidRPr="00FD347C">
        <w:rPr>
          <w:rFonts w:ascii="Times New Roman" w:hAnsi="Times New Roman"/>
        </w:rPr>
        <w:t xml:space="preserve">The following method was used to estimate the cost (based on General Schedule Grade </w:t>
      </w:r>
      <w:r>
        <w:rPr>
          <w:rFonts w:ascii="Times New Roman" w:hAnsi="Times New Roman"/>
        </w:rPr>
        <w:t>14</w:t>
      </w:r>
      <w:r w:rsidRPr="00FD347C">
        <w:rPr>
          <w:rFonts w:ascii="Times New Roman" w:hAnsi="Times New Roman"/>
        </w:rPr>
        <w:t xml:space="preserve">, step </w:t>
      </w:r>
      <w:r w:rsidR="001E6605">
        <w:rPr>
          <w:rFonts w:ascii="Times New Roman" w:hAnsi="Times New Roman"/>
        </w:rPr>
        <w:t>10</w:t>
      </w:r>
      <w:r w:rsidRPr="00FD347C">
        <w:rPr>
          <w:rFonts w:ascii="Times New Roman" w:hAnsi="Times New Roman"/>
        </w:rPr>
        <w:t xml:space="preserve">, </w:t>
      </w:r>
      <w:hyperlink w:history="1" r:id="rId14">
        <w:r w:rsidRPr="003F1773" w:rsidR="003F1773">
          <w:rPr>
            <w:rStyle w:val="Hyperlink"/>
            <w:rFonts w:ascii="Times New Roman" w:hAnsi="Times New Roman"/>
          </w:rPr>
          <w:t>2018 WASH</w:t>
        </w:r>
        <w:r w:rsidRPr="003F1773" w:rsidR="003F1773">
          <w:rPr>
            <w:rStyle w:val="Hyperlink"/>
            <w:rFonts w:ascii="Times New Roman" w:hAnsi="Times New Roman"/>
          </w:rPr>
          <w:t>I</w:t>
        </w:r>
        <w:r w:rsidRPr="003F1773" w:rsidR="003F1773">
          <w:rPr>
            <w:rStyle w:val="Hyperlink"/>
            <w:rFonts w:ascii="Times New Roman" w:hAnsi="Times New Roman"/>
          </w:rPr>
          <w:t>NGTON-BALTIMORE-NORTHERN VIRGINIA, DC-MD-VA-WV-PA</w:t>
        </w:r>
      </w:hyperlink>
      <w:r w:rsidR="003F1773">
        <w:rPr>
          <w:rFonts w:ascii="Times New Roman" w:hAnsi="Times New Roman"/>
        </w:rPr>
        <w:t xml:space="preserve"> </w:t>
      </w:r>
      <w:r w:rsidRPr="00FD347C">
        <w:rPr>
          <w:rFonts w:ascii="Times New Roman" w:hAnsi="Times New Roman"/>
        </w:rPr>
        <w:t>locality, fully loaded annual pay of $</w:t>
      </w:r>
      <w:r w:rsidR="003F1773">
        <w:rPr>
          <w:rFonts w:ascii="Times New Roman" w:hAnsi="Times New Roman"/>
        </w:rPr>
        <w:t>1</w:t>
      </w:r>
      <w:r w:rsidR="001E6605">
        <w:rPr>
          <w:rFonts w:ascii="Times New Roman" w:hAnsi="Times New Roman"/>
        </w:rPr>
        <w:t>48</w:t>
      </w:r>
      <w:r w:rsidR="003F1773">
        <w:rPr>
          <w:rFonts w:ascii="Times New Roman" w:hAnsi="Times New Roman"/>
        </w:rPr>
        <w:t>,</w:t>
      </w:r>
      <w:r w:rsidR="001E6605">
        <w:rPr>
          <w:rFonts w:ascii="Times New Roman" w:hAnsi="Times New Roman"/>
        </w:rPr>
        <w:t>967</w:t>
      </w:r>
      <w:r w:rsidRPr="00FD347C">
        <w:rPr>
          <w:rFonts w:ascii="Times New Roman" w:hAnsi="Times New Roman"/>
        </w:rPr>
        <w:t xml:space="preserve"> ($</w:t>
      </w:r>
      <w:r w:rsidR="003F1773">
        <w:rPr>
          <w:rFonts w:ascii="Times New Roman" w:hAnsi="Times New Roman"/>
        </w:rPr>
        <w:t>1</w:t>
      </w:r>
      <w:r w:rsidR="001E6605">
        <w:rPr>
          <w:rFonts w:ascii="Times New Roman" w:hAnsi="Times New Roman"/>
        </w:rPr>
        <w:t>48</w:t>
      </w:r>
      <w:r w:rsidR="003F1773">
        <w:rPr>
          <w:rFonts w:ascii="Times New Roman" w:hAnsi="Times New Roman"/>
        </w:rPr>
        <w:t>,</w:t>
      </w:r>
      <w:r w:rsidR="001E6605">
        <w:rPr>
          <w:rFonts w:ascii="Times New Roman" w:hAnsi="Times New Roman"/>
        </w:rPr>
        <w:t>967</w:t>
      </w:r>
      <w:r w:rsidR="003F1773">
        <w:rPr>
          <w:rFonts w:ascii="Times New Roman" w:hAnsi="Times New Roman"/>
        </w:rPr>
        <w:t xml:space="preserve"> </w:t>
      </w:r>
      <w:r w:rsidRPr="00FD347C">
        <w:rPr>
          <w:rFonts w:ascii="Times New Roman" w:hAnsi="Times New Roman"/>
        </w:rPr>
        <w:t>x 1.4 benefit multiplier = $</w:t>
      </w:r>
      <w:r w:rsidR="001E6605">
        <w:rPr>
          <w:rFonts w:ascii="Times New Roman" w:hAnsi="Times New Roman"/>
        </w:rPr>
        <w:t>208</w:t>
      </w:r>
      <w:r w:rsidR="003F1773">
        <w:rPr>
          <w:rFonts w:ascii="Times New Roman" w:hAnsi="Times New Roman"/>
        </w:rPr>
        <w:t>,</w:t>
      </w:r>
      <w:r w:rsidR="001E6605">
        <w:rPr>
          <w:rFonts w:ascii="Times New Roman" w:hAnsi="Times New Roman"/>
        </w:rPr>
        <w:t>554</w:t>
      </w:r>
      <w:r w:rsidRPr="00FD347C">
        <w:rPr>
          <w:rFonts w:ascii="Times New Roman" w:hAnsi="Times New Roman"/>
        </w:rPr>
        <w:t>)):</w:t>
      </w:r>
    </w:p>
    <w:p w:rsidR="00FD347C" w:rsidP="00662D64" w:rsidRDefault="00FD347C">
      <w:pPr>
        <w:numPr>
          <w:ilvl w:val="0"/>
          <w:numId w:val="19"/>
        </w:numPr>
        <w:jc w:val="both"/>
        <w:rPr>
          <w:rFonts w:ascii="Times New Roman" w:hAnsi="Times New Roman"/>
        </w:rPr>
      </w:pPr>
      <w:r w:rsidRPr="00FD347C">
        <w:rPr>
          <w:rFonts w:ascii="Times New Roman" w:hAnsi="Times New Roman"/>
        </w:rPr>
        <w:t xml:space="preserve">Cost of </w:t>
      </w:r>
      <w:r w:rsidR="003F1773">
        <w:rPr>
          <w:rFonts w:ascii="Times New Roman" w:hAnsi="Times New Roman"/>
        </w:rPr>
        <w:t>the Federal Employee</w:t>
      </w:r>
      <w:r w:rsidRPr="00FD347C">
        <w:rPr>
          <w:rFonts w:ascii="Times New Roman" w:hAnsi="Times New Roman"/>
        </w:rPr>
        <w:t xml:space="preserve"> to review </w:t>
      </w:r>
      <w:r w:rsidR="00CC7E81">
        <w:rPr>
          <w:rFonts w:ascii="Times New Roman" w:hAnsi="Times New Roman"/>
        </w:rPr>
        <w:t>Summary Test Report</w:t>
      </w:r>
      <w:r w:rsidR="003F1773">
        <w:rPr>
          <w:rFonts w:ascii="Times New Roman" w:hAnsi="Times New Roman"/>
        </w:rPr>
        <w:t>_</w:t>
      </w:r>
      <w:r w:rsidRPr="00FD347C">
        <w:rPr>
          <w:rFonts w:ascii="Times New Roman" w:hAnsi="Times New Roman"/>
        </w:rPr>
        <w:t xml:space="preserve"> Form: </w:t>
      </w:r>
      <w:r w:rsidR="00CC7E81">
        <w:rPr>
          <w:rFonts w:ascii="Times New Roman" w:hAnsi="Times New Roman"/>
        </w:rPr>
        <w:t>1</w:t>
      </w:r>
      <w:r w:rsidRPr="00FD347C" w:rsidR="00CC7E81">
        <w:rPr>
          <w:rFonts w:ascii="Times New Roman" w:hAnsi="Times New Roman"/>
        </w:rPr>
        <w:t xml:space="preserve"> </w:t>
      </w:r>
      <w:r w:rsidRPr="00FD347C">
        <w:rPr>
          <w:rFonts w:ascii="Times New Roman" w:hAnsi="Times New Roman"/>
        </w:rPr>
        <w:t xml:space="preserve">personnel x </w:t>
      </w:r>
      <w:r w:rsidR="001816C1">
        <w:rPr>
          <w:rFonts w:ascii="Times New Roman" w:hAnsi="Times New Roman"/>
        </w:rPr>
        <w:t>1</w:t>
      </w:r>
      <w:r w:rsidRPr="00FD347C">
        <w:rPr>
          <w:rFonts w:ascii="Times New Roman" w:hAnsi="Times New Roman"/>
        </w:rPr>
        <w:t>% annual time = $</w:t>
      </w:r>
      <w:r w:rsidR="003F1773">
        <w:rPr>
          <w:rFonts w:ascii="Times New Roman" w:hAnsi="Times New Roman"/>
        </w:rPr>
        <w:t>_</w:t>
      </w:r>
      <w:r w:rsidRPr="00123BB2" w:rsidR="001816C1">
        <w:rPr>
          <w:rFonts w:ascii="Times New Roman" w:hAnsi="Times New Roman"/>
          <w:u w:val="single"/>
        </w:rPr>
        <w:t>2</w:t>
      </w:r>
      <w:r w:rsidRPr="00123BB2" w:rsidR="00A075FD">
        <w:rPr>
          <w:rFonts w:ascii="Times New Roman" w:hAnsi="Times New Roman"/>
          <w:u w:val="single"/>
        </w:rPr>
        <w:t>,</w:t>
      </w:r>
      <w:r w:rsidRPr="00123BB2" w:rsidR="001816C1">
        <w:rPr>
          <w:rFonts w:ascii="Times New Roman" w:hAnsi="Times New Roman"/>
          <w:u w:val="single"/>
        </w:rPr>
        <w:t>085</w:t>
      </w:r>
      <w:r w:rsidRPr="00123BB2" w:rsidR="00A075FD">
        <w:rPr>
          <w:rFonts w:ascii="Times New Roman" w:hAnsi="Times New Roman"/>
          <w:u w:val="single"/>
        </w:rPr>
        <w:t>.</w:t>
      </w:r>
      <w:r w:rsidRPr="00123BB2" w:rsidR="001816C1">
        <w:rPr>
          <w:rFonts w:ascii="Times New Roman" w:hAnsi="Times New Roman"/>
          <w:u w:val="single"/>
        </w:rPr>
        <w:t>54</w:t>
      </w:r>
    </w:p>
    <w:p w:rsidRPr="00FD347C" w:rsidR="003F1773" w:rsidP="00662D64" w:rsidRDefault="003F1773">
      <w:pPr>
        <w:numPr>
          <w:ilvl w:val="0"/>
          <w:numId w:val="18"/>
        </w:numPr>
        <w:jc w:val="both"/>
        <w:rPr>
          <w:rFonts w:ascii="Times New Roman" w:hAnsi="Times New Roman"/>
        </w:rPr>
      </w:pPr>
      <w:r w:rsidRPr="00FD347C">
        <w:rPr>
          <w:rFonts w:ascii="Times New Roman" w:hAnsi="Times New Roman"/>
        </w:rPr>
        <w:t xml:space="preserve">Cost of </w:t>
      </w:r>
      <w:r>
        <w:rPr>
          <w:rFonts w:ascii="Times New Roman" w:hAnsi="Times New Roman"/>
        </w:rPr>
        <w:t>the Federal Employee</w:t>
      </w:r>
      <w:r w:rsidRPr="00FD347C">
        <w:rPr>
          <w:rFonts w:ascii="Times New Roman" w:hAnsi="Times New Roman"/>
        </w:rPr>
        <w:t xml:space="preserve"> to review </w:t>
      </w:r>
      <w:r w:rsidR="00CC7E81">
        <w:rPr>
          <w:rFonts w:ascii="Times New Roman" w:hAnsi="Times New Roman"/>
        </w:rPr>
        <w:t xml:space="preserve">Suppliers’ Declaration of Compliance </w:t>
      </w:r>
      <w:r w:rsidRPr="00FD347C">
        <w:rPr>
          <w:rFonts w:ascii="Times New Roman" w:hAnsi="Times New Roman"/>
        </w:rPr>
        <w:t xml:space="preserve">Form: </w:t>
      </w:r>
      <w:r w:rsidR="00CC7E81">
        <w:rPr>
          <w:rFonts w:ascii="Times New Roman" w:hAnsi="Times New Roman"/>
        </w:rPr>
        <w:t>1</w:t>
      </w:r>
      <w:r w:rsidRPr="00FD347C" w:rsidR="00CC7E81">
        <w:rPr>
          <w:rFonts w:ascii="Times New Roman" w:hAnsi="Times New Roman"/>
        </w:rPr>
        <w:t xml:space="preserve"> </w:t>
      </w:r>
      <w:r w:rsidRPr="00FD347C">
        <w:rPr>
          <w:rFonts w:ascii="Times New Roman" w:hAnsi="Times New Roman"/>
        </w:rPr>
        <w:t xml:space="preserve">personnel x </w:t>
      </w:r>
      <w:r w:rsidR="001816C1">
        <w:rPr>
          <w:rFonts w:ascii="Times New Roman" w:hAnsi="Times New Roman"/>
        </w:rPr>
        <w:t>4</w:t>
      </w:r>
      <w:r w:rsidRPr="00FD347C">
        <w:rPr>
          <w:rFonts w:ascii="Times New Roman" w:hAnsi="Times New Roman"/>
        </w:rPr>
        <w:t>% annual time = $</w:t>
      </w:r>
      <w:r>
        <w:rPr>
          <w:rFonts w:ascii="Times New Roman" w:hAnsi="Times New Roman"/>
        </w:rPr>
        <w:t>_</w:t>
      </w:r>
      <w:r w:rsidRPr="001127A0" w:rsidR="001816C1">
        <w:rPr>
          <w:rFonts w:ascii="Times New Roman" w:hAnsi="Times New Roman"/>
          <w:u w:val="single"/>
        </w:rPr>
        <w:t>8</w:t>
      </w:r>
      <w:r w:rsidRPr="001127A0" w:rsidR="00A075FD">
        <w:rPr>
          <w:rFonts w:ascii="Times New Roman" w:hAnsi="Times New Roman"/>
          <w:u w:val="single"/>
        </w:rPr>
        <w:t>,</w:t>
      </w:r>
      <w:r w:rsidRPr="001127A0" w:rsidR="001816C1">
        <w:rPr>
          <w:rFonts w:ascii="Times New Roman" w:hAnsi="Times New Roman"/>
          <w:u w:val="single"/>
        </w:rPr>
        <w:t>342.16</w:t>
      </w:r>
      <w:r w:rsidR="00063617">
        <w:rPr>
          <w:rFonts w:ascii="Times New Roman" w:hAnsi="Times New Roman"/>
        </w:rPr>
        <w:t>.</w:t>
      </w:r>
    </w:p>
    <w:p w:rsidR="00FD347C" w:rsidP="003F1773" w:rsidRDefault="00FD347C">
      <w:pPr>
        <w:jc w:val="both"/>
        <w:rPr>
          <w:rFonts w:ascii="Times New Roman" w:hAnsi="Times New Roman"/>
        </w:rPr>
      </w:pPr>
    </w:p>
    <w:p w:rsidR="00FD347C" w:rsidP="00FD347C" w:rsidRDefault="00FD347C">
      <w:pPr>
        <w:jc w:val="both"/>
        <w:rPr>
          <w:rFonts w:ascii="Times New Roman" w:hAnsi="Times New Roman"/>
        </w:rPr>
      </w:pPr>
    </w:p>
    <w:p w:rsidRPr="003E762C" w:rsidR="00FD347C" w:rsidP="00FD347C" w:rsidRDefault="00FD347C">
      <w:pPr>
        <w:pStyle w:val="Default"/>
        <w:spacing w:line="480" w:lineRule="auto"/>
        <w:ind w:left="720" w:hanging="180"/>
        <w:jc w:val="both"/>
        <w:rPr>
          <w:b/>
          <w:color w:val="auto"/>
          <w:sz w:val="22"/>
          <w:szCs w:val="22"/>
          <w:u w:val="single"/>
        </w:rPr>
      </w:pPr>
      <w:r w:rsidRPr="003E762C">
        <w:rPr>
          <w:b/>
          <w:color w:val="auto"/>
          <w:sz w:val="22"/>
          <w:szCs w:val="22"/>
          <w:u w:val="single"/>
        </w:rPr>
        <w:t xml:space="preserve">Annualized Cost Analysis: </w:t>
      </w:r>
    </w:p>
    <w:p w:rsidRPr="00A77C32" w:rsidR="00FD347C" w:rsidP="00FD347C" w:rsidRDefault="00FD347C">
      <w:pPr>
        <w:pStyle w:val="Default"/>
        <w:spacing w:line="480" w:lineRule="auto"/>
        <w:ind w:left="720" w:hanging="180"/>
        <w:jc w:val="both"/>
        <w:rPr>
          <w:color w:val="auto"/>
          <w:sz w:val="22"/>
          <w:szCs w:val="22"/>
        </w:rPr>
      </w:pPr>
      <w:r w:rsidRPr="00A77C32">
        <w:rPr>
          <w:color w:val="auto"/>
          <w:sz w:val="22"/>
          <w:szCs w:val="22"/>
        </w:rPr>
        <w:t>a. Printi</w:t>
      </w:r>
      <w:r>
        <w:rPr>
          <w:color w:val="auto"/>
          <w:sz w:val="22"/>
          <w:szCs w:val="22"/>
        </w:rPr>
        <w:t>ng cost:</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r w:rsidR="00662D64">
        <w:rPr>
          <w:color w:val="auto"/>
          <w:sz w:val="22"/>
          <w:szCs w:val="22"/>
        </w:rPr>
        <w:t>_____</w:t>
      </w:r>
      <w:r w:rsidRPr="001127A0" w:rsidR="00A075FD">
        <w:rPr>
          <w:color w:val="auto"/>
          <w:sz w:val="22"/>
          <w:szCs w:val="22"/>
          <w:u w:val="single"/>
        </w:rPr>
        <w:t>0</w:t>
      </w:r>
      <w:r w:rsidR="00662D64">
        <w:rPr>
          <w:color w:val="auto"/>
          <w:sz w:val="22"/>
          <w:szCs w:val="22"/>
        </w:rPr>
        <w:t>______</w:t>
      </w:r>
    </w:p>
    <w:p w:rsidRPr="00A77C32" w:rsidR="00FD347C" w:rsidP="00FD347C" w:rsidRDefault="00FD347C">
      <w:pPr>
        <w:pStyle w:val="Default"/>
        <w:spacing w:line="480" w:lineRule="auto"/>
        <w:ind w:left="720" w:hanging="180"/>
        <w:jc w:val="both"/>
        <w:rPr>
          <w:color w:val="auto"/>
          <w:sz w:val="22"/>
          <w:szCs w:val="22"/>
        </w:rPr>
      </w:pPr>
      <w:r>
        <w:rPr>
          <w:color w:val="auto"/>
          <w:sz w:val="22"/>
          <w:szCs w:val="22"/>
        </w:rPr>
        <w:t>b. Collecting and p</w:t>
      </w:r>
      <w:r w:rsidRPr="00A77C32">
        <w:rPr>
          <w:color w:val="auto"/>
          <w:sz w:val="22"/>
          <w:szCs w:val="22"/>
        </w:rPr>
        <w:t>rocessing:</w:t>
      </w:r>
      <w:r w:rsidRPr="00A77C32">
        <w:rPr>
          <w:color w:val="auto"/>
          <w:sz w:val="22"/>
          <w:szCs w:val="22"/>
        </w:rPr>
        <w:tab/>
      </w:r>
      <w:r w:rsidRPr="00A77C32">
        <w:rPr>
          <w:color w:val="auto"/>
          <w:sz w:val="22"/>
          <w:szCs w:val="22"/>
        </w:rPr>
        <w:tab/>
      </w:r>
      <w:r w:rsidRPr="00A77C32">
        <w:rPr>
          <w:color w:val="auto"/>
          <w:sz w:val="22"/>
          <w:szCs w:val="22"/>
        </w:rPr>
        <w:tab/>
      </w:r>
      <w:r w:rsidRPr="00A77C32">
        <w:rPr>
          <w:color w:val="auto"/>
          <w:sz w:val="22"/>
          <w:szCs w:val="22"/>
        </w:rPr>
        <w:tab/>
        <w:t>$</w:t>
      </w:r>
      <w:r w:rsidR="00662D64">
        <w:rPr>
          <w:color w:val="auto"/>
          <w:sz w:val="22"/>
          <w:szCs w:val="22"/>
        </w:rPr>
        <w:t>_____</w:t>
      </w:r>
      <w:r w:rsidRPr="001127A0" w:rsidR="00A075FD">
        <w:rPr>
          <w:color w:val="auto"/>
          <w:sz w:val="22"/>
          <w:szCs w:val="22"/>
          <w:u w:val="single"/>
        </w:rPr>
        <w:t>0</w:t>
      </w:r>
      <w:r w:rsidR="00662D64">
        <w:rPr>
          <w:color w:val="auto"/>
          <w:sz w:val="22"/>
          <w:szCs w:val="22"/>
        </w:rPr>
        <w:t>______</w:t>
      </w:r>
    </w:p>
    <w:p w:rsidRPr="00A77C32" w:rsidR="00FD347C" w:rsidP="00FD347C" w:rsidRDefault="00FD347C">
      <w:pPr>
        <w:pStyle w:val="Default"/>
        <w:spacing w:line="480" w:lineRule="auto"/>
        <w:ind w:left="720" w:hanging="180"/>
        <w:jc w:val="both"/>
        <w:rPr>
          <w:color w:val="auto"/>
          <w:sz w:val="22"/>
          <w:szCs w:val="22"/>
        </w:rPr>
      </w:pPr>
      <w:r w:rsidRPr="00A77C32">
        <w:rPr>
          <w:color w:val="auto"/>
          <w:sz w:val="22"/>
          <w:szCs w:val="22"/>
        </w:rPr>
        <w:t xml:space="preserve">c. Total </w:t>
      </w:r>
      <w:r>
        <w:rPr>
          <w:color w:val="auto"/>
          <w:sz w:val="22"/>
          <w:szCs w:val="22"/>
        </w:rPr>
        <w:t>cost to p</w:t>
      </w:r>
      <w:r w:rsidRPr="00A77C32">
        <w:rPr>
          <w:color w:val="auto"/>
          <w:sz w:val="22"/>
          <w:szCs w:val="22"/>
        </w:rPr>
        <w:t xml:space="preserve">rogram: </w:t>
      </w:r>
      <w:r w:rsidRPr="00A77C32">
        <w:rPr>
          <w:color w:val="auto"/>
          <w:sz w:val="22"/>
          <w:szCs w:val="22"/>
        </w:rPr>
        <w:tab/>
      </w:r>
      <w:r w:rsidRPr="00A77C32">
        <w:rPr>
          <w:color w:val="auto"/>
          <w:sz w:val="22"/>
          <w:szCs w:val="22"/>
        </w:rPr>
        <w:tab/>
      </w:r>
      <w:r w:rsidRPr="00A77C32">
        <w:rPr>
          <w:color w:val="auto"/>
          <w:sz w:val="22"/>
          <w:szCs w:val="22"/>
        </w:rPr>
        <w:tab/>
      </w:r>
      <w:r w:rsidRPr="00A77C32">
        <w:rPr>
          <w:color w:val="auto"/>
          <w:sz w:val="22"/>
          <w:szCs w:val="22"/>
        </w:rPr>
        <w:tab/>
      </w:r>
      <w:r>
        <w:rPr>
          <w:color w:val="auto"/>
          <w:sz w:val="22"/>
          <w:szCs w:val="22"/>
        </w:rPr>
        <w:tab/>
      </w:r>
      <w:r w:rsidRPr="00A77C32">
        <w:rPr>
          <w:color w:val="auto"/>
          <w:sz w:val="22"/>
          <w:szCs w:val="22"/>
        </w:rPr>
        <w:t>$</w:t>
      </w:r>
      <w:r w:rsidR="00662D64">
        <w:rPr>
          <w:color w:val="auto"/>
          <w:sz w:val="22"/>
          <w:szCs w:val="22"/>
        </w:rPr>
        <w:t>_</w:t>
      </w:r>
      <w:r w:rsidRPr="001127A0" w:rsidR="00A075FD">
        <w:rPr>
          <w:color w:val="auto"/>
          <w:sz w:val="22"/>
          <w:szCs w:val="22"/>
          <w:u w:val="single"/>
        </w:rPr>
        <w:t>10,427.70</w:t>
      </w:r>
      <w:r w:rsidR="00662D64">
        <w:rPr>
          <w:color w:val="auto"/>
          <w:sz w:val="22"/>
          <w:szCs w:val="22"/>
        </w:rPr>
        <w:t>___</w:t>
      </w:r>
    </w:p>
    <w:p w:rsidR="00FD347C" w:rsidP="00FD347C" w:rsidRDefault="00FD347C">
      <w:pPr>
        <w:pStyle w:val="Default"/>
        <w:spacing w:line="480" w:lineRule="auto"/>
        <w:ind w:left="720" w:hanging="180"/>
        <w:jc w:val="both"/>
        <w:rPr>
          <w:color w:val="auto"/>
          <w:sz w:val="22"/>
          <w:szCs w:val="22"/>
        </w:rPr>
      </w:pPr>
      <w:r w:rsidRPr="00A77C32">
        <w:rPr>
          <w:color w:val="auto"/>
          <w:sz w:val="22"/>
          <w:szCs w:val="22"/>
        </w:rPr>
        <w:t xml:space="preserve">d. Fee </w:t>
      </w:r>
      <w:r>
        <w:rPr>
          <w:color w:val="auto"/>
          <w:sz w:val="22"/>
          <w:szCs w:val="22"/>
        </w:rPr>
        <w:t>c</w:t>
      </w:r>
      <w:r w:rsidRPr="00A77C32">
        <w:rPr>
          <w:color w:val="auto"/>
          <w:sz w:val="22"/>
          <w:szCs w:val="22"/>
        </w:rPr>
        <w:t>harge:</w:t>
      </w:r>
      <w:r w:rsidRPr="00A77C32">
        <w:rPr>
          <w:color w:val="auto"/>
          <w:sz w:val="22"/>
          <w:szCs w:val="22"/>
        </w:rPr>
        <w:tab/>
      </w:r>
      <w:r w:rsidRPr="00A77C32">
        <w:rPr>
          <w:color w:val="auto"/>
          <w:sz w:val="22"/>
          <w:szCs w:val="22"/>
        </w:rPr>
        <w:tab/>
      </w:r>
      <w:r w:rsidRPr="00A77C32">
        <w:rPr>
          <w:color w:val="auto"/>
          <w:sz w:val="22"/>
          <w:szCs w:val="22"/>
        </w:rPr>
        <w:tab/>
      </w:r>
      <w:r w:rsidRPr="00A77C32">
        <w:rPr>
          <w:color w:val="auto"/>
          <w:sz w:val="22"/>
          <w:szCs w:val="22"/>
        </w:rPr>
        <w:tab/>
      </w:r>
      <w:r w:rsidRPr="00A77C32">
        <w:rPr>
          <w:color w:val="auto"/>
          <w:sz w:val="22"/>
          <w:szCs w:val="22"/>
        </w:rPr>
        <w:tab/>
      </w:r>
      <w:r w:rsidRPr="00A77C32">
        <w:rPr>
          <w:color w:val="auto"/>
          <w:sz w:val="22"/>
          <w:szCs w:val="22"/>
        </w:rPr>
        <w:tab/>
        <w:t>$</w:t>
      </w:r>
      <w:r w:rsidR="00662D64">
        <w:rPr>
          <w:color w:val="auto"/>
          <w:sz w:val="22"/>
          <w:szCs w:val="22"/>
        </w:rPr>
        <w:t>______</w:t>
      </w:r>
      <w:r w:rsidRPr="001127A0" w:rsidR="001127A0">
        <w:rPr>
          <w:color w:val="auto"/>
          <w:sz w:val="22"/>
          <w:szCs w:val="22"/>
          <w:u w:val="single"/>
        </w:rPr>
        <w:t>0</w:t>
      </w:r>
      <w:r w:rsidR="001127A0">
        <w:rPr>
          <w:color w:val="auto"/>
          <w:sz w:val="22"/>
          <w:szCs w:val="22"/>
        </w:rPr>
        <w:t>__</w:t>
      </w:r>
      <w:r w:rsidR="00662D64">
        <w:rPr>
          <w:color w:val="auto"/>
          <w:sz w:val="22"/>
          <w:szCs w:val="22"/>
        </w:rPr>
        <w:t>___</w:t>
      </w:r>
    </w:p>
    <w:p w:rsidRPr="00A77C32" w:rsidR="00063617" w:rsidP="00FD347C" w:rsidRDefault="00063617">
      <w:pPr>
        <w:pStyle w:val="Default"/>
        <w:spacing w:line="480" w:lineRule="auto"/>
        <w:ind w:left="720" w:hanging="180"/>
        <w:jc w:val="both"/>
        <w:rPr>
          <w:color w:val="auto"/>
          <w:sz w:val="22"/>
          <w:szCs w:val="22"/>
        </w:rPr>
      </w:pPr>
      <w:r>
        <w:rPr>
          <w:color w:val="auto"/>
          <w:sz w:val="22"/>
          <w:szCs w:val="22"/>
        </w:rPr>
        <w:t>e. Total annual cost to the government</w:t>
      </w:r>
      <w:r>
        <w:rPr>
          <w:color w:val="auto"/>
          <w:sz w:val="22"/>
          <w:szCs w:val="22"/>
        </w:rPr>
        <w:tab/>
      </w:r>
      <w:r>
        <w:rPr>
          <w:color w:val="auto"/>
          <w:sz w:val="22"/>
          <w:szCs w:val="22"/>
        </w:rPr>
        <w:tab/>
      </w:r>
      <w:r>
        <w:rPr>
          <w:color w:val="auto"/>
          <w:sz w:val="22"/>
          <w:szCs w:val="22"/>
        </w:rPr>
        <w:tab/>
        <w:t>$ _</w:t>
      </w:r>
      <w:r w:rsidRPr="00063617">
        <w:rPr>
          <w:color w:val="auto"/>
          <w:sz w:val="22"/>
          <w:szCs w:val="22"/>
          <w:u w:val="single"/>
        </w:rPr>
        <w:t>10,427.70</w:t>
      </w:r>
      <w:r>
        <w:rPr>
          <w:color w:val="auto"/>
          <w:sz w:val="22"/>
          <w:szCs w:val="22"/>
        </w:rPr>
        <w:t>___</w:t>
      </w:r>
    </w:p>
    <w:p w:rsidRPr="008A5EF1" w:rsidR="000E54E9" w:rsidRDefault="000E54E9">
      <w:pPr>
        <w:tabs>
          <w:tab w:val="left" w:pos="-1440"/>
        </w:tabs>
        <w:ind w:left="720" w:hanging="720"/>
        <w:jc w:val="both"/>
        <w:rPr>
          <w:rFonts w:ascii="Times New Roman" w:hAnsi="Times New Roman"/>
        </w:rPr>
      </w:pPr>
    </w:p>
    <w:p w:rsidR="00EA5135" w:rsidP="0063795C" w:rsidRDefault="00EA5135">
      <w:pPr>
        <w:numPr>
          <w:ilvl w:val="0"/>
          <w:numId w:val="10"/>
        </w:numPr>
        <w:ind w:hanging="630"/>
        <w:rPr>
          <w:rFonts w:ascii="Times New Roman" w:hAnsi="Times New Roman"/>
        </w:rPr>
      </w:pPr>
      <w:r w:rsidRPr="00EA5135">
        <w:rPr>
          <w:rFonts w:ascii="Times New Roman" w:hAnsi="Times New Roman"/>
        </w:rPr>
        <w:t xml:space="preserve">This is a renewal of an information collection.  There are </w:t>
      </w:r>
      <w:r w:rsidR="0063795C">
        <w:rPr>
          <w:rFonts w:ascii="Times New Roman" w:hAnsi="Times New Roman"/>
        </w:rPr>
        <w:t>revisions to that collection that are included in the package as a supplementary document.</w:t>
      </w:r>
      <w:r w:rsidRPr="00EA5135">
        <w:rPr>
          <w:rFonts w:ascii="Times New Roman" w:hAnsi="Times New Roman"/>
        </w:rPr>
        <w:t>   </w:t>
      </w:r>
    </w:p>
    <w:p w:rsidRPr="00B244A9" w:rsidR="009E621C" w:rsidP="00761E09" w:rsidRDefault="00B244A9">
      <w:pPr>
        <w:ind w:left="1260" w:hanging="630"/>
        <w:jc w:val="both"/>
        <w:rPr>
          <w:rFonts w:ascii="Times New Roman" w:hAnsi="Times New Roman"/>
          <w:b/>
        </w:rPr>
      </w:pPr>
      <w:r w:rsidRPr="00761E09">
        <w:rPr>
          <w:rFonts w:ascii="Times New Roman" w:hAnsi="Times New Roman"/>
        </w:rPr>
        <w:t xml:space="preserve">This is a reinstatement of </w:t>
      </w:r>
      <w:r w:rsidRPr="00761E09" w:rsidR="00CE491A">
        <w:rPr>
          <w:rFonts w:ascii="Times New Roman" w:hAnsi="Times New Roman"/>
        </w:rPr>
        <w:t xml:space="preserve">collection OMB-1640-0015. </w:t>
      </w:r>
      <w:r w:rsidRPr="00761E09" w:rsidR="00A609D6">
        <w:rPr>
          <w:rFonts w:ascii="Times New Roman" w:hAnsi="Times New Roman"/>
        </w:rPr>
        <w:t>There has been</w:t>
      </w:r>
      <w:r w:rsidRPr="00761E09" w:rsidR="00CE491A">
        <w:rPr>
          <w:rFonts w:ascii="Times New Roman" w:hAnsi="Times New Roman"/>
        </w:rPr>
        <w:t xml:space="preserve"> an adjustment in the </w:t>
      </w:r>
      <w:r w:rsidRPr="00761E09" w:rsidR="00A609D6">
        <w:rPr>
          <w:rFonts w:ascii="Times New Roman" w:hAnsi="Times New Roman"/>
        </w:rPr>
        <w:t xml:space="preserve">estimated annual burden hours </w:t>
      </w:r>
      <w:r w:rsidRPr="00761E09" w:rsidR="00CE491A">
        <w:rPr>
          <w:rFonts w:ascii="Times New Roman" w:hAnsi="Times New Roman"/>
        </w:rPr>
        <w:t xml:space="preserve">previously stated burdens </w:t>
      </w:r>
      <w:r w:rsidRPr="00761E09" w:rsidR="00A609D6">
        <w:rPr>
          <w:rFonts w:ascii="Times New Roman" w:hAnsi="Times New Roman"/>
        </w:rPr>
        <w:t xml:space="preserve">for this </w:t>
      </w:r>
      <w:r w:rsidRPr="00761E09" w:rsidR="00CE491A">
        <w:rPr>
          <w:rFonts w:ascii="Times New Roman" w:hAnsi="Times New Roman"/>
        </w:rPr>
        <w:t xml:space="preserve">Information Collection. </w:t>
      </w:r>
      <w:r w:rsidRPr="00761E09">
        <w:rPr>
          <w:rFonts w:ascii="Times New Roman" w:hAnsi="Times New Roman"/>
        </w:rPr>
        <w:t>The previous collection inaccurately calculated the annualized burden hours and cost</w:t>
      </w:r>
      <w:r w:rsidRPr="00761E09" w:rsidR="00A609D6">
        <w:rPr>
          <w:rFonts w:ascii="Times New Roman" w:hAnsi="Times New Roman"/>
        </w:rPr>
        <w:t>s</w:t>
      </w:r>
      <w:r w:rsidRPr="00761E09">
        <w:rPr>
          <w:rFonts w:ascii="Times New Roman" w:hAnsi="Times New Roman"/>
        </w:rPr>
        <w:t>. This collection corrects the calculations</w:t>
      </w:r>
      <w:r w:rsidRPr="00B244A9">
        <w:rPr>
          <w:rFonts w:ascii="Times New Roman" w:hAnsi="Times New Roman"/>
          <w:b/>
        </w:rPr>
        <w:t>.</w:t>
      </w:r>
    </w:p>
    <w:p w:rsidR="000E54E9" w:rsidP="00CA5CC5" w:rsidRDefault="000E54E9">
      <w:pPr>
        <w:numPr>
          <w:ilvl w:val="0"/>
          <w:numId w:val="10"/>
        </w:numPr>
        <w:ind w:hanging="630"/>
        <w:rPr>
          <w:rFonts w:ascii="Times New Roman" w:hAnsi="Times New Roman"/>
        </w:rPr>
      </w:pPr>
      <w:r w:rsidRPr="00537E46">
        <w:rPr>
          <w:rFonts w:ascii="Times New Roman" w:hAnsi="Times New Roman"/>
        </w:rPr>
        <w:t xml:space="preserve">DHS S&amp;T does not intend to employ the use of statistics or the publication thereof for this information collection.  </w:t>
      </w:r>
    </w:p>
    <w:p w:rsidRPr="00537E46" w:rsidR="00CA5CC5" w:rsidP="009E621C" w:rsidRDefault="00CA5CC5">
      <w:pPr>
        <w:ind w:left="630" w:hanging="630"/>
        <w:rPr>
          <w:rFonts w:ascii="Times New Roman" w:hAnsi="Times New Roman"/>
        </w:rPr>
      </w:pPr>
    </w:p>
    <w:p w:rsidRPr="008A5EF1" w:rsidR="000E54E9" w:rsidP="00CA5CC5" w:rsidRDefault="000E54E9">
      <w:pPr>
        <w:numPr>
          <w:ilvl w:val="0"/>
          <w:numId w:val="10"/>
        </w:numPr>
        <w:ind w:hanging="630"/>
        <w:jc w:val="both"/>
        <w:rPr>
          <w:rFonts w:ascii="Times New Roman" w:hAnsi="Times New Roman"/>
        </w:rPr>
      </w:pPr>
      <w:r w:rsidRPr="00047FDB">
        <w:rPr>
          <w:rFonts w:ascii="Times New Roman" w:hAnsi="Times New Roman"/>
        </w:rPr>
        <w:t>DHS S&amp;T will display the expiration date of OMB approval for this information collection.</w:t>
      </w:r>
    </w:p>
    <w:p w:rsidRPr="008A5EF1" w:rsidR="000E54E9" w:rsidP="00CA5CC5" w:rsidRDefault="000E54E9">
      <w:pPr>
        <w:ind w:hanging="630"/>
        <w:jc w:val="both"/>
        <w:rPr>
          <w:rFonts w:ascii="Times New Roman" w:hAnsi="Times New Roman"/>
        </w:rPr>
      </w:pPr>
    </w:p>
    <w:p w:rsidRPr="009E621C" w:rsidR="000E54E9" w:rsidP="00CA5CC5" w:rsidRDefault="000E54E9">
      <w:pPr>
        <w:numPr>
          <w:ilvl w:val="0"/>
          <w:numId w:val="10"/>
        </w:numPr>
        <w:ind w:hanging="630"/>
        <w:jc w:val="both"/>
        <w:rPr>
          <w:rFonts w:ascii="Times New Roman" w:hAnsi="Times New Roman"/>
          <w:b/>
          <w:bCs/>
        </w:rPr>
      </w:pPr>
      <w:r w:rsidRPr="00047FDB">
        <w:rPr>
          <w:rFonts w:ascii="Times New Roman" w:hAnsi="Times New Roman"/>
        </w:rPr>
        <w:t>DHS S&amp;T does not request an exception to the certification of this information collection.</w:t>
      </w:r>
    </w:p>
    <w:p w:rsidR="00CA5CC5" w:rsidP="009E621C" w:rsidRDefault="00CA5CC5">
      <w:pPr>
        <w:pStyle w:val="ListParagraph"/>
        <w:rPr>
          <w:rFonts w:ascii="Times New Roman" w:hAnsi="Times New Roman"/>
          <w:b/>
          <w:bCs/>
        </w:rPr>
      </w:pPr>
    </w:p>
    <w:p w:rsidRPr="00547B81" w:rsidR="00CA5CC5" w:rsidP="009E621C" w:rsidRDefault="00CA5CC5">
      <w:pPr>
        <w:ind w:left="630"/>
        <w:jc w:val="both"/>
        <w:rPr>
          <w:rFonts w:ascii="Times New Roman" w:hAnsi="Times New Roman"/>
          <w:b/>
          <w:bCs/>
        </w:rPr>
      </w:pPr>
    </w:p>
    <w:p w:rsidR="000E54E9" w:rsidP="000E54E9" w:rsidRDefault="000E54E9">
      <w:pPr>
        <w:jc w:val="both"/>
        <w:rPr>
          <w:rFonts w:ascii="Times New Roman" w:hAnsi="Times New Roman"/>
          <w:b/>
          <w:bCs/>
        </w:rPr>
      </w:pPr>
    </w:p>
    <w:p w:rsidRPr="008A5EF1" w:rsidR="000E54E9" w:rsidP="009E621C" w:rsidRDefault="000E54E9">
      <w:pPr>
        <w:ind w:firstLine="720"/>
        <w:jc w:val="both"/>
        <w:rPr>
          <w:rFonts w:ascii="Times New Roman" w:hAnsi="Times New Roman"/>
        </w:rPr>
      </w:pPr>
      <w:bookmarkStart w:name="_GoBack" w:id="2"/>
      <w:bookmarkEnd w:id="2"/>
    </w:p>
    <w:sectPr w:rsidRPr="008A5EF1" w:rsidR="000E54E9" w:rsidSect="000E54E9">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12" w:rsidRDefault="003C0D12">
      <w:r>
        <w:separator/>
      </w:r>
    </w:p>
  </w:endnote>
  <w:endnote w:type="continuationSeparator" w:id="0">
    <w:p w:rsidR="003C0D12" w:rsidRDefault="003C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3" w:rsidRDefault="00587BC3" w:rsidP="000E54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BC3" w:rsidRDefault="00587BC3" w:rsidP="000E54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3" w:rsidRDefault="00587BC3">
    <w:pPr>
      <w:spacing w:line="240" w:lineRule="exact"/>
    </w:pPr>
  </w:p>
  <w:p w:rsidR="00587BC3" w:rsidRDefault="00587BC3" w:rsidP="000E54E9">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216BB2">
      <w:rPr>
        <w:rFonts w:cs="Courier"/>
        <w:noProof/>
      </w:rPr>
      <w:t>2</w:t>
    </w:r>
    <w:r>
      <w:rPr>
        <w:rFonts w:cs="Courier"/>
      </w:rPr>
      <w:fldChar w:fldCharType="end"/>
    </w:r>
  </w:p>
  <w:p w:rsidR="00587BC3" w:rsidRDefault="00587BC3" w:rsidP="000E54E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12" w:rsidRDefault="003C0D12">
      <w:r>
        <w:separator/>
      </w:r>
    </w:p>
  </w:footnote>
  <w:footnote w:type="continuationSeparator" w:id="0">
    <w:p w:rsidR="003C0D12" w:rsidRDefault="003C0D12">
      <w:r>
        <w:continuationSeparator/>
      </w:r>
    </w:p>
  </w:footnote>
  <w:footnote w:id="1">
    <w:p w:rsidR="00587BC3" w:rsidRDefault="00587BC3" w:rsidP="000E54E9">
      <w:pPr>
        <w:pStyle w:val="FootnoteText"/>
      </w:pPr>
      <w:r>
        <w:rPr>
          <w:rStyle w:val="FootnoteReference"/>
        </w:rPr>
        <w:footnoteRef/>
      </w:r>
      <w:r>
        <w:t xml:space="preserve"> Congressional direction for a P25 compl</w:t>
      </w:r>
      <w:r w:rsidRPr="008B102E">
        <w:t>iance assessment program can be found in</w:t>
      </w:r>
      <w:r w:rsidR="000119E3">
        <w:t xml:space="preserve"> </w:t>
      </w:r>
      <w:r w:rsidR="00796CC8">
        <w:t xml:space="preserve">the </w:t>
      </w:r>
      <w:r w:rsidR="008B520E">
        <w:t>House of Representative</w:t>
      </w:r>
      <w:r w:rsidR="000119E3">
        <w:t xml:space="preserve"> </w:t>
      </w:r>
      <w:r w:rsidRPr="008B102E">
        <w:t>Conference Report</w:t>
      </w:r>
      <w:r w:rsidR="000119E3">
        <w:t xml:space="preserve"> language dating back to </w:t>
      </w:r>
      <w:r w:rsidR="00317773">
        <w:t xml:space="preserve">H.R. </w:t>
      </w:r>
      <w:r w:rsidR="00CE574D" w:rsidRPr="00CE574D">
        <w:t>Report</w:t>
      </w:r>
      <w:r w:rsidR="00317773">
        <w:t xml:space="preserve"> 109-241</w:t>
      </w:r>
      <w:r w:rsidR="00CE574D">
        <w:t xml:space="preserve"> </w:t>
      </w:r>
      <w:r w:rsidR="00317773">
        <w:t>for</w:t>
      </w:r>
      <w:r w:rsidR="00CE574D">
        <w:t xml:space="preserve"> </w:t>
      </w:r>
      <w:r w:rsidR="00317773" w:rsidRPr="00CE574D">
        <w:t>the Department of Homeland Security Appropriations Act, 2006</w:t>
      </w:r>
      <w:r w:rsidR="00317773">
        <w:t xml:space="preserve">, </w:t>
      </w:r>
      <w:r w:rsidR="00CE574D">
        <w:t xml:space="preserve">Public Law </w:t>
      </w:r>
      <w:r w:rsidR="00CE574D" w:rsidRPr="00CE574D">
        <w:t>109-</w:t>
      </w:r>
      <w:r w:rsidR="00317773">
        <w:t>90</w:t>
      </w:r>
      <w:r w:rsidR="00CE574D">
        <w:t xml:space="preserve">.  The most recent instance of congressional direction can be found in </w:t>
      </w:r>
      <w:r w:rsidR="008B520E">
        <w:t>H.R.</w:t>
      </w:r>
      <w:r w:rsidR="00CE574D">
        <w:t xml:space="preserve"> </w:t>
      </w:r>
      <w:r w:rsidR="00CE574D" w:rsidRPr="00CE574D">
        <w:t>Report</w:t>
      </w:r>
      <w:r w:rsidR="008B520E">
        <w:t xml:space="preserve"> 113-481</w:t>
      </w:r>
      <w:r w:rsidR="00CE574D">
        <w:t xml:space="preserve"> </w:t>
      </w:r>
      <w:r w:rsidR="00317773">
        <w:t>for Department of Homeland Security Appropriations Bill, 2015,</w:t>
      </w:r>
      <w:r w:rsidR="00CE574D">
        <w:t xml:space="preserve"> Public Law </w:t>
      </w:r>
      <w:r w:rsidR="00CE574D" w:rsidRPr="00CE574D">
        <w:t>113-</w:t>
      </w:r>
      <w:r w:rsidR="00317773">
        <w:t>235</w:t>
      </w:r>
      <w:r w:rsidRPr="008B102E">
        <w:t>.</w:t>
      </w:r>
    </w:p>
  </w:footnote>
  <w:footnote w:id="2">
    <w:p w:rsidR="00587BC3" w:rsidRDefault="00587BC3" w:rsidP="000E54E9">
      <w:pPr>
        <w:pStyle w:val="FootnoteText"/>
      </w:pPr>
      <w:r>
        <w:rPr>
          <w:rStyle w:val="FootnoteReference"/>
        </w:rPr>
        <w:footnoteRef/>
      </w:r>
      <w:r>
        <w:t xml:space="preserve"> Information collected by the Department of Justice’s Office of Community Oriented Policing Services regarding communications technology grants shows that, on average, it takes 24-36 months for agencies to have communications equipment delivered and installed from the time that the local procurement process begins.  Thus, many agencies that have received Federal grants over the last two years to purchase P25 equipment will not have taken final delivery of systems/products being procured, and could use the P25 CAP information to determine that the products delivered meet P25 specifications, per contract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AEB"/>
    <w:multiLevelType w:val="hybridMultilevel"/>
    <w:tmpl w:val="2A3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22D5"/>
    <w:multiLevelType w:val="hybridMultilevel"/>
    <w:tmpl w:val="E2FEE034"/>
    <w:lvl w:ilvl="0" w:tplc="B82265E8">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A50D1C"/>
    <w:multiLevelType w:val="hybridMultilevel"/>
    <w:tmpl w:val="5A3A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5157E"/>
    <w:multiLevelType w:val="multilevel"/>
    <w:tmpl w:val="5D0607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8E6718"/>
    <w:multiLevelType w:val="hybridMultilevel"/>
    <w:tmpl w:val="3C0A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7924A8"/>
    <w:multiLevelType w:val="hybridMultilevel"/>
    <w:tmpl w:val="FBFED9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8C5C28"/>
    <w:multiLevelType w:val="hybridMultilevel"/>
    <w:tmpl w:val="4D4E1D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A8A31C1"/>
    <w:multiLevelType w:val="hybridMultilevel"/>
    <w:tmpl w:val="6E181E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9A0076"/>
    <w:multiLevelType w:val="hybridMultilevel"/>
    <w:tmpl w:val="5D0607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345F5E"/>
    <w:multiLevelType w:val="multilevel"/>
    <w:tmpl w:val="5D0607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1ED7619"/>
    <w:multiLevelType w:val="hybridMultilevel"/>
    <w:tmpl w:val="1B6086D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CE2F8A"/>
    <w:multiLevelType w:val="hybridMultilevel"/>
    <w:tmpl w:val="FE9E8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3A2D85"/>
    <w:multiLevelType w:val="hybridMultilevel"/>
    <w:tmpl w:val="66A68514"/>
    <w:lvl w:ilvl="0" w:tplc="2F60C39C">
      <w:start w:val="1"/>
      <w:numFmt w:val="decimal"/>
      <w:lvlText w:val="%1."/>
      <w:lvlJc w:val="left"/>
      <w:pPr>
        <w:tabs>
          <w:tab w:val="num" w:pos="630"/>
        </w:tabs>
        <w:ind w:left="63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F176A0"/>
    <w:multiLevelType w:val="hybridMultilevel"/>
    <w:tmpl w:val="35B83244"/>
    <w:lvl w:ilvl="0" w:tplc="CFAEE2D8">
      <w:start w:val="1"/>
      <w:numFmt w:val="upperLetter"/>
      <w:lvlText w:val="%1."/>
      <w:lvlJc w:val="left"/>
      <w:pPr>
        <w:ind w:left="580" w:hanging="480"/>
      </w:pPr>
      <w:rPr>
        <w:rFonts w:ascii="Arial" w:eastAsia="Arial" w:hAnsi="Arial" w:hint="default"/>
        <w:b/>
        <w:bCs/>
        <w:spacing w:val="-1"/>
        <w:sz w:val="20"/>
        <w:szCs w:val="20"/>
      </w:rPr>
    </w:lvl>
    <w:lvl w:ilvl="1" w:tplc="0492AEDC">
      <w:start w:val="1"/>
      <w:numFmt w:val="decimal"/>
      <w:lvlText w:val="%2."/>
      <w:lvlJc w:val="left"/>
      <w:pPr>
        <w:ind w:left="600" w:hanging="501"/>
      </w:pPr>
      <w:rPr>
        <w:rFonts w:ascii="Arial" w:eastAsia="Arial" w:hAnsi="Arial" w:hint="default"/>
        <w:spacing w:val="-1"/>
        <w:w w:val="99"/>
        <w:sz w:val="20"/>
        <w:szCs w:val="20"/>
      </w:rPr>
    </w:lvl>
    <w:lvl w:ilvl="2" w:tplc="D18ED5F4">
      <w:start w:val="1"/>
      <w:numFmt w:val="bullet"/>
      <w:lvlText w:val="•"/>
      <w:lvlJc w:val="left"/>
      <w:pPr>
        <w:ind w:left="780" w:hanging="182"/>
      </w:pPr>
      <w:rPr>
        <w:rFonts w:ascii="Arial" w:eastAsia="Arial" w:hAnsi="Arial" w:hint="default"/>
        <w:sz w:val="20"/>
        <w:szCs w:val="20"/>
      </w:rPr>
    </w:lvl>
    <w:lvl w:ilvl="3" w:tplc="716A6BCA">
      <w:start w:val="1"/>
      <w:numFmt w:val="bullet"/>
      <w:lvlText w:val="•"/>
      <w:lvlJc w:val="left"/>
      <w:pPr>
        <w:ind w:left="800" w:hanging="182"/>
      </w:pPr>
      <w:rPr>
        <w:rFonts w:hint="default"/>
      </w:rPr>
    </w:lvl>
    <w:lvl w:ilvl="4" w:tplc="9F6A2434">
      <w:start w:val="1"/>
      <w:numFmt w:val="bullet"/>
      <w:lvlText w:val="•"/>
      <w:lvlJc w:val="left"/>
      <w:pPr>
        <w:ind w:left="2257" w:hanging="182"/>
      </w:pPr>
      <w:rPr>
        <w:rFonts w:hint="default"/>
      </w:rPr>
    </w:lvl>
    <w:lvl w:ilvl="5" w:tplc="46B62746">
      <w:start w:val="1"/>
      <w:numFmt w:val="bullet"/>
      <w:lvlText w:val="•"/>
      <w:lvlJc w:val="left"/>
      <w:pPr>
        <w:ind w:left="3714" w:hanging="182"/>
      </w:pPr>
      <w:rPr>
        <w:rFonts w:hint="default"/>
      </w:rPr>
    </w:lvl>
    <w:lvl w:ilvl="6" w:tplc="220ECAF8">
      <w:start w:val="1"/>
      <w:numFmt w:val="bullet"/>
      <w:lvlText w:val="•"/>
      <w:lvlJc w:val="left"/>
      <w:pPr>
        <w:ind w:left="5171" w:hanging="182"/>
      </w:pPr>
      <w:rPr>
        <w:rFonts w:hint="default"/>
      </w:rPr>
    </w:lvl>
    <w:lvl w:ilvl="7" w:tplc="44A28EEA">
      <w:start w:val="1"/>
      <w:numFmt w:val="bullet"/>
      <w:lvlText w:val="•"/>
      <w:lvlJc w:val="left"/>
      <w:pPr>
        <w:ind w:left="6628" w:hanging="182"/>
      </w:pPr>
      <w:rPr>
        <w:rFonts w:hint="default"/>
      </w:rPr>
    </w:lvl>
    <w:lvl w:ilvl="8" w:tplc="0F76794C">
      <w:start w:val="1"/>
      <w:numFmt w:val="bullet"/>
      <w:lvlText w:val="•"/>
      <w:lvlJc w:val="left"/>
      <w:pPr>
        <w:ind w:left="8085" w:hanging="182"/>
      </w:pPr>
      <w:rPr>
        <w:rFonts w:hint="default"/>
      </w:rPr>
    </w:lvl>
  </w:abstractNum>
  <w:abstractNum w:abstractNumId="14" w15:restartNumberingAfterBreak="0">
    <w:nsid w:val="518B0098"/>
    <w:multiLevelType w:val="hybridMultilevel"/>
    <w:tmpl w:val="C0423FB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2A3394"/>
    <w:multiLevelType w:val="hybridMultilevel"/>
    <w:tmpl w:val="BB28833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3331ED"/>
    <w:multiLevelType w:val="hybridMultilevel"/>
    <w:tmpl w:val="F476082A"/>
    <w:lvl w:ilvl="0" w:tplc="6A326BA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E7260C"/>
    <w:multiLevelType w:val="hybridMultilevel"/>
    <w:tmpl w:val="81E0D85E"/>
    <w:lvl w:ilvl="0" w:tplc="C64CEF9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6731FC"/>
    <w:multiLevelType w:val="hybridMultilevel"/>
    <w:tmpl w:val="76A8A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0"/>
  </w:num>
  <w:num w:numId="4">
    <w:abstractNumId w:val="15"/>
  </w:num>
  <w:num w:numId="5">
    <w:abstractNumId w:val="8"/>
  </w:num>
  <w:num w:numId="6">
    <w:abstractNumId w:val="17"/>
  </w:num>
  <w:num w:numId="7">
    <w:abstractNumId w:val="9"/>
  </w:num>
  <w:num w:numId="8">
    <w:abstractNumId w:val="3"/>
  </w:num>
  <w:num w:numId="9">
    <w:abstractNumId w:val="7"/>
  </w:num>
  <w:num w:numId="10">
    <w:abstractNumId w:val="12"/>
  </w:num>
  <w:num w:numId="11">
    <w:abstractNumId w:val="11"/>
  </w:num>
  <w:num w:numId="12">
    <w:abstractNumId w:val="16"/>
  </w:num>
  <w:num w:numId="13">
    <w:abstractNumId w:val="18"/>
  </w:num>
  <w:num w:numId="14">
    <w:abstractNumId w:val="6"/>
  </w:num>
  <w:num w:numId="15">
    <w:abstractNumId w:val="12"/>
  </w:num>
  <w:num w:numId="16">
    <w:abstractNumId w:val="4"/>
  </w:num>
  <w:num w:numId="17">
    <w:abstractNumId w:val="1"/>
  </w:num>
  <w:num w:numId="18">
    <w:abstractNumId w:val="2"/>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1525"/>
    <w:rsid w:val="000119E3"/>
    <w:rsid w:val="000312F0"/>
    <w:rsid w:val="00033AEA"/>
    <w:rsid w:val="00033B41"/>
    <w:rsid w:val="00047F16"/>
    <w:rsid w:val="00055BD2"/>
    <w:rsid w:val="00060B54"/>
    <w:rsid w:val="00063617"/>
    <w:rsid w:val="000915F2"/>
    <w:rsid w:val="000E54E9"/>
    <w:rsid w:val="000E61EC"/>
    <w:rsid w:val="000E7217"/>
    <w:rsid w:val="000F0C6F"/>
    <w:rsid w:val="001127A0"/>
    <w:rsid w:val="00123BB2"/>
    <w:rsid w:val="00127B00"/>
    <w:rsid w:val="001816C1"/>
    <w:rsid w:val="0018182A"/>
    <w:rsid w:val="00184B53"/>
    <w:rsid w:val="00184F5B"/>
    <w:rsid w:val="00190E3D"/>
    <w:rsid w:val="001A1EFE"/>
    <w:rsid w:val="001D3E8A"/>
    <w:rsid w:val="001D42AB"/>
    <w:rsid w:val="001E6605"/>
    <w:rsid w:val="001F3331"/>
    <w:rsid w:val="001F7465"/>
    <w:rsid w:val="00200B26"/>
    <w:rsid w:val="00202CFA"/>
    <w:rsid w:val="00212EC5"/>
    <w:rsid w:val="00216BB2"/>
    <w:rsid w:val="002273B4"/>
    <w:rsid w:val="00231960"/>
    <w:rsid w:val="0023491B"/>
    <w:rsid w:val="002534D5"/>
    <w:rsid w:val="00255516"/>
    <w:rsid w:val="00260F21"/>
    <w:rsid w:val="00263AC3"/>
    <w:rsid w:val="00264D08"/>
    <w:rsid w:val="00281D7A"/>
    <w:rsid w:val="002843A7"/>
    <w:rsid w:val="0028753B"/>
    <w:rsid w:val="0029331A"/>
    <w:rsid w:val="002C6885"/>
    <w:rsid w:val="002E0C0E"/>
    <w:rsid w:val="002F25A1"/>
    <w:rsid w:val="002F6C98"/>
    <w:rsid w:val="00317773"/>
    <w:rsid w:val="00327620"/>
    <w:rsid w:val="0033283D"/>
    <w:rsid w:val="00337BBE"/>
    <w:rsid w:val="00367368"/>
    <w:rsid w:val="00367ABA"/>
    <w:rsid w:val="003A0FA7"/>
    <w:rsid w:val="003B2225"/>
    <w:rsid w:val="003C0D12"/>
    <w:rsid w:val="003E59EA"/>
    <w:rsid w:val="003E795D"/>
    <w:rsid w:val="003F1773"/>
    <w:rsid w:val="004054AA"/>
    <w:rsid w:val="00410E5A"/>
    <w:rsid w:val="004170F3"/>
    <w:rsid w:val="004272A9"/>
    <w:rsid w:val="00427FB6"/>
    <w:rsid w:val="00444DE6"/>
    <w:rsid w:val="0047502B"/>
    <w:rsid w:val="004842EF"/>
    <w:rsid w:val="004A5313"/>
    <w:rsid w:val="004A5D0B"/>
    <w:rsid w:val="004A6027"/>
    <w:rsid w:val="004A7F42"/>
    <w:rsid w:val="004B4CC7"/>
    <w:rsid w:val="004D2E6D"/>
    <w:rsid w:val="004F5559"/>
    <w:rsid w:val="0050595B"/>
    <w:rsid w:val="005151D0"/>
    <w:rsid w:val="0053550F"/>
    <w:rsid w:val="00537E46"/>
    <w:rsid w:val="005630AE"/>
    <w:rsid w:val="00566BCA"/>
    <w:rsid w:val="0057252E"/>
    <w:rsid w:val="005749AD"/>
    <w:rsid w:val="005827C7"/>
    <w:rsid w:val="00583254"/>
    <w:rsid w:val="00587BC3"/>
    <w:rsid w:val="00590C0C"/>
    <w:rsid w:val="005D6E0C"/>
    <w:rsid w:val="00600C27"/>
    <w:rsid w:val="00604749"/>
    <w:rsid w:val="00620CA4"/>
    <w:rsid w:val="0063795C"/>
    <w:rsid w:val="00642809"/>
    <w:rsid w:val="00645289"/>
    <w:rsid w:val="00650601"/>
    <w:rsid w:val="006601DD"/>
    <w:rsid w:val="00662D64"/>
    <w:rsid w:val="0066384A"/>
    <w:rsid w:val="006647D2"/>
    <w:rsid w:val="00676632"/>
    <w:rsid w:val="00687822"/>
    <w:rsid w:val="00691D20"/>
    <w:rsid w:val="006B043F"/>
    <w:rsid w:val="006B47F7"/>
    <w:rsid w:val="006D633B"/>
    <w:rsid w:val="006E00AC"/>
    <w:rsid w:val="006F19C8"/>
    <w:rsid w:val="006F261B"/>
    <w:rsid w:val="006F647A"/>
    <w:rsid w:val="006F6B10"/>
    <w:rsid w:val="00714022"/>
    <w:rsid w:val="00721607"/>
    <w:rsid w:val="007506C9"/>
    <w:rsid w:val="00761E09"/>
    <w:rsid w:val="00765676"/>
    <w:rsid w:val="00783F53"/>
    <w:rsid w:val="00785807"/>
    <w:rsid w:val="00785DCC"/>
    <w:rsid w:val="00787DD7"/>
    <w:rsid w:val="00796CC8"/>
    <w:rsid w:val="007A16F5"/>
    <w:rsid w:val="007A7BA1"/>
    <w:rsid w:val="007C13B9"/>
    <w:rsid w:val="007C1AA9"/>
    <w:rsid w:val="007C23A0"/>
    <w:rsid w:val="007C4BDB"/>
    <w:rsid w:val="007C608F"/>
    <w:rsid w:val="007F3AEE"/>
    <w:rsid w:val="007F554D"/>
    <w:rsid w:val="008014CC"/>
    <w:rsid w:val="00803886"/>
    <w:rsid w:val="00840855"/>
    <w:rsid w:val="00864C3F"/>
    <w:rsid w:val="00871CB6"/>
    <w:rsid w:val="00872545"/>
    <w:rsid w:val="00880D43"/>
    <w:rsid w:val="0088246B"/>
    <w:rsid w:val="00897BC7"/>
    <w:rsid w:val="008B102E"/>
    <w:rsid w:val="008B520E"/>
    <w:rsid w:val="008D49F3"/>
    <w:rsid w:val="008E44E7"/>
    <w:rsid w:val="008F5C80"/>
    <w:rsid w:val="009039FA"/>
    <w:rsid w:val="00913F92"/>
    <w:rsid w:val="009224AE"/>
    <w:rsid w:val="0092514C"/>
    <w:rsid w:val="00932047"/>
    <w:rsid w:val="009442E5"/>
    <w:rsid w:val="00953DAA"/>
    <w:rsid w:val="009550FF"/>
    <w:rsid w:val="00955B34"/>
    <w:rsid w:val="00970469"/>
    <w:rsid w:val="00980494"/>
    <w:rsid w:val="00980AB4"/>
    <w:rsid w:val="009A0E2E"/>
    <w:rsid w:val="009A414D"/>
    <w:rsid w:val="009A5FEE"/>
    <w:rsid w:val="009C0530"/>
    <w:rsid w:val="009C6884"/>
    <w:rsid w:val="009C6C2D"/>
    <w:rsid w:val="009D1439"/>
    <w:rsid w:val="009E16FA"/>
    <w:rsid w:val="009E5719"/>
    <w:rsid w:val="009E621C"/>
    <w:rsid w:val="00A075FD"/>
    <w:rsid w:val="00A145B2"/>
    <w:rsid w:val="00A1635F"/>
    <w:rsid w:val="00A2013B"/>
    <w:rsid w:val="00A404B0"/>
    <w:rsid w:val="00A51117"/>
    <w:rsid w:val="00A609D6"/>
    <w:rsid w:val="00A65C8E"/>
    <w:rsid w:val="00A802DB"/>
    <w:rsid w:val="00A901CE"/>
    <w:rsid w:val="00A90DE3"/>
    <w:rsid w:val="00A96896"/>
    <w:rsid w:val="00AA1B3A"/>
    <w:rsid w:val="00AC7486"/>
    <w:rsid w:val="00B165CB"/>
    <w:rsid w:val="00B234B7"/>
    <w:rsid w:val="00B244A9"/>
    <w:rsid w:val="00B306D0"/>
    <w:rsid w:val="00B341A6"/>
    <w:rsid w:val="00B47CD2"/>
    <w:rsid w:val="00B537F9"/>
    <w:rsid w:val="00B64E72"/>
    <w:rsid w:val="00B7748C"/>
    <w:rsid w:val="00BB0FA7"/>
    <w:rsid w:val="00BB7BA4"/>
    <w:rsid w:val="00BD5A2B"/>
    <w:rsid w:val="00BF2F61"/>
    <w:rsid w:val="00BF4C2A"/>
    <w:rsid w:val="00C00F49"/>
    <w:rsid w:val="00C14E2F"/>
    <w:rsid w:val="00C30916"/>
    <w:rsid w:val="00C34A69"/>
    <w:rsid w:val="00C35C74"/>
    <w:rsid w:val="00C669B5"/>
    <w:rsid w:val="00C8464B"/>
    <w:rsid w:val="00C85D54"/>
    <w:rsid w:val="00CA5CC5"/>
    <w:rsid w:val="00CB1E9D"/>
    <w:rsid w:val="00CB5E29"/>
    <w:rsid w:val="00CC7E81"/>
    <w:rsid w:val="00CD1298"/>
    <w:rsid w:val="00CD17D8"/>
    <w:rsid w:val="00CD5114"/>
    <w:rsid w:val="00CE491A"/>
    <w:rsid w:val="00CE4D90"/>
    <w:rsid w:val="00CE574D"/>
    <w:rsid w:val="00D04C7C"/>
    <w:rsid w:val="00D1609D"/>
    <w:rsid w:val="00D273B4"/>
    <w:rsid w:val="00D345CB"/>
    <w:rsid w:val="00D81405"/>
    <w:rsid w:val="00D975AA"/>
    <w:rsid w:val="00DD4058"/>
    <w:rsid w:val="00DE1E36"/>
    <w:rsid w:val="00DE3771"/>
    <w:rsid w:val="00DE665A"/>
    <w:rsid w:val="00DF1D8C"/>
    <w:rsid w:val="00DF494E"/>
    <w:rsid w:val="00DF6257"/>
    <w:rsid w:val="00E02460"/>
    <w:rsid w:val="00E27D3F"/>
    <w:rsid w:val="00E304BB"/>
    <w:rsid w:val="00E43ED1"/>
    <w:rsid w:val="00E4732A"/>
    <w:rsid w:val="00E567E5"/>
    <w:rsid w:val="00EA0FC2"/>
    <w:rsid w:val="00EA1BC1"/>
    <w:rsid w:val="00EA5135"/>
    <w:rsid w:val="00EC0D02"/>
    <w:rsid w:val="00EC6ABE"/>
    <w:rsid w:val="00ED563F"/>
    <w:rsid w:val="00EE4A11"/>
    <w:rsid w:val="00EF6992"/>
    <w:rsid w:val="00F00BCC"/>
    <w:rsid w:val="00F11477"/>
    <w:rsid w:val="00F14442"/>
    <w:rsid w:val="00F22EA1"/>
    <w:rsid w:val="00F24E87"/>
    <w:rsid w:val="00F252A1"/>
    <w:rsid w:val="00F3573A"/>
    <w:rsid w:val="00F46379"/>
    <w:rsid w:val="00F500F4"/>
    <w:rsid w:val="00F646AC"/>
    <w:rsid w:val="00F81163"/>
    <w:rsid w:val="00F8411D"/>
    <w:rsid w:val="00FD347C"/>
    <w:rsid w:val="00FD4EAF"/>
    <w:rsid w:val="00FD72AC"/>
    <w:rsid w:val="00FF3DBE"/>
    <w:rsid w:val="00FF532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5:chartTrackingRefBased/>
  <w15:docId w15:val="{821F16CE-2FC8-465D-9496-40AB28E9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47B81"/>
    <w:pPr>
      <w:keepNext/>
      <w:widowControl/>
      <w:autoSpaceDE/>
      <w:autoSpaceDN/>
      <w:adjustRightInd/>
      <w:outlineLvl w:val="0"/>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FootnoteText">
    <w:name w:val="footnote text"/>
    <w:basedOn w:val="Normal"/>
    <w:semiHidden/>
    <w:rsid w:val="00DC3D64"/>
    <w:pPr>
      <w:widowControl/>
      <w:autoSpaceDE/>
      <w:autoSpaceDN/>
      <w:adjustRightInd/>
    </w:pPr>
    <w:rPr>
      <w:rFonts w:ascii="Times New Roman" w:hAnsi="Times New Roman"/>
      <w:sz w:val="20"/>
      <w:szCs w:val="20"/>
    </w:rPr>
  </w:style>
  <w:style w:type="paragraph" w:customStyle="1" w:styleId="Default">
    <w:name w:val="Default"/>
    <w:rsid w:val="00DC3D64"/>
    <w:pPr>
      <w:autoSpaceDE w:val="0"/>
      <w:autoSpaceDN w:val="0"/>
      <w:adjustRightInd w:val="0"/>
    </w:pPr>
    <w:rPr>
      <w:color w:val="000000"/>
      <w:sz w:val="24"/>
      <w:szCs w:val="24"/>
    </w:rPr>
  </w:style>
  <w:style w:type="table" w:styleId="TableGrid">
    <w:name w:val="Table Grid"/>
    <w:basedOn w:val="TableNormal"/>
    <w:rsid w:val="0094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1A28"/>
    <w:rPr>
      <w:color w:val="0000FF"/>
      <w:u w:val="single"/>
    </w:rPr>
  </w:style>
  <w:style w:type="paragraph" w:styleId="NormalWeb">
    <w:name w:val="Normal (Web)"/>
    <w:basedOn w:val="Normal"/>
    <w:rsid w:val="00906FA8"/>
    <w:pPr>
      <w:widowControl/>
      <w:autoSpaceDE/>
      <w:autoSpaceDN/>
      <w:adjustRightInd/>
      <w:spacing w:before="100" w:beforeAutospacing="1" w:after="100" w:afterAutospacing="1"/>
    </w:pPr>
    <w:rPr>
      <w:rFonts w:ascii="Times New Roman" w:hAnsi="Times New Roman"/>
    </w:rPr>
  </w:style>
  <w:style w:type="character" w:styleId="FollowedHyperlink">
    <w:name w:val="FollowedHyperlink"/>
    <w:rsid w:val="00547B81"/>
    <w:rPr>
      <w:color w:val="800080"/>
      <w:u w:val="single"/>
    </w:rPr>
  </w:style>
  <w:style w:type="paragraph" w:styleId="BalloonText">
    <w:name w:val="Balloon Text"/>
    <w:basedOn w:val="Normal"/>
    <w:link w:val="BalloonTextChar"/>
    <w:rsid w:val="003829CA"/>
    <w:rPr>
      <w:rFonts w:ascii="Lucida Grande" w:hAnsi="Lucida Grande"/>
      <w:sz w:val="18"/>
      <w:szCs w:val="18"/>
    </w:rPr>
  </w:style>
  <w:style w:type="character" w:customStyle="1" w:styleId="BalloonTextChar">
    <w:name w:val="Balloon Text Char"/>
    <w:link w:val="BalloonText"/>
    <w:rsid w:val="003829CA"/>
    <w:rPr>
      <w:rFonts w:ascii="Lucida Grande" w:hAnsi="Lucida Grande"/>
      <w:sz w:val="18"/>
      <w:szCs w:val="18"/>
    </w:rPr>
  </w:style>
  <w:style w:type="character" w:styleId="CommentReference">
    <w:name w:val="annotation reference"/>
    <w:rsid w:val="00EF6992"/>
    <w:rPr>
      <w:sz w:val="16"/>
      <w:szCs w:val="16"/>
    </w:rPr>
  </w:style>
  <w:style w:type="paragraph" w:styleId="CommentText">
    <w:name w:val="annotation text"/>
    <w:basedOn w:val="Normal"/>
    <w:link w:val="CommentTextChar"/>
    <w:uiPriority w:val="99"/>
    <w:rsid w:val="00EF6992"/>
    <w:rPr>
      <w:sz w:val="20"/>
      <w:szCs w:val="20"/>
    </w:rPr>
  </w:style>
  <w:style w:type="character" w:customStyle="1" w:styleId="CommentTextChar">
    <w:name w:val="Comment Text Char"/>
    <w:link w:val="CommentText"/>
    <w:uiPriority w:val="99"/>
    <w:rsid w:val="00EF6992"/>
    <w:rPr>
      <w:rFonts w:ascii="Courier" w:hAnsi="Courier"/>
    </w:rPr>
  </w:style>
  <w:style w:type="paragraph" w:styleId="CommentSubject">
    <w:name w:val="annotation subject"/>
    <w:basedOn w:val="CommentText"/>
    <w:next w:val="CommentText"/>
    <w:link w:val="CommentSubjectChar"/>
    <w:rsid w:val="00EF6992"/>
    <w:rPr>
      <w:b/>
      <w:bCs/>
    </w:rPr>
  </w:style>
  <w:style w:type="character" w:customStyle="1" w:styleId="CommentSubjectChar">
    <w:name w:val="Comment Subject Char"/>
    <w:link w:val="CommentSubject"/>
    <w:rsid w:val="00EF6992"/>
    <w:rPr>
      <w:rFonts w:ascii="Courier" w:hAnsi="Courier"/>
      <w:b/>
      <w:bCs/>
    </w:rPr>
  </w:style>
  <w:style w:type="paragraph" w:styleId="ListParagraph">
    <w:name w:val="List Paragraph"/>
    <w:basedOn w:val="Normal"/>
    <w:uiPriority w:val="72"/>
    <w:qFormat/>
    <w:rsid w:val="00F81163"/>
    <w:pPr>
      <w:ind w:left="720"/>
    </w:pPr>
  </w:style>
  <w:style w:type="paragraph" w:styleId="Revision">
    <w:name w:val="Revision"/>
    <w:hidden/>
    <w:uiPriority w:val="71"/>
    <w:rsid w:val="00CD5114"/>
    <w:rPr>
      <w:rFonts w:ascii="Courier" w:hAnsi="Courier"/>
      <w:sz w:val="24"/>
      <w:szCs w:val="24"/>
    </w:rPr>
  </w:style>
  <w:style w:type="paragraph" w:customStyle="1" w:styleId="NormalLeft025">
    <w:name w:val="Normal + Left:  0.25&quot;"/>
    <w:basedOn w:val="Normal"/>
    <w:rsid w:val="00CD5114"/>
    <w:pPr>
      <w:widowControl/>
      <w:numPr>
        <w:ilvl w:val="12"/>
      </w:numPr>
      <w:autoSpaceDE/>
      <w:autoSpaceDN/>
      <w:adjustRightInd/>
      <w:ind w:left="360"/>
    </w:pPr>
    <w:rPr>
      <w:rFonts w:ascii="Times New Roman" w:hAnsi="Times New Roman"/>
      <w:color w:val="000000"/>
      <w:szCs w:val="20"/>
    </w:rPr>
  </w:style>
  <w:style w:type="paragraph" w:styleId="BodyText">
    <w:name w:val="Body Text"/>
    <w:basedOn w:val="Normal"/>
    <w:link w:val="BodyTextChar"/>
    <w:uiPriority w:val="1"/>
    <w:qFormat/>
    <w:rsid w:val="00662D64"/>
    <w:pPr>
      <w:autoSpaceDE/>
      <w:autoSpaceDN/>
      <w:adjustRightInd/>
      <w:ind w:left="600"/>
    </w:pPr>
    <w:rPr>
      <w:rFonts w:ascii="Arial" w:eastAsia="Arial" w:hAnsi="Arial"/>
      <w:sz w:val="20"/>
      <w:szCs w:val="20"/>
    </w:rPr>
  </w:style>
  <w:style w:type="character" w:customStyle="1" w:styleId="BodyTextChar">
    <w:name w:val="Body Text Char"/>
    <w:link w:val="BodyText"/>
    <w:uiPriority w:val="1"/>
    <w:rsid w:val="00662D64"/>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6494">
      <w:bodyDiv w:val="1"/>
      <w:marLeft w:val="0"/>
      <w:marRight w:val="0"/>
      <w:marTop w:val="0"/>
      <w:marBottom w:val="0"/>
      <w:divBdr>
        <w:top w:val="none" w:sz="0" w:space="0" w:color="auto"/>
        <w:left w:val="none" w:sz="0" w:space="0" w:color="auto"/>
        <w:bottom w:val="none" w:sz="0" w:space="0" w:color="auto"/>
        <w:right w:val="none" w:sz="0" w:space="0" w:color="auto"/>
      </w:divBdr>
    </w:div>
    <w:div w:id="1230994656">
      <w:bodyDiv w:val="1"/>
      <w:marLeft w:val="0"/>
      <w:marRight w:val="0"/>
      <w:marTop w:val="0"/>
      <w:marBottom w:val="0"/>
      <w:divBdr>
        <w:top w:val="none" w:sz="0" w:space="0" w:color="auto"/>
        <w:left w:val="none" w:sz="0" w:space="0" w:color="auto"/>
        <w:bottom w:val="none" w:sz="0" w:space="0" w:color="auto"/>
        <w:right w:val="none" w:sz="0" w:space="0" w:color="auto"/>
      </w:divBdr>
    </w:div>
    <w:div w:id="1805389964">
      <w:bodyDiv w:val="1"/>
      <w:marLeft w:val="0"/>
      <w:marRight w:val="0"/>
      <w:marTop w:val="0"/>
      <w:marBottom w:val="0"/>
      <w:divBdr>
        <w:top w:val="none" w:sz="0" w:space="0" w:color="auto"/>
        <w:left w:val="none" w:sz="0" w:space="0" w:color="auto"/>
        <w:bottom w:val="none" w:sz="0" w:space="0" w:color="auto"/>
        <w:right w:val="none" w:sz="0" w:space="0" w:color="auto"/>
      </w:divBdr>
    </w:div>
    <w:div w:id="1849250977">
      <w:bodyDiv w:val="1"/>
      <w:marLeft w:val="0"/>
      <w:marRight w:val="0"/>
      <w:marTop w:val="0"/>
      <w:marBottom w:val="0"/>
      <w:divBdr>
        <w:top w:val="none" w:sz="0" w:space="0" w:color="auto"/>
        <w:left w:val="none" w:sz="0" w:space="0" w:color="auto"/>
        <w:bottom w:val="none" w:sz="0" w:space="0" w:color="auto"/>
        <w:right w:val="none" w:sz="0" w:space="0" w:color="auto"/>
      </w:divBdr>
    </w:div>
    <w:div w:id="21061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99900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cyclopedia.thefreedictionary.com/National+Institute+of+Science+and+Technolo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25CAP@hq.d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C7A64AEC27A468C866746BAB937E8" ma:contentTypeVersion="0" ma:contentTypeDescription="Create a new document." ma:contentTypeScope="" ma:versionID="08e2fc5d6a5a6f2a6f5f051df9e78d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972C-A729-4396-9A56-2E32052B2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1817B8-8E36-4478-9B9E-523F42AD4758}">
  <ds:schemaRefs>
    <ds:schemaRef ds:uri="http://schemas.microsoft.com/sharepoint/v3/contenttype/forms"/>
  </ds:schemaRefs>
</ds:datastoreItem>
</file>

<file path=customXml/itemProps3.xml><?xml version="1.0" encoding="utf-8"?>
<ds:datastoreItem xmlns:ds="http://schemas.openxmlformats.org/officeDocument/2006/customXml" ds:itemID="{8FDF0074-F3C3-4946-A10D-C5BE023B9E61}">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D26726E-2E0E-4496-8715-B0CAEE1D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10270</CharactersWithSpaces>
  <SharedDoc>false</SharedDoc>
  <HLinks>
    <vt:vector size="24" baseType="variant">
      <vt:variant>
        <vt:i4>4259848</vt:i4>
      </vt:variant>
      <vt:variant>
        <vt:i4>9</vt:i4>
      </vt:variant>
      <vt:variant>
        <vt:i4>0</vt:i4>
      </vt:variant>
      <vt:variant>
        <vt:i4>5</vt:i4>
      </vt:variant>
      <vt:variant>
        <vt:lpwstr>https://www.opm.gov/policy-data-oversight/pay-leave/salaries-wages/2018/general-schedule/</vt:lpwstr>
      </vt:variant>
      <vt:variant>
        <vt:lpwstr/>
      </vt:variant>
      <vt:variant>
        <vt:i4>4718616</vt:i4>
      </vt:variant>
      <vt:variant>
        <vt:i4>6</vt:i4>
      </vt:variant>
      <vt:variant>
        <vt:i4>0</vt:i4>
      </vt:variant>
      <vt:variant>
        <vt:i4>5</vt:i4>
      </vt:variant>
      <vt:variant>
        <vt:lpwstr>https://www.bls.gov/oes/current/999001.htm</vt:lpwstr>
      </vt:variant>
      <vt:variant>
        <vt:lpwstr>33-0000</vt:lpwstr>
      </vt:variant>
      <vt:variant>
        <vt:i4>2490475</vt:i4>
      </vt:variant>
      <vt:variant>
        <vt:i4>3</vt:i4>
      </vt:variant>
      <vt:variant>
        <vt:i4>0</vt:i4>
      </vt:variant>
      <vt:variant>
        <vt:i4>5</vt:i4>
      </vt:variant>
      <vt:variant>
        <vt:lpwstr>http://encyclopedia.thefreedictionary.com/National+Institute+of+Science+and+Technology</vt:lpwstr>
      </vt:variant>
      <vt:variant>
        <vt:lpwstr/>
      </vt:variant>
      <vt:variant>
        <vt:i4>7405572</vt:i4>
      </vt:variant>
      <vt:variant>
        <vt:i4>0</vt:i4>
      </vt:variant>
      <vt:variant>
        <vt:i4>0</vt:i4>
      </vt:variant>
      <vt:variant>
        <vt:i4>5</vt:i4>
      </vt:variant>
      <vt:variant>
        <vt:lpwstr>mailto:P25CAP@hq.dhs.gov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Smith, Lynette D (CTR)</cp:lastModifiedBy>
  <cp:revision>2</cp:revision>
  <cp:lastPrinted>2008-05-05T15:16:00Z</cp:lastPrinted>
  <dcterms:created xsi:type="dcterms:W3CDTF">2020-04-09T15:58:00Z</dcterms:created>
  <dcterms:modified xsi:type="dcterms:W3CDTF">2020-04-09T15:58:00Z</dcterms:modified>
</cp:coreProperties>
</file>