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E5FA" w14:textId="77777777" w:rsidR="00220320" w:rsidRPr="00DC217F" w:rsidRDefault="00220320" w:rsidP="002C33B8">
      <w:pPr>
        <w:spacing w:after="160" w:line="259" w:lineRule="auto"/>
        <w:jc w:val="center"/>
        <w:rPr>
          <w:rFonts w:ascii="Times New Roman" w:hAnsi="Times New Roman" w:cs="Times New Roman"/>
          <w:i/>
          <w:sz w:val="24"/>
          <w:szCs w:val="24"/>
        </w:rPr>
      </w:pPr>
      <w:bookmarkStart w:id="0" w:name="_GoBack"/>
      <w:bookmarkEnd w:id="0"/>
    </w:p>
    <w:p w14:paraId="30B6E5FB"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C" w14:textId="77777777" w:rsidR="002C33B8" w:rsidRPr="001A3D9E" w:rsidRDefault="002C33B8" w:rsidP="002C33B8">
      <w:pPr>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CENTER FOR EDUCATION STATISTICS NATIONAL ASSESSMENT OF EDUCATIONAL PROGRESS</w:t>
      </w:r>
    </w:p>
    <w:p w14:paraId="30B6E5FD" w14:textId="77777777" w:rsidR="002C33B8" w:rsidRPr="00DC217F" w:rsidRDefault="002C33B8" w:rsidP="002C33B8">
      <w:pPr>
        <w:spacing w:after="160" w:line="259" w:lineRule="auto"/>
        <w:jc w:val="center"/>
        <w:rPr>
          <w:rFonts w:ascii="Times New Roman" w:hAnsi="Times New Roman" w:cs="Times New Roman"/>
          <w:i/>
          <w:sz w:val="24"/>
          <w:szCs w:val="24"/>
        </w:rPr>
      </w:pPr>
    </w:p>
    <w:p w14:paraId="30B6E5FE"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F" w14:textId="77777777" w:rsidR="002C33B8" w:rsidRPr="001A3D9E"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Assessment of Education Progress (NAEP)</w:t>
      </w:r>
    </w:p>
    <w:p w14:paraId="30B6E600" w14:textId="77777777" w:rsidR="002C33B8"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2019 and 2020</w:t>
      </w:r>
    </w:p>
    <w:p w14:paraId="30B6E601" w14:textId="41B9C687" w:rsidR="00220320" w:rsidRPr="001A3D9E" w:rsidRDefault="00220320" w:rsidP="002C33B8">
      <w:pPr>
        <w:tabs>
          <w:tab w:val="left" w:pos="3495"/>
        </w:tabs>
        <w:spacing w:after="160" w:line="259" w:lineRule="auto"/>
        <w:jc w:val="center"/>
        <w:rPr>
          <w:rFonts w:ascii="Times New Roman" w:hAnsi="Times New Roman" w:cs="Times New Roman"/>
          <w:i/>
          <w:sz w:val="36"/>
          <w:szCs w:val="40"/>
        </w:rPr>
      </w:pPr>
      <w:r w:rsidRPr="00A71A13">
        <w:rPr>
          <w:rFonts w:ascii="Times New Roman" w:hAnsi="Times New Roman" w:cs="Times New Roman"/>
          <w:i/>
          <w:sz w:val="36"/>
          <w:szCs w:val="40"/>
        </w:rPr>
        <w:t xml:space="preserve">Long-Term Trend (LTT) 2020 Update </w:t>
      </w:r>
      <w:r w:rsidR="001318CC">
        <w:rPr>
          <w:rFonts w:ascii="Times New Roman" w:hAnsi="Times New Roman" w:cs="Times New Roman"/>
          <w:i/>
          <w:sz w:val="36"/>
          <w:szCs w:val="40"/>
        </w:rPr>
        <w:t>2</w:t>
      </w:r>
    </w:p>
    <w:p w14:paraId="30B6E602" w14:textId="77777777" w:rsidR="002C33B8" w:rsidRPr="00DC217F" w:rsidRDefault="002C33B8" w:rsidP="002C33B8">
      <w:pPr>
        <w:tabs>
          <w:tab w:val="left" w:pos="3495"/>
        </w:tabs>
        <w:spacing w:after="160" w:line="259" w:lineRule="auto"/>
        <w:jc w:val="center"/>
        <w:rPr>
          <w:rFonts w:ascii="Times New Roman" w:hAnsi="Times New Roman" w:cs="Times New Roman"/>
          <w:i/>
          <w:sz w:val="24"/>
          <w:szCs w:val="24"/>
        </w:rPr>
      </w:pPr>
    </w:p>
    <w:p w14:paraId="30B6E603" w14:textId="77777777" w:rsidR="00DC217F" w:rsidRPr="00DC217F" w:rsidRDefault="00DC217F" w:rsidP="002C33B8">
      <w:pPr>
        <w:tabs>
          <w:tab w:val="left" w:pos="3495"/>
        </w:tabs>
        <w:spacing w:after="160" w:line="259" w:lineRule="auto"/>
        <w:jc w:val="center"/>
        <w:rPr>
          <w:rFonts w:ascii="Times New Roman" w:hAnsi="Times New Roman" w:cs="Times New Roman"/>
          <w:i/>
          <w:sz w:val="24"/>
          <w:szCs w:val="24"/>
        </w:rPr>
      </w:pPr>
    </w:p>
    <w:p w14:paraId="30B6E604" w14:textId="77777777" w:rsidR="002C33B8" w:rsidRPr="001A3D9E" w:rsidRDefault="002C33B8" w:rsidP="002C33B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 xml:space="preserve">Appendix </w:t>
      </w:r>
      <w:r w:rsidR="007516E3" w:rsidRPr="001A3D9E">
        <w:rPr>
          <w:rFonts w:ascii="Times New Roman" w:hAnsi="Times New Roman" w:cs="Times New Roman"/>
          <w:i/>
          <w:sz w:val="32"/>
          <w:szCs w:val="36"/>
        </w:rPr>
        <w:t>G2</w:t>
      </w:r>
    </w:p>
    <w:p w14:paraId="30B6E605" w14:textId="77777777" w:rsidR="002C33B8" w:rsidRPr="001A3D9E" w:rsidRDefault="000C77E8" w:rsidP="000C77E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NAEP 2012 Long Term Trend (LTT) Sampling Design</w:t>
      </w:r>
    </w:p>
    <w:p w14:paraId="30B6E606"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7"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8" w14:textId="215C4CAD" w:rsidR="002C33B8" w:rsidRPr="001A3D9E" w:rsidRDefault="00A50522" w:rsidP="002C33B8">
      <w:pPr>
        <w:spacing w:after="160" w:line="259" w:lineRule="auto"/>
        <w:jc w:val="center"/>
        <w:rPr>
          <w:sz w:val="28"/>
          <w:szCs w:val="32"/>
        </w:rPr>
      </w:pPr>
      <w:r>
        <w:rPr>
          <w:rFonts w:ascii="Times New Roman" w:hAnsi="Times New Roman" w:cs="Times New Roman"/>
          <w:i/>
          <w:sz w:val="28"/>
          <w:szCs w:val="32"/>
        </w:rPr>
        <w:t>OMB# 1850-0928 v.1</w:t>
      </w:r>
      <w:r w:rsidR="00D51A22">
        <w:rPr>
          <w:rFonts w:ascii="Times New Roman" w:hAnsi="Times New Roman" w:cs="Times New Roman"/>
          <w:i/>
          <w:sz w:val="28"/>
          <w:szCs w:val="32"/>
        </w:rPr>
        <w:t>6</w:t>
      </w:r>
    </w:p>
    <w:p w14:paraId="30B6E609" w14:textId="77777777" w:rsidR="002C33B8" w:rsidRPr="001A3D9E" w:rsidRDefault="002C33B8" w:rsidP="002C33B8">
      <w:pPr>
        <w:widowControl w:val="0"/>
        <w:spacing w:before="240" w:line="200" w:lineRule="exact"/>
        <w:jc w:val="center"/>
        <w:rPr>
          <w:rFonts w:ascii="Calibri" w:eastAsia="Calibri" w:hAnsi="Calibri" w:cs="Times New Roman"/>
          <w:color w:val="7B7B7B" w:themeColor="accent3" w:themeShade="BF"/>
          <w:sz w:val="18"/>
          <w:szCs w:val="20"/>
        </w:rPr>
      </w:pPr>
    </w:p>
    <w:p w14:paraId="30B6E60A"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B"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C" w14:textId="77777777" w:rsidR="002C33B8" w:rsidRPr="001A3D9E" w:rsidRDefault="002C33B8" w:rsidP="002C33B8">
      <w:pPr>
        <w:widowControl w:val="0"/>
        <w:spacing w:before="15" w:line="220" w:lineRule="exact"/>
        <w:rPr>
          <w:rFonts w:ascii="Calibri" w:eastAsia="Calibri" w:hAnsi="Calibri" w:cs="Times New Roman"/>
          <w:color w:val="7B7B7B" w:themeColor="accent3" w:themeShade="BF"/>
          <w:sz w:val="20"/>
        </w:rPr>
      </w:pPr>
    </w:p>
    <w:p w14:paraId="30B6E60D" w14:textId="77777777" w:rsidR="002C33B8" w:rsidRPr="001A3D9E" w:rsidRDefault="002C33B8" w:rsidP="002C33B8">
      <w:pPr>
        <w:widowControl w:val="0"/>
        <w:jc w:val="center"/>
        <w:rPr>
          <w:rFonts w:ascii="Times New Roman" w:eastAsia="Times New Roman" w:hAnsi="Times New Roman" w:cs="Times New Roman"/>
          <w:color w:val="7B7B7B" w:themeColor="accent3" w:themeShade="BF"/>
          <w:sz w:val="18"/>
          <w:szCs w:val="20"/>
        </w:rPr>
      </w:pPr>
      <w:r w:rsidRPr="001A3D9E">
        <w:rPr>
          <w:rFonts w:ascii="Calibri" w:eastAsia="Calibri" w:hAnsi="Calibri" w:cs="Times New Roman"/>
          <w:noProof/>
          <w:color w:val="7B7B7B" w:themeColor="accent3" w:themeShade="BF"/>
          <w:sz w:val="20"/>
        </w:rPr>
        <w:drawing>
          <wp:inline distT="0" distB="0" distL="0" distR="0" wp14:anchorId="30B6F4E5" wp14:editId="30B6F4E6">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30B6E60E" w14:textId="77777777" w:rsidR="002C33B8" w:rsidRPr="001A3D9E" w:rsidRDefault="002C33B8" w:rsidP="002C33B8">
      <w:pPr>
        <w:widowControl w:val="0"/>
        <w:spacing w:before="9" w:line="190" w:lineRule="exact"/>
        <w:rPr>
          <w:rFonts w:ascii="Calibri" w:eastAsia="Calibri" w:hAnsi="Calibri" w:cs="Times New Roman"/>
          <w:color w:val="7B7B7B" w:themeColor="accent3" w:themeShade="BF"/>
          <w:sz w:val="18"/>
          <w:szCs w:val="19"/>
        </w:rPr>
      </w:pPr>
    </w:p>
    <w:p w14:paraId="30B6E60F" w14:textId="77777777" w:rsidR="002C33B8" w:rsidRPr="001A3D9E" w:rsidRDefault="002C33B8" w:rsidP="002C33B8">
      <w:pPr>
        <w:widowControl w:val="0"/>
        <w:spacing w:before="60"/>
        <w:rPr>
          <w:rFonts w:ascii="Times New Roman" w:eastAsia="Times New Roman" w:hAnsi="Times New Roman" w:cs="Times New Roman"/>
          <w:color w:val="7B7B7B" w:themeColor="accent3" w:themeShade="BF"/>
          <w:sz w:val="18"/>
          <w:szCs w:val="20"/>
        </w:rPr>
      </w:pPr>
    </w:p>
    <w:p w14:paraId="30B6E610"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1"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2" w14:textId="77777777" w:rsidR="002C33B8" w:rsidRPr="001A3D9E" w:rsidRDefault="002C33B8" w:rsidP="002C33B8">
      <w:pPr>
        <w:widowControl w:val="0"/>
        <w:spacing w:before="60"/>
        <w:jc w:val="center"/>
        <w:rPr>
          <w:rFonts w:ascii="Times New Roman" w:eastAsia="Times New Roman" w:hAnsi="Times New Roman" w:cs="Times New Roman"/>
          <w:color w:val="7B7B7B" w:themeColor="accent3" w:themeShade="BF"/>
          <w:sz w:val="18"/>
          <w:szCs w:val="20"/>
        </w:rPr>
      </w:pPr>
    </w:p>
    <w:p w14:paraId="30B6E613" w14:textId="6CF644F0" w:rsidR="002C33B8" w:rsidRDefault="0023073C" w:rsidP="002C33B8">
      <w:pPr>
        <w:spacing w:after="160" w:line="259"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March</w:t>
      </w:r>
      <w:r w:rsidR="00EC573E" w:rsidRPr="001A3D9E">
        <w:rPr>
          <w:rFonts w:ascii="Times New Roman" w:eastAsia="Times New Roman" w:hAnsi="Times New Roman" w:cs="Times New Roman"/>
          <w:szCs w:val="24"/>
        </w:rPr>
        <w:t xml:space="preserve"> 2019</w:t>
      </w:r>
    </w:p>
    <w:p w14:paraId="3EBF9EF4" w14:textId="3C42CBA3" w:rsidR="00D51A22" w:rsidRPr="001A3D9E" w:rsidRDefault="00D51A22" w:rsidP="002C33B8">
      <w:pPr>
        <w:spacing w:after="160" w:line="259"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No changes since </w:t>
      </w:r>
      <w:r w:rsidR="00973960">
        <w:rPr>
          <w:rFonts w:ascii="Times New Roman" w:eastAsia="Times New Roman" w:hAnsi="Times New Roman" w:cs="Times New Roman"/>
          <w:szCs w:val="24"/>
        </w:rPr>
        <w:t>v</w:t>
      </w:r>
      <w:r>
        <w:rPr>
          <w:rFonts w:ascii="Times New Roman" w:eastAsia="Times New Roman" w:hAnsi="Times New Roman" w:cs="Times New Roman"/>
          <w:szCs w:val="24"/>
        </w:rPr>
        <w:t>.15</w:t>
      </w:r>
    </w:p>
    <w:p w14:paraId="30B6E614" w14:textId="77777777" w:rsidR="000C77E8" w:rsidRPr="001A3D9E" w:rsidRDefault="000C77E8" w:rsidP="002C33B8">
      <w:pPr>
        <w:spacing w:after="160" w:line="259" w:lineRule="auto"/>
        <w:jc w:val="center"/>
        <w:rPr>
          <w:rFonts w:ascii="Times New Roman" w:eastAsia="Times New Roman" w:hAnsi="Times New Roman" w:cs="Times New Roman"/>
          <w:szCs w:val="24"/>
        </w:rPr>
      </w:pPr>
    </w:p>
    <w:p w14:paraId="30B6E615" w14:textId="7CD2D4DF" w:rsidR="00E23498" w:rsidRDefault="00E23498">
      <w:pPr>
        <w:spacing w:after="160" w:line="259" w:lineRule="auto"/>
        <w:rPr>
          <w:rFonts w:ascii="Times New Roman" w:eastAsia="Times New Roman" w:hAnsi="Times New Roman" w:cs="Times New Roman"/>
          <w:szCs w:val="24"/>
        </w:rPr>
      </w:pPr>
    </w:p>
    <w:sdt>
      <w:sdtPr>
        <w:rPr>
          <w:rFonts w:asciiTheme="minorHAnsi" w:eastAsiaTheme="minorHAnsi" w:hAnsiTheme="minorHAnsi" w:cstheme="minorBidi"/>
          <w:color w:val="auto"/>
          <w:sz w:val="20"/>
          <w:szCs w:val="22"/>
        </w:rPr>
        <w:id w:val="-1931654588"/>
        <w:docPartObj>
          <w:docPartGallery w:val="Table of Contents"/>
          <w:docPartUnique/>
        </w:docPartObj>
      </w:sdtPr>
      <w:sdtEndPr>
        <w:rPr>
          <w:b/>
          <w:bCs/>
          <w:noProof/>
        </w:rPr>
      </w:sdtEndPr>
      <w:sdtContent>
        <w:p w14:paraId="30B6E616" w14:textId="77777777" w:rsidR="002C33B8" w:rsidRPr="0011793C" w:rsidRDefault="002C33B8">
          <w:pPr>
            <w:pStyle w:val="TOCHeading"/>
            <w:rPr>
              <w:b/>
              <w:sz w:val="28"/>
            </w:rPr>
          </w:pPr>
          <w:r w:rsidRPr="0011793C">
            <w:rPr>
              <w:b/>
              <w:sz w:val="28"/>
            </w:rPr>
            <w:t>Contents</w:t>
          </w:r>
        </w:p>
        <w:p w14:paraId="30B6E617" w14:textId="77777777" w:rsidR="000C77E8" w:rsidRPr="0011793C" w:rsidRDefault="002C33B8" w:rsidP="0011793C">
          <w:pPr>
            <w:pStyle w:val="TOC1"/>
            <w:tabs>
              <w:tab w:val="right" w:leader="dot" w:pos="10530"/>
            </w:tabs>
            <w:spacing w:after="120"/>
            <w:ind w:left="720" w:hanging="720"/>
            <w:rPr>
              <w:rFonts w:eastAsiaTheme="minorEastAsia"/>
              <w:noProof/>
              <w:sz w:val="19"/>
              <w:szCs w:val="19"/>
            </w:rPr>
          </w:pPr>
          <w:r w:rsidRPr="001A3D9E">
            <w:rPr>
              <w:b/>
              <w:bCs/>
              <w:noProof/>
              <w:sz w:val="20"/>
            </w:rPr>
            <w:fldChar w:fldCharType="begin"/>
          </w:r>
          <w:r w:rsidRPr="001A3D9E">
            <w:rPr>
              <w:b/>
              <w:bCs/>
              <w:noProof/>
              <w:sz w:val="20"/>
            </w:rPr>
            <w:instrText xml:space="preserve"> TOC \o "1-3" \h \z \u </w:instrText>
          </w:r>
          <w:r w:rsidRPr="001A3D9E">
            <w:rPr>
              <w:b/>
              <w:bCs/>
              <w:noProof/>
              <w:sz w:val="20"/>
            </w:rPr>
            <w:fldChar w:fldCharType="separate"/>
          </w:r>
          <w:hyperlink w:anchor="_Toc535922242" w:history="1">
            <w:r w:rsidR="000C77E8" w:rsidRPr="0011793C">
              <w:rPr>
                <w:rStyle w:val="Hyperlink"/>
                <w:rFonts w:ascii="Times New Roman" w:eastAsia="Times New Roman" w:hAnsi="Times New Roman" w:cs="Times New Roman"/>
                <w:bCs/>
                <w:noProof/>
                <w:kern w:val="36"/>
                <w:sz w:val="19"/>
                <w:szCs w:val="19"/>
              </w:rPr>
              <w:t>NAEP Technical Documentation 2012 Long-Term Trend (LTT) Assessment Sample Design</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w:t>
            </w:r>
            <w:r w:rsidR="000C77E8" w:rsidRPr="0011793C">
              <w:rPr>
                <w:noProof/>
                <w:webHidden/>
                <w:sz w:val="19"/>
                <w:szCs w:val="19"/>
              </w:rPr>
              <w:fldChar w:fldCharType="end"/>
            </w:r>
          </w:hyperlink>
        </w:p>
        <w:p w14:paraId="30B6E618"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3" w:history="1">
            <w:r w:rsidR="000C77E8" w:rsidRPr="0011793C">
              <w:rPr>
                <w:rStyle w:val="Hyperlink"/>
                <w:rFonts w:ascii="Times New Roman" w:eastAsia="Times New Roman" w:hAnsi="Times New Roman" w:cs="Times New Roman"/>
                <w:bCs/>
                <w:noProof/>
                <w:kern w:val="36"/>
                <w:sz w:val="19"/>
                <w:szCs w:val="19"/>
              </w:rPr>
              <w:t>NAEP Technical Documentation Selection of Primary Sampling Units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9"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4"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Generation: Metropolitan Statistical Areas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A"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5"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Certainty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5</w:t>
            </w:r>
            <w:r w:rsidR="000C77E8" w:rsidRPr="0011793C">
              <w:rPr>
                <w:noProof/>
                <w:webHidden/>
                <w:sz w:val="19"/>
                <w:szCs w:val="19"/>
              </w:rPr>
              <w:fldChar w:fldCharType="end"/>
            </w:r>
          </w:hyperlink>
        </w:p>
        <w:p w14:paraId="30B6E61B"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6"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Non-Metropolitan Statistical Areas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6</w:t>
            </w:r>
            <w:r w:rsidR="000C77E8" w:rsidRPr="0011793C">
              <w:rPr>
                <w:noProof/>
                <w:webHidden/>
                <w:sz w:val="19"/>
                <w:szCs w:val="19"/>
              </w:rPr>
              <w:fldChar w:fldCharType="end"/>
            </w:r>
          </w:hyperlink>
        </w:p>
        <w:p w14:paraId="30B6E61C"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7"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Frame: Stratification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7</w:t>
            </w:r>
            <w:r w:rsidR="000C77E8" w:rsidRPr="0011793C">
              <w:rPr>
                <w:noProof/>
                <w:webHidden/>
                <w:sz w:val="19"/>
                <w:szCs w:val="19"/>
              </w:rPr>
              <w:fldChar w:fldCharType="end"/>
            </w:r>
          </w:hyperlink>
        </w:p>
        <w:p w14:paraId="30B6E61D"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8" w:history="1">
            <w:r w:rsidR="000C77E8" w:rsidRPr="0011793C">
              <w:rPr>
                <w:rStyle w:val="Hyperlink"/>
                <w:rFonts w:ascii="Times New Roman" w:eastAsia="Times New Roman" w:hAnsi="Times New Roman" w:cs="Times New Roman"/>
                <w:bCs/>
                <w:noProof/>
                <w:kern w:val="36"/>
                <w:sz w:val="19"/>
                <w:szCs w:val="19"/>
              </w:rPr>
              <w:t>NAEP Technical Documentation Stepwise Regression Analysis Results for Primary Sampling Unit (PSU) Stratification for the 2012 Assessments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8</w:t>
            </w:r>
            <w:r w:rsidR="000C77E8" w:rsidRPr="0011793C">
              <w:rPr>
                <w:noProof/>
                <w:webHidden/>
                <w:sz w:val="19"/>
                <w:szCs w:val="19"/>
              </w:rPr>
              <w:fldChar w:fldCharType="end"/>
            </w:r>
          </w:hyperlink>
        </w:p>
        <w:p w14:paraId="30B6E61E"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49"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Strata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12</w:t>
            </w:r>
            <w:r w:rsidR="000C77E8" w:rsidRPr="0011793C">
              <w:rPr>
                <w:noProof/>
                <w:webHidden/>
                <w:sz w:val="19"/>
                <w:szCs w:val="19"/>
              </w:rPr>
              <w:fldChar w:fldCharType="end"/>
            </w:r>
          </w:hyperlink>
        </w:p>
        <w:p w14:paraId="30B6E61F"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0"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Sample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0"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1" w:history="1">
            <w:r w:rsidR="000C77E8" w:rsidRPr="0011793C">
              <w:rPr>
                <w:rStyle w:val="Hyperlink"/>
                <w:rFonts w:ascii="Times New Roman" w:eastAsia="Times New Roman" w:hAnsi="Times New Roman" w:cs="Times New Roman"/>
                <w:bCs/>
                <w:noProof/>
                <w:kern w:val="36"/>
                <w:sz w:val="19"/>
                <w:szCs w:val="19"/>
              </w:rPr>
              <w:t>NAEP Technical Documentation2012 Public School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1"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2"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3" w:history="1">
            <w:r w:rsidR="000C77E8" w:rsidRPr="0011793C">
              <w:rPr>
                <w:rStyle w:val="Hyperlink"/>
                <w:rFonts w:ascii="Times New Roman" w:eastAsia="Times New Roman" w:hAnsi="Times New Roman" w:cs="Times New Roman"/>
                <w:bCs/>
                <w:noProof/>
                <w:kern w:val="36"/>
                <w:sz w:val="19"/>
                <w:szCs w:val="19"/>
              </w:rPr>
              <w:t>NAEP Technical Documentation Sampling Frame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3"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4" w:history="1">
            <w:r w:rsidR="000C77E8" w:rsidRPr="0011793C">
              <w:rPr>
                <w:rStyle w:val="Hyperlink"/>
                <w:rFonts w:ascii="Times New Roman" w:eastAsia="Times New Roman" w:hAnsi="Times New Roman" w:cs="Times New Roman"/>
                <w:bCs/>
                <w:noProof/>
                <w:kern w:val="36"/>
                <w:sz w:val="19"/>
                <w:szCs w:val="19"/>
              </w:rPr>
              <w:t>NAEP Technical Documentation Schools and Enrollment in the Public School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4"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5" w:history="1">
            <w:r w:rsidR="000C77E8" w:rsidRPr="0011793C">
              <w:rPr>
                <w:rStyle w:val="Hyperlink"/>
                <w:rFonts w:ascii="Times New Roman" w:eastAsia="Times New Roman" w:hAnsi="Times New Roman" w:cs="Times New Roman"/>
                <w:bCs/>
                <w:noProof/>
                <w:kern w:val="36"/>
                <w:sz w:val="19"/>
                <w:szCs w:val="19"/>
              </w:rPr>
              <w:t>NAEP Technical Documentation New-School Sampling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5"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6" w:history="1">
            <w:r w:rsidR="000C77E8" w:rsidRPr="0011793C">
              <w:rPr>
                <w:rStyle w:val="Hyperlink"/>
                <w:rFonts w:ascii="Times New Roman" w:eastAsia="Times New Roman" w:hAnsi="Times New Roman" w:cs="Times New Roman"/>
                <w:bCs/>
                <w:noProof/>
                <w:kern w:val="36"/>
                <w:sz w:val="19"/>
                <w:szCs w:val="19"/>
              </w:rPr>
              <w:t>NAEP Technical Documentation Stratification of Public Schools</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20</w:t>
            </w:r>
            <w:r w:rsidR="000C77E8" w:rsidRPr="0011793C">
              <w:rPr>
                <w:noProof/>
                <w:webHidden/>
                <w:sz w:val="19"/>
                <w:szCs w:val="19"/>
              </w:rPr>
              <w:fldChar w:fldCharType="end"/>
            </w:r>
          </w:hyperlink>
        </w:p>
        <w:p w14:paraId="30B6E626"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7" w:history="1">
            <w:r w:rsidR="000C77E8" w:rsidRPr="0011793C">
              <w:rPr>
                <w:rStyle w:val="Hyperlink"/>
                <w:rFonts w:ascii="Times New Roman" w:eastAsia="Times New Roman" w:hAnsi="Times New Roman" w:cs="Times New Roman"/>
                <w:bCs/>
                <w:noProof/>
                <w:kern w:val="36"/>
                <w:sz w:val="19"/>
                <w:szCs w:val="19"/>
              </w:rPr>
              <w:t>NAEP Technical Documentation Sampling of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21</w:t>
            </w:r>
            <w:r w:rsidR="000C77E8" w:rsidRPr="0011793C">
              <w:rPr>
                <w:noProof/>
                <w:webHidden/>
                <w:sz w:val="19"/>
                <w:szCs w:val="19"/>
              </w:rPr>
              <w:fldChar w:fldCharType="end"/>
            </w:r>
          </w:hyperlink>
        </w:p>
        <w:p w14:paraId="30B6E627"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8" w:history="1">
            <w:r w:rsidR="000C77E8" w:rsidRPr="0011793C">
              <w:rPr>
                <w:rStyle w:val="Hyperlink"/>
                <w:rFonts w:ascii="Times New Roman" w:eastAsia="Times New Roman" w:hAnsi="Times New Roman" w:cs="Times New Roman"/>
                <w:bCs/>
                <w:noProof/>
                <w:kern w:val="36"/>
                <w:sz w:val="19"/>
                <w:szCs w:val="19"/>
              </w:rPr>
              <w:t>NAEP Technical Documentation Substitute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24</w:t>
            </w:r>
            <w:r w:rsidR="000C77E8" w:rsidRPr="0011793C">
              <w:rPr>
                <w:noProof/>
                <w:webHidden/>
                <w:sz w:val="19"/>
                <w:szCs w:val="19"/>
              </w:rPr>
              <w:fldChar w:fldCharType="end"/>
            </w:r>
          </w:hyperlink>
        </w:p>
        <w:p w14:paraId="30B6E628"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59" w:history="1">
            <w:r w:rsidR="000C77E8" w:rsidRPr="0011793C">
              <w:rPr>
                <w:rStyle w:val="Hyperlink"/>
                <w:rFonts w:ascii="Times New Roman" w:eastAsia="Times New Roman" w:hAnsi="Times New Roman" w:cs="Times New Roman"/>
                <w:bCs/>
                <w:noProof/>
                <w:kern w:val="36"/>
                <w:sz w:val="19"/>
                <w:szCs w:val="19"/>
              </w:rPr>
              <w:t>NAEP Technical Documentation Ineligible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25</w:t>
            </w:r>
            <w:r w:rsidR="000C77E8" w:rsidRPr="0011793C">
              <w:rPr>
                <w:noProof/>
                <w:webHidden/>
                <w:sz w:val="19"/>
                <w:szCs w:val="19"/>
              </w:rPr>
              <w:fldChar w:fldCharType="end"/>
            </w:r>
          </w:hyperlink>
        </w:p>
        <w:p w14:paraId="30B6E629"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0" w:history="1">
            <w:r w:rsidR="000C77E8" w:rsidRPr="0011793C">
              <w:rPr>
                <w:rStyle w:val="Hyperlink"/>
                <w:rFonts w:ascii="Times New Roman" w:eastAsia="Times New Roman" w:hAnsi="Times New Roman" w:cs="Times New Roman"/>
                <w:bCs/>
                <w:noProof/>
                <w:kern w:val="36"/>
                <w:sz w:val="19"/>
                <w:szCs w:val="19"/>
              </w:rPr>
              <w:t>NAEP Technical Documentation Student Selection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26</w:t>
            </w:r>
            <w:r w:rsidR="000C77E8" w:rsidRPr="0011793C">
              <w:rPr>
                <w:noProof/>
                <w:webHidden/>
                <w:sz w:val="19"/>
                <w:szCs w:val="19"/>
              </w:rPr>
              <w:fldChar w:fldCharType="end"/>
            </w:r>
          </w:hyperlink>
        </w:p>
        <w:p w14:paraId="30B6E62A"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1" w:history="1">
            <w:r w:rsidR="000C77E8" w:rsidRPr="0011793C">
              <w:rPr>
                <w:rStyle w:val="Hyperlink"/>
                <w:rFonts w:ascii="Times New Roman" w:eastAsia="Times New Roman" w:hAnsi="Times New Roman" w:cs="Times New Roman"/>
                <w:bCs/>
                <w:noProof/>
                <w:kern w:val="36"/>
                <w:sz w:val="19"/>
                <w:szCs w:val="19"/>
              </w:rPr>
              <w:t>NAEP Technical Documentation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27</w:t>
            </w:r>
            <w:r w:rsidR="000C77E8" w:rsidRPr="0011793C">
              <w:rPr>
                <w:noProof/>
                <w:webHidden/>
                <w:sz w:val="19"/>
                <w:szCs w:val="19"/>
              </w:rPr>
              <w:fldChar w:fldCharType="end"/>
            </w:r>
          </w:hyperlink>
        </w:p>
        <w:p w14:paraId="30B6E62B"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C"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3" w:history="1">
            <w:r w:rsidR="000C77E8" w:rsidRPr="0011793C">
              <w:rPr>
                <w:rStyle w:val="Hyperlink"/>
                <w:rFonts w:ascii="Times New Roman" w:eastAsia="Times New Roman" w:hAnsi="Times New Roman" w:cs="Times New Roman"/>
                <w:bCs/>
                <w:noProof/>
                <w:kern w:val="36"/>
                <w:sz w:val="19"/>
                <w:szCs w:val="19"/>
              </w:rPr>
              <w:t>NAEP Technical Documentation Sampling Frame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D"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4" w:history="1">
            <w:r w:rsidR="000C77E8" w:rsidRPr="0011793C">
              <w:rPr>
                <w:rStyle w:val="Hyperlink"/>
                <w:rFonts w:ascii="Times New Roman" w:eastAsia="Times New Roman" w:hAnsi="Times New Roman" w:cs="Times New Roman"/>
                <w:bCs/>
                <w:noProof/>
                <w:kern w:val="36"/>
                <w:sz w:val="19"/>
                <w:szCs w:val="19"/>
              </w:rPr>
              <w:t>NAEP Technical Documentation Stratification of Private Schools 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29</w:t>
            </w:r>
            <w:r w:rsidR="000C77E8" w:rsidRPr="0011793C">
              <w:rPr>
                <w:noProof/>
                <w:webHidden/>
                <w:sz w:val="19"/>
                <w:szCs w:val="19"/>
              </w:rPr>
              <w:fldChar w:fldCharType="end"/>
            </w:r>
          </w:hyperlink>
        </w:p>
        <w:p w14:paraId="30B6E62E"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5" w:history="1">
            <w:r w:rsidR="000C77E8" w:rsidRPr="0011793C">
              <w:rPr>
                <w:rStyle w:val="Hyperlink"/>
                <w:rFonts w:ascii="Times New Roman" w:eastAsia="Times New Roman" w:hAnsi="Times New Roman" w:cs="Times New Roman"/>
                <w:bCs/>
                <w:noProof/>
                <w:kern w:val="36"/>
                <w:sz w:val="19"/>
                <w:szCs w:val="19"/>
              </w:rPr>
              <w:t>NAEP Technical Documentation Sampling of Private Schools for the 2012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30</w:t>
            </w:r>
            <w:r w:rsidR="000C77E8" w:rsidRPr="0011793C">
              <w:rPr>
                <w:noProof/>
                <w:webHidden/>
                <w:sz w:val="19"/>
                <w:szCs w:val="19"/>
              </w:rPr>
              <w:fldChar w:fldCharType="end"/>
            </w:r>
          </w:hyperlink>
        </w:p>
        <w:p w14:paraId="30B6E62F"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6" w:history="1">
            <w:r w:rsidR="000C77E8" w:rsidRPr="0011793C">
              <w:rPr>
                <w:rStyle w:val="Hyperlink"/>
                <w:rFonts w:ascii="Times New Roman" w:eastAsia="Times New Roman" w:hAnsi="Times New Roman" w:cs="Times New Roman"/>
                <w:bCs/>
                <w:noProof/>
                <w:kern w:val="36"/>
                <w:sz w:val="19"/>
                <w:szCs w:val="19"/>
              </w:rPr>
              <w:t>NAEP Technical Documentation Substitute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0"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7" w:history="1">
            <w:r w:rsidR="000C77E8" w:rsidRPr="0011793C">
              <w:rPr>
                <w:rStyle w:val="Hyperlink"/>
                <w:rFonts w:ascii="Times New Roman" w:eastAsia="Times New Roman" w:hAnsi="Times New Roman" w:cs="Times New Roman"/>
                <w:bCs/>
                <w:noProof/>
                <w:kern w:val="36"/>
                <w:sz w:val="19"/>
                <w:szCs w:val="19"/>
              </w:rPr>
              <w:t>NAEP Technical Documentation Ineligible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1"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8" w:history="1">
            <w:r w:rsidR="000C77E8" w:rsidRPr="0011793C">
              <w:rPr>
                <w:rStyle w:val="Hyperlink"/>
                <w:rFonts w:ascii="Times New Roman" w:eastAsia="Times New Roman" w:hAnsi="Times New Roman" w:cs="Times New Roman"/>
                <w:bCs/>
                <w:noProof/>
                <w:kern w:val="36"/>
                <w:sz w:val="19"/>
                <w:szCs w:val="19"/>
              </w:rPr>
              <w:t>NAEP Technical Documentation Student Sample Selection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2"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69" w:history="1">
            <w:r w:rsidR="000C77E8" w:rsidRPr="0011793C">
              <w:rPr>
                <w:rStyle w:val="Hyperlink"/>
                <w:rFonts w:ascii="Times New Roman" w:eastAsia="Times New Roman" w:hAnsi="Times New Roman" w:cs="Times New Roman"/>
                <w:bCs/>
                <w:noProof/>
                <w:kern w:val="36"/>
                <w:sz w:val="19"/>
                <w:szCs w:val="19"/>
              </w:rPr>
              <w:t>NAEP Technical Documentation School and Student Participation Results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3"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70" w:history="1">
            <w:r w:rsidR="000C77E8" w:rsidRPr="0011793C">
              <w:rPr>
                <w:rStyle w:val="Hyperlink"/>
                <w:rFonts w:ascii="Times New Roman" w:eastAsia="Times New Roman" w:hAnsi="Times New Roman" w:cs="Times New Roman"/>
                <w:bCs/>
                <w:noProof/>
                <w:kern w:val="36"/>
                <w:sz w:val="19"/>
                <w:szCs w:val="19"/>
              </w:rPr>
              <w:t>NAEP Technical Documentation School Response Rates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36</w:t>
            </w:r>
            <w:r w:rsidR="000C77E8" w:rsidRPr="0011793C">
              <w:rPr>
                <w:noProof/>
                <w:webHidden/>
                <w:sz w:val="19"/>
                <w:szCs w:val="19"/>
              </w:rPr>
              <w:fldChar w:fldCharType="end"/>
            </w:r>
          </w:hyperlink>
        </w:p>
        <w:p w14:paraId="30B6E634"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71"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Reading</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37</w:t>
            </w:r>
            <w:r w:rsidR="000C77E8" w:rsidRPr="0011793C">
              <w:rPr>
                <w:noProof/>
                <w:webHidden/>
                <w:sz w:val="19"/>
                <w:szCs w:val="19"/>
              </w:rPr>
              <w:fldChar w:fldCharType="end"/>
            </w:r>
          </w:hyperlink>
        </w:p>
        <w:p w14:paraId="30B6E635"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72"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Mathematics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38</w:t>
            </w:r>
            <w:r w:rsidR="000C77E8" w:rsidRPr="0011793C">
              <w:rPr>
                <w:noProof/>
                <w:webHidden/>
                <w:sz w:val="19"/>
                <w:szCs w:val="19"/>
              </w:rPr>
              <w:fldChar w:fldCharType="end"/>
            </w:r>
          </w:hyperlink>
        </w:p>
        <w:p w14:paraId="30B6E636"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73"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7" w14:textId="77777777" w:rsidR="000C77E8" w:rsidRPr="0011793C" w:rsidRDefault="00FA2749" w:rsidP="0011793C">
          <w:pPr>
            <w:pStyle w:val="TOC1"/>
            <w:tabs>
              <w:tab w:val="right" w:leader="dot" w:pos="10530"/>
            </w:tabs>
            <w:spacing w:after="120"/>
            <w:ind w:left="720" w:hanging="720"/>
            <w:rPr>
              <w:rFonts w:eastAsiaTheme="minorEastAsia"/>
              <w:noProof/>
              <w:sz w:val="19"/>
              <w:szCs w:val="19"/>
            </w:rPr>
          </w:pPr>
          <w:hyperlink w:anchor="_Toc535922274"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Ages 9 and 13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8" w14:textId="77777777" w:rsidR="002C33B8" w:rsidRPr="001A3D9E" w:rsidRDefault="00FA2749" w:rsidP="0011793C">
          <w:pPr>
            <w:pStyle w:val="TOC1"/>
            <w:tabs>
              <w:tab w:val="right" w:leader="dot" w:pos="10530"/>
            </w:tabs>
            <w:spacing w:after="120"/>
            <w:ind w:left="720" w:hanging="720"/>
            <w:rPr>
              <w:sz w:val="20"/>
            </w:rPr>
          </w:pPr>
          <w:hyperlink w:anchor="_Toc535922275"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 17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47</w:t>
            </w:r>
            <w:r w:rsidR="000C77E8" w:rsidRPr="0011793C">
              <w:rPr>
                <w:noProof/>
                <w:webHidden/>
                <w:sz w:val="19"/>
                <w:szCs w:val="19"/>
              </w:rPr>
              <w:fldChar w:fldCharType="end"/>
            </w:r>
          </w:hyperlink>
          <w:r w:rsidR="002C33B8" w:rsidRPr="001A3D9E">
            <w:rPr>
              <w:b/>
              <w:bCs/>
              <w:noProof/>
              <w:sz w:val="20"/>
            </w:rPr>
            <w:fldChar w:fldCharType="end"/>
          </w:r>
        </w:p>
      </w:sdtContent>
    </w:sdt>
    <w:p w14:paraId="30B6E639" w14:textId="77777777" w:rsidR="00A375F4" w:rsidRDefault="00A375F4">
      <w:pPr>
        <w:spacing w:after="160" w:line="259" w:lineRule="auto"/>
        <w:rPr>
          <w:sz w:val="20"/>
        </w:rPr>
      </w:pPr>
      <w:r>
        <w:rPr>
          <w:sz w:val="20"/>
        </w:rPr>
        <w:br w:type="page"/>
      </w:r>
    </w:p>
    <w:p w14:paraId="1D8AF996" w14:textId="77777777" w:rsidR="00684CC1"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1" w:name="_Toc535922242"/>
      <w:r w:rsidRPr="00C81CDC">
        <w:rPr>
          <w:rFonts w:ascii="Times New Roman" w:eastAsia="Times New Roman" w:hAnsi="Times New Roman" w:cs="Times New Roman"/>
          <w:b/>
          <w:bCs/>
          <w:kern w:val="36"/>
          <w:sz w:val="36"/>
          <w:szCs w:val="48"/>
        </w:rPr>
        <w:lastRenderedPageBreak/>
        <w:t>NAEP Technical Documentation</w:t>
      </w:r>
      <w:r w:rsidR="00AA3317"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2012 Long-Term Trend (LTT) Assessment Sample Design</w:t>
      </w:r>
      <w:bookmarkEnd w:id="1"/>
    </w:p>
    <w:p w14:paraId="30B6E63B" w14:textId="5CF4270D"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Unlike most of the NAEP operational assessment, the population target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long-term trend (LTT) </w:t>
      </w:r>
      <w:r w:rsidR="00AA3317" w:rsidRPr="0036751F">
        <w:rPr>
          <w:rFonts w:ascii="Times New Roman" w:eastAsia="Times New Roman" w:hAnsi="Times New Roman" w:cs="Times New Roman"/>
          <w:sz w:val="24"/>
          <w:szCs w:val="24"/>
        </w:rPr>
        <w:t>assessment is</w:t>
      </w:r>
      <w:r w:rsidRPr="0036751F">
        <w:rPr>
          <w:rFonts w:ascii="Times New Roman" w:eastAsia="Times New Roman" w:hAnsi="Times New Roman" w:cs="Times New Roman"/>
          <w:sz w:val="24"/>
          <w:szCs w:val="24"/>
        </w:rPr>
        <w:t xml:space="preserve"> defined by age rather than grade. The three age populations for the 2012 study are as follows:</w:t>
      </w:r>
    </w:p>
    <w:p w14:paraId="30B6E63C" w14:textId="77777777" w:rsidR="00072289" w:rsidRPr="0036751F" w:rsidRDefault="00072289" w:rsidP="004A44AD">
      <w:pPr>
        <w:numPr>
          <w:ilvl w:val="0"/>
          <w:numId w:val="2"/>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9 population: all students with birth months January 2002 through December 2002 (i.e., all students who were nine-years-old on December 31, 2011)</w:t>
      </w:r>
    </w:p>
    <w:p w14:paraId="30B6E63D" w14:textId="77777777" w:rsidR="00072289" w:rsidRPr="0036751F" w:rsidRDefault="00072289" w:rsidP="004A44AD">
      <w:pPr>
        <w:numPr>
          <w:ilvl w:val="0"/>
          <w:numId w:val="3"/>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13 population: all students with birth months January 1998 through December 1998 (i.e., all students who were thirteen-years-old on December 31, 2011).</w:t>
      </w:r>
    </w:p>
    <w:p w14:paraId="30B6E63E" w14:textId="77777777" w:rsidR="00072289" w:rsidRPr="0036751F" w:rsidRDefault="00072289" w:rsidP="004A44AD">
      <w:pPr>
        <w:numPr>
          <w:ilvl w:val="0"/>
          <w:numId w:val="4"/>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17 population: all students with birth months October 1994 through September 1995 (i.e., all students who were seventeen-years-old on September 30, 2012)</w:t>
      </w:r>
    </w:p>
    <w:p w14:paraId="30B6E63F" w14:textId="77777777"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sample was designed to be nationally representative at each of these age populations. The target population included all students in these age ranges enrolled in public and private schools. The samples were selected based on a three-stage sample design as follows:</w:t>
      </w:r>
    </w:p>
    <w:p w14:paraId="30B6E640" w14:textId="77777777" w:rsidR="00072289" w:rsidRPr="0036751F" w:rsidRDefault="00072289" w:rsidP="00CD0FF5">
      <w:pPr>
        <w:numPr>
          <w:ilvl w:val="0"/>
          <w:numId w:val="5"/>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w:t>
      </w:r>
    </w:p>
    <w:p w14:paraId="30B6E641" w14:textId="77777777" w:rsidR="00A375F4" w:rsidRDefault="00072289" w:rsidP="00072289">
      <w:pPr>
        <w:numPr>
          <w:ilvl w:val="0"/>
          <w:numId w:val="5"/>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schools within PSUs</w:t>
      </w:r>
    </w:p>
    <w:p w14:paraId="30B6E642" w14:textId="77777777" w:rsidR="00072289" w:rsidRPr="0036751F" w:rsidRDefault="00072289" w:rsidP="00CD0FF5">
      <w:pPr>
        <w:numPr>
          <w:ilvl w:val="0"/>
          <w:numId w:val="5"/>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students within schools</w:t>
      </w:r>
    </w:p>
    <w:p w14:paraId="30B6E643"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overall sample sizes were driven by the targeted number of students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subject.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subjects were as follows:</w:t>
      </w:r>
    </w:p>
    <w:p w14:paraId="30B6E644" w14:textId="77777777" w:rsidR="00072289" w:rsidRPr="0036751F" w:rsidRDefault="00072289" w:rsidP="00CD0FF5">
      <w:pPr>
        <w:numPr>
          <w:ilvl w:val="0"/>
          <w:numId w:val="6"/>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p>
    <w:p w14:paraId="30B6E645"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w:t>
      </w:r>
    </w:p>
    <w:p w14:paraId="30B6E646"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w:t>
      </w:r>
    </w:p>
    <w:p w14:paraId="30B6E647" w14:textId="77777777" w:rsidR="00072289" w:rsidRPr="0036751F" w:rsidRDefault="00072289" w:rsidP="00CD0FF5">
      <w:pPr>
        <w:numPr>
          <w:ilvl w:val="0"/>
          <w:numId w:val="6"/>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 pilot</w:t>
      </w:r>
    </w:p>
    <w:p w14:paraId="30B6E648"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pilot assessments were integrated with the operational assessments with some students taking one pilot and one operational block.</w:t>
      </w:r>
    </w:p>
    <w:p w14:paraId="30B6E649" w14:textId="77777777" w:rsid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numbers of assessments are the same for each age group (9, 13,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 given in the following table.</w:t>
      </w:r>
    </w:p>
    <w:p w14:paraId="2CAA890B" w14:textId="4372E427" w:rsidR="00DB13C3" w:rsidRDefault="00DB13C3" w:rsidP="00DB13C3">
      <w:pPr>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Student sample size targets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each age group (9, 13, 17), long-term trend (LTT) assessment,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and school type</w:t>
      </w:r>
      <w:r>
        <w:rPr>
          <w:rFonts w:ascii="Times New Roman" w:eastAsia="Times New Roman" w:hAnsi="Times New Roman" w:cs="Times New Roman"/>
          <w:b/>
          <w:bCs/>
          <w:szCs w:val="24"/>
        </w:rPr>
        <w:t>, 2012</w:t>
      </w:r>
    </w:p>
    <w:tbl>
      <w:tblPr>
        <w:tblW w:w="4986"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864"/>
        <w:gridCol w:w="2810"/>
        <w:gridCol w:w="2864"/>
        <w:gridCol w:w="2242"/>
      </w:tblGrid>
      <w:tr w:rsidR="00072289" w:rsidRPr="001A3D9E" w14:paraId="30B6E650" w14:textId="77777777" w:rsidTr="00DB13C3">
        <w:trPr>
          <w:tblHeade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C" w14:textId="77777777" w:rsidR="00072289" w:rsidRPr="001A3D9E" w:rsidRDefault="00072289" w:rsidP="00072289">
            <w:pPr>
              <w:spacing w:before="100" w:beforeAutospacing="1" w:after="100" w:afterAutospacing="1"/>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Subject</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Public school students</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students</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 students</w:t>
            </w:r>
          </w:p>
        </w:tc>
      </w:tr>
      <w:tr w:rsidR="00072289" w:rsidRPr="001A3D9E" w14:paraId="30B6E652" w14:textId="77777777" w:rsidTr="00DB13C3">
        <w:trPr>
          <w:tblCellSpacing w:w="7" w:type="dxa"/>
          <w:jc w:val="center"/>
        </w:trPr>
        <w:tc>
          <w:tcPr>
            <w:tcW w:w="4987" w:type="pct"/>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51" w14:textId="77777777" w:rsidR="00072289" w:rsidRPr="001A3D9E" w:rsidRDefault="00072289" w:rsidP="00072289">
            <w:pPr>
              <w:rPr>
                <w:rFonts w:ascii="Times New Roman" w:eastAsia="Times New Roman" w:hAnsi="Times New Roman" w:cs="Times New Roman"/>
                <w:szCs w:val="24"/>
              </w:rPr>
            </w:pPr>
          </w:p>
        </w:tc>
      </w:tr>
      <w:tr w:rsidR="00072289" w:rsidRPr="001A3D9E" w14:paraId="30B6E657"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53"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15,300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17,000</w:t>
            </w:r>
          </w:p>
        </w:tc>
      </w:tr>
      <w:tr w:rsidR="00072289" w:rsidRPr="001A3D9E" w14:paraId="30B6E65C"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1"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D"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6"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2"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072289" w:rsidRPr="001A3D9E" w14:paraId="30B6E66B"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7"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783CFD" w:rsidRPr="001A3D9E" w14:paraId="30B6E66D" w14:textId="77777777" w:rsidTr="00DB13C3">
        <w:trPr>
          <w:tblCellSpacing w:w="7" w:type="dxa"/>
          <w:jc w:val="center"/>
        </w:trPr>
        <w:tc>
          <w:tcPr>
            <w:tcW w:w="4987" w:type="pct"/>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66C" w14:textId="77777777" w:rsidR="00783CFD" w:rsidRPr="001A3D9E" w:rsidRDefault="00783CFD" w:rsidP="00783CF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O = Operational assessment only;</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O/P = Integrated Operational and Pilot assessment.</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 xml:space="preserve"> Detail may not sum to totals because of rounding.</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Assessments.</w:t>
            </w:r>
          </w:p>
        </w:tc>
      </w:tr>
    </w:tbl>
    <w:p w14:paraId="30B6E66E" w14:textId="77777777" w:rsidR="00072289" w:rsidRPr="0036751F"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targets represent completed assessments. To get the overall sample sizes, these targets were adjusted upwards to allow for expected losses from absent, refusing, and/or ineligible schools and students (so that the completed assessment targets would be met).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corresponding overall students sample sizes are contained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Participation, Exclusion, and Accommodation Rates pages.</w:t>
      </w:r>
    </w:p>
    <w:p w14:paraId="30B6E66F" w14:textId="77777777" w:rsidR="00072289" w:rsidRPr="00C81CDC" w:rsidRDefault="00072289" w:rsidP="00783CFD">
      <w:pPr>
        <w:spacing w:after="100" w:afterAutospacing="1"/>
        <w:outlineLvl w:val="0"/>
        <w:rPr>
          <w:rFonts w:ascii="Times New Roman" w:eastAsia="Times New Roman" w:hAnsi="Times New Roman" w:cs="Times New Roman"/>
          <w:b/>
          <w:bCs/>
          <w:kern w:val="36"/>
          <w:sz w:val="36"/>
          <w:szCs w:val="48"/>
        </w:rPr>
      </w:pPr>
      <w:bookmarkStart w:id="2" w:name="_Toc535922243"/>
      <w:r w:rsidRPr="00C81CDC">
        <w:rPr>
          <w:rFonts w:ascii="Times New Roman" w:eastAsia="Times New Roman" w:hAnsi="Times New Roman" w:cs="Times New Roman"/>
          <w:b/>
          <w:bCs/>
          <w:kern w:val="36"/>
          <w:sz w:val="36"/>
          <w:szCs w:val="48"/>
        </w:rPr>
        <w:t>NAEP Technical Documentation</w:t>
      </w:r>
      <w:r w:rsidR="00201070"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Selection of Primary Sam</w:t>
      </w:r>
      <w:r w:rsidR="00783CFD" w:rsidRPr="00C81CDC">
        <w:rPr>
          <w:rFonts w:ascii="Times New Roman" w:eastAsia="Times New Roman" w:hAnsi="Times New Roman" w:cs="Times New Roman"/>
          <w:b/>
          <w:bCs/>
          <w:kern w:val="36"/>
          <w:sz w:val="36"/>
          <w:szCs w:val="48"/>
        </w:rPr>
        <w:t xml:space="preserve">pling Units (PSUs) for the 2012 </w:t>
      </w:r>
      <w:r w:rsidRPr="00C81CDC">
        <w:rPr>
          <w:rFonts w:ascii="Times New Roman" w:eastAsia="Times New Roman" w:hAnsi="Times New Roman" w:cs="Times New Roman"/>
          <w:b/>
          <w:bCs/>
          <w:kern w:val="36"/>
          <w:sz w:val="36"/>
          <w:szCs w:val="48"/>
        </w:rPr>
        <w:t>Assessment</w:t>
      </w:r>
      <w:bookmarkEnd w:id="2"/>
    </w:p>
    <w:p w14:paraId="30B6E670"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economics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sample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for each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drawn from a frame of PSUs based on current Census information, respectively. Among the 67 PSUs for each assessment are 29 certainty PSUs and 38 noncertainty PSUs.</w:t>
      </w:r>
    </w:p>
    <w:p w14:paraId="30B6E671"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After the PSU frame was created, certainty PSUs (those with large measures of size that make it efficient to take them with probability of selection equal to 1) were identified and set aside.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set of 29 certainty PSUs was the same for economics and LTT.</w:t>
      </w:r>
    </w:p>
    <w:p w14:paraId="30B6E672" w14:textId="77777777" w:rsidR="00A375F4"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Stratification of the noncertainty PSUs (i.e. those with probabilities of selection strictly less than 1) was carried out after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analysis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2000 data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NAEP achievement scores from prior years identified the stratification variables. This analysis identified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set of PSU-level, Census-based variables that had as much association with the prior assessment scores as possible. The intent is that the results of this analysis and stratification were to be used for multiple assessment years and subject matter.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They were used previously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2006 and 2008-2011.</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Periodically, this analysis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will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according to the availability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data and key assessment scores. Based on the stratification, measures of size and probabilities of selection were defined, and a systematic sample of PSUs was drawn. For both the 2012 economics and LTT, non-overlapping samples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38 noncertainty PSUs were selected, respectively.</w:t>
      </w:r>
    </w:p>
    <w:p w14:paraId="30B6E673"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PSUs satisfied the following criteria:</w:t>
      </w:r>
    </w:p>
    <w:p w14:paraId="30B6E674"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 sampling frame included all U.S. states and the District of Columbia, but excluded the U.S. territories and Puerto Rico;</w:t>
      </w:r>
    </w:p>
    <w:p w14:paraId="30B6E675"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consisted of one county or contiguous multiple counties;</w:t>
      </w:r>
    </w:p>
    <w:p w14:paraId="30B6E676"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Metropolitan Statistical Areas (MSAs) were designated as separate PSUs even with their large size, as they were sufficiently compact in terms of their travel costs (due to higher levels of transportation infrastructure);</w:t>
      </w:r>
    </w:p>
    <w:p w14:paraId="30B6E677"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Census region boundaries;</w:t>
      </w:r>
    </w:p>
    <w:p w14:paraId="30B6E678"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state boundaries, in general;</w:t>
      </w:r>
    </w:p>
    <w:p w14:paraId="30B6E679"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 in the Northeast and South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regions had a minimum population of 15,000 youths (age 0 to 17 inclusive), and in the Midwest and West Census regions had a minimum population of 10,000 youths, in general, according to the 2009 U.S.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Bureau's Population Estimates Program; and</w:t>
      </w:r>
    </w:p>
    <w:p w14:paraId="30B6E67A"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be of minimum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size (defined in terms of square miles or maximum distance between points—a rough proxy for travel time) while still satisfying the minimum population constraints.</w:t>
      </w:r>
    </w:p>
    <w:p w14:paraId="30B6E67B" w14:textId="77777777" w:rsidR="00072289" w:rsidRPr="00C81CDC"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3" w:name="_Toc535922244"/>
      <w:r w:rsidRPr="00C81CDC">
        <w:rPr>
          <w:rFonts w:ascii="Times New Roman" w:eastAsia="Times New Roman" w:hAnsi="Times New Roman" w:cs="Times New Roman"/>
          <w:b/>
          <w:bCs/>
          <w:kern w:val="36"/>
          <w:sz w:val="36"/>
          <w:szCs w:val="48"/>
        </w:rPr>
        <w:t>NAEP Technical Documentation</w:t>
      </w:r>
      <w:r w:rsidR="00BE503A"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Primary Sampling Unit (PSU) Generation: Metropolitan Statistical Areas for the 2012</w:t>
      </w:r>
      <w:r w:rsidR="00A375F4">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Assessment</w:t>
      </w:r>
      <w:bookmarkEnd w:id="3"/>
    </w:p>
    <w:p w14:paraId="30B6E67C"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2004 definitions of Core Based Statistical Areas (CBSAs) and Combined Statistical Areas (CSAs), which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also referred to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Metropolitan Statistical Areas (MSAs), were used to define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definitions were the most recently available definitions from the U.S. Office of Management and Budget (OMB) when the PSU frame was created for the 2006 assessment. The same PSU frame was used in the 2012 assessment. There were few changes to MSA definitions between 2004 and the time of selecting the 2012 school sample. The CBSA areas consisted of clusters of one or more counties classified as metropolitan and micropolitan statistical areas.</w:t>
      </w:r>
    </w:p>
    <w:p w14:paraId="30B6E67D" w14:textId="77777777" w:rsidR="00A375F4"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metropolitan PSUs were manually created by grouping counties in MSAs. Each MSA constituted a PSU, except for those areas that crossed state boundaries. These areas were split into "proto-PSUs" along state boundaries. Proto-PSUs consisted of portions of MSAs within individual states</w:t>
      </w:r>
      <w:r w:rsidR="00783CFD" w:rsidRPr="0036751F">
        <w:rPr>
          <w:rStyle w:val="FootnoteReference"/>
          <w:rFonts w:ascii="Times New Roman" w:eastAsia="Times New Roman" w:hAnsi="Times New Roman" w:cs="Times New Roman"/>
          <w:sz w:val="24"/>
          <w:szCs w:val="24"/>
        </w:rPr>
        <w:footnoteReference w:id="1"/>
      </w:r>
      <w:r w:rsidRPr="0036751F">
        <w:rPr>
          <w:rFonts w:ascii="Times New Roman" w:eastAsia="Times New Roman" w:hAnsi="Times New Roman" w:cs="Times New Roman"/>
          <w:sz w:val="24"/>
          <w:szCs w:val="24"/>
        </w:rPr>
        <w:t>. For example, the New York-Newark-Bridgeport, NY-NJ-CT-PA MSA was partitioned into four proto-PSUs by state.</w:t>
      </w:r>
    </w:p>
    <w:p w14:paraId="30B6E67E"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 proto-PSU did not violate the size constraints, it was defined as a PSU. In some cases, these proto-PSUs violated the minimum size constraint of 15,000 youths for the Northeast or 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for the Midwest and West Census regions. There were 14 of these proto-</w:t>
      </w:r>
      <w:r w:rsidRPr="0036751F">
        <w:rPr>
          <w:rFonts w:ascii="Times New Roman" w:eastAsia="Times New Roman" w:hAnsi="Times New Roman" w:cs="Times New Roman"/>
          <w:sz w:val="28"/>
          <w:szCs w:val="24"/>
        </w:rPr>
        <w:t xml:space="preserve">PSUs violating size constraints. In one of these 14 cases where the size was close to the constraint, it was defined as a PSU. In the remaining 13 </w:t>
      </w:r>
      <w:r w:rsidRPr="0036751F">
        <w:rPr>
          <w:rFonts w:ascii="Times New Roman" w:eastAsia="Times New Roman" w:hAnsi="Times New Roman" w:cs="Times New Roman"/>
          <w:sz w:val="24"/>
          <w:szCs w:val="24"/>
        </w:rPr>
        <w:t>smaller cases, these proto-PSUs were combined with the adjacent MSA proto-PSUs to form the final PSUs. In these cases, the combined PSUs crossed state boundaries.</w:t>
      </w:r>
    </w:p>
    <w:p w14:paraId="30B6E67F"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total of 29 of the newly-created PSUs were defined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certainty PSUs. The remaining 370 PSUs comprised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MSA frame for PSU sampling, covering a total of 888 counties. The table below presents estimates for the number of youths by Census region.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estimates come from the county-level estimates of numbers of persons aged 0 to 17 from the 2009 U.S. Census Bureau's Population Estimates Program</w:t>
      </w:r>
      <w:r w:rsidR="00783CFD" w:rsidRPr="0036751F">
        <w:rPr>
          <w:rStyle w:val="FootnoteReference"/>
          <w:rFonts w:ascii="Times New Roman" w:eastAsia="Times New Roman" w:hAnsi="Times New Roman" w:cs="Times New Roman"/>
          <w:sz w:val="24"/>
          <w:szCs w:val="24"/>
        </w:rPr>
        <w:footnoteReference w:id="2"/>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The 2009 estimates were the most recent demographic data at the time of the PSU selection.</w:t>
      </w:r>
    </w:p>
    <w:p w14:paraId="30B6E680"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Metropolitan Statistical Area (MSA) primary sampling unit (PSU) frame, by Census region: 2012</w:t>
      </w:r>
    </w:p>
    <w:tbl>
      <w:tblPr>
        <w:tblW w:w="4986"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176"/>
        <w:gridCol w:w="1224"/>
        <w:gridCol w:w="1689"/>
        <w:gridCol w:w="2018"/>
        <w:gridCol w:w="3673"/>
      </w:tblGrid>
      <w:tr w:rsidR="00072289" w:rsidRPr="001A3D9E" w14:paraId="30B6E688" w14:textId="77777777" w:rsidTr="00DB13C3">
        <w:trPr>
          <w:tblHeader/>
          <w:tblCellSpacing w:w="7" w:type="dxa"/>
          <w:jc w:val="center"/>
        </w:trPr>
        <w:tc>
          <w:tcPr>
            <w:tcW w:w="100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3"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56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4"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7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5"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93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6"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167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7"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 youths per PSU</w:t>
            </w:r>
          </w:p>
        </w:tc>
      </w:tr>
      <w:tr w:rsidR="00072289" w:rsidRPr="001A3D9E" w14:paraId="30B6E68E"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89"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A"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B"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888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C"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32,287,989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D"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87,265</w:t>
            </w:r>
          </w:p>
        </w:tc>
      </w:tr>
      <w:tr w:rsidR="00072289" w:rsidRPr="001A3D9E" w14:paraId="30B6E694"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F"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98,983</w:t>
            </w:r>
          </w:p>
        </w:tc>
      </w:tr>
      <w:tr w:rsidR="00072289" w:rsidRPr="001A3D9E" w14:paraId="30B6E69A"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5"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74,253</w:t>
            </w:r>
          </w:p>
        </w:tc>
      </w:tr>
      <w:tr w:rsidR="00072289" w:rsidRPr="001A3D9E" w14:paraId="30B6E6A0"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B"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87,431</w:t>
            </w:r>
          </w:p>
        </w:tc>
      </w:tr>
      <w:tr w:rsidR="00072289" w:rsidRPr="001A3D9E" w14:paraId="30B6E6A6"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1"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97,642</w:t>
            </w:r>
          </w:p>
        </w:tc>
      </w:tr>
      <w:tr w:rsidR="00783CFD" w:rsidRPr="001A3D9E" w14:paraId="30B6E6A8" w14:textId="77777777" w:rsidTr="00DB13C3">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A7" w14:textId="77777777" w:rsidR="00783CFD" w:rsidRPr="001A3D9E" w:rsidRDefault="00783CFD" w:rsidP="00783CFD">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6A9" w14:textId="77777777" w:rsidR="00072289" w:rsidRPr="001A3D9E" w:rsidRDefault="00072289" w:rsidP="00072289">
      <w:pPr>
        <w:rPr>
          <w:rFonts w:ascii="Times New Roman" w:eastAsia="Times New Roman" w:hAnsi="Times New Roman" w:cs="Times New Roman"/>
          <w:szCs w:val="24"/>
        </w:rPr>
      </w:pPr>
    </w:p>
    <w:p w14:paraId="30B6E6AA" w14:textId="77777777" w:rsidR="00072289" w:rsidRPr="00C81CDC" w:rsidRDefault="00072289" w:rsidP="00D22C4B">
      <w:pPr>
        <w:shd w:val="clear" w:color="auto" w:fill="FFFFFF"/>
        <w:spacing w:after="120"/>
        <w:outlineLvl w:val="0"/>
        <w:rPr>
          <w:rFonts w:ascii="Times New Roman" w:eastAsia="Times New Roman" w:hAnsi="Times New Roman" w:cs="Times New Roman"/>
          <w:b/>
          <w:bCs/>
          <w:color w:val="000000"/>
          <w:kern w:val="36"/>
          <w:sz w:val="36"/>
          <w:szCs w:val="48"/>
        </w:rPr>
      </w:pPr>
      <w:bookmarkStart w:id="4" w:name="_Toc535922245"/>
      <w:r w:rsidRPr="00C81CDC">
        <w:rPr>
          <w:rFonts w:ascii="Times New Roman" w:eastAsia="Times New Roman" w:hAnsi="Times New Roman" w:cs="Times New Roman"/>
          <w:b/>
          <w:bCs/>
          <w:color w:val="000000"/>
          <w:kern w:val="36"/>
          <w:sz w:val="36"/>
          <w:szCs w:val="48"/>
        </w:rPr>
        <w:t>NAEP Technical Documentation</w:t>
      </w:r>
      <w:r w:rsidR="00BE503A" w:rsidRPr="00C81CDC">
        <w:rPr>
          <w:rFonts w:ascii="Times New Roman" w:eastAsia="Times New Roman" w:hAnsi="Times New Roman" w:cs="Times New Roman"/>
          <w:b/>
          <w:bCs/>
          <w:color w:val="000000"/>
          <w:kern w:val="36"/>
          <w:sz w:val="36"/>
          <w:szCs w:val="48"/>
        </w:rPr>
        <w:t xml:space="preserve"> </w:t>
      </w:r>
      <w:r w:rsidRPr="00C81CDC">
        <w:rPr>
          <w:rFonts w:ascii="Times New Roman" w:eastAsia="Times New Roman" w:hAnsi="Times New Roman" w:cs="Times New Roman"/>
          <w:b/>
          <w:bCs/>
          <w:color w:val="000000"/>
          <w:kern w:val="36"/>
          <w:sz w:val="36"/>
          <w:szCs w:val="48"/>
        </w:rPr>
        <w:t>Primary Sampling Unit Generation: Certainty PSUs for the 2012 Assessment</w:t>
      </w:r>
      <w:bookmarkEnd w:id="4"/>
    </w:p>
    <w:p w14:paraId="30B6E6AB" w14:textId="77777777" w:rsidR="00F748C9" w:rsidRDefault="00072289" w:rsidP="001D33C3">
      <w:pPr>
        <w:shd w:val="clear" w:color="auto" w:fill="FFFFFF"/>
        <w:spacing w:after="240"/>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Any</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 (PSU) was defined as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certainty PSU if it had 500,000 or more youths. The estimated number of youths is the number of persons age 17 or under from the 2009 U.S. Census Bureau's Population Estimates Program.</w:t>
      </w:r>
      <w:r w:rsidR="00F748C9" w:rsidRPr="0036751F">
        <w:rPr>
          <w:rStyle w:val="FootnoteReference"/>
          <w:rFonts w:ascii="Times New Roman" w:eastAsia="Times New Roman" w:hAnsi="Times New Roman" w:cs="Times New Roman"/>
          <w:color w:val="000000"/>
          <w:sz w:val="24"/>
          <w:szCs w:val="24"/>
        </w:rPr>
        <w:footnoteReference w:id="3"/>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These PSUs were so large that a sample of schools was taken from all of them (rather than from only a subsample of them, as with noncertainty PSUs). There were two exceptions to the 500,000 cutoff. The Honolulu, Hawaii, and Washington, DC PSUs were included as certainties by design: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Honolulu, Hawaii</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in order to reduce the </w:t>
      </w:r>
      <w:r w:rsidR="00F748C9" w:rsidRPr="0036751F">
        <w:rPr>
          <w:rFonts w:ascii="Times New Roman" w:eastAsia="Times New Roman" w:hAnsi="Times New Roman" w:cs="Times New Roman"/>
          <w:color w:val="000000"/>
          <w:sz w:val="24"/>
          <w:szCs w:val="24"/>
        </w:rPr>
        <w:t>variability of</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including Asian/Pacific Islander students and Washington, DC as it is essentially a part of the larger MD-VA-DC Washington area PSU. A total of 29 PSUs were classified as certainties in the 2012 frame. The table below provides a listing of the certainty PSUs by</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Census region.</w:t>
      </w:r>
    </w:p>
    <w:p w14:paraId="30B6E6AC" w14:textId="77777777" w:rsidR="00C5519C" w:rsidRPr="00DB13C3" w:rsidRDefault="00C5519C" w:rsidP="00DB13C3">
      <w:pPr>
        <w:shd w:val="clear" w:color="auto" w:fill="FFFFFF"/>
        <w:rPr>
          <w:rFonts w:ascii="Times New Roman Bold" w:eastAsia="Times New Roman" w:hAnsi="Times New Roman Bold" w:cs="Times New Roman"/>
          <w:color w:val="000000"/>
          <w:szCs w:val="27"/>
        </w:rPr>
      </w:pPr>
      <w:r w:rsidRPr="00DB13C3">
        <w:rPr>
          <w:rFonts w:ascii="Times New Roman Bold" w:eastAsia="Times New Roman" w:hAnsi="Times New Roman Bold" w:cs="Times New Roman"/>
          <w:b/>
          <w:bCs/>
          <w:color w:val="000000"/>
        </w:rPr>
        <w:t>Metropolitan Statistical Area (MSA) definition for certainty PSUs, by primary sampling unit (PSU): 2012</w:t>
      </w:r>
    </w:p>
    <w:tbl>
      <w:tblPr>
        <w:tblW w:w="5000" w:type="pct"/>
        <w:jc w:val="center"/>
        <w:tblCellSpacing w:w="7" w:type="dxa"/>
        <w:tblBorders>
          <w:top w:val="single" w:sz="18" w:space="0" w:color="800000"/>
        </w:tblBorders>
        <w:shd w:val="clear" w:color="auto" w:fill="FFFFFF"/>
        <w:tblCellMar>
          <w:left w:w="0" w:type="dxa"/>
          <w:right w:w="0" w:type="dxa"/>
        </w:tblCellMar>
        <w:tblLook w:val="04A0" w:firstRow="1" w:lastRow="0" w:firstColumn="1" w:lastColumn="0" w:noHBand="0" w:noVBand="1"/>
      </w:tblPr>
      <w:tblGrid>
        <w:gridCol w:w="2322"/>
        <w:gridCol w:w="4170"/>
        <w:gridCol w:w="1136"/>
        <w:gridCol w:w="1516"/>
        <w:gridCol w:w="1666"/>
      </w:tblGrid>
      <w:tr w:rsidR="00BE503A" w:rsidRPr="001A3D9E" w14:paraId="30B6E6B2" w14:textId="77777777" w:rsidTr="005A638A">
        <w:trPr>
          <w:tblHeader/>
          <w:tblCellSpacing w:w="7" w:type="dxa"/>
          <w:jc w:val="center"/>
        </w:trPr>
        <w:tc>
          <w:tcPr>
            <w:tcW w:w="106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w:t>
            </w:r>
          </w:p>
        </w:tc>
        <w:tc>
          <w:tcPr>
            <w:tcW w:w="193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E" w14:textId="77777777" w:rsidR="00BE503A" w:rsidRPr="001A3D9E" w:rsidRDefault="00F748C9"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Metropolitan</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Statistical</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Area </w:t>
            </w:r>
            <w:r w:rsidR="00BE503A" w:rsidRPr="001A3D9E">
              <w:rPr>
                <w:rFonts w:ascii="Times New Roman" w:eastAsia="Times New Roman" w:hAnsi="Times New Roman" w:cs="Times New Roman"/>
                <w:color w:val="000000"/>
                <w:sz w:val="20"/>
              </w:rPr>
              <w:t>(MSA)</w:t>
            </w:r>
          </w:p>
        </w:tc>
        <w:tc>
          <w:tcPr>
            <w:tcW w:w="52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State</w:t>
            </w:r>
          </w:p>
        </w:tc>
        <w:tc>
          <w:tcPr>
            <w:tcW w:w="698"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6B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Pr="001A3D9E">
              <w:rPr>
                <w:rFonts w:ascii="Times New Roman" w:eastAsia="Times New Roman" w:hAnsi="Times New Roman" w:cs="Times New Roman"/>
                <w:color w:val="000000"/>
                <w:sz w:val="20"/>
              </w:rPr>
              <w:br/>
              <w:t>of counties</w:t>
            </w:r>
          </w:p>
        </w:tc>
        <w:tc>
          <w:tcPr>
            <w:tcW w:w="73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B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br/>
              <w:t>of youths</w:t>
            </w:r>
          </w:p>
        </w:tc>
      </w:tr>
      <w:tr w:rsidR="00BE503A" w:rsidRPr="001A3D9E" w14:paraId="30B6E6B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B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Grand total</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203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30,598,471</w:t>
            </w:r>
          </w:p>
        </w:tc>
      </w:tr>
      <w:tr w:rsidR="00BE503A" w:rsidRPr="001A3D9E" w14:paraId="30B6E6BE"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6B9"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Northeast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A"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B"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C"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D"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6,734,535</w:t>
            </w:r>
          </w:p>
        </w:tc>
      </w:tr>
      <w:tr w:rsidR="00BE503A" w:rsidRPr="001A3D9E" w14:paraId="30B6E6C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Boston-Cambridge-Quincy</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899,860</w:t>
            </w:r>
          </w:p>
        </w:tc>
      </w:tr>
      <w:tr w:rsidR="00BE503A" w:rsidRPr="001A3D9E" w14:paraId="30B6E6C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NJ-PA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1,516,170</w:t>
            </w:r>
          </w:p>
        </w:tc>
      </w:tr>
      <w:tr w:rsidR="00BE503A" w:rsidRPr="001A3D9E" w14:paraId="30B6E6D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NY</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2,907,564</w:t>
            </w:r>
          </w:p>
        </w:tc>
      </w:tr>
      <w:tr w:rsidR="00BE503A" w:rsidRPr="001A3D9E" w14:paraId="30B6E6D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Pittsburgh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475,909</w:t>
            </w:r>
          </w:p>
        </w:tc>
      </w:tr>
      <w:tr w:rsidR="00BE503A" w:rsidRPr="001A3D9E" w14:paraId="30B6E6D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Philadelphia-Camden-Wilmington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935,032</w:t>
            </w:r>
          </w:p>
        </w:tc>
      </w:tr>
      <w:tr w:rsidR="00BE503A" w:rsidRPr="001A3D9E" w14:paraId="30B6E6E2"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DD"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Midwest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E"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F"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0"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1"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5,060,310</w:t>
            </w:r>
          </w:p>
        </w:tc>
      </w:tr>
      <w:tr w:rsidR="00BE503A" w:rsidRPr="001A3D9E" w14:paraId="30B6E6E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Chicago-Naperville-Joliet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IL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2,213,473</w:t>
            </w:r>
          </w:p>
        </w:tc>
      </w:tr>
      <w:tr w:rsidR="00BE503A" w:rsidRPr="001A3D9E" w14:paraId="30B6E6E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Detroit-Warren-Livonia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1,066,545</w:t>
            </w:r>
          </w:p>
        </w:tc>
      </w:tr>
      <w:tr w:rsidR="00BE503A" w:rsidRPr="001A3D9E" w14:paraId="30B6E6F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Minneapolis-St. Paul-Bloomington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MN</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776,007</w:t>
            </w:r>
          </w:p>
        </w:tc>
      </w:tr>
      <w:tr w:rsidR="00BE503A" w:rsidRPr="001A3D9E" w14:paraId="30B6E6F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 Louis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517,251</w:t>
            </w:r>
          </w:p>
        </w:tc>
      </w:tr>
      <w:tr w:rsidR="00BE503A" w:rsidRPr="001A3D9E" w14:paraId="30B6E70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Cleveland-Elyria-Mentor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OH</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487,035</w:t>
            </w:r>
          </w:p>
        </w:tc>
      </w:tr>
      <w:tr w:rsidR="00BE503A" w:rsidRPr="001A3D9E" w14:paraId="30B6E706"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01"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South</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2"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3"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4"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5"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9,319,246</w:t>
            </w:r>
          </w:p>
        </w:tc>
      </w:tr>
      <w:tr w:rsidR="00BE503A" w:rsidRPr="001A3D9E" w14:paraId="30B6E70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DC</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114,036</w:t>
            </w:r>
          </w:p>
        </w:tc>
      </w:tr>
      <w:tr w:rsidR="00BE503A" w:rsidRPr="001A3D9E" w14:paraId="30B6E71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Tampa-St. Petersburg-Clearwater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592,661</w:t>
            </w:r>
          </w:p>
        </w:tc>
      </w:tr>
      <w:tr w:rsidR="00BE503A" w:rsidRPr="001A3D9E" w14:paraId="30B6E71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Miami-Fort Lauderdale-Miami Beach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1,251,716</w:t>
            </w:r>
          </w:p>
        </w:tc>
      </w:tr>
      <w:tr w:rsidR="00BE503A" w:rsidRPr="001A3D9E" w14:paraId="30B6E71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Atlanta-Sandy Springs-Marietta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GA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1,476,554</w:t>
            </w:r>
          </w:p>
        </w:tc>
      </w:tr>
      <w:tr w:rsidR="00BE503A" w:rsidRPr="001A3D9E" w14:paraId="30B6E72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563,326</w:t>
            </w:r>
          </w:p>
        </w:tc>
      </w:tr>
      <w:tr w:rsidR="00BE503A" w:rsidRPr="001A3D9E" w14:paraId="30B6E72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Baltimore-Towson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622,766</w:t>
            </w:r>
          </w:p>
        </w:tc>
      </w:tr>
      <w:tr w:rsidR="00BE503A" w:rsidRPr="001A3D9E" w14:paraId="30B6E73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Antonio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570,624</w:t>
            </w:r>
          </w:p>
        </w:tc>
      </w:tr>
      <w:tr w:rsidR="00BE503A" w:rsidRPr="001A3D9E" w14:paraId="30B6E73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Houston-Sugar Land-Baytown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1,673,274</w:t>
            </w:r>
          </w:p>
        </w:tc>
      </w:tr>
      <w:tr w:rsidR="00BE503A" w:rsidRPr="001A3D9E" w14:paraId="30B6E73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Dallas-Fort Worth-Arlington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1,806,339</w:t>
            </w:r>
          </w:p>
        </w:tc>
      </w:tr>
      <w:tr w:rsidR="00BE503A" w:rsidRPr="001A3D9E" w14:paraId="30B6E74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3--10</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VA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647,950</w:t>
            </w:r>
          </w:p>
        </w:tc>
      </w:tr>
      <w:tr w:rsidR="00BE503A" w:rsidRPr="001A3D9E" w14:paraId="30B6E748"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4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9,484,380</w:t>
            </w:r>
          </w:p>
        </w:tc>
      </w:tr>
      <w:tr w:rsidR="00BE503A" w:rsidRPr="001A3D9E" w14:paraId="30B6E74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Phoenix-Mesa-Scottsdale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AZ</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1,187,246</w:t>
            </w:r>
          </w:p>
        </w:tc>
      </w:tr>
      <w:tr w:rsidR="00BE503A" w:rsidRPr="001A3D9E" w14:paraId="30B6E75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Sacramento-Arden-Arcade-Roseville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533,021</w:t>
            </w:r>
          </w:p>
        </w:tc>
      </w:tr>
      <w:tr w:rsidR="00BE503A" w:rsidRPr="001A3D9E" w14:paraId="30B6E75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Diego-Carlsbad-San Marcos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739,625</w:t>
            </w:r>
          </w:p>
        </w:tc>
      </w:tr>
      <w:tr w:rsidR="00BE503A" w:rsidRPr="001A3D9E" w14:paraId="30B6E76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Francisco-Oakland-Fremont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932,962</w:t>
            </w:r>
          </w:p>
        </w:tc>
      </w:tr>
      <w:tr w:rsidR="00BE503A" w:rsidRPr="001A3D9E" w14:paraId="30B6E76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Riverside-San Bernardino-Ontario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1,216,722</w:t>
            </w:r>
          </w:p>
        </w:tc>
      </w:tr>
      <w:tr w:rsidR="00BE503A" w:rsidRPr="001A3D9E" w14:paraId="30B6E76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Los Angeles-Long Beach-Santa Ana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3,256,354</w:t>
            </w:r>
          </w:p>
        </w:tc>
      </w:tr>
      <w:tr w:rsidR="00BE503A" w:rsidRPr="001A3D9E" w14:paraId="30B6E77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Denver-Aurora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640,638</w:t>
            </w:r>
          </w:p>
        </w:tc>
      </w:tr>
      <w:tr w:rsidR="00BE503A" w:rsidRPr="001A3D9E" w14:paraId="30B6E77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Honolulu</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201,499</w:t>
            </w:r>
          </w:p>
        </w:tc>
      </w:tr>
      <w:tr w:rsidR="00BE503A" w:rsidRPr="001A3D9E" w14:paraId="30B6E77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Seattle-Tacoma-Bellevue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776,313</w:t>
            </w:r>
          </w:p>
        </w:tc>
      </w:tr>
      <w:tr w:rsidR="00F748C9" w:rsidRPr="001A3D9E" w14:paraId="30B6E781"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77F" w14:textId="77777777" w:rsidR="00F748C9" w:rsidRPr="001A3D9E" w:rsidRDefault="00F748C9" w:rsidP="001D33C3">
            <w:pPr>
              <w:spacing w:line="256" w:lineRule="auto"/>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p>
          <w:p w14:paraId="30B6E780" w14:textId="77777777" w:rsidR="00F748C9" w:rsidRPr="001A3D9E" w:rsidRDefault="00F748C9" w:rsidP="001D3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0"/>
              </w:rPr>
              <w:t>SOURCE: U.S. Department of Education, Institute of Education Sciences, National Center for Education Statistics, National Assessment of Educational Progress (NAEP), 2012.</w:t>
            </w:r>
          </w:p>
        </w:tc>
      </w:tr>
    </w:tbl>
    <w:p w14:paraId="30B6E783" w14:textId="77777777" w:rsidR="00072289" w:rsidRPr="00C81CDC" w:rsidRDefault="00072289" w:rsidP="005A638A">
      <w:pPr>
        <w:keepNext/>
        <w:spacing w:before="100" w:beforeAutospacing="1" w:after="100" w:afterAutospacing="1"/>
        <w:outlineLvl w:val="0"/>
        <w:rPr>
          <w:rFonts w:ascii="Times New Roman" w:eastAsia="Times New Roman" w:hAnsi="Times New Roman" w:cs="Times New Roman"/>
          <w:b/>
          <w:bCs/>
          <w:kern w:val="36"/>
          <w:sz w:val="32"/>
          <w:szCs w:val="48"/>
        </w:rPr>
      </w:pPr>
      <w:bookmarkStart w:id="5" w:name="_Toc535922246"/>
      <w:r w:rsidRPr="00C81CDC">
        <w:rPr>
          <w:rFonts w:ascii="Times New Roman" w:eastAsia="Times New Roman" w:hAnsi="Times New Roman" w:cs="Times New Roman"/>
          <w:b/>
          <w:bCs/>
          <w:kern w:val="36"/>
          <w:sz w:val="32"/>
          <w:szCs w:val="48"/>
        </w:rPr>
        <w:t>NAEP Technical Documentation</w:t>
      </w:r>
      <w:r w:rsidR="00BE503A" w:rsidRPr="00C81CDC">
        <w:rPr>
          <w:rFonts w:ascii="Times New Roman" w:eastAsia="Times New Roman" w:hAnsi="Times New Roman" w:cs="Times New Roman"/>
          <w:b/>
          <w:bCs/>
          <w:kern w:val="36"/>
          <w:sz w:val="32"/>
          <w:szCs w:val="48"/>
        </w:rPr>
        <w:t xml:space="preserve"> </w:t>
      </w:r>
      <w:r w:rsidRPr="00C81CDC">
        <w:rPr>
          <w:rFonts w:ascii="Times New Roman" w:eastAsia="Times New Roman" w:hAnsi="Times New Roman" w:cs="Times New Roman"/>
          <w:b/>
          <w:bCs/>
          <w:kern w:val="36"/>
          <w:sz w:val="32"/>
          <w:szCs w:val="48"/>
        </w:rPr>
        <w:t>Primary Sampling Unit Generation: Non-Metropolitan Statistical Areas for the 2012 Assessment</w:t>
      </w:r>
      <w:bookmarkEnd w:id="5"/>
    </w:p>
    <w:p w14:paraId="30B6E784" w14:textId="77777777" w:rsidR="00072289" w:rsidRPr="0036751F" w:rsidRDefault="00072289" w:rsidP="005A638A">
      <w:pPr>
        <w:widowControl w:val="0"/>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software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utilized to define a preliminary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satisfying the design constraints. The input set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consisted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all of the non-metropolitan counties. The software formed PSUs that satisfied the minimum size constraints while not crossing state boundaries. The software also minimized the maximum point-to-point distance for the candidate PSUs, while still satisfying the minimum size constraints (15,000 youths in the Northeast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in the Midwest and West Census regions). 'Worst first' was the general approach: the county which had the PSU with the largest maximum point-to-point distance was fitted first, with those counties that best fit within a PSU containing the 'worst-first' county put together to form the first PSU.</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algorithm was then run on the remaining counties not yet assigned to a PSU finding the next 'worst-first' county.</w:t>
      </w:r>
    </w:p>
    <w:p w14:paraId="30B6E785" w14:textId="77777777" w:rsidR="00072289" w:rsidRPr="0036751F"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Initially, there were 22 counties that could not be combined into PSUs to satisfy the minimum size constraints while still remaining within a single state. Nine of the PSUs (formed from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12 of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counties) that were below the minimum size requirement were allowed to stand, since satisfying the minimum size requirement was not reasonably possible. The remaining counties were in Alaska, for which PSUs were manually drawn to better respect interstate highways (being drawn along the axis of these highways) and mountain ranges (avoiding crossing of ranges with poor road access). For Alaska, the proto-PSUs created by the program were replaced by the PSUs created for the NAEP 2004 assessment. The end result of this procedure was that all non-metropolitan PSUs were contained within state boundaries. There were a total of 670 final non-metropolitan PSUs.</w:t>
      </w:r>
    </w:p>
    <w:p w14:paraId="30B6E786" w14:textId="77777777" w:rsidR="00072289"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table below presents the number of PSUs, the number of counties represented, and the estimated number of youths (total and mean per PSU) by Census region. The estimated number of youths (persons age 0 to 17) for each county comes from the 2009 U.S. Census Bureau's Population Estimates Program.</w:t>
      </w:r>
    </w:p>
    <w:p w14:paraId="30B6E787"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Non-Metropolitan Statistical Area primary sampling unit (PSU) frame, by census region: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162"/>
        <w:gridCol w:w="886"/>
        <w:gridCol w:w="1224"/>
        <w:gridCol w:w="1462"/>
        <w:gridCol w:w="2076"/>
      </w:tblGrid>
      <w:tr w:rsidR="00B87319" w:rsidRPr="001A3D9E" w14:paraId="30B6E78D" w14:textId="77777777" w:rsidTr="005A638A">
        <w:trPr>
          <w:trHeight w:val="575"/>
          <w:tblHeader/>
          <w:tblCellSpacing w:w="7" w:type="dxa"/>
          <w:jc w:val="center"/>
        </w:trPr>
        <w:tc>
          <w:tcPr>
            <w:tcW w:w="239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8" w14:textId="77777777" w:rsidR="00072289" w:rsidRPr="001A3D9E" w:rsidRDefault="00C30CB3" w:rsidP="00B8731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Census </w:t>
            </w:r>
            <w:r w:rsidR="00072289" w:rsidRPr="001A3D9E">
              <w:rPr>
                <w:rFonts w:ascii="Times New Roman" w:eastAsia="Times New Roman" w:hAnsi="Times New Roman" w:cs="Times New Roman"/>
                <w:color w:val="000000"/>
                <w:szCs w:val="24"/>
              </w:rPr>
              <w:t>region</w:t>
            </w:r>
          </w:p>
        </w:tc>
        <w:tc>
          <w:tcPr>
            <w:tcW w:w="40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9"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A"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7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B"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92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C" w14:textId="77777777" w:rsidR="00072289" w:rsidRPr="001A3D9E" w:rsidRDefault="00C30CB3"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youths per </w:t>
            </w:r>
            <w:r w:rsidR="00072289" w:rsidRPr="001A3D9E">
              <w:rPr>
                <w:rFonts w:ascii="Times New Roman" w:eastAsia="Times New Roman" w:hAnsi="Times New Roman" w:cs="Times New Roman"/>
                <w:color w:val="000000"/>
                <w:szCs w:val="24"/>
              </w:rPr>
              <w:t>PSU</w:t>
            </w:r>
          </w:p>
        </w:tc>
      </w:tr>
      <w:tr w:rsidR="00B87319" w:rsidRPr="001A3D9E" w14:paraId="30B6E793"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tcPr>
          <w:p w14:paraId="30B6E78E" w14:textId="77777777" w:rsidR="00C30CB3" w:rsidRPr="001A3D9E" w:rsidRDefault="00C30CB3" w:rsidP="00885858">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8F"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0"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2,052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1"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11,661,755</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2"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17,406</w:t>
            </w:r>
          </w:p>
        </w:tc>
      </w:tr>
      <w:tr w:rsidR="00B87319" w:rsidRPr="001A3D9E" w14:paraId="30B6E799"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4" w14:textId="77777777" w:rsidR="00C30CB3" w:rsidRPr="001A3D9E" w:rsidRDefault="00C30CB3"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5"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6"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7"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8"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22,233</w:t>
            </w:r>
          </w:p>
        </w:tc>
      </w:tr>
      <w:tr w:rsidR="00B87319" w:rsidRPr="001A3D9E" w14:paraId="30B6E79F"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A"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B"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C"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D"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E"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14,302</w:t>
            </w:r>
          </w:p>
        </w:tc>
      </w:tr>
      <w:tr w:rsidR="00B87319" w:rsidRPr="001A3D9E" w14:paraId="30B6E7A5"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0"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1"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2"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3"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4"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19,565</w:t>
            </w:r>
          </w:p>
        </w:tc>
      </w:tr>
      <w:tr w:rsidR="00B87319" w:rsidRPr="001A3D9E" w14:paraId="30B6E7AB"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6"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7"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8"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9"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A"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16,921</w:t>
            </w:r>
          </w:p>
        </w:tc>
      </w:tr>
      <w:tr w:rsidR="00C30CB3" w:rsidRPr="001A3D9E" w14:paraId="30B6E7AE"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7AC" w14:textId="77777777" w:rsidR="00C30CB3" w:rsidRPr="001A3D9E" w:rsidRDefault="00C30CB3" w:rsidP="00C30CB3">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The U.S. Census Bureau's Population Estimates Program (http://www.Census.gov/popest/) yearly publishes total resident population estimates by demographics such as age, sex, race, and Hispanic origin for the nation, states, and counties.</w:t>
            </w:r>
          </w:p>
          <w:p w14:paraId="30B6E7AD" w14:textId="77777777" w:rsidR="00C30CB3" w:rsidRPr="001A3D9E" w:rsidRDefault="00C30CB3" w:rsidP="00C30CB3">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7AF" w14:textId="77777777" w:rsidR="0036751F" w:rsidRDefault="0036751F" w:rsidP="00660310">
      <w:pPr>
        <w:outlineLvl w:val="0"/>
        <w:rPr>
          <w:rFonts w:ascii="Times New Roman" w:eastAsia="Times New Roman" w:hAnsi="Times New Roman" w:cs="Times New Roman"/>
          <w:b/>
          <w:bCs/>
          <w:kern w:val="36"/>
          <w:sz w:val="36"/>
          <w:szCs w:val="48"/>
        </w:rPr>
      </w:pPr>
      <w:bookmarkStart w:id="6" w:name="_Toc535922247"/>
    </w:p>
    <w:p w14:paraId="30B6E7B1" w14:textId="77777777" w:rsidR="00072289" w:rsidRPr="0036751F" w:rsidRDefault="00072289" w:rsidP="00B87319">
      <w:pPr>
        <w:spacing w:after="120"/>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Primary Sampling Unit (PSU) Frame: Stratification for the 2012 Assessment</w:t>
      </w:r>
      <w:bookmarkEnd w:id="6"/>
    </w:p>
    <w:p w14:paraId="30B6E7B2"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strata were determined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 and metropolitan status (metropolitan or non-metropolitan)—a total of eight "primary" strata. Measures of size were defined for each of these strata, determined by the relative share of the eventual PSU sample (the sample size is designed to be proportional to the number of youths). The PSU stratum measure of size then is the total number of youths in the stratum. The table below presents these counts for each of the eight primary strata. The relative share of the PSU sample size for each stratum is the number of youths in the stratum divided by the total number of youths, multiplied by 76 (38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PSUs each for the long-term trend and economics assessments). The resulting number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then rounded to the nearest even integer (the integer needs to be even to facilitate variance estimation), except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 metropolitan PSU stratum, which is rounded down. The results of these calculations are given in the table below.</w:t>
      </w:r>
    </w:p>
    <w:p w14:paraId="30B6E7B3" w14:textId="77777777" w:rsidR="00C5519C" w:rsidRPr="0036751F" w:rsidRDefault="00C5519C" w:rsidP="00660310">
      <w:pPr>
        <w:keepNext/>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primary sampling unit frame size statistics, by primary stratum: 2012</w:t>
      </w:r>
    </w:p>
    <w:tbl>
      <w:tblPr>
        <w:tblW w:w="4986"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3629"/>
        <w:gridCol w:w="842"/>
        <w:gridCol w:w="1155"/>
        <w:gridCol w:w="1382"/>
        <w:gridCol w:w="1313"/>
        <w:gridCol w:w="1192"/>
        <w:gridCol w:w="1267"/>
      </w:tblGrid>
      <w:tr w:rsidR="00072289" w:rsidRPr="001A3D9E" w14:paraId="30B6E7BD" w14:textId="77777777" w:rsidTr="00DB13C3">
        <w:trPr>
          <w:tblHeade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6"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 stratum</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A"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Target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number of </w:t>
            </w:r>
            <w:r w:rsidR="00072289" w:rsidRPr="001A3D9E">
              <w:rPr>
                <w:rFonts w:ascii="Times New Roman" w:eastAsia="Times New Roman" w:hAnsi="Times New Roman" w:cs="Times New Roman"/>
                <w:color w:val="000000"/>
                <w:szCs w:val="24"/>
              </w:rPr>
              <w:t>PSU strata</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B"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number of PSU</w:t>
            </w:r>
            <w:r w:rsidR="00072289" w:rsidRPr="001A3D9E">
              <w:rPr>
                <w:rFonts w:ascii="Times New Roman" w:eastAsia="Times New Roman" w:hAnsi="Times New Roman" w:cs="Times New Roman"/>
                <w:color w:val="000000"/>
                <w:szCs w:val="24"/>
              </w:rPr>
              <w:br/>
              <w:t>strata</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PSU</w:t>
            </w:r>
            <w:r w:rsidRPr="001A3D9E">
              <w:rPr>
                <w:rFonts w:ascii="Times New Roman" w:eastAsia="Times New Roman" w:hAnsi="Times New Roman" w:cs="Times New Roman"/>
                <w:color w:val="000000"/>
                <w:szCs w:val="24"/>
              </w:rPr>
              <w:br/>
              <w:t>stratum</w:t>
            </w:r>
          </w:p>
        </w:tc>
      </w:tr>
      <w:tr w:rsidR="00072289" w:rsidRPr="001A3D9E" w14:paraId="30B6E7BF" w14:textId="77777777" w:rsidTr="00DB13C3">
        <w:trPr>
          <w:tblCellSpacing w:w="7" w:type="dxa"/>
          <w:jc w:val="center"/>
        </w:trPr>
        <w:tc>
          <w:tcPr>
            <w:tcW w:w="4987" w:type="pct"/>
            <w:gridSpan w:val="7"/>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7BE" w14:textId="77777777" w:rsidR="00072289" w:rsidRPr="001A3D9E" w:rsidRDefault="00072289" w:rsidP="00072289">
            <w:pPr>
              <w:rPr>
                <w:rFonts w:ascii="Times New Roman" w:eastAsia="Times New Roman" w:hAnsi="Times New Roman" w:cs="Times New Roman"/>
                <w:szCs w:val="24"/>
              </w:rPr>
            </w:pPr>
          </w:p>
        </w:tc>
      </w:tr>
      <w:tr w:rsidR="00072289" w:rsidRPr="001A3D9E" w14:paraId="30B6E7C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C0"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 noncertainty PSUs</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1"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1,040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2"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2,940</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3"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43,949,744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578,286</w:t>
            </w:r>
          </w:p>
        </w:tc>
      </w:tr>
      <w:tr w:rsidR="00072289" w:rsidRPr="001A3D9E" w14:paraId="30B6E7C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569,150</w:t>
            </w:r>
          </w:p>
        </w:tc>
      </w:tr>
      <w:tr w:rsidR="00072289" w:rsidRPr="001A3D9E" w14:paraId="30B6E7D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7D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555,831</w:t>
            </w:r>
          </w:p>
        </w:tc>
      </w:tr>
      <w:tr w:rsidR="00072289" w:rsidRPr="001A3D9E" w14:paraId="30B6E7D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12.8</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618,771</w:t>
            </w:r>
          </w:p>
        </w:tc>
      </w:tr>
      <w:tr w:rsidR="00072289" w:rsidRPr="001A3D9E" w14:paraId="30B6E7E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593,522</w:t>
            </w:r>
          </w:p>
        </w:tc>
      </w:tr>
      <w:tr w:rsidR="00072289" w:rsidRPr="001A3D9E" w14:paraId="30B6E7E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608,043</w:t>
            </w:r>
          </w:p>
        </w:tc>
      </w:tr>
      <w:tr w:rsidR="00072289" w:rsidRPr="001A3D9E" w14:paraId="30B6E7F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w:t>
            </w:r>
          </w:p>
        </w:tc>
      </w:tr>
      <w:tr w:rsidR="00072289" w:rsidRPr="001A3D9E" w14:paraId="30B6E7F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577,717</w:t>
            </w:r>
          </w:p>
        </w:tc>
      </w:tr>
      <w:tr w:rsidR="00072289" w:rsidRPr="001A3D9E" w14:paraId="30B6E80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431,483</w:t>
            </w:r>
          </w:p>
        </w:tc>
      </w:tr>
      <w:tr w:rsidR="00B87319" w:rsidRPr="001A3D9E" w14:paraId="30B6E809" w14:textId="77777777" w:rsidTr="00DB13C3">
        <w:trPr>
          <w:tblCellSpacing w:w="7" w:type="dxa"/>
          <w:jc w:val="center"/>
        </w:trPr>
        <w:tc>
          <w:tcPr>
            <w:tcW w:w="4987" w:type="pct"/>
            <w:gridSpan w:val="7"/>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808" w14:textId="77777777" w:rsidR="00B87319" w:rsidRPr="001A3D9E" w:rsidRDefault="00B87319" w:rsidP="00B87319">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80A"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division of the primary strata into the final strata was done on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stratum-by-stratum basis. The criteria for good PSU strata were 1) the strata should have as nearly equal measures of size as possible (to reduce sampling variance), and 2) the strata should be as heterogeneous in measured achievement as possible (i.e., there should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with low mean achievement, strata with mid-level mean achievement, and strata with high mean achievement). This second criterion will also ultimately reduce the variance of the assessment estimates since the final PSU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will be balanced in terms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means.</w:t>
      </w:r>
    </w:p>
    <w:p w14:paraId="30B6E80B"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assessment means from the current year cannot be used as assessments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conducted after sampling is completed. Information is available about PSU sociodemographic characteristics in advance, however. An analysis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done within each primary stratum to find sociodemographic variables that were good predictors of the NAEP 2000 mathematics and science assessment results. Using these sociodemographic variables to define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should increase the chance of having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efficient strata definitions.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describes this analysis for each primary stratum.</w:t>
      </w:r>
    </w:p>
    <w:p w14:paraId="30B6E80C" w14:textId="77777777" w:rsidR="00072289" w:rsidRPr="0036751F" w:rsidRDefault="00072289" w:rsidP="00845E31">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step in stratification was to define the desired number of strata using the selected stratifiers, while constructing strata 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close to equal size as possible (with size defined by number of youths). The objective was to establish strata that had a high between-stratum variance for the stratifiers (i.e., which "spread out" the stratifiers as much as possible). This was accomplished through the use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proprietary software developed for this purpose. Adjustments were then done manually. These strata are given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PSU Strata.</w:t>
      </w:r>
    </w:p>
    <w:p w14:paraId="30B6E80D"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7" w:name="_Toc53592224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Stepwise Regression Analysis Results for Primary Sampling Unit (PSU) Stratification for the 2012 Assessments</w:t>
      </w:r>
      <w:bookmarkEnd w:id="7"/>
    </w:p>
    <w:p w14:paraId="30B6E80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objective was to find the optimum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(PSU)-level sociodemographic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terms of strength of relationship to achievement. The PSU-level values of these characteristics were derived from the 2000 Census Summary Files and the 2003 county population estimates, computed by combining the county-level data (using county youth estimates as the relative weighting factor for each county within the PSU). The characteristics used, and their abbreviations as used in the tables,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follows:</w:t>
      </w:r>
    </w:p>
    <w:p w14:paraId="30B6E80F"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percentages in schools (percent Black, Hispanic,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 American Indian/Alaska Native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"Pct BHI" below; percent Black; percent Hispanic – "Hsp" below; percent Asian; percent American Indian/Alaska Native; percent two or more races);</w:t>
      </w:r>
    </w:p>
    <w:p w14:paraId="30B6E810"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income levels (median household income – "Med Inc"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children below the poverty line – "Cld pov" below);</w:t>
      </w:r>
    </w:p>
    <w:p w14:paraId="30B6E811"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education levels in population (i.e., 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completed high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but have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 college degree – "HS grd"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college degrees – "CG grd" below);</w:t>
      </w:r>
    </w:p>
    <w:p w14:paraId="30B6E812"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renters (i.e., percent of householders who rent rather than own their place of residence); and</w:t>
      </w:r>
    </w:p>
    <w:p w14:paraId="30B6E813"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female householders living alone.</w:t>
      </w:r>
    </w:p>
    <w:p w14:paraId="30B6E814" w14:textId="77777777" w:rsidR="00EE0CC5" w:rsidRPr="0036751F" w:rsidRDefault="00EE0CC5" w:rsidP="00845E31">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PSU-level census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examined within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NAEP 2000 assessment values: fourth-grade mathematics achievement, fourth-grade science achievement, eighth-grade mathematics achievement, and eighth-grade science achievement. These PSU-level values for achievement were computed using the 2000 state NAEP database. The criterion was that good strata should be heterogeneous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characteristics (i.e., within-stratum variance for each assessment value should be low and between-stratum variance high), so that strata are defined that do a good job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both mathematics and science, in both grades, not just the best possible job for one subject and one grade. This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prevents overfitting to some extent.</w:t>
      </w:r>
    </w:p>
    <w:p w14:paraId="30B6E815" w14:textId="77777777" w:rsidR="00C5519C"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analysis was done separately within each of the eight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strata (census region by metro status), using a forward stepwise regression approach, with a p-value cutoff of 20 percent. The results are given in the tables below. The order of the regressors is the order of entry into the stepwise procedure. The p-value is for an F-test for entry of the regressor into the forward stepwise model. The minus or plus sign indicates the direction of effect (negative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lower achievement; positive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higher achievement). The regressor is in italics if the direction of the effect is unexpected (i.e., negative when we generally expect a positive effect, or vice versa). The stratifiers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chosen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generate the final PSU strata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in a note below the reg</w:t>
      </w:r>
      <w:r w:rsidR="00845E31">
        <w:rPr>
          <w:rFonts w:ascii="Times New Roman" w:eastAsia="Times New Roman" w:hAnsi="Times New Roman" w:cs="Times New Roman"/>
          <w:sz w:val="24"/>
          <w:szCs w:val="24"/>
        </w:rPr>
        <w:t>ression analysis result tables.</w:t>
      </w:r>
    </w:p>
    <w:p w14:paraId="30B6E817" w14:textId="77777777" w:rsidR="00EE0CC5" w:rsidRDefault="00E678AE" w:rsidP="00E42305">
      <w:pPr>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13F5CF7" w14:textId="77777777" w:rsidTr="001C0C4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0E6CB9EF"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25BDA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EE94925"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6A7E0F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16F2DD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65E7608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6DE35DC"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5C539B8"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(p=0.084)</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2A445144"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(p=0.174)</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19EE564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(p=0.068)</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67709A96"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(p=0.026)</w:t>
            </w:r>
          </w:p>
        </w:tc>
      </w:tr>
      <w:tr w:rsidR="001C0C47" w:rsidRPr="001A3D9E" w14:paraId="06AB4693"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8700F49"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E074C5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(p=0.159)</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908AA4D"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C7A402F"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8FD40C9"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(p=0.193)</w:t>
            </w:r>
          </w:p>
        </w:tc>
      </w:tr>
      <w:tr w:rsidR="001C0C47" w:rsidRPr="001A3D9E" w14:paraId="44D28D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7B84F9A" w14:textId="0A42FC8F" w:rsidR="001C0C47" w:rsidRPr="001A3D9E" w:rsidRDefault="001C0C47" w:rsidP="001C0C4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and percent Black.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A976BC9" w14:textId="77777777" w:rsidR="001C0C47" w:rsidRDefault="001C0C47" w:rsidP="00660310">
      <w:pPr>
        <w:keepNext/>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7819235"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F37A42A"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4A19DA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72AB517"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71F28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A71B6E0"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457D1F4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0D2C523"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E186F0" w14:textId="60F5F095"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Renters</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027A02" w14:textId="49DDE70E"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grd + (p=0.010)</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50F7562" w14:textId="6945A066"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(p=0.085)</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16F9E3" w14:textId="3AE02079"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(p=0.005)</w:t>
            </w:r>
          </w:p>
        </w:tc>
      </w:tr>
      <w:tr w:rsidR="001C0C47" w:rsidRPr="001A3D9E" w14:paraId="1156AF9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C26C2C2"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60A7AFF" w14:textId="4A84DA3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B1D5F7A" w14:textId="3AFB6887" w:rsidR="001C0C47" w:rsidRPr="001A3D9E" w:rsidRDefault="0018784C" w:rsidP="0018784C">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E4B92B" w14:textId="0F09B0C9"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(p=0.002)</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A0652F" w14:textId="77C1CE05"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(p=0.030</w:t>
            </w:r>
            <w:r>
              <w:rPr>
                <w:rFonts w:ascii="Times New Roman" w:eastAsia="Times New Roman" w:hAnsi="Times New Roman" w:cs="Times New Roman"/>
                <w:color w:val="000000"/>
                <w:sz w:val="20"/>
              </w:rPr>
              <w:t>)</w:t>
            </w:r>
          </w:p>
        </w:tc>
      </w:tr>
      <w:tr w:rsidR="001C0C47" w:rsidRPr="001A3D9E" w14:paraId="24F10AB6"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A3E70E6" w14:textId="4E34B2E5" w:rsidR="001C0C47" w:rsidRPr="001A3D9E" w:rsidRDefault="001C0C47"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87DD509" w14:textId="495627F4"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629DED" w14:textId="5A43ECA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5156E6" w14:textId="7E88BA22"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 (p=0.085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37FB28A" w14:textId="4407560D"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1C0C47" w:rsidRPr="001A3D9E" w14:paraId="0B6BE41A" w14:textId="77777777" w:rsidTr="0018784C">
        <w:trPr>
          <w:trHeight w:val="1247"/>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459BF752" w14:textId="36B2F1EA" w:rsidR="001C0C47" w:rsidRPr="001A3D9E" w:rsidRDefault="001C0C47" w:rsidP="00A80B2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r>
            <w:r w:rsidR="0018784C" w:rsidRPr="001A3D9E">
              <w:rPr>
                <w:rFonts w:ascii="Times New Roman" w:eastAsia="Times New Roman" w:hAnsi="Times New Roman" w:cs="Times New Roman"/>
                <w:sz w:val="18"/>
                <w:szCs w:val="20"/>
              </w:rPr>
              <w:t>NOTE: Stratifier chosen</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was</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percent child poverty (Cld pov). Renters = householders who rent rather than own their place of residence; CG grd = college graduate; Med Inc = median household income;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4E959C5E" w14:textId="77777777" w:rsidR="001C0C47" w:rsidRPr="001A3D9E" w:rsidRDefault="001C0C47" w:rsidP="0018784C">
      <w:pPr>
        <w:spacing w:before="100" w:beforeAutospacing="1"/>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Midwest metropolitan stepwise regression analysis on NAEP 2000 achievement scores, by subject,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grade, and variable: 2012</w:t>
      </w:r>
    </w:p>
    <w:p w14:paraId="30B6E84B" w14:textId="77777777" w:rsidR="00EE0CC5" w:rsidRPr="0041444C" w:rsidRDefault="00EE0CC5" w:rsidP="00EE0CC5">
      <w:pPr>
        <w:rPr>
          <w:rFonts w:ascii="Times New Roman" w:eastAsia="Times New Roman" w:hAnsi="Times New Roman" w:cs="Times New Roman"/>
          <w:vanish/>
          <w:sz w:val="10"/>
          <w:szCs w:val="10"/>
        </w:rPr>
      </w:pPr>
    </w:p>
    <w:tbl>
      <w:tblPr>
        <w:tblW w:w="0" w:type="auto"/>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43"/>
        <w:gridCol w:w="2583"/>
        <w:gridCol w:w="2536"/>
        <w:gridCol w:w="2536"/>
        <w:gridCol w:w="1512"/>
      </w:tblGrid>
      <w:tr w:rsidR="00EE0CC5" w:rsidRPr="001A3D9E" w14:paraId="30B6E853" w14:textId="77777777" w:rsidTr="003A32B4">
        <w:trP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84E"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85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EE0CC5" w:rsidRPr="001A3D9E" w14:paraId="30B6E859"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4"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5"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(p&lt;0.001)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5F"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(p=0.055)</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E"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5"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0"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Third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6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(p=0.100)</w:t>
            </w:r>
            <w:r w:rsidR="00A375F4">
              <w:rPr>
                <w:rFonts w:ascii="Times New Roman" w:eastAsia="Times New Roman" w:hAnsi="Times New Roman" w:cs="Times New Roman"/>
                <w:color w:val="000000"/>
                <w:sz w:val="20"/>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3"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B"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6"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Fourth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9"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A"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E" w14:textId="77777777" w:rsidTr="003A32B4">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86D" w14:textId="650BE201" w:rsidR="00E678AE" w:rsidRPr="001A3D9E" w:rsidRDefault="00EE0CC5" w:rsidP="00DB13C3">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median household</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income (Med Inc), and percent Asian. Pct BHI = percent Black, Hispanic, or American Indian/Alaska Native; HS grd = high school graduate with no college degree.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86F" w14:textId="77777777" w:rsidR="00C33467" w:rsidRDefault="00C33467">
      <w:pPr>
        <w:rPr>
          <w:sz w:val="10"/>
          <w:szCs w:val="10"/>
        </w:rPr>
      </w:pPr>
    </w:p>
    <w:p w14:paraId="72725F38" w14:textId="537FB33C" w:rsidR="00DB13C3" w:rsidRDefault="00DB13C3">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Midwest non-metropolitan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8784C" w:rsidRPr="001A3D9E" w14:paraId="14631712"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7FA1FB47"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431CAD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53F008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D0523B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9394043"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79D95B6"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878C104"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B918821" w14:textId="30A5E4F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(p=0.012</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9200D03" w14:textId="03E98527"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(p=0.002</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A020AF" w14:textId="29E5CB0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3127EF6" w14:textId="766F685F"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(p=0.005</w:t>
            </w:r>
            <w:r>
              <w:rPr>
                <w:rFonts w:ascii="Times New Roman" w:eastAsia="Times New Roman" w:hAnsi="Times New Roman" w:cs="Times New Roman"/>
                <w:color w:val="000000"/>
                <w:sz w:val="20"/>
              </w:rPr>
              <w:t>)</w:t>
            </w:r>
          </w:p>
        </w:tc>
      </w:tr>
      <w:tr w:rsidR="0018784C" w:rsidRPr="001A3D9E" w14:paraId="5FFF84AB"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38521A3"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5683EBB" w14:textId="674D8942"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(p=0.128</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B3B87F0" w14:textId="2497854A"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5DAF3A1" w14:textId="6FAA529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BC141A1" w14:textId="5261365D"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(p=0.079</w:t>
            </w:r>
            <w:r>
              <w:rPr>
                <w:rFonts w:ascii="Times New Roman" w:eastAsia="Times New Roman" w:hAnsi="Times New Roman" w:cs="Times New Roman"/>
                <w:color w:val="000000"/>
                <w:sz w:val="20"/>
              </w:rPr>
              <w:t>)</w:t>
            </w:r>
          </w:p>
        </w:tc>
      </w:tr>
      <w:tr w:rsidR="0018784C" w:rsidRPr="001A3D9E" w14:paraId="316A630E"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68918363" w14:textId="2B4BDBAF" w:rsidR="0018784C" w:rsidRPr="001A3D9E" w:rsidRDefault="0018784C" w:rsidP="0018784C">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percent college graduates (CG grd),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and percent Black, Hispanic, or American Indian/Alaska Native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(BHI).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712A8977" w14:textId="77777777" w:rsidR="0018784C" w:rsidRDefault="0018784C">
      <w:pPr>
        <w:rPr>
          <w:rFonts w:ascii="Times New Roman" w:eastAsia="Times New Roman" w:hAnsi="Times New Roman" w:cs="Times New Roman"/>
          <w:b/>
          <w:bCs/>
          <w:szCs w:val="24"/>
        </w:rPr>
      </w:pPr>
    </w:p>
    <w:p w14:paraId="07E88E26" w14:textId="77777777" w:rsidR="0018784C" w:rsidRPr="00AB54D9" w:rsidRDefault="0018784C">
      <w:pPr>
        <w:rPr>
          <w:sz w:val="10"/>
          <w:szCs w:val="10"/>
        </w:rPr>
      </w:pPr>
    </w:p>
    <w:p w14:paraId="6FABB1ED" w14:textId="77777777" w:rsidR="0018784C" w:rsidRDefault="0018784C" w:rsidP="006264D0">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South 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73"/>
        <w:gridCol w:w="2781"/>
        <w:gridCol w:w="1950"/>
        <w:gridCol w:w="2202"/>
        <w:gridCol w:w="2221"/>
      </w:tblGrid>
      <w:tr w:rsidR="0018784C" w:rsidRPr="001A3D9E" w14:paraId="302416F4"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48F180C0"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3E516E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6AC4488" w14:textId="3633E150"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9CDDA4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93B39C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6035BDC"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391670E"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C2B6AD0" w14:textId="1F3B01F3"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8AD889A" w14:textId="7F577E2B"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(p=0.014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45E4A05" w14:textId="7D5F2EB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Hsp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04A85FF" w14:textId="4790327E"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(p=0.011</w:t>
            </w:r>
            <w:r>
              <w:rPr>
                <w:rFonts w:ascii="Times New Roman" w:eastAsia="Times New Roman" w:hAnsi="Times New Roman" w:cs="Times New Roman"/>
                <w:color w:val="000000"/>
                <w:sz w:val="20"/>
              </w:rPr>
              <w:t>)</w:t>
            </w:r>
          </w:p>
        </w:tc>
      </w:tr>
      <w:tr w:rsidR="0018784C" w:rsidRPr="001A3D9E" w14:paraId="4EA86193"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9E7C0B1"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D821DD" w14:textId="35C68F9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Cld pov -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97F3C7" w14:textId="5A903C1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(p=0.038</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06FE0A0" w14:textId="2D3FA30F"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F0930F7" w14:textId="01EDEA1D"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(p=0.127</w:t>
            </w:r>
            <w:r>
              <w:rPr>
                <w:rFonts w:ascii="Times New Roman" w:eastAsia="Times New Roman" w:hAnsi="Times New Roman" w:cs="Times New Roman"/>
                <w:color w:val="000000"/>
                <w:sz w:val="20"/>
              </w:rPr>
              <w:t>)</w:t>
            </w:r>
          </w:p>
        </w:tc>
      </w:tr>
      <w:tr w:rsidR="0018784C" w:rsidRPr="001A3D9E" w14:paraId="16A26F0F"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2CB42955" w14:textId="28225175" w:rsidR="0018784C" w:rsidRPr="001A3D9E" w:rsidRDefault="0018784C"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child poverty (Cld pov), percent Black, and percent Hispanic (Hsp).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r>
              <w:rPr>
                <w:rFonts w:ascii="Times New Roman" w:eastAsia="Times New Roman" w:hAnsi="Times New Roman" w:cs="Times New Roman"/>
                <w:sz w:val="18"/>
                <w:szCs w:val="20"/>
              </w:rPr>
              <w:t>\</w:t>
            </w:r>
          </w:p>
        </w:tc>
      </w:tr>
    </w:tbl>
    <w:p w14:paraId="0DED65E5" w14:textId="77777777" w:rsidR="0018784C" w:rsidRDefault="0018784C" w:rsidP="00EE0CC5">
      <w:pPr>
        <w:rPr>
          <w:rFonts w:ascii="Times New Roman" w:eastAsia="Times New Roman" w:hAnsi="Times New Roman" w:cs="Times New Roman"/>
          <w:sz w:val="18"/>
          <w:szCs w:val="20"/>
        </w:rPr>
      </w:pPr>
    </w:p>
    <w:p w14:paraId="676ABD28" w14:textId="77777777" w:rsidR="0018784C" w:rsidRPr="001A3D9E" w:rsidRDefault="0018784C" w:rsidP="00660310">
      <w:pPr>
        <w:keepNext/>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South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5AE8DFBF" w14:textId="77777777" w:rsidTr="00003E83">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971EEDE"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2E5898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ADAA3F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D107F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E2C0C83"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2DBEC322"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2DC7A47"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F4BD21B" w14:textId="2C6AEB3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AC82742" w14:textId="1680264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(p=0.005</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B96D376" w14:textId="1C067A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(p=0.014</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43B3075" w14:textId="4203FBE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r>
      <w:tr w:rsidR="00003E83" w:rsidRPr="001A3D9E" w14:paraId="7CA0B37B"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A50C5E6"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C4B429" w14:textId="1CCD995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(p=0.037</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407E29" w14:textId="4D482CF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(p=0.037</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534A8A3" w14:textId="3F8A01F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(p=0.036</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0364277" w14:textId="2DE39ED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(p=0.045</w:t>
            </w:r>
            <w:r>
              <w:rPr>
                <w:rFonts w:ascii="Times New Roman" w:eastAsia="Times New Roman" w:hAnsi="Times New Roman" w:cs="Times New Roman"/>
                <w:color w:val="000000"/>
                <w:sz w:val="20"/>
              </w:rPr>
              <w:t>)</w:t>
            </w:r>
          </w:p>
        </w:tc>
      </w:tr>
      <w:tr w:rsidR="00003E83" w:rsidRPr="001A3D9E" w14:paraId="6FEB756D"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883CECD" w14:textId="21C2A5AD"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3A14578" w14:textId="5231DF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CF2F2E0" w14:textId="64F1865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F5C2C88" w14:textId="2C793C1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(p=0.068</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E2516DF" w14:textId="10507FD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CG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 (p=0.127</w:t>
            </w:r>
            <w:r>
              <w:rPr>
                <w:rFonts w:ascii="Times New Roman" w:eastAsia="Times New Roman" w:hAnsi="Times New Roman" w:cs="Times New Roman"/>
                <w:color w:val="000000"/>
                <w:sz w:val="20"/>
              </w:rPr>
              <w:t>)</w:t>
            </w:r>
          </w:p>
        </w:tc>
      </w:tr>
      <w:tr w:rsidR="00003E83" w:rsidRPr="001A3D9E" w14:paraId="5283B4F9"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704BFB9" w14:textId="435AA2EF"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C3BF00D" w14:textId="5E6A455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2750661" w14:textId="2DF344C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82810B" w14:textId="68A2007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F9D599C" w14:textId="29F80F2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2B7514E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C12773C" w14:textId="6DBDD5F6"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 percent Black, median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household income (Med Inc), and percent Asian. Cld Pov = children below the poverty line; CG grd = college graduate.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04E7A5DD" w14:textId="77777777" w:rsidR="0018784C" w:rsidRPr="001A3D9E" w:rsidRDefault="0018784C" w:rsidP="00EE0CC5">
      <w:pPr>
        <w:rPr>
          <w:rFonts w:ascii="Times New Roman" w:eastAsia="Times New Roman" w:hAnsi="Times New Roman" w:cs="Times New Roman"/>
          <w:sz w:val="18"/>
          <w:szCs w:val="20"/>
        </w:rPr>
      </w:pPr>
    </w:p>
    <w:p w14:paraId="03CFCEDA" w14:textId="77777777" w:rsidR="0018784C" w:rsidRDefault="0018784C" w:rsidP="00EE0CC5">
      <w:pPr>
        <w:rPr>
          <w:rFonts w:ascii="Times New Roman" w:eastAsia="Times New Roman" w:hAnsi="Times New Roman" w:cs="Times New Roman"/>
          <w:sz w:val="18"/>
          <w:szCs w:val="20"/>
        </w:rPr>
      </w:pPr>
    </w:p>
    <w:p w14:paraId="563F45FA" w14:textId="77777777" w:rsidR="0018784C" w:rsidRDefault="0018784C" w:rsidP="00AA48D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West metropolitan stepwise regression analysis on NAEP 2000</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0B1E0259" w14:textId="77777777" w:rsidTr="00A80B27">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200051A3"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7488BE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52B941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3DC8C79"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F05C33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732C1349"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194CD81E"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40BAAD3" w14:textId="0C5C1781"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(p=0.094)</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EA535C5" w14:textId="2CD54245"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(p=0.049)</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30CAD97" w14:textId="5F0DBB3F"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(p&lt;0.001)</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86C70B0" w14:textId="2213721E"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(p=0.160)</w:t>
            </w:r>
          </w:p>
        </w:tc>
      </w:tr>
      <w:tr w:rsidR="00003E83" w:rsidRPr="001A3D9E" w14:paraId="4EACCCBA"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CECC164"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1C40C7F" w14:textId="28A8460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(p=0.191</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201EA7" w14:textId="7BC6D1F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044E78C" w14:textId="0BFD29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(p=0.007</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73E1DD" w14:textId="2CF29BA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w:t>
            </w:r>
            <w:r>
              <w:rPr>
                <w:rFonts w:ascii="Times New Roman" w:eastAsia="Times New Roman" w:hAnsi="Times New Roman" w:cs="Times New Roman"/>
                <w:i/>
                <w:iCs/>
                <w:color w:val="000000"/>
                <w:sz w:val="20"/>
              </w:rPr>
              <w:t xml:space="preserve"> </w:t>
            </w:r>
            <w:r w:rsidRPr="001A3D9E">
              <w:rPr>
                <w:rFonts w:ascii="Times New Roman" w:eastAsia="Times New Roman" w:hAnsi="Times New Roman" w:cs="Times New Roman"/>
                <w:i/>
                <w:iCs/>
                <w:color w:val="000000"/>
                <w:sz w:val="20"/>
              </w:rPr>
              <w:t>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r>
      <w:tr w:rsidR="00003E83" w:rsidRPr="001A3D9E" w14:paraId="3A032906"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36D58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0ABAE90" w14:textId="09B86F54"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5547519" w14:textId="1572F40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41D0F0F" w14:textId="06E26E8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(p=0.080)</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D77728" w14:textId="7249959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(p=0.003</w:t>
            </w:r>
            <w:r>
              <w:rPr>
                <w:rFonts w:ascii="Times New Roman" w:eastAsia="Times New Roman" w:hAnsi="Times New Roman" w:cs="Times New Roman"/>
                <w:color w:val="000000"/>
                <w:sz w:val="20"/>
              </w:rPr>
              <w:t>)</w:t>
            </w:r>
          </w:p>
        </w:tc>
      </w:tr>
      <w:tr w:rsidR="00003E83" w:rsidRPr="001A3D9E" w14:paraId="7AEB730C"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649AFC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3EA6FDD"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3D25F0F"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89579F9"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750FC9" w14:textId="72096A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(p=0.009</w:t>
            </w:r>
            <w:r>
              <w:rPr>
                <w:rFonts w:ascii="Times New Roman" w:eastAsia="Times New Roman" w:hAnsi="Times New Roman" w:cs="Times New Roman"/>
                <w:color w:val="000000"/>
                <w:sz w:val="20"/>
              </w:rPr>
              <w:t>)</w:t>
            </w:r>
          </w:p>
        </w:tc>
      </w:tr>
      <w:tr w:rsidR="00003E83" w:rsidRPr="001A3D9E" w14:paraId="0387336B"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558D2A" w14:textId="09DB763A"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Fifth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1569EF" w14:textId="0393A50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28DE253" w14:textId="7608D35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8303E3B" w14:textId="4E92989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DD01A22" w14:textId="6E59BC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(p=0.037</w:t>
            </w:r>
            <w:r>
              <w:rPr>
                <w:rFonts w:ascii="Times New Roman" w:eastAsia="Times New Roman" w:hAnsi="Times New Roman" w:cs="Times New Roman"/>
                <w:color w:val="000000"/>
                <w:sz w:val="20"/>
              </w:rPr>
              <w:t>)</w:t>
            </w:r>
          </w:p>
        </w:tc>
      </w:tr>
      <w:tr w:rsidR="00003E83" w:rsidRPr="001A3D9E" w14:paraId="27BC9CE3"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4CC31A9" w14:textId="435346AB"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Sixth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89A1D86" w14:textId="522E201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6B84B5" w14:textId="4BA1654F"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CEE43A" w14:textId="68F5424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A16620E" w14:textId="039515F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(p=0.087</w:t>
            </w:r>
            <w:r>
              <w:rPr>
                <w:rFonts w:ascii="Times New Roman" w:eastAsia="Times New Roman" w:hAnsi="Times New Roman" w:cs="Times New Roman"/>
                <w:color w:val="000000"/>
                <w:sz w:val="20"/>
              </w:rPr>
              <w:t>)</w:t>
            </w:r>
          </w:p>
        </w:tc>
      </w:tr>
      <w:tr w:rsidR="00003E83" w:rsidRPr="001A3D9E" w14:paraId="46D95E4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5A99C2E" w14:textId="1E44D6B1"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high school graduates (HS grd) and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college graduates (CG grd). Pct BHI = percent Black, Hispanic, or American Indian/Alaska Native; Med Inc = median household income; Cld pov = children below the poverty line; Renters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82667FF" w14:textId="7E9EF944" w:rsidR="0018784C" w:rsidRDefault="0018784C" w:rsidP="00EE0CC5">
      <w:pPr>
        <w:rPr>
          <w:rFonts w:ascii="Times New Roman" w:eastAsia="Times New Roman" w:hAnsi="Times New Roman" w:cs="Times New Roman"/>
          <w:sz w:val="18"/>
          <w:szCs w:val="20"/>
        </w:rPr>
      </w:pPr>
    </w:p>
    <w:p w14:paraId="15746FF2" w14:textId="7638BE61" w:rsidR="00003E83" w:rsidRDefault="00D22075" w:rsidP="00B33B98">
      <w:pPr>
        <w:rPr>
          <w:rFonts w:ascii="Times New Roman" w:eastAsia="Times New Roman" w:hAnsi="Times New Roman" w:cs="Times New Roman"/>
          <w:b/>
          <w:bCs/>
          <w:szCs w:val="24"/>
        </w:rPr>
      </w:pPr>
      <w:bookmarkStart w:id="8" w:name="_Toc535922249"/>
      <w:r w:rsidRPr="001A3D9E">
        <w:rPr>
          <w:rFonts w:ascii="Times New Roman" w:eastAsia="Times New Roman" w:hAnsi="Times New Roman" w:cs="Times New Roman"/>
          <w:b/>
          <w:bCs/>
          <w:szCs w:val="24"/>
        </w:rPr>
        <w:t>West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84"/>
        <w:gridCol w:w="2481"/>
        <w:gridCol w:w="2257"/>
        <w:gridCol w:w="2068"/>
        <w:gridCol w:w="2337"/>
      </w:tblGrid>
      <w:tr w:rsidR="00003E83" w:rsidRPr="001A3D9E" w14:paraId="19589B75" w14:textId="77777777" w:rsidTr="00003E83">
        <w:trPr>
          <w:tblCellSpacing w:w="7" w:type="dxa"/>
          <w:jc w:val="center"/>
        </w:trPr>
        <w:tc>
          <w:tcPr>
            <w:tcW w:w="77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6363082A"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4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93D2FB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B5C4E0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F2963FD"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5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1EDC2D8"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1FDD4956"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75099D1"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A29CE40" w14:textId="13AE652B" w:rsidR="00003E83" w:rsidRPr="001A3D9E" w:rsidRDefault="00003E83" w:rsidP="00003E83">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Renter - (p=0.013)</w:t>
            </w:r>
          </w:p>
        </w:tc>
        <w:tc>
          <w:tcPr>
            <w:tcW w:w="104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0DA59AB" w14:textId="49A82823"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(p=0.006)</w:t>
            </w:r>
          </w:p>
        </w:tc>
        <w:tc>
          <w:tcPr>
            <w:tcW w:w="954"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3AEEEF5" w14:textId="74D12739"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(p&lt;0.001)</w:t>
            </w:r>
          </w:p>
        </w:tc>
        <w:tc>
          <w:tcPr>
            <w:tcW w:w="1050"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911EDD1" w14:textId="3B83436A"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(p=0.220)</w:t>
            </w:r>
          </w:p>
        </w:tc>
      </w:tr>
      <w:tr w:rsidR="00003E83" w:rsidRPr="001A3D9E" w14:paraId="4E13C8CF"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7533CFD"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F577A19" w14:textId="3F69940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(p=0.040)</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F3CFCB"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977A03A" w14:textId="2261E70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Cld pov</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(p=0.008)</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D4A7FC1" w14:textId="0D24309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(p=0.038)</w:t>
            </w:r>
          </w:p>
        </w:tc>
      </w:tr>
      <w:tr w:rsidR="00003E83" w:rsidRPr="001A3D9E" w14:paraId="2E0905D0"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0B81CB"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C7F255C" w14:textId="087088E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(p=0.005)</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90161"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46C09A" w14:textId="3414634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(p=0.017)</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B57B008" w14:textId="105836C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(p=0.135)</w:t>
            </w:r>
          </w:p>
        </w:tc>
      </w:tr>
      <w:tr w:rsidR="00003E83" w:rsidRPr="001A3D9E" w14:paraId="2818B997"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30CD69"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A450E9D" w14:textId="3EAA62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4E4BDE"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14B47"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71D583" w14:textId="599B9E4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48CF35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B048E2E" w14:textId="64CCF999" w:rsidR="00003E83" w:rsidRPr="001A3D9E" w:rsidRDefault="00003E83" w:rsidP="00003E83">
            <w:pPr>
              <w:keepNext/>
              <w:ind w:left="15"/>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college graduates (CG grd), percent child poverty (Cld pov), and percent high school graduates (HS grd). Renter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Med Inc = median household income. Black includes African American;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2EF76178" w14:textId="77777777" w:rsidR="00003E83" w:rsidRDefault="00003E83" w:rsidP="00B33B98">
      <w:pPr>
        <w:rPr>
          <w:rFonts w:ascii="Times New Roman" w:eastAsia="Times New Roman" w:hAnsi="Times New Roman" w:cs="Times New Roman"/>
          <w:b/>
          <w:bCs/>
          <w:kern w:val="36"/>
          <w:sz w:val="36"/>
          <w:szCs w:val="48"/>
        </w:rPr>
      </w:pPr>
    </w:p>
    <w:p w14:paraId="30B6E91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Strata for the 2012</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8"/>
    </w:p>
    <w:p w14:paraId="30B6E91D" w14:textId="77777777" w:rsidR="00EA10F4" w:rsidRDefault="00EE0CC5" w:rsidP="005E295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strata were defined using the selected stratifiers from the stepwise regression analysis (see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The cutoffs were selected so that roughly equal measures of size were represented by each stratum.</w:t>
      </w:r>
    </w:p>
    <w:p w14:paraId="30B6E91E" w14:textId="77777777" w:rsidR="00B11FC7" w:rsidRPr="0036751F" w:rsidRDefault="00B11FC7" w:rsidP="00E42305">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150"/>
        <w:gridCol w:w="4019"/>
        <w:gridCol w:w="3414"/>
        <w:gridCol w:w="915"/>
        <w:gridCol w:w="1312"/>
      </w:tblGrid>
      <w:tr w:rsidR="00EE0CC5" w:rsidRPr="001A3D9E" w14:paraId="30B6E924" w14:textId="77777777" w:rsidTr="00B4461B">
        <w:trPr>
          <w:tblHeader/>
          <w:tblCellSpacing w:w="7" w:type="dxa"/>
          <w:jc w:val="center"/>
        </w:trPr>
        <w:tc>
          <w:tcPr>
            <w:tcW w:w="52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91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w:t>
            </w:r>
            <w:r w:rsidR="00247D90" w:rsidRPr="001A3D9E">
              <w:rPr>
                <w:rFonts w:ascii="Times New Roman" w:eastAsia="Times New Roman" w:hAnsi="Times New Roman" w:cs="Times New Roman"/>
                <w:color w:val="000000"/>
                <w:szCs w:val="24"/>
              </w:rPr>
              <w:t>t</w:t>
            </w:r>
            <w:r w:rsidRPr="001A3D9E">
              <w:rPr>
                <w:rFonts w:ascii="Times New Roman" w:eastAsia="Times New Roman" w:hAnsi="Times New Roman" w:cs="Times New Roman"/>
                <w:color w:val="000000"/>
                <w:szCs w:val="24"/>
              </w:rPr>
              <w:t>ratum</w:t>
            </w:r>
          </w:p>
        </w:tc>
        <w:tc>
          <w:tcPr>
            <w:tcW w:w="18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0"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15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1"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41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2"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w:t>
            </w:r>
            <w:r w:rsidR="00EE0CC5" w:rsidRPr="001A3D9E">
              <w:rPr>
                <w:rFonts w:ascii="Times New Roman" w:eastAsia="Times New Roman" w:hAnsi="Times New Roman" w:cs="Times New Roman"/>
                <w:color w:val="000000"/>
                <w:szCs w:val="24"/>
              </w:rPr>
              <w:t>s</w:t>
            </w:r>
          </w:p>
        </w:tc>
        <w:tc>
          <w:tcPr>
            <w:tcW w:w="574"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23"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2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5" w14:textId="77777777" w:rsidR="00EA10F4" w:rsidRPr="001A3D9E" w:rsidRDefault="00EA10F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6"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7"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8"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46</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9"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4,553,200</w:t>
            </w:r>
          </w:p>
        </w:tc>
      </w:tr>
      <w:tr w:rsidR="00EA10F4" w:rsidRPr="001A3D9E" w14:paraId="30B6E930"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&lt;=15.9%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562,721</w:t>
            </w:r>
          </w:p>
        </w:tc>
      </w:tr>
      <w:tr w:rsidR="00EA10F4" w:rsidRPr="001A3D9E" w14:paraId="30B6E936"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1"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15.9% &lt; Percent Black &lt;=27.7%</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536,158</w:t>
            </w:r>
          </w:p>
        </w:tc>
      </w:tr>
      <w:tr w:rsidR="00EA10F4" w:rsidRPr="001A3D9E" w14:paraId="30B6E93C"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7"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&lt;=14.9%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586,447</w:t>
            </w:r>
          </w:p>
        </w:tc>
      </w:tr>
      <w:tr w:rsidR="00EA10F4" w:rsidRPr="001A3D9E" w14:paraId="30B6E942"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D"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14.9%&lt; Percent Black &lt;=38.2%</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627,747</w:t>
            </w:r>
          </w:p>
        </w:tc>
      </w:tr>
      <w:tr w:rsidR="00EA10F4" w:rsidRPr="001A3D9E" w14:paraId="30B6E948"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3"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child poverty &lt;=13.4%</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548,322</w:t>
            </w:r>
          </w:p>
        </w:tc>
      </w:tr>
      <w:tr w:rsidR="00EA10F4" w:rsidRPr="001A3D9E" w14:paraId="30B6E94E"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9"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13.4%&lt; Percent child poverty &lt;=15.1%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578,078</w:t>
            </w:r>
          </w:p>
        </w:tc>
      </w:tr>
      <w:tr w:rsidR="00EA10F4" w:rsidRPr="001A3D9E" w14:paraId="30B6E954"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F"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15.1%&lt; Percent child poverty &lt;=17.0%</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517,843</w:t>
            </w:r>
          </w:p>
        </w:tc>
      </w:tr>
      <w:tr w:rsidR="00EA10F4" w:rsidRPr="001A3D9E" w14:paraId="30B6E95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5"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17.0%&lt; Percent child poverty &lt;=20.7%</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595,884</w:t>
            </w:r>
          </w:p>
        </w:tc>
      </w:tr>
      <w:tr w:rsidR="00EA10F4" w:rsidRPr="001A3D9E" w14:paraId="30B6E960" w14:textId="77777777" w:rsidTr="00B4461B">
        <w:trPr>
          <w:tblCellSpacing w:w="7" w:type="dxa"/>
          <w:jc w:val="center"/>
        </w:trPr>
        <w:tc>
          <w:tcPr>
            <w:tcW w:w="525"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1862"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81"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574"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569,150</w:t>
            </w:r>
          </w:p>
        </w:tc>
      </w:tr>
      <w:tr w:rsidR="00B4461B" w:rsidRPr="001A3D9E" w14:paraId="7A476552" w14:textId="77777777" w:rsidTr="00B4461B">
        <w:trPr>
          <w:tblCellSpacing w:w="7" w:type="dxa"/>
          <w:jc w:val="center"/>
        </w:trPr>
        <w:tc>
          <w:tcPr>
            <w:tcW w:w="4987" w:type="pct"/>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12BD1125" w14:textId="73FB9E6E" w:rsidR="00B4461B" w:rsidRPr="00B4461B" w:rsidRDefault="00B4461B" w:rsidP="00B4461B">
            <w:pPr>
              <w:textAlignment w:val="top"/>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61" w14:textId="77777777" w:rsidR="00EE0CC5" w:rsidRPr="001A3D9E" w:rsidRDefault="00EE0CC5" w:rsidP="00EE0CC5">
      <w:pPr>
        <w:rPr>
          <w:rFonts w:ascii="Times New Roman" w:eastAsia="Times New Roman" w:hAnsi="Times New Roman" w:cs="Times New Roman"/>
          <w:vanish/>
          <w:szCs w:val="24"/>
        </w:rPr>
      </w:pPr>
    </w:p>
    <w:p w14:paraId="40005F68" w14:textId="77777777" w:rsidR="00070767" w:rsidRPr="0036751F" w:rsidRDefault="00070767" w:rsidP="00070767">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0" w:type="auto"/>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51"/>
        <w:gridCol w:w="5903"/>
        <w:gridCol w:w="1310"/>
        <w:gridCol w:w="1846"/>
      </w:tblGrid>
      <w:tr w:rsidR="00EE0CC5" w:rsidRPr="001A3D9E" w14:paraId="30B6E96D"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9" w14:textId="77777777" w:rsidR="00EE0CC5" w:rsidRPr="001A3D9E" w:rsidRDefault="00EE0CC5" w:rsidP="00AC641C">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A"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6C"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EE0CC5" w:rsidRPr="001A3D9E" w14:paraId="30B6E96F" w14:textId="77777777" w:rsidTr="00BE2BFC">
        <w:trPr>
          <w:tblCellSpacing w:w="7" w:type="dxa"/>
          <w:jc w:val="center"/>
        </w:trPr>
        <w:tc>
          <w:tcPr>
            <w:tcW w:w="0" w:type="auto"/>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96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974"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970" w14:textId="77777777" w:rsidR="00EE0CC5" w:rsidRPr="001A3D9E" w:rsidRDefault="00EE0CC5" w:rsidP="00EE0CC5">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1"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2"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3"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1,111,662</w:t>
            </w:r>
          </w:p>
        </w:tc>
      </w:tr>
      <w:tr w:rsidR="00EE0CC5" w:rsidRPr="001A3D9E" w14:paraId="30B6E979"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5"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child poverty &lt;=15.7%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549,880</w:t>
            </w:r>
          </w:p>
        </w:tc>
      </w:tr>
      <w:tr w:rsidR="00EE0CC5" w:rsidRPr="001A3D9E" w14:paraId="30B6E97E"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7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15.7%&lt; Percent child poverty &lt;=22.8%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561,782</w:t>
            </w:r>
          </w:p>
        </w:tc>
      </w:tr>
      <w:tr w:rsidR="00EE0CC5" w:rsidRPr="001A3D9E" w14:paraId="30B6E983"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F"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0"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555,831</w:t>
            </w:r>
          </w:p>
        </w:tc>
      </w:tr>
      <w:tr w:rsidR="00003E83" w:rsidRPr="001A3D9E" w14:paraId="16FCE94E" w14:textId="77777777" w:rsidTr="00BE2BFC">
        <w:trPr>
          <w:tblCellSpacing w:w="7" w:type="dxa"/>
          <w:jc w:val="center"/>
        </w:trPr>
        <w:tc>
          <w:tcPr>
            <w:tcW w:w="0" w:type="auto"/>
            <w:gridSpan w:val="4"/>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0DBC9716" w14:textId="4CD9B765" w:rsidR="00003E83" w:rsidRPr="001A3D9E" w:rsidRDefault="00003E83" w:rsidP="00003E83">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w:t>
            </w:r>
            <w:r>
              <w:rPr>
                <w:rFonts w:ascii="Times New Roman" w:eastAsia="Times New Roman" w:hAnsi="Times New Roman" w:cs="Times New Roman"/>
                <w:sz w:val="18"/>
                <w:szCs w:val="20"/>
              </w:rPr>
              <w:t>cational Progress (NAEP), 2012.</w:t>
            </w:r>
          </w:p>
        </w:tc>
      </w:tr>
    </w:tbl>
    <w:p w14:paraId="21EFA444" w14:textId="77777777" w:rsidR="00BE2BFC" w:rsidRDefault="00BE2BFC" w:rsidP="00672F71">
      <w:pPr>
        <w:spacing w:after="160" w:line="259" w:lineRule="auto"/>
        <w:rPr>
          <w:rFonts w:ascii="Times New Roman" w:eastAsia="Times New Roman" w:hAnsi="Times New Roman" w:cs="Times New Roman"/>
          <w:b/>
          <w:bCs/>
          <w:szCs w:val="24"/>
        </w:rPr>
      </w:pPr>
    </w:p>
    <w:p w14:paraId="30B6E98A" w14:textId="77777777" w:rsidR="00AC641C" w:rsidRPr="001A3D9E" w:rsidRDefault="00234988" w:rsidP="00672F71">
      <w:pPr>
        <w:spacing w:after="160" w:line="259" w:lineRule="auto"/>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Stratification for Midwest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530"/>
        <w:gridCol w:w="2430"/>
        <w:gridCol w:w="2250"/>
        <w:gridCol w:w="1980"/>
        <w:gridCol w:w="900"/>
        <w:gridCol w:w="1340"/>
      </w:tblGrid>
      <w:tr w:rsidR="00EA10F4" w:rsidRPr="001A3D9E" w14:paraId="30B6E991" w14:textId="77777777" w:rsidTr="00234988">
        <w:trPr>
          <w:tblHeader/>
          <w:tblCellSpacing w:w="7" w:type="dxa"/>
          <w:jc w:val="center"/>
        </w:trPr>
        <w:tc>
          <w:tcPr>
            <w:tcW w:w="150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B"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1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C"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D"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EA10F4" w:rsidRPr="001A3D9E">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196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8E"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F"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1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90" w14:textId="77777777" w:rsidR="00EE0CC5" w:rsidRPr="001A3D9E" w:rsidRDefault="00EA10F4"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98"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2" w14:textId="77777777" w:rsidR="00EA10F4" w:rsidRPr="001A3D9E" w:rsidRDefault="00EA10F4"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3"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4"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5"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6"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100</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7"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7,425,254</w:t>
            </w:r>
          </w:p>
        </w:tc>
      </w:tr>
      <w:tr w:rsidR="00EA10F4" w:rsidRPr="001A3D9E" w14:paraId="30B6E99F"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9"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Asian&lt;=1.1%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627,034</w:t>
            </w:r>
          </w:p>
        </w:tc>
      </w:tr>
      <w:tr w:rsidR="00EA10F4" w:rsidRPr="001A3D9E" w14:paraId="30B6E9A6"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0"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1.1%&lt;Pct Asian&lt;=1.4%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664,158</w:t>
            </w:r>
          </w:p>
        </w:tc>
      </w:tr>
      <w:tr w:rsidR="00EA10F4" w:rsidRPr="001A3D9E" w14:paraId="30B6E9AD"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7"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 &lt; Pct Asian &lt;=2.4%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591,089</w:t>
            </w:r>
          </w:p>
        </w:tc>
      </w:tr>
      <w:tr w:rsidR="00EA10F4" w:rsidRPr="001A3D9E" w14:paraId="30B6E9B4"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E"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 &lt; Pct Asian &lt;=2.6%</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697,772</w:t>
            </w:r>
          </w:p>
        </w:tc>
      </w:tr>
      <w:tr w:rsidR="00EA10F4" w:rsidRPr="001A3D9E" w14:paraId="30B6E9BB"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5"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 &lt; Pct Asian &lt;=3.4%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601,360</w:t>
            </w:r>
          </w:p>
        </w:tc>
      </w:tr>
      <w:tr w:rsidR="00EA10F4" w:rsidRPr="001A3D9E" w14:paraId="30B6E9C2"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C"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 &lt; Pct Asian &lt;=10.3%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610,155</w:t>
            </w:r>
          </w:p>
        </w:tc>
      </w:tr>
      <w:tr w:rsidR="00EA10F4" w:rsidRPr="001A3D9E" w14:paraId="30B6E9C9"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3"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 &lt; Child poverty &lt;=12.9%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613,473</w:t>
            </w:r>
          </w:p>
        </w:tc>
      </w:tr>
      <w:tr w:rsidR="00EA10F4" w:rsidRPr="001A3D9E" w14:paraId="30B6E9D0"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A"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&lt;=1.3%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636,134</w:t>
            </w:r>
          </w:p>
        </w:tc>
      </w:tr>
      <w:tr w:rsidR="00EA10F4" w:rsidRPr="001A3D9E" w14:paraId="30B6E9D7"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1"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 &lt; Pct Asian &lt;=2.7%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591,225</w:t>
            </w:r>
          </w:p>
        </w:tc>
      </w:tr>
      <w:tr w:rsidR="00EA10F4" w:rsidRPr="001A3D9E" w14:paraId="30B6E9DE"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8"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HH Income &lt;=$38,291</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601,878</w:t>
            </w:r>
          </w:p>
        </w:tc>
      </w:tr>
      <w:tr w:rsidR="00EA10F4" w:rsidRPr="001A3D9E" w14:paraId="30B6E9E5"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F"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&lt;=0.9%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572,275</w:t>
            </w:r>
          </w:p>
        </w:tc>
      </w:tr>
      <w:tr w:rsidR="00EA10F4" w:rsidRPr="001A3D9E" w14:paraId="30B6E9EC"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6"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0.9% &lt; Pct Asian &lt;=3.1%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618,701</w:t>
            </w:r>
          </w:p>
        </w:tc>
      </w:tr>
      <w:tr w:rsidR="00EA10F4" w:rsidRPr="001A3D9E" w14:paraId="30B6E9F3"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D"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618,771</w:t>
            </w:r>
          </w:p>
        </w:tc>
      </w:tr>
      <w:tr w:rsidR="00EA10F4" w:rsidRPr="001A3D9E" w14:paraId="30B6E9F7"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9F6" w14:textId="2C8032DA" w:rsidR="00234988" w:rsidRPr="001A3D9E" w:rsidRDefault="00EA10F4" w:rsidP="007D3595">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Med HH Income = median household income. Asian includes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F8" w14:textId="77777777" w:rsidR="00C33467" w:rsidRDefault="00C33467" w:rsidP="00EE0CC5">
      <w:pPr>
        <w:rPr>
          <w:rFonts w:ascii="Times New Roman" w:eastAsia="Times New Roman" w:hAnsi="Times New Roman" w:cs="Times New Roman"/>
          <w:color w:val="000000"/>
          <w:sz w:val="20"/>
        </w:rPr>
      </w:pPr>
    </w:p>
    <w:p w14:paraId="30B6EA05" w14:textId="1E14AB40" w:rsidR="00C33467" w:rsidRDefault="00234988">
      <w:pPr>
        <w:spacing w:after="160" w:line="259" w:lineRule="auto"/>
        <w:rPr>
          <w:rFonts w:ascii="Times New Roman" w:eastAsia="Times New Roman" w:hAnsi="Times New Roman" w:cs="Times New Roman"/>
          <w:color w:val="000000"/>
          <w:sz w:val="20"/>
        </w:rPr>
      </w:pPr>
      <w:r w:rsidRPr="001A3D9E">
        <w:rPr>
          <w:rFonts w:ascii="Times New Roman" w:eastAsia="Times New Roman" w:hAnsi="Times New Roman" w:cs="Times New Roman"/>
          <w:b/>
          <w:bCs/>
          <w:szCs w:val="24"/>
        </w:rPr>
        <w:t>Stratification for Midwest non-metropolitan noncertainty primary sampling units (PSUs), by stratum: 2012</w:t>
      </w:r>
    </w:p>
    <w:tbl>
      <w:tblPr>
        <w:tblW w:w="10868" w:type="dxa"/>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638"/>
        <w:gridCol w:w="2610"/>
        <w:gridCol w:w="2250"/>
        <w:gridCol w:w="2070"/>
        <w:gridCol w:w="900"/>
        <w:gridCol w:w="1400"/>
      </w:tblGrid>
      <w:tr w:rsidR="00672F71" w:rsidRPr="001A3D9E" w14:paraId="30B6EA0F" w14:textId="77777777" w:rsidTr="00BE2BFC">
        <w:trPr>
          <w:tblHeader/>
          <w:tblCellSpacing w:w="7" w:type="dxa"/>
          <w:jc w:val="center"/>
        </w:trPr>
        <w:tc>
          <w:tcPr>
            <w:tcW w:w="16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9"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5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A"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B"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05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C"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D"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7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0E" w14:textId="77777777" w:rsidR="00EE0CC5" w:rsidRPr="001A3D9E" w:rsidRDefault="00672F71"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672F71" w:rsidRPr="001A3D9E" w14:paraId="30B6EA16"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A10" w14:textId="77777777" w:rsidR="00EE0CC5" w:rsidRPr="001A3D9E" w:rsidRDefault="00EE0CC5" w:rsidP="00EE0CC5">
            <w:pPr>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Total</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1"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2"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3"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4"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249</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5"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3,561,130</w:t>
            </w:r>
          </w:p>
        </w:tc>
      </w:tr>
      <w:tr w:rsidR="00672F71" w:rsidRPr="001A3D9E" w14:paraId="30B6EA1D"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7"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&lt;=12.5%</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586,227</w:t>
            </w:r>
          </w:p>
        </w:tc>
      </w:tr>
      <w:tr w:rsidR="00672F71" w:rsidRPr="001A3D9E" w14:paraId="30B6EA24"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E"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Pct BHI &lt;=4.2%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588,164</w:t>
            </w:r>
          </w:p>
        </w:tc>
      </w:tr>
      <w:tr w:rsidR="00672F71" w:rsidRPr="001A3D9E" w14:paraId="30B6EA2B"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5"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4.2%&lt; Pct BHI &lt;=8.5%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592,616</w:t>
            </w:r>
          </w:p>
        </w:tc>
      </w:tr>
      <w:tr w:rsidR="00672F71" w:rsidRPr="001A3D9E" w14:paraId="30B6EA32"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C"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Pct BHI &lt;=41.4%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604,908</w:t>
            </w:r>
          </w:p>
        </w:tc>
      </w:tr>
      <w:tr w:rsidR="00672F71" w:rsidRPr="001A3D9E" w14:paraId="30B6EA39"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3"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&lt;=13.2%</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589,093</w:t>
            </w:r>
          </w:p>
        </w:tc>
      </w:tr>
      <w:tr w:rsidR="00672F71" w:rsidRPr="001A3D9E" w14:paraId="30B6EA40"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A"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13.2%&lt; Percent college grd &lt;=23.0%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45</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600,122</w:t>
            </w:r>
          </w:p>
        </w:tc>
      </w:tr>
      <w:tr w:rsidR="00672F71" w:rsidRPr="001A3D9E" w14:paraId="30B6EA47"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1"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593,522</w:t>
            </w:r>
          </w:p>
        </w:tc>
      </w:tr>
      <w:tr w:rsidR="00672F71" w:rsidRPr="001A3D9E" w14:paraId="30B6EA70" w14:textId="77777777" w:rsidTr="00BE2BFC">
        <w:trPr>
          <w:tblCellSpacing w:w="7" w:type="dxa"/>
          <w:jc w:val="center"/>
        </w:trPr>
        <w:tc>
          <w:tcPr>
            <w:tcW w:w="10840"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A6E" w14:textId="4D2BAB23" w:rsidR="00234988" w:rsidRPr="007D3595" w:rsidRDefault="00672F71" w:rsidP="00672F71">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p w14:paraId="30B6EA6F" w14:textId="77777777" w:rsidR="00234988" w:rsidRPr="001A3D9E" w:rsidRDefault="00234988" w:rsidP="00672F71">
            <w:pPr>
              <w:rPr>
                <w:rFonts w:ascii="Times New Roman" w:eastAsia="Times New Roman" w:hAnsi="Times New Roman" w:cs="Times New Roman"/>
                <w:color w:val="000000"/>
                <w:sz w:val="20"/>
                <w:szCs w:val="24"/>
              </w:rPr>
            </w:pPr>
          </w:p>
        </w:tc>
      </w:tr>
    </w:tbl>
    <w:p w14:paraId="30B6EA71" w14:textId="77777777" w:rsidR="00C33467" w:rsidRDefault="00234988">
      <w:pPr>
        <w:spacing w:after="160" w:line="259" w:lineRule="auto"/>
        <w:rPr>
          <w:rFonts w:ascii="Times New Roman" w:eastAsia="Times New Roman" w:hAnsi="Times New Roman" w:cs="Times New Roman"/>
          <w:color w:val="000000"/>
          <w:sz w:val="20"/>
          <w:szCs w:val="24"/>
        </w:rPr>
      </w:pPr>
      <w:r w:rsidRPr="001A3D9E">
        <w:rPr>
          <w:rFonts w:ascii="Times New Roman" w:eastAsia="Times New Roman" w:hAnsi="Times New Roman" w:cs="Times New Roman"/>
          <w:b/>
          <w:bCs/>
          <w:szCs w:val="24"/>
        </w:rPr>
        <w:t>Stratification for South metropolitan noncertainty primary sampling units (PSUs), by stratum: 2012</w:t>
      </w:r>
    </w:p>
    <w:tbl>
      <w:tblPr>
        <w:tblW w:w="11342"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988"/>
        <w:gridCol w:w="2490"/>
        <w:gridCol w:w="2595"/>
        <w:gridCol w:w="3123"/>
        <w:gridCol w:w="774"/>
        <w:gridCol w:w="1492"/>
      </w:tblGrid>
      <w:tr w:rsidR="00C33467" w:rsidRPr="001A3D9E" w14:paraId="30B6EA79" w14:textId="77777777" w:rsidTr="00736231">
        <w:trPr>
          <w:trHeight w:val="279"/>
          <w:tblHeader/>
          <w:tblCellSpacing w:w="7" w:type="dxa"/>
          <w:jc w:val="center"/>
        </w:trPr>
        <w:tc>
          <w:tcPr>
            <w:tcW w:w="96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A73"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4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4"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55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5"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307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6"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760"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441"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8"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C33467" w:rsidRPr="001A3D9E" w14:paraId="30B6EA80"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A" w14:textId="77777777" w:rsidR="00672F71" w:rsidRPr="001A3D9E" w:rsidRDefault="00672F71"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A7B"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C"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D"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E"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153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F"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13,376,936</w:t>
            </w:r>
          </w:p>
        </w:tc>
      </w:tr>
      <w:tr w:rsidR="00C33467" w:rsidRPr="001A3D9E" w14:paraId="30B6EA87"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1"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Hispanic &lt;=1.7%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601,133</w:t>
            </w:r>
          </w:p>
        </w:tc>
      </w:tr>
      <w:tr w:rsidR="00C33467" w:rsidRPr="001A3D9E" w14:paraId="30B6EA8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8"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1.7%&lt; Percent Hispanic &lt;=2.6%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630,882</w:t>
            </w:r>
          </w:p>
        </w:tc>
      </w:tr>
      <w:tr w:rsidR="00C33467" w:rsidRPr="001A3D9E" w14:paraId="30B6EA9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F"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2" w14:textId="77777777" w:rsidR="00672F71" w:rsidRPr="001A3D9E" w:rsidRDefault="00C33467" w:rsidP="00EE0CC5">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2.6%&lt; Percent Hispanic </w:t>
            </w:r>
            <w:r w:rsidR="00672F71" w:rsidRPr="001A3D9E">
              <w:rPr>
                <w:rFonts w:ascii="Times New Roman" w:eastAsia="Times New Roman" w:hAnsi="Times New Roman" w:cs="Times New Roman"/>
                <w:color w:val="000000"/>
                <w:sz w:val="20"/>
              </w:rPr>
              <w:t>&lt;=2.7%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578,692</w:t>
            </w:r>
          </w:p>
        </w:tc>
      </w:tr>
      <w:tr w:rsidR="00C33467" w:rsidRPr="001A3D9E" w14:paraId="30B6EA9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6"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2.7%&lt; Percent Hispanic &lt;=3.0%</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576,467</w:t>
            </w:r>
          </w:p>
        </w:tc>
      </w:tr>
      <w:tr w:rsidR="00C33467" w:rsidRPr="001A3D9E" w14:paraId="30B6EAA3"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D"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3.0%&lt; Percent Hispanic &lt;=3.5%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664,447</w:t>
            </w:r>
          </w:p>
        </w:tc>
      </w:tr>
      <w:tr w:rsidR="00C33467" w:rsidRPr="001A3D9E" w14:paraId="30B6EAAA"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4"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3.5%&lt; Percent Hispanic &lt;=4.2%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648,364</w:t>
            </w:r>
          </w:p>
        </w:tc>
      </w:tr>
      <w:tr w:rsidR="00C33467" w:rsidRPr="001A3D9E" w14:paraId="30B6EAB1"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B"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4.2%&lt; Percent Hispanic &lt;=4.8%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638,875</w:t>
            </w:r>
          </w:p>
        </w:tc>
      </w:tr>
      <w:tr w:rsidR="00C33467" w:rsidRPr="001A3D9E" w14:paraId="30B6EAB8"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2"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4.8%&lt; Percent Hispanic &lt;=5.5%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514,110</w:t>
            </w:r>
          </w:p>
        </w:tc>
      </w:tr>
      <w:tr w:rsidR="00C33467" w:rsidRPr="001A3D9E" w14:paraId="30B6EABF"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9"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5.5%&lt; Percent Hispanic &lt;=7.3%</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591,459</w:t>
            </w:r>
          </w:p>
        </w:tc>
      </w:tr>
      <w:tr w:rsidR="00C33467" w:rsidRPr="001A3D9E" w14:paraId="30B6EAC6"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0"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7.3%&lt; Percent Hispanic &lt;=8.5%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533,640</w:t>
            </w:r>
          </w:p>
        </w:tc>
      </w:tr>
      <w:tr w:rsidR="00C33467" w:rsidRPr="001A3D9E" w14:paraId="30B6EACD"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7"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Percent Hispanic &lt;=9.1%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725,090</w:t>
            </w:r>
          </w:p>
        </w:tc>
      </w:tr>
      <w:tr w:rsidR="00C33467" w:rsidRPr="001A3D9E" w14:paraId="30B6EAD4"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E"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9.1%&lt; Percent Hispanic &lt;=11.2%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709,260</w:t>
            </w:r>
          </w:p>
        </w:tc>
      </w:tr>
      <w:tr w:rsidR="00C33467" w:rsidRPr="001A3D9E" w14:paraId="30B6EADB"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5"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11.2%&lt; Percent Hispanic &lt;=14.6%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579,834</w:t>
            </w:r>
          </w:p>
        </w:tc>
      </w:tr>
      <w:tr w:rsidR="00C33467" w:rsidRPr="001A3D9E" w14:paraId="30B6EAE2"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C"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14.6%&lt; Percent Hispanic &lt;=21.1%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541,611</w:t>
            </w:r>
          </w:p>
        </w:tc>
      </w:tr>
      <w:tr w:rsidR="00C33467" w:rsidRPr="001A3D9E" w14:paraId="30B6EAE9"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3"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21.1%&lt; Percent Hispanic &lt;=30.8%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699,288</w:t>
            </w:r>
          </w:p>
        </w:tc>
      </w:tr>
      <w:tr w:rsidR="00C33467" w:rsidRPr="001A3D9E" w14:paraId="30B6EAF0"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A"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30.8%&lt; Percent Hispanic &lt;=51.2%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712,593</w:t>
            </w:r>
          </w:p>
        </w:tc>
      </w:tr>
      <w:tr w:rsidR="00C33467" w:rsidRPr="001A3D9E" w14:paraId="30B6EAF7"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1"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545,131</w:t>
            </w:r>
          </w:p>
        </w:tc>
      </w:tr>
      <w:tr w:rsidR="00C33467" w:rsidRPr="001A3D9E" w14:paraId="30B6EAF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8"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2.7%&lt; Percent Hispanic &lt;=7.8%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663,198</w:t>
            </w:r>
          </w:p>
        </w:tc>
      </w:tr>
      <w:tr w:rsidR="00C33467" w:rsidRPr="001A3D9E" w14:paraId="30B6EB0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F"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22.7%&lt; Child poverty &lt;=24.3%</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501,477</w:t>
            </w:r>
          </w:p>
        </w:tc>
      </w:tr>
      <w:tr w:rsidR="00C33467" w:rsidRPr="001A3D9E" w14:paraId="30B6EB0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6"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&lt;=2.0%</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736,424</w:t>
            </w:r>
          </w:p>
        </w:tc>
      </w:tr>
      <w:tr w:rsidR="00C33467" w:rsidRPr="001A3D9E" w14:paraId="30B6EB13"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D"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&lt;=3.8%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494,354</w:t>
            </w:r>
          </w:p>
        </w:tc>
      </w:tr>
      <w:tr w:rsidR="00C33467" w:rsidRPr="001A3D9E" w14:paraId="30B6EB1A"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4"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1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3.8%&lt; Percent Hispanic &lt;=64.1%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490,607</w:t>
            </w:r>
          </w:p>
        </w:tc>
      </w:tr>
      <w:tr w:rsidR="00C33467" w:rsidRPr="001A3D9E" w14:paraId="30B6EB21"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B"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2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608,043</w:t>
            </w:r>
          </w:p>
        </w:tc>
      </w:tr>
      <w:tr w:rsidR="00F55A94" w:rsidRPr="001A3D9E" w14:paraId="30B6EB23" w14:textId="77777777" w:rsidTr="00736231">
        <w:trPr>
          <w:trHeight w:val="449"/>
          <w:tblCellSpacing w:w="7" w:type="dxa"/>
          <w:jc w:val="center"/>
        </w:trPr>
        <w:tc>
          <w:tcPr>
            <w:tcW w:w="11314"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22" w14:textId="77777777" w:rsidR="00F55A94" w:rsidRPr="001A3D9E" w:rsidRDefault="00F55A94" w:rsidP="00F55A94">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24" w14:textId="77777777" w:rsidR="00C33467" w:rsidRDefault="00C33467" w:rsidP="00F55A94">
      <w:pPr>
        <w:rPr>
          <w:rFonts w:ascii="Times New Roman" w:eastAsia="Times New Roman" w:hAnsi="Times New Roman" w:cs="Times New Roman"/>
          <w:color w:val="000000"/>
          <w:sz w:val="20"/>
          <w:szCs w:val="24"/>
        </w:rPr>
      </w:pPr>
    </w:p>
    <w:p w14:paraId="30B6EB26" w14:textId="77777777" w:rsidR="00F55A94" w:rsidRDefault="00234988" w:rsidP="00F55A94">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South non-metropolitan noncertainty primary samling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57"/>
        <w:gridCol w:w="2250"/>
        <w:gridCol w:w="2520"/>
        <w:gridCol w:w="2160"/>
        <w:gridCol w:w="900"/>
        <w:gridCol w:w="1543"/>
      </w:tblGrid>
      <w:tr w:rsidR="00EE0CC5" w:rsidRPr="001A3D9E" w14:paraId="30B6EB2F" w14:textId="77777777" w:rsidTr="00234988">
        <w:trPr>
          <w:tblHeader/>
          <w:tblCellSpacing w:w="7" w:type="dxa"/>
          <w:jc w:val="center"/>
        </w:trPr>
        <w:tc>
          <w:tcPr>
            <w:tcW w:w="10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29"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A"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50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B"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C"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522"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2E"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F55A94" w:rsidRPr="001A3D9E" w14:paraId="30B6EB36"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0" w14:textId="77777777" w:rsidR="00F55A94" w:rsidRPr="001A3D9E" w:rsidRDefault="00F55A9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B31"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2"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3"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4"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269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5"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5,263,030</w:t>
            </w:r>
          </w:p>
        </w:tc>
      </w:tr>
      <w:tr w:rsidR="00F55A94" w:rsidRPr="001A3D9E" w14:paraId="30B6EB3D"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7"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&lt;=0.2%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523,811</w:t>
            </w:r>
          </w:p>
        </w:tc>
      </w:tr>
      <w:tr w:rsidR="00F55A94" w:rsidRPr="001A3D9E" w14:paraId="30B6EB44"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E"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 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0.2%&lt; Percent Asian &lt;0.3%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525,860</w:t>
            </w:r>
          </w:p>
        </w:tc>
      </w:tr>
      <w:tr w:rsidR="00F55A94" w:rsidRPr="001A3D9E" w14:paraId="30B6EB4B"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5"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529,321</w:t>
            </w:r>
          </w:p>
        </w:tc>
      </w:tr>
      <w:tr w:rsidR="00F55A94" w:rsidRPr="001A3D9E" w14:paraId="30B6EB52"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C"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0.3%&lt; Percent Asian &lt;=0.4%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521,822</w:t>
            </w:r>
          </w:p>
        </w:tc>
      </w:tr>
      <w:tr w:rsidR="00F55A94" w:rsidRPr="001A3D9E" w14:paraId="30B6EB59"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3"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0.4%&lt; Percent Asian &lt;=0.7%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548,060</w:t>
            </w:r>
          </w:p>
        </w:tc>
      </w:tr>
      <w:tr w:rsidR="00F55A94" w:rsidRPr="001A3D9E" w14:paraId="30B6EB60"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A"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0.7%&lt; Percent Asian &lt;=3.0%</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545,240</w:t>
            </w:r>
          </w:p>
        </w:tc>
      </w:tr>
      <w:tr w:rsidR="00F55A94" w:rsidRPr="001A3D9E" w14:paraId="30B6EB67"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1"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$36,049&lt;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&lt;=$54,721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557,463</w:t>
            </w:r>
          </w:p>
        </w:tc>
      </w:tr>
      <w:tr w:rsidR="00F55A94" w:rsidRPr="001A3D9E" w14:paraId="30B6EB6E"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8"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&lt;=$29,555</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519,808</w:t>
            </w:r>
          </w:p>
        </w:tc>
      </w:tr>
      <w:tr w:rsidR="00F55A94" w:rsidRPr="001A3D9E" w14:paraId="30B6EB75"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F"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$29,555&lt;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&lt;=$44,421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502,924</w:t>
            </w:r>
          </w:p>
        </w:tc>
      </w:tr>
      <w:tr w:rsidR="00F55A94" w:rsidRPr="001A3D9E" w14:paraId="30B6EB7C"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6"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51.3%&lt; Percent Black &lt;=79.4%</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488,721</w:t>
            </w:r>
          </w:p>
        </w:tc>
      </w:tr>
      <w:tr w:rsidR="00F55A94" w:rsidRPr="001A3D9E" w14:paraId="30B6EB83"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D"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526,303</w:t>
            </w:r>
          </w:p>
        </w:tc>
      </w:tr>
      <w:tr w:rsidR="00F55A94" w:rsidRPr="001A3D9E" w14:paraId="30B6EB88"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87" w14:textId="5B5DE9E1" w:rsidR="00234988" w:rsidRPr="001A3D9E" w:rsidRDefault="00F55A94" w:rsidP="00736231">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Black includes African American. Median HH income = median household income. Asian includes Pacific Islanders.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89" w14:textId="77777777" w:rsidR="00F55A94" w:rsidRDefault="00F55A94" w:rsidP="00EE0CC5">
      <w:pPr>
        <w:jc w:val="right"/>
        <w:rPr>
          <w:rFonts w:ascii="Times New Roman" w:eastAsia="Times New Roman" w:hAnsi="Times New Roman" w:cs="Times New Roman"/>
          <w:color w:val="000000"/>
          <w:szCs w:val="24"/>
        </w:rPr>
      </w:pPr>
    </w:p>
    <w:p w14:paraId="30B6EB8A" w14:textId="77777777" w:rsidR="0036751F" w:rsidRDefault="0036751F" w:rsidP="00EE0CC5">
      <w:pPr>
        <w:jc w:val="right"/>
        <w:rPr>
          <w:rFonts w:ascii="Times New Roman" w:eastAsia="Times New Roman" w:hAnsi="Times New Roman" w:cs="Times New Roman"/>
          <w:color w:val="000000"/>
          <w:szCs w:val="24"/>
        </w:rPr>
      </w:pPr>
    </w:p>
    <w:p w14:paraId="30B6EB8E" w14:textId="77777777" w:rsidR="0036751F" w:rsidRDefault="00234988" w:rsidP="00234988">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34"/>
        <w:gridCol w:w="3510"/>
        <w:gridCol w:w="3510"/>
        <w:gridCol w:w="900"/>
        <w:gridCol w:w="1250"/>
      </w:tblGrid>
      <w:tr w:rsidR="00EE0CC5" w:rsidRPr="001A3D9E" w14:paraId="30B6EB96" w14:textId="77777777" w:rsidTr="00234988">
        <w:trPr>
          <w:tblHeader/>
          <w:tblCellSpacing w:w="7" w:type="dxa"/>
          <w:jc w:val="center"/>
        </w:trPr>
        <w:tc>
          <w:tcPr>
            <w:tcW w:w="101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91"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Stratum</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2"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Primary </w:t>
            </w:r>
            <w:r w:rsidR="00EE0CC5" w:rsidRPr="001A3D9E">
              <w:rPr>
                <w:rFonts w:ascii="Times New Roman" w:eastAsia="Times New Roman" w:hAnsi="Times New Roman" w:cs="Times New Roman"/>
                <w:color w:val="000000"/>
                <w:sz w:val="20"/>
              </w:rPr>
              <w:t>stratifier</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3"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Secondary </w:t>
            </w:r>
            <w:r w:rsidR="00EE0CC5" w:rsidRPr="001A3D9E">
              <w:rPr>
                <w:rFonts w:ascii="Times New Roman" w:eastAsia="Times New Roman" w:hAnsi="Times New Roman" w:cs="Times New Roman"/>
                <w:color w:val="000000"/>
                <w:sz w:val="20"/>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95"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Measure</w:t>
            </w:r>
            <w:r w:rsidRPr="001A3D9E">
              <w:rPr>
                <w:rFonts w:ascii="Times New Roman" w:eastAsia="Times New Roman" w:hAnsi="Times New Roman" w:cs="Times New Roman"/>
                <w:color w:val="000000"/>
                <w:sz w:val="20"/>
              </w:rPr>
              <w:br/>
              <w:t>of</w:t>
            </w:r>
            <w:r w:rsidR="00A375F4">
              <w:rPr>
                <w:rFonts w:ascii="Times New Roman" w:eastAsia="Times New Roman" w:hAnsi="Times New Roman" w:cs="Times New Roman"/>
                <w:color w:val="000000"/>
                <w:sz w:val="20"/>
              </w:rPr>
              <w:t xml:space="preserve"> </w:t>
            </w:r>
            <w:r w:rsidR="00EE0CC5" w:rsidRPr="001A3D9E">
              <w:rPr>
                <w:rFonts w:ascii="Times New Roman" w:eastAsia="Times New Roman" w:hAnsi="Times New Roman" w:cs="Times New Roman"/>
                <w:color w:val="000000"/>
                <w:sz w:val="20"/>
              </w:rPr>
              <w:t>size</w:t>
            </w:r>
          </w:p>
        </w:tc>
      </w:tr>
      <w:tr w:rsidR="00885858" w:rsidRPr="001A3D9E" w14:paraId="30B6EB9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7" w14:textId="77777777" w:rsidR="00885858" w:rsidRPr="001A3D9E" w:rsidRDefault="00885858"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8"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9"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A"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71</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B"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6,932,599</w:t>
            </w:r>
          </w:p>
        </w:tc>
      </w:tr>
      <w:tr w:rsidR="00885858" w:rsidRPr="001A3D9E" w14:paraId="30B6EBA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&lt;=13.5%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663,779</w:t>
            </w:r>
          </w:p>
        </w:tc>
      </w:tr>
      <w:tr w:rsidR="00885858" w:rsidRPr="001A3D9E" w14:paraId="30B6EBA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 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13.5%&lt; Percent college graduates &lt;=22.5%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519,908</w:t>
            </w:r>
          </w:p>
        </w:tc>
      </w:tr>
      <w:tr w:rsidR="00885858" w:rsidRPr="001A3D9E" w14:paraId="30B6EBA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A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70.0%&lt; Percent HS graduates &lt;=78.9%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534,728</w:t>
            </w:r>
          </w:p>
        </w:tc>
      </w:tr>
      <w:tr w:rsidR="00885858" w:rsidRPr="001A3D9E" w14:paraId="30B6EBB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78.9%&lt; Percent HS graduates &lt;=79.6%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668,300</w:t>
            </w:r>
          </w:p>
        </w:tc>
      </w:tr>
      <w:tr w:rsidR="00885858" w:rsidRPr="001A3D9E" w14:paraId="30B6EBB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&lt;=21.8%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565,552</w:t>
            </w:r>
          </w:p>
        </w:tc>
      </w:tr>
      <w:tr w:rsidR="00885858" w:rsidRPr="001A3D9E" w14:paraId="30B6EBC0"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B"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21.8%&lt; Percent college graduates &lt;=25.5%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599,946</w:t>
            </w:r>
          </w:p>
        </w:tc>
      </w:tr>
      <w:tr w:rsidR="00885858" w:rsidRPr="001A3D9E" w14:paraId="30B6EBC6"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1"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25.5%&lt; Percent college graduates &lt;=26.9%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529,564</w:t>
            </w:r>
          </w:p>
        </w:tc>
      </w:tr>
      <w:tr w:rsidR="00885858" w:rsidRPr="001A3D9E" w14:paraId="30B6EBC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7"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26.9%&lt; Percent college graduates &lt;=27.8%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585,362</w:t>
            </w:r>
          </w:p>
        </w:tc>
      </w:tr>
      <w:tr w:rsidR="00885858" w:rsidRPr="001A3D9E" w14:paraId="30B6EBD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27.8%&lt; Percent college graduates &lt;=30.3%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556,359</w:t>
            </w:r>
          </w:p>
        </w:tc>
      </w:tr>
      <w:tr w:rsidR="00885858" w:rsidRPr="001A3D9E" w14:paraId="30B6EBD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30.3%&lt; Percent college graduates &lt;=39.5%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538,473</w:t>
            </w:r>
          </w:p>
        </w:tc>
      </w:tr>
      <w:tr w:rsidR="00885858" w:rsidRPr="001A3D9E" w14:paraId="30B6EBD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88.3%&lt; Percent HS graduates &lt;=90.1%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570,886</w:t>
            </w:r>
          </w:p>
        </w:tc>
      </w:tr>
      <w:tr w:rsidR="00885858" w:rsidRPr="001A3D9E" w14:paraId="30B6EBE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E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90.1%&lt; Percent HS graduates &lt;=93.1%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599,742</w:t>
            </w:r>
          </w:p>
        </w:tc>
      </w:tr>
      <w:tr w:rsidR="00885858" w:rsidRPr="001A3D9E" w14:paraId="30B6EBE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577,717</w:t>
            </w:r>
          </w:p>
        </w:tc>
      </w:tr>
      <w:tr w:rsidR="00885858" w:rsidRPr="001A3D9E" w14:paraId="30B6EBEC" w14:textId="77777777" w:rsidTr="00234988">
        <w:trPr>
          <w:tblCellSpacing w:w="7" w:type="dxa"/>
          <w:jc w:val="center"/>
        </w:trPr>
        <w:tc>
          <w:tcPr>
            <w:tcW w:w="10176" w:type="dxa"/>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EB"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EE" w14:textId="77777777" w:rsidR="0079370D" w:rsidRPr="001A3D9E" w:rsidRDefault="0079370D" w:rsidP="00EE0CC5">
      <w:pPr>
        <w:rPr>
          <w:rFonts w:ascii="Times New Roman" w:eastAsia="Times New Roman" w:hAnsi="Times New Roman" w:cs="Times New Roman"/>
          <w:vanish/>
          <w:szCs w:val="24"/>
        </w:rPr>
      </w:pP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124"/>
        <w:gridCol w:w="2439"/>
        <w:gridCol w:w="2331"/>
        <w:gridCol w:w="2160"/>
        <w:gridCol w:w="900"/>
        <w:gridCol w:w="1250"/>
      </w:tblGrid>
      <w:tr w:rsidR="00EE0CC5" w:rsidRPr="001A3D9E" w14:paraId="30B6EBF0" w14:textId="77777777" w:rsidTr="0079370D">
        <w:trPr>
          <w:tblHeader/>
          <w:tblCellSpacing w:w="7" w:type="dxa"/>
          <w:jc w:val="center"/>
        </w:trPr>
        <w:tc>
          <w:tcPr>
            <w:tcW w:w="10176" w:type="dxa"/>
            <w:gridSpan w:val="6"/>
            <w:tcBorders>
              <w:top w:val="nil"/>
              <w:left w:val="nil"/>
              <w:bottom w:val="nil"/>
              <w:right w:val="nil"/>
            </w:tcBorders>
            <w:shd w:val="clear" w:color="auto" w:fill="F5E4DF"/>
            <w:tcMar>
              <w:top w:w="15" w:type="dxa"/>
              <w:left w:w="120" w:type="dxa"/>
              <w:bottom w:w="15" w:type="dxa"/>
              <w:right w:w="120" w:type="dxa"/>
            </w:tcMar>
            <w:vAlign w:val="center"/>
            <w:hideMark/>
          </w:tcPr>
          <w:p w14:paraId="30B6EBEF" w14:textId="77777777" w:rsidR="00EE0CC5" w:rsidRPr="001A3D9E" w:rsidRDefault="00EE0CC5" w:rsidP="00EE0CC5">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non-metropolitan noncertainty primary sampling units (PSUs), by stratum: 2012</w:t>
            </w:r>
          </w:p>
        </w:tc>
      </w:tr>
      <w:tr w:rsidR="00EE0CC5" w:rsidRPr="001A3D9E" w14:paraId="30B6EBF7" w14:textId="77777777" w:rsidTr="0079370D">
        <w:trPr>
          <w:tblHeader/>
          <w:tblCellSpacing w:w="7" w:type="dxa"/>
          <w:jc w:val="center"/>
        </w:trPr>
        <w:tc>
          <w:tcPr>
            <w:tcW w:w="110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1"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2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2"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3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3"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4"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5"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F6"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79370D" w:rsidRPr="001A3D9E">
              <w:rPr>
                <w:rFonts w:ascii="Times New Roman" w:eastAsia="Times New Roman" w:hAnsi="Times New Roman" w:cs="Times New Roman"/>
                <w:color w:val="000000"/>
                <w:szCs w:val="24"/>
              </w:rPr>
              <w:br/>
              <w:t xml:space="preserve">of </w:t>
            </w:r>
            <w:r w:rsidRPr="001A3D9E">
              <w:rPr>
                <w:rFonts w:ascii="Times New Roman" w:eastAsia="Times New Roman" w:hAnsi="Times New Roman" w:cs="Times New Roman"/>
                <w:color w:val="000000"/>
                <w:szCs w:val="24"/>
              </w:rPr>
              <w:t>Size</w:t>
            </w:r>
          </w:p>
        </w:tc>
      </w:tr>
      <w:tr w:rsidR="00885858" w:rsidRPr="001A3D9E" w14:paraId="30B6EBFE"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8" w14:textId="77777777" w:rsidR="00885858" w:rsidRPr="001A3D9E" w:rsidRDefault="00885858"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9"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A"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B"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C"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102</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D"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1,725,933</w:t>
            </w:r>
          </w:p>
        </w:tc>
      </w:tr>
      <w:tr w:rsidR="00885858" w:rsidRPr="001A3D9E" w14:paraId="30B6EC05"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FF"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child poverty &lt;=17.3%</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3"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4"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444,251</w:t>
            </w:r>
          </w:p>
        </w:tc>
      </w:tr>
      <w:tr w:rsidR="00885858" w:rsidRPr="001A3D9E" w14:paraId="30B6EC0C"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6"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HS graduates &lt;=77.3%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A"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B"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421,744</w:t>
            </w:r>
          </w:p>
        </w:tc>
      </w:tr>
      <w:tr w:rsidR="00885858" w:rsidRPr="001A3D9E" w14:paraId="30B6EC13"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D"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0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77.3%&lt; Percent HS graduates &lt;=86.4%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417,700</w:t>
            </w:r>
          </w:p>
        </w:tc>
      </w:tr>
      <w:tr w:rsidR="00885858" w:rsidRPr="001A3D9E" w14:paraId="30B6EC1A"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4"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42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5"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21.0%&lt; Percent college graduates &lt;=42.6%</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6"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442,238</w:t>
            </w:r>
          </w:p>
        </w:tc>
      </w:tr>
      <w:tr w:rsidR="00885858" w:rsidRPr="001A3D9E" w14:paraId="30B6EC21"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B"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C"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D"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431,483</w:t>
            </w:r>
          </w:p>
        </w:tc>
      </w:tr>
      <w:tr w:rsidR="00885858" w:rsidRPr="001A3D9E" w14:paraId="30B6EC23" w14:textId="77777777" w:rsidTr="0079370D">
        <w:trPr>
          <w:tblCellSpacing w:w="7" w:type="dxa"/>
          <w:jc w:val="center"/>
        </w:trPr>
        <w:tc>
          <w:tcPr>
            <w:tcW w:w="10176"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22"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C25" w14:textId="73826B75" w:rsidR="00FB5BA8" w:rsidRDefault="00FB5BA8" w:rsidP="007F258D">
      <w:pPr>
        <w:rPr>
          <w:rFonts w:ascii="Times New Roman" w:eastAsia="Times New Roman" w:hAnsi="Times New Roman" w:cs="Times New Roman"/>
          <w:b/>
          <w:bCs/>
          <w:kern w:val="36"/>
          <w:sz w:val="36"/>
          <w:szCs w:val="48"/>
        </w:rPr>
      </w:pPr>
      <w:bookmarkStart w:id="9" w:name="_Toc535922250"/>
    </w:p>
    <w:p w14:paraId="30B6EC26" w14:textId="77777777" w:rsidR="00EE0CC5" w:rsidRPr="0036751F" w:rsidRDefault="00EE0CC5" w:rsidP="006B64C4">
      <w:pPr>
        <w:spacing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Sample for the 2012 Assessment</w:t>
      </w:r>
      <w:bookmarkEnd w:id="9"/>
    </w:p>
    <w:p w14:paraId="30B6EC2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Long-Term Trend (LTT) assessment, a sample of 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was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(29 certainties and 38 noncertainties).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accomplish this, the 76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strata (defined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Primary Sampling Unit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paired and 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stratum was randomly selected from each of the 38 pairs.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Then one PSU was selected from each of the 38 selected strata with probability proportionate to size (with size equal to the estimated number of youths).</w:t>
      </w:r>
    </w:p>
    <w:p w14:paraId="43D8D51E" w14:textId="77777777" w:rsidR="00684CC1"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Economics assessment, a sample of 67 PSUs was also drawn. The same certainty PSUs were included in the non-LTT sample, but the noncertainty PSUs were drawn from the 38 noncertainty strata that were not used for the LTT assessment. Thus the two sets of sampled noncertainty PSUs were distinct from each other and did not overlap. In addition, the noncertainty PSUs were selected in such a way as to minimize overlap with PSU samples from prior NAEP assessments.</w:t>
      </w:r>
    </w:p>
    <w:p w14:paraId="30B6EC29" w14:textId="13872D12" w:rsidR="00234988" w:rsidRPr="0036751F" w:rsidRDefault="00234988" w:rsidP="006B64C4">
      <w:pPr>
        <w:spacing w:before="100" w:beforeAutospacing="1" w:after="4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of sampled primary sampling units (PSU)</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long-term trend (LTT) and economics assessments by PSU type: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71"/>
        <w:gridCol w:w="1757"/>
        <w:gridCol w:w="3282"/>
      </w:tblGrid>
      <w:tr w:rsidR="00EE0CC5" w:rsidRPr="001A3D9E" w14:paraId="30B6EC2C" w14:textId="77777777" w:rsidTr="00736231">
        <w:trPr>
          <w:tblHeader/>
          <w:tblCellSpacing w:w="7" w:type="dxa"/>
          <w:jc w:val="center"/>
        </w:trPr>
        <w:tc>
          <w:tcPr>
            <w:tcW w:w="2665" w:type="pct"/>
            <w:vMerge w:val="restar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2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 type</w:t>
            </w:r>
          </w:p>
        </w:tc>
        <w:tc>
          <w:tcPr>
            <w:tcW w:w="2311" w:type="pct"/>
            <w:gridSpan w:val="2"/>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B" w14:textId="77777777" w:rsidR="00EE0CC5" w:rsidRPr="001A3D9E" w:rsidRDefault="00EE0CC5" w:rsidP="00EE0CC5">
            <w:pPr>
              <w:jc w:val="cente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Number of sampled PSUs</w:t>
            </w:r>
          </w:p>
        </w:tc>
      </w:tr>
      <w:tr w:rsidR="00EE0CC5" w:rsidRPr="001A3D9E" w14:paraId="30B6EC30" w14:textId="77777777" w:rsidTr="00736231">
        <w:trPr>
          <w:tblHeader/>
          <w:tblCellSpacing w:w="7" w:type="dxa"/>
          <w:jc w:val="center"/>
        </w:trPr>
        <w:tc>
          <w:tcPr>
            <w:tcW w:w="2665" w:type="pct"/>
            <w:vMerge/>
            <w:tcBorders>
              <w:top w:val="single" w:sz="6" w:space="0" w:color="FFFFFF"/>
              <w:left w:val="single" w:sz="6" w:space="0" w:color="FFFFFF"/>
              <w:bottom w:val="single" w:sz="18" w:space="0" w:color="800000"/>
              <w:right w:val="single" w:sz="6" w:space="0" w:color="FFFFFF"/>
            </w:tcBorders>
            <w:shd w:val="clear" w:color="auto" w:fill="F5E4DF"/>
            <w:vAlign w:val="bottom"/>
            <w:hideMark/>
          </w:tcPr>
          <w:p w14:paraId="30B6EC2D" w14:textId="77777777" w:rsidR="00EE0CC5" w:rsidRPr="001A3D9E" w:rsidRDefault="00EE0CC5" w:rsidP="00EE0CC5">
            <w:pPr>
              <w:jc w:val="right"/>
              <w:rPr>
                <w:rFonts w:ascii="Times New Roman" w:eastAsia="Times New Roman" w:hAnsi="Times New Roman" w:cs="Times New Roman"/>
                <w:color w:val="000000"/>
                <w:szCs w:val="24"/>
              </w:rPr>
            </w:pPr>
          </w:p>
        </w:tc>
        <w:tc>
          <w:tcPr>
            <w:tcW w:w="8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LTT</w:t>
            </w:r>
          </w:p>
        </w:tc>
        <w:tc>
          <w:tcPr>
            <w:tcW w:w="149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Economics</w:t>
            </w:r>
          </w:p>
        </w:tc>
      </w:tr>
      <w:tr w:rsidR="00EE0CC5" w:rsidRPr="001A3D9E" w14:paraId="30B6EC3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C31" w14:textId="77777777" w:rsidR="00EE0CC5" w:rsidRPr="001A3D9E" w:rsidRDefault="00EE0CC5" w:rsidP="00EE0CC5">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2"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3"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r>
      <w:tr w:rsidR="00EE0CC5" w:rsidRPr="001A3D9E" w14:paraId="30B6EC36"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Metropolitan status</w:t>
            </w:r>
          </w:p>
        </w:tc>
      </w:tr>
      <w:tr w:rsidR="00EE0CC5" w:rsidRPr="001A3D9E" w14:paraId="30B6EC3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r>
      <w:tr w:rsidR="00EE0CC5" w:rsidRPr="001A3D9E" w14:paraId="30B6EC3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EE0CC5" w:rsidRPr="001A3D9E" w14:paraId="30B6EC40"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r>
      <w:tr w:rsidR="00EE0CC5" w:rsidRPr="001A3D9E" w14:paraId="30B6EC4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1"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Northeast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3"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r>
      <w:tr w:rsidR="00EE0CC5" w:rsidRPr="001A3D9E" w14:paraId="30B6EC48"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5"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Midwest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r>
      <w:tr w:rsidR="00EE0CC5" w:rsidRPr="001A3D9E" w14:paraId="30B6EC4C"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9"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South</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A"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r>
      <w:tr w:rsidR="00EE0CC5" w:rsidRPr="001A3D9E" w14:paraId="30B6EC50"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D"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r>
      <w:tr w:rsidR="00EE0CC5" w:rsidRPr="001A3D9E" w14:paraId="30B6EC52"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1"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Certainty/metropolitan status</w:t>
            </w:r>
          </w:p>
        </w:tc>
      </w:tr>
      <w:tr w:rsidR="00EE0CC5" w:rsidRPr="001A3D9E" w14:paraId="30B6EC56"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3"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Certainty</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4"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r>
      <w:tr w:rsidR="00EE0CC5" w:rsidRPr="001A3D9E" w14:paraId="30B6EC5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r>
      <w:tr w:rsidR="00EE0CC5" w:rsidRPr="001A3D9E" w14:paraId="30B6EC5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885858" w:rsidRPr="001A3D9E" w14:paraId="30B6EC60"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5F"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C62" w14:textId="3CE23108" w:rsidR="00C33467" w:rsidRDefault="00C33467">
      <w:pPr>
        <w:spacing w:after="160" w:line="259" w:lineRule="auto"/>
        <w:rPr>
          <w:rFonts w:ascii="Times New Roman" w:eastAsia="Times New Roman" w:hAnsi="Times New Roman" w:cs="Times New Roman"/>
          <w:szCs w:val="24"/>
        </w:rPr>
      </w:pPr>
    </w:p>
    <w:p w14:paraId="30B6EC63"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0" w:name="_Toc535922251"/>
      <w:r w:rsidRPr="0036751F">
        <w:rPr>
          <w:rFonts w:ascii="Times New Roman" w:eastAsia="Times New Roman" w:hAnsi="Times New Roman" w:cs="Times New Roman"/>
          <w:b/>
          <w:bCs/>
          <w:kern w:val="36"/>
          <w:sz w:val="36"/>
          <w:szCs w:val="48"/>
        </w:rPr>
        <w:t>NAEP Technical Documentation2012 Public School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10"/>
    </w:p>
    <w:p w14:paraId="30B6EC6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(LTT) sample design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yielded a nationally representative sample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PSUs,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sampling plan was designed to assess 15,300 students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public school age-specific samples. In addition, the design called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SD/ELL oversamples of 525 students at each of ages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 and 13.</w:t>
      </w:r>
    </w:p>
    <w:p w14:paraId="30B6EC65" w14:textId="77777777" w:rsidR="00EE0CC5" w:rsidRPr="0036751F" w:rsidRDefault="00EE0CC5" w:rsidP="002C35A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in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reading.</w:t>
      </w:r>
    </w:p>
    <w:p w14:paraId="30B6EC6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public school samples were drawn from a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included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(PSUs). From the stratified frame of public schools for each grade associated with the age range,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 of age-eligible schools was drawn with probability proportional to a 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C6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student probabilities across schools.</w:t>
      </w:r>
    </w:p>
    <w:p w14:paraId="30B6EC69"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1" w:name="_Toc53592225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Public School Long-Term Trend (LTT) Assessment</w:t>
      </w:r>
      <w:bookmarkEnd w:id="11"/>
    </w:p>
    <w:p w14:paraId="30B6EC6A" w14:textId="77777777" w:rsidR="00A375F4"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long-term trend (LTT) assessment included all students in three age populations (9, 13, and 17) who were enrolled in public schools in the 50 states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the District of Columbia.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also included Bureau of Indian Education (BIE) schools and Department of Defense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Domestic Dependent Elementary and Secondary Schools (DDESS).</w:t>
      </w:r>
    </w:p>
    <w:p w14:paraId="30B6EC6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2" w:name="_Toc535922253"/>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Sampling Frame of the 2012 Public School Long-Term Trend (LTT) Assessment</w:t>
      </w:r>
      <w:bookmarkEnd w:id="12"/>
    </w:p>
    <w:p w14:paraId="30B6EC6D"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Drawing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school samples for the 2012 long-term trend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required a comprehensive list of public schools in each jurisdiction containing information for stratification purposes. As in previous NAEP assessments,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Common Core of Data (CCD) file developed by NCES was used to construct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sampling frame. The CCD file corresponding to the 2008-2009 school year provided the frame for all regular public, state-operated public,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 of Indian Education (BIE),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Department of Defense Domestic Dependent Elementary and Secondary Schools (DDESS).</w:t>
      </w:r>
    </w:p>
    <w:p w14:paraId="30B6EC6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sampling frame was restricted to schools located 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selected for 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 In addition, the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excluded ungraded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vocational schools with no enrollment, special-education-only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homeschool entities, prison or hospital schools, and juvenile correctional institutions.</w:t>
      </w:r>
    </w:p>
    <w:p w14:paraId="30B6EC6F"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quality control purposes, school and student counts from the sampling frame were compared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 and student counts from previous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frames by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No major discrepancies were found.</w:t>
      </w:r>
    </w:p>
    <w:p w14:paraId="30B6EC71" w14:textId="77777777" w:rsidR="00EE0CC5" w:rsidRPr="0036751F" w:rsidRDefault="00EE0CC5" w:rsidP="002C35A2">
      <w:pPr>
        <w:keepNext/>
        <w:spacing w:before="100" w:beforeAutospacing="1" w:after="100" w:afterAutospacing="1"/>
        <w:outlineLvl w:val="0"/>
        <w:rPr>
          <w:rFonts w:ascii="Times New Roman" w:eastAsia="Times New Roman" w:hAnsi="Times New Roman" w:cs="Times New Roman"/>
          <w:b/>
          <w:bCs/>
          <w:kern w:val="36"/>
          <w:sz w:val="36"/>
          <w:szCs w:val="48"/>
        </w:rPr>
      </w:pPr>
      <w:bookmarkStart w:id="13" w:name="_Toc53592225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Schools and Enrollment in the Public School Frame for the 2012 Public School Long-Term Trend (LTT) Assessment</w:t>
      </w:r>
      <w:bookmarkEnd w:id="13"/>
    </w:p>
    <w:p w14:paraId="30B6EC72" w14:textId="77777777" w:rsidR="00C33467" w:rsidRDefault="00EE0CC5" w:rsidP="0036751F">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following table presents the number of schools and estimated enrollment for the public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frame by age population.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unweighted estimated enrollment 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restricted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 weighted estimated enrollment incorporates the PSU weight (inverse of the probability of selecting the PSU), and the estimated age-eligible enrollment, and thus is a national estimate of the number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age population. The age-eligible enrollment was estimated using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derived for each grade in the age range.</w:t>
      </w:r>
    </w:p>
    <w:p w14:paraId="30B6EC74" w14:textId="77777777" w:rsidR="00885858" w:rsidRPr="0036751F" w:rsidRDefault="00234988" w:rsidP="0036751F">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Number of schools and enrollment in public school sampling frame, long-term trend (LTT) assessment, by age: 2012</w:t>
      </w:r>
    </w:p>
    <w:tbl>
      <w:tblPr>
        <w:tblW w:w="934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035"/>
        <w:gridCol w:w="2294"/>
        <w:gridCol w:w="3064"/>
        <w:gridCol w:w="2952"/>
      </w:tblGrid>
      <w:tr w:rsidR="00EE0CC5" w:rsidRPr="001A3D9E" w14:paraId="30B6EC79" w14:textId="77777777" w:rsidTr="00234988">
        <w:trPr>
          <w:tblHeade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7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6"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count in</w:t>
            </w:r>
            <w:r w:rsidRPr="001A3D9E">
              <w:rPr>
                <w:rFonts w:ascii="Times New Roman" w:eastAsia="Times New Roman" w:hAnsi="Times New Roman" w:cs="Times New Roman"/>
                <w:color w:val="000000"/>
                <w:szCs w:val="24"/>
              </w:rPr>
              <w:br/>
              <w:t xml:space="preserve">sampled </w:t>
            </w:r>
            <w:r w:rsidR="00EE0CC5"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7"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enrollment</w:t>
            </w:r>
            <w:r w:rsidR="00EE0CC5" w:rsidRPr="001A3D9E">
              <w:rPr>
                <w:rFonts w:ascii="Times New Roman" w:eastAsia="Times New Roman" w:hAnsi="Times New Roman" w:cs="Times New Roman"/>
                <w:color w:val="000000"/>
                <w:szCs w:val="24"/>
              </w:rPr>
              <w:br/>
              <w:t>(unweighted)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8"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 enrollment</w:t>
            </w:r>
            <w:r w:rsidR="00EE0CC5" w:rsidRPr="001A3D9E">
              <w:rPr>
                <w:rFonts w:ascii="Times New Roman" w:eastAsia="Times New Roman" w:hAnsi="Times New Roman" w:cs="Times New Roman"/>
                <w:color w:val="000000"/>
                <w:szCs w:val="24"/>
              </w:rPr>
              <w:br/>
              <w:t>(weighted)</w:t>
            </w:r>
          </w:p>
        </w:tc>
      </w:tr>
      <w:tr w:rsidR="00EE0CC5" w:rsidRPr="001A3D9E" w14:paraId="30B6EC7E"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3,647,000</w:t>
            </w:r>
          </w:p>
        </w:tc>
      </w:tr>
      <w:tr w:rsidR="00EE0CC5" w:rsidRPr="001A3D9E" w14:paraId="30B6EC83"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1,650,000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3,569,000</w:t>
            </w:r>
          </w:p>
        </w:tc>
      </w:tr>
      <w:tr w:rsidR="00EE0CC5" w:rsidRPr="001A3D9E" w14:paraId="30B6EC8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4"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3,713,000</w:t>
            </w:r>
          </w:p>
        </w:tc>
      </w:tr>
      <w:tr w:rsidR="00885858" w:rsidRPr="001A3D9E" w14:paraId="30B6EC8A" w14:textId="77777777" w:rsidTr="00BE2BFC">
        <w:trPr>
          <w:tblCellSpacing w:w="7" w:type="dxa"/>
          <w:jc w:val="center"/>
        </w:trPr>
        <w:tc>
          <w:tcPr>
            <w:tcW w:w="0" w:type="auto"/>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89"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w:t>
            </w:r>
          </w:p>
        </w:tc>
      </w:tr>
    </w:tbl>
    <w:p w14:paraId="30B6EC8B" w14:textId="77777777" w:rsidR="00EE0CC5" w:rsidRPr="001A3D9E" w:rsidRDefault="00EE0CC5" w:rsidP="006B64C4">
      <w:pPr>
        <w:rPr>
          <w:rFonts w:ascii="Times New Roman" w:eastAsia="Times New Roman" w:hAnsi="Times New Roman" w:cs="Times New Roman"/>
          <w:szCs w:val="24"/>
        </w:rPr>
      </w:pPr>
    </w:p>
    <w:p w14:paraId="30B6EC8C" w14:textId="77777777" w:rsidR="00EE0CC5" w:rsidRPr="0036751F" w:rsidRDefault="00EE0CC5" w:rsidP="006B64C4">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4" w:name="_Toc535922255"/>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New-School Sampling Frame for the 2012 Public School Long-Term Trend (LTT) Assessment</w:t>
      </w:r>
      <w:bookmarkEnd w:id="14"/>
    </w:p>
    <w:p w14:paraId="30B6EC8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most current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Common Core of Data (CCD) file available was used to construct the public school frame for NAEP 2012. However, the information on that file was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3 years out of date by the time of the NAEP assessment. During that 3-year period, some schools closed, others changed grade span, and still others came into existence.</w:t>
      </w:r>
    </w:p>
    <w:p w14:paraId="30B6EC8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One can improve coverage by asking districts to provide information on currently open schools that were not listed on the 2008-2009 CCD file used to create the NAEP public school frame, and also to report grade span changes that may have caused a CCD-listed school to become newly eligible for ages 9, 13, or 17. Asking all districts to do this would have imposed an undue burden, so instead, a random sample of districts was contacted to obtain lists of new and newly eligible schools. The goal was to allow every new or newly eligible school a chance of selection, thereby fully covering the target population of schools in operation during the 2011-2012 school year.</w:t>
      </w:r>
    </w:p>
    <w:p w14:paraId="30B6EC8F"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first step in this process was the development of a new-school frame through the construction of a district-level file from the CCD school-level file. Since the operational assessment was to be conducted within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67 geographically defined areas selected 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Units (PSUs), only districts that fell within the boundaries of those PSUs were eligible for sampling. Once the district-level file was subset to just the targeted PSUs, it was divided into three files: the first containing state-operated and charter school districts, the second containing small districts, and the third containing large districts.</w:t>
      </w:r>
    </w:p>
    <w:p w14:paraId="30B6EC90"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State-operated districts and districts containing no schools other than charter schools require special handling. In survey years when state-level assessments are conducted,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State Coordinators are asked to provide the names of all new charter-only and state-run schools. However, these types of school districts tend not to be geographically compact, and it is not feasible to link such a district to a single PSU, except at the individual school level. The smaller the proportion of a state’s population falling within sampled PSUs, the less likely that a specific new school of this type will be added to</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frame and the more likely that state personnel will have expended unnecessary effort in providing updated information that will not be used. For this reason, for the NAEP 2012 assessment, the charter-only and state-run district component of the new school procedure was implemented only in states where more than 60 percent of youth fell within sampled PSUs. This meant that this component of the new-school sampling frame procedure was implemented in 9 states plus the District of Columbia, which taken together contain about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42 percent of the nation's youth.</w:t>
      </w:r>
    </w:p>
    <w:p w14:paraId="30B6EC91"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remaining districts were classified as small or large. A small district contains no more than eleven schools on the frame in total, with no more than one school at each targeted grade (second through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twelfth). All other districts were considered to be large. The large districts were divided into 66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sz w:val="24"/>
          <w:szCs w:val="24"/>
        </w:rPr>
        <w:t>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color w:val="000000"/>
          <w:sz w:val="24"/>
          <w:szCs w:val="24"/>
        </w:rPr>
        <w:t>based on the NAEP 2012 PSU sampling strata. The district sample was allocated to each of the 66 strata proportional to the percent of the U.S. population of students ages 9, 13 and 17 contained in that stratum, with the caveat that each stratum had to be allocated at least one district. Once the allocation to each stratum had been fixed, districts were sampled from a sorted list using systematic sampling with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probability proportional to size and a random start,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measure of size being the estimate of youth ages 9, 13 and 17 enrolled in the district. The districts were sorted by the measure of size. District selection probabilities were retained and used in all subsequent stages of sampling and weighting.</w:t>
      </w:r>
    </w:p>
    <w:p w14:paraId="30B6EC9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selected districts were then sent a listing of all their schools that appeared on the 2008-2009 CCD file and were asked to provide information about any schools missing from CCD, and grade span changes of existing schools. This information provided by the sampled districts was used to construct sampling frames for the selection of new or newly eligible public schools and also for updating the status of existing schools (e.g.</w:t>
      </w:r>
      <w:r w:rsidR="00FD1306">
        <w:rPr>
          <w:rFonts w:ascii="Times New Roman" w:eastAsia="Times New Roman" w:hAnsi="Times New Roman" w:cs="Times New Roman"/>
          <w:color w:val="000000"/>
          <w:sz w:val="24"/>
          <w:szCs w:val="24"/>
        </w:rPr>
        <w:t>,</w:t>
      </w:r>
      <w:r w:rsidRPr="0036751F">
        <w:rPr>
          <w:rFonts w:ascii="Times New Roman" w:eastAsia="Times New Roman" w:hAnsi="Times New Roman" w:cs="Times New Roman"/>
          <w:color w:val="000000"/>
          <w:sz w:val="24"/>
          <w:szCs w:val="24"/>
        </w:rPr>
        <w:t xml:space="preserve"> school closings). This process was conducted through the NAEP State Coordinator in each jurisdiction. The coordinators were sent the information for all sampled districts in their respective states and were responsible for returning the completed updates.</w:t>
      </w:r>
    </w:p>
    <w:p w14:paraId="30B6EC9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Because the long-term trend (LTT) assessments are age based, the new-schools-in-small-districts procedure was done in a different manner</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from a grade-based year because it is not always clear, based on grade alone, whether a school is age-eligible.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Once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small districts were identified, we prepared listings of all schools in small districts that had an LTT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sampled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listings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in turn were sent to the state coordinators in the affected states for review and updating, in the same manner as for the large-district new-school procedure.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statistical staff reviewed the updated listings from the states and determined that no new schools from small districts needed to be added to the sample.</w:t>
      </w:r>
    </w:p>
    <w:p w14:paraId="30B6EC94"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5" w:name="_Toc535922256"/>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Public Schools</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in the 2012 Long-Term Trend (LTT) Assessment</w:t>
      </w:r>
      <w:bookmarkEnd w:id="15"/>
    </w:p>
    <w:p w14:paraId="30B6EC95"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Prior to stratification, the public school sampling frame was divided into age-specific files, one each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 9, 13, and 17. For each age-specific frame file,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into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C9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certainty PSUs, the schools were hierarchically sorted by</w:t>
      </w:r>
    </w:p>
    <w:p w14:paraId="30B6EC97"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C98"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w:t>
      </w:r>
    </w:p>
    <w:p w14:paraId="30B6EC99"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and</w:t>
      </w:r>
    </w:p>
    <w:p w14:paraId="30B6EC9A"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 age enrollment.</w:t>
      </w:r>
    </w:p>
    <w:p w14:paraId="30B6EC9B" w14:textId="77777777" w:rsidR="00EE0CC5" w:rsidRPr="0036751F" w:rsidRDefault="00EE0CC5" w:rsidP="00EE0CC5">
      <w:pP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there were fewer than two expected sampled schools for a particular urbanization classification cell (nested within the Census region), the cell was collapsed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a neighboring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urbanization classification cell. If the expected sampled schools exceeded four, then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defined based on the percentage of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defined so that there were at least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two expected sampled schools for each racial/ethnic stratum. If the urbanization classification stratum had an expected sample size less than four, no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generated, and the final sort variable was percent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rather than estimated age enrollment.</w:t>
      </w:r>
    </w:p>
    <w:p w14:paraId="30B6EC9C"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C9D"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C9E"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 and</w:t>
      </w:r>
    </w:p>
    <w:p w14:paraId="30B6EC9F"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(Blacks, Hispanics, American Indians/Alaska Natives).</w:t>
      </w:r>
    </w:p>
    <w:p w14:paraId="30B6ECA0"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collapsing of cells within the noncertainty PSUs was implemented in a fashion similar to that described for certainty PSUs.</w:t>
      </w:r>
    </w:p>
    <w:p w14:paraId="30B6ECA2"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6" w:name="_Toc535922257"/>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of Public Schools for the 2012 Long-Term Trend (LTT) Assessment</w:t>
      </w:r>
      <w:bookmarkEnd w:id="16"/>
    </w:p>
    <w:p w14:paraId="30B6ECA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When designing each school sample, there are five objectives that underlie the process of determining the probability of selection for each school and how many students are to be sampled from each selected school. They are as follows:</w:t>
      </w:r>
    </w:p>
    <w:p w14:paraId="30B6ECA4"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meet the target student sample size for each age-specific sample</w:t>
      </w:r>
    </w:p>
    <w:p w14:paraId="30B6ECA5"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select an equal-probability sample of students</w:t>
      </w:r>
    </w:p>
    <w:p w14:paraId="30B6ECA6"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limit the number of students that are selected from a school;</w:t>
      </w:r>
    </w:p>
    <w:p w14:paraId="30B6ECA7"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ensure that the sample within a school does not include a very high percentage of the students in the school, unless all students are included</w:t>
      </w:r>
    </w:p>
    <w:p w14:paraId="30B6ECA8"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reduce the rate of sampling of small schools, in recognition of the greater cost and burden per student of conducting assessments in such schools</w:t>
      </w:r>
    </w:p>
    <w:p w14:paraId="30B6ECA9"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goal in determining the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measure of size (MOS) is to optimize across the last four objectives in terms of maintaining the accuracy of estimates and the cost effectiveness of the sample design.</w:t>
      </w:r>
    </w:p>
    <w:p w14:paraId="30B6ECAA"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Therefore, to meet the target student sample size objective and achieve a reasonable compromise among the other four objectives, the following algorithm was used to assign a measure of size to each school based on its age-specific enrollment as estimated from the sampling frame data.</w:t>
      </w:r>
    </w:p>
    <w:p w14:paraId="30B6ECAB"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measures of size vary by enrollment size and within school target sample size. In general, very small schools were assigned an MOS that is one quarter of the target sample size of 64 students. The preliminary measures of size (</w:t>
      </w:r>
      <w:r w:rsidRPr="0036751F">
        <w:rPr>
          <w:rFonts w:ascii="Times New Roman" w:eastAsia="Times New Roman" w:hAnsi="Times New Roman" w:cs="Times New Roman"/>
          <w:i/>
          <w:iCs/>
          <w:color w:val="000000"/>
          <w:sz w:val="24"/>
          <w:szCs w:val="27"/>
        </w:rPr>
        <w:t>MOS</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set as follows:</w:t>
      </w:r>
    </w:p>
    <w:p w14:paraId="30B6ECAC"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9" wp14:editId="30B6F4EA">
            <wp:extent cx="2900045" cy="1235075"/>
            <wp:effectExtent l="0" t="0" r="0" b="3175"/>
            <wp:docPr id="12" name="Picture 12" descr="https://nces.ed.gov/nationsreportcard/subject/tdw/images/sample_design/2012/1_LTT_Sampling_Public_Scho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ces.ed.gov/nationsreportcard/subject/tdw/images/sample_design/2012/1_LTT_Sampling_Public_Schoo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045" cy="1235075"/>
                    </a:xfrm>
                    <a:prstGeom prst="rect">
                      <a:avLst/>
                    </a:prstGeom>
                    <a:noFill/>
                    <a:ln>
                      <a:noFill/>
                    </a:ln>
                  </pic:spPr>
                </pic:pic>
              </a:graphicData>
            </a:graphic>
          </wp:inline>
        </w:drawing>
      </w:r>
    </w:p>
    <w:p w14:paraId="30B6ECA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x</w:t>
      </w:r>
      <w:r w:rsidRPr="0036751F">
        <w:rPr>
          <w:rFonts w:ascii="Times New Roman" w:eastAsia="Times New Roman" w:hAnsi="Times New Roman" w:cs="Times New Roman"/>
          <w:i/>
          <w:iCs/>
          <w:color w:val="000000"/>
          <w:sz w:val="24"/>
          <w:szCs w:val="27"/>
          <w:vertAlign w:val="subscript"/>
        </w:rPr>
        <w:t>js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estimated age-specific enrollment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PSU_WT</w:t>
      </w:r>
      <w:r w:rsidRPr="0036751F">
        <w:rPr>
          <w:rFonts w:ascii="Times New Roman" w:eastAsia="Times New Roman" w:hAnsi="Times New Roman" w:cs="Times New Roman"/>
          <w:i/>
          <w:iCs/>
          <w:color w:val="000000"/>
          <w:sz w:val="24"/>
          <w:szCs w:val="27"/>
          <w:vertAlign w:val="subscript"/>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PSU weight for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Pr="0036751F">
        <w:rPr>
          <w:rFonts w:ascii="Times New Roman" w:eastAsia="Times New Roman" w:hAnsi="Times New Roman" w:cs="Times New Roman"/>
          <w:color w:val="000000"/>
          <w:sz w:val="24"/>
          <w:szCs w:val="27"/>
        </w:rPr>
        <w:t>.</w:t>
      </w:r>
    </w:p>
    <w:p w14:paraId="30B6ECA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A school with more than 15 percent Black and Hispanic students and at least 10 Black or Hispanic students in the sample grade is in the high Black/Hispanic stratum for NAEP. The measures of size for schools in the high Black/Hispanic stratum are doubled to increase their chances of selection:</w:t>
      </w:r>
    </w:p>
    <w:p w14:paraId="30B6ECAF"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B" wp14:editId="30B6F4EC">
            <wp:extent cx="4196715" cy="477520"/>
            <wp:effectExtent l="0" t="0" r="0" b="0"/>
            <wp:docPr id="13" name="Picture 13" descr="M subscript js equals bracket 2 rows. Row 1 equals 2 times MOS subscript js if school is in the high Black/Hispanic stratum. Row 2 equals MOS subscript js if school is not in the high Black/Hispanic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 subscript js equals bracket 2 rows. Row 1 equals 2 times MOS subscript js if school is in the high Black/Hispanic stratum. Row 2 equals MOS subscript js if school is not in the high Black/Hispanic strat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477520"/>
                    </a:xfrm>
                    <a:prstGeom prst="rect">
                      <a:avLst/>
                    </a:prstGeom>
                    <a:noFill/>
                    <a:ln>
                      <a:noFill/>
                    </a:ln>
                  </pic:spPr>
                </pic:pic>
              </a:graphicData>
            </a:graphic>
          </wp:inline>
        </w:drawing>
      </w:r>
    </w:p>
    <w:p w14:paraId="30B6ECB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next task in this development is to describe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Pr="0036751F">
        <w:rPr>
          <w:rFonts w:ascii="Times New Roman" w:eastAsia="Times New Roman" w:hAnsi="Times New Roman" w:cs="Times New Roman"/>
          <w:color w:val="000000"/>
          <w:sz w:val="24"/>
          <w:szCs w:val="27"/>
        </w:rPr>
        <w:t>, the constant of proportionality for each age. It is a sampling parameter that, when multiplied with a school’s preliminary measure of size (</w:t>
      </w:r>
      <w:r w:rsidRPr="0036751F">
        <w:rPr>
          <w:rFonts w:ascii="Times New Roman" w:eastAsia="Times New Roman" w:hAnsi="Times New Roman" w:cs="Times New Roman"/>
          <w:i/>
          <w:iCs/>
          <w:color w:val="000000"/>
          <w:sz w:val="24"/>
          <w:szCs w:val="27"/>
        </w:rPr>
        <w:t>M</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yields the school’s final measure of size. It is computed in such a way that, when used with the systematic sampling procedure, the target student sample size is achieved.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0.000050 for age 9, 0.000056 for age 13, and 0.000062 for age 17.</w:t>
      </w:r>
    </w:p>
    <w:p w14:paraId="30B6ECB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b/>
          <w:bCs/>
          <w:color w:val="000000"/>
          <w:sz w:val="24"/>
          <w:szCs w:val="27"/>
        </w:rPr>
      </w:pPr>
      <w:r w:rsidRPr="0036751F">
        <w:rPr>
          <w:rFonts w:ascii="Times New Roman" w:eastAsia="Times New Roman" w:hAnsi="Times New Roman" w:cs="Times New Roman"/>
          <w:color w:val="000000"/>
          <w:sz w:val="24"/>
          <w:szCs w:val="27"/>
        </w:rPr>
        <w:t>The final measure of size,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E</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is defined as:</w:t>
      </w:r>
    </w:p>
    <w:p w14:paraId="30B6ECB2"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noProof/>
          <w:color w:val="000000"/>
          <w:sz w:val="24"/>
          <w:szCs w:val="27"/>
        </w:rPr>
        <w:drawing>
          <wp:inline distT="0" distB="0" distL="0" distR="0" wp14:anchorId="30B6F4ED" wp14:editId="30B6F4EE">
            <wp:extent cx="1426210" cy="286385"/>
            <wp:effectExtent l="0" t="0" r="2540" b="0"/>
            <wp:docPr id="14" name="Picture 14"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 subscript js equals min left parenthesis b subscript j times M subscript js comma u subscript j right parenthes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286385"/>
                    </a:xfrm>
                    <a:prstGeom prst="rect">
                      <a:avLst/>
                    </a:prstGeom>
                    <a:noFill/>
                    <a:ln>
                      <a:noFill/>
                    </a:ln>
                  </pic:spPr>
                </pic:pic>
              </a:graphicData>
            </a:graphic>
          </wp:inline>
        </w:drawing>
      </w:r>
    </w:p>
    <w:p w14:paraId="30B6ECB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quantity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maximum number of times a school can be selected or “hits” allowed) in this formula is designed to put an upper bound on the burden for the sampled schools.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1.</w:t>
      </w:r>
    </w:p>
    <w:p w14:paraId="30B6ECB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addition, new and newly-eligible schools were sampled from the new-school frame. The assigned measures of size for these schools</w:t>
      </w:r>
    </w:p>
    <w:p w14:paraId="30B6ECB5"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8"/>
          <w:szCs w:val="27"/>
        </w:rPr>
      </w:pPr>
      <w:r w:rsidRPr="0036751F">
        <w:rPr>
          <w:rFonts w:ascii="Times New Roman" w:eastAsia="Times New Roman" w:hAnsi="Times New Roman" w:cs="Times New Roman"/>
          <w:noProof/>
          <w:color w:val="000000"/>
          <w:sz w:val="28"/>
          <w:szCs w:val="27"/>
        </w:rPr>
        <w:drawing>
          <wp:inline distT="0" distB="0" distL="0" distR="0" wp14:anchorId="30B6F4EF" wp14:editId="30B6F4F0">
            <wp:extent cx="1876425" cy="382270"/>
            <wp:effectExtent l="0" t="0" r="9525" b="0"/>
            <wp:docPr id="15" name="Picture 15" descr="https://nces.ed.gov/nationsreportcard/subject/tdw/images/sample_design/2012/SamplingE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ces.ed.gov/nationsreportcard/subject/tdw/images/sample_design/2012/SamplingEco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382270"/>
                    </a:xfrm>
                    <a:prstGeom prst="rect">
                      <a:avLst/>
                    </a:prstGeom>
                    <a:noFill/>
                    <a:ln>
                      <a:noFill/>
                    </a:ln>
                  </pic:spPr>
                </pic:pic>
              </a:graphicData>
            </a:graphic>
          </wp:inline>
        </w:drawing>
      </w:r>
    </w:p>
    <w:p w14:paraId="30B6ECB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used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values from the main school sample. The variable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b/>
          <w:bCs/>
          <w:noProof/>
          <w:color w:val="000000"/>
          <w:sz w:val="24"/>
          <w:szCs w:val="27"/>
        </w:rPr>
        <w:drawing>
          <wp:inline distT="0" distB="0" distL="0" distR="0" wp14:anchorId="30B6F4F1" wp14:editId="30B6F4F2">
            <wp:extent cx="293370" cy="280035"/>
            <wp:effectExtent l="0" t="0" r="0" b="5715"/>
            <wp:docPr id="16" name="Picture 16" descr="Pie superscript minus 1 subscript d j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e superscript minus 1 subscript d j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80035"/>
                    </a:xfrm>
                    <a:prstGeom prst="rect">
                      <a:avLst/>
                    </a:prstGeom>
                    <a:noFill/>
                    <a:ln>
                      <a:noFill/>
                    </a:ln>
                  </pic:spPr>
                </pic:pic>
              </a:graphicData>
            </a:graphic>
          </wp:inline>
        </w:drawing>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probability of selection of the district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into the new-school district sample.</w:t>
      </w:r>
    </w:p>
    <w:p w14:paraId="30B6ECB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Schools were ordered within each jurisdiction using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serpentine sort described under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stratification of public schools.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systematic sample was then drawn using this serpentine sorted list and the measures of size. The numbers of public schools selected, including the original and new school sample were approximately 350, 375, and 400 for ages 9, 13, and 17, respectively.</w:t>
      </w:r>
    </w:p>
    <w:p w14:paraId="30B6ECB8" w14:textId="77777777" w:rsidR="00EE0CC5"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age-eligible students was computed using a derived linear function of estimated grade enrollments. For 9-year-olds, the frame contained schools with a second, third, fourth, or fifth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(5)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(5) denote the global proportion of students who were 9 years old (birth months January 2002 through December 2002)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Ages 9 and 13 describes how these proportions are computed.</w:t>
      </w:r>
    </w:p>
    <w:p w14:paraId="30B6ECBA" w14:textId="77777777" w:rsidR="00EE0CC5" w:rsidRPr="001A3D9E" w:rsidRDefault="00234988" w:rsidP="00234988">
      <w:pPr>
        <w:shd w:val="clear" w:color="auto" w:fill="FFFFFF"/>
        <w:spacing w:before="100" w:beforeAutospacing="1" w:after="100" w:afterAutospacing="1"/>
        <w:ind w:left="720"/>
        <w:rPr>
          <w:rFonts w:ascii="Times New Roman" w:eastAsia="Times New Roman" w:hAnsi="Times New Roman" w:cs="Times New Roman"/>
          <w:szCs w:val="24"/>
        </w:rPr>
      </w:pPr>
      <w:r w:rsidRPr="001A3D9E">
        <w:rPr>
          <w:rFonts w:ascii="Times New Roman" w:eastAsia="Times New Roman" w:hAnsi="Times New Roman" w:cs="Times New Roman"/>
          <w:b/>
          <w:bCs/>
          <w:color w:val="000000"/>
          <w:szCs w:val="24"/>
        </w:rPr>
        <w:t>Distribution proportions based on estimated enrollment for 9-year-old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449"/>
        <w:gridCol w:w="1240"/>
        <w:gridCol w:w="1240"/>
        <w:gridCol w:w="1240"/>
        <w:gridCol w:w="1240"/>
        <w:gridCol w:w="1306"/>
      </w:tblGrid>
      <w:tr w:rsidR="00EE0CC5" w:rsidRPr="001A3D9E" w14:paraId="30B6ECC1"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B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C3" w14:textId="77777777" w:rsidTr="00234988">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C2"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CA"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4"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1"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2"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9"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79370D" w:rsidRPr="001A3D9E" w14:paraId="30B6ECE1"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E0"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 Rounds to zero.</w:t>
            </w:r>
            <w:r w:rsidRPr="001A3D9E">
              <w:rPr>
                <w:rFonts w:ascii="Times New Roman" w:eastAsia="Times New Roman" w:hAnsi="Times New Roman" w:cs="Times New Roman"/>
                <w:color w:val="000000"/>
                <w:sz w:val="18"/>
                <w:szCs w:val="24"/>
              </w:rPr>
              <w:b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CE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9-year-olds component of the long-term trend (LTT) study for each school was computed as follows:</w:t>
      </w:r>
    </w:p>
    <w:p w14:paraId="30B6ECE3"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3" wp14:editId="30B6F4F4">
            <wp:extent cx="1528445" cy="477520"/>
            <wp:effectExtent l="0" t="0" r="0" b="0"/>
            <wp:docPr id="17" name="Picture 17" descr="X subscript js = summation from g = 2 to 5 of F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subscript js = summation from g = 2 to 5 of F subscript j left parenthesis g right parenthesis times M subscript js left parenthesis g right parenthe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CE4" w14:textId="77777777" w:rsidR="0036751F" w:rsidRDefault="00EE0CC5" w:rsidP="0079370D">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13-year-olds, the frame contained schools with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sixth, seventh,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eighth, or ninth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 denote the global proportion of students who were 13 years old (birth months January 1998 through December 1998)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Age Distribution Fractions for Ages 9 and 13 describes how </w:t>
      </w:r>
      <w:r w:rsidR="0079370D" w:rsidRPr="0036751F">
        <w:rPr>
          <w:rFonts w:ascii="Times New Roman" w:eastAsia="Times New Roman" w:hAnsi="Times New Roman" w:cs="Times New Roman"/>
          <w:color w:val="000000"/>
          <w:sz w:val="24"/>
          <w:szCs w:val="24"/>
        </w:rPr>
        <w:t>these proportions are computed.</w:t>
      </w:r>
    </w:p>
    <w:p w14:paraId="30B6ECE6" w14:textId="77777777" w:rsidR="0036751F" w:rsidRDefault="00234988" w:rsidP="00234988">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13-year-old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1253"/>
        <w:gridCol w:w="1253"/>
        <w:gridCol w:w="1253"/>
        <w:gridCol w:w="1253"/>
        <w:gridCol w:w="1267"/>
        <w:gridCol w:w="57"/>
      </w:tblGrid>
      <w:tr w:rsidR="00EE0CC5" w:rsidRPr="001A3D9E" w14:paraId="30B6ECED" w14:textId="77777777" w:rsidTr="00BE2BFC">
        <w:trPr>
          <w:gridAfter w:val="1"/>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E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EF" w14:textId="77777777" w:rsidTr="00234988">
        <w:trPr>
          <w:tblCellSpacing w:w="7" w:type="dxa"/>
          <w:jc w:val="center"/>
        </w:trPr>
        <w:tc>
          <w:tcPr>
            <w:tcW w:w="0" w:type="auto"/>
            <w:gridSpan w:val="7"/>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EE"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F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CF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0.99</w:t>
            </w:r>
          </w:p>
        </w:tc>
        <w:tc>
          <w:tcPr>
            <w:tcW w:w="0" w:type="auto"/>
            <w:shd w:val="clear" w:color="auto" w:fill="FFFFFF"/>
            <w:vAlign w:val="center"/>
            <w:hideMark/>
          </w:tcPr>
          <w:p w14:paraId="30B6ED0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D0E" w14:textId="77777777" w:rsidR="00EE0CC5" w:rsidRPr="001A3D9E" w:rsidRDefault="00EE0CC5" w:rsidP="00EE0CC5">
            <w:pPr>
              <w:rPr>
                <w:rFonts w:ascii="Times New Roman" w:eastAsia="Times New Roman" w:hAnsi="Times New Roman" w:cs="Times New Roman"/>
                <w:sz w:val="18"/>
                <w:szCs w:val="20"/>
              </w:rPr>
            </w:pPr>
          </w:p>
        </w:tc>
      </w:tr>
      <w:tr w:rsidR="0079370D" w:rsidRPr="001A3D9E" w14:paraId="30B6ED1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10" w14:textId="77777777" w:rsidR="0079370D" w:rsidRPr="001A3D9E" w:rsidRDefault="0079370D" w:rsidP="0079370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color w:val="000000"/>
                <w:sz w:val="18"/>
                <w:szCs w:val="20"/>
              </w:rPr>
              <w:t># Rounds to zero.</w:t>
            </w:r>
            <w:r w:rsidRPr="001A3D9E">
              <w:rPr>
                <w:rFonts w:ascii="Times New Roman" w:eastAsia="Times New Roman" w:hAnsi="Times New Roman" w:cs="Times New Roman"/>
                <w:color w:val="000000"/>
                <w:sz w:val="18"/>
                <w:szCs w:val="20"/>
              </w:rPr>
              <w:br/>
              <w:t>NOTE: Detail may not sum to totals because of rounding.</w:t>
            </w:r>
            <w:r w:rsidRPr="001A3D9E">
              <w:rPr>
                <w:rFonts w:ascii="Times New Roman" w:eastAsia="Times New Roman" w:hAnsi="Times New Roman" w:cs="Times New Roman"/>
                <w:color w:val="000000"/>
                <w:sz w:val="18"/>
                <w:szCs w:val="20"/>
              </w:rPr>
              <w:br/>
              <w:t>SOURCE: U.S. Department of Education, Institute of Education Sciences, National Center for Education Statistics, National Assessment of Educational Progress (NAEP), 2012 Long-Term Trend Assessment.</w:t>
            </w:r>
          </w:p>
        </w:tc>
        <w:tc>
          <w:tcPr>
            <w:tcW w:w="0" w:type="auto"/>
            <w:shd w:val="clear" w:color="auto" w:fill="FFFFFF"/>
            <w:vAlign w:val="center"/>
          </w:tcPr>
          <w:p w14:paraId="30B6ED11" w14:textId="77777777" w:rsidR="0079370D" w:rsidRPr="001A3D9E" w:rsidRDefault="0079370D" w:rsidP="00EE0CC5">
            <w:pPr>
              <w:rPr>
                <w:rFonts w:ascii="Times New Roman" w:eastAsia="Times New Roman" w:hAnsi="Times New Roman" w:cs="Times New Roman"/>
                <w:sz w:val="18"/>
                <w:szCs w:val="20"/>
              </w:rPr>
            </w:pPr>
          </w:p>
        </w:tc>
      </w:tr>
    </w:tbl>
    <w:p w14:paraId="30B6ED13"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13-year-olds component of the LTT study for each school was computed as follows:</w:t>
      </w:r>
    </w:p>
    <w:p w14:paraId="30B6ED14"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5" wp14:editId="30B6F4F6">
            <wp:extent cx="1651635" cy="504825"/>
            <wp:effectExtent l="0" t="0" r="5715" b="9525"/>
            <wp:docPr id="18" name="Picture 18"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 subscript js = summation from g = 6 to 9 of G subscript j left parenthesis g right parenthesis times M subscript js left parenthesis g right parenthes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635" cy="504825"/>
                    </a:xfrm>
                    <a:prstGeom prst="rect">
                      <a:avLst/>
                    </a:prstGeom>
                    <a:noFill/>
                    <a:ln>
                      <a:noFill/>
                    </a:ln>
                  </pic:spPr>
                </pic:pic>
              </a:graphicData>
            </a:graphic>
          </wp:inline>
        </w:drawing>
      </w:r>
    </w:p>
    <w:p w14:paraId="30B6ED15" w14:textId="77777777" w:rsidR="00234988"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the age 17 component, the frame contained schools with a ninth, tenth, eleventh, or twelfth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(12)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Current Population Survey (CPS) School Supplement (October 2009) was utilized to provide the proportions within each of ninth, tenth, eleventh, and twelfth grades for the age 17 component. The same table was used for both 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 17 describes how these proportions are computed.</w:t>
      </w:r>
    </w:p>
    <w:p w14:paraId="30B6ED16" w14:textId="77777777" w:rsidR="00EE0CC5" w:rsidRPr="0036751F" w:rsidRDefault="00234988"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the age 17 component, Long-Term Trend (LTT) assessment, by Census region: 2012</w:t>
      </w:r>
      <w:r w:rsidR="00A375F4">
        <w:rPr>
          <w:rFonts w:ascii="Times New Roman" w:eastAsia="Times New Roman" w:hAnsi="Times New Roman" w:cs="Times New Roman"/>
          <w:color w:val="000000"/>
          <w:sz w:val="24"/>
          <w:szCs w:val="24"/>
        </w:rPr>
        <w:t xml:space="preserve">                  </w:t>
      </w:r>
    </w:p>
    <w:tbl>
      <w:tblPr>
        <w:tblW w:w="914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4411"/>
        <w:gridCol w:w="843"/>
        <w:gridCol w:w="984"/>
        <w:gridCol w:w="984"/>
        <w:gridCol w:w="984"/>
        <w:gridCol w:w="939"/>
      </w:tblGrid>
      <w:tr w:rsidR="00EE0CC5" w:rsidRPr="001A3D9E" w14:paraId="30B6ED1D" w14:textId="77777777" w:rsidTr="00CB0212">
        <w:trPr>
          <w:tblHeader/>
          <w:tblCellSpacing w:w="7" w:type="dxa"/>
          <w:jc w:val="center"/>
        </w:trPr>
        <w:tc>
          <w:tcPr>
            <w:tcW w:w="371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D1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(10)</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(11)</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(12)</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D24"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E"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2B"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5"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1.06</w:t>
            </w:r>
          </w:p>
        </w:tc>
      </w:tr>
      <w:tr w:rsidR="00EE0CC5" w:rsidRPr="001A3D9E" w14:paraId="30B6ED32"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C"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39"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3"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0.95</w:t>
            </w:r>
          </w:p>
        </w:tc>
      </w:tr>
      <w:tr w:rsidR="0079370D" w:rsidRPr="001A3D9E" w14:paraId="30B6ED3B" w14:textId="77777777" w:rsidTr="00BE2BFC">
        <w:trPr>
          <w:tblCellSpacing w:w="7" w:type="dxa"/>
          <w:jc w:val="center"/>
        </w:trPr>
        <w:tc>
          <w:tcPr>
            <w:tcW w:w="9117"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3A" w14:textId="77777777" w:rsidR="0079370D" w:rsidRPr="001A3D9E" w:rsidRDefault="0079370D" w:rsidP="0079370D">
            <w:pPr>
              <w:rPr>
                <w:rFonts w:ascii="Times New Roman" w:eastAsia="Times New Roman" w:hAnsi="Times New Roman" w:cs="Times New Roman"/>
                <w:color w:val="000000"/>
                <w:sz w:val="18"/>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D3C"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estimated number of age eligible students for the age 17 component of the LTT study for each school was computed as follows:</w:t>
      </w:r>
    </w:p>
    <w:p w14:paraId="30B6ED3D"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F7" wp14:editId="30B6F4F8">
            <wp:extent cx="1617345" cy="546100"/>
            <wp:effectExtent l="0" t="0" r="1905" b="6350"/>
            <wp:docPr id="19" name="Picture 19"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 subscript js = summation from g = 6 to 9 of G subscript j left parenthesis g right parenthesis times M subscript js left parenthesis g right parenthe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7345" cy="546100"/>
                    </a:xfrm>
                    <a:prstGeom prst="rect">
                      <a:avLst/>
                    </a:prstGeom>
                    <a:noFill/>
                    <a:ln>
                      <a:noFill/>
                    </a:ln>
                  </pic:spPr>
                </pic:pic>
              </a:graphicData>
            </a:graphic>
          </wp:inline>
        </w:drawing>
      </w:r>
    </w:p>
    <w:p w14:paraId="30B6ED3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 xml:space="preserve">The SD/ELL Decision Tree Experiment was conducted as part of the NAEP 2012 </w:t>
      </w:r>
      <w:r w:rsidR="00BE503A" w:rsidRPr="0036751F">
        <w:rPr>
          <w:rFonts w:ascii="Times New Roman" w:eastAsia="Times New Roman" w:hAnsi="Times New Roman" w:cs="Times New Roman"/>
          <w:color w:val="000000"/>
          <w:sz w:val="24"/>
          <w:szCs w:val="27"/>
        </w:rPr>
        <w:t>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50 participating schools sampled for long-term trend (LTT) at ages 9 and 13. Schools eligible for the experiment were public schools with the modal grade (4 and 8) for the corresponding age 9 and 13 samples that have at least 25 age-eligible students. Eligible schools were sub-sampled from among the originally-sampled LTT age 9 and 13 schools using the sort order from the original sample design. A fixed-size sample of 55 schools from each age group was selected. The student sample size in the selected schools was increased to meet the sample size requirements for the experiment, as described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sampling section.</w:t>
      </w:r>
    </w:p>
    <w:p w14:paraId="30B6ED40"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7" w:name="_Toc53592225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Substitute Public Schools for the 2012 Long-Term Trend (LTT) Assessment</w:t>
      </w:r>
      <w:bookmarkEnd w:id="17"/>
    </w:p>
    <w:p w14:paraId="30B6ED41"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 schools were preselected for the public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Each sampled school had each of its nearest neighbors within the same sampling stratum on the school frame file identified as a potential substitute. When age-eligible enrollment was used as the last sort ordering variable,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nearest neighbors had age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facilitate the selection of about the same number of students within the substitute as would have been selected from the original sampled school.</w:t>
      </w:r>
    </w:p>
    <w:p w14:paraId="30B6ED42"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public school samples or assigned as a substitute for another public school (earlier in the sort ordering). Schools assigned as substitutes for age 17 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13 schools, and schools assigned as substitutes for age 13 schools were disqualified as potential substitutes for age 9 schools.</w:t>
      </w:r>
    </w:p>
    <w:p w14:paraId="30B6ED43"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 age-eligible enrollment was chosen. If both nearest neighbors were equally distant from the sampled school in their age enrollment (an uncommon occurrence), one of the two was randomly selected.</w:t>
      </w:r>
    </w:p>
    <w:p w14:paraId="30B6ED4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 approximately 1,100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sampled public schools for the ages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30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substitute activated because the original eligible school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20 of the activated substitute public schools participated in an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w:t>
      </w:r>
    </w:p>
    <w:p w14:paraId="30B6ED46" w14:textId="77777777" w:rsidR="00EE0CC5" w:rsidRPr="0036751F" w:rsidRDefault="00EE0CC5" w:rsidP="0079370D">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8" w:name="_Toc535922259"/>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Ineligible Public Schools for the 2012 Long-Term Trend (LTT) Assessment</w:t>
      </w:r>
      <w:bookmarkEnd w:id="18"/>
    </w:p>
    <w:p w14:paraId="30B6ED4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Common Core of Data (CCD) public school file from which most of the sampled schools were drawn corresponds to the 2008-2009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three years prior to the assessment school year. During the intervening period, some of these schools either closed, no longer served the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group 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became ineligible for other reasons. In such cases, the sampled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considered to 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ineligible.</w:t>
      </w:r>
    </w:p>
    <w:p w14:paraId="1EFB0AD2" w14:textId="77777777" w:rsidR="00684CC1"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unweighted counts of sampled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grade and eligibility status, including the reason for ineligibility.</w:t>
      </w:r>
    </w:p>
    <w:p w14:paraId="30B6ED49" w14:textId="6BE0827E" w:rsidR="00CB0212" w:rsidRPr="0036751F" w:rsidRDefault="00CB0212"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public schools, long-term trend (LTT) assessment, by age and eligibility status: 2012</w:t>
      </w:r>
    </w:p>
    <w:tbl>
      <w:tblPr>
        <w:tblW w:w="9792"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3708"/>
        <w:gridCol w:w="2511"/>
        <w:gridCol w:w="1993"/>
      </w:tblGrid>
      <w:tr w:rsidR="00EE0CC5" w:rsidRPr="001A3D9E" w14:paraId="30B6ED4E" w14:textId="77777777" w:rsidTr="00BE2BFC">
        <w:trPr>
          <w:tblHeader/>
          <w:tblCellSpacing w:w="7" w:type="dxa"/>
          <w:jc w:val="center"/>
        </w:trPr>
        <w:tc>
          <w:tcPr>
            <w:tcW w:w="155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B"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EE0CC5" w:rsidRPr="001A3D9E" w14:paraId="30B6ED50" w14:textId="77777777" w:rsidTr="00CB0212">
        <w:trPr>
          <w:tblCellSpacing w:w="7" w:type="dxa"/>
          <w:jc w:val="center"/>
        </w:trPr>
        <w:tc>
          <w:tcPr>
            <w:tcW w:w="9764" w:type="dxa"/>
            <w:gridSpan w:val="4"/>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4F"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D55" w14:textId="77777777" w:rsidTr="00CB0212">
        <w:trPr>
          <w:tblCellSpacing w:w="7" w:type="dxa"/>
          <w:jc w:val="center"/>
        </w:trPr>
        <w:tc>
          <w:tcPr>
            <w:tcW w:w="1559"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52"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9 sampled public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3"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347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4"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5A"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95.39</w:t>
            </w:r>
          </w:p>
        </w:tc>
      </w:tr>
      <w:tr w:rsidR="00EE0CC5" w:rsidRPr="001A3D9E" w14:paraId="30B6ED5F"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1.73</w:t>
            </w:r>
          </w:p>
        </w:tc>
      </w:tr>
      <w:tr w:rsidR="00EE0CC5" w:rsidRPr="001A3D9E" w14:paraId="30B6ED64"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2.59</w:t>
            </w:r>
          </w:p>
        </w:tc>
      </w:tr>
      <w:tr w:rsidR="00EE0CC5" w:rsidRPr="001A3D9E" w14:paraId="30B6ED69"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6E"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A"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B"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0.29</w:t>
            </w:r>
          </w:p>
        </w:tc>
      </w:tr>
      <w:tr w:rsidR="00EE0CC5" w:rsidRPr="001A3D9E" w14:paraId="30B6ED73"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F"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0"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78"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75"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13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6"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375</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7"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7D"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9"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A"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88.27</w:t>
            </w:r>
          </w:p>
        </w:tc>
      </w:tr>
      <w:tr w:rsidR="00EE0CC5" w:rsidRPr="001A3D9E" w14:paraId="30B6ED82"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E"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F"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6.13</w:t>
            </w:r>
          </w:p>
        </w:tc>
      </w:tr>
      <w:tr w:rsidR="00EE0CC5" w:rsidRPr="001A3D9E" w14:paraId="30B6ED87"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3"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6"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3.47</w:t>
            </w:r>
          </w:p>
        </w:tc>
      </w:tr>
      <w:tr w:rsidR="00EE0CC5" w:rsidRPr="001A3D9E" w14:paraId="30B6ED8C"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8"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9"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A"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1.87</w:t>
            </w:r>
          </w:p>
        </w:tc>
      </w:tr>
      <w:tr w:rsidR="00EE0CC5" w:rsidRPr="001A3D9E" w14:paraId="30B6ED91"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D"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E"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0.27</w:t>
            </w:r>
          </w:p>
        </w:tc>
      </w:tr>
      <w:tr w:rsidR="00EE0CC5" w:rsidRPr="001A3D9E" w14:paraId="30B6ED96"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2"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3"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9B"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D98"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17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9"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389</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A"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A0"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C"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D"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94.34</w:t>
            </w:r>
          </w:p>
        </w:tc>
      </w:tr>
      <w:tr w:rsidR="00EE0CC5" w:rsidRPr="001A3D9E" w14:paraId="30B6EDA5"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1"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2"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0.77</w:t>
            </w:r>
          </w:p>
        </w:tc>
      </w:tr>
      <w:tr w:rsidR="00EE0CC5" w:rsidRPr="001A3D9E" w14:paraId="30B6EDAA"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w:t>
            </w:r>
          </w:p>
        </w:tc>
      </w:tr>
      <w:tr w:rsidR="00EE0CC5" w:rsidRPr="001A3D9E" w14:paraId="30B6EDAF"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2.83</w:t>
            </w:r>
          </w:p>
        </w:tc>
      </w:tr>
      <w:tr w:rsidR="00EE0CC5" w:rsidRPr="001A3D9E" w14:paraId="30B6EDB4"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0.26</w:t>
            </w:r>
          </w:p>
        </w:tc>
      </w:tr>
      <w:tr w:rsidR="00EE0CC5" w:rsidRPr="001A3D9E" w14:paraId="30B6EDB9"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79370D" w:rsidRPr="001A3D9E" w14:paraId="30B6EDBB" w14:textId="77777777" w:rsidTr="00CB0212">
        <w:trPr>
          <w:tblCellSpacing w:w="7" w:type="dxa"/>
          <w:jc w:val="center"/>
        </w:trPr>
        <w:tc>
          <w:tcPr>
            <w:tcW w:w="9764" w:type="dxa"/>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DBA"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because of</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r w:rsidRPr="001A3D9E">
              <w:rPr>
                <w:rFonts w:ascii="Times New Roman" w:eastAsia="Times New Roman" w:hAnsi="Times New Roman" w:cs="Times New Roman"/>
                <w:color w:val="000000"/>
                <w:szCs w:val="24"/>
              </w:rPr>
              <w:t>.</w:t>
            </w:r>
          </w:p>
        </w:tc>
      </w:tr>
    </w:tbl>
    <w:p w14:paraId="30B6EDBE"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9" w:name="_Toc535922260"/>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Student Selection for the 2012 Public School Long-Term Trend (LTT) Assessment</w:t>
      </w:r>
      <w:bookmarkEnd w:id="19"/>
    </w:p>
    <w:p w14:paraId="30B6EDBF"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Within each sampled school, 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of students was selected from a listing of the age-eligible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students such that every student had an equal chance of selection.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student lists were submitted in multiple ways.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E-Filing is an electronic submission system.</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Excel files are submitted for sampled schools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coordinators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NAEP State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Files can be submitted for one school at a time or for an entire jurisdiction at once.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This method allows schools to easily submit student demographic data electronically with the student lists, easing burden on NAEP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field supervisors and school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Schools that are unable to submit their student lists using the E-Filing system provide hardcopy lists via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listing form to NAEP field supervisors.</w:t>
      </w:r>
    </w:p>
    <w:p w14:paraId="30B6EDC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year-round, multi-track schools, students who were not scheduled to be in school on the assessment day were removed from the student lists prior to sampling.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base weights were adjusted to account for these students.</w:t>
      </w:r>
    </w:p>
    <w:p w14:paraId="30B6EDC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process was the same regardless of list submission type.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sampling process was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systematic (e.g., if the sampling rate was 1/2, a random starting point of one or two was chosen, and every other student on the list was selected). For E-Filed schools only, where demographic data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are submitted for every student on the frame, students are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sorted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sex and race before the sample is selected to implicitly stratify the sample.</w:t>
      </w:r>
    </w:p>
    <w:p w14:paraId="30B6EDC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students enrolled in the school after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was selected.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such cases,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new enrollees were sampled at the same rate as the students on the original list.</w:t>
      </w:r>
    </w:p>
    <w:p w14:paraId="30B6EDC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were randomly assigned to a reading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mathematics operational assessment, or to a reading or mathematics operational assessment with a reading or mathematics integrated pilot 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proportions assigned to these four types of assessments were approximately 3/8, 3/8, 1/8, and 1/8, respectively. The booklet assignment was implemented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spiraling: the booklets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assigned to sampled students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provided from booklet packets which had, on average, the correct proportion of each of the relevant assessments in a randomized order.</w:t>
      </w:r>
    </w:p>
    <w:p w14:paraId="30B6EDC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of the students who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English language learners (ELL)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 xml:space="preserve">students with disabilities (SD) were excluded from the assessment because they could not be assessed with the </w:t>
      </w:r>
      <w:r w:rsidR="00BE503A" w:rsidRPr="0036751F">
        <w:rPr>
          <w:rFonts w:ascii="Times New Roman" w:eastAsia="Times New Roman" w:hAnsi="Times New Roman" w:cs="Times New Roman"/>
          <w:color w:val="000000"/>
          <w:sz w:val="24"/>
          <w:szCs w:val="27"/>
        </w:rPr>
        <w:t>accommodations</w:t>
      </w:r>
      <w:r w:rsidRPr="0036751F">
        <w:rPr>
          <w:rFonts w:ascii="Times New Roman" w:eastAsia="Times New Roman" w:hAnsi="Times New Roman" w:cs="Times New Roman"/>
          <w:color w:val="000000"/>
          <w:sz w:val="24"/>
          <w:szCs w:val="27"/>
        </w:rPr>
        <w:t xml:space="preserve"> NAEP provides.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Excluded students were removed from the sample.</w:t>
      </w:r>
    </w:p>
    <w:p w14:paraId="30B6EDC5"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student sample consisted of all age-eligible students in the school if the school had 64 or fewer students, or a sample of 64 students selected without replacement, if the school had 65 or more students.</w:t>
      </w:r>
    </w:p>
    <w:p w14:paraId="30B6EDC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2012 in addition to the regular assessments described above,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there was an experimental SD/ELL decision tree that was piloted in a subsample of schools selected for the ages 9 and 13 LTT samples (see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sampling page). To increase the number of students utilizing the decision tree, extra SD and ELL students in the selected schools were sampled where possible. In these schools only, and only if the school e-filed, a special sampling procedure was implemented which required sorting the student list into two groups (SD/ELL and non-SD/ELL) and sampling from each group based on a specific rate. The result of the oversampling was an increase of about 5 SD/ELL students in the student sample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each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in the decision tree subsample of schools.</w:t>
      </w:r>
    </w:p>
    <w:p w14:paraId="30B6EDC7"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20" w:name="_Toc535922261"/>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2012 Private School Long-Term Trend (LTT) Assessment</w:t>
      </w:r>
      <w:bookmarkEnd w:id="20"/>
    </w:p>
    <w:p w14:paraId="30B6EDC8"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 sample design yielded a nationally representative sample of private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strata,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sample of schools was selected with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probability proportional to a measure of size based on the estimated age-specific enrollment in the schools.</w:t>
      </w:r>
    </w:p>
    <w:p w14:paraId="30B6EDC9"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2012 sampling plan was designed to assess 1,700 students for each of the LTT private school age-specific samples.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were also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 in reading and mathematics. Target sample sizes were adjusted to reflect expected private school and student response and eligibility.</w:t>
      </w:r>
    </w:p>
    <w:p w14:paraId="30B6EDCA"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private school samples were drawn from a sampling frame that only included the 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Schools on the sampling frame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prior to sampling by private school affiliation (Catholic, non-Catholic private, and unaffiliated). Within affiliation type,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implicitly stratified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by PSU type (certainty/noncertainty). In certainty PSUs, further stratification was by census region, 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In noncertainty PSUs, additional stratification was by PSU stratum, urbanization classification (based on 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DCB"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From the stratified frame of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samples of schools in each age group (9, 13, and 17) were drawn with probability proportional to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DCC" w14:textId="77777777" w:rsidR="00EE0CC5" w:rsidRPr="001A3D9E" w:rsidRDefault="00EE0CC5" w:rsidP="00752002">
      <w:pPr>
        <w:spacing w:before="100" w:beforeAutospacing="1" w:after="100" w:afterAutospacing="1"/>
        <w:rPr>
          <w:rFonts w:ascii="Times New Roman" w:eastAsia="Times New Roman" w:hAnsi="Times New Roman" w:cs="Times New Roman"/>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w:t>
      </w:r>
      <w:r w:rsidR="00752002" w:rsidRPr="0036751F">
        <w:rPr>
          <w:rFonts w:ascii="Times New Roman" w:eastAsia="Times New Roman" w:hAnsi="Times New Roman" w:cs="Times New Roman"/>
          <w:sz w:val="24"/>
          <w:szCs w:val="24"/>
        </w:rPr>
        <w:t>t probabilities across schools.</w:t>
      </w:r>
    </w:p>
    <w:p w14:paraId="30B6EDCD"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1" w:name="_Toc53592226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Private School Long-Term Trend (LTT) Assessment</w:t>
      </w:r>
      <w:bookmarkEnd w:id="21"/>
    </w:p>
    <w:p w14:paraId="30B6EDCE" w14:textId="77777777" w:rsidR="00F95184" w:rsidRPr="0036751F"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 private school long-term trend assessment included all students in three age populations (9, 13, and 17) who were enrolled 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included private schools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50 state</w:t>
      </w:r>
      <w:r w:rsidR="00752002" w:rsidRPr="0036751F">
        <w:rPr>
          <w:rFonts w:ascii="Times New Roman" w:eastAsia="Times New Roman" w:hAnsi="Times New Roman" w:cs="Times New Roman"/>
          <w:sz w:val="24"/>
          <w:szCs w:val="24"/>
        </w:rPr>
        <w:t>s</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and the District of Columbia.</w:t>
      </w:r>
    </w:p>
    <w:p w14:paraId="30B6EDCF"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2" w:name="_Toc535922263"/>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Frame for the 2012 Private School Long-Term Trend (LTT) Assessment</w:t>
      </w:r>
      <w:bookmarkEnd w:id="22"/>
    </w:p>
    <w:p w14:paraId="30B6EDD0"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was developed from the 2009-2010</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a survey conducted by the U.S. Census Bureau</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the National Center for Education Statistics (NCES). The PSS is a biennial mail survey of all private schools in the 50 states and the District of Columbia. The PSS frame of schools comprises both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 list frame and an area frame. The list frame is an assembly of the 2007-2008 PSS frame and more up-to-date lists from state education agencies, private school associations, and other easily accessible sources. To improve the coverage of the PSS list frame, the Census Bureau also conducted a survey to locate private schools in a random sample of geographic areas throughout the United States. The areas were single counties or groups of counties sampled from an area frame constructed from all counties in the nation. Within each selected area, a complete list of private schools was gathered using information from telephone directories, religious institutions, local education agencies, chambers of commerce, and local government offices. Schools not already on the list frame were identified and added to the frame of private schools. A weighting component was computed by the Census Bureau so that the additional area-frame schools would represent all schools absent from the list frame, not just those in the selected areas.</w:t>
      </w:r>
    </w:p>
    <w:p w14:paraId="30B6EDD1"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 was restricted to schools located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primary sampling units (PSUs) selected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long-term trend (LTT) assessment. In addition, the sampling frame excluded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ungraded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vocational schools with no enrollment,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special-education-only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homeschool entities, prison and hospital schools, and juvenile correctional institutions.</w:t>
      </w:r>
    </w:p>
    <w:p w14:paraId="30B6EDD2"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following table presents the number of schools and estimated enrollment for the private school frame by age population. The unweighted estimated enrollment is restricted to the selected PSUs. The weighted estimated enrollment incorporates the PSU weight (inverse of the probability of selecting the PSU) and the estimated age-eligible enrollment, and thus is a national estimate of the number of private school students in the age population. The age-eligible enrollment was estimated using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distribution fractions derived for each grade in the age range.</w:t>
      </w:r>
    </w:p>
    <w:p w14:paraId="30B6EDD3"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DD4" w14:textId="77777777" w:rsidR="00F95184"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schools and enrollment in private school sampling frame, long-term trend (LTT) assessment, by affiliation and age: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2778"/>
        <w:gridCol w:w="1450"/>
        <w:gridCol w:w="1949"/>
        <w:gridCol w:w="1662"/>
      </w:tblGrid>
      <w:tr w:rsidR="00F95184" w:rsidRPr="001A3D9E" w14:paraId="30B6EDDA"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6"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Number</w:t>
            </w:r>
            <w:r w:rsidRPr="001A3D9E">
              <w:rPr>
                <w:rFonts w:ascii="Times New Roman" w:eastAsia="Times New Roman" w:hAnsi="Times New Roman" w:cs="Times New Roman"/>
                <w:color w:val="000000"/>
                <w:szCs w:val="27"/>
              </w:rPr>
              <w:br/>
              <w:t>of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8"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00A375F4">
              <w:rPr>
                <w:rFonts w:ascii="Times New Roman" w:eastAsia="Times New Roman" w:hAnsi="Times New Roman" w:cs="Times New Roman"/>
                <w:color w:val="000000"/>
                <w:szCs w:val="27"/>
              </w:rPr>
              <w:t xml:space="preserve"> </w:t>
            </w:r>
            <w:r w:rsidRPr="001A3D9E">
              <w:rPr>
                <w:rFonts w:ascii="Times New Roman" w:eastAsia="Times New Roman" w:hAnsi="Times New Roman" w:cs="Times New Roman"/>
                <w:color w:val="000000"/>
                <w:szCs w:val="27"/>
              </w:rPr>
              <w:br/>
              <w:t>(unweighted)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Pr="001A3D9E">
              <w:rPr>
                <w:rFonts w:ascii="Times New Roman" w:eastAsia="Times New Roman" w:hAnsi="Times New Roman" w:cs="Times New Roman"/>
                <w:color w:val="000000"/>
                <w:szCs w:val="27"/>
              </w:rPr>
              <w:br/>
              <w:t>(weighted)</w:t>
            </w:r>
          </w:p>
        </w:tc>
      </w:tr>
      <w:tr w:rsidR="00F95184" w:rsidRPr="001A3D9E" w14:paraId="30B6EDDC" w14:textId="77777777" w:rsidTr="00CB0212">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DB" w14:textId="77777777" w:rsidR="00F95184" w:rsidRPr="001A3D9E" w:rsidRDefault="00F95184" w:rsidP="00F95184">
            <w:pPr>
              <w:rPr>
                <w:rFonts w:ascii="Times New Roman" w:eastAsia="Times New Roman" w:hAnsi="Times New Roman" w:cs="Times New Roman"/>
                <w:color w:val="000000"/>
                <w:szCs w:val="24"/>
              </w:rPr>
            </w:pPr>
          </w:p>
        </w:tc>
      </w:tr>
      <w:tr w:rsidR="00F95184" w:rsidRPr="001A3D9E" w14:paraId="30B6EDE2" w14:textId="77777777" w:rsidTr="00CB0212">
        <w:trPr>
          <w:tblCellSpacing w:w="7"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D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191,000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361,000</w:t>
            </w:r>
          </w:p>
        </w:tc>
      </w:tr>
      <w:tr w:rsidR="00F95184" w:rsidRPr="001A3D9E" w14:paraId="30B6EDE8"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83,600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DEE"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105,000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206,000</w:t>
            </w:r>
          </w:p>
        </w:tc>
      </w:tr>
      <w:tr w:rsidR="00F95184" w:rsidRPr="001A3D9E" w14:paraId="30B6EDF4"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DF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F6"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7"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8"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188,000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9"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357,000</w:t>
            </w:r>
          </w:p>
        </w:tc>
      </w:tr>
      <w:tr w:rsidR="00F95184" w:rsidRPr="001A3D9E" w14:paraId="30B6EE00"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FB"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C"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E"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F"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153,000</w:t>
            </w:r>
          </w:p>
        </w:tc>
      </w:tr>
      <w:tr w:rsidR="00F95184" w:rsidRPr="001A3D9E" w14:paraId="30B6EE0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1"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2"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4"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99,100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200,000</w:t>
            </w:r>
          </w:p>
        </w:tc>
      </w:tr>
      <w:tr w:rsidR="00F95184" w:rsidRPr="001A3D9E" w14:paraId="30B6EE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7"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8"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A"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E12"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E0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4,400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181,000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334,000</w:t>
            </w:r>
          </w:p>
        </w:tc>
      </w:tr>
      <w:tr w:rsidR="00F95184" w:rsidRPr="001A3D9E" w14:paraId="30B6EE1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92,100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E1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181,000</w:t>
            </w:r>
          </w:p>
        </w:tc>
      </w:tr>
      <w:tr w:rsidR="00F95184" w:rsidRPr="001A3D9E" w14:paraId="30B6EE2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2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752002" w:rsidRPr="001A3D9E" w14:paraId="30B6EE26" w14:textId="77777777" w:rsidTr="00CB0212">
        <w:trPr>
          <w:tblCellSpacing w:w="7" w:type="dxa"/>
          <w:jc w:val="center"/>
        </w:trPr>
        <w:tc>
          <w:tcPr>
            <w:tcW w:w="0" w:type="auto"/>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EE25"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E27"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For quality control purposes, school and student counts from the sampling frame were compared to school and student counts from the LTT 2008 private school frames. No major discrepancies were found.</w:t>
      </w:r>
    </w:p>
    <w:p w14:paraId="30B6EE28"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3" w:name="_Toc53592226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Private Schools in the 2012 Long-Term Trend (LTT) Assessment</w:t>
      </w:r>
      <w:bookmarkEnd w:id="23"/>
    </w:p>
    <w:p w14:paraId="30B6EE2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szCs w:val="24"/>
        </w:rPr>
        <w:t>Prior to stratification, the private school sampling frame was divided into age-specific files, one each for</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ages</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 xml:space="preserve">9, </w:t>
      </w:r>
      <w:r w:rsidRPr="0036751F">
        <w:rPr>
          <w:rFonts w:ascii="Times New Roman" w:eastAsia="Times New Roman" w:hAnsi="Times New Roman" w:cs="Times New Roman"/>
          <w:sz w:val="24"/>
          <w:szCs w:val="24"/>
        </w:rPr>
        <w:t>13, and 17.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file,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by private school affiliation (Catholic, non-Catholic, and unknown affiliation). Private school affiliation was unknown for nonrespondents to the NCES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Universe Survey (PSS). Within private school type,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E2A"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Within each certainty PSU, the schools were hierarchically sorted by</w:t>
      </w:r>
    </w:p>
    <w:p w14:paraId="30B6EE2B"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E2C"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w:t>
      </w:r>
    </w:p>
    <w:p w14:paraId="30B6EE2D"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2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E2F"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E30"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 urban-centric locale); and</w:t>
      </w:r>
    </w:p>
    <w:p w14:paraId="30B6EE31"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32"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4" w:name="_Toc535922265"/>
      <w:r w:rsidRPr="0036751F">
        <w:rPr>
          <w:rFonts w:ascii="Times New Roman" w:eastAsia="Times New Roman" w:hAnsi="Times New Roman" w:cs="Times New Roman"/>
          <w:b/>
          <w:bCs/>
          <w:kern w:val="36"/>
          <w:sz w:val="36"/>
          <w:szCs w:val="48"/>
        </w:rPr>
        <w:t>NAEP Technical Documentation Sampling of Private Schools for the 2012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24"/>
    </w:p>
    <w:p w14:paraId="30B6EE3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design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school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objectives underlie the process of determining the probability of selection for each school and how many students are to be sampled from each selected school containing the respective age-eligible students. They are as follows:</w:t>
      </w:r>
    </w:p>
    <w:p w14:paraId="30B6EE34"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meet the target student sample size</w:t>
      </w:r>
    </w:p>
    <w:p w14:paraId="30B6EE35"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select an equal-probability sample of students</w:t>
      </w:r>
    </w:p>
    <w:p w14:paraId="30B6EE36"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limit the number of students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are selected from a school</w:t>
      </w:r>
    </w:p>
    <w:p w14:paraId="30B6EE37"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ensure that the sample within a school does not include a very high percentage of the students in the school, unless all students are included</w:t>
      </w:r>
    </w:p>
    <w:p w14:paraId="30B6EE38"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reduce the rate of sampling of small schools, in recognition of the greater cost and burden per student of conducting assessments in such schools</w:t>
      </w:r>
    </w:p>
    <w:p w14:paraId="30B6EE3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goal in determining the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is to optimize across the last four objectives in terms of maintaining the accuracy of estimates and the cost-effectiveness of the sample design.</w:t>
      </w:r>
    </w:p>
    <w:p w14:paraId="30B6EE3A" w14:textId="77777777" w:rsidR="00A375F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Therefore,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meet the target student sample size objective and achieve a reasonable compromise among the other four objectives,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following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used to assign a measure of size to each school based on its age-specific enrollment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sampling frame.</w:t>
      </w:r>
    </w:p>
    <w:p w14:paraId="30B6EE3B"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vary by enrollment size. In general, very small schools were assigned a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 is one quarter of the target sample size of 64 students. The preliminary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were set as follows:</w:t>
      </w:r>
    </w:p>
    <w:p w14:paraId="30B6EE3C"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9" wp14:editId="30B6F4FA">
            <wp:extent cx="3616960" cy="1235075"/>
            <wp:effectExtent l="0" t="0" r="2540" b="3175"/>
            <wp:docPr id="27" name="Picture 27" descr="https://nces.ed.gov/nationsreportcard/subject/tdw/images/sample_design/2012/LTT_1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ces.ed.gov/nationsreportcard/subject/tdw/images/sample_design/2012/LTT_1_Sampling_2012_PriSchoo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6960" cy="1235075"/>
                    </a:xfrm>
                    <a:prstGeom prst="rect">
                      <a:avLst/>
                    </a:prstGeom>
                    <a:noFill/>
                    <a:ln>
                      <a:noFill/>
                    </a:ln>
                  </pic:spPr>
                </pic:pic>
              </a:graphicData>
            </a:graphic>
          </wp:inline>
        </w:drawing>
      </w:r>
    </w:p>
    <w:p w14:paraId="30B6EE3D"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where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x</w:t>
      </w:r>
      <w:r w:rsidRPr="0036751F">
        <w:rPr>
          <w:rFonts w:ascii="Times New Roman" w:eastAsia="Times New Roman" w:hAnsi="Times New Roman" w:cs="Times New Roman"/>
          <w:i/>
          <w:iCs/>
          <w:sz w:val="24"/>
          <w:szCs w:val="24"/>
          <w:vertAlign w:val="subscript"/>
        </w:rPr>
        <w:t>js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 estimated age-eligible enrollment for 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PSCHWT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PSS area frame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 computed by the U.S. Census Bureau,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PSU_WT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PSU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p>
    <w:p w14:paraId="30B6EE3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next task in this development is to describe b</w:t>
      </w:r>
      <w:r w:rsidRPr="0036751F">
        <w:rPr>
          <w:rFonts w:ascii="Times New Roman" w:eastAsia="Times New Roman" w:hAnsi="Times New Roman" w:cs="Times New Roman"/>
          <w:sz w:val="24"/>
          <w:szCs w:val="24"/>
          <w:vertAlign w:val="subscript"/>
        </w:rPr>
        <w:t>j</w:t>
      </w:r>
      <w:r w:rsidRPr="0036751F">
        <w:rPr>
          <w:rFonts w:ascii="Times New Roman" w:eastAsia="Times New Roman" w:hAnsi="Times New Roman" w:cs="Times New Roman"/>
          <w:sz w:val="24"/>
          <w:szCs w:val="24"/>
        </w:rPr>
        <w:t>, the constant of proportionality for each age group. It is a sampling parameter that, when multiplied with a school’s preliminary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yields the school’s final measure of size. It is computed in such a way that, when used with the systematic sampling procedure, the target student sample size is achieved. For private schools, this parameter varied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group</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private school affiliation (Catholic, non-Catholic, and unknown affiliation).</w:t>
      </w:r>
    </w:p>
    <w:p w14:paraId="30B6EE3F"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final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E</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is defined as:</w:t>
      </w:r>
    </w:p>
    <w:p w14:paraId="30B6EE40"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B" wp14:editId="30B6F4FC">
            <wp:extent cx="1583055" cy="238760"/>
            <wp:effectExtent l="0" t="0" r="0" b="8890"/>
            <wp:docPr id="28" name="Picture 28"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subscript js equals min left parenthesis b subscript j times M subscript js comma u subscript j right parenthes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3055" cy="238760"/>
                    </a:xfrm>
                    <a:prstGeom prst="rect">
                      <a:avLst/>
                    </a:prstGeom>
                    <a:noFill/>
                    <a:ln>
                      <a:noFill/>
                    </a:ln>
                  </pic:spPr>
                </pic:pic>
              </a:graphicData>
            </a:graphic>
          </wp:inline>
        </w:drawing>
      </w:r>
    </w:p>
    <w:p w14:paraId="30B6EE41"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quantity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maximum number of “hits” allowed) in this formula is designed to put an upper bound on the burden for the sampled schools.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1.</w:t>
      </w:r>
    </w:p>
    <w:p w14:paraId="30B6EE42"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ordered using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serpentine sort described under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of private schools.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sample was then drawn using this serpentine sorted list and the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137, 130,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93 for ages 9, 13, and 17, respectively.</w:t>
      </w:r>
    </w:p>
    <w:p w14:paraId="30B6EE43"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number of age-eligible students was computed using a derived linear function of estimated grade enrollments.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For 9-year-olds, the frame contained schools with a second, third, fourth, or fifth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(5)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(5) denote the global proportion of students who were 9-years-old (birth months January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2002 through December 2002)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 science assessments. These values are shown in the table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these proportions are computed.</w:t>
      </w:r>
    </w:p>
    <w:p w14:paraId="30B6EE44" w14:textId="77777777" w:rsidR="00CB0212" w:rsidRPr="0036751F" w:rsidRDefault="00CB0212" w:rsidP="00752002">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proportions based on estimated enrollment for 9-year-old students in private schools, long-term trend (LTT) assessment, by Census region: 2012</w:t>
      </w:r>
    </w:p>
    <w:tbl>
      <w:tblPr>
        <w:tblW w:w="9558"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99"/>
        <w:gridCol w:w="743"/>
        <w:gridCol w:w="743"/>
        <w:gridCol w:w="743"/>
        <w:gridCol w:w="743"/>
        <w:gridCol w:w="787"/>
      </w:tblGrid>
      <w:tr w:rsidR="00F95184" w:rsidRPr="001A3D9E" w14:paraId="30B6EE4B" w14:textId="77777777" w:rsidTr="00BE2BFC">
        <w:trPr>
          <w:tblHeade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4D" w14:textId="77777777" w:rsidTr="00CB0212">
        <w:trPr>
          <w:tblCellSpacing w:w="7" w:type="dxa"/>
          <w:jc w:val="center"/>
        </w:trPr>
        <w:tc>
          <w:tcPr>
            <w:tcW w:w="9530" w:type="dxa"/>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4C" w14:textId="77777777" w:rsidR="00F95184" w:rsidRPr="001A3D9E" w:rsidRDefault="00F95184" w:rsidP="00F95184">
            <w:pPr>
              <w:rPr>
                <w:rFonts w:ascii="Times New Roman" w:eastAsia="Times New Roman" w:hAnsi="Times New Roman" w:cs="Times New Roman"/>
                <w:szCs w:val="24"/>
              </w:rPr>
            </w:pPr>
          </w:p>
        </w:tc>
      </w:tr>
      <w:tr w:rsidR="00F95184" w:rsidRPr="001A3D9E" w14:paraId="30B6EE54"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5B"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2"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9"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6B" w14:textId="77777777" w:rsidTr="00BE2BFC">
        <w:trPr>
          <w:tblCellSpacing w:w="7" w:type="dxa"/>
          <w:jc w:val="center"/>
        </w:trPr>
        <w:tc>
          <w:tcPr>
            <w:tcW w:w="9530"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6A"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6C"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estimated age-eligible enrollment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the 9-year-olds component of the long-term trend (LTT) study for each school was computed as follows:</w:t>
      </w:r>
    </w:p>
    <w:p w14:paraId="30B6EE6D"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D" wp14:editId="30B6F4FE">
            <wp:extent cx="1528445" cy="477520"/>
            <wp:effectExtent l="0" t="0" r="0" b="0"/>
            <wp:docPr id="29" name="Picture 29" descr="https://nces.ed.gov/nationsreportcard/subject/tdw/images/sample_design/2012/LTT_2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ces.ed.gov/nationsreportcard/subject/tdw/images/sample_design/2012/LTT_2_Sampling_2012_PriSchoo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E6E"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13-year-olds, the frame contained schools with a sixth, seventh, eighth, or ninth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 denote the global proportion of students who were 13-years-old (birth months January 1998 through December 1998)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science assessments. These values are shown in the ta</w:t>
      </w:r>
      <w:r w:rsidR="00752002" w:rsidRPr="0036751F">
        <w:rPr>
          <w:rFonts w:ascii="Times New Roman" w:eastAsia="Times New Roman" w:hAnsi="Times New Roman" w:cs="Times New Roman"/>
          <w:sz w:val="24"/>
          <w:szCs w:val="24"/>
        </w:rPr>
        <w:t>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 these proportions are computed.</w:t>
      </w:r>
    </w:p>
    <w:p w14:paraId="30B6EE6F" w14:textId="77777777" w:rsidR="00CB0212" w:rsidRDefault="00CB021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B6EE70"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13-year-old students in private schools, long-term trend (LTT) assessment, by Census region: 2012</w:t>
      </w:r>
      <w:r w:rsidR="00A375F4">
        <w:rPr>
          <w:rFonts w:ascii="Times New Roman" w:eastAsia="Times New Roman" w:hAnsi="Times New Roman" w:cs="Times New Roman"/>
          <w:szCs w:val="24"/>
        </w:rPr>
        <w:t xml:space="preserve">                    </w:t>
      </w:r>
      <w:r w:rsidR="00F95184" w:rsidRPr="001A3D9E">
        <w:rPr>
          <w:rFonts w:ascii="Times New Roman" w:eastAsia="Times New Roman" w:hAnsi="Times New Roman" w:cs="Times New Roman"/>
          <w:szCs w:val="24"/>
        </w:rPr>
        <w:t xml:space="preserve"> </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46"/>
        <w:gridCol w:w="1249"/>
        <w:gridCol w:w="1249"/>
        <w:gridCol w:w="1249"/>
        <w:gridCol w:w="1249"/>
        <w:gridCol w:w="1273"/>
      </w:tblGrid>
      <w:tr w:rsidR="00F95184" w:rsidRPr="001A3D9E" w14:paraId="30B6EE77"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7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79"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78" w14:textId="77777777" w:rsidR="00F95184" w:rsidRPr="001A3D9E" w:rsidRDefault="00F95184" w:rsidP="00F95184">
            <w:pPr>
              <w:rPr>
                <w:rFonts w:ascii="Times New Roman" w:eastAsia="Times New Roman" w:hAnsi="Times New Roman" w:cs="Times New Roman"/>
                <w:szCs w:val="24"/>
              </w:rPr>
            </w:pPr>
          </w:p>
        </w:tc>
      </w:tr>
      <w:tr w:rsidR="00F95184" w:rsidRPr="001A3D9E" w14:paraId="30B6EE8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7"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E"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95"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97"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96"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98"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13-year-olds component of the LTT study for each school was computed as follows:</w:t>
      </w:r>
    </w:p>
    <w:p w14:paraId="30B6EE99"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F" wp14:editId="30B6F500">
            <wp:extent cx="1535430" cy="477520"/>
            <wp:effectExtent l="0" t="0" r="7620" b="0"/>
            <wp:docPr id="30" name="Picture 30" descr="https://nces.ed.gov/nationsreportcard/subject/tdw/images/sample_design/2012/LTT_3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ces.ed.gov/nationsreportcard/subject/tdw/images/sample_design/2012/LTT_3_Sampling_2012_PriSchoo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5430" cy="477520"/>
                    </a:xfrm>
                    <a:prstGeom prst="rect">
                      <a:avLst/>
                    </a:prstGeom>
                    <a:noFill/>
                    <a:ln>
                      <a:noFill/>
                    </a:ln>
                  </pic:spPr>
                </pic:pic>
              </a:graphicData>
            </a:graphic>
          </wp:inline>
        </w:drawing>
      </w:r>
    </w:p>
    <w:p w14:paraId="30B6EE9A"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age 17 component, the frame contained schools with a ninth, tenth, eleventh, or twelfth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(12)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Current Population Survey (CPS) School Supplement (October 2009) was utilized to provide the proportions within each of ninth, tenth, eleventh, and twelfth grades for the age 17 component.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table was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used for both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 17 describes how these proportions are computed.</w:t>
      </w:r>
    </w:p>
    <w:p w14:paraId="30B6EE9B"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the age 17 component, Long-Term Trend (LTT) assessment, by Census region: 2012</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45"/>
        <w:gridCol w:w="1137"/>
        <w:gridCol w:w="1323"/>
        <w:gridCol w:w="1323"/>
        <w:gridCol w:w="1323"/>
        <w:gridCol w:w="1264"/>
      </w:tblGrid>
      <w:tr w:rsidR="00F95184" w:rsidRPr="001A3D9E" w14:paraId="30B6EEA2"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9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A4"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A3" w14:textId="77777777" w:rsidR="00F95184" w:rsidRPr="001A3D9E" w:rsidRDefault="00F95184" w:rsidP="00F95184">
            <w:pPr>
              <w:rPr>
                <w:rFonts w:ascii="Times New Roman" w:eastAsia="Times New Roman" w:hAnsi="Times New Roman" w:cs="Times New Roman"/>
                <w:szCs w:val="24"/>
              </w:rPr>
            </w:pPr>
          </w:p>
        </w:tc>
      </w:tr>
      <w:tr w:rsidR="00F95184" w:rsidRPr="001A3D9E" w14:paraId="30B6EEAB"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B2"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1.06</w:t>
            </w:r>
          </w:p>
        </w:tc>
      </w:tr>
      <w:tr w:rsidR="00F95184" w:rsidRPr="001A3D9E" w14:paraId="30B6EEB9"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C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0.95</w:t>
            </w:r>
          </w:p>
        </w:tc>
      </w:tr>
      <w:tr w:rsidR="00752002" w:rsidRPr="001A3D9E" w14:paraId="30B6EEC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C1"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C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age 17 component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study for each school was computed as follows:</w:t>
      </w:r>
    </w:p>
    <w:p w14:paraId="30B6EEC4" w14:textId="77777777" w:rsidR="00F95184" w:rsidRPr="001A3D9E" w:rsidRDefault="00F95184" w:rsidP="00F95184">
      <w:pPr>
        <w:spacing w:before="100" w:beforeAutospacing="1" w:after="100" w:afterAutospacing="1"/>
        <w:jc w:val="center"/>
        <w:rPr>
          <w:rFonts w:ascii="Times New Roman" w:eastAsia="Times New Roman" w:hAnsi="Times New Roman" w:cs="Times New Roman"/>
          <w:szCs w:val="24"/>
        </w:rPr>
      </w:pPr>
      <w:r w:rsidRPr="001A3D9E">
        <w:rPr>
          <w:rFonts w:ascii="Times New Roman" w:eastAsia="Times New Roman" w:hAnsi="Times New Roman" w:cs="Times New Roman"/>
          <w:noProof/>
          <w:szCs w:val="24"/>
        </w:rPr>
        <w:drawing>
          <wp:inline distT="0" distB="0" distL="0" distR="0" wp14:anchorId="30B6F501" wp14:editId="30B6F502">
            <wp:extent cx="1562735" cy="457200"/>
            <wp:effectExtent l="0" t="0" r="0" b="0"/>
            <wp:docPr id="31" name="Picture 31" descr="https://nces.ed.gov/nationsreportcard/subject/tdw/images/sample_design/2012/LTT_4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ces.ed.gov/nationsreportcard/subject/tdw/images/sample_design/2012/LTT_4_Sampling_2012_PriSchoo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735" cy="457200"/>
                    </a:xfrm>
                    <a:prstGeom prst="rect">
                      <a:avLst/>
                    </a:prstGeom>
                    <a:noFill/>
                    <a:ln>
                      <a:noFill/>
                    </a:ln>
                  </pic:spPr>
                </pic:pic>
              </a:graphicData>
            </a:graphic>
          </wp:inline>
        </w:drawing>
      </w:r>
    </w:p>
    <w:p w14:paraId="30B6EEC6"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5" w:name="_Toc535922266"/>
      <w:r w:rsidRPr="0036751F">
        <w:rPr>
          <w:rFonts w:ascii="Times New Roman" w:eastAsia="Times New Roman" w:hAnsi="Times New Roman" w:cs="Times New Roman"/>
          <w:b/>
          <w:bCs/>
          <w:kern w:val="36"/>
          <w:sz w:val="36"/>
          <w:szCs w:val="48"/>
        </w:rPr>
        <w:t>NAEP Technical Documentation Substitute Private Schools for the 2012 Long-Term Trend (LTT) Assessment</w:t>
      </w:r>
      <w:bookmarkEnd w:id="25"/>
    </w:p>
    <w:p w14:paraId="30B6EEC7"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Substitutes were preselected for the private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sampled school had each of its nearest neighbors within the same sampling stratum on the school frame file identified as a potential substitute.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Since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used as the last sort ordering variable, the nearest neighbors 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 to facilitate the selection of about the same number of students within the substitute as would have been selected from the original sampled school.</w:t>
      </w:r>
    </w:p>
    <w:p w14:paraId="30B6EEC8"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samples or assigned as a substitute for another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(earlier in the sort ordering).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seventeen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and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p>
    <w:p w14:paraId="30B6EEC9"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chosen. If both nearest neighbors were equally distant from the sampled school in their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(an uncommon occurrence), one of the two was randomly selected.</w:t>
      </w:r>
    </w:p>
    <w:p w14:paraId="30B6EECA"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360 original sampled private schools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107 schools had substitutes activated when the original eligible schools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43 of the activated substitute private schools participated.</w:t>
      </w:r>
    </w:p>
    <w:p w14:paraId="30B6EECB" w14:textId="77777777" w:rsidR="00F95184" w:rsidRPr="001A3D9E" w:rsidRDefault="00F95184" w:rsidP="00F95184">
      <w:pPr>
        <w:rPr>
          <w:rFonts w:ascii="Times New Roman" w:eastAsia="Times New Roman" w:hAnsi="Times New Roman" w:cs="Times New Roman"/>
          <w:szCs w:val="24"/>
        </w:rPr>
      </w:pPr>
    </w:p>
    <w:p w14:paraId="30B6EECC"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6" w:name="_Toc535922267"/>
      <w:r w:rsidRPr="0036751F">
        <w:rPr>
          <w:rFonts w:ascii="Times New Roman" w:eastAsia="Times New Roman" w:hAnsi="Times New Roman" w:cs="Times New Roman"/>
          <w:b/>
          <w:bCs/>
          <w:color w:val="000000"/>
          <w:kern w:val="36"/>
          <w:sz w:val="36"/>
          <w:szCs w:val="48"/>
        </w:rPr>
        <w:t>NAEP Technical Documentation Ineligible Private Schools for the 2012 Long-Term Trend (LTT) Assessment</w:t>
      </w:r>
      <w:bookmarkEnd w:id="26"/>
    </w:p>
    <w:p w14:paraId="30B6EECD" w14:textId="77777777" w:rsidR="00365AA5" w:rsidRPr="0036751F" w:rsidRDefault="00F95184" w:rsidP="0036751F">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school file from which most of the sampled schools were drawn corresponds to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2009-2010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two years prior to the assessment school year. During the intervening period, some of these schools either closed, no longer offered grades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group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were ineligible for other reasons. In such cases, the sampled sc</w:t>
      </w:r>
      <w:r w:rsidR="0036751F">
        <w:rPr>
          <w:rFonts w:ascii="Times New Roman" w:eastAsia="Times New Roman" w:hAnsi="Times New Roman" w:cs="Times New Roman"/>
          <w:color w:val="000000"/>
          <w:sz w:val="24"/>
          <w:szCs w:val="27"/>
        </w:rPr>
        <w:t>hools were coded as ineligible.</w:t>
      </w:r>
    </w:p>
    <w:p w14:paraId="30B6EEC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sampled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 age and eligibility status, including the reason for ineligibility.</w:t>
      </w:r>
    </w:p>
    <w:p w14:paraId="30B6EECF" w14:textId="77777777" w:rsidR="00CB0212" w:rsidRDefault="00CB0212">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ED0"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and eligibility status: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658"/>
        <w:gridCol w:w="3793"/>
        <w:gridCol w:w="2167"/>
        <w:gridCol w:w="2097"/>
      </w:tblGrid>
      <w:tr w:rsidR="00F95184" w:rsidRPr="001A3D9E" w14:paraId="30B6EED5"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3" w14:textId="77777777" w:rsidR="00F95184" w:rsidRPr="001A3D9E" w:rsidRDefault="00752002"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Unweighted count of </w:t>
            </w:r>
            <w:r w:rsidR="00F95184" w:rsidRPr="001A3D9E">
              <w:rPr>
                <w:rFonts w:ascii="Times New Roman" w:eastAsia="Times New Roman" w:hAnsi="Times New Roman" w:cs="Times New Roman"/>
                <w:color w:val="000000"/>
                <w:szCs w:val="24"/>
              </w:rPr>
              <w:t>schools</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ED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D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D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9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ED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D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EE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7.30</w:t>
            </w:r>
          </w:p>
        </w:tc>
      </w:tr>
      <w:tr w:rsidR="00F95184" w:rsidRPr="001A3D9E" w14:paraId="30B6EEE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4.38</w:t>
            </w:r>
          </w:p>
        </w:tc>
      </w:tr>
      <w:tr w:rsidR="00F95184" w:rsidRPr="001A3D9E" w14:paraId="30B6EEE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F95184" w:rsidRPr="001A3D9E" w14:paraId="30B6EEF3"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F"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D"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F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FA"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13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02"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07"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3"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9.23</w:t>
            </w:r>
          </w:p>
        </w:tc>
      </w:tr>
      <w:tr w:rsidR="00F95184" w:rsidRPr="001A3D9E" w14:paraId="30B6EF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w:t>
            </w:r>
          </w:p>
        </w:tc>
      </w:tr>
      <w:tr w:rsidR="00F95184" w:rsidRPr="001A3D9E" w14:paraId="30B6EF11"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D"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r>
      <w:tr w:rsidR="00F95184" w:rsidRPr="001A3D9E" w14:paraId="30B6EF1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F1B"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7"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0.77</w:t>
            </w:r>
          </w:p>
        </w:tc>
      </w:tr>
      <w:tr w:rsidR="00F95184" w:rsidRPr="001A3D9E" w14:paraId="30B6EF20"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1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F1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17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25"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1"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2A"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17.20</w:t>
            </w:r>
          </w:p>
        </w:tc>
      </w:tr>
      <w:tr w:rsidR="00F95184" w:rsidRPr="001A3D9E" w14:paraId="30B6EF2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4.30</w:t>
            </w:r>
          </w:p>
        </w:tc>
      </w:tr>
      <w:tr w:rsidR="00F95184" w:rsidRPr="001A3D9E" w14:paraId="30B6EF3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7.53</w:t>
            </w:r>
          </w:p>
        </w:tc>
      </w:tr>
      <w:tr w:rsidR="00F95184" w:rsidRPr="001A3D9E" w14:paraId="30B6EF3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1.08</w:t>
            </w:r>
          </w:p>
        </w:tc>
      </w:tr>
      <w:tr w:rsidR="00F95184" w:rsidRPr="001A3D9E" w14:paraId="30B6EF3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752002" w:rsidRPr="001A3D9E" w14:paraId="30B6EF40" w14:textId="77777777" w:rsidTr="00CB0212">
        <w:trPr>
          <w:tblCellSpacing w:w="7" w:type="dxa"/>
          <w:jc w:val="center"/>
        </w:trPr>
        <w:tc>
          <w:tcPr>
            <w:tcW w:w="0" w:type="auto"/>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F3F"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43"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 private schools by age, collapsed private school type, and eligibility status.</w:t>
      </w:r>
    </w:p>
    <w:p w14:paraId="30B6EF44"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private school type, and eligibility status: 2012</w:t>
      </w:r>
    </w:p>
    <w:tbl>
      <w:tblPr>
        <w:tblW w:w="923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971"/>
        <w:gridCol w:w="1559"/>
        <w:gridCol w:w="2389"/>
        <w:gridCol w:w="2196"/>
      </w:tblGrid>
      <w:tr w:rsidR="00F95184" w:rsidRPr="001A3D9E" w14:paraId="30B6EF4A" w14:textId="77777777" w:rsidTr="00BE2BFC">
        <w:trPr>
          <w:tblHeader/>
          <w:tblCellSpacing w:w="7" w:type="dxa"/>
          <w:jc w:val="center"/>
        </w:trPr>
        <w:tc>
          <w:tcPr>
            <w:tcW w:w="106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center"/>
            <w:hideMark/>
          </w:tcPr>
          <w:p w14:paraId="30B6EF4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type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F50"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4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5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F5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12.41</w:t>
            </w:r>
          </w:p>
        </w:tc>
      </w:tr>
      <w:tr w:rsidR="00F95184" w:rsidRPr="001A3D9E" w14:paraId="30B6EF6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5F"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0"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1"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6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6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7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71"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2"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105</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3"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7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85.71</w:t>
            </w:r>
          </w:p>
        </w:tc>
      </w:tr>
      <w:tr w:rsidR="00F95184" w:rsidRPr="001A3D9E" w14:paraId="30B6EF8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14.29</w:t>
            </w:r>
          </w:p>
        </w:tc>
      </w:tr>
      <w:tr w:rsidR="00F95184" w:rsidRPr="001A3D9E" w14:paraId="30B6EF86"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83"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4"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5"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8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9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16.15</w:t>
            </w:r>
          </w:p>
        </w:tc>
      </w:tr>
      <w:tr w:rsidR="00F95184" w:rsidRPr="001A3D9E" w14:paraId="30B6EF9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95"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6"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7"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9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91.89</w:t>
            </w:r>
          </w:p>
        </w:tc>
      </w:tr>
      <w:tr w:rsidR="00F95184" w:rsidRPr="001A3D9E" w14:paraId="30B6EFA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8.11</w:t>
            </w:r>
          </w:p>
        </w:tc>
      </w:tr>
      <w:tr w:rsidR="00F95184" w:rsidRPr="001A3D9E" w14:paraId="30B6EFA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A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B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80.65</w:t>
            </w:r>
          </w:p>
        </w:tc>
      </w:tr>
      <w:tr w:rsidR="00F95184" w:rsidRPr="001A3D9E" w14:paraId="30B6EFB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19.35</w:t>
            </w:r>
          </w:p>
        </w:tc>
      </w:tr>
      <w:tr w:rsidR="00F95184" w:rsidRPr="001A3D9E" w14:paraId="30B6EFBC"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B9"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A"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C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C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30.11</w:t>
            </w:r>
          </w:p>
        </w:tc>
      </w:tr>
      <w:tr w:rsidR="00F95184" w:rsidRPr="001A3D9E" w14:paraId="30B6EFC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CB"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16</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D"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D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D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E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D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E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64.94</w:t>
            </w:r>
          </w:p>
        </w:tc>
      </w:tr>
      <w:tr w:rsidR="00F95184" w:rsidRPr="001A3D9E" w14:paraId="30B6EFE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35.06</w:t>
            </w:r>
          </w:p>
        </w:tc>
      </w:tr>
      <w:tr w:rsidR="00752002" w:rsidRPr="001A3D9E" w14:paraId="30B6EFEE" w14:textId="77777777" w:rsidTr="00CB0212">
        <w:trPr>
          <w:tblCellSpacing w:w="7" w:type="dxa"/>
          <w:jc w:val="center"/>
        </w:trPr>
        <w:tc>
          <w:tcPr>
            <w:tcW w:w="9207" w:type="dxa"/>
            <w:gridSpan w:val="5"/>
            <w:tcBorders>
              <w:top w:val="single" w:sz="12" w:space="0" w:color="800000"/>
              <w:left w:val="single" w:sz="6" w:space="0" w:color="FFFFFF"/>
              <w:bottom w:val="single" w:sz="6" w:space="0" w:color="FFFFFF"/>
              <w:right w:val="single" w:sz="6" w:space="0" w:color="FFFFFF"/>
            </w:tcBorders>
            <w:shd w:val="clear" w:color="auto" w:fill="auto"/>
            <w:vAlign w:val="center"/>
          </w:tcPr>
          <w:p w14:paraId="30B6EFED"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F1"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7" w:name="_Toc535922268"/>
      <w:r w:rsidRPr="0036751F">
        <w:rPr>
          <w:rFonts w:ascii="Times New Roman" w:eastAsia="Times New Roman" w:hAnsi="Times New Roman" w:cs="Times New Roman"/>
          <w:b/>
          <w:bCs/>
          <w:color w:val="000000"/>
          <w:kern w:val="36"/>
          <w:sz w:val="36"/>
          <w:szCs w:val="48"/>
        </w:rPr>
        <w:t>NAEP Technical Documentation Student Sample Selection for the 2012 Private School Long-Term Trend (LTT) Assessment</w:t>
      </w:r>
      <w:bookmarkEnd w:id="27"/>
    </w:p>
    <w:p w14:paraId="30B6EFF2"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in private schools were selected for the 2012 long-term trend (LTT) assessment in the same way as students in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public schools.</w:t>
      </w:r>
    </w:p>
    <w:p w14:paraId="30B6EFF4"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8" w:name="_Toc535922269"/>
      <w:r w:rsidRPr="0036751F">
        <w:rPr>
          <w:rFonts w:ascii="Times New Roman" w:eastAsia="Times New Roman" w:hAnsi="Times New Roman" w:cs="Times New Roman"/>
          <w:b/>
          <w:bCs/>
          <w:kern w:val="36"/>
          <w:sz w:val="36"/>
          <w:szCs w:val="48"/>
        </w:rPr>
        <w:t>NAEP Technical Documentation School and Student Participation Results for the 2012 Long-Term Trend (LTT) Assessment</w:t>
      </w:r>
      <w:bookmarkEnd w:id="28"/>
    </w:p>
    <w:p w14:paraId="30B6EFF5"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Participation in NAEP is not mandatory. Although a portion of the participating school sample consists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substitute schools, it is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preferable to calculate school response rates on the basis of school participation before substitution.</w:t>
      </w:r>
    </w:p>
    <w:p w14:paraId="30B6EFF6"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every NAEP survey, some of the sampled students are not assessed. Examples of such students are as follows:</w:t>
      </w:r>
    </w:p>
    <w:p w14:paraId="30B6EFF7"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w:t>
      </w:r>
    </w:p>
    <w:p w14:paraId="30B6EFF8"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students with disabilities (SD)</w:t>
      </w:r>
    </w:p>
    <w:p w14:paraId="30B6EFF9"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English language learner (ELL) students</w:t>
      </w:r>
    </w:p>
    <w:p w14:paraId="30B6EFFA"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students absent from both the original session and the makeup session (not excluded but not assessed)</w:t>
      </w:r>
    </w:p>
    <w:p w14:paraId="30B6EFFB"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 are those who have left the school before the original assessment. Excluded students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determined by their school to be unable to meaningfully take the NAEP assessment in their assigned subject, even with an accommodation. Excluded students must also be classified as SD and/or ELL. Other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absent for the initial session are assessed in the makeup session. The last category includes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excluded (i.e., “were to be assessed”) but</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assessed either due to absence from both sessions or because of a refusal to participate. Assessed students are also classified as assessed without an accommodation or assessed with an accommodation. The latter group can be divided into SD students assessed with an accommodation, ELL students assessed with an accommodation, or students who are both SD and ELL and accommodated. Note that some SD and ELL students are assessed without accommodations, and students neither SD nor ELL can only be assessed without an accommodation.</w:t>
      </w:r>
    </w:p>
    <w:p w14:paraId="30B6EFFD" w14:textId="77777777" w:rsidR="00F95184" w:rsidRPr="00A23D50" w:rsidRDefault="00F95184" w:rsidP="001A3D9E">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29" w:name="_Toc535922270"/>
      <w:r w:rsidRPr="00A23D50">
        <w:rPr>
          <w:rFonts w:ascii="Times New Roman" w:eastAsia="Times New Roman" w:hAnsi="Times New Roman" w:cs="Times New Roman"/>
          <w:b/>
          <w:bCs/>
          <w:color w:val="000000"/>
          <w:kern w:val="36"/>
          <w:sz w:val="36"/>
          <w:szCs w:val="48"/>
        </w:rPr>
        <w:t>NAEP Technical Documentation School Response Rates for the 2012 Long-Term Trend (LTT) Assessment</w:t>
      </w:r>
      <w:bookmarkEnd w:id="29"/>
    </w:p>
    <w:p w14:paraId="30B6EFF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A23D50">
        <w:rPr>
          <w:rFonts w:ascii="Times New Roman" w:eastAsia="Times New Roman" w:hAnsi="Times New Roman" w:cs="Times New Roman"/>
          <w:color w:val="000000"/>
          <w:sz w:val="24"/>
          <w:szCs w:val="27"/>
        </w:rPr>
        <w:t>The following table presents counts of eligible sampled schools and participating schools, as well as weighted school response rates, for the 2012</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Long-Term Trend (LTT) math and reading assessments. The weighted school response rates estimate</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the proportion of the student population that is represented by the participating school sample prior to substitution.</w:t>
      </w:r>
    </w:p>
    <w:p w14:paraId="30B6EFFF" w14:textId="77777777" w:rsidR="00CB0212" w:rsidRPr="00A23D50"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School response counts and rates for public and private schools before substitution, long-term trend reading and mathematics assessments, by school type, geographic region, and age: 2012</w:t>
      </w:r>
    </w:p>
    <w:tbl>
      <w:tblPr>
        <w:tblW w:w="10420"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2021"/>
        <w:gridCol w:w="1671"/>
        <w:gridCol w:w="1717"/>
        <w:gridCol w:w="2767"/>
      </w:tblGrid>
      <w:tr w:rsidR="001A3D9E" w:rsidRPr="001A3D9E" w14:paraId="30B6F005" w14:textId="77777777" w:rsidTr="00CB0212">
        <w:trPr>
          <w:tblHeader/>
          <w:tblCellSpacing w:w="7" w:type="dxa"/>
          <w:jc w:val="center"/>
        </w:trPr>
        <w:tc>
          <w:tcPr>
            <w:tcW w:w="222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0" w14:textId="77777777" w:rsidR="00F95184" w:rsidRPr="001A3D9E" w:rsidRDefault="00F95184"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1"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School type</w:t>
            </w:r>
            <w:r w:rsidRPr="001A3D9E">
              <w:rPr>
                <w:rFonts w:ascii="Times New Roman" w:eastAsia="Times New Roman" w:hAnsi="Times New Roman" w:cs="Times New Roman"/>
                <w:color w:val="000000"/>
                <w:sz w:val="20"/>
                <w:szCs w:val="27"/>
              </w:rPr>
              <w:br/>
              <w:t xml:space="preserve">and geographic </w:t>
            </w:r>
            <w:r w:rsidR="00F95184" w:rsidRPr="001A3D9E">
              <w:rPr>
                <w:rFonts w:ascii="Times New Roman" w:eastAsia="Times New Roman" w:hAnsi="Times New Roman" w:cs="Times New Roman"/>
                <w:color w:val="000000"/>
                <w:sz w:val="20"/>
                <w:szCs w:val="27"/>
              </w:rP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2"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Number of sampled </w:t>
            </w:r>
            <w:r w:rsidR="00F95184" w:rsidRPr="001A3D9E">
              <w:rPr>
                <w:rFonts w:ascii="Times New Roman" w:eastAsia="Times New Roman" w:hAnsi="Times New Roman" w:cs="Times New Roman"/>
                <w:color w:val="000000"/>
                <w:sz w:val="20"/>
                <w:szCs w:val="27"/>
              </w:rPr>
              <w:t>eligible</w:t>
            </w:r>
            <w:r w:rsidR="00F95184" w:rsidRPr="001A3D9E">
              <w:rPr>
                <w:rFonts w:ascii="Times New Roman" w:eastAsia="Times New Roman" w:hAnsi="Times New Roman" w:cs="Times New Roman"/>
                <w:color w:val="000000"/>
                <w:sz w:val="20"/>
                <w:szCs w:val="27"/>
              </w:rPr>
              <w:br/>
              <w:t>schools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3" w14:textId="77777777" w:rsidR="00F95184" w:rsidRPr="001A3D9E" w:rsidRDefault="00A23D50" w:rsidP="00A23D50">
            <w:pPr>
              <w:rPr>
                <w:rFonts w:ascii="Times New Roman" w:eastAsia="Times New Roman" w:hAnsi="Times New Roman" w:cs="Times New Roman"/>
                <w:color w:val="000000"/>
                <w:sz w:val="20"/>
                <w:szCs w:val="27"/>
              </w:rPr>
            </w:pPr>
            <w:r>
              <w:rPr>
                <w:rFonts w:ascii="Times New Roman" w:eastAsia="Times New Roman" w:hAnsi="Times New Roman" w:cs="Times New Roman"/>
                <w:color w:val="000000"/>
                <w:sz w:val="20"/>
                <w:szCs w:val="27"/>
              </w:rPr>
              <w:t xml:space="preserve">Number </w:t>
            </w:r>
            <w:r w:rsidR="001A3D9E" w:rsidRPr="001A3D9E">
              <w:rPr>
                <w:rFonts w:ascii="Times New Roman" w:eastAsia="Times New Roman" w:hAnsi="Times New Roman" w:cs="Times New Roman"/>
                <w:color w:val="000000"/>
                <w:sz w:val="20"/>
                <w:szCs w:val="27"/>
              </w:rPr>
              <w:t xml:space="preserve">of </w:t>
            </w:r>
            <w:r w:rsidR="00F95184" w:rsidRPr="001A3D9E">
              <w:rPr>
                <w:rFonts w:ascii="Times New Roman" w:eastAsia="Times New Roman" w:hAnsi="Times New Roman" w:cs="Times New Roman"/>
                <w:color w:val="000000"/>
                <w:sz w:val="20"/>
                <w:szCs w:val="27"/>
              </w:rPr>
              <w:t>participating</w:t>
            </w:r>
            <w:r w:rsidR="00F95184" w:rsidRPr="001A3D9E">
              <w:rPr>
                <w:rFonts w:ascii="Times New Roman" w:eastAsia="Times New Roman" w:hAnsi="Times New Roman" w:cs="Times New Roman"/>
                <w:color w:val="000000"/>
                <w:sz w:val="20"/>
                <w:szCs w:val="27"/>
              </w:rPr>
              <w:br/>
              <w:t>schools</w:t>
            </w:r>
          </w:p>
        </w:tc>
        <w:tc>
          <w:tcPr>
            <w:tcW w:w="27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4"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Weighted </w:t>
            </w:r>
            <w:r w:rsidR="00F95184" w:rsidRPr="001A3D9E">
              <w:rPr>
                <w:rFonts w:ascii="Times New Roman" w:eastAsia="Times New Roman" w:hAnsi="Times New Roman" w:cs="Times New Roman"/>
                <w:color w:val="000000"/>
                <w:sz w:val="20"/>
                <w:szCs w:val="27"/>
              </w:rPr>
              <w:t>scho</w:t>
            </w:r>
            <w:r w:rsidRPr="001A3D9E">
              <w:rPr>
                <w:rFonts w:ascii="Times New Roman" w:eastAsia="Times New Roman" w:hAnsi="Times New Roman" w:cs="Times New Roman"/>
                <w:color w:val="000000"/>
                <w:sz w:val="20"/>
                <w:szCs w:val="27"/>
              </w:rPr>
              <w:t>ol</w:t>
            </w:r>
            <w:r w:rsidRPr="001A3D9E">
              <w:rPr>
                <w:rFonts w:ascii="Times New Roman" w:eastAsia="Times New Roman" w:hAnsi="Times New Roman" w:cs="Times New Roman"/>
                <w:color w:val="000000"/>
                <w:sz w:val="20"/>
                <w:szCs w:val="27"/>
              </w:rPr>
              <w:br/>
              <w:t xml:space="preserve">participation rate prior to </w:t>
            </w:r>
            <w:r w:rsidR="00F95184" w:rsidRPr="001A3D9E">
              <w:rPr>
                <w:rFonts w:ascii="Times New Roman" w:eastAsia="Times New Roman" w:hAnsi="Times New Roman" w:cs="Times New Roman"/>
                <w:color w:val="000000"/>
                <w:sz w:val="20"/>
                <w:szCs w:val="27"/>
              </w:rPr>
              <w:t>sub</w:t>
            </w:r>
            <w:r w:rsidRPr="001A3D9E">
              <w:rPr>
                <w:rFonts w:ascii="Times New Roman" w:eastAsia="Times New Roman" w:hAnsi="Times New Roman" w:cs="Times New Roman"/>
                <w:color w:val="000000"/>
                <w:sz w:val="20"/>
                <w:szCs w:val="27"/>
              </w:rPr>
              <w:t>stitution</w:t>
            </w:r>
            <w:r w:rsidR="00A23D50">
              <w:rPr>
                <w:rFonts w:ascii="Times New Roman" w:eastAsia="Times New Roman" w:hAnsi="Times New Roman" w:cs="Times New Roman"/>
                <w:color w:val="000000"/>
                <w:sz w:val="20"/>
                <w:szCs w:val="27"/>
              </w:rPr>
              <w:t xml:space="preserve"> </w:t>
            </w:r>
            <w:r w:rsidR="00F95184" w:rsidRPr="001A3D9E">
              <w:rPr>
                <w:rFonts w:ascii="Times New Roman" w:eastAsia="Times New Roman" w:hAnsi="Times New Roman" w:cs="Times New Roman"/>
                <w:color w:val="000000"/>
                <w:sz w:val="20"/>
                <w:szCs w:val="27"/>
              </w:rPr>
              <w:t>(percent)</w:t>
            </w:r>
          </w:p>
        </w:tc>
      </w:tr>
      <w:tr w:rsidR="001A3D9E" w:rsidRPr="001A3D9E" w14:paraId="30B6F00B" w14:textId="77777777" w:rsidTr="00CB0212">
        <w:trPr>
          <w:tblCellSpacing w:w="7" w:type="dxa"/>
          <w:jc w:val="center"/>
        </w:trPr>
        <w:tc>
          <w:tcPr>
            <w:tcW w:w="2223"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6"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7"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8"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9"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A"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86.64</w:t>
            </w:r>
          </w:p>
        </w:tc>
      </w:tr>
      <w:tr w:rsidR="001A3D9E" w:rsidRPr="001A3D9E" w14:paraId="30B6F011"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0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89.00</w:t>
            </w:r>
          </w:p>
        </w:tc>
      </w:tr>
      <w:tr w:rsidR="001A3D9E" w:rsidRPr="001A3D9E" w14:paraId="30B6F017"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1D"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92.23</w:t>
            </w:r>
          </w:p>
        </w:tc>
      </w:tr>
      <w:tr w:rsidR="001A3D9E" w:rsidRPr="001A3D9E" w14:paraId="30B6F023"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86.93</w:t>
            </w:r>
          </w:p>
        </w:tc>
      </w:tr>
      <w:tr w:rsidR="001A3D9E" w:rsidRPr="001A3D9E" w14:paraId="30B6F029"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82.49</w:t>
            </w:r>
          </w:p>
        </w:tc>
      </w:tr>
      <w:tr w:rsidR="001A3D9E" w:rsidRPr="001A3D9E" w14:paraId="30B6F02F"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2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67</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61.16</w:t>
            </w:r>
          </w:p>
        </w:tc>
      </w:tr>
      <w:tr w:rsidR="001A3D9E" w:rsidRPr="001A3D9E" w14:paraId="30B6F035"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95.06</w:t>
            </w:r>
          </w:p>
        </w:tc>
      </w:tr>
      <w:tr w:rsidR="001A3D9E" w:rsidRPr="001A3D9E" w14:paraId="30B6F03B"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3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37.71</w:t>
            </w:r>
          </w:p>
        </w:tc>
      </w:tr>
      <w:tr w:rsidR="001A3D9E" w:rsidRPr="001A3D9E" w14:paraId="30B6F041"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C"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3D"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E"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440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F"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365</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0"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87.87</w:t>
            </w:r>
          </w:p>
        </w:tc>
      </w:tr>
      <w:tr w:rsidR="001A3D9E" w:rsidRPr="001A3D9E" w14:paraId="30B6F04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4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89.94</w:t>
            </w:r>
          </w:p>
        </w:tc>
      </w:tr>
      <w:tr w:rsidR="001A3D9E" w:rsidRPr="001A3D9E" w14:paraId="30B6F04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5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92.51</w:t>
            </w:r>
          </w:p>
        </w:tc>
      </w:tr>
      <w:tr w:rsidR="001A3D9E" w:rsidRPr="001A3D9E" w14:paraId="30B6F05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89.99</w:t>
            </w:r>
          </w:p>
        </w:tc>
      </w:tr>
      <w:tr w:rsidR="001A3D9E" w:rsidRPr="001A3D9E" w14:paraId="30B6F05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81.29</w:t>
            </w:r>
          </w:p>
        </w:tc>
      </w:tr>
      <w:tr w:rsidR="001A3D9E" w:rsidRPr="001A3D9E" w14:paraId="30B6F06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6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68.63</w:t>
            </w:r>
          </w:p>
        </w:tc>
      </w:tr>
      <w:tr w:rsidR="001A3D9E" w:rsidRPr="001A3D9E" w14:paraId="30B6F06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91.61</w:t>
            </w:r>
          </w:p>
        </w:tc>
      </w:tr>
      <w:tr w:rsidR="001A3D9E" w:rsidRPr="001A3D9E" w14:paraId="30B6F07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6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49.13</w:t>
            </w:r>
          </w:p>
        </w:tc>
      </w:tr>
      <w:tr w:rsidR="001A3D9E" w:rsidRPr="001A3D9E" w14:paraId="30B6F077"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2"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3"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4"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432</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5"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349</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6"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83.82</w:t>
            </w:r>
          </w:p>
        </w:tc>
      </w:tr>
      <w:tr w:rsidR="001A3D9E" w:rsidRPr="001A3D9E" w14:paraId="30B6F07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85.58</w:t>
            </w:r>
          </w:p>
        </w:tc>
      </w:tr>
      <w:tr w:rsidR="001A3D9E" w:rsidRPr="001A3D9E" w14:paraId="30B6F08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97.50</w:t>
            </w:r>
          </w:p>
        </w:tc>
      </w:tr>
      <w:tr w:rsidR="001A3D9E" w:rsidRPr="001A3D9E" w14:paraId="30B6F08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92.93</w:t>
            </w:r>
          </w:p>
        </w:tc>
      </w:tr>
      <w:tr w:rsidR="001A3D9E" w:rsidRPr="001A3D9E" w14:paraId="30B6F08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83.84</w:t>
            </w:r>
          </w:p>
        </w:tc>
      </w:tr>
      <w:tr w:rsidR="001A3D9E" w:rsidRPr="001A3D9E" w14:paraId="30B6F09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72.95</w:t>
            </w:r>
          </w:p>
        </w:tc>
      </w:tr>
      <w:tr w:rsidR="001A3D9E" w:rsidRPr="001A3D9E" w14:paraId="30B6F09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9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62.51</w:t>
            </w:r>
          </w:p>
        </w:tc>
      </w:tr>
      <w:tr w:rsidR="001A3D9E" w:rsidRPr="001A3D9E" w14:paraId="30B6F0A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88.18</w:t>
            </w:r>
          </w:p>
        </w:tc>
      </w:tr>
      <w:tr w:rsidR="001A3D9E" w:rsidRPr="001A3D9E" w14:paraId="30B6F0A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A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A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40.30</w:t>
            </w:r>
          </w:p>
        </w:tc>
      </w:tr>
      <w:tr w:rsidR="001A3D9E" w:rsidRPr="001A3D9E" w14:paraId="30B6F0A9" w14:textId="77777777" w:rsidTr="00CB0212">
        <w:trPr>
          <w:tblCellSpacing w:w="7" w:type="dxa"/>
          <w:jc w:val="center"/>
        </w:trPr>
        <w:tc>
          <w:tcPr>
            <w:tcW w:w="10392"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0A8" w14:textId="77777777" w:rsidR="001A3D9E" w:rsidRPr="00A23D50" w:rsidRDefault="001A3D9E" w:rsidP="001A3D9E">
            <w:pPr>
              <w:rPr>
                <w:rFonts w:ascii="Times New Roman" w:eastAsia="Times New Roman" w:hAnsi="Times New Roman" w:cs="Times New Roman"/>
                <w:color w:val="000000"/>
                <w:sz w:val="19"/>
                <w:szCs w:val="19"/>
              </w:rPr>
            </w:pPr>
            <w:r w:rsidRPr="00A23D50">
              <w:rPr>
                <w:rFonts w:ascii="Times New Roman" w:eastAsia="Times New Roman" w:hAnsi="Times New Roman" w:cs="Times New Roman"/>
                <w:color w:val="000000"/>
                <w:sz w:val="20"/>
                <w:szCs w:val="19"/>
              </w:rPr>
              <w:t>NOTE: National all includes national public, national private, Bureau of Indian Education, and Department of Defense Education Activity schools located in the United States.</w:t>
            </w:r>
            <w:r w:rsidRPr="00A23D50">
              <w:rPr>
                <w:rFonts w:ascii="Times New Roman" w:eastAsia="Times New Roman" w:hAnsi="Times New Roman" w:cs="Times New Roman"/>
                <w:color w:val="000000"/>
                <w:sz w:val="20"/>
                <w:szCs w:val="19"/>
              </w:rPr>
              <w:br/>
              <w:t>SOURCE: U.S. Department of Education, Institute of Education Sciences, National Center for Education Statistics, National Assessment of Educational Progress (NAEP), 2012 Long-Term Trend Assessments.</w:t>
            </w:r>
          </w:p>
        </w:tc>
      </w:tr>
    </w:tbl>
    <w:p w14:paraId="30B6F0AA" w14:textId="77777777" w:rsidR="00F95184" w:rsidRDefault="00F95184" w:rsidP="00C33467">
      <w:pPr>
        <w:spacing w:before="100" w:beforeAutospacing="1" w:after="100" w:afterAutospacing="1"/>
        <w:outlineLvl w:val="0"/>
        <w:rPr>
          <w:rFonts w:ascii="Times New Roman" w:eastAsia="Times New Roman" w:hAnsi="Times New Roman" w:cs="Times New Roman"/>
          <w:b/>
          <w:bCs/>
          <w:kern w:val="36"/>
          <w:sz w:val="36"/>
          <w:szCs w:val="48"/>
        </w:rPr>
      </w:pPr>
      <w:bookmarkStart w:id="30" w:name="_Toc535922271"/>
      <w:r w:rsidRPr="00A23D50">
        <w:rPr>
          <w:rFonts w:ascii="Times New Roman" w:eastAsia="Times New Roman" w:hAnsi="Times New Roman" w:cs="Times New Roman"/>
          <w:b/>
          <w:bCs/>
          <w:kern w:val="36"/>
          <w:sz w:val="36"/>
          <w:szCs w:val="48"/>
        </w:rPr>
        <w:t>NAEP Technical Documentation Student Response and Exclusion Rates for the 2012 Long-Term Trend (LTT) Assessment in Reading</w:t>
      </w:r>
      <w:bookmarkEnd w:id="30"/>
    </w:p>
    <w:p w14:paraId="30B6F0AB" w14:textId="77777777" w:rsidR="00CB0212" w:rsidRPr="00C33467" w:rsidRDefault="00CB0212" w:rsidP="00C33467">
      <w:pPr>
        <w:spacing w:before="100" w:beforeAutospacing="1" w:after="100" w:afterAutospacing="1"/>
        <w:outlineLvl w:val="0"/>
        <w:rPr>
          <w:rFonts w:ascii="Times New Roman" w:eastAsia="Times New Roman" w:hAnsi="Times New Roman" w:cs="Times New Roman"/>
          <w:b/>
          <w:bCs/>
          <w:kern w:val="36"/>
          <w:sz w:val="36"/>
          <w:szCs w:val="48"/>
        </w:rPr>
      </w:pPr>
      <w:r w:rsidRPr="001A3D9E">
        <w:rPr>
          <w:rFonts w:ascii="Times New Roman" w:eastAsia="Times New Roman" w:hAnsi="Times New Roman" w:cs="Times New Roman"/>
          <w:b/>
          <w:bCs/>
          <w:szCs w:val="24"/>
        </w:rPr>
        <w:t>Weighted student response and exclusion rates for public and private schools, long-term trend reading assessment, by</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school type, geographic region, and age: 2012</w:t>
      </w:r>
    </w:p>
    <w:tbl>
      <w:tblPr>
        <w:tblW w:w="978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342"/>
        <w:gridCol w:w="2949"/>
        <w:gridCol w:w="1682"/>
        <w:gridCol w:w="1828"/>
        <w:gridCol w:w="1986"/>
      </w:tblGrid>
      <w:tr w:rsidR="00F95184" w:rsidRPr="001A3D9E" w14:paraId="30B6F0AD" w14:textId="77777777" w:rsidTr="001A3D9E">
        <w:trPr>
          <w:tblHeader/>
          <w:tblCellSpacing w:w="7" w:type="dxa"/>
          <w:jc w:val="center"/>
        </w:trPr>
        <w:tc>
          <w:tcPr>
            <w:tcW w:w="9759" w:type="dxa"/>
            <w:gridSpan w:val="5"/>
            <w:tcBorders>
              <w:top w:val="nil"/>
              <w:left w:val="nil"/>
              <w:bottom w:val="nil"/>
              <w:right w:val="nil"/>
            </w:tcBorders>
            <w:shd w:val="clear" w:color="auto" w:fill="F5E4DF"/>
            <w:tcMar>
              <w:top w:w="15" w:type="dxa"/>
              <w:left w:w="120" w:type="dxa"/>
              <w:bottom w:w="15" w:type="dxa"/>
              <w:right w:w="120" w:type="dxa"/>
            </w:tcMar>
            <w:vAlign w:val="center"/>
            <w:hideMark/>
          </w:tcPr>
          <w:p w14:paraId="30B6F0AC" w14:textId="77777777" w:rsidR="00F95184" w:rsidRPr="001A3D9E" w:rsidRDefault="00F95184" w:rsidP="00F95184">
            <w:pPr>
              <w:textAlignment w:val="top"/>
              <w:rPr>
                <w:rFonts w:ascii="Times New Roman" w:eastAsia="Times New Roman" w:hAnsi="Times New Roman" w:cs="Times New Roman"/>
                <w:b/>
                <w:bCs/>
                <w:szCs w:val="24"/>
              </w:rPr>
            </w:pPr>
          </w:p>
        </w:tc>
      </w:tr>
      <w:tr w:rsidR="00C33467" w:rsidRPr="001A3D9E" w14:paraId="30B6F0B3" w14:textId="77777777" w:rsidTr="00C33467">
        <w:trPr>
          <w:tblHeader/>
          <w:tblCellSpacing w:w="7" w:type="dxa"/>
          <w:jc w:val="center"/>
        </w:trPr>
        <w:tc>
          <w:tcPr>
            <w:tcW w:w="1328"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290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type</w:t>
            </w:r>
            <w:r w:rsidRPr="001A3D9E">
              <w:rPr>
                <w:rFonts w:ascii="Times New Roman" w:eastAsia="Times New Roman" w:hAnsi="Times New Roman" w:cs="Times New Roman"/>
                <w:color w:val="000000"/>
                <w:szCs w:val="24"/>
              </w:rPr>
              <w:br/>
              <w:t>and</w:t>
            </w:r>
            <w:r w:rsidRPr="001A3D9E">
              <w:rPr>
                <w:rFonts w:ascii="Times New Roman" w:eastAsia="Times New Roman" w:hAnsi="Times New Roman" w:cs="Times New Roman"/>
                <w:color w:val="000000"/>
                <w:szCs w:val="24"/>
              </w:rPr>
              <w:br/>
              <w:t>geographic</w:t>
            </w:r>
            <w:r w:rsidRPr="001A3D9E">
              <w:rPr>
                <w:rFonts w:ascii="Times New Roman" w:eastAsia="Times New Roman" w:hAnsi="Times New Roman" w:cs="Times New Roman"/>
                <w:color w:val="000000"/>
                <w:szCs w:val="24"/>
              </w:rPr>
              <w:br/>
              <w:t>region</w:t>
            </w:r>
          </w:p>
        </w:tc>
        <w:tc>
          <w:tcPr>
            <w:tcW w:w="16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0" w14:textId="77777777" w:rsidR="00F95184" w:rsidRPr="001A3D9E" w:rsidRDefault="001A3D9E"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 student</w:t>
            </w:r>
            <w:r>
              <w:rPr>
                <w:rFonts w:ascii="Times New Roman" w:eastAsia="Times New Roman" w:hAnsi="Times New Roman" w:cs="Times New Roman"/>
                <w:color w:val="000000"/>
                <w:szCs w:val="24"/>
              </w:rPr>
              <w:br/>
              <w:t xml:space="preserve">response </w:t>
            </w:r>
            <w:r w:rsidR="00F95184" w:rsidRPr="001A3D9E">
              <w:rPr>
                <w:rFonts w:ascii="Times New Roman" w:eastAsia="Times New Roman" w:hAnsi="Times New Roman" w:cs="Times New Roman"/>
                <w:color w:val="000000"/>
                <w:szCs w:val="24"/>
              </w:rPr>
              <w:t>rate</w:t>
            </w:r>
            <w:r w:rsidR="00F95184" w:rsidRPr="001A3D9E">
              <w:rPr>
                <w:rFonts w:ascii="Times New Roman" w:eastAsia="Times New Roman" w:hAnsi="Times New Roman" w:cs="Times New Roman"/>
                <w:color w:val="000000"/>
                <w:szCs w:val="24"/>
              </w:rPr>
              <w:br/>
              <w:t>(percent)</w:t>
            </w:r>
          </w:p>
        </w:tc>
        <w:tc>
          <w:tcPr>
            <w:tcW w:w="1822"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perc</w:t>
            </w:r>
            <w:r w:rsidR="00C33467">
              <w:rPr>
                <w:rFonts w:ascii="Times New Roman" w:eastAsia="Times New Roman" w:hAnsi="Times New Roman" w:cs="Times New Roman"/>
                <w:color w:val="000000"/>
                <w:szCs w:val="24"/>
              </w:rPr>
              <w:t>ent of</w:t>
            </w:r>
            <w:r w:rsidR="00A375F4">
              <w:rPr>
                <w:rFonts w:ascii="Times New Roman" w:eastAsia="Times New Roman" w:hAnsi="Times New Roman" w:cs="Times New Roman"/>
                <w:color w:val="000000"/>
                <w:szCs w:val="24"/>
              </w:rPr>
              <w:t xml:space="preserve"> </w:t>
            </w:r>
            <w:r w:rsidR="001A3D9E">
              <w:rPr>
                <w:rFonts w:ascii="Times New Roman" w:eastAsia="Times New Roman" w:hAnsi="Times New Roman" w:cs="Times New Roman"/>
                <w:color w:val="000000"/>
                <w:szCs w:val="24"/>
              </w:rPr>
              <w:t>all studen</w:t>
            </w:r>
            <w:r w:rsidR="00C33467">
              <w:rPr>
                <w:rFonts w:ascii="Times New Roman" w:eastAsia="Times New Roman" w:hAnsi="Times New Roman" w:cs="Times New Roman"/>
                <w:color w:val="000000"/>
                <w:szCs w:val="24"/>
              </w:rPr>
              <w:t xml:space="preserve">ts </w:t>
            </w:r>
            <w:r w:rsidR="001A3D9E">
              <w:rPr>
                <w:rFonts w:ascii="Times New Roman" w:eastAsia="Times New Roman" w:hAnsi="Times New Roman" w:cs="Times New Roman"/>
                <w:color w:val="000000"/>
                <w:szCs w:val="24"/>
              </w:rPr>
              <w:t xml:space="preserve">who are SD and </w:t>
            </w:r>
            <w:r w:rsidRPr="001A3D9E">
              <w:rPr>
                <w:rFonts w:ascii="Times New Roman" w:eastAsia="Times New Roman" w:hAnsi="Times New Roman" w:cs="Times New Roman"/>
                <w:color w:val="000000"/>
                <w:szCs w:val="24"/>
              </w:rPr>
              <w:t>excluded</w:t>
            </w:r>
          </w:p>
        </w:tc>
        <w:tc>
          <w:tcPr>
            <w:tcW w:w="19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2" w14:textId="77777777" w:rsidR="00F95184" w:rsidRPr="001A3D9E" w:rsidRDefault="00C33467"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br/>
              <w:t xml:space="preserve">percent of all students who are ELL </w:t>
            </w:r>
            <w:r w:rsidR="001A3D9E">
              <w:rPr>
                <w:rFonts w:ascii="Times New Roman" w:eastAsia="Times New Roman" w:hAnsi="Times New Roman" w:cs="Times New Roman"/>
                <w:color w:val="000000"/>
                <w:szCs w:val="24"/>
              </w:rPr>
              <w:t xml:space="preserve">and </w:t>
            </w:r>
            <w:r w:rsidR="00F95184" w:rsidRPr="001A3D9E">
              <w:rPr>
                <w:rFonts w:ascii="Times New Roman" w:eastAsia="Times New Roman" w:hAnsi="Times New Roman" w:cs="Times New Roman"/>
                <w:color w:val="000000"/>
                <w:szCs w:val="24"/>
              </w:rPr>
              <w:t>excluded</w:t>
            </w:r>
          </w:p>
        </w:tc>
      </w:tr>
      <w:tr w:rsidR="00C33467" w:rsidRPr="00C33467" w14:paraId="30B6F0B9" w14:textId="77777777" w:rsidTr="00C33467">
        <w:trPr>
          <w:tblCellSpacing w:w="7" w:type="dxa"/>
          <w:jc w:val="center"/>
        </w:trPr>
        <w:tc>
          <w:tcPr>
            <w:tcW w:w="1328"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4"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9</w:t>
            </w: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5"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6"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94.94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7"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1.32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8"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0.51</w:t>
            </w:r>
          </w:p>
        </w:tc>
      </w:tr>
      <w:tr w:rsidR="00C33467" w:rsidRPr="00C33467" w14:paraId="30B6F0BF"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B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0.54</w:t>
            </w:r>
          </w:p>
        </w:tc>
      </w:tr>
      <w:tr w:rsidR="00C33467" w:rsidRPr="00C33467" w14:paraId="30B6F0C5"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94.24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0.97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0.70</w:t>
            </w:r>
          </w:p>
        </w:tc>
      </w:tr>
      <w:tr w:rsidR="00C33467" w:rsidRPr="00C33467" w14:paraId="30B6F0CB"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0.40</w:t>
            </w:r>
          </w:p>
        </w:tc>
      </w:tr>
      <w:tr w:rsidR="00C33467" w:rsidRPr="00C33467" w14:paraId="30B6F0D1"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95.39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0.59</w:t>
            </w:r>
          </w:p>
        </w:tc>
      </w:tr>
      <w:tr w:rsidR="00C33467" w:rsidRPr="00C33467" w14:paraId="30B6F0D7"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0.84</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0.48</w:t>
            </w:r>
          </w:p>
        </w:tc>
      </w:tr>
      <w:tr w:rsidR="00C33467" w:rsidRPr="00C33467" w14:paraId="30B6F0DD"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D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93.80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0.26</w:t>
            </w:r>
          </w:p>
        </w:tc>
      </w:tr>
      <w:tr w:rsidR="00C33467" w:rsidRPr="00C33467" w14:paraId="30B6F0E3"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97.52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0E9"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E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E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89.86</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0.46</w:t>
            </w:r>
          </w:p>
        </w:tc>
      </w:tr>
      <w:tr w:rsidR="00C33467" w:rsidRPr="00C33467" w14:paraId="30B6F0EF"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A"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13</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EB"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C"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93.19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D"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1.67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E"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0.31</w:t>
            </w:r>
          </w:p>
        </w:tc>
      </w:tr>
      <w:tr w:rsidR="00C33467" w:rsidRPr="00C33467" w14:paraId="30B6F0F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F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1.79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0.34</w:t>
            </w:r>
          </w:p>
        </w:tc>
      </w:tr>
      <w:tr w:rsidR="00C33467" w:rsidRPr="00C33467" w14:paraId="30B6F0F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91.99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94.95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0.06</w:t>
            </w:r>
          </w:p>
        </w:tc>
      </w:tr>
      <w:tr w:rsidR="00C33467" w:rsidRPr="00C33467" w14:paraId="30B6F10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92.45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2.29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0.56</w:t>
            </w:r>
          </w:p>
        </w:tc>
      </w:tr>
      <w:tr w:rsidR="00C33467" w:rsidRPr="00C33467" w14:paraId="30B6F11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0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96.42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0.21</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1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91.05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25"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0"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17</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1"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2"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88.29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3"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1.77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4"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0.25</w:t>
            </w:r>
          </w:p>
        </w:tc>
      </w:tr>
      <w:tr w:rsidR="00C33467" w:rsidRPr="00C33467" w14:paraId="30B6F12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88.34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1.90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0.27</w:t>
            </w:r>
          </w:p>
        </w:tc>
      </w:tr>
      <w:tr w:rsidR="00C33467" w:rsidRPr="00C33467" w14:paraId="30B6F13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84.31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0.50</w:t>
            </w:r>
          </w:p>
        </w:tc>
      </w:tr>
      <w:tr w:rsidR="00C33467" w:rsidRPr="00C33467" w14:paraId="30B6F13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89.22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0.09</w:t>
            </w:r>
          </w:p>
        </w:tc>
      </w:tr>
      <w:tr w:rsidR="00C33467" w:rsidRPr="00C33467" w14:paraId="30B6F13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90.00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0.29</w:t>
            </w:r>
          </w:p>
        </w:tc>
      </w:tr>
      <w:tr w:rsidR="00C33467" w:rsidRPr="00C33467" w14:paraId="30B6F14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0.23</w:t>
            </w:r>
          </w:p>
        </w:tc>
      </w:tr>
      <w:tr w:rsidR="00C33467" w:rsidRPr="00C33467" w14:paraId="30B6F14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4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87.64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4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5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5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5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87.01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1A3D9E" w:rsidRPr="001A3D9E" w14:paraId="30B6F157" w14:textId="77777777" w:rsidTr="001A3D9E">
        <w:trPr>
          <w:tblCellSpacing w:w="7" w:type="dxa"/>
          <w:jc w:val="center"/>
        </w:trPr>
        <w:tc>
          <w:tcPr>
            <w:tcW w:w="9759" w:type="dxa"/>
            <w:gridSpan w:val="5"/>
            <w:tcBorders>
              <w:top w:val="single" w:sz="12" w:space="0" w:color="800000"/>
              <w:left w:val="single" w:sz="6" w:space="0" w:color="FFFFFF"/>
              <w:bottom w:val="single" w:sz="6" w:space="0" w:color="FFFFFF"/>
              <w:right w:val="single" w:sz="6" w:space="0" w:color="FFFFFF"/>
            </w:tcBorders>
            <w:vAlign w:val="center"/>
          </w:tcPr>
          <w:p w14:paraId="30B6F156" w14:textId="77777777" w:rsidR="001A3D9E" w:rsidRPr="00C33467" w:rsidRDefault="001A3D9E" w:rsidP="001A3D9E">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9"/>
                <w:szCs w:val="19"/>
              </w:rPr>
              <w:t>NOTE: National all includes national public, national private, Bureau of Indian Education, and Department of Defense Education Activity schools located in the United States. SD = students with disabilities; ELL = English language learners.</w:t>
            </w:r>
            <w:r w:rsidRPr="00C33467">
              <w:rPr>
                <w:rFonts w:ascii="Times New Roman" w:eastAsia="Times New Roman" w:hAnsi="Times New Roman" w:cs="Times New Roman"/>
                <w:sz w:val="19"/>
                <w:szCs w:val="19"/>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sz w:val="19"/>
                <w:szCs w:val="19"/>
              </w:rPr>
              <w:t xml:space="preserve"> </w:t>
            </w:r>
            <w:r w:rsidRPr="00C33467">
              <w:rPr>
                <w:rFonts w:ascii="Times New Roman" w:eastAsia="Times New Roman" w:hAnsi="Times New Roman" w:cs="Times New Roman"/>
                <w:sz w:val="19"/>
                <w:szCs w:val="19"/>
              </w:rPr>
              <w:t>Long-Term Trend Assessment.</w:t>
            </w:r>
          </w:p>
        </w:tc>
      </w:tr>
    </w:tbl>
    <w:p w14:paraId="30B6F158" w14:textId="77777777" w:rsidR="00F95184" w:rsidRPr="00C33467" w:rsidRDefault="00A375F4" w:rsidP="00F9518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Cs w:val="24"/>
        </w:rPr>
        <w:t xml:space="preserve"> </w:t>
      </w:r>
      <w:r w:rsidR="00C33467" w:rsidRPr="00A23D50">
        <w:rPr>
          <w:rFonts w:ascii="Times New Roman" w:eastAsia="Times New Roman" w:hAnsi="Times New Roman" w:cs="Times New Roman"/>
          <w:sz w:val="24"/>
          <w:szCs w:val="24"/>
        </w:rPr>
        <w:t xml:space="preserve">The </w:t>
      </w:r>
      <w:r w:rsidR="00C33467">
        <w:rPr>
          <w:rFonts w:ascii="Times New Roman" w:eastAsia="Times New Roman" w:hAnsi="Times New Roman" w:cs="Times New Roman"/>
          <w:sz w:val="24"/>
          <w:szCs w:val="24"/>
        </w:rPr>
        <w:t>above</w:t>
      </w:r>
      <w:r w:rsidR="00C33467" w:rsidRPr="00A23D50">
        <w:rPr>
          <w:rFonts w:ascii="Times New Roman" w:eastAsia="Times New Roman" w:hAnsi="Times New Roman" w:cs="Times New Roman"/>
          <w:sz w:val="24"/>
          <w:szCs w:val="24"/>
        </w:rPr>
        <w:t xml:space="preserve"> table presents the weighted student response and exclusion rates for the 2012</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Long-Term Trend (LTT) reading assessment. The exclusion rates give the percentage excluded, among all eligible students. Excluded students must necessarily be either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students with disabilities (SD) or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English language learners (ELL). The response rates indicate the percentage of students assessed among those who it was intended would take the assessment from within the participating schools. Thus, students who were excluded are not included in the deno</w:t>
      </w:r>
      <w:r w:rsidR="00C33467">
        <w:rPr>
          <w:rFonts w:ascii="Times New Roman" w:eastAsia="Times New Roman" w:hAnsi="Times New Roman" w:cs="Times New Roman"/>
          <w:sz w:val="24"/>
          <w:szCs w:val="24"/>
        </w:rPr>
        <w:t>minators of the response rates.</w:t>
      </w:r>
    </w:p>
    <w:p w14:paraId="30B6F159" w14:textId="77777777" w:rsidR="00F95184" w:rsidRPr="0083477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1" w:name="_Toc535922272"/>
      <w:r w:rsidRPr="0083477F">
        <w:rPr>
          <w:rFonts w:ascii="Times New Roman" w:eastAsia="Times New Roman" w:hAnsi="Times New Roman" w:cs="Times New Roman"/>
          <w:b/>
          <w:bCs/>
          <w:color w:val="000000"/>
          <w:kern w:val="36"/>
          <w:sz w:val="36"/>
          <w:szCs w:val="48"/>
        </w:rPr>
        <w:t>NAEP Technical Documentation Student Response and Exclusion Rates for the 2012 Long-Term Trend (LTT) Assessment in Mathematics</w:t>
      </w:r>
      <w:bookmarkEnd w:id="31"/>
    </w:p>
    <w:p w14:paraId="30B6F15A"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following table presents the weighted student response and exclusion rates for the 2012</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Long-Term Trend (LTT) math assessment. The exclusion rates give the percentage excluded, among all eligible students. Excluded students must necessarily be either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students with disabilities (SD) or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English language learners (ELL). The response rates indicate the percentage of students assessed among those who it was intended would take the assessment from within the participating schools. Thus, students who were excluded are not included in the denominators of the response rates.</w:t>
      </w:r>
    </w:p>
    <w:p w14:paraId="30B6F15B"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F15C" w14:textId="77777777" w:rsidR="00F95184" w:rsidRPr="001A3D9E"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Weighted student response and exclusion rates for public and private schools, long-term trend math assessment, by school type, geographic region, and age: 2012</w:t>
      </w:r>
    </w:p>
    <w:tbl>
      <w:tblPr>
        <w:tblW w:w="980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2343"/>
        <w:gridCol w:w="1569"/>
        <w:gridCol w:w="1582"/>
        <w:gridCol w:w="1589"/>
      </w:tblGrid>
      <w:tr w:rsidR="00F95184" w:rsidRPr="001A3D9E" w14:paraId="30B6F162" w14:textId="77777777" w:rsidTr="00CB0212">
        <w:trPr>
          <w:tblHeader/>
          <w:tblCellSpacing w:w="7" w:type="dxa"/>
          <w:jc w:val="center"/>
        </w:trPr>
        <w:tc>
          <w:tcPr>
            <w:tcW w:w="247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D"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E"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School type</w:t>
            </w:r>
            <w:r w:rsidRPr="00BE2BFC">
              <w:rPr>
                <w:rFonts w:ascii="Times New Roman" w:eastAsia="Times New Roman" w:hAnsi="Times New Roman" w:cs="Times New Roman"/>
                <w:color w:val="000000"/>
              </w:rPr>
              <w:br/>
              <w:t>and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geographic</w:t>
            </w:r>
            <w:r w:rsidRPr="00BE2BFC">
              <w:rPr>
                <w:rFonts w:ascii="Times New Roman" w:eastAsia="Times New Roman" w:hAnsi="Times New Roman" w:cs="Times New Roman"/>
                <w:color w:val="000000"/>
              </w:rPr>
              <w:b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5F"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Pr="00BE2BFC">
              <w:rPr>
                <w:rFonts w:ascii="Times New Roman" w:eastAsia="Times New Roman" w:hAnsi="Times New Roman" w:cs="Times New Roman"/>
                <w:color w:val="000000"/>
              </w:rPr>
              <w:br/>
              <w:t>student</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response rate</w:t>
            </w:r>
            <w:r w:rsidRPr="00BE2BFC">
              <w:rPr>
                <w:rFonts w:ascii="Times New Roman" w:eastAsia="Times New Roman" w:hAnsi="Times New Roman" w:cs="Times New Roman"/>
                <w:color w:val="000000"/>
              </w:rPr>
              <w:br/>
              <w:t>(percent)</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0"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SD</w:t>
            </w:r>
            <w:r w:rsidRPr="00BE2BFC">
              <w:rPr>
                <w:rFonts w:ascii="Times New Roman" w:eastAsia="Times New Roman" w:hAnsi="Times New Roman" w:cs="Times New Roman"/>
                <w:color w:val="000000"/>
              </w:rPr>
              <w:br/>
              <w:t>and excluded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1"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ELL</w:t>
            </w:r>
            <w:r w:rsidRPr="00BE2BFC">
              <w:rPr>
                <w:rFonts w:ascii="Times New Roman" w:eastAsia="Times New Roman" w:hAnsi="Times New Roman" w:cs="Times New Roman"/>
                <w:color w:val="000000"/>
              </w:rPr>
              <w:br/>
              <w:t>and excluded</w:t>
            </w:r>
          </w:p>
        </w:tc>
      </w:tr>
      <w:tr w:rsidR="00F95184" w:rsidRPr="001A3D9E" w14:paraId="30B6F168" w14:textId="77777777" w:rsidTr="00CB0212">
        <w:trPr>
          <w:tblCellSpacing w:w="7" w:type="dxa"/>
          <w:jc w:val="center"/>
        </w:trPr>
        <w:tc>
          <w:tcPr>
            <w:tcW w:w="2476"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3"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4"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5"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94.83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6"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7"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0.34</w:t>
            </w:r>
          </w:p>
        </w:tc>
      </w:tr>
      <w:tr w:rsidR="00F95184" w:rsidRPr="001A3D9E" w14:paraId="30B6F16E"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0.37</w:t>
            </w:r>
          </w:p>
        </w:tc>
      </w:tr>
      <w:tr w:rsidR="00F95184" w:rsidRPr="001A3D9E" w14:paraId="30B6F174"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0.67</w:t>
            </w:r>
          </w:p>
        </w:tc>
      </w:tr>
      <w:tr w:rsidR="00F95184" w:rsidRPr="001A3D9E" w14:paraId="30B6F17A"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0.31</w:t>
            </w:r>
          </w:p>
        </w:tc>
      </w:tr>
      <w:tr w:rsidR="00F95184" w:rsidRPr="001A3D9E" w14:paraId="30B6F180"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0.20</w:t>
            </w:r>
          </w:p>
        </w:tc>
      </w:tr>
      <w:tr w:rsidR="00F95184" w:rsidRPr="001A3D9E" w14:paraId="30B6F186"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0.49</w:t>
            </w:r>
          </w:p>
        </w:tc>
      </w:tr>
      <w:tr w:rsidR="00F95184" w:rsidRPr="001A3D9E" w14:paraId="30B6F18C"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8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2"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8"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9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91.50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E"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9"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9A"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B"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93.03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C"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1.10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D"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A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9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A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92.85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0.22</w:t>
            </w:r>
          </w:p>
        </w:tc>
      </w:tr>
      <w:tr w:rsidR="00F95184" w:rsidRPr="001A3D9E" w14:paraId="30B6F1A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r>
      <w:tr w:rsidR="00F95184" w:rsidRPr="001A3D9E" w14:paraId="30B6F1B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0.05</w:t>
            </w:r>
          </w:p>
        </w:tc>
      </w:tr>
      <w:tr w:rsidR="00F95184" w:rsidRPr="001A3D9E" w14:paraId="30B6F1B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0.29</w:t>
            </w:r>
          </w:p>
        </w:tc>
      </w:tr>
      <w:tr w:rsidR="00F95184" w:rsidRPr="001A3D9E" w14:paraId="30B6F1B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93.75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C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B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C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D4"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F"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0"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1"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88.06</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2"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1.60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3"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D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0.27</w:t>
            </w:r>
          </w:p>
        </w:tc>
      </w:tr>
      <w:tr w:rsidR="00F95184" w:rsidRPr="001A3D9E" w14:paraId="30B6F1E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0.35</w:t>
            </w:r>
          </w:p>
        </w:tc>
      </w:tr>
      <w:tr w:rsidR="00F95184" w:rsidRPr="001A3D9E" w14:paraId="30B6F1E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0.07</w:t>
            </w:r>
          </w:p>
        </w:tc>
      </w:tr>
      <w:tr w:rsidR="00F95184" w:rsidRPr="001A3D9E" w14:paraId="30B6F1E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F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87.71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0.28</w:t>
            </w:r>
          </w:p>
        </w:tc>
      </w:tr>
      <w:tr w:rsidR="00F95184" w:rsidRPr="001A3D9E" w14:paraId="30B6F1F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F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F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86.80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20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84.42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83477F" w:rsidRPr="001A3D9E" w14:paraId="30B6F206" w14:textId="77777777" w:rsidTr="00CB0212">
        <w:trPr>
          <w:tblCellSpacing w:w="7" w:type="dxa"/>
          <w:jc w:val="center"/>
        </w:trPr>
        <w:tc>
          <w:tcPr>
            <w:tcW w:w="9777"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205" w14:textId="77777777" w:rsidR="0083477F" w:rsidRPr="0083477F" w:rsidRDefault="0083477F" w:rsidP="0083477F">
            <w:pPr>
              <w:rPr>
                <w:rFonts w:ascii="Times New Roman" w:eastAsia="Times New Roman" w:hAnsi="Times New Roman" w:cs="Times New Roman"/>
                <w:color w:val="000000"/>
                <w:sz w:val="20"/>
                <w:szCs w:val="27"/>
              </w:rPr>
            </w:pPr>
            <w:r w:rsidRPr="0083477F">
              <w:rPr>
                <w:rFonts w:ascii="Times New Roman" w:eastAsia="Times New Roman" w:hAnsi="Times New Roman" w:cs="Times New Roman"/>
                <w:color w:val="000000"/>
                <w:sz w:val="20"/>
                <w:szCs w:val="24"/>
              </w:rPr>
              <w:t>NOTE: National all includes national public, national private, Bureau of Indian Education, and Department of Defense Education Activity schools located in the United States. SD = students with disabilities; ELL = English language learners.</w:t>
            </w:r>
            <w:r w:rsidRPr="0083477F">
              <w:rPr>
                <w:rFonts w:ascii="Times New Roman" w:eastAsia="Times New Roman" w:hAnsi="Times New Roman" w:cs="Times New Roman"/>
                <w:color w:val="000000"/>
                <w:sz w:val="20"/>
                <w:szCs w:val="24"/>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color w:val="000000"/>
                <w:sz w:val="20"/>
                <w:szCs w:val="24"/>
              </w:rPr>
              <w:t xml:space="preserve"> </w:t>
            </w:r>
            <w:r w:rsidRPr="0083477F">
              <w:rPr>
                <w:rFonts w:ascii="Times New Roman" w:eastAsia="Times New Roman" w:hAnsi="Times New Roman" w:cs="Times New Roman"/>
                <w:color w:val="000000"/>
                <w:sz w:val="20"/>
                <w:szCs w:val="24"/>
              </w:rPr>
              <w:t>Long-Term Trend Assessment.</w:t>
            </w:r>
          </w:p>
        </w:tc>
      </w:tr>
    </w:tbl>
    <w:p w14:paraId="30B6F207" w14:textId="77777777" w:rsidR="00F95184" w:rsidRPr="0083477F" w:rsidRDefault="00F95184" w:rsidP="003162A0">
      <w:pPr>
        <w:keepNext/>
        <w:spacing w:before="100" w:beforeAutospacing="1" w:after="100" w:afterAutospacing="1"/>
        <w:outlineLvl w:val="0"/>
        <w:rPr>
          <w:rFonts w:ascii="Times New Roman" w:eastAsia="Times New Roman" w:hAnsi="Times New Roman" w:cs="Times New Roman"/>
          <w:b/>
          <w:bCs/>
          <w:kern w:val="36"/>
          <w:sz w:val="36"/>
          <w:szCs w:val="40"/>
        </w:rPr>
      </w:pPr>
      <w:bookmarkStart w:id="32" w:name="_Toc535922273"/>
      <w:r w:rsidRPr="0083477F">
        <w:rPr>
          <w:rFonts w:ascii="Times New Roman" w:eastAsia="Times New Roman" w:hAnsi="Times New Roman" w:cs="Times New Roman"/>
          <w:b/>
          <w:bCs/>
          <w:kern w:val="36"/>
          <w:sz w:val="36"/>
          <w:szCs w:val="40"/>
        </w:rPr>
        <w:t>NAEP Technical Documentation Age Distribution Fractions for</w:t>
      </w:r>
      <w:r w:rsidR="0083477F">
        <w:rPr>
          <w:rFonts w:ascii="Times New Roman" w:eastAsia="Times New Roman" w:hAnsi="Times New Roman" w:cs="Times New Roman"/>
          <w:b/>
          <w:bCs/>
          <w:kern w:val="36"/>
          <w:sz w:val="36"/>
          <w:szCs w:val="40"/>
        </w:rPr>
        <w:t xml:space="preserve"> the 2012 Long-Term Trend (LTT) </w:t>
      </w:r>
      <w:r w:rsidRPr="0083477F">
        <w:rPr>
          <w:rFonts w:ascii="Times New Roman" w:eastAsia="Times New Roman" w:hAnsi="Times New Roman" w:cs="Times New Roman"/>
          <w:b/>
          <w:bCs/>
          <w:kern w:val="36"/>
          <w:sz w:val="36"/>
          <w:szCs w:val="40"/>
        </w:rPr>
        <w:t>Assessment</w:t>
      </w:r>
      <w:bookmarkEnd w:id="32"/>
    </w:p>
    <w:p w14:paraId="30B6F208" w14:textId="77777777" w:rsidR="00F95184" w:rsidRPr="00A23D50" w:rsidRDefault="00F95184" w:rsidP="003162A0">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Age distribution fractions are estimated proportions of students in each grade that are age-eligible. The fractions are components in the school measure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computation of the age distribution fractions was done differently by age group. For ages 9 and 13, a breakout by every birth-year cohort represented in the relevant grades was fully carried out. The approach was simpler for the age 17 sample, using an age range between 16- and 17-years-old,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because this age definition is based on an October-September birth cohort.</w:t>
      </w:r>
    </w:p>
    <w:p w14:paraId="30B6F209" w14:textId="77777777" w:rsidR="00F95184" w:rsidRPr="0083477F" w:rsidRDefault="00F95184" w:rsidP="00F95184">
      <w:pPr>
        <w:spacing w:before="100" w:beforeAutospacing="1" w:after="100" w:afterAutospacing="1"/>
        <w:outlineLvl w:val="0"/>
        <w:rPr>
          <w:rFonts w:ascii="Times New Roman" w:eastAsia="Times New Roman" w:hAnsi="Times New Roman" w:cs="Times New Roman"/>
          <w:b/>
          <w:bCs/>
          <w:kern w:val="36"/>
          <w:sz w:val="36"/>
          <w:szCs w:val="36"/>
        </w:rPr>
      </w:pPr>
      <w:bookmarkStart w:id="33" w:name="_Toc535922274"/>
      <w:r w:rsidRPr="0083477F">
        <w:rPr>
          <w:rFonts w:ascii="Times New Roman" w:eastAsia="Times New Roman" w:hAnsi="Times New Roman" w:cs="Times New Roman"/>
          <w:b/>
          <w:bCs/>
          <w:kern w:val="36"/>
          <w:sz w:val="36"/>
          <w:szCs w:val="36"/>
        </w:rPr>
        <w:t>NAEP Technical Documentation Age Distribution Fractions for Ages 9 and 13 for the 2012 Long-Term Trend (LTT) Assessment</w:t>
      </w:r>
      <w:bookmarkEnd w:id="33"/>
    </w:p>
    <w:p w14:paraId="30B6F20A"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computation of the age distribution fractions for the age 9 and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starts with estimates derived from the NAEP 2009 reading, mathematics and science assessments. For grades 4 and 8, estimates of the percentages of students who were born in the years 1995, 1996, 1997, etc., were computed separately for public and private schools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Census region.</w:t>
      </w:r>
    </w:p>
    <w:p w14:paraId="30B6F20B"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These estimates were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determined by first computing the weighted percentages of assessed and excluded students for the NAEP 2009 reading, mathematics and science assessments and then</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combined together. The nonresponse-adjusted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trimmed final weights for the students were used for this purpose.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weighted aggregations are estimates of the total number of students in each birth-year group for grade 4 or grade 8 in the school year 2008-09.The tables below</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present these estimates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by Census region for fourth grade, first for public schools and then for private schools.</w:t>
      </w:r>
    </w:p>
    <w:p w14:paraId="30B6F20C" w14:textId="77777777" w:rsidR="00CB0212" w:rsidRPr="00A23D50" w:rsidRDefault="00CB0212"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4 reading, mathematics and science assessments, public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10"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0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1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11" w14:textId="77777777" w:rsidR="0083477F" w:rsidRPr="001A3D9E" w:rsidRDefault="0083477F"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2"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3"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1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1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2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2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1"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2"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3"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0.29</w:t>
            </w:r>
          </w:p>
        </w:tc>
      </w:tr>
      <w:tr w:rsidR="0083477F" w:rsidRPr="001A3D9E" w14:paraId="30B6F22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398,000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0.70</w:t>
            </w:r>
          </w:p>
        </w:tc>
      </w:tr>
      <w:tr w:rsidR="0083477F" w:rsidRPr="001A3D9E" w14:paraId="30B6F22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3" w14:textId="77777777" w:rsidTr="00CB0212">
        <w:trPr>
          <w:tblCellSpacing w:w="7" w:type="dxa"/>
          <w:jc w:val="center"/>
        </w:trPr>
        <w:tc>
          <w:tcPr>
            <w:tcW w:w="9651" w:type="dxa"/>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31" w14:textId="77777777" w:rsidR="0083477F" w:rsidRDefault="0083477F" w:rsidP="0083477F">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p w14:paraId="30B6F232" w14:textId="77777777" w:rsidR="00CB0212" w:rsidRPr="0083477F" w:rsidRDefault="00CB0212" w:rsidP="0083477F">
            <w:pPr>
              <w:rPr>
                <w:rFonts w:ascii="Times New Roman" w:eastAsia="Times New Roman" w:hAnsi="Times New Roman" w:cs="Times New Roman"/>
                <w:color w:val="000000"/>
                <w:sz w:val="20"/>
                <w:szCs w:val="24"/>
              </w:rPr>
            </w:pPr>
          </w:p>
        </w:tc>
      </w:tr>
    </w:tbl>
    <w:p w14:paraId="30B6F234" w14:textId="77777777" w:rsidR="00CB0212" w:rsidRDefault="00CB0212" w:rsidP="00F95184">
      <w:pPr>
        <w:jc w:val="right"/>
        <w:rPr>
          <w:rFonts w:ascii="Times New Roman" w:eastAsia="Times New Roman" w:hAnsi="Times New Roman" w:cs="Times New Roman"/>
          <w:color w:val="000000"/>
          <w:szCs w:val="24"/>
        </w:rPr>
      </w:pPr>
    </w:p>
    <w:p w14:paraId="30B6F235" w14:textId="77777777" w:rsidR="00CB0212" w:rsidRDefault="00CB0212">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37" w14:textId="3EB194B3" w:rsidR="0083477F"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3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3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3C" w14:textId="77777777" w:rsidR="0083477F" w:rsidRPr="001A3D9E" w:rsidRDefault="0083477F"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D" w14:textId="77777777" w:rsidR="0083477F" w:rsidRPr="001A3D9E" w:rsidRDefault="0083477F"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755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E" w14:textId="77777777" w:rsidR="0083477F" w:rsidRPr="001A3D9E" w:rsidRDefault="0083477F"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4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C"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D"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E"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0.41</w:t>
            </w:r>
          </w:p>
        </w:tc>
      </w:tr>
      <w:tr w:rsidR="0083477F" w:rsidRPr="001A3D9E" w14:paraId="30B6F25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83477F" w:rsidRPr="001A3D9E" w14:paraId="30B6F25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5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5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C"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D"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83477F" w:rsidRPr="001A3D9E" w14:paraId="30B6F264" w14:textId="77777777" w:rsidTr="00BE2BFC">
        <w:trPr>
          <w:trHeight w:val="998"/>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63" w14:textId="156BAFCA" w:rsidR="00CB0212" w:rsidRPr="00BE2BFC" w:rsidRDefault="0083477F"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5F4383D7" w14:textId="77777777" w:rsidR="00BE2BFC" w:rsidRDefault="00BE2BFC" w:rsidP="00BE2BFC">
      <w:pPr>
        <w:rPr>
          <w:rFonts w:ascii="Times New Roman" w:eastAsia="Times New Roman" w:hAnsi="Times New Roman" w:cs="Times New Roman"/>
          <w:b/>
          <w:bCs/>
          <w:szCs w:val="24"/>
        </w:rPr>
      </w:pPr>
    </w:p>
    <w:p w14:paraId="30B6F265" w14:textId="417A8C78" w:rsidR="00AF61D5" w:rsidRDefault="00BE2BFC"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F61D5" w:rsidRPr="001A3D9E" w14:paraId="30B6F269"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66" w14:textId="77777777" w:rsidR="00AF61D5" w:rsidRPr="001A3D9E" w:rsidRDefault="00AF61D5"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7"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8"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6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6A"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C"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7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0.05</w:t>
            </w:r>
          </w:p>
        </w:tc>
      </w:tr>
      <w:tr w:rsidR="00D62C72" w:rsidRPr="001A3D9E" w14:paraId="30B6F27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A"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B"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527,000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C"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D62C72" w:rsidRPr="001A3D9E" w14:paraId="30B6F28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D62C72" w:rsidRPr="001A3D9E" w14:paraId="30B6F28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A"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C"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AF61D5" w:rsidRPr="001A3D9E" w14:paraId="30B6F291"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90" w14:textId="6B448510" w:rsidR="00CB0212" w:rsidRPr="00BE2BFC" w:rsidRDefault="00AF61D5"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292" w14:textId="77777777" w:rsidR="00C33467" w:rsidRDefault="00C33467" w:rsidP="00F95184">
      <w:pPr>
        <w:jc w:val="right"/>
        <w:rPr>
          <w:rFonts w:ascii="Times New Roman" w:eastAsia="Times New Roman" w:hAnsi="Times New Roman" w:cs="Times New Roman"/>
          <w:color w:val="000000"/>
          <w:szCs w:val="24"/>
        </w:rPr>
      </w:pPr>
    </w:p>
    <w:p w14:paraId="30B6F293" w14:textId="77777777" w:rsidR="00AF61D5" w:rsidRDefault="00C33467" w:rsidP="00C33467">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94" w14:textId="77777777" w:rsidR="00CB0212" w:rsidRDefault="00CB0212" w:rsidP="00C33467">
      <w:pPr>
        <w:spacing w:after="160" w:line="259" w:lineRule="auto"/>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D62C72" w:rsidRPr="001A3D9E" w14:paraId="30B6F298"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9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6"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9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99"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A" w14:textId="77777777" w:rsidR="00D62C72" w:rsidRPr="001A3D9E" w:rsidRDefault="00D62C72"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A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7"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0.01</w:t>
            </w:r>
          </w:p>
        </w:tc>
      </w:tr>
      <w:tr w:rsidR="00D62C72" w:rsidRPr="001A3D9E" w14:paraId="30B6F2A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9"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A"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0.30</w:t>
            </w:r>
          </w:p>
        </w:tc>
      </w:tr>
      <w:tr w:rsidR="00D62C72" w:rsidRPr="001A3D9E" w14:paraId="30B6F2B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588</w:t>
            </w:r>
            <w:r w:rsidRPr="001A3D9E">
              <w:rPr>
                <w:rFonts w:ascii="Times New Roman" w:eastAsia="Times New Roman" w:hAnsi="Times New Roman" w:cs="Times New Roman"/>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F"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0.69</w:t>
            </w:r>
          </w:p>
        </w:tc>
      </w:tr>
      <w:tr w:rsidR="00D62C72" w:rsidRPr="001A3D9E" w14:paraId="30B6F2B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1,6</w:t>
            </w:r>
            <w:r w:rsidRPr="001A3D9E">
              <w:rPr>
                <w:rFonts w:ascii="Times New Roman" w:eastAsia="Times New Roman" w:hAnsi="Times New Roman" w:cs="Times New Roman"/>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9"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A" w14:textId="77777777" w:rsidR="00D62C72"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D62C72" w:rsidRPr="001A3D9E" w14:paraId="30B6F2B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BE" w14:textId="3DA2616E" w:rsidR="00CB0212" w:rsidRPr="00BE2BFC" w:rsidRDefault="00D62C72" w:rsidP="00C33467">
            <w:pPr>
              <w:rPr>
                <w:rFonts w:ascii="Times New Roman" w:eastAsia="Times New Roman" w:hAnsi="Times New Roman" w:cs="Times New Roman"/>
                <w:sz w:val="18"/>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1980A0F7" w14:textId="77777777" w:rsidR="00BE2BFC" w:rsidRPr="0079115E" w:rsidRDefault="00BE2BFC" w:rsidP="00CB0212">
      <w:pPr>
        <w:rPr>
          <w:rFonts w:ascii="Times New Roman" w:eastAsia="Times New Roman" w:hAnsi="Times New Roman" w:cs="Times New Roman"/>
          <w:b/>
          <w:bCs/>
          <w:sz w:val="10"/>
          <w:szCs w:val="10"/>
        </w:rPr>
      </w:pPr>
    </w:p>
    <w:p w14:paraId="30B6F2C1" w14:textId="76ABDBB3" w:rsidR="00CB0212" w:rsidRPr="00BE2BFC" w:rsidRDefault="00CB0212" w:rsidP="00BE2BFC">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C3" w14:textId="77777777" w:rsidTr="00C33467">
        <w:trPr>
          <w:tblHeader/>
          <w:tblCellSpacing w:w="7" w:type="dxa"/>
          <w:jc w:val="center"/>
        </w:trPr>
        <w:tc>
          <w:tcPr>
            <w:tcW w:w="9651" w:type="dxa"/>
            <w:gridSpan w:val="3"/>
            <w:tcBorders>
              <w:top w:val="nil"/>
              <w:left w:val="nil"/>
              <w:bottom w:val="nil"/>
              <w:right w:val="nil"/>
            </w:tcBorders>
            <w:shd w:val="clear" w:color="auto" w:fill="F5E4DF"/>
            <w:tcMar>
              <w:top w:w="15" w:type="dxa"/>
              <w:left w:w="120" w:type="dxa"/>
              <w:bottom w:w="15" w:type="dxa"/>
              <w:right w:w="120" w:type="dxa"/>
            </w:tcMar>
            <w:vAlign w:val="center"/>
            <w:hideMark/>
          </w:tcPr>
          <w:p w14:paraId="30B6F2C2" w14:textId="77777777" w:rsidR="00197B68" w:rsidRPr="001A3D9E" w:rsidRDefault="00197B68" w:rsidP="00C33467">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c>
      </w:tr>
      <w:tr w:rsidR="00197B68" w:rsidRPr="001A3D9E" w14:paraId="30B6F2C7" w14:textId="77777777" w:rsidTr="00C33467">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C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C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C8"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9"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A"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CF"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C"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D"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E"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D3"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0"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1"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2"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r>
      <w:tr w:rsidR="00197B68" w:rsidRPr="001A3D9E" w14:paraId="30B6F2D7"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197B68" w:rsidRPr="001A3D9E" w14:paraId="30B6F2D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8"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9"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A"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DD"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DC"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2DE" w14:textId="77777777" w:rsidR="00CB0212" w:rsidRDefault="00CB0212" w:rsidP="00F95184">
      <w:pPr>
        <w:jc w:val="right"/>
        <w:rPr>
          <w:rFonts w:ascii="Times New Roman" w:eastAsia="Times New Roman" w:hAnsi="Times New Roman" w:cs="Times New Roman"/>
          <w:color w:val="000000"/>
          <w:szCs w:val="24"/>
        </w:rPr>
      </w:pPr>
    </w:p>
    <w:p w14:paraId="30B6F2E1" w14:textId="3A18562B" w:rsidR="00CB0212"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E5"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E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E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E6"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7" w14:textId="77777777" w:rsidR="00197B68" w:rsidRPr="001A3D9E" w:rsidRDefault="00197B68"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96,500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8"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E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A" w14:textId="77777777" w:rsidR="00197B68" w:rsidRPr="001A3D9E" w:rsidRDefault="00197B68"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E"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F"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0"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F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r>
      <w:tr w:rsidR="00197B68" w:rsidRPr="001A3D9E" w14:paraId="30B6F2F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6"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7"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8"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197B68" w:rsidRPr="001A3D9E" w14:paraId="30B6F2F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A"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FE"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300" w14:textId="77777777" w:rsidR="00B6399D" w:rsidRDefault="00B6399D" w:rsidP="00C33467">
      <w:pPr>
        <w:rPr>
          <w:rFonts w:ascii="Times New Roman" w:eastAsia="Times New Roman" w:hAnsi="Times New Roman" w:cs="Times New Roman"/>
          <w:color w:val="000000"/>
          <w:szCs w:val="24"/>
        </w:rPr>
      </w:pPr>
    </w:p>
    <w:p w14:paraId="30B6F301" w14:textId="77777777" w:rsidR="00CB0212" w:rsidRDefault="00CB0212" w:rsidP="00C33467">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06"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0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0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07"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8" w14:textId="77777777" w:rsidR="00A23D50" w:rsidRPr="001A3D9E" w:rsidRDefault="00A23D50"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104,000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9"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0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B"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1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F"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16"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A23D50" w:rsidRPr="001A3D9E" w14:paraId="30B6F31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7"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8"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r>
      <w:tr w:rsidR="00A23D50" w:rsidRPr="001A3D9E" w14:paraId="30B6F31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B"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1F"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4"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23"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25" w14:textId="77777777" w:rsidR="00AF61D5" w:rsidRDefault="00AF61D5" w:rsidP="00F95184">
      <w:pPr>
        <w:jc w:val="right"/>
        <w:rPr>
          <w:rFonts w:ascii="Times New Roman" w:eastAsia="Times New Roman" w:hAnsi="Times New Roman" w:cs="Times New Roman"/>
          <w:color w:val="000000"/>
          <w:szCs w:val="24"/>
        </w:rPr>
      </w:pPr>
    </w:p>
    <w:p w14:paraId="30B6F326" w14:textId="77777777" w:rsidR="00CB0212" w:rsidRDefault="00CB0212" w:rsidP="00CB021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2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2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2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2C"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D"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E"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3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C"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E"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r>
      <w:tr w:rsidR="00A23D50" w:rsidRPr="001A3D9E" w14:paraId="30B6F3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A23D50" w:rsidRPr="001A3D9E" w14:paraId="30B6F3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49"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48"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52" w14:textId="77777777" w:rsidR="00A23D50" w:rsidRDefault="00F95184" w:rsidP="008A7F3C">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combined percentages of the reading, mathematics and science operational assessments are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best estimates of the percentages of fourth-graders in school year 2008-09 who were born in 1995, 1996, 1997, etc. The objective is to get the percentages of those born in a particular year (e.g., 1999) who are in grades 2, 3, 4, and 5. Since direct estimates are not available, an indirect estimate can be obtained by assuming that the other grades have the identical distribution as fourth grade, but moved back or moved forward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This effectively assumes a stationary distribution of age and grade, which is only a rough approximation of reality, but it suffices to give good measures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derived percentages by age and grade using this stationarity approximation are illustrated for the northeast Census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region in the table below.</w:t>
      </w:r>
    </w:p>
    <w:p w14:paraId="61D2267C" w14:textId="77777777" w:rsidR="0079115E" w:rsidRDefault="0079115E">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0B6F354" w14:textId="7EE2E758" w:rsidR="00CB0212" w:rsidRDefault="00CB0212">
      <w:pPr>
        <w:spacing w:after="160" w:line="259" w:lineRule="auto"/>
        <w:rPr>
          <w:rFonts w:ascii="Times New Roman" w:eastAsia="Times New Roman" w:hAnsi="Times New Roman" w:cs="Times New Roman"/>
          <w:sz w:val="24"/>
          <w:szCs w:val="24"/>
        </w:rPr>
      </w:pPr>
      <w:r w:rsidRPr="00A23D50">
        <w:rPr>
          <w:rFonts w:ascii="Times New Roman" w:eastAsia="Times New Roman" w:hAnsi="Times New Roman" w:cs="Times New Roman"/>
          <w:b/>
          <w:bCs/>
          <w:sz w:val="24"/>
          <w:szCs w:val="24"/>
        </w:rPr>
        <w:t>Grade distribution for public schools, northeast region, 2008-09 school year, assuming stationarity, by year of birth: 2009</w:t>
      </w:r>
    </w:p>
    <w:tbl>
      <w:tblPr>
        <w:tblW w:w="951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688"/>
        <w:gridCol w:w="1490"/>
        <w:gridCol w:w="1330"/>
        <w:gridCol w:w="1429"/>
        <w:gridCol w:w="1268"/>
        <w:gridCol w:w="1312"/>
      </w:tblGrid>
      <w:tr w:rsidR="00F95184" w:rsidRPr="00C33467" w14:paraId="30B6F35B" w14:textId="77777777" w:rsidTr="00CB0212">
        <w:trPr>
          <w:tblHeader/>
          <w:tblCellSpacing w:w="7" w:type="dxa"/>
          <w:jc w:val="center"/>
        </w:trPr>
        <w:tc>
          <w:tcPr>
            <w:tcW w:w="264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55"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Second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Third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Fourth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Fifth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Sixth grade</w:t>
            </w:r>
          </w:p>
        </w:tc>
      </w:tr>
      <w:tr w:rsidR="00F95184" w:rsidRPr="00C33467" w14:paraId="30B6F362"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5C" w14:textId="77777777" w:rsidR="00F95184" w:rsidRPr="00C33467" w:rsidRDefault="00F95184" w:rsidP="00F95184">
            <w:pPr>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D"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E"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F"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0"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1"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r>
      <w:tr w:rsidR="00F95184" w:rsidRPr="00C33467" w14:paraId="30B6F369"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3"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r>
      <w:tr w:rsidR="00F95184" w:rsidRPr="00C33467" w14:paraId="30B6F370"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A"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r>
      <w:tr w:rsidR="00F95184" w:rsidRPr="00C33467" w14:paraId="30B6F377"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1"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r>
      <w:tr w:rsidR="00F95184" w:rsidRPr="00C33467" w14:paraId="30B6F37E"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8"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5"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F"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C"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6"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93"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D"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A23D50" w:rsidRPr="001A3D9E" w14:paraId="30B6F395" w14:textId="77777777" w:rsidTr="00BE2BFC">
        <w:trPr>
          <w:tblCellSpacing w:w="7" w:type="dxa"/>
          <w:jc w:val="center"/>
        </w:trPr>
        <w:tc>
          <w:tcPr>
            <w:tcW w:w="9489"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94" w14:textId="77777777" w:rsidR="00A23D50" w:rsidRPr="001A3D9E" w:rsidRDefault="00A23D50" w:rsidP="00A23D50">
            <w:pPr>
              <w:rPr>
                <w:rFonts w:ascii="Times New Roman" w:eastAsia="Times New Roman" w:hAnsi="Times New Roman" w:cs="Times New Roman"/>
                <w:color w:val="000000"/>
                <w:szCs w:val="24"/>
              </w:rPr>
            </w:pPr>
            <w:r w:rsidRPr="00C33467">
              <w:rPr>
                <w:rFonts w:ascii="Times New Roman" w:eastAsia="Times New Roman" w:hAnsi="Times New Roman" w:cs="Times New Roman"/>
                <w:sz w:val="18"/>
                <w:szCs w:val="24"/>
              </w:rPr>
              <w:t># Rounds to zero.</w:t>
            </w:r>
            <w:r w:rsidRPr="00C33467">
              <w:rPr>
                <w:rFonts w:ascii="Times New Roman" w:eastAsia="Times New Roman" w:hAnsi="Times New Roman" w:cs="Times New Roman"/>
                <w:sz w:val="18"/>
                <w:szCs w:val="24"/>
              </w:rPr>
              <w:br/>
              <w:t>NOTE: Detail may not sum to totals because of rounding.</w:t>
            </w:r>
            <w:r w:rsidRPr="00C33467">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96" w14:textId="77777777" w:rsidR="00F95184" w:rsidRPr="00A23D50"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distribution, the third-graders are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younger, the second-graders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two years younger, etc. If we read across the grade distribution for those born in 1999, we see that the percentages for second through sixth grades are equal to the percentages for 1997 through</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2001 for fourth grade. The same logic was applied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to all eight tables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provided above, yielding the percentages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found in the sampling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public schools and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private schools for grade distribution for youths born January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through December</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(who were nine-years-old on January 1, 2012: the 2011-12 school year).</w:t>
      </w:r>
    </w:p>
    <w:p w14:paraId="30B6F397" w14:textId="77777777" w:rsidR="00F95184"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similar logic applied to the age 13 sample. For the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sample, the starting point was the NAEP 2009 grade 8 reading, mathematics and science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Composite estimates were computed in the same way as for the age 9 sample. The eight tables below provide these estimates by Census region.</w:t>
      </w:r>
    </w:p>
    <w:p w14:paraId="30B6F398" w14:textId="77777777" w:rsidR="00CB0212" w:rsidRDefault="00CB0212" w:rsidP="00F95184">
      <w:pPr>
        <w:spacing w:before="100" w:beforeAutospacing="1" w:after="10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8 reading, mathematics and science assessments, public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9C"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9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A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9D"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E"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586,000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F"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A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B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3B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E525CC" w:rsidRPr="001A3D9E" w14:paraId="30B6F3B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B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2"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C1" w14:textId="77777777" w:rsidR="00E525CC" w:rsidRPr="0083477F" w:rsidRDefault="00E525CC" w:rsidP="00C33467">
            <w:pPr>
              <w:rPr>
                <w:rFonts w:ascii="Times New Roman" w:eastAsia="Times New Roman" w:hAnsi="Times New Roman" w:cs="Times New Roman"/>
                <w:color w:val="000000"/>
                <w:sz w:val="20"/>
                <w:szCs w:val="24"/>
              </w:rPr>
            </w:pPr>
            <w:r w:rsidRPr="003A35E0">
              <w:rPr>
                <w:rFonts w:ascii="Times New Roman" w:eastAsia="Times New Roman" w:hAnsi="Times New Roman" w:cs="Times New Roman"/>
                <w:sz w:val="18"/>
                <w:szCs w:val="24"/>
              </w:rPr>
              <w:t># Rounds to zero.</w:t>
            </w:r>
            <w:r w:rsidRPr="003A35E0">
              <w:rPr>
                <w:rFonts w:ascii="Times New Roman" w:eastAsia="Times New Roman" w:hAnsi="Times New Roman" w:cs="Times New Roman"/>
                <w:sz w:val="18"/>
                <w:szCs w:val="24"/>
              </w:rPr>
              <w:br/>
              <w:t>NOTE: Detail may not sum to totals</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because of</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rounding.</w:t>
            </w:r>
            <w:r w:rsidRPr="003A35E0">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C3" w14:textId="77777777" w:rsidR="00E525CC" w:rsidRDefault="00E525CC" w:rsidP="00F95184">
      <w:pPr>
        <w:textAlignment w:val="top"/>
        <w:rPr>
          <w:rFonts w:ascii="Times New Roman" w:eastAsia="Times New Roman" w:hAnsi="Times New Roman" w:cs="Times New Roman"/>
          <w:b/>
          <w:bCs/>
          <w:szCs w:val="24"/>
        </w:rPr>
      </w:pPr>
    </w:p>
    <w:p w14:paraId="30B6F3C5" w14:textId="77777777" w:rsidR="00CB0212" w:rsidRDefault="00CB0212" w:rsidP="0079115E">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CA"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C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C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CB"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C"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764</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D"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D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C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D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324,000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0.42</w:t>
            </w:r>
          </w:p>
        </w:tc>
      </w:tr>
      <w:tr w:rsidR="00E525CC" w:rsidRPr="001A3D9E" w14:paraId="30B6F3E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414,300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3E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F0"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EF"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F1" w14:textId="77777777" w:rsidR="00E525CC" w:rsidRDefault="00E525CC" w:rsidP="00F95184">
      <w:pPr>
        <w:textAlignment w:val="top"/>
        <w:rPr>
          <w:rFonts w:ascii="Times New Roman" w:eastAsia="Times New Roman" w:hAnsi="Times New Roman" w:cs="Times New Roman"/>
          <w:b/>
          <w:bCs/>
          <w:szCs w:val="24"/>
        </w:rPr>
      </w:pPr>
    </w:p>
    <w:p w14:paraId="30B6F3F2"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F7"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F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F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F8"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9"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1,300</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A"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F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0.07</w:t>
            </w:r>
          </w:p>
        </w:tc>
      </w:tr>
      <w:tr w:rsidR="00E525CC" w:rsidRPr="001A3D9E" w14:paraId="30B6F40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E525CC" w:rsidRPr="001A3D9E" w14:paraId="30B6F40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0.52</w:t>
            </w:r>
          </w:p>
        </w:tc>
      </w:tr>
      <w:tr w:rsidR="00E525CC" w:rsidRPr="001A3D9E" w14:paraId="30B6F41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D"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1C"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1E" w14:textId="77777777" w:rsidR="003A35E0" w:rsidRDefault="003A35E0" w:rsidP="00F95184">
      <w:pPr>
        <w:textAlignment w:val="top"/>
        <w:rPr>
          <w:rFonts w:ascii="Times New Roman" w:eastAsia="Times New Roman" w:hAnsi="Times New Roman" w:cs="Times New Roman"/>
          <w:b/>
          <w:bCs/>
          <w:szCs w:val="24"/>
        </w:rPr>
      </w:pPr>
    </w:p>
    <w:p w14:paraId="30B6F41F" w14:textId="77777777" w:rsidR="003A35E0" w:rsidRDefault="003A35E0">
      <w:pPr>
        <w:spacing w:after="160" w:line="259" w:lineRule="auto"/>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30B6F420" w14:textId="77777777" w:rsidR="00E525CC"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2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2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2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2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7"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865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2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3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43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583,000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E525CC" w:rsidRPr="001A3D9E" w14:paraId="30B6F44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4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4C" w14:textId="77777777" w:rsidR="00E525CC" w:rsidRDefault="00E525CC" w:rsidP="00F95184">
      <w:pPr>
        <w:textAlignment w:val="top"/>
        <w:rPr>
          <w:rFonts w:ascii="Times New Roman" w:eastAsia="Times New Roman" w:hAnsi="Times New Roman" w:cs="Times New Roman"/>
          <w:b/>
          <w:bCs/>
          <w:szCs w:val="24"/>
        </w:rPr>
      </w:pPr>
    </w:p>
    <w:p w14:paraId="30B6F44D"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52"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4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5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53"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4"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73,3</w:t>
            </w:r>
            <w:r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5"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5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5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r>
      <w:tr w:rsidR="00E525CC" w:rsidRPr="001A3D9E" w14:paraId="30B6F46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r>
      <w:tr w:rsidR="00E525CC" w:rsidRPr="001A3D9E" w14:paraId="30B6F46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C"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6B"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6D" w14:textId="77777777" w:rsidR="003A35E0" w:rsidRDefault="003A35E0" w:rsidP="00E525CC">
      <w:pPr>
        <w:textAlignment w:val="top"/>
        <w:rPr>
          <w:rFonts w:ascii="Times New Roman" w:eastAsia="Times New Roman" w:hAnsi="Times New Roman" w:cs="Times New Roman"/>
          <w:b/>
          <w:bCs/>
          <w:szCs w:val="24"/>
        </w:rPr>
      </w:pPr>
    </w:p>
    <w:p w14:paraId="30B6F46F"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74"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7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7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75"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6"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7"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7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849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r>
      <w:tr w:rsidR="00E525CC" w:rsidRPr="001A3D9E" w14:paraId="30B6F48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48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8E"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8D"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8F" w14:textId="77777777" w:rsidR="00E525CC" w:rsidRDefault="00E525CC" w:rsidP="00E525CC">
      <w:pPr>
        <w:textAlignment w:val="top"/>
        <w:rPr>
          <w:rFonts w:ascii="Times New Roman" w:eastAsia="Times New Roman" w:hAnsi="Times New Roman" w:cs="Times New Roman"/>
          <w:b/>
          <w:bCs/>
          <w:szCs w:val="24"/>
        </w:rPr>
      </w:pPr>
    </w:p>
    <w:p w14:paraId="30B6F490" w14:textId="77777777" w:rsidR="00CB0212"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9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9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9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9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7"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114</w:t>
            </w:r>
            <w:r w:rsidR="00E525CC"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9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B6399D" w:rsidRPr="001A3D9E" w14:paraId="30B6F4A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r>
      <w:tr w:rsidR="00B6399D" w:rsidRPr="001A3D9E" w14:paraId="30B6F4A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r>
      <w:tr w:rsidR="00B6399D" w:rsidRPr="001A3D9E" w14:paraId="30B6F4B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B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B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B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B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BC" w14:textId="77777777" w:rsidR="003A35E0" w:rsidRDefault="003A35E0" w:rsidP="00E525CC">
      <w:pPr>
        <w:textAlignment w:val="top"/>
        <w:rPr>
          <w:rFonts w:ascii="Times New Roman" w:eastAsia="Times New Roman" w:hAnsi="Times New Roman" w:cs="Times New Roman"/>
          <w:b/>
          <w:bCs/>
          <w:szCs w:val="24"/>
        </w:rPr>
      </w:pPr>
    </w:p>
    <w:p w14:paraId="30B6F4BE"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C3"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C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C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C4"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5"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63,6</w:t>
            </w:r>
            <w:r w:rsidR="00E525CC"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6"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C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8"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9"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A"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C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C"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D"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E"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B6399D" w:rsidRPr="001A3D9E" w14:paraId="30B6F4D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0"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1"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2"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B6399D" w:rsidRPr="001A3D9E" w14:paraId="30B6F4D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4"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5"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6"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D9"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D8"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DB" w14:textId="77777777" w:rsidR="00E525CC" w:rsidRDefault="00E525CC" w:rsidP="00F95184">
      <w:pPr>
        <w:textAlignment w:val="top"/>
        <w:rPr>
          <w:rFonts w:ascii="Times New Roman" w:eastAsia="Times New Roman" w:hAnsi="Times New Roman" w:cs="Times New Roman"/>
          <w:b/>
          <w:bCs/>
          <w:szCs w:val="24"/>
        </w:rPr>
      </w:pPr>
    </w:p>
    <w:p w14:paraId="30B6F4DC" w14:textId="77777777" w:rsidR="00F95184" w:rsidRPr="00B6399D"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4" w:name="_Toc535922275"/>
      <w:r w:rsidRPr="00B6399D">
        <w:rPr>
          <w:rFonts w:ascii="Times New Roman" w:eastAsia="Times New Roman" w:hAnsi="Times New Roman" w:cs="Times New Roman"/>
          <w:b/>
          <w:bCs/>
          <w:color w:val="000000"/>
          <w:kern w:val="36"/>
          <w:sz w:val="36"/>
          <w:szCs w:val="48"/>
        </w:rPr>
        <w:t>NAEP Technical Documentation Age Distribution Fractions for Age 17 for the 2012 Long-Term Trend (LTT) Assessment</w:t>
      </w:r>
      <w:bookmarkEnd w:id="34"/>
    </w:p>
    <w:p w14:paraId="30B6F4DD" w14:textId="77777777" w:rsidR="00A375F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derivation of the age distribution factors was much more straightforward than for the age 9 and 13 components. Estimates from the October 2009</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Current Population Survey (CPS) School Supplement were utilized to provide the percentages of seventeen-year-olds within each of ninth, tenth, eleventh, and twelfth grades by</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Census region.</w:t>
      </w:r>
    </w:p>
    <w:p w14:paraId="30B6F4DE" w14:textId="77777777" w:rsidR="00F95184" w:rsidRPr="001A3D9E"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Since the age definition for Age 17 LTT covers students who are born between October of one year and September the following year, with the assessment taking place in about April, in October of the same academic year (i.e. the preceding calendar year), the eligible students are all 16 years of age. Thus the distribution of eligible students in each grade was obtained by considering the proportion of students in each grade who were age 16 from the October 2009 CPS School Supplement. Note that by the time of the LTT assessment, between March and April, the majority of these students are 17 years old. Thus not all students assessed in the Age 17 LTT</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assessment are aged 17 years, but for simplicity the cohort is referred to as being Age 17. In fact on September 30 of the same academic year as the assessment is conducted, all of the eligible students are aged 16 years.</w:t>
      </w:r>
    </w:p>
    <w:p w14:paraId="30B6F4DF" w14:textId="77777777" w:rsidR="000C77E8" w:rsidRPr="001A3D9E" w:rsidRDefault="000C77E8" w:rsidP="00F95184">
      <w:pPr>
        <w:shd w:val="clear" w:color="auto" w:fill="FFFFFF"/>
        <w:spacing w:before="100" w:beforeAutospacing="1" w:after="270"/>
        <w:rPr>
          <w:rFonts w:ascii="Times New Roman" w:eastAsia="Times New Roman" w:hAnsi="Times New Roman" w:cs="Times New Roman"/>
          <w:color w:val="000000"/>
          <w:sz w:val="24"/>
          <w:szCs w:val="27"/>
        </w:rPr>
      </w:pPr>
    </w:p>
    <w:p w14:paraId="30B6F4E0" w14:textId="77777777" w:rsidR="000C77E8" w:rsidRPr="001A3D9E" w:rsidRDefault="000C77E8" w:rsidP="000C77E8">
      <w:pPr>
        <w:pStyle w:val="Title"/>
        <w:rPr>
          <w:rFonts w:eastAsia="Times New Roman"/>
          <w:sz w:val="52"/>
        </w:rPr>
      </w:pPr>
      <w:r w:rsidRPr="001A3D9E">
        <w:rPr>
          <w:rFonts w:eastAsia="Times New Roman"/>
          <w:sz w:val="52"/>
        </w:rPr>
        <w:t>NAEP Technical Documentation Website</w:t>
      </w:r>
    </w:p>
    <w:p w14:paraId="30B6F4E1" w14:textId="77777777" w:rsidR="000C77E8" w:rsidRPr="001A3D9E" w:rsidRDefault="000C77E8" w:rsidP="000C77E8">
      <w:pPr>
        <w:rPr>
          <w:sz w:val="20"/>
        </w:rPr>
      </w:pPr>
    </w:p>
    <w:p w14:paraId="30B6F4E2" w14:textId="77777777" w:rsidR="000C77E8" w:rsidRPr="001A3D9E" w:rsidRDefault="00FA2749" w:rsidP="000C77E8">
      <w:pPr>
        <w:pStyle w:val="Title"/>
        <w:rPr>
          <w:rStyle w:val="Emphasis"/>
          <w:sz w:val="24"/>
          <w:szCs w:val="28"/>
        </w:rPr>
      </w:pPr>
      <w:hyperlink r:id="rId23" w:history="1">
        <w:r w:rsidR="000C77E8" w:rsidRPr="001A3D9E">
          <w:rPr>
            <w:rStyle w:val="Emphasis"/>
            <w:sz w:val="24"/>
            <w:szCs w:val="28"/>
          </w:rPr>
          <w:t>https://nces.ed.gov/nationsreportcard/tdw/sample_design/2012/2012_sampdsgn_ltt.aspx</w:t>
        </w:r>
      </w:hyperlink>
    </w:p>
    <w:p w14:paraId="30B6F4E4" w14:textId="77777777" w:rsidR="00783CFD" w:rsidRPr="001A3D9E" w:rsidRDefault="00783CFD">
      <w:pPr>
        <w:rPr>
          <w:rFonts w:ascii="Times New Roman" w:eastAsia="Times New Roman" w:hAnsi="Times New Roman" w:cs="Times New Roman"/>
          <w:szCs w:val="24"/>
        </w:rPr>
      </w:pPr>
    </w:p>
    <w:sectPr w:rsidR="00783CFD" w:rsidRPr="001A3D9E" w:rsidSect="00234988">
      <w:footerReference w:type="default" r:id="rId2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493CA" w14:textId="77777777" w:rsidR="00C51BD7" w:rsidRDefault="00C51BD7" w:rsidP="000C77E8">
      <w:r>
        <w:separator/>
      </w:r>
    </w:p>
  </w:endnote>
  <w:endnote w:type="continuationSeparator" w:id="0">
    <w:p w14:paraId="5A4B6CC7" w14:textId="77777777" w:rsidR="00C51BD7" w:rsidRDefault="00C51BD7" w:rsidP="000C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47998"/>
      <w:docPartObj>
        <w:docPartGallery w:val="Page Numbers (Bottom of Page)"/>
        <w:docPartUnique/>
      </w:docPartObj>
    </w:sdtPr>
    <w:sdtEndPr>
      <w:rPr>
        <w:noProof/>
      </w:rPr>
    </w:sdtEndPr>
    <w:sdtContent>
      <w:p w14:paraId="30B6F507" w14:textId="77777777" w:rsidR="00A80B27" w:rsidRDefault="00A80B27" w:rsidP="00E23498">
        <w:pPr>
          <w:pStyle w:val="Footer"/>
          <w:jc w:val="right"/>
        </w:pPr>
        <w:r>
          <w:fldChar w:fldCharType="begin"/>
        </w:r>
        <w:r>
          <w:instrText xml:space="preserve"> PAGE   \* MERGEFORMAT </w:instrText>
        </w:r>
        <w:r>
          <w:fldChar w:fldCharType="separate"/>
        </w:r>
        <w:r w:rsidR="00FA274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57A0F" w14:textId="77777777" w:rsidR="00C51BD7" w:rsidRDefault="00C51BD7" w:rsidP="000C77E8">
      <w:r>
        <w:separator/>
      </w:r>
    </w:p>
  </w:footnote>
  <w:footnote w:type="continuationSeparator" w:id="0">
    <w:p w14:paraId="307CA656" w14:textId="77777777" w:rsidR="00C51BD7" w:rsidRDefault="00C51BD7" w:rsidP="000C77E8">
      <w:r>
        <w:continuationSeparator/>
      </w:r>
    </w:p>
  </w:footnote>
  <w:footnote w:id="1">
    <w:p w14:paraId="30B6F508" w14:textId="77777777" w:rsidR="00A80B27" w:rsidRPr="004A44AD" w:rsidRDefault="00A80B27" w:rsidP="00B71B48">
      <w:pPr>
        <w:pStyle w:val="FootnoteText"/>
        <w:ind w:left="90" w:hanging="90"/>
        <w:rPr>
          <w:sz w:val="18"/>
          <w:szCs w:val="18"/>
        </w:rPr>
      </w:pPr>
      <w:r w:rsidRPr="004A44AD">
        <w:rPr>
          <w:rStyle w:val="FootnoteReference"/>
          <w:sz w:val="18"/>
          <w:szCs w:val="18"/>
        </w:rPr>
        <w:footnoteRef/>
      </w:r>
      <w:r w:rsidRPr="004A44AD">
        <w:rPr>
          <w:sz w:val="18"/>
          <w:szCs w:val="18"/>
        </w:rPr>
        <w:t xml:space="preserve"> </w:t>
      </w:r>
      <w:r w:rsidRPr="004A44AD">
        <w:rPr>
          <w:rFonts w:ascii="Times New Roman" w:eastAsia="Times New Roman" w:hAnsi="Times New Roman" w:cs="Times New Roman"/>
          <w:sz w:val="18"/>
          <w:szCs w:val="18"/>
        </w:rPr>
        <w:t>Note that, starting in 2006, this is a change from earlier NAEP cycles. Field personnel had indicated that contacts with state officials were very important in the process of recruiting schools. Because of this, it was decided that making single-state rather than multi-state PSUs was a better approach. In a few cases, small-size proto-PSUs were combined across state lines, if it was necessary to satisfy other criteria.</w:t>
      </w:r>
    </w:p>
  </w:footnote>
  <w:footnote w:id="2">
    <w:p w14:paraId="30B6F509"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sz w:val="18"/>
          <w:szCs w:val="18"/>
        </w:rPr>
        <w:t>The U.S. Census Bureau's Population Estimates Program (http://www.Census.gov/popest/) yearly publishes total resident population estimates by demographics such as age, sex, race, and Hispanic origin for the nation, states, and counties.</w:t>
      </w:r>
    </w:p>
  </w:footnote>
  <w:footnote w:id="3">
    <w:p w14:paraId="30B6F50A"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color w:val="000000"/>
          <w:sz w:val="18"/>
          <w:szCs w:val="18"/>
        </w:rPr>
        <w:t>The U.S. Census Bureau's Population Estimates Program (http://www.Census.gov/popest/) yearly publishes total resident population estimates by demographics such as age, sex, race, and Hispanic origin for the nation, states, and counties.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62"/>
    <w:multiLevelType w:val="multilevel"/>
    <w:tmpl w:val="D6B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4FB"/>
    <w:multiLevelType w:val="multilevel"/>
    <w:tmpl w:val="2B2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2C7827"/>
    <w:multiLevelType w:val="multilevel"/>
    <w:tmpl w:val="A70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876F9"/>
    <w:multiLevelType w:val="multilevel"/>
    <w:tmpl w:val="14F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43C11"/>
    <w:multiLevelType w:val="multilevel"/>
    <w:tmpl w:val="3C7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D431A"/>
    <w:multiLevelType w:val="multilevel"/>
    <w:tmpl w:val="FB4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222E9"/>
    <w:multiLevelType w:val="multilevel"/>
    <w:tmpl w:val="DBA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3508E"/>
    <w:multiLevelType w:val="multilevel"/>
    <w:tmpl w:val="6234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E0D75"/>
    <w:multiLevelType w:val="multilevel"/>
    <w:tmpl w:val="EC7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61043"/>
    <w:multiLevelType w:val="multilevel"/>
    <w:tmpl w:val="14C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F5A45"/>
    <w:multiLevelType w:val="multilevel"/>
    <w:tmpl w:val="96F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63C31"/>
    <w:multiLevelType w:val="multilevel"/>
    <w:tmpl w:val="A5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173CE"/>
    <w:multiLevelType w:val="multilevel"/>
    <w:tmpl w:val="FA5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07834"/>
    <w:multiLevelType w:val="multilevel"/>
    <w:tmpl w:val="8C3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3"/>
  </w:num>
  <w:num w:numId="5">
    <w:abstractNumId w:val="8"/>
  </w:num>
  <w:num w:numId="6">
    <w:abstractNumId w:val="0"/>
  </w:num>
  <w:num w:numId="7">
    <w:abstractNumId w:val="9"/>
  </w:num>
  <w:num w:numId="8">
    <w:abstractNumId w:val="10"/>
  </w:num>
  <w:num w:numId="9">
    <w:abstractNumId w:val="14"/>
  </w:num>
  <w:num w:numId="10">
    <w:abstractNumId w:val="3"/>
  </w:num>
  <w:num w:numId="11">
    <w:abstractNumId w:val="7"/>
  </w:num>
  <w:num w:numId="12">
    <w:abstractNumId w:val="11"/>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28"/>
    <w:rsid w:val="00003E83"/>
    <w:rsid w:val="000147A1"/>
    <w:rsid w:val="00032411"/>
    <w:rsid w:val="00070767"/>
    <w:rsid w:val="00072289"/>
    <w:rsid w:val="000B4BB4"/>
    <w:rsid w:val="000C77E8"/>
    <w:rsid w:val="00110003"/>
    <w:rsid w:val="0011793C"/>
    <w:rsid w:val="001318CC"/>
    <w:rsid w:val="0016125F"/>
    <w:rsid w:val="001853FD"/>
    <w:rsid w:val="0018784C"/>
    <w:rsid w:val="00197B68"/>
    <w:rsid w:val="001A3D9E"/>
    <w:rsid w:val="001B4622"/>
    <w:rsid w:val="001C0C47"/>
    <w:rsid w:val="001D0B33"/>
    <w:rsid w:val="001D33C3"/>
    <w:rsid w:val="00201070"/>
    <w:rsid w:val="00212C49"/>
    <w:rsid w:val="00220320"/>
    <w:rsid w:val="0023073C"/>
    <w:rsid w:val="00234988"/>
    <w:rsid w:val="002400F9"/>
    <w:rsid w:val="00247D90"/>
    <w:rsid w:val="00272C4B"/>
    <w:rsid w:val="002A46C9"/>
    <w:rsid w:val="002C33B8"/>
    <w:rsid w:val="002C35A2"/>
    <w:rsid w:val="002E0828"/>
    <w:rsid w:val="003162A0"/>
    <w:rsid w:val="00346B40"/>
    <w:rsid w:val="00365AA5"/>
    <w:rsid w:val="0036751F"/>
    <w:rsid w:val="003A32B4"/>
    <w:rsid w:val="003A35E0"/>
    <w:rsid w:val="003B55A4"/>
    <w:rsid w:val="003B79EA"/>
    <w:rsid w:val="003D2F65"/>
    <w:rsid w:val="004133CC"/>
    <w:rsid w:val="0041444C"/>
    <w:rsid w:val="004A44AD"/>
    <w:rsid w:val="004C2624"/>
    <w:rsid w:val="00561901"/>
    <w:rsid w:val="005A638A"/>
    <w:rsid w:val="005D03AD"/>
    <w:rsid w:val="005E2952"/>
    <w:rsid w:val="005E7085"/>
    <w:rsid w:val="00610B7E"/>
    <w:rsid w:val="006264D0"/>
    <w:rsid w:val="00632846"/>
    <w:rsid w:val="006559CA"/>
    <w:rsid w:val="00660310"/>
    <w:rsid w:val="00672F71"/>
    <w:rsid w:val="00684CC1"/>
    <w:rsid w:val="00694A69"/>
    <w:rsid w:val="006B64C4"/>
    <w:rsid w:val="0072197A"/>
    <w:rsid w:val="00736231"/>
    <w:rsid w:val="007516E3"/>
    <w:rsid w:val="00752002"/>
    <w:rsid w:val="00783CFD"/>
    <w:rsid w:val="00786CA3"/>
    <w:rsid w:val="0079115E"/>
    <w:rsid w:val="0079370D"/>
    <w:rsid w:val="007D00D4"/>
    <w:rsid w:val="007D3595"/>
    <w:rsid w:val="007F258D"/>
    <w:rsid w:val="0083477F"/>
    <w:rsid w:val="00845E31"/>
    <w:rsid w:val="00885858"/>
    <w:rsid w:val="0089311E"/>
    <w:rsid w:val="008A7F3C"/>
    <w:rsid w:val="009003EF"/>
    <w:rsid w:val="00973960"/>
    <w:rsid w:val="00A23D50"/>
    <w:rsid w:val="00A375F4"/>
    <w:rsid w:val="00A50522"/>
    <w:rsid w:val="00A71A13"/>
    <w:rsid w:val="00A80B27"/>
    <w:rsid w:val="00AA3317"/>
    <w:rsid w:val="00AA48D2"/>
    <w:rsid w:val="00AB54D9"/>
    <w:rsid w:val="00AC641C"/>
    <w:rsid w:val="00AF61D5"/>
    <w:rsid w:val="00B11FC7"/>
    <w:rsid w:val="00B33B98"/>
    <w:rsid w:val="00B4461B"/>
    <w:rsid w:val="00B6399D"/>
    <w:rsid w:val="00B71B48"/>
    <w:rsid w:val="00B84D6F"/>
    <w:rsid w:val="00B87319"/>
    <w:rsid w:val="00B87FD5"/>
    <w:rsid w:val="00BC779B"/>
    <w:rsid w:val="00BE2BFC"/>
    <w:rsid w:val="00BE503A"/>
    <w:rsid w:val="00C30CB3"/>
    <w:rsid w:val="00C33467"/>
    <w:rsid w:val="00C4320A"/>
    <w:rsid w:val="00C51BD7"/>
    <w:rsid w:val="00C5519C"/>
    <w:rsid w:val="00C81CDC"/>
    <w:rsid w:val="00CB0212"/>
    <w:rsid w:val="00CD0FF5"/>
    <w:rsid w:val="00CF3AA5"/>
    <w:rsid w:val="00D11FE7"/>
    <w:rsid w:val="00D22075"/>
    <w:rsid w:val="00D22C4B"/>
    <w:rsid w:val="00D247C8"/>
    <w:rsid w:val="00D26065"/>
    <w:rsid w:val="00D36280"/>
    <w:rsid w:val="00D51A22"/>
    <w:rsid w:val="00D62C72"/>
    <w:rsid w:val="00D63769"/>
    <w:rsid w:val="00DB13C3"/>
    <w:rsid w:val="00DC217F"/>
    <w:rsid w:val="00E05EFD"/>
    <w:rsid w:val="00E14080"/>
    <w:rsid w:val="00E23498"/>
    <w:rsid w:val="00E42305"/>
    <w:rsid w:val="00E525CC"/>
    <w:rsid w:val="00E64EB3"/>
    <w:rsid w:val="00E678AE"/>
    <w:rsid w:val="00EA10F4"/>
    <w:rsid w:val="00EC573E"/>
    <w:rsid w:val="00EE0CC5"/>
    <w:rsid w:val="00F55A94"/>
    <w:rsid w:val="00F748C9"/>
    <w:rsid w:val="00F95184"/>
    <w:rsid w:val="00F9621D"/>
    <w:rsid w:val="00FA2749"/>
    <w:rsid w:val="00FB5BA8"/>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24">
      <w:bodyDiv w:val="1"/>
      <w:marLeft w:val="0"/>
      <w:marRight w:val="0"/>
      <w:marTop w:val="0"/>
      <w:marBottom w:val="0"/>
      <w:divBdr>
        <w:top w:val="none" w:sz="0" w:space="0" w:color="auto"/>
        <w:left w:val="none" w:sz="0" w:space="0" w:color="auto"/>
        <w:bottom w:val="none" w:sz="0" w:space="0" w:color="auto"/>
        <w:right w:val="none" w:sz="0" w:space="0" w:color="auto"/>
      </w:divBdr>
    </w:div>
    <w:div w:id="32585470">
      <w:bodyDiv w:val="1"/>
      <w:marLeft w:val="0"/>
      <w:marRight w:val="0"/>
      <w:marTop w:val="0"/>
      <w:marBottom w:val="0"/>
      <w:divBdr>
        <w:top w:val="none" w:sz="0" w:space="0" w:color="auto"/>
        <w:left w:val="none" w:sz="0" w:space="0" w:color="auto"/>
        <w:bottom w:val="none" w:sz="0" w:space="0" w:color="auto"/>
        <w:right w:val="none" w:sz="0" w:space="0" w:color="auto"/>
      </w:divBdr>
    </w:div>
    <w:div w:id="83184610">
      <w:bodyDiv w:val="1"/>
      <w:marLeft w:val="0"/>
      <w:marRight w:val="0"/>
      <w:marTop w:val="0"/>
      <w:marBottom w:val="0"/>
      <w:divBdr>
        <w:top w:val="none" w:sz="0" w:space="0" w:color="auto"/>
        <w:left w:val="none" w:sz="0" w:space="0" w:color="auto"/>
        <w:bottom w:val="none" w:sz="0" w:space="0" w:color="auto"/>
        <w:right w:val="none" w:sz="0" w:space="0" w:color="auto"/>
      </w:divBdr>
    </w:div>
    <w:div w:id="85738919">
      <w:bodyDiv w:val="1"/>
      <w:marLeft w:val="0"/>
      <w:marRight w:val="0"/>
      <w:marTop w:val="0"/>
      <w:marBottom w:val="0"/>
      <w:divBdr>
        <w:top w:val="none" w:sz="0" w:space="0" w:color="auto"/>
        <w:left w:val="none" w:sz="0" w:space="0" w:color="auto"/>
        <w:bottom w:val="none" w:sz="0" w:space="0" w:color="auto"/>
        <w:right w:val="none" w:sz="0" w:space="0" w:color="auto"/>
      </w:divBdr>
    </w:div>
    <w:div w:id="89744345">
      <w:bodyDiv w:val="1"/>
      <w:marLeft w:val="0"/>
      <w:marRight w:val="0"/>
      <w:marTop w:val="0"/>
      <w:marBottom w:val="0"/>
      <w:divBdr>
        <w:top w:val="none" w:sz="0" w:space="0" w:color="auto"/>
        <w:left w:val="none" w:sz="0" w:space="0" w:color="auto"/>
        <w:bottom w:val="none" w:sz="0" w:space="0" w:color="auto"/>
        <w:right w:val="none" w:sz="0" w:space="0" w:color="auto"/>
      </w:divBdr>
      <w:divsChild>
        <w:div w:id="1283145694">
          <w:marLeft w:val="0"/>
          <w:marRight w:val="0"/>
          <w:marTop w:val="0"/>
          <w:marBottom w:val="0"/>
          <w:divBdr>
            <w:top w:val="none" w:sz="0" w:space="0" w:color="auto"/>
            <w:left w:val="none" w:sz="0" w:space="0" w:color="auto"/>
            <w:bottom w:val="none" w:sz="0" w:space="0" w:color="auto"/>
            <w:right w:val="none" w:sz="0" w:space="0" w:color="auto"/>
          </w:divBdr>
        </w:div>
        <w:div w:id="2066905049">
          <w:marLeft w:val="0"/>
          <w:marRight w:val="0"/>
          <w:marTop w:val="0"/>
          <w:marBottom w:val="0"/>
          <w:divBdr>
            <w:top w:val="none" w:sz="0" w:space="0" w:color="auto"/>
            <w:left w:val="none" w:sz="0" w:space="0" w:color="auto"/>
            <w:bottom w:val="none" w:sz="0" w:space="0" w:color="auto"/>
            <w:right w:val="none" w:sz="0" w:space="0" w:color="auto"/>
          </w:divBdr>
        </w:div>
        <w:div w:id="1399981128">
          <w:marLeft w:val="0"/>
          <w:marRight w:val="0"/>
          <w:marTop w:val="0"/>
          <w:marBottom w:val="0"/>
          <w:divBdr>
            <w:top w:val="none" w:sz="0" w:space="0" w:color="auto"/>
            <w:left w:val="none" w:sz="0" w:space="0" w:color="auto"/>
            <w:bottom w:val="none" w:sz="0" w:space="0" w:color="auto"/>
            <w:right w:val="none" w:sz="0" w:space="0" w:color="auto"/>
          </w:divBdr>
        </w:div>
        <w:div w:id="153030690">
          <w:marLeft w:val="0"/>
          <w:marRight w:val="0"/>
          <w:marTop w:val="0"/>
          <w:marBottom w:val="0"/>
          <w:divBdr>
            <w:top w:val="none" w:sz="0" w:space="0" w:color="auto"/>
            <w:left w:val="none" w:sz="0" w:space="0" w:color="auto"/>
            <w:bottom w:val="none" w:sz="0" w:space="0" w:color="auto"/>
            <w:right w:val="none" w:sz="0" w:space="0" w:color="auto"/>
          </w:divBdr>
        </w:div>
        <w:div w:id="2013218302">
          <w:marLeft w:val="0"/>
          <w:marRight w:val="0"/>
          <w:marTop w:val="0"/>
          <w:marBottom w:val="0"/>
          <w:divBdr>
            <w:top w:val="none" w:sz="0" w:space="0" w:color="auto"/>
            <w:left w:val="none" w:sz="0" w:space="0" w:color="auto"/>
            <w:bottom w:val="none" w:sz="0" w:space="0" w:color="auto"/>
            <w:right w:val="none" w:sz="0" w:space="0" w:color="auto"/>
          </w:divBdr>
        </w:div>
        <w:div w:id="1295863867">
          <w:marLeft w:val="0"/>
          <w:marRight w:val="0"/>
          <w:marTop w:val="0"/>
          <w:marBottom w:val="0"/>
          <w:divBdr>
            <w:top w:val="none" w:sz="0" w:space="0" w:color="auto"/>
            <w:left w:val="none" w:sz="0" w:space="0" w:color="auto"/>
            <w:bottom w:val="none" w:sz="0" w:space="0" w:color="auto"/>
            <w:right w:val="none" w:sz="0" w:space="0" w:color="auto"/>
          </w:divBdr>
        </w:div>
        <w:div w:id="908883774">
          <w:marLeft w:val="30"/>
          <w:marRight w:val="30"/>
          <w:marTop w:val="150"/>
          <w:marBottom w:val="150"/>
          <w:divBdr>
            <w:top w:val="none" w:sz="0" w:space="0" w:color="auto"/>
            <w:left w:val="none" w:sz="0" w:space="0" w:color="auto"/>
            <w:bottom w:val="none" w:sz="0" w:space="0" w:color="auto"/>
            <w:right w:val="none" w:sz="0" w:space="0" w:color="auto"/>
          </w:divBdr>
        </w:div>
      </w:divsChild>
    </w:div>
    <w:div w:id="196358955">
      <w:bodyDiv w:val="1"/>
      <w:marLeft w:val="0"/>
      <w:marRight w:val="0"/>
      <w:marTop w:val="0"/>
      <w:marBottom w:val="0"/>
      <w:divBdr>
        <w:top w:val="none" w:sz="0" w:space="0" w:color="auto"/>
        <w:left w:val="none" w:sz="0" w:space="0" w:color="auto"/>
        <w:bottom w:val="none" w:sz="0" w:space="0" w:color="auto"/>
        <w:right w:val="none" w:sz="0" w:space="0" w:color="auto"/>
      </w:divBdr>
      <w:divsChild>
        <w:div w:id="1968582064">
          <w:marLeft w:val="30"/>
          <w:marRight w:val="30"/>
          <w:marTop w:val="150"/>
          <w:marBottom w:val="150"/>
          <w:divBdr>
            <w:top w:val="none" w:sz="0" w:space="0" w:color="auto"/>
            <w:left w:val="none" w:sz="0" w:space="0" w:color="auto"/>
            <w:bottom w:val="none" w:sz="0" w:space="0" w:color="auto"/>
            <w:right w:val="none" w:sz="0" w:space="0" w:color="auto"/>
          </w:divBdr>
        </w:div>
        <w:div w:id="282154860">
          <w:marLeft w:val="30"/>
          <w:marRight w:val="30"/>
          <w:marTop w:val="150"/>
          <w:marBottom w:val="150"/>
          <w:divBdr>
            <w:top w:val="none" w:sz="0" w:space="0" w:color="auto"/>
            <w:left w:val="none" w:sz="0" w:space="0" w:color="auto"/>
            <w:bottom w:val="none" w:sz="0" w:space="0" w:color="auto"/>
            <w:right w:val="none" w:sz="0" w:space="0" w:color="auto"/>
          </w:divBdr>
        </w:div>
        <w:div w:id="931469121">
          <w:marLeft w:val="30"/>
          <w:marRight w:val="30"/>
          <w:marTop w:val="150"/>
          <w:marBottom w:val="150"/>
          <w:divBdr>
            <w:top w:val="none" w:sz="0" w:space="0" w:color="auto"/>
            <w:left w:val="none" w:sz="0" w:space="0" w:color="auto"/>
            <w:bottom w:val="none" w:sz="0" w:space="0" w:color="auto"/>
            <w:right w:val="none" w:sz="0" w:space="0" w:color="auto"/>
          </w:divBdr>
        </w:div>
      </w:divsChild>
    </w:div>
    <w:div w:id="285426850">
      <w:bodyDiv w:val="1"/>
      <w:marLeft w:val="0"/>
      <w:marRight w:val="0"/>
      <w:marTop w:val="0"/>
      <w:marBottom w:val="0"/>
      <w:divBdr>
        <w:top w:val="none" w:sz="0" w:space="0" w:color="auto"/>
        <w:left w:val="none" w:sz="0" w:space="0" w:color="auto"/>
        <w:bottom w:val="none" w:sz="0" w:space="0" w:color="auto"/>
        <w:right w:val="none" w:sz="0" w:space="0" w:color="auto"/>
      </w:divBdr>
      <w:divsChild>
        <w:div w:id="188416867">
          <w:marLeft w:val="0"/>
          <w:marRight w:val="0"/>
          <w:marTop w:val="0"/>
          <w:marBottom w:val="0"/>
          <w:divBdr>
            <w:top w:val="none" w:sz="0" w:space="0" w:color="auto"/>
            <w:left w:val="none" w:sz="0" w:space="0" w:color="auto"/>
            <w:bottom w:val="none" w:sz="0" w:space="0" w:color="auto"/>
            <w:right w:val="none" w:sz="0" w:space="0" w:color="auto"/>
          </w:divBdr>
        </w:div>
        <w:div w:id="1891961847">
          <w:marLeft w:val="0"/>
          <w:marRight w:val="0"/>
          <w:marTop w:val="0"/>
          <w:marBottom w:val="0"/>
          <w:divBdr>
            <w:top w:val="none" w:sz="0" w:space="0" w:color="auto"/>
            <w:left w:val="none" w:sz="0" w:space="0" w:color="auto"/>
            <w:bottom w:val="none" w:sz="0" w:space="0" w:color="auto"/>
            <w:right w:val="none" w:sz="0" w:space="0" w:color="auto"/>
          </w:divBdr>
        </w:div>
        <w:div w:id="236398860">
          <w:marLeft w:val="0"/>
          <w:marRight w:val="0"/>
          <w:marTop w:val="0"/>
          <w:marBottom w:val="0"/>
          <w:divBdr>
            <w:top w:val="none" w:sz="0" w:space="0" w:color="auto"/>
            <w:left w:val="none" w:sz="0" w:space="0" w:color="auto"/>
            <w:bottom w:val="none" w:sz="0" w:space="0" w:color="auto"/>
            <w:right w:val="none" w:sz="0" w:space="0" w:color="auto"/>
          </w:divBdr>
        </w:div>
        <w:div w:id="1173835758">
          <w:marLeft w:val="0"/>
          <w:marRight w:val="0"/>
          <w:marTop w:val="0"/>
          <w:marBottom w:val="0"/>
          <w:divBdr>
            <w:top w:val="none" w:sz="0" w:space="0" w:color="auto"/>
            <w:left w:val="none" w:sz="0" w:space="0" w:color="auto"/>
            <w:bottom w:val="none" w:sz="0" w:space="0" w:color="auto"/>
            <w:right w:val="none" w:sz="0" w:space="0" w:color="auto"/>
          </w:divBdr>
        </w:div>
        <w:div w:id="2002538085">
          <w:marLeft w:val="0"/>
          <w:marRight w:val="0"/>
          <w:marTop w:val="0"/>
          <w:marBottom w:val="0"/>
          <w:divBdr>
            <w:top w:val="none" w:sz="0" w:space="0" w:color="auto"/>
            <w:left w:val="none" w:sz="0" w:space="0" w:color="auto"/>
            <w:bottom w:val="none" w:sz="0" w:space="0" w:color="auto"/>
            <w:right w:val="none" w:sz="0" w:space="0" w:color="auto"/>
          </w:divBdr>
        </w:div>
        <w:div w:id="199557310">
          <w:marLeft w:val="0"/>
          <w:marRight w:val="0"/>
          <w:marTop w:val="0"/>
          <w:marBottom w:val="0"/>
          <w:divBdr>
            <w:top w:val="none" w:sz="0" w:space="0" w:color="auto"/>
            <w:left w:val="none" w:sz="0" w:space="0" w:color="auto"/>
            <w:bottom w:val="none" w:sz="0" w:space="0" w:color="auto"/>
            <w:right w:val="none" w:sz="0" w:space="0" w:color="auto"/>
          </w:divBdr>
        </w:div>
      </w:divsChild>
    </w:div>
    <w:div w:id="325399899">
      <w:bodyDiv w:val="1"/>
      <w:marLeft w:val="0"/>
      <w:marRight w:val="0"/>
      <w:marTop w:val="0"/>
      <w:marBottom w:val="0"/>
      <w:divBdr>
        <w:top w:val="none" w:sz="0" w:space="0" w:color="auto"/>
        <w:left w:val="none" w:sz="0" w:space="0" w:color="auto"/>
        <w:bottom w:val="none" w:sz="0" w:space="0" w:color="auto"/>
        <w:right w:val="none" w:sz="0" w:space="0" w:color="auto"/>
      </w:divBdr>
      <w:divsChild>
        <w:div w:id="31610774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396733473">
          <w:marLeft w:val="0"/>
          <w:marRight w:val="0"/>
          <w:marTop w:val="0"/>
          <w:marBottom w:val="0"/>
          <w:divBdr>
            <w:top w:val="none" w:sz="0" w:space="0" w:color="auto"/>
            <w:left w:val="none" w:sz="0" w:space="0" w:color="auto"/>
            <w:bottom w:val="none" w:sz="0" w:space="0" w:color="auto"/>
            <w:right w:val="none" w:sz="0" w:space="0" w:color="auto"/>
          </w:divBdr>
        </w:div>
        <w:div w:id="126822036">
          <w:marLeft w:val="0"/>
          <w:marRight w:val="0"/>
          <w:marTop w:val="0"/>
          <w:marBottom w:val="0"/>
          <w:divBdr>
            <w:top w:val="none" w:sz="0" w:space="0" w:color="auto"/>
            <w:left w:val="none" w:sz="0" w:space="0" w:color="auto"/>
            <w:bottom w:val="none" w:sz="0" w:space="0" w:color="auto"/>
            <w:right w:val="none" w:sz="0" w:space="0" w:color="auto"/>
          </w:divBdr>
        </w:div>
      </w:divsChild>
    </w:div>
    <w:div w:id="404691595">
      <w:bodyDiv w:val="1"/>
      <w:marLeft w:val="0"/>
      <w:marRight w:val="0"/>
      <w:marTop w:val="0"/>
      <w:marBottom w:val="0"/>
      <w:divBdr>
        <w:top w:val="none" w:sz="0" w:space="0" w:color="auto"/>
        <w:left w:val="none" w:sz="0" w:space="0" w:color="auto"/>
        <w:bottom w:val="none" w:sz="0" w:space="0" w:color="auto"/>
        <w:right w:val="none" w:sz="0" w:space="0" w:color="auto"/>
      </w:divBdr>
    </w:div>
    <w:div w:id="441733325">
      <w:bodyDiv w:val="1"/>
      <w:marLeft w:val="0"/>
      <w:marRight w:val="0"/>
      <w:marTop w:val="0"/>
      <w:marBottom w:val="0"/>
      <w:divBdr>
        <w:top w:val="none" w:sz="0" w:space="0" w:color="auto"/>
        <w:left w:val="none" w:sz="0" w:space="0" w:color="auto"/>
        <w:bottom w:val="none" w:sz="0" w:space="0" w:color="auto"/>
        <w:right w:val="none" w:sz="0" w:space="0" w:color="auto"/>
      </w:divBdr>
    </w:div>
    <w:div w:id="596988281">
      <w:bodyDiv w:val="1"/>
      <w:marLeft w:val="0"/>
      <w:marRight w:val="0"/>
      <w:marTop w:val="0"/>
      <w:marBottom w:val="0"/>
      <w:divBdr>
        <w:top w:val="none" w:sz="0" w:space="0" w:color="auto"/>
        <w:left w:val="none" w:sz="0" w:space="0" w:color="auto"/>
        <w:bottom w:val="none" w:sz="0" w:space="0" w:color="auto"/>
        <w:right w:val="none" w:sz="0" w:space="0" w:color="auto"/>
      </w:divBdr>
    </w:div>
    <w:div w:id="605384183">
      <w:bodyDiv w:val="1"/>
      <w:marLeft w:val="0"/>
      <w:marRight w:val="0"/>
      <w:marTop w:val="0"/>
      <w:marBottom w:val="0"/>
      <w:divBdr>
        <w:top w:val="none" w:sz="0" w:space="0" w:color="auto"/>
        <w:left w:val="none" w:sz="0" w:space="0" w:color="auto"/>
        <w:bottom w:val="none" w:sz="0" w:space="0" w:color="auto"/>
        <w:right w:val="none" w:sz="0" w:space="0" w:color="auto"/>
      </w:divBdr>
    </w:div>
    <w:div w:id="666708412">
      <w:bodyDiv w:val="1"/>
      <w:marLeft w:val="0"/>
      <w:marRight w:val="0"/>
      <w:marTop w:val="0"/>
      <w:marBottom w:val="0"/>
      <w:divBdr>
        <w:top w:val="none" w:sz="0" w:space="0" w:color="auto"/>
        <w:left w:val="none" w:sz="0" w:space="0" w:color="auto"/>
        <w:bottom w:val="none" w:sz="0" w:space="0" w:color="auto"/>
        <w:right w:val="none" w:sz="0" w:space="0" w:color="auto"/>
      </w:divBdr>
    </w:div>
    <w:div w:id="679699716">
      <w:bodyDiv w:val="1"/>
      <w:marLeft w:val="0"/>
      <w:marRight w:val="0"/>
      <w:marTop w:val="0"/>
      <w:marBottom w:val="0"/>
      <w:divBdr>
        <w:top w:val="none" w:sz="0" w:space="0" w:color="auto"/>
        <w:left w:val="none" w:sz="0" w:space="0" w:color="auto"/>
        <w:bottom w:val="none" w:sz="0" w:space="0" w:color="auto"/>
        <w:right w:val="none" w:sz="0" w:space="0" w:color="auto"/>
      </w:divBdr>
    </w:div>
    <w:div w:id="683752065">
      <w:bodyDiv w:val="1"/>
      <w:marLeft w:val="0"/>
      <w:marRight w:val="0"/>
      <w:marTop w:val="0"/>
      <w:marBottom w:val="0"/>
      <w:divBdr>
        <w:top w:val="none" w:sz="0" w:space="0" w:color="auto"/>
        <w:left w:val="none" w:sz="0" w:space="0" w:color="auto"/>
        <w:bottom w:val="none" w:sz="0" w:space="0" w:color="auto"/>
        <w:right w:val="none" w:sz="0" w:space="0" w:color="auto"/>
      </w:divBdr>
    </w:div>
    <w:div w:id="827867182">
      <w:bodyDiv w:val="1"/>
      <w:marLeft w:val="0"/>
      <w:marRight w:val="0"/>
      <w:marTop w:val="0"/>
      <w:marBottom w:val="0"/>
      <w:divBdr>
        <w:top w:val="none" w:sz="0" w:space="0" w:color="auto"/>
        <w:left w:val="none" w:sz="0" w:space="0" w:color="auto"/>
        <w:bottom w:val="none" w:sz="0" w:space="0" w:color="auto"/>
        <w:right w:val="none" w:sz="0" w:space="0" w:color="auto"/>
      </w:divBdr>
    </w:div>
    <w:div w:id="881593157">
      <w:bodyDiv w:val="1"/>
      <w:marLeft w:val="0"/>
      <w:marRight w:val="0"/>
      <w:marTop w:val="0"/>
      <w:marBottom w:val="0"/>
      <w:divBdr>
        <w:top w:val="none" w:sz="0" w:space="0" w:color="auto"/>
        <w:left w:val="none" w:sz="0" w:space="0" w:color="auto"/>
        <w:bottom w:val="none" w:sz="0" w:space="0" w:color="auto"/>
        <w:right w:val="none" w:sz="0" w:space="0" w:color="auto"/>
      </w:divBdr>
    </w:div>
    <w:div w:id="938029533">
      <w:bodyDiv w:val="1"/>
      <w:marLeft w:val="0"/>
      <w:marRight w:val="0"/>
      <w:marTop w:val="0"/>
      <w:marBottom w:val="0"/>
      <w:divBdr>
        <w:top w:val="none" w:sz="0" w:space="0" w:color="auto"/>
        <w:left w:val="none" w:sz="0" w:space="0" w:color="auto"/>
        <w:bottom w:val="none" w:sz="0" w:space="0" w:color="auto"/>
        <w:right w:val="none" w:sz="0" w:space="0" w:color="auto"/>
      </w:divBdr>
    </w:div>
    <w:div w:id="940532237">
      <w:bodyDiv w:val="1"/>
      <w:marLeft w:val="0"/>
      <w:marRight w:val="0"/>
      <w:marTop w:val="0"/>
      <w:marBottom w:val="0"/>
      <w:divBdr>
        <w:top w:val="none" w:sz="0" w:space="0" w:color="auto"/>
        <w:left w:val="none" w:sz="0" w:space="0" w:color="auto"/>
        <w:bottom w:val="none" w:sz="0" w:space="0" w:color="auto"/>
        <w:right w:val="none" w:sz="0" w:space="0" w:color="auto"/>
      </w:divBdr>
    </w:div>
    <w:div w:id="1020007284">
      <w:bodyDiv w:val="1"/>
      <w:marLeft w:val="0"/>
      <w:marRight w:val="0"/>
      <w:marTop w:val="0"/>
      <w:marBottom w:val="0"/>
      <w:divBdr>
        <w:top w:val="none" w:sz="0" w:space="0" w:color="auto"/>
        <w:left w:val="none" w:sz="0" w:space="0" w:color="auto"/>
        <w:bottom w:val="none" w:sz="0" w:space="0" w:color="auto"/>
        <w:right w:val="none" w:sz="0" w:space="0" w:color="auto"/>
      </w:divBdr>
      <w:divsChild>
        <w:div w:id="192422338">
          <w:marLeft w:val="0"/>
          <w:marRight w:val="0"/>
          <w:marTop w:val="0"/>
          <w:marBottom w:val="0"/>
          <w:divBdr>
            <w:top w:val="none" w:sz="0" w:space="0" w:color="auto"/>
            <w:left w:val="none" w:sz="0" w:space="0" w:color="auto"/>
            <w:bottom w:val="none" w:sz="0" w:space="0" w:color="auto"/>
            <w:right w:val="none" w:sz="0" w:space="0" w:color="auto"/>
          </w:divBdr>
        </w:div>
        <w:div w:id="306010197">
          <w:marLeft w:val="0"/>
          <w:marRight w:val="0"/>
          <w:marTop w:val="0"/>
          <w:marBottom w:val="0"/>
          <w:divBdr>
            <w:top w:val="none" w:sz="0" w:space="0" w:color="auto"/>
            <w:left w:val="none" w:sz="0" w:space="0" w:color="auto"/>
            <w:bottom w:val="none" w:sz="0" w:space="0" w:color="auto"/>
            <w:right w:val="none" w:sz="0" w:space="0" w:color="auto"/>
          </w:divBdr>
        </w:div>
        <w:div w:id="1209956129">
          <w:marLeft w:val="0"/>
          <w:marRight w:val="0"/>
          <w:marTop w:val="0"/>
          <w:marBottom w:val="0"/>
          <w:divBdr>
            <w:top w:val="none" w:sz="0" w:space="0" w:color="auto"/>
            <w:left w:val="none" w:sz="0" w:space="0" w:color="auto"/>
            <w:bottom w:val="none" w:sz="0" w:space="0" w:color="auto"/>
            <w:right w:val="none" w:sz="0" w:space="0" w:color="auto"/>
          </w:divBdr>
        </w:div>
        <w:div w:id="1585607179">
          <w:marLeft w:val="0"/>
          <w:marRight w:val="0"/>
          <w:marTop w:val="0"/>
          <w:marBottom w:val="0"/>
          <w:divBdr>
            <w:top w:val="none" w:sz="0" w:space="0" w:color="auto"/>
            <w:left w:val="none" w:sz="0" w:space="0" w:color="auto"/>
            <w:bottom w:val="none" w:sz="0" w:space="0" w:color="auto"/>
            <w:right w:val="none" w:sz="0" w:space="0" w:color="auto"/>
          </w:divBdr>
        </w:div>
        <w:div w:id="1282960482">
          <w:marLeft w:val="0"/>
          <w:marRight w:val="0"/>
          <w:marTop w:val="0"/>
          <w:marBottom w:val="0"/>
          <w:divBdr>
            <w:top w:val="none" w:sz="0" w:space="0" w:color="auto"/>
            <w:left w:val="none" w:sz="0" w:space="0" w:color="auto"/>
            <w:bottom w:val="none" w:sz="0" w:space="0" w:color="auto"/>
            <w:right w:val="none" w:sz="0" w:space="0" w:color="auto"/>
          </w:divBdr>
        </w:div>
        <w:div w:id="575169279">
          <w:marLeft w:val="0"/>
          <w:marRight w:val="0"/>
          <w:marTop w:val="0"/>
          <w:marBottom w:val="0"/>
          <w:divBdr>
            <w:top w:val="none" w:sz="0" w:space="0" w:color="auto"/>
            <w:left w:val="none" w:sz="0" w:space="0" w:color="auto"/>
            <w:bottom w:val="none" w:sz="0" w:space="0" w:color="auto"/>
            <w:right w:val="none" w:sz="0" w:space="0" w:color="auto"/>
          </w:divBdr>
        </w:div>
        <w:div w:id="493642951">
          <w:marLeft w:val="0"/>
          <w:marRight w:val="0"/>
          <w:marTop w:val="0"/>
          <w:marBottom w:val="0"/>
          <w:divBdr>
            <w:top w:val="none" w:sz="0" w:space="0" w:color="auto"/>
            <w:left w:val="none" w:sz="0" w:space="0" w:color="auto"/>
            <w:bottom w:val="none" w:sz="0" w:space="0" w:color="auto"/>
            <w:right w:val="none" w:sz="0" w:space="0" w:color="auto"/>
          </w:divBdr>
          <w:divsChild>
            <w:div w:id="1911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3944">
      <w:bodyDiv w:val="1"/>
      <w:marLeft w:val="0"/>
      <w:marRight w:val="0"/>
      <w:marTop w:val="0"/>
      <w:marBottom w:val="0"/>
      <w:divBdr>
        <w:top w:val="none" w:sz="0" w:space="0" w:color="auto"/>
        <w:left w:val="none" w:sz="0" w:space="0" w:color="auto"/>
        <w:bottom w:val="none" w:sz="0" w:space="0" w:color="auto"/>
        <w:right w:val="none" w:sz="0" w:space="0" w:color="auto"/>
      </w:divBdr>
    </w:div>
    <w:div w:id="1462924034">
      <w:bodyDiv w:val="1"/>
      <w:marLeft w:val="0"/>
      <w:marRight w:val="0"/>
      <w:marTop w:val="0"/>
      <w:marBottom w:val="0"/>
      <w:divBdr>
        <w:top w:val="none" w:sz="0" w:space="0" w:color="auto"/>
        <w:left w:val="none" w:sz="0" w:space="0" w:color="auto"/>
        <w:bottom w:val="none" w:sz="0" w:space="0" w:color="auto"/>
        <w:right w:val="none" w:sz="0" w:space="0" w:color="auto"/>
      </w:divBdr>
    </w:div>
    <w:div w:id="1492410230">
      <w:bodyDiv w:val="1"/>
      <w:marLeft w:val="0"/>
      <w:marRight w:val="0"/>
      <w:marTop w:val="0"/>
      <w:marBottom w:val="0"/>
      <w:divBdr>
        <w:top w:val="none" w:sz="0" w:space="0" w:color="auto"/>
        <w:left w:val="none" w:sz="0" w:space="0" w:color="auto"/>
        <w:bottom w:val="none" w:sz="0" w:space="0" w:color="auto"/>
        <w:right w:val="none" w:sz="0" w:space="0" w:color="auto"/>
      </w:divBdr>
    </w:div>
    <w:div w:id="1499880892">
      <w:bodyDiv w:val="1"/>
      <w:marLeft w:val="0"/>
      <w:marRight w:val="0"/>
      <w:marTop w:val="0"/>
      <w:marBottom w:val="0"/>
      <w:divBdr>
        <w:top w:val="none" w:sz="0" w:space="0" w:color="auto"/>
        <w:left w:val="none" w:sz="0" w:space="0" w:color="auto"/>
        <w:bottom w:val="none" w:sz="0" w:space="0" w:color="auto"/>
        <w:right w:val="none" w:sz="0" w:space="0" w:color="auto"/>
      </w:divBdr>
      <w:divsChild>
        <w:div w:id="2096389788">
          <w:marLeft w:val="0"/>
          <w:marRight w:val="0"/>
          <w:marTop w:val="0"/>
          <w:marBottom w:val="0"/>
          <w:divBdr>
            <w:top w:val="none" w:sz="0" w:space="0" w:color="auto"/>
            <w:left w:val="none" w:sz="0" w:space="0" w:color="auto"/>
            <w:bottom w:val="none" w:sz="0" w:space="0" w:color="auto"/>
            <w:right w:val="none" w:sz="0" w:space="0" w:color="auto"/>
          </w:divBdr>
        </w:div>
        <w:div w:id="722559514">
          <w:marLeft w:val="0"/>
          <w:marRight w:val="0"/>
          <w:marTop w:val="0"/>
          <w:marBottom w:val="0"/>
          <w:divBdr>
            <w:top w:val="none" w:sz="0" w:space="0" w:color="auto"/>
            <w:left w:val="none" w:sz="0" w:space="0" w:color="auto"/>
            <w:bottom w:val="none" w:sz="0" w:space="0" w:color="auto"/>
            <w:right w:val="none" w:sz="0" w:space="0" w:color="auto"/>
          </w:divBdr>
        </w:div>
        <w:div w:id="623386598">
          <w:marLeft w:val="0"/>
          <w:marRight w:val="0"/>
          <w:marTop w:val="0"/>
          <w:marBottom w:val="0"/>
          <w:divBdr>
            <w:top w:val="none" w:sz="0" w:space="0" w:color="auto"/>
            <w:left w:val="none" w:sz="0" w:space="0" w:color="auto"/>
            <w:bottom w:val="none" w:sz="0" w:space="0" w:color="auto"/>
            <w:right w:val="none" w:sz="0" w:space="0" w:color="auto"/>
          </w:divBdr>
        </w:div>
        <w:div w:id="1219053783">
          <w:marLeft w:val="0"/>
          <w:marRight w:val="0"/>
          <w:marTop w:val="0"/>
          <w:marBottom w:val="0"/>
          <w:divBdr>
            <w:top w:val="none" w:sz="0" w:space="0" w:color="auto"/>
            <w:left w:val="none" w:sz="0" w:space="0" w:color="auto"/>
            <w:bottom w:val="none" w:sz="0" w:space="0" w:color="auto"/>
            <w:right w:val="none" w:sz="0" w:space="0" w:color="auto"/>
          </w:divBdr>
        </w:div>
        <w:div w:id="107939042">
          <w:marLeft w:val="0"/>
          <w:marRight w:val="0"/>
          <w:marTop w:val="0"/>
          <w:marBottom w:val="0"/>
          <w:divBdr>
            <w:top w:val="none" w:sz="0" w:space="0" w:color="auto"/>
            <w:left w:val="none" w:sz="0" w:space="0" w:color="auto"/>
            <w:bottom w:val="none" w:sz="0" w:space="0" w:color="auto"/>
            <w:right w:val="none" w:sz="0" w:space="0" w:color="auto"/>
          </w:divBdr>
        </w:div>
      </w:divsChild>
    </w:div>
    <w:div w:id="1563561310">
      <w:bodyDiv w:val="1"/>
      <w:marLeft w:val="0"/>
      <w:marRight w:val="0"/>
      <w:marTop w:val="0"/>
      <w:marBottom w:val="0"/>
      <w:divBdr>
        <w:top w:val="none" w:sz="0" w:space="0" w:color="auto"/>
        <w:left w:val="none" w:sz="0" w:space="0" w:color="auto"/>
        <w:bottom w:val="none" w:sz="0" w:space="0" w:color="auto"/>
        <w:right w:val="none" w:sz="0" w:space="0" w:color="auto"/>
      </w:divBdr>
    </w:div>
    <w:div w:id="1566180267">
      <w:bodyDiv w:val="1"/>
      <w:marLeft w:val="0"/>
      <w:marRight w:val="0"/>
      <w:marTop w:val="0"/>
      <w:marBottom w:val="0"/>
      <w:divBdr>
        <w:top w:val="none" w:sz="0" w:space="0" w:color="auto"/>
        <w:left w:val="none" w:sz="0" w:space="0" w:color="auto"/>
        <w:bottom w:val="none" w:sz="0" w:space="0" w:color="auto"/>
        <w:right w:val="none" w:sz="0" w:space="0" w:color="auto"/>
      </w:divBdr>
      <w:divsChild>
        <w:div w:id="2051421426">
          <w:marLeft w:val="0"/>
          <w:marRight w:val="0"/>
          <w:marTop w:val="0"/>
          <w:marBottom w:val="0"/>
          <w:divBdr>
            <w:top w:val="none" w:sz="0" w:space="0" w:color="auto"/>
            <w:left w:val="none" w:sz="0" w:space="0" w:color="auto"/>
            <w:bottom w:val="none" w:sz="0" w:space="0" w:color="auto"/>
            <w:right w:val="none" w:sz="0" w:space="0" w:color="auto"/>
          </w:divBdr>
        </w:div>
        <w:div w:id="1188450583">
          <w:marLeft w:val="0"/>
          <w:marRight w:val="0"/>
          <w:marTop w:val="0"/>
          <w:marBottom w:val="0"/>
          <w:divBdr>
            <w:top w:val="none" w:sz="0" w:space="0" w:color="auto"/>
            <w:left w:val="none" w:sz="0" w:space="0" w:color="auto"/>
            <w:bottom w:val="none" w:sz="0" w:space="0" w:color="auto"/>
            <w:right w:val="none" w:sz="0" w:space="0" w:color="auto"/>
          </w:divBdr>
        </w:div>
        <w:div w:id="40440536">
          <w:marLeft w:val="0"/>
          <w:marRight w:val="0"/>
          <w:marTop w:val="0"/>
          <w:marBottom w:val="0"/>
          <w:divBdr>
            <w:top w:val="none" w:sz="0" w:space="0" w:color="auto"/>
            <w:left w:val="none" w:sz="0" w:space="0" w:color="auto"/>
            <w:bottom w:val="none" w:sz="0" w:space="0" w:color="auto"/>
            <w:right w:val="none" w:sz="0" w:space="0" w:color="auto"/>
          </w:divBdr>
        </w:div>
        <w:div w:id="1707293892">
          <w:marLeft w:val="0"/>
          <w:marRight w:val="0"/>
          <w:marTop w:val="0"/>
          <w:marBottom w:val="0"/>
          <w:divBdr>
            <w:top w:val="none" w:sz="0" w:space="0" w:color="auto"/>
            <w:left w:val="none" w:sz="0" w:space="0" w:color="auto"/>
            <w:bottom w:val="none" w:sz="0" w:space="0" w:color="auto"/>
            <w:right w:val="none" w:sz="0" w:space="0" w:color="auto"/>
          </w:divBdr>
        </w:div>
        <w:div w:id="1063597374">
          <w:marLeft w:val="0"/>
          <w:marRight w:val="0"/>
          <w:marTop w:val="0"/>
          <w:marBottom w:val="0"/>
          <w:divBdr>
            <w:top w:val="none" w:sz="0" w:space="0" w:color="auto"/>
            <w:left w:val="none" w:sz="0" w:space="0" w:color="auto"/>
            <w:bottom w:val="none" w:sz="0" w:space="0" w:color="auto"/>
            <w:right w:val="none" w:sz="0" w:space="0" w:color="auto"/>
          </w:divBdr>
        </w:div>
      </w:divsChild>
    </w:div>
    <w:div w:id="1611008717">
      <w:bodyDiv w:val="1"/>
      <w:marLeft w:val="0"/>
      <w:marRight w:val="0"/>
      <w:marTop w:val="0"/>
      <w:marBottom w:val="0"/>
      <w:divBdr>
        <w:top w:val="none" w:sz="0" w:space="0" w:color="auto"/>
        <w:left w:val="none" w:sz="0" w:space="0" w:color="auto"/>
        <w:bottom w:val="none" w:sz="0" w:space="0" w:color="auto"/>
        <w:right w:val="none" w:sz="0" w:space="0" w:color="auto"/>
      </w:divBdr>
    </w:div>
    <w:div w:id="1621181740">
      <w:bodyDiv w:val="1"/>
      <w:marLeft w:val="0"/>
      <w:marRight w:val="0"/>
      <w:marTop w:val="0"/>
      <w:marBottom w:val="0"/>
      <w:divBdr>
        <w:top w:val="none" w:sz="0" w:space="0" w:color="auto"/>
        <w:left w:val="none" w:sz="0" w:space="0" w:color="auto"/>
        <w:bottom w:val="none" w:sz="0" w:space="0" w:color="auto"/>
        <w:right w:val="none" w:sz="0" w:space="0" w:color="auto"/>
      </w:divBdr>
    </w:div>
    <w:div w:id="1626230382">
      <w:bodyDiv w:val="1"/>
      <w:marLeft w:val="0"/>
      <w:marRight w:val="0"/>
      <w:marTop w:val="0"/>
      <w:marBottom w:val="0"/>
      <w:divBdr>
        <w:top w:val="none" w:sz="0" w:space="0" w:color="auto"/>
        <w:left w:val="none" w:sz="0" w:space="0" w:color="auto"/>
        <w:bottom w:val="none" w:sz="0" w:space="0" w:color="auto"/>
        <w:right w:val="none" w:sz="0" w:space="0" w:color="auto"/>
      </w:divBdr>
    </w:div>
    <w:div w:id="1630551634">
      <w:bodyDiv w:val="1"/>
      <w:marLeft w:val="0"/>
      <w:marRight w:val="0"/>
      <w:marTop w:val="0"/>
      <w:marBottom w:val="0"/>
      <w:divBdr>
        <w:top w:val="none" w:sz="0" w:space="0" w:color="auto"/>
        <w:left w:val="none" w:sz="0" w:space="0" w:color="auto"/>
        <w:bottom w:val="none" w:sz="0" w:space="0" w:color="auto"/>
        <w:right w:val="none" w:sz="0" w:space="0" w:color="auto"/>
      </w:divBdr>
    </w:div>
    <w:div w:id="1654680317">
      <w:bodyDiv w:val="1"/>
      <w:marLeft w:val="0"/>
      <w:marRight w:val="0"/>
      <w:marTop w:val="0"/>
      <w:marBottom w:val="0"/>
      <w:divBdr>
        <w:top w:val="none" w:sz="0" w:space="0" w:color="auto"/>
        <w:left w:val="none" w:sz="0" w:space="0" w:color="auto"/>
        <w:bottom w:val="none" w:sz="0" w:space="0" w:color="auto"/>
        <w:right w:val="none" w:sz="0" w:space="0" w:color="auto"/>
      </w:divBdr>
    </w:div>
    <w:div w:id="1743062482">
      <w:bodyDiv w:val="1"/>
      <w:marLeft w:val="0"/>
      <w:marRight w:val="0"/>
      <w:marTop w:val="0"/>
      <w:marBottom w:val="0"/>
      <w:divBdr>
        <w:top w:val="none" w:sz="0" w:space="0" w:color="auto"/>
        <w:left w:val="none" w:sz="0" w:space="0" w:color="auto"/>
        <w:bottom w:val="none" w:sz="0" w:space="0" w:color="auto"/>
        <w:right w:val="none" w:sz="0" w:space="0" w:color="auto"/>
      </w:divBdr>
      <w:divsChild>
        <w:div w:id="583418653">
          <w:marLeft w:val="30"/>
          <w:marRight w:val="30"/>
          <w:marTop w:val="150"/>
          <w:marBottom w:val="150"/>
          <w:divBdr>
            <w:top w:val="none" w:sz="0" w:space="0" w:color="auto"/>
            <w:left w:val="none" w:sz="0" w:space="0" w:color="auto"/>
            <w:bottom w:val="none" w:sz="0" w:space="0" w:color="auto"/>
            <w:right w:val="none" w:sz="0" w:space="0" w:color="auto"/>
          </w:divBdr>
        </w:div>
        <w:div w:id="979267830">
          <w:marLeft w:val="30"/>
          <w:marRight w:val="30"/>
          <w:marTop w:val="150"/>
          <w:marBottom w:val="150"/>
          <w:divBdr>
            <w:top w:val="none" w:sz="0" w:space="0" w:color="auto"/>
            <w:left w:val="none" w:sz="0" w:space="0" w:color="auto"/>
            <w:bottom w:val="none" w:sz="0" w:space="0" w:color="auto"/>
            <w:right w:val="none" w:sz="0" w:space="0" w:color="auto"/>
          </w:divBdr>
        </w:div>
      </w:divsChild>
    </w:div>
    <w:div w:id="1779061476">
      <w:bodyDiv w:val="1"/>
      <w:marLeft w:val="0"/>
      <w:marRight w:val="0"/>
      <w:marTop w:val="0"/>
      <w:marBottom w:val="0"/>
      <w:divBdr>
        <w:top w:val="none" w:sz="0" w:space="0" w:color="auto"/>
        <w:left w:val="none" w:sz="0" w:space="0" w:color="auto"/>
        <w:bottom w:val="none" w:sz="0" w:space="0" w:color="auto"/>
        <w:right w:val="none" w:sz="0" w:space="0" w:color="auto"/>
      </w:divBdr>
    </w:div>
    <w:div w:id="1820417887">
      <w:bodyDiv w:val="1"/>
      <w:marLeft w:val="0"/>
      <w:marRight w:val="0"/>
      <w:marTop w:val="0"/>
      <w:marBottom w:val="0"/>
      <w:divBdr>
        <w:top w:val="none" w:sz="0" w:space="0" w:color="auto"/>
        <w:left w:val="none" w:sz="0" w:space="0" w:color="auto"/>
        <w:bottom w:val="none" w:sz="0" w:space="0" w:color="auto"/>
        <w:right w:val="none" w:sz="0" w:space="0" w:color="auto"/>
      </w:divBdr>
    </w:div>
    <w:div w:id="1845512020">
      <w:bodyDiv w:val="1"/>
      <w:marLeft w:val="0"/>
      <w:marRight w:val="0"/>
      <w:marTop w:val="0"/>
      <w:marBottom w:val="0"/>
      <w:divBdr>
        <w:top w:val="none" w:sz="0" w:space="0" w:color="auto"/>
        <w:left w:val="none" w:sz="0" w:space="0" w:color="auto"/>
        <w:bottom w:val="none" w:sz="0" w:space="0" w:color="auto"/>
        <w:right w:val="none" w:sz="0" w:space="0" w:color="auto"/>
      </w:divBdr>
      <w:divsChild>
        <w:div w:id="473065164">
          <w:marLeft w:val="30"/>
          <w:marRight w:val="30"/>
          <w:marTop w:val="150"/>
          <w:marBottom w:val="150"/>
          <w:divBdr>
            <w:top w:val="none" w:sz="0" w:space="0" w:color="auto"/>
            <w:left w:val="none" w:sz="0" w:space="0" w:color="auto"/>
            <w:bottom w:val="none" w:sz="0" w:space="0" w:color="auto"/>
            <w:right w:val="none" w:sz="0" w:space="0" w:color="auto"/>
          </w:divBdr>
        </w:div>
      </w:divsChild>
    </w:div>
    <w:div w:id="1880240360">
      <w:bodyDiv w:val="1"/>
      <w:marLeft w:val="0"/>
      <w:marRight w:val="0"/>
      <w:marTop w:val="0"/>
      <w:marBottom w:val="0"/>
      <w:divBdr>
        <w:top w:val="none" w:sz="0" w:space="0" w:color="auto"/>
        <w:left w:val="none" w:sz="0" w:space="0" w:color="auto"/>
        <w:bottom w:val="none" w:sz="0" w:space="0" w:color="auto"/>
        <w:right w:val="none" w:sz="0" w:space="0" w:color="auto"/>
      </w:divBdr>
    </w:div>
    <w:div w:id="1944527844">
      <w:bodyDiv w:val="1"/>
      <w:marLeft w:val="0"/>
      <w:marRight w:val="0"/>
      <w:marTop w:val="0"/>
      <w:marBottom w:val="0"/>
      <w:divBdr>
        <w:top w:val="none" w:sz="0" w:space="0" w:color="auto"/>
        <w:left w:val="none" w:sz="0" w:space="0" w:color="auto"/>
        <w:bottom w:val="none" w:sz="0" w:space="0" w:color="auto"/>
        <w:right w:val="none" w:sz="0" w:space="0" w:color="auto"/>
      </w:divBdr>
    </w:div>
    <w:div w:id="2006860363">
      <w:bodyDiv w:val="1"/>
      <w:marLeft w:val="0"/>
      <w:marRight w:val="0"/>
      <w:marTop w:val="0"/>
      <w:marBottom w:val="0"/>
      <w:divBdr>
        <w:top w:val="none" w:sz="0" w:space="0" w:color="auto"/>
        <w:left w:val="none" w:sz="0" w:space="0" w:color="auto"/>
        <w:bottom w:val="none" w:sz="0" w:space="0" w:color="auto"/>
        <w:right w:val="none" w:sz="0" w:space="0" w:color="auto"/>
      </w:divBdr>
    </w:div>
    <w:div w:id="2036887645">
      <w:bodyDiv w:val="1"/>
      <w:marLeft w:val="0"/>
      <w:marRight w:val="0"/>
      <w:marTop w:val="0"/>
      <w:marBottom w:val="0"/>
      <w:divBdr>
        <w:top w:val="none" w:sz="0" w:space="0" w:color="auto"/>
        <w:left w:val="none" w:sz="0" w:space="0" w:color="auto"/>
        <w:bottom w:val="none" w:sz="0" w:space="0" w:color="auto"/>
        <w:right w:val="none" w:sz="0" w:space="0" w:color="auto"/>
      </w:divBdr>
    </w:div>
    <w:div w:id="20510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s://nces.ed.gov/nationsreportcard/tdw/sample_design/2012/2012_sampdsgn_ltt.aspx" TargetMode="Externa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06F7-D3DD-4448-A68C-59C69B9C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17793</Words>
  <Characters>101422</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SYSTEM</cp:lastModifiedBy>
  <cp:revision>2</cp:revision>
  <cp:lastPrinted>2019-03-18T15:28:00Z</cp:lastPrinted>
  <dcterms:created xsi:type="dcterms:W3CDTF">2019-07-24T17:43:00Z</dcterms:created>
  <dcterms:modified xsi:type="dcterms:W3CDTF">2019-07-24T17:43:00Z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