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DF4E1" w14:textId="74EEA9B3" w:rsidR="002D08DE" w:rsidRDefault="002D08DE" w:rsidP="002D08DE">
      <w:pPr>
        <w:pStyle w:val="Standard"/>
        <w:tabs>
          <w:tab w:val="left" w:pos="-720"/>
          <w:tab w:val="left" w:pos="0"/>
          <w:tab w:val="left" w:pos="720"/>
          <w:tab w:val="left" w:pos="1440"/>
          <w:tab w:val="left" w:pos="2160"/>
          <w:tab w:val="left" w:pos="2880"/>
          <w:tab w:val="left" w:pos="3600"/>
          <w:tab w:val="left" w:pos="4320"/>
        </w:tabs>
        <w:jc w:val="center"/>
      </w:pPr>
      <w:bookmarkStart w:id="0" w:name="_GoBack"/>
      <w:bookmarkEnd w:id="0"/>
    </w:p>
    <w:p w14:paraId="02F1408D" w14:textId="7C4612E6" w:rsidR="002D08DE" w:rsidRDefault="002D08DE" w:rsidP="002D08DE">
      <w:pPr>
        <w:pStyle w:val="Standard"/>
        <w:tabs>
          <w:tab w:val="left" w:pos="-720"/>
          <w:tab w:val="left" w:pos="0"/>
          <w:tab w:val="left" w:pos="720"/>
          <w:tab w:val="left" w:pos="1440"/>
          <w:tab w:val="left" w:pos="2160"/>
          <w:tab w:val="left" w:pos="2880"/>
          <w:tab w:val="left" w:pos="3600"/>
          <w:tab w:val="left" w:pos="4320"/>
        </w:tabs>
        <w:jc w:val="center"/>
      </w:pPr>
    </w:p>
    <w:p w14:paraId="274FEBCF" w14:textId="40161E1E" w:rsidR="002D08DE" w:rsidRDefault="002D08DE" w:rsidP="002D08DE">
      <w:pPr>
        <w:pStyle w:val="Standard"/>
        <w:tabs>
          <w:tab w:val="left" w:pos="-720"/>
          <w:tab w:val="left" w:pos="0"/>
          <w:tab w:val="left" w:pos="720"/>
          <w:tab w:val="left" w:pos="1440"/>
          <w:tab w:val="left" w:pos="2160"/>
          <w:tab w:val="left" w:pos="2880"/>
          <w:tab w:val="left" w:pos="3600"/>
          <w:tab w:val="left" w:pos="4320"/>
        </w:tabs>
        <w:jc w:val="center"/>
      </w:pPr>
    </w:p>
    <w:p w14:paraId="2B8E4E66" w14:textId="0D626F4E" w:rsidR="002D08DE" w:rsidRDefault="002D08DE" w:rsidP="002D08DE">
      <w:pPr>
        <w:pStyle w:val="Standard"/>
        <w:tabs>
          <w:tab w:val="left" w:pos="-720"/>
          <w:tab w:val="left" w:pos="0"/>
          <w:tab w:val="left" w:pos="720"/>
          <w:tab w:val="left" w:pos="1440"/>
          <w:tab w:val="left" w:pos="2160"/>
          <w:tab w:val="left" w:pos="2880"/>
          <w:tab w:val="left" w:pos="3600"/>
          <w:tab w:val="left" w:pos="4320"/>
        </w:tabs>
        <w:jc w:val="center"/>
      </w:pPr>
    </w:p>
    <w:p w14:paraId="1454CB6C" w14:textId="140C97AC" w:rsidR="002D08DE" w:rsidRDefault="002D08DE" w:rsidP="002D08DE">
      <w:pPr>
        <w:pStyle w:val="Standard"/>
        <w:tabs>
          <w:tab w:val="left" w:pos="-720"/>
          <w:tab w:val="left" w:pos="0"/>
          <w:tab w:val="left" w:pos="720"/>
          <w:tab w:val="left" w:pos="1440"/>
          <w:tab w:val="left" w:pos="2160"/>
          <w:tab w:val="left" w:pos="2880"/>
          <w:tab w:val="left" w:pos="3600"/>
          <w:tab w:val="left" w:pos="4320"/>
        </w:tabs>
        <w:jc w:val="center"/>
      </w:pPr>
    </w:p>
    <w:p w14:paraId="4223661E" w14:textId="6311756C" w:rsidR="002D08DE" w:rsidRDefault="002D08DE" w:rsidP="002D08DE">
      <w:pPr>
        <w:pStyle w:val="Standard"/>
        <w:tabs>
          <w:tab w:val="left" w:pos="-720"/>
          <w:tab w:val="left" w:pos="0"/>
          <w:tab w:val="left" w:pos="720"/>
          <w:tab w:val="left" w:pos="1440"/>
          <w:tab w:val="left" w:pos="2160"/>
          <w:tab w:val="left" w:pos="2880"/>
          <w:tab w:val="left" w:pos="3600"/>
          <w:tab w:val="left" w:pos="4320"/>
        </w:tabs>
        <w:jc w:val="center"/>
      </w:pPr>
    </w:p>
    <w:p w14:paraId="2FD298FC" w14:textId="3D43D2D7" w:rsidR="002D08DE" w:rsidRDefault="002D08DE" w:rsidP="002D08DE">
      <w:pPr>
        <w:pStyle w:val="Standard"/>
        <w:tabs>
          <w:tab w:val="left" w:pos="-720"/>
          <w:tab w:val="left" w:pos="0"/>
          <w:tab w:val="left" w:pos="720"/>
          <w:tab w:val="left" w:pos="1440"/>
          <w:tab w:val="left" w:pos="2160"/>
          <w:tab w:val="left" w:pos="2880"/>
          <w:tab w:val="left" w:pos="3600"/>
          <w:tab w:val="left" w:pos="4320"/>
        </w:tabs>
        <w:jc w:val="center"/>
      </w:pPr>
    </w:p>
    <w:p w14:paraId="6DFC4D08" w14:textId="03241E53" w:rsidR="002D08DE" w:rsidRDefault="002D08DE" w:rsidP="002D08DE">
      <w:pPr>
        <w:pStyle w:val="Standard"/>
        <w:tabs>
          <w:tab w:val="left" w:pos="-720"/>
          <w:tab w:val="left" w:pos="0"/>
          <w:tab w:val="left" w:pos="720"/>
          <w:tab w:val="left" w:pos="1440"/>
          <w:tab w:val="left" w:pos="2160"/>
          <w:tab w:val="left" w:pos="2880"/>
          <w:tab w:val="left" w:pos="3600"/>
          <w:tab w:val="left" w:pos="4320"/>
        </w:tabs>
        <w:jc w:val="center"/>
      </w:pPr>
    </w:p>
    <w:p w14:paraId="1BAC17B8" w14:textId="34169EDA" w:rsidR="002D08DE" w:rsidRDefault="002D08DE" w:rsidP="002D08DE">
      <w:pPr>
        <w:pStyle w:val="Standard"/>
        <w:tabs>
          <w:tab w:val="left" w:pos="-720"/>
          <w:tab w:val="left" w:pos="0"/>
          <w:tab w:val="left" w:pos="720"/>
          <w:tab w:val="left" w:pos="1440"/>
          <w:tab w:val="left" w:pos="2160"/>
          <w:tab w:val="left" w:pos="2880"/>
          <w:tab w:val="left" w:pos="3600"/>
          <w:tab w:val="left" w:pos="4320"/>
        </w:tabs>
        <w:jc w:val="center"/>
      </w:pPr>
    </w:p>
    <w:p w14:paraId="62D8D3BB" w14:textId="333F922A" w:rsidR="002D08DE" w:rsidRDefault="002D08DE" w:rsidP="002D08DE">
      <w:pPr>
        <w:pStyle w:val="Standard"/>
        <w:tabs>
          <w:tab w:val="left" w:pos="-720"/>
          <w:tab w:val="left" w:pos="0"/>
          <w:tab w:val="left" w:pos="720"/>
          <w:tab w:val="left" w:pos="1440"/>
          <w:tab w:val="left" w:pos="2160"/>
          <w:tab w:val="left" w:pos="2880"/>
          <w:tab w:val="left" w:pos="3600"/>
          <w:tab w:val="left" w:pos="4320"/>
        </w:tabs>
        <w:jc w:val="center"/>
      </w:pPr>
    </w:p>
    <w:p w14:paraId="28D717F2" w14:textId="5EBE6BB7" w:rsidR="002D08DE" w:rsidRDefault="002D08DE" w:rsidP="002D08DE">
      <w:pPr>
        <w:pStyle w:val="Standard"/>
        <w:tabs>
          <w:tab w:val="left" w:pos="-720"/>
          <w:tab w:val="left" w:pos="0"/>
          <w:tab w:val="left" w:pos="720"/>
          <w:tab w:val="left" w:pos="1440"/>
          <w:tab w:val="left" w:pos="2160"/>
          <w:tab w:val="left" w:pos="2880"/>
          <w:tab w:val="left" w:pos="3600"/>
          <w:tab w:val="left" w:pos="4320"/>
        </w:tabs>
        <w:jc w:val="center"/>
      </w:pPr>
    </w:p>
    <w:p w14:paraId="4A372C4A" w14:textId="41AAE06F" w:rsidR="002D08DE" w:rsidRDefault="002D08DE" w:rsidP="002D08DE">
      <w:pPr>
        <w:pStyle w:val="Standard"/>
        <w:tabs>
          <w:tab w:val="left" w:pos="-720"/>
          <w:tab w:val="left" w:pos="0"/>
          <w:tab w:val="left" w:pos="720"/>
          <w:tab w:val="left" w:pos="1440"/>
          <w:tab w:val="left" w:pos="2160"/>
          <w:tab w:val="left" w:pos="2880"/>
          <w:tab w:val="left" w:pos="3600"/>
          <w:tab w:val="left" w:pos="4320"/>
        </w:tabs>
        <w:jc w:val="center"/>
      </w:pPr>
    </w:p>
    <w:p w14:paraId="5370DC16" w14:textId="77777777" w:rsidR="002D08DE" w:rsidRPr="002D08DE" w:rsidRDefault="002D08DE" w:rsidP="002D08DE">
      <w:pPr>
        <w:pStyle w:val="Standard"/>
        <w:tabs>
          <w:tab w:val="left" w:pos="-720"/>
          <w:tab w:val="left" w:pos="0"/>
          <w:tab w:val="left" w:pos="720"/>
          <w:tab w:val="left" w:pos="1440"/>
          <w:tab w:val="left" w:pos="2160"/>
          <w:tab w:val="left" w:pos="2880"/>
          <w:tab w:val="left" w:pos="3600"/>
          <w:tab w:val="left" w:pos="4320"/>
        </w:tabs>
        <w:jc w:val="center"/>
      </w:pPr>
    </w:p>
    <w:p w14:paraId="4A680DDD" w14:textId="26563198" w:rsidR="002D08DE" w:rsidRPr="002D08DE" w:rsidRDefault="002D08DE" w:rsidP="002D08DE">
      <w:pPr>
        <w:pStyle w:val="Standard"/>
        <w:tabs>
          <w:tab w:val="left" w:pos="-720"/>
          <w:tab w:val="left" w:pos="0"/>
          <w:tab w:val="left" w:pos="720"/>
          <w:tab w:val="left" w:pos="1440"/>
          <w:tab w:val="left" w:pos="2160"/>
          <w:tab w:val="left" w:pos="2880"/>
          <w:tab w:val="left" w:pos="3600"/>
          <w:tab w:val="left" w:pos="4320"/>
        </w:tabs>
        <w:jc w:val="center"/>
      </w:pPr>
      <w:r w:rsidRPr="002D08DE">
        <w:t>Supporting Statement</w:t>
      </w:r>
    </w:p>
    <w:p w14:paraId="14E8C4FC" w14:textId="77777777" w:rsidR="002D08DE" w:rsidRPr="002D08DE" w:rsidRDefault="002D08DE" w:rsidP="002D08DE">
      <w:pPr>
        <w:pStyle w:val="Standard"/>
        <w:tabs>
          <w:tab w:val="left" w:pos="-720"/>
          <w:tab w:val="left" w:pos="0"/>
          <w:tab w:val="left" w:pos="720"/>
          <w:tab w:val="left" w:pos="1440"/>
          <w:tab w:val="left" w:pos="2160"/>
          <w:tab w:val="left" w:pos="2880"/>
          <w:tab w:val="left" w:pos="3600"/>
          <w:tab w:val="left" w:pos="4320"/>
        </w:tabs>
        <w:jc w:val="center"/>
      </w:pPr>
      <w:r w:rsidRPr="002D08DE">
        <w:t>For</w:t>
      </w:r>
    </w:p>
    <w:p w14:paraId="40D9A807" w14:textId="3172F974" w:rsidR="002D08DE" w:rsidRDefault="002D08DE" w:rsidP="002D08DE">
      <w:pPr>
        <w:pStyle w:val="Standard"/>
        <w:tabs>
          <w:tab w:val="left" w:pos="-720"/>
          <w:tab w:val="left" w:pos="0"/>
          <w:tab w:val="left" w:pos="720"/>
          <w:tab w:val="left" w:pos="1440"/>
          <w:tab w:val="left" w:pos="2160"/>
          <w:tab w:val="left" w:pos="2880"/>
          <w:tab w:val="left" w:pos="3600"/>
          <w:tab w:val="left" w:pos="4320"/>
        </w:tabs>
        <w:jc w:val="center"/>
      </w:pPr>
      <w:r w:rsidRPr="002D08DE">
        <w:t>Information Collection Request</w:t>
      </w:r>
    </w:p>
    <w:p w14:paraId="22D896E8" w14:textId="75D0C1F0" w:rsidR="000A7FC2" w:rsidRPr="002D08DE" w:rsidRDefault="000A7FC2" w:rsidP="002D08DE">
      <w:pPr>
        <w:pStyle w:val="Standard"/>
        <w:tabs>
          <w:tab w:val="left" w:pos="-720"/>
          <w:tab w:val="left" w:pos="0"/>
          <w:tab w:val="left" w:pos="720"/>
          <w:tab w:val="left" w:pos="1440"/>
          <w:tab w:val="left" w:pos="2160"/>
          <w:tab w:val="left" w:pos="2880"/>
          <w:tab w:val="left" w:pos="3600"/>
          <w:tab w:val="left" w:pos="4320"/>
        </w:tabs>
        <w:jc w:val="center"/>
      </w:pPr>
      <w:r>
        <w:t>for</w:t>
      </w:r>
    </w:p>
    <w:p w14:paraId="7078B6F5" w14:textId="00633837" w:rsidR="002D08DE" w:rsidRPr="002D08DE" w:rsidRDefault="002D08DE" w:rsidP="002D08DE">
      <w:pPr>
        <w:pStyle w:val="Standard"/>
        <w:tabs>
          <w:tab w:val="left" w:pos="-720"/>
          <w:tab w:val="left" w:pos="0"/>
          <w:tab w:val="left" w:pos="720"/>
          <w:tab w:val="left" w:pos="1440"/>
          <w:tab w:val="left" w:pos="2160"/>
          <w:tab w:val="left" w:pos="2880"/>
          <w:tab w:val="left" w:pos="3600"/>
          <w:tab w:val="left" w:pos="4320"/>
        </w:tabs>
        <w:jc w:val="center"/>
      </w:pPr>
      <w:r w:rsidRPr="002D08DE">
        <w:t xml:space="preserve">Sulfur Content of Motor Vehicle Gasoline, Gasoline Additives, Denatured Fuel Ethanol and Other Oxygenates, Certified Ethanol Denaturant, and Blender-Grade Pentane (40 CFR </w:t>
      </w:r>
      <w:r>
        <w:t>P</w:t>
      </w:r>
      <w:r w:rsidRPr="002D08DE">
        <w:t>art 80, Subparts H and O)</w:t>
      </w:r>
    </w:p>
    <w:p w14:paraId="620FBAAE" w14:textId="77777777" w:rsidR="002D08DE" w:rsidRPr="002D08DE" w:rsidRDefault="002D08DE" w:rsidP="002D08DE">
      <w:pPr>
        <w:pStyle w:val="Standard"/>
        <w:tabs>
          <w:tab w:val="left" w:pos="-720"/>
          <w:tab w:val="left" w:pos="0"/>
          <w:tab w:val="left" w:pos="720"/>
          <w:tab w:val="left" w:pos="1440"/>
          <w:tab w:val="left" w:pos="2160"/>
          <w:tab w:val="left" w:pos="2880"/>
          <w:tab w:val="left" w:pos="3600"/>
          <w:tab w:val="left" w:pos="4320"/>
        </w:tabs>
        <w:jc w:val="center"/>
      </w:pPr>
    </w:p>
    <w:p w14:paraId="107991C9" w14:textId="4FAC1E8A" w:rsidR="002D08DE" w:rsidRDefault="002D08DE" w:rsidP="002D08DE">
      <w:pPr>
        <w:autoSpaceDN/>
        <w:rPr>
          <w:sz w:val="24"/>
          <w:szCs w:val="24"/>
        </w:rPr>
      </w:pPr>
    </w:p>
    <w:p w14:paraId="191C6F2C" w14:textId="77777777" w:rsidR="002D08DE" w:rsidRPr="002D08DE" w:rsidRDefault="002D08DE" w:rsidP="002D08DE">
      <w:pPr>
        <w:autoSpaceDN/>
        <w:rPr>
          <w:sz w:val="24"/>
          <w:szCs w:val="24"/>
        </w:rPr>
      </w:pPr>
    </w:p>
    <w:p w14:paraId="22DA8711" w14:textId="2B3B3F71" w:rsidR="002D08DE" w:rsidRPr="002D08DE" w:rsidRDefault="002D08DE" w:rsidP="002D08DE">
      <w:pPr>
        <w:autoSpaceDN/>
        <w:jc w:val="center"/>
        <w:rPr>
          <w:sz w:val="24"/>
          <w:szCs w:val="24"/>
        </w:rPr>
      </w:pPr>
      <w:r w:rsidRPr="002D08DE">
        <w:rPr>
          <w:sz w:val="24"/>
          <w:szCs w:val="24"/>
        </w:rPr>
        <w:t xml:space="preserve">EPA ICR </w:t>
      </w:r>
      <w:r>
        <w:rPr>
          <w:sz w:val="24"/>
          <w:szCs w:val="24"/>
        </w:rPr>
        <w:t>1907</w:t>
      </w:r>
      <w:r w:rsidR="00072805">
        <w:rPr>
          <w:sz w:val="24"/>
          <w:szCs w:val="24"/>
        </w:rPr>
        <w:t>.10</w:t>
      </w:r>
    </w:p>
    <w:p w14:paraId="347C4FBF" w14:textId="77777777" w:rsidR="002D08DE" w:rsidRPr="002D08DE" w:rsidRDefault="002D08DE" w:rsidP="002D08DE">
      <w:pPr>
        <w:autoSpaceDN/>
        <w:jc w:val="center"/>
        <w:rPr>
          <w:sz w:val="24"/>
          <w:szCs w:val="24"/>
        </w:rPr>
      </w:pPr>
    </w:p>
    <w:p w14:paraId="200C318C" w14:textId="0CF00F55" w:rsidR="002D08DE" w:rsidRDefault="002D08DE" w:rsidP="002D08DE">
      <w:pPr>
        <w:autoSpaceDN/>
        <w:jc w:val="center"/>
        <w:rPr>
          <w:sz w:val="24"/>
          <w:szCs w:val="24"/>
        </w:rPr>
      </w:pPr>
    </w:p>
    <w:p w14:paraId="7088EAFF" w14:textId="77777777" w:rsidR="002D08DE" w:rsidRPr="002D08DE" w:rsidRDefault="002D08DE" w:rsidP="002D08DE">
      <w:pPr>
        <w:autoSpaceDN/>
        <w:jc w:val="center"/>
        <w:rPr>
          <w:sz w:val="24"/>
          <w:szCs w:val="24"/>
        </w:rPr>
      </w:pPr>
    </w:p>
    <w:p w14:paraId="0ED59590" w14:textId="77777777" w:rsidR="002D08DE" w:rsidRPr="002D08DE" w:rsidRDefault="002D08DE" w:rsidP="002D08DE">
      <w:pPr>
        <w:autoSpaceDN/>
        <w:jc w:val="center"/>
        <w:rPr>
          <w:sz w:val="24"/>
          <w:szCs w:val="24"/>
        </w:rPr>
      </w:pPr>
    </w:p>
    <w:p w14:paraId="32D776A7" w14:textId="77777777" w:rsidR="002D08DE" w:rsidRPr="002D08DE" w:rsidRDefault="002D08DE" w:rsidP="002D08DE">
      <w:pPr>
        <w:autoSpaceDN/>
        <w:jc w:val="center"/>
        <w:rPr>
          <w:sz w:val="24"/>
          <w:szCs w:val="24"/>
        </w:rPr>
      </w:pPr>
      <w:r w:rsidRPr="002D08DE">
        <w:rPr>
          <w:sz w:val="24"/>
          <w:szCs w:val="24"/>
        </w:rPr>
        <w:t>Office of Transportation and Air Quality</w:t>
      </w:r>
    </w:p>
    <w:p w14:paraId="0EEFA722" w14:textId="77777777" w:rsidR="002D08DE" w:rsidRPr="002D08DE" w:rsidRDefault="002D08DE" w:rsidP="002D08DE">
      <w:pPr>
        <w:autoSpaceDN/>
        <w:jc w:val="center"/>
        <w:rPr>
          <w:sz w:val="24"/>
          <w:szCs w:val="24"/>
        </w:rPr>
      </w:pPr>
      <w:r w:rsidRPr="002D08DE">
        <w:rPr>
          <w:sz w:val="24"/>
          <w:szCs w:val="24"/>
        </w:rPr>
        <w:t>U.S. Environmental Protection Agency</w:t>
      </w:r>
    </w:p>
    <w:p w14:paraId="1AEB7B40" w14:textId="77777777" w:rsidR="002D08DE" w:rsidRPr="002D08DE" w:rsidRDefault="002D08DE" w:rsidP="002D08DE">
      <w:pPr>
        <w:pStyle w:val="Standard"/>
        <w:tabs>
          <w:tab w:val="left" w:pos="-720"/>
          <w:tab w:val="left" w:pos="0"/>
          <w:tab w:val="left" w:pos="720"/>
          <w:tab w:val="left" w:pos="1440"/>
          <w:tab w:val="left" w:pos="2160"/>
          <w:tab w:val="left" w:pos="2880"/>
          <w:tab w:val="left" w:pos="3600"/>
          <w:tab w:val="left" w:pos="4320"/>
        </w:tabs>
        <w:jc w:val="center"/>
      </w:pPr>
    </w:p>
    <w:p w14:paraId="56E40D0E" w14:textId="77777777" w:rsidR="002D08DE" w:rsidRPr="002D08DE" w:rsidRDefault="002D08DE" w:rsidP="002D08DE">
      <w:pPr>
        <w:pStyle w:val="Standard"/>
      </w:pPr>
      <w:r w:rsidRPr="002D08DE">
        <w:tab/>
      </w:r>
    </w:p>
    <w:p w14:paraId="2B11ADD2" w14:textId="588558A1" w:rsidR="00942F29" w:rsidRPr="002D08DE" w:rsidRDefault="002D08DE" w:rsidP="002D08DE">
      <w:pPr>
        <w:autoSpaceDN/>
        <w:rPr>
          <w:sz w:val="24"/>
          <w:szCs w:val="24"/>
        </w:rPr>
      </w:pPr>
      <w:r w:rsidRPr="002D08DE">
        <w:rPr>
          <w:sz w:val="24"/>
          <w:szCs w:val="24"/>
        </w:rPr>
        <w:br w:type="page"/>
      </w:r>
    </w:p>
    <w:p w14:paraId="0A7021C7" w14:textId="20AD152A" w:rsidR="0032674A" w:rsidRPr="00463467" w:rsidRDefault="0032674A" w:rsidP="0032674A">
      <w:pPr>
        <w:pStyle w:val="Heading1"/>
      </w:pPr>
      <w:r w:rsidRPr="00463467">
        <w:lastRenderedPageBreak/>
        <w:t>1.</w:t>
      </w:r>
      <w:r w:rsidRPr="00463467">
        <w:tab/>
        <w:t>IDENTIFICATION OF THE INFORMATION COLLECTION</w:t>
      </w:r>
    </w:p>
    <w:p w14:paraId="0ACC89AA" w14:textId="77777777" w:rsidR="0032674A" w:rsidRPr="00463467" w:rsidRDefault="0032674A" w:rsidP="0032674A">
      <w:pPr>
        <w:rPr>
          <w:sz w:val="24"/>
          <w:szCs w:val="24"/>
        </w:rPr>
      </w:pPr>
    </w:p>
    <w:p w14:paraId="63CA0557" w14:textId="77777777" w:rsidR="0032674A" w:rsidRPr="00463467" w:rsidRDefault="0032674A" w:rsidP="0032674A">
      <w:pPr>
        <w:pStyle w:val="Heading2"/>
      </w:pPr>
      <w:r w:rsidRPr="00463467">
        <w:tab/>
        <w:t>1(a)</w:t>
      </w:r>
      <w:r w:rsidRPr="00463467">
        <w:tab/>
        <w:t>Title of the Information Collection</w:t>
      </w:r>
    </w:p>
    <w:p w14:paraId="583BB87D" w14:textId="77777777" w:rsidR="0032674A" w:rsidRPr="00463467" w:rsidRDefault="0032674A" w:rsidP="0032674A">
      <w:pPr>
        <w:rPr>
          <w:sz w:val="24"/>
          <w:szCs w:val="24"/>
        </w:rPr>
      </w:pPr>
    </w:p>
    <w:p w14:paraId="4ED5BA7A" w14:textId="64AD0434" w:rsidR="008F0C6C" w:rsidRPr="001A0EED" w:rsidRDefault="0032674A">
      <w:pPr>
        <w:rPr>
          <w:sz w:val="24"/>
          <w:szCs w:val="24"/>
        </w:rPr>
      </w:pPr>
      <w:r w:rsidRPr="00463467">
        <w:rPr>
          <w:sz w:val="24"/>
          <w:szCs w:val="24"/>
        </w:rPr>
        <w:t xml:space="preserve">Sulfur Content of Motor Vehicle Gasoline, Gasoline Additives, Denatured Fuel Ethanol and Other Oxygenates, Certified Ethanol Denaturant, and Blender-Grade Pentane </w:t>
      </w:r>
      <w:r>
        <w:rPr>
          <w:sz w:val="24"/>
          <w:szCs w:val="24"/>
        </w:rPr>
        <w:t xml:space="preserve">(40 CFR part 80, </w:t>
      </w:r>
      <w:r w:rsidR="00D707A9">
        <w:rPr>
          <w:sz w:val="24"/>
          <w:szCs w:val="24"/>
        </w:rPr>
        <w:t>S</w:t>
      </w:r>
      <w:r>
        <w:rPr>
          <w:sz w:val="24"/>
          <w:szCs w:val="24"/>
        </w:rPr>
        <w:t>ubpart</w:t>
      </w:r>
      <w:r w:rsidR="00D707A9">
        <w:rPr>
          <w:sz w:val="24"/>
          <w:szCs w:val="24"/>
        </w:rPr>
        <w:t>s H and</w:t>
      </w:r>
      <w:r>
        <w:rPr>
          <w:sz w:val="24"/>
          <w:szCs w:val="24"/>
        </w:rPr>
        <w:t xml:space="preserve"> O)</w:t>
      </w:r>
      <w:r w:rsidRPr="00463467">
        <w:rPr>
          <w:sz w:val="24"/>
          <w:szCs w:val="24"/>
        </w:rPr>
        <w:t xml:space="preserve">; </w:t>
      </w:r>
      <w:r w:rsidR="00C67941">
        <w:rPr>
          <w:sz w:val="24"/>
          <w:szCs w:val="24"/>
        </w:rPr>
        <w:t xml:space="preserve">The current OMB Control Number is 2060-0437. The EPA number for this information collection request (ICR) renewal is </w:t>
      </w:r>
      <w:r w:rsidRPr="00FD3468">
        <w:rPr>
          <w:sz w:val="24"/>
          <w:szCs w:val="24"/>
        </w:rPr>
        <w:t>1907.</w:t>
      </w:r>
      <w:r w:rsidR="00072805">
        <w:rPr>
          <w:sz w:val="24"/>
          <w:szCs w:val="24"/>
        </w:rPr>
        <w:t>10</w:t>
      </w:r>
      <w:r w:rsidR="000225EB">
        <w:rPr>
          <w:sz w:val="24"/>
          <w:szCs w:val="24"/>
        </w:rPr>
        <w:t>.</w:t>
      </w:r>
    </w:p>
    <w:p w14:paraId="52414691" w14:textId="7270AA8C" w:rsidR="2EA06C50" w:rsidRPr="00B952E1" w:rsidRDefault="2EA06C50">
      <w:pPr>
        <w:rPr>
          <w:sz w:val="24"/>
          <w:szCs w:val="24"/>
        </w:rPr>
      </w:pPr>
    </w:p>
    <w:p w14:paraId="785FBCC6" w14:textId="77777777" w:rsidR="0032674A" w:rsidRPr="00463467" w:rsidRDefault="0032674A" w:rsidP="0032674A">
      <w:pPr>
        <w:pStyle w:val="Heading2"/>
      </w:pPr>
      <w:r w:rsidRPr="00463467">
        <w:tab/>
        <w:t>1(b)</w:t>
      </w:r>
      <w:r w:rsidRPr="00463467">
        <w:tab/>
        <w:t>Short Characterization/Abstract</w:t>
      </w:r>
    </w:p>
    <w:p w14:paraId="0BD9EBB3" w14:textId="77777777" w:rsidR="0032674A" w:rsidRPr="00463467" w:rsidRDefault="0032674A" w:rsidP="0032674A">
      <w:pPr>
        <w:rPr>
          <w:sz w:val="24"/>
          <w:szCs w:val="24"/>
        </w:rPr>
      </w:pPr>
    </w:p>
    <w:p w14:paraId="4233D791" w14:textId="30F0066B" w:rsidR="0032674A" w:rsidRPr="00463467" w:rsidRDefault="0032674A" w:rsidP="0032674A">
      <w:pPr>
        <w:rPr>
          <w:sz w:val="24"/>
          <w:szCs w:val="24"/>
        </w:rPr>
      </w:pPr>
      <w:r w:rsidRPr="00463467">
        <w:rPr>
          <w:sz w:val="24"/>
          <w:szCs w:val="24"/>
        </w:rPr>
        <w:tab/>
        <w:t>The requirements covered under this</w:t>
      </w:r>
      <w:r w:rsidR="004350EA">
        <w:rPr>
          <w:sz w:val="24"/>
          <w:szCs w:val="24"/>
        </w:rPr>
        <w:t xml:space="preserve"> ICR</w:t>
      </w:r>
      <w:r w:rsidRPr="00463467">
        <w:rPr>
          <w:sz w:val="24"/>
          <w:szCs w:val="24"/>
        </w:rPr>
        <w:t xml:space="preserve"> are included in the Tier 3 </w:t>
      </w:r>
      <w:r>
        <w:rPr>
          <w:sz w:val="24"/>
          <w:szCs w:val="24"/>
        </w:rPr>
        <w:t>Final R</w:t>
      </w:r>
      <w:r w:rsidRPr="00463467">
        <w:rPr>
          <w:sz w:val="24"/>
          <w:szCs w:val="24"/>
        </w:rPr>
        <w:t>ule (7</w:t>
      </w:r>
      <w:r>
        <w:rPr>
          <w:sz w:val="24"/>
          <w:szCs w:val="24"/>
        </w:rPr>
        <w:t>9</w:t>
      </w:r>
      <w:r w:rsidRPr="00463467">
        <w:rPr>
          <w:sz w:val="24"/>
          <w:szCs w:val="24"/>
        </w:rPr>
        <w:t xml:space="preserve"> FR 2</w:t>
      </w:r>
      <w:r>
        <w:rPr>
          <w:sz w:val="24"/>
          <w:szCs w:val="24"/>
        </w:rPr>
        <w:t>3414</w:t>
      </w:r>
      <w:r w:rsidRPr="00463467">
        <w:rPr>
          <w:sz w:val="24"/>
          <w:szCs w:val="24"/>
        </w:rPr>
        <w:t xml:space="preserve">, </w:t>
      </w:r>
      <w:r>
        <w:rPr>
          <w:sz w:val="24"/>
          <w:szCs w:val="24"/>
        </w:rPr>
        <w:t>April 28, 2014</w:t>
      </w:r>
      <w:r w:rsidRPr="00463467">
        <w:rPr>
          <w:sz w:val="24"/>
          <w:szCs w:val="24"/>
        </w:rPr>
        <w:t>)</w:t>
      </w:r>
      <w:r w:rsidR="00584C1E">
        <w:rPr>
          <w:sz w:val="24"/>
          <w:szCs w:val="24"/>
        </w:rPr>
        <w:t xml:space="preserve"> and the regulations specified at 40 CFR Part 80, Subparts H and O</w:t>
      </w:r>
      <w:r w:rsidRPr="00463467">
        <w:rPr>
          <w:sz w:val="24"/>
          <w:szCs w:val="24"/>
        </w:rPr>
        <w:t>.</w:t>
      </w:r>
      <w:r w:rsidR="00D42D1F">
        <w:rPr>
          <w:sz w:val="24"/>
          <w:szCs w:val="24"/>
        </w:rPr>
        <w:t xml:space="preserve"> In general, information collected under the Tier 3 national gasoline sulfur program is used to ensure that gasoline on average contains no more than 10.00 parts per million sulfur to ensure that motor vehicles continue to operate and meet applicable emissions standards throughout </w:t>
      </w:r>
      <w:r w:rsidR="00411CF2">
        <w:rPr>
          <w:sz w:val="24"/>
          <w:szCs w:val="24"/>
        </w:rPr>
        <w:t>their</w:t>
      </w:r>
      <w:r w:rsidR="00D42D1F">
        <w:rPr>
          <w:sz w:val="24"/>
          <w:szCs w:val="24"/>
        </w:rPr>
        <w:t xml:space="preserve"> full useful lives.</w:t>
      </w:r>
    </w:p>
    <w:p w14:paraId="59E1AF97" w14:textId="77777777" w:rsidR="0032674A" w:rsidRPr="00463467" w:rsidRDefault="0032674A" w:rsidP="0032674A">
      <w:pPr>
        <w:rPr>
          <w:sz w:val="24"/>
          <w:szCs w:val="24"/>
        </w:rPr>
      </w:pPr>
    </w:p>
    <w:p w14:paraId="421A0C7F" w14:textId="276FC30C" w:rsidR="0032674A" w:rsidRPr="00463467" w:rsidRDefault="0032674A" w:rsidP="0032674A">
      <w:pPr>
        <w:rPr>
          <w:sz w:val="24"/>
          <w:szCs w:val="24"/>
        </w:rPr>
      </w:pPr>
      <w:r w:rsidRPr="00463467">
        <w:rPr>
          <w:sz w:val="24"/>
          <w:szCs w:val="24"/>
        </w:rPr>
        <w:tab/>
        <w:t>The scope of the recordkeeping and reporting requirements for each party in the gasoline, gasoline additive, oxygenate, certified ethanol denaturant, and blender-grade pentane distribution systems, and therefore the cost to that party, reflects the party's opportunity to create, control or alter the product’s sulfur content</w:t>
      </w:r>
      <w:r>
        <w:rPr>
          <w:sz w:val="24"/>
          <w:szCs w:val="24"/>
        </w:rPr>
        <w:t xml:space="preserve">. </w:t>
      </w:r>
      <w:r w:rsidRPr="00463467">
        <w:rPr>
          <w:sz w:val="24"/>
          <w:szCs w:val="24"/>
        </w:rPr>
        <w:t>As a result,</w:t>
      </w:r>
      <w:r w:rsidR="00584C1E">
        <w:rPr>
          <w:sz w:val="24"/>
          <w:szCs w:val="24"/>
        </w:rPr>
        <w:t xml:space="preserve"> parties that directly control the amount of sulfur in gasoline (i.e.</w:t>
      </w:r>
      <w:r w:rsidRPr="00463467">
        <w:rPr>
          <w:sz w:val="24"/>
          <w:szCs w:val="24"/>
        </w:rPr>
        <w:t xml:space="preserve"> petroleum refiners/importers, gasoline additive producers/importers, oxygenate producers/importers, certified ethanol denaturant producers/importers, and blender-grade pentane producers and importers</w:t>
      </w:r>
      <w:r w:rsidR="00584C1E">
        <w:rPr>
          <w:sz w:val="24"/>
          <w:szCs w:val="24"/>
        </w:rPr>
        <w:t>)</w:t>
      </w:r>
      <w:r w:rsidRPr="00463467">
        <w:rPr>
          <w:sz w:val="24"/>
          <w:szCs w:val="24"/>
        </w:rPr>
        <w:t xml:space="preserve"> have more significant</w:t>
      </w:r>
      <w:r w:rsidR="006B373F">
        <w:rPr>
          <w:sz w:val="24"/>
          <w:szCs w:val="24"/>
        </w:rPr>
        <w:t xml:space="preserve"> periodic</w:t>
      </w:r>
      <w:r w:rsidRPr="00463467">
        <w:rPr>
          <w:sz w:val="24"/>
          <w:szCs w:val="24"/>
        </w:rPr>
        <w:t xml:space="preserve"> </w:t>
      </w:r>
      <w:r w:rsidR="00584C1E">
        <w:rPr>
          <w:sz w:val="24"/>
          <w:szCs w:val="24"/>
        </w:rPr>
        <w:t xml:space="preserve">reporting and recordkeeping </w:t>
      </w:r>
      <w:r w:rsidRPr="00463467">
        <w:rPr>
          <w:sz w:val="24"/>
          <w:szCs w:val="24"/>
        </w:rPr>
        <w:t xml:space="preserve">requirements, which are necessary both for their own tracking and for EPA </w:t>
      </w:r>
      <w:r w:rsidR="006B373F">
        <w:rPr>
          <w:sz w:val="24"/>
          <w:szCs w:val="24"/>
        </w:rPr>
        <w:t>oversight</w:t>
      </w:r>
      <w:r>
        <w:rPr>
          <w:sz w:val="24"/>
          <w:szCs w:val="24"/>
        </w:rPr>
        <w:t xml:space="preserve">. </w:t>
      </w:r>
      <w:r w:rsidRPr="00463467">
        <w:rPr>
          <w:sz w:val="24"/>
          <w:szCs w:val="24"/>
        </w:rPr>
        <w:t>At the same time, parties</w:t>
      </w:r>
      <w:r w:rsidR="00584C1E">
        <w:rPr>
          <w:sz w:val="24"/>
          <w:szCs w:val="24"/>
        </w:rPr>
        <w:t xml:space="preserve"> with less control over the sulfur content of gasoline (i.e.</w:t>
      </w:r>
      <w:r w:rsidRPr="00463467">
        <w:rPr>
          <w:sz w:val="24"/>
          <w:szCs w:val="24"/>
        </w:rPr>
        <w:t xml:space="preserve"> downstream</w:t>
      </w:r>
      <w:r w:rsidR="00584C1E">
        <w:rPr>
          <w:sz w:val="24"/>
          <w:szCs w:val="24"/>
        </w:rPr>
        <w:t xml:space="preserve"> parties that simply transport or store fuel</w:t>
      </w:r>
      <w:r w:rsidRPr="00463467">
        <w:rPr>
          <w:sz w:val="24"/>
          <w:szCs w:val="24"/>
        </w:rPr>
        <w:t xml:space="preserve"> such as fuel distributors</w:t>
      </w:r>
      <w:r w:rsidR="00E45A90">
        <w:rPr>
          <w:sz w:val="24"/>
          <w:szCs w:val="24"/>
        </w:rPr>
        <w:t>)</w:t>
      </w:r>
      <w:r w:rsidRPr="00463467">
        <w:rPr>
          <w:sz w:val="24"/>
          <w:szCs w:val="24"/>
        </w:rPr>
        <w:t xml:space="preserve"> have fewer </w:t>
      </w:r>
      <w:r w:rsidR="00E45A90">
        <w:rPr>
          <w:sz w:val="24"/>
          <w:szCs w:val="24"/>
        </w:rPr>
        <w:t xml:space="preserve">reporting </w:t>
      </w:r>
      <w:r w:rsidRPr="00463467">
        <w:rPr>
          <w:sz w:val="24"/>
          <w:szCs w:val="24"/>
        </w:rPr>
        <w:t xml:space="preserve">requirements </w:t>
      </w:r>
      <w:r w:rsidR="00E45A90">
        <w:rPr>
          <w:sz w:val="24"/>
          <w:szCs w:val="24"/>
        </w:rPr>
        <w:t xml:space="preserve">and typically keep records to demonstrate that the downstream party did not </w:t>
      </w:r>
      <w:r w:rsidR="006B373F">
        <w:rPr>
          <w:sz w:val="24"/>
          <w:szCs w:val="24"/>
        </w:rPr>
        <w:t>alter the sulfur content of the gasoline that controlled</w:t>
      </w:r>
      <w:r w:rsidRPr="00463467">
        <w:rPr>
          <w:sz w:val="24"/>
          <w:szCs w:val="24"/>
        </w:rPr>
        <w:t>.</w:t>
      </w:r>
    </w:p>
    <w:p w14:paraId="7C5E3967" w14:textId="77777777" w:rsidR="0032674A" w:rsidRPr="00463467" w:rsidRDefault="0032674A" w:rsidP="0032674A">
      <w:pPr>
        <w:rPr>
          <w:sz w:val="24"/>
          <w:szCs w:val="24"/>
        </w:rPr>
      </w:pPr>
    </w:p>
    <w:p w14:paraId="45CD1962" w14:textId="334498B6" w:rsidR="0032674A" w:rsidRPr="00463467" w:rsidRDefault="0032674A" w:rsidP="0032674A">
      <w:pPr>
        <w:rPr>
          <w:sz w:val="24"/>
          <w:szCs w:val="24"/>
        </w:rPr>
      </w:pPr>
      <w:r w:rsidRPr="00463467">
        <w:rPr>
          <w:sz w:val="24"/>
          <w:szCs w:val="24"/>
        </w:rPr>
        <w:tab/>
        <w:t xml:space="preserve">The recordkeeping and reporting requirements for refiners and importers of motor vehicle gasoline under the Tier 3 program are the same requirements that </w:t>
      </w:r>
      <w:r w:rsidR="006B373F">
        <w:rPr>
          <w:sz w:val="24"/>
          <w:szCs w:val="24"/>
        </w:rPr>
        <w:t xml:space="preserve">have </w:t>
      </w:r>
      <w:r w:rsidRPr="00463467">
        <w:rPr>
          <w:sz w:val="24"/>
          <w:szCs w:val="24"/>
        </w:rPr>
        <w:t>exist</w:t>
      </w:r>
      <w:r w:rsidR="00584C1E">
        <w:rPr>
          <w:sz w:val="24"/>
          <w:szCs w:val="24"/>
        </w:rPr>
        <w:t>ed</w:t>
      </w:r>
      <w:r w:rsidRPr="00463467">
        <w:rPr>
          <w:sz w:val="24"/>
          <w:szCs w:val="24"/>
        </w:rPr>
        <w:t xml:space="preserve"> under the Tier 2 sulfur program</w:t>
      </w:r>
      <w:r w:rsidR="006B373F">
        <w:rPr>
          <w:sz w:val="24"/>
          <w:szCs w:val="24"/>
        </w:rPr>
        <w:t xml:space="preserve"> for over 10 years</w:t>
      </w:r>
      <w:r w:rsidRPr="00463467">
        <w:rPr>
          <w:sz w:val="24"/>
          <w:szCs w:val="24"/>
        </w:rPr>
        <w:t>.</w:t>
      </w:r>
      <w:r w:rsidRPr="00463467">
        <w:rPr>
          <w:rStyle w:val="FootnoteReference"/>
          <w:sz w:val="24"/>
          <w:szCs w:val="24"/>
        </w:rPr>
        <w:footnoteReference w:id="2"/>
      </w:r>
      <w:r w:rsidRPr="00463467">
        <w:rPr>
          <w:sz w:val="24"/>
          <w:szCs w:val="24"/>
        </w:rPr>
        <w:t xml:space="preserve">  </w:t>
      </w:r>
      <w:r w:rsidR="006B373F">
        <w:rPr>
          <w:sz w:val="24"/>
          <w:szCs w:val="24"/>
        </w:rPr>
        <w:t>Petroleum refiners/importers also use reported information to generate credits that can be traded between refiners/importers to allow these parties to more efficiently comply with the Tier 3 national gasoline sulfur standards. While t</w:t>
      </w:r>
      <w:r w:rsidRPr="00463467">
        <w:rPr>
          <w:sz w:val="24"/>
          <w:szCs w:val="24"/>
        </w:rPr>
        <w:t xml:space="preserve">he Tier 3 </w:t>
      </w:r>
      <w:r w:rsidR="00B96036">
        <w:rPr>
          <w:sz w:val="24"/>
          <w:szCs w:val="24"/>
        </w:rPr>
        <w:t>regulations</w:t>
      </w:r>
      <w:r w:rsidRPr="00463467">
        <w:rPr>
          <w:sz w:val="24"/>
          <w:szCs w:val="24"/>
        </w:rPr>
        <w:t xml:space="preserve"> contain new recordkeeping and reporting requirements that apply to gasoline additive manufacturers, oxygenate producers/importers, blender-grade pentane producers/importers, and produce</w:t>
      </w:r>
      <w:r w:rsidR="004350EA">
        <w:rPr>
          <w:sz w:val="24"/>
          <w:szCs w:val="24"/>
        </w:rPr>
        <w:t>r</w:t>
      </w:r>
      <w:r w:rsidRPr="00463467">
        <w:rPr>
          <w:sz w:val="24"/>
          <w:szCs w:val="24"/>
        </w:rPr>
        <w:t>s/importers of certified ethanol denaturants that are used to produce denatured fuel ethanol</w:t>
      </w:r>
      <w:r w:rsidR="006B373F">
        <w:rPr>
          <w:sz w:val="24"/>
          <w:szCs w:val="24"/>
        </w:rPr>
        <w:t>,</w:t>
      </w:r>
      <w:r w:rsidRPr="00463467">
        <w:rPr>
          <w:sz w:val="24"/>
          <w:szCs w:val="24"/>
        </w:rPr>
        <w:t xml:space="preserve"> </w:t>
      </w:r>
      <w:r w:rsidR="006B373F">
        <w:rPr>
          <w:sz w:val="24"/>
          <w:szCs w:val="24"/>
        </w:rPr>
        <w:t>i</w:t>
      </w:r>
      <w:r w:rsidRPr="00463467">
        <w:rPr>
          <w:sz w:val="24"/>
          <w:szCs w:val="24"/>
        </w:rPr>
        <w:t>n large part these requirements are consistent with common business practices</w:t>
      </w:r>
      <w:r w:rsidR="004350EA">
        <w:rPr>
          <w:sz w:val="24"/>
          <w:szCs w:val="24"/>
        </w:rPr>
        <w:t xml:space="preserve"> (CBP)</w:t>
      </w:r>
      <w:r>
        <w:rPr>
          <w:sz w:val="24"/>
          <w:szCs w:val="24"/>
        </w:rPr>
        <w:t xml:space="preserve">. </w:t>
      </w:r>
      <w:r w:rsidR="006B373F">
        <w:rPr>
          <w:sz w:val="24"/>
          <w:szCs w:val="24"/>
        </w:rPr>
        <w:t>Therefore, t</w:t>
      </w:r>
      <w:r w:rsidRPr="00463467">
        <w:rPr>
          <w:sz w:val="24"/>
          <w:szCs w:val="24"/>
        </w:rPr>
        <w:t>he costs associated with the</w:t>
      </w:r>
      <w:r w:rsidR="006B373F">
        <w:rPr>
          <w:sz w:val="24"/>
          <w:szCs w:val="24"/>
        </w:rPr>
        <w:t>se</w:t>
      </w:r>
      <w:r w:rsidRPr="00463467">
        <w:rPr>
          <w:sz w:val="24"/>
          <w:szCs w:val="24"/>
        </w:rPr>
        <w:t xml:space="preserve"> </w:t>
      </w:r>
      <w:r>
        <w:rPr>
          <w:sz w:val="24"/>
          <w:szCs w:val="24"/>
        </w:rPr>
        <w:t>r</w:t>
      </w:r>
      <w:r w:rsidRPr="00463467">
        <w:rPr>
          <w:sz w:val="24"/>
          <w:szCs w:val="24"/>
        </w:rPr>
        <w:t>equirements are expected to be small</w:t>
      </w:r>
      <w:r>
        <w:rPr>
          <w:sz w:val="24"/>
          <w:szCs w:val="24"/>
        </w:rPr>
        <w:t xml:space="preserve">. </w:t>
      </w:r>
      <w:r w:rsidRPr="00463467">
        <w:rPr>
          <w:sz w:val="24"/>
          <w:szCs w:val="24"/>
        </w:rPr>
        <w:t xml:space="preserve">The </w:t>
      </w:r>
      <w:r>
        <w:rPr>
          <w:sz w:val="24"/>
          <w:szCs w:val="24"/>
        </w:rPr>
        <w:t>allowance for</w:t>
      </w:r>
      <w:r w:rsidRPr="00463467">
        <w:rPr>
          <w:sz w:val="24"/>
          <w:szCs w:val="24"/>
        </w:rPr>
        <w:t xml:space="preserve"> blender-grade pentane to be added gasoline downstream of the refinery </w:t>
      </w:r>
      <w:r>
        <w:rPr>
          <w:sz w:val="24"/>
          <w:szCs w:val="24"/>
        </w:rPr>
        <w:t xml:space="preserve">will </w:t>
      </w:r>
      <w:r w:rsidRPr="00463467">
        <w:rPr>
          <w:sz w:val="24"/>
          <w:szCs w:val="24"/>
        </w:rPr>
        <w:t>provide additional flexibility to industry.</w:t>
      </w:r>
    </w:p>
    <w:p w14:paraId="68538CE8" w14:textId="77777777" w:rsidR="0032674A" w:rsidRPr="00463467" w:rsidRDefault="0032674A" w:rsidP="0032674A">
      <w:pPr>
        <w:rPr>
          <w:sz w:val="24"/>
          <w:szCs w:val="24"/>
        </w:rPr>
      </w:pPr>
    </w:p>
    <w:p w14:paraId="685184FC" w14:textId="387B1A4F" w:rsidR="0032674A" w:rsidRPr="00463467" w:rsidRDefault="0032674A" w:rsidP="0032674A">
      <w:pPr>
        <w:rPr>
          <w:sz w:val="24"/>
          <w:szCs w:val="24"/>
        </w:rPr>
      </w:pPr>
      <w:r w:rsidRPr="00463467">
        <w:rPr>
          <w:sz w:val="24"/>
          <w:szCs w:val="24"/>
        </w:rPr>
        <w:lastRenderedPageBreak/>
        <w:tab/>
        <w:t xml:space="preserve">The information under this ICR </w:t>
      </w:r>
      <w:r>
        <w:rPr>
          <w:sz w:val="24"/>
          <w:szCs w:val="24"/>
        </w:rPr>
        <w:t>will</w:t>
      </w:r>
      <w:r w:rsidRPr="00463467">
        <w:rPr>
          <w:sz w:val="24"/>
          <w:szCs w:val="24"/>
        </w:rPr>
        <w:t xml:space="preserve"> be </w:t>
      </w:r>
      <w:r w:rsidR="00C422FA">
        <w:rPr>
          <w:sz w:val="24"/>
          <w:szCs w:val="24"/>
        </w:rPr>
        <w:t>used</w:t>
      </w:r>
      <w:r w:rsidRPr="00463467">
        <w:rPr>
          <w:sz w:val="24"/>
          <w:szCs w:val="24"/>
        </w:rPr>
        <w:t xml:space="preserve"> by </w:t>
      </w:r>
      <w:r>
        <w:rPr>
          <w:sz w:val="24"/>
          <w:szCs w:val="24"/>
        </w:rPr>
        <w:t xml:space="preserve">the </w:t>
      </w:r>
      <w:r w:rsidRPr="00463467">
        <w:rPr>
          <w:sz w:val="24"/>
          <w:szCs w:val="24"/>
        </w:rPr>
        <w:t xml:space="preserve">EPA’s Compliance Division, within the Office of Transportation and Air Quality, Office of Air and Radiation, and by </w:t>
      </w:r>
      <w:r>
        <w:rPr>
          <w:sz w:val="24"/>
          <w:szCs w:val="24"/>
        </w:rPr>
        <w:t xml:space="preserve">the </w:t>
      </w:r>
      <w:r w:rsidRPr="00463467">
        <w:rPr>
          <w:sz w:val="24"/>
          <w:szCs w:val="24"/>
        </w:rPr>
        <w:t>EPA’s Air Enforcement Division, within the Office of Civil Enforcement, Office of Enforcement and Compliance Assurance</w:t>
      </w:r>
      <w:r>
        <w:rPr>
          <w:sz w:val="24"/>
          <w:szCs w:val="24"/>
        </w:rPr>
        <w:t xml:space="preserve">. </w:t>
      </w:r>
      <w:r w:rsidRPr="00463467">
        <w:rPr>
          <w:sz w:val="24"/>
          <w:szCs w:val="24"/>
        </w:rPr>
        <w:t xml:space="preserve">The information collected </w:t>
      </w:r>
      <w:r>
        <w:rPr>
          <w:sz w:val="24"/>
          <w:szCs w:val="24"/>
        </w:rPr>
        <w:t>will</w:t>
      </w:r>
      <w:r w:rsidRPr="00463467">
        <w:rPr>
          <w:sz w:val="24"/>
          <w:szCs w:val="24"/>
        </w:rPr>
        <w:t xml:space="preserve"> be used by </w:t>
      </w:r>
      <w:r>
        <w:rPr>
          <w:sz w:val="24"/>
          <w:szCs w:val="24"/>
        </w:rPr>
        <w:t xml:space="preserve">the </w:t>
      </w:r>
      <w:r w:rsidRPr="00463467">
        <w:rPr>
          <w:sz w:val="24"/>
          <w:szCs w:val="24"/>
        </w:rPr>
        <w:t xml:space="preserve">EPA to evaluate compliance with the fuel quality requirements under the Tier 3 </w:t>
      </w:r>
      <w:r w:rsidR="00B96036">
        <w:rPr>
          <w:sz w:val="24"/>
          <w:szCs w:val="24"/>
        </w:rPr>
        <w:t>regulations</w:t>
      </w:r>
      <w:r>
        <w:rPr>
          <w:sz w:val="24"/>
          <w:szCs w:val="24"/>
        </w:rPr>
        <w:t xml:space="preserve">. </w:t>
      </w:r>
      <w:r w:rsidRPr="00463467">
        <w:rPr>
          <w:sz w:val="24"/>
          <w:szCs w:val="24"/>
        </w:rPr>
        <w:t xml:space="preserve">This oversight by </w:t>
      </w:r>
      <w:r>
        <w:rPr>
          <w:sz w:val="24"/>
          <w:szCs w:val="24"/>
        </w:rPr>
        <w:t xml:space="preserve">the </w:t>
      </w:r>
      <w:r w:rsidRPr="00463467">
        <w:rPr>
          <w:sz w:val="24"/>
          <w:szCs w:val="24"/>
        </w:rPr>
        <w:t xml:space="preserve">EPA </w:t>
      </w:r>
      <w:r>
        <w:rPr>
          <w:sz w:val="24"/>
          <w:szCs w:val="24"/>
        </w:rPr>
        <w:t xml:space="preserve">is </w:t>
      </w:r>
      <w:r w:rsidRPr="00463467">
        <w:rPr>
          <w:sz w:val="24"/>
          <w:szCs w:val="24"/>
        </w:rPr>
        <w:t>necessary to ensure attainment of the air quality goals of the Tier 3 program</w:t>
      </w:r>
      <w:r>
        <w:rPr>
          <w:sz w:val="24"/>
          <w:szCs w:val="24"/>
        </w:rPr>
        <w:t xml:space="preserve">. </w:t>
      </w:r>
      <w:r w:rsidRPr="00463467">
        <w:rPr>
          <w:sz w:val="24"/>
          <w:szCs w:val="24"/>
        </w:rPr>
        <w:t>Proprietary information may be submitted by regulated parties for demonstrating compliance with the Tier 3 standards</w:t>
      </w:r>
      <w:r>
        <w:rPr>
          <w:sz w:val="24"/>
          <w:szCs w:val="24"/>
        </w:rPr>
        <w:t xml:space="preserve">. </w:t>
      </w:r>
      <w:r w:rsidRPr="00463467">
        <w:rPr>
          <w:sz w:val="24"/>
          <w:szCs w:val="24"/>
        </w:rPr>
        <w:t xml:space="preserve">Confidentiality </w:t>
      </w:r>
      <w:r>
        <w:rPr>
          <w:sz w:val="24"/>
          <w:szCs w:val="24"/>
        </w:rPr>
        <w:t>will</w:t>
      </w:r>
      <w:r w:rsidRPr="00463467">
        <w:rPr>
          <w:sz w:val="24"/>
          <w:szCs w:val="24"/>
        </w:rPr>
        <w:t xml:space="preserve"> be handled in accordance with EPA regulations at 40 CFR Part 2 and established Agency procedures. </w:t>
      </w:r>
    </w:p>
    <w:p w14:paraId="1A67962F" w14:textId="77777777" w:rsidR="0032674A" w:rsidRPr="00463467" w:rsidRDefault="0032674A" w:rsidP="0032674A">
      <w:pPr>
        <w:rPr>
          <w:sz w:val="24"/>
          <w:szCs w:val="24"/>
        </w:rPr>
      </w:pPr>
    </w:p>
    <w:p w14:paraId="12F94C5D" w14:textId="5D1FA923" w:rsidR="0032674A" w:rsidRDefault="0032674A" w:rsidP="0032674A">
      <w:pPr>
        <w:rPr>
          <w:sz w:val="24"/>
          <w:szCs w:val="24"/>
        </w:rPr>
      </w:pPr>
      <w:r w:rsidRPr="00463467">
        <w:rPr>
          <w:sz w:val="24"/>
          <w:szCs w:val="24"/>
        </w:rPr>
        <w:tab/>
      </w:r>
      <w:r w:rsidR="006B373F">
        <w:rPr>
          <w:sz w:val="24"/>
          <w:szCs w:val="24"/>
        </w:rPr>
        <w:t xml:space="preserve">Parties that must report information to EPA must register through EPA’s Central Data Exchange (CDX) and submit annual reports on the sulfur content of gasoline and its constituents (oxygenates, gasoline additives, etc.) through CDX. Refiners/importers </w:t>
      </w:r>
      <w:r w:rsidR="00C422FA">
        <w:rPr>
          <w:sz w:val="24"/>
          <w:szCs w:val="24"/>
        </w:rPr>
        <w:t xml:space="preserve">must use EPA’s Moderated Transaction System (EMTS) to </w:t>
      </w:r>
      <w:r w:rsidR="006B373F">
        <w:rPr>
          <w:sz w:val="24"/>
          <w:szCs w:val="24"/>
        </w:rPr>
        <w:t>generate, trade, and use</w:t>
      </w:r>
      <w:r w:rsidR="00C422FA">
        <w:rPr>
          <w:sz w:val="24"/>
          <w:szCs w:val="24"/>
        </w:rPr>
        <w:t xml:space="preserve"> sulfur</w:t>
      </w:r>
      <w:r w:rsidR="006B373F">
        <w:rPr>
          <w:sz w:val="24"/>
          <w:szCs w:val="24"/>
        </w:rPr>
        <w:t xml:space="preserve"> credits.</w:t>
      </w:r>
    </w:p>
    <w:p w14:paraId="3355A345" w14:textId="36F5A2F3" w:rsidR="00876C67" w:rsidRDefault="00876C67" w:rsidP="0032674A"/>
    <w:p w14:paraId="318C6CD9" w14:textId="77777777" w:rsidR="00876C67" w:rsidRPr="00463467" w:rsidRDefault="00876C67" w:rsidP="00876C67">
      <w:pPr>
        <w:pStyle w:val="Heading1"/>
      </w:pPr>
      <w:r w:rsidRPr="00463467">
        <w:t>2.</w:t>
      </w:r>
      <w:r w:rsidRPr="00463467">
        <w:tab/>
        <w:t>NEED FOR AND USE OF THE COLLECTION</w:t>
      </w:r>
    </w:p>
    <w:p w14:paraId="75E273C2" w14:textId="77777777" w:rsidR="00876C67" w:rsidRDefault="00876C67" w:rsidP="00876C67">
      <w:pPr>
        <w:rPr>
          <w:b/>
          <w:bCs/>
          <w:sz w:val="24"/>
          <w:szCs w:val="24"/>
        </w:rPr>
      </w:pPr>
    </w:p>
    <w:p w14:paraId="1505948A" w14:textId="39079EF6" w:rsidR="00876C67" w:rsidRDefault="00876C67" w:rsidP="00876C67">
      <w:pPr>
        <w:pStyle w:val="Heading2"/>
      </w:pPr>
      <w:r w:rsidRPr="00463467">
        <w:tab/>
        <w:t>2(a)</w:t>
      </w:r>
      <w:r w:rsidRPr="00463467">
        <w:tab/>
        <w:t>Need/Authority for the Collection</w:t>
      </w:r>
    </w:p>
    <w:p w14:paraId="746A0B72" w14:textId="77777777" w:rsidR="00876C67" w:rsidRPr="00876C67" w:rsidRDefault="00876C67" w:rsidP="00876C67"/>
    <w:p w14:paraId="5E6F6EAD" w14:textId="65AD1A5E" w:rsidR="00876C67" w:rsidRPr="00463467" w:rsidRDefault="00876C67" w:rsidP="00876C67">
      <w:pPr>
        <w:rPr>
          <w:sz w:val="24"/>
          <w:szCs w:val="24"/>
        </w:rPr>
      </w:pPr>
      <w:r w:rsidRPr="00463467">
        <w:rPr>
          <w:sz w:val="24"/>
          <w:szCs w:val="24"/>
        </w:rPr>
        <w:tab/>
        <w:t xml:space="preserve"> The Tier 3 </w:t>
      </w:r>
      <w:r>
        <w:rPr>
          <w:sz w:val="24"/>
          <w:szCs w:val="24"/>
        </w:rPr>
        <w:t xml:space="preserve">gasoline </w:t>
      </w:r>
      <w:r w:rsidRPr="00463467">
        <w:rPr>
          <w:sz w:val="24"/>
          <w:szCs w:val="24"/>
        </w:rPr>
        <w:t xml:space="preserve">sulfur requirements </w:t>
      </w:r>
      <w:r w:rsidR="001D432A">
        <w:rPr>
          <w:sz w:val="24"/>
          <w:szCs w:val="24"/>
        </w:rPr>
        <w:t>were established</w:t>
      </w:r>
      <w:r>
        <w:rPr>
          <w:sz w:val="24"/>
          <w:szCs w:val="24"/>
        </w:rPr>
        <w:t xml:space="preserve"> </w:t>
      </w:r>
      <w:r w:rsidRPr="00463467">
        <w:rPr>
          <w:sz w:val="24"/>
          <w:szCs w:val="24"/>
        </w:rPr>
        <w:t>under the authority granted by Section 211(c)(1) of the Clean Air Act (CAA).</w:t>
      </w:r>
      <w:r w:rsidRPr="00463467">
        <w:rPr>
          <w:sz w:val="24"/>
          <w:szCs w:val="24"/>
          <w:vertAlign w:val="superscript"/>
        </w:rPr>
        <w:footnoteReference w:customMarkFollows="1" w:id="3"/>
        <w:t>2</w:t>
      </w:r>
      <w:r w:rsidRPr="00463467">
        <w:rPr>
          <w:sz w:val="24"/>
          <w:szCs w:val="24"/>
        </w:rPr>
        <w:t xml:space="preserve">  Under Section 211(c)(1), </w:t>
      </w:r>
      <w:r>
        <w:rPr>
          <w:sz w:val="24"/>
          <w:szCs w:val="24"/>
        </w:rPr>
        <w:t xml:space="preserve">the </w:t>
      </w:r>
      <w:r w:rsidRPr="00463467">
        <w:rPr>
          <w:sz w:val="24"/>
          <w:szCs w:val="24"/>
        </w:rPr>
        <w:t xml:space="preserve">EPA may adopt a fuel control if at least one of the following two criteria is met: (1) the emission products of the fuel cause or contribute to air pollution which may reasonably be anticipated to endanger public health or welfare, or (2) the emission products of the fuel will significantly impair emissions control systems in general use or which </w:t>
      </w:r>
      <w:r>
        <w:rPr>
          <w:sz w:val="24"/>
          <w:szCs w:val="24"/>
        </w:rPr>
        <w:t>will</w:t>
      </w:r>
      <w:r w:rsidRPr="00463467">
        <w:rPr>
          <w:sz w:val="24"/>
          <w:szCs w:val="24"/>
        </w:rPr>
        <w:t xml:space="preserve"> be in general use were the fuel control to be adopted</w:t>
      </w:r>
      <w:r>
        <w:rPr>
          <w:sz w:val="24"/>
          <w:szCs w:val="24"/>
        </w:rPr>
        <w:t xml:space="preserve">. </w:t>
      </w:r>
      <w:r w:rsidRPr="00463467">
        <w:rPr>
          <w:sz w:val="24"/>
          <w:szCs w:val="24"/>
        </w:rPr>
        <w:t xml:space="preserve">The Tier 3 </w:t>
      </w:r>
      <w:r>
        <w:rPr>
          <w:sz w:val="24"/>
          <w:szCs w:val="24"/>
        </w:rPr>
        <w:t xml:space="preserve">final </w:t>
      </w:r>
      <w:r w:rsidRPr="00463467">
        <w:rPr>
          <w:sz w:val="24"/>
          <w:szCs w:val="24"/>
        </w:rPr>
        <w:t xml:space="preserve">rule </w:t>
      </w:r>
      <w:r w:rsidR="001D432A">
        <w:rPr>
          <w:sz w:val="24"/>
          <w:szCs w:val="24"/>
        </w:rPr>
        <w:t>was</w:t>
      </w:r>
      <w:r w:rsidRPr="00463467">
        <w:rPr>
          <w:sz w:val="24"/>
          <w:szCs w:val="24"/>
        </w:rPr>
        <w:t xml:space="preserve"> based on </w:t>
      </w:r>
      <w:r w:rsidR="00963521" w:rsidRPr="00463467">
        <w:rPr>
          <w:sz w:val="24"/>
          <w:szCs w:val="24"/>
        </w:rPr>
        <w:t>both</w:t>
      </w:r>
      <w:r w:rsidRPr="00463467">
        <w:rPr>
          <w:sz w:val="24"/>
          <w:szCs w:val="24"/>
        </w:rPr>
        <w:t xml:space="preserve"> criteria</w:t>
      </w:r>
      <w:r>
        <w:rPr>
          <w:sz w:val="24"/>
          <w:szCs w:val="24"/>
        </w:rPr>
        <w:t xml:space="preserve">. </w:t>
      </w:r>
    </w:p>
    <w:p w14:paraId="73F5B99D" w14:textId="77777777" w:rsidR="00876C67" w:rsidRPr="00463467" w:rsidRDefault="00876C67" w:rsidP="00876C67">
      <w:pPr>
        <w:rPr>
          <w:sz w:val="24"/>
          <w:szCs w:val="24"/>
        </w:rPr>
      </w:pPr>
    </w:p>
    <w:p w14:paraId="34DEA2EA" w14:textId="77777777" w:rsidR="00876C67" w:rsidRPr="00463467" w:rsidRDefault="00876C67" w:rsidP="00876C67">
      <w:pPr>
        <w:rPr>
          <w:sz w:val="24"/>
          <w:szCs w:val="24"/>
        </w:rPr>
      </w:pPr>
      <w:r w:rsidRPr="00463467">
        <w:rPr>
          <w:sz w:val="24"/>
          <w:szCs w:val="24"/>
        </w:rPr>
        <w:tab/>
        <w:t xml:space="preserve">This supporting statement describes the recordkeeping and reporting requirements and the associated costs to various </w:t>
      </w:r>
      <w:r>
        <w:rPr>
          <w:sz w:val="24"/>
          <w:szCs w:val="24"/>
        </w:rPr>
        <w:t xml:space="preserve">regulated </w:t>
      </w:r>
      <w:r w:rsidRPr="00463467">
        <w:rPr>
          <w:sz w:val="24"/>
          <w:szCs w:val="24"/>
        </w:rPr>
        <w:t>parties (e.g., gasoline refiners/importers, oxygenate producers/importers, gasoline additive producers/importers, certified ethanol denaturant producers/importers, blender-grade pentane producers/importers, fuel distributors, and retailers of gasoline)</w:t>
      </w:r>
      <w:r>
        <w:rPr>
          <w:sz w:val="24"/>
          <w:szCs w:val="24"/>
        </w:rPr>
        <w:t xml:space="preserve">. </w:t>
      </w:r>
      <w:r w:rsidRPr="00463467">
        <w:rPr>
          <w:sz w:val="24"/>
          <w:szCs w:val="24"/>
        </w:rPr>
        <w:t xml:space="preserve">These requirements </w:t>
      </w:r>
      <w:r>
        <w:rPr>
          <w:sz w:val="24"/>
          <w:szCs w:val="24"/>
        </w:rPr>
        <w:t>will</w:t>
      </w:r>
      <w:r w:rsidRPr="00463467">
        <w:rPr>
          <w:sz w:val="24"/>
          <w:szCs w:val="24"/>
        </w:rPr>
        <w:t xml:space="preserve"> be necessary to enable the Administrator to:</w:t>
      </w:r>
    </w:p>
    <w:p w14:paraId="5C1CAD9E" w14:textId="77777777" w:rsidR="00876C67" w:rsidRPr="00463467" w:rsidRDefault="00876C67" w:rsidP="00876C67">
      <w:pPr>
        <w:rPr>
          <w:sz w:val="24"/>
          <w:szCs w:val="24"/>
        </w:rPr>
      </w:pPr>
    </w:p>
    <w:p w14:paraId="533D7298" w14:textId="77777777" w:rsidR="00876C67" w:rsidRPr="00463467" w:rsidRDefault="00876C67" w:rsidP="00876C67">
      <w:pPr>
        <w:rPr>
          <w:sz w:val="24"/>
          <w:szCs w:val="24"/>
        </w:rPr>
      </w:pPr>
      <w:r w:rsidRPr="00463467">
        <w:rPr>
          <w:sz w:val="24"/>
          <w:szCs w:val="24"/>
        </w:rPr>
        <w:tab/>
        <w:t>(1) Identify the sources of gasoline, gasoline additives, denatured fuel ethanol and other oxygenates, certified ethanol denaturant, and gasoline blendstocks; and</w:t>
      </w:r>
    </w:p>
    <w:p w14:paraId="77621625" w14:textId="77777777" w:rsidR="00876C67" w:rsidRPr="00463467" w:rsidRDefault="00876C67" w:rsidP="00876C67">
      <w:pPr>
        <w:rPr>
          <w:sz w:val="24"/>
          <w:szCs w:val="24"/>
        </w:rPr>
      </w:pPr>
    </w:p>
    <w:p w14:paraId="08F87CFC" w14:textId="003F7726" w:rsidR="00876C67" w:rsidRPr="00463467" w:rsidRDefault="00876C67" w:rsidP="00876C67">
      <w:pPr>
        <w:rPr>
          <w:sz w:val="24"/>
          <w:szCs w:val="24"/>
        </w:rPr>
      </w:pPr>
      <w:r w:rsidRPr="00463467">
        <w:rPr>
          <w:sz w:val="24"/>
          <w:szCs w:val="24"/>
        </w:rPr>
        <w:tab/>
        <w:t xml:space="preserve">(2) Ensure that these sources comply with the standards and limitations of the Tier 3 </w:t>
      </w:r>
      <w:r w:rsidR="00B96036">
        <w:rPr>
          <w:sz w:val="24"/>
          <w:szCs w:val="24"/>
        </w:rPr>
        <w:t>regulations</w:t>
      </w:r>
      <w:r w:rsidRPr="00463467">
        <w:rPr>
          <w:sz w:val="24"/>
          <w:szCs w:val="24"/>
        </w:rPr>
        <w:t>.</w:t>
      </w:r>
    </w:p>
    <w:p w14:paraId="3FDF869F" w14:textId="77777777" w:rsidR="00876C67" w:rsidRPr="00463467" w:rsidRDefault="00876C67" w:rsidP="00876C67">
      <w:pPr>
        <w:rPr>
          <w:sz w:val="24"/>
          <w:szCs w:val="24"/>
        </w:rPr>
      </w:pPr>
    </w:p>
    <w:p w14:paraId="7D3C48A4" w14:textId="3CF242FD" w:rsidR="00876C67" w:rsidRPr="00463467" w:rsidRDefault="00876C67" w:rsidP="00876C67">
      <w:pPr>
        <w:rPr>
          <w:sz w:val="24"/>
          <w:szCs w:val="24"/>
        </w:rPr>
      </w:pPr>
      <w:r w:rsidRPr="00463467">
        <w:rPr>
          <w:sz w:val="24"/>
          <w:szCs w:val="24"/>
        </w:rPr>
        <w:tab/>
        <w:t xml:space="preserve">An effective </w:t>
      </w:r>
      <w:r w:rsidR="001D432A">
        <w:rPr>
          <w:sz w:val="24"/>
          <w:szCs w:val="24"/>
        </w:rPr>
        <w:t>oversight</w:t>
      </w:r>
      <w:r w:rsidRPr="00463467">
        <w:rPr>
          <w:sz w:val="24"/>
          <w:szCs w:val="24"/>
        </w:rPr>
        <w:t xml:space="preserve"> scheme is necessary to ensure that the environmental goals of the Tier 3 </w:t>
      </w:r>
      <w:r w:rsidR="00B96036">
        <w:rPr>
          <w:sz w:val="24"/>
          <w:szCs w:val="24"/>
        </w:rPr>
        <w:t>program</w:t>
      </w:r>
      <w:r w:rsidRPr="00463467">
        <w:rPr>
          <w:sz w:val="24"/>
          <w:szCs w:val="24"/>
        </w:rPr>
        <w:t xml:space="preserve"> are met, and that those complying with the requirements in good faith are not disadvantaged by non-complying parties</w:t>
      </w:r>
      <w:r>
        <w:rPr>
          <w:sz w:val="24"/>
          <w:szCs w:val="24"/>
        </w:rPr>
        <w:t xml:space="preserve">. </w:t>
      </w:r>
      <w:r w:rsidRPr="00463467">
        <w:rPr>
          <w:sz w:val="24"/>
          <w:szCs w:val="24"/>
        </w:rPr>
        <w:t xml:space="preserve">The Tier 3 </w:t>
      </w:r>
      <w:r w:rsidR="00B96036">
        <w:rPr>
          <w:sz w:val="24"/>
          <w:szCs w:val="24"/>
        </w:rPr>
        <w:t>program</w:t>
      </w:r>
      <w:r w:rsidRPr="00463467">
        <w:rPr>
          <w:sz w:val="24"/>
          <w:szCs w:val="24"/>
        </w:rPr>
        <w:t>’s requirements create a significant economic incentive for noncompliance</w:t>
      </w:r>
      <w:r>
        <w:rPr>
          <w:sz w:val="24"/>
          <w:szCs w:val="24"/>
        </w:rPr>
        <w:t xml:space="preserve">. </w:t>
      </w:r>
      <w:r w:rsidRPr="00463467">
        <w:rPr>
          <w:sz w:val="24"/>
          <w:szCs w:val="24"/>
        </w:rPr>
        <w:t xml:space="preserve">Without the accompanying recordkeeping and reporting requirements, Congressional intent to improve air quality through the Tier 3 program </w:t>
      </w:r>
      <w:r>
        <w:rPr>
          <w:sz w:val="24"/>
          <w:szCs w:val="24"/>
        </w:rPr>
        <w:t>will</w:t>
      </w:r>
      <w:r w:rsidRPr="00463467">
        <w:rPr>
          <w:sz w:val="24"/>
          <w:szCs w:val="24"/>
        </w:rPr>
        <w:t xml:space="preserve"> be thwarted because neither </w:t>
      </w:r>
      <w:r>
        <w:rPr>
          <w:sz w:val="24"/>
          <w:szCs w:val="24"/>
        </w:rPr>
        <w:t xml:space="preserve">the </w:t>
      </w:r>
      <w:r w:rsidRPr="00463467">
        <w:rPr>
          <w:sz w:val="24"/>
          <w:szCs w:val="24"/>
        </w:rPr>
        <w:t xml:space="preserve">EPA nor industry </w:t>
      </w:r>
      <w:r>
        <w:rPr>
          <w:sz w:val="24"/>
          <w:szCs w:val="24"/>
        </w:rPr>
        <w:t>will</w:t>
      </w:r>
      <w:r w:rsidRPr="00463467">
        <w:rPr>
          <w:sz w:val="24"/>
          <w:szCs w:val="24"/>
        </w:rPr>
        <w:t xml:space="preserve"> have sufficient information to monitor compliance</w:t>
      </w:r>
      <w:r>
        <w:rPr>
          <w:sz w:val="24"/>
          <w:szCs w:val="24"/>
        </w:rPr>
        <w:t xml:space="preserve">. </w:t>
      </w:r>
      <w:r w:rsidRPr="00463467">
        <w:rPr>
          <w:sz w:val="24"/>
          <w:szCs w:val="24"/>
        </w:rPr>
        <w:t xml:space="preserve">Non-complying gasoline, gasoline blendstocks, gasoline additives, certified ethanol denaturants, denatured fuel ethanol and other oxygenate </w:t>
      </w:r>
      <w:r>
        <w:rPr>
          <w:sz w:val="24"/>
          <w:szCs w:val="24"/>
        </w:rPr>
        <w:t>will</w:t>
      </w:r>
      <w:r w:rsidRPr="00463467">
        <w:rPr>
          <w:sz w:val="24"/>
          <w:szCs w:val="24"/>
        </w:rPr>
        <w:t xml:space="preserve"> likely be introduced into commerce on a widespread basis but for requirements that make it possible for </w:t>
      </w:r>
      <w:r>
        <w:rPr>
          <w:sz w:val="24"/>
          <w:szCs w:val="24"/>
        </w:rPr>
        <w:t xml:space="preserve">the </w:t>
      </w:r>
      <w:r w:rsidRPr="00463467">
        <w:rPr>
          <w:sz w:val="24"/>
          <w:szCs w:val="24"/>
        </w:rPr>
        <w:t xml:space="preserve">EPA to cross-check records of various entities </w:t>
      </w:r>
      <w:r w:rsidR="00963521" w:rsidRPr="00463467">
        <w:rPr>
          <w:sz w:val="24"/>
          <w:szCs w:val="24"/>
        </w:rPr>
        <w:t>to</w:t>
      </w:r>
      <w:r w:rsidRPr="00463467">
        <w:rPr>
          <w:sz w:val="24"/>
          <w:szCs w:val="24"/>
        </w:rPr>
        <w:t xml:space="preserve"> determine compliance.</w:t>
      </w:r>
    </w:p>
    <w:p w14:paraId="0CBBB557" w14:textId="77777777" w:rsidR="00876C67" w:rsidRPr="00463467" w:rsidRDefault="00876C67" w:rsidP="00876C67">
      <w:pPr>
        <w:rPr>
          <w:sz w:val="24"/>
          <w:szCs w:val="24"/>
        </w:rPr>
      </w:pPr>
    </w:p>
    <w:p w14:paraId="18288487" w14:textId="77777777" w:rsidR="00876C67" w:rsidRPr="00463467" w:rsidRDefault="00876C67" w:rsidP="00876C67">
      <w:pPr>
        <w:rPr>
          <w:sz w:val="24"/>
          <w:szCs w:val="24"/>
        </w:rPr>
      </w:pPr>
      <w:r w:rsidRPr="00463467">
        <w:rPr>
          <w:sz w:val="24"/>
          <w:szCs w:val="24"/>
        </w:rPr>
        <w:tab/>
        <w:t xml:space="preserve">Sections 114 and 208 of the CAA, 42 U.S.C. §§ 7414 and 7542, authorize </w:t>
      </w:r>
      <w:r>
        <w:rPr>
          <w:sz w:val="24"/>
          <w:szCs w:val="24"/>
        </w:rPr>
        <w:t xml:space="preserve">the </w:t>
      </w:r>
      <w:r w:rsidRPr="00463467">
        <w:rPr>
          <w:sz w:val="24"/>
          <w:szCs w:val="24"/>
        </w:rPr>
        <w:t>EPA to require recordkeeping and reporting regarding enforcement of the provisions of Title II of the CAA</w:t>
      </w:r>
      <w:r>
        <w:rPr>
          <w:sz w:val="24"/>
          <w:szCs w:val="24"/>
        </w:rPr>
        <w:t xml:space="preserve">. </w:t>
      </w:r>
      <w:r w:rsidRPr="00463467">
        <w:rPr>
          <w:sz w:val="24"/>
          <w:szCs w:val="24"/>
        </w:rPr>
        <w:t>The current regulations applicable to motor vehicle gasoline, including the regulations associated with this information collection, can be found in 40 CFR Part 80, Regulation of Fuels and Fuel Additives.</w:t>
      </w:r>
    </w:p>
    <w:p w14:paraId="08791A99" w14:textId="32FC1407" w:rsidR="00876C67" w:rsidRDefault="00876C67" w:rsidP="0032674A"/>
    <w:p w14:paraId="391BCCBA" w14:textId="77777777" w:rsidR="003D7641" w:rsidRPr="00463467" w:rsidRDefault="003D7641" w:rsidP="003D7641">
      <w:pPr>
        <w:pStyle w:val="Heading2"/>
      </w:pPr>
      <w:r w:rsidRPr="00463467">
        <w:tab/>
        <w:t>2(b)</w:t>
      </w:r>
      <w:r w:rsidRPr="00463467">
        <w:tab/>
        <w:t>Practical Utility/Users of the Data</w:t>
      </w:r>
    </w:p>
    <w:p w14:paraId="7A89C6DF" w14:textId="77777777" w:rsidR="003D7641" w:rsidRPr="00463467" w:rsidRDefault="003D7641" w:rsidP="003D7641">
      <w:pPr>
        <w:rPr>
          <w:sz w:val="24"/>
          <w:szCs w:val="24"/>
        </w:rPr>
      </w:pPr>
    </w:p>
    <w:p w14:paraId="129F47E9" w14:textId="66E8A3C1" w:rsidR="003D7641" w:rsidRPr="00463467" w:rsidRDefault="003D7641" w:rsidP="003D7641">
      <w:pPr>
        <w:rPr>
          <w:sz w:val="24"/>
          <w:szCs w:val="24"/>
        </w:rPr>
      </w:pPr>
      <w:r w:rsidRPr="00463467">
        <w:rPr>
          <w:sz w:val="24"/>
          <w:szCs w:val="24"/>
        </w:rPr>
        <w:tab/>
      </w:r>
      <w:r>
        <w:rPr>
          <w:sz w:val="24"/>
          <w:szCs w:val="24"/>
        </w:rPr>
        <w:t xml:space="preserve">The </w:t>
      </w:r>
      <w:r w:rsidRPr="00463467">
        <w:rPr>
          <w:sz w:val="24"/>
          <w:szCs w:val="24"/>
        </w:rPr>
        <w:t>EPA use</w:t>
      </w:r>
      <w:r>
        <w:rPr>
          <w:sz w:val="24"/>
          <w:szCs w:val="24"/>
        </w:rPr>
        <w:t>s</w:t>
      </w:r>
      <w:r w:rsidRPr="00463467">
        <w:rPr>
          <w:sz w:val="24"/>
          <w:szCs w:val="24"/>
        </w:rPr>
        <w:t xml:space="preserve"> the information and test results (e.g., sulfur content and volume of each batch of gasoline) contained in the annual </w:t>
      </w:r>
      <w:r w:rsidR="006A3A1B">
        <w:rPr>
          <w:sz w:val="24"/>
          <w:szCs w:val="24"/>
        </w:rPr>
        <w:t xml:space="preserve">compliance reports </w:t>
      </w:r>
      <w:r w:rsidRPr="00463467">
        <w:rPr>
          <w:sz w:val="24"/>
          <w:szCs w:val="24"/>
        </w:rPr>
        <w:t xml:space="preserve">to evaluate the compliance of </w:t>
      </w:r>
      <w:r>
        <w:rPr>
          <w:sz w:val="24"/>
          <w:szCs w:val="24"/>
        </w:rPr>
        <w:t xml:space="preserve">regulated </w:t>
      </w:r>
      <w:r w:rsidRPr="00463467">
        <w:rPr>
          <w:sz w:val="24"/>
          <w:szCs w:val="24"/>
        </w:rPr>
        <w:t>parties involved in the production and importation of gasoline, gasoline blendstocks, denatured fuel ethanol and other oxygenates with the</w:t>
      </w:r>
      <w:r>
        <w:rPr>
          <w:sz w:val="24"/>
          <w:szCs w:val="24"/>
        </w:rPr>
        <w:t xml:space="preserve"> Tier 3 gasoline </w:t>
      </w:r>
      <w:r w:rsidRPr="00463467">
        <w:rPr>
          <w:sz w:val="24"/>
          <w:szCs w:val="24"/>
        </w:rPr>
        <w:t>sulfur control requirements</w:t>
      </w:r>
      <w:r>
        <w:rPr>
          <w:sz w:val="24"/>
          <w:szCs w:val="24"/>
        </w:rPr>
        <w:t xml:space="preserve">. </w:t>
      </w:r>
      <w:r w:rsidRPr="00463467">
        <w:rPr>
          <w:sz w:val="24"/>
          <w:szCs w:val="24"/>
        </w:rPr>
        <w:t xml:space="preserve">These reports </w:t>
      </w:r>
      <w:r>
        <w:rPr>
          <w:sz w:val="24"/>
          <w:szCs w:val="24"/>
        </w:rPr>
        <w:t>will</w:t>
      </w:r>
      <w:r w:rsidRPr="00463467">
        <w:rPr>
          <w:sz w:val="24"/>
          <w:szCs w:val="24"/>
        </w:rPr>
        <w:t xml:space="preserve"> also be used by </w:t>
      </w:r>
      <w:r>
        <w:rPr>
          <w:sz w:val="24"/>
          <w:szCs w:val="24"/>
        </w:rPr>
        <w:t xml:space="preserve">the </w:t>
      </w:r>
      <w:r w:rsidRPr="00463467">
        <w:rPr>
          <w:sz w:val="24"/>
          <w:szCs w:val="24"/>
        </w:rPr>
        <w:t>EPA to target compliance investigations</w:t>
      </w:r>
      <w:r>
        <w:rPr>
          <w:sz w:val="24"/>
          <w:szCs w:val="24"/>
        </w:rPr>
        <w:t xml:space="preserve">. </w:t>
      </w:r>
      <w:r w:rsidRPr="00463467">
        <w:rPr>
          <w:sz w:val="24"/>
          <w:szCs w:val="24"/>
        </w:rPr>
        <w:t>P</w:t>
      </w:r>
      <w:r>
        <w:rPr>
          <w:sz w:val="24"/>
          <w:szCs w:val="24"/>
        </w:rPr>
        <w:t>roduct transfer document</w:t>
      </w:r>
      <w:r w:rsidRPr="00463467">
        <w:rPr>
          <w:sz w:val="24"/>
          <w:szCs w:val="24"/>
        </w:rPr>
        <w:t xml:space="preserve">s maintained by parties in the gasoline distribution system and records related to gasoline blending </w:t>
      </w:r>
      <w:r>
        <w:rPr>
          <w:sz w:val="24"/>
          <w:szCs w:val="24"/>
        </w:rPr>
        <w:t>will</w:t>
      </w:r>
      <w:r w:rsidRPr="00463467">
        <w:rPr>
          <w:sz w:val="24"/>
          <w:szCs w:val="24"/>
        </w:rPr>
        <w:t xml:space="preserve"> be used to evaluate the compliance of </w:t>
      </w:r>
      <w:r>
        <w:rPr>
          <w:sz w:val="24"/>
          <w:szCs w:val="24"/>
        </w:rPr>
        <w:t xml:space="preserve">regulated </w:t>
      </w:r>
      <w:r w:rsidRPr="00463467">
        <w:rPr>
          <w:sz w:val="24"/>
          <w:szCs w:val="24"/>
        </w:rPr>
        <w:t>parties that maintain the records, and to help evaluate upstream compliance.</w:t>
      </w:r>
    </w:p>
    <w:p w14:paraId="0B9927FD" w14:textId="767FBC7D" w:rsidR="003D7641" w:rsidRDefault="003D7641" w:rsidP="0032674A"/>
    <w:p w14:paraId="754EB92E" w14:textId="77777777" w:rsidR="00AD7734" w:rsidRPr="00463467" w:rsidRDefault="00AD7734" w:rsidP="00AD7734">
      <w:pPr>
        <w:pStyle w:val="Heading1"/>
      </w:pPr>
      <w:r w:rsidRPr="00463467">
        <w:t>3.</w:t>
      </w:r>
      <w:r w:rsidRPr="00463467">
        <w:tab/>
        <w:t>NONDUPLICATION, CONSULTATIONS, AND OTHER COLLECTION CRITERIA</w:t>
      </w:r>
    </w:p>
    <w:p w14:paraId="1D6F078A" w14:textId="43307AB3" w:rsidR="00AD7734" w:rsidRDefault="00AD7734" w:rsidP="0032674A"/>
    <w:p w14:paraId="693A06D0" w14:textId="77777777" w:rsidR="00AD7734" w:rsidRPr="00463467" w:rsidRDefault="00AD7734" w:rsidP="00AD7734">
      <w:pPr>
        <w:pStyle w:val="Heading2"/>
      </w:pPr>
      <w:r w:rsidRPr="00463467">
        <w:tab/>
        <w:t>3(a)</w:t>
      </w:r>
      <w:r w:rsidRPr="00463467">
        <w:tab/>
        <w:t>Non-duplication</w:t>
      </w:r>
    </w:p>
    <w:p w14:paraId="35DFF487" w14:textId="72243798" w:rsidR="00AD7734" w:rsidRDefault="00AD7734" w:rsidP="0032674A"/>
    <w:p w14:paraId="76F678DE" w14:textId="467BF05A" w:rsidR="00AD7734" w:rsidRPr="00463467" w:rsidRDefault="00AD7734" w:rsidP="00AD7734">
      <w:pPr>
        <w:rPr>
          <w:sz w:val="24"/>
          <w:szCs w:val="24"/>
        </w:rPr>
      </w:pPr>
      <w:r>
        <w:tab/>
      </w:r>
      <w:r w:rsidRPr="00463467">
        <w:rPr>
          <w:sz w:val="24"/>
          <w:szCs w:val="24"/>
        </w:rPr>
        <w:t>Efforts have been made to eliminate duplication in this information collection</w:t>
      </w:r>
      <w:r>
        <w:rPr>
          <w:sz w:val="24"/>
          <w:szCs w:val="24"/>
        </w:rPr>
        <w:t xml:space="preserve">. </w:t>
      </w:r>
      <w:r w:rsidRPr="00463467">
        <w:rPr>
          <w:sz w:val="24"/>
          <w:szCs w:val="24"/>
        </w:rPr>
        <w:t xml:space="preserve">Provisions included in the Tier 3 </w:t>
      </w:r>
      <w:r w:rsidR="00B96036">
        <w:rPr>
          <w:sz w:val="24"/>
          <w:szCs w:val="24"/>
        </w:rPr>
        <w:t>regulations</w:t>
      </w:r>
      <w:r w:rsidRPr="00463467">
        <w:rPr>
          <w:sz w:val="24"/>
          <w:szCs w:val="24"/>
        </w:rPr>
        <w:t xml:space="preserve"> allow parties to consolidate reporting requirements and/or provide abbreviated reports where appropriate</w:t>
      </w:r>
      <w:r>
        <w:rPr>
          <w:sz w:val="24"/>
          <w:szCs w:val="24"/>
        </w:rPr>
        <w:t xml:space="preserve">. </w:t>
      </w:r>
      <w:r w:rsidRPr="00463467">
        <w:rPr>
          <w:sz w:val="24"/>
          <w:szCs w:val="24"/>
        </w:rPr>
        <w:t xml:space="preserve">For example, to reduce the reporting burden, reports specific to compliance with the </w:t>
      </w:r>
      <w:r>
        <w:rPr>
          <w:sz w:val="24"/>
          <w:szCs w:val="24"/>
        </w:rPr>
        <w:t xml:space="preserve">gasoline </w:t>
      </w:r>
      <w:r w:rsidRPr="00463467">
        <w:rPr>
          <w:sz w:val="24"/>
          <w:szCs w:val="24"/>
        </w:rPr>
        <w:t xml:space="preserve">sulfur standards and reports related to the </w:t>
      </w:r>
      <w:r>
        <w:rPr>
          <w:sz w:val="24"/>
          <w:szCs w:val="24"/>
        </w:rPr>
        <w:t xml:space="preserve">gasoline </w:t>
      </w:r>
      <w:r w:rsidRPr="00463467">
        <w:rPr>
          <w:sz w:val="24"/>
          <w:szCs w:val="24"/>
        </w:rPr>
        <w:t xml:space="preserve">sulfur </w:t>
      </w:r>
      <w:r>
        <w:rPr>
          <w:sz w:val="24"/>
          <w:szCs w:val="24"/>
        </w:rPr>
        <w:t xml:space="preserve">averaging, banking, and trading </w:t>
      </w:r>
      <w:r w:rsidRPr="00463467">
        <w:rPr>
          <w:sz w:val="24"/>
          <w:szCs w:val="24"/>
        </w:rPr>
        <w:t>program are included in the annual reports already required to be submitted under the RFG program</w:t>
      </w:r>
      <w:r>
        <w:rPr>
          <w:sz w:val="24"/>
          <w:szCs w:val="24"/>
        </w:rPr>
        <w:t xml:space="preserve">. </w:t>
      </w:r>
      <w:r w:rsidRPr="00463467">
        <w:rPr>
          <w:sz w:val="24"/>
          <w:szCs w:val="24"/>
        </w:rPr>
        <w:t>Where possible, information requirements from various organizations within the Agency have been combined to minimize the submittal of duplicate information in different formats</w:t>
      </w:r>
      <w:r>
        <w:rPr>
          <w:sz w:val="24"/>
          <w:szCs w:val="24"/>
        </w:rPr>
        <w:t xml:space="preserve">. </w:t>
      </w:r>
      <w:r w:rsidRPr="00463467">
        <w:rPr>
          <w:sz w:val="24"/>
          <w:szCs w:val="24"/>
        </w:rPr>
        <w:t xml:space="preserve">The information in this collection is not available from another source. </w:t>
      </w:r>
    </w:p>
    <w:p w14:paraId="187245FE" w14:textId="77777777" w:rsidR="00AD7734" w:rsidRPr="00463467" w:rsidRDefault="00AD7734" w:rsidP="00AD7734">
      <w:pPr>
        <w:rPr>
          <w:sz w:val="24"/>
          <w:szCs w:val="24"/>
        </w:rPr>
      </w:pPr>
    </w:p>
    <w:p w14:paraId="72F3E2D5" w14:textId="77777777" w:rsidR="00AD7734" w:rsidRPr="00463467" w:rsidRDefault="00AD7734" w:rsidP="00AD7734">
      <w:pPr>
        <w:rPr>
          <w:sz w:val="24"/>
          <w:szCs w:val="24"/>
        </w:rPr>
      </w:pPr>
      <w:r w:rsidRPr="00463467">
        <w:rPr>
          <w:sz w:val="24"/>
          <w:szCs w:val="24"/>
        </w:rPr>
        <w:tab/>
        <w:t xml:space="preserve">Additionally, since California’s state gasoline sulfur requirements are as stringent as those under the Tier 3 sulfur program for most of the remainder of the nation’s gasoline, and since California has its own compliance and enforcement provisions, California gasoline is exempt from most of the requirements of the </w:t>
      </w:r>
      <w:r>
        <w:rPr>
          <w:sz w:val="24"/>
          <w:szCs w:val="24"/>
        </w:rPr>
        <w:t xml:space="preserve">gasoline </w:t>
      </w:r>
      <w:r w:rsidRPr="00463467">
        <w:rPr>
          <w:sz w:val="24"/>
          <w:szCs w:val="24"/>
        </w:rPr>
        <w:t>sulfur program.</w:t>
      </w:r>
    </w:p>
    <w:p w14:paraId="7275C0D8" w14:textId="00367D3A" w:rsidR="00AD7734" w:rsidRDefault="00AD7734" w:rsidP="0032674A"/>
    <w:p w14:paraId="69B9B143" w14:textId="77777777" w:rsidR="000F7A36" w:rsidRDefault="009C0E43" w:rsidP="009C0E43">
      <w:pPr>
        <w:pStyle w:val="Heading2"/>
      </w:pPr>
      <w:r w:rsidRPr="00463467">
        <w:tab/>
      </w:r>
    </w:p>
    <w:p w14:paraId="28BAA557" w14:textId="15F817E7" w:rsidR="009C0E43" w:rsidRPr="00463467" w:rsidRDefault="009C0E43" w:rsidP="009C0E43">
      <w:pPr>
        <w:pStyle w:val="Heading2"/>
      </w:pPr>
      <w:r w:rsidRPr="00463467">
        <w:t>3(b)</w:t>
      </w:r>
      <w:r w:rsidRPr="00463467">
        <w:tab/>
        <w:t xml:space="preserve">Public Notice </w:t>
      </w:r>
    </w:p>
    <w:p w14:paraId="1B65D340" w14:textId="77777777" w:rsidR="009C0E43" w:rsidRPr="00463467" w:rsidRDefault="009C0E43" w:rsidP="009C0E43">
      <w:pPr>
        <w:rPr>
          <w:sz w:val="24"/>
          <w:szCs w:val="24"/>
        </w:rPr>
      </w:pPr>
    </w:p>
    <w:p w14:paraId="456EC681" w14:textId="505E6C6C" w:rsidR="009C0E43" w:rsidRDefault="007D5DD5" w:rsidP="009C0E43">
      <w:pPr>
        <w:ind w:firstLine="720"/>
        <w:rPr>
          <w:sz w:val="24"/>
          <w:szCs w:val="24"/>
        </w:rPr>
      </w:pPr>
      <w:r w:rsidRPr="007D5DD5">
        <w:rPr>
          <w:sz w:val="24"/>
          <w:szCs w:val="24"/>
        </w:rPr>
        <w:t xml:space="preserve">In compliance with the 1995 Paperwork Reduction Act, EPA solicited comments for sixty (60) days on this ICR prior to submitting this ICR to OMB.  During this public comment period EPA received </w:t>
      </w:r>
      <w:r w:rsidR="00293B11">
        <w:rPr>
          <w:sz w:val="24"/>
          <w:szCs w:val="24"/>
        </w:rPr>
        <w:t>seven</w:t>
      </w:r>
      <w:r w:rsidRPr="007D5DD5">
        <w:rPr>
          <w:sz w:val="24"/>
          <w:szCs w:val="24"/>
        </w:rPr>
        <w:t xml:space="preserve"> </w:t>
      </w:r>
      <w:r w:rsidR="00293B11">
        <w:rPr>
          <w:sz w:val="24"/>
          <w:szCs w:val="24"/>
        </w:rPr>
        <w:t xml:space="preserve">(7) </w:t>
      </w:r>
      <w:r w:rsidRPr="007D5DD5">
        <w:rPr>
          <w:sz w:val="24"/>
          <w:szCs w:val="24"/>
        </w:rPr>
        <w:t>public comment</w:t>
      </w:r>
      <w:r>
        <w:rPr>
          <w:sz w:val="24"/>
          <w:szCs w:val="24"/>
        </w:rPr>
        <w:t>s, none of which were within the scope of the proposed information collection request. These</w:t>
      </w:r>
      <w:r w:rsidRPr="007D5DD5">
        <w:rPr>
          <w:sz w:val="24"/>
          <w:szCs w:val="24"/>
        </w:rPr>
        <w:t xml:space="preserve"> comment</w:t>
      </w:r>
      <w:r>
        <w:rPr>
          <w:sz w:val="24"/>
          <w:szCs w:val="24"/>
        </w:rPr>
        <w:t>s</w:t>
      </w:r>
      <w:r w:rsidRPr="007D5DD5">
        <w:rPr>
          <w:sz w:val="24"/>
          <w:szCs w:val="24"/>
        </w:rPr>
        <w:t xml:space="preserve"> </w:t>
      </w:r>
      <w:r>
        <w:rPr>
          <w:sz w:val="24"/>
          <w:szCs w:val="24"/>
        </w:rPr>
        <w:t>are</w:t>
      </w:r>
      <w:r w:rsidRPr="007D5DD5">
        <w:rPr>
          <w:sz w:val="24"/>
          <w:szCs w:val="24"/>
        </w:rPr>
        <w:t xml:space="preserve"> available in docket </w:t>
      </w:r>
      <w:r w:rsidRPr="00463467">
        <w:rPr>
          <w:sz w:val="24"/>
          <w:szCs w:val="24"/>
        </w:rPr>
        <w:t>EPA-HQ-</w:t>
      </w:r>
      <w:r w:rsidRPr="00463467">
        <w:rPr>
          <w:bCs/>
          <w:sz w:val="24"/>
          <w:szCs w:val="24"/>
        </w:rPr>
        <w:t>OAR-2011-0135</w:t>
      </w:r>
      <w:r w:rsidRPr="007D5DD5">
        <w:rPr>
          <w:sz w:val="24"/>
          <w:szCs w:val="24"/>
        </w:rPr>
        <w:t>.  EPA published a second notice in the Federal Register which announced submittal of this ICR to OMB and initiated a thirty (30) day public comment period.</w:t>
      </w:r>
    </w:p>
    <w:p w14:paraId="1181E72D" w14:textId="76D2F990" w:rsidR="009C0E43" w:rsidRDefault="009C0E43" w:rsidP="009C0E43">
      <w:pPr>
        <w:rPr>
          <w:sz w:val="24"/>
          <w:szCs w:val="24"/>
        </w:rPr>
      </w:pPr>
    </w:p>
    <w:p w14:paraId="3C7C498A" w14:textId="77777777" w:rsidR="009C0E43" w:rsidRPr="00463467" w:rsidRDefault="009C0E43" w:rsidP="009C0E43">
      <w:pPr>
        <w:pStyle w:val="Heading2"/>
      </w:pPr>
      <w:r>
        <w:tab/>
      </w:r>
      <w:r w:rsidRPr="00463467">
        <w:t>3(c)</w:t>
      </w:r>
      <w:r w:rsidRPr="00463467">
        <w:tab/>
        <w:t>Consultations</w:t>
      </w:r>
    </w:p>
    <w:p w14:paraId="16BD034C" w14:textId="72D210F7" w:rsidR="009C0E43" w:rsidRDefault="009C0E43" w:rsidP="009C0E43"/>
    <w:p w14:paraId="59966B9B" w14:textId="22A8819A" w:rsidR="009C0E43" w:rsidRPr="00B952E1" w:rsidRDefault="009C0E43" w:rsidP="009C0E43">
      <w:pPr>
        <w:ind w:firstLine="720"/>
        <w:rPr>
          <w:sz w:val="24"/>
          <w:szCs w:val="24"/>
        </w:rPr>
      </w:pPr>
      <w:r w:rsidRPr="00B952E1">
        <w:rPr>
          <w:sz w:val="24"/>
          <w:szCs w:val="24"/>
        </w:rPr>
        <w:t xml:space="preserve">The Tier 3 regulations, including the cost analysis that is reflected in this ICR, were developed based on experience </w:t>
      </w:r>
      <w:r w:rsidR="004350EA" w:rsidRPr="00B952E1">
        <w:rPr>
          <w:sz w:val="24"/>
          <w:szCs w:val="24"/>
        </w:rPr>
        <w:t xml:space="preserve">implementing the Tier </w:t>
      </w:r>
      <w:r w:rsidR="006A3A1B" w:rsidRPr="00B952E1">
        <w:rPr>
          <w:sz w:val="24"/>
          <w:szCs w:val="24"/>
        </w:rPr>
        <w:t>2</w:t>
      </w:r>
      <w:r w:rsidR="004350EA" w:rsidRPr="00B952E1">
        <w:rPr>
          <w:sz w:val="24"/>
          <w:szCs w:val="24"/>
        </w:rPr>
        <w:t xml:space="preserve"> gasoline sulfur program and</w:t>
      </w:r>
      <w:r w:rsidRPr="00B952E1">
        <w:rPr>
          <w:sz w:val="24"/>
          <w:szCs w:val="24"/>
        </w:rPr>
        <w:t xml:space="preserve"> in close consultation with the affected industr</w:t>
      </w:r>
      <w:r w:rsidR="004350EA" w:rsidRPr="00B952E1">
        <w:rPr>
          <w:sz w:val="24"/>
          <w:szCs w:val="24"/>
        </w:rPr>
        <w:t>ies.</w:t>
      </w:r>
    </w:p>
    <w:p w14:paraId="0D6C7164" w14:textId="1446C280" w:rsidR="009C0E43" w:rsidRDefault="009C0E43" w:rsidP="009C0E43">
      <w:pPr>
        <w:ind w:firstLine="720"/>
        <w:rPr>
          <w:bCs/>
          <w:sz w:val="24"/>
          <w:szCs w:val="24"/>
        </w:rPr>
      </w:pPr>
    </w:p>
    <w:p w14:paraId="3F81AB1C" w14:textId="6D537F1B" w:rsidR="009C0E43" w:rsidRDefault="002D242D" w:rsidP="009C0E43">
      <w:pPr>
        <w:ind w:firstLine="720"/>
        <w:rPr>
          <w:bCs/>
          <w:sz w:val="24"/>
          <w:szCs w:val="24"/>
        </w:rPr>
      </w:pPr>
      <w:r>
        <w:rPr>
          <w:bCs/>
          <w:sz w:val="24"/>
          <w:szCs w:val="24"/>
        </w:rPr>
        <w:t xml:space="preserve">EPA has made a concerted effort to seek industry comment on this ICR. EPA contacted Don Gilstrap of Chevron Products Company who can be contacted at (925) 842-8903 and by email at </w:t>
      </w:r>
      <w:hyperlink r:id="rId13" w:history="1">
        <w:r w:rsidRPr="00E66A03">
          <w:rPr>
            <w:rStyle w:val="Hyperlink"/>
            <w:bCs/>
            <w:sz w:val="24"/>
            <w:szCs w:val="24"/>
          </w:rPr>
          <w:t>DGilstrap@chevron.com</w:t>
        </w:r>
      </w:hyperlink>
      <w:r>
        <w:rPr>
          <w:bCs/>
          <w:sz w:val="24"/>
          <w:szCs w:val="24"/>
        </w:rPr>
        <w:t xml:space="preserve">. EPA also contacted Vance Kopp of Weaver Associates who can be contacted at (720) 279-3011 and by email at </w:t>
      </w:r>
      <w:hyperlink r:id="rId14" w:history="1">
        <w:r w:rsidRPr="00E66A03">
          <w:rPr>
            <w:rStyle w:val="Hyperlink"/>
            <w:bCs/>
            <w:sz w:val="24"/>
            <w:szCs w:val="24"/>
          </w:rPr>
          <w:t>vance.kopp@weaver.com</w:t>
        </w:r>
      </w:hyperlink>
      <w:r>
        <w:rPr>
          <w:bCs/>
          <w:sz w:val="24"/>
          <w:szCs w:val="24"/>
        </w:rPr>
        <w:t>. Both Mr. Gilstrap and Mr. Kopp reviewed EPA’s burden analysis and did not object to EPA’s calculated adjusted burden.</w:t>
      </w:r>
    </w:p>
    <w:p w14:paraId="7FE1C804" w14:textId="428864CE" w:rsidR="009C0E43" w:rsidRPr="002D242D" w:rsidRDefault="009C0E43" w:rsidP="002D242D">
      <w:pPr>
        <w:ind w:firstLine="720"/>
        <w:rPr>
          <w:bCs/>
          <w:sz w:val="24"/>
          <w:szCs w:val="24"/>
        </w:rPr>
      </w:pPr>
    </w:p>
    <w:p w14:paraId="313C0D37" w14:textId="77777777" w:rsidR="009C0E43" w:rsidRPr="00463467" w:rsidRDefault="009C0E43" w:rsidP="009C0E43">
      <w:pPr>
        <w:pStyle w:val="Heading2"/>
      </w:pPr>
      <w:r w:rsidRPr="00463467">
        <w:tab/>
        <w:t>3(d)</w:t>
      </w:r>
      <w:r w:rsidRPr="00463467">
        <w:tab/>
        <w:t>Effect of Less Frequent Collection</w:t>
      </w:r>
    </w:p>
    <w:p w14:paraId="67D3BDA3" w14:textId="77777777" w:rsidR="009C0E43" w:rsidRPr="00463467" w:rsidRDefault="009C0E43" w:rsidP="009C0E43">
      <w:pPr>
        <w:rPr>
          <w:sz w:val="24"/>
          <w:szCs w:val="24"/>
        </w:rPr>
      </w:pPr>
    </w:p>
    <w:p w14:paraId="411EFB12" w14:textId="1BC07FB8" w:rsidR="009C0E43" w:rsidRPr="00463467" w:rsidRDefault="009C0E43" w:rsidP="009C0E43">
      <w:pPr>
        <w:rPr>
          <w:sz w:val="24"/>
          <w:szCs w:val="24"/>
        </w:rPr>
      </w:pPr>
      <w:r w:rsidRPr="00463467">
        <w:rPr>
          <w:sz w:val="24"/>
          <w:szCs w:val="24"/>
        </w:rPr>
        <w:tab/>
        <w:t xml:space="preserve">The Tier 3 </w:t>
      </w:r>
      <w:r>
        <w:rPr>
          <w:sz w:val="24"/>
          <w:szCs w:val="24"/>
        </w:rPr>
        <w:t xml:space="preserve">gasoline </w:t>
      </w:r>
      <w:r w:rsidRPr="00463467">
        <w:rPr>
          <w:sz w:val="24"/>
          <w:szCs w:val="24"/>
        </w:rPr>
        <w:t>sulfur program require</w:t>
      </w:r>
      <w:r>
        <w:rPr>
          <w:sz w:val="24"/>
          <w:szCs w:val="24"/>
        </w:rPr>
        <w:t>s</w:t>
      </w:r>
      <w:r w:rsidRPr="00463467">
        <w:rPr>
          <w:sz w:val="24"/>
          <w:szCs w:val="24"/>
        </w:rPr>
        <w:t xml:space="preserve"> gasoline refiners and importers and oxygenate producers and importers to submit annual reports </w:t>
      </w:r>
      <w:r>
        <w:rPr>
          <w:sz w:val="24"/>
          <w:szCs w:val="24"/>
        </w:rPr>
        <w:t xml:space="preserve">to the Agency </w:t>
      </w:r>
      <w:r w:rsidRPr="00463467">
        <w:rPr>
          <w:sz w:val="24"/>
          <w:szCs w:val="24"/>
        </w:rPr>
        <w:t>which demonstrate compliance with the applicable sulfur standards by the information contained within</w:t>
      </w:r>
      <w:r>
        <w:rPr>
          <w:sz w:val="24"/>
          <w:szCs w:val="24"/>
        </w:rPr>
        <w:t xml:space="preserve">. </w:t>
      </w:r>
      <w:r w:rsidRPr="00463467">
        <w:rPr>
          <w:sz w:val="24"/>
          <w:szCs w:val="24"/>
        </w:rPr>
        <w:t>The information contained in such reports include</w:t>
      </w:r>
      <w:r w:rsidR="0029699D">
        <w:rPr>
          <w:sz w:val="24"/>
          <w:szCs w:val="24"/>
        </w:rPr>
        <w:t>s</w:t>
      </w:r>
      <w:r w:rsidRPr="00463467">
        <w:rPr>
          <w:sz w:val="24"/>
          <w:szCs w:val="24"/>
        </w:rPr>
        <w:t xml:space="preserve"> information regarding the sulfur content and volume of a refinery’s or importer’s gasoline or denatured fuel ethanol or other oxygenate</w:t>
      </w:r>
      <w:r>
        <w:rPr>
          <w:sz w:val="24"/>
          <w:szCs w:val="24"/>
        </w:rPr>
        <w:t xml:space="preserve">. </w:t>
      </w:r>
      <w:r w:rsidRPr="00463467">
        <w:rPr>
          <w:sz w:val="24"/>
          <w:szCs w:val="24"/>
        </w:rPr>
        <w:t xml:space="preserve">Less frequent submittal of such reports </w:t>
      </w:r>
      <w:r>
        <w:rPr>
          <w:sz w:val="24"/>
          <w:szCs w:val="24"/>
        </w:rPr>
        <w:t>will</w:t>
      </w:r>
      <w:r w:rsidRPr="00463467">
        <w:rPr>
          <w:sz w:val="24"/>
          <w:szCs w:val="24"/>
        </w:rPr>
        <w:t xml:space="preserve"> severely hinder EPA’s ability to monitor compliance and </w:t>
      </w:r>
      <w:r w:rsidR="005467D2">
        <w:rPr>
          <w:sz w:val="24"/>
          <w:szCs w:val="24"/>
        </w:rPr>
        <w:t>make it impossible to administer the sulfur ABT program</w:t>
      </w:r>
      <w:r w:rsidR="006937E9">
        <w:rPr>
          <w:sz w:val="24"/>
          <w:szCs w:val="24"/>
        </w:rPr>
        <w:t xml:space="preserve"> since credits are generated and used on an annual basis</w:t>
      </w:r>
      <w:r w:rsidR="005467D2">
        <w:rPr>
          <w:sz w:val="24"/>
          <w:szCs w:val="24"/>
        </w:rPr>
        <w:t>, which would make it much more expensive for industry to comply</w:t>
      </w:r>
      <w:r>
        <w:rPr>
          <w:sz w:val="24"/>
          <w:szCs w:val="24"/>
        </w:rPr>
        <w:t xml:space="preserve">. </w:t>
      </w:r>
      <w:r w:rsidRPr="00463467">
        <w:rPr>
          <w:sz w:val="24"/>
          <w:szCs w:val="24"/>
        </w:rPr>
        <w:t xml:space="preserve">Additionally, requiring less than every-batch sampling and testing, where applicable, </w:t>
      </w:r>
      <w:r>
        <w:rPr>
          <w:sz w:val="24"/>
          <w:szCs w:val="24"/>
        </w:rPr>
        <w:t>would</w:t>
      </w:r>
      <w:r w:rsidRPr="00463467">
        <w:rPr>
          <w:sz w:val="24"/>
          <w:szCs w:val="24"/>
        </w:rPr>
        <w:t xml:space="preserve"> make the sulfur cap requirement (i.e., the per gallon maximum sulfur content) meaningless, and </w:t>
      </w:r>
      <w:r>
        <w:rPr>
          <w:sz w:val="24"/>
          <w:szCs w:val="24"/>
        </w:rPr>
        <w:t>would</w:t>
      </w:r>
      <w:r w:rsidRPr="00463467">
        <w:rPr>
          <w:sz w:val="24"/>
          <w:szCs w:val="24"/>
        </w:rPr>
        <w:t xml:space="preserve"> likely lead to extreme excursions in </w:t>
      </w:r>
      <w:r>
        <w:rPr>
          <w:sz w:val="24"/>
          <w:szCs w:val="24"/>
        </w:rPr>
        <w:t xml:space="preserve">gasoline </w:t>
      </w:r>
      <w:r w:rsidRPr="00463467">
        <w:rPr>
          <w:sz w:val="24"/>
          <w:szCs w:val="24"/>
        </w:rPr>
        <w:t>sulfur content which could</w:t>
      </w:r>
      <w:r>
        <w:rPr>
          <w:sz w:val="24"/>
          <w:szCs w:val="24"/>
        </w:rPr>
        <w:t>,</w:t>
      </w:r>
      <w:r w:rsidRPr="00463467">
        <w:rPr>
          <w:sz w:val="24"/>
          <w:szCs w:val="24"/>
        </w:rPr>
        <w:t xml:space="preserve"> </w:t>
      </w:r>
      <w:r>
        <w:rPr>
          <w:sz w:val="24"/>
          <w:szCs w:val="24"/>
        </w:rPr>
        <w:t xml:space="preserve">in turn, </w:t>
      </w:r>
      <w:r w:rsidR="00100B45">
        <w:rPr>
          <w:sz w:val="24"/>
          <w:szCs w:val="24"/>
        </w:rPr>
        <w:t>damage</w:t>
      </w:r>
      <w:r w:rsidRPr="00463467">
        <w:rPr>
          <w:sz w:val="24"/>
          <w:szCs w:val="24"/>
        </w:rPr>
        <w:t xml:space="preserve"> emission control systems lead</w:t>
      </w:r>
      <w:r w:rsidR="00100B45">
        <w:rPr>
          <w:sz w:val="24"/>
          <w:szCs w:val="24"/>
        </w:rPr>
        <w:t>ing</w:t>
      </w:r>
      <w:r w:rsidRPr="00463467">
        <w:rPr>
          <w:sz w:val="24"/>
          <w:szCs w:val="24"/>
        </w:rPr>
        <w:t xml:space="preserve"> to increased emissions</w:t>
      </w:r>
      <w:r w:rsidR="00100B45">
        <w:rPr>
          <w:sz w:val="24"/>
          <w:szCs w:val="24"/>
        </w:rPr>
        <w:t xml:space="preserve"> and costly repairs for consumers</w:t>
      </w:r>
      <w:r>
        <w:rPr>
          <w:sz w:val="24"/>
          <w:szCs w:val="24"/>
        </w:rPr>
        <w:t xml:space="preserve">. </w:t>
      </w:r>
      <w:r w:rsidRPr="00463467">
        <w:rPr>
          <w:sz w:val="24"/>
          <w:szCs w:val="24"/>
        </w:rPr>
        <w:t xml:space="preserve">This </w:t>
      </w:r>
      <w:r>
        <w:rPr>
          <w:sz w:val="24"/>
          <w:szCs w:val="24"/>
        </w:rPr>
        <w:t>would</w:t>
      </w:r>
      <w:r w:rsidRPr="00463467">
        <w:rPr>
          <w:sz w:val="24"/>
          <w:szCs w:val="24"/>
        </w:rPr>
        <w:t xml:space="preserve"> be an unacceptable outcome given that the Tier 3 sulfur program is intended to lead to reduced emissions in part by compatible vehicle and fuel interaction</w:t>
      </w:r>
      <w:r>
        <w:rPr>
          <w:sz w:val="24"/>
          <w:szCs w:val="24"/>
        </w:rPr>
        <w:t xml:space="preserve">. </w:t>
      </w:r>
    </w:p>
    <w:p w14:paraId="3772E088" w14:textId="5C551DDF" w:rsidR="009C0E43" w:rsidRDefault="009C0E43" w:rsidP="009C0E43"/>
    <w:p w14:paraId="52D1172A" w14:textId="3A727EC0" w:rsidR="00100B45" w:rsidRPr="00463467" w:rsidRDefault="00100B45" w:rsidP="00100B45">
      <w:pPr>
        <w:pStyle w:val="Heading2"/>
      </w:pPr>
      <w:r w:rsidRPr="00463467">
        <w:tab/>
        <w:t>3(e)</w:t>
      </w:r>
      <w:r w:rsidRPr="00463467">
        <w:tab/>
        <w:t>General Guidelines</w:t>
      </w:r>
    </w:p>
    <w:p w14:paraId="4867CBFA" w14:textId="0BFC1433" w:rsidR="00100B45" w:rsidRDefault="00100B45" w:rsidP="009C0E43"/>
    <w:p w14:paraId="43396023" w14:textId="5116B4F7" w:rsidR="000373A6" w:rsidRPr="00463467" w:rsidRDefault="000373A6" w:rsidP="000373A6">
      <w:pPr>
        <w:ind w:firstLine="720"/>
        <w:rPr>
          <w:sz w:val="24"/>
          <w:szCs w:val="24"/>
        </w:rPr>
      </w:pPr>
      <w:r w:rsidRPr="00463467">
        <w:rPr>
          <w:sz w:val="24"/>
          <w:szCs w:val="24"/>
        </w:rPr>
        <w:t xml:space="preserve">This information collection activity complies with 5 CFR 1320.6, except that respondents </w:t>
      </w:r>
      <w:r>
        <w:rPr>
          <w:sz w:val="24"/>
          <w:szCs w:val="24"/>
        </w:rPr>
        <w:t>must</w:t>
      </w:r>
      <w:r w:rsidRPr="00463467">
        <w:rPr>
          <w:sz w:val="24"/>
          <w:szCs w:val="24"/>
        </w:rPr>
        <w:t xml:space="preserve"> keep certain records for longer than three years</w:t>
      </w:r>
      <w:r>
        <w:rPr>
          <w:sz w:val="24"/>
          <w:szCs w:val="24"/>
        </w:rPr>
        <w:t xml:space="preserve">. </w:t>
      </w:r>
      <w:r w:rsidRPr="00463467">
        <w:rPr>
          <w:sz w:val="24"/>
          <w:szCs w:val="24"/>
        </w:rPr>
        <w:t xml:space="preserve">Specifically, all parties </w:t>
      </w:r>
      <w:r>
        <w:rPr>
          <w:sz w:val="24"/>
          <w:szCs w:val="24"/>
        </w:rPr>
        <w:t>will</w:t>
      </w:r>
      <w:r w:rsidRPr="00463467">
        <w:rPr>
          <w:sz w:val="24"/>
          <w:szCs w:val="24"/>
        </w:rPr>
        <w:t xml:space="preserve"> be required to keep PTDs and records of quality assurance programs for five years, and refiners and importers as well as denatured fuel ethanol and other oxygenate producers and importers </w:t>
      </w:r>
      <w:r>
        <w:rPr>
          <w:sz w:val="24"/>
          <w:szCs w:val="24"/>
        </w:rPr>
        <w:t>will</w:t>
      </w:r>
      <w:r w:rsidRPr="00463467">
        <w:rPr>
          <w:sz w:val="24"/>
          <w:szCs w:val="24"/>
        </w:rPr>
        <w:t xml:space="preserve"> be required to keep their compliance records for five years</w:t>
      </w:r>
      <w:r>
        <w:rPr>
          <w:sz w:val="24"/>
          <w:szCs w:val="24"/>
        </w:rPr>
        <w:t xml:space="preserve">. </w:t>
      </w:r>
      <w:r w:rsidRPr="00463467">
        <w:rPr>
          <w:sz w:val="24"/>
          <w:szCs w:val="24"/>
        </w:rPr>
        <w:t xml:space="preserve">Records related to the </w:t>
      </w:r>
      <w:r>
        <w:rPr>
          <w:sz w:val="24"/>
          <w:szCs w:val="24"/>
        </w:rPr>
        <w:t xml:space="preserve">gasoline sulfur </w:t>
      </w:r>
      <w:r w:rsidRPr="00463467">
        <w:rPr>
          <w:sz w:val="24"/>
          <w:szCs w:val="24"/>
        </w:rPr>
        <w:t xml:space="preserve">ABT program </w:t>
      </w:r>
      <w:r>
        <w:rPr>
          <w:sz w:val="24"/>
          <w:szCs w:val="24"/>
        </w:rPr>
        <w:t>must also be</w:t>
      </w:r>
      <w:r w:rsidRPr="00463467">
        <w:rPr>
          <w:sz w:val="24"/>
          <w:szCs w:val="24"/>
        </w:rPr>
        <w:t xml:space="preserve"> retained for five years</w:t>
      </w:r>
      <w:r>
        <w:rPr>
          <w:sz w:val="24"/>
          <w:szCs w:val="24"/>
        </w:rPr>
        <w:t xml:space="preserve">. </w:t>
      </w:r>
      <w:r w:rsidRPr="00463467">
        <w:rPr>
          <w:sz w:val="24"/>
          <w:szCs w:val="24"/>
        </w:rPr>
        <w:t>The information required to be retained will facilitate EPA’s identification of the source of any gasoline found to be in violation of the</w:t>
      </w:r>
      <w:r>
        <w:rPr>
          <w:sz w:val="24"/>
          <w:szCs w:val="24"/>
        </w:rPr>
        <w:t xml:space="preserve"> gasoline</w:t>
      </w:r>
      <w:r w:rsidRPr="00463467">
        <w:rPr>
          <w:sz w:val="24"/>
          <w:szCs w:val="24"/>
        </w:rPr>
        <w:t xml:space="preserve"> sulfur standard</w:t>
      </w:r>
      <w:r>
        <w:rPr>
          <w:sz w:val="24"/>
          <w:szCs w:val="24"/>
        </w:rPr>
        <w:t xml:space="preserve">s. </w:t>
      </w:r>
      <w:r w:rsidRPr="00463467">
        <w:rPr>
          <w:sz w:val="24"/>
          <w:szCs w:val="24"/>
        </w:rPr>
        <w:t>Much of the information required under th</w:t>
      </w:r>
      <w:r w:rsidR="00063942">
        <w:rPr>
          <w:sz w:val="24"/>
          <w:szCs w:val="24"/>
        </w:rPr>
        <w:t>e T</w:t>
      </w:r>
      <w:r w:rsidRPr="00463467">
        <w:rPr>
          <w:sz w:val="24"/>
          <w:szCs w:val="24"/>
        </w:rPr>
        <w:t xml:space="preserve">ier 3 </w:t>
      </w:r>
      <w:r>
        <w:rPr>
          <w:sz w:val="24"/>
          <w:szCs w:val="24"/>
        </w:rPr>
        <w:t xml:space="preserve">final </w:t>
      </w:r>
      <w:r w:rsidRPr="00463467">
        <w:rPr>
          <w:sz w:val="24"/>
          <w:szCs w:val="24"/>
        </w:rPr>
        <w:t xml:space="preserve">rule </w:t>
      </w:r>
      <w:r w:rsidR="00A7170E">
        <w:rPr>
          <w:sz w:val="24"/>
          <w:szCs w:val="24"/>
        </w:rPr>
        <w:t>w</w:t>
      </w:r>
      <w:r w:rsidR="00063942">
        <w:rPr>
          <w:sz w:val="24"/>
          <w:szCs w:val="24"/>
        </w:rPr>
        <w:t>as been</w:t>
      </w:r>
      <w:r w:rsidRPr="00463467">
        <w:rPr>
          <w:sz w:val="24"/>
          <w:szCs w:val="24"/>
        </w:rPr>
        <w:t xml:space="preserve"> required under the Tier 2 program</w:t>
      </w:r>
      <w:r w:rsidR="00063942">
        <w:rPr>
          <w:sz w:val="24"/>
          <w:szCs w:val="24"/>
        </w:rPr>
        <w:t xml:space="preserve"> and other EPA fuels programs for decades</w:t>
      </w:r>
      <w:r w:rsidR="00C13595">
        <w:rPr>
          <w:sz w:val="24"/>
          <w:szCs w:val="24"/>
        </w:rPr>
        <w:t xml:space="preserve"> resulting in the 5-year retention period being the industry standard.  </w:t>
      </w:r>
      <w:r w:rsidRPr="00463467">
        <w:rPr>
          <w:sz w:val="24"/>
          <w:szCs w:val="24"/>
        </w:rPr>
        <w:t xml:space="preserve">Therefore, the recordkeeping requirements under the Tier 3 </w:t>
      </w:r>
      <w:r w:rsidR="00897108">
        <w:rPr>
          <w:sz w:val="24"/>
          <w:szCs w:val="24"/>
        </w:rPr>
        <w:t>regulations</w:t>
      </w:r>
      <w:r w:rsidRPr="00463467">
        <w:rPr>
          <w:sz w:val="24"/>
          <w:szCs w:val="24"/>
        </w:rPr>
        <w:t xml:space="preserve"> impose little additional burden</w:t>
      </w:r>
      <w:r>
        <w:rPr>
          <w:sz w:val="24"/>
          <w:szCs w:val="24"/>
        </w:rPr>
        <w:t xml:space="preserve">. </w:t>
      </w:r>
      <w:r w:rsidRPr="00463467">
        <w:rPr>
          <w:sz w:val="24"/>
          <w:szCs w:val="24"/>
        </w:rPr>
        <w:t>Five years is the applicable statute of limitations for the Tier 2 gasoline sulfur and other fuel programs</w:t>
      </w:r>
      <w:r>
        <w:rPr>
          <w:sz w:val="24"/>
          <w:szCs w:val="24"/>
        </w:rPr>
        <w:t xml:space="preserve">. </w:t>
      </w:r>
      <w:r w:rsidRPr="00463467">
        <w:rPr>
          <w:i/>
          <w:iCs/>
          <w:sz w:val="24"/>
          <w:szCs w:val="24"/>
        </w:rPr>
        <w:t>See</w:t>
      </w:r>
      <w:r w:rsidRPr="00463467">
        <w:rPr>
          <w:sz w:val="24"/>
          <w:szCs w:val="24"/>
        </w:rPr>
        <w:t xml:space="preserve"> 28 U.S.C. 2462.</w:t>
      </w:r>
    </w:p>
    <w:p w14:paraId="0B29FD47" w14:textId="77777777" w:rsidR="000373A6" w:rsidRPr="00463467" w:rsidRDefault="000373A6" w:rsidP="000373A6">
      <w:pPr>
        <w:rPr>
          <w:sz w:val="24"/>
          <w:szCs w:val="24"/>
        </w:rPr>
      </w:pPr>
    </w:p>
    <w:p w14:paraId="64E6491C" w14:textId="77777777" w:rsidR="000373A6" w:rsidRPr="00463467" w:rsidRDefault="000373A6" w:rsidP="000373A6">
      <w:pPr>
        <w:rPr>
          <w:sz w:val="24"/>
          <w:szCs w:val="24"/>
        </w:rPr>
      </w:pPr>
      <w:r w:rsidRPr="00463467">
        <w:rPr>
          <w:sz w:val="24"/>
          <w:szCs w:val="24"/>
        </w:rPr>
        <w:tab/>
        <w:t xml:space="preserve">Gasoline refiners/importers and oxygenate producers/importers </w:t>
      </w:r>
      <w:r>
        <w:rPr>
          <w:sz w:val="24"/>
          <w:szCs w:val="24"/>
        </w:rPr>
        <w:t>must</w:t>
      </w:r>
      <w:r w:rsidRPr="00463467">
        <w:rPr>
          <w:sz w:val="24"/>
          <w:szCs w:val="24"/>
        </w:rPr>
        <w:t xml:space="preserve"> submit a limited amount of proprietary information, such as batch volume and sulfur content in their annual reports</w:t>
      </w:r>
      <w:r>
        <w:rPr>
          <w:sz w:val="24"/>
          <w:szCs w:val="24"/>
        </w:rPr>
        <w:t xml:space="preserve">. </w:t>
      </w:r>
      <w:r w:rsidRPr="00463467">
        <w:rPr>
          <w:sz w:val="24"/>
          <w:szCs w:val="24"/>
        </w:rPr>
        <w:t>EPA believes that requiring annual reports provides an appropriate and effective means of monitoring compliance with the standards under the sulfur program</w:t>
      </w:r>
      <w:r>
        <w:rPr>
          <w:sz w:val="24"/>
          <w:szCs w:val="24"/>
        </w:rPr>
        <w:t xml:space="preserve">. </w:t>
      </w:r>
      <w:r w:rsidRPr="00463467">
        <w:rPr>
          <w:sz w:val="24"/>
          <w:szCs w:val="24"/>
        </w:rPr>
        <w:t xml:space="preserve">This type of information has been collected in the past and </w:t>
      </w:r>
      <w:r>
        <w:rPr>
          <w:sz w:val="24"/>
          <w:szCs w:val="24"/>
        </w:rPr>
        <w:t>will</w:t>
      </w:r>
      <w:r w:rsidRPr="00463467">
        <w:rPr>
          <w:sz w:val="24"/>
          <w:szCs w:val="24"/>
        </w:rPr>
        <w:t xml:space="preserve"> be safeguarded in the same manner as data required by other EPA directives</w:t>
      </w:r>
      <w:r>
        <w:rPr>
          <w:sz w:val="24"/>
          <w:szCs w:val="24"/>
        </w:rPr>
        <w:t xml:space="preserve">. </w:t>
      </w:r>
      <w:r w:rsidRPr="00463467">
        <w:rPr>
          <w:sz w:val="24"/>
          <w:szCs w:val="24"/>
        </w:rPr>
        <w:t>Pertinent information, whether kept by the respondent or by a contractor, is subject to auditing by EPA</w:t>
      </w:r>
      <w:r>
        <w:rPr>
          <w:sz w:val="24"/>
          <w:szCs w:val="24"/>
        </w:rPr>
        <w:t xml:space="preserve">. </w:t>
      </w:r>
      <w:r w:rsidRPr="00463467">
        <w:rPr>
          <w:sz w:val="24"/>
          <w:szCs w:val="24"/>
        </w:rPr>
        <w:t>Consequently, EPA officials will require voluntary entry and access to facilities.</w:t>
      </w:r>
    </w:p>
    <w:p w14:paraId="609FAFDB" w14:textId="1F10DD4C" w:rsidR="000373A6" w:rsidRDefault="000373A6" w:rsidP="009C0E43"/>
    <w:p w14:paraId="56BD8A64" w14:textId="77777777" w:rsidR="00C16634" w:rsidRPr="00463467" w:rsidRDefault="00C16634" w:rsidP="00C16634">
      <w:pPr>
        <w:pStyle w:val="Heading2"/>
      </w:pPr>
      <w:r w:rsidRPr="00463467">
        <w:tab/>
        <w:t>3(f)</w:t>
      </w:r>
      <w:r w:rsidRPr="00463467">
        <w:tab/>
        <w:t>Confidentiality</w:t>
      </w:r>
    </w:p>
    <w:p w14:paraId="40730E0C" w14:textId="77777777" w:rsidR="00C16634" w:rsidRPr="00463467" w:rsidRDefault="00C16634" w:rsidP="00C16634">
      <w:pPr>
        <w:rPr>
          <w:sz w:val="24"/>
          <w:szCs w:val="24"/>
        </w:rPr>
      </w:pPr>
      <w:r w:rsidRPr="00463467">
        <w:rPr>
          <w:sz w:val="24"/>
          <w:szCs w:val="24"/>
        </w:rPr>
        <w:tab/>
      </w:r>
    </w:p>
    <w:p w14:paraId="18EEB588" w14:textId="4A9F1A7C" w:rsidR="00C16634" w:rsidRPr="00463467" w:rsidRDefault="00C16634" w:rsidP="00C16634">
      <w:pPr>
        <w:rPr>
          <w:sz w:val="24"/>
          <w:szCs w:val="24"/>
        </w:rPr>
      </w:pPr>
      <w:r w:rsidRPr="00463467">
        <w:rPr>
          <w:sz w:val="24"/>
          <w:szCs w:val="24"/>
        </w:rPr>
        <w:tab/>
        <w:t xml:space="preserve">As discussed in 3(e) above, proprietary information may </w:t>
      </w:r>
      <w:r>
        <w:rPr>
          <w:sz w:val="24"/>
          <w:szCs w:val="24"/>
        </w:rPr>
        <w:t xml:space="preserve">be </w:t>
      </w:r>
      <w:r w:rsidRPr="00463467">
        <w:rPr>
          <w:sz w:val="24"/>
          <w:szCs w:val="24"/>
        </w:rPr>
        <w:t>submitted by gasoline refiners/importers and oxygenate producers/importers for demonstrating compliance with the sulfur standards</w:t>
      </w:r>
      <w:r>
        <w:rPr>
          <w:sz w:val="24"/>
          <w:szCs w:val="24"/>
        </w:rPr>
        <w:t xml:space="preserve">. </w:t>
      </w:r>
      <w:r w:rsidRPr="00463467">
        <w:rPr>
          <w:sz w:val="24"/>
          <w:szCs w:val="24"/>
        </w:rPr>
        <w:t>Such information is protected in accordance with the EPA regulations at 40 CFR Part 2 and established Agency procedures.</w:t>
      </w:r>
    </w:p>
    <w:p w14:paraId="650680E7" w14:textId="77499DB0" w:rsidR="00C16634" w:rsidRDefault="00C16634" w:rsidP="009C0E43"/>
    <w:p w14:paraId="171E707B" w14:textId="77777777" w:rsidR="00F5139B" w:rsidRDefault="00F5139B" w:rsidP="00F5139B">
      <w:pPr>
        <w:pStyle w:val="Heading2"/>
      </w:pPr>
      <w:r>
        <w:tab/>
        <w:t>3(g)</w:t>
      </w:r>
      <w:r>
        <w:tab/>
        <w:t>Sensitive Questions</w:t>
      </w:r>
    </w:p>
    <w:p w14:paraId="05CDE352" w14:textId="77777777" w:rsidR="00F5139B" w:rsidRDefault="00F5139B" w:rsidP="00F5139B"/>
    <w:p w14:paraId="5E337281" w14:textId="22A0CCDE" w:rsidR="00F5139B" w:rsidRDefault="00F5139B" w:rsidP="00F5139B">
      <w:pPr>
        <w:rPr>
          <w:sz w:val="24"/>
          <w:szCs w:val="24"/>
        </w:rPr>
      </w:pPr>
      <w:r w:rsidRPr="00F5139B">
        <w:rPr>
          <w:sz w:val="24"/>
          <w:szCs w:val="24"/>
        </w:rPr>
        <w:tab/>
        <w:t>No questions of a sensitive nature are asked in this information collection.</w:t>
      </w:r>
    </w:p>
    <w:p w14:paraId="0DE03505" w14:textId="39B2D28F" w:rsidR="00374970" w:rsidRDefault="00374970" w:rsidP="00F5139B">
      <w:pPr>
        <w:rPr>
          <w:sz w:val="24"/>
          <w:szCs w:val="24"/>
        </w:rPr>
      </w:pPr>
    </w:p>
    <w:p w14:paraId="640F9933" w14:textId="77777777" w:rsidR="00611E0A" w:rsidRPr="00463467" w:rsidRDefault="00611E0A" w:rsidP="00611E0A">
      <w:pPr>
        <w:pStyle w:val="Heading1"/>
      </w:pPr>
      <w:r w:rsidRPr="00463467">
        <w:t>4.</w:t>
      </w:r>
      <w:r w:rsidRPr="00463467">
        <w:tab/>
        <w:t>THE RESPONDENTS AND THE INFORMATION COLLECTED</w:t>
      </w:r>
    </w:p>
    <w:p w14:paraId="1C44832E" w14:textId="7158A2F7" w:rsidR="00374970" w:rsidRDefault="00374970" w:rsidP="00F5139B">
      <w:pPr>
        <w:rPr>
          <w:sz w:val="24"/>
          <w:szCs w:val="24"/>
        </w:rPr>
      </w:pPr>
    </w:p>
    <w:p w14:paraId="69C52883" w14:textId="4C46494B" w:rsidR="00C0486B" w:rsidRPr="00463467" w:rsidRDefault="00611E0A" w:rsidP="00C0486B">
      <w:pPr>
        <w:pStyle w:val="Heading2"/>
      </w:pPr>
      <w:r>
        <w:tab/>
      </w:r>
      <w:r w:rsidR="00C0486B" w:rsidRPr="00463467">
        <w:t>4(a)</w:t>
      </w:r>
      <w:r w:rsidR="00C0486B" w:rsidRPr="00463467">
        <w:tab/>
        <w:t>Respondents/SIC Codes</w:t>
      </w:r>
    </w:p>
    <w:p w14:paraId="4BB00E98" w14:textId="77777777" w:rsidR="00C0486B" w:rsidRPr="00463467" w:rsidRDefault="00C0486B" w:rsidP="00C0486B">
      <w:pPr>
        <w:rPr>
          <w:sz w:val="24"/>
          <w:szCs w:val="24"/>
        </w:rPr>
      </w:pPr>
    </w:p>
    <w:p w14:paraId="3C2CB15D" w14:textId="77777777" w:rsidR="00C0486B" w:rsidRPr="00463467" w:rsidRDefault="00C0486B" w:rsidP="00C0486B">
      <w:pPr>
        <w:rPr>
          <w:sz w:val="24"/>
          <w:szCs w:val="24"/>
        </w:rPr>
      </w:pPr>
      <w:r w:rsidRPr="00463467">
        <w:rPr>
          <w:sz w:val="24"/>
          <w:szCs w:val="24"/>
        </w:rPr>
        <w:tab/>
        <w:t xml:space="preserve">The respondents to this information collection </w:t>
      </w:r>
      <w:r>
        <w:rPr>
          <w:sz w:val="24"/>
          <w:szCs w:val="24"/>
        </w:rPr>
        <w:t>will</w:t>
      </w:r>
      <w:r w:rsidRPr="00463467">
        <w:rPr>
          <w:sz w:val="24"/>
          <w:szCs w:val="24"/>
        </w:rPr>
        <w:t xml:space="preserve"> be:</w:t>
      </w:r>
    </w:p>
    <w:p w14:paraId="199D15F4" w14:textId="77777777" w:rsidR="00C0486B" w:rsidRPr="00463467" w:rsidRDefault="00C0486B" w:rsidP="00C0486B">
      <w:pPr>
        <w:ind w:left="1440" w:hanging="720"/>
        <w:rPr>
          <w:sz w:val="24"/>
          <w:szCs w:val="24"/>
        </w:rPr>
      </w:pPr>
      <w:r w:rsidRPr="00463467">
        <w:rPr>
          <w:sz w:val="24"/>
          <w:szCs w:val="24"/>
        </w:rPr>
        <w:t>-</w:t>
      </w:r>
      <w:r w:rsidRPr="00463467">
        <w:rPr>
          <w:sz w:val="24"/>
          <w:szCs w:val="24"/>
        </w:rPr>
        <w:tab/>
        <w:t>Refiners (both domestic and foreign refiners who manufacture gasoline for use in the U.S.)</w:t>
      </w:r>
    </w:p>
    <w:p w14:paraId="3A5FEAF6" w14:textId="77777777" w:rsidR="00C0486B" w:rsidRPr="00463467" w:rsidRDefault="00C0486B" w:rsidP="00C0486B">
      <w:pPr>
        <w:tabs>
          <w:tab w:val="left" w:pos="720"/>
          <w:tab w:val="left" w:pos="1440"/>
        </w:tabs>
        <w:ind w:left="1440" w:hanging="720"/>
        <w:rPr>
          <w:sz w:val="24"/>
          <w:szCs w:val="24"/>
        </w:rPr>
      </w:pPr>
      <w:r w:rsidRPr="00463467">
        <w:rPr>
          <w:sz w:val="24"/>
          <w:szCs w:val="24"/>
        </w:rPr>
        <w:t>-</w:t>
      </w:r>
      <w:r w:rsidRPr="00463467">
        <w:rPr>
          <w:sz w:val="24"/>
          <w:szCs w:val="24"/>
        </w:rPr>
        <w:tab/>
        <w:t>Importers of gasoline into the U. S.</w:t>
      </w:r>
    </w:p>
    <w:p w14:paraId="0CC5B77C" w14:textId="77777777" w:rsidR="00C0486B" w:rsidRPr="00463467" w:rsidRDefault="00C0486B" w:rsidP="00C0486B">
      <w:pPr>
        <w:tabs>
          <w:tab w:val="left" w:pos="720"/>
          <w:tab w:val="left" w:pos="1440"/>
        </w:tabs>
        <w:ind w:left="1440" w:hanging="720"/>
        <w:rPr>
          <w:sz w:val="24"/>
          <w:szCs w:val="24"/>
        </w:rPr>
      </w:pPr>
      <w:r w:rsidRPr="00463467">
        <w:rPr>
          <w:sz w:val="24"/>
          <w:szCs w:val="24"/>
        </w:rPr>
        <w:t>-</w:t>
      </w:r>
      <w:r w:rsidRPr="00463467">
        <w:rPr>
          <w:sz w:val="24"/>
          <w:szCs w:val="24"/>
        </w:rPr>
        <w:tab/>
        <w:t>Gasoline distributors, carriers, wholesale purchaser-consumers, and retailers</w:t>
      </w:r>
    </w:p>
    <w:p w14:paraId="181CDAE7" w14:textId="77777777" w:rsidR="00C0486B" w:rsidRPr="00463467" w:rsidRDefault="00C0486B" w:rsidP="00C0486B">
      <w:pPr>
        <w:tabs>
          <w:tab w:val="left" w:pos="720"/>
          <w:tab w:val="left" w:pos="1440"/>
        </w:tabs>
        <w:ind w:left="1440" w:hanging="720"/>
        <w:rPr>
          <w:sz w:val="24"/>
          <w:szCs w:val="24"/>
        </w:rPr>
      </w:pPr>
      <w:r w:rsidRPr="00463467">
        <w:rPr>
          <w:sz w:val="24"/>
          <w:szCs w:val="24"/>
        </w:rPr>
        <w:t>-</w:t>
      </w:r>
      <w:r w:rsidRPr="00463467">
        <w:rPr>
          <w:sz w:val="24"/>
          <w:szCs w:val="24"/>
        </w:rPr>
        <w:tab/>
        <w:t xml:space="preserve">Users of research and development </w:t>
      </w:r>
      <w:r>
        <w:rPr>
          <w:sz w:val="24"/>
          <w:szCs w:val="24"/>
        </w:rPr>
        <w:t xml:space="preserve">(R&amp;D) </w:t>
      </w:r>
      <w:r w:rsidRPr="00463467">
        <w:rPr>
          <w:sz w:val="24"/>
          <w:szCs w:val="24"/>
        </w:rPr>
        <w:t>gasoline (testing laboratories)</w:t>
      </w:r>
    </w:p>
    <w:p w14:paraId="26069501" w14:textId="77777777" w:rsidR="00C0486B" w:rsidRPr="00463467" w:rsidRDefault="00C0486B" w:rsidP="00C0486B">
      <w:pPr>
        <w:tabs>
          <w:tab w:val="left" w:pos="720"/>
          <w:tab w:val="left" w:pos="1440"/>
        </w:tabs>
        <w:ind w:left="1440" w:hanging="720"/>
        <w:rPr>
          <w:sz w:val="24"/>
          <w:szCs w:val="24"/>
        </w:rPr>
      </w:pPr>
      <w:r w:rsidRPr="00463467">
        <w:rPr>
          <w:sz w:val="24"/>
          <w:szCs w:val="24"/>
        </w:rPr>
        <w:t>-</w:t>
      </w:r>
      <w:r w:rsidRPr="00463467">
        <w:rPr>
          <w:sz w:val="24"/>
          <w:szCs w:val="24"/>
        </w:rPr>
        <w:tab/>
        <w:t>Producers of gasoline additives</w:t>
      </w:r>
    </w:p>
    <w:p w14:paraId="658F0CF8" w14:textId="77777777" w:rsidR="00C0486B" w:rsidRPr="00463467" w:rsidRDefault="00C0486B" w:rsidP="00C0486B">
      <w:pPr>
        <w:tabs>
          <w:tab w:val="left" w:pos="720"/>
          <w:tab w:val="left" w:pos="1440"/>
        </w:tabs>
        <w:ind w:left="1440" w:hanging="720"/>
        <w:rPr>
          <w:sz w:val="24"/>
          <w:szCs w:val="24"/>
        </w:rPr>
      </w:pPr>
      <w:r w:rsidRPr="00463467">
        <w:rPr>
          <w:sz w:val="24"/>
          <w:szCs w:val="24"/>
        </w:rPr>
        <w:t>-</w:t>
      </w:r>
      <w:r w:rsidRPr="00463467">
        <w:rPr>
          <w:sz w:val="24"/>
          <w:szCs w:val="24"/>
        </w:rPr>
        <w:tab/>
        <w:t>Importers of gasoline additives into the U.S.</w:t>
      </w:r>
    </w:p>
    <w:p w14:paraId="3BF17C7B" w14:textId="77777777" w:rsidR="00C0486B" w:rsidRPr="00463467" w:rsidRDefault="00C0486B" w:rsidP="00C0486B">
      <w:pPr>
        <w:tabs>
          <w:tab w:val="left" w:pos="720"/>
          <w:tab w:val="left" w:pos="1440"/>
        </w:tabs>
        <w:ind w:left="1440" w:hanging="720"/>
        <w:rPr>
          <w:sz w:val="24"/>
          <w:szCs w:val="24"/>
        </w:rPr>
      </w:pPr>
      <w:r w:rsidRPr="00463467">
        <w:rPr>
          <w:sz w:val="24"/>
          <w:szCs w:val="24"/>
        </w:rPr>
        <w:t>-</w:t>
      </w:r>
      <w:r w:rsidRPr="00463467">
        <w:rPr>
          <w:sz w:val="24"/>
          <w:szCs w:val="24"/>
        </w:rPr>
        <w:tab/>
        <w:t xml:space="preserve">Bulk distributors and blenders of gasoline additives </w:t>
      </w:r>
    </w:p>
    <w:p w14:paraId="3A415439" w14:textId="77777777" w:rsidR="00C0486B" w:rsidRPr="00463467" w:rsidRDefault="00C0486B" w:rsidP="00C0486B">
      <w:pPr>
        <w:tabs>
          <w:tab w:val="left" w:pos="720"/>
          <w:tab w:val="left" w:pos="1440"/>
        </w:tabs>
        <w:ind w:left="1440" w:hanging="720"/>
        <w:rPr>
          <w:sz w:val="24"/>
          <w:szCs w:val="24"/>
        </w:rPr>
      </w:pPr>
      <w:r w:rsidRPr="00463467">
        <w:rPr>
          <w:sz w:val="24"/>
          <w:szCs w:val="24"/>
        </w:rPr>
        <w:t>-</w:t>
      </w:r>
      <w:r w:rsidRPr="00463467">
        <w:rPr>
          <w:sz w:val="24"/>
          <w:szCs w:val="24"/>
        </w:rPr>
        <w:tab/>
        <w:t>Oxygenate producers</w:t>
      </w:r>
    </w:p>
    <w:p w14:paraId="7748EADE" w14:textId="77777777" w:rsidR="00C0486B" w:rsidRPr="00463467" w:rsidRDefault="00C0486B" w:rsidP="00C0486B">
      <w:pPr>
        <w:tabs>
          <w:tab w:val="left" w:pos="720"/>
          <w:tab w:val="left" w:pos="1440"/>
        </w:tabs>
        <w:ind w:left="1440" w:hanging="720"/>
        <w:rPr>
          <w:sz w:val="24"/>
          <w:szCs w:val="24"/>
        </w:rPr>
      </w:pPr>
      <w:r w:rsidRPr="00463467">
        <w:rPr>
          <w:sz w:val="24"/>
          <w:szCs w:val="24"/>
        </w:rPr>
        <w:t>-</w:t>
      </w:r>
      <w:r w:rsidRPr="00463467">
        <w:rPr>
          <w:sz w:val="24"/>
          <w:szCs w:val="24"/>
        </w:rPr>
        <w:tab/>
        <w:t>Importers of oxygenate into the U.S.</w:t>
      </w:r>
    </w:p>
    <w:p w14:paraId="43673086" w14:textId="77777777" w:rsidR="00C0486B" w:rsidRPr="00463467" w:rsidRDefault="00C0486B" w:rsidP="00C0486B">
      <w:pPr>
        <w:tabs>
          <w:tab w:val="left" w:pos="720"/>
          <w:tab w:val="left" w:pos="1440"/>
        </w:tabs>
        <w:ind w:left="1440" w:hanging="720"/>
        <w:rPr>
          <w:sz w:val="24"/>
          <w:szCs w:val="24"/>
        </w:rPr>
      </w:pPr>
      <w:r w:rsidRPr="00463467">
        <w:rPr>
          <w:sz w:val="24"/>
          <w:szCs w:val="24"/>
        </w:rPr>
        <w:t>-</w:t>
      </w:r>
      <w:r w:rsidRPr="00463467">
        <w:rPr>
          <w:sz w:val="24"/>
          <w:szCs w:val="24"/>
        </w:rPr>
        <w:tab/>
        <w:t>Oxygenate distributors and blenders</w:t>
      </w:r>
    </w:p>
    <w:p w14:paraId="68BD517B" w14:textId="77777777" w:rsidR="00C0486B" w:rsidRPr="00463467" w:rsidRDefault="00C0486B" w:rsidP="00C0486B">
      <w:pPr>
        <w:tabs>
          <w:tab w:val="left" w:pos="720"/>
          <w:tab w:val="left" w:pos="1440"/>
        </w:tabs>
        <w:ind w:left="1440" w:hanging="720"/>
        <w:rPr>
          <w:sz w:val="24"/>
          <w:szCs w:val="24"/>
        </w:rPr>
      </w:pPr>
      <w:r w:rsidRPr="00463467">
        <w:rPr>
          <w:sz w:val="24"/>
          <w:szCs w:val="24"/>
        </w:rPr>
        <w:t>-</w:t>
      </w:r>
      <w:r w:rsidRPr="00463467">
        <w:rPr>
          <w:sz w:val="24"/>
          <w:szCs w:val="24"/>
        </w:rPr>
        <w:tab/>
        <w:t xml:space="preserve">Certified ethanol denaturant producers </w:t>
      </w:r>
    </w:p>
    <w:p w14:paraId="41EBBC7E" w14:textId="77777777" w:rsidR="00C0486B" w:rsidRPr="00463467" w:rsidRDefault="00C0486B" w:rsidP="00C0486B">
      <w:pPr>
        <w:tabs>
          <w:tab w:val="left" w:pos="720"/>
          <w:tab w:val="left" w:pos="1440"/>
        </w:tabs>
        <w:ind w:left="1440" w:hanging="720"/>
        <w:rPr>
          <w:sz w:val="24"/>
          <w:szCs w:val="24"/>
        </w:rPr>
      </w:pPr>
      <w:r w:rsidRPr="00463467">
        <w:rPr>
          <w:sz w:val="24"/>
          <w:szCs w:val="24"/>
        </w:rPr>
        <w:t>-</w:t>
      </w:r>
      <w:r w:rsidRPr="00463467">
        <w:rPr>
          <w:sz w:val="24"/>
          <w:szCs w:val="24"/>
        </w:rPr>
        <w:tab/>
        <w:t>Importers of certified ethanol denaturant into the U.S.</w:t>
      </w:r>
    </w:p>
    <w:p w14:paraId="0BAAFB54" w14:textId="77777777" w:rsidR="00C0486B" w:rsidRPr="00463467" w:rsidRDefault="00C0486B" w:rsidP="00C0486B">
      <w:pPr>
        <w:tabs>
          <w:tab w:val="left" w:pos="720"/>
          <w:tab w:val="left" w:pos="1440"/>
        </w:tabs>
        <w:ind w:left="1440" w:hanging="720"/>
        <w:rPr>
          <w:sz w:val="24"/>
          <w:szCs w:val="24"/>
        </w:rPr>
      </w:pPr>
      <w:r w:rsidRPr="00463467">
        <w:rPr>
          <w:sz w:val="24"/>
          <w:szCs w:val="24"/>
        </w:rPr>
        <w:t>-</w:t>
      </w:r>
      <w:r w:rsidRPr="00463467">
        <w:rPr>
          <w:sz w:val="24"/>
          <w:szCs w:val="24"/>
        </w:rPr>
        <w:tab/>
        <w:t xml:space="preserve">Certified ethanol denaturant distributors </w:t>
      </w:r>
    </w:p>
    <w:p w14:paraId="397878EB" w14:textId="77777777" w:rsidR="00C0486B" w:rsidRPr="00463467" w:rsidRDefault="00C0486B" w:rsidP="00C0486B">
      <w:pPr>
        <w:tabs>
          <w:tab w:val="left" w:pos="720"/>
          <w:tab w:val="left" w:pos="1440"/>
        </w:tabs>
        <w:ind w:left="1440" w:hanging="720"/>
        <w:rPr>
          <w:sz w:val="24"/>
          <w:szCs w:val="24"/>
        </w:rPr>
      </w:pPr>
      <w:r w:rsidRPr="00463467">
        <w:rPr>
          <w:sz w:val="24"/>
          <w:szCs w:val="24"/>
        </w:rPr>
        <w:t>-</w:t>
      </w:r>
      <w:r w:rsidRPr="00463467">
        <w:t xml:space="preserve"> </w:t>
      </w:r>
      <w:r w:rsidRPr="00463467">
        <w:tab/>
      </w:r>
      <w:r w:rsidRPr="00463467">
        <w:rPr>
          <w:sz w:val="24"/>
          <w:szCs w:val="24"/>
        </w:rPr>
        <w:t>Producers of blender-grade pentane</w:t>
      </w:r>
    </w:p>
    <w:p w14:paraId="5DC39A13" w14:textId="77777777" w:rsidR="00C0486B" w:rsidRPr="00463467" w:rsidRDefault="00C0486B" w:rsidP="00C0486B">
      <w:pPr>
        <w:tabs>
          <w:tab w:val="left" w:pos="720"/>
          <w:tab w:val="left" w:pos="1440"/>
        </w:tabs>
        <w:ind w:left="1440" w:hanging="720"/>
        <w:rPr>
          <w:sz w:val="24"/>
          <w:szCs w:val="24"/>
        </w:rPr>
      </w:pPr>
      <w:r w:rsidRPr="00463467">
        <w:rPr>
          <w:sz w:val="24"/>
          <w:szCs w:val="24"/>
        </w:rPr>
        <w:t xml:space="preserve">- </w:t>
      </w:r>
      <w:r w:rsidRPr="00463467">
        <w:rPr>
          <w:sz w:val="24"/>
          <w:szCs w:val="24"/>
        </w:rPr>
        <w:tab/>
        <w:t>Importers of blender-grade pentane into the U.S.</w:t>
      </w:r>
    </w:p>
    <w:p w14:paraId="33FAA86A" w14:textId="77777777" w:rsidR="00C0486B" w:rsidRPr="00463467" w:rsidRDefault="00C0486B" w:rsidP="00C0486B">
      <w:pPr>
        <w:tabs>
          <w:tab w:val="left" w:pos="720"/>
          <w:tab w:val="left" w:pos="1440"/>
        </w:tabs>
        <w:ind w:left="1440" w:hanging="720"/>
        <w:rPr>
          <w:sz w:val="24"/>
          <w:szCs w:val="24"/>
        </w:rPr>
      </w:pPr>
      <w:r w:rsidRPr="00463467">
        <w:rPr>
          <w:sz w:val="24"/>
          <w:szCs w:val="24"/>
        </w:rPr>
        <w:t>-</w:t>
      </w:r>
      <w:r w:rsidRPr="00463467">
        <w:rPr>
          <w:sz w:val="24"/>
          <w:szCs w:val="24"/>
        </w:rPr>
        <w:tab/>
        <w:t>Distributors of blender-grade pentane</w:t>
      </w:r>
    </w:p>
    <w:p w14:paraId="321BB85C" w14:textId="77777777" w:rsidR="00C0486B" w:rsidRPr="00463467" w:rsidRDefault="00C0486B" w:rsidP="00C0486B">
      <w:pPr>
        <w:ind w:left="720"/>
        <w:rPr>
          <w:sz w:val="24"/>
          <w:szCs w:val="24"/>
        </w:rPr>
      </w:pPr>
    </w:p>
    <w:p w14:paraId="6C7C70B2" w14:textId="77777777" w:rsidR="00C0486B" w:rsidRPr="00C0486B" w:rsidRDefault="00C0486B" w:rsidP="00C0486B">
      <w:pPr>
        <w:keepNext/>
        <w:keepLines/>
        <w:rPr>
          <w:b/>
          <w:sz w:val="24"/>
          <w:szCs w:val="24"/>
        </w:rPr>
      </w:pPr>
      <w:r w:rsidRPr="00C0486B">
        <w:rPr>
          <w:b/>
          <w:sz w:val="24"/>
          <w:szCs w:val="24"/>
        </w:rPr>
        <w:t>Table 4(a).1: Respondent Industry Classification Codes</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46"/>
        <w:gridCol w:w="1429"/>
        <w:gridCol w:w="1062"/>
      </w:tblGrid>
      <w:tr w:rsidR="00C0486B" w:rsidRPr="00463467" w14:paraId="12EC0631" w14:textId="77777777" w:rsidTr="001F32F2">
        <w:trPr>
          <w:cantSplit/>
        </w:trPr>
        <w:tc>
          <w:tcPr>
            <w:tcW w:w="0" w:type="auto"/>
            <w:tcBorders>
              <w:bottom w:val="double" w:sz="4" w:space="0" w:color="auto"/>
            </w:tcBorders>
            <w:shd w:val="clear" w:color="auto" w:fill="auto"/>
          </w:tcPr>
          <w:p w14:paraId="73C678F8" w14:textId="77777777" w:rsidR="00C0486B" w:rsidRPr="00D90060" w:rsidRDefault="00C0486B" w:rsidP="00C0486B">
            <w:pPr>
              <w:keepNext/>
              <w:keepLines/>
              <w:spacing w:before="100" w:after="40"/>
              <w:jc w:val="center"/>
              <w:rPr>
                <w:b/>
                <w:sz w:val="24"/>
                <w:szCs w:val="24"/>
              </w:rPr>
            </w:pPr>
            <w:r w:rsidRPr="00D90060">
              <w:rPr>
                <w:b/>
                <w:sz w:val="24"/>
                <w:szCs w:val="24"/>
              </w:rPr>
              <w:t>Industry Category</w:t>
            </w:r>
          </w:p>
        </w:tc>
        <w:tc>
          <w:tcPr>
            <w:tcW w:w="0" w:type="auto"/>
            <w:tcBorders>
              <w:bottom w:val="double" w:sz="4" w:space="0" w:color="auto"/>
            </w:tcBorders>
          </w:tcPr>
          <w:p w14:paraId="201BAF44" w14:textId="77777777" w:rsidR="00C0486B" w:rsidRPr="00D90060" w:rsidRDefault="00C0486B" w:rsidP="00C0486B">
            <w:pPr>
              <w:keepNext/>
              <w:keepLines/>
              <w:spacing w:before="100" w:after="40"/>
              <w:jc w:val="center"/>
              <w:rPr>
                <w:b/>
                <w:sz w:val="24"/>
                <w:szCs w:val="24"/>
              </w:rPr>
            </w:pPr>
            <w:r w:rsidRPr="00D90060">
              <w:rPr>
                <w:b/>
                <w:sz w:val="24"/>
                <w:szCs w:val="24"/>
              </w:rPr>
              <w:t>NAICS</w:t>
            </w:r>
            <w:r w:rsidRPr="00D90060">
              <w:rPr>
                <w:b/>
                <w:sz w:val="24"/>
                <w:szCs w:val="24"/>
                <w:vertAlign w:val="superscript"/>
              </w:rPr>
              <w:t>1</w:t>
            </w:r>
            <w:r w:rsidRPr="00D90060">
              <w:rPr>
                <w:b/>
                <w:sz w:val="24"/>
                <w:szCs w:val="24"/>
              </w:rPr>
              <w:t xml:space="preserve"> Code</w:t>
            </w:r>
          </w:p>
        </w:tc>
        <w:tc>
          <w:tcPr>
            <w:tcW w:w="0" w:type="auto"/>
            <w:tcBorders>
              <w:bottom w:val="double" w:sz="4" w:space="0" w:color="auto"/>
            </w:tcBorders>
            <w:shd w:val="clear" w:color="auto" w:fill="auto"/>
          </w:tcPr>
          <w:p w14:paraId="611F9034" w14:textId="77777777" w:rsidR="00C0486B" w:rsidRPr="00D90060" w:rsidRDefault="00C0486B" w:rsidP="00C0486B">
            <w:pPr>
              <w:keepNext/>
              <w:keepLines/>
              <w:spacing w:before="100" w:after="40"/>
              <w:jc w:val="center"/>
              <w:rPr>
                <w:b/>
                <w:sz w:val="24"/>
                <w:szCs w:val="24"/>
              </w:rPr>
            </w:pPr>
            <w:r w:rsidRPr="00D90060">
              <w:rPr>
                <w:b/>
                <w:sz w:val="24"/>
                <w:szCs w:val="24"/>
              </w:rPr>
              <w:t>SIC</w:t>
            </w:r>
            <w:r w:rsidRPr="00D90060">
              <w:rPr>
                <w:b/>
                <w:sz w:val="24"/>
                <w:szCs w:val="24"/>
                <w:vertAlign w:val="superscript"/>
              </w:rPr>
              <w:t xml:space="preserve">2 </w:t>
            </w:r>
            <w:r w:rsidRPr="00D90060">
              <w:rPr>
                <w:b/>
                <w:sz w:val="24"/>
                <w:szCs w:val="24"/>
              </w:rPr>
              <w:t>Code</w:t>
            </w:r>
          </w:p>
        </w:tc>
      </w:tr>
      <w:tr w:rsidR="00C0486B" w:rsidRPr="00463467" w14:paraId="07B25D59" w14:textId="77777777" w:rsidTr="001F32F2">
        <w:trPr>
          <w:cantSplit/>
        </w:trPr>
        <w:tc>
          <w:tcPr>
            <w:tcW w:w="0" w:type="auto"/>
            <w:tcBorders>
              <w:top w:val="double" w:sz="4" w:space="0" w:color="auto"/>
            </w:tcBorders>
            <w:shd w:val="clear" w:color="auto" w:fill="auto"/>
          </w:tcPr>
          <w:p w14:paraId="03B63D7A" w14:textId="77777777" w:rsidR="00C0486B" w:rsidRPr="00463467" w:rsidRDefault="00C0486B" w:rsidP="00C0486B">
            <w:pPr>
              <w:keepNext/>
              <w:keepLines/>
              <w:spacing w:before="100" w:after="40"/>
              <w:rPr>
                <w:sz w:val="24"/>
                <w:szCs w:val="24"/>
              </w:rPr>
            </w:pPr>
            <w:r w:rsidRPr="00463467">
              <w:rPr>
                <w:sz w:val="24"/>
                <w:szCs w:val="24"/>
              </w:rPr>
              <w:t>Petroleum refineries (including importers and butane/pentane blenders)</w:t>
            </w:r>
          </w:p>
        </w:tc>
        <w:tc>
          <w:tcPr>
            <w:tcW w:w="0" w:type="auto"/>
            <w:tcBorders>
              <w:top w:val="double" w:sz="4" w:space="0" w:color="auto"/>
            </w:tcBorders>
          </w:tcPr>
          <w:p w14:paraId="0161233A" w14:textId="77777777" w:rsidR="00C0486B" w:rsidRPr="00463467" w:rsidRDefault="00C0486B" w:rsidP="00C0486B">
            <w:pPr>
              <w:keepNext/>
              <w:keepLines/>
              <w:spacing w:before="100" w:after="40"/>
              <w:jc w:val="center"/>
              <w:rPr>
                <w:sz w:val="24"/>
                <w:szCs w:val="24"/>
              </w:rPr>
            </w:pPr>
            <w:r w:rsidRPr="00463467">
              <w:rPr>
                <w:sz w:val="24"/>
                <w:szCs w:val="24"/>
              </w:rPr>
              <w:t>324110</w:t>
            </w:r>
          </w:p>
        </w:tc>
        <w:tc>
          <w:tcPr>
            <w:tcW w:w="0" w:type="auto"/>
            <w:tcBorders>
              <w:top w:val="double" w:sz="4" w:space="0" w:color="auto"/>
            </w:tcBorders>
            <w:shd w:val="clear" w:color="auto" w:fill="auto"/>
          </w:tcPr>
          <w:p w14:paraId="06911A80" w14:textId="77777777" w:rsidR="00C0486B" w:rsidRPr="00463467" w:rsidRDefault="00C0486B" w:rsidP="00C0486B">
            <w:pPr>
              <w:keepNext/>
              <w:keepLines/>
              <w:spacing w:before="100" w:after="40"/>
              <w:jc w:val="center"/>
              <w:rPr>
                <w:sz w:val="24"/>
                <w:szCs w:val="24"/>
              </w:rPr>
            </w:pPr>
            <w:r w:rsidRPr="00463467">
              <w:rPr>
                <w:sz w:val="24"/>
                <w:szCs w:val="24"/>
              </w:rPr>
              <w:t>2911</w:t>
            </w:r>
          </w:p>
        </w:tc>
      </w:tr>
      <w:tr w:rsidR="00C0486B" w:rsidRPr="00463467" w14:paraId="2A700DA0" w14:textId="77777777" w:rsidTr="001F32F2">
        <w:trPr>
          <w:cantSplit/>
        </w:trPr>
        <w:tc>
          <w:tcPr>
            <w:tcW w:w="0" w:type="auto"/>
            <w:shd w:val="clear" w:color="auto" w:fill="auto"/>
          </w:tcPr>
          <w:p w14:paraId="60B3CAD2" w14:textId="77777777" w:rsidR="00C0486B" w:rsidRPr="00463467" w:rsidRDefault="00C0486B" w:rsidP="00C0486B">
            <w:pPr>
              <w:keepNext/>
              <w:keepLines/>
              <w:spacing w:before="100" w:after="40"/>
              <w:rPr>
                <w:sz w:val="24"/>
                <w:szCs w:val="24"/>
              </w:rPr>
            </w:pPr>
            <w:r w:rsidRPr="00463467">
              <w:rPr>
                <w:sz w:val="24"/>
                <w:szCs w:val="24"/>
              </w:rPr>
              <w:t>Butane and pentane manufacturers</w:t>
            </w:r>
          </w:p>
        </w:tc>
        <w:tc>
          <w:tcPr>
            <w:tcW w:w="0" w:type="auto"/>
          </w:tcPr>
          <w:p w14:paraId="6C78D0A8" w14:textId="77777777" w:rsidR="00C0486B" w:rsidRPr="00463467" w:rsidRDefault="00C0486B" w:rsidP="00C0486B">
            <w:pPr>
              <w:keepNext/>
              <w:keepLines/>
              <w:spacing w:before="100" w:after="40"/>
              <w:jc w:val="center"/>
              <w:rPr>
                <w:sz w:val="24"/>
                <w:szCs w:val="24"/>
              </w:rPr>
            </w:pPr>
            <w:r w:rsidRPr="00463467">
              <w:rPr>
                <w:sz w:val="24"/>
                <w:szCs w:val="24"/>
              </w:rPr>
              <w:t>325110</w:t>
            </w:r>
          </w:p>
        </w:tc>
        <w:tc>
          <w:tcPr>
            <w:tcW w:w="0" w:type="auto"/>
            <w:shd w:val="clear" w:color="auto" w:fill="auto"/>
          </w:tcPr>
          <w:p w14:paraId="71E99E6F" w14:textId="77777777" w:rsidR="00C0486B" w:rsidRPr="00463467" w:rsidRDefault="00C0486B" w:rsidP="00C0486B">
            <w:pPr>
              <w:keepNext/>
              <w:keepLines/>
              <w:spacing w:before="100" w:after="40"/>
              <w:jc w:val="center"/>
              <w:rPr>
                <w:sz w:val="24"/>
                <w:szCs w:val="24"/>
              </w:rPr>
            </w:pPr>
            <w:r w:rsidRPr="00463467">
              <w:rPr>
                <w:sz w:val="24"/>
                <w:szCs w:val="24"/>
              </w:rPr>
              <w:t>2869</w:t>
            </w:r>
          </w:p>
        </w:tc>
      </w:tr>
      <w:tr w:rsidR="00C0486B" w:rsidRPr="00463467" w14:paraId="1B9F1B36" w14:textId="77777777" w:rsidTr="001F32F2">
        <w:trPr>
          <w:cantSplit/>
        </w:trPr>
        <w:tc>
          <w:tcPr>
            <w:tcW w:w="0" w:type="auto"/>
            <w:shd w:val="clear" w:color="auto" w:fill="auto"/>
          </w:tcPr>
          <w:p w14:paraId="27C76BFF" w14:textId="77777777" w:rsidR="00C0486B" w:rsidRPr="00463467" w:rsidRDefault="00C0486B" w:rsidP="00C0486B">
            <w:pPr>
              <w:keepNext/>
              <w:keepLines/>
              <w:spacing w:before="100" w:after="40"/>
              <w:rPr>
                <w:sz w:val="24"/>
                <w:szCs w:val="24"/>
              </w:rPr>
            </w:pPr>
            <w:r w:rsidRPr="00463467">
              <w:rPr>
                <w:sz w:val="24"/>
                <w:szCs w:val="24"/>
              </w:rPr>
              <w:t>Ethyl alcohol and other oxygenate manufacturing</w:t>
            </w:r>
          </w:p>
        </w:tc>
        <w:tc>
          <w:tcPr>
            <w:tcW w:w="0" w:type="auto"/>
          </w:tcPr>
          <w:p w14:paraId="2886EA4F" w14:textId="77777777" w:rsidR="00C0486B" w:rsidRPr="00463467" w:rsidRDefault="00C0486B" w:rsidP="00C0486B">
            <w:pPr>
              <w:keepNext/>
              <w:keepLines/>
              <w:spacing w:before="100" w:after="40"/>
              <w:jc w:val="center"/>
              <w:rPr>
                <w:sz w:val="24"/>
                <w:szCs w:val="24"/>
              </w:rPr>
            </w:pPr>
            <w:r w:rsidRPr="00463467">
              <w:rPr>
                <w:sz w:val="24"/>
                <w:szCs w:val="24"/>
              </w:rPr>
              <w:t>325193</w:t>
            </w:r>
          </w:p>
        </w:tc>
        <w:tc>
          <w:tcPr>
            <w:tcW w:w="0" w:type="auto"/>
            <w:shd w:val="clear" w:color="auto" w:fill="auto"/>
          </w:tcPr>
          <w:p w14:paraId="5AD795EA" w14:textId="77777777" w:rsidR="00C0486B" w:rsidRPr="00463467" w:rsidRDefault="00C0486B" w:rsidP="00C0486B">
            <w:pPr>
              <w:keepNext/>
              <w:keepLines/>
              <w:spacing w:before="100" w:after="40"/>
              <w:jc w:val="center"/>
              <w:rPr>
                <w:sz w:val="24"/>
                <w:szCs w:val="24"/>
              </w:rPr>
            </w:pPr>
            <w:r w:rsidRPr="00463467">
              <w:rPr>
                <w:sz w:val="24"/>
                <w:szCs w:val="24"/>
              </w:rPr>
              <w:t>2869</w:t>
            </w:r>
          </w:p>
        </w:tc>
      </w:tr>
      <w:tr w:rsidR="00C0486B" w:rsidRPr="00463467" w14:paraId="395DC081" w14:textId="77777777" w:rsidTr="001F32F2">
        <w:trPr>
          <w:cantSplit/>
        </w:trPr>
        <w:tc>
          <w:tcPr>
            <w:tcW w:w="0" w:type="auto"/>
            <w:shd w:val="clear" w:color="auto" w:fill="auto"/>
          </w:tcPr>
          <w:p w14:paraId="41E39AFE" w14:textId="77777777" w:rsidR="00C0486B" w:rsidRPr="00463467" w:rsidRDefault="00C0486B" w:rsidP="00C0486B">
            <w:pPr>
              <w:keepNext/>
              <w:keepLines/>
              <w:spacing w:before="100" w:after="40"/>
              <w:rPr>
                <w:sz w:val="24"/>
                <w:szCs w:val="24"/>
              </w:rPr>
            </w:pPr>
            <w:r w:rsidRPr="00463467">
              <w:rPr>
                <w:sz w:val="24"/>
                <w:szCs w:val="24"/>
              </w:rPr>
              <w:t>Natural gas liquids extraction and fractionation</w:t>
            </w:r>
          </w:p>
        </w:tc>
        <w:tc>
          <w:tcPr>
            <w:tcW w:w="0" w:type="auto"/>
          </w:tcPr>
          <w:p w14:paraId="53BDDAD6" w14:textId="77777777" w:rsidR="00C0486B" w:rsidRPr="00463467" w:rsidRDefault="00C0486B" w:rsidP="00C0486B">
            <w:pPr>
              <w:keepNext/>
              <w:keepLines/>
              <w:spacing w:before="100" w:after="40"/>
              <w:jc w:val="center"/>
              <w:rPr>
                <w:sz w:val="24"/>
                <w:szCs w:val="24"/>
              </w:rPr>
            </w:pPr>
            <w:r w:rsidRPr="00463467">
              <w:rPr>
                <w:sz w:val="24"/>
                <w:szCs w:val="24"/>
              </w:rPr>
              <w:t>211112</w:t>
            </w:r>
          </w:p>
        </w:tc>
        <w:tc>
          <w:tcPr>
            <w:tcW w:w="0" w:type="auto"/>
            <w:shd w:val="clear" w:color="auto" w:fill="auto"/>
          </w:tcPr>
          <w:p w14:paraId="35813868" w14:textId="77777777" w:rsidR="00C0486B" w:rsidRPr="00463467" w:rsidRDefault="00C0486B" w:rsidP="00C0486B">
            <w:pPr>
              <w:keepNext/>
              <w:keepLines/>
              <w:spacing w:before="100" w:after="40"/>
              <w:jc w:val="center"/>
              <w:rPr>
                <w:sz w:val="24"/>
                <w:szCs w:val="24"/>
              </w:rPr>
            </w:pPr>
            <w:r w:rsidRPr="00463467">
              <w:rPr>
                <w:sz w:val="24"/>
                <w:szCs w:val="24"/>
              </w:rPr>
              <w:t>1321</w:t>
            </w:r>
          </w:p>
        </w:tc>
      </w:tr>
      <w:tr w:rsidR="00C0486B" w:rsidRPr="00463467" w14:paraId="66E55473" w14:textId="77777777" w:rsidTr="001F32F2">
        <w:trPr>
          <w:cantSplit/>
        </w:trPr>
        <w:tc>
          <w:tcPr>
            <w:tcW w:w="0" w:type="auto"/>
            <w:shd w:val="clear" w:color="auto" w:fill="auto"/>
          </w:tcPr>
          <w:p w14:paraId="5CAEDCB8" w14:textId="77777777" w:rsidR="00C0486B" w:rsidRPr="00463467" w:rsidRDefault="00C0486B" w:rsidP="00C0486B">
            <w:pPr>
              <w:keepNext/>
              <w:keepLines/>
              <w:spacing w:before="100" w:after="40"/>
              <w:rPr>
                <w:sz w:val="24"/>
                <w:szCs w:val="24"/>
              </w:rPr>
            </w:pPr>
            <w:r w:rsidRPr="00463467">
              <w:rPr>
                <w:sz w:val="24"/>
                <w:szCs w:val="24"/>
              </w:rPr>
              <w:t>Other basic organic chemical manufacturing</w:t>
            </w:r>
          </w:p>
        </w:tc>
        <w:tc>
          <w:tcPr>
            <w:tcW w:w="0" w:type="auto"/>
          </w:tcPr>
          <w:p w14:paraId="3B56601A" w14:textId="77777777" w:rsidR="00C0486B" w:rsidRPr="00463467" w:rsidRDefault="00C0486B" w:rsidP="00C0486B">
            <w:pPr>
              <w:keepNext/>
              <w:keepLines/>
              <w:spacing w:before="100" w:after="40"/>
              <w:jc w:val="center"/>
              <w:rPr>
                <w:sz w:val="24"/>
                <w:szCs w:val="24"/>
              </w:rPr>
            </w:pPr>
            <w:r w:rsidRPr="00463467">
              <w:rPr>
                <w:sz w:val="24"/>
                <w:szCs w:val="24"/>
              </w:rPr>
              <w:t>325199</w:t>
            </w:r>
          </w:p>
        </w:tc>
        <w:tc>
          <w:tcPr>
            <w:tcW w:w="0" w:type="auto"/>
            <w:shd w:val="clear" w:color="auto" w:fill="auto"/>
          </w:tcPr>
          <w:p w14:paraId="7BB19671" w14:textId="77777777" w:rsidR="00C0486B" w:rsidRPr="00463467" w:rsidRDefault="00C0486B" w:rsidP="00C0486B">
            <w:pPr>
              <w:keepNext/>
              <w:keepLines/>
              <w:spacing w:before="100" w:after="40"/>
              <w:jc w:val="center"/>
              <w:rPr>
                <w:sz w:val="24"/>
                <w:szCs w:val="24"/>
              </w:rPr>
            </w:pPr>
            <w:r w:rsidRPr="00463467">
              <w:rPr>
                <w:sz w:val="24"/>
                <w:szCs w:val="24"/>
              </w:rPr>
              <w:t>2869</w:t>
            </w:r>
          </w:p>
        </w:tc>
      </w:tr>
      <w:tr w:rsidR="00C0486B" w:rsidRPr="00463467" w14:paraId="3F4130A1" w14:textId="77777777" w:rsidTr="001F32F2">
        <w:trPr>
          <w:cantSplit/>
        </w:trPr>
        <w:tc>
          <w:tcPr>
            <w:tcW w:w="0" w:type="auto"/>
            <w:shd w:val="clear" w:color="auto" w:fill="auto"/>
          </w:tcPr>
          <w:p w14:paraId="06E5B319" w14:textId="77777777" w:rsidR="00C0486B" w:rsidRPr="00463467" w:rsidRDefault="00C0486B" w:rsidP="00C0486B">
            <w:pPr>
              <w:keepNext/>
              <w:keepLines/>
              <w:spacing w:before="100" w:after="40"/>
              <w:rPr>
                <w:sz w:val="24"/>
                <w:szCs w:val="24"/>
              </w:rPr>
            </w:pPr>
            <w:r w:rsidRPr="00463467">
              <w:rPr>
                <w:sz w:val="24"/>
                <w:szCs w:val="24"/>
              </w:rPr>
              <w:t>Natural gas liquids pipelines, refined petroleum products pipelines.</w:t>
            </w:r>
          </w:p>
        </w:tc>
        <w:tc>
          <w:tcPr>
            <w:tcW w:w="0" w:type="auto"/>
          </w:tcPr>
          <w:p w14:paraId="3514681A" w14:textId="77777777" w:rsidR="00C0486B" w:rsidRPr="00463467" w:rsidRDefault="00C0486B" w:rsidP="00C0486B">
            <w:pPr>
              <w:keepNext/>
              <w:keepLines/>
              <w:spacing w:before="100" w:after="40"/>
              <w:jc w:val="center"/>
              <w:rPr>
                <w:sz w:val="24"/>
                <w:szCs w:val="24"/>
              </w:rPr>
            </w:pPr>
            <w:r w:rsidRPr="00463467">
              <w:rPr>
                <w:sz w:val="24"/>
                <w:szCs w:val="24"/>
              </w:rPr>
              <w:t>486910</w:t>
            </w:r>
          </w:p>
        </w:tc>
        <w:tc>
          <w:tcPr>
            <w:tcW w:w="0" w:type="auto"/>
            <w:shd w:val="clear" w:color="auto" w:fill="auto"/>
          </w:tcPr>
          <w:p w14:paraId="6AEA72C0" w14:textId="77777777" w:rsidR="00C0486B" w:rsidRPr="00463467" w:rsidRDefault="00C0486B" w:rsidP="00C0486B">
            <w:pPr>
              <w:keepNext/>
              <w:keepLines/>
              <w:spacing w:before="100" w:after="40"/>
              <w:jc w:val="center"/>
              <w:rPr>
                <w:sz w:val="24"/>
                <w:szCs w:val="24"/>
              </w:rPr>
            </w:pPr>
            <w:r w:rsidRPr="00463467">
              <w:rPr>
                <w:sz w:val="24"/>
                <w:szCs w:val="24"/>
              </w:rPr>
              <w:t>4613</w:t>
            </w:r>
          </w:p>
        </w:tc>
      </w:tr>
      <w:tr w:rsidR="00C0486B" w:rsidRPr="00463467" w14:paraId="12FF333A" w14:textId="77777777" w:rsidTr="001F32F2">
        <w:trPr>
          <w:cantSplit/>
        </w:trPr>
        <w:tc>
          <w:tcPr>
            <w:tcW w:w="0" w:type="auto"/>
            <w:shd w:val="clear" w:color="auto" w:fill="auto"/>
          </w:tcPr>
          <w:p w14:paraId="42F35426" w14:textId="77777777" w:rsidR="00C0486B" w:rsidRPr="00463467" w:rsidRDefault="00C0486B" w:rsidP="00C0486B">
            <w:pPr>
              <w:keepNext/>
              <w:keepLines/>
              <w:spacing w:before="100" w:after="40"/>
              <w:rPr>
                <w:sz w:val="24"/>
                <w:szCs w:val="24"/>
              </w:rPr>
            </w:pPr>
            <w:r w:rsidRPr="00463467">
              <w:rPr>
                <w:sz w:val="24"/>
                <w:szCs w:val="24"/>
              </w:rPr>
              <w:t>Chemical and allied products merchant wholesalers</w:t>
            </w:r>
          </w:p>
        </w:tc>
        <w:tc>
          <w:tcPr>
            <w:tcW w:w="0" w:type="auto"/>
          </w:tcPr>
          <w:p w14:paraId="0BF01079" w14:textId="77777777" w:rsidR="00C0486B" w:rsidRPr="00463467" w:rsidRDefault="00C0486B" w:rsidP="00C0486B">
            <w:pPr>
              <w:keepNext/>
              <w:keepLines/>
              <w:spacing w:before="100" w:after="40"/>
              <w:jc w:val="center"/>
              <w:rPr>
                <w:sz w:val="24"/>
                <w:szCs w:val="24"/>
              </w:rPr>
            </w:pPr>
            <w:r w:rsidRPr="00463467">
              <w:rPr>
                <w:sz w:val="24"/>
                <w:szCs w:val="24"/>
              </w:rPr>
              <w:t>424690</w:t>
            </w:r>
          </w:p>
        </w:tc>
        <w:tc>
          <w:tcPr>
            <w:tcW w:w="0" w:type="auto"/>
            <w:shd w:val="clear" w:color="auto" w:fill="auto"/>
          </w:tcPr>
          <w:p w14:paraId="13B49D32" w14:textId="77777777" w:rsidR="00C0486B" w:rsidRPr="00463467" w:rsidRDefault="00C0486B" w:rsidP="00C0486B">
            <w:pPr>
              <w:keepNext/>
              <w:keepLines/>
              <w:spacing w:before="100" w:after="40"/>
              <w:jc w:val="center"/>
              <w:rPr>
                <w:sz w:val="24"/>
                <w:szCs w:val="24"/>
              </w:rPr>
            </w:pPr>
            <w:r w:rsidRPr="00463467">
              <w:rPr>
                <w:sz w:val="24"/>
                <w:szCs w:val="24"/>
              </w:rPr>
              <w:t>5169</w:t>
            </w:r>
          </w:p>
        </w:tc>
      </w:tr>
      <w:tr w:rsidR="00C0486B" w:rsidRPr="00463467" w14:paraId="4997E122" w14:textId="77777777" w:rsidTr="001F32F2">
        <w:trPr>
          <w:cantSplit/>
        </w:trPr>
        <w:tc>
          <w:tcPr>
            <w:tcW w:w="0" w:type="auto"/>
            <w:shd w:val="clear" w:color="auto" w:fill="auto"/>
          </w:tcPr>
          <w:p w14:paraId="635CE40D" w14:textId="77777777" w:rsidR="00C0486B" w:rsidRPr="00463467" w:rsidRDefault="00C0486B" w:rsidP="00C0486B">
            <w:pPr>
              <w:keepNext/>
              <w:keepLines/>
              <w:spacing w:before="100" w:after="40"/>
              <w:rPr>
                <w:sz w:val="24"/>
                <w:szCs w:val="24"/>
              </w:rPr>
            </w:pPr>
            <w:r w:rsidRPr="00463467">
              <w:rPr>
                <w:sz w:val="24"/>
                <w:szCs w:val="24"/>
              </w:rPr>
              <w:t>Manufacturers of gasoline additives</w:t>
            </w:r>
          </w:p>
        </w:tc>
        <w:tc>
          <w:tcPr>
            <w:tcW w:w="0" w:type="auto"/>
          </w:tcPr>
          <w:p w14:paraId="7DA5B876" w14:textId="77777777" w:rsidR="00C0486B" w:rsidRPr="00463467" w:rsidRDefault="00C0486B" w:rsidP="00C0486B">
            <w:pPr>
              <w:keepNext/>
              <w:keepLines/>
              <w:spacing w:before="100" w:after="40"/>
              <w:jc w:val="center"/>
              <w:rPr>
                <w:sz w:val="24"/>
                <w:szCs w:val="24"/>
              </w:rPr>
            </w:pPr>
            <w:r w:rsidRPr="00463467">
              <w:rPr>
                <w:sz w:val="24"/>
                <w:szCs w:val="24"/>
              </w:rPr>
              <w:t>325199</w:t>
            </w:r>
          </w:p>
        </w:tc>
        <w:tc>
          <w:tcPr>
            <w:tcW w:w="0" w:type="auto"/>
            <w:shd w:val="clear" w:color="auto" w:fill="auto"/>
          </w:tcPr>
          <w:p w14:paraId="59A27CBA" w14:textId="77777777" w:rsidR="00C0486B" w:rsidRPr="00463467" w:rsidRDefault="00C0486B" w:rsidP="00C0486B">
            <w:pPr>
              <w:keepNext/>
              <w:keepLines/>
              <w:spacing w:before="100" w:after="40"/>
              <w:jc w:val="center"/>
              <w:rPr>
                <w:sz w:val="24"/>
                <w:szCs w:val="24"/>
              </w:rPr>
            </w:pPr>
            <w:r w:rsidRPr="00463467">
              <w:rPr>
                <w:sz w:val="24"/>
                <w:szCs w:val="24"/>
              </w:rPr>
              <w:t>2869</w:t>
            </w:r>
          </w:p>
        </w:tc>
      </w:tr>
      <w:tr w:rsidR="00C0486B" w:rsidRPr="00463467" w14:paraId="13C0FEF4" w14:textId="77777777" w:rsidTr="001F32F2">
        <w:trPr>
          <w:cantSplit/>
        </w:trPr>
        <w:tc>
          <w:tcPr>
            <w:tcW w:w="0" w:type="auto"/>
            <w:shd w:val="clear" w:color="auto" w:fill="auto"/>
          </w:tcPr>
          <w:p w14:paraId="62A4AEF7" w14:textId="77777777" w:rsidR="00C0486B" w:rsidRPr="00463467" w:rsidRDefault="00C0486B" w:rsidP="00C0486B">
            <w:pPr>
              <w:keepNext/>
              <w:keepLines/>
              <w:spacing w:before="100" w:after="40"/>
              <w:rPr>
                <w:sz w:val="24"/>
                <w:szCs w:val="24"/>
              </w:rPr>
            </w:pPr>
            <w:r w:rsidRPr="00463467">
              <w:rPr>
                <w:sz w:val="24"/>
                <w:szCs w:val="24"/>
              </w:rPr>
              <w:t>Petroleum bulk stations and terminals</w:t>
            </w:r>
            <w:r>
              <w:rPr>
                <w:sz w:val="24"/>
                <w:szCs w:val="24"/>
              </w:rPr>
              <w:t xml:space="preserve">. </w:t>
            </w:r>
          </w:p>
        </w:tc>
        <w:tc>
          <w:tcPr>
            <w:tcW w:w="0" w:type="auto"/>
          </w:tcPr>
          <w:p w14:paraId="62D91CDC" w14:textId="77777777" w:rsidR="00C0486B" w:rsidRPr="00463467" w:rsidRDefault="00C0486B" w:rsidP="00C0486B">
            <w:pPr>
              <w:keepNext/>
              <w:keepLines/>
              <w:spacing w:before="100" w:after="40"/>
              <w:jc w:val="center"/>
              <w:rPr>
                <w:sz w:val="24"/>
                <w:szCs w:val="24"/>
              </w:rPr>
            </w:pPr>
            <w:r w:rsidRPr="00463467">
              <w:rPr>
                <w:sz w:val="24"/>
                <w:szCs w:val="24"/>
              </w:rPr>
              <w:t>424710</w:t>
            </w:r>
          </w:p>
        </w:tc>
        <w:tc>
          <w:tcPr>
            <w:tcW w:w="0" w:type="auto"/>
            <w:shd w:val="clear" w:color="auto" w:fill="auto"/>
          </w:tcPr>
          <w:p w14:paraId="3E3509AD" w14:textId="77777777" w:rsidR="00C0486B" w:rsidRPr="00463467" w:rsidRDefault="00C0486B" w:rsidP="00C0486B">
            <w:pPr>
              <w:keepNext/>
              <w:keepLines/>
              <w:spacing w:before="100" w:after="40"/>
              <w:jc w:val="center"/>
              <w:rPr>
                <w:sz w:val="24"/>
                <w:szCs w:val="24"/>
              </w:rPr>
            </w:pPr>
            <w:r w:rsidRPr="00463467">
              <w:rPr>
                <w:sz w:val="24"/>
                <w:szCs w:val="24"/>
              </w:rPr>
              <w:t>5171</w:t>
            </w:r>
          </w:p>
        </w:tc>
      </w:tr>
      <w:tr w:rsidR="00C0486B" w:rsidRPr="00463467" w14:paraId="53D68487" w14:textId="77777777" w:rsidTr="001F32F2">
        <w:trPr>
          <w:cantSplit/>
        </w:trPr>
        <w:tc>
          <w:tcPr>
            <w:tcW w:w="0" w:type="auto"/>
            <w:shd w:val="clear" w:color="auto" w:fill="auto"/>
          </w:tcPr>
          <w:p w14:paraId="6E018698" w14:textId="77777777" w:rsidR="00C0486B" w:rsidRPr="00463467" w:rsidRDefault="00C0486B" w:rsidP="00C0486B">
            <w:pPr>
              <w:keepNext/>
              <w:keepLines/>
              <w:spacing w:before="100" w:after="40"/>
              <w:rPr>
                <w:sz w:val="24"/>
                <w:szCs w:val="24"/>
              </w:rPr>
            </w:pPr>
            <w:r w:rsidRPr="00463467">
              <w:rPr>
                <w:sz w:val="24"/>
                <w:szCs w:val="24"/>
              </w:rPr>
              <w:t>Other warehousing and storage-bulk petroleum storage</w:t>
            </w:r>
          </w:p>
        </w:tc>
        <w:tc>
          <w:tcPr>
            <w:tcW w:w="0" w:type="auto"/>
          </w:tcPr>
          <w:p w14:paraId="4B9558A6" w14:textId="77777777" w:rsidR="00C0486B" w:rsidRPr="00463467" w:rsidRDefault="00C0486B" w:rsidP="00C0486B">
            <w:pPr>
              <w:keepNext/>
              <w:keepLines/>
              <w:spacing w:before="100" w:after="40"/>
              <w:jc w:val="center"/>
              <w:rPr>
                <w:sz w:val="24"/>
                <w:szCs w:val="24"/>
              </w:rPr>
            </w:pPr>
            <w:r w:rsidRPr="00463467">
              <w:rPr>
                <w:sz w:val="24"/>
                <w:szCs w:val="24"/>
              </w:rPr>
              <w:t>493190</w:t>
            </w:r>
          </w:p>
        </w:tc>
        <w:tc>
          <w:tcPr>
            <w:tcW w:w="0" w:type="auto"/>
            <w:shd w:val="clear" w:color="auto" w:fill="auto"/>
          </w:tcPr>
          <w:p w14:paraId="3B76B3A5" w14:textId="77777777" w:rsidR="00C0486B" w:rsidRPr="00463467" w:rsidRDefault="00C0486B" w:rsidP="00C0486B">
            <w:pPr>
              <w:keepNext/>
              <w:keepLines/>
              <w:spacing w:before="100" w:after="40"/>
              <w:jc w:val="center"/>
              <w:rPr>
                <w:sz w:val="24"/>
                <w:szCs w:val="24"/>
              </w:rPr>
            </w:pPr>
            <w:r w:rsidRPr="00463467">
              <w:rPr>
                <w:sz w:val="24"/>
                <w:szCs w:val="24"/>
              </w:rPr>
              <w:t>4226</w:t>
            </w:r>
          </w:p>
        </w:tc>
      </w:tr>
      <w:tr w:rsidR="00C0486B" w:rsidRPr="00463467" w14:paraId="385FB7E7" w14:textId="77777777" w:rsidTr="001F32F2">
        <w:trPr>
          <w:cantSplit/>
        </w:trPr>
        <w:tc>
          <w:tcPr>
            <w:tcW w:w="0" w:type="auto"/>
          </w:tcPr>
          <w:p w14:paraId="67A702BC" w14:textId="77777777" w:rsidR="00C0486B" w:rsidRPr="00463467" w:rsidRDefault="00C0486B" w:rsidP="00C0486B">
            <w:pPr>
              <w:keepNext/>
              <w:keepLines/>
              <w:spacing w:before="100"/>
              <w:rPr>
                <w:sz w:val="24"/>
                <w:szCs w:val="24"/>
              </w:rPr>
            </w:pPr>
            <w:r w:rsidRPr="00463467">
              <w:rPr>
                <w:sz w:val="24"/>
                <w:szCs w:val="24"/>
              </w:rPr>
              <w:t>Gasoline Retailers and</w:t>
            </w:r>
          </w:p>
          <w:p w14:paraId="0D20E262" w14:textId="77777777" w:rsidR="00C0486B" w:rsidRPr="00463467" w:rsidRDefault="00C0486B" w:rsidP="00C0486B">
            <w:pPr>
              <w:keepNext/>
              <w:keepLines/>
              <w:spacing w:after="40"/>
              <w:rPr>
                <w:sz w:val="24"/>
                <w:szCs w:val="24"/>
              </w:rPr>
            </w:pPr>
            <w:r w:rsidRPr="00463467">
              <w:rPr>
                <w:sz w:val="24"/>
                <w:szCs w:val="24"/>
              </w:rPr>
              <w:t>Wholesale Purchaser-Consumers</w:t>
            </w:r>
          </w:p>
        </w:tc>
        <w:tc>
          <w:tcPr>
            <w:tcW w:w="0" w:type="auto"/>
          </w:tcPr>
          <w:p w14:paraId="41997549" w14:textId="77777777" w:rsidR="00C0486B" w:rsidRPr="00463467" w:rsidRDefault="00C0486B" w:rsidP="00C0486B">
            <w:pPr>
              <w:keepNext/>
              <w:keepLines/>
              <w:spacing w:before="100"/>
              <w:jc w:val="center"/>
              <w:rPr>
                <w:sz w:val="24"/>
                <w:szCs w:val="24"/>
              </w:rPr>
            </w:pPr>
            <w:r w:rsidRPr="00463467">
              <w:rPr>
                <w:sz w:val="24"/>
                <w:szCs w:val="24"/>
              </w:rPr>
              <w:t>44711</w:t>
            </w:r>
          </w:p>
          <w:p w14:paraId="37354763" w14:textId="77777777" w:rsidR="00C0486B" w:rsidRPr="00463467" w:rsidRDefault="00C0486B" w:rsidP="00C0486B">
            <w:pPr>
              <w:keepNext/>
              <w:keepLines/>
              <w:spacing w:after="40"/>
              <w:jc w:val="center"/>
              <w:rPr>
                <w:sz w:val="24"/>
                <w:szCs w:val="24"/>
              </w:rPr>
            </w:pPr>
            <w:r w:rsidRPr="00463467">
              <w:rPr>
                <w:sz w:val="24"/>
                <w:szCs w:val="24"/>
              </w:rPr>
              <w:t>44719</w:t>
            </w:r>
          </w:p>
        </w:tc>
        <w:tc>
          <w:tcPr>
            <w:tcW w:w="0" w:type="auto"/>
          </w:tcPr>
          <w:p w14:paraId="120080F3" w14:textId="77777777" w:rsidR="00C0486B" w:rsidRPr="00463467" w:rsidRDefault="00C0486B" w:rsidP="00C0486B">
            <w:pPr>
              <w:keepNext/>
              <w:keepLines/>
              <w:spacing w:before="100" w:after="40"/>
              <w:jc w:val="center"/>
              <w:rPr>
                <w:sz w:val="24"/>
                <w:szCs w:val="24"/>
              </w:rPr>
            </w:pPr>
            <w:r w:rsidRPr="00463467">
              <w:rPr>
                <w:sz w:val="24"/>
                <w:szCs w:val="24"/>
              </w:rPr>
              <w:t>5541</w:t>
            </w:r>
          </w:p>
        </w:tc>
      </w:tr>
      <w:tr w:rsidR="00C0486B" w:rsidRPr="00463467" w14:paraId="58C25C1E" w14:textId="77777777" w:rsidTr="001F32F2">
        <w:trPr>
          <w:cantSplit/>
        </w:trPr>
        <w:tc>
          <w:tcPr>
            <w:tcW w:w="0" w:type="auto"/>
          </w:tcPr>
          <w:p w14:paraId="4B1EF9A6" w14:textId="77777777" w:rsidR="00C0486B" w:rsidRPr="00463467" w:rsidRDefault="00C0486B" w:rsidP="00C0486B">
            <w:pPr>
              <w:keepNext/>
              <w:keepLines/>
              <w:spacing w:before="100" w:after="40"/>
              <w:rPr>
                <w:sz w:val="24"/>
                <w:szCs w:val="24"/>
              </w:rPr>
            </w:pPr>
            <w:r w:rsidRPr="00463467">
              <w:rPr>
                <w:sz w:val="24"/>
                <w:szCs w:val="24"/>
              </w:rPr>
              <w:t>Testing Laboratories</w:t>
            </w:r>
          </w:p>
        </w:tc>
        <w:tc>
          <w:tcPr>
            <w:tcW w:w="0" w:type="auto"/>
          </w:tcPr>
          <w:p w14:paraId="7E5C423F" w14:textId="77777777" w:rsidR="00C0486B" w:rsidRPr="00463467" w:rsidRDefault="00C0486B" w:rsidP="00C0486B">
            <w:pPr>
              <w:keepNext/>
              <w:keepLines/>
              <w:spacing w:before="100" w:after="40"/>
              <w:jc w:val="center"/>
              <w:rPr>
                <w:sz w:val="24"/>
                <w:szCs w:val="24"/>
              </w:rPr>
            </w:pPr>
            <w:r w:rsidRPr="00463467">
              <w:rPr>
                <w:sz w:val="24"/>
                <w:szCs w:val="24"/>
              </w:rPr>
              <w:t>54138</w:t>
            </w:r>
          </w:p>
        </w:tc>
        <w:tc>
          <w:tcPr>
            <w:tcW w:w="0" w:type="auto"/>
          </w:tcPr>
          <w:p w14:paraId="34666F23" w14:textId="77777777" w:rsidR="00C0486B" w:rsidRPr="00463467" w:rsidRDefault="00C0486B" w:rsidP="00C0486B">
            <w:pPr>
              <w:keepNext/>
              <w:keepLines/>
              <w:spacing w:before="100" w:after="40"/>
              <w:jc w:val="center"/>
              <w:rPr>
                <w:sz w:val="24"/>
                <w:szCs w:val="24"/>
              </w:rPr>
            </w:pPr>
            <w:r w:rsidRPr="00463467">
              <w:rPr>
                <w:sz w:val="24"/>
                <w:szCs w:val="24"/>
              </w:rPr>
              <w:t>8734</w:t>
            </w:r>
          </w:p>
        </w:tc>
      </w:tr>
    </w:tbl>
    <w:p w14:paraId="3354D2E6" w14:textId="77777777" w:rsidR="00C0486B" w:rsidRPr="00463467" w:rsidRDefault="00C0486B" w:rsidP="00C0486B">
      <w:pPr>
        <w:keepNext/>
        <w:keepLines/>
        <w:rPr>
          <w:sz w:val="24"/>
          <w:szCs w:val="24"/>
        </w:rPr>
      </w:pPr>
      <w:r w:rsidRPr="00463467">
        <w:rPr>
          <w:sz w:val="24"/>
          <w:szCs w:val="24"/>
        </w:rPr>
        <w:t>1) North American Industry Classification System</w:t>
      </w:r>
    </w:p>
    <w:p w14:paraId="582B9FE3" w14:textId="77777777" w:rsidR="00C0486B" w:rsidRPr="00463467" w:rsidRDefault="00C0486B" w:rsidP="00C0486B">
      <w:pPr>
        <w:keepNext/>
        <w:keepLines/>
        <w:rPr>
          <w:sz w:val="24"/>
          <w:szCs w:val="24"/>
        </w:rPr>
      </w:pPr>
      <w:r w:rsidRPr="00463467">
        <w:rPr>
          <w:sz w:val="24"/>
          <w:szCs w:val="24"/>
        </w:rPr>
        <w:t>2) Standard Industrial Classification system</w:t>
      </w:r>
    </w:p>
    <w:p w14:paraId="7070DA42" w14:textId="73447693" w:rsidR="00611E0A" w:rsidRDefault="00611E0A" w:rsidP="00F5139B">
      <w:pPr>
        <w:rPr>
          <w:sz w:val="24"/>
          <w:szCs w:val="24"/>
        </w:rPr>
      </w:pPr>
    </w:p>
    <w:p w14:paraId="7F53CA01" w14:textId="06650768" w:rsidR="00812B98" w:rsidRPr="00463467" w:rsidRDefault="00812B98" w:rsidP="00812B98">
      <w:pPr>
        <w:pStyle w:val="Heading2"/>
      </w:pPr>
      <w:r>
        <w:tab/>
      </w:r>
      <w:r w:rsidRPr="00463467">
        <w:t>4(b)</w:t>
      </w:r>
      <w:r w:rsidRPr="00463467">
        <w:tab/>
        <w:t>Information Requested</w:t>
      </w:r>
    </w:p>
    <w:p w14:paraId="4C798113" w14:textId="30A230BF" w:rsidR="00812B98" w:rsidRPr="00463467" w:rsidRDefault="00812B98" w:rsidP="00812B98">
      <w:pPr>
        <w:rPr>
          <w:sz w:val="24"/>
          <w:szCs w:val="24"/>
        </w:rPr>
      </w:pPr>
    </w:p>
    <w:p w14:paraId="6C59815A" w14:textId="77777777" w:rsidR="00812B98" w:rsidRPr="00463467" w:rsidRDefault="00812B98" w:rsidP="00812B98">
      <w:pPr>
        <w:rPr>
          <w:sz w:val="24"/>
          <w:szCs w:val="24"/>
        </w:rPr>
      </w:pPr>
      <w:r w:rsidRPr="00463467">
        <w:rPr>
          <w:sz w:val="24"/>
          <w:szCs w:val="24"/>
        </w:rPr>
        <w:tab/>
        <w:t>The recordkeeping and reporting requirements applicable to the regulated parties vary depending on their position in the gasoline production, blending and distribution stream and their potential to influence the sulfur content of gasoline</w:t>
      </w:r>
      <w:r>
        <w:rPr>
          <w:sz w:val="24"/>
          <w:szCs w:val="24"/>
        </w:rPr>
        <w:t xml:space="preserve">. </w:t>
      </w:r>
      <w:r w:rsidRPr="00463467">
        <w:rPr>
          <w:sz w:val="24"/>
          <w:szCs w:val="24"/>
        </w:rPr>
        <w:t>The regulated parties are divided into groups (and sub-groups) as indicated in the list below, based on the applicable recordkeeping and reporting requirements.</w:t>
      </w:r>
    </w:p>
    <w:p w14:paraId="40C45687" w14:textId="77777777" w:rsidR="00812B98" w:rsidRPr="00463467" w:rsidRDefault="00812B98" w:rsidP="00812B98">
      <w:pPr>
        <w:rPr>
          <w:sz w:val="24"/>
          <w:szCs w:val="24"/>
        </w:rPr>
      </w:pPr>
    </w:p>
    <w:p w14:paraId="47384432" w14:textId="77777777" w:rsidR="00812B98" w:rsidRPr="00463467" w:rsidRDefault="00812B98" w:rsidP="00812B98">
      <w:pPr>
        <w:tabs>
          <w:tab w:val="left" w:pos="720"/>
        </w:tabs>
        <w:ind w:left="720" w:hanging="720"/>
        <w:rPr>
          <w:sz w:val="24"/>
          <w:szCs w:val="24"/>
        </w:rPr>
      </w:pPr>
      <w:r w:rsidRPr="00463467">
        <w:rPr>
          <w:sz w:val="24"/>
          <w:szCs w:val="24"/>
        </w:rPr>
        <w:t>-</w:t>
      </w:r>
      <w:r w:rsidRPr="00463467">
        <w:rPr>
          <w:sz w:val="24"/>
          <w:szCs w:val="24"/>
        </w:rPr>
        <w:tab/>
        <w:t>Gasoline refiners and importers</w:t>
      </w:r>
    </w:p>
    <w:p w14:paraId="549D131F" w14:textId="77777777" w:rsidR="00812B98" w:rsidRPr="00463467" w:rsidRDefault="00812B98" w:rsidP="00812B98">
      <w:pPr>
        <w:tabs>
          <w:tab w:val="left" w:pos="720"/>
          <w:tab w:val="left" w:pos="1440"/>
        </w:tabs>
        <w:ind w:left="1440" w:hanging="720"/>
        <w:rPr>
          <w:sz w:val="24"/>
          <w:szCs w:val="24"/>
        </w:rPr>
      </w:pPr>
      <w:r w:rsidRPr="00463467">
        <w:rPr>
          <w:sz w:val="24"/>
          <w:szCs w:val="24"/>
        </w:rPr>
        <w:t>-</w:t>
      </w:r>
      <w:r w:rsidRPr="00463467">
        <w:rPr>
          <w:sz w:val="24"/>
          <w:szCs w:val="24"/>
        </w:rPr>
        <w:tab/>
        <w:t>Additional and/or alternative requirements exist if:</w:t>
      </w:r>
    </w:p>
    <w:p w14:paraId="28F367C0" w14:textId="77777777" w:rsidR="00812B98" w:rsidRPr="00463467" w:rsidRDefault="00812B98" w:rsidP="00812B98">
      <w:pPr>
        <w:tabs>
          <w:tab w:val="left" w:pos="720"/>
          <w:tab w:val="left" w:pos="1440"/>
          <w:tab w:val="left" w:pos="2160"/>
        </w:tabs>
        <w:ind w:left="2160" w:hanging="720"/>
        <w:rPr>
          <w:sz w:val="24"/>
          <w:szCs w:val="24"/>
        </w:rPr>
      </w:pPr>
      <w:r w:rsidRPr="00463467">
        <w:rPr>
          <w:sz w:val="24"/>
          <w:szCs w:val="24"/>
        </w:rPr>
        <w:t>-</w:t>
      </w:r>
      <w:r w:rsidRPr="00463467">
        <w:rPr>
          <w:sz w:val="24"/>
          <w:szCs w:val="24"/>
        </w:rPr>
        <w:tab/>
        <w:t>Refiner qualifies and opts to use the small-refiner provisions</w:t>
      </w:r>
    </w:p>
    <w:p w14:paraId="1CE00246" w14:textId="77777777" w:rsidR="00812B98" w:rsidRPr="00463467" w:rsidRDefault="00812B98" w:rsidP="00812B98">
      <w:pPr>
        <w:tabs>
          <w:tab w:val="left" w:pos="720"/>
          <w:tab w:val="left" w:pos="1440"/>
          <w:tab w:val="left" w:pos="2160"/>
        </w:tabs>
        <w:ind w:left="2160" w:hanging="720"/>
        <w:rPr>
          <w:sz w:val="24"/>
          <w:szCs w:val="24"/>
        </w:rPr>
      </w:pPr>
      <w:r w:rsidRPr="00463467">
        <w:rPr>
          <w:sz w:val="24"/>
          <w:szCs w:val="24"/>
        </w:rPr>
        <w:t>-</w:t>
      </w:r>
      <w:r w:rsidRPr="00463467">
        <w:rPr>
          <w:sz w:val="24"/>
          <w:szCs w:val="24"/>
        </w:rPr>
        <w:tab/>
        <w:t xml:space="preserve">Refiner or importer participates in the </w:t>
      </w:r>
      <w:r>
        <w:rPr>
          <w:sz w:val="24"/>
          <w:szCs w:val="24"/>
        </w:rPr>
        <w:t>gasoline sulfur</w:t>
      </w:r>
      <w:r w:rsidRPr="00463467">
        <w:rPr>
          <w:sz w:val="24"/>
          <w:szCs w:val="24"/>
        </w:rPr>
        <w:t xml:space="preserve"> ABT program</w:t>
      </w:r>
    </w:p>
    <w:p w14:paraId="58C402E2" w14:textId="77777777" w:rsidR="00812B98" w:rsidRPr="00463467" w:rsidRDefault="00812B98" w:rsidP="00812B98">
      <w:pPr>
        <w:tabs>
          <w:tab w:val="left" w:pos="720"/>
          <w:tab w:val="left" w:pos="1440"/>
          <w:tab w:val="left" w:pos="2160"/>
        </w:tabs>
        <w:ind w:left="2160" w:hanging="2160"/>
        <w:rPr>
          <w:sz w:val="24"/>
          <w:szCs w:val="24"/>
        </w:rPr>
      </w:pPr>
      <w:r w:rsidRPr="00463467">
        <w:rPr>
          <w:sz w:val="24"/>
          <w:szCs w:val="24"/>
        </w:rPr>
        <w:tab/>
      </w:r>
      <w:r w:rsidRPr="00463467">
        <w:rPr>
          <w:sz w:val="24"/>
          <w:szCs w:val="24"/>
        </w:rPr>
        <w:tab/>
        <w:t>-</w:t>
      </w:r>
      <w:r w:rsidRPr="00463467">
        <w:rPr>
          <w:sz w:val="24"/>
          <w:szCs w:val="24"/>
        </w:rPr>
        <w:tab/>
        <w:t xml:space="preserve">Refiner (including parties who blend gasoline at a terminal facility) produces gasoline by blending </w:t>
      </w:r>
      <w:r>
        <w:rPr>
          <w:sz w:val="24"/>
          <w:szCs w:val="24"/>
        </w:rPr>
        <w:t xml:space="preserve">pentane </w:t>
      </w:r>
      <w:r w:rsidRPr="00463467">
        <w:rPr>
          <w:sz w:val="24"/>
          <w:szCs w:val="24"/>
        </w:rPr>
        <w:t>or other blendstocks into previously certified gasoline</w:t>
      </w:r>
    </w:p>
    <w:p w14:paraId="72AF6E91" w14:textId="77777777" w:rsidR="00812B98" w:rsidRPr="00463467" w:rsidRDefault="00812B98" w:rsidP="00812B98">
      <w:pPr>
        <w:tabs>
          <w:tab w:val="left" w:pos="720"/>
        </w:tabs>
        <w:ind w:left="720" w:hanging="720"/>
        <w:rPr>
          <w:sz w:val="24"/>
          <w:szCs w:val="24"/>
        </w:rPr>
      </w:pPr>
      <w:r w:rsidRPr="00463467">
        <w:rPr>
          <w:sz w:val="24"/>
          <w:szCs w:val="24"/>
        </w:rPr>
        <w:t>-</w:t>
      </w:r>
      <w:r w:rsidRPr="00463467">
        <w:rPr>
          <w:sz w:val="24"/>
          <w:szCs w:val="24"/>
        </w:rPr>
        <w:tab/>
        <w:t>Users of R&amp;D gasoline (testing laboratories)</w:t>
      </w:r>
    </w:p>
    <w:p w14:paraId="4F31A20B" w14:textId="77777777" w:rsidR="00812B98" w:rsidRPr="00463467" w:rsidRDefault="00812B98" w:rsidP="00812B98">
      <w:pPr>
        <w:tabs>
          <w:tab w:val="left" w:pos="720"/>
        </w:tabs>
        <w:ind w:left="720" w:hanging="720"/>
        <w:rPr>
          <w:sz w:val="24"/>
          <w:szCs w:val="24"/>
        </w:rPr>
      </w:pPr>
      <w:r w:rsidRPr="00463467">
        <w:rPr>
          <w:sz w:val="24"/>
          <w:szCs w:val="24"/>
        </w:rPr>
        <w:t>-</w:t>
      </w:r>
      <w:r w:rsidRPr="00463467">
        <w:rPr>
          <w:sz w:val="24"/>
          <w:szCs w:val="24"/>
        </w:rPr>
        <w:tab/>
        <w:t>Denatured fuel ethanol and other oxygenate producers and importers</w:t>
      </w:r>
    </w:p>
    <w:p w14:paraId="3E225318" w14:textId="77777777" w:rsidR="00812B98" w:rsidRPr="00463467" w:rsidRDefault="00812B98" w:rsidP="00812B98">
      <w:pPr>
        <w:tabs>
          <w:tab w:val="left" w:pos="720"/>
        </w:tabs>
        <w:ind w:left="720" w:hanging="720"/>
        <w:rPr>
          <w:sz w:val="24"/>
          <w:szCs w:val="24"/>
        </w:rPr>
      </w:pPr>
      <w:r w:rsidRPr="00463467">
        <w:rPr>
          <w:sz w:val="24"/>
          <w:szCs w:val="24"/>
        </w:rPr>
        <w:t>-</w:t>
      </w:r>
      <w:r w:rsidRPr="00463467">
        <w:rPr>
          <w:sz w:val="24"/>
          <w:szCs w:val="24"/>
        </w:rPr>
        <w:tab/>
        <w:t>Gasoline additive manufacturers</w:t>
      </w:r>
    </w:p>
    <w:p w14:paraId="45DA840E" w14:textId="77777777" w:rsidR="00812B98" w:rsidRPr="00463467" w:rsidRDefault="00812B98" w:rsidP="00812B98">
      <w:pPr>
        <w:tabs>
          <w:tab w:val="left" w:pos="720"/>
        </w:tabs>
        <w:ind w:left="720" w:hanging="720"/>
        <w:rPr>
          <w:sz w:val="24"/>
          <w:szCs w:val="24"/>
        </w:rPr>
      </w:pPr>
      <w:r w:rsidRPr="00463467">
        <w:rPr>
          <w:sz w:val="24"/>
          <w:szCs w:val="24"/>
        </w:rPr>
        <w:t>-</w:t>
      </w:r>
      <w:r w:rsidRPr="00463467">
        <w:rPr>
          <w:sz w:val="24"/>
          <w:szCs w:val="24"/>
        </w:rPr>
        <w:tab/>
        <w:t>Distributors of gasoline, gasoline blendstocks, gasoline additives, oxygenates, and certified ethanol denaturants (gasoline terminals, pipelines, rail carriers, and truckers)</w:t>
      </w:r>
    </w:p>
    <w:p w14:paraId="6B08D9BC" w14:textId="77777777" w:rsidR="00812B98" w:rsidRPr="00463467" w:rsidRDefault="00812B98" w:rsidP="00812B98">
      <w:pPr>
        <w:tabs>
          <w:tab w:val="left" w:pos="720"/>
        </w:tabs>
        <w:ind w:left="720" w:hanging="720"/>
        <w:rPr>
          <w:sz w:val="24"/>
          <w:szCs w:val="24"/>
        </w:rPr>
      </w:pPr>
      <w:r w:rsidRPr="00463467">
        <w:rPr>
          <w:sz w:val="24"/>
          <w:szCs w:val="24"/>
        </w:rPr>
        <w:t>-</w:t>
      </w:r>
      <w:r w:rsidRPr="00463467">
        <w:rPr>
          <w:sz w:val="24"/>
          <w:szCs w:val="24"/>
        </w:rPr>
        <w:tab/>
        <w:t>Gasoline retailers and wholesale purchaser-consumers (WPC)</w:t>
      </w:r>
    </w:p>
    <w:p w14:paraId="4D95FA88" w14:textId="77777777" w:rsidR="00812B98" w:rsidRPr="00463467" w:rsidRDefault="00812B98" w:rsidP="006E4B1C">
      <w:pPr>
        <w:tabs>
          <w:tab w:val="left" w:pos="720"/>
          <w:tab w:val="left" w:pos="1440"/>
        </w:tabs>
        <w:ind w:left="720" w:hanging="720"/>
        <w:rPr>
          <w:sz w:val="24"/>
          <w:szCs w:val="24"/>
        </w:rPr>
      </w:pPr>
      <w:r w:rsidRPr="00463467">
        <w:rPr>
          <w:sz w:val="24"/>
          <w:szCs w:val="24"/>
        </w:rPr>
        <w:t>-</w:t>
      </w:r>
      <w:r w:rsidRPr="00463467">
        <w:rPr>
          <w:sz w:val="24"/>
          <w:szCs w:val="24"/>
        </w:rPr>
        <w:tab/>
        <w:t>Additional requirements exist for retailers and WPCs of exempted R&amp;D gasoline</w:t>
      </w:r>
    </w:p>
    <w:p w14:paraId="2485DEDD" w14:textId="480F8AF7" w:rsidR="00C0486B" w:rsidRDefault="00C0486B" w:rsidP="00F5139B">
      <w:pPr>
        <w:rPr>
          <w:sz w:val="24"/>
          <w:szCs w:val="24"/>
        </w:rPr>
      </w:pPr>
    </w:p>
    <w:p w14:paraId="1752F0D0" w14:textId="7B46E2A8" w:rsidR="00812B98" w:rsidRDefault="00812B98" w:rsidP="00812B98">
      <w:pPr>
        <w:pStyle w:val="Heading3"/>
      </w:pPr>
      <w:r w:rsidRPr="00812B98">
        <w:rPr>
          <w:i w:val="0"/>
        </w:rPr>
        <w:tab/>
        <w:t>(</w:t>
      </w:r>
      <w:r>
        <w:t>i)</w:t>
      </w:r>
      <w:r>
        <w:tab/>
      </w:r>
      <w:r w:rsidRPr="00463467">
        <w:t>Data items, including recordkeeping requirements</w:t>
      </w:r>
    </w:p>
    <w:p w14:paraId="31DDEF80" w14:textId="697239BF" w:rsidR="00812B98" w:rsidRDefault="00812B98" w:rsidP="00812B98"/>
    <w:p w14:paraId="5C9E4A79" w14:textId="77777777" w:rsidR="00812B98" w:rsidRPr="00463467" w:rsidRDefault="00812B98" w:rsidP="00812B98">
      <w:pPr>
        <w:rPr>
          <w:sz w:val="24"/>
          <w:szCs w:val="24"/>
        </w:rPr>
      </w:pPr>
      <w:r w:rsidRPr="00463467">
        <w:rPr>
          <w:sz w:val="24"/>
          <w:szCs w:val="24"/>
        </w:rPr>
        <w:tab/>
        <w:t>The information collection requirements are categorized in the following lists according to which regulated parties they apply</w:t>
      </w:r>
      <w:r>
        <w:rPr>
          <w:sz w:val="24"/>
          <w:szCs w:val="24"/>
        </w:rPr>
        <w:t xml:space="preserve">. </w:t>
      </w:r>
      <w:r w:rsidRPr="00463467">
        <w:rPr>
          <w:sz w:val="24"/>
          <w:szCs w:val="24"/>
        </w:rPr>
        <w:t xml:space="preserve">Certain requirements, such as the PTD requirements, </w:t>
      </w:r>
      <w:r>
        <w:rPr>
          <w:sz w:val="24"/>
          <w:szCs w:val="24"/>
        </w:rPr>
        <w:t>are</w:t>
      </w:r>
      <w:r w:rsidRPr="00463467">
        <w:rPr>
          <w:sz w:val="24"/>
          <w:szCs w:val="24"/>
        </w:rPr>
        <w:t xml:space="preserve"> broadly applicable to most parties who transfer gasoline, gasoline blendstocks, gasoline additives, oxygenates, and certified ethanol denaturants</w:t>
      </w:r>
      <w:r>
        <w:rPr>
          <w:sz w:val="24"/>
          <w:szCs w:val="24"/>
        </w:rPr>
        <w:t xml:space="preserve">. </w:t>
      </w:r>
      <w:r w:rsidRPr="00463467">
        <w:rPr>
          <w:sz w:val="24"/>
          <w:szCs w:val="24"/>
        </w:rPr>
        <w:t>These more generally applicable requirements are discussed separately from the requirements that apply only to specific groups of regulated parties</w:t>
      </w:r>
      <w:r>
        <w:rPr>
          <w:sz w:val="24"/>
          <w:szCs w:val="24"/>
        </w:rPr>
        <w:t xml:space="preserve">. </w:t>
      </w:r>
      <w:r w:rsidRPr="00463467">
        <w:rPr>
          <w:sz w:val="24"/>
          <w:szCs w:val="24"/>
        </w:rPr>
        <w:t>Additional and/or alternative requirements applicable to subgroups of respondents are also discussed separately</w:t>
      </w:r>
      <w:r>
        <w:rPr>
          <w:sz w:val="24"/>
          <w:szCs w:val="24"/>
        </w:rPr>
        <w:t xml:space="preserve">. </w:t>
      </w:r>
      <w:r w:rsidRPr="00463467">
        <w:rPr>
          <w:sz w:val="24"/>
          <w:szCs w:val="24"/>
        </w:rPr>
        <w:t>Where a regulated party is not specifically mentioned, only the most broadly applicable requirements apply.</w:t>
      </w:r>
    </w:p>
    <w:p w14:paraId="5981ADD1" w14:textId="50083C3E" w:rsidR="00812B98" w:rsidRDefault="00812B98" w:rsidP="00812B98">
      <w:pPr>
        <w:rPr>
          <w:sz w:val="24"/>
          <w:szCs w:val="24"/>
        </w:rPr>
      </w:pPr>
    </w:p>
    <w:p w14:paraId="63FB6992" w14:textId="143521BE" w:rsidR="00EF72BC" w:rsidRDefault="00EF72BC" w:rsidP="00812B98">
      <w:pPr>
        <w:rPr>
          <w:sz w:val="24"/>
          <w:szCs w:val="24"/>
        </w:rPr>
      </w:pPr>
    </w:p>
    <w:p w14:paraId="2EB72BFD" w14:textId="441F59D5" w:rsidR="00EF72BC" w:rsidRPr="00463467" w:rsidRDefault="00EF72BC" w:rsidP="00EF72BC">
      <w:pPr>
        <w:pStyle w:val="Heading4"/>
      </w:pPr>
      <w:r>
        <w:tab/>
      </w:r>
      <w:r w:rsidRPr="00463467">
        <w:t>(A)</w:t>
      </w:r>
      <w:r w:rsidRPr="00463467">
        <w:tab/>
        <w:t>Broadly-Applicable Requirements</w:t>
      </w:r>
    </w:p>
    <w:p w14:paraId="555C344A" w14:textId="384AA817" w:rsidR="00EF72BC" w:rsidRDefault="00EF72BC" w:rsidP="00812B98"/>
    <w:p w14:paraId="01DA3A04" w14:textId="6F295559" w:rsidR="00EF72BC" w:rsidRPr="00463467" w:rsidRDefault="00EF72BC" w:rsidP="00EF72BC">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463467">
        <w:rPr>
          <w:sz w:val="24"/>
          <w:szCs w:val="24"/>
        </w:rPr>
        <w:t xml:space="preserve">The following requirements apply broadly to </w:t>
      </w:r>
      <w:r w:rsidR="00963521" w:rsidRPr="00463467">
        <w:rPr>
          <w:sz w:val="24"/>
          <w:szCs w:val="24"/>
        </w:rPr>
        <w:t>all</w:t>
      </w:r>
      <w:r w:rsidRPr="00463467">
        <w:rPr>
          <w:sz w:val="24"/>
          <w:szCs w:val="24"/>
        </w:rPr>
        <w:t xml:space="preserve"> the regulated parties listed above</w:t>
      </w:r>
      <w:r>
        <w:rPr>
          <w:sz w:val="24"/>
          <w:szCs w:val="24"/>
        </w:rPr>
        <w:t xml:space="preserve">. </w:t>
      </w:r>
      <w:r w:rsidRPr="00463467">
        <w:rPr>
          <w:sz w:val="24"/>
          <w:szCs w:val="24"/>
        </w:rPr>
        <w:t>The responsibilities of fuel distributors (gasoline terminals, pipelines, and carriers) and gasoline retailers and WPCs are primarily related to compliance with the following broadly applicable requirements</w:t>
      </w:r>
      <w:r>
        <w:rPr>
          <w:sz w:val="24"/>
          <w:szCs w:val="24"/>
        </w:rPr>
        <w:t xml:space="preserve">. </w:t>
      </w:r>
      <w:r w:rsidRPr="00463467">
        <w:rPr>
          <w:sz w:val="24"/>
          <w:szCs w:val="24"/>
        </w:rPr>
        <w:t>Some terminal or other facility operators</w:t>
      </w:r>
      <w:r>
        <w:rPr>
          <w:sz w:val="24"/>
          <w:szCs w:val="24"/>
        </w:rPr>
        <w:t xml:space="preserve"> produce gasoline by</w:t>
      </w:r>
      <w:r w:rsidRPr="00463467">
        <w:rPr>
          <w:sz w:val="24"/>
          <w:szCs w:val="24"/>
        </w:rPr>
        <w:t xml:space="preserve"> blend</w:t>
      </w:r>
      <w:r>
        <w:rPr>
          <w:sz w:val="24"/>
          <w:szCs w:val="24"/>
        </w:rPr>
        <w:t>ing</w:t>
      </w:r>
      <w:r w:rsidRPr="00463467">
        <w:rPr>
          <w:sz w:val="24"/>
          <w:szCs w:val="24"/>
        </w:rPr>
        <w:t xml:space="preserve"> butane</w:t>
      </w:r>
      <w:r>
        <w:rPr>
          <w:sz w:val="24"/>
          <w:szCs w:val="24"/>
        </w:rPr>
        <w:t>, pentane</w:t>
      </w:r>
      <w:r w:rsidRPr="00463467">
        <w:rPr>
          <w:sz w:val="24"/>
          <w:szCs w:val="24"/>
        </w:rPr>
        <w:t xml:space="preserve"> or other blendstocks into previously certified gasoline</w:t>
      </w:r>
      <w:r>
        <w:rPr>
          <w:sz w:val="24"/>
          <w:szCs w:val="24"/>
        </w:rPr>
        <w:t xml:space="preserve">. </w:t>
      </w:r>
      <w:r w:rsidRPr="00463467">
        <w:rPr>
          <w:sz w:val="24"/>
          <w:szCs w:val="24"/>
        </w:rPr>
        <w:t>These gasoline producers are considered refiners under the sulfur program, and are discussed under the requirements for refiners</w:t>
      </w:r>
      <w:r>
        <w:rPr>
          <w:sz w:val="24"/>
          <w:szCs w:val="24"/>
        </w:rPr>
        <w:t xml:space="preserve">. </w:t>
      </w:r>
      <w:r w:rsidRPr="00463467">
        <w:rPr>
          <w:sz w:val="24"/>
          <w:szCs w:val="24"/>
        </w:rPr>
        <w:t>Unless specifically noted, the PTD requirements listed below do not result in any new activities for fuel distributors, retailers, and WPCs.</w:t>
      </w:r>
    </w:p>
    <w:p w14:paraId="231F4D9A" w14:textId="528898F3" w:rsidR="00EF72BC" w:rsidRDefault="00EF72BC" w:rsidP="00812B98"/>
    <w:p w14:paraId="0013AFF5" w14:textId="074408BA" w:rsidR="00EF72BC" w:rsidRPr="00463467" w:rsidRDefault="00EF72BC" w:rsidP="00EF72BC">
      <w:pPr>
        <w:numPr>
          <w:ilvl w:val="12"/>
          <w:numId w:val="0"/>
        </w:numPr>
        <w:tabs>
          <w:tab w:val="left" w:pos="-1440"/>
          <w:tab w:val="left" w:pos="-720"/>
          <w:tab w:val="left" w:pos="0"/>
          <w:tab w:val="left" w:pos="36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63467">
        <w:rPr>
          <w:sz w:val="24"/>
          <w:szCs w:val="24"/>
        </w:rPr>
        <w:t xml:space="preserve">-  </w:t>
      </w:r>
      <w:r w:rsidRPr="00463467">
        <w:rPr>
          <w:sz w:val="24"/>
          <w:szCs w:val="24"/>
        </w:rPr>
        <w:tab/>
      </w:r>
      <w:r w:rsidR="00747EEE">
        <w:rPr>
          <w:sz w:val="24"/>
          <w:szCs w:val="24"/>
          <w:u w:val="single"/>
        </w:rPr>
        <w:t>Product transfer documents (PTDs)</w:t>
      </w:r>
      <w:r w:rsidR="00747EEE">
        <w:rPr>
          <w:sz w:val="24"/>
          <w:szCs w:val="24"/>
        </w:rPr>
        <w:t xml:space="preserve">. </w:t>
      </w:r>
      <w:r w:rsidRPr="00463467">
        <w:rPr>
          <w:sz w:val="24"/>
          <w:szCs w:val="24"/>
        </w:rPr>
        <w:t xml:space="preserve">The Tier 3 </w:t>
      </w:r>
      <w:r w:rsidR="00B96036">
        <w:rPr>
          <w:sz w:val="24"/>
          <w:szCs w:val="24"/>
        </w:rPr>
        <w:t>regulations</w:t>
      </w:r>
      <w:r w:rsidRPr="00463467">
        <w:rPr>
          <w:sz w:val="24"/>
          <w:szCs w:val="24"/>
        </w:rPr>
        <w:t xml:space="preserve"> require persons who manufacture, import, sell, offer for sale, dispense, distribute, supply, offer for supply, store, or transport gasoline, gasoline blendstocks, gasoline additives, oxygenates, or certified ethanol denaturants to provide a PTDs to accompany each transfer of the product.</w:t>
      </w:r>
      <w:r w:rsidR="0046356B">
        <w:rPr>
          <w:rStyle w:val="FootnoteReference"/>
          <w:sz w:val="24"/>
          <w:szCs w:val="24"/>
        </w:rPr>
        <w:footnoteReference w:id="4"/>
      </w:r>
    </w:p>
    <w:p w14:paraId="5D608FE5" w14:textId="57D1E1B0" w:rsidR="00EF72BC" w:rsidRDefault="00EF72BC" w:rsidP="00812B98"/>
    <w:p w14:paraId="5224EE0F" w14:textId="65FE80DF" w:rsidR="00747EEE" w:rsidRPr="00463467" w:rsidRDefault="00747EEE" w:rsidP="00747EEE">
      <w:pPr>
        <w:numPr>
          <w:ilvl w:val="12"/>
          <w:numId w:val="0"/>
        </w:numPr>
        <w:tabs>
          <w:tab w:val="left" w:pos="-1440"/>
          <w:tab w:val="left" w:pos="-720"/>
          <w:tab w:val="left" w:pos="0"/>
          <w:tab w:val="left" w:pos="36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63467">
        <w:rPr>
          <w:sz w:val="24"/>
          <w:szCs w:val="24"/>
        </w:rPr>
        <w:t>-</w:t>
      </w:r>
      <w:r w:rsidRPr="00463467">
        <w:rPr>
          <w:sz w:val="24"/>
          <w:szCs w:val="24"/>
        </w:rPr>
        <w:tab/>
      </w:r>
      <w:r>
        <w:rPr>
          <w:sz w:val="24"/>
          <w:szCs w:val="24"/>
          <w:u w:val="single"/>
        </w:rPr>
        <w:t>Sampling and</w:t>
      </w:r>
      <w:r w:rsidRPr="00747EEE">
        <w:rPr>
          <w:sz w:val="24"/>
          <w:szCs w:val="24"/>
          <w:u w:val="single"/>
        </w:rPr>
        <w:t xml:space="preserve"> testing</w:t>
      </w:r>
      <w:r>
        <w:rPr>
          <w:sz w:val="24"/>
          <w:szCs w:val="24"/>
        </w:rPr>
        <w:t xml:space="preserve">. </w:t>
      </w:r>
      <w:r w:rsidRPr="00747EEE">
        <w:rPr>
          <w:sz w:val="24"/>
          <w:szCs w:val="24"/>
        </w:rPr>
        <w:t>Under</w:t>
      </w:r>
      <w:r w:rsidRPr="00463467">
        <w:rPr>
          <w:sz w:val="24"/>
          <w:szCs w:val="24"/>
        </w:rPr>
        <w:t xml:space="preserve"> the Tier 3 </w:t>
      </w:r>
      <w:r w:rsidR="00B96036">
        <w:rPr>
          <w:sz w:val="24"/>
          <w:szCs w:val="24"/>
        </w:rPr>
        <w:t>regulations</w:t>
      </w:r>
      <w:r w:rsidRPr="00463467">
        <w:rPr>
          <w:sz w:val="24"/>
          <w:szCs w:val="24"/>
        </w:rPr>
        <w:t xml:space="preserve">, any party that </w:t>
      </w:r>
      <w:r>
        <w:rPr>
          <w:sz w:val="24"/>
          <w:szCs w:val="24"/>
        </w:rPr>
        <w:t>is</w:t>
      </w:r>
      <w:r w:rsidRPr="00463467">
        <w:rPr>
          <w:sz w:val="24"/>
          <w:szCs w:val="24"/>
        </w:rPr>
        <w:t xml:space="preserve"> required to conduct sampling and testing for sulfur content </w:t>
      </w:r>
      <w:r>
        <w:rPr>
          <w:sz w:val="24"/>
          <w:szCs w:val="24"/>
        </w:rPr>
        <w:t>must</w:t>
      </w:r>
      <w:r w:rsidRPr="00463467">
        <w:rPr>
          <w:sz w:val="24"/>
          <w:szCs w:val="24"/>
        </w:rPr>
        <w:t xml:space="preserve"> retain records regarding:</w:t>
      </w:r>
    </w:p>
    <w:p w14:paraId="6DCD902F" w14:textId="321C95B6" w:rsidR="00747EEE" w:rsidRPr="00463467" w:rsidRDefault="00747EEE" w:rsidP="00747EE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The location, date, time, tank or storage tank identification for each sample collected</w:t>
      </w:r>
      <w:r>
        <w:rPr>
          <w:sz w:val="24"/>
          <w:szCs w:val="24"/>
        </w:rPr>
        <w:t>;</w:t>
      </w:r>
    </w:p>
    <w:p w14:paraId="02215A02" w14:textId="2A835E24" w:rsidR="00747EEE" w:rsidRPr="00463467" w:rsidRDefault="00747EEE" w:rsidP="00747EE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The name and title of the person who collected the sample and the person who performed the testing</w:t>
      </w:r>
      <w:r>
        <w:rPr>
          <w:sz w:val="24"/>
          <w:szCs w:val="24"/>
        </w:rPr>
        <w:t>; and</w:t>
      </w:r>
    </w:p>
    <w:p w14:paraId="5486A6D0" w14:textId="0CBF67B1" w:rsidR="00747EEE" w:rsidRPr="00463467" w:rsidRDefault="00747EEE" w:rsidP="00747EE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The results of the test as originally printed or recorded, and any record which contains a result that is not identical to the originally printed or recorded test</w:t>
      </w:r>
      <w:r>
        <w:rPr>
          <w:sz w:val="24"/>
          <w:szCs w:val="24"/>
        </w:rPr>
        <w:t>.</w:t>
      </w:r>
    </w:p>
    <w:p w14:paraId="29CC0BAF" w14:textId="1A4F6049" w:rsidR="00747EEE" w:rsidRDefault="00747EEE" w:rsidP="00812B98"/>
    <w:p w14:paraId="55496D8C" w14:textId="74178590" w:rsidR="00747EEE" w:rsidRPr="00463467" w:rsidRDefault="00747EEE" w:rsidP="00747EEE">
      <w:pPr>
        <w:numPr>
          <w:ilvl w:val="12"/>
          <w:numId w:val="0"/>
        </w:numPr>
        <w:tabs>
          <w:tab w:val="left" w:pos="-720"/>
          <w:tab w:val="left" w:pos="0"/>
          <w:tab w:val="left" w:pos="1080"/>
          <w:tab w:val="left" w:pos="117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63467">
        <w:rPr>
          <w:sz w:val="24"/>
          <w:szCs w:val="24"/>
        </w:rPr>
        <w:t>-</w:t>
      </w:r>
      <w:r w:rsidRPr="00463467">
        <w:rPr>
          <w:sz w:val="24"/>
          <w:szCs w:val="24"/>
        </w:rPr>
        <w:tab/>
      </w:r>
      <w:r>
        <w:rPr>
          <w:sz w:val="24"/>
          <w:szCs w:val="24"/>
          <w:u w:val="single"/>
        </w:rPr>
        <w:t xml:space="preserve">Affirmative </w:t>
      </w:r>
      <w:r w:rsidRPr="00747EEE">
        <w:rPr>
          <w:sz w:val="24"/>
          <w:szCs w:val="24"/>
          <w:u w:val="single"/>
        </w:rPr>
        <w:t>defenses</w:t>
      </w:r>
      <w:r>
        <w:rPr>
          <w:sz w:val="24"/>
          <w:szCs w:val="24"/>
        </w:rPr>
        <w:t xml:space="preserve">. </w:t>
      </w:r>
      <w:r w:rsidRPr="00747EEE">
        <w:rPr>
          <w:sz w:val="24"/>
          <w:szCs w:val="24"/>
        </w:rPr>
        <w:t>For</w:t>
      </w:r>
      <w:r w:rsidRPr="00463467">
        <w:rPr>
          <w:sz w:val="24"/>
          <w:szCs w:val="24"/>
        </w:rPr>
        <w:t xml:space="preserve"> purposes of establishing an affirmative defense to a violation, parties other than retailers or wholesale purchaser-consumers </w:t>
      </w:r>
      <w:r>
        <w:rPr>
          <w:sz w:val="24"/>
          <w:szCs w:val="24"/>
        </w:rPr>
        <w:t>will</w:t>
      </w:r>
      <w:r w:rsidRPr="00463467">
        <w:rPr>
          <w:sz w:val="24"/>
          <w:szCs w:val="24"/>
        </w:rPr>
        <w:t xml:space="preserve"> be required to provide business records documenting the following:</w:t>
      </w:r>
    </w:p>
    <w:p w14:paraId="7CFC8320" w14:textId="770D5CF8" w:rsidR="00747EEE" w:rsidRPr="00463467" w:rsidRDefault="00747EEE" w:rsidP="00747EE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A periodic sampling and testing program designed to ensure that the gasoline meets the applicable sulfur standard</w:t>
      </w:r>
      <w:r>
        <w:rPr>
          <w:sz w:val="24"/>
          <w:szCs w:val="24"/>
        </w:rPr>
        <w:t>; and</w:t>
      </w:r>
    </w:p>
    <w:p w14:paraId="7E3F58B5" w14:textId="578575E5" w:rsidR="00747EEE" w:rsidRPr="00463467" w:rsidRDefault="00747EEE" w:rsidP="00747EE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 xml:space="preserve">On each occasion that the gasoline is found not to </w:t>
      </w:r>
      <w:r w:rsidR="00963521">
        <w:rPr>
          <w:sz w:val="24"/>
          <w:szCs w:val="24"/>
        </w:rPr>
        <w:t>comply</w:t>
      </w:r>
      <w:r w:rsidRPr="00463467">
        <w:rPr>
          <w:sz w:val="24"/>
          <w:szCs w:val="24"/>
        </w:rPr>
        <w:t xml:space="preserve"> with the applicable sulfur standard, the actions taken to stop the sale or distribution of any gasoline found </w:t>
      </w:r>
      <w:r w:rsidR="00963521">
        <w:rPr>
          <w:sz w:val="24"/>
          <w:szCs w:val="24"/>
        </w:rPr>
        <w:t>to be noncompliant</w:t>
      </w:r>
      <w:r w:rsidRPr="00463467">
        <w:rPr>
          <w:sz w:val="24"/>
          <w:szCs w:val="24"/>
        </w:rPr>
        <w:t>, and the actions taken to remedy the violation and the factors that caused the violation (such as removing the non-complying gasoline from the distribution system and taking steps to prevent future violations)</w:t>
      </w:r>
      <w:r>
        <w:rPr>
          <w:sz w:val="24"/>
          <w:szCs w:val="24"/>
        </w:rPr>
        <w:t>.</w:t>
      </w:r>
    </w:p>
    <w:p w14:paraId="722D81F8" w14:textId="673E2B59" w:rsidR="00747EEE" w:rsidRDefault="00747EEE" w:rsidP="00812B98"/>
    <w:p w14:paraId="7414621E" w14:textId="2D5C33F8" w:rsidR="00772F77" w:rsidRPr="00463467" w:rsidRDefault="00772F77" w:rsidP="00772F77">
      <w:pPr>
        <w:numPr>
          <w:ilvl w:val="12"/>
          <w:numId w:val="0"/>
        </w:numPr>
        <w:tabs>
          <w:tab w:val="left" w:pos="-1440"/>
          <w:tab w:val="left" w:pos="-720"/>
          <w:tab w:val="left" w:pos="0"/>
          <w:tab w:val="left" w:pos="1080"/>
          <w:tab w:val="left" w:pos="1440"/>
          <w:tab w:val="left" w:pos="162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iCs/>
          <w:sz w:val="24"/>
          <w:szCs w:val="24"/>
        </w:rPr>
      </w:pPr>
      <w:r w:rsidRPr="00463467">
        <w:rPr>
          <w:sz w:val="24"/>
          <w:szCs w:val="24"/>
        </w:rPr>
        <w:t>-</w:t>
      </w:r>
      <w:r w:rsidRPr="00463467">
        <w:rPr>
          <w:sz w:val="24"/>
          <w:szCs w:val="24"/>
        </w:rPr>
        <w:tab/>
      </w:r>
      <w:r>
        <w:rPr>
          <w:sz w:val="24"/>
          <w:szCs w:val="24"/>
          <w:u w:val="single"/>
        </w:rPr>
        <w:t xml:space="preserve">Record retention </w:t>
      </w:r>
      <w:r w:rsidRPr="00772F77">
        <w:rPr>
          <w:sz w:val="24"/>
          <w:szCs w:val="24"/>
          <w:u w:val="single"/>
        </w:rPr>
        <w:t>period</w:t>
      </w:r>
      <w:r>
        <w:rPr>
          <w:sz w:val="24"/>
          <w:szCs w:val="24"/>
        </w:rPr>
        <w:t xml:space="preserve">. </w:t>
      </w:r>
      <w:r w:rsidRPr="00772F77">
        <w:rPr>
          <w:sz w:val="24"/>
          <w:szCs w:val="24"/>
        </w:rPr>
        <w:t>Records</w:t>
      </w:r>
      <w:r w:rsidRPr="00463467">
        <w:rPr>
          <w:sz w:val="24"/>
          <w:szCs w:val="24"/>
        </w:rPr>
        <w:t xml:space="preserve"> </w:t>
      </w:r>
      <w:r>
        <w:rPr>
          <w:sz w:val="24"/>
          <w:szCs w:val="24"/>
        </w:rPr>
        <w:t>will</w:t>
      </w:r>
      <w:r w:rsidRPr="00463467">
        <w:rPr>
          <w:sz w:val="24"/>
          <w:szCs w:val="24"/>
        </w:rPr>
        <w:t xml:space="preserve"> be required to be maintained for five years from the date they were create with one exception</w:t>
      </w:r>
      <w:r>
        <w:rPr>
          <w:i/>
          <w:iCs/>
          <w:sz w:val="24"/>
          <w:szCs w:val="24"/>
        </w:rPr>
        <w:t xml:space="preserve">. </w:t>
      </w:r>
      <w:r w:rsidRPr="00463467">
        <w:rPr>
          <w:sz w:val="24"/>
          <w:szCs w:val="24"/>
        </w:rPr>
        <w:t xml:space="preserve">Records related to ABT credits </w:t>
      </w:r>
      <w:r>
        <w:rPr>
          <w:sz w:val="24"/>
          <w:szCs w:val="24"/>
        </w:rPr>
        <w:t>will</w:t>
      </w:r>
      <w:r w:rsidRPr="00463467">
        <w:rPr>
          <w:sz w:val="24"/>
          <w:szCs w:val="24"/>
        </w:rPr>
        <w:t xml:space="preserve"> be required to be kept for five years from the date of generation, except where credits are transferred</w:t>
      </w:r>
      <w:r>
        <w:rPr>
          <w:sz w:val="24"/>
          <w:szCs w:val="24"/>
        </w:rPr>
        <w:t xml:space="preserve">. </w:t>
      </w:r>
      <w:r w:rsidRPr="00463467">
        <w:rPr>
          <w:sz w:val="24"/>
          <w:szCs w:val="24"/>
        </w:rPr>
        <w:t xml:space="preserve">In such cases, records </w:t>
      </w:r>
      <w:r>
        <w:rPr>
          <w:sz w:val="24"/>
          <w:szCs w:val="24"/>
        </w:rPr>
        <w:t>will</w:t>
      </w:r>
      <w:r w:rsidRPr="00463467">
        <w:rPr>
          <w:sz w:val="24"/>
          <w:szCs w:val="24"/>
        </w:rPr>
        <w:t xml:space="preserve"> be required to be kept by the transferor for five years from the date of transfer, and by the transferee for five years from the date of transfer, use or termination, whichever is later</w:t>
      </w:r>
      <w:r>
        <w:rPr>
          <w:sz w:val="24"/>
          <w:szCs w:val="24"/>
        </w:rPr>
        <w:t xml:space="preserve">. </w:t>
      </w:r>
      <w:r w:rsidRPr="00463467">
        <w:rPr>
          <w:sz w:val="24"/>
          <w:szCs w:val="24"/>
        </w:rPr>
        <w:t>As a result, in certain circumstances, records related to credits may be required to be maintained for longer than five years from the date of origination</w:t>
      </w:r>
      <w:r>
        <w:rPr>
          <w:sz w:val="24"/>
          <w:szCs w:val="24"/>
        </w:rPr>
        <w:t xml:space="preserve">. </w:t>
      </w:r>
      <w:r w:rsidRPr="00463467">
        <w:rPr>
          <w:sz w:val="24"/>
          <w:szCs w:val="24"/>
        </w:rPr>
        <w:t>This potentially longer retention time is necessary to enable the Agency to determine the legitimacy of credit transfers in the context of an enforcement action</w:t>
      </w:r>
      <w:r>
        <w:rPr>
          <w:sz w:val="24"/>
          <w:szCs w:val="24"/>
        </w:rPr>
        <w:t>.</w:t>
      </w:r>
      <w:r>
        <w:rPr>
          <w:rStyle w:val="FootnoteReference"/>
          <w:sz w:val="24"/>
          <w:szCs w:val="24"/>
        </w:rPr>
        <w:footnoteReference w:id="5"/>
      </w:r>
    </w:p>
    <w:p w14:paraId="5711D145" w14:textId="3C5D0219" w:rsidR="00772F77" w:rsidRDefault="00772F77" w:rsidP="00812B98"/>
    <w:p w14:paraId="25DC7F3E" w14:textId="663CBD60" w:rsidR="00EE780C" w:rsidRPr="00463467" w:rsidRDefault="00EE780C" w:rsidP="00EE780C">
      <w:pPr>
        <w:pStyle w:val="Heading4"/>
      </w:pPr>
      <w:r w:rsidRPr="00463467">
        <w:tab/>
        <w:t>(B)</w:t>
      </w:r>
      <w:r w:rsidRPr="00463467">
        <w:tab/>
        <w:t xml:space="preserve">Requirements Specific to </w:t>
      </w:r>
      <w:r>
        <w:t>Gasoline Refiners and Importers</w:t>
      </w:r>
    </w:p>
    <w:p w14:paraId="57264CA0" w14:textId="4339FD2B" w:rsidR="00EE780C" w:rsidRDefault="00EE780C" w:rsidP="00812B98"/>
    <w:p w14:paraId="2C3DEB5A" w14:textId="77777777" w:rsidR="00EE780C" w:rsidRPr="00463467" w:rsidRDefault="00EE780C" w:rsidP="00EE780C">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The following requirements apply to all refiners and importers:</w:t>
      </w:r>
    </w:p>
    <w:p w14:paraId="22B226AD" w14:textId="20A507B5" w:rsidR="00EE780C" w:rsidRDefault="00EE780C" w:rsidP="00812B98"/>
    <w:p w14:paraId="14B08DF7" w14:textId="78C5D396" w:rsidR="00EE780C" w:rsidRPr="00463467" w:rsidRDefault="00EE780C" w:rsidP="00EE780C">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r>
      <w:r w:rsidR="00130B17" w:rsidRPr="00130B17">
        <w:rPr>
          <w:sz w:val="24"/>
          <w:szCs w:val="24"/>
          <w:u w:val="single"/>
        </w:rPr>
        <w:t>Registration</w:t>
      </w:r>
      <w:r w:rsidR="00130B17">
        <w:rPr>
          <w:sz w:val="24"/>
          <w:szCs w:val="24"/>
        </w:rPr>
        <w:t xml:space="preserve">. </w:t>
      </w:r>
      <w:r w:rsidRPr="00130B17">
        <w:rPr>
          <w:sz w:val="24"/>
          <w:szCs w:val="24"/>
        </w:rPr>
        <w:t>Register</w:t>
      </w:r>
      <w:r w:rsidRPr="00463467">
        <w:rPr>
          <w:sz w:val="24"/>
          <w:szCs w:val="24"/>
        </w:rPr>
        <w:t xml:space="preserve"> with</w:t>
      </w:r>
      <w:r>
        <w:rPr>
          <w:sz w:val="24"/>
          <w:szCs w:val="24"/>
        </w:rPr>
        <w:t xml:space="preserve"> the</w:t>
      </w:r>
      <w:r w:rsidRPr="00463467">
        <w:rPr>
          <w:sz w:val="24"/>
          <w:szCs w:val="24"/>
        </w:rPr>
        <w:t xml:space="preserve"> EPA </w:t>
      </w:r>
      <w:r>
        <w:rPr>
          <w:sz w:val="24"/>
          <w:szCs w:val="24"/>
        </w:rPr>
        <w:t xml:space="preserve">by December 1, 2016 or at least 30 days in advance of </w:t>
      </w:r>
      <w:r w:rsidRPr="00463467">
        <w:rPr>
          <w:sz w:val="24"/>
          <w:szCs w:val="24"/>
        </w:rPr>
        <w:t>producing or importing gasoline meeting the Tier 3 standards and/or participating in the</w:t>
      </w:r>
      <w:r>
        <w:rPr>
          <w:sz w:val="24"/>
          <w:szCs w:val="24"/>
        </w:rPr>
        <w:t xml:space="preserve"> ABT</w:t>
      </w:r>
      <w:r w:rsidRPr="00463467">
        <w:rPr>
          <w:sz w:val="24"/>
          <w:szCs w:val="24"/>
        </w:rPr>
        <w:t xml:space="preserve"> credit program.</w:t>
      </w:r>
      <w:r>
        <w:rPr>
          <w:sz w:val="24"/>
          <w:szCs w:val="24"/>
        </w:rPr>
        <w:t xml:space="preserve"> (40 CFR 80.1650(b))</w:t>
      </w:r>
      <w:r w:rsidR="00C0678E">
        <w:rPr>
          <w:sz w:val="24"/>
          <w:szCs w:val="24"/>
        </w:rPr>
        <w:t>.</w:t>
      </w:r>
      <w:r>
        <w:rPr>
          <w:rStyle w:val="FootnoteReference"/>
          <w:sz w:val="24"/>
          <w:szCs w:val="24"/>
        </w:rPr>
        <w:footnoteReference w:id="6"/>
      </w:r>
    </w:p>
    <w:p w14:paraId="509EF60A" w14:textId="56BD7B08" w:rsidR="00EE780C" w:rsidRPr="00463467" w:rsidRDefault="00EE780C" w:rsidP="00EE780C">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r>
      <w:r w:rsidR="00130B17">
        <w:rPr>
          <w:sz w:val="24"/>
          <w:szCs w:val="24"/>
          <w:u w:val="single"/>
        </w:rPr>
        <w:t xml:space="preserve">Annual sulfur average </w:t>
      </w:r>
      <w:r w:rsidR="00130B17" w:rsidRPr="00130B17">
        <w:rPr>
          <w:sz w:val="24"/>
          <w:szCs w:val="24"/>
          <w:u w:val="single"/>
        </w:rPr>
        <w:t>calculation</w:t>
      </w:r>
      <w:r w:rsidR="00130B17">
        <w:rPr>
          <w:sz w:val="24"/>
          <w:szCs w:val="24"/>
        </w:rPr>
        <w:t xml:space="preserve">. </w:t>
      </w:r>
      <w:r w:rsidRPr="00130B17">
        <w:rPr>
          <w:sz w:val="24"/>
          <w:szCs w:val="24"/>
        </w:rPr>
        <w:t>Calculate</w:t>
      </w:r>
      <w:r w:rsidRPr="00463467">
        <w:rPr>
          <w:sz w:val="24"/>
          <w:szCs w:val="24"/>
        </w:rPr>
        <w:t xml:space="preserve"> the annual average sulfur level for each refinery</w:t>
      </w:r>
      <w:r>
        <w:rPr>
          <w:sz w:val="24"/>
          <w:szCs w:val="24"/>
        </w:rPr>
        <w:t>’s gasoline production</w:t>
      </w:r>
      <w:r w:rsidRPr="00463467">
        <w:rPr>
          <w:sz w:val="24"/>
          <w:szCs w:val="24"/>
        </w:rPr>
        <w:t xml:space="preserve"> or all imported gasoline. </w:t>
      </w:r>
      <w:r>
        <w:rPr>
          <w:sz w:val="24"/>
          <w:szCs w:val="24"/>
        </w:rPr>
        <w:t>(40 CFR 80.1603(c))</w:t>
      </w:r>
      <w:r w:rsidR="00C0678E">
        <w:rPr>
          <w:sz w:val="24"/>
          <w:szCs w:val="24"/>
        </w:rPr>
        <w:t>.</w:t>
      </w:r>
    </w:p>
    <w:p w14:paraId="63E1F3AD" w14:textId="448D1A79" w:rsidR="00130B17" w:rsidRPr="00463467" w:rsidRDefault="00130B17" w:rsidP="00130B1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r>
      <w:r>
        <w:rPr>
          <w:sz w:val="24"/>
          <w:szCs w:val="24"/>
          <w:u w:val="single"/>
        </w:rPr>
        <w:t xml:space="preserve">Annual compliance </w:t>
      </w:r>
      <w:r w:rsidRPr="00130B17">
        <w:rPr>
          <w:sz w:val="24"/>
          <w:szCs w:val="24"/>
          <w:u w:val="single"/>
        </w:rPr>
        <w:t>reporting</w:t>
      </w:r>
      <w:r>
        <w:rPr>
          <w:sz w:val="24"/>
          <w:szCs w:val="24"/>
        </w:rPr>
        <w:t xml:space="preserve">. </w:t>
      </w:r>
      <w:r w:rsidRPr="00130B17">
        <w:rPr>
          <w:sz w:val="24"/>
          <w:szCs w:val="24"/>
        </w:rPr>
        <w:t>Submit</w:t>
      </w:r>
      <w:r w:rsidRPr="00463467">
        <w:rPr>
          <w:sz w:val="24"/>
          <w:szCs w:val="24"/>
        </w:rPr>
        <w:t xml:space="preserve"> annual sulfur averaging report to </w:t>
      </w:r>
      <w:r>
        <w:rPr>
          <w:sz w:val="24"/>
          <w:szCs w:val="24"/>
        </w:rPr>
        <w:t xml:space="preserve">the </w:t>
      </w:r>
      <w:r w:rsidRPr="00463467">
        <w:rPr>
          <w:sz w:val="24"/>
          <w:szCs w:val="24"/>
        </w:rPr>
        <w:t xml:space="preserve">EPA for each refinery and importer by March 31 for the previous </w:t>
      </w:r>
      <w:r>
        <w:rPr>
          <w:sz w:val="24"/>
          <w:szCs w:val="24"/>
        </w:rPr>
        <w:t xml:space="preserve">calendar </w:t>
      </w:r>
      <w:r w:rsidRPr="00463467">
        <w:rPr>
          <w:sz w:val="24"/>
          <w:szCs w:val="24"/>
        </w:rPr>
        <w:t>year’s averaging period.</w:t>
      </w:r>
      <w:r>
        <w:rPr>
          <w:sz w:val="24"/>
          <w:szCs w:val="24"/>
        </w:rPr>
        <w:t xml:space="preserve"> </w:t>
      </w:r>
      <w:r w:rsidR="00C0678E">
        <w:rPr>
          <w:sz w:val="24"/>
          <w:szCs w:val="24"/>
        </w:rPr>
        <w:t>The annual compliance reports include the following information (40 CFR 80.1652(a)):</w:t>
      </w:r>
    </w:p>
    <w:p w14:paraId="650A058D" w14:textId="77777777" w:rsidR="00C0678E" w:rsidRPr="00463467" w:rsidRDefault="00C0678E" w:rsidP="00C0678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EPA refiner and refinery facility, or importer registration numbers</w:t>
      </w:r>
    </w:p>
    <w:p w14:paraId="4C83E6F6" w14:textId="41B53BE7" w:rsidR="00C0678E" w:rsidRPr="00463467" w:rsidRDefault="00C0678E" w:rsidP="00C0678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Applicable annual average standard</w:t>
      </w:r>
      <w:r>
        <w:rPr>
          <w:sz w:val="24"/>
          <w:szCs w:val="24"/>
        </w:rPr>
        <w:t>;</w:t>
      </w:r>
      <w:r w:rsidRPr="00463467">
        <w:rPr>
          <w:sz w:val="24"/>
          <w:szCs w:val="24"/>
        </w:rPr>
        <w:t xml:space="preserve"> </w:t>
      </w:r>
    </w:p>
    <w:p w14:paraId="7B40450E" w14:textId="60C7D84B" w:rsidR="00C0678E" w:rsidRPr="00463467" w:rsidRDefault="00C0678E" w:rsidP="00C0678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Total volume of gasoline produced at the refinery or imported</w:t>
      </w:r>
      <w:r>
        <w:rPr>
          <w:sz w:val="24"/>
          <w:szCs w:val="24"/>
        </w:rPr>
        <w:t>;</w:t>
      </w:r>
    </w:p>
    <w:p w14:paraId="6BA6142F" w14:textId="6DC1AB1B" w:rsidR="00C0678E" w:rsidRPr="00463467" w:rsidRDefault="00C0678E" w:rsidP="00C0678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Annual average gasoline sulfur content produced at the refinery or imported</w:t>
      </w:r>
      <w:r>
        <w:rPr>
          <w:sz w:val="24"/>
          <w:szCs w:val="24"/>
        </w:rPr>
        <w:t>;</w:t>
      </w:r>
    </w:p>
    <w:p w14:paraId="5D6130B4" w14:textId="3AFB5375" w:rsidR="00C0678E" w:rsidRPr="00463467" w:rsidRDefault="00C0678E" w:rsidP="00C0678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Annual average sulfur level after inclusion of any credits</w:t>
      </w:r>
      <w:r>
        <w:rPr>
          <w:sz w:val="24"/>
          <w:szCs w:val="24"/>
        </w:rPr>
        <w:t>; and</w:t>
      </w:r>
    </w:p>
    <w:p w14:paraId="74965D4D" w14:textId="78251FCB" w:rsidR="00C0678E" w:rsidRDefault="00C0678E" w:rsidP="00C0678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 xml:space="preserve">For each batch of gasoline produced or imported during the averaging period, the assigned batch number, the date the batch was produced, the volume </w:t>
      </w:r>
      <w:r>
        <w:rPr>
          <w:sz w:val="24"/>
          <w:szCs w:val="24"/>
        </w:rPr>
        <w:t xml:space="preserve">of the batch, </w:t>
      </w:r>
      <w:r w:rsidRPr="00463467">
        <w:rPr>
          <w:sz w:val="24"/>
          <w:szCs w:val="24"/>
        </w:rPr>
        <w:t xml:space="preserve">and </w:t>
      </w:r>
      <w:r>
        <w:rPr>
          <w:sz w:val="24"/>
          <w:szCs w:val="24"/>
        </w:rPr>
        <w:t xml:space="preserve">the </w:t>
      </w:r>
      <w:r w:rsidRPr="00463467">
        <w:rPr>
          <w:sz w:val="24"/>
          <w:szCs w:val="24"/>
        </w:rPr>
        <w:t xml:space="preserve">sulfur content of the batch. </w:t>
      </w:r>
    </w:p>
    <w:p w14:paraId="4341ACDA" w14:textId="77777777" w:rsidR="00685200" w:rsidRPr="00463467" w:rsidRDefault="00685200" w:rsidP="00C0678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p>
    <w:p w14:paraId="6C3BE7FD" w14:textId="681A522C" w:rsidR="00685200" w:rsidRPr="00463467" w:rsidRDefault="00685200" w:rsidP="0068520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r>
      <w:r>
        <w:rPr>
          <w:sz w:val="24"/>
          <w:szCs w:val="24"/>
          <w:u w:val="single"/>
        </w:rPr>
        <w:t xml:space="preserve">Annual attest </w:t>
      </w:r>
      <w:r w:rsidRPr="00685200">
        <w:rPr>
          <w:sz w:val="24"/>
          <w:szCs w:val="24"/>
          <w:u w:val="single"/>
        </w:rPr>
        <w:t>engagements</w:t>
      </w:r>
      <w:r>
        <w:rPr>
          <w:sz w:val="24"/>
          <w:szCs w:val="24"/>
        </w:rPr>
        <w:t>.</w:t>
      </w:r>
      <w:r>
        <w:rPr>
          <w:rStyle w:val="FootnoteReference"/>
          <w:sz w:val="24"/>
          <w:szCs w:val="24"/>
        </w:rPr>
        <w:footnoteReference w:id="7"/>
      </w:r>
      <w:r>
        <w:rPr>
          <w:sz w:val="24"/>
          <w:szCs w:val="24"/>
        </w:rPr>
        <w:t xml:space="preserve"> </w:t>
      </w:r>
      <w:r w:rsidRPr="00685200">
        <w:rPr>
          <w:sz w:val="24"/>
          <w:szCs w:val="24"/>
        </w:rPr>
        <w:t>Arrange</w:t>
      </w:r>
      <w:r w:rsidRPr="00463467">
        <w:rPr>
          <w:sz w:val="24"/>
          <w:szCs w:val="24"/>
        </w:rPr>
        <w:t xml:space="preserve"> to have an attest engagement report submitted to EPA by </w:t>
      </w:r>
      <w:r>
        <w:rPr>
          <w:sz w:val="24"/>
          <w:szCs w:val="24"/>
        </w:rPr>
        <w:t xml:space="preserve">June 1 </w:t>
      </w:r>
      <w:r w:rsidRPr="00463467">
        <w:rPr>
          <w:sz w:val="24"/>
          <w:szCs w:val="24"/>
        </w:rPr>
        <w:t>for the previous year’s annual averaging period</w:t>
      </w:r>
      <w:r>
        <w:rPr>
          <w:sz w:val="24"/>
          <w:szCs w:val="24"/>
        </w:rPr>
        <w:t xml:space="preserve"> (40 CFR 80.1667).</w:t>
      </w:r>
    </w:p>
    <w:p w14:paraId="513FC60D" w14:textId="735740D9" w:rsidR="00685200" w:rsidRPr="00463467" w:rsidRDefault="00685200" w:rsidP="0068520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 xml:space="preserve">The attest engagement </w:t>
      </w:r>
      <w:r>
        <w:rPr>
          <w:sz w:val="24"/>
          <w:szCs w:val="24"/>
        </w:rPr>
        <w:t>is</w:t>
      </w:r>
      <w:r w:rsidRPr="00463467">
        <w:rPr>
          <w:sz w:val="24"/>
          <w:szCs w:val="24"/>
        </w:rPr>
        <w:t xml:space="preserve"> required to be performed on the underlying documentation that forms the basis of required report</w:t>
      </w:r>
      <w:r>
        <w:rPr>
          <w:sz w:val="24"/>
          <w:szCs w:val="24"/>
        </w:rPr>
        <w:t>s.</w:t>
      </w:r>
    </w:p>
    <w:p w14:paraId="169DC55B" w14:textId="325D51F9" w:rsidR="00685200" w:rsidRPr="00463467" w:rsidRDefault="00685200" w:rsidP="0068520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 xml:space="preserve">The attest engagement </w:t>
      </w:r>
      <w:r>
        <w:rPr>
          <w:sz w:val="24"/>
          <w:szCs w:val="24"/>
        </w:rPr>
        <w:t>is</w:t>
      </w:r>
      <w:r w:rsidRPr="00463467">
        <w:rPr>
          <w:sz w:val="24"/>
          <w:szCs w:val="24"/>
        </w:rPr>
        <w:t xml:space="preserve"> required to be prepared in accordance with established procedures</w:t>
      </w:r>
      <w:r>
        <w:rPr>
          <w:sz w:val="24"/>
          <w:szCs w:val="24"/>
        </w:rPr>
        <w:t>.</w:t>
      </w:r>
    </w:p>
    <w:p w14:paraId="3DA8E55D" w14:textId="02FD5A5F" w:rsidR="00685200" w:rsidRPr="00463467" w:rsidRDefault="00685200" w:rsidP="0068520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 xml:space="preserve">The attest engagement </w:t>
      </w:r>
      <w:r>
        <w:rPr>
          <w:sz w:val="24"/>
          <w:szCs w:val="24"/>
        </w:rPr>
        <w:t>will</w:t>
      </w:r>
      <w:r w:rsidRPr="00463467">
        <w:rPr>
          <w:sz w:val="24"/>
          <w:szCs w:val="24"/>
        </w:rPr>
        <w:t xml:space="preserve"> be required to be performed by an independent certified public accountant (CPA)</w:t>
      </w:r>
      <w:r>
        <w:rPr>
          <w:sz w:val="24"/>
          <w:szCs w:val="24"/>
        </w:rPr>
        <w:t>.</w:t>
      </w:r>
    </w:p>
    <w:p w14:paraId="1373E832" w14:textId="078EA7D1" w:rsidR="00685200" w:rsidRDefault="00685200" w:rsidP="0068520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Internal auditors may assist the CPA pursuant to the Standards for Attestation Engagements</w:t>
      </w:r>
      <w:r>
        <w:rPr>
          <w:sz w:val="24"/>
          <w:szCs w:val="24"/>
        </w:rPr>
        <w:t>.</w:t>
      </w:r>
    </w:p>
    <w:p w14:paraId="62B39875" w14:textId="77777777" w:rsidR="00762524" w:rsidRDefault="00762524" w:rsidP="00762524">
      <w:pPr>
        <w:pStyle w:val="ListParagraph"/>
        <w:numPr>
          <w:ilvl w:val="0"/>
          <w:numId w:val="2"/>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Refiners/importers submit the reports prepared by the CPA.  </w:t>
      </w:r>
    </w:p>
    <w:p w14:paraId="06C8B44D" w14:textId="698F8348" w:rsidR="00685200" w:rsidRPr="00762524" w:rsidRDefault="00762524" w:rsidP="00762524">
      <w:pPr>
        <w:pStyle w:val="ListParagraph"/>
        <w:numPr>
          <w:ilvl w:val="0"/>
          <w:numId w:val="2"/>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attest engagement report lists any discrepancies identified by the CPA.</w:t>
      </w:r>
    </w:p>
    <w:p w14:paraId="3C5D056D" w14:textId="77777777" w:rsidR="00685200" w:rsidRPr="00463467" w:rsidRDefault="00685200" w:rsidP="0068520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p>
    <w:p w14:paraId="072ECAA9" w14:textId="7AD7C529" w:rsidR="00762524" w:rsidRPr="00463467" w:rsidRDefault="00762524" w:rsidP="00762524">
      <w:pPr>
        <w:pStyle w:val="Heading4"/>
        <w:ind w:left="1440" w:hanging="720"/>
      </w:pPr>
      <w:r w:rsidRPr="00463467">
        <w:t>(C)</w:t>
      </w:r>
      <w:r w:rsidRPr="00463467">
        <w:tab/>
        <w:t>Additional and/or Alternate Requirements for Refiners and Importers that        Participate in the ABT Credit Trading Program</w:t>
      </w:r>
    </w:p>
    <w:p w14:paraId="12B26329" w14:textId="42B3A6E3" w:rsidR="00EE780C" w:rsidRDefault="00EE780C" w:rsidP="00812B98"/>
    <w:p w14:paraId="70DDCCBB" w14:textId="77777777" w:rsidR="00B90AA4" w:rsidRPr="00463467" w:rsidRDefault="00B90AA4" w:rsidP="00B90AA4">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The following recordkeeping and reporting requirements apply to refiners and importers who utilize the ABT credit trading provisions under the sulfur program:</w:t>
      </w:r>
    </w:p>
    <w:p w14:paraId="01162903" w14:textId="7A28B1D4" w:rsidR="00762524" w:rsidRDefault="00762524" w:rsidP="00812B98"/>
    <w:p w14:paraId="5BFB800A" w14:textId="77777777" w:rsidR="00B90AA4" w:rsidRPr="00463467" w:rsidRDefault="00B90AA4" w:rsidP="00B90AA4">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Calculate ABT credits generated</w:t>
      </w:r>
      <w:r>
        <w:rPr>
          <w:sz w:val="24"/>
          <w:szCs w:val="24"/>
        </w:rPr>
        <w:t xml:space="preserve"> (40 CFR 80.1615(b))</w:t>
      </w:r>
    </w:p>
    <w:p w14:paraId="01F2A04B" w14:textId="77777777" w:rsidR="00154F90" w:rsidRPr="00463467" w:rsidRDefault="00154F90" w:rsidP="00154F9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Include in the refinery or importer annual sulfur compliance report (in addition to the information required for all refiners and importers) the number of credits:</w:t>
      </w:r>
      <w:r>
        <w:rPr>
          <w:sz w:val="24"/>
          <w:szCs w:val="24"/>
        </w:rPr>
        <w:t xml:space="preserve"> (40 CFR 80.1652(a))</w:t>
      </w:r>
    </w:p>
    <w:p w14:paraId="53FC028F" w14:textId="692374FB" w:rsidR="00154F90" w:rsidRPr="00463467" w:rsidRDefault="00154F90" w:rsidP="00154F9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Carried over from the prior averaging period</w:t>
      </w:r>
      <w:r w:rsidR="00C560D2">
        <w:rPr>
          <w:sz w:val="24"/>
          <w:szCs w:val="24"/>
        </w:rPr>
        <w:t>;</w:t>
      </w:r>
    </w:p>
    <w:p w14:paraId="05FB1354" w14:textId="02505D8E" w:rsidR="00154F90" w:rsidRPr="00463467" w:rsidRDefault="00154F90" w:rsidP="00154F9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Generated</w:t>
      </w:r>
      <w:r w:rsidR="00C560D2">
        <w:rPr>
          <w:sz w:val="24"/>
          <w:szCs w:val="24"/>
        </w:rPr>
        <w:t>;</w:t>
      </w:r>
    </w:p>
    <w:p w14:paraId="0C212CCD" w14:textId="53E24629" w:rsidR="00154F90" w:rsidRPr="00463467" w:rsidRDefault="00154F90" w:rsidP="00154F9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Used</w:t>
      </w:r>
      <w:r w:rsidR="00C560D2">
        <w:rPr>
          <w:sz w:val="24"/>
          <w:szCs w:val="24"/>
        </w:rPr>
        <w:t>;</w:t>
      </w:r>
    </w:p>
    <w:p w14:paraId="6FC0592F" w14:textId="058AF747" w:rsidR="00154F90" w:rsidRPr="00463467" w:rsidRDefault="00154F90" w:rsidP="00154F9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Obtained from or transferred to another party, and the name and EPA refiner or importer registration number of the other party to the transaction</w:t>
      </w:r>
      <w:r w:rsidR="00C560D2">
        <w:rPr>
          <w:sz w:val="24"/>
          <w:szCs w:val="24"/>
        </w:rPr>
        <w:t>;</w:t>
      </w:r>
    </w:p>
    <w:p w14:paraId="412A606D" w14:textId="0C02DE27" w:rsidR="00154F90" w:rsidRPr="00463467" w:rsidRDefault="00154F90" w:rsidP="00154F9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Expired at the end of the averaging period</w:t>
      </w:r>
      <w:r w:rsidR="00C560D2">
        <w:rPr>
          <w:sz w:val="24"/>
          <w:szCs w:val="24"/>
        </w:rPr>
        <w:t>; and</w:t>
      </w:r>
    </w:p>
    <w:p w14:paraId="11C21549" w14:textId="651128E0" w:rsidR="00154F90" w:rsidRPr="00463467" w:rsidRDefault="00154F90" w:rsidP="00154F9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Carried over to the subsequent averaging period</w:t>
      </w:r>
      <w:r w:rsidR="00C560D2">
        <w:rPr>
          <w:sz w:val="24"/>
          <w:szCs w:val="24"/>
        </w:rPr>
        <w:t>.</w:t>
      </w:r>
    </w:p>
    <w:p w14:paraId="305AFE18" w14:textId="6778510F" w:rsidR="00154F90" w:rsidRPr="00463467" w:rsidRDefault="00154F90" w:rsidP="00154F9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Retain the following records (in addition to records required to be kept by all refiners and importers), separately by year of creation and pertaining to the number of credits:</w:t>
      </w:r>
      <w:r>
        <w:rPr>
          <w:sz w:val="24"/>
          <w:szCs w:val="24"/>
        </w:rPr>
        <w:t xml:space="preserve"> (40 CFR 80.1653 (b))</w:t>
      </w:r>
      <w:r w:rsidR="00250914">
        <w:rPr>
          <w:rStyle w:val="FootnoteReference"/>
          <w:sz w:val="24"/>
          <w:szCs w:val="24"/>
        </w:rPr>
        <w:footnoteReference w:id="8"/>
      </w:r>
    </w:p>
    <w:p w14:paraId="2DD2AB72" w14:textId="20C7FDAB" w:rsidR="00154F90" w:rsidRPr="00463467" w:rsidRDefault="00154F90" w:rsidP="00154F9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Carried over from the prior averaging period</w:t>
      </w:r>
      <w:r w:rsidR="00C560D2">
        <w:rPr>
          <w:sz w:val="24"/>
          <w:szCs w:val="24"/>
        </w:rPr>
        <w:t>;</w:t>
      </w:r>
    </w:p>
    <w:p w14:paraId="06080E42" w14:textId="7774BC49" w:rsidR="00154F90" w:rsidRPr="00463467" w:rsidRDefault="00154F90" w:rsidP="00154F9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Generated</w:t>
      </w:r>
      <w:r w:rsidR="00C560D2">
        <w:rPr>
          <w:sz w:val="24"/>
          <w:szCs w:val="24"/>
        </w:rPr>
        <w:t>;</w:t>
      </w:r>
    </w:p>
    <w:p w14:paraId="7E17A548" w14:textId="3745E944" w:rsidR="00154F90" w:rsidRPr="00463467" w:rsidRDefault="00154F90" w:rsidP="00154F9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Used</w:t>
      </w:r>
      <w:r w:rsidR="00C560D2">
        <w:rPr>
          <w:sz w:val="24"/>
          <w:szCs w:val="24"/>
        </w:rPr>
        <w:t>;</w:t>
      </w:r>
    </w:p>
    <w:p w14:paraId="6C2CBAE8" w14:textId="488D2078" w:rsidR="00154F90" w:rsidRPr="00463467" w:rsidRDefault="00154F90" w:rsidP="00154F9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Obtained from or transferred to another party, and the name and EPA registration number of the other party to the transaction</w:t>
      </w:r>
      <w:r w:rsidR="00C560D2">
        <w:rPr>
          <w:sz w:val="24"/>
          <w:szCs w:val="24"/>
        </w:rPr>
        <w:t>; and</w:t>
      </w:r>
    </w:p>
    <w:p w14:paraId="0B0B4AF3" w14:textId="45692497" w:rsidR="00154F90" w:rsidRPr="00463467" w:rsidRDefault="00154F90" w:rsidP="00154F9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Expired at the end of the averaging period</w:t>
      </w:r>
      <w:r w:rsidR="00C560D2">
        <w:rPr>
          <w:sz w:val="24"/>
          <w:szCs w:val="24"/>
        </w:rPr>
        <w:t>.</w:t>
      </w:r>
    </w:p>
    <w:p w14:paraId="62AE00AE" w14:textId="05D003DB" w:rsidR="002F49A1" w:rsidRPr="00463467" w:rsidRDefault="002F49A1" w:rsidP="002F49A1">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Retain records related to credits for five years from the date of generation; if transferred, the transferor must retain records for five years from the date of transfer and the transferee must retain records for five years from the date of transfer, use or termination, whichever is later</w:t>
      </w:r>
      <w:r>
        <w:rPr>
          <w:sz w:val="24"/>
          <w:szCs w:val="24"/>
        </w:rPr>
        <w:t>.</w:t>
      </w:r>
      <w:r w:rsidR="00DD6D0B">
        <w:rPr>
          <w:rStyle w:val="FootnoteReference"/>
          <w:sz w:val="24"/>
          <w:szCs w:val="24"/>
        </w:rPr>
        <w:footnoteReference w:id="9"/>
      </w:r>
    </w:p>
    <w:p w14:paraId="11A0C3CB" w14:textId="5CB4FCAD" w:rsidR="002F49A1" w:rsidRDefault="002F49A1" w:rsidP="00812B98"/>
    <w:p w14:paraId="72A0ED4B" w14:textId="7F3D20FE" w:rsidR="00DD6D0B" w:rsidRPr="00F214FD" w:rsidRDefault="00DD6D0B" w:rsidP="003423D3">
      <w:pPr>
        <w:pStyle w:val="Heading4"/>
        <w:ind w:left="1440" w:hanging="720"/>
      </w:pPr>
      <w:r w:rsidRPr="00463467">
        <w:t>(D)</w:t>
      </w:r>
      <w:r w:rsidRPr="00463467">
        <w:tab/>
        <w:t xml:space="preserve">Alternative Requirements for Importers </w:t>
      </w:r>
      <w:r w:rsidR="007853C3" w:rsidRPr="00463467">
        <w:t>Who</w:t>
      </w:r>
      <w:r w:rsidRPr="00463467">
        <w:t xml:space="preserve"> Import Gasoline by Truck</w:t>
      </w:r>
      <w:r>
        <w:t xml:space="preserve"> </w:t>
      </w:r>
      <w:r w:rsidRPr="00F214FD">
        <w:t>(40 CFR 80.1641)</w:t>
      </w:r>
    </w:p>
    <w:p w14:paraId="264E5443" w14:textId="4F0DB237" w:rsidR="00DD6D0B" w:rsidRDefault="00DD6D0B" w:rsidP="00812B98"/>
    <w:p w14:paraId="5B745395" w14:textId="15C838F5" w:rsidR="004E35C5" w:rsidRPr="00463467" w:rsidRDefault="004E35C5" w:rsidP="004E35C5">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 xml:space="preserve">- </w:t>
      </w:r>
      <w:r w:rsidRPr="00463467">
        <w:rPr>
          <w:sz w:val="24"/>
          <w:szCs w:val="24"/>
        </w:rPr>
        <w:tab/>
        <w:t>Importers who import gasoline into the U. S. by truck may use the test results from the foreign terminal to satisfy the sampling and testing requirements that are otherwise required if the importer fulfills the following alternative requirements</w:t>
      </w:r>
      <w:r w:rsidR="007853C3">
        <w:rPr>
          <w:sz w:val="24"/>
          <w:szCs w:val="24"/>
        </w:rPr>
        <w:t>:</w:t>
      </w:r>
      <w:r>
        <w:rPr>
          <w:rStyle w:val="FootnoteReference"/>
          <w:sz w:val="24"/>
          <w:szCs w:val="24"/>
        </w:rPr>
        <w:footnoteReference w:id="10"/>
      </w:r>
      <w:r w:rsidRPr="00463467">
        <w:rPr>
          <w:sz w:val="24"/>
          <w:szCs w:val="24"/>
        </w:rPr>
        <w:t xml:space="preserve"> </w:t>
      </w:r>
    </w:p>
    <w:p w14:paraId="4D54937B" w14:textId="77777777" w:rsidR="004E35C5" w:rsidRPr="00463467" w:rsidRDefault="004E35C5" w:rsidP="004E35C5">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Obtain records from the foreign terminal at which the gasoline was loaded for importation into the U.S. which shows the sulfur content of each truck load of gasoline imported into the U.S.</w:t>
      </w:r>
    </w:p>
    <w:p w14:paraId="40AAA735" w14:textId="77777777" w:rsidR="004E35C5" w:rsidRPr="00463467" w:rsidRDefault="004E35C5" w:rsidP="004E35C5">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Conduct a QA program for each truck loading terminal</w:t>
      </w:r>
      <w:r>
        <w:rPr>
          <w:sz w:val="24"/>
          <w:szCs w:val="24"/>
        </w:rPr>
        <w:t xml:space="preserve">. </w:t>
      </w:r>
      <w:r w:rsidRPr="00463467">
        <w:rPr>
          <w:sz w:val="24"/>
          <w:szCs w:val="24"/>
        </w:rPr>
        <w:t xml:space="preserve">QA samples </w:t>
      </w:r>
      <w:r>
        <w:rPr>
          <w:sz w:val="24"/>
          <w:szCs w:val="24"/>
        </w:rPr>
        <w:t>will</w:t>
      </w:r>
      <w:r w:rsidRPr="00463467">
        <w:rPr>
          <w:sz w:val="24"/>
          <w:szCs w:val="24"/>
        </w:rPr>
        <w:t xml:space="preserve"> be required to be taken from the truck-loading terminal for testing by the importer, or as an alternative, by an independent laboratory, to determine the sulfur content</w:t>
      </w:r>
      <w:r>
        <w:rPr>
          <w:sz w:val="24"/>
          <w:szCs w:val="24"/>
        </w:rPr>
        <w:t xml:space="preserve">. </w:t>
      </w:r>
      <w:r w:rsidRPr="00463467">
        <w:rPr>
          <w:sz w:val="24"/>
          <w:szCs w:val="24"/>
        </w:rPr>
        <w:t xml:space="preserve">The sampling and testing </w:t>
      </w:r>
      <w:r>
        <w:rPr>
          <w:sz w:val="24"/>
          <w:szCs w:val="24"/>
        </w:rPr>
        <w:t>will</w:t>
      </w:r>
      <w:r w:rsidRPr="00463467">
        <w:rPr>
          <w:sz w:val="24"/>
          <w:szCs w:val="24"/>
        </w:rPr>
        <w:t xml:space="preserve"> be required to be performed using the regulatory methods</w:t>
      </w:r>
      <w:r>
        <w:rPr>
          <w:sz w:val="24"/>
          <w:szCs w:val="24"/>
        </w:rPr>
        <w:t xml:space="preserve">. </w:t>
      </w:r>
      <w:r w:rsidRPr="00463467">
        <w:rPr>
          <w:sz w:val="24"/>
          <w:szCs w:val="24"/>
        </w:rPr>
        <w:t xml:space="preserve">The frequency of the sampling and testing </w:t>
      </w:r>
      <w:r>
        <w:rPr>
          <w:sz w:val="24"/>
          <w:szCs w:val="24"/>
        </w:rPr>
        <w:t>will</w:t>
      </w:r>
      <w:r w:rsidRPr="00463467">
        <w:rPr>
          <w:sz w:val="24"/>
          <w:szCs w:val="24"/>
        </w:rPr>
        <w:t xml:space="preserve"> be required to be at least one sample for each </w:t>
      </w:r>
      <w:r>
        <w:rPr>
          <w:sz w:val="24"/>
          <w:szCs w:val="24"/>
        </w:rPr>
        <w:t>50</w:t>
      </w:r>
      <w:r w:rsidRPr="00463467">
        <w:rPr>
          <w:sz w:val="24"/>
          <w:szCs w:val="24"/>
        </w:rPr>
        <w:t xml:space="preserve"> of an importer’s trucks that are loaded at the terminal, or one sample per month, whichever is more frequent.</w:t>
      </w:r>
    </w:p>
    <w:p w14:paraId="6DDD67B4" w14:textId="29A8D92C" w:rsidR="004E35C5" w:rsidRDefault="004E35C5" w:rsidP="004E35C5">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Treat each truck load of imported gasoline as a separate batch for purposes of assigning batch numbers, maintaining records, and reporting</w:t>
      </w:r>
      <w:r w:rsidR="00DE455B">
        <w:rPr>
          <w:sz w:val="24"/>
          <w:szCs w:val="24"/>
        </w:rPr>
        <w:t>.</w:t>
      </w:r>
    </w:p>
    <w:p w14:paraId="4DA0483F" w14:textId="067D01F9" w:rsidR="00DE455B" w:rsidRDefault="00DE455B" w:rsidP="004E35C5">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p>
    <w:p w14:paraId="05DD42AA" w14:textId="4F30B68A" w:rsidR="00DE455B" w:rsidRPr="00463467" w:rsidRDefault="00DE455B" w:rsidP="00191864">
      <w:pPr>
        <w:numPr>
          <w:ilvl w:val="12"/>
          <w:numId w:val="0"/>
        </w:numPr>
        <w:tabs>
          <w:tab w:val="left" w:pos="-1440"/>
          <w:tab w:val="left" w:pos="-72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 w:val="24"/>
          <w:szCs w:val="24"/>
        </w:rPr>
      </w:pPr>
      <w:r w:rsidRPr="00463467">
        <w:rPr>
          <w:i/>
          <w:iCs/>
          <w:sz w:val="24"/>
          <w:szCs w:val="24"/>
        </w:rPr>
        <w:t xml:space="preserve">(E)      </w:t>
      </w:r>
      <w:r w:rsidRPr="00463467">
        <w:rPr>
          <w:i/>
          <w:iCs/>
          <w:sz w:val="24"/>
          <w:szCs w:val="24"/>
        </w:rPr>
        <w:tab/>
        <w:t>Alternative Requirements for Refiners, Pipelines, and Terminals that Produce       Gasoline by Blending Butane</w:t>
      </w:r>
      <w:r>
        <w:rPr>
          <w:i/>
          <w:iCs/>
          <w:sz w:val="24"/>
          <w:szCs w:val="24"/>
        </w:rPr>
        <w:t>, Pentane</w:t>
      </w:r>
      <w:r w:rsidRPr="00463467">
        <w:rPr>
          <w:i/>
          <w:iCs/>
          <w:sz w:val="24"/>
          <w:szCs w:val="24"/>
        </w:rPr>
        <w:t xml:space="preserve"> or Other Blendstocks</w:t>
      </w:r>
      <w:r>
        <w:rPr>
          <w:i/>
          <w:iCs/>
          <w:sz w:val="24"/>
          <w:szCs w:val="24"/>
        </w:rPr>
        <w:t xml:space="preserve"> into Previously Certified </w:t>
      </w:r>
      <w:r w:rsidRPr="00463467">
        <w:rPr>
          <w:i/>
          <w:iCs/>
          <w:sz w:val="24"/>
          <w:szCs w:val="24"/>
        </w:rPr>
        <w:t>Gasoline</w:t>
      </w:r>
      <w:r w:rsidRPr="00463467">
        <w:rPr>
          <w:sz w:val="24"/>
          <w:szCs w:val="24"/>
        </w:rPr>
        <w:t xml:space="preserve"> (PCG)</w:t>
      </w:r>
      <w:r>
        <w:rPr>
          <w:sz w:val="24"/>
          <w:szCs w:val="24"/>
        </w:rPr>
        <w:t xml:space="preserve"> (40 CFR 80.1640)</w:t>
      </w:r>
    </w:p>
    <w:p w14:paraId="145317F4" w14:textId="77777777" w:rsidR="00DE455B" w:rsidRPr="00463467" w:rsidRDefault="00DE455B" w:rsidP="00DE455B">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CA94DA" w14:textId="77777777" w:rsidR="00DE455B" w:rsidRPr="00463467" w:rsidRDefault="00DE455B" w:rsidP="00DE455B">
      <w:pPr>
        <w:spacing w:line="2" w:lineRule="exact"/>
        <w:rPr>
          <w:sz w:val="24"/>
          <w:szCs w:val="24"/>
        </w:rPr>
      </w:pPr>
    </w:p>
    <w:p w14:paraId="40BD454A" w14:textId="587FD9E5" w:rsidR="00DE455B" w:rsidRPr="00463467" w:rsidRDefault="00DE455B" w:rsidP="00DE455B">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 xml:space="preserve">As an alternative to the </w:t>
      </w:r>
      <w:r w:rsidR="00191864">
        <w:rPr>
          <w:sz w:val="24"/>
          <w:szCs w:val="24"/>
        </w:rPr>
        <w:t>by</w:t>
      </w:r>
      <w:r w:rsidRPr="00463467">
        <w:rPr>
          <w:sz w:val="24"/>
          <w:szCs w:val="24"/>
        </w:rPr>
        <w:t xml:space="preserve"> batch sampling and testing requirements, </w:t>
      </w:r>
      <w:r w:rsidR="00191864">
        <w:rPr>
          <w:sz w:val="24"/>
          <w:szCs w:val="24"/>
        </w:rPr>
        <w:t>refiners</w:t>
      </w:r>
      <w:r w:rsidRPr="00463467">
        <w:rPr>
          <w:sz w:val="24"/>
          <w:szCs w:val="24"/>
        </w:rPr>
        <w:t xml:space="preserve"> who blend butane</w:t>
      </w:r>
      <w:r>
        <w:rPr>
          <w:sz w:val="24"/>
          <w:szCs w:val="24"/>
        </w:rPr>
        <w:t xml:space="preserve"> </w:t>
      </w:r>
      <w:r w:rsidRPr="00463467">
        <w:rPr>
          <w:sz w:val="24"/>
          <w:szCs w:val="24"/>
        </w:rPr>
        <w:t>into PCG</w:t>
      </w:r>
      <w:r w:rsidR="00191864">
        <w:rPr>
          <w:sz w:val="24"/>
          <w:szCs w:val="24"/>
        </w:rPr>
        <w:t xml:space="preserve"> to make a new batch of gasoline</w:t>
      </w:r>
      <w:r w:rsidRPr="00463467">
        <w:rPr>
          <w:sz w:val="24"/>
          <w:szCs w:val="24"/>
        </w:rPr>
        <w:t xml:space="preserve"> may meet the sampling and testing requirements by using sulfur test results from the butane supplier provided that the refiner:</w:t>
      </w:r>
    </w:p>
    <w:p w14:paraId="3817F669" w14:textId="223A03B5" w:rsidR="00DE455B" w:rsidRPr="00463467" w:rsidRDefault="00DE455B" w:rsidP="00DE455B">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Obtains a copy of the test results from the butane supplier which shows that the sulfur content of each load of butane in the storage tank from which the blendstock was drawn does not exceed the applicable per-gallon standard and that the tests were performed using the regulatory method</w:t>
      </w:r>
      <w:r w:rsidR="00191864">
        <w:rPr>
          <w:sz w:val="24"/>
          <w:szCs w:val="24"/>
        </w:rPr>
        <w:t>.</w:t>
      </w:r>
    </w:p>
    <w:p w14:paraId="0A54DB69" w14:textId="3608AC55" w:rsidR="00DE455B" w:rsidRPr="00463467" w:rsidRDefault="00DE455B" w:rsidP="00DE455B">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 xml:space="preserve">Treats the butane as a batch (re: sulfur content and volume) </w:t>
      </w:r>
      <w:r w:rsidR="00963521" w:rsidRPr="00463467">
        <w:rPr>
          <w:sz w:val="24"/>
          <w:szCs w:val="24"/>
        </w:rPr>
        <w:t>for</w:t>
      </w:r>
      <w:r w:rsidRPr="00463467">
        <w:rPr>
          <w:sz w:val="24"/>
          <w:szCs w:val="24"/>
        </w:rPr>
        <w:t xml:space="preserve"> calculating compliance with the applicable sulfur averaging standard</w:t>
      </w:r>
      <w:r w:rsidR="00191864">
        <w:rPr>
          <w:sz w:val="24"/>
          <w:szCs w:val="24"/>
        </w:rPr>
        <w:t>.</w:t>
      </w:r>
    </w:p>
    <w:p w14:paraId="747206A2" w14:textId="77777777" w:rsidR="00DE455B" w:rsidRPr="00463467" w:rsidRDefault="00DE455B" w:rsidP="00DE455B">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Conducts a quality assurance program including sampling and testing from each butane supplier to demonstrate that butane sulfur content is below the applicable per-gallon standard</w:t>
      </w:r>
      <w:r>
        <w:rPr>
          <w:sz w:val="24"/>
          <w:szCs w:val="24"/>
        </w:rPr>
        <w:t xml:space="preserve">. </w:t>
      </w:r>
      <w:r w:rsidRPr="00463467">
        <w:rPr>
          <w:sz w:val="24"/>
          <w:szCs w:val="24"/>
        </w:rPr>
        <w:t xml:space="preserve">The frequency of butane sampling and testing from each supplier </w:t>
      </w:r>
      <w:r>
        <w:rPr>
          <w:sz w:val="24"/>
          <w:szCs w:val="24"/>
        </w:rPr>
        <w:t>will</w:t>
      </w:r>
      <w:r w:rsidRPr="00463467">
        <w:rPr>
          <w:sz w:val="24"/>
          <w:szCs w:val="24"/>
        </w:rPr>
        <w:t xml:space="preserve"> be required to be one sample for every 500,000 gallons of butane received, or one sample every </w:t>
      </w:r>
      <w:r>
        <w:rPr>
          <w:sz w:val="24"/>
          <w:szCs w:val="24"/>
        </w:rPr>
        <w:t>three</w:t>
      </w:r>
      <w:r w:rsidRPr="00463467">
        <w:rPr>
          <w:sz w:val="24"/>
          <w:szCs w:val="24"/>
        </w:rPr>
        <w:t xml:space="preserve"> months, which ever results in more frequent sampling</w:t>
      </w:r>
    </w:p>
    <w:p w14:paraId="17601D18" w14:textId="11A430A4" w:rsidR="00DE455B" w:rsidRPr="00463467" w:rsidRDefault="00DE455B" w:rsidP="00DE455B">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 xml:space="preserve">As an alternative to </w:t>
      </w:r>
      <w:r w:rsidR="00191864">
        <w:rPr>
          <w:sz w:val="24"/>
          <w:szCs w:val="24"/>
        </w:rPr>
        <w:t>by</w:t>
      </w:r>
      <w:r w:rsidRPr="00463467">
        <w:rPr>
          <w:sz w:val="24"/>
          <w:szCs w:val="24"/>
        </w:rPr>
        <w:t xml:space="preserve"> batch sampling and testing requirements, refiners who blend pentane into PCG</w:t>
      </w:r>
      <w:r w:rsidR="00191864">
        <w:rPr>
          <w:sz w:val="24"/>
          <w:szCs w:val="24"/>
        </w:rPr>
        <w:t xml:space="preserve"> to make a new batch of gasoline</w:t>
      </w:r>
      <w:r w:rsidRPr="00463467">
        <w:rPr>
          <w:sz w:val="24"/>
          <w:szCs w:val="24"/>
        </w:rPr>
        <w:t xml:space="preserve"> may meet the sampling and testing requirements by using sulfur test results from the butane supplier provided that the refiner-blender:</w:t>
      </w:r>
      <w:r>
        <w:rPr>
          <w:sz w:val="24"/>
          <w:szCs w:val="24"/>
        </w:rPr>
        <w:t xml:space="preserve"> (40 CFR 80.85)</w:t>
      </w:r>
      <w:r w:rsidR="00191864">
        <w:rPr>
          <w:sz w:val="24"/>
          <w:szCs w:val="24"/>
        </w:rPr>
        <w:t>.</w:t>
      </w:r>
    </w:p>
    <w:p w14:paraId="5D48D245" w14:textId="56CD1B20" w:rsidR="00DE455B" w:rsidRPr="00463467" w:rsidRDefault="00DE455B" w:rsidP="00DE455B">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Obtains a copy of the test results from the pentane supplier which shows that the sulfur content of each load of butane in the storage tank from which the blendstock was drawn does not exceed the applicable per-gallon standard and that the tests were performed using the regulatory method</w:t>
      </w:r>
      <w:r w:rsidR="00191864">
        <w:rPr>
          <w:sz w:val="24"/>
          <w:szCs w:val="24"/>
        </w:rPr>
        <w:t>.</w:t>
      </w:r>
    </w:p>
    <w:p w14:paraId="4DB795E1" w14:textId="05C80011" w:rsidR="00DE455B" w:rsidRPr="00463467" w:rsidRDefault="00DE455B" w:rsidP="00DE455B">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 xml:space="preserve">Treats the pentane as a batch (re: sulfur content and volume) </w:t>
      </w:r>
      <w:r w:rsidR="00963521" w:rsidRPr="00463467">
        <w:rPr>
          <w:sz w:val="24"/>
          <w:szCs w:val="24"/>
        </w:rPr>
        <w:t>for</w:t>
      </w:r>
      <w:r w:rsidRPr="00463467">
        <w:rPr>
          <w:sz w:val="24"/>
          <w:szCs w:val="24"/>
        </w:rPr>
        <w:t xml:space="preserve"> calculating compliance with the applicable sulfur averaging standard</w:t>
      </w:r>
      <w:r w:rsidR="00191864">
        <w:rPr>
          <w:sz w:val="24"/>
          <w:szCs w:val="24"/>
        </w:rPr>
        <w:t>.</w:t>
      </w:r>
    </w:p>
    <w:p w14:paraId="16FDB966" w14:textId="77777777" w:rsidR="00DE455B" w:rsidRPr="00463467" w:rsidRDefault="00DE455B" w:rsidP="00DE455B">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Conducts a quality assurance program including sampling and testing from each pentane supplier to demonstrate that pentane sulfur content is below the applicable per-gallon standard</w:t>
      </w:r>
      <w:r>
        <w:rPr>
          <w:sz w:val="24"/>
          <w:szCs w:val="24"/>
        </w:rPr>
        <w:t xml:space="preserve">. </w:t>
      </w:r>
      <w:r w:rsidRPr="00463467">
        <w:rPr>
          <w:sz w:val="24"/>
          <w:szCs w:val="24"/>
        </w:rPr>
        <w:t xml:space="preserve">For commercial-grade pentane, the frequency sampling and testing from each supplier </w:t>
      </w:r>
      <w:r>
        <w:rPr>
          <w:sz w:val="24"/>
          <w:szCs w:val="24"/>
        </w:rPr>
        <w:t>will</w:t>
      </w:r>
      <w:r w:rsidRPr="00463467">
        <w:rPr>
          <w:sz w:val="24"/>
          <w:szCs w:val="24"/>
        </w:rPr>
        <w:t xml:space="preserve"> be required to be one sample for every 350,000 gallons of pentane received, or one sample every </w:t>
      </w:r>
      <w:r>
        <w:rPr>
          <w:sz w:val="24"/>
          <w:szCs w:val="24"/>
        </w:rPr>
        <w:t>three</w:t>
      </w:r>
      <w:r w:rsidRPr="00463467">
        <w:rPr>
          <w:sz w:val="24"/>
          <w:szCs w:val="24"/>
        </w:rPr>
        <w:t xml:space="preserve"> months, which ever results in more frequent sampling</w:t>
      </w:r>
      <w:r>
        <w:rPr>
          <w:sz w:val="24"/>
          <w:szCs w:val="24"/>
        </w:rPr>
        <w:t xml:space="preserve">. </w:t>
      </w:r>
      <w:r w:rsidRPr="00463467">
        <w:rPr>
          <w:sz w:val="24"/>
          <w:szCs w:val="24"/>
        </w:rPr>
        <w:t xml:space="preserve">For non-commercial-grade pentane, the frequency sampling and testing from each supplier </w:t>
      </w:r>
      <w:r>
        <w:rPr>
          <w:sz w:val="24"/>
          <w:szCs w:val="24"/>
        </w:rPr>
        <w:t>will</w:t>
      </w:r>
      <w:r w:rsidRPr="00463467">
        <w:rPr>
          <w:sz w:val="24"/>
          <w:szCs w:val="24"/>
        </w:rPr>
        <w:t xml:space="preserve"> be required to be one sample for every 250,000 gallons of pentane</w:t>
      </w:r>
      <w:r>
        <w:rPr>
          <w:sz w:val="24"/>
          <w:szCs w:val="24"/>
        </w:rPr>
        <w:t xml:space="preserve"> received, or one sample every three</w:t>
      </w:r>
      <w:r w:rsidRPr="00463467">
        <w:rPr>
          <w:sz w:val="24"/>
          <w:szCs w:val="24"/>
        </w:rPr>
        <w:t xml:space="preserve"> months, which ever results in more frequent sampling.</w:t>
      </w:r>
    </w:p>
    <w:p w14:paraId="1EBE3DAC" w14:textId="77777777" w:rsidR="00DE455B" w:rsidRPr="00463467" w:rsidRDefault="00DE455B" w:rsidP="00DE455B">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Enters into a contract with all parties who transport or store pentane for use by the refiner to assure that an adequate quality assurance program is implemented to ensure that such pentane will not be contaminated in transit to the refinery.</w:t>
      </w:r>
    </w:p>
    <w:p w14:paraId="48C1DAF1" w14:textId="5086B0B6" w:rsidR="00DE455B" w:rsidRPr="00463467" w:rsidRDefault="00DE455B" w:rsidP="00DE455B">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 xml:space="preserve">As an alternative to </w:t>
      </w:r>
      <w:r w:rsidR="00191864">
        <w:rPr>
          <w:sz w:val="24"/>
          <w:szCs w:val="24"/>
        </w:rPr>
        <w:t>the by</w:t>
      </w:r>
      <w:r w:rsidRPr="00463467">
        <w:rPr>
          <w:sz w:val="24"/>
          <w:szCs w:val="24"/>
        </w:rPr>
        <w:t xml:space="preserve"> batch sampling testing requirements, refiners who blend other blendstocks into PCG may:</w:t>
      </w:r>
      <w:r>
        <w:rPr>
          <w:sz w:val="24"/>
          <w:szCs w:val="24"/>
        </w:rPr>
        <w:t xml:space="preserve"> (40 CFR 1640(b))</w:t>
      </w:r>
    </w:p>
    <w:p w14:paraId="4FF9341B" w14:textId="62881891" w:rsidR="00DE455B" w:rsidRPr="00463467" w:rsidRDefault="00DE455B" w:rsidP="00DE455B">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Sample and test the PCG for sulfur content prior to blending</w:t>
      </w:r>
      <w:r w:rsidR="00191864">
        <w:rPr>
          <w:sz w:val="24"/>
          <w:szCs w:val="24"/>
        </w:rPr>
        <w:t xml:space="preserve">; and </w:t>
      </w:r>
      <w:r w:rsidRPr="00463467">
        <w:rPr>
          <w:sz w:val="24"/>
          <w:szCs w:val="24"/>
        </w:rPr>
        <w:t xml:space="preserve">calculate the volume and sulfur content of the blendstock by subtracting the volume and sulfur content of the PCG from the volume and sulfur content of the gasoline </w:t>
      </w:r>
      <w:r w:rsidR="00963521" w:rsidRPr="00463467">
        <w:rPr>
          <w:sz w:val="24"/>
          <w:szCs w:val="24"/>
        </w:rPr>
        <w:t>after</w:t>
      </w:r>
      <w:r w:rsidRPr="00463467">
        <w:rPr>
          <w:sz w:val="24"/>
          <w:szCs w:val="24"/>
        </w:rPr>
        <w:t xml:space="preserve"> blending, or</w:t>
      </w:r>
    </w:p>
    <w:p w14:paraId="2650D783" w14:textId="6EEAC152" w:rsidR="00DE455B" w:rsidRDefault="00DE455B" w:rsidP="00DE455B">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If every batch of blendstock used during an averaging period has a sulfur content that is equal to or less then the applicable per-gallon standard, sample and test each batch of blendstock for volume and sulfur content when received and treat each blendstock receipt as a separate batch for purposes of compliance calculations</w:t>
      </w:r>
      <w:r w:rsidR="00191864">
        <w:rPr>
          <w:sz w:val="24"/>
          <w:szCs w:val="24"/>
        </w:rPr>
        <w:t>.</w:t>
      </w:r>
    </w:p>
    <w:p w14:paraId="3F075143" w14:textId="1C150D2B" w:rsidR="00191864" w:rsidRDefault="00191864" w:rsidP="00DE455B">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p>
    <w:p w14:paraId="70BAA5CE" w14:textId="472618B6" w:rsidR="00191864" w:rsidRPr="00463467" w:rsidRDefault="00191864" w:rsidP="00191864">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4"/>
          <w:szCs w:val="24"/>
        </w:rPr>
      </w:pPr>
      <w:r>
        <w:rPr>
          <w:i/>
          <w:iCs/>
          <w:sz w:val="24"/>
          <w:szCs w:val="24"/>
        </w:rPr>
        <w:tab/>
      </w:r>
      <w:r w:rsidRPr="00463467">
        <w:rPr>
          <w:i/>
          <w:iCs/>
          <w:sz w:val="24"/>
          <w:szCs w:val="24"/>
        </w:rPr>
        <w:t>(F)</w:t>
      </w:r>
      <w:r w:rsidRPr="00463467">
        <w:rPr>
          <w:i/>
          <w:iCs/>
          <w:sz w:val="24"/>
          <w:szCs w:val="24"/>
        </w:rPr>
        <w:tab/>
      </w:r>
      <w:r w:rsidRPr="00463467">
        <w:rPr>
          <w:i/>
          <w:iCs/>
          <w:sz w:val="24"/>
          <w:szCs w:val="24"/>
        </w:rPr>
        <w:tab/>
        <w:t>Requirements for Gasoline Retailers and Wholesale Purchaser-Consumers:</w:t>
      </w:r>
      <w:r w:rsidRPr="006B70A5">
        <w:rPr>
          <w:sz w:val="24"/>
          <w:szCs w:val="24"/>
        </w:rPr>
        <w:t xml:space="preserve"> </w:t>
      </w:r>
      <w:r>
        <w:rPr>
          <w:sz w:val="24"/>
          <w:szCs w:val="24"/>
        </w:rPr>
        <w:t>(40 CFR 80.1656 (d))</w:t>
      </w:r>
    </w:p>
    <w:p w14:paraId="4377B8A9" w14:textId="77777777" w:rsidR="00191864" w:rsidRPr="00463467" w:rsidRDefault="00191864" w:rsidP="00191864">
      <w:pPr>
        <w:keepNext/>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2F409BA" w14:textId="77777777" w:rsidR="00191864" w:rsidRPr="00463467" w:rsidRDefault="00191864" w:rsidP="00191864">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I</w:t>
      </w:r>
      <w:r>
        <w:rPr>
          <w:sz w:val="24"/>
          <w:szCs w:val="24"/>
        </w:rPr>
        <w:t>f R&amp;D</w:t>
      </w:r>
      <w:r w:rsidRPr="00463467">
        <w:rPr>
          <w:sz w:val="24"/>
          <w:szCs w:val="24"/>
        </w:rPr>
        <w:t xml:space="preserve"> gasoline is to be stored by a retailer or wholesale purchaser-consumer (WPC), records </w:t>
      </w:r>
      <w:r>
        <w:rPr>
          <w:sz w:val="24"/>
          <w:szCs w:val="24"/>
        </w:rPr>
        <w:t>will</w:t>
      </w:r>
      <w:r w:rsidRPr="00463467">
        <w:rPr>
          <w:sz w:val="24"/>
          <w:szCs w:val="24"/>
        </w:rPr>
        <w:t xml:space="preserve"> be required to be kept to demonstrate that the retailer or WPC is associated with the facility that </w:t>
      </w:r>
      <w:r>
        <w:rPr>
          <w:sz w:val="24"/>
          <w:szCs w:val="24"/>
        </w:rPr>
        <w:t>will</w:t>
      </w:r>
      <w:r w:rsidRPr="00463467">
        <w:rPr>
          <w:sz w:val="24"/>
          <w:szCs w:val="24"/>
        </w:rPr>
        <w:t xml:space="preserve"> be using the R&amp;D gasoline</w:t>
      </w:r>
      <w:r>
        <w:rPr>
          <w:sz w:val="24"/>
          <w:szCs w:val="24"/>
        </w:rPr>
        <w:t xml:space="preserve">. </w:t>
      </w:r>
      <w:r w:rsidRPr="00463467">
        <w:rPr>
          <w:sz w:val="24"/>
          <w:szCs w:val="24"/>
        </w:rPr>
        <w:t>Documents associated with R&amp;D gasoline are required to be retained for five years.</w:t>
      </w:r>
      <w:r>
        <w:rPr>
          <w:sz w:val="24"/>
          <w:szCs w:val="24"/>
        </w:rPr>
        <w:t xml:space="preserve"> </w:t>
      </w:r>
    </w:p>
    <w:p w14:paraId="6EA6DEB2" w14:textId="77777777" w:rsidR="00191864" w:rsidRPr="00463467" w:rsidRDefault="00191864" w:rsidP="00DE455B">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p>
    <w:p w14:paraId="51F3952E" w14:textId="77777777" w:rsidR="00191864" w:rsidRPr="00463467" w:rsidRDefault="00191864" w:rsidP="00191864">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i/>
          <w:iCs/>
          <w:sz w:val="24"/>
          <w:szCs w:val="24"/>
        </w:rPr>
      </w:pPr>
      <w:r w:rsidRPr="00463467">
        <w:rPr>
          <w:i/>
          <w:iCs/>
          <w:sz w:val="24"/>
          <w:szCs w:val="24"/>
        </w:rPr>
        <w:t>(G)</w:t>
      </w:r>
      <w:r w:rsidRPr="00463467">
        <w:rPr>
          <w:i/>
          <w:iCs/>
          <w:sz w:val="24"/>
          <w:szCs w:val="24"/>
        </w:rPr>
        <w:tab/>
      </w:r>
      <w:r w:rsidRPr="00463467">
        <w:rPr>
          <w:i/>
          <w:iCs/>
          <w:sz w:val="24"/>
          <w:szCs w:val="24"/>
        </w:rPr>
        <w:tab/>
        <w:t>Requirements for Users of R&amp;D Gasoline.</w:t>
      </w:r>
      <w:r w:rsidRPr="00F214FD">
        <w:rPr>
          <w:sz w:val="24"/>
          <w:szCs w:val="24"/>
        </w:rPr>
        <w:t xml:space="preserve"> </w:t>
      </w:r>
      <w:r>
        <w:rPr>
          <w:sz w:val="24"/>
          <w:szCs w:val="24"/>
        </w:rPr>
        <w:t>(40 CFR 80.1656)</w:t>
      </w:r>
    </w:p>
    <w:p w14:paraId="08AEEEB0" w14:textId="77777777" w:rsidR="00191864" w:rsidRPr="00463467" w:rsidRDefault="00191864" w:rsidP="00191864">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079BC5" w14:textId="5C5EAE14" w:rsidR="00191864"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r>
      <w:r w:rsidR="00191864" w:rsidRPr="00463467">
        <w:rPr>
          <w:sz w:val="24"/>
          <w:szCs w:val="24"/>
        </w:rPr>
        <w:t>Users of R&amp;D gasoline must submit an application to EPA prior to initial use of the R&amp;D gasoline</w:t>
      </w:r>
      <w:r w:rsidR="00191864">
        <w:rPr>
          <w:sz w:val="24"/>
          <w:szCs w:val="24"/>
        </w:rPr>
        <w:t>.</w:t>
      </w:r>
      <w:r w:rsidR="00191864">
        <w:rPr>
          <w:rStyle w:val="FootnoteReference"/>
          <w:sz w:val="24"/>
          <w:szCs w:val="24"/>
        </w:rPr>
        <w:footnoteReference w:id="11"/>
      </w:r>
      <w:r w:rsidR="00191864">
        <w:rPr>
          <w:sz w:val="24"/>
          <w:szCs w:val="24"/>
        </w:rPr>
        <w:t xml:space="preserve"> </w:t>
      </w:r>
      <w:r w:rsidR="00191864" w:rsidRPr="00463467">
        <w:rPr>
          <w:sz w:val="24"/>
          <w:szCs w:val="24"/>
        </w:rPr>
        <w:t>The application must contain the following:</w:t>
      </w:r>
      <w:r w:rsidR="00191864">
        <w:rPr>
          <w:sz w:val="24"/>
          <w:szCs w:val="24"/>
        </w:rPr>
        <w:t xml:space="preserve"> </w:t>
      </w:r>
    </w:p>
    <w:p w14:paraId="50EFB97E" w14:textId="77777777" w:rsidR="00191864" w:rsidRPr="00463467" w:rsidRDefault="00191864" w:rsidP="00191864">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Statement of purpose</w:t>
      </w:r>
    </w:p>
    <w:p w14:paraId="17AC0A51" w14:textId="77777777" w:rsidR="00191864" w:rsidRPr="00463467" w:rsidRDefault="00191864" w:rsidP="00191864">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t>-</w:t>
      </w:r>
      <w:r>
        <w:rPr>
          <w:sz w:val="24"/>
          <w:szCs w:val="24"/>
        </w:rPr>
        <w:tab/>
        <w:t>Description of the R&amp;</w:t>
      </w:r>
      <w:r w:rsidRPr="00463467">
        <w:rPr>
          <w:sz w:val="24"/>
          <w:szCs w:val="24"/>
        </w:rPr>
        <w:t>D program, including the sulfur level of the gasoline expected to be used</w:t>
      </w:r>
    </w:p>
    <w:p w14:paraId="3E147C59" w14:textId="77777777" w:rsidR="00191864" w:rsidRPr="00463467" w:rsidRDefault="00191864" w:rsidP="00191864">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Expected start and completion dates of the R&amp;D program</w:t>
      </w:r>
    </w:p>
    <w:p w14:paraId="32F341A4" w14:textId="77777777" w:rsidR="00191864" w:rsidRPr="00463467" w:rsidRDefault="00191864" w:rsidP="00191864">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 xml:space="preserve">Estimation of the number of vehicles or engines in which the fuel </w:t>
      </w:r>
      <w:r>
        <w:rPr>
          <w:sz w:val="24"/>
          <w:szCs w:val="24"/>
        </w:rPr>
        <w:t>will</w:t>
      </w:r>
      <w:r w:rsidRPr="00463467">
        <w:rPr>
          <w:sz w:val="24"/>
          <w:szCs w:val="24"/>
        </w:rPr>
        <w:t xml:space="preserve"> be used and mileage to be accumulated</w:t>
      </w:r>
    </w:p>
    <w:p w14:paraId="392A0C37" w14:textId="77777777" w:rsidR="00191864" w:rsidRPr="00463467" w:rsidRDefault="00191864" w:rsidP="00191864">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 xml:space="preserve">Locations where gasoline </w:t>
      </w:r>
      <w:r>
        <w:rPr>
          <w:sz w:val="24"/>
          <w:szCs w:val="24"/>
        </w:rPr>
        <w:t>will</w:t>
      </w:r>
      <w:r w:rsidRPr="00463467">
        <w:rPr>
          <w:sz w:val="24"/>
          <w:szCs w:val="24"/>
        </w:rPr>
        <w:t xml:space="preserve"> be stored and used</w:t>
      </w:r>
    </w:p>
    <w:p w14:paraId="1D237971" w14:textId="77777777" w:rsidR="00191864" w:rsidRPr="00463467" w:rsidRDefault="00191864" w:rsidP="00191864">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Volume of gasoline to be used.</w:t>
      </w:r>
    </w:p>
    <w:p w14:paraId="74F6A742" w14:textId="77777777" w:rsidR="00191864" w:rsidRPr="00463467" w:rsidRDefault="00191864" w:rsidP="00191864">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Identification of the gasoline distributor or other source of the R&amp;D gasoline</w:t>
      </w:r>
    </w:p>
    <w:p w14:paraId="357B8C8F" w14:textId="77777777" w:rsidR="00191864" w:rsidRPr="00463467" w:rsidRDefault="00191864" w:rsidP="00191864">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Explanation of why sulfur-compliant gasoline cannot be used</w:t>
      </w:r>
    </w:p>
    <w:p w14:paraId="5FCC0DE8" w14:textId="7767C013" w:rsidR="00191864" w:rsidRDefault="00191864" w:rsidP="00191864">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Provisions to ensure EPA monitoring capability</w:t>
      </w:r>
    </w:p>
    <w:p w14:paraId="53805857" w14:textId="360E68B8" w:rsidR="00191864" w:rsidRDefault="00191864" w:rsidP="00191864">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Pr>
          <w:sz w:val="24"/>
          <w:szCs w:val="24"/>
        </w:rPr>
        <w:tab/>
      </w:r>
      <w:r w:rsidRPr="00463467">
        <w:rPr>
          <w:sz w:val="24"/>
          <w:szCs w:val="24"/>
        </w:rPr>
        <w:t xml:space="preserve">R&amp;D gasoline </w:t>
      </w:r>
      <w:r>
        <w:rPr>
          <w:sz w:val="24"/>
          <w:szCs w:val="24"/>
        </w:rPr>
        <w:t>will</w:t>
      </w:r>
      <w:r w:rsidRPr="00463467">
        <w:rPr>
          <w:sz w:val="24"/>
          <w:szCs w:val="24"/>
        </w:rPr>
        <w:t xml:space="preserve"> be required to be identified on PTDs as gasoline to be used only for this purpose</w:t>
      </w:r>
      <w:r>
        <w:rPr>
          <w:sz w:val="24"/>
          <w:szCs w:val="24"/>
        </w:rPr>
        <w:t>.</w:t>
      </w:r>
    </w:p>
    <w:p w14:paraId="42CC6368" w14:textId="77777777" w:rsidR="00191864" w:rsidRDefault="00191864" w:rsidP="00191864">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0A073A63" w14:textId="77777777" w:rsidR="00191864" w:rsidRPr="00463467" w:rsidRDefault="00191864" w:rsidP="00191864">
      <w:p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sidRPr="00463467">
        <w:rPr>
          <w:i/>
          <w:iCs/>
          <w:sz w:val="24"/>
          <w:szCs w:val="24"/>
        </w:rPr>
        <w:tab/>
        <w:t>(H)</w:t>
      </w:r>
      <w:r w:rsidRPr="00463467">
        <w:rPr>
          <w:i/>
          <w:iCs/>
          <w:sz w:val="24"/>
          <w:szCs w:val="24"/>
        </w:rPr>
        <w:tab/>
      </w:r>
      <w:r w:rsidRPr="00463467">
        <w:rPr>
          <w:i/>
          <w:iCs/>
          <w:sz w:val="24"/>
          <w:szCs w:val="24"/>
        </w:rPr>
        <w:tab/>
        <w:t>Requirements for Gasoline Additive Manufacturers</w:t>
      </w:r>
      <w:r>
        <w:rPr>
          <w:i/>
          <w:iCs/>
          <w:sz w:val="24"/>
          <w:szCs w:val="24"/>
        </w:rPr>
        <w:t xml:space="preserve"> </w:t>
      </w:r>
      <w:r w:rsidRPr="00F214FD">
        <w:rPr>
          <w:iCs/>
          <w:sz w:val="24"/>
          <w:szCs w:val="24"/>
        </w:rPr>
        <w:t>(40 CFR 80.1613)</w:t>
      </w:r>
    </w:p>
    <w:p w14:paraId="52579DD6" w14:textId="77777777" w:rsidR="00191864" w:rsidRPr="00463467" w:rsidRDefault="00191864" w:rsidP="00191864">
      <w:p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p>
    <w:p w14:paraId="064F0B97" w14:textId="77777777" w:rsidR="00191864" w:rsidRPr="00463467" w:rsidRDefault="00191864" w:rsidP="00191864">
      <w:p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r w:rsidRPr="00463467">
        <w:rPr>
          <w:iCs/>
          <w:sz w:val="24"/>
          <w:szCs w:val="24"/>
        </w:rPr>
        <w:t>-</w:t>
      </w:r>
      <w:r w:rsidRPr="00463467">
        <w:rPr>
          <w:iCs/>
          <w:sz w:val="24"/>
          <w:szCs w:val="24"/>
        </w:rPr>
        <w:tab/>
        <w:t>PTDs that state the maximum registered concentration for the additive and the corresponding maximum allowed treatment rate.</w:t>
      </w:r>
    </w:p>
    <w:p w14:paraId="217C421A" w14:textId="3700934C" w:rsidR="00191864" w:rsidRPr="00463467" w:rsidRDefault="00191864" w:rsidP="00191864">
      <w:p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r w:rsidRPr="00463467">
        <w:rPr>
          <w:iCs/>
          <w:sz w:val="24"/>
          <w:szCs w:val="24"/>
        </w:rPr>
        <w:t>-</w:t>
      </w:r>
      <w:r w:rsidRPr="00463467">
        <w:rPr>
          <w:iCs/>
          <w:sz w:val="24"/>
          <w:szCs w:val="24"/>
        </w:rPr>
        <w:tab/>
        <w:t>Additive production quality control records to demonstrate that the sulfur content of each production batch is consistent with the maximum allowed treatment rate</w:t>
      </w:r>
      <w:r>
        <w:rPr>
          <w:iCs/>
          <w:sz w:val="24"/>
          <w:szCs w:val="24"/>
        </w:rPr>
        <w:t>.</w:t>
      </w:r>
    </w:p>
    <w:p w14:paraId="010C656A" w14:textId="243B17A7" w:rsidR="00191864" w:rsidRPr="00463467" w:rsidRDefault="00191864" w:rsidP="00191864">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5F62972C" w14:textId="4A698842" w:rsidR="00191864" w:rsidRPr="00463467" w:rsidRDefault="00191864" w:rsidP="00191864">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4"/>
          <w:szCs w:val="24"/>
        </w:rPr>
      </w:pPr>
      <w:r>
        <w:rPr>
          <w:i/>
          <w:iCs/>
          <w:sz w:val="24"/>
          <w:szCs w:val="24"/>
        </w:rPr>
        <w:tab/>
      </w:r>
      <w:r w:rsidRPr="00463467">
        <w:rPr>
          <w:i/>
          <w:iCs/>
          <w:sz w:val="24"/>
          <w:szCs w:val="24"/>
        </w:rPr>
        <w:t>(I)</w:t>
      </w:r>
      <w:r w:rsidRPr="00463467">
        <w:rPr>
          <w:i/>
          <w:iCs/>
          <w:sz w:val="24"/>
          <w:szCs w:val="24"/>
        </w:rPr>
        <w:tab/>
      </w:r>
      <w:r w:rsidRPr="00463467">
        <w:rPr>
          <w:i/>
          <w:iCs/>
          <w:sz w:val="24"/>
          <w:szCs w:val="24"/>
        </w:rPr>
        <w:tab/>
        <w:t>Requirements for Denatured Fuel Ethanol and Other Oxygenate Producers and Importers.</w:t>
      </w:r>
    </w:p>
    <w:p w14:paraId="644E4D0C" w14:textId="77777777" w:rsidR="00191864" w:rsidRPr="00463467" w:rsidRDefault="00191864" w:rsidP="00191864">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p>
    <w:p w14:paraId="2146E337" w14:textId="1A2356B5" w:rsidR="00191864" w:rsidRDefault="00191864" w:rsidP="00191864">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r w:rsidRPr="00463467">
        <w:rPr>
          <w:iCs/>
          <w:sz w:val="24"/>
          <w:szCs w:val="24"/>
        </w:rPr>
        <w:t>-</w:t>
      </w:r>
      <w:r w:rsidRPr="00463467">
        <w:rPr>
          <w:iCs/>
          <w:sz w:val="24"/>
          <w:szCs w:val="24"/>
        </w:rPr>
        <w:tab/>
        <w:t>Register with EPA prior to November 1, 2016, or at least 60 days prior to producing or importing oxygenate subject to the Tier 3 program 10 ppm sulfur cap</w:t>
      </w:r>
      <w:r>
        <w:rPr>
          <w:iCs/>
          <w:sz w:val="24"/>
          <w:szCs w:val="24"/>
        </w:rPr>
        <w:t xml:space="preserve"> (40 CFR 80.1650(b)(2))</w:t>
      </w:r>
    </w:p>
    <w:p w14:paraId="37878455" w14:textId="3490D9D8" w:rsidR="00191864" w:rsidRDefault="00191864" w:rsidP="00191864">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r w:rsidRPr="00463467">
        <w:rPr>
          <w:iCs/>
          <w:sz w:val="24"/>
          <w:szCs w:val="24"/>
        </w:rPr>
        <w:t>-</w:t>
      </w:r>
      <w:r w:rsidRPr="00463467">
        <w:rPr>
          <w:iCs/>
          <w:sz w:val="24"/>
          <w:szCs w:val="24"/>
        </w:rPr>
        <w:tab/>
        <w:t>Submit annual report to EPA for each oxygenate production and import facility by March 31 for the previous</w:t>
      </w:r>
      <w:r>
        <w:rPr>
          <w:iCs/>
          <w:sz w:val="24"/>
          <w:szCs w:val="24"/>
        </w:rPr>
        <w:t xml:space="preserve"> calendar</w:t>
      </w:r>
      <w:r w:rsidRPr="00463467">
        <w:rPr>
          <w:iCs/>
          <w:sz w:val="24"/>
          <w:szCs w:val="24"/>
        </w:rPr>
        <w:t xml:space="preserve"> year.</w:t>
      </w:r>
      <w:r>
        <w:rPr>
          <w:iCs/>
          <w:sz w:val="24"/>
          <w:szCs w:val="24"/>
        </w:rPr>
        <w:t xml:space="preserve"> (40 CFR 80.1652(d)) </w:t>
      </w:r>
    </w:p>
    <w:p w14:paraId="64EC7211" w14:textId="77777777" w:rsidR="00191864" w:rsidRPr="00463467" w:rsidRDefault="00191864" w:rsidP="00191864">
      <w:pPr>
        <w:numPr>
          <w:ilvl w:val="12"/>
          <w:numId w:val="0"/>
        </w:numPr>
        <w:tabs>
          <w:tab w:val="left" w:pos="-1440"/>
          <w:tab w:val="left" w:pos="-720"/>
          <w:tab w:val="left" w:pos="-9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r w:rsidRPr="00463467">
        <w:rPr>
          <w:iCs/>
          <w:sz w:val="24"/>
          <w:szCs w:val="24"/>
        </w:rPr>
        <w:t>-</w:t>
      </w:r>
      <w:r w:rsidRPr="00463467">
        <w:rPr>
          <w:iCs/>
          <w:sz w:val="24"/>
          <w:szCs w:val="24"/>
        </w:rPr>
        <w:tab/>
        <w:t xml:space="preserve">Include the following information in the oxygenate producer or importer’s annual report: </w:t>
      </w:r>
      <w:r>
        <w:rPr>
          <w:iCs/>
          <w:sz w:val="24"/>
          <w:szCs w:val="24"/>
        </w:rPr>
        <w:t>(40 CFR 80.1652(c))</w:t>
      </w:r>
    </w:p>
    <w:p w14:paraId="5DE0D110" w14:textId="2A96E89A" w:rsidR="00191864" w:rsidRPr="00463467" w:rsidRDefault="00191864" w:rsidP="00191864">
      <w:pPr>
        <w:numPr>
          <w:ilvl w:val="12"/>
          <w:numId w:val="0"/>
        </w:numPr>
        <w:tabs>
          <w:tab w:val="left" w:pos="-1440"/>
          <w:tab w:val="left" w:pos="-720"/>
          <w:tab w:val="left" w:pos="-90"/>
          <w:tab w:val="left" w:pos="108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iCs/>
          <w:sz w:val="24"/>
          <w:szCs w:val="24"/>
        </w:rPr>
      </w:pPr>
      <w:r w:rsidRPr="00463467">
        <w:rPr>
          <w:iCs/>
          <w:sz w:val="24"/>
          <w:szCs w:val="24"/>
        </w:rPr>
        <w:t>-</w:t>
      </w:r>
      <w:r w:rsidRPr="00463467">
        <w:rPr>
          <w:iCs/>
          <w:sz w:val="24"/>
          <w:szCs w:val="24"/>
        </w:rPr>
        <w:tab/>
        <w:t xml:space="preserve">EPA oxygenate producer and oxygenate production facility, or oxygenate </w:t>
      </w:r>
      <w:r w:rsidR="007853C3" w:rsidRPr="00463467">
        <w:rPr>
          <w:iCs/>
          <w:sz w:val="24"/>
          <w:szCs w:val="24"/>
        </w:rPr>
        <w:t>importer registration</w:t>
      </w:r>
      <w:r w:rsidRPr="00463467">
        <w:rPr>
          <w:iCs/>
          <w:sz w:val="24"/>
          <w:szCs w:val="24"/>
        </w:rPr>
        <w:t xml:space="preserve"> numbers</w:t>
      </w:r>
      <w:r w:rsidR="007853C3">
        <w:rPr>
          <w:iCs/>
          <w:sz w:val="24"/>
          <w:szCs w:val="24"/>
        </w:rPr>
        <w:t>.</w:t>
      </w:r>
    </w:p>
    <w:p w14:paraId="14C13951" w14:textId="77777777" w:rsidR="00191864" w:rsidRPr="00463467" w:rsidRDefault="00191864" w:rsidP="00191864">
      <w:pPr>
        <w:pStyle w:val="ListParagraph"/>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463467">
        <w:rPr>
          <w:iCs/>
          <w:sz w:val="24"/>
          <w:szCs w:val="24"/>
        </w:rPr>
        <w:t>-</w:t>
      </w:r>
      <w:r w:rsidRPr="00463467">
        <w:rPr>
          <w:iCs/>
          <w:sz w:val="24"/>
          <w:szCs w:val="24"/>
        </w:rPr>
        <w:tab/>
        <w:t>Total volume of each type of oxygenate produced or imported</w:t>
      </w:r>
    </w:p>
    <w:p w14:paraId="53C09E7C" w14:textId="77777777" w:rsidR="00191864" w:rsidRPr="00463467" w:rsidRDefault="00191864" w:rsidP="00191864">
      <w:pPr>
        <w:pStyle w:val="ListParagraph"/>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463467">
        <w:rPr>
          <w:iCs/>
          <w:sz w:val="24"/>
          <w:szCs w:val="24"/>
        </w:rPr>
        <w:t>-</w:t>
      </w:r>
      <w:r w:rsidRPr="00463467">
        <w:rPr>
          <w:iCs/>
          <w:sz w:val="24"/>
          <w:szCs w:val="24"/>
        </w:rPr>
        <w:tab/>
        <w:t>Annual average gasoline sulfur content produced at the refinery or imported</w:t>
      </w:r>
    </w:p>
    <w:p w14:paraId="1F8CCE85" w14:textId="77777777" w:rsidR="00191864" w:rsidRPr="00463467" w:rsidRDefault="00191864" w:rsidP="00191864">
      <w:pPr>
        <w:pStyle w:val="ListParagraph"/>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iCs/>
          <w:sz w:val="24"/>
          <w:szCs w:val="24"/>
        </w:rPr>
      </w:pPr>
      <w:r w:rsidRPr="00463467">
        <w:rPr>
          <w:iCs/>
          <w:sz w:val="24"/>
          <w:szCs w:val="24"/>
        </w:rPr>
        <w:t>-</w:t>
      </w:r>
      <w:r w:rsidRPr="00463467">
        <w:rPr>
          <w:iCs/>
          <w:sz w:val="24"/>
          <w:szCs w:val="24"/>
        </w:rPr>
        <w:tab/>
        <w:t>For each batch of oxygenate produced or imported during the calendar year, the assigned batch number, the date the batch was produced, and the volume and sulfur content of the batch.</w:t>
      </w:r>
    </w:p>
    <w:p w14:paraId="7640874A" w14:textId="263BCCEE" w:rsidR="00C178AE" w:rsidRPr="00C178AE" w:rsidRDefault="00191864" w:rsidP="00C178AE">
      <w:pPr>
        <w:pStyle w:val="ListParagraph"/>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iCs/>
          <w:sz w:val="24"/>
          <w:szCs w:val="24"/>
        </w:rPr>
      </w:pPr>
      <w:r w:rsidRPr="00463467">
        <w:rPr>
          <w:iCs/>
          <w:sz w:val="24"/>
          <w:szCs w:val="24"/>
        </w:rPr>
        <w:t>-</w:t>
      </w:r>
      <w:r w:rsidRPr="00463467">
        <w:rPr>
          <w:iCs/>
          <w:sz w:val="24"/>
          <w:szCs w:val="24"/>
        </w:rPr>
        <w:tab/>
        <w:t>For oxygenates other than denatured fuel ethanol, the identification of the test method used to determine the sulfur content of the batch.</w:t>
      </w:r>
    </w:p>
    <w:p w14:paraId="3B8F2166" w14:textId="77777777" w:rsidR="00191864" w:rsidRPr="00463467" w:rsidRDefault="00191864" w:rsidP="00191864">
      <w:pPr>
        <w:pStyle w:val="ListParagraph"/>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iCs/>
          <w:sz w:val="24"/>
          <w:szCs w:val="24"/>
        </w:rPr>
      </w:pPr>
      <w:r w:rsidRPr="00463467">
        <w:rPr>
          <w:iCs/>
          <w:sz w:val="24"/>
          <w:szCs w:val="24"/>
        </w:rPr>
        <w:t>-</w:t>
      </w:r>
      <w:r w:rsidRPr="00463467">
        <w:rPr>
          <w:iCs/>
          <w:sz w:val="24"/>
          <w:szCs w:val="24"/>
        </w:rPr>
        <w:tab/>
        <w:t>For denatured fuel ethanol, either the identification of the test method used to determine the sulfur content of the batch, or the information used to calculate the sulfur content.</w:t>
      </w:r>
    </w:p>
    <w:p w14:paraId="7D011ACC" w14:textId="77777777" w:rsidR="00191864" w:rsidRPr="00463467" w:rsidRDefault="00191864" w:rsidP="00191864">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p>
    <w:p w14:paraId="2E6DEEA9" w14:textId="77777777" w:rsidR="00191864" w:rsidRPr="00463467" w:rsidRDefault="00191864" w:rsidP="00191864">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r w:rsidRPr="00463467">
        <w:rPr>
          <w:iCs/>
          <w:sz w:val="24"/>
          <w:szCs w:val="24"/>
        </w:rPr>
        <w:t>-</w:t>
      </w:r>
      <w:r w:rsidRPr="00463467">
        <w:rPr>
          <w:iCs/>
          <w:sz w:val="24"/>
          <w:szCs w:val="24"/>
        </w:rPr>
        <w:tab/>
        <w:t>PTDs with the applicable statement for either denatured fuel ethanol or oxygenates other than denatured fuel ethanol.</w:t>
      </w:r>
      <w:r>
        <w:rPr>
          <w:iCs/>
          <w:sz w:val="24"/>
          <w:szCs w:val="24"/>
        </w:rPr>
        <w:t xml:space="preserve"> (40 CFR 80.1651)</w:t>
      </w:r>
    </w:p>
    <w:p w14:paraId="6240A248" w14:textId="4DCCC4CE" w:rsidR="00191864" w:rsidRDefault="00191864" w:rsidP="00191864">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p>
    <w:p w14:paraId="646BC34E" w14:textId="3EAE81A3" w:rsidR="00191864" w:rsidRPr="00463467" w:rsidRDefault="00B77792" w:rsidP="00191864">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4"/>
          <w:szCs w:val="24"/>
        </w:rPr>
      </w:pPr>
      <w:r>
        <w:rPr>
          <w:i/>
          <w:iCs/>
          <w:sz w:val="24"/>
          <w:szCs w:val="24"/>
        </w:rPr>
        <w:tab/>
      </w:r>
      <w:r w:rsidR="00191864" w:rsidRPr="00463467">
        <w:rPr>
          <w:i/>
          <w:iCs/>
          <w:sz w:val="24"/>
          <w:szCs w:val="24"/>
        </w:rPr>
        <w:t>(J)</w:t>
      </w:r>
      <w:r w:rsidR="00191864" w:rsidRPr="00463467">
        <w:rPr>
          <w:i/>
          <w:iCs/>
          <w:sz w:val="24"/>
          <w:szCs w:val="24"/>
        </w:rPr>
        <w:tab/>
      </w:r>
      <w:r w:rsidR="00191864" w:rsidRPr="00463467">
        <w:rPr>
          <w:i/>
          <w:iCs/>
          <w:sz w:val="24"/>
          <w:szCs w:val="24"/>
        </w:rPr>
        <w:tab/>
        <w:t>Producers and Importers of Certified Ethanol Denaturants</w:t>
      </w:r>
    </w:p>
    <w:p w14:paraId="15307EB3" w14:textId="77777777" w:rsidR="00191864" w:rsidRPr="00463467" w:rsidRDefault="00191864" w:rsidP="00191864">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p>
    <w:p w14:paraId="00795A12" w14:textId="3AE71BC5" w:rsidR="00191864" w:rsidRDefault="00191864" w:rsidP="00191864">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r w:rsidRPr="00463467">
        <w:rPr>
          <w:iCs/>
          <w:sz w:val="24"/>
          <w:szCs w:val="24"/>
        </w:rPr>
        <w:t>-</w:t>
      </w:r>
      <w:r w:rsidRPr="00463467">
        <w:rPr>
          <w:iCs/>
          <w:sz w:val="24"/>
          <w:szCs w:val="24"/>
        </w:rPr>
        <w:tab/>
        <w:t>Register with EPA prior to November 1, 2016, or at least 60 days prior to producing or importing certified ethanol denaturant</w:t>
      </w:r>
      <w:r>
        <w:rPr>
          <w:iCs/>
          <w:sz w:val="24"/>
          <w:szCs w:val="24"/>
        </w:rPr>
        <w:t>. (40 CFR 80.1650(b)(4))</w:t>
      </w:r>
    </w:p>
    <w:p w14:paraId="4A810B20" w14:textId="735A0DB6" w:rsidR="00191864" w:rsidRPr="00463467" w:rsidRDefault="00191864" w:rsidP="00191864">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r w:rsidRPr="00463467">
        <w:rPr>
          <w:iCs/>
          <w:sz w:val="24"/>
          <w:szCs w:val="24"/>
        </w:rPr>
        <w:t>-</w:t>
      </w:r>
      <w:r w:rsidRPr="00463467">
        <w:rPr>
          <w:iCs/>
          <w:sz w:val="24"/>
          <w:szCs w:val="24"/>
        </w:rPr>
        <w:tab/>
      </w:r>
      <w:r>
        <w:rPr>
          <w:iCs/>
          <w:sz w:val="24"/>
          <w:szCs w:val="24"/>
        </w:rPr>
        <w:t xml:space="preserve">Generate </w:t>
      </w:r>
      <w:r w:rsidRPr="00463467">
        <w:rPr>
          <w:iCs/>
          <w:sz w:val="24"/>
          <w:szCs w:val="24"/>
        </w:rPr>
        <w:t>PTDs</w:t>
      </w:r>
      <w:r>
        <w:rPr>
          <w:iCs/>
          <w:sz w:val="24"/>
          <w:szCs w:val="24"/>
        </w:rPr>
        <w:t xml:space="preserve"> for each batch of certified ethanol denaturant. (40 CFR 80.1651(d)) </w:t>
      </w:r>
    </w:p>
    <w:p w14:paraId="1C7CFFB8" w14:textId="77777777" w:rsidR="00B77792" w:rsidRDefault="00191864" w:rsidP="00191864">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r w:rsidRPr="00463467">
        <w:rPr>
          <w:iCs/>
          <w:sz w:val="24"/>
          <w:szCs w:val="24"/>
        </w:rPr>
        <w:t>-</w:t>
      </w:r>
      <w:r>
        <w:rPr>
          <w:iCs/>
          <w:sz w:val="24"/>
          <w:szCs w:val="24"/>
        </w:rPr>
        <w:tab/>
      </w:r>
      <w:r w:rsidR="00B77792">
        <w:rPr>
          <w:iCs/>
          <w:sz w:val="24"/>
          <w:szCs w:val="24"/>
        </w:rPr>
        <w:t>Sample and test each batch of certified ethanol denaturant for sulfur content</w:t>
      </w:r>
    </w:p>
    <w:p w14:paraId="5394B95F" w14:textId="4B8302B8" w:rsidR="00191864" w:rsidRPr="00463467" w:rsidRDefault="00B77792" w:rsidP="00191864">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r>
        <w:rPr>
          <w:iCs/>
          <w:sz w:val="24"/>
          <w:szCs w:val="24"/>
        </w:rPr>
        <w:t>-</w:t>
      </w:r>
      <w:r>
        <w:rPr>
          <w:iCs/>
          <w:sz w:val="24"/>
          <w:szCs w:val="24"/>
        </w:rPr>
        <w:tab/>
        <w:t>Maintain the p</w:t>
      </w:r>
      <w:r w:rsidR="00191864" w:rsidRPr="00463467">
        <w:rPr>
          <w:iCs/>
          <w:sz w:val="24"/>
          <w:szCs w:val="24"/>
        </w:rPr>
        <w:t>er-batch sulfur test records</w:t>
      </w:r>
      <w:r>
        <w:rPr>
          <w:iCs/>
          <w:sz w:val="24"/>
          <w:szCs w:val="24"/>
        </w:rPr>
        <w:t xml:space="preserve"> for a period of 5 years.</w:t>
      </w:r>
      <w:r w:rsidR="00191864">
        <w:rPr>
          <w:iCs/>
          <w:sz w:val="24"/>
          <w:szCs w:val="24"/>
        </w:rPr>
        <w:t xml:space="preserve"> (40 CFR 80.1653(d))</w:t>
      </w:r>
    </w:p>
    <w:p w14:paraId="43A6F8F7" w14:textId="77777777" w:rsidR="00191864" w:rsidRPr="00463467" w:rsidRDefault="00191864" w:rsidP="00191864">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p>
    <w:p w14:paraId="6E5E2340" w14:textId="77777777" w:rsidR="00B77792" w:rsidRPr="00463467" w:rsidRDefault="00B77792" w:rsidP="00B77792">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4"/>
          <w:szCs w:val="24"/>
        </w:rPr>
      </w:pPr>
      <w:r w:rsidRPr="00463467">
        <w:rPr>
          <w:sz w:val="24"/>
          <w:szCs w:val="24"/>
        </w:rPr>
        <w:tab/>
      </w:r>
      <w:r w:rsidRPr="00463467">
        <w:rPr>
          <w:i/>
          <w:iCs/>
          <w:sz w:val="24"/>
          <w:szCs w:val="24"/>
        </w:rPr>
        <w:t>(K)</w:t>
      </w:r>
      <w:r w:rsidRPr="00463467">
        <w:rPr>
          <w:i/>
          <w:iCs/>
          <w:sz w:val="24"/>
          <w:szCs w:val="24"/>
        </w:rPr>
        <w:tab/>
      </w:r>
      <w:r w:rsidRPr="00463467">
        <w:rPr>
          <w:i/>
          <w:iCs/>
          <w:sz w:val="24"/>
          <w:szCs w:val="24"/>
        </w:rPr>
        <w:tab/>
        <w:t>Producers and Importers of Blender-Grade Pentane</w:t>
      </w:r>
      <w:r>
        <w:rPr>
          <w:i/>
          <w:iCs/>
          <w:sz w:val="24"/>
          <w:szCs w:val="24"/>
        </w:rPr>
        <w:t xml:space="preserve"> </w:t>
      </w:r>
      <w:r>
        <w:rPr>
          <w:iCs/>
          <w:sz w:val="24"/>
          <w:szCs w:val="24"/>
        </w:rPr>
        <w:t>(40 CFR 80.86)</w:t>
      </w:r>
    </w:p>
    <w:p w14:paraId="2C7B49F5" w14:textId="77777777" w:rsidR="00B77792" w:rsidRPr="00463467" w:rsidRDefault="00B77792" w:rsidP="00B77792">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p>
    <w:p w14:paraId="10D111A6" w14:textId="495036AF" w:rsidR="00B77792" w:rsidRDefault="00B77792" w:rsidP="00B77792">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r w:rsidRPr="00463467">
        <w:rPr>
          <w:iCs/>
          <w:sz w:val="24"/>
          <w:szCs w:val="24"/>
        </w:rPr>
        <w:t>-</w:t>
      </w:r>
      <w:r w:rsidRPr="00463467">
        <w:rPr>
          <w:iCs/>
          <w:sz w:val="24"/>
          <w:szCs w:val="24"/>
        </w:rPr>
        <w:tab/>
        <w:t>Register with EPA at least 30 days prior to producing or importing blender-grade pentane</w:t>
      </w:r>
      <w:r>
        <w:rPr>
          <w:iCs/>
          <w:sz w:val="24"/>
          <w:szCs w:val="24"/>
        </w:rPr>
        <w:t>.</w:t>
      </w:r>
    </w:p>
    <w:p w14:paraId="3C330C95" w14:textId="77777777" w:rsidR="00B77792" w:rsidRDefault="00B77792" w:rsidP="00B77792">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r w:rsidRPr="00463467">
        <w:rPr>
          <w:iCs/>
          <w:sz w:val="24"/>
          <w:szCs w:val="24"/>
        </w:rPr>
        <w:t>-</w:t>
      </w:r>
      <w:r w:rsidRPr="00463467">
        <w:rPr>
          <w:iCs/>
          <w:sz w:val="24"/>
          <w:szCs w:val="24"/>
        </w:rPr>
        <w:tab/>
      </w:r>
      <w:r>
        <w:rPr>
          <w:iCs/>
          <w:sz w:val="24"/>
          <w:szCs w:val="24"/>
        </w:rPr>
        <w:t>Sample and test each batch of pentane for sulfur, olefins, aromatics, and benzene content.</w:t>
      </w:r>
    </w:p>
    <w:p w14:paraId="3F9ED862" w14:textId="6AE7F832" w:rsidR="00B77792" w:rsidRDefault="00B77792" w:rsidP="00B77792">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r>
        <w:rPr>
          <w:iCs/>
          <w:sz w:val="24"/>
          <w:szCs w:val="24"/>
        </w:rPr>
        <w:t>-</w:t>
      </w:r>
      <w:r>
        <w:rPr>
          <w:iCs/>
          <w:sz w:val="24"/>
          <w:szCs w:val="24"/>
        </w:rPr>
        <w:tab/>
        <w:t>Maintain the p</w:t>
      </w:r>
      <w:r w:rsidRPr="00463467">
        <w:rPr>
          <w:iCs/>
          <w:sz w:val="24"/>
          <w:szCs w:val="24"/>
        </w:rPr>
        <w:t>er-batch sulfur test records on the sulfur, olefin, aromatics, and benzene content.</w:t>
      </w:r>
    </w:p>
    <w:p w14:paraId="4BE00197" w14:textId="2EDC8B00" w:rsidR="00B77792" w:rsidRPr="00463467" w:rsidRDefault="00B77792" w:rsidP="00B77792">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r w:rsidRPr="00463467">
        <w:rPr>
          <w:iCs/>
          <w:sz w:val="24"/>
          <w:szCs w:val="24"/>
        </w:rPr>
        <w:t>-</w:t>
      </w:r>
      <w:r w:rsidRPr="00463467">
        <w:rPr>
          <w:iCs/>
          <w:sz w:val="24"/>
          <w:szCs w:val="24"/>
        </w:rPr>
        <w:tab/>
        <w:t>For blender-commercial-grade pentane</w:t>
      </w:r>
      <w:r>
        <w:rPr>
          <w:iCs/>
          <w:sz w:val="24"/>
          <w:szCs w:val="24"/>
        </w:rPr>
        <w:t>, maintain any</w:t>
      </w:r>
      <w:r w:rsidRPr="00463467">
        <w:rPr>
          <w:iCs/>
          <w:sz w:val="24"/>
          <w:szCs w:val="24"/>
        </w:rPr>
        <w:t xml:space="preserve"> test results on the purity of the pentane</w:t>
      </w:r>
      <w:r>
        <w:rPr>
          <w:iCs/>
          <w:sz w:val="24"/>
          <w:szCs w:val="24"/>
        </w:rPr>
        <w:t>.</w:t>
      </w:r>
      <w:r w:rsidRPr="00463467">
        <w:rPr>
          <w:iCs/>
          <w:sz w:val="24"/>
          <w:szCs w:val="24"/>
        </w:rPr>
        <w:t xml:space="preserve"> </w:t>
      </w:r>
    </w:p>
    <w:p w14:paraId="6BA9DD76" w14:textId="57D1B52A" w:rsidR="00B77792" w:rsidRPr="00463467" w:rsidRDefault="00B77792" w:rsidP="00B77792">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r w:rsidRPr="00463467">
        <w:rPr>
          <w:iCs/>
          <w:sz w:val="24"/>
          <w:szCs w:val="24"/>
        </w:rPr>
        <w:t>-</w:t>
      </w:r>
      <w:r w:rsidRPr="00463467">
        <w:rPr>
          <w:iCs/>
          <w:sz w:val="24"/>
          <w:szCs w:val="24"/>
        </w:rPr>
        <w:tab/>
      </w:r>
      <w:r>
        <w:rPr>
          <w:iCs/>
          <w:sz w:val="24"/>
          <w:szCs w:val="24"/>
        </w:rPr>
        <w:t xml:space="preserve">Generate </w:t>
      </w:r>
      <w:r w:rsidRPr="00463467">
        <w:rPr>
          <w:iCs/>
          <w:sz w:val="24"/>
          <w:szCs w:val="24"/>
        </w:rPr>
        <w:t>PTDs</w:t>
      </w:r>
      <w:r>
        <w:rPr>
          <w:iCs/>
          <w:sz w:val="24"/>
          <w:szCs w:val="24"/>
        </w:rPr>
        <w:t xml:space="preserve"> for each batch of pentane to be used to produce gasoline by blending with PCG.</w:t>
      </w:r>
    </w:p>
    <w:p w14:paraId="5B7AC4E4" w14:textId="17745FF9" w:rsidR="004E35C5" w:rsidRDefault="004E35C5" w:rsidP="00812B98"/>
    <w:p w14:paraId="76DB4DF7" w14:textId="77777777" w:rsidR="003E6E38" w:rsidRPr="00463467" w:rsidRDefault="003E6E38" w:rsidP="003E6E38">
      <w:pPr>
        <w:pStyle w:val="Heading3"/>
      </w:pPr>
      <w:r w:rsidRPr="00463467">
        <w:tab/>
        <w:t>(ii)</w:t>
      </w:r>
      <w:r w:rsidRPr="00463467">
        <w:tab/>
        <w:t>Respondent Activities</w:t>
      </w:r>
    </w:p>
    <w:p w14:paraId="564B05D9" w14:textId="77777777" w:rsidR="003E6E38" w:rsidRPr="00463467" w:rsidRDefault="003E6E38" w:rsidP="003E6E38">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72C3F42" w14:textId="6DFB75C1" w:rsidR="003E6E38" w:rsidRPr="00463467" w:rsidRDefault="003E6E38" w:rsidP="003E6E38">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 xml:space="preserve">As noted above, much of the information needed for compliance with the recordkeeping requirements under the Tier 3 </w:t>
      </w:r>
      <w:r w:rsidR="00B96036">
        <w:rPr>
          <w:sz w:val="24"/>
          <w:szCs w:val="24"/>
        </w:rPr>
        <w:t>regulations</w:t>
      </w:r>
      <w:r w:rsidRPr="00463467">
        <w:rPr>
          <w:sz w:val="24"/>
          <w:szCs w:val="24"/>
        </w:rPr>
        <w:t xml:space="preserve"> is already being retained either to comply with the requirements of other 40 CFR Part 80 fuel programs or as a customary business practice</w:t>
      </w:r>
      <w:r>
        <w:rPr>
          <w:sz w:val="24"/>
          <w:szCs w:val="24"/>
        </w:rPr>
        <w:t xml:space="preserve">. </w:t>
      </w:r>
      <w:r w:rsidRPr="00463467">
        <w:rPr>
          <w:sz w:val="24"/>
          <w:szCs w:val="24"/>
        </w:rPr>
        <w:t xml:space="preserve">To the extent possible, information collected and reported under other 40 CFR Part 80 fuel programs such as the RFG program </w:t>
      </w:r>
      <w:r>
        <w:rPr>
          <w:sz w:val="24"/>
          <w:szCs w:val="24"/>
        </w:rPr>
        <w:t>may</w:t>
      </w:r>
      <w:r w:rsidRPr="00463467">
        <w:rPr>
          <w:sz w:val="24"/>
          <w:szCs w:val="24"/>
        </w:rPr>
        <w:t xml:space="preserve"> also be used to demonstrate compliance with the Tier 3 sulfur program without necessitating additional activities by the regulated parties</w:t>
      </w:r>
      <w:r>
        <w:rPr>
          <w:sz w:val="24"/>
          <w:szCs w:val="24"/>
        </w:rPr>
        <w:t xml:space="preserve">. </w:t>
      </w:r>
      <w:r w:rsidRPr="00463467">
        <w:rPr>
          <w:sz w:val="24"/>
          <w:szCs w:val="24"/>
        </w:rPr>
        <w:t xml:space="preserve">Only in cases where it is essential to ensure the realization of the projected benefits of the sulfur program, is </w:t>
      </w:r>
      <w:r>
        <w:rPr>
          <w:sz w:val="24"/>
          <w:szCs w:val="24"/>
        </w:rPr>
        <w:t xml:space="preserve">the </w:t>
      </w:r>
      <w:r w:rsidRPr="00463467">
        <w:rPr>
          <w:sz w:val="24"/>
          <w:szCs w:val="24"/>
        </w:rPr>
        <w:t>EPA requiring additional testing, recordkeeping, and reporting</w:t>
      </w:r>
      <w:r>
        <w:rPr>
          <w:sz w:val="24"/>
          <w:szCs w:val="24"/>
        </w:rPr>
        <w:t xml:space="preserve">. </w:t>
      </w:r>
    </w:p>
    <w:p w14:paraId="17839042" w14:textId="77777777" w:rsidR="003E6E38" w:rsidRPr="00463467" w:rsidRDefault="003E6E38" w:rsidP="003E6E38">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D42002E" w14:textId="77777777" w:rsidR="003E6E38" w:rsidRPr="00463467" w:rsidRDefault="003E6E38" w:rsidP="003E6E38">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The activities arising out of the testing, recordkeeping, and reporting requirements outlined in the preceding section are listed below according to the respondent class to which they apply</w:t>
      </w:r>
      <w:r>
        <w:rPr>
          <w:sz w:val="24"/>
          <w:szCs w:val="24"/>
        </w:rPr>
        <w:t xml:space="preserve">. </w:t>
      </w:r>
      <w:r w:rsidRPr="00463467">
        <w:rPr>
          <w:sz w:val="24"/>
          <w:szCs w:val="24"/>
        </w:rPr>
        <w:t xml:space="preserve">Activities that apply to a broad class of respondents (such as refiners and importers) are also applicable to respondent subclasses (such as small refiners) unless otherwise noted. </w:t>
      </w:r>
    </w:p>
    <w:p w14:paraId="580DB422" w14:textId="77777777" w:rsidR="003E6E38" w:rsidRPr="00463467" w:rsidRDefault="003E6E38" w:rsidP="003E6E38">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0C46ADF" w14:textId="62E14CA5" w:rsidR="003E6E38" w:rsidRPr="00463467" w:rsidRDefault="003E6E38" w:rsidP="003E6E38">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 xml:space="preserve">The burdens and costs included in this ICR are those which are expected to be incurred during the next three years, the </w:t>
      </w:r>
      <w:r w:rsidR="00963521" w:rsidRPr="00463467">
        <w:rPr>
          <w:sz w:val="24"/>
          <w:szCs w:val="24"/>
        </w:rPr>
        <w:t>period</w:t>
      </w:r>
      <w:r w:rsidRPr="00463467">
        <w:rPr>
          <w:sz w:val="24"/>
          <w:szCs w:val="24"/>
        </w:rPr>
        <w:t xml:space="preserve"> covered by this ICR.</w:t>
      </w:r>
    </w:p>
    <w:p w14:paraId="2A44C3C8" w14:textId="77777777" w:rsidR="003E6E38" w:rsidRPr="00463467" w:rsidRDefault="003E6E38" w:rsidP="003E6E38">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17902C" w14:textId="222336CD" w:rsidR="003E6E38" w:rsidRDefault="003E6E38" w:rsidP="003E6E38">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The following lists detail the activities of the various regulated parties:</w:t>
      </w:r>
    </w:p>
    <w:p w14:paraId="4366E1C1"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4"/>
          <w:szCs w:val="24"/>
        </w:rPr>
      </w:pPr>
      <w:r w:rsidRPr="00463467">
        <w:rPr>
          <w:i/>
          <w:iCs/>
          <w:sz w:val="24"/>
          <w:szCs w:val="24"/>
        </w:rPr>
        <w:t>(A)      Activities of Gasoline Refiners and Importers</w:t>
      </w:r>
    </w:p>
    <w:p w14:paraId="5CEF70E5"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8CADB7A" w14:textId="3C9AA3AB"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 xml:space="preserve">Test each batch of gasoline for its sulfur content, retain samples from the most recent 20 samples collected or for each sample collected during the most recent </w:t>
      </w:r>
      <w:r w:rsidR="007853C3" w:rsidRPr="00463467">
        <w:rPr>
          <w:sz w:val="24"/>
          <w:szCs w:val="24"/>
        </w:rPr>
        <w:t>21-day</w:t>
      </w:r>
      <w:r w:rsidRPr="00463467">
        <w:rPr>
          <w:sz w:val="24"/>
          <w:szCs w:val="24"/>
        </w:rPr>
        <w:t xml:space="preserve"> period, whichever is greater, and retain records of the testing for five years</w:t>
      </w:r>
      <w:r>
        <w:rPr>
          <w:sz w:val="24"/>
          <w:szCs w:val="24"/>
        </w:rPr>
        <w:t>. (40 CFR 80.1630 and 80.1631)</w:t>
      </w:r>
    </w:p>
    <w:p w14:paraId="096DE981"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1440"/>
        <w:rPr>
          <w:sz w:val="24"/>
          <w:szCs w:val="24"/>
        </w:rPr>
      </w:pPr>
      <w:r w:rsidRPr="00463467">
        <w:rPr>
          <w:sz w:val="24"/>
          <w:szCs w:val="24"/>
        </w:rPr>
        <w:tab/>
        <w:t>-</w:t>
      </w:r>
      <w:r w:rsidRPr="00463467">
        <w:rPr>
          <w:sz w:val="24"/>
          <w:szCs w:val="24"/>
        </w:rPr>
        <w:tab/>
        <w:t xml:space="preserve">Conduct a QA periodic sampling and testing program for sulfur content for defense purposes. </w:t>
      </w:r>
      <w:r>
        <w:rPr>
          <w:sz w:val="24"/>
          <w:szCs w:val="24"/>
        </w:rPr>
        <w:t>(40 CFR 80.1663(d))</w:t>
      </w:r>
    </w:p>
    <w:p w14:paraId="18D66472"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Calculate the average annual sulfur level of each refinery, or all imported gasoline, using batch test reports.</w:t>
      </w:r>
      <w:r>
        <w:rPr>
          <w:sz w:val="24"/>
          <w:szCs w:val="24"/>
        </w:rPr>
        <w:t xml:space="preserve"> (40 CFR 80.1603)</w:t>
      </w:r>
    </w:p>
    <w:p w14:paraId="473D6CF4"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Submit refinery and importer annual averaging reports to EPA by the March 31 of the year following the prior year’s averaging period.</w:t>
      </w:r>
      <w:r>
        <w:rPr>
          <w:sz w:val="24"/>
          <w:szCs w:val="24"/>
        </w:rPr>
        <w:t xml:space="preserve"> (40 CFR 80.1652(a))</w:t>
      </w:r>
    </w:p>
    <w:p w14:paraId="2E65871D"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 xml:space="preserve">Arrange to have an independent third party submit to EPA an attest engagement report by </w:t>
      </w:r>
      <w:r>
        <w:rPr>
          <w:sz w:val="24"/>
          <w:szCs w:val="24"/>
        </w:rPr>
        <w:t>June 1</w:t>
      </w:r>
      <w:r w:rsidRPr="00463467">
        <w:rPr>
          <w:sz w:val="24"/>
          <w:szCs w:val="24"/>
        </w:rPr>
        <w:t xml:space="preserve"> of each year for the prior calendar year averaging period.</w:t>
      </w:r>
      <w:r>
        <w:rPr>
          <w:sz w:val="24"/>
          <w:szCs w:val="24"/>
        </w:rPr>
        <w:t xml:space="preserve"> (40 CFR 80.1667)</w:t>
      </w:r>
    </w:p>
    <w:p w14:paraId="07FD3C54"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9001F5C" w14:textId="77777777" w:rsidR="00A0016E" w:rsidRPr="00B56753"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463467">
        <w:rPr>
          <w:sz w:val="24"/>
          <w:szCs w:val="24"/>
        </w:rPr>
        <w:tab/>
      </w:r>
      <w:r w:rsidRPr="00463467">
        <w:rPr>
          <w:i/>
          <w:iCs/>
          <w:sz w:val="24"/>
          <w:szCs w:val="24"/>
        </w:rPr>
        <w:t>(B)      Activities of Gasoline Refiners That Utilize the Small Refiner</w:t>
      </w:r>
      <w:r>
        <w:rPr>
          <w:i/>
          <w:iCs/>
          <w:sz w:val="24"/>
          <w:szCs w:val="24"/>
        </w:rPr>
        <w:t xml:space="preserve"> and Small Volume        </w:t>
      </w:r>
      <w:r>
        <w:rPr>
          <w:i/>
          <w:iCs/>
          <w:sz w:val="24"/>
          <w:szCs w:val="24"/>
        </w:rPr>
        <w:tab/>
      </w:r>
      <w:r>
        <w:rPr>
          <w:i/>
          <w:iCs/>
          <w:sz w:val="24"/>
          <w:szCs w:val="24"/>
        </w:rPr>
        <w:tab/>
        <w:t xml:space="preserve">    Refinery</w:t>
      </w:r>
      <w:r w:rsidRPr="00463467">
        <w:rPr>
          <w:i/>
          <w:iCs/>
          <w:sz w:val="24"/>
          <w:szCs w:val="24"/>
        </w:rPr>
        <w:t xml:space="preserve"> Provisions:</w:t>
      </w:r>
      <w:r>
        <w:rPr>
          <w:iCs/>
          <w:sz w:val="24"/>
          <w:szCs w:val="24"/>
        </w:rPr>
        <w:t xml:space="preserve"> (40 CFR 80.1622)</w:t>
      </w:r>
    </w:p>
    <w:p w14:paraId="0A49CAD2" w14:textId="77777777" w:rsidR="00E53591" w:rsidRDefault="00E53591"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34BFD2C8" w14:textId="17D2BA82"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 xml:space="preserve">Notify </w:t>
      </w:r>
      <w:r>
        <w:rPr>
          <w:sz w:val="24"/>
          <w:szCs w:val="24"/>
        </w:rPr>
        <w:t xml:space="preserve">the </w:t>
      </w:r>
      <w:r w:rsidRPr="00463467">
        <w:rPr>
          <w:sz w:val="24"/>
          <w:szCs w:val="24"/>
        </w:rPr>
        <w:t xml:space="preserve">EPA if </w:t>
      </w:r>
      <w:r>
        <w:rPr>
          <w:sz w:val="24"/>
          <w:szCs w:val="24"/>
        </w:rPr>
        <w:t xml:space="preserve">the small </w:t>
      </w:r>
      <w:r w:rsidRPr="00463467">
        <w:rPr>
          <w:sz w:val="24"/>
          <w:szCs w:val="24"/>
        </w:rPr>
        <w:t xml:space="preserve">refiner </w:t>
      </w:r>
      <w:r>
        <w:rPr>
          <w:sz w:val="24"/>
          <w:szCs w:val="24"/>
        </w:rPr>
        <w:t xml:space="preserve">or small volume refinery fails to meet the qualifying criteria. </w:t>
      </w:r>
    </w:p>
    <w:p w14:paraId="3E060BA3" w14:textId="77777777" w:rsidR="00A0016E" w:rsidRPr="00463467" w:rsidRDefault="00A0016E" w:rsidP="00A0016E">
      <w:pPr>
        <w:spacing w:line="2" w:lineRule="exact"/>
        <w:rPr>
          <w:sz w:val="24"/>
          <w:szCs w:val="24"/>
        </w:rPr>
      </w:pPr>
    </w:p>
    <w:p w14:paraId="08F942E9" w14:textId="77777777" w:rsidR="00A0016E" w:rsidRPr="00463467" w:rsidRDefault="00A0016E" w:rsidP="00A0016E">
      <w:pPr>
        <w:spacing w:line="2" w:lineRule="exact"/>
        <w:rPr>
          <w:sz w:val="24"/>
          <w:szCs w:val="24"/>
        </w:rPr>
      </w:pPr>
    </w:p>
    <w:p w14:paraId="5D889E30"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298475"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4"/>
          <w:szCs w:val="24"/>
        </w:rPr>
      </w:pPr>
      <w:r w:rsidRPr="00463467">
        <w:rPr>
          <w:sz w:val="24"/>
          <w:szCs w:val="24"/>
        </w:rPr>
        <w:tab/>
      </w:r>
      <w:r w:rsidRPr="00463467">
        <w:rPr>
          <w:i/>
          <w:iCs/>
          <w:sz w:val="24"/>
          <w:szCs w:val="24"/>
        </w:rPr>
        <w:t>(C)</w:t>
      </w:r>
      <w:r w:rsidRPr="00463467">
        <w:rPr>
          <w:i/>
          <w:iCs/>
          <w:sz w:val="24"/>
          <w:szCs w:val="24"/>
        </w:rPr>
        <w:tab/>
      </w:r>
      <w:r w:rsidRPr="00463467">
        <w:rPr>
          <w:i/>
          <w:iCs/>
          <w:sz w:val="24"/>
          <w:szCs w:val="24"/>
        </w:rPr>
        <w:tab/>
        <w:t>Activities of Refiners and Importers Who are Exempt from Requirements for Extreme Hardship</w:t>
      </w:r>
    </w:p>
    <w:p w14:paraId="1CCB615C"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62CCA1"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Submit annual sulfur averaging reports to</w:t>
      </w:r>
      <w:r>
        <w:rPr>
          <w:sz w:val="24"/>
          <w:szCs w:val="24"/>
        </w:rPr>
        <w:t xml:space="preserve"> the</w:t>
      </w:r>
      <w:r w:rsidRPr="00463467">
        <w:rPr>
          <w:sz w:val="24"/>
          <w:szCs w:val="24"/>
        </w:rPr>
        <w:t xml:space="preserve"> EPA under the terms of the hardship application.</w:t>
      </w:r>
      <w:r>
        <w:rPr>
          <w:sz w:val="24"/>
          <w:szCs w:val="24"/>
        </w:rPr>
        <w:t xml:space="preserve"> </w:t>
      </w:r>
      <w:r w:rsidRPr="00463467">
        <w:rPr>
          <w:sz w:val="24"/>
          <w:szCs w:val="24"/>
        </w:rPr>
        <w:tab/>
      </w:r>
    </w:p>
    <w:p w14:paraId="06511DE6"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14:paraId="70F4B91F" w14:textId="77777777" w:rsidR="00A0016E" w:rsidRPr="004F256D"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iCs/>
          <w:sz w:val="24"/>
          <w:szCs w:val="24"/>
        </w:rPr>
      </w:pPr>
      <w:r w:rsidRPr="00463467">
        <w:rPr>
          <w:i/>
          <w:iCs/>
          <w:sz w:val="24"/>
          <w:szCs w:val="24"/>
        </w:rPr>
        <w:t>(D)</w:t>
      </w:r>
      <w:r w:rsidRPr="00463467">
        <w:rPr>
          <w:i/>
          <w:iCs/>
          <w:sz w:val="24"/>
          <w:szCs w:val="24"/>
        </w:rPr>
        <w:tab/>
      </w:r>
      <w:r w:rsidRPr="00463467">
        <w:rPr>
          <w:i/>
          <w:iCs/>
          <w:sz w:val="24"/>
          <w:szCs w:val="24"/>
        </w:rPr>
        <w:tab/>
        <w:t>Activities of Refiners and Importers Who Participate in the ABT Credit Trading Program</w:t>
      </w:r>
      <w:r>
        <w:rPr>
          <w:i/>
          <w:iCs/>
          <w:sz w:val="24"/>
          <w:szCs w:val="24"/>
        </w:rPr>
        <w:t xml:space="preserve"> </w:t>
      </w:r>
    </w:p>
    <w:p w14:paraId="776EDFC8" w14:textId="77777777" w:rsidR="00A0016E" w:rsidRPr="00463467" w:rsidRDefault="00A0016E" w:rsidP="00A0016E">
      <w:pPr>
        <w:spacing w:line="2" w:lineRule="exact"/>
        <w:rPr>
          <w:sz w:val="24"/>
          <w:szCs w:val="24"/>
        </w:rPr>
      </w:pPr>
    </w:p>
    <w:p w14:paraId="738BEFDE"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14:paraId="5A7E0D5C"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Include in the annual sulfur report to EPA.</w:t>
      </w:r>
      <w:r w:rsidRPr="00454F53">
        <w:rPr>
          <w:iCs/>
          <w:sz w:val="24"/>
          <w:szCs w:val="24"/>
        </w:rPr>
        <w:t xml:space="preserve"> </w:t>
      </w:r>
      <w:r>
        <w:rPr>
          <w:iCs/>
          <w:sz w:val="24"/>
          <w:szCs w:val="24"/>
        </w:rPr>
        <w:t>(40 CFR 80.1652(a))</w:t>
      </w:r>
    </w:p>
    <w:p w14:paraId="30D36A0D" w14:textId="77777777" w:rsidR="00A0016E" w:rsidRPr="00463467" w:rsidRDefault="00A0016E" w:rsidP="00A0016E">
      <w:pPr>
        <w:numPr>
          <w:ilvl w:val="12"/>
          <w:numId w:val="0"/>
        </w:numPr>
        <w:tabs>
          <w:tab w:val="left" w:pos="-1440"/>
          <w:tab w:val="left" w:pos="-720"/>
          <w:tab w:val="left" w:pos="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Pr>
          <w:sz w:val="24"/>
          <w:szCs w:val="24"/>
        </w:rPr>
        <w:t>-</w:t>
      </w:r>
      <w:r>
        <w:rPr>
          <w:sz w:val="24"/>
          <w:szCs w:val="24"/>
        </w:rPr>
        <w:tab/>
      </w:r>
      <w:r w:rsidRPr="00463467">
        <w:rPr>
          <w:sz w:val="24"/>
          <w:szCs w:val="24"/>
        </w:rPr>
        <w:t>The credits carried over from prior averaging perio</w:t>
      </w:r>
      <w:r>
        <w:rPr>
          <w:sz w:val="24"/>
          <w:szCs w:val="24"/>
        </w:rPr>
        <w:t xml:space="preserve">d, generated, used, terminated, </w:t>
      </w:r>
      <w:r w:rsidRPr="00463467">
        <w:rPr>
          <w:sz w:val="24"/>
          <w:szCs w:val="24"/>
        </w:rPr>
        <w:t>transferred or carried over to the next averaging period.</w:t>
      </w:r>
    </w:p>
    <w:p w14:paraId="39983037" w14:textId="77777777" w:rsidR="00A0016E" w:rsidRPr="00463467" w:rsidRDefault="00A0016E" w:rsidP="00A0016E">
      <w:pPr>
        <w:numPr>
          <w:ilvl w:val="12"/>
          <w:numId w:val="0"/>
        </w:numPr>
        <w:tabs>
          <w:tab w:val="left" w:pos="-1440"/>
          <w:tab w:val="left" w:pos="-720"/>
          <w:tab w:val="left" w:pos="0"/>
          <w:tab w:val="left" w:pos="720"/>
          <w:tab w:val="left" w:pos="108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The identity of the refiners/refineries and importers (including EPA registration numbers) involved in credit transactions.</w:t>
      </w:r>
    </w:p>
    <w:p w14:paraId="78750637" w14:textId="3B0DB603"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 xml:space="preserve">Retain records related to ABT credit </w:t>
      </w:r>
      <w:r w:rsidR="00963521" w:rsidRPr="00463467">
        <w:rPr>
          <w:sz w:val="24"/>
          <w:szCs w:val="24"/>
        </w:rPr>
        <w:t>activity.</w:t>
      </w:r>
      <w:r w:rsidR="00963521">
        <w:rPr>
          <w:sz w:val="24"/>
          <w:szCs w:val="24"/>
        </w:rPr>
        <w:t xml:space="preserve"> (</w:t>
      </w:r>
      <w:r>
        <w:rPr>
          <w:sz w:val="24"/>
          <w:szCs w:val="24"/>
        </w:rPr>
        <w:t>40 CFR 80.1653(b)(2))</w:t>
      </w:r>
    </w:p>
    <w:p w14:paraId="75297714"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CA1FA5" w14:textId="77777777" w:rsidR="00A0016E" w:rsidRPr="00C32034" w:rsidRDefault="00A0016E" w:rsidP="00A0016E">
      <w:pPr>
        <w:numPr>
          <w:ilvl w:val="12"/>
          <w:numId w:val="0"/>
        </w:numPr>
        <w:tabs>
          <w:tab w:val="left" w:pos="-1440"/>
          <w:tab w:val="left" w:pos="-72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 w:val="24"/>
          <w:szCs w:val="24"/>
        </w:rPr>
      </w:pPr>
      <w:r w:rsidRPr="00463467">
        <w:rPr>
          <w:i/>
          <w:iCs/>
          <w:sz w:val="24"/>
          <w:szCs w:val="24"/>
        </w:rPr>
        <w:t>(E)      Alternate Activities for Importers that Import Gasoline by Truck</w:t>
      </w:r>
      <w:r>
        <w:rPr>
          <w:i/>
          <w:iCs/>
          <w:sz w:val="24"/>
          <w:szCs w:val="24"/>
        </w:rPr>
        <w:t xml:space="preserve"> </w:t>
      </w:r>
      <w:r>
        <w:rPr>
          <w:iCs/>
          <w:sz w:val="24"/>
          <w:szCs w:val="24"/>
        </w:rPr>
        <w:t>(40 CFR 80.1641)</w:t>
      </w:r>
    </w:p>
    <w:p w14:paraId="2F2CCDA4"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4D9D81B"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Use the following alternative requirements to satisfy the requirement to sample and test every batch of gasoline:</w:t>
      </w:r>
      <w:r>
        <w:rPr>
          <w:sz w:val="24"/>
          <w:szCs w:val="24"/>
        </w:rPr>
        <w:t xml:space="preserve"> </w:t>
      </w:r>
    </w:p>
    <w:p w14:paraId="1E5374C5"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Obtain test results from the foreign terminal at which the gasoline was loaded which shows the sulfur content of each truck load of gasoline imported into the U.S.</w:t>
      </w:r>
    </w:p>
    <w:p w14:paraId="02B37CF7"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Satisfy the program requirement for each truck loading terminal</w:t>
      </w:r>
    </w:p>
    <w:p w14:paraId="56D37EC4"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r>
    </w:p>
    <w:p w14:paraId="0AB2FE5F"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4"/>
          <w:szCs w:val="24"/>
        </w:rPr>
      </w:pPr>
      <w:r w:rsidRPr="00463467">
        <w:rPr>
          <w:i/>
          <w:iCs/>
          <w:sz w:val="24"/>
          <w:szCs w:val="24"/>
        </w:rPr>
        <w:tab/>
        <w:t>(F)</w:t>
      </w:r>
      <w:r w:rsidRPr="00463467">
        <w:rPr>
          <w:i/>
          <w:iCs/>
          <w:sz w:val="24"/>
          <w:szCs w:val="24"/>
        </w:rPr>
        <w:tab/>
      </w:r>
      <w:r w:rsidRPr="00463467">
        <w:rPr>
          <w:i/>
          <w:iCs/>
          <w:sz w:val="24"/>
          <w:szCs w:val="24"/>
        </w:rPr>
        <w:tab/>
        <w:t>Alternative Activities for Refiners, Terminals, and Pipelines That Produce Gasoline by Blending Butane or Other Blendstocks into Previously Certified Gasoline</w:t>
      </w:r>
      <w:r>
        <w:rPr>
          <w:i/>
          <w:iCs/>
          <w:sz w:val="24"/>
          <w:szCs w:val="24"/>
        </w:rPr>
        <w:t xml:space="preserve"> </w:t>
      </w:r>
    </w:p>
    <w:p w14:paraId="0FD53BD6"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2653280"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For butane blenders, use the test results from the butane supplier to satisfy the requirement to sample and test each batch of gasoline provided that:</w:t>
      </w:r>
      <w:r>
        <w:rPr>
          <w:sz w:val="24"/>
          <w:szCs w:val="24"/>
        </w:rPr>
        <w:t xml:space="preserve"> (40 CFR 80.1640)</w:t>
      </w:r>
    </w:p>
    <w:p w14:paraId="7F4EFCFD"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The butane blender obtains a copy of the test results from the butane supplier which shows that the butane in the storage tank from which the butane was drawn does not exceed the applicable per-gallon standard.</w:t>
      </w:r>
    </w:p>
    <w:p w14:paraId="144C615D" w14:textId="180C77D2"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 xml:space="preserve">The butane is treated as a batch regarding sulfur content and volume </w:t>
      </w:r>
      <w:r w:rsidR="00963521" w:rsidRPr="00463467">
        <w:rPr>
          <w:sz w:val="24"/>
          <w:szCs w:val="24"/>
        </w:rPr>
        <w:t>for</w:t>
      </w:r>
      <w:r w:rsidRPr="00463467">
        <w:rPr>
          <w:sz w:val="24"/>
          <w:szCs w:val="24"/>
        </w:rPr>
        <w:t xml:space="preserve"> calculating compliance with the applicable sulfur averaging standard.</w:t>
      </w:r>
    </w:p>
    <w:p w14:paraId="513FE31C"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The refiner conducts a QA program including sampling and testing from each butane supplier to demonstrate that butane sulfur content does not exceed the applicable per-gallon standard</w:t>
      </w:r>
      <w:r>
        <w:rPr>
          <w:sz w:val="24"/>
          <w:szCs w:val="24"/>
        </w:rPr>
        <w:t xml:space="preserve">. </w:t>
      </w:r>
      <w:r w:rsidRPr="00463467">
        <w:rPr>
          <w:sz w:val="24"/>
          <w:szCs w:val="24"/>
        </w:rPr>
        <w:t xml:space="preserve">The frequency of butane sampling and testing from each supplier </w:t>
      </w:r>
      <w:r>
        <w:rPr>
          <w:sz w:val="24"/>
          <w:szCs w:val="24"/>
        </w:rPr>
        <w:t>will</w:t>
      </w:r>
      <w:r w:rsidRPr="00463467">
        <w:rPr>
          <w:sz w:val="24"/>
          <w:szCs w:val="24"/>
        </w:rPr>
        <w:t xml:space="preserve"> be required to be one sample for every 500,000 gallons of butane received, or one sample every </w:t>
      </w:r>
      <w:r>
        <w:rPr>
          <w:sz w:val="24"/>
          <w:szCs w:val="24"/>
        </w:rPr>
        <w:t>three months</w:t>
      </w:r>
      <w:r w:rsidRPr="00463467">
        <w:rPr>
          <w:sz w:val="24"/>
          <w:szCs w:val="24"/>
        </w:rPr>
        <w:t>, which ever results in more frequent sampling.</w:t>
      </w:r>
    </w:p>
    <w:p w14:paraId="48FDD053"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For pentane blenders, use the test results from the pentane supplier to satisfy the requirement to sample and test each batch of gasoline provided that:</w:t>
      </w:r>
      <w:r>
        <w:rPr>
          <w:sz w:val="24"/>
          <w:szCs w:val="24"/>
        </w:rPr>
        <w:t xml:space="preserve"> (40 CFR 80.85)</w:t>
      </w:r>
    </w:p>
    <w:p w14:paraId="4C2DDC9D"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The butane blender obtains a copy of the test results from the butane supplier which shows that the butane in the storage tank from which the butane was drawn does not exceed the applicable per-gallon standard.</w:t>
      </w:r>
    </w:p>
    <w:p w14:paraId="1675526C" w14:textId="315D67E4"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 xml:space="preserve">The pentane is treated as a batch regarding sulfur content and volume </w:t>
      </w:r>
      <w:r w:rsidR="00963521" w:rsidRPr="00463467">
        <w:rPr>
          <w:sz w:val="24"/>
          <w:szCs w:val="24"/>
        </w:rPr>
        <w:t>for</w:t>
      </w:r>
      <w:r w:rsidRPr="00463467">
        <w:rPr>
          <w:sz w:val="24"/>
          <w:szCs w:val="24"/>
        </w:rPr>
        <w:t xml:space="preserve"> calculating compliance with the applicable sulfur averaging standard</w:t>
      </w:r>
    </w:p>
    <w:p w14:paraId="2DE7B57A"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The refiner conducts a quality assurance program including sampling and testing from each pentane supplier to demonstrate that pentane sulfur content is below the applicable per-gallon standard</w:t>
      </w:r>
      <w:r>
        <w:rPr>
          <w:sz w:val="24"/>
          <w:szCs w:val="24"/>
        </w:rPr>
        <w:t xml:space="preserve">. </w:t>
      </w:r>
      <w:r w:rsidRPr="00463467">
        <w:rPr>
          <w:sz w:val="24"/>
          <w:szCs w:val="24"/>
        </w:rPr>
        <w:t xml:space="preserve">For commercial-grade pentane, the frequency sampling and testing from each supplier </w:t>
      </w:r>
      <w:r>
        <w:rPr>
          <w:sz w:val="24"/>
          <w:szCs w:val="24"/>
        </w:rPr>
        <w:t>will</w:t>
      </w:r>
      <w:r w:rsidRPr="00463467">
        <w:rPr>
          <w:sz w:val="24"/>
          <w:szCs w:val="24"/>
        </w:rPr>
        <w:t xml:space="preserve"> be required to be one sample for every 350,000 gallons of pentane received, or one sample every </w:t>
      </w:r>
      <w:r>
        <w:rPr>
          <w:sz w:val="24"/>
          <w:szCs w:val="24"/>
        </w:rPr>
        <w:t>three months</w:t>
      </w:r>
      <w:r w:rsidRPr="00463467">
        <w:rPr>
          <w:sz w:val="24"/>
          <w:szCs w:val="24"/>
        </w:rPr>
        <w:t>, which ever results in more frequent sampling</w:t>
      </w:r>
      <w:r>
        <w:rPr>
          <w:sz w:val="24"/>
          <w:szCs w:val="24"/>
        </w:rPr>
        <w:t xml:space="preserve">. </w:t>
      </w:r>
      <w:r w:rsidRPr="00463467">
        <w:rPr>
          <w:sz w:val="24"/>
          <w:szCs w:val="24"/>
        </w:rPr>
        <w:t xml:space="preserve">For non-commercial-grade pentane, the frequency sampling and testing from each supplier </w:t>
      </w:r>
      <w:r>
        <w:rPr>
          <w:sz w:val="24"/>
          <w:szCs w:val="24"/>
        </w:rPr>
        <w:t>will</w:t>
      </w:r>
      <w:r w:rsidRPr="00463467">
        <w:rPr>
          <w:sz w:val="24"/>
          <w:szCs w:val="24"/>
        </w:rPr>
        <w:t xml:space="preserve"> be required to be one sample for every 250,000 gallons of pentane received, or one sample every </w:t>
      </w:r>
      <w:r>
        <w:rPr>
          <w:sz w:val="24"/>
          <w:szCs w:val="24"/>
        </w:rPr>
        <w:t>three months</w:t>
      </w:r>
      <w:r w:rsidRPr="00463467">
        <w:rPr>
          <w:sz w:val="24"/>
          <w:szCs w:val="24"/>
        </w:rPr>
        <w:t>, which ever results in more frequent sampling.</w:t>
      </w:r>
    </w:p>
    <w:p w14:paraId="3B35EAFB" w14:textId="0EDAB92F"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Enters into a contract with all parties who transport or store pentane for use by the refiner to assure that an adequate quality assurance program is implemented to ensure that such pentane will not be contaminated in transit to the refinery.</w:t>
      </w:r>
    </w:p>
    <w:p w14:paraId="1E8472E2"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For blenders who blend other blendstocks into PCG, calculate the volume and sulfur content of the blendstock by subtracting the volume and sulfur content of the PCG from the volume and sulfur content of the finished blend, or</w:t>
      </w:r>
      <w:r>
        <w:rPr>
          <w:sz w:val="24"/>
          <w:szCs w:val="24"/>
        </w:rPr>
        <w:t xml:space="preserve"> (40 CFR 1640(b))</w:t>
      </w:r>
    </w:p>
    <w:p w14:paraId="5A37F774"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If every batch of blendstock used during the averaging period has a sulfur content that is equal to, or less than, the applicable per-gallon cap standard, sample and test each batch of blendstock received and treat each receipt as a separate batch for purposes of compliance calculations</w:t>
      </w:r>
    </w:p>
    <w:p w14:paraId="301D158D"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 xml:space="preserve"> </w:t>
      </w:r>
    </w:p>
    <w:p w14:paraId="66D09817" w14:textId="77777777" w:rsidR="00A0016E"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i/>
          <w:iCs/>
          <w:sz w:val="24"/>
          <w:szCs w:val="24"/>
        </w:rPr>
      </w:pPr>
      <w:r w:rsidRPr="00463467">
        <w:rPr>
          <w:i/>
          <w:iCs/>
          <w:sz w:val="24"/>
          <w:szCs w:val="24"/>
        </w:rPr>
        <w:tab/>
      </w:r>
    </w:p>
    <w:p w14:paraId="6B678A56"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i/>
          <w:iCs/>
          <w:sz w:val="24"/>
          <w:szCs w:val="24"/>
        </w:rPr>
      </w:pPr>
      <w:r>
        <w:rPr>
          <w:i/>
          <w:iCs/>
          <w:sz w:val="24"/>
          <w:szCs w:val="24"/>
        </w:rPr>
        <w:tab/>
      </w:r>
      <w:r w:rsidRPr="00463467">
        <w:rPr>
          <w:i/>
          <w:iCs/>
          <w:sz w:val="24"/>
          <w:szCs w:val="24"/>
        </w:rPr>
        <w:t>(G)</w:t>
      </w:r>
      <w:r w:rsidRPr="00463467">
        <w:rPr>
          <w:i/>
          <w:iCs/>
          <w:sz w:val="24"/>
          <w:szCs w:val="24"/>
        </w:rPr>
        <w:tab/>
      </w:r>
      <w:r w:rsidRPr="00463467">
        <w:rPr>
          <w:i/>
          <w:iCs/>
          <w:sz w:val="24"/>
          <w:szCs w:val="24"/>
        </w:rPr>
        <w:tab/>
        <w:t>Activities of Pipelines and Terminals</w:t>
      </w:r>
    </w:p>
    <w:p w14:paraId="7E32F93A"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4902D2C"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Conduct periodic QA assurance testing for sulfur content for defense purposes.</w:t>
      </w:r>
      <w:r>
        <w:rPr>
          <w:sz w:val="24"/>
          <w:szCs w:val="24"/>
        </w:rPr>
        <w:t xml:space="preserve"> (40 CFR 80.1663(d))</w:t>
      </w:r>
    </w:p>
    <w:p w14:paraId="2A219148"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r>
    </w:p>
    <w:p w14:paraId="64CF35A5"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i/>
          <w:iCs/>
          <w:sz w:val="24"/>
          <w:szCs w:val="24"/>
        </w:rPr>
      </w:pPr>
      <w:r w:rsidRPr="00463467">
        <w:rPr>
          <w:i/>
          <w:iCs/>
          <w:sz w:val="24"/>
          <w:szCs w:val="24"/>
        </w:rPr>
        <w:tab/>
        <w:t>(H)</w:t>
      </w:r>
      <w:r w:rsidRPr="00463467">
        <w:rPr>
          <w:i/>
          <w:iCs/>
          <w:sz w:val="24"/>
          <w:szCs w:val="24"/>
        </w:rPr>
        <w:tab/>
      </w:r>
      <w:r w:rsidRPr="00463467">
        <w:rPr>
          <w:i/>
          <w:iCs/>
          <w:sz w:val="24"/>
          <w:szCs w:val="24"/>
        </w:rPr>
        <w:tab/>
        <w:t xml:space="preserve">Activities of Users of </w:t>
      </w:r>
      <w:r>
        <w:rPr>
          <w:i/>
          <w:iCs/>
          <w:sz w:val="24"/>
          <w:szCs w:val="24"/>
        </w:rPr>
        <w:t>R&amp;D</w:t>
      </w:r>
      <w:r w:rsidRPr="00463467">
        <w:rPr>
          <w:i/>
          <w:iCs/>
          <w:sz w:val="24"/>
          <w:szCs w:val="24"/>
        </w:rPr>
        <w:t xml:space="preserve"> Gasoline:</w:t>
      </w:r>
    </w:p>
    <w:p w14:paraId="7C49E782"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436DFF"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Prior to initial use of R&amp;D gasoline, submit an application to EPA</w:t>
      </w:r>
      <w:r>
        <w:rPr>
          <w:sz w:val="24"/>
          <w:szCs w:val="24"/>
        </w:rPr>
        <w:t xml:space="preserve"> (40 CFR 80.1656)</w:t>
      </w:r>
    </w:p>
    <w:p w14:paraId="6B38F632"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349D03B"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463467">
        <w:rPr>
          <w:i/>
          <w:iCs/>
          <w:sz w:val="24"/>
          <w:szCs w:val="24"/>
        </w:rPr>
        <w:t>(I)      Activities of Distributors, Retailers, and WPCs</w:t>
      </w:r>
    </w:p>
    <w:p w14:paraId="41C628D9"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A19D643"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WPCs identify and keep records of any R&amp;D gasoline.</w:t>
      </w:r>
      <w:r>
        <w:rPr>
          <w:sz w:val="24"/>
          <w:szCs w:val="24"/>
        </w:rPr>
        <w:t xml:space="preserve"> (40 CFR 80.1656(d))</w:t>
      </w:r>
    </w:p>
    <w:p w14:paraId="7C3DB97A"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FB7A56E" w14:textId="77777777" w:rsidR="00A0016E" w:rsidRPr="00463467" w:rsidRDefault="00A0016E" w:rsidP="00A0016E">
      <w:pPr>
        <w:numPr>
          <w:ilvl w:val="0"/>
          <w:numId w:val="3"/>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sidRPr="00463467">
        <w:rPr>
          <w:i/>
          <w:iCs/>
          <w:sz w:val="24"/>
          <w:szCs w:val="24"/>
        </w:rPr>
        <w:tab/>
        <w:t>Activities of Gasoline Additive Manufacturers</w:t>
      </w:r>
      <w:r>
        <w:rPr>
          <w:iCs/>
          <w:sz w:val="24"/>
          <w:szCs w:val="24"/>
        </w:rPr>
        <w:t xml:space="preserve"> (40 CFR 80.1653(h))</w:t>
      </w:r>
    </w:p>
    <w:p w14:paraId="035245E8" w14:textId="77777777" w:rsidR="00A0016E" w:rsidRPr="00463467" w:rsidRDefault="00A0016E" w:rsidP="00A0016E">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065079B3" w14:textId="77777777" w:rsidR="00A0016E" w:rsidRPr="00463467" w:rsidRDefault="00A0016E" w:rsidP="00A0016E">
      <w:p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 xml:space="preserve"> -</w:t>
      </w:r>
      <w:r w:rsidRPr="00463467">
        <w:rPr>
          <w:sz w:val="24"/>
          <w:szCs w:val="24"/>
        </w:rPr>
        <w:tab/>
        <w:t>Maintain records of its additive production quality control activities and make records available upon request.</w:t>
      </w:r>
    </w:p>
    <w:p w14:paraId="58598625"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D7C1A29"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4"/>
          <w:szCs w:val="24"/>
        </w:rPr>
      </w:pPr>
      <w:r w:rsidRPr="00463467">
        <w:rPr>
          <w:sz w:val="24"/>
          <w:szCs w:val="24"/>
        </w:rPr>
        <w:tab/>
      </w:r>
      <w:r w:rsidRPr="00463467">
        <w:rPr>
          <w:i/>
          <w:iCs/>
          <w:sz w:val="24"/>
          <w:szCs w:val="24"/>
        </w:rPr>
        <w:t>(J)</w:t>
      </w:r>
      <w:r w:rsidRPr="00463467">
        <w:rPr>
          <w:i/>
          <w:iCs/>
          <w:sz w:val="24"/>
          <w:szCs w:val="24"/>
        </w:rPr>
        <w:tab/>
      </w:r>
      <w:r w:rsidRPr="00463467">
        <w:rPr>
          <w:i/>
          <w:iCs/>
          <w:sz w:val="24"/>
          <w:szCs w:val="24"/>
        </w:rPr>
        <w:tab/>
        <w:t>Activities of Denatured Fuel Ethanol and Other Oxygenate Producers.</w:t>
      </w:r>
      <w:r>
        <w:rPr>
          <w:i/>
          <w:iCs/>
          <w:sz w:val="24"/>
          <w:szCs w:val="24"/>
        </w:rPr>
        <w:t xml:space="preserve"> </w:t>
      </w:r>
    </w:p>
    <w:p w14:paraId="1D049AEC"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54B8054F" w14:textId="3580BB46" w:rsidR="00A0016E" w:rsidRPr="00463467" w:rsidRDefault="00A0016E" w:rsidP="00B952E1">
      <w:p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Test each batch of denatured fuel ethanol or other oxygenate for its sulfur content, retain samples from the most recent 20 samples collected or for each sample collected during the most recent 21</w:t>
      </w:r>
      <w:r w:rsidR="00B44988">
        <w:rPr>
          <w:sz w:val="24"/>
          <w:szCs w:val="24"/>
        </w:rPr>
        <w:t>-</w:t>
      </w:r>
      <w:r w:rsidRPr="00463467">
        <w:rPr>
          <w:sz w:val="24"/>
          <w:szCs w:val="24"/>
        </w:rPr>
        <w:t>day period, whichever is greater, and retain records of the testing for five years</w:t>
      </w:r>
      <w:r>
        <w:rPr>
          <w:sz w:val="24"/>
          <w:szCs w:val="24"/>
        </w:rPr>
        <w:t xml:space="preserve">. </w:t>
      </w:r>
      <w:r w:rsidRPr="00463467">
        <w:rPr>
          <w:sz w:val="24"/>
          <w:szCs w:val="24"/>
        </w:rPr>
        <w:t>For DFE, as an alternative to per-batch sulfur testing, the sulfur content of each batch may be calculated using PTD(s) from the denaturant(s) used, quality control records for the neat (un-denatured) ethanol used, and blend records</w:t>
      </w:r>
      <w:r>
        <w:rPr>
          <w:sz w:val="24"/>
          <w:szCs w:val="24"/>
        </w:rPr>
        <w:t>. (40 CFR 80.1631(a))</w:t>
      </w:r>
    </w:p>
    <w:p w14:paraId="37AB8536"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Conduct a QA periodic sampling and testing program for sulfur content for defense purposes.</w:t>
      </w:r>
      <w:r>
        <w:rPr>
          <w:sz w:val="24"/>
          <w:szCs w:val="24"/>
        </w:rPr>
        <w:t xml:space="preserve"> (40 CFR 80.1663(d))</w:t>
      </w:r>
    </w:p>
    <w:p w14:paraId="1F31361E" w14:textId="77777777" w:rsidR="00A0016E"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For DFE producers, conduct a periodic QA program to assure the accuracy of the denaturant blending equipment for defense purposes</w:t>
      </w:r>
      <w:r>
        <w:rPr>
          <w:sz w:val="24"/>
          <w:szCs w:val="24"/>
        </w:rPr>
        <w:t xml:space="preserve">. </w:t>
      </w:r>
      <w:r w:rsidRPr="00463467">
        <w:rPr>
          <w:sz w:val="24"/>
          <w:szCs w:val="24"/>
        </w:rPr>
        <w:tab/>
      </w:r>
    </w:p>
    <w:p w14:paraId="1DBA3CD9"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Submit annual reports to EPA by March 31 of the year following the prior calendar year.</w:t>
      </w:r>
      <w:r>
        <w:rPr>
          <w:sz w:val="24"/>
          <w:szCs w:val="24"/>
        </w:rPr>
        <w:t xml:space="preserve"> (40 CFR 80.1652(c))</w:t>
      </w:r>
    </w:p>
    <w:p w14:paraId="0CBD04B0"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4A697BB9"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4"/>
          <w:szCs w:val="24"/>
        </w:rPr>
      </w:pPr>
      <w:r w:rsidRPr="00463467">
        <w:rPr>
          <w:sz w:val="24"/>
          <w:szCs w:val="24"/>
        </w:rPr>
        <w:tab/>
      </w:r>
      <w:r w:rsidRPr="00463467">
        <w:rPr>
          <w:i/>
          <w:iCs/>
          <w:sz w:val="24"/>
          <w:szCs w:val="24"/>
        </w:rPr>
        <w:t>(K)</w:t>
      </w:r>
      <w:r w:rsidRPr="00463467">
        <w:rPr>
          <w:i/>
          <w:iCs/>
          <w:sz w:val="24"/>
          <w:szCs w:val="24"/>
        </w:rPr>
        <w:tab/>
      </w:r>
      <w:r w:rsidRPr="00463467">
        <w:rPr>
          <w:i/>
          <w:iCs/>
          <w:sz w:val="24"/>
          <w:szCs w:val="24"/>
        </w:rPr>
        <w:tab/>
        <w:t>Activities of Producers of Certified Ethanol Denaturants.</w:t>
      </w:r>
    </w:p>
    <w:p w14:paraId="4BBC535B"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12D69A29"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Register with EPA by November 1, 2016, or 60 days prior to producing certified ethanol denaturant.</w:t>
      </w:r>
      <w:r>
        <w:rPr>
          <w:sz w:val="24"/>
          <w:szCs w:val="24"/>
        </w:rPr>
        <w:t xml:space="preserve"> (40 CFR 80.1650(e))</w:t>
      </w:r>
    </w:p>
    <w:p w14:paraId="4DE4D10A" w14:textId="269D4D77" w:rsidR="00A0016E" w:rsidRPr="00463467" w:rsidRDefault="00A0016E" w:rsidP="00B952E1">
      <w:p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Test each batch of certified ethanol denaturant for its sulfur content, retain samples from the most recent 20 samples collected or for each sample collected during the most recent 21</w:t>
      </w:r>
      <w:r w:rsidR="00B44988">
        <w:rPr>
          <w:sz w:val="24"/>
          <w:szCs w:val="24"/>
        </w:rPr>
        <w:t>-</w:t>
      </w:r>
      <w:r w:rsidRPr="00463467">
        <w:rPr>
          <w:sz w:val="24"/>
          <w:szCs w:val="24"/>
        </w:rPr>
        <w:t>day period, whichever is greater, and retain records of the testing for five years</w:t>
      </w:r>
      <w:r>
        <w:rPr>
          <w:sz w:val="24"/>
          <w:szCs w:val="24"/>
        </w:rPr>
        <w:t>. (40 CFR 80.1630(a)(2))</w:t>
      </w:r>
      <w:r w:rsidRPr="00463467">
        <w:rPr>
          <w:sz w:val="24"/>
          <w:szCs w:val="24"/>
        </w:rPr>
        <w:t xml:space="preserve">   </w:t>
      </w:r>
    </w:p>
    <w:p w14:paraId="163B64BC" w14:textId="77777777" w:rsidR="00A0016E" w:rsidRDefault="00A0016E" w:rsidP="00A0016E">
      <w:pPr>
        <w:numPr>
          <w:ilvl w:val="12"/>
          <w:numId w:val="0"/>
        </w:numPr>
        <w:tabs>
          <w:tab w:val="left" w:pos="-1440"/>
          <w:tab w:val="left" w:pos="-72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Conduct a QA periodic sampling and testing program</w:t>
      </w:r>
      <w:r>
        <w:rPr>
          <w:sz w:val="24"/>
          <w:szCs w:val="24"/>
        </w:rPr>
        <w:t xml:space="preserve"> for sulfur content for defense </w:t>
      </w:r>
      <w:r w:rsidRPr="00463467">
        <w:rPr>
          <w:sz w:val="24"/>
          <w:szCs w:val="24"/>
        </w:rPr>
        <w:t>purposes.</w:t>
      </w:r>
      <w:r>
        <w:rPr>
          <w:sz w:val="24"/>
          <w:szCs w:val="24"/>
        </w:rPr>
        <w:t xml:space="preserve"> (40 CFR 80.1663(d))</w:t>
      </w:r>
    </w:p>
    <w:p w14:paraId="7F944980"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D49F18"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r>
      <w:r w:rsidRPr="00463467">
        <w:rPr>
          <w:i/>
          <w:iCs/>
          <w:sz w:val="24"/>
          <w:szCs w:val="24"/>
        </w:rPr>
        <w:t>(L)</w:t>
      </w:r>
      <w:r w:rsidRPr="00463467">
        <w:rPr>
          <w:i/>
          <w:iCs/>
          <w:sz w:val="24"/>
          <w:szCs w:val="24"/>
        </w:rPr>
        <w:tab/>
      </w:r>
      <w:r w:rsidRPr="00463467">
        <w:rPr>
          <w:i/>
          <w:iCs/>
          <w:sz w:val="24"/>
          <w:szCs w:val="24"/>
        </w:rPr>
        <w:tab/>
        <w:t>Activities of Producers of Blender-Grade Pentane.</w:t>
      </w:r>
    </w:p>
    <w:p w14:paraId="55E855A0"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4D29C958" w14:textId="77777777" w:rsidR="00A0016E" w:rsidRPr="00463467"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4"/>
          <w:szCs w:val="24"/>
        </w:rPr>
      </w:pPr>
      <w:r w:rsidRPr="00463467">
        <w:rPr>
          <w:sz w:val="24"/>
          <w:szCs w:val="24"/>
        </w:rPr>
        <w:t>-</w:t>
      </w:r>
      <w:r w:rsidRPr="00463467">
        <w:rPr>
          <w:sz w:val="24"/>
          <w:szCs w:val="24"/>
        </w:rPr>
        <w:tab/>
        <w:t>Register with EPA 30 days prior to producing blender-grade pentane.</w:t>
      </w:r>
      <w:r w:rsidRPr="003F7789">
        <w:rPr>
          <w:iCs/>
          <w:sz w:val="24"/>
          <w:szCs w:val="24"/>
        </w:rPr>
        <w:t xml:space="preserve"> </w:t>
      </w:r>
      <w:r>
        <w:rPr>
          <w:iCs/>
          <w:sz w:val="24"/>
          <w:szCs w:val="24"/>
        </w:rPr>
        <w:t>(40 CFR 80.86)</w:t>
      </w:r>
    </w:p>
    <w:p w14:paraId="38478012" w14:textId="67675CEF" w:rsidR="00A0016E" w:rsidRPr="00463467" w:rsidRDefault="00A0016E" w:rsidP="00A0016E">
      <w:pPr>
        <w:numPr>
          <w:ilvl w:val="12"/>
          <w:numId w:val="0"/>
        </w:numPr>
        <w:tabs>
          <w:tab w:val="left" w:pos="-1440"/>
          <w:tab w:val="left" w:pos="-720"/>
          <w:tab w:val="left" w:pos="0"/>
          <w:tab w:val="left" w:pos="720"/>
          <w:tab w:val="left" w:pos="108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Test each batch of blender-grade for its sulfur, olefin, aromatics, and benzene content</w:t>
      </w:r>
      <w:r>
        <w:rPr>
          <w:sz w:val="24"/>
          <w:szCs w:val="24"/>
        </w:rPr>
        <w:t xml:space="preserve">. </w:t>
      </w:r>
      <w:r w:rsidRPr="00463467">
        <w:rPr>
          <w:sz w:val="24"/>
          <w:szCs w:val="24"/>
        </w:rPr>
        <w:t xml:space="preserve">Test blender-commercial-grade retain samples from the most recent 20 samples collected or for each sample collected during the most recent </w:t>
      </w:r>
      <w:r w:rsidR="00963521" w:rsidRPr="00463467">
        <w:rPr>
          <w:sz w:val="24"/>
          <w:szCs w:val="24"/>
        </w:rPr>
        <w:t>21-day</w:t>
      </w:r>
      <w:r w:rsidRPr="00463467">
        <w:rPr>
          <w:sz w:val="24"/>
          <w:szCs w:val="24"/>
        </w:rPr>
        <w:t xml:space="preserve"> period, whichever is greater, and retain records of the testing for five years</w:t>
      </w:r>
      <w:r>
        <w:rPr>
          <w:sz w:val="24"/>
          <w:szCs w:val="24"/>
        </w:rPr>
        <w:t>. (40 CFR 80.1631(a))</w:t>
      </w:r>
    </w:p>
    <w:p w14:paraId="347541B8" w14:textId="77777777" w:rsidR="00A0016E" w:rsidRDefault="00A0016E" w:rsidP="00A0016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Conduct a QA periodic sampling and testing program for sulfur content for defense purposes.</w:t>
      </w:r>
      <w:r w:rsidRPr="00915641">
        <w:rPr>
          <w:sz w:val="24"/>
          <w:szCs w:val="24"/>
        </w:rPr>
        <w:t xml:space="preserve"> </w:t>
      </w:r>
      <w:r>
        <w:rPr>
          <w:sz w:val="24"/>
          <w:szCs w:val="24"/>
        </w:rPr>
        <w:t>(40 CFR 80.1663(d))</w:t>
      </w:r>
    </w:p>
    <w:p w14:paraId="73C614EC" w14:textId="0A6BBB7F" w:rsidR="003E6E38" w:rsidRDefault="003E6E38" w:rsidP="00812B98"/>
    <w:p w14:paraId="6204A969" w14:textId="77777777" w:rsidR="003E6E38" w:rsidRDefault="003E6E38" w:rsidP="00812B98"/>
    <w:p w14:paraId="4F249BBD" w14:textId="3E0E8457" w:rsidR="00EE2CD0" w:rsidRDefault="00EE2CD0" w:rsidP="00EE2CD0">
      <w:pPr>
        <w:pStyle w:val="Heading1"/>
        <w:ind w:left="720" w:hanging="720"/>
      </w:pPr>
      <w:r w:rsidRPr="00EE2CD0">
        <w:t>5.</w:t>
      </w:r>
      <w:r w:rsidRPr="00EE2CD0">
        <w:tab/>
        <w:t>THE INFORMATION COLLECTED--AGENCY ACTIVITIES, COLLECTION METHODOLOGY, AND INFORMATION MANAGEMENT</w:t>
      </w:r>
    </w:p>
    <w:p w14:paraId="4DF7C443" w14:textId="35312332" w:rsidR="00EE2CD0" w:rsidRDefault="00EE2CD0" w:rsidP="00EE2CD0"/>
    <w:p w14:paraId="391FFB5F" w14:textId="2D81A7B1" w:rsidR="00EE2CD0" w:rsidRDefault="00EE2CD0" w:rsidP="00EE2CD0">
      <w:pPr>
        <w:pStyle w:val="Heading2"/>
        <w:ind w:firstLine="720"/>
      </w:pPr>
      <w:r w:rsidRPr="00463467">
        <w:t>5(a)</w:t>
      </w:r>
      <w:r w:rsidRPr="00463467">
        <w:tab/>
        <w:t>Agency Activities</w:t>
      </w:r>
    </w:p>
    <w:p w14:paraId="620AF482" w14:textId="59531CCE" w:rsidR="00EE2CD0" w:rsidRDefault="00EE2CD0" w:rsidP="00EE2CD0"/>
    <w:p w14:paraId="16CA3496" w14:textId="213A3A10" w:rsidR="00EE2CD0" w:rsidRPr="00463467" w:rsidRDefault="00EE2CD0" w:rsidP="00EE2CD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463467">
        <w:rPr>
          <w:sz w:val="24"/>
          <w:szCs w:val="24"/>
        </w:rPr>
        <w:t xml:space="preserve">Agency activities associated with the </w:t>
      </w:r>
      <w:r w:rsidRPr="00463467">
        <w:rPr>
          <w:i/>
          <w:iCs/>
          <w:sz w:val="24"/>
          <w:szCs w:val="24"/>
        </w:rPr>
        <w:t xml:space="preserve">annual reporting requirements </w:t>
      </w:r>
      <w:r w:rsidRPr="00463467">
        <w:rPr>
          <w:sz w:val="24"/>
          <w:szCs w:val="24"/>
        </w:rPr>
        <w:t>of this information collection consist of the following:</w:t>
      </w:r>
    </w:p>
    <w:p w14:paraId="66500F45" w14:textId="77777777" w:rsidR="00EE2CD0" w:rsidRPr="00463467" w:rsidRDefault="00EE2CD0" w:rsidP="00EE2CD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866AD6C" w14:textId="77777777" w:rsidR="00EE2CD0" w:rsidRPr="00463467" w:rsidRDefault="00EE2CD0" w:rsidP="00EE2CD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463467">
        <w:rPr>
          <w:sz w:val="24"/>
          <w:szCs w:val="24"/>
        </w:rPr>
        <w:t>1) Review submitted reports (includes associated Agency inspections and investigations);</w:t>
      </w:r>
    </w:p>
    <w:p w14:paraId="0617DC88" w14:textId="77777777" w:rsidR="00EE2CD0" w:rsidRPr="00463467" w:rsidRDefault="00EE2CD0" w:rsidP="00EE2CD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2</w:t>
      </w:r>
      <w:r w:rsidRPr="00463467">
        <w:rPr>
          <w:sz w:val="24"/>
          <w:szCs w:val="24"/>
        </w:rPr>
        <w:t>) Analyze requests for confidentiality and provide appropriate protection;</w:t>
      </w:r>
    </w:p>
    <w:p w14:paraId="5C740E25" w14:textId="77777777" w:rsidR="00EE2CD0" w:rsidRPr="00463467" w:rsidRDefault="00EE2CD0" w:rsidP="00EE2CD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3</w:t>
      </w:r>
      <w:r w:rsidRPr="00463467">
        <w:rPr>
          <w:sz w:val="24"/>
          <w:szCs w:val="24"/>
        </w:rPr>
        <w:t xml:space="preserve">) Store the data and archive according to a record retention schedule conforming to EPA policy. </w:t>
      </w:r>
    </w:p>
    <w:p w14:paraId="6B4F78E1" w14:textId="77777777" w:rsidR="00EE2CD0" w:rsidRPr="00463467" w:rsidRDefault="00EE2CD0" w:rsidP="00EE2CD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2DD4EF7" w14:textId="77777777" w:rsidR="00EE2CD0" w:rsidRPr="00463467" w:rsidRDefault="00EE2CD0" w:rsidP="00EE2CD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 xml:space="preserve">Agency activities associated with the </w:t>
      </w:r>
      <w:r w:rsidRPr="00463467">
        <w:rPr>
          <w:i/>
          <w:iCs/>
          <w:sz w:val="24"/>
          <w:szCs w:val="24"/>
        </w:rPr>
        <w:t xml:space="preserve">attest engagement requirements </w:t>
      </w:r>
      <w:r w:rsidRPr="00463467">
        <w:rPr>
          <w:sz w:val="24"/>
          <w:szCs w:val="24"/>
        </w:rPr>
        <w:t>of this information collection consist of the following:</w:t>
      </w:r>
    </w:p>
    <w:p w14:paraId="5F2B440D" w14:textId="77777777" w:rsidR="00EE2CD0" w:rsidRPr="00463467" w:rsidRDefault="00EE2CD0" w:rsidP="00EE2CD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9DE9D43" w14:textId="77777777" w:rsidR="00EE2CD0" w:rsidRPr="00463467" w:rsidRDefault="00EE2CD0" w:rsidP="00EE2CD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463467">
        <w:rPr>
          <w:sz w:val="24"/>
          <w:szCs w:val="24"/>
        </w:rPr>
        <w:t>1) Review submitted reports (includes associated Agency inspections and investigations);</w:t>
      </w:r>
    </w:p>
    <w:p w14:paraId="0C43D475" w14:textId="22D7FE30" w:rsidR="00EE2CD0" w:rsidRDefault="00EE2CD0" w:rsidP="00EE2CD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463467">
        <w:rPr>
          <w:sz w:val="24"/>
          <w:szCs w:val="24"/>
        </w:rPr>
        <w:t xml:space="preserve">2) Store the </w:t>
      </w:r>
      <w:r>
        <w:rPr>
          <w:sz w:val="24"/>
          <w:szCs w:val="24"/>
        </w:rPr>
        <w:t>report</w:t>
      </w:r>
      <w:r w:rsidRPr="00463467">
        <w:rPr>
          <w:sz w:val="24"/>
          <w:szCs w:val="24"/>
        </w:rPr>
        <w:t xml:space="preserve"> and archive according to a record retention schedule conforming to EPA policy.</w:t>
      </w:r>
    </w:p>
    <w:p w14:paraId="533F4BD8" w14:textId="77777777" w:rsidR="00EE2CD0" w:rsidRPr="00463467" w:rsidRDefault="00EE2CD0" w:rsidP="00EE2CD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14:paraId="79A0D37B" w14:textId="7DFCDBC6" w:rsidR="00EE2CD0" w:rsidRDefault="00EE2CD0" w:rsidP="00EE2CD0">
      <w:pPr>
        <w:pStyle w:val="Heading2"/>
        <w:ind w:firstLine="720"/>
        <w:rPr>
          <w:bCs/>
          <w:szCs w:val="24"/>
        </w:rPr>
      </w:pPr>
      <w:r w:rsidRPr="00463467">
        <w:rPr>
          <w:bCs/>
          <w:szCs w:val="24"/>
        </w:rPr>
        <w:t>5(b)</w:t>
      </w:r>
      <w:r w:rsidRPr="00463467">
        <w:rPr>
          <w:bCs/>
          <w:szCs w:val="24"/>
        </w:rPr>
        <w:tab/>
        <w:t>Collection Methodology and Management</w:t>
      </w:r>
    </w:p>
    <w:p w14:paraId="688831CD" w14:textId="4BEB793D" w:rsidR="00EE2CD0" w:rsidRDefault="00EE2CD0" w:rsidP="00EE2CD0"/>
    <w:p w14:paraId="121FA7D9" w14:textId="7A21E6A4" w:rsidR="00EE2CD0" w:rsidRPr="00463467" w:rsidRDefault="00EE2CD0" w:rsidP="00EE2CD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463467">
        <w:rPr>
          <w:sz w:val="24"/>
          <w:szCs w:val="24"/>
        </w:rPr>
        <w:t>The collection methodology and management of the information collected is similar to the process used for other 40 CFR Part 80 fuel programs</w:t>
      </w:r>
      <w:r>
        <w:rPr>
          <w:sz w:val="24"/>
          <w:szCs w:val="24"/>
        </w:rPr>
        <w:t xml:space="preserve">. </w:t>
      </w:r>
      <w:r w:rsidRPr="00463467">
        <w:rPr>
          <w:sz w:val="24"/>
          <w:szCs w:val="24"/>
        </w:rPr>
        <w:t>The information should be reported electronically via a format specified by the Administrator</w:t>
      </w:r>
      <w:r>
        <w:rPr>
          <w:sz w:val="24"/>
          <w:szCs w:val="24"/>
        </w:rPr>
        <w:t xml:space="preserve">. </w:t>
      </w:r>
    </w:p>
    <w:p w14:paraId="6376D7B1" w14:textId="77777777" w:rsidR="00EE2CD0" w:rsidRPr="00463467" w:rsidRDefault="00EE2CD0" w:rsidP="00EE2CD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13D936A" w14:textId="77777777" w:rsidR="00EE2CD0" w:rsidRPr="00463467" w:rsidRDefault="00EE2CD0" w:rsidP="00EE2CD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 xml:space="preserve">When the submittal is received, EPA </w:t>
      </w:r>
      <w:r>
        <w:rPr>
          <w:sz w:val="24"/>
          <w:szCs w:val="24"/>
        </w:rPr>
        <w:t>will</w:t>
      </w:r>
      <w:r w:rsidRPr="00463467">
        <w:rPr>
          <w:sz w:val="24"/>
          <w:szCs w:val="24"/>
        </w:rPr>
        <w:t xml:space="preserve"> review it for completeness EPA may also review respondents' records as a part of its enforcement effort to ensure the accuracy and validity of the data submitted</w:t>
      </w:r>
      <w:r>
        <w:rPr>
          <w:sz w:val="24"/>
          <w:szCs w:val="24"/>
        </w:rPr>
        <w:t xml:space="preserve">. </w:t>
      </w:r>
      <w:r w:rsidRPr="00463467">
        <w:rPr>
          <w:sz w:val="24"/>
          <w:szCs w:val="24"/>
        </w:rPr>
        <w:t xml:space="preserve">Non-confidential data </w:t>
      </w:r>
      <w:r>
        <w:rPr>
          <w:sz w:val="24"/>
          <w:szCs w:val="24"/>
        </w:rPr>
        <w:t>will</w:t>
      </w:r>
      <w:r w:rsidRPr="00463467">
        <w:rPr>
          <w:sz w:val="24"/>
          <w:szCs w:val="24"/>
        </w:rPr>
        <w:t xml:space="preserve"> be made available to the public upon request.</w:t>
      </w:r>
    </w:p>
    <w:p w14:paraId="124D3BDA" w14:textId="77777777" w:rsidR="00EE2CD0" w:rsidRPr="00463467" w:rsidRDefault="00EE2CD0" w:rsidP="00EE2CD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ED880F5" w14:textId="1050235B" w:rsidR="00EE2CD0" w:rsidRPr="00463467" w:rsidRDefault="00EE2CD0" w:rsidP="00EE2CD0">
      <w:pPr>
        <w:pStyle w:val="Heading2"/>
        <w:ind w:firstLine="720"/>
      </w:pPr>
      <w:r w:rsidRPr="00463467">
        <w:t>5(c)</w:t>
      </w:r>
      <w:r w:rsidRPr="00463467">
        <w:tab/>
        <w:t>Small Refiner/Small Volume Refinery and Temporary Relief Flexibilities</w:t>
      </w:r>
    </w:p>
    <w:p w14:paraId="37FDD4B7" w14:textId="77777777" w:rsidR="00EE2CD0" w:rsidRDefault="00EE2CD0" w:rsidP="00EE2CD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3A3F2D06" w14:textId="1648A1B4" w:rsidR="00EE2CD0" w:rsidRPr="00DE455B" w:rsidRDefault="00EE2CD0" w:rsidP="00EE2CD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E455B">
        <w:rPr>
          <w:sz w:val="24"/>
          <w:szCs w:val="24"/>
        </w:rPr>
        <w:tab/>
      </w:r>
      <w:r w:rsidR="00DE455B" w:rsidRPr="00DE455B">
        <w:rPr>
          <w:sz w:val="24"/>
          <w:szCs w:val="24"/>
        </w:rPr>
        <w:t>A</w:t>
      </w:r>
      <w:r w:rsidRPr="00DE455B">
        <w:rPr>
          <w:sz w:val="24"/>
          <w:szCs w:val="24"/>
        </w:rPr>
        <w:t>s part of its effort to comply with the Small Business Regulatory Enforcement Fairness Act (SBREFA) requirements</w:t>
      </w:r>
      <w:r w:rsidR="00DE455B" w:rsidRPr="00DE455B">
        <w:rPr>
          <w:sz w:val="24"/>
          <w:szCs w:val="24"/>
        </w:rPr>
        <w:t xml:space="preserve"> during the Tier 3 rulemaking process</w:t>
      </w:r>
      <w:r w:rsidRPr="00DE455B">
        <w:rPr>
          <w:sz w:val="24"/>
          <w:szCs w:val="24"/>
        </w:rPr>
        <w:t xml:space="preserve">, EPA met several times with small entity representatives. Additionally, EPA convened an intergovernmental panel, in accordance with the SBREFA, which also met with small entity representatives and which then made specific recommendations to EPA regarding the impact of sulfur control on small businesses. A copy of the panel’s report is available in the docket for this regulatory action. The report contains a list of the fuel industry’s participating small entity representatives, and provides a summary of their comments. </w:t>
      </w:r>
    </w:p>
    <w:p w14:paraId="24AF1A24" w14:textId="77777777" w:rsidR="00EE2CD0" w:rsidRPr="00DE455B" w:rsidRDefault="00EE2CD0" w:rsidP="00EE2CD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C8A968A" w14:textId="3A505F7A" w:rsidR="00EE2CD0" w:rsidRPr="00DE455B" w:rsidRDefault="00EE2CD0" w:rsidP="00EE2CD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E455B">
        <w:rPr>
          <w:sz w:val="24"/>
          <w:szCs w:val="24"/>
        </w:rPr>
        <w:tab/>
        <w:t xml:space="preserve">The panel’s recommendations were carefully considered by EPA in developing the Tier 3 final rule and the specific provisions for small refiners. The panel did not recommend a wholesale exemption for small refiners and small volume refineries, but rather that they be provided additional time to comply. As a result, the gasoline sulfur rule provides for less stringent sulfur standards for qualifying small refiners until 2020. </w:t>
      </w:r>
      <w:r w:rsidR="00DE455B" w:rsidRPr="00DE455B">
        <w:rPr>
          <w:sz w:val="24"/>
          <w:szCs w:val="24"/>
        </w:rPr>
        <w:t>Several refiners and refineries have taken advantage of these temporary relief flexibilities and the EPA anticipates that they will continue to do so until they phase out in 2020.</w:t>
      </w:r>
    </w:p>
    <w:p w14:paraId="1BBE2691" w14:textId="77777777" w:rsidR="00EE2CD0" w:rsidRPr="00DE455B" w:rsidRDefault="00EE2CD0" w:rsidP="00EE2CD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8DA5B05" w14:textId="77777777" w:rsidR="00EE2CD0" w:rsidRPr="00DE455B" w:rsidRDefault="00EE2CD0" w:rsidP="00EE2CD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E455B">
        <w:rPr>
          <w:sz w:val="24"/>
          <w:szCs w:val="24"/>
        </w:rPr>
        <w:tab/>
        <w:t>In addition, the gasoline sulfur rule provided temporary relief from the sulfur requirements for refiners who demonstrated that extreme hardship will result in the absence of such relief.</w:t>
      </w:r>
    </w:p>
    <w:p w14:paraId="65982AE8" w14:textId="77777777" w:rsidR="00EE2CD0" w:rsidRPr="00463467" w:rsidRDefault="00EE2CD0" w:rsidP="00EE2CD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F4337F7" w14:textId="7B3B5067" w:rsidR="00EE2CD0" w:rsidRPr="00463467" w:rsidRDefault="00EE2CD0" w:rsidP="00EE2CD0">
      <w:pPr>
        <w:pStyle w:val="Heading2"/>
        <w:ind w:firstLine="720"/>
      </w:pPr>
      <w:r w:rsidRPr="00463467">
        <w:t>5(d)</w:t>
      </w:r>
      <w:r w:rsidRPr="00463467">
        <w:tab/>
        <w:t>Collection Schedule</w:t>
      </w:r>
    </w:p>
    <w:p w14:paraId="6C4A5F96" w14:textId="77777777" w:rsidR="00EE2CD0" w:rsidRDefault="00EE2CD0" w:rsidP="00EE2CD0">
      <w:pPr>
        <w:rPr>
          <w:sz w:val="24"/>
          <w:szCs w:val="24"/>
        </w:rPr>
      </w:pPr>
    </w:p>
    <w:p w14:paraId="7E8DA72D" w14:textId="2BE43177" w:rsidR="00EE2CD0" w:rsidRPr="00EE2CD0" w:rsidRDefault="00EE2CD0" w:rsidP="00EE2CD0">
      <w:pPr>
        <w:ind w:firstLine="720"/>
        <w:rPr>
          <w:sz w:val="24"/>
          <w:szCs w:val="24"/>
        </w:rPr>
      </w:pPr>
      <w:r w:rsidRPr="00EE2CD0">
        <w:rPr>
          <w:sz w:val="24"/>
          <w:szCs w:val="24"/>
        </w:rPr>
        <w:t>The collection schedule of the sulfur program reporting requirements is shown in Table 5(d).</w:t>
      </w:r>
    </w:p>
    <w:p w14:paraId="1B53673B" w14:textId="77777777" w:rsidR="00EE2CD0" w:rsidRPr="00463467" w:rsidRDefault="00EE2CD0" w:rsidP="00EE2CD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9ABFBE7" w14:textId="55D46D7C" w:rsidR="00EE2CD0" w:rsidRDefault="00EE2CD0" w:rsidP="00EE2CD0">
      <w:pPr>
        <w:rPr>
          <w:b/>
          <w:sz w:val="24"/>
        </w:rPr>
      </w:pPr>
      <w:r w:rsidRPr="00EE2CD0">
        <w:rPr>
          <w:b/>
          <w:sz w:val="24"/>
        </w:rPr>
        <w:t>Table 5(d). Collection Schedule</w:t>
      </w:r>
    </w:p>
    <w:p w14:paraId="51792243" w14:textId="77777777" w:rsidR="00C178AE" w:rsidRPr="00EE2CD0" w:rsidRDefault="00C178AE" w:rsidP="00EE2CD0">
      <w:pPr>
        <w:rPr>
          <w:b/>
          <w:sz w:val="24"/>
        </w:rPr>
      </w:pPr>
    </w:p>
    <w:tbl>
      <w:tblPr>
        <w:tblW w:w="935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676"/>
        <w:gridCol w:w="4683"/>
      </w:tblGrid>
      <w:tr w:rsidR="00EE2CD0" w:rsidRPr="00463467" w14:paraId="318C1E71" w14:textId="77777777" w:rsidTr="00DE455B">
        <w:trPr>
          <w:cantSplit/>
        </w:trPr>
        <w:tc>
          <w:tcPr>
            <w:tcW w:w="4676" w:type="dxa"/>
          </w:tcPr>
          <w:p w14:paraId="3E3DBD12" w14:textId="77777777" w:rsidR="00EE2CD0" w:rsidRPr="0019416A" w:rsidRDefault="00EE2CD0" w:rsidP="00D90060">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rPr>
                <w:b/>
              </w:rPr>
            </w:pPr>
            <w:r w:rsidRPr="0019416A">
              <w:rPr>
                <w:b/>
              </w:rPr>
              <w:t>Item</w:t>
            </w:r>
          </w:p>
        </w:tc>
        <w:tc>
          <w:tcPr>
            <w:tcW w:w="4683" w:type="dxa"/>
          </w:tcPr>
          <w:p w14:paraId="618B215F" w14:textId="77777777" w:rsidR="00EE2CD0" w:rsidRPr="0019416A" w:rsidRDefault="00EE2CD0" w:rsidP="00D90060">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rPr>
                <w:b/>
              </w:rPr>
            </w:pPr>
            <w:r w:rsidRPr="0019416A">
              <w:rPr>
                <w:b/>
              </w:rPr>
              <w:t>Due Date</w:t>
            </w:r>
          </w:p>
        </w:tc>
      </w:tr>
      <w:tr w:rsidR="00EE2CD0" w:rsidRPr="00463467" w14:paraId="50544A5E" w14:textId="77777777" w:rsidTr="00DE455B">
        <w:trPr>
          <w:cantSplit/>
        </w:trPr>
        <w:tc>
          <w:tcPr>
            <w:tcW w:w="4676" w:type="dxa"/>
          </w:tcPr>
          <w:p w14:paraId="6778A23A" w14:textId="77777777" w:rsidR="00EE2CD0" w:rsidRPr="00463467" w:rsidRDefault="00EE2CD0" w:rsidP="001F32F2">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rsidRPr="00463467">
              <w:t>Gasoline refinery and importer annual averaging reports, including ABT information</w:t>
            </w:r>
          </w:p>
        </w:tc>
        <w:tc>
          <w:tcPr>
            <w:tcW w:w="4683" w:type="dxa"/>
          </w:tcPr>
          <w:p w14:paraId="19F4685C" w14:textId="77777777" w:rsidR="00EE2CD0" w:rsidRPr="00463467" w:rsidRDefault="00EE2CD0" w:rsidP="001F32F2">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rsidRPr="00463467">
              <w:t>March 31 following the previous year’s averaging period</w:t>
            </w:r>
          </w:p>
        </w:tc>
      </w:tr>
      <w:tr w:rsidR="00EE2CD0" w:rsidRPr="00463467" w14:paraId="3FFB22E5" w14:textId="77777777" w:rsidTr="00DE455B">
        <w:trPr>
          <w:cantSplit/>
        </w:trPr>
        <w:tc>
          <w:tcPr>
            <w:tcW w:w="4676" w:type="dxa"/>
          </w:tcPr>
          <w:p w14:paraId="4CB5D3C9" w14:textId="77777777" w:rsidR="00EE2CD0" w:rsidRPr="00463467" w:rsidRDefault="00EE2CD0" w:rsidP="001F32F2">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rsidRPr="00463467">
              <w:t>Gasoline refiner and importer attest reports</w:t>
            </w:r>
          </w:p>
        </w:tc>
        <w:tc>
          <w:tcPr>
            <w:tcW w:w="4683" w:type="dxa"/>
          </w:tcPr>
          <w:p w14:paraId="768AA57A" w14:textId="77777777" w:rsidR="00EE2CD0" w:rsidRPr="00463467" w:rsidRDefault="00EE2CD0" w:rsidP="001F32F2">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rsidRPr="00463467">
              <w:t>June 1 following the previous year’s averaging period</w:t>
            </w:r>
          </w:p>
        </w:tc>
      </w:tr>
      <w:tr w:rsidR="00EE2CD0" w:rsidRPr="00463467" w14:paraId="16B7D7E0" w14:textId="77777777" w:rsidTr="00DE455B">
        <w:trPr>
          <w:cantSplit/>
        </w:trPr>
        <w:tc>
          <w:tcPr>
            <w:tcW w:w="4676" w:type="dxa"/>
          </w:tcPr>
          <w:p w14:paraId="2076827C" w14:textId="77777777" w:rsidR="00EE2CD0" w:rsidRPr="00463467" w:rsidRDefault="00EE2CD0" w:rsidP="001F32F2">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rsidRPr="00463467">
              <w:t>Blender-grade pentane producer and importer annual batch reports</w:t>
            </w:r>
          </w:p>
        </w:tc>
        <w:tc>
          <w:tcPr>
            <w:tcW w:w="4683" w:type="dxa"/>
          </w:tcPr>
          <w:p w14:paraId="7D7899F9" w14:textId="77777777" w:rsidR="00EE2CD0" w:rsidRPr="00463467" w:rsidRDefault="00EE2CD0" w:rsidP="001F32F2">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rsidRPr="00463467">
              <w:t>March 31 following the previous calendar year</w:t>
            </w:r>
          </w:p>
        </w:tc>
      </w:tr>
      <w:tr w:rsidR="00EE2CD0" w:rsidRPr="00463467" w14:paraId="38E8847C" w14:textId="77777777" w:rsidTr="00DE455B">
        <w:trPr>
          <w:cantSplit/>
        </w:trPr>
        <w:tc>
          <w:tcPr>
            <w:tcW w:w="4676" w:type="dxa"/>
          </w:tcPr>
          <w:p w14:paraId="25E16DF0" w14:textId="77777777" w:rsidR="00EE2CD0" w:rsidRPr="00463467" w:rsidRDefault="00EE2CD0" w:rsidP="001F32F2">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rsidRPr="00463467">
              <w:t>Oxygenate producer and importer annual batch reports</w:t>
            </w:r>
          </w:p>
        </w:tc>
        <w:tc>
          <w:tcPr>
            <w:tcW w:w="4683" w:type="dxa"/>
          </w:tcPr>
          <w:p w14:paraId="5443678E" w14:textId="77777777" w:rsidR="00EE2CD0" w:rsidRPr="00463467" w:rsidRDefault="00EE2CD0" w:rsidP="001F32F2">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rsidRPr="00463467">
              <w:t xml:space="preserve">March 31 following the previous calendar year </w:t>
            </w:r>
          </w:p>
        </w:tc>
      </w:tr>
    </w:tbl>
    <w:p w14:paraId="4B2F50FA" w14:textId="0477465E" w:rsidR="00EE2CD0" w:rsidRDefault="00EE2CD0" w:rsidP="00EE2CD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D343AF" w14:textId="77777777" w:rsidR="00C60D91" w:rsidRPr="00463467" w:rsidRDefault="00C60D91" w:rsidP="00EE2CD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7B9BC08" w14:textId="77777777" w:rsidR="00DE455B" w:rsidRPr="00463467" w:rsidRDefault="00DE455B" w:rsidP="00DE455B">
      <w:pPr>
        <w:pStyle w:val="Heading1"/>
      </w:pPr>
      <w:r w:rsidRPr="00463467">
        <w:t>6.</w:t>
      </w:r>
      <w:r w:rsidRPr="00463467">
        <w:tab/>
        <w:t>ESTIMATING THE ANNUAL BURDEN AND COST OF THE COLLECTION</w:t>
      </w:r>
    </w:p>
    <w:p w14:paraId="0B6F75D2" w14:textId="77777777" w:rsidR="00DE455B" w:rsidRPr="00463467" w:rsidRDefault="00DE455B" w:rsidP="00DE455B">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5C5BE02" w14:textId="3DBA0A0A" w:rsidR="00DE455B" w:rsidRDefault="00DE455B" w:rsidP="002E52AB">
      <w:pPr>
        <w:pStyle w:val="Heading2"/>
      </w:pPr>
      <w:r w:rsidRPr="00463467">
        <w:tab/>
        <w:t>6(a)</w:t>
      </w:r>
      <w:r w:rsidRPr="00463467">
        <w:tab/>
        <w:t xml:space="preserve">Estimating Respondent </w:t>
      </w:r>
      <w:r w:rsidR="002E52AB">
        <w:t>Universe</w:t>
      </w:r>
    </w:p>
    <w:p w14:paraId="251FFB79" w14:textId="56FF22A1" w:rsidR="002E52AB" w:rsidRDefault="002E52AB" w:rsidP="002E52AB"/>
    <w:p w14:paraId="1CA8C0E5" w14:textId="503BB5F9" w:rsidR="001F32F2" w:rsidRDefault="002E52AB" w:rsidP="002E52AB">
      <w:pPr>
        <w:ind w:firstLine="720"/>
        <w:rPr>
          <w:sz w:val="24"/>
        </w:rPr>
      </w:pPr>
      <w:r>
        <w:rPr>
          <w:sz w:val="24"/>
        </w:rPr>
        <w:t>Drawing upon experience with the Tier 3 program, the actual number of registered respondents as of December 2017, and respondent-specific assumptions as detailed in Tables I-VII</w:t>
      </w:r>
      <w:r w:rsidR="00C60D91">
        <w:rPr>
          <w:sz w:val="24"/>
        </w:rPr>
        <w:t xml:space="preserve">, we have estimated the following respondent universe, as </w:t>
      </w:r>
      <w:r w:rsidR="00EF42BD">
        <w:rPr>
          <w:sz w:val="24"/>
        </w:rPr>
        <w:t>summarized</w:t>
      </w:r>
      <w:r w:rsidR="00C60D91">
        <w:rPr>
          <w:sz w:val="24"/>
        </w:rPr>
        <w:t xml:space="preserve"> in Table 6(a).</w:t>
      </w:r>
    </w:p>
    <w:p w14:paraId="71329F18" w14:textId="55439CAB" w:rsidR="00C60D91" w:rsidRDefault="00C60D91" w:rsidP="002E52AB">
      <w:pPr>
        <w:ind w:firstLine="720"/>
        <w:rPr>
          <w:sz w:val="24"/>
        </w:rPr>
      </w:pPr>
    </w:p>
    <w:p w14:paraId="58660284" w14:textId="77777777" w:rsidR="00C60D91" w:rsidRDefault="00C60D91" w:rsidP="00C60D91">
      <w:pPr>
        <w:rPr>
          <w:b/>
          <w:sz w:val="24"/>
        </w:rPr>
      </w:pPr>
    </w:p>
    <w:p w14:paraId="3D6F6BEE" w14:textId="2C8BA64B" w:rsidR="00C60D91" w:rsidRPr="00EE2CD0" w:rsidRDefault="00C60D91" w:rsidP="00C60D91">
      <w:pPr>
        <w:rPr>
          <w:b/>
          <w:sz w:val="24"/>
        </w:rPr>
      </w:pPr>
      <w:r>
        <w:rPr>
          <w:b/>
          <w:sz w:val="24"/>
        </w:rPr>
        <w:t>Table 6</w:t>
      </w:r>
      <w:r w:rsidRPr="00EE2CD0">
        <w:rPr>
          <w:b/>
          <w:sz w:val="24"/>
        </w:rPr>
        <w:t>(</w:t>
      </w:r>
      <w:r>
        <w:rPr>
          <w:b/>
          <w:sz w:val="24"/>
        </w:rPr>
        <w:t>a</w:t>
      </w:r>
      <w:r w:rsidRPr="00EE2CD0">
        <w:rPr>
          <w:b/>
          <w:sz w:val="24"/>
        </w:rPr>
        <w:t xml:space="preserve">). </w:t>
      </w:r>
      <w:r>
        <w:rPr>
          <w:b/>
          <w:sz w:val="24"/>
        </w:rPr>
        <w:t>Estimating Respondent Universe</w:t>
      </w:r>
    </w:p>
    <w:tbl>
      <w:tblPr>
        <w:tblW w:w="4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700"/>
        <w:gridCol w:w="2160"/>
      </w:tblGrid>
      <w:tr w:rsidR="00C60D91" w:rsidRPr="00463467" w14:paraId="73C9B95A" w14:textId="77777777" w:rsidTr="00D90060">
        <w:trPr>
          <w:cantSplit/>
          <w:jc w:val="center"/>
        </w:trPr>
        <w:tc>
          <w:tcPr>
            <w:tcW w:w="2700" w:type="dxa"/>
            <w:vAlign w:val="center"/>
          </w:tcPr>
          <w:p w14:paraId="768C5C7A" w14:textId="3EE9B4AE" w:rsidR="00C60D91" w:rsidRPr="0019416A" w:rsidRDefault="00EF42BD" w:rsidP="00C60D91">
            <w:pPr>
              <w:keepNext/>
              <w:keepLines/>
              <w:numPr>
                <w:ilvl w:val="12"/>
                <w:numId w:val="0"/>
              </w:numPr>
              <w:tabs>
                <w:tab w:val="left" w:pos="-1440"/>
                <w:tab w:val="left" w:pos="-720"/>
                <w:tab w:val="left" w:pos="0"/>
                <w:tab w:val="left" w:pos="1140"/>
              </w:tabs>
              <w:spacing w:before="93" w:after="31"/>
              <w:jc w:val="center"/>
              <w:rPr>
                <w:b/>
              </w:rPr>
            </w:pPr>
            <w:r>
              <w:rPr>
                <w:b/>
              </w:rPr>
              <w:t>Type of Respondent</w:t>
            </w:r>
          </w:p>
        </w:tc>
        <w:tc>
          <w:tcPr>
            <w:tcW w:w="2160" w:type="dxa"/>
            <w:vAlign w:val="center"/>
          </w:tcPr>
          <w:p w14:paraId="01C4BE6B" w14:textId="179ABF89" w:rsidR="00C60D91" w:rsidRPr="0019416A" w:rsidRDefault="00C60D91" w:rsidP="00C60D91">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rPr>
                <w:b/>
              </w:rPr>
            </w:pPr>
            <w:r>
              <w:rPr>
                <w:b/>
              </w:rPr>
              <w:t>Estimated Number of Respondents</w:t>
            </w:r>
          </w:p>
        </w:tc>
      </w:tr>
      <w:tr w:rsidR="00C60D91" w:rsidRPr="00463467" w14:paraId="0BFE4F2D" w14:textId="77777777" w:rsidTr="00D90060">
        <w:trPr>
          <w:cantSplit/>
          <w:jc w:val="center"/>
        </w:trPr>
        <w:tc>
          <w:tcPr>
            <w:tcW w:w="2700" w:type="dxa"/>
            <w:vAlign w:val="center"/>
          </w:tcPr>
          <w:p w14:paraId="1CD8B187" w14:textId="791AA5F9" w:rsidR="00C60D91" w:rsidRPr="00463467" w:rsidRDefault="00C60D91" w:rsidP="00D90060">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Refiners</w:t>
            </w:r>
          </w:p>
        </w:tc>
        <w:tc>
          <w:tcPr>
            <w:tcW w:w="2160" w:type="dxa"/>
            <w:vAlign w:val="center"/>
          </w:tcPr>
          <w:p w14:paraId="401F4DF4" w14:textId="65562AD1" w:rsidR="00C60D91" w:rsidRPr="00463467" w:rsidRDefault="00EF42BD" w:rsidP="00C60D91">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pPr>
            <w:r>
              <w:t>886</w:t>
            </w:r>
          </w:p>
        </w:tc>
      </w:tr>
      <w:tr w:rsidR="00C60D91" w:rsidRPr="00463467" w14:paraId="14755E0E" w14:textId="77777777" w:rsidTr="00D90060">
        <w:trPr>
          <w:cantSplit/>
          <w:jc w:val="center"/>
        </w:trPr>
        <w:tc>
          <w:tcPr>
            <w:tcW w:w="2700" w:type="dxa"/>
            <w:vAlign w:val="center"/>
          </w:tcPr>
          <w:p w14:paraId="36303A67" w14:textId="0E6B252C" w:rsidR="00C60D91" w:rsidRPr="00463467" w:rsidRDefault="00C60D91" w:rsidP="00D90060">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Oxygenate Producers</w:t>
            </w:r>
          </w:p>
        </w:tc>
        <w:tc>
          <w:tcPr>
            <w:tcW w:w="2160" w:type="dxa"/>
            <w:vAlign w:val="center"/>
          </w:tcPr>
          <w:p w14:paraId="733D5F13" w14:textId="64F0F5A4" w:rsidR="00C60D91" w:rsidRPr="00463467" w:rsidRDefault="00EF42BD" w:rsidP="00C60D91">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pPr>
            <w:r>
              <w:t>1,717</w:t>
            </w:r>
          </w:p>
        </w:tc>
      </w:tr>
      <w:tr w:rsidR="00C60D91" w:rsidRPr="00463467" w14:paraId="5EB4AF4A" w14:textId="77777777" w:rsidTr="00D90060">
        <w:trPr>
          <w:cantSplit/>
          <w:jc w:val="center"/>
        </w:trPr>
        <w:tc>
          <w:tcPr>
            <w:tcW w:w="2700" w:type="dxa"/>
            <w:vAlign w:val="center"/>
          </w:tcPr>
          <w:p w14:paraId="75A60631" w14:textId="180AFA10" w:rsidR="00C60D91" w:rsidRPr="00463467" w:rsidRDefault="00C60D91" w:rsidP="00D90060">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Oxygenate Blenders</w:t>
            </w:r>
          </w:p>
        </w:tc>
        <w:tc>
          <w:tcPr>
            <w:tcW w:w="2160" w:type="dxa"/>
            <w:vAlign w:val="center"/>
          </w:tcPr>
          <w:p w14:paraId="7D486E19" w14:textId="481109E2" w:rsidR="00C60D91" w:rsidRPr="00463467" w:rsidRDefault="00EF42BD" w:rsidP="00C60D91">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pPr>
            <w:r>
              <w:t>856</w:t>
            </w:r>
          </w:p>
        </w:tc>
      </w:tr>
      <w:tr w:rsidR="00C60D91" w:rsidRPr="00463467" w14:paraId="1AEE27B3" w14:textId="77777777" w:rsidTr="00D90060">
        <w:trPr>
          <w:cantSplit/>
          <w:jc w:val="center"/>
        </w:trPr>
        <w:tc>
          <w:tcPr>
            <w:tcW w:w="2700" w:type="dxa"/>
            <w:vAlign w:val="center"/>
          </w:tcPr>
          <w:p w14:paraId="54B58D9D" w14:textId="5C64EE18" w:rsidR="00C60D91" w:rsidRPr="00463467" w:rsidRDefault="00C60D91" w:rsidP="00D90060">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R&amp;D Applicants</w:t>
            </w:r>
          </w:p>
        </w:tc>
        <w:tc>
          <w:tcPr>
            <w:tcW w:w="2160" w:type="dxa"/>
            <w:vAlign w:val="center"/>
          </w:tcPr>
          <w:p w14:paraId="540690CF" w14:textId="6616697B" w:rsidR="00C60D91" w:rsidRPr="00463467" w:rsidRDefault="00C60D91" w:rsidP="00C60D91">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pPr>
            <w:r>
              <w:t>1</w:t>
            </w:r>
          </w:p>
        </w:tc>
      </w:tr>
      <w:tr w:rsidR="00C60D91" w:rsidRPr="00463467" w14:paraId="41F0F08D" w14:textId="77777777" w:rsidTr="00D90060">
        <w:trPr>
          <w:cantSplit/>
          <w:jc w:val="center"/>
        </w:trPr>
        <w:tc>
          <w:tcPr>
            <w:tcW w:w="2700" w:type="dxa"/>
            <w:vAlign w:val="center"/>
          </w:tcPr>
          <w:p w14:paraId="0331966B" w14:textId="1E840212" w:rsidR="00C60D91" w:rsidRDefault="00C60D91" w:rsidP="00D90060">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Additive Manufacturers</w:t>
            </w:r>
          </w:p>
        </w:tc>
        <w:tc>
          <w:tcPr>
            <w:tcW w:w="2160" w:type="dxa"/>
            <w:vAlign w:val="center"/>
          </w:tcPr>
          <w:p w14:paraId="2064467D" w14:textId="592CF042" w:rsidR="00C60D91" w:rsidRDefault="00384068" w:rsidP="00384068">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pPr>
            <w:r>
              <w:t>20</w:t>
            </w:r>
          </w:p>
        </w:tc>
      </w:tr>
      <w:tr w:rsidR="00C60D91" w:rsidRPr="00463467" w14:paraId="192C53B8" w14:textId="77777777" w:rsidTr="00D90060">
        <w:trPr>
          <w:cantSplit/>
          <w:jc w:val="center"/>
        </w:trPr>
        <w:tc>
          <w:tcPr>
            <w:tcW w:w="2700" w:type="dxa"/>
            <w:vAlign w:val="center"/>
          </w:tcPr>
          <w:p w14:paraId="62D9B4E4" w14:textId="69B4CA95" w:rsidR="00C60D91" w:rsidRDefault="00C60D91" w:rsidP="00D90060">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CED Producers</w:t>
            </w:r>
          </w:p>
        </w:tc>
        <w:tc>
          <w:tcPr>
            <w:tcW w:w="2160" w:type="dxa"/>
            <w:vAlign w:val="center"/>
          </w:tcPr>
          <w:p w14:paraId="54FD6C30" w14:textId="2FB56681" w:rsidR="00C60D91" w:rsidRDefault="00384068" w:rsidP="00C60D91">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pPr>
            <w:r>
              <w:t>267</w:t>
            </w:r>
          </w:p>
        </w:tc>
      </w:tr>
      <w:tr w:rsidR="00C60D91" w:rsidRPr="00463467" w14:paraId="1B437835" w14:textId="77777777" w:rsidTr="00D90060">
        <w:trPr>
          <w:cantSplit/>
          <w:jc w:val="center"/>
        </w:trPr>
        <w:tc>
          <w:tcPr>
            <w:tcW w:w="2700" w:type="dxa"/>
            <w:vAlign w:val="center"/>
          </w:tcPr>
          <w:p w14:paraId="22BB19A6" w14:textId="02438287" w:rsidR="00C60D91" w:rsidRDefault="00C60D91" w:rsidP="00D90060">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Pentane Producers</w:t>
            </w:r>
          </w:p>
        </w:tc>
        <w:tc>
          <w:tcPr>
            <w:tcW w:w="2160" w:type="dxa"/>
            <w:vAlign w:val="center"/>
          </w:tcPr>
          <w:p w14:paraId="7ED3B7EA" w14:textId="6FF108C1" w:rsidR="00C60D91" w:rsidRDefault="00384068" w:rsidP="00C60D91">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pPr>
            <w:r>
              <w:t>206</w:t>
            </w:r>
          </w:p>
        </w:tc>
      </w:tr>
    </w:tbl>
    <w:p w14:paraId="1DDE1DB8" w14:textId="5B8F0DE5" w:rsidR="00C60D91" w:rsidRDefault="00C60D91" w:rsidP="002E52AB">
      <w:pPr>
        <w:ind w:firstLine="720"/>
        <w:rPr>
          <w:sz w:val="24"/>
        </w:rPr>
      </w:pPr>
    </w:p>
    <w:p w14:paraId="1A14EC93" w14:textId="1D22BBD3" w:rsidR="00C60D91" w:rsidRDefault="00C60D91" w:rsidP="002E52AB">
      <w:pPr>
        <w:ind w:firstLine="720"/>
        <w:rPr>
          <w:sz w:val="24"/>
        </w:rPr>
      </w:pPr>
    </w:p>
    <w:p w14:paraId="588C3E81" w14:textId="5A3E8020" w:rsidR="00C60D91" w:rsidRPr="00F55FBF" w:rsidRDefault="00F55FBF" w:rsidP="002E52AB">
      <w:pPr>
        <w:ind w:firstLine="720"/>
        <w:rPr>
          <w:b/>
          <w:sz w:val="24"/>
        </w:rPr>
      </w:pPr>
      <w:r>
        <w:rPr>
          <w:b/>
          <w:sz w:val="24"/>
        </w:rPr>
        <w:t>6(b)</w:t>
      </w:r>
      <w:r>
        <w:rPr>
          <w:b/>
          <w:sz w:val="24"/>
        </w:rPr>
        <w:tab/>
      </w:r>
      <w:r w:rsidR="00C60D91" w:rsidRPr="00F55FBF">
        <w:rPr>
          <w:b/>
          <w:sz w:val="24"/>
        </w:rPr>
        <w:t>Estimating Respondent Burden</w:t>
      </w:r>
      <w:r w:rsidR="00EF42BD">
        <w:rPr>
          <w:b/>
          <w:sz w:val="24"/>
        </w:rPr>
        <w:t xml:space="preserve"> and Cost</w:t>
      </w:r>
    </w:p>
    <w:p w14:paraId="40078A7F" w14:textId="5CE197EB" w:rsidR="00C60D91" w:rsidRDefault="00C60D91" w:rsidP="002E52AB">
      <w:pPr>
        <w:ind w:firstLine="720"/>
        <w:rPr>
          <w:sz w:val="24"/>
        </w:rPr>
      </w:pPr>
    </w:p>
    <w:p w14:paraId="558DED68" w14:textId="03652521" w:rsidR="00F55FBF" w:rsidRDefault="00EF42BD" w:rsidP="002E52AB">
      <w:pPr>
        <w:ind w:firstLine="720"/>
        <w:rPr>
          <w:sz w:val="24"/>
        </w:rPr>
      </w:pPr>
      <w:r>
        <w:rPr>
          <w:sz w:val="24"/>
        </w:rPr>
        <w:t xml:space="preserve">Detailed estimates, described as registration, recordkeeping, and reporting activities are provided in Tables I-VII for each type of respondent. </w:t>
      </w:r>
      <w:r w:rsidRPr="00EF42BD">
        <w:rPr>
          <w:sz w:val="24"/>
        </w:rPr>
        <w:t xml:space="preserve">These tables provided citations to the appropriate sections in 40 CFR Part 80 and reference each form or reporting template, as appropriate. </w:t>
      </w:r>
      <w:r w:rsidR="00963521" w:rsidRPr="00EF42BD">
        <w:rPr>
          <w:sz w:val="24"/>
        </w:rPr>
        <w:t>To</w:t>
      </w:r>
      <w:r w:rsidRPr="00EF42BD">
        <w:rPr>
          <w:sz w:val="24"/>
        </w:rPr>
        <w:t xml:space="preserve"> ensure parties may review all information relevant to this collection, we have docketed all forms and templates.  We have assumed an industry standard mix, based upon available Bureau of Labor Statistics estimates</w:t>
      </w:r>
      <w:r w:rsidR="00C178AE">
        <w:rPr>
          <w:rStyle w:val="FootnoteReference"/>
          <w:sz w:val="24"/>
        </w:rPr>
        <w:footnoteReference w:id="12"/>
      </w:r>
      <w:r w:rsidRPr="00EF42BD">
        <w:rPr>
          <w:sz w:val="24"/>
        </w:rPr>
        <w:t>.</w:t>
      </w:r>
      <w:r>
        <w:rPr>
          <w:sz w:val="24"/>
        </w:rPr>
        <w:t xml:space="preserve"> Table 6(b) summarizes the total estimated burden by type of respondent.</w:t>
      </w:r>
    </w:p>
    <w:p w14:paraId="495EE667" w14:textId="21E3FE3B" w:rsidR="00EF42BD" w:rsidRDefault="00EF42BD" w:rsidP="002E52AB">
      <w:pPr>
        <w:ind w:firstLine="720"/>
        <w:rPr>
          <w:sz w:val="24"/>
        </w:rPr>
      </w:pPr>
    </w:p>
    <w:p w14:paraId="3A49290B" w14:textId="062E7822" w:rsidR="00EF42BD" w:rsidRDefault="00EF42BD" w:rsidP="00EF42BD">
      <w:pPr>
        <w:rPr>
          <w:b/>
          <w:sz w:val="24"/>
        </w:rPr>
      </w:pPr>
      <w:r>
        <w:rPr>
          <w:b/>
          <w:sz w:val="24"/>
        </w:rPr>
        <w:t>Table 6</w:t>
      </w:r>
      <w:r w:rsidRPr="00EE2CD0">
        <w:rPr>
          <w:b/>
          <w:sz w:val="24"/>
        </w:rPr>
        <w:t>(</w:t>
      </w:r>
      <w:r>
        <w:rPr>
          <w:b/>
          <w:sz w:val="24"/>
        </w:rPr>
        <w:t>b</w:t>
      </w:r>
      <w:r w:rsidRPr="00EE2CD0">
        <w:rPr>
          <w:b/>
          <w:sz w:val="24"/>
        </w:rPr>
        <w:t xml:space="preserve">). </w:t>
      </w:r>
      <w:r>
        <w:rPr>
          <w:b/>
          <w:sz w:val="24"/>
        </w:rPr>
        <w:t>Estimating Respondent Burden and Cost</w:t>
      </w:r>
    </w:p>
    <w:p w14:paraId="3FC3578A" w14:textId="77777777" w:rsidR="00C178AE" w:rsidRPr="00EE2CD0" w:rsidRDefault="00C178AE" w:rsidP="00EF42BD">
      <w:pPr>
        <w:rPr>
          <w:b/>
          <w:sz w:val="24"/>
        </w:rPr>
      </w:pPr>
    </w:p>
    <w:tbl>
      <w:tblPr>
        <w:tblW w:w="7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065"/>
        <w:gridCol w:w="1815"/>
        <w:gridCol w:w="1615"/>
        <w:gridCol w:w="1790"/>
      </w:tblGrid>
      <w:tr w:rsidR="00384068" w:rsidRPr="00463467" w14:paraId="076A3496" w14:textId="77777777" w:rsidTr="006C0D67">
        <w:trPr>
          <w:cantSplit/>
          <w:jc w:val="center"/>
        </w:trPr>
        <w:tc>
          <w:tcPr>
            <w:tcW w:w="2065" w:type="dxa"/>
            <w:vAlign w:val="center"/>
          </w:tcPr>
          <w:p w14:paraId="23B860F1" w14:textId="0BD476EF" w:rsidR="00384068" w:rsidRPr="0019416A" w:rsidRDefault="00384068" w:rsidP="006A3A1B">
            <w:pPr>
              <w:keepNext/>
              <w:keepLines/>
              <w:numPr>
                <w:ilvl w:val="12"/>
                <w:numId w:val="0"/>
              </w:numPr>
              <w:tabs>
                <w:tab w:val="left" w:pos="-1440"/>
                <w:tab w:val="left" w:pos="-720"/>
                <w:tab w:val="left" w:pos="0"/>
                <w:tab w:val="left" w:pos="1140"/>
              </w:tabs>
              <w:spacing w:before="93" w:after="31"/>
              <w:jc w:val="center"/>
              <w:rPr>
                <w:b/>
              </w:rPr>
            </w:pPr>
            <w:r>
              <w:rPr>
                <w:b/>
              </w:rPr>
              <w:t>Type of Respondent</w:t>
            </w:r>
          </w:p>
        </w:tc>
        <w:tc>
          <w:tcPr>
            <w:tcW w:w="1815" w:type="dxa"/>
          </w:tcPr>
          <w:p w14:paraId="72FB1AC3" w14:textId="2A55589B" w:rsidR="00384068" w:rsidRDefault="00384068" w:rsidP="00384068">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rPr>
                <w:b/>
              </w:rPr>
            </w:pPr>
            <w:r>
              <w:rPr>
                <w:b/>
              </w:rPr>
              <w:t>Total Responses per Year</w:t>
            </w:r>
          </w:p>
        </w:tc>
        <w:tc>
          <w:tcPr>
            <w:tcW w:w="1615" w:type="dxa"/>
          </w:tcPr>
          <w:p w14:paraId="2175E777" w14:textId="5A4EE513" w:rsidR="00384068" w:rsidRDefault="00384068" w:rsidP="00EF42BD">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rPr>
                <w:b/>
              </w:rPr>
            </w:pPr>
            <w:r>
              <w:rPr>
                <w:b/>
              </w:rPr>
              <w:t>Total Hours per Year</w:t>
            </w:r>
          </w:p>
        </w:tc>
        <w:tc>
          <w:tcPr>
            <w:tcW w:w="1790" w:type="dxa"/>
            <w:vAlign w:val="center"/>
          </w:tcPr>
          <w:p w14:paraId="736BBE23" w14:textId="716B2C43" w:rsidR="00384068" w:rsidRPr="0019416A" w:rsidRDefault="00384068" w:rsidP="00EF42BD">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rPr>
                <w:b/>
              </w:rPr>
            </w:pPr>
            <w:r>
              <w:rPr>
                <w:b/>
              </w:rPr>
              <w:t>Total Cost per Year</w:t>
            </w:r>
          </w:p>
        </w:tc>
      </w:tr>
      <w:tr w:rsidR="00384068" w:rsidRPr="00463467" w14:paraId="721349E0" w14:textId="77777777" w:rsidTr="006C0D67">
        <w:trPr>
          <w:cantSplit/>
          <w:jc w:val="center"/>
        </w:trPr>
        <w:tc>
          <w:tcPr>
            <w:tcW w:w="2065" w:type="dxa"/>
            <w:vAlign w:val="center"/>
          </w:tcPr>
          <w:p w14:paraId="10701950" w14:textId="77777777" w:rsidR="00384068" w:rsidRPr="00463467" w:rsidRDefault="00384068" w:rsidP="00D90060">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Refiners</w:t>
            </w:r>
          </w:p>
        </w:tc>
        <w:tc>
          <w:tcPr>
            <w:tcW w:w="1815" w:type="dxa"/>
          </w:tcPr>
          <w:p w14:paraId="4E17AC9A" w14:textId="24B99D87" w:rsidR="00384068" w:rsidRDefault="00384068" w:rsidP="006A3A1B">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pPr>
            <w:r>
              <w:t>92,730</w:t>
            </w:r>
          </w:p>
        </w:tc>
        <w:tc>
          <w:tcPr>
            <w:tcW w:w="1615" w:type="dxa"/>
          </w:tcPr>
          <w:p w14:paraId="27533B04" w14:textId="121530F9" w:rsidR="00384068" w:rsidRDefault="00384068" w:rsidP="006A3A1B">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pPr>
            <w:r>
              <w:t>10,493</w:t>
            </w:r>
          </w:p>
        </w:tc>
        <w:tc>
          <w:tcPr>
            <w:tcW w:w="1790" w:type="dxa"/>
            <w:vAlign w:val="center"/>
          </w:tcPr>
          <w:p w14:paraId="3787DC18" w14:textId="3178BF2D" w:rsidR="00384068" w:rsidRPr="00463467" w:rsidRDefault="00384068" w:rsidP="006A3A1B">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pPr>
            <w:r>
              <w:t>$1,063,641</w:t>
            </w:r>
          </w:p>
        </w:tc>
      </w:tr>
      <w:tr w:rsidR="00384068" w:rsidRPr="00463467" w14:paraId="480A142C" w14:textId="77777777" w:rsidTr="006C0D67">
        <w:trPr>
          <w:cantSplit/>
          <w:jc w:val="center"/>
        </w:trPr>
        <w:tc>
          <w:tcPr>
            <w:tcW w:w="2065" w:type="dxa"/>
            <w:vAlign w:val="center"/>
          </w:tcPr>
          <w:p w14:paraId="69060950" w14:textId="77777777" w:rsidR="00384068" w:rsidRPr="00463467" w:rsidRDefault="00384068" w:rsidP="00D90060">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Oxygenate Producers</w:t>
            </w:r>
          </w:p>
        </w:tc>
        <w:tc>
          <w:tcPr>
            <w:tcW w:w="1815" w:type="dxa"/>
          </w:tcPr>
          <w:p w14:paraId="6A31BE9D" w14:textId="05E6FA37" w:rsidR="00384068" w:rsidRDefault="00384068" w:rsidP="006A3A1B">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pPr>
            <w:r>
              <w:t>390,217</w:t>
            </w:r>
          </w:p>
        </w:tc>
        <w:tc>
          <w:tcPr>
            <w:tcW w:w="1615" w:type="dxa"/>
          </w:tcPr>
          <w:p w14:paraId="40FEA215" w14:textId="377D7751" w:rsidR="00384068" w:rsidRDefault="00384068" w:rsidP="006A3A1B">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pPr>
            <w:r>
              <w:t>39,109</w:t>
            </w:r>
          </w:p>
        </w:tc>
        <w:tc>
          <w:tcPr>
            <w:tcW w:w="1790" w:type="dxa"/>
            <w:vAlign w:val="center"/>
          </w:tcPr>
          <w:p w14:paraId="27A0347B" w14:textId="57AD10F2" w:rsidR="00384068" w:rsidRPr="00463467" w:rsidRDefault="00384068" w:rsidP="006A3A1B">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pPr>
            <w:r>
              <w:t>$2,857,091</w:t>
            </w:r>
          </w:p>
        </w:tc>
      </w:tr>
      <w:tr w:rsidR="00384068" w:rsidRPr="00463467" w14:paraId="7BB8F851" w14:textId="77777777" w:rsidTr="006C0D67">
        <w:trPr>
          <w:cantSplit/>
          <w:jc w:val="center"/>
        </w:trPr>
        <w:tc>
          <w:tcPr>
            <w:tcW w:w="2065" w:type="dxa"/>
            <w:vAlign w:val="center"/>
          </w:tcPr>
          <w:p w14:paraId="45B4AC62" w14:textId="77777777" w:rsidR="00384068" w:rsidRPr="00463467" w:rsidRDefault="00384068" w:rsidP="00D90060">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Oxygenate Blenders</w:t>
            </w:r>
          </w:p>
        </w:tc>
        <w:tc>
          <w:tcPr>
            <w:tcW w:w="1815" w:type="dxa"/>
          </w:tcPr>
          <w:p w14:paraId="3C499668" w14:textId="7739AF79" w:rsidR="00384068" w:rsidRDefault="00384068" w:rsidP="006A3A1B">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pPr>
            <w:r>
              <w:t>856</w:t>
            </w:r>
          </w:p>
        </w:tc>
        <w:tc>
          <w:tcPr>
            <w:tcW w:w="1615" w:type="dxa"/>
          </w:tcPr>
          <w:p w14:paraId="3041C572" w14:textId="072C07EE" w:rsidR="00384068" w:rsidRDefault="00384068" w:rsidP="006A3A1B">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pPr>
            <w:r>
              <w:t>428</w:t>
            </w:r>
          </w:p>
        </w:tc>
        <w:tc>
          <w:tcPr>
            <w:tcW w:w="1790" w:type="dxa"/>
            <w:vAlign w:val="center"/>
          </w:tcPr>
          <w:p w14:paraId="3F46019F" w14:textId="2065C4A7" w:rsidR="00384068" w:rsidRPr="00463467" w:rsidRDefault="00384068" w:rsidP="006A3A1B">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pPr>
            <w:r>
              <w:t>$39,804</w:t>
            </w:r>
          </w:p>
        </w:tc>
      </w:tr>
      <w:tr w:rsidR="00384068" w:rsidRPr="00463467" w14:paraId="214A0EE1" w14:textId="77777777" w:rsidTr="006C0D67">
        <w:trPr>
          <w:cantSplit/>
          <w:jc w:val="center"/>
        </w:trPr>
        <w:tc>
          <w:tcPr>
            <w:tcW w:w="2065" w:type="dxa"/>
            <w:vAlign w:val="center"/>
          </w:tcPr>
          <w:p w14:paraId="021B272D" w14:textId="77777777" w:rsidR="00384068" w:rsidRPr="00463467" w:rsidRDefault="00384068" w:rsidP="00D90060">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R&amp;D Applicants</w:t>
            </w:r>
          </w:p>
        </w:tc>
        <w:tc>
          <w:tcPr>
            <w:tcW w:w="1815" w:type="dxa"/>
          </w:tcPr>
          <w:p w14:paraId="3FA8C7BF" w14:textId="7B36109C" w:rsidR="00384068" w:rsidRDefault="00384068" w:rsidP="006A3A1B">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pPr>
            <w:r>
              <w:t>1</w:t>
            </w:r>
          </w:p>
        </w:tc>
        <w:tc>
          <w:tcPr>
            <w:tcW w:w="1615" w:type="dxa"/>
          </w:tcPr>
          <w:p w14:paraId="4EF603CA" w14:textId="6428179F" w:rsidR="00384068" w:rsidRDefault="00384068" w:rsidP="006A3A1B">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pPr>
            <w:r>
              <w:t>8</w:t>
            </w:r>
          </w:p>
        </w:tc>
        <w:tc>
          <w:tcPr>
            <w:tcW w:w="1790" w:type="dxa"/>
            <w:vAlign w:val="center"/>
          </w:tcPr>
          <w:p w14:paraId="66BAA49D" w14:textId="10EFC008" w:rsidR="00384068" w:rsidRPr="00463467" w:rsidRDefault="00384068" w:rsidP="006A3A1B">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pPr>
            <w:r>
              <w:t>$744</w:t>
            </w:r>
          </w:p>
        </w:tc>
      </w:tr>
      <w:tr w:rsidR="00384068" w:rsidRPr="00463467" w14:paraId="4F6FB6C5" w14:textId="77777777" w:rsidTr="006C0D67">
        <w:trPr>
          <w:cantSplit/>
          <w:jc w:val="center"/>
        </w:trPr>
        <w:tc>
          <w:tcPr>
            <w:tcW w:w="2065" w:type="dxa"/>
            <w:vAlign w:val="center"/>
          </w:tcPr>
          <w:p w14:paraId="3129912D" w14:textId="77777777" w:rsidR="00384068" w:rsidRDefault="00384068" w:rsidP="00D90060">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Additive Manufacturers</w:t>
            </w:r>
          </w:p>
        </w:tc>
        <w:tc>
          <w:tcPr>
            <w:tcW w:w="1815" w:type="dxa"/>
          </w:tcPr>
          <w:p w14:paraId="2EF948D9" w14:textId="37ED4A36" w:rsidR="00384068" w:rsidRDefault="00384068" w:rsidP="006A3A1B">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pPr>
            <w:r>
              <w:t>880</w:t>
            </w:r>
          </w:p>
        </w:tc>
        <w:tc>
          <w:tcPr>
            <w:tcW w:w="1615" w:type="dxa"/>
          </w:tcPr>
          <w:p w14:paraId="402E528C" w14:textId="2B3EB805" w:rsidR="00384068" w:rsidRDefault="00F64892" w:rsidP="006A3A1B">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pPr>
            <w:r>
              <w:t>19</w:t>
            </w:r>
            <w:r w:rsidR="00384068">
              <w:t>6</w:t>
            </w:r>
          </w:p>
        </w:tc>
        <w:tc>
          <w:tcPr>
            <w:tcW w:w="1790" w:type="dxa"/>
            <w:vAlign w:val="center"/>
          </w:tcPr>
          <w:p w14:paraId="22B3311C" w14:textId="1AE526C2" w:rsidR="00384068" w:rsidRDefault="00384068" w:rsidP="006A3A1B">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pPr>
            <w:r>
              <w:t>$11,028</w:t>
            </w:r>
          </w:p>
        </w:tc>
      </w:tr>
      <w:tr w:rsidR="00384068" w:rsidRPr="00463467" w14:paraId="6324A3FE" w14:textId="77777777" w:rsidTr="006C0D67">
        <w:trPr>
          <w:cantSplit/>
          <w:jc w:val="center"/>
        </w:trPr>
        <w:tc>
          <w:tcPr>
            <w:tcW w:w="2065" w:type="dxa"/>
            <w:vAlign w:val="center"/>
          </w:tcPr>
          <w:p w14:paraId="0BC374DE" w14:textId="77777777" w:rsidR="00384068" w:rsidRDefault="00384068" w:rsidP="00D90060">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CED Producers</w:t>
            </w:r>
          </w:p>
        </w:tc>
        <w:tc>
          <w:tcPr>
            <w:tcW w:w="1815" w:type="dxa"/>
          </w:tcPr>
          <w:p w14:paraId="5A9F8458" w14:textId="1F8E04A5" w:rsidR="00384068" w:rsidRDefault="00384068" w:rsidP="006A3A1B">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pPr>
            <w:r>
              <w:t>29,967</w:t>
            </w:r>
          </w:p>
        </w:tc>
        <w:tc>
          <w:tcPr>
            <w:tcW w:w="1615" w:type="dxa"/>
          </w:tcPr>
          <w:p w14:paraId="4042512A" w14:textId="23C90315" w:rsidR="00384068" w:rsidRDefault="00384068" w:rsidP="006A3A1B">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pPr>
            <w:r>
              <w:t>4,204</w:t>
            </w:r>
          </w:p>
        </w:tc>
        <w:tc>
          <w:tcPr>
            <w:tcW w:w="1790" w:type="dxa"/>
            <w:vAlign w:val="center"/>
          </w:tcPr>
          <w:p w14:paraId="64671F32" w14:textId="4F0817AA" w:rsidR="00384068" w:rsidRDefault="00384068" w:rsidP="006A3A1B">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pPr>
            <w:r>
              <w:t>$311,726</w:t>
            </w:r>
          </w:p>
        </w:tc>
      </w:tr>
      <w:tr w:rsidR="00384068" w:rsidRPr="00463467" w14:paraId="3895A2F4" w14:textId="77777777" w:rsidTr="006C0D67">
        <w:trPr>
          <w:cantSplit/>
          <w:jc w:val="center"/>
        </w:trPr>
        <w:tc>
          <w:tcPr>
            <w:tcW w:w="2065" w:type="dxa"/>
            <w:vAlign w:val="center"/>
          </w:tcPr>
          <w:p w14:paraId="0FB43785" w14:textId="77777777" w:rsidR="00384068" w:rsidRDefault="00384068" w:rsidP="00D90060">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Pentane Producers</w:t>
            </w:r>
          </w:p>
        </w:tc>
        <w:tc>
          <w:tcPr>
            <w:tcW w:w="1815" w:type="dxa"/>
          </w:tcPr>
          <w:p w14:paraId="3B729FCD" w14:textId="12A55B1B" w:rsidR="00384068" w:rsidRDefault="00384068" w:rsidP="006A3A1B">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pPr>
            <w:r>
              <w:t>5,366</w:t>
            </w:r>
          </w:p>
        </w:tc>
        <w:tc>
          <w:tcPr>
            <w:tcW w:w="1615" w:type="dxa"/>
          </w:tcPr>
          <w:p w14:paraId="237282F6" w14:textId="4837FC11" w:rsidR="00384068" w:rsidRDefault="00384068" w:rsidP="006A3A1B">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pPr>
            <w:r>
              <w:t>1,219</w:t>
            </w:r>
          </w:p>
        </w:tc>
        <w:tc>
          <w:tcPr>
            <w:tcW w:w="1790" w:type="dxa"/>
            <w:vAlign w:val="center"/>
          </w:tcPr>
          <w:p w14:paraId="0FC2A08B" w14:textId="74A38458" w:rsidR="00384068" w:rsidRDefault="00384068" w:rsidP="006A3A1B">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pPr>
            <w:r>
              <w:t>$70,167</w:t>
            </w:r>
          </w:p>
        </w:tc>
      </w:tr>
    </w:tbl>
    <w:p w14:paraId="6E8EB2EA" w14:textId="77777777" w:rsidR="00EF42BD" w:rsidRDefault="00EF42BD" w:rsidP="00EF42BD">
      <w:pPr>
        <w:ind w:firstLine="720"/>
        <w:rPr>
          <w:b/>
          <w:sz w:val="24"/>
        </w:rPr>
      </w:pPr>
    </w:p>
    <w:p w14:paraId="19421CCD" w14:textId="52CDC0A4" w:rsidR="00EF42BD" w:rsidRDefault="00EF42BD" w:rsidP="00C178AE">
      <w:pPr>
        <w:rPr>
          <w:b/>
          <w:sz w:val="24"/>
        </w:rPr>
      </w:pPr>
    </w:p>
    <w:p w14:paraId="73C35311" w14:textId="4C4F8C69" w:rsidR="00EF42BD" w:rsidRDefault="00EF42BD" w:rsidP="00EF42BD">
      <w:pPr>
        <w:ind w:firstLine="720"/>
        <w:rPr>
          <w:b/>
          <w:sz w:val="24"/>
        </w:rPr>
      </w:pPr>
    </w:p>
    <w:p w14:paraId="500109FD" w14:textId="77777777" w:rsidR="000F7A36" w:rsidRDefault="000F7A36" w:rsidP="00EF42BD">
      <w:pPr>
        <w:ind w:firstLine="720"/>
        <w:rPr>
          <w:b/>
          <w:sz w:val="24"/>
        </w:rPr>
      </w:pPr>
    </w:p>
    <w:p w14:paraId="67213BEC" w14:textId="77777777" w:rsidR="000F7A36" w:rsidRDefault="000F7A36" w:rsidP="00EF42BD">
      <w:pPr>
        <w:ind w:firstLine="720"/>
        <w:rPr>
          <w:b/>
          <w:sz w:val="24"/>
        </w:rPr>
      </w:pPr>
    </w:p>
    <w:p w14:paraId="16713BF5" w14:textId="77777777" w:rsidR="000F7A36" w:rsidRDefault="000F7A36" w:rsidP="00EF42BD">
      <w:pPr>
        <w:ind w:firstLine="720"/>
        <w:rPr>
          <w:b/>
          <w:sz w:val="24"/>
        </w:rPr>
      </w:pPr>
    </w:p>
    <w:p w14:paraId="4BFDD5E2" w14:textId="77777777" w:rsidR="000F7A36" w:rsidRDefault="000F7A36" w:rsidP="00EF42BD">
      <w:pPr>
        <w:ind w:firstLine="720"/>
        <w:rPr>
          <w:b/>
          <w:sz w:val="24"/>
        </w:rPr>
      </w:pPr>
    </w:p>
    <w:p w14:paraId="61FEA691" w14:textId="063F787C" w:rsidR="00EF42BD" w:rsidRPr="00F55FBF" w:rsidRDefault="00EF42BD" w:rsidP="00EF42BD">
      <w:pPr>
        <w:ind w:firstLine="720"/>
        <w:rPr>
          <w:b/>
          <w:sz w:val="24"/>
        </w:rPr>
      </w:pPr>
      <w:r>
        <w:rPr>
          <w:b/>
          <w:sz w:val="24"/>
        </w:rPr>
        <w:t>6(c)</w:t>
      </w:r>
      <w:r>
        <w:rPr>
          <w:b/>
          <w:sz w:val="24"/>
        </w:rPr>
        <w:tab/>
      </w:r>
      <w:r w:rsidRPr="00F55FBF">
        <w:rPr>
          <w:b/>
          <w:sz w:val="24"/>
        </w:rPr>
        <w:t xml:space="preserve">Estimating </w:t>
      </w:r>
      <w:r>
        <w:rPr>
          <w:b/>
          <w:sz w:val="24"/>
        </w:rPr>
        <w:t>Agency</w:t>
      </w:r>
      <w:r w:rsidRPr="00F55FBF">
        <w:rPr>
          <w:b/>
          <w:sz w:val="24"/>
        </w:rPr>
        <w:t xml:space="preserve"> Burden</w:t>
      </w:r>
      <w:r>
        <w:rPr>
          <w:b/>
          <w:sz w:val="24"/>
        </w:rPr>
        <w:t xml:space="preserve"> and Cost</w:t>
      </w:r>
    </w:p>
    <w:p w14:paraId="0148E37E" w14:textId="77777777" w:rsidR="00EF42BD" w:rsidRDefault="00EF42BD" w:rsidP="00EF42BD">
      <w:pPr>
        <w:ind w:firstLine="720"/>
        <w:rPr>
          <w:sz w:val="24"/>
        </w:rPr>
      </w:pPr>
    </w:p>
    <w:p w14:paraId="429CF254" w14:textId="6B645478" w:rsidR="00EF42BD" w:rsidRDefault="009F5693" w:rsidP="009F5693">
      <w:pPr>
        <w:ind w:firstLine="720"/>
        <w:rPr>
          <w:sz w:val="24"/>
        </w:rPr>
      </w:pPr>
      <w:r w:rsidRPr="009F5693">
        <w:rPr>
          <w:sz w:val="24"/>
        </w:rPr>
        <w:t>Gasoline sulfur reports are handled as part of other 40 CFR Part 80 fuels reporting, including items accounted for in the reformulated gasoline (RFG) and anti-dumping ICR. This estimate is restricted only to the reporting of sulfur values to EPA. The Agency burden consists of</w:t>
      </w:r>
      <w:r>
        <w:rPr>
          <w:sz w:val="24"/>
        </w:rPr>
        <w:t xml:space="preserve"> </w:t>
      </w:r>
      <w:r w:rsidR="00310A71" w:rsidRPr="00310A71">
        <w:rPr>
          <w:sz w:val="24"/>
        </w:rPr>
        <w:t>0.10 of a GS-13 technical worker ($</w:t>
      </w:r>
      <w:r w:rsidR="00310A71">
        <w:rPr>
          <w:sz w:val="24"/>
        </w:rPr>
        <w:t>202</w:t>
      </w:r>
      <w:r w:rsidR="00310A71" w:rsidRPr="00310A71">
        <w:rPr>
          <w:sz w:val="24"/>
        </w:rPr>
        <w:t>,000 including overhead), or $</w:t>
      </w:r>
      <w:r w:rsidR="00310A71">
        <w:rPr>
          <w:sz w:val="24"/>
        </w:rPr>
        <w:t>20</w:t>
      </w:r>
      <w:r w:rsidR="00310A71" w:rsidRPr="00310A71">
        <w:rPr>
          <w:sz w:val="24"/>
        </w:rPr>
        <w:t>,</w:t>
      </w:r>
      <w:r w:rsidR="00310A71">
        <w:rPr>
          <w:sz w:val="24"/>
        </w:rPr>
        <w:t>2</w:t>
      </w:r>
      <w:r w:rsidR="00310A71" w:rsidRPr="00310A71">
        <w:rPr>
          <w:sz w:val="24"/>
        </w:rPr>
        <w:t>00; and 0.10 of a GS-7 clerical worker ($</w:t>
      </w:r>
      <w:r w:rsidR="00310A71">
        <w:rPr>
          <w:sz w:val="24"/>
        </w:rPr>
        <w:t>96</w:t>
      </w:r>
      <w:r w:rsidR="00310A71" w:rsidRPr="00310A71">
        <w:rPr>
          <w:sz w:val="24"/>
        </w:rPr>
        <w:t>,000 including overhead), or $</w:t>
      </w:r>
      <w:r w:rsidR="00310A71">
        <w:rPr>
          <w:sz w:val="24"/>
        </w:rPr>
        <w:t>9,600, for a total of $29</w:t>
      </w:r>
      <w:r w:rsidR="00310A71" w:rsidRPr="00310A71">
        <w:rPr>
          <w:sz w:val="24"/>
        </w:rPr>
        <w:t>,</w:t>
      </w:r>
      <w:r w:rsidR="00310A71">
        <w:rPr>
          <w:sz w:val="24"/>
        </w:rPr>
        <w:t>8</w:t>
      </w:r>
      <w:r w:rsidR="00310A71" w:rsidRPr="00310A71">
        <w:rPr>
          <w:sz w:val="24"/>
        </w:rPr>
        <w:t>00.</w:t>
      </w:r>
      <w:r w:rsidR="00310A71">
        <w:rPr>
          <w:rStyle w:val="FootnoteReference"/>
          <w:sz w:val="24"/>
        </w:rPr>
        <w:footnoteReference w:id="13"/>
      </w:r>
    </w:p>
    <w:p w14:paraId="03097490" w14:textId="62AD34D6" w:rsidR="00310A71" w:rsidRDefault="00310A71" w:rsidP="009F5693">
      <w:pPr>
        <w:ind w:firstLine="720"/>
        <w:rPr>
          <w:sz w:val="24"/>
        </w:rPr>
      </w:pPr>
    </w:p>
    <w:p w14:paraId="29D0EAA2" w14:textId="36F50E0C" w:rsidR="00310A71" w:rsidRDefault="00310A71" w:rsidP="009F5693">
      <w:pPr>
        <w:ind w:firstLine="720"/>
        <w:rPr>
          <w:sz w:val="24"/>
        </w:rPr>
      </w:pPr>
    </w:p>
    <w:p w14:paraId="6A28B368" w14:textId="58A6D87B" w:rsidR="00310A71" w:rsidRPr="00F55FBF" w:rsidRDefault="00310A71" w:rsidP="00310A71">
      <w:pPr>
        <w:ind w:firstLine="720"/>
        <w:rPr>
          <w:b/>
          <w:sz w:val="24"/>
        </w:rPr>
      </w:pPr>
      <w:r>
        <w:rPr>
          <w:b/>
          <w:sz w:val="24"/>
        </w:rPr>
        <w:t>6(d)</w:t>
      </w:r>
      <w:r>
        <w:rPr>
          <w:b/>
          <w:sz w:val="24"/>
        </w:rPr>
        <w:tab/>
        <w:t>Bottom Line</w:t>
      </w:r>
      <w:r w:rsidRPr="00F55FBF">
        <w:rPr>
          <w:b/>
          <w:sz w:val="24"/>
        </w:rPr>
        <w:t xml:space="preserve"> Burden</w:t>
      </w:r>
      <w:r>
        <w:rPr>
          <w:b/>
          <w:sz w:val="24"/>
        </w:rPr>
        <w:t xml:space="preserve"> </w:t>
      </w:r>
      <w:r w:rsidR="00374DD7">
        <w:rPr>
          <w:b/>
          <w:sz w:val="24"/>
        </w:rPr>
        <w:t xml:space="preserve">Hours </w:t>
      </w:r>
      <w:r>
        <w:rPr>
          <w:b/>
          <w:sz w:val="24"/>
        </w:rPr>
        <w:t>and Cost</w:t>
      </w:r>
    </w:p>
    <w:p w14:paraId="7228B381" w14:textId="0D5BF490" w:rsidR="00310A71" w:rsidRDefault="00310A71" w:rsidP="009F5693">
      <w:pPr>
        <w:ind w:firstLine="720"/>
        <w:rPr>
          <w:sz w:val="24"/>
        </w:rPr>
      </w:pPr>
    </w:p>
    <w:p w14:paraId="63005221" w14:textId="256BC37D" w:rsidR="00C67941" w:rsidRDefault="00C67941" w:rsidP="009F5693">
      <w:pPr>
        <w:ind w:firstLine="720"/>
        <w:rPr>
          <w:sz w:val="24"/>
        </w:rPr>
      </w:pPr>
      <w:r>
        <w:rPr>
          <w:sz w:val="24"/>
        </w:rPr>
        <w:t>Per Tables I-VII, we estimate the following totals:</w:t>
      </w:r>
    </w:p>
    <w:p w14:paraId="3E1EEEB1" w14:textId="77777777" w:rsidR="00C67941" w:rsidRDefault="00C67941" w:rsidP="009F5693">
      <w:pPr>
        <w:ind w:firstLine="720"/>
        <w:rPr>
          <w:sz w:val="24"/>
        </w:rPr>
      </w:pPr>
    </w:p>
    <w:p w14:paraId="2EA69F83" w14:textId="44A0CCBF" w:rsidR="00C67941" w:rsidRDefault="00C67941" w:rsidP="006436A7">
      <w:pPr>
        <w:rPr>
          <w:sz w:val="24"/>
        </w:rPr>
      </w:pPr>
      <w:r w:rsidRPr="00C67941">
        <w:rPr>
          <w:sz w:val="24"/>
        </w:rPr>
        <w:t xml:space="preserve">TOTAL NO. OF RESPONDENTS:       </w:t>
      </w:r>
      <w:r w:rsidR="006436A7">
        <w:rPr>
          <w:sz w:val="24"/>
        </w:rPr>
        <w:tab/>
      </w:r>
      <w:r w:rsidRPr="00C67941">
        <w:rPr>
          <w:sz w:val="24"/>
        </w:rPr>
        <w:t xml:space="preserve">       </w:t>
      </w:r>
      <w:r w:rsidR="00B952E1">
        <w:rPr>
          <w:sz w:val="24"/>
        </w:rPr>
        <w:tab/>
      </w:r>
      <w:r w:rsidR="00B952E1">
        <w:rPr>
          <w:sz w:val="24"/>
        </w:rPr>
        <w:tab/>
      </w:r>
      <w:r w:rsidR="006436A7">
        <w:rPr>
          <w:sz w:val="24"/>
        </w:rPr>
        <w:t>3</w:t>
      </w:r>
      <w:r w:rsidRPr="00C67941">
        <w:rPr>
          <w:sz w:val="24"/>
        </w:rPr>
        <w:t>,</w:t>
      </w:r>
      <w:r w:rsidR="006436A7">
        <w:rPr>
          <w:sz w:val="24"/>
        </w:rPr>
        <w:t>953</w:t>
      </w:r>
      <w:r w:rsidRPr="00C67941">
        <w:rPr>
          <w:sz w:val="24"/>
        </w:rPr>
        <w:t xml:space="preserve">      </w:t>
      </w:r>
    </w:p>
    <w:p w14:paraId="0DE04DF2" w14:textId="22F87040" w:rsidR="00C67941" w:rsidRPr="00B952E1" w:rsidRDefault="00B952E1" w:rsidP="006436A7">
      <w:pPr>
        <w:rPr>
          <w:sz w:val="24"/>
          <w:szCs w:val="24"/>
        </w:rPr>
      </w:pPr>
      <w:r>
        <w:rPr>
          <w:sz w:val="24"/>
          <w:szCs w:val="24"/>
        </w:rPr>
        <w:t xml:space="preserve">TOTAL NO. OF RESPONSES: </w:t>
      </w:r>
      <w:r>
        <w:rPr>
          <w:sz w:val="24"/>
          <w:szCs w:val="24"/>
        </w:rPr>
        <w:tab/>
      </w:r>
      <w:r>
        <w:rPr>
          <w:sz w:val="24"/>
          <w:szCs w:val="24"/>
        </w:rPr>
        <w:tab/>
      </w:r>
      <w:r>
        <w:rPr>
          <w:sz w:val="24"/>
          <w:szCs w:val="24"/>
        </w:rPr>
        <w:tab/>
      </w:r>
      <w:r>
        <w:rPr>
          <w:sz w:val="24"/>
          <w:szCs w:val="24"/>
        </w:rPr>
        <w:tab/>
      </w:r>
      <w:r w:rsidR="000500C2" w:rsidRPr="00B952E1">
        <w:rPr>
          <w:sz w:val="24"/>
          <w:szCs w:val="24"/>
        </w:rPr>
        <w:t>5</w:t>
      </w:r>
      <w:r w:rsidR="006436A7" w:rsidRPr="00B952E1">
        <w:rPr>
          <w:sz w:val="24"/>
          <w:szCs w:val="24"/>
        </w:rPr>
        <w:t>20</w:t>
      </w:r>
      <w:r w:rsidR="00C67941" w:rsidRPr="00B952E1">
        <w:rPr>
          <w:sz w:val="24"/>
          <w:szCs w:val="24"/>
        </w:rPr>
        <w:t>,</w:t>
      </w:r>
      <w:r w:rsidR="006436A7" w:rsidRPr="00B952E1">
        <w:rPr>
          <w:sz w:val="24"/>
          <w:szCs w:val="24"/>
        </w:rPr>
        <w:t>017</w:t>
      </w:r>
      <w:r w:rsidR="00C67941" w:rsidRPr="00B952E1">
        <w:rPr>
          <w:sz w:val="24"/>
          <w:szCs w:val="24"/>
        </w:rPr>
        <w:t xml:space="preserve"> </w:t>
      </w:r>
    </w:p>
    <w:p w14:paraId="33062CAC" w14:textId="4387C841" w:rsidR="00C67941" w:rsidRPr="00B952E1" w:rsidRDefault="00C67941" w:rsidP="006436A7">
      <w:pPr>
        <w:rPr>
          <w:sz w:val="24"/>
          <w:szCs w:val="24"/>
        </w:rPr>
      </w:pPr>
      <w:r w:rsidRPr="00B952E1">
        <w:rPr>
          <w:sz w:val="24"/>
          <w:szCs w:val="24"/>
        </w:rPr>
        <w:t xml:space="preserve">TOTAL BURDEN HOURS:           </w:t>
      </w:r>
      <w:r>
        <w:rPr>
          <w:sz w:val="24"/>
        </w:rPr>
        <w:tab/>
      </w:r>
      <w:r>
        <w:rPr>
          <w:sz w:val="24"/>
        </w:rPr>
        <w:tab/>
      </w:r>
      <w:r w:rsidR="006436A7">
        <w:rPr>
          <w:sz w:val="24"/>
        </w:rPr>
        <w:tab/>
      </w:r>
      <w:r>
        <w:rPr>
          <w:sz w:val="24"/>
        </w:rPr>
        <w:tab/>
      </w:r>
      <w:r w:rsidR="00B952E1">
        <w:rPr>
          <w:sz w:val="24"/>
          <w:szCs w:val="24"/>
        </w:rPr>
        <w:t>55</w:t>
      </w:r>
      <w:r w:rsidRPr="00B952E1">
        <w:rPr>
          <w:sz w:val="24"/>
          <w:szCs w:val="24"/>
        </w:rPr>
        <w:t>,</w:t>
      </w:r>
      <w:r w:rsidR="006436A7" w:rsidRPr="00B952E1">
        <w:rPr>
          <w:sz w:val="24"/>
          <w:szCs w:val="24"/>
        </w:rPr>
        <w:t>65</w:t>
      </w:r>
      <w:r w:rsidRPr="00B952E1">
        <w:rPr>
          <w:sz w:val="24"/>
          <w:szCs w:val="24"/>
        </w:rPr>
        <w:t xml:space="preserve">6  </w:t>
      </w:r>
    </w:p>
    <w:p w14:paraId="38641430" w14:textId="1BF9D84F" w:rsidR="00C67941" w:rsidRPr="00B952E1" w:rsidRDefault="00C67941" w:rsidP="006436A7">
      <w:pPr>
        <w:rPr>
          <w:sz w:val="24"/>
          <w:szCs w:val="24"/>
        </w:rPr>
      </w:pPr>
      <w:r w:rsidRPr="00B952E1">
        <w:rPr>
          <w:sz w:val="24"/>
          <w:szCs w:val="24"/>
        </w:rPr>
        <w:t xml:space="preserve">TOTAL COST TO RESPONDENTS:   </w:t>
      </w:r>
      <w:r w:rsidR="00B952E1">
        <w:rPr>
          <w:sz w:val="24"/>
        </w:rPr>
        <w:tab/>
      </w:r>
      <w:r w:rsidR="00B952E1">
        <w:rPr>
          <w:sz w:val="24"/>
        </w:rPr>
        <w:tab/>
        <w:t xml:space="preserve">       </w:t>
      </w:r>
      <w:r w:rsidRPr="00B952E1">
        <w:rPr>
          <w:sz w:val="24"/>
          <w:szCs w:val="24"/>
        </w:rPr>
        <w:t xml:space="preserve">  </w:t>
      </w:r>
      <w:r w:rsidR="006436A7" w:rsidRPr="00B952E1">
        <w:rPr>
          <w:sz w:val="24"/>
          <w:szCs w:val="24"/>
        </w:rPr>
        <w:t xml:space="preserve">$ </w:t>
      </w:r>
      <w:r w:rsidR="000500C2" w:rsidRPr="00B952E1">
        <w:rPr>
          <w:sz w:val="24"/>
          <w:szCs w:val="24"/>
        </w:rPr>
        <w:t>4</w:t>
      </w:r>
      <w:r w:rsidRPr="00B952E1">
        <w:rPr>
          <w:sz w:val="24"/>
          <w:szCs w:val="24"/>
        </w:rPr>
        <w:t>,</w:t>
      </w:r>
      <w:r w:rsidR="000500C2" w:rsidRPr="00B952E1">
        <w:rPr>
          <w:sz w:val="24"/>
          <w:szCs w:val="24"/>
        </w:rPr>
        <w:t>35</w:t>
      </w:r>
      <w:r w:rsidR="006436A7" w:rsidRPr="00B952E1">
        <w:rPr>
          <w:sz w:val="24"/>
          <w:szCs w:val="24"/>
        </w:rPr>
        <w:t>4</w:t>
      </w:r>
      <w:r w:rsidRPr="00B952E1">
        <w:rPr>
          <w:sz w:val="24"/>
          <w:szCs w:val="24"/>
        </w:rPr>
        <w:t>,</w:t>
      </w:r>
      <w:r w:rsidR="006436A7" w:rsidRPr="00B952E1">
        <w:rPr>
          <w:sz w:val="24"/>
          <w:szCs w:val="24"/>
        </w:rPr>
        <w:t>200</w:t>
      </w:r>
    </w:p>
    <w:p w14:paraId="4E8B5F87" w14:textId="297C94F4" w:rsidR="00C67941" w:rsidRDefault="00C67941" w:rsidP="006436A7">
      <w:pPr>
        <w:rPr>
          <w:sz w:val="24"/>
        </w:rPr>
      </w:pPr>
    </w:p>
    <w:p w14:paraId="5B5E36FA" w14:textId="77777777" w:rsidR="006436A7" w:rsidRDefault="006436A7" w:rsidP="009F5693">
      <w:pPr>
        <w:ind w:firstLine="720"/>
        <w:rPr>
          <w:b/>
          <w:bCs/>
          <w:sz w:val="24"/>
          <w:szCs w:val="24"/>
        </w:rPr>
      </w:pPr>
    </w:p>
    <w:p w14:paraId="096E57B5" w14:textId="7B785A6F" w:rsidR="006436A7" w:rsidRDefault="006436A7" w:rsidP="009F5693">
      <w:pPr>
        <w:ind w:firstLine="720"/>
        <w:rPr>
          <w:b/>
          <w:bCs/>
          <w:sz w:val="24"/>
          <w:szCs w:val="24"/>
        </w:rPr>
      </w:pPr>
      <w:r>
        <w:rPr>
          <w:b/>
          <w:bCs/>
          <w:sz w:val="24"/>
          <w:szCs w:val="24"/>
        </w:rPr>
        <w:t xml:space="preserve">6(e) </w:t>
      </w:r>
      <w:r>
        <w:rPr>
          <w:b/>
          <w:bCs/>
          <w:sz w:val="24"/>
          <w:szCs w:val="24"/>
        </w:rPr>
        <w:tab/>
        <w:t>Reason for Change in Burden</w:t>
      </w:r>
    </w:p>
    <w:p w14:paraId="53324876" w14:textId="4B12C5B0" w:rsidR="006436A7" w:rsidRDefault="006436A7" w:rsidP="009F5693">
      <w:pPr>
        <w:ind w:firstLine="720"/>
        <w:rPr>
          <w:b/>
          <w:bCs/>
          <w:sz w:val="24"/>
          <w:szCs w:val="24"/>
        </w:rPr>
      </w:pPr>
    </w:p>
    <w:p w14:paraId="2A36BD37" w14:textId="20FF54DD" w:rsidR="006436A7" w:rsidRDefault="006436A7" w:rsidP="009F5693">
      <w:pPr>
        <w:ind w:firstLine="720"/>
        <w:rPr>
          <w:b/>
          <w:bCs/>
          <w:sz w:val="24"/>
          <w:szCs w:val="24"/>
        </w:rPr>
      </w:pPr>
    </w:p>
    <w:p w14:paraId="501EEA43" w14:textId="29338DA3" w:rsidR="006436A7" w:rsidRPr="00EB5CE0" w:rsidRDefault="00EC6869" w:rsidP="00EB5CE0">
      <w:pPr>
        <w:ind w:firstLine="720"/>
        <w:rPr>
          <w:sz w:val="24"/>
          <w:szCs w:val="24"/>
        </w:rPr>
      </w:pPr>
      <w:r w:rsidRPr="00B952E1">
        <w:rPr>
          <w:sz w:val="24"/>
          <w:szCs w:val="24"/>
        </w:rPr>
        <w:t xml:space="preserve">The </w:t>
      </w:r>
      <w:r w:rsidR="00F10D8A" w:rsidRPr="00B952E1">
        <w:rPr>
          <w:sz w:val="24"/>
          <w:szCs w:val="24"/>
        </w:rPr>
        <w:t xml:space="preserve">cost </w:t>
      </w:r>
      <w:r w:rsidRPr="00B952E1">
        <w:rPr>
          <w:sz w:val="24"/>
          <w:szCs w:val="24"/>
        </w:rPr>
        <w:t xml:space="preserve">burden has remained </w:t>
      </w:r>
      <w:r w:rsidR="00987340">
        <w:rPr>
          <w:sz w:val="24"/>
          <w:szCs w:val="24"/>
        </w:rPr>
        <w:t>nearly</w:t>
      </w:r>
      <w:r w:rsidRPr="00B952E1">
        <w:rPr>
          <w:sz w:val="24"/>
          <w:szCs w:val="24"/>
        </w:rPr>
        <w:t xml:space="preserve"> unchanged since the previous renewal of this ICR. </w:t>
      </w:r>
      <w:r w:rsidR="0020486F" w:rsidRPr="00B952E1">
        <w:rPr>
          <w:sz w:val="24"/>
          <w:szCs w:val="24"/>
        </w:rPr>
        <w:t xml:space="preserve">There is an increase </w:t>
      </w:r>
      <w:r w:rsidR="00EB5CE0">
        <w:rPr>
          <w:sz w:val="24"/>
          <w:szCs w:val="24"/>
        </w:rPr>
        <w:t>in</w:t>
      </w:r>
      <w:r w:rsidR="0020486F" w:rsidRPr="00B952E1">
        <w:rPr>
          <w:sz w:val="24"/>
          <w:szCs w:val="24"/>
        </w:rPr>
        <w:t xml:space="preserve"> responses </w:t>
      </w:r>
      <w:r w:rsidR="00924840" w:rsidRPr="00B952E1">
        <w:rPr>
          <w:sz w:val="24"/>
          <w:szCs w:val="24"/>
        </w:rPr>
        <w:t xml:space="preserve">due to a better understanding of the size of the oxygenate industry. </w:t>
      </w:r>
      <w:r w:rsidR="00064ACA">
        <w:rPr>
          <w:sz w:val="24"/>
          <w:szCs w:val="24"/>
        </w:rPr>
        <w:t xml:space="preserve">When this ICR was developed for the first time in 2015, oxygenate producers/importers, oxygenate blenders, and certified denaturant producers/importers, were not </w:t>
      </w:r>
      <w:r w:rsidR="00D50A4E">
        <w:rPr>
          <w:sz w:val="24"/>
          <w:szCs w:val="24"/>
        </w:rPr>
        <w:t xml:space="preserve">required to be </w:t>
      </w:r>
      <w:r w:rsidR="00064ACA">
        <w:rPr>
          <w:sz w:val="24"/>
          <w:szCs w:val="24"/>
        </w:rPr>
        <w:t>registered under any EPA fuels program. They were not required to register under the Tier 3 program until December 2016 and therefore when the original version of this ICR was developed</w:t>
      </w:r>
      <w:r w:rsidR="00D50A4E">
        <w:rPr>
          <w:sz w:val="24"/>
          <w:szCs w:val="24"/>
        </w:rPr>
        <w:t xml:space="preserve"> in 2015</w:t>
      </w:r>
      <w:r w:rsidR="00064ACA">
        <w:rPr>
          <w:sz w:val="24"/>
          <w:szCs w:val="24"/>
        </w:rPr>
        <w:t xml:space="preserve">, </w:t>
      </w:r>
      <w:r w:rsidR="00D50A4E">
        <w:rPr>
          <w:sz w:val="24"/>
          <w:szCs w:val="24"/>
        </w:rPr>
        <w:t>there was no comprehensive list to base</w:t>
      </w:r>
      <w:r w:rsidR="00064ACA">
        <w:rPr>
          <w:sz w:val="24"/>
          <w:szCs w:val="24"/>
        </w:rPr>
        <w:t xml:space="preserve"> estimate</w:t>
      </w:r>
      <w:r w:rsidR="00D50A4E">
        <w:rPr>
          <w:sz w:val="24"/>
          <w:szCs w:val="24"/>
        </w:rPr>
        <w:t>s</w:t>
      </w:r>
      <w:r w:rsidR="00064ACA">
        <w:rPr>
          <w:sz w:val="24"/>
          <w:szCs w:val="24"/>
        </w:rPr>
        <w:t xml:space="preserve"> </w:t>
      </w:r>
      <w:r w:rsidR="00D50A4E">
        <w:rPr>
          <w:sz w:val="24"/>
          <w:szCs w:val="24"/>
        </w:rPr>
        <w:t xml:space="preserve">of </w:t>
      </w:r>
      <w:r w:rsidR="00064ACA">
        <w:rPr>
          <w:sz w:val="24"/>
          <w:szCs w:val="24"/>
        </w:rPr>
        <w:t>the size of the industry</w:t>
      </w:r>
      <w:r w:rsidR="00D50A4E">
        <w:rPr>
          <w:sz w:val="24"/>
          <w:szCs w:val="24"/>
        </w:rPr>
        <w:t xml:space="preserve"> upon</w:t>
      </w:r>
      <w:r w:rsidR="00064ACA">
        <w:rPr>
          <w:sz w:val="24"/>
          <w:szCs w:val="24"/>
        </w:rPr>
        <w:t xml:space="preserve">. </w:t>
      </w:r>
      <w:r w:rsidR="00924840" w:rsidRPr="00B952E1">
        <w:rPr>
          <w:sz w:val="24"/>
          <w:szCs w:val="24"/>
        </w:rPr>
        <w:t>T</w:t>
      </w:r>
      <w:r w:rsidR="00F47343">
        <w:rPr>
          <w:sz w:val="24"/>
          <w:szCs w:val="24"/>
        </w:rPr>
        <w:t>he t</w:t>
      </w:r>
      <w:r w:rsidR="00924840" w:rsidRPr="00B952E1">
        <w:rPr>
          <w:sz w:val="24"/>
          <w:szCs w:val="24"/>
        </w:rPr>
        <w:t xml:space="preserve">otal burden hours decreased </w:t>
      </w:r>
      <w:r w:rsidR="00064ACA">
        <w:rPr>
          <w:sz w:val="24"/>
          <w:szCs w:val="24"/>
        </w:rPr>
        <w:t>due to experience gained in</w:t>
      </w:r>
      <w:r w:rsidR="0020486F" w:rsidRPr="00B952E1">
        <w:rPr>
          <w:sz w:val="24"/>
          <w:szCs w:val="24"/>
        </w:rPr>
        <w:t xml:space="preserve"> implementing the Tier 3 program.</w:t>
      </w:r>
    </w:p>
    <w:p w14:paraId="29DC122D" w14:textId="77777777" w:rsidR="006436A7" w:rsidRDefault="006436A7" w:rsidP="009F5693">
      <w:pPr>
        <w:ind w:firstLine="720"/>
        <w:rPr>
          <w:b/>
          <w:bCs/>
          <w:sz w:val="24"/>
          <w:szCs w:val="24"/>
        </w:rPr>
      </w:pPr>
    </w:p>
    <w:p w14:paraId="2B6B26D7" w14:textId="692775B8" w:rsidR="00C67941" w:rsidRDefault="00C67941" w:rsidP="009F5693">
      <w:pPr>
        <w:ind w:firstLine="720"/>
        <w:rPr>
          <w:b/>
          <w:bCs/>
          <w:sz w:val="24"/>
          <w:szCs w:val="24"/>
        </w:rPr>
      </w:pPr>
      <w:r w:rsidRPr="00463467">
        <w:rPr>
          <w:b/>
          <w:bCs/>
          <w:sz w:val="24"/>
          <w:szCs w:val="24"/>
        </w:rPr>
        <w:t>6(f)</w:t>
      </w:r>
      <w:r w:rsidRPr="00463467">
        <w:rPr>
          <w:b/>
          <w:bCs/>
          <w:sz w:val="24"/>
          <w:szCs w:val="24"/>
        </w:rPr>
        <w:tab/>
        <w:t>Burden Statement</w:t>
      </w:r>
    </w:p>
    <w:p w14:paraId="7A02963D" w14:textId="721AE85A" w:rsidR="00C67941" w:rsidRDefault="00C67941" w:rsidP="009F5693">
      <w:pPr>
        <w:ind w:firstLine="720"/>
        <w:rPr>
          <w:b/>
          <w:bCs/>
          <w:sz w:val="24"/>
          <w:szCs w:val="24"/>
        </w:rPr>
      </w:pPr>
    </w:p>
    <w:p w14:paraId="5F28310F" w14:textId="6B3FF6CE" w:rsidR="00C67941" w:rsidRPr="00463467" w:rsidRDefault="000500C2" w:rsidP="00C67941">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C67941" w:rsidRPr="00463467">
        <w:rPr>
          <w:sz w:val="24"/>
          <w:szCs w:val="24"/>
        </w:rPr>
        <w:t>Burden means the total time, effort, or financial resources expended by persons to generate, maintain, retain, or disclose or provide information to or for a Federal agency</w:t>
      </w:r>
      <w:r w:rsidR="00C67941">
        <w:rPr>
          <w:sz w:val="24"/>
          <w:szCs w:val="24"/>
        </w:rPr>
        <w:t xml:space="preserve">. </w:t>
      </w:r>
      <w:r w:rsidR="00C67941" w:rsidRPr="00463467">
        <w:rPr>
          <w:sz w:val="24"/>
          <w:szCs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C67941">
        <w:rPr>
          <w:sz w:val="24"/>
          <w:szCs w:val="24"/>
        </w:rPr>
        <w:t xml:space="preserve">. </w:t>
      </w:r>
      <w:r w:rsidR="00C67941" w:rsidRPr="00463467">
        <w:rPr>
          <w:sz w:val="24"/>
          <w:szCs w:val="24"/>
        </w:rPr>
        <w:t>An agency may not conduct or sponsor, and a person is not required to respond to, a collection of information unless it displays a currently valid OMB control number</w:t>
      </w:r>
      <w:r w:rsidR="00C67941">
        <w:rPr>
          <w:sz w:val="24"/>
          <w:szCs w:val="24"/>
        </w:rPr>
        <w:t xml:space="preserve">. </w:t>
      </w:r>
      <w:r w:rsidR="00C67941" w:rsidRPr="00463467">
        <w:rPr>
          <w:sz w:val="24"/>
          <w:szCs w:val="24"/>
        </w:rPr>
        <w:t>The OMB control numbers for EPA's regulations are listed in 40 CFR Part 9 and 48 CFR Chapter 15</w:t>
      </w:r>
      <w:r w:rsidR="00C67941">
        <w:rPr>
          <w:sz w:val="24"/>
          <w:szCs w:val="24"/>
        </w:rPr>
        <w:t xml:space="preserve">. </w:t>
      </w:r>
    </w:p>
    <w:p w14:paraId="23EEF7E6" w14:textId="77777777" w:rsidR="00C67941" w:rsidRPr="00463467" w:rsidRDefault="00C67941" w:rsidP="00C67941">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D50BD09" w14:textId="17F1F3B7" w:rsidR="00C67941" w:rsidRDefault="00C67941" w:rsidP="00C67941">
      <w:pPr>
        <w:ind w:firstLine="720"/>
        <w:rPr>
          <w:sz w:val="24"/>
          <w:szCs w:val="24"/>
        </w:rPr>
      </w:pPr>
      <w:r w:rsidRPr="00463467">
        <w:rPr>
          <w:sz w:val="24"/>
          <w:szCs w:val="24"/>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w:t>
      </w:r>
      <w:r w:rsidRPr="00463467">
        <w:rPr>
          <w:bCs/>
          <w:sz w:val="24"/>
          <w:szCs w:val="24"/>
        </w:rPr>
        <w:t>OAR-2011-0135</w:t>
      </w:r>
      <w:r w:rsidRPr="00463467">
        <w:rPr>
          <w:sz w:val="24"/>
          <w:szCs w:val="24"/>
        </w:rPr>
        <w:t>, which is available for online viewing at www.regulations.gov, or in person viewing at the Air and Radiation Docket and Information Center in the EPA Docket Center (EPA/DC), EPA West, Room 3334, 1301 Constitution Avenue, NW, Washington, D.C</w:t>
      </w:r>
      <w:r>
        <w:rPr>
          <w:sz w:val="24"/>
          <w:szCs w:val="24"/>
        </w:rPr>
        <w:t xml:space="preserve">. </w:t>
      </w:r>
      <w:r w:rsidRPr="00463467">
        <w:rPr>
          <w:sz w:val="24"/>
          <w:szCs w:val="24"/>
        </w:rPr>
        <w:t>The EPA Docket Center Public Reading Room is open from 8:30 a.m. to 4:30 p.m., Monday through Friday, excluding legal holidays</w:t>
      </w:r>
      <w:r>
        <w:rPr>
          <w:sz w:val="24"/>
          <w:szCs w:val="24"/>
        </w:rPr>
        <w:t xml:space="preserve">. </w:t>
      </w:r>
      <w:r w:rsidRPr="00463467">
        <w:rPr>
          <w:sz w:val="24"/>
          <w:szCs w:val="24"/>
        </w:rPr>
        <w:t>The telephone number for the Reading Room is (202) 566-1744, and the telephone number for the Air and Radiation Docket and Information Center is (202) 566-1742</w:t>
      </w:r>
      <w:r>
        <w:rPr>
          <w:sz w:val="24"/>
          <w:szCs w:val="24"/>
        </w:rPr>
        <w:t xml:space="preserve">. </w:t>
      </w:r>
      <w:r w:rsidRPr="00463467">
        <w:rPr>
          <w:sz w:val="24"/>
          <w:szCs w:val="24"/>
        </w:rPr>
        <w:t>An electronic version of the public docket is available at www.regulations.gov</w:t>
      </w:r>
      <w:r>
        <w:rPr>
          <w:sz w:val="24"/>
          <w:szCs w:val="24"/>
        </w:rPr>
        <w:t xml:space="preserve">. </w:t>
      </w:r>
      <w:r w:rsidRPr="00463467">
        <w:rPr>
          <w:sz w:val="24"/>
          <w:szCs w:val="24"/>
        </w:rPr>
        <w:t>This site can be used to submit or view public comments, access the index listing of the contents of the public docket, and to access those documents in the public docket that are available electronically</w:t>
      </w:r>
      <w:r>
        <w:rPr>
          <w:sz w:val="24"/>
          <w:szCs w:val="24"/>
        </w:rPr>
        <w:t xml:space="preserve">. </w:t>
      </w:r>
      <w:r w:rsidRPr="00463467">
        <w:rPr>
          <w:sz w:val="24"/>
          <w:szCs w:val="24"/>
        </w:rPr>
        <w:t>When in the system, select “search,” then key in the Docket ID Number identified above</w:t>
      </w:r>
      <w:r>
        <w:rPr>
          <w:sz w:val="24"/>
          <w:szCs w:val="24"/>
        </w:rPr>
        <w:t xml:space="preserve">. </w:t>
      </w:r>
      <w:r w:rsidRPr="00463467">
        <w:rPr>
          <w:sz w:val="24"/>
          <w:szCs w:val="24"/>
        </w:rPr>
        <w:t>Also, you can send comments to the Office of Information and Regulatory Affairs, Office of Management and Budget, 725 17th Street, NW, Washington, D.C. 20503, Attention: Desk Officer for EPA</w:t>
      </w:r>
      <w:r>
        <w:rPr>
          <w:sz w:val="24"/>
          <w:szCs w:val="24"/>
        </w:rPr>
        <w:t xml:space="preserve">. </w:t>
      </w:r>
      <w:r w:rsidRPr="00463467">
        <w:rPr>
          <w:sz w:val="24"/>
          <w:szCs w:val="24"/>
        </w:rPr>
        <w:t>Please include the EPA Docket ID</w:t>
      </w:r>
      <w:r>
        <w:rPr>
          <w:rFonts w:ascii="Courier New" w:hAnsi="Courier New" w:cs="Courier New"/>
          <w:sz w:val="24"/>
          <w:szCs w:val="24"/>
        </w:rPr>
        <w:t xml:space="preserve"> </w:t>
      </w:r>
      <w:r w:rsidRPr="00463467">
        <w:rPr>
          <w:sz w:val="24"/>
          <w:szCs w:val="24"/>
        </w:rPr>
        <w:t>Number EPA-HQ-</w:t>
      </w:r>
      <w:r w:rsidRPr="00463467">
        <w:rPr>
          <w:bCs/>
          <w:sz w:val="24"/>
          <w:szCs w:val="24"/>
        </w:rPr>
        <w:t xml:space="preserve">OAR-2011-0135 </w:t>
      </w:r>
      <w:r w:rsidRPr="00463467">
        <w:rPr>
          <w:sz w:val="24"/>
          <w:szCs w:val="24"/>
        </w:rPr>
        <w:t>and OMB Control Number 2060-</w:t>
      </w:r>
      <w:r>
        <w:rPr>
          <w:sz w:val="24"/>
          <w:szCs w:val="24"/>
        </w:rPr>
        <w:t>0437</w:t>
      </w:r>
      <w:r w:rsidRPr="00463467">
        <w:rPr>
          <w:sz w:val="24"/>
          <w:szCs w:val="24"/>
        </w:rPr>
        <w:t xml:space="preserve"> in </w:t>
      </w:r>
      <w:r w:rsidR="000B39CE">
        <w:rPr>
          <w:sz w:val="24"/>
          <w:szCs w:val="24"/>
        </w:rPr>
        <w:t xml:space="preserve">any </w:t>
      </w:r>
      <w:r w:rsidRPr="00463467">
        <w:rPr>
          <w:sz w:val="24"/>
          <w:szCs w:val="24"/>
        </w:rPr>
        <w:t>correspondence.</w:t>
      </w:r>
    </w:p>
    <w:p w14:paraId="2D8204CB" w14:textId="6634169C" w:rsidR="000B39CE" w:rsidRDefault="000B39CE" w:rsidP="00C67941">
      <w:pPr>
        <w:ind w:firstLine="720"/>
        <w:rPr>
          <w:sz w:val="24"/>
        </w:rPr>
      </w:pPr>
    </w:p>
    <w:p w14:paraId="1CCB2A6F" w14:textId="0C35453F" w:rsidR="000B39CE" w:rsidRDefault="000B39CE" w:rsidP="000B39CE">
      <w:pPr>
        <w:rPr>
          <w:sz w:val="24"/>
        </w:rPr>
      </w:pPr>
    </w:p>
    <w:p w14:paraId="72AE307D" w14:textId="67AAFB71" w:rsidR="000B39CE" w:rsidRPr="000B39CE" w:rsidRDefault="000B39CE" w:rsidP="000B39CE">
      <w:pPr>
        <w:rPr>
          <w:b/>
          <w:sz w:val="24"/>
        </w:rPr>
      </w:pPr>
      <w:r w:rsidRPr="000B39CE">
        <w:rPr>
          <w:b/>
          <w:sz w:val="24"/>
        </w:rPr>
        <w:t xml:space="preserve">7. </w:t>
      </w:r>
      <w:r w:rsidRPr="000B39CE">
        <w:rPr>
          <w:b/>
          <w:sz w:val="24"/>
        </w:rPr>
        <w:tab/>
        <w:t xml:space="preserve">APPENDIX – </w:t>
      </w:r>
      <w:r w:rsidR="00F4507B">
        <w:rPr>
          <w:b/>
          <w:sz w:val="24"/>
        </w:rPr>
        <w:t xml:space="preserve">Detailed </w:t>
      </w:r>
      <w:r w:rsidR="00DA1B6F">
        <w:rPr>
          <w:b/>
          <w:sz w:val="24"/>
        </w:rPr>
        <w:t>B</w:t>
      </w:r>
      <w:r w:rsidR="00F4507B">
        <w:rPr>
          <w:b/>
          <w:sz w:val="24"/>
        </w:rPr>
        <w:t xml:space="preserve">urden </w:t>
      </w:r>
      <w:r w:rsidR="00DA1B6F">
        <w:rPr>
          <w:b/>
          <w:sz w:val="24"/>
        </w:rPr>
        <w:t>E</w:t>
      </w:r>
      <w:r w:rsidR="00F4507B">
        <w:rPr>
          <w:b/>
          <w:sz w:val="24"/>
        </w:rPr>
        <w:t xml:space="preserve">stimates, Excel </w:t>
      </w:r>
      <w:r w:rsidR="00DA1B6F">
        <w:rPr>
          <w:b/>
          <w:sz w:val="24"/>
        </w:rPr>
        <w:t>T</w:t>
      </w:r>
      <w:r w:rsidR="00F4507B">
        <w:rPr>
          <w:b/>
          <w:sz w:val="24"/>
        </w:rPr>
        <w:t>ables</w:t>
      </w:r>
      <w:r w:rsidRPr="000B39CE">
        <w:rPr>
          <w:b/>
          <w:sz w:val="24"/>
        </w:rPr>
        <w:t xml:space="preserve"> I-VII</w:t>
      </w:r>
    </w:p>
    <w:sectPr w:rsidR="000B39CE" w:rsidRPr="000B39CE" w:rsidSect="006E4B1C">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B5C3F" w14:textId="77777777" w:rsidR="00875E13" w:rsidRDefault="00875E13" w:rsidP="0032674A">
      <w:r>
        <w:separator/>
      </w:r>
    </w:p>
  </w:endnote>
  <w:endnote w:type="continuationSeparator" w:id="0">
    <w:p w14:paraId="26555C2D" w14:textId="77777777" w:rsidR="00875E13" w:rsidRDefault="00875E13" w:rsidP="0032674A">
      <w:r>
        <w:continuationSeparator/>
      </w:r>
    </w:p>
  </w:endnote>
  <w:endnote w:type="continuationNotice" w:id="1">
    <w:p w14:paraId="1A26C8F5" w14:textId="77777777" w:rsidR="00875E13" w:rsidRDefault="00875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355154"/>
      <w:docPartObj>
        <w:docPartGallery w:val="Page Numbers (Bottom of Page)"/>
        <w:docPartUnique/>
      </w:docPartObj>
    </w:sdtPr>
    <w:sdtEndPr>
      <w:rPr>
        <w:noProof/>
        <w:sz w:val="24"/>
      </w:rPr>
    </w:sdtEndPr>
    <w:sdtContent>
      <w:p w14:paraId="24AB4E25" w14:textId="02241FB9" w:rsidR="000A7FC2" w:rsidRPr="006E4B1C" w:rsidRDefault="000A7FC2">
        <w:pPr>
          <w:pStyle w:val="Footer"/>
          <w:jc w:val="center"/>
          <w:rPr>
            <w:sz w:val="24"/>
          </w:rPr>
        </w:pPr>
        <w:r w:rsidRPr="006E4B1C">
          <w:rPr>
            <w:sz w:val="24"/>
          </w:rPr>
          <w:fldChar w:fldCharType="begin"/>
        </w:r>
        <w:r w:rsidRPr="006E4B1C">
          <w:rPr>
            <w:sz w:val="24"/>
          </w:rPr>
          <w:instrText xml:space="preserve"> PAGE   \* MERGEFORMAT </w:instrText>
        </w:r>
        <w:r w:rsidRPr="006E4B1C">
          <w:rPr>
            <w:sz w:val="24"/>
          </w:rPr>
          <w:fldChar w:fldCharType="separate"/>
        </w:r>
        <w:r w:rsidR="003A458C">
          <w:rPr>
            <w:noProof/>
            <w:sz w:val="24"/>
          </w:rPr>
          <w:t>2</w:t>
        </w:r>
        <w:r w:rsidRPr="006E4B1C">
          <w:rPr>
            <w:noProof/>
            <w:sz w:val="24"/>
          </w:rPr>
          <w:fldChar w:fldCharType="end"/>
        </w:r>
      </w:p>
    </w:sdtContent>
  </w:sdt>
  <w:p w14:paraId="2E11683F" w14:textId="77777777" w:rsidR="000A7FC2" w:rsidRDefault="000A7F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AB499" w14:textId="77777777" w:rsidR="00875E13" w:rsidRDefault="00875E13" w:rsidP="0032674A">
      <w:r>
        <w:separator/>
      </w:r>
    </w:p>
  </w:footnote>
  <w:footnote w:type="continuationSeparator" w:id="0">
    <w:p w14:paraId="4E01F0C6" w14:textId="77777777" w:rsidR="00875E13" w:rsidRDefault="00875E13" w:rsidP="0032674A">
      <w:r>
        <w:continuationSeparator/>
      </w:r>
    </w:p>
  </w:footnote>
  <w:footnote w:type="continuationNotice" w:id="1">
    <w:p w14:paraId="097CFC4F" w14:textId="77777777" w:rsidR="00875E13" w:rsidRDefault="00875E13"/>
  </w:footnote>
  <w:footnote w:id="2">
    <w:p w14:paraId="7379AE70" w14:textId="5CB7E220" w:rsidR="000A7FC2" w:rsidRDefault="000A7FC2" w:rsidP="0032674A">
      <w:pPr>
        <w:pStyle w:val="FootnoteText"/>
      </w:pPr>
      <w:r>
        <w:tab/>
      </w:r>
      <w:r>
        <w:rPr>
          <w:rStyle w:val="FootnoteReference"/>
        </w:rPr>
        <w:footnoteRef/>
      </w:r>
      <w:r>
        <w:t xml:space="preserve"> </w:t>
      </w:r>
      <w:r w:rsidRPr="00512CFF">
        <w:t>65 FR 6698, February 10, 2000</w:t>
      </w:r>
      <w:r>
        <w:t xml:space="preserve">; </w:t>
      </w:r>
      <w:r w:rsidRPr="00512CFF">
        <w:t>OMB Control Nu</w:t>
      </w:r>
      <w:r>
        <w:t>mber: 2060-0437; EPA ICR 1907.</w:t>
      </w:r>
    </w:p>
  </w:footnote>
  <w:footnote w:id="3">
    <w:p w14:paraId="6570F22D" w14:textId="77777777" w:rsidR="000A7FC2" w:rsidRDefault="000A7FC2" w:rsidP="00876C67">
      <w:pPr>
        <w:spacing w:after="240"/>
        <w:rPr>
          <w:sz w:val="24"/>
          <w:szCs w:val="24"/>
        </w:rPr>
      </w:pPr>
      <w:r>
        <w:rPr>
          <w:sz w:val="24"/>
          <w:szCs w:val="24"/>
        </w:rPr>
        <w:tab/>
      </w:r>
      <w:r>
        <w:rPr>
          <w:sz w:val="24"/>
          <w:szCs w:val="24"/>
          <w:vertAlign w:val="superscript"/>
        </w:rPr>
        <w:t>2</w:t>
      </w:r>
      <w:r>
        <w:t xml:space="preserve"> We currently have regulatory requirements for conventional and reformulated gasoline adopted under Sections 211(c) and 211(k) of the Act, in addition to the “substantially similar” requirements for fuel additives of Section 211(f). These requirements directly or indirectly control sulfur levels in gasoline. </w:t>
      </w:r>
      <w:r>
        <w:rPr>
          <w:i/>
          <w:iCs/>
        </w:rPr>
        <w:t>See</w:t>
      </w:r>
      <w:r>
        <w:t xml:space="preserve"> the RIA for more details.</w:t>
      </w:r>
    </w:p>
  </w:footnote>
  <w:footnote w:id="4">
    <w:p w14:paraId="299A03EC" w14:textId="77777777" w:rsidR="000A7FC2" w:rsidRPr="00747EEE" w:rsidRDefault="000A7FC2" w:rsidP="00747EE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47EEE">
        <w:rPr>
          <w:rStyle w:val="FootnoteReference"/>
        </w:rPr>
        <w:footnoteRef/>
      </w:r>
      <w:r w:rsidRPr="00747EEE">
        <w:t xml:space="preserve"> Except for transfers to truck carriers, retailers and wholesale purchaser-consumers, product codes can be used on PTDs to convey the required information if such codes are clearly understood by each transferee. This allowance lessens the burden of compliance and is consistent with the requirements. </w:t>
      </w:r>
    </w:p>
    <w:p w14:paraId="157215A9" w14:textId="5754EEED" w:rsidR="000A7FC2" w:rsidRDefault="000A7FC2">
      <w:pPr>
        <w:pStyle w:val="FootnoteText"/>
      </w:pPr>
    </w:p>
  </w:footnote>
  <w:footnote w:id="5">
    <w:p w14:paraId="45427428" w14:textId="4B3E08AC" w:rsidR="000A7FC2" w:rsidRDefault="000A7FC2">
      <w:pPr>
        <w:pStyle w:val="FootnoteText"/>
      </w:pPr>
      <w:r>
        <w:rPr>
          <w:rStyle w:val="FootnoteReference"/>
        </w:rPr>
        <w:footnoteRef/>
      </w:r>
      <w:r>
        <w:t xml:space="preserve"> </w:t>
      </w:r>
      <w:r w:rsidRPr="00772F77">
        <w:t>In most cases, this requirement does not impose an additional burden because the required records are already maintained under other 40 CFR Part 80 fuels programs, or the records are maintained as a customary business practice.</w:t>
      </w:r>
    </w:p>
  </w:footnote>
  <w:footnote w:id="6">
    <w:p w14:paraId="2D969B30" w14:textId="1D709941" w:rsidR="000A7FC2" w:rsidRDefault="000A7FC2">
      <w:pPr>
        <w:pStyle w:val="FootnoteText"/>
      </w:pPr>
      <w:r>
        <w:rPr>
          <w:rStyle w:val="FootnoteReference"/>
        </w:rPr>
        <w:footnoteRef/>
      </w:r>
      <w:r>
        <w:t xml:space="preserve"> This is a o</w:t>
      </w:r>
      <w:r w:rsidRPr="00EE780C">
        <w:t>ne-time requirement. Registration under other 40 CFR Part 80 fuel programs is sufficient to satisfy this requirement. As a result, no additional burden is expected under the Tier 3 final rule</w:t>
      </w:r>
      <w:r>
        <w:t xml:space="preserve"> as both the December 1, 2016 date has passed and refiners will have been registered under other EPA fuels programs for some time</w:t>
      </w:r>
      <w:r w:rsidRPr="00EE780C">
        <w:t>.</w:t>
      </w:r>
    </w:p>
  </w:footnote>
  <w:footnote w:id="7">
    <w:p w14:paraId="5CC64DF6" w14:textId="50DCB29A" w:rsidR="000A7FC2" w:rsidRDefault="000A7FC2">
      <w:pPr>
        <w:pStyle w:val="FootnoteText"/>
      </w:pPr>
      <w:r>
        <w:rPr>
          <w:rStyle w:val="FootnoteReference"/>
        </w:rPr>
        <w:footnoteRef/>
      </w:r>
      <w:r>
        <w:t xml:space="preserve"> Attest engagements are annual audits of reports submitted to EPA and the underlying records which support the reported information. These reports are required under the RFG/Antidumping program (40 CFR Part 80 Subparts D, E, and F) and were also required under the Tier 2 sulfur program (40 CFR Part 80 Subpart H).  Therefore, there is little additional costs associated with the Tier 3 attest engagement requirement.</w:t>
      </w:r>
    </w:p>
  </w:footnote>
  <w:footnote w:id="8">
    <w:p w14:paraId="0DCA9A86" w14:textId="437EC9B7" w:rsidR="000A7FC2" w:rsidRDefault="000A7FC2">
      <w:pPr>
        <w:pStyle w:val="FootnoteText"/>
      </w:pPr>
      <w:r>
        <w:rPr>
          <w:rStyle w:val="FootnoteReference"/>
        </w:rPr>
        <w:footnoteRef/>
      </w:r>
      <w:r>
        <w:t xml:space="preserve"> Since the sulfur ABT program has been integrated into the EPA Moderated Transaction System, the production and storage of these records are automated and not expected to impose much burden on refiners/importers that choose to participate in the sulfur ABT program.</w:t>
      </w:r>
    </w:p>
  </w:footnote>
  <w:footnote w:id="9">
    <w:p w14:paraId="1830A939" w14:textId="53C4010C" w:rsidR="000A7FC2" w:rsidRDefault="000A7FC2">
      <w:pPr>
        <w:pStyle w:val="FootnoteText"/>
      </w:pPr>
      <w:r>
        <w:rPr>
          <w:rStyle w:val="FootnoteReference"/>
        </w:rPr>
        <w:footnoteRef/>
      </w:r>
      <w:r>
        <w:t xml:space="preserve"> </w:t>
      </w:r>
      <w:r w:rsidRPr="00DD6D0B">
        <w:t>As discussed above, these requirements could result in records being required to be retained for longer than five years in some cases.</w:t>
      </w:r>
      <w:r>
        <w:t xml:space="preserve"> As mention in FN6, since information and records related to credits are now stored in EMTS, any additional cost for maintaining credit related information is expected to be minimal.</w:t>
      </w:r>
    </w:p>
  </w:footnote>
  <w:footnote w:id="10">
    <w:p w14:paraId="77FE92DB" w14:textId="6A9D1EB2" w:rsidR="000A7FC2" w:rsidRDefault="000A7FC2">
      <w:pPr>
        <w:pStyle w:val="FootnoteText"/>
      </w:pPr>
      <w:r>
        <w:rPr>
          <w:rStyle w:val="FootnoteReference"/>
        </w:rPr>
        <w:footnoteRef/>
      </w:r>
      <w:r>
        <w:t xml:space="preserve"> </w:t>
      </w:r>
      <w:r w:rsidRPr="004E35C5">
        <w:t>These requirements only apply if the importer elects to use this alternative way of demonstrating compliance.</w:t>
      </w:r>
    </w:p>
  </w:footnote>
  <w:footnote w:id="11">
    <w:p w14:paraId="1ECE852D" w14:textId="789B8AA3" w:rsidR="000A7FC2" w:rsidRPr="00191864" w:rsidRDefault="000A7FC2">
      <w:pPr>
        <w:pStyle w:val="FootnoteText"/>
      </w:pPr>
      <w:r w:rsidRPr="00191864">
        <w:rPr>
          <w:rStyle w:val="FootnoteReference"/>
        </w:rPr>
        <w:footnoteRef/>
      </w:r>
      <w:r w:rsidRPr="00191864">
        <w:t xml:space="preserve"> A report will be required to be submitted to obtain an exemption for R&amp;D gasoline under EPA’s Tier 3 final rule. The application under the Tier 3 sulfur program may be combined with the report already submitted to gain an exemption under other 40 CFR Part 80 fuel programs. Therefore, the R&amp;D gasoline exemption application under the Tier 3 sulfur program will not result in additional reports/applications being submitted to EPA.</w:t>
      </w:r>
    </w:p>
  </w:footnote>
  <w:footnote w:id="12">
    <w:p w14:paraId="641AFC34" w14:textId="1E707795" w:rsidR="000A7FC2" w:rsidRDefault="000A7FC2">
      <w:pPr>
        <w:pStyle w:val="FootnoteText"/>
      </w:pPr>
      <w:r>
        <w:rPr>
          <w:rStyle w:val="FootnoteReference"/>
        </w:rPr>
        <w:footnoteRef/>
      </w:r>
      <w:r>
        <w:t xml:space="preserve"> Data retrieved from BLS May 2016 National Industry-Specific Occupational Employment and Wage Estimates statistics available at: </w:t>
      </w:r>
      <w:hyperlink r:id="rId1" w:history="1">
        <w:r w:rsidRPr="00C14625">
          <w:rPr>
            <w:rStyle w:val="Hyperlink"/>
          </w:rPr>
          <w:t>https://www.bls.gov/oes/current/oessrci.htm</w:t>
        </w:r>
      </w:hyperlink>
      <w:r>
        <w:t xml:space="preserve"> </w:t>
      </w:r>
    </w:p>
  </w:footnote>
  <w:footnote w:id="13">
    <w:p w14:paraId="67533E1A" w14:textId="70C7530E" w:rsidR="000A7FC2" w:rsidRDefault="000A7FC2">
      <w:pPr>
        <w:pStyle w:val="FootnoteText"/>
      </w:pPr>
      <w:r>
        <w:rPr>
          <w:rStyle w:val="FootnoteReference"/>
        </w:rPr>
        <w:footnoteRef/>
      </w:r>
      <w:r>
        <w:t xml:space="preserve"> T</w:t>
      </w:r>
      <w:r w:rsidRPr="00310A71">
        <w:t>hese estimates are derived from "OPM Salary Table 201</w:t>
      </w:r>
      <w:r>
        <w:t>8</w:t>
      </w:r>
      <w:r w:rsidRPr="00310A71">
        <w:t>-DCB," effective January 201</w:t>
      </w:r>
      <w:r>
        <w:t>8</w:t>
      </w:r>
      <w:r w:rsidRPr="00310A71">
        <w:t>. This table may be found at https://www.opm.gov/policy-data-oversight/pay-leave/salaries-wages/salary-tables/pdf/201</w:t>
      </w:r>
      <w:r>
        <w:t>8</w:t>
      </w:r>
      <w:r w:rsidRPr="00310A71">
        <w:t>/DCB.pdf. The extreme of step 10 was assumed for al</w:t>
      </w:r>
      <w:r>
        <w:t>l categories.  We have assumed one full-time GS-7 clerical worker and</w:t>
      </w:r>
      <w:r w:rsidRPr="00310A71">
        <w:t xml:space="preserve"> </w:t>
      </w:r>
      <w:r>
        <w:t>one</w:t>
      </w:r>
      <w:r w:rsidRPr="00310A71">
        <w:t xml:space="preserve"> full-time GS-13 professional workers</w:t>
      </w:r>
      <w:r>
        <w:t xml:space="preserve">, both working one tenth of their time. </w:t>
      </w:r>
      <w:r w:rsidRPr="00310A71">
        <w:t>All values were multiplied by 1.6 (which is a common factor utilized in ICRs to</w:t>
      </w:r>
      <w:r>
        <w:t xml:space="preserve"> account for overhead costs) and the resulting dollar value was</w:t>
      </w:r>
      <w:r w:rsidRPr="00310A71">
        <w:t xml:space="preserve"> rounded to the nearest thousand</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05663"/>
    <w:multiLevelType w:val="hybridMultilevel"/>
    <w:tmpl w:val="D7D0CA00"/>
    <w:lvl w:ilvl="0" w:tplc="461CEE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76939C1"/>
    <w:multiLevelType w:val="hybridMultilevel"/>
    <w:tmpl w:val="E65CD352"/>
    <w:lvl w:ilvl="0" w:tplc="2F1EDCF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284099D"/>
    <w:multiLevelType w:val="hybridMultilevel"/>
    <w:tmpl w:val="5E6A7840"/>
    <w:lvl w:ilvl="0" w:tplc="85488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74A"/>
    <w:rsid w:val="000225EB"/>
    <w:rsid w:val="000373A6"/>
    <w:rsid w:val="000500C2"/>
    <w:rsid w:val="00063942"/>
    <w:rsid w:val="00064ACA"/>
    <w:rsid w:val="00072805"/>
    <w:rsid w:val="000A7FC2"/>
    <w:rsid w:val="000B39CE"/>
    <w:rsid w:val="000F7A36"/>
    <w:rsid w:val="00100B45"/>
    <w:rsid w:val="001173A4"/>
    <w:rsid w:val="00127D51"/>
    <w:rsid w:val="00130B17"/>
    <w:rsid w:val="00142420"/>
    <w:rsid w:val="00154F90"/>
    <w:rsid w:val="00177CE6"/>
    <w:rsid w:val="00191864"/>
    <w:rsid w:val="001A0EED"/>
    <w:rsid w:val="001D1ACE"/>
    <w:rsid w:val="001D432A"/>
    <w:rsid w:val="001E578A"/>
    <w:rsid w:val="001F32F2"/>
    <w:rsid w:val="0020486F"/>
    <w:rsid w:val="00250914"/>
    <w:rsid w:val="00293B11"/>
    <w:rsid w:val="0029699D"/>
    <w:rsid w:val="002D08DE"/>
    <w:rsid w:val="002D242D"/>
    <w:rsid w:val="002E52AB"/>
    <w:rsid w:val="002F49A1"/>
    <w:rsid w:val="00310A71"/>
    <w:rsid w:val="00321601"/>
    <w:rsid w:val="0032674A"/>
    <w:rsid w:val="00332B2B"/>
    <w:rsid w:val="003423D3"/>
    <w:rsid w:val="00374970"/>
    <w:rsid w:val="00374DD7"/>
    <w:rsid w:val="00381EE3"/>
    <w:rsid w:val="00382400"/>
    <w:rsid w:val="00384068"/>
    <w:rsid w:val="003A458C"/>
    <w:rsid w:val="003D7641"/>
    <w:rsid w:val="003E6E38"/>
    <w:rsid w:val="003F27C2"/>
    <w:rsid w:val="00411CF2"/>
    <w:rsid w:val="004350EA"/>
    <w:rsid w:val="0044151D"/>
    <w:rsid w:val="00441D18"/>
    <w:rsid w:val="0046356B"/>
    <w:rsid w:val="004840BF"/>
    <w:rsid w:val="004E35C5"/>
    <w:rsid w:val="005344BE"/>
    <w:rsid w:val="005467D2"/>
    <w:rsid w:val="00584C1E"/>
    <w:rsid w:val="00592127"/>
    <w:rsid w:val="00611E0A"/>
    <w:rsid w:val="0062423C"/>
    <w:rsid w:val="006436A7"/>
    <w:rsid w:val="00685200"/>
    <w:rsid w:val="00686318"/>
    <w:rsid w:val="006937E9"/>
    <w:rsid w:val="006A3A1B"/>
    <w:rsid w:val="006B373F"/>
    <w:rsid w:val="006C0D67"/>
    <w:rsid w:val="006E4B1C"/>
    <w:rsid w:val="00747EEE"/>
    <w:rsid w:val="00762524"/>
    <w:rsid w:val="00772F77"/>
    <w:rsid w:val="007853C3"/>
    <w:rsid w:val="007A40AF"/>
    <w:rsid w:val="007C4EEE"/>
    <w:rsid w:val="007D5DD5"/>
    <w:rsid w:val="007E3B57"/>
    <w:rsid w:val="00812B98"/>
    <w:rsid w:val="00832252"/>
    <w:rsid w:val="00875E13"/>
    <w:rsid w:val="00876C67"/>
    <w:rsid w:val="0089186B"/>
    <w:rsid w:val="00897108"/>
    <w:rsid w:val="008E2FF1"/>
    <w:rsid w:val="008F0C6C"/>
    <w:rsid w:val="00924840"/>
    <w:rsid w:val="00942E1F"/>
    <w:rsid w:val="00942F29"/>
    <w:rsid w:val="00963521"/>
    <w:rsid w:val="00987340"/>
    <w:rsid w:val="009A02C4"/>
    <w:rsid w:val="009C0E43"/>
    <w:rsid w:val="009D1507"/>
    <w:rsid w:val="009E25DF"/>
    <w:rsid w:val="009F5693"/>
    <w:rsid w:val="00A0016E"/>
    <w:rsid w:val="00A56B63"/>
    <w:rsid w:val="00A7170E"/>
    <w:rsid w:val="00A821F0"/>
    <w:rsid w:val="00A83120"/>
    <w:rsid w:val="00AB193F"/>
    <w:rsid w:val="00AD7734"/>
    <w:rsid w:val="00AF723C"/>
    <w:rsid w:val="00B15912"/>
    <w:rsid w:val="00B44988"/>
    <w:rsid w:val="00B56427"/>
    <w:rsid w:val="00B77792"/>
    <w:rsid w:val="00B90AA4"/>
    <w:rsid w:val="00B952E1"/>
    <w:rsid w:val="00B96036"/>
    <w:rsid w:val="00BD4D57"/>
    <w:rsid w:val="00BE4973"/>
    <w:rsid w:val="00BE7959"/>
    <w:rsid w:val="00C0486B"/>
    <w:rsid w:val="00C0678E"/>
    <w:rsid w:val="00C13595"/>
    <w:rsid w:val="00C16634"/>
    <w:rsid w:val="00C178AE"/>
    <w:rsid w:val="00C4090D"/>
    <w:rsid w:val="00C422FA"/>
    <w:rsid w:val="00C560D2"/>
    <w:rsid w:val="00C60D91"/>
    <w:rsid w:val="00C67941"/>
    <w:rsid w:val="00C7082C"/>
    <w:rsid w:val="00C876EC"/>
    <w:rsid w:val="00C87907"/>
    <w:rsid w:val="00CB7327"/>
    <w:rsid w:val="00D37A8A"/>
    <w:rsid w:val="00D42D1F"/>
    <w:rsid w:val="00D50A4E"/>
    <w:rsid w:val="00D66986"/>
    <w:rsid w:val="00D707A9"/>
    <w:rsid w:val="00D90060"/>
    <w:rsid w:val="00DA1B6F"/>
    <w:rsid w:val="00DD6D0B"/>
    <w:rsid w:val="00DE080B"/>
    <w:rsid w:val="00DE455B"/>
    <w:rsid w:val="00E14B6E"/>
    <w:rsid w:val="00E2447A"/>
    <w:rsid w:val="00E34058"/>
    <w:rsid w:val="00E45A90"/>
    <w:rsid w:val="00E53591"/>
    <w:rsid w:val="00E546D4"/>
    <w:rsid w:val="00E633EC"/>
    <w:rsid w:val="00E8386E"/>
    <w:rsid w:val="00EA6331"/>
    <w:rsid w:val="00EB5CE0"/>
    <w:rsid w:val="00EC6869"/>
    <w:rsid w:val="00EE1DA1"/>
    <w:rsid w:val="00EE2CD0"/>
    <w:rsid w:val="00EE780C"/>
    <w:rsid w:val="00EF42BD"/>
    <w:rsid w:val="00EF72BC"/>
    <w:rsid w:val="00F10D8A"/>
    <w:rsid w:val="00F157F3"/>
    <w:rsid w:val="00F244AD"/>
    <w:rsid w:val="00F4507B"/>
    <w:rsid w:val="00F47343"/>
    <w:rsid w:val="00F5139B"/>
    <w:rsid w:val="00F55FBF"/>
    <w:rsid w:val="00F64892"/>
    <w:rsid w:val="00F6592B"/>
    <w:rsid w:val="00F84E70"/>
    <w:rsid w:val="00FD3468"/>
    <w:rsid w:val="2EA06C50"/>
    <w:rsid w:val="361D9960"/>
    <w:rsid w:val="5783C250"/>
    <w:rsid w:val="632C170F"/>
    <w:rsid w:val="66815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1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74A"/>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2674A"/>
    <w:pPr>
      <w:keepNext/>
      <w:keepLines/>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32674A"/>
    <w:pPr>
      <w:keepNext/>
      <w:keepLines/>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812B98"/>
    <w:pPr>
      <w:keepNext/>
      <w:keepLines/>
      <w:outlineLvl w:val="2"/>
    </w:pPr>
    <w:rPr>
      <w:rFonts w:eastAsiaTheme="majorEastAsia" w:cstheme="majorBidi"/>
      <w:i/>
      <w:sz w:val="24"/>
      <w:szCs w:val="24"/>
    </w:rPr>
  </w:style>
  <w:style w:type="paragraph" w:styleId="Heading4">
    <w:name w:val="heading 4"/>
    <w:basedOn w:val="Normal"/>
    <w:next w:val="Normal"/>
    <w:link w:val="Heading4Char"/>
    <w:uiPriority w:val="9"/>
    <w:unhideWhenUsed/>
    <w:qFormat/>
    <w:rsid w:val="00EF72BC"/>
    <w:pPr>
      <w:keepNext/>
      <w:keepLines/>
      <w:outlineLvl w:val="3"/>
    </w:pPr>
    <w:rPr>
      <w:rFonts w:eastAsiaTheme="majorEastAsia"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74A"/>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2674A"/>
    <w:rPr>
      <w:rFonts w:ascii="Times New Roman" w:eastAsiaTheme="majorEastAsia" w:hAnsi="Times New Roman" w:cstheme="majorBidi"/>
      <w:b/>
      <w:sz w:val="24"/>
      <w:szCs w:val="26"/>
    </w:rPr>
  </w:style>
  <w:style w:type="paragraph" w:styleId="FootnoteText">
    <w:name w:val="footnote text"/>
    <w:basedOn w:val="Normal"/>
    <w:link w:val="FootnoteTextChar"/>
    <w:rsid w:val="0032674A"/>
  </w:style>
  <w:style w:type="character" w:customStyle="1" w:styleId="FootnoteTextChar">
    <w:name w:val="Footnote Text Char"/>
    <w:basedOn w:val="DefaultParagraphFont"/>
    <w:link w:val="FootnoteText"/>
    <w:rsid w:val="0032674A"/>
    <w:rPr>
      <w:rFonts w:ascii="Times New Roman" w:eastAsia="Times New Roman" w:hAnsi="Times New Roman" w:cs="Times New Roman"/>
      <w:sz w:val="20"/>
      <w:szCs w:val="20"/>
    </w:rPr>
  </w:style>
  <w:style w:type="character" w:styleId="FootnoteReference">
    <w:name w:val="footnote reference"/>
    <w:basedOn w:val="DefaultParagraphFont"/>
    <w:rsid w:val="0032674A"/>
    <w:rPr>
      <w:vertAlign w:val="superscript"/>
    </w:rPr>
  </w:style>
  <w:style w:type="character" w:customStyle="1" w:styleId="Heading3Char">
    <w:name w:val="Heading 3 Char"/>
    <w:basedOn w:val="DefaultParagraphFont"/>
    <w:link w:val="Heading3"/>
    <w:uiPriority w:val="9"/>
    <w:rsid w:val="00812B98"/>
    <w:rPr>
      <w:rFonts w:ascii="Times New Roman" w:eastAsiaTheme="majorEastAsia" w:hAnsi="Times New Roman" w:cstheme="majorBidi"/>
      <w:i/>
      <w:sz w:val="24"/>
      <w:szCs w:val="24"/>
    </w:rPr>
  </w:style>
  <w:style w:type="character" w:styleId="CommentReference">
    <w:name w:val="annotation reference"/>
    <w:basedOn w:val="DefaultParagraphFont"/>
    <w:uiPriority w:val="99"/>
    <w:semiHidden/>
    <w:unhideWhenUsed/>
    <w:rsid w:val="00812B98"/>
    <w:rPr>
      <w:sz w:val="16"/>
      <w:szCs w:val="16"/>
    </w:rPr>
  </w:style>
  <w:style w:type="paragraph" w:styleId="CommentText">
    <w:name w:val="annotation text"/>
    <w:basedOn w:val="Normal"/>
    <w:link w:val="CommentTextChar"/>
    <w:uiPriority w:val="99"/>
    <w:semiHidden/>
    <w:unhideWhenUsed/>
    <w:rsid w:val="00812B98"/>
  </w:style>
  <w:style w:type="character" w:customStyle="1" w:styleId="CommentTextChar">
    <w:name w:val="Comment Text Char"/>
    <w:basedOn w:val="DefaultParagraphFont"/>
    <w:link w:val="CommentText"/>
    <w:uiPriority w:val="99"/>
    <w:semiHidden/>
    <w:rsid w:val="00812B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B98"/>
    <w:rPr>
      <w:b/>
      <w:bCs/>
    </w:rPr>
  </w:style>
  <w:style w:type="character" w:customStyle="1" w:styleId="CommentSubjectChar">
    <w:name w:val="Comment Subject Char"/>
    <w:basedOn w:val="CommentTextChar"/>
    <w:link w:val="CommentSubject"/>
    <w:uiPriority w:val="99"/>
    <w:semiHidden/>
    <w:rsid w:val="00812B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2B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B98"/>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EF72BC"/>
    <w:rPr>
      <w:rFonts w:ascii="Times New Roman" w:eastAsiaTheme="majorEastAsia" w:hAnsi="Times New Roman" w:cstheme="majorBidi"/>
      <w:i/>
      <w:iCs/>
      <w:sz w:val="24"/>
      <w:szCs w:val="20"/>
    </w:rPr>
  </w:style>
  <w:style w:type="paragraph" w:styleId="ListParagraph">
    <w:name w:val="List Paragraph"/>
    <w:basedOn w:val="Normal"/>
    <w:uiPriority w:val="34"/>
    <w:qFormat/>
    <w:rsid w:val="00762524"/>
    <w:pPr>
      <w:ind w:left="720"/>
      <w:contextualSpacing/>
    </w:pPr>
  </w:style>
  <w:style w:type="paragraph" w:styleId="EndnoteText">
    <w:name w:val="endnote text"/>
    <w:basedOn w:val="Normal"/>
    <w:link w:val="EndnoteTextChar"/>
    <w:uiPriority w:val="99"/>
    <w:semiHidden/>
    <w:unhideWhenUsed/>
    <w:rsid w:val="00191864"/>
  </w:style>
  <w:style w:type="character" w:customStyle="1" w:styleId="EndnoteTextChar">
    <w:name w:val="Endnote Text Char"/>
    <w:basedOn w:val="DefaultParagraphFont"/>
    <w:link w:val="EndnoteText"/>
    <w:uiPriority w:val="99"/>
    <w:semiHidden/>
    <w:rsid w:val="001918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91864"/>
    <w:rPr>
      <w:vertAlign w:val="superscript"/>
    </w:rPr>
  </w:style>
  <w:style w:type="character" w:styleId="Hyperlink">
    <w:name w:val="Hyperlink"/>
    <w:basedOn w:val="DefaultParagraphFont"/>
    <w:rsid w:val="00A0016E"/>
    <w:rPr>
      <w:color w:val="0000FF"/>
      <w:u w:val="single"/>
    </w:rPr>
  </w:style>
  <w:style w:type="table" w:styleId="TableGrid">
    <w:name w:val="Table Grid"/>
    <w:basedOn w:val="TableNormal"/>
    <w:uiPriority w:val="39"/>
    <w:rsid w:val="001F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78AE"/>
    <w:pPr>
      <w:tabs>
        <w:tab w:val="center" w:pos="4680"/>
        <w:tab w:val="right" w:pos="9360"/>
      </w:tabs>
    </w:pPr>
  </w:style>
  <w:style w:type="character" w:customStyle="1" w:styleId="HeaderChar">
    <w:name w:val="Header Char"/>
    <w:basedOn w:val="DefaultParagraphFont"/>
    <w:link w:val="Header"/>
    <w:uiPriority w:val="99"/>
    <w:rsid w:val="00C178A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178AE"/>
    <w:pPr>
      <w:tabs>
        <w:tab w:val="center" w:pos="4680"/>
        <w:tab w:val="right" w:pos="9360"/>
      </w:tabs>
    </w:pPr>
  </w:style>
  <w:style w:type="character" w:customStyle="1" w:styleId="FooterChar">
    <w:name w:val="Footer Char"/>
    <w:basedOn w:val="DefaultParagraphFont"/>
    <w:link w:val="Footer"/>
    <w:uiPriority w:val="99"/>
    <w:rsid w:val="00C178AE"/>
    <w:rPr>
      <w:rFonts w:ascii="Times New Roman" w:eastAsia="Times New Roman" w:hAnsi="Times New Roman" w:cs="Times New Roman"/>
      <w:sz w:val="20"/>
      <w:szCs w:val="20"/>
    </w:rPr>
  </w:style>
  <w:style w:type="paragraph" w:styleId="Revision">
    <w:name w:val="Revision"/>
    <w:hidden/>
    <w:uiPriority w:val="99"/>
    <w:semiHidden/>
    <w:rsid w:val="00177CE6"/>
    <w:pPr>
      <w:spacing w:after="0" w:line="240" w:lineRule="auto"/>
    </w:pPr>
    <w:rPr>
      <w:rFonts w:ascii="Times New Roman" w:eastAsia="Times New Roman" w:hAnsi="Times New Roman" w:cs="Times New Roman"/>
      <w:sz w:val="20"/>
      <w:szCs w:val="20"/>
    </w:rPr>
  </w:style>
  <w:style w:type="paragraph" w:customStyle="1" w:styleId="Standard">
    <w:name w:val="Standard"/>
    <w:rsid w:val="002D08DE"/>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74A"/>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2674A"/>
    <w:pPr>
      <w:keepNext/>
      <w:keepLines/>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32674A"/>
    <w:pPr>
      <w:keepNext/>
      <w:keepLines/>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812B98"/>
    <w:pPr>
      <w:keepNext/>
      <w:keepLines/>
      <w:outlineLvl w:val="2"/>
    </w:pPr>
    <w:rPr>
      <w:rFonts w:eastAsiaTheme="majorEastAsia" w:cstheme="majorBidi"/>
      <w:i/>
      <w:sz w:val="24"/>
      <w:szCs w:val="24"/>
    </w:rPr>
  </w:style>
  <w:style w:type="paragraph" w:styleId="Heading4">
    <w:name w:val="heading 4"/>
    <w:basedOn w:val="Normal"/>
    <w:next w:val="Normal"/>
    <w:link w:val="Heading4Char"/>
    <w:uiPriority w:val="9"/>
    <w:unhideWhenUsed/>
    <w:qFormat/>
    <w:rsid w:val="00EF72BC"/>
    <w:pPr>
      <w:keepNext/>
      <w:keepLines/>
      <w:outlineLvl w:val="3"/>
    </w:pPr>
    <w:rPr>
      <w:rFonts w:eastAsiaTheme="majorEastAsia"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74A"/>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2674A"/>
    <w:rPr>
      <w:rFonts w:ascii="Times New Roman" w:eastAsiaTheme="majorEastAsia" w:hAnsi="Times New Roman" w:cstheme="majorBidi"/>
      <w:b/>
      <w:sz w:val="24"/>
      <w:szCs w:val="26"/>
    </w:rPr>
  </w:style>
  <w:style w:type="paragraph" w:styleId="FootnoteText">
    <w:name w:val="footnote text"/>
    <w:basedOn w:val="Normal"/>
    <w:link w:val="FootnoteTextChar"/>
    <w:rsid w:val="0032674A"/>
  </w:style>
  <w:style w:type="character" w:customStyle="1" w:styleId="FootnoteTextChar">
    <w:name w:val="Footnote Text Char"/>
    <w:basedOn w:val="DefaultParagraphFont"/>
    <w:link w:val="FootnoteText"/>
    <w:rsid w:val="0032674A"/>
    <w:rPr>
      <w:rFonts w:ascii="Times New Roman" w:eastAsia="Times New Roman" w:hAnsi="Times New Roman" w:cs="Times New Roman"/>
      <w:sz w:val="20"/>
      <w:szCs w:val="20"/>
    </w:rPr>
  </w:style>
  <w:style w:type="character" w:styleId="FootnoteReference">
    <w:name w:val="footnote reference"/>
    <w:basedOn w:val="DefaultParagraphFont"/>
    <w:rsid w:val="0032674A"/>
    <w:rPr>
      <w:vertAlign w:val="superscript"/>
    </w:rPr>
  </w:style>
  <w:style w:type="character" w:customStyle="1" w:styleId="Heading3Char">
    <w:name w:val="Heading 3 Char"/>
    <w:basedOn w:val="DefaultParagraphFont"/>
    <w:link w:val="Heading3"/>
    <w:uiPriority w:val="9"/>
    <w:rsid w:val="00812B98"/>
    <w:rPr>
      <w:rFonts w:ascii="Times New Roman" w:eastAsiaTheme="majorEastAsia" w:hAnsi="Times New Roman" w:cstheme="majorBidi"/>
      <w:i/>
      <w:sz w:val="24"/>
      <w:szCs w:val="24"/>
    </w:rPr>
  </w:style>
  <w:style w:type="character" w:styleId="CommentReference">
    <w:name w:val="annotation reference"/>
    <w:basedOn w:val="DefaultParagraphFont"/>
    <w:uiPriority w:val="99"/>
    <w:semiHidden/>
    <w:unhideWhenUsed/>
    <w:rsid w:val="00812B98"/>
    <w:rPr>
      <w:sz w:val="16"/>
      <w:szCs w:val="16"/>
    </w:rPr>
  </w:style>
  <w:style w:type="paragraph" w:styleId="CommentText">
    <w:name w:val="annotation text"/>
    <w:basedOn w:val="Normal"/>
    <w:link w:val="CommentTextChar"/>
    <w:uiPriority w:val="99"/>
    <w:semiHidden/>
    <w:unhideWhenUsed/>
    <w:rsid w:val="00812B98"/>
  </w:style>
  <w:style w:type="character" w:customStyle="1" w:styleId="CommentTextChar">
    <w:name w:val="Comment Text Char"/>
    <w:basedOn w:val="DefaultParagraphFont"/>
    <w:link w:val="CommentText"/>
    <w:uiPriority w:val="99"/>
    <w:semiHidden/>
    <w:rsid w:val="00812B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B98"/>
    <w:rPr>
      <w:b/>
      <w:bCs/>
    </w:rPr>
  </w:style>
  <w:style w:type="character" w:customStyle="1" w:styleId="CommentSubjectChar">
    <w:name w:val="Comment Subject Char"/>
    <w:basedOn w:val="CommentTextChar"/>
    <w:link w:val="CommentSubject"/>
    <w:uiPriority w:val="99"/>
    <w:semiHidden/>
    <w:rsid w:val="00812B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2B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B98"/>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EF72BC"/>
    <w:rPr>
      <w:rFonts w:ascii="Times New Roman" w:eastAsiaTheme="majorEastAsia" w:hAnsi="Times New Roman" w:cstheme="majorBidi"/>
      <w:i/>
      <w:iCs/>
      <w:sz w:val="24"/>
      <w:szCs w:val="20"/>
    </w:rPr>
  </w:style>
  <w:style w:type="paragraph" w:styleId="ListParagraph">
    <w:name w:val="List Paragraph"/>
    <w:basedOn w:val="Normal"/>
    <w:uiPriority w:val="34"/>
    <w:qFormat/>
    <w:rsid w:val="00762524"/>
    <w:pPr>
      <w:ind w:left="720"/>
      <w:contextualSpacing/>
    </w:pPr>
  </w:style>
  <w:style w:type="paragraph" w:styleId="EndnoteText">
    <w:name w:val="endnote text"/>
    <w:basedOn w:val="Normal"/>
    <w:link w:val="EndnoteTextChar"/>
    <w:uiPriority w:val="99"/>
    <w:semiHidden/>
    <w:unhideWhenUsed/>
    <w:rsid w:val="00191864"/>
  </w:style>
  <w:style w:type="character" w:customStyle="1" w:styleId="EndnoteTextChar">
    <w:name w:val="Endnote Text Char"/>
    <w:basedOn w:val="DefaultParagraphFont"/>
    <w:link w:val="EndnoteText"/>
    <w:uiPriority w:val="99"/>
    <w:semiHidden/>
    <w:rsid w:val="001918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91864"/>
    <w:rPr>
      <w:vertAlign w:val="superscript"/>
    </w:rPr>
  </w:style>
  <w:style w:type="character" w:styleId="Hyperlink">
    <w:name w:val="Hyperlink"/>
    <w:basedOn w:val="DefaultParagraphFont"/>
    <w:rsid w:val="00A0016E"/>
    <w:rPr>
      <w:color w:val="0000FF"/>
      <w:u w:val="single"/>
    </w:rPr>
  </w:style>
  <w:style w:type="table" w:styleId="TableGrid">
    <w:name w:val="Table Grid"/>
    <w:basedOn w:val="TableNormal"/>
    <w:uiPriority w:val="39"/>
    <w:rsid w:val="001F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78AE"/>
    <w:pPr>
      <w:tabs>
        <w:tab w:val="center" w:pos="4680"/>
        <w:tab w:val="right" w:pos="9360"/>
      </w:tabs>
    </w:pPr>
  </w:style>
  <w:style w:type="character" w:customStyle="1" w:styleId="HeaderChar">
    <w:name w:val="Header Char"/>
    <w:basedOn w:val="DefaultParagraphFont"/>
    <w:link w:val="Header"/>
    <w:uiPriority w:val="99"/>
    <w:rsid w:val="00C178A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178AE"/>
    <w:pPr>
      <w:tabs>
        <w:tab w:val="center" w:pos="4680"/>
        <w:tab w:val="right" w:pos="9360"/>
      </w:tabs>
    </w:pPr>
  </w:style>
  <w:style w:type="character" w:customStyle="1" w:styleId="FooterChar">
    <w:name w:val="Footer Char"/>
    <w:basedOn w:val="DefaultParagraphFont"/>
    <w:link w:val="Footer"/>
    <w:uiPriority w:val="99"/>
    <w:rsid w:val="00C178AE"/>
    <w:rPr>
      <w:rFonts w:ascii="Times New Roman" w:eastAsia="Times New Roman" w:hAnsi="Times New Roman" w:cs="Times New Roman"/>
      <w:sz w:val="20"/>
      <w:szCs w:val="20"/>
    </w:rPr>
  </w:style>
  <w:style w:type="paragraph" w:styleId="Revision">
    <w:name w:val="Revision"/>
    <w:hidden/>
    <w:uiPriority w:val="99"/>
    <w:semiHidden/>
    <w:rsid w:val="00177CE6"/>
    <w:pPr>
      <w:spacing w:after="0" w:line="240" w:lineRule="auto"/>
    </w:pPr>
    <w:rPr>
      <w:rFonts w:ascii="Times New Roman" w:eastAsia="Times New Roman" w:hAnsi="Times New Roman" w:cs="Times New Roman"/>
      <w:sz w:val="20"/>
      <w:szCs w:val="20"/>
    </w:rPr>
  </w:style>
  <w:style w:type="paragraph" w:customStyle="1" w:styleId="Standard">
    <w:name w:val="Standard"/>
    <w:rsid w:val="002D08DE"/>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07052">
      <w:bodyDiv w:val="1"/>
      <w:marLeft w:val="0"/>
      <w:marRight w:val="0"/>
      <w:marTop w:val="0"/>
      <w:marBottom w:val="0"/>
      <w:divBdr>
        <w:top w:val="none" w:sz="0" w:space="0" w:color="auto"/>
        <w:left w:val="none" w:sz="0" w:space="0" w:color="auto"/>
        <w:bottom w:val="none" w:sz="0" w:space="0" w:color="auto"/>
        <w:right w:val="none" w:sz="0" w:space="0" w:color="auto"/>
      </w:divBdr>
      <w:divsChild>
        <w:div w:id="1426222861">
          <w:marLeft w:val="0"/>
          <w:marRight w:val="0"/>
          <w:marTop w:val="0"/>
          <w:marBottom w:val="0"/>
          <w:divBdr>
            <w:top w:val="none" w:sz="0" w:space="0" w:color="auto"/>
            <w:left w:val="none" w:sz="0" w:space="0" w:color="auto"/>
            <w:bottom w:val="none" w:sz="0" w:space="0" w:color="auto"/>
            <w:right w:val="none" w:sz="0" w:space="0" w:color="auto"/>
          </w:divBdr>
          <w:divsChild>
            <w:div w:id="1479762415">
              <w:marLeft w:val="0"/>
              <w:marRight w:val="0"/>
              <w:marTop w:val="0"/>
              <w:marBottom w:val="0"/>
              <w:divBdr>
                <w:top w:val="none" w:sz="0" w:space="0" w:color="auto"/>
                <w:left w:val="none" w:sz="0" w:space="0" w:color="auto"/>
                <w:bottom w:val="none" w:sz="0" w:space="0" w:color="auto"/>
                <w:right w:val="none" w:sz="0" w:space="0" w:color="auto"/>
              </w:divBdr>
            </w:div>
            <w:div w:id="599487701">
              <w:marLeft w:val="0"/>
              <w:marRight w:val="0"/>
              <w:marTop w:val="0"/>
              <w:marBottom w:val="0"/>
              <w:divBdr>
                <w:top w:val="none" w:sz="0" w:space="0" w:color="auto"/>
                <w:left w:val="none" w:sz="0" w:space="0" w:color="auto"/>
                <w:bottom w:val="none" w:sz="0" w:space="0" w:color="auto"/>
                <w:right w:val="none" w:sz="0" w:space="0" w:color="auto"/>
              </w:divBdr>
            </w:div>
            <w:div w:id="1001931433">
              <w:marLeft w:val="0"/>
              <w:marRight w:val="0"/>
              <w:marTop w:val="0"/>
              <w:marBottom w:val="0"/>
              <w:divBdr>
                <w:top w:val="none" w:sz="0" w:space="0" w:color="auto"/>
                <w:left w:val="none" w:sz="0" w:space="0" w:color="auto"/>
                <w:bottom w:val="none" w:sz="0" w:space="0" w:color="auto"/>
                <w:right w:val="none" w:sz="0" w:space="0" w:color="auto"/>
              </w:divBdr>
            </w:div>
            <w:div w:id="2015299502">
              <w:marLeft w:val="0"/>
              <w:marRight w:val="0"/>
              <w:marTop w:val="0"/>
              <w:marBottom w:val="0"/>
              <w:divBdr>
                <w:top w:val="none" w:sz="0" w:space="0" w:color="auto"/>
                <w:left w:val="none" w:sz="0" w:space="0" w:color="auto"/>
                <w:bottom w:val="none" w:sz="0" w:space="0" w:color="auto"/>
                <w:right w:val="none" w:sz="0" w:space="0" w:color="auto"/>
              </w:divBdr>
            </w:div>
            <w:div w:id="920455494">
              <w:marLeft w:val="0"/>
              <w:marRight w:val="0"/>
              <w:marTop w:val="0"/>
              <w:marBottom w:val="0"/>
              <w:divBdr>
                <w:top w:val="none" w:sz="0" w:space="0" w:color="auto"/>
                <w:left w:val="none" w:sz="0" w:space="0" w:color="auto"/>
                <w:bottom w:val="none" w:sz="0" w:space="0" w:color="auto"/>
                <w:right w:val="none" w:sz="0" w:space="0" w:color="auto"/>
              </w:divBdr>
            </w:div>
            <w:div w:id="1328440059">
              <w:marLeft w:val="0"/>
              <w:marRight w:val="0"/>
              <w:marTop w:val="0"/>
              <w:marBottom w:val="0"/>
              <w:divBdr>
                <w:top w:val="none" w:sz="0" w:space="0" w:color="auto"/>
                <w:left w:val="none" w:sz="0" w:space="0" w:color="auto"/>
                <w:bottom w:val="none" w:sz="0" w:space="0" w:color="auto"/>
                <w:right w:val="none" w:sz="0" w:space="0" w:color="auto"/>
              </w:divBdr>
            </w:div>
            <w:div w:id="1741512298">
              <w:marLeft w:val="0"/>
              <w:marRight w:val="0"/>
              <w:marTop w:val="0"/>
              <w:marBottom w:val="0"/>
              <w:divBdr>
                <w:top w:val="none" w:sz="0" w:space="0" w:color="auto"/>
                <w:left w:val="none" w:sz="0" w:space="0" w:color="auto"/>
                <w:bottom w:val="none" w:sz="0" w:space="0" w:color="auto"/>
                <w:right w:val="none" w:sz="0" w:space="0" w:color="auto"/>
              </w:divBdr>
            </w:div>
            <w:div w:id="569534178">
              <w:marLeft w:val="0"/>
              <w:marRight w:val="0"/>
              <w:marTop w:val="0"/>
              <w:marBottom w:val="0"/>
              <w:divBdr>
                <w:top w:val="none" w:sz="0" w:space="0" w:color="auto"/>
                <w:left w:val="none" w:sz="0" w:space="0" w:color="auto"/>
                <w:bottom w:val="none" w:sz="0" w:space="0" w:color="auto"/>
                <w:right w:val="none" w:sz="0" w:space="0" w:color="auto"/>
              </w:divBdr>
            </w:div>
            <w:div w:id="575434764">
              <w:marLeft w:val="0"/>
              <w:marRight w:val="0"/>
              <w:marTop w:val="0"/>
              <w:marBottom w:val="0"/>
              <w:divBdr>
                <w:top w:val="none" w:sz="0" w:space="0" w:color="auto"/>
                <w:left w:val="none" w:sz="0" w:space="0" w:color="auto"/>
                <w:bottom w:val="none" w:sz="0" w:space="0" w:color="auto"/>
                <w:right w:val="none" w:sz="0" w:space="0" w:color="auto"/>
              </w:divBdr>
            </w:div>
            <w:div w:id="469446023">
              <w:marLeft w:val="0"/>
              <w:marRight w:val="0"/>
              <w:marTop w:val="0"/>
              <w:marBottom w:val="0"/>
              <w:divBdr>
                <w:top w:val="none" w:sz="0" w:space="0" w:color="auto"/>
                <w:left w:val="none" w:sz="0" w:space="0" w:color="auto"/>
                <w:bottom w:val="none" w:sz="0" w:space="0" w:color="auto"/>
                <w:right w:val="none" w:sz="0" w:space="0" w:color="auto"/>
              </w:divBdr>
            </w:div>
            <w:div w:id="613636385">
              <w:marLeft w:val="0"/>
              <w:marRight w:val="0"/>
              <w:marTop w:val="0"/>
              <w:marBottom w:val="0"/>
              <w:divBdr>
                <w:top w:val="none" w:sz="0" w:space="0" w:color="auto"/>
                <w:left w:val="none" w:sz="0" w:space="0" w:color="auto"/>
                <w:bottom w:val="none" w:sz="0" w:space="0" w:color="auto"/>
                <w:right w:val="none" w:sz="0" w:space="0" w:color="auto"/>
              </w:divBdr>
            </w:div>
            <w:div w:id="1987856610">
              <w:marLeft w:val="0"/>
              <w:marRight w:val="0"/>
              <w:marTop w:val="0"/>
              <w:marBottom w:val="0"/>
              <w:divBdr>
                <w:top w:val="none" w:sz="0" w:space="0" w:color="auto"/>
                <w:left w:val="none" w:sz="0" w:space="0" w:color="auto"/>
                <w:bottom w:val="none" w:sz="0" w:space="0" w:color="auto"/>
                <w:right w:val="none" w:sz="0" w:space="0" w:color="auto"/>
              </w:divBdr>
            </w:div>
            <w:div w:id="706491371">
              <w:marLeft w:val="0"/>
              <w:marRight w:val="0"/>
              <w:marTop w:val="0"/>
              <w:marBottom w:val="0"/>
              <w:divBdr>
                <w:top w:val="none" w:sz="0" w:space="0" w:color="auto"/>
                <w:left w:val="none" w:sz="0" w:space="0" w:color="auto"/>
                <w:bottom w:val="none" w:sz="0" w:space="0" w:color="auto"/>
                <w:right w:val="none" w:sz="0" w:space="0" w:color="auto"/>
              </w:divBdr>
            </w:div>
            <w:div w:id="1503200057">
              <w:marLeft w:val="0"/>
              <w:marRight w:val="0"/>
              <w:marTop w:val="0"/>
              <w:marBottom w:val="0"/>
              <w:divBdr>
                <w:top w:val="none" w:sz="0" w:space="0" w:color="auto"/>
                <w:left w:val="none" w:sz="0" w:space="0" w:color="auto"/>
                <w:bottom w:val="none" w:sz="0" w:space="0" w:color="auto"/>
                <w:right w:val="none" w:sz="0" w:space="0" w:color="auto"/>
              </w:divBdr>
            </w:div>
            <w:div w:id="859662653">
              <w:marLeft w:val="0"/>
              <w:marRight w:val="0"/>
              <w:marTop w:val="0"/>
              <w:marBottom w:val="0"/>
              <w:divBdr>
                <w:top w:val="none" w:sz="0" w:space="0" w:color="auto"/>
                <w:left w:val="none" w:sz="0" w:space="0" w:color="auto"/>
                <w:bottom w:val="none" w:sz="0" w:space="0" w:color="auto"/>
                <w:right w:val="none" w:sz="0" w:space="0" w:color="auto"/>
              </w:divBdr>
            </w:div>
            <w:div w:id="2027098370">
              <w:marLeft w:val="0"/>
              <w:marRight w:val="0"/>
              <w:marTop w:val="0"/>
              <w:marBottom w:val="0"/>
              <w:divBdr>
                <w:top w:val="none" w:sz="0" w:space="0" w:color="auto"/>
                <w:left w:val="none" w:sz="0" w:space="0" w:color="auto"/>
                <w:bottom w:val="none" w:sz="0" w:space="0" w:color="auto"/>
                <w:right w:val="none" w:sz="0" w:space="0" w:color="auto"/>
              </w:divBdr>
            </w:div>
            <w:div w:id="2053571968">
              <w:marLeft w:val="0"/>
              <w:marRight w:val="0"/>
              <w:marTop w:val="0"/>
              <w:marBottom w:val="0"/>
              <w:divBdr>
                <w:top w:val="none" w:sz="0" w:space="0" w:color="auto"/>
                <w:left w:val="none" w:sz="0" w:space="0" w:color="auto"/>
                <w:bottom w:val="none" w:sz="0" w:space="0" w:color="auto"/>
                <w:right w:val="none" w:sz="0" w:space="0" w:color="auto"/>
              </w:divBdr>
            </w:div>
            <w:div w:id="405034130">
              <w:marLeft w:val="0"/>
              <w:marRight w:val="0"/>
              <w:marTop w:val="0"/>
              <w:marBottom w:val="0"/>
              <w:divBdr>
                <w:top w:val="none" w:sz="0" w:space="0" w:color="auto"/>
                <w:left w:val="none" w:sz="0" w:space="0" w:color="auto"/>
                <w:bottom w:val="none" w:sz="0" w:space="0" w:color="auto"/>
                <w:right w:val="none" w:sz="0" w:space="0" w:color="auto"/>
              </w:divBdr>
            </w:div>
            <w:div w:id="176776026">
              <w:marLeft w:val="0"/>
              <w:marRight w:val="0"/>
              <w:marTop w:val="0"/>
              <w:marBottom w:val="0"/>
              <w:divBdr>
                <w:top w:val="none" w:sz="0" w:space="0" w:color="auto"/>
                <w:left w:val="none" w:sz="0" w:space="0" w:color="auto"/>
                <w:bottom w:val="none" w:sz="0" w:space="0" w:color="auto"/>
                <w:right w:val="none" w:sz="0" w:space="0" w:color="auto"/>
              </w:divBdr>
            </w:div>
            <w:div w:id="683551977">
              <w:marLeft w:val="0"/>
              <w:marRight w:val="0"/>
              <w:marTop w:val="0"/>
              <w:marBottom w:val="0"/>
              <w:divBdr>
                <w:top w:val="none" w:sz="0" w:space="0" w:color="auto"/>
                <w:left w:val="none" w:sz="0" w:space="0" w:color="auto"/>
                <w:bottom w:val="none" w:sz="0" w:space="0" w:color="auto"/>
                <w:right w:val="none" w:sz="0" w:space="0" w:color="auto"/>
              </w:divBdr>
            </w:div>
            <w:div w:id="2083529504">
              <w:marLeft w:val="0"/>
              <w:marRight w:val="0"/>
              <w:marTop w:val="0"/>
              <w:marBottom w:val="0"/>
              <w:divBdr>
                <w:top w:val="none" w:sz="0" w:space="0" w:color="auto"/>
                <w:left w:val="none" w:sz="0" w:space="0" w:color="auto"/>
                <w:bottom w:val="none" w:sz="0" w:space="0" w:color="auto"/>
                <w:right w:val="none" w:sz="0" w:space="0" w:color="auto"/>
              </w:divBdr>
            </w:div>
            <w:div w:id="599722319">
              <w:marLeft w:val="0"/>
              <w:marRight w:val="0"/>
              <w:marTop w:val="0"/>
              <w:marBottom w:val="0"/>
              <w:divBdr>
                <w:top w:val="none" w:sz="0" w:space="0" w:color="auto"/>
                <w:left w:val="none" w:sz="0" w:space="0" w:color="auto"/>
                <w:bottom w:val="none" w:sz="0" w:space="0" w:color="auto"/>
                <w:right w:val="none" w:sz="0" w:space="0" w:color="auto"/>
              </w:divBdr>
            </w:div>
            <w:div w:id="495192908">
              <w:marLeft w:val="0"/>
              <w:marRight w:val="0"/>
              <w:marTop w:val="0"/>
              <w:marBottom w:val="0"/>
              <w:divBdr>
                <w:top w:val="none" w:sz="0" w:space="0" w:color="auto"/>
                <w:left w:val="none" w:sz="0" w:space="0" w:color="auto"/>
                <w:bottom w:val="none" w:sz="0" w:space="0" w:color="auto"/>
                <w:right w:val="none" w:sz="0" w:space="0" w:color="auto"/>
              </w:divBdr>
            </w:div>
            <w:div w:id="203399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806400">
      <w:bodyDiv w:val="1"/>
      <w:marLeft w:val="0"/>
      <w:marRight w:val="0"/>
      <w:marTop w:val="0"/>
      <w:marBottom w:val="0"/>
      <w:divBdr>
        <w:top w:val="none" w:sz="0" w:space="0" w:color="auto"/>
        <w:left w:val="none" w:sz="0" w:space="0" w:color="auto"/>
        <w:bottom w:val="none" w:sz="0" w:space="0" w:color="auto"/>
        <w:right w:val="none" w:sz="0" w:space="0" w:color="auto"/>
      </w:divBdr>
      <w:divsChild>
        <w:div w:id="100955195">
          <w:marLeft w:val="0"/>
          <w:marRight w:val="0"/>
          <w:marTop w:val="0"/>
          <w:marBottom w:val="0"/>
          <w:divBdr>
            <w:top w:val="none" w:sz="0" w:space="0" w:color="auto"/>
            <w:left w:val="none" w:sz="0" w:space="0" w:color="auto"/>
            <w:bottom w:val="none" w:sz="0" w:space="0" w:color="auto"/>
            <w:right w:val="none" w:sz="0" w:space="0" w:color="auto"/>
          </w:divBdr>
        </w:div>
        <w:div w:id="351104103">
          <w:marLeft w:val="0"/>
          <w:marRight w:val="0"/>
          <w:marTop w:val="0"/>
          <w:marBottom w:val="0"/>
          <w:divBdr>
            <w:top w:val="none" w:sz="0" w:space="0" w:color="auto"/>
            <w:left w:val="none" w:sz="0" w:space="0" w:color="auto"/>
            <w:bottom w:val="none" w:sz="0" w:space="0" w:color="auto"/>
            <w:right w:val="none" w:sz="0" w:space="0" w:color="auto"/>
          </w:divBdr>
        </w:div>
        <w:div w:id="1258755967">
          <w:marLeft w:val="0"/>
          <w:marRight w:val="0"/>
          <w:marTop w:val="0"/>
          <w:marBottom w:val="0"/>
          <w:divBdr>
            <w:top w:val="none" w:sz="0" w:space="0" w:color="auto"/>
            <w:left w:val="none" w:sz="0" w:space="0" w:color="auto"/>
            <w:bottom w:val="none" w:sz="0" w:space="0" w:color="auto"/>
            <w:right w:val="none" w:sz="0" w:space="0" w:color="auto"/>
          </w:divBdr>
        </w:div>
        <w:div w:id="1828203863">
          <w:marLeft w:val="0"/>
          <w:marRight w:val="0"/>
          <w:marTop w:val="0"/>
          <w:marBottom w:val="0"/>
          <w:divBdr>
            <w:top w:val="none" w:sz="0" w:space="0" w:color="auto"/>
            <w:left w:val="none" w:sz="0" w:space="0" w:color="auto"/>
            <w:bottom w:val="none" w:sz="0" w:space="0" w:color="auto"/>
            <w:right w:val="none" w:sz="0" w:space="0" w:color="auto"/>
          </w:divBdr>
        </w:div>
        <w:div w:id="2067483185">
          <w:marLeft w:val="0"/>
          <w:marRight w:val="0"/>
          <w:marTop w:val="0"/>
          <w:marBottom w:val="0"/>
          <w:divBdr>
            <w:top w:val="none" w:sz="0" w:space="0" w:color="auto"/>
            <w:left w:val="none" w:sz="0" w:space="0" w:color="auto"/>
            <w:bottom w:val="none" w:sz="0" w:space="0" w:color="auto"/>
            <w:right w:val="none" w:sz="0" w:space="0" w:color="auto"/>
          </w:divBdr>
        </w:div>
        <w:div w:id="1664511126">
          <w:marLeft w:val="0"/>
          <w:marRight w:val="0"/>
          <w:marTop w:val="0"/>
          <w:marBottom w:val="0"/>
          <w:divBdr>
            <w:top w:val="none" w:sz="0" w:space="0" w:color="auto"/>
            <w:left w:val="none" w:sz="0" w:space="0" w:color="auto"/>
            <w:bottom w:val="none" w:sz="0" w:space="0" w:color="auto"/>
            <w:right w:val="none" w:sz="0" w:space="0" w:color="auto"/>
          </w:divBdr>
        </w:div>
        <w:div w:id="1588998686">
          <w:marLeft w:val="0"/>
          <w:marRight w:val="0"/>
          <w:marTop w:val="0"/>
          <w:marBottom w:val="0"/>
          <w:divBdr>
            <w:top w:val="none" w:sz="0" w:space="0" w:color="auto"/>
            <w:left w:val="none" w:sz="0" w:space="0" w:color="auto"/>
            <w:bottom w:val="none" w:sz="0" w:space="0" w:color="auto"/>
            <w:right w:val="none" w:sz="0" w:space="0" w:color="auto"/>
          </w:divBdr>
        </w:div>
        <w:div w:id="882981806">
          <w:marLeft w:val="0"/>
          <w:marRight w:val="0"/>
          <w:marTop w:val="0"/>
          <w:marBottom w:val="0"/>
          <w:divBdr>
            <w:top w:val="none" w:sz="0" w:space="0" w:color="auto"/>
            <w:left w:val="none" w:sz="0" w:space="0" w:color="auto"/>
            <w:bottom w:val="none" w:sz="0" w:space="0" w:color="auto"/>
            <w:right w:val="none" w:sz="0" w:space="0" w:color="auto"/>
          </w:divBdr>
        </w:div>
        <w:div w:id="539440697">
          <w:marLeft w:val="0"/>
          <w:marRight w:val="0"/>
          <w:marTop w:val="0"/>
          <w:marBottom w:val="0"/>
          <w:divBdr>
            <w:top w:val="none" w:sz="0" w:space="0" w:color="auto"/>
            <w:left w:val="none" w:sz="0" w:space="0" w:color="auto"/>
            <w:bottom w:val="none" w:sz="0" w:space="0" w:color="auto"/>
            <w:right w:val="none" w:sz="0" w:space="0" w:color="auto"/>
          </w:divBdr>
        </w:div>
        <w:div w:id="1089429376">
          <w:marLeft w:val="0"/>
          <w:marRight w:val="0"/>
          <w:marTop w:val="0"/>
          <w:marBottom w:val="0"/>
          <w:divBdr>
            <w:top w:val="none" w:sz="0" w:space="0" w:color="auto"/>
            <w:left w:val="none" w:sz="0" w:space="0" w:color="auto"/>
            <w:bottom w:val="none" w:sz="0" w:space="0" w:color="auto"/>
            <w:right w:val="none" w:sz="0" w:space="0" w:color="auto"/>
          </w:divBdr>
        </w:div>
      </w:divsChild>
    </w:div>
    <w:div w:id="1931084369">
      <w:bodyDiv w:val="1"/>
      <w:marLeft w:val="0"/>
      <w:marRight w:val="0"/>
      <w:marTop w:val="0"/>
      <w:marBottom w:val="0"/>
      <w:divBdr>
        <w:top w:val="none" w:sz="0" w:space="0" w:color="auto"/>
        <w:left w:val="none" w:sz="0" w:space="0" w:color="auto"/>
        <w:bottom w:val="none" w:sz="0" w:space="0" w:color="auto"/>
        <w:right w:val="none" w:sz="0" w:space="0" w:color="auto"/>
      </w:divBdr>
    </w:div>
    <w:div w:id="19872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DGilstrap@chevron.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ance.kopp@weaver.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src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DACBE5FE1ACA4DA8F0B5AC7B3CEC81" ma:contentTypeVersion="24" ma:contentTypeDescription="Create a new document." ma:contentTypeScope="" ma:versionID="639704af2f09f228903e2ff9d6d4019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204fb96-b2be-42db-ba6e-4dae16223404" xmlns:ns6="a4d800a4-9a3f-43ea-b174-b8ee85093883" targetNamespace="http://schemas.microsoft.com/office/2006/metadata/properties" ma:root="true" ma:fieldsID="f31ba3b5c429de5d5ac15a4cd008a008" ns1:_="" ns2:_="" ns3:_="" ns4:_="" ns5:_="" ns6:_="">
    <xsd:import namespace="http://schemas.microsoft.com/sharepoint/v3"/>
    <xsd:import namespace="4ffa91fb-a0ff-4ac5-b2db-65c790d184a4"/>
    <xsd:import namespace="http://schemas.microsoft.com/sharepoint.v3"/>
    <xsd:import namespace="http://schemas.microsoft.com/sharepoint/v3/fields"/>
    <xsd:import namespace="6204fb96-b2be-42db-ba6e-4dae16223404"/>
    <xsd:import namespace="a4d800a4-9a3f-43ea-b174-b8ee8509388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04fb96-b2be-42db-ba6e-4dae16223404"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d800a4-9a3f-43ea-b174-b8ee85093883"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2018-01-05T20:30:09+00:00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1F0BD-21D2-4FC3-9B0A-DB3D9CB62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204fb96-b2be-42db-ba6e-4dae16223404"/>
    <ds:schemaRef ds:uri="a4d800a4-9a3f-43ea-b174-b8ee85093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BBA9A6-DEBF-4EFF-BB2D-AE90C3EA21B5}">
  <ds:schemaRefs>
    <ds:schemaRef ds:uri="Microsoft.SharePoint.Taxonomy.ContentTypeSync"/>
  </ds:schemaRefs>
</ds:datastoreItem>
</file>

<file path=customXml/itemProps3.xml><?xml version="1.0" encoding="utf-8"?>
<ds:datastoreItem xmlns:ds="http://schemas.openxmlformats.org/officeDocument/2006/customXml" ds:itemID="{883CA682-D5D5-4E06-848C-9E6B2612FEB6}">
  <ds:schemaRefs>
    <ds:schemaRef ds:uri="http://schemas.microsoft.com/sharepoint/v3/contenttype/forms"/>
  </ds:schemaRefs>
</ds:datastoreItem>
</file>

<file path=customXml/itemProps4.xml><?xml version="1.0" encoding="utf-8"?>
<ds:datastoreItem xmlns:ds="http://schemas.openxmlformats.org/officeDocument/2006/customXml" ds:itemID="{162A330E-62B1-483B-9441-03998D9F031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A71FED98-22E9-41E4-8FD7-DD7849131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7879</Words>
  <Characters>44911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Robert</dc:creator>
  <cp:keywords/>
  <dc:description/>
  <cp:lastModifiedBy>SYSTEM</cp:lastModifiedBy>
  <cp:revision>2</cp:revision>
  <dcterms:created xsi:type="dcterms:W3CDTF">2019-07-09T19:40:00Z</dcterms:created>
  <dcterms:modified xsi:type="dcterms:W3CDTF">2019-07-09T19:40:00Z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0x010100B2DACBE5FE1ACA4DA8F0B5AC7B3CEC81</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