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583" w:rsidRDefault="00F511E3" w14:paraId="12643D72" w14:textId="77777777">
      <w:pPr>
        <w:pStyle w:val="Heading1"/>
        <w:spacing w:before="184" w:line="259" w:lineRule="auto"/>
        <w:ind w:left="4250" w:right="647" w:hanging="3591"/>
      </w:pPr>
      <w:bookmarkStart w:name="_GoBack" w:id="0"/>
      <w:bookmarkEnd w:id="0"/>
      <w:r>
        <w:t>Gasoline Sulfur Facility Summary Report (Report Form ID: GSF0302): Instructions for Completing</w:t>
      </w:r>
    </w:p>
    <w:p w:rsidR="00994583" w:rsidRDefault="00994583" w14:paraId="2A95EBAC" w14:textId="77777777">
      <w:pPr>
        <w:pStyle w:val="BodyText"/>
        <w:spacing w:before="9"/>
        <w:rPr>
          <w:b/>
          <w:sz w:val="23"/>
        </w:rPr>
      </w:pPr>
    </w:p>
    <w:p w:rsidR="00994583" w:rsidRDefault="00F511E3" w14:paraId="547EF43C" w14:textId="77777777">
      <w:pPr>
        <w:ind w:left="119"/>
        <w:rPr>
          <w:b/>
        </w:rPr>
      </w:pPr>
      <w:r>
        <w:rPr>
          <w:b/>
        </w:rPr>
        <w:t xml:space="preserve">Who must </w:t>
      </w:r>
      <w:proofErr w:type="gramStart"/>
      <w:r>
        <w:rPr>
          <w:b/>
        </w:rPr>
        <w:t>report</w:t>
      </w:r>
      <w:proofErr w:type="gramEnd"/>
    </w:p>
    <w:p w:rsidR="00994583" w:rsidRDefault="00F511E3" w14:paraId="256C77F7" w14:textId="7777777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2"/>
        <w:ind w:right="474"/>
      </w:pPr>
      <w:r>
        <w:t>Each facility producing or importing gasoline during the annual averaging period must</w:t>
      </w:r>
      <w:r>
        <w:rPr>
          <w:spacing w:val="-26"/>
        </w:rPr>
        <w:t xml:space="preserve"> </w:t>
      </w:r>
      <w:r>
        <w:t>submit this report.</w:t>
      </w:r>
    </w:p>
    <w:p w:rsidR="00994583" w:rsidRDefault="00994583" w14:paraId="4D431439" w14:textId="77777777">
      <w:pPr>
        <w:pStyle w:val="BodyText"/>
        <w:spacing w:before="6"/>
      </w:pPr>
    </w:p>
    <w:p w:rsidR="00994583" w:rsidRDefault="00F511E3" w14:paraId="216BB237" w14:textId="77777777">
      <w:pPr>
        <w:pStyle w:val="Heading1"/>
        <w:spacing w:line="251" w:lineRule="exact"/>
        <w:ind w:left="120"/>
      </w:pPr>
      <w:r>
        <w:t>Reporting deadlines</w:t>
      </w:r>
    </w:p>
    <w:p w:rsidR="00994583" w:rsidRDefault="00F511E3" w14:paraId="3BA0A3D9" w14:textId="77777777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67" w:lineRule="exact"/>
      </w:pPr>
      <w:r>
        <w:t>Submitted to EPA no later than March 31 each year for the prior calendar</w:t>
      </w:r>
      <w:r>
        <w:rPr>
          <w:spacing w:val="-17"/>
        </w:rPr>
        <w:t xml:space="preserve"> </w:t>
      </w:r>
      <w:r>
        <w:t>year.</w:t>
      </w:r>
    </w:p>
    <w:p w:rsidR="00994583" w:rsidRDefault="00994583" w14:paraId="1CBA9AB2" w14:textId="77777777">
      <w:pPr>
        <w:pStyle w:val="BodyText"/>
        <w:spacing w:before="1"/>
        <w:rPr>
          <w:sz w:val="24"/>
        </w:rPr>
      </w:pPr>
    </w:p>
    <w:p w:rsidR="00994583" w:rsidRDefault="00F511E3" w14:paraId="3DCD507E" w14:textId="77777777">
      <w:pPr>
        <w:pStyle w:val="Heading1"/>
        <w:ind w:left="120"/>
      </w:pPr>
      <w:r>
        <w:t>How to submit reports</w:t>
      </w:r>
    </w:p>
    <w:p w:rsidR="00994583" w:rsidRDefault="00F511E3" w14:paraId="0895C399" w14:textId="77777777">
      <w:pPr>
        <w:pStyle w:val="ListParagraph"/>
        <w:numPr>
          <w:ilvl w:val="0"/>
          <w:numId w:val="1"/>
        </w:numPr>
        <w:tabs>
          <w:tab w:val="left" w:pos="895"/>
          <w:tab w:val="left" w:pos="896"/>
        </w:tabs>
        <w:spacing w:before="17" w:line="254" w:lineRule="auto"/>
        <w:ind w:right="127"/>
      </w:pPr>
      <w:r>
        <w:tab/>
        <w:t>EPA maintains report templates, electronic submission procedures and additional support options at</w:t>
      </w:r>
      <w:r>
        <w:rPr>
          <w:color w:val="0563C1"/>
          <w:spacing w:val="-17"/>
        </w:rPr>
        <w:t xml:space="preserve"> </w:t>
      </w:r>
      <w:hyperlink r:id="rId11">
        <w:r>
          <w:rPr>
            <w:color w:val="0563C1"/>
            <w:u w:val="single" w:color="0563C1"/>
          </w:rPr>
          <w:t>https://www.epa.gov/fuels-registration-reporting-and-compliance-help/reporting-fuel-programs</w:t>
        </w:r>
      </w:hyperlink>
    </w:p>
    <w:p w:rsidR="00994583" w:rsidRDefault="00994583" w14:paraId="747D858B" w14:textId="77777777">
      <w:pPr>
        <w:pStyle w:val="BodyText"/>
        <w:spacing w:before="2"/>
        <w:rPr>
          <w:sz w:val="15"/>
        </w:rPr>
      </w:pPr>
    </w:p>
    <w:p w:rsidR="00994583" w:rsidRDefault="00F511E3" w14:paraId="0E7911D9" w14:textId="77777777">
      <w:pPr>
        <w:pStyle w:val="Heading1"/>
        <w:spacing w:before="91" w:after="20"/>
      </w:pPr>
      <w:r>
        <w:t>Field Instructions</w:t>
      </w:r>
    </w:p>
    <w:tbl>
      <w:tblPr>
        <w:tblW w:w="0" w:type="auto"/>
        <w:tblInd w:w="130" w:type="dxa"/>
        <w:tblBorders>
          <w:top w:val="single" w:color="818181" w:sz="4" w:space="0"/>
          <w:left w:val="single" w:color="818181" w:sz="4" w:space="0"/>
          <w:bottom w:val="single" w:color="818181" w:sz="4" w:space="0"/>
          <w:right w:val="single" w:color="818181" w:sz="4" w:space="0"/>
          <w:insideH w:val="single" w:color="818181" w:sz="4" w:space="0"/>
          <w:insideV w:val="single" w:color="81818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2160"/>
        <w:gridCol w:w="1963"/>
        <w:gridCol w:w="4526"/>
      </w:tblGrid>
      <w:tr w:rsidR="00994583" w14:paraId="6699C39B" w14:textId="77777777">
        <w:trPr>
          <w:trHeight w:val="506"/>
        </w:trPr>
        <w:tc>
          <w:tcPr>
            <w:tcW w:w="701" w:type="dxa"/>
            <w:shd w:val="clear" w:color="auto" w:fill="3E3E3E"/>
          </w:tcPr>
          <w:p w:rsidR="00994583" w:rsidRDefault="00F511E3" w14:paraId="55AE581F" w14:textId="77777777">
            <w:pPr>
              <w:pStyle w:val="TableParagraph"/>
            </w:pPr>
            <w:r>
              <w:rPr>
                <w:color w:val="FFFFFF"/>
              </w:rPr>
              <w:t>Field</w:t>
            </w:r>
          </w:p>
          <w:p w:rsidR="00994583" w:rsidRDefault="00F511E3" w14:paraId="1C777023" w14:textId="77777777">
            <w:pPr>
              <w:pStyle w:val="TableParagraph"/>
              <w:spacing w:before="1" w:line="238" w:lineRule="exact"/>
            </w:pPr>
            <w:r>
              <w:rPr>
                <w:color w:val="FFFFFF"/>
              </w:rPr>
              <w:t>No.</w:t>
            </w:r>
          </w:p>
        </w:tc>
        <w:tc>
          <w:tcPr>
            <w:tcW w:w="2160" w:type="dxa"/>
            <w:shd w:val="clear" w:color="auto" w:fill="3E3E3E"/>
          </w:tcPr>
          <w:p w:rsidR="00994583" w:rsidRDefault="00F511E3" w14:paraId="2D159E25" w14:textId="77777777">
            <w:pPr>
              <w:pStyle w:val="TableParagraph"/>
            </w:pPr>
            <w:r>
              <w:rPr>
                <w:color w:val="FFFFFF"/>
              </w:rPr>
              <w:t>Field Name</w:t>
            </w:r>
          </w:p>
        </w:tc>
        <w:tc>
          <w:tcPr>
            <w:tcW w:w="1963" w:type="dxa"/>
            <w:shd w:val="clear" w:color="auto" w:fill="3E3E3E"/>
          </w:tcPr>
          <w:p w:rsidR="00994583" w:rsidRDefault="00F511E3" w14:paraId="3160CA75" w14:textId="77777777">
            <w:pPr>
              <w:pStyle w:val="TableParagraph"/>
            </w:pPr>
            <w:r>
              <w:rPr>
                <w:color w:val="FFFFFF"/>
              </w:rPr>
              <w:t>Units</w:t>
            </w:r>
          </w:p>
        </w:tc>
        <w:tc>
          <w:tcPr>
            <w:tcW w:w="4526" w:type="dxa"/>
            <w:shd w:val="clear" w:color="auto" w:fill="3E3E3E"/>
          </w:tcPr>
          <w:p w:rsidR="00994583" w:rsidRDefault="00F511E3" w14:paraId="6943BC40" w14:textId="77777777">
            <w:pPr>
              <w:pStyle w:val="TableParagraph"/>
            </w:pPr>
            <w:r>
              <w:rPr>
                <w:color w:val="FFFFFF"/>
              </w:rPr>
              <w:t>Field Formats, Codes &amp; Special Instructions</w:t>
            </w:r>
          </w:p>
        </w:tc>
      </w:tr>
      <w:tr w:rsidR="00994583" w14:paraId="7F7F3CAB" w14:textId="77777777">
        <w:trPr>
          <w:trHeight w:val="760"/>
        </w:trPr>
        <w:tc>
          <w:tcPr>
            <w:tcW w:w="701" w:type="dxa"/>
          </w:tcPr>
          <w:p w:rsidR="00994583" w:rsidRDefault="00F511E3" w14:paraId="33F201C7" w14:textId="77777777">
            <w:pPr>
              <w:pStyle w:val="TableParagraph"/>
            </w:pPr>
            <w:r>
              <w:t>8.</w:t>
            </w:r>
          </w:p>
        </w:tc>
        <w:tc>
          <w:tcPr>
            <w:tcW w:w="2160" w:type="dxa"/>
          </w:tcPr>
          <w:p w:rsidR="00994583" w:rsidRDefault="00F511E3" w14:paraId="663AFB6B" w14:textId="77777777">
            <w:pPr>
              <w:pStyle w:val="TableParagraph"/>
            </w:pPr>
            <w:r>
              <w:t>Sulfur Baseline</w:t>
            </w:r>
          </w:p>
        </w:tc>
        <w:tc>
          <w:tcPr>
            <w:tcW w:w="1963" w:type="dxa"/>
          </w:tcPr>
          <w:p w:rsidR="00994583" w:rsidRDefault="00F511E3" w14:paraId="7FCC26B0" w14:textId="77777777">
            <w:pPr>
              <w:pStyle w:val="TableParagraph"/>
            </w:pPr>
            <w:r>
              <w:t>ppm</w:t>
            </w:r>
          </w:p>
        </w:tc>
        <w:tc>
          <w:tcPr>
            <w:tcW w:w="4526" w:type="dxa"/>
          </w:tcPr>
          <w:p w:rsidR="00994583" w:rsidRDefault="00F511E3" w14:paraId="55F52094" w14:textId="77777777">
            <w:pPr>
              <w:pStyle w:val="TableParagraph"/>
            </w:pPr>
            <w:r>
              <w:rPr>
                <w:b/>
              </w:rPr>
              <w:t>9999.99</w:t>
            </w:r>
            <w:r>
              <w:t xml:space="preserve">; </w:t>
            </w:r>
            <w:r>
              <w:rPr>
                <w:i/>
              </w:rPr>
              <w:t>Number</w:t>
            </w:r>
            <w:r>
              <w:t>. Enter the registered facility</w:t>
            </w:r>
          </w:p>
          <w:p w:rsidR="00994583" w:rsidRDefault="00F511E3" w14:paraId="37EFA44F" w14:textId="77777777">
            <w:pPr>
              <w:pStyle w:val="TableParagraph"/>
              <w:spacing w:before="5" w:line="252" w:lineRule="exact"/>
              <w:ind w:right="240"/>
            </w:pPr>
            <w:r>
              <w:t>gasoline sulfur baseline. Beginning 2004, GPA only. Enter “NA” for Tier 3 reporting.</w:t>
            </w:r>
          </w:p>
        </w:tc>
      </w:tr>
      <w:tr w:rsidR="00994583" w14:paraId="2778AD17" w14:textId="77777777">
        <w:trPr>
          <w:trHeight w:val="757"/>
        </w:trPr>
        <w:tc>
          <w:tcPr>
            <w:tcW w:w="701" w:type="dxa"/>
          </w:tcPr>
          <w:p w:rsidR="00994583" w:rsidRDefault="00F511E3" w14:paraId="4F476162" w14:textId="77777777">
            <w:pPr>
              <w:pStyle w:val="TableParagraph"/>
            </w:pPr>
            <w:r>
              <w:t>9.</w:t>
            </w:r>
          </w:p>
        </w:tc>
        <w:tc>
          <w:tcPr>
            <w:tcW w:w="2160" w:type="dxa"/>
          </w:tcPr>
          <w:p w:rsidR="00994583" w:rsidRDefault="00F511E3" w14:paraId="006FD0C9" w14:textId="77777777">
            <w:pPr>
              <w:pStyle w:val="TableParagraph"/>
              <w:spacing w:line="240" w:lineRule="auto"/>
              <w:ind w:right="672"/>
            </w:pPr>
            <w:r>
              <w:t>Average Sulfur Standard</w:t>
            </w:r>
          </w:p>
        </w:tc>
        <w:tc>
          <w:tcPr>
            <w:tcW w:w="1963" w:type="dxa"/>
          </w:tcPr>
          <w:p w:rsidR="00994583" w:rsidRDefault="00F511E3" w14:paraId="5CA95CE0" w14:textId="77777777">
            <w:pPr>
              <w:pStyle w:val="TableParagraph"/>
            </w:pPr>
            <w:r>
              <w:t>ppm</w:t>
            </w:r>
          </w:p>
        </w:tc>
        <w:tc>
          <w:tcPr>
            <w:tcW w:w="4526" w:type="dxa"/>
          </w:tcPr>
          <w:p w:rsidR="00994583" w:rsidRDefault="00F511E3" w14:paraId="685CDD82" w14:textId="77777777">
            <w:pPr>
              <w:pStyle w:val="TableParagraph"/>
              <w:spacing w:line="240" w:lineRule="auto"/>
              <w:ind w:right="191"/>
            </w:pPr>
            <w:r>
              <w:rPr>
                <w:b/>
              </w:rPr>
              <w:t>9999.99</w:t>
            </w:r>
            <w:r>
              <w:t xml:space="preserve">; </w:t>
            </w:r>
            <w:r>
              <w:rPr>
                <w:i/>
              </w:rPr>
              <w:t>Number</w:t>
            </w:r>
            <w:r>
              <w:t>. Enter the applicable gasoline sulfur average standard. Reference 40 CFR</w:t>
            </w:r>
          </w:p>
          <w:p w:rsidR="00994583" w:rsidRDefault="00F511E3" w14:paraId="4DAAAB41" w14:textId="77777777">
            <w:pPr>
              <w:pStyle w:val="TableParagraph"/>
              <w:spacing w:line="238" w:lineRule="exact"/>
            </w:pPr>
            <w:r>
              <w:t>80.1603(a)(1) beginning January 1, 2017.</w:t>
            </w:r>
          </w:p>
        </w:tc>
      </w:tr>
      <w:tr w:rsidR="00994583" w14:paraId="01C9D1BE" w14:textId="77777777">
        <w:trPr>
          <w:trHeight w:val="758"/>
        </w:trPr>
        <w:tc>
          <w:tcPr>
            <w:tcW w:w="701" w:type="dxa"/>
          </w:tcPr>
          <w:p w:rsidR="00994583" w:rsidRDefault="00F511E3" w14:paraId="5B9501FA" w14:textId="77777777">
            <w:pPr>
              <w:pStyle w:val="TableParagraph"/>
            </w:pPr>
            <w:r>
              <w:t>10.</w:t>
            </w:r>
          </w:p>
        </w:tc>
        <w:tc>
          <w:tcPr>
            <w:tcW w:w="2160" w:type="dxa"/>
          </w:tcPr>
          <w:p w:rsidR="00994583" w:rsidRDefault="00F511E3" w14:paraId="7E79BD9E" w14:textId="77777777">
            <w:pPr>
              <w:pStyle w:val="TableParagraph"/>
            </w:pPr>
            <w:r>
              <w:t>Per-Gallon</w:t>
            </w:r>
          </w:p>
          <w:p w:rsidR="00994583" w:rsidRDefault="00F511E3" w14:paraId="1F6C4286" w14:textId="77777777">
            <w:pPr>
              <w:pStyle w:val="TableParagraph"/>
              <w:spacing w:before="5" w:line="252" w:lineRule="exact"/>
              <w:ind w:right="1063"/>
            </w:pPr>
            <w:r>
              <w:t>Cap Sulfur Standard</w:t>
            </w:r>
          </w:p>
        </w:tc>
        <w:tc>
          <w:tcPr>
            <w:tcW w:w="1963" w:type="dxa"/>
          </w:tcPr>
          <w:p w:rsidR="00994583" w:rsidRDefault="00F511E3" w14:paraId="1740C65B" w14:textId="77777777">
            <w:pPr>
              <w:pStyle w:val="TableParagraph"/>
            </w:pPr>
            <w:r>
              <w:t>ppm</w:t>
            </w:r>
          </w:p>
        </w:tc>
        <w:tc>
          <w:tcPr>
            <w:tcW w:w="4526" w:type="dxa"/>
          </w:tcPr>
          <w:p w:rsidR="00994583" w:rsidRDefault="00F511E3" w14:paraId="2B0642F6" w14:textId="77777777">
            <w:pPr>
              <w:pStyle w:val="TableParagraph"/>
            </w:pPr>
            <w:r>
              <w:rPr>
                <w:b/>
              </w:rPr>
              <w:t>9999.99</w:t>
            </w:r>
            <w:r>
              <w:t xml:space="preserve">; </w:t>
            </w:r>
            <w:r>
              <w:rPr>
                <w:i/>
              </w:rPr>
              <w:t>Number</w:t>
            </w:r>
            <w:r>
              <w:t>. Enter the applicable gasoline</w:t>
            </w:r>
          </w:p>
          <w:p w:rsidR="00994583" w:rsidRDefault="00F511E3" w14:paraId="2A43B029" w14:textId="77777777">
            <w:pPr>
              <w:pStyle w:val="TableParagraph"/>
              <w:spacing w:before="5" w:line="252" w:lineRule="exact"/>
              <w:ind w:right="808"/>
            </w:pPr>
            <w:r>
              <w:t>sulfur Per-Gallon Cap Standard. 40 CFR 80.1603(a)(2).</w:t>
            </w:r>
          </w:p>
        </w:tc>
      </w:tr>
      <w:tr w:rsidR="00994583" w14:paraId="1C41E0B2" w14:textId="77777777">
        <w:trPr>
          <w:trHeight w:val="760"/>
        </w:trPr>
        <w:tc>
          <w:tcPr>
            <w:tcW w:w="701" w:type="dxa"/>
          </w:tcPr>
          <w:p w:rsidR="00994583" w:rsidRDefault="00F511E3" w14:paraId="36800605" w14:textId="77777777">
            <w:pPr>
              <w:pStyle w:val="TableParagraph"/>
              <w:spacing w:line="249" w:lineRule="exact"/>
            </w:pPr>
            <w:r>
              <w:t>11.</w:t>
            </w:r>
          </w:p>
        </w:tc>
        <w:tc>
          <w:tcPr>
            <w:tcW w:w="2160" w:type="dxa"/>
          </w:tcPr>
          <w:p w:rsidR="00994583" w:rsidRDefault="00F511E3" w14:paraId="6873B6CC" w14:textId="77777777">
            <w:pPr>
              <w:pStyle w:val="TableParagraph"/>
              <w:spacing w:line="249" w:lineRule="exact"/>
            </w:pPr>
            <w:r>
              <w:t>Sulfur Level</w:t>
            </w:r>
          </w:p>
        </w:tc>
        <w:tc>
          <w:tcPr>
            <w:tcW w:w="1963" w:type="dxa"/>
          </w:tcPr>
          <w:p w:rsidR="00994583" w:rsidRDefault="00F511E3" w14:paraId="3A389DCE" w14:textId="77777777">
            <w:pPr>
              <w:pStyle w:val="TableParagraph"/>
              <w:spacing w:line="249" w:lineRule="exact"/>
            </w:pPr>
            <w:r>
              <w:t>ppm</w:t>
            </w:r>
          </w:p>
        </w:tc>
        <w:tc>
          <w:tcPr>
            <w:tcW w:w="4526" w:type="dxa"/>
          </w:tcPr>
          <w:p w:rsidR="00994583" w:rsidRDefault="00F511E3" w14:paraId="290ABEAE" w14:textId="77777777">
            <w:pPr>
              <w:pStyle w:val="TableParagraph"/>
              <w:spacing w:line="252" w:lineRule="exact"/>
              <w:ind w:right="558"/>
            </w:pPr>
            <w:r>
              <w:rPr>
                <w:b/>
              </w:rPr>
              <w:t>9999.99</w:t>
            </w:r>
            <w:r>
              <w:t xml:space="preserve">; </w:t>
            </w:r>
            <w:r>
              <w:rPr>
                <w:i/>
              </w:rPr>
              <w:t>Number</w:t>
            </w:r>
            <w:r>
              <w:t>. Enter the average annual sulfur level as determined under 40 CFR 80.1603(c) beginning January 1, 2017.</w:t>
            </w:r>
          </w:p>
        </w:tc>
      </w:tr>
      <w:tr w:rsidR="00994583" w14:paraId="5AA36EAD" w14:textId="77777777">
        <w:trPr>
          <w:trHeight w:val="758"/>
        </w:trPr>
        <w:tc>
          <w:tcPr>
            <w:tcW w:w="701" w:type="dxa"/>
          </w:tcPr>
          <w:p w:rsidR="00994583" w:rsidRDefault="00F511E3" w14:paraId="2655CB15" w14:textId="77777777">
            <w:pPr>
              <w:pStyle w:val="TableParagraph"/>
            </w:pPr>
            <w:r>
              <w:t>12.</w:t>
            </w:r>
          </w:p>
        </w:tc>
        <w:tc>
          <w:tcPr>
            <w:tcW w:w="2160" w:type="dxa"/>
          </w:tcPr>
          <w:p w:rsidR="00994583" w:rsidRDefault="00F511E3" w14:paraId="445CA3DE" w14:textId="77777777">
            <w:pPr>
              <w:pStyle w:val="TableParagraph"/>
              <w:spacing w:line="240" w:lineRule="auto"/>
              <w:ind w:right="623"/>
            </w:pPr>
            <w:r>
              <w:t>Adjusted Sulfur Level</w:t>
            </w:r>
          </w:p>
        </w:tc>
        <w:tc>
          <w:tcPr>
            <w:tcW w:w="1963" w:type="dxa"/>
          </w:tcPr>
          <w:p w:rsidR="00994583" w:rsidRDefault="00F511E3" w14:paraId="3107612D" w14:textId="77777777">
            <w:pPr>
              <w:pStyle w:val="TableParagraph"/>
            </w:pPr>
            <w:r>
              <w:t>ppm</w:t>
            </w:r>
          </w:p>
        </w:tc>
        <w:tc>
          <w:tcPr>
            <w:tcW w:w="4526" w:type="dxa"/>
          </w:tcPr>
          <w:p w:rsidR="00994583" w:rsidRDefault="00F511E3" w14:paraId="0327D9E9" w14:textId="77777777">
            <w:pPr>
              <w:pStyle w:val="TableParagraph"/>
              <w:spacing w:line="240" w:lineRule="auto"/>
              <w:ind w:right="411"/>
            </w:pPr>
            <w:r>
              <w:rPr>
                <w:b/>
              </w:rPr>
              <w:t>9999.99</w:t>
            </w:r>
            <w:r>
              <w:t xml:space="preserve">; </w:t>
            </w:r>
            <w:r>
              <w:rPr>
                <w:i/>
              </w:rPr>
              <w:t>Number</w:t>
            </w:r>
            <w:r>
              <w:t>. Enter the adjusted average annual sulfur level after applying credits as</w:t>
            </w:r>
          </w:p>
          <w:p w:rsidR="00994583" w:rsidRDefault="00F511E3" w14:paraId="2ADF7BF7" w14:textId="77777777">
            <w:pPr>
              <w:pStyle w:val="TableParagraph"/>
              <w:spacing w:line="238" w:lineRule="exact"/>
            </w:pPr>
            <w:r>
              <w:t>provided under 40 CFR 80.1603(a)(3).</w:t>
            </w:r>
          </w:p>
        </w:tc>
      </w:tr>
      <w:tr w:rsidR="00994583" w14:paraId="45272127" w14:textId="77777777">
        <w:trPr>
          <w:trHeight w:val="760"/>
        </w:trPr>
        <w:tc>
          <w:tcPr>
            <w:tcW w:w="701" w:type="dxa"/>
          </w:tcPr>
          <w:p w:rsidR="00994583" w:rsidRDefault="00F511E3" w14:paraId="4AD9B951" w14:textId="77777777">
            <w:pPr>
              <w:pStyle w:val="TableParagraph"/>
            </w:pPr>
            <w:r>
              <w:t>13.</w:t>
            </w:r>
          </w:p>
        </w:tc>
        <w:tc>
          <w:tcPr>
            <w:tcW w:w="2160" w:type="dxa"/>
          </w:tcPr>
          <w:p w:rsidR="00994583" w:rsidRDefault="00F511E3" w14:paraId="1DA7236E" w14:textId="77777777">
            <w:pPr>
              <w:pStyle w:val="TableParagraph"/>
            </w:pPr>
            <w:r>
              <w:t>Total Volume</w:t>
            </w:r>
          </w:p>
        </w:tc>
        <w:tc>
          <w:tcPr>
            <w:tcW w:w="1963" w:type="dxa"/>
          </w:tcPr>
          <w:p w:rsidR="00994583" w:rsidRDefault="00F511E3" w14:paraId="300705FC" w14:textId="77777777">
            <w:pPr>
              <w:pStyle w:val="TableParagraph"/>
            </w:pPr>
            <w:r>
              <w:t>gallons</w:t>
            </w:r>
          </w:p>
        </w:tc>
        <w:tc>
          <w:tcPr>
            <w:tcW w:w="4526" w:type="dxa"/>
          </w:tcPr>
          <w:p w:rsidR="00994583" w:rsidRDefault="00F511E3" w14:paraId="187D51EA" w14:textId="77777777">
            <w:pPr>
              <w:pStyle w:val="TableParagraph"/>
            </w:pPr>
            <w:r>
              <w:rPr>
                <w:b/>
              </w:rPr>
              <w:t>999999999999</w:t>
            </w:r>
            <w:r>
              <w:t xml:space="preserve">; </w:t>
            </w:r>
            <w:r>
              <w:rPr>
                <w:i/>
              </w:rPr>
              <w:t>Number</w:t>
            </w:r>
            <w:r>
              <w:t>. Facility</w:t>
            </w:r>
          </w:p>
          <w:p w:rsidR="00994583" w:rsidRDefault="00F511E3" w14:paraId="1ABC4EC8" w14:textId="77777777">
            <w:pPr>
              <w:pStyle w:val="TableParagraph"/>
              <w:spacing w:before="5" w:line="252" w:lineRule="exact"/>
              <w:ind w:right="796"/>
            </w:pPr>
            <w:r>
              <w:t>production/import volume for the annual averaging period.</w:t>
            </w:r>
          </w:p>
        </w:tc>
      </w:tr>
      <w:tr w:rsidR="00994583" w14:paraId="5D969D82" w14:textId="77777777">
        <w:trPr>
          <w:trHeight w:val="1009"/>
        </w:trPr>
        <w:tc>
          <w:tcPr>
            <w:tcW w:w="701" w:type="dxa"/>
          </w:tcPr>
          <w:p w:rsidR="00994583" w:rsidRDefault="00F511E3" w14:paraId="092FAE7C" w14:textId="77777777">
            <w:pPr>
              <w:pStyle w:val="TableParagraph"/>
            </w:pPr>
            <w:r>
              <w:t>14</w:t>
            </w:r>
          </w:p>
        </w:tc>
        <w:tc>
          <w:tcPr>
            <w:tcW w:w="2160" w:type="dxa"/>
          </w:tcPr>
          <w:p w:rsidR="00994583" w:rsidRDefault="00F511E3" w14:paraId="0545924F" w14:textId="77777777">
            <w:pPr>
              <w:pStyle w:val="TableParagraph"/>
              <w:spacing w:line="240" w:lineRule="auto"/>
              <w:ind w:right="196"/>
            </w:pPr>
            <w:r>
              <w:t>Sulfur credit deficit carried over from previous compliance</w:t>
            </w:r>
          </w:p>
          <w:p w:rsidR="00994583" w:rsidRDefault="00F511E3" w14:paraId="590A8A35" w14:textId="77777777">
            <w:pPr>
              <w:pStyle w:val="TableParagraph"/>
              <w:spacing w:line="237" w:lineRule="exact"/>
            </w:pPr>
            <w:r>
              <w:t>year</w:t>
            </w:r>
          </w:p>
        </w:tc>
        <w:tc>
          <w:tcPr>
            <w:tcW w:w="1963" w:type="dxa"/>
          </w:tcPr>
          <w:p w:rsidR="00994583" w:rsidRDefault="00F511E3" w14:paraId="04650539" w14:textId="77777777">
            <w:pPr>
              <w:pStyle w:val="TableParagraph"/>
            </w:pPr>
            <w:r>
              <w:t>ppm-gallons</w:t>
            </w:r>
          </w:p>
        </w:tc>
        <w:tc>
          <w:tcPr>
            <w:tcW w:w="4526" w:type="dxa"/>
          </w:tcPr>
          <w:p w:rsidR="00994583" w:rsidRDefault="00F511E3" w14:paraId="328619C0" w14:textId="77777777">
            <w:pPr>
              <w:pStyle w:val="TableParagraph"/>
              <w:spacing w:line="240" w:lineRule="auto"/>
              <w:ind w:right="388"/>
            </w:pPr>
            <w:r>
              <w:rPr>
                <w:b/>
              </w:rPr>
              <w:t xml:space="preserve">9999999999999; </w:t>
            </w:r>
            <w:r>
              <w:rPr>
                <w:i/>
              </w:rPr>
              <w:t xml:space="preserve">Number. </w:t>
            </w:r>
            <w:r>
              <w:t>If a facility has carried over a credit deficit from the previous year, enter it here.</w:t>
            </w:r>
          </w:p>
        </w:tc>
      </w:tr>
      <w:tr w:rsidR="00994583" w14:paraId="3B4C61D9" w14:textId="77777777">
        <w:trPr>
          <w:trHeight w:val="1012"/>
        </w:trPr>
        <w:tc>
          <w:tcPr>
            <w:tcW w:w="701" w:type="dxa"/>
          </w:tcPr>
          <w:p w:rsidR="00994583" w:rsidRDefault="00F511E3" w14:paraId="76257E5B" w14:textId="77777777">
            <w:pPr>
              <w:pStyle w:val="TableParagraph"/>
              <w:spacing w:line="249" w:lineRule="exact"/>
            </w:pPr>
            <w:r>
              <w:t>15</w:t>
            </w:r>
          </w:p>
        </w:tc>
        <w:tc>
          <w:tcPr>
            <w:tcW w:w="2160" w:type="dxa"/>
          </w:tcPr>
          <w:p w:rsidR="00994583" w:rsidRDefault="00F511E3" w14:paraId="176D6C1C" w14:textId="77777777">
            <w:pPr>
              <w:pStyle w:val="TableParagraph"/>
              <w:spacing w:line="240" w:lineRule="auto"/>
              <w:ind w:right="98"/>
            </w:pPr>
            <w:r>
              <w:t>Sulfur credit deficit carried over into following compliance</w:t>
            </w:r>
          </w:p>
          <w:p w:rsidR="00994583" w:rsidRDefault="00F511E3" w14:paraId="5BD93C2C" w14:textId="77777777">
            <w:pPr>
              <w:pStyle w:val="TableParagraph"/>
              <w:spacing w:line="237" w:lineRule="exact"/>
            </w:pPr>
            <w:r>
              <w:t>year</w:t>
            </w:r>
          </w:p>
        </w:tc>
        <w:tc>
          <w:tcPr>
            <w:tcW w:w="1963" w:type="dxa"/>
          </w:tcPr>
          <w:p w:rsidR="00994583" w:rsidRDefault="00F511E3" w14:paraId="37E64132" w14:textId="77777777">
            <w:pPr>
              <w:pStyle w:val="TableParagraph"/>
              <w:spacing w:line="249" w:lineRule="exact"/>
            </w:pPr>
            <w:r>
              <w:t>ppm-gallons</w:t>
            </w:r>
          </w:p>
        </w:tc>
        <w:tc>
          <w:tcPr>
            <w:tcW w:w="4526" w:type="dxa"/>
          </w:tcPr>
          <w:p w:rsidR="00994583" w:rsidRDefault="00F511E3" w14:paraId="175FF382" w14:textId="77777777">
            <w:pPr>
              <w:pStyle w:val="TableParagraph"/>
              <w:spacing w:line="240" w:lineRule="auto"/>
              <w:ind w:right="240"/>
            </w:pPr>
            <w:r>
              <w:rPr>
                <w:b/>
              </w:rPr>
              <w:t xml:space="preserve">9999999999999; </w:t>
            </w:r>
            <w:r>
              <w:rPr>
                <w:i/>
              </w:rPr>
              <w:t>Number</w:t>
            </w:r>
            <w:r>
              <w:t>. If a facility carries over a credit deficit into the following year, enter it here, as determined under 40 CFR</w:t>
            </w:r>
          </w:p>
          <w:p w:rsidR="00994583" w:rsidRDefault="00F511E3" w14:paraId="570D7B9F" w14:textId="77777777">
            <w:pPr>
              <w:pStyle w:val="TableParagraph"/>
              <w:spacing w:line="237" w:lineRule="exact"/>
            </w:pPr>
            <w:r>
              <w:t>80.1603(f)(3).</w:t>
            </w:r>
          </w:p>
        </w:tc>
      </w:tr>
    </w:tbl>
    <w:p w:rsidR="00994583" w:rsidRDefault="00F511E3" w14:paraId="7C528890" w14:textId="77777777">
      <w:pPr>
        <w:pStyle w:val="BodyText"/>
        <w:ind w:left="120" w:right="1246"/>
      </w:pPr>
      <w:r>
        <w:t>Electronic Submission Sample Record: GSF</w:t>
      </w:r>
      <w:proofErr w:type="gramStart"/>
      <w:r>
        <w:t>0302,O</w:t>
      </w:r>
      <w:proofErr w:type="gramEnd"/>
      <w:r>
        <w:t>,02/21/2017,2017,Y,1234,12345,190.12,10.00, 80.00,14.14,10.00,123456789,0,0</w:t>
      </w:r>
    </w:p>
    <w:p w:rsidR="00994583" w:rsidRDefault="00994583" w14:paraId="054DE823" w14:textId="77777777">
      <w:pPr>
        <w:sectPr w:rsidR="0099458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560" w:right="1320" w:bottom="920" w:left="1320" w:header="720" w:footer="724" w:gutter="0"/>
          <w:pgNumType w:start="1"/>
          <w:cols w:space="720"/>
        </w:sectPr>
      </w:pPr>
    </w:p>
    <w:p w:rsidR="00994583" w:rsidRDefault="00994583" w14:paraId="18CF48E1" w14:textId="77777777">
      <w:pPr>
        <w:pStyle w:val="BodyText"/>
        <w:rPr>
          <w:sz w:val="20"/>
        </w:rPr>
      </w:pPr>
    </w:p>
    <w:p w:rsidR="00994583" w:rsidRDefault="00994583" w14:paraId="632BA21F" w14:textId="77777777">
      <w:pPr>
        <w:pStyle w:val="BodyText"/>
        <w:spacing w:before="4"/>
        <w:rPr>
          <w:sz w:val="25"/>
        </w:rPr>
      </w:pPr>
    </w:p>
    <w:p w:rsidR="00994583" w:rsidRDefault="00F511E3" w14:paraId="1BF77CEB" w14:textId="77777777">
      <w:pPr>
        <w:pStyle w:val="BodyText"/>
        <w:spacing w:before="92"/>
        <w:ind w:left="3170" w:right="3170"/>
        <w:jc w:val="center"/>
      </w:pPr>
      <w:r>
        <w:rPr>
          <w:u w:val="single"/>
        </w:rPr>
        <w:t>Paperwork Reduction Act Statement</w:t>
      </w:r>
    </w:p>
    <w:p w:rsidR="00994583" w:rsidP="00B71869" w:rsidRDefault="00B71869" w14:paraId="00800E4E" w14:textId="77777777">
      <w:pPr>
        <w:pStyle w:val="BodyText"/>
        <w:spacing w:before="179" w:line="259" w:lineRule="auto"/>
        <w:ind w:left="120" w:right="168"/>
      </w:pPr>
      <w:r>
        <w:t xml:space="preserve">This collection of information is approved by OMB under the Paperwork reduction Act, 44 U.S.C. 3501 et seq. (OMB Control No. 2060-0437). Responses to this collection of information are mandatory (40 CFR 80). </w:t>
      </w:r>
      <w:r w:rsidR="00F511E3">
        <w:t xml:space="preserve">An agency may not conduct or sponsor, and a person is not required to respond to, a collection of information unless it displays a currently valid OMB control number. </w:t>
      </w:r>
      <w:r>
        <w:t xml:space="preserve">The public reporting and recordkeeping burden for this collection of information is estimated to be 20 minutes per response. </w:t>
      </w:r>
      <w:r w:rsidR="00F511E3">
        <w:t xml:space="preserve">Send comments on the Agency's need for this information, the accuracy of the provided burden estimates and any suggested methods for minimizing respondent burden to the </w:t>
      </w:r>
      <w:r>
        <w:t xml:space="preserve">Regulatory Support Division </w:t>
      </w:r>
      <w:r w:rsidR="00F511E3">
        <w:t>Director, U.S. Environmental Protection Agency (282</w:t>
      </w:r>
      <w:r>
        <w:t>1T</w:t>
      </w:r>
      <w:r w:rsidR="00F511E3">
        <w:t>), 1200 Pennsylvania Ave., NW, Washington, D.C. 20460.</w:t>
      </w:r>
      <w:r>
        <w:t xml:space="preserve"> </w:t>
      </w:r>
      <w:r w:rsidR="00F511E3">
        <w:t>Include the OMB control number in any correspondence. Do not send the completed form to this address.</w:t>
      </w:r>
    </w:p>
    <w:sectPr w:rsidR="00994583">
      <w:pgSz w:w="12240" w:h="15840"/>
      <w:pgMar w:top="1560" w:right="1320" w:bottom="920" w:left="1320" w:header="72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EEA3F" w14:textId="77777777" w:rsidR="002628E7" w:rsidRDefault="00F511E3">
      <w:r>
        <w:separator/>
      </w:r>
    </w:p>
  </w:endnote>
  <w:endnote w:type="continuationSeparator" w:id="0">
    <w:p w14:paraId="56630908" w14:textId="77777777" w:rsidR="002628E7" w:rsidRDefault="00F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D2B59" w14:textId="77777777" w:rsidR="00A53C53" w:rsidRDefault="00A53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B6B2B" w14:textId="77777777" w:rsidR="00994583" w:rsidRDefault="00BE0A2B">
    <w:pPr>
      <w:pStyle w:val="BodyText"/>
      <w:spacing w:line="14" w:lineRule="auto"/>
      <w:rPr>
        <w:sz w:val="20"/>
      </w:rPr>
    </w:pPr>
    <w:r>
      <w:pict w14:anchorId="2CA86FA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744.8pt;width:95.25pt;height:12pt;z-index:-15825408;mso-position-horizontal-relative:page;mso-position-vertical-relative:page" filled="f" stroked="f">
          <v:textbox inset="0,0,0,0">
            <w:txbxContent>
              <w:p w14:paraId="7D3283AB" w14:textId="77777777" w:rsidR="00994583" w:rsidRDefault="00F511E3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EPA Form No. 5900-312</w:t>
                </w:r>
              </w:p>
            </w:txbxContent>
          </v:textbox>
          <w10:wrap anchorx="page" anchory="page"/>
        </v:shape>
      </w:pict>
    </w:r>
    <w:r>
      <w:pict w14:anchorId="54D0E11E">
        <v:shape id="_x0000_s1025" type="#_x0000_t202" style="position:absolute;margin-left:284.6pt;margin-top:744.8pt;width:45.75pt;height:12pt;z-index:-15824896;mso-position-horizontal-relative:page;mso-position-vertical-relative:page" filled="f" stroked="f">
          <v:textbox inset="0,0,0,0">
            <w:txbxContent>
              <w:p w14:paraId="077DC5B2" w14:textId="77777777" w:rsidR="00994583" w:rsidRDefault="00F511E3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sz w:val="18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 xml:space="preserve">of </w:t>
                </w:r>
                <w:r>
                  <w:rPr>
                    <w:b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B3AF7" w14:textId="77777777" w:rsidR="00A53C53" w:rsidRDefault="00A53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BAEB5" w14:textId="77777777" w:rsidR="002628E7" w:rsidRDefault="00F511E3">
      <w:r>
        <w:separator/>
      </w:r>
    </w:p>
  </w:footnote>
  <w:footnote w:type="continuationSeparator" w:id="0">
    <w:p w14:paraId="404692E4" w14:textId="77777777" w:rsidR="002628E7" w:rsidRDefault="00F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DE7A2" w14:textId="77777777" w:rsidR="00A53C53" w:rsidRDefault="00A53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AE030" w14:textId="77777777" w:rsidR="00994583" w:rsidRDefault="00F511E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9536" behindDoc="1" locked="0" layoutInCell="1" allowOverlap="1" wp14:anchorId="43689794" wp14:editId="1E8BDC50">
          <wp:simplePos x="0" y="0"/>
          <wp:positionH relativeFrom="page">
            <wp:posOffset>927100</wp:posOffset>
          </wp:positionH>
          <wp:positionV relativeFrom="page">
            <wp:posOffset>457200</wp:posOffset>
          </wp:positionV>
          <wp:extent cx="1281912" cy="5054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1912" cy="505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0A2B">
      <w:pict w14:anchorId="768FB0D7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18.25pt;margin-top:36.8pt;width:152.6pt;height:32.75pt;z-index:-15826432;mso-position-horizontal-relative:page;mso-position-vertical-relative:page" filled="f" stroked="f">
          <v:textbox inset="0,0,0,0">
            <w:txbxContent>
              <w:p w14:paraId="6C5913C0" w14:textId="77777777" w:rsidR="00994583" w:rsidRDefault="00F511E3">
                <w:pPr>
                  <w:spacing w:before="12" w:line="207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Gasoline Sulfur Program</w:t>
                </w:r>
              </w:p>
              <w:p w14:paraId="305798CC" w14:textId="77777777" w:rsidR="00994583" w:rsidRDefault="00F511E3">
                <w:pPr>
                  <w:ind w:left="20" w:right="2"/>
                  <w:rPr>
                    <w:sz w:val="18"/>
                  </w:rPr>
                </w:pPr>
                <w:r>
                  <w:rPr>
                    <w:sz w:val="18"/>
                  </w:rPr>
                  <w:t>Gasoline Sulfur Facility Summary Report Form ID: GSF0302</w:t>
                </w:r>
              </w:p>
            </w:txbxContent>
          </v:textbox>
          <w10:wrap anchorx="page" anchory="page"/>
        </v:shape>
      </w:pict>
    </w:r>
    <w:r w:rsidR="00BE0A2B">
      <w:pict w14:anchorId="018028C3">
        <v:shape id="_x0000_s1027" type="#_x0000_t202" style="position:absolute;margin-left:432.9pt;margin-top:36.8pt;width:106.9pt;height:22.45pt;z-index:-15825920;mso-position-horizontal-relative:page;mso-position-vertical-relative:page" filled="f" stroked="f">
          <v:textbox inset="0,0,0,0">
            <w:txbxContent>
              <w:p w14:paraId="736FF79A" w14:textId="77777777" w:rsidR="00994583" w:rsidRDefault="00F511E3">
                <w:pPr>
                  <w:spacing w:before="12"/>
                  <w:ind w:right="18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OMB Control No.</w:t>
                </w:r>
                <w:r>
                  <w:rPr>
                    <w:spacing w:val="-7"/>
                    <w:sz w:val="18"/>
                  </w:rPr>
                  <w:t xml:space="preserve"> </w:t>
                </w:r>
                <w:r>
                  <w:rPr>
                    <w:spacing w:val="-5"/>
                    <w:sz w:val="18"/>
                  </w:rPr>
                  <w:t>2060-0437</w:t>
                </w:r>
              </w:p>
              <w:p w14:paraId="297AC99B" w14:textId="28C38E3B" w:rsidR="00994583" w:rsidRDefault="00F511E3">
                <w:pPr>
                  <w:spacing w:before="2"/>
                  <w:ind w:right="18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Expires</w:t>
                </w:r>
                <w:r>
                  <w:rPr>
                    <w:spacing w:val="-3"/>
                    <w:sz w:val="18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6BBCF" w14:textId="77777777" w:rsidR="00A53C53" w:rsidRDefault="00A53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066B"/>
    <w:multiLevelType w:val="hybridMultilevel"/>
    <w:tmpl w:val="E244D9A2"/>
    <w:lvl w:ilvl="0" w:tplc="B1FC9566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C1CCFE6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3AA42CCE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69102BEE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 w:tplc="D4321A16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ar-SA"/>
      </w:rPr>
    </w:lvl>
    <w:lvl w:ilvl="5" w:tplc="2098BDE0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CF4E66B2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 w:tplc="46965D14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60122134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583"/>
    <w:rsid w:val="002628E7"/>
    <w:rsid w:val="006D2B14"/>
    <w:rsid w:val="00994583"/>
    <w:rsid w:val="00A53C53"/>
    <w:rsid w:val="00B71869"/>
    <w:rsid w:val="00BE0A2B"/>
    <w:rsid w:val="00F5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E1273"/>
  <w15:docId w15:val="{B50D03CA-5879-44C8-A42B-B6C67D03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A53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C5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53C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C5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pa.gov/fuels-registration-reporting-and-compliance-help/reporting-fuel-progra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Records_x0020_Date xmlns="f15e4d92-675c-4df7-a5c5-11f59c7da362" xsi:nil="true"/>
    <TaxKeywordTaxHTField xmlns="4ffa91fb-a0ff-4ac5-b2db-65c790d184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gasoline</TermName>
          <TermId xmlns="http://schemas.microsoft.com/office/infopath/2007/PartnerControls">e41ebd8a-ab20-4fdb-865d-0aef6207b353</TermId>
        </TermInfo>
        <TermInfo xmlns="http://schemas.microsoft.com/office/infopath/2007/PartnerControls">
          <TermName xmlns="http://schemas.microsoft.com/office/infopath/2007/PartnerControls">Petroleum</TermName>
          <TermId xmlns="http://schemas.microsoft.com/office/infopath/2007/PartnerControls">65fba77d-b35e-42ae-8031-278e7ccef44b</TermId>
        </TermInfo>
        <TermInfo xmlns="http://schemas.microsoft.com/office/infopath/2007/PartnerControls">
          <TermName xmlns="http://schemas.microsoft.com/office/infopath/2007/PartnerControls">Sulfur</TermName>
          <TermId xmlns="http://schemas.microsoft.com/office/infopath/2007/PartnerControls">7199eab0-bd47-4590-bd2a-0ff03c16da3b</TermId>
        </TermInfo>
        <TermInfo xmlns="http://schemas.microsoft.com/office/infopath/2007/PartnerControls">
          <TermName xmlns="http://schemas.microsoft.com/office/infopath/2007/PartnerControls">facility</TermName>
          <TermId xmlns="http://schemas.microsoft.com/office/infopath/2007/PartnerControls">02f8c416-9193-4393-b80f-d0c160d8cd48</TermId>
        </TermInfo>
        <TermInfo xmlns="http://schemas.microsoft.com/office/infopath/2007/PartnerControls">
          <TermName xmlns="http://schemas.microsoft.com/office/infopath/2007/PartnerControls">summary</TermName>
          <TermId xmlns="http://schemas.microsoft.com/office/infopath/2007/PartnerControls">2c7626c2-cdef-4c96-8a5a-657dc9641253</TermId>
        </TermInfo>
        <TermInfo xmlns="http://schemas.microsoft.com/office/infopath/2007/PartnerControls">
          <TermName xmlns="http://schemas.microsoft.com/office/infopath/2007/PartnerControls">Report</TermName>
          <TermId xmlns="http://schemas.microsoft.com/office/infopath/2007/PartnerControls">c77d3bab-41ad-42c4-92cb-0955e42225c7</TermId>
        </TermInfo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3dca12c3-9ff8-4928-a36c-82be7822e57f</TermId>
        </TermInfo>
        <TermInfo xmlns="http://schemas.microsoft.com/office/infopath/2007/PartnerControls">
          <TermName xmlns="http://schemas.microsoft.com/office/infopath/2007/PartnerControls">gsf0302</TermName>
          <TermId xmlns="http://schemas.microsoft.com/office/infopath/2007/PartnerControls">467b9d64-834f-475e-a4a0-6a0cf3da8256</TermId>
        </TermInfo>
        <TermInfo xmlns="http://schemas.microsoft.com/office/infopath/2007/PartnerControls">
          <TermName xmlns="http://schemas.microsoft.com/office/infopath/2007/PartnerControls">field</TermName>
          <TermId xmlns="http://schemas.microsoft.com/office/infopath/2007/PartnerControls">e913ab54-718c-4e6d-8572-1e47decee489</TermId>
        </TermInfo>
        <TermInfo xmlns="http://schemas.microsoft.com/office/infopath/2007/PartnerControls">
          <TermName xmlns="http://schemas.microsoft.com/office/infopath/2007/PartnerControls">instructions</TermName>
          <TermId xmlns="http://schemas.microsoft.com/office/infopath/2007/PartnerControls">6fc9ff88-cbe2-4936-bbba-a6b551094a90</TermId>
        </TermInfo>
        <TermInfo xmlns="http://schemas.microsoft.com/office/infopath/2007/PartnerControls">
          <TermName xmlns="http://schemas.microsoft.com/office/infopath/2007/PartnerControls">facility</TermName>
          <TermId xmlns="http://schemas.microsoft.com/office/infopath/2007/PartnerControls">02f8c416-9193-4393-b80f-d0c160d8cd48</TermId>
        </TermInfo>
        <TermInfo xmlns="http://schemas.microsoft.com/office/infopath/2007/PartnerControls">
          <TermName xmlns="http://schemas.microsoft.com/office/infopath/2007/PartnerControls">produce</TermName>
          <TermId xmlns="http://schemas.microsoft.com/office/infopath/2007/PartnerControls">79069fa2-430b-4b86-b58d-3a6898b7279c</TermId>
        </TermInfo>
        <TermInfo xmlns="http://schemas.microsoft.com/office/infopath/2007/PartnerControls">
          <TermName xmlns="http://schemas.microsoft.com/office/infopath/2007/PartnerControls">import</TermName>
          <TermId xmlns="http://schemas.microsoft.com/office/infopath/2007/PartnerControls">a8165157-aa90-49b2-a5f9-13c91eabed57</TermId>
        </TermInfo>
        <TermInfo xmlns="http://schemas.microsoft.com/office/infopath/2007/PartnerControls">
          <TermName xmlns="http://schemas.microsoft.com/office/infopath/2007/PartnerControls">refiners</TermName>
          <TermId xmlns="http://schemas.microsoft.com/office/infopath/2007/PartnerControls">bb38ad7a-b1fc-4378-be40-90cd1b106a13</TermId>
        </TermInfo>
        <TermInfo xmlns="http://schemas.microsoft.com/office/infopath/2007/PartnerControls">
          <TermName xmlns="http://schemas.microsoft.com/office/infopath/2007/PartnerControls">importers</TermName>
          <TermId xmlns="http://schemas.microsoft.com/office/infopath/2007/PartnerControls">991bae58-1a2d-41fb-9e29-1b271be9f7c4</TermId>
        </TermInfo>
        <TermInfo xmlns="http://schemas.microsoft.com/office/infopath/2007/PartnerControls">
          <TermName xmlns="http://schemas.microsoft.com/office/infopath/2007/PartnerControls">Annual</TermName>
          <TermId xmlns="http://schemas.microsoft.com/office/infopath/2007/PartnerControls">1cdacede-d0de-49d5-b8d1-538e725d8474</TermId>
        </TermInfo>
        <TermInfo xmlns="http://schemas.microsoft.com/office/infopath/2007/PartnerControls">
          <TermName xmlns="http://schemas.microsoft.com/office/infopath/2007/PartnerControls">averaging</TermName>
          <TermId xmlns="http://schemas.microsoft.com/office/infopath/2007/PartnerControls">e44db492-128a-475a-bc09-bcde93d25c46</TermId>
        </TermInfo>
        <TermInfo xmlns="http://schemas.microsoft.com/office/infopath/2007/PartnerControls">
          <TermName xmlns="http://schemas.microsoft.com/office/infopath/2007/PartnerControls">period</TermName>
          <TermId xmlns="http://schemas.microsoft.com/office/infopath/2007/PartnerControls">da6af504-a2ad-4f1f-8fb9-bd8b7ce2dce5</TermId>
        </TermInfo>
        <TermInfo xmlns="http://schemas.microsoft.com/office/infopath/2007/PartnerControls">
          <TermName xmlns="http://schemas.microsoft.com/office/infopath/2007/PartnerControls">submit</TermName>
          <TermId xmlns="http://schemas.microsoft.com/office/infopath/2007/PartnerControls">47f199ad-1367-42d5-a91f-81bc6ad8a90f</TermId>
        </TermInfo>
        <TermInfo xmlns="http://schemas.microsoft.com/office/infopath/2007/PartnerControls">
          <TermName xmlns="http://schemas.microsoft.com/office/infopath/2007/PartnerControls">facility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ID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facility</TermName>
          <TermId xmlns="http://schemas.microsoft.com/office/infopath/2007/PartnerControls">02f8c416-9193-4393-b80f-d0c160d8cd48</TermId>
        </TermInfo>
      </Terms>
    </TaxKeywordTaxHTField>
    <Record xmlns="4ffa91fb-a0ff-4ac5-b2db-65c790d184a4">Shared</Record>
    <Rights xmlns="4ffa91fb-a0ff-4ac5-b2db-65c790d184a4" xsi:nil="true"/>
    <Document_x0020_Creation_x0020_Date xmlns="4ffa91fb-a0ff-4ac5-b2db-65c790d184a4">2020-09-22T19:26:18+00:00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Records_x0020_Status xmlns="f15e4d92-675c-4df7-a5c5-11f59c7da362">Pending</Records_x0020_Status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19D49AC1E8445B308ED73430A75FB" ma:contentTypeVersion="37" ma:contentTypeDescription="Create a new document." ma:contentTypeScope="" ma:versionID="a649c2489bb349d81f3bec676c6080b7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bf1bd976-7838-42ba-8ae1-72ce1e6cdd78" xmlns:ns7="f15e4d92-675c-4df7-a5c5-11f59c7da362" targetNamespace="http://schemas.microsoft.com/office/2006/metadata/properties" ma:root="true" ma:fieldsID="8c3f32679a0de21fe5da1893bdc1316f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bf1bd976-7838-42ba-8ae1-72ce1e6cdd78"/>
    <xsd:import namespace="f15e4d92-675c-4df7-a5c5-11f59c7da362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MediaServiceMetadata" minOccurs="0"/>
                <xsd:element ref="ns6:MediaServiceFastMetadata" minOccurs="0"/>
                <xsd:element ref="ns7:SharedWithUsers" minOccurs="0"/>
                <xsd:element ref="ns7:SharedWithDetails" minOccurs="0"/>
                <xsd:element ref="ns7:SharingHintHash" minOccurs="0"/>
                <xsd:element ref="ns7:Records_x0020_Status" minOccurs="0"/>
                <xsd:element ref="ns7:Records_x0020_Date" minOccurs="0"/>
                <xsd:element ref="ns6:MediaServiceAutoKeyPoints" minOccurs="0"/>
                <xsd:element ref="ns6:MediaServiceKeyPoints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23cedaac-547f-4967-a7b2-3e43b0a4c251}" ma:internalName="TaxCatchAllLabel" ma:readOnly="true" ma:showField="CatchAllDataLabel" ma:web="f15e4d92-675c-4df7-a5c5-11f59c7da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23cedaac-547f-4967-a7b2-3e43b0a4c251}" ma:internalName="TaxCatchAll" ma:showField="CatchAllData" ma:web="f15e4d92-675c-4df7-a5c5-11f59c7da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bd976-7838-42ba-8ae1-72ce1e6cd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4d92-675c-4df7-a5c5-11f59c7da362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25CC0-603E-48FC-BCFC-F29D7F36F312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f15e4d92-675c-4df7-a5c5-11f59c7da362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8846E1D1-EA69-448D-B1A4-77F924CC9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bf1bd976-7838-42ba-8ae1-72ce1e6cdd78"/>
    <ds:schemaRef ds:uri="f15e4d92-675c-4df7-a5c5-11f59c7da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78C0BB-4BE9-44A4-A605-DAF764F11F1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9DFDC46-F915-4661-9C34-CF79BB5603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Gasoline Sulfur Facility Summary Report (Report Form ID: GSF0302): Instructions for Completing (November 17, 2017)</vt:lpstr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Gasoline Sulfur Facility Summary Report (Report Form ID: GSF0302): Instructions for Completing (November 17, 2017)</dc:title>
  <dc:subject>Instructions for refiners and importers to aid in completing the Gasoline Sulfur Facility Summary Report filed annually. (EPA Report Form ID: GSF0302)</dc:subject>
  <dc:creator>U.S. EPA</dc:creator>
  <cp:keywords>gasoline;sulfur;facility;summary;report;form;ID;gsf0302;field;instructions;facility;produce;import;refiners;importers;annual;averaging;period;submit</cp:keywords>
  <cp:lastModifiedBy>Caldwell, Jim</cp:lastModifiedBy>
  <cp:revision>5</cp:revision>
  <dcterms:created xsi:type="dcterms:W3CDTF">2020-09-22T19:26:00Z</dcterms:created>
  <dcterms:modified xsi:type="dcterms:W3CDTF">2020-10-15T13:11:00Z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2020-09-22T00:00:00Z</vt:filetime>
  </property>
  <property fmtid="{D5CDD505-2E9C-101B-9397-08002B2CF9AE}" pid="5" name="ContentTypeId">
    <vt:lpwstr>0x010100C1719D49AC1E8445B308ED73430A75FB</vt:lpwstr>
  </property>
</Properties>
</file>