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7E02" w:rsidRDefault="0091501D" w14:paraId="5D20C591" w14:textId="77777777">
      <w:pPr>
        <w:pStyle w:val="Heading1"/>
        <w:spacing w:before="180"/>
        <w:ind w:left="410"/>
      </w:pPr>
      <w:r>
        <w:t>Fa</w:t>
      </w:r>
      <w:r w:rsidR="008C101C">
        <w:t>cility Gasoline Sulfur and Benzene Annual Report (GSF0402): Instructions for Completing</w:t>
      </w:r>
    </w:p>
    <w:p w:rsidR="00467E02" w:rsidRDefault="00467E02" w14:paraId="4D48456F" w14:textId="77777777">
      <w:pPr>
        <w:pStyle w:val="BodyText"/>
        <w:spacing w:before="7"/>
        <w:rPr>
          <w:b/>
          <w:sz w:val="25"/>
        </w:rPr>
      </w:pPr>
    </w:p>
    <w:p w:rsidR="00467E02" w:rsidRDefault="008C101C" w14:paraId="689C9388" w14:textId="77777777">
      <w:pPr>
        <w:ind w:left="120"/>
        <w:rPr>
          <w:b/>
        </w:rPr>
      </w:pPr>
      <w:r>
        <w:rPr>
          <w:b/>
        </w:rPr>
        <w:t xml:space="preserve">Who must </w:t>
      </w:r>
      <w:proofErr w:type="gramStart"/>
      <w:r>
        <w:rPr>
          <w:b/>
        </w:rPr>
        <w:t>report</w:t>
      </w:r>
      <w:proofErr w:type="gramEnd"/>
    </w:p>
    <w:p w:rsidR="00467E02" w:rsidRDefault="008C101C" w14:paraId="59D4AAF0" w14:textId="77777777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</w:pPr>
      <w:r>
        <w:t xml:space="preserve">Regulated Entities may be </w:t>
      </w:r>
      <w:proofErr w:type="gramStart"/>
      <w:r>
        <w:t>use</w:t>
      </w:r>
      <w:proofErr w:type="gramEnd"/>
      <w:r>
        <w:t xml:space="preserve"> this report to satisfy the following reporting</w:t>
      </w:r>
      <w:r>
        <w:rPr>
          <w:spacing w:val="-20"/>
        </w:rPr>
        <w:t xml:space="preserve"> </w:t>
      </w:r>
      <w:r>
        <w:t>requirements:</w:t>
      </w:r>
    </w:p>
    <w:p w:rsidR="00467E02" w:rsidRDefault="008C101C" w14:paraId="4EAE8D8E" w14:textId="77777777">
      <w:pPr>
        <w:pStyle w:val="ListParagraph"/>
        <w:numPr>
          <w:ilvl w:val="1"/>
          <w:numId w:val="1"/>
        </w:numPr>
        <w:tabs>
          <w:tab w:val="left" w:pos="1560"/>
          <w:tab w:val="left" w:pos="1561"/>
        </w:tabs>
        <w:spacing w:line="252" w:lineRule="auto"/>
        <w:ind w:right="146"/>
      </w:pPr>
      <w:r>
        <w:rPr>
          <w:b/>
        </w:rPr>
        <w:t xml:space="preserve">Conventional Gasoline (CG and CBOB) refiners and importers </w:t>
      </w:r>
      <w:r>
        <w:t>may use this form to satisfy the per batch reporting requirements for the Tier 2/Tier 3 Gasoline Sulfur program and/or the MSAT2 Benzene program (per 40 CFR 80.1354(b)(1)) when using composite sampling. Specifically companies reporting composite sampling testing results (40</w:t>
      </w:r>
      <w:r>
        <w:rPr>
          <w:spacing w:val="-19"/>
        </w:rPr>
        <w:t xml:space="preserve"> </w:t>
      </w:r>
      <w:r>
        <w:t>CFR</w:t>
      </w:r>
    </w:p>
    <w:p w:rsidR="00467E02" w:rsidRDefault="008C101C" w14:paraId="19796EA9" w14:textId="77777777">
      <w:pPr>
        <w:pStyle w:val="BodyText"/>
        <w:spacing w:before="11" w:line="259" w:lineRule="auto"/>
        <w:ind w:left="1560" w:right="314"/>
      </w:pPr>
      <w:r>
        <w:t>80.101 (</w:t>
      </w:r>
      <w:proofErr w:type="spellStart"/>
      <w:r>
        <w:t>i</w:t>
      </w:r>
      <w:proofErr w:type="spellEnd"/>
      <w:r>
        <w:t>)(2)) using the RFG and Anti-Dumping Batch Report (or RFG0302 form) may use this form to individually report the sulfur and benzene levels for each individual batch of CG.</w:t>
      </w:r>
    </w:p>
    <w:p w:rsidR="00467E02" w:rsidRDefault="008C101C" w14:paraId="6296F65A" w14:textId="77777777">
      <w:pPr>
        <w:pStyle w:val="ListParagraph"/>
        <w:numPr>
          <w:ilvl w:val="1"/>
          <w:numId w:val="1"/>
        </w:numPr>
        <w:tabs>
          <w:tab w:val="left" w:pos="1560"/>
          <w:tab w:val="left" w:pos="1561"/>
        </w:tabs>
        <w:spacing w:before="0" w:line="242" w:lineRule="auto"/>
        <w:ind w:right="278"/>
      </w:pPr>
      <w:r>
        <w:rPr>
          <w:b/>
        </w:rPr>
        <w:t xml:space="preserve">Oxygenate producers and importers </w:t>
      </w:r>
      <w:r>
        <w:t>reporting the sulfur content from each oxygenate batch (40 CFR</w:t>
      </w:r>
      <w:r>
        <w:rPr>
          <w:spacing w:val="-5"/>
        </w:rPr>
        <w:t xml:space="preserve"> </w:t>
      </w:r>
      <w:r>
        <w:t>80.1652(c)).</w:t>
      </w:r>
    </w:p>
    <w:p w:rsidR="00467E02" w:rsidRDefault="008C101C" w14:paraId="5475B3EF" w14:textId="77777777">
      <w:pPr>
        <w:pStyle w:val="Heading1"/>
        <w:numPr>
          <w:ilvl w:val="1"/>
          <w:numId w:val="1"/>
        </w:numPr>
        <w:tabs>
          <w:tab w:val="left" w:pos="1560"/>
          <w:tab w:val="left" w:pos="1561"/>
        </w:tabs>
        <w:spacing w:before="21"/>
      </w:pPr>
      <w:r>
        <w:t>Transmix</w:t>
      </w:r>
      <w:r>
        <w:rPr>
          <w:spacing w:val="-4"/>
        </w:rPr>
        <w:t xml:space="preserve"> </w:t>
      </w:r>
      <w:r>
        <w:t>producers</w:t>
      </w:r>
    </w:p>
    <w:p w:rsidR="00467E02" w:rsidRDefault="008C101C" w14:paraId="4284BE7A" w14:textId="77777777">
      <w:pPr>
        <w:spacing w:before="161"/>
        <w:ind w:left="120"/>
        <w:rPr>
          <w:b/>
        </w:rPr>
      </w:pPr>
      <w:r>
        <w:rPr>
          <w:b/>
        </w:rPr>
        <w:t>Reporting requirements</w:t>
      </w:r>
    </w:p>
    <w:p w:rsidR="00467E02" w:rsidRDefault="008C101C" w14:paraId="798C2250" w14:textId="77777777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before="16" w:line="254" w:lineRule="auto"/>
        <w:ind w:right="118"/>
      </w:pPr>
      <w:r>
        <w:t>Complete this report representing all produced or imported batches separately as a single entry for the compliance</w:t>
      </w:r>
      <w:r>
        <w:rPr>
          <w:spacing w:val="-1"/>
        </w:rPr>
        <w:t xml:space="preserve"> </w:t>
      </w:r>
      <w:r>
        <w:t>year.</w:t>
      </w:r>
    </w:p>
    <w:p w:rsidR="00467E02" w:rsidRDefault="008C101C" w14:paraId="100D48A8" w14:textId="77777777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before="8" w:line="256" w:lineRule="auto"/>
        <w:ind w:right="221" w:hanging="360"/>
      </w:pPr>
      <w:r>
        <w:rPr>
          <w:b/>
        </w:rPr>
        <w:t xml:space="preserve">Required fields and NA values </w:t>
      </w:r>
      <w:r>
        <w:t>– Certain report fields or parameters may be specific to select product types. If a report field does not apply to the reported batch, enter the value “NA”. Do not leave the field</w:t>
      </w:r>
      <w:r>
        <w:rPr>
          <w:spacing w:val="-1"/>
        </w:rPr>
        <w:t xml:space="preserve"> </w:t>
      </w:r>
      <w:r>
        <w:t>blank.</w:t>
      </w:r>
    </w:p>
    <w:p w:rsidR="00467E02" w:rsidRDefault="008C101C" w14:paraId="68A91697" w14:textId="77777777">
      <w:pPr>
        <w:pStyle w:val="Heading1"/>
        <w:spacing w:before="168"/>
      </w:pPr>
      <w:r>
        <w:t>Reporting deadlines</w:t>
      </w:r>
    </w:p>
    <w:p w:rsidR="00467E02" w:rsidRDefault="008C101C" w14:paraId="39D49C96" w14:textId="77777777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line="256" w:lineRule="auto"/>
        <w:ind w:left="839" w:right="227" w:hanging="360"/>
      </w:pPr>
      <w:r>
        <w:t>Reports shall be submitted on an annual basis no later than March 31</w:t>
      </w:r>
      <w:r>
        <w:rPr>
          <w:vertAlign w:val="superscript"/>
        </w:rPr>
        <w:t>st</w:t>
      </w:r>
      <w:r>
        <w:t xml:space="preserve"> of the following year after the compliance period has</w:t>
      </w:r>
      <w:r>
        <w:rPr>
          <w:spacing w:val="-6"/>
        </w:rPr>
        <w:t xml:space="preserve"> </w:t>
      </w:r>
      <w:r>
        <w:t>ended.</w:t>
      </w:r>
    </w:p>
    <w:p w:rsidR="00467E02" w:rsidRDefault="008C101C" w14:paraId="2C87F864" w14:textId="77777777">
      <w:pPr>
        <w:pStyle w:val="Heading1"/>
        <w:spacing w:before="167"/>
        <w:ind w:left="119"/>
      </w:pPr>
      <w:r>
        <w:t>How to submit reports</w:t>
      </w:r>
    </w:p>
    <w:p w:rsidR="00467E02" w:rsidRDefault="008C101C" w14:paraId="7750DC42" w14:textId="77777777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line="256" w:lineRule="auto"/>
        <w:ind w:right="180"/>
        <w:rPr>
          <w:b/>
        </w:rPr>
      </w:pPr>
      <w:r>
        <w:t>EPA maintains report templates, electronic submission procedures and additional support options at</w:t>
      </w:r>
      <w:r>
        <w:rPr>
          <w:color w:val="0563C1"/>
        </w:rPr>
        <w:t xml:space="preserve"> </w:t>
      </w:r>
      <w:hyperlink r:id="rId11">
        <w:r>
          <w:rPr>
            <w:color w:val="0563C1"/>
            <w:u w:val="single" w:color="0563C1"/>
          </w:rPr>
          <w:t>http://www.epa.gov/otaq/fuels/reporting/cdx.htm</w:t>
        </w:r>
        <w:r>
          <w:rPr>
            <w:b/>
          </w:rPr>
          <w:t>.</w:t>
        </w:r>
      </w:hyperlink>
    </w:p>
    <w:p w:rsidR="00467E02" w:rsidRDefault="00467E02" w14:paraId="741EB833" w14:textId="77777777">
      <w:pPr>
        <w:pStyle w:val="BodyText"/>
        <w:spacing w:before="4"/>
        <w:rPr>
          <w:b/>
          <w:sz w:val="16"/>
        </w:rPr>
      </w:pPr>
    </w:p>
    <w:p w:rsidR="00467E02" w:rsidRDefault="008C101C" w14:paraId="598D6FD7" w14:textId="77777777">
      <w:pPr>
        <w:pStyle w:val="Heading1"/>
        <w:spacing w:before="92" w:after="20"/>
      </w:pPr>
      <w:r>
        <w:t>Field Instructions</w:t>
      </w:r>
    </w:p>
    <w:tbl>
      <w:tblPr>
        <w:tblW w:w="0" w:type="auto"/>
        <w:tblInd w:w="130" w:type="dxa"/>
        <w:tblBorders>
          <w:top w:val="single" w:color="818181" w:sz="4" w:space="0"/>
          <w:left w:val="single" w:color="818181" w:sz="4" w:space="0"/>
          <w:bottom w:val="single" w:color="818181" w:sz="4" w:space="0"/>
          <w:right w:val="single" w:color="818181" w:sz="4" w:space="0"/>
          <w:insideH w:val="single" w:color="818181" w:sz="4" w:space="0"/>
          <w:insideV w:val="single" w:color="818181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0"/>
        <w:gridCol w:w="2268"/>
        <w:gridCol w:w="1190"/>
        <w:gridCol w:w="5181"/>
      </w:tblGrid>
      <w:tr w:rsidR="00467E02" w14:paraId="47984ED9" w14:textId="77777777">
        <w:trPr>
          <w:trHeight w:val="505"/>
        </w:trPr>
        <w:tc>
          <w:tcPr>
            <w:tcW w:w="710" w:type="dxa"/>
            <w:shd w:val="clear" w:color="auto" w:fill="3E3E3E"/>
          </w:tcPr>
          <w:p w:rsidR="00467E02" w:rsidRDefault="008C101C" w14:paraId="220879ED" w14:textId="77777777">
            <w:pPr>
              <w:pStyle w:val="TableParagraph"/>
              <w:ind w:left="107"/>
            </w:pPr>
            <w:r>
              <w:rPr>
                <w:color w:val="FFFFFF"/>
              </w:rPr>
              <w:t>Field</w:t>
            </w:r>
          </w:p>
          <w:p w:rsidR="00467E02" w:rsidRDefault="008C101C" w14:paraId="3A3A4560" w14:textId="77777777">
            <w:pPr>
              <w:pStyle w:val="TableParagraph"/>
              <w:spacing w:before="1" w:line="238" w:lineRule="exact"/>
              <w:ind w:left="107"/>
            </w:pPr>
            <w:r>
              <w:rPr>
                <w:color w:val="FFFFFF"/>
              </w:rPr>
              <w:t>No.</w:t>
            </w:r>
          </w:p>
        </w:tc>
        <w:tc>
          <w:tcPr>
            <w:tcW w:w="2268" w:type="dxa"/>
            <w:shd w:val="clear" w:color="auto" w:fill="3E3E3E"/>
          </w:tcPr>
          <w:p w:rsidR="00467E02" w:rsidRDefault="008C101C" w14:paraId="68844A44" w14:textId="77777777">
            <w:pPr>
              <w:pStyle w:val="TableParagraph"/>
            </w:pPr>
            <w:r>
              <w:rPr>
                <w:color w:val="FFFFFF"/>
              </w:rPr>
              <w:t>Field Name</w:t>
            </w:r>
          </w:p>
        </w:tc>
        <w:tc>
          <w:tcPr>
            <w:tcW w:w="1190" w:type="dxa"/>
            <w:shd w:val="clear" w:color="auto" w:fill="3E3E3E"/>
          </w:tcPr>
          <w:p w:rsidR="00467E02" w:rsidRDefault="008C101C" w14:paraId="3621FD1A" w14:textId="77777777">
            <w:pPr>
              <w:pStyle w:val="TableParagraph"/>
            </w:pPr>
            <w:r>
              <w:rPr>
                <w:color w:val="FFFFFF"/>
              </w:rPr>
              <w:t>Units</w:t>
            </w:r>
          </w:p>
        </w:tc>
        <w:tc>
          <w:tcPr>
            <w:tcW w:w="5181" w:type="dxa"/>
            <w:shd w:val="clear" w:color="auto" w:fill="3E3E3E"/>
          </w:tcPr>
          <w:p w:rsidR="00467E02" w:rsidRDefault="008C101C" w14:paraId="50F7A596" w14:textId="77777777">
            <w:pPr>
              <w:pStyle w:val="TableParagraph"/>
            </w:pPr>
            <w:r>
              <w:rPr>
                <w:color w:val="FFFFFF"/>
              </w:rPr>
              <w:t>Field Formats, Codes &amp; Special Instructions</w:t>
            </w:r>
          </w:p>
        </w:tc>
      </w:tr>
      <w:tr w:rsidR="00467E02" w14:paraId="3280F0FB" w14:textId="77777777">
        <w:trPr>
          <w:trHeight w:val="506"/>
        </w:trPr>
        <w:tc>
          <w:tcPr>
            <w:tcW w:w="710" w:type="dxa"/>
          </w:tcPr>
          <w:p w:rsidR="00467E02" w:rsidRDefault="008C101C" w14:paraId="3915AF21" w14:textId="77777777">
            <w:pPr>
              <w:pStyle w:val="TableParagraph"/>
              <w:ind w:left="107"/>
            </w:pPr>
            <w:r>
              <w:t>1</w:t>
            </w:r>
          </w:p>
        </w:tc>
        <w:tc>
          <w:tcPr>
            <w:tcW w:w="2268" w:type="dxa"/>
          </w:tcPr>
          <w:p w:rsidR="00467E02" w:rsidRDefault="008C101C" w14:paraId="0FEC45BB" w14:textId="77777777">
            <w:pPr>
              <w:pStyle w:val="TableParagraph"/>
            </w:pPr>
            <w:r>
              <w:t>Report Form ID</w:t>
            </w:r>
          </w:p>
        </w:tc>
        <w:tc>
          <w:tcPr>
            <w:tcW w:w="1190" w:type="dxa"/>
          </w:tcPr>
          <w:p w:rsidR="00467E02" w:rsidRDefault="00467E02" w14:paraId="763BC802" w14:textId="7777777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5181" w:type="dxa"/>
          </w:tcPr>
          <w:p w:rsidR="00467E02" w:rsidRDefault="008C101C" w14:paraId="6E74F3F4" w14:textId="77777777">
            <w:pPr>
              <w:pStyle w:val="TableParagraph"/>
            </w:pPr>
            <w:r>
              <w:rPr>
                <w:b/>
              </w:rPr>
              <w:t>AAAAAA</w:t>
            </w:r>
            <w:r>
              <w:t xml:space="preserve">; </w:t>
            </w:r>
            <w:r>
              <w:rPr>
                <w:i/>
              </w:rPr>
              <w:t>Character</w:t>
            </w:r>
            <w:r>
              <w:t>.</w:t>
            </w:r>
          </w:p>
          <w:p w:rsidR="00467E02" w:rsidRDefault="008C101C" w14:paraId="17BFC1F7" w14:textId="77777777">
            <w:pPr>
              <w:pStyle w:val="TableParagraph"/>
              <w:spacing w:before="1" w:line="238" w:lineRule="exact"/>
              <w:rPr>
                <w:b/>
              </w:rPr>
            </w:pPr>
            <w:r>
              <w:t xml:space="preserve">Enter </w:t>
            </w:r>
            <w:r>
              <w:rPr>
                <w:b/>
              </w:rPr>
              <w:t>GSF0402</w:t>
            </w:r>
          </w:p>
        </w:tc>
      </w:tr>
      <w:tr w:rsidR="00467E02" w14:paraId="6F015339" w14:textId="77777777">
        <w:trPr>
          <w:trHeight w:val="1518"/>
        </w:trPr>
        <w:tc>
          <w:tcPr>
            <w:tcW w:w="710" w:type="dxa"/>
          </w:tcPr>
          <w:p w:rsidR="00467E02" w:rsidRDefault="008C101C" w14:paraId="17A99544" w14:textId="77777777">
            <w:pPr>
              <w:pStyle w:val="TableParagraph"/>
              <w:ind w:left="107"/>
            </w:pPr>
            <w:r>
              <w:t>2</w:t>
            </w:r>
          </w:p>
        </w:tc>
        <w:tc>
          <w:tcPr>
            <w:tcW w:w="2268" w:type="dxa"/>
          </w:tcPr>
          <w:p w:rsidR="00467E02" w:rsidRDefault="008C101C" w14:paraId="5FD02180" w14:textId="77777777">
            <w:pPr>
              <w:pStyle w:val="TableParagraph"/>
            </w:pPr>
            <w:r>
              <w:t>Report Type</w:t>
            </w:r>
          </w:p>
        </w:tc>
        <w:tc>
          <w:tcPr>
            <w:tcW w:w="1190" w:type="dxa"/>
          </w:tcPr>
          <w:p w:rsidR="00467E02" w:rsidRDefault="00467E02" w14:paraId="4EA2167F" w14:textId="7777777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5181" w:type="dxa"/>
          </w:tcPr>
          <w:p w:rsidR="00467E02" w:rsidRDefault="008C101C" w14:paraId="3B45EEAA" w14:textId="77777777">
            <w:pPr>
              <w:pStyle w:val="TableParagraph"/>
              <w:spacing w:line="240" w:lineRule="auto"/>
              <w:ind w:right="386"/>
            </w:pPr>
            <w:r>
              <w:rPr>
                <w:b/>
              </w:rPr>
              <w:t>A</w:t>
            </w:r>
            <w:r>
              <w:t xml:space="preserve">; </w:t>
            </w:r>
            <w:r>
              <w:rPr>
                <w:i/>
              </w:rPr>
              <w:t>Character</w:t>
            </w:r>
            <w:r>
              <w:t>. Specify if the data submitted in this report is original or if it is being resubmitted. Submit only one original report; any corrections or updates should be marked as a resubmission.</w:t>
            </w:r>
          </w:p>
          <w:p w:rsidR="00467E02" w:rsidRDefault="008C101C" w14:paraId="04E1B226" w14:textId="77777777">
            <w:pPr>
              <w:pStyle w:val="TableParagraph"/>
              <w:spacing w:line="252" w:lineRule="exact"/>
            </w:pPr>
            <w:r>
              <w:rPr>
                <w:b/>
              </w:rPr>
              <w:t xml:space="preserve">O </w:t>
            </w:r>
            <w:r>
              <w:t>= Original</w:t>
            </w:r>
          </w:p>
          <w:p w:rsidR="00467E02" w:rsidRDefault="008C101C" w14:paraId="617C0CBB" w14:textId="77777777">
            <w:pPr>
              <w:pStyle w:val="TableParagraph"/>
              <w:spacing w:line="240" w:lineRule="exact"/>
            </w:pPr>
            <w:r>
              <w:rPr>
                <w:b/>
              </w:rPr>
              <w:t xml:space="preserve">R </w:t>
            </w:r>
            <w:r>
              <w:t>= Resubmission</w:t>
            </w:r>
          </w:p>
        </w:tc>
      </w:tr>
      <w:tr w:rsidR="00467E02" w14:paraId="7E0CDE8F" w14:textId="77777777">
        <w:trPr>
          <w:trHeight w:val="1264"/>
        </w:trPr>
        <w:tc>
          <w:tcPr>
            <w:tcW w:w="710" w:type="dxa"/>
          </w:tcPr>
          <w:p w:rsidR="00467E02" w:rsidRDefault="008C101C" w14:paraId="20E2A420" w14:textId="77777777">
            <w:pPr>
              <w:pStyle w:val="TableParagraph"/>
              <w:ind w:left="107"/>
            </w:pPr>
            <w:r>
              <w:t>3</w:t>
            </w:r>
          </w:p>
        </w:tc>
        <w:tc>
          <w:tcPr>
            <w:tcW w:w="2268" w:type="dxa"/>
          </w:tcPr>
          <w:p w:rsidR="00467E02" w:rsidRDefault="008C101C" w14:paraId="31BF2130" w14:textId="77777777">
            <w:pPr>
              <w:pStyle w:val="TableParagraph"/>
            </w:pPr>
            <w:r>
              <w:t>CBI</w:t>
            </w:r>
          </w:p>
        </w:tc>
        <w:tc>
          <w:tcPr>
            <w:tcW w:w="1190" w:type="dxa"/>
          </w:tcPr>
          <w:p w:rsidR="00467E02" w:rsidRDefault="00467E02" w14:paraId="0C6905CF" w14:textId="7777777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5181" w:type="dxa"/>
          </w:tcPr>
          <w:p w:rsidR="00467E02" w:rsidRDefault="008C101C" w14:paraId="341081BC" w14:textId="77777777">
            <w:pPr>
              <w:pStyle w:val="TableParagraph"/>
              <w:spacing w:line="240" w:lineRule="auto"/>
              <w:ind w:right="228"/>
            </w:pPr>
            <w:r>
              <w:rPr>
                <w:b/>
              </w:rPr>
              <w:t>A</w:t>
            </w:r>
            <w:r>
              <w:t xml:space="preserve">; </w:t>
            </w:r>
            <w:r>
              <w:rPr>
                <w:i/>
              </w:rPr>
              <w:t>Character</w:t>
            </w:r>
            <w:r>
              <w:t>. Specify if the data contained within the report is claimed as Confidential Business Information (CBI) under 40 CFR Part 2, subpart</w:t>
            </w:r>
            <w:r>
              <w:rPr>
                <w:spacing w:val="-2"/>
              </w:rPr>
              <w:t xml:space="preserve"> </w:t>
            </w:r>
            <w:r>
              <w:t>B:</w:t>
            </w:r>
          </w:p>
          <w:p w:rsidR="00467E02" w:rsidRDefault="008C101C" w14:paraId="784DD13A" w14:textId="77777777">
            <w:pPr>
              <w:pStyle w:val="TableParagraph"/>
              <w:spacing w:line="252" w:lineRule="exact"/>
            </w:pPr>
            <w:r>
              <w:rPr>
                <w:b/>
              </w:rPr>
              <w:t xml:space="preserve">Y </w:t>
            </w:r>
            <w:r>
              <w:t>= Confidential Business</w:t>
            </w:r>
            <w:r>
              <w:rPr>
                <w:spacing w:val="-5"/>
              </w:rPr>
              <w:t xml:space="preserve"> </w:t>
            </w:r>
            <w:r>
              <w:t>Information</w:t>
            </w:r>
          </w:p>
          <w:p w:rsidR="00467E02" w:rsidRDefault="008C101C" w14:paraId="5C60864B" w14:textId="77777777">
            <w:pPr>
              <w:pStyle w:val="TableParagraph"/>
              <w:spacing w:line="238" w:lineRule="exact"/>
            </w:pPr>
            <w:r>
              <w:rPr>
                <w:b/>
              </w:rPr>
              <w:t xml:space="preserve">N </w:t>
            </w:r>
            <w:r>
              <w:t>= Non-Confidential Business Information</w:t>
            </w:r>
          </w:p>
        </w:tc>
      </w:tr>
      <w:tr w:rsidR="00467E02" w14:paraId="4C730AA6" w14:textId="77777777">
        <w:trPr>
          <w:trHeight w:val="506"/>
        </w:trPr>
        <w:tc>
          <w:tcPr>
            <w:tcW w:w="710" w:type="dxa"/>
          </w:tcPr>
          <w:p w:rsidR="00467E02" w:rsidRDefault="008C101C" w14:paraId="4EC302B1" w14:textId="77777777">
            <w:pPr>
              <w:pStyle w:val="TableParagraph"/>
              <w:ind w:left="107"/>
            </w:pPr>
            <w:r>
              <w:t>4</w:t>
            </w:r>
          </w:p>
        </w:tc>
        <w:tc>
          <w:tcPr>
            <w:tcW w:w="2268" w:type="dxa"/>
          </w:tcPr>
          <w:p w:rsidR="00467E02" w:rsidRDefault="008C101C" w14:paraId="2A4B2C20" w14:textId="77777777">
            <w:pPr>
              <w:pStyle w:val="TableParagraph"/>
            </w:pPr>
            <w:r>
              <w:t>Report Date</w:t>
            </w:r>
          </w:p>
        </w:tc>
        <w:tc>
          <w:tcPr>
            <w:tcW w:w="1190" w:type="dxa"/>
          </w:tcPr>
          <w:p w:rsidR="00467E02" w:rsidRDefault="00467E02" w14:paraId="20E889B7" w14:textId="7777777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5181" w:type="dxa"/>
          </w:tcPr>
          <w:p w:rsidR="00467E02" w:rsidRDefault="008C101C" w14:paraId="13F7ECE7" w14:textId="77777777">
            <w:pPr>
              <w:pStyle w:val="TableParagraph"/>
            </w:pPr>
            <w:r>
              <w:rPr>
                <w:b/>
              </w:rPr>
              <w:t>MM/DD/YYYY</w:t>
            </w:r>
            <w:r>
              <w:t xml:space="preserve">; </w:t>
            </w:r>
            <w:r>
              <w:rPr>
                <w:i/>
              </w:rPr>
              <w:t>Character</w:t>
            </w:r>
            <w:r>
              <w:t>. Enter the date the original</w:t>
            </w:r>
          </w:p>
          <w:p w:rsidR="00467E02" w:rsidRDefault="008C101C" w14:paraId="29480EF8" w14:textId="77777777">
            <w:pPr>
              <w:pStyle w:val="TableParagraph"/>
              <w:spacing w:before="1" w:line="238" w:lineRule="exact"/>
            </w:pPr>
            <w:r>
              <w:t>or resubmitted report is created.</w:t>
            </w:r>
          </w:p>
        </w:tc>
      </w:tr>
    </w:tbl>
    <w:p w:rsidR="00467E02" w:rsidRDefault="00467E02" w14:paraId="746C51E0" w14:textId="77777777">
      <w:pPr>
        <w:spacing w:line="238" w:lineRule="exact"/>
        <w:sectPr w:rsidR="00467E02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2240" w:h="15840"/>
          <w:pgMar w:top="1560" w:right="1320" w:bottom="920" w:left="1320" w:header="720" w:footer="724" w:gutter="0"/>
          <w:pgNumType w:start="1"/>
          <w:cols w:space="720"/>
        </w:sectPr>
      </w:pPr>
    </w:p>
    <w:p w:rsidR="00467E02" w:rsidRDefault="00467E02" w14:paraId="7A8DFAD4" w14:textId="77777777">
      <w:pPr>
        <w:pStyle w:val="BodyText"/>
        <w:spacing w:before="9"/>
        <w:rPr>
          <w:b/>
          <w:sz w:val="15"/>
        </w:rPr>
      </w:pPr>
    </w:p>
    <w:tbl>
      <w:tblPr>
        <w:tblW w:w="0" w:type="auto"/>
        <w:tblInd w:w="130" w:type="dxa"/>
        <w:tblBorders>
          <w:top w:val="single" w:color="818181" w:sz="4" w:space="0"/>
          <w:left w:val="single" w:color="818181" w:sz="4" w:space="0"/>
          <w:bottom w:val="single" w:color="818181" w:sz="4" w:space="0"/>
          <w:right w:val="single" w:color="818181" w:sz="4" w:space="0"/>
          <w:insideH w:val="single" w:color="818181" w:sz="4" w:space="0"/>
          <w:insideV w:val="single" w:color="818181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0"/>
        <w:gridCol w:w="2268"/>
        <w:gridCol w:w="1190"/>
        <w:gridCol w:w="5181"/>
      </w:tblGrid>
      <w:tr w:rsidR="00467E02" w14:paraId="7A66B766" w14:textId="77777777">
        <w:trPr>
          <w:trHeight w:val="506"/>
        </w:trPr>
        <w:tc>
          <w:tcPr>
            <w:tcW w:w="710" w:type="dxa"/>
            <w:shd w:val="clear" w:color="auto" w:fill="3E3E3E"/>
          </w:tcPr>
          <w:p w:rsidR="00467E02" w:rsidRDefault="008C101C" w14:paraId="33DC8BFB" w14:textId="77777777">
            <w:pPr>
              <w:pStyle w:val="TableParagraph"/>
              <w:ind w:left="107"/>
            </w:pPr>
            <w:r>
              <w:rPr>
                <w:color w:val="FFFFFF"/>
              </w:rPr>
              <w:t>Field</w:t>
            </w:r>
          </w:p>
          <w:p w:rsidR="00467E02" w:rsidRDefault="008C101C" w14:paraId="2EF2E47E" w14:textId="77777777">
            <w:pPr>
              <w:pStyle w:val="TableParagraph"/>
              <w:spacing w:before="1" w:line="238" w:lineRule="exact"/>
              <w:ind w:left="107"/>
            </w:pPr>
            <w:r>
              <w:rPr>
                <w:color w:val="FFFFFF"/>
              </w:rPr>
              <w:t>No.</w:t>
            </w:r>
          </w:p>
        </w:tc>
        <w:tc>
          <w:tcPr>
            <w:tcW w:w="2268" w:type="dxa"/>
            <w:shd w:val="clear" w:color="auto" w:fill="3E3E3E"/>
          </w:tcPr>
          <w:p w:rsidR="00467E02" w:rsidRDefault="008C101C" w14:paraId="3734741D" w14:textId="77777777">
            <w:pPr>
              <w:pStyle w:val="TableParagraph"/>
            </w:pPr>
            <w:r>
              <w:rPr>
                <w:color w:val="FFFFFF"/>
              </w:rPr>
              <w:t>Field Name</w:t>
            </w:r>
          </w:p>
        </w:tc>
        <w:tc>
          <w:tcPr>
            <w:tcW w:w="1190" w:type="dxa"/>
            <w:shd w:val="clear" w:color="auto" w:fill="3E3E3E"/>
          </w:tcPr>
          <w:p w:rsidR="00467E02" w:rsidRDefault="008C101C" w14:paraId="72575B2B" w14:textId="77777777">
            <w:pPr>
              <w:pStyle w:val="TableParagraph"/>
            </w:pPr>
            <w:r>
              <w:rPr>
                <w:color w:val="FFFFFF"/>
              </w:rPr>
              <w:t>Units</w:t>
            </w:r>
          </w:p>
        </w:tc>
        <w:tc>
          <w:tcPr>
            <w:tcW w:w="5181" w:type="dxa"/>
            <w:shd w:val="clear" w:color="auto" w:fill="3E3E3E"/>
          </w:tcPr>
          <w:p w:rsidR="00467E02" w:rsidRDefault="008C101C" w14:paraId="1C516A46" w14:textId="77777777">
            <w:pPr>
              <w:pStyle w:val="TableParagraph"/>
            </w:pPr>
            <w:r>
              <w:rPr>
                <w:color w:val="FFFFFF"/>
              </w:rPr>
              <w:t>Field Formats, Codes &amp; Special Instructions</w:t>
            </w:r>
          </w:p>
        </w:tc>
      </w:tr>
      <w:tr w:rsidR="00467E02" w14:paraId="5A0B7FA3" w14:textId="77777777">
        <w:trPr>
          <w:trHeight w:val="505"/>
        </w:trPr>
        <w:tc>
          <w:tcPr>
            <w:tcW w:w="710" w:type="dxa"/>
          </w:tcPr>
          <w:p w:rsidR="00467E02" w:rsidRDefault="008C101C" w14:paraId="5196B831" w14:textId="77777777">
            <w:pPr>
              <w:pStyle w:val="TableParagraph"/>
              <w:ind w:left="107"/>
            </w:pPr>
            <w:r>
              <w:t>5</w:t>
            </w:r>
          </w:p>
        </w:tc>
        <w:tc>
          <w:tcPr>
            <w:tcW w:w="2268" w:type="dxa"/>
          </w:tcPr>
          <w:p w:rsidR="00467E02" w:rsidRDefault="008C101C" w14:paraId="1E251E9F" w14:textId="77777777">
            <w:pPr>
              <w:pStyle w:val="TableParagraph"/>
            </w:pPr>
            <w:r>
              <w:t>Compliance Period</w:t>
            </w:r>
          </w:p>
          <w:p w:rsidR="00467E02" w:rsidRDefault="008C101C" w14:paraId="1114860B" w14:textId="77777777">
            <w:pPr>
              <w:pStyle w:val="TableParagraph"/>
              <w:spacing w:before="1" w:line="238" w:lineRule="exact"/>
            </w:pPr>
            <w:r>
              <w:t>Year</w:t>
            </w:r>
          </w:p>
        </w:tc>
        <w:tc>
          <w:tcPr>
            <w:tcW w:w="1190" w:type="dxa"/>
          </w:tcPr>
          <w:p w:rsidR="00467E02" w:rsidRDefault="00467E02" w14:paraId="5B670406" w14:textId="7777777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5181" w:type="dxa"/>
          </w:tcPr>
          <w:p w:rsidR="00467E02" w:rsidRDefault="008C101C" w14:paraId="1A124495" w14:textId="77777777">
            <w:pPr>
              <w:pStyle w:val="TableParagraph"/>
            </w:pPr>
            <w:r>
              <w:rPr>
                <w:b/>
              </w:rPr>
              <w:t>YYYY</w:t>
            </w:r>
            <w:r>
              <w:t xml:space="preserve">; </w:t>
            </w:r>
            <w:r>
              <w:rPr>
                <w:i/>
              </w:rPr>
              <w:t>Character</w:t>
            </w:r>
            <w:r>
              <w:t>. Enter the averaging/compliance</w:t>
            </w:r>
          </w:p>
          <w:p w:rsidR="00467E02" w:rsidRDefault="008C101C" w14:paraId="49DDB8E8" w14:textId="77777777">
            <w:pPr>
              <w:pStyle w:val="TableParagraph"/>
              <w:spacing w:before="1" w:line="238" w:lineRule="exact"/>
            </w:pPr>
            <w:r>
              <w:t>year the report covers.</w:t>
            </w:r>
          </w:p>
        </w:tc>
      </w:tr>
      <w:tr w:rsidR="00467E02" w14:paraId="569A5EA6" w14:textId="77777777">
        <w:trPr>
          <w:trHeight w:val="760"/>
        </w:trPr>
        <w:tc>
          <w:tcPr>
            <w:tcW w:w="710" w:type="dxa"/>
          </w:tcPr>
          <w:p w:rsidR="00467E02" w:rsidRDefault="008C101C" w14:paraId="062C6483" w14:textId="77777777">
            <w:pPr>
              <w:pStyle w:val="TableParagraph"/>
              <w:ind w:left="107"/>
            </w:pPr>
            <w:r>
              <w:t>6</w:t>
            </w:r>
          </w:p>
        </w:tc>
        <w:tc>
          <w:tcPr>
            <w:tcW w:w="2268" w:type="dxa"/>
          </w:tcPr>
          <w:p w:rsidR="00467E02" w:rsidRDefault="008C101C" w14:paraId="7018B653" w14:textId="77777777">
            <w:pPr>
              <w:pStyle w:val="TableParagraph"/>
            </w:pPr>
            <w:r>
              <w:t>Company ID</w:t>
            </w:r>
          </w:p>
        </w:tc>
        <w:tc>
          <w:tcPr>
            <w:tcW w:w="1190" w:type="dxa"/>
          </w:tcPr>
          <w:p w:rsidR="00467E02" w:rsidRDefault="00467E02" w14:paraId="7F178BF4" w14:textId="7777777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5181" w:type="dxa"/>
          </w:tcPr>
          <w:p w:rsidR="00467E02" w:rsidRDefault="008C101C" w14:paraId="45610EF2" w14:textId="77777777">
            <w:pPr>
              <w:pStyle w:val="TableParagraph"/>
            </w:pPr>
            <w:r>
              <w:rPr>
                <w:b/>
              </w:rPr>
              <w:t>AAAA</w:t>
            </w:r>
            <w:r>
              <w:t xml:space="preserve">; </w:t>
            </w:r>
            <w:r>
              <w:rPr>
                <w:i/>
              </w:rPr>
              <w:t>Character</w:t>
            </w:r>
            <w:r>
              <w:t>. Enter the EPA assigned four-</w:t>
            </w:r>
          </w:p>
          <w:p w:rsidR="00467E02" w:rsidRDefault="008C101C" w14:paraId="378724C5" w14:textId="77777777">
            <w:pPr>
              <w:pStyle w:val="TableParagraph"/>
              <w:spacing w:before="5" w:line="252" w:lineRule="exact"/>
              <w:ind w:right="296"/>
            </w:pPr>
            <w:r>
              <w:t>character ID for the Company producing or importing the reported batch.</w:t>
            </w:r>
          </w:p>
        </w:tc>
      </w:tr>
      <w:tr w:rsidR="00467E02" w14:paraId="4640E29E" w14:textId="77777777">
        <w:trPr>
          <w:trHeight w:val="757"/>
        </w:trPr>
        <w:tc>
          <w:tcPr>
            <w:tcW w:w="710" w:type="dxa"/>
          </w:tcPr>
          <w:p w:rsidR="00467E02" w:rsidRDefault="008C101C" w14:paraId="7B2DF246" w14:textId="77777777">
            <w:pPr>
              <w:pStyle w:val="TableParagraph"/>
              <w:ind w:left="107"/>
            </w:pPr>
            <w:r>
              <w:t>7</w:t>
            </w:r>
          </w:p>
        </w:tc>
        <w:tc>
          <w:tcPr>
            <w:tcW w:w="2268" w:type="dxa"/>
          </w:tcPr>
          <w:p w:rsidR="00467E02" w:rsidRDefault="008C101C" w14:paraId="2CB45DD1" w14:textId="77777777">
            <w:pPr>
              <w:pStyle w:val="TableParagraph"/>
            </w:pPr>
            <w:r>
              <w:t>Facility ID</w:t>
            </w:r>
          </w:p>
        </w:tc>
        <w:tc>
          <w:tcPr>
            <w:tcW w:w="1190" w:type="dxa"/>
          </w:tcPr>
          <w:p w:rsidR="00467E02" w:rsidRDefault="00467E02" w14:paraId="1E7FF478" w14:textId="7777777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5181" w:type="dxa"/>
          </w:tcPr>
          <w:p w:rsidR="00467E02" w:rsidRDefault="008C101C" w14:paraId="2DD25565" w14:textId="77777777">
            <w:pPr>
              <w:pStyle w:val="TableParagraph"/>
              <w:spacing w:line="240" w:lineRule="auto"/>
              <w:ind w:right="204"/>
            </w:pPr>
            <w:r>
              <w:rPr>
                <w:b/>
              </w:rPr>
              <w:t xml:space="preserve">AAAAA; </w:t>
            </w:r>
            <w:r>
              <w:rPr>
                <w:i/>
              </w:rPr>
              <w:t>Character</w:t>
            </w:r>
            <w:r>
              <w:t>. Enter the EPA assigned five- character ID for the facility producing or importing the</w:t>
            </w:r>
          </w:p>
          <w:p w:rsidR="00467E02" w:rsidRDefault="008C101C" w14:paraId="7922C733" w14:textId="77777777">
            <w:pPr>
              <w:pStyle w:val="TableParagraph"/>
              <w:spacing w:line="238" w:lineRule="exact"/>
            </w:pPr>
            <w:r>
              <w:t>reported batch</w:t>
            </w:r>
          </w:p>
        </w:tc>
      </w:tr>
      <w:tr w:rsidR="00467E02" w14:paraId="2AEFA44D" w14:textId="77777777">
        <w:trPr>
          <w:trHeight w:val="2022"/>
        </w:trPr>
        <w:tc>
          <w:tcPr>
            <w:tcW w:w="710" w:type="dxa"/>
          </w:tcPr>
          <w:p w:rsidR="00467E02" w:rsidRDefault="008C101C" w14:paraId="4242A13D" w14:textId="77777777">
            <w:pPr>
              <w:pStyle w:val="TableParagraph"/>
              <w:ind w:left="107"/>
            </w:pPr>
            <w:r>
              <w:t>8</w:t>
            </w:r>
          </w:p>
        </w:tc>
        <w:tc>
          <w:tcPr>
            <w:tcW w:w="2268" w:type="dxa"/>
          </w:tcPr>
          <w:p w:rsidR="00467E02" w:rsidRDefault="008C101C" w14:paraId="113072D6" w14:textId="77777777">
            <w:pPr>
              <w:pStyle w:val="TableParagraph"/>
            </w:pPr>
            <w:r>
              <w:t>Batch Number</w:t>
            </w:r>
          </w:p>
        </w:tc>
        <w:tc>
          <w:tcPr>
            <w:tcW w:w="1190" w:type="dxa"/>
          </w:tcPr>
          <w:p w:rsidR="00467E02" w:rsidRDefault="00467E02" w14:paraId="0AB22EC6" w14:textId="7777777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5181" w:type="dxa"/>
          </w:tcPr>
          <w:p w:rsidR="00467E02" w:rsidRDefault="008C101C" w14:paraId="70B909CA" w14:textId="77777777">
            <w:pPr>
              <w:pStyle w:val="TableParagraph"/>
              <w:spacing w:line="240" w:lineRule="auto"/>
              <w:ind w:right="106"/>
            </w:pPr>
            <w:r>
              <w:rPr>
                <w:b/>
              </w:rPr>
              <w:t xml:space="preserve">AAAAAA; </w:t>
            </w:r>
            <w:r>
              <w:rPr>
                <w:i/>
              </w:rPr>
              <w:t xml:space="preserve">Character. </w:t>
            </w:r>
            <w:r>
              <w:t>Enter the facility-assigned six digit Number identifying the batch this report describes. Please include preceding zeros where applicable.</w:t>
            </w:r>
          </w:p>
          <w:p w:rsidR="00467E02" w:rsidRDefault="00467E02" w14:paraId="05B97C81" w14:textId="77777777">
            <w:pPr>
              <w:pStyle w:val="TableParagraph"/>
              <w:spacing w:before="6" w:line="240" w:lineRule="auto"/>
              <w:ind w:left="0"/>
              <w:rPr>
                <w:b/>
                <w:sz w:val="21"/>
              </w:rPr>
            </w:pPr>
          </w:p>
          <w:p w:rsidR="00467E02" w:rsidRDefault="008C101C" w14:paraId="37EA068E" w14:textId="77777777">
            <w:pPr>
              <w:pStyle w:val="TableParagraph"/>
              <w:spacing w:line="240" w:lineRule="auto"/>
              <w:ind w:right="220"/>
              <w:jc w:val="both"/>
            </w:pPr>
            <w:r>
              <w:t>When the batch is grouped together with the company ID, facility ID and compliance period [9999]-[99999]- [2015]-[000001], it should form a unique ID that is not</w:t>
            </w:r>
          </w:p>
          <w:p w:rsidR="00467E02" w:rsidRDefault="008C101C" w14:paraId="280A3713" w14:textId="77777777">
            <w:pPr>
              <w:pStyle w:val="TableParagraph"/>
              <w:spacing w:line="237" w:lineRule="exact"/>
              <w:jc w:val="both"/>
            </w:pPr>
            <w:r>
              <w:t>duplicated or used for any other additional batch.</w:t>
            </w:r>
          </w:p>
        </w:tc>
      </w:tr>
      <w:tr w:rsidR="00467E02" w14:paraId="39055A2D" w14:textId="77777777">
        <w:trPr>
          <w:trHeight w:val="6578"/>
        </w:trPr>
        <w:tc>
          <w:tcPr>
            <w:tcW w:w="710" w:type="dxa"/>
          </w:tcPr>
          <w:p w:rsidR="00467E02" w:rsidRDefault="008C101C" w14:paraId="467EF3FE" w14:textId="77777777">
            <w:pPr>
              <w:pStyle w:val="TableParagraph"/>
              <w:spacing w:line="249" w:lineRule="exact"/>
              <w:ind w:left="107"/>
            </w:pPr>
            <w:r>
              <w:t>9</w:t>
            </w:r>
          </w:p>
        </w:tc>
        <w:tc>
          <w:tcPr>
            <w:tcW w:w="2268" w:type="dxa"/>
          </w:tcPr>
          <w:p w:rsidR="00467E02" w:rsidRDefault="008C101C" w14:paraId="0F631ED5" w14:textId="77777777">
            <w:pPr>
              <w:pStyle w:val="TableParagraph"/>
              <w:spacing w:line="249" w:lineRule="exact"/>
            </w:pPr>
            <w:r>
              <w:t>Product Type</w:t>
            </w:r>
          </w:p>
        </w:tc>
        <w:tc>
          <w:tcPr>
            <w:tcW w:w="1190" w:type="dxa"/>
          </w:tcPr>
          <w:p w:rsidR="00467E02" w:rsidRDefault="00467E02" w14:paraId="68A296C3" w14:textId="7777777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5181" w:type="dxa"/>
          </w:tcPr>
          <w:p w:rsidR="00467E02" w:rsidRDefault="008C101C" w14:paraId="407E9852" w14:textId="77777777">
            <w:pPr>
              <w:pStyle w:val="TableParagraph"/>
              <w:spacing w:line="240" w:lineRule="auto"/>
              <w:ind w:right="626"/>
            </w:pPr>
            <w:r>
              <w:rPr>
                <w:b/>
              </w:rPr>
              <w:t xml:space="preserve">AA; </w:t>
            </w:r>
            <w:r>
              <w:rPr>
                <w:i/>
              </w:rPr>
              <w:t xml:space="preserve">Character. </w:t>
            </w:r>
            <w:r>
              <w:t>Enter the one appropriate product description code from the following list.</w:t>
            </w:r>
          </w:p>
          <w:p w:rsidR="00467E02" w:rsidRDefault="00467E02" w14:paraId="53A667B1" w14:textId="77777777">
            <w:pPr>
              <w:pStyle w:val="TableParagraph"/>
              <w:spacing w:line="240" w:lineRule="auto"/>
              <w:ind w:left="0"/>
              <w:rPr>
                <w:b/>
              </w:rPr>
            </w:pPr>
          </w:p>
          <w:p w:rsidR="00467E02" w:rsidRDefault="008C101C" w14:paraId="31E4CC57" w14:textId="77777777">
            <w:pPr>
              <w:pStyle w:val="TableParagraph"/>
              <w:spacing w:line="250" w:lineRule="exact"/>
              <w:rPr>
                <w:b/>
              </w:rPr>
            </w:pPr>
            <w:r>
              <w:rPr>
                <w:b/>
              </w:rPr>
              <w:t>CONVENTIONAL GASOLINE</w:t>
            </w:r>
          </w:p>
          <w:p w:rsidR="00467E02" w:rsidRDefault="008C101C" w14:paraId="317FF3AF" w14:textId="77777777">
            <w:pPr>
              <w:pStyle w:val="TableParagraph"/>
              <w:spacing w:line="250" w:lineRule="exact"/>
            </w:pPr>
            <w:r>
              <w:t>CG: Conventional Gasoline</w:t>
            </w:r>
          </w:p>
          <w:p w:rsidR="00467E02" w:rsidRDefault="008C101C" w14:paraId="14B43E65" w14:textId="77777777">
            <w:pPr>
              <w:pStyle w:val="TableParagraph"/>
              <w:spacing w:before="1" w:line="240" w:lineRule="auto"/>
              <w:ind w:right="1047"/>
            </w:pPr>
            <w:r>
              <w:t xml:space="preserve">OB: Conventional gasoline (oxygen backout) CB: Conventional </w:t>
            </w:r>
            <w:proofErr w:type="spellStart"/>
            <w:r>
              <w:t>blendstock</w:t>
            </w:r>
            <w:proofErr w:type="spellEnd"/>
          </w:p>
          <w:p w:rsidR="00467E02" w:rsidRDefault="008C101C" w14:paraId="61CA568C" w14:textId="77777777">
            <w:pPr>
              <w:pStyle w:val="TableParagraph"/>
              <w:spacing w:before="1" w:line="252" w:lineRule="exact"/>
            </w:pPr>
            <w:r>
              <w:t xml:space="preserve">EE: Conventional </w:t>
            </w:r>
            <w:proofErr w:type="spellStart"/>
            <w:r>
              <w:t>blendstock</w:t>
            </w:r>
            <w:proofErr w:type="spellEnd"/>
            <w:r>
              <w:t xml:space="preserve"> (EEP report)</w:t>
            </w:r>
          </w:p>
          <w:p w:rsidR="00467E02" w:rsidRDefault="008C101C" w14:paraId="2A6718FE" w14:textId="77777777">
            <w:pPr>
              <w:pStyle w:val="TableParagraph"/>
              <w:spacing w:line="240" w:lineRule="auto"/>
              <w:ind w:right="93"/>
            </w:pPr>
            <w:r>
              <w:t xml:space="preserve">OE: Conventional </w:t>
            </w:r>
            <w:proofErr w:type="spellStart"/>
            <w:r>
              <w:t>blendstock</w:t>
            </w:r>
            <w:proofErr w:type="spellEnd"/>
            <w:r>
              <w:t xml:space="preserve"> (oxygen backout and EEP report)</w:t>
            </w:r>
          </w:p>
          <w:p w:rsidR="00467E02" w:rsidRDefault="00467E02" w14:paraId="5036A3D6" w14:textId="77777777">
            <w:pPr>
              <w:pStyle w:val="TableParagraph"/>
              <w:spacing w:before="3" w:line="240" w:lineRule="auto"/>
              <w:ind w:left="0"/>
              <w:rPr>
                <w:b/>
              </w:rPr>
            </w:pPr>
          </w:p>
          <w:p w:rsidR="00467E02" w:rsidRDefault="008C101C" w14:paraId="5B38213B" w14:textId="77777777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OXYGENATE PRODUCER</w:t>
            </w:r>
          </w:p>
          <w:p w:rsidR="00467E02" w:rsidRDefault="008C101C" w14:paraId="135FC222" w14:textId="77777777">
            <w:pPr>
              <w:pStyle w:val="TableParagraph"/>
              <w:spacing w:line="240" w:lineRule="auto"/>
              <w:ind w:right="888"/>
            </w:pPr>
            <w:r>
              <w:t>DE – Denatured ethanol using certified ethanol denaturant (40 CFR 80.1611)</w:t>
            </w:r>
          </w:p>
          <w:p w:rsidR="00467E02" w:rsidRDefault="008C101C" w14:paraId="5BA742D4" w14:textId="77777777">
            <w:pPr>
              <w:pStyle w:val="TableParagraph"/>
              <w:spacing w:line="242" w:lineRule="auto"/>
              <w:ind w:right="230" w:hanging="1"/>
            </w:pPr>
            <w:r>
              <w:t>DU – Denatured ethanol from non-certified denaturant DO – Oxygenate other than ethanol</w:t>
            </w:r>
          </w:p>
          <w:p w:rsidR="00467E02" w:rsidRDefault="00467E02" w14:paraId="3ABBACDC" w14:textId="77777777">
            <w:pPr>
              <w:pStyle w:val="TableParagraph"/>
              <w:spacing w:before="9" w:line="240" w:lineRule="auto"/>
              <w:ind w:left="0"/>
              <w:rPr>
                <w:b/>
                <w:sz w:val="21"/>
              </w:rPr>
            </w:pPr>
          </w:p>
          <w:p w:rsidR="00467E02" w:rsidRDefault="008C101C" w14:paraId="4CE358B3" w14:textId="77777777">
            <w:pPr>
              <w:pStyle w:val="TableParagraph"/>
              <w:spacing w:line="250" w:lineRule="exact"/>
              <w:rPr>
                <w:b/>
              </w:rPr>
            </w:pPr>
            <w:r>
              <w:rPr>
                <w:b/>
              </w:rPr>
              <w:t>TRANSMIX</w:t>
            </w:r>
          </w:p>
          <w:p w:rsidR="00467E02" w:rsidRDefault="008C101C" w14:paraId="48CEB0A1" w14:textId="77777777">
            <w:pPr>
              <w:pStyle w:val="TableParagraph"/>
              <w:spacing w:line="240" w:lineRule="auto"/>
              <w:ind w:right="607"/>
            </w:pPr>
            <w:r>
              <w:t>TB: Blendstock added to Gasoline recovered from Transmix</w:t>
            </w:r>
          </w:p>
          <w:p w:rsidR="00467E02" w:rsidRDefault="00467E02" w14:paraId="3C5AF604" w14:textId="77777777">
            <w:pPr>
              <w:pStyle w:val="TableParagraph"/>
              <w:spacing w:before="2" w:line="240" w:lineRule="auto"/>
              <w:ind w:left="0"/>
              <w:rPr>
                <w:b/>
              </w:rPr>
            </w:pPr>
          </w:p>
          <w:p w:rsidR="00467E02" w:rsidRDefault="008C101C" w14:paraId="089CD604" w14:textId="77777777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OTHER</w:t>
            </w:r>
          </w:p>
          <w:p w:rsidR="00467E02" w:rsidRDefault="008C101C" w14:paraId="03CB13C6" w14:textId="77777777">
            <w:pPr>
              <w:pStyle w:val="TableParagraph"/>
              <w:spacing w:line="251" w:lineRule="exact"/>
            </w:pPr>
            <w:r>
              <w:t xml:space="preserve">GT: GTAB – Gasoline treated as </w:t>
            </w:r>
            <w:proofErr w:type="spellStart"/>
            <w:r>
              <w:t>blendstock</w:t>
            </w:r>
            <w:proofErr w:type="spellEnd"/>
          </w:p>
          <w:p w:rsidR="00467E02" w:rsidRDefault="008C101C" w14:paraId="20C24EE0" w14:textId="77777777">
            <w:pPr>
              <w:pStyle w:val="TableParagraph"/>
              <w:spacing w:line="240" w:lineRule="auto"/>
              <w:ind w:right="307"/>
            </w:pPr>
            <w:r>
              <w:t>CS: Certified Sulfur-FRGAS (Foreign Refiners Only) NS: Non-Certified Sulfur-FRGAS (Foreign Refiners</w:t>
            </w:r>
          </w:p>
          <w:p w:rsidR="00467E02" w:rsidRDefault="008C101C" w14:paraId="5958A6D7" w14:textId="77777777">
            <w:pPr>
              <w:pStyle w:val="TableParagraph"/>
              <w:spacing w:line="238" w:lineRule="exact"/>
            </w:pPr>
            <w:r>
              <w:t>Only)</w:t>
            </w:r>
          </w:p>
        </w:tc>
      </w:tr>
      <w:tr w:rsidR="00467E02" w14:paraId="46CA3AFD" w14:textId="77777777">
        <w:trPr>
          <w:trHeight w:val="505"/>
        </w:trPr>
        <w:tc>
          <w:tcPr>
            <w:tcW w:w="710" w:type="dxa"/>
          </w:tcPr>
          <w:p w:rsidR="00467E02" w:rsidRDefault="008C101C" w14:paraId="1D61428C" w14:textId="77777777">
            <w:pPr>
              <w:pStyle w:val="TableParagraph"/>
              <w:ind w:left="107"/>
            </w:pPr>
            <w:r>
              <w:t>10</w:t>
            </w:r>
          </w:p>
        </w:tc>
        <w:tc>
          <w:tcPr>
            <w:tcW w:w="2268" w:type="dxa"/>
          </w:tcPr>
          <w:p w:rsidR="00467E02" w:rsidRDefault="008C101C" w14:paraId="3742B24D" w14:textId="77777777">
            <w:pPr>
              <w:pStyle w:val="TableParagraph"/>
            </w:pPr>
            <w:r>
              <w:t>Production Date</w:t>
            </w:r>
          </w:p>
        </w:tc>
        <w:tc>
          <w:tcPr>
            <w:tcW w:w="1190" w:type="dxa"/>
          </w:tcPr>
          <w:p w:rsidR="00467E02" w:rsidRDefault="00467E02" w14:paraId="14BF0BB7" w14:textId="7777777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5181" w:type="dxa"/>
          </w:tcPr>
          <w:p w:rsidR="00467E02" w:rsidRDefault="008C101C" w14:paraId="003139DC" w14:textId="77777777">
            <w:pPr>
              <w:pStyle w:val="TableParagraph"/>
            </w:pPr>
            <w:r>
              <w:rPr>
                <w:b/>
              </w:rPr>
              <w:t xml:space="preserve">MM/DD/YYYY; </w:t>
            </w:r>
            <w:r>
              <w:rPr>
                <w:i/>
              </w:rPr>
              <w:t xml:space="preserve">Character. </w:t>
            </w:r>
            <w:r>
              <w:t>Date the reported batch</w:t>
            </w:r>
          </w:p>
          <w:p w:rsidR="00467E02" w:rsidRDefault="008C101C" w14:paraId="7B85603F" w14:textId="77777777">
            <w:pPr>
              <w:pStyle w:val="TableParagraph"/>
              <w:spacing w:before="1" w:line="238" w:lineRule="exact"/>
            </w:pPr>
            <w:r>
              <w:t>was produced or imported.</w:t>
            </w:r>
          </w:p>
        </w:tc>
      </w:tr>
      <w:tr w:rsidR="00467E02" w14:paraId="64336409" w14:textId="77777777">
        <w:trPr>
          <w:trHeight w:val="506"/>
        </w:trPr>
        <w:tc>
          <w:tcPr>
            <w:tcW w:w="710" w:type="dxa"/>
          </w:tcPr>
          <w:p w:rsidR="00467E02" w:rsidRDefault="008C101C" w14:paraId="5745C590" w14:textId="77777777">
            <w:pPr>
              <w:pStyle w:val="TableParagraph"/>
              <w:ind w:left="107"/>
            </w:pPr>
            <w:r>
              <w:t>11</w:t>
            </w:r>
          </w:p>
        </w:tc>
        <w:tc>
          <w:tcPr>
            <w:tcW w:w="2268" w:type="dxa"/>
          </w:tcPr>
          <w:p w:rsidR="00467E02" w:rsidRDefault="008C101C" w14:paraId="2AB9145C" w14:textId="77777777">
            <w:pPr>
              <w:pStyle w:val="TableParagraph"/>
            </w:pPr>
            <w:r>
              <w:t>Batch Volume</w:t>
            </w:r>
          </w:p>
        </w:tc>
        <w:tc>
          <w:tcPr>
            <w:tcW w:w="1190" w:type="dxa"/>
          </w:tcPr>
          <w:p w:rsidR="00467E02" w:rsidRDefault="008C101C" w14:paraId="194EC83E" w14:textId="77777777">
            <w:pPr>
              <w:pStyle w:val="TableParagraph"/>
            </w:pPr>
            <w:r>
              <w:t>Gallons</w:t>
            </w:r>
          </w:p>
        </w:tc>
        <w:tc>
          <w:tcPr>
            <w:tcW w:w="5181" w:type="dxa"/>
          </w:tcPr>
          <w:p w:rsidR="00467E02" w:rsidRDefault="008C101C" w14:paraId="7E64BC8D" w14:textId="77777777">
            <w:pPr>
              <w:pStyle w:val="TableParagraph"/>
            </w:pPr>
            <w:r>
              <w:rPr>
                <w:b/>
              </w:rPr>
              <w:t xml:space="preserve">999999999999; </w:t>
            </w:r>
            <w:r>
              <w:rPr>
                <w:i/>
              </w:rPr>
              <w:t xml:space="preserve">Number. </w:t>
            </w:r>
            <w:r>
              <w:t>Production volume of the</w:t>
            </w:r>
          </w:p>
          <w:p w:rsidR="00467E02" w:rsidRDefault="008C101C" w14:paraId="79A258BE" w14:textId="77777777">
            <w:pPr>
              <w:pStyle w:val="TableParagraph"/>
              <w:spacing w:before="1" w:line="238" w:lineRule="exact"/>
            </w:pPr>
            <w:r>
              <w:t>reported batch.</w:t>
            </w:r>
          </w:p>
        </w:tc>
      </w:tr>
    </w:tbl>
    <w:p w:rsidR="00467E02" w:rsidRDefault="00467E02" w14:paraId="2291A695" w14:textId="77777777">
      <w:pPr>
        <w:spacing w:line="238" w:lineRule="exact"/>
        <w:sectPr w:rsidR="00467E02">
          <w:pgSz w:w="12240" w:h="15840"/>
          <w:pgMar w:top="1560" w:right="1320" w:bottom="920" w:left="1320" w:header="720" w:footer="724" w:gutter="0"/>
          <w:cols w:space="720"/>
        </w:sectPr>
      </w:pPr>
    </w:p>
    <w:p w:rsidR="00467E02" w:rsidRDefault="00467E02" w14:paraId="48B05887" w14:textId="77777777">
      <w:pPr>
        <w:pStyle w:val="BodyText"/>
        <w:spacing w:before="9"/>
        <w:rPr>
          <w:b/>
          <w:sz w:val="15"/>
        </w:rPr>
      </w:pPr>
    </w:p>
    <w:tbl>
      <w:tblPr>
        <w:tblW w:w="0" w:type="auto"/>
        <w:tblInd w:w="130" w:type="dxa"/>
        <w:tblBorders>
          <w:top w:val="single" w:color="818181" w:sz="4" w:space="0"/>
          <w:left w:val="single" w:color="818181" w:sz="4" w:space="0"/>
          <w:bottom w:val="single" w:color="818181" w:sz="4" w:space="0"/>
          <w:right w:val="single" w:color="818181" w:sz="4" w:space="0"/>
          <w:insideH w:val="single" w:color="818181" w:sz="4" w:space="0"/>
          <w:insideV w:val="single" w:color="818181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0"/>
        <w:gridCol w:w="2268"/>
        <w:gridCol w:w="1190"/>
        <w:gridCol w:w="5181"/>
      </w:tblGrid>
      <w:tr w:rsidR="00467E02" w14:paraId="48499A7B" w14:textId="77777777">
        <w:trPr>
          <w:trHeight w:val="506"/>
        </w:trPr>
        <w:tc>
          <w:tcPr>
            <w:tcW w:w="710" w:type="dxa"/>
            <w:shd w:val="clear" w:color="auto" w:fill="3E3E3E"/>
          </w:tcPr>
          <w:p w:rsidR="00467E02" w:rsidRDefault="008C101C" w14:paraId="304107F0" w14:textId="77777777">
            <w:pPr>
              <w:pStyle w:val="TableParagraph"/>
              <w:ind w:left="107"/>
            </w:pPr>
            <w:r>
              <w:rPr>
                <w:color w:val="FFFFFF"/>
              </w:rPr>
              <w:t>Field</w:t>
            </w:r>
          </w:p>
          <w:p w:rsidR="00467E02" w:rsidRDefault="008C101C" w14:paraId="49DA544F" w14:textId="77777777">
            <w:pPr>
              <w:pStyle w:val="TableParagraph"/>
              <w:spacing w:before="1" w:line="238" w:lineRule="exact"/>
              <w:ind w:left="107"/>
            </w:pPr>
            <w:r>
              <w:rPr>
                <w:color w:val="FFFFFF"/>
              </w:rPr>
              <w:t>No.</w:t>
            </w:r>
          </w:p>
        </w:tc>
        <w:tc>
          <w:tcPr>
            <w:tcW w:w="2268" w:type="dxa"/>
            <w:shd w:val="clear" w:color="auto" w:fill="3E3E3E"/>
          </w:tcPr>
          <w:p w:rsidR="00467E02" w:rsidRDefault="008C101C" w14:paraId="57E13789" w14:textId="77777777">
            <w:pPr>
              <w:pStyle w:val="TableParagraph"/>
            </w:pPr>
            <w:r>
              <w:rPr>
                <w:color w:val="FFFFFF"/>
              </w:rPr>
              <w:t>Field Name</w:t>
            </w:r>
          </w:p>
        </w:tc>
        <w:tc>
          <w:tcPr>
            <w:tcW w:w="1190" w:type="dxa"/>
            <w:shd w:val="clear" w:color="auto" w:fill="3E3E3E"/>
          </w:tcPr>
          <w:p w:rsidR="00467E02" w:rsidRDefault="008C101C" w14:paraId="761C5EA1" w14:textId="77777777">
            <w:pPr>
              <w:pStyle w:val="TableParagraph"/>
            </w:pPr>
            <w:r>
              <w:rPr>
                <w:color w:val="FFFFFF"/>
              </w:rPr>
              <w:t>Units</w:t>
            </w:r>
          </w:p>
        </w:tc>
        <w:tc>
          <w:tcPr>
            <w:tcW w:w="5181" w:type="dxa"/>
            <w:shd w:val="clear" w:color="auto" w:fill="3E3E3E"/>
          </w:tcPr>
          <w:p w:rsidR="00467E02" w:rsidRDefault="008C101C" w14:paraId="39673ADA" w14:textId="77777777">
            <w:pPr>
              <w:pStyle w:val="TableParagraph"/>
            </w:pPr>
            <w:r>
              <w:rPr>
                <w:color w:val="FFFFFF"/>
              </w:rPr>
              <w:t>Field Formats, Codes &amp; Special Instructions</w:t>
            </w:r>
          </w:p>
        </w:tc>
      </w:tr>
      <w:tr w:rsidR="00467E02" w14:paraId="47219F3B" w14:textId="77777777">
        <w:trPr>
          <w:trHeight w:val="760"/>
        </w:trPr>
        <w:tc>
          <w:tcPr>
            <w:tcW w:w="710" w:type="dxa"/>
          </w:tcPr>
          <w:p w:rsidR="00467E02" w:rsidRDefault="008C101C" w14:paraId="4AB83FFE" w14:textId="77777777">
            <w:pPr>
              <w:pStyle w:val="TableParagraph"/>
              <w:ind w:left="107"/>
            </w:pPr>
            <w:r>
              <w:t>12</w:t>
            </w:r>
          </w:p>
        </w:tc>
        <w:tc>
          <w:tcPr>
            <w:tcW w:w="2268" w:type="dxa"/>
          </w:tcPr>
          <w:p w:rsidR="00467E02" w:rsidRDefault="008C101C" w14:paraId="197BCEEA" w14:textId="77777777">
            <w:pPr>
              <w:pStyle w:val="TableParagraph"/>
            </w:pPr>
            <w:r>
              <w:t>Sulfur</w:t>
            </w:r>
          </w:p>
        </w:tc>
        <w:tc>
          <w:tcPr>
            <w:tcW w:w="1190" w:type="dxa"/>
          </w:tcPr>
          <w:p w:rsidR="00467E02" w:rsidRDefault="008C101C" w14:paraId="3DBDA01B" w14:textId="77777777">
            <w:pPr>
              <w:pStyle w:val="TableParagraph"/>
            </w:pPr>
            <w:r>
              <w:t>Parts per</w:t>
            </w:r>
          </w:p>
          <w:p w:rsidR="00467E02" w:rsidRDefault="008C101C" w14:paraId="2EB3EF05" w14:textId="77777777">
            <w:pPr>
              <w:pStyle w:val="TableParagraph"/>
              <w:spacing w:before="5" w:line="252" w:lineRule="exact"/>
              <w:ind w:right="416"/>
            </w:pPr>
            <w:r>
              <w:t>million (ppm)</w:t>
            </w:r>
          </w:p>
        </w:tc>
        <w:tc>
          <w:tcPr>
            <w:tcW w:w="5181" w:type="dxa"/>
          </w:tcPr>
          <w:p w:rsidR="00467E02" w:rsidRDefault="008C101C" w14:paraId="47E56A08" w14:textId="77777777">
            <w:pPr>
              <w:pStyle w:val="TableParagraph"/>
              <w:spacing w:line="242" w:lineRule="auto"/>
              <w:ind w:right="393"/>
            </w:pPr>
            <w:r>
              <w:rPr>
                <w:b/>
              </w:rPr>
              <w:t xml:space="preserve">999; </w:t>
            </w:r>
            <w:r>
              <w:rPr>
                <w:i/>
              </w:rPr>
              <w:t>Number</w:t>
            </w:r>
            <w:r>
              <w:rPr>
                <w:b/>
              </w:rPr>
              <w:t xml:space="preserve">. </w:t>
            </w:r>
            <w:r>
              <w:t>Sulfur content of the reported batch of gasoline.</w:t>
            </w:r>
          </w:p>
        </w:tc>
      </w:tr>
      <w:tr w:rsidR="00467E02" w14:paraId="7ADA487D" w14:textId="77777777">
        <w:trPr>
          <w:trHeight w:val="2529"/>
        </w:trPr>
        <w:tc>
          <w:tcPr>
            <w:tcW w:w="710" w:type="dxa"/>
          </w:tcPr>
          <w:p w:rsidR="00467E02" w:rsidRDefault="008C101C" w14:paraId="6FE66A9B" w14:textId="77777777">
            <w:pPr>
              <w:pStyle w:val="TableParagraph"/>
              <w:ind w:left="107"/>
            </w:pPr>
            <w:r>
              <w:t>13</w:t>
            </w:r>
          </w:p>
        </w:tc>
        <w:tc>
          <w:tcPr>
            <w:tcW w:w="2268" w:type="dxa"/>
          </w:tcPr>
          <w:p w:rsidR="00467E02" w:rsidRDefault="008C101C" w14:paraId="7594A3C8" w14:textId="77777777">
            <w:pPr>
              <w:pStyle w:val="TableParagraph"/>
              <w:spacing w:line="240" w:lineRule="auto"/>
              <w:ind w:right="199"/>
            </w:pPr>
            <w:r>
              <w:t>Sulfur Parameter Test Method</w:t>
            </w:r>
          </w:p>
        </w:tc>
        <w:tc>
          <w:tcPr>
            <w:tcW w:w="1190" w:type="dxa"/>
          </w:tcPr>
          <w:p w:rsidR="00467E02" w:rsidRDefault="00467E02" w14:paraId="625C2A03" w14:textId="7777777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5181" w:type="dxa"/>
          </w:tcPr>
          <w:p w:rsidR="00467E02" w:rsidRDefault="008C101C" w14:paraId="04C4A6C3" w14:textId="77777777">
            <w:pPr>
              <w:pStyle w:val="TableParagraph"/>
              <w:spacing w:line="240" w:lineRule="auto"/>
              <w:ind w:right="132"/>
            </w:pPr>
            <w:r>
              <w:rPr>
                <w:i/>
              </w:rPr>
              <w:t xml:space="preserve">Character. </w:t>
            </w:r>
            <w:r>
              <w:t>Identify test method used to measure parameter. If ASTM, list the ASTM test method title. Or if citing an EPA approved test method under PBMS, provide the descriptive title name.</w:t>
            </w:r>
          </w:p>
          <w:p w:rsidR="00467E02" w:rsidRDefault="00467E02" w14:paraId="073E2903" w14:textId="77777777">
            <w:pPr>
              <w:pStyle w:val="TableParagraph"/>
              <w:spacing w:before="5" w:line="240" w:lineRule="auto"/>
              <w:ind w:left="0"/>
              <w:rPr>
                <w:b/>
                <w:sz w:val="21"/>
              </w:rPr>
            </w:pPr>
          </w:p>
          <w:p w:rsidR="00467E02" w:rsidRDefault="008C101C" w14:paraId="76B804F8" w14:textId="77777777">
            <w:pPr>
              <w:pStyle w:val="TableParagraph"/>
              <w:spacing w:line="240" w:lineRule="auto"/>
              <w:ind w:right="308"/>
            </w:pPr>
            <w:r>
              <w:t>Oxygenate producers/importers that are applying the alternative means of determining the sulfur content of denatured fuel ethanol under Tier III (80.1642), may report “Alternative means of determining the sulfur</w:t>
            </w:r>
          </w:p>
          <w:p w:rsidR="00467E02" w:rsidRDefault="008C101C" w14:paraId="0CA396BB" w14:textId="77777777">
            <w:pPr>
              <w:pStyle w:val="TableParagraph"/>
              <w:spacing w:before="1" w:line="238" w:lineRule="exact"/>
            </w:pPr>
            <w:r>
              <w:t>content of DFE”.</w:t>
            </w:r>
          </w:p>
        </w:tc>
      </w:tr>
      <w:tr w:rsidR="00467E02" w14:paraId="1D4AD172" w14:textId="77777777">
        <w:trPr>
          <w:trHeight w:val="1012"/>
        </w:trPr>
        <w:tc>
          <w:tcPr>
            <w:tcW w:w="710" w:type="dxa"/>
          </w:tcPr>
          <w:p w:rsidR="00467E02" w:rsidRDefault="008C101C" w14:paraId="231BEB55" w14:textId="77777777">
            <w:pPr>
              <w:pStyle w:val="TableParagraph"/>
              <w:ind w:left="107"/>
            </w:pPr>
            <w:r>
              <w:t>14</w:t>
            </w:r>
          </w:p>
        </w:tc>
        <w:tc>
          <w:tcPr>
            <w:tcW w:w="2268" w:type="dxa"/>
          </w:tcPr>
          <w:p w:rsidR="00467E02" w:rsidRDefault="008C101C" w14:paraId="011FE28A" w14:textId="77777777">
            <w:pPr>
              <w:pStyle w:val="TableParagraph"/>
            </w:pPr>
            <w:r>
              <w:t>Benzene</w:t>
            </w:r>
          </w:p>
        </w:tc>
        <w:tc>
          <w:tcPr>
            <w:tcW w:w="1190" w:type="dxa"/>
          </w:tcPr>
          <w:p w:rsidR="00467E02" w:rsidRDefault="008C101C" w14:paraId="3F4286A0" w14:textId="77777777">
            <w:pPr>
              <w:pStyle w:val="TableParagraph"/>
              <w:spacing w:line="242" w:lineRule="auto"/>
              <w:ind w:right="343"/>
            </w:pPr>
            <w:r>
              <w:t>Volume percent</w:t>
            </w:r>
          </w:p>
        </w:tc>
        <w:tc>
          <w:tcPr>
            <w:tcW w:w="5181" w:type="dxa"/>
          </w:tcPr>
          <w:p w:rsidR="00467E02" w:rsidRDefault="008C101C" w14:paraId="76336E55" w14:textId="77777777">
            <w:pPr>
              <w:pStyle w:val="TableParagraph"/>
              <w:spacing w:line="242" w:lineRule="auto"/>
              <w:ind w:right="131"/>
            </w:pPr>
            <w:r>
              <w:rPr>
                <w:b/>
              </w:rPr>
              <w:t xml:space="preserve">9.99; </w:t>
            </w:r>
            <w:r>
              <w:rPr>
                <w:i/>
              </w:rPr>
              <w:t>Number</w:t>
            </w:r>
            <w:r>
              <w:t>. Benzene content of the reported batch of gasoline.</w:t>
            </w:r>
          </w:p>
          <w:p w:rsidR="00467E02" w:rsidRDefault="00467E02" w14:paraId="2E1C9FC0" w14:textId="77777777">
            <w:pPr>
              <w:pStyle w:val="TableParagraph"/>
              <w:spacing w:before="11" w:line="240" w:lineRule="auto"/>
              <w:ind w:left="0"/>
              <w:rPr>
                <w:b/>
                <w:sz w:val="20"/>
              </w:rPr>
            </w:pPr>
          </w:p>
          <w:p w:rsidR="00467E02" w:rsidRDefault="008C101C" w14:paraId="1B295FBF" w14:textId="77777777">
            <w:pPr>
              <w:pStyle w:val="TableParagraph"/>
              <w:spacing w:line="240" w:lineRule="exact"/>
            </w:pPr>
            <w:r>
              <w:t>Oxygenate producers/importers may enter “NA”.</w:t>
            </w:r>
          </w:p>
        </w:tc>
      </w:tr>
      <w:tr w:rsidR="00467E02" w14:paraId="5FF61C89" w14:textId="77777777">
        <w:trPr>
          <w:trHeight w:val="1518"/>
        </w:trPr>
        <w:tc>
          <w:tcPr>
            <w:tcW w:w="710" w:type="dxa"/>
          </w:tcPr>
          <w:p w:rsidR="00467E02" w:rsidRDefault="008C101C" w14:paraId="5A51B896" w14:textId="77777777">
            <w:pPr>
              <w:pStyle w:val="TableParagraph"/>
              <w:ind w:left="107"/>
            </w:pPr>
            <w:r>
              <w:t>15</w:t>
            </w:r>
          </w:p>
        </w:tc>
        <w:tc>
          <w:tcPr>
            <w:tcW w:w="2268" w:type="dxa"/>
          </w:tcPr>
          <w:p w:rsidR="00467E02" w:rsidRDefault="008C101C" w14:paraId="0C2338D9" w14:textId="77777777">
            <w:pPr>
              <w:pStyle w:val="TableParagraph"/>
              <w:spacing w:line="240" w:lineRule="auto"/>
              <w:ind w:right="425"/>
            </w:pPr>
            <w:r>
              <w:t>Benzene Parameter Test Method</w:t>
            </w:r>
          </w:p>
        </w:tc>
        <w:tc>
          <w:tcPr>
            <w:tcW w:w="1190" w:type="dxa"/>
          </w:tcPr>
          <w:p w:rsidR="00467E02" w:rsidRDefault="00467E02" w14:paraId="3E4894F4" w14:textId="7777777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5181" w:type="dxa"/>
          </w:tcPr>
          <w:p w:rsidR="00467E02" w:rsidRDefault="008C101C" w14:paraId="0187305B" w14:textId="77777777">
            <w:pPr>
              <w:pStyle w:val="TableParagraph"/>
              <w:spacing w:line="240" w:lineRule="auto"/>
              <w:ind w:right="132"/>
            </w:pPr>
            <w:r>
              <w:rPr>
                <w:i/>
              </w:rPr>
              <w:t xml:space="preserve">Character. </w:t>
            </w:r>
            <w:r>
              <w:t>Identify test method used to measure parameter. If ASTM, list the ASTM test method title. Or if citing an EPA approved test method under PBMS, provide the descriptive title name.</w:t>
            </w:r>
          </w:p>
          <w:p w:rsidR="00467E02" w:rsidRDefault="00467E02" w14:paraId="3A56D31F" w14:textId="77777777">
            <w:pPr>
              <w:pStyle w:val="TableParagraph"/>
              <w:spacing w:before="5" w:line="240" w:lineRule="auto"/>
              <w:ind w:left="0"/>
              <w:rPr>
                <w:b/>
                <w:sz w:val="21"/>
              </w:rPr>
            </w:pPr>
          </w:p>
          <w:p w:rsidR="00467E02" w:rsidRDefault="008C101C" w14:paraId="2FEE31B8" w14:textId="77777777">
            <w:pPr>
              <w:pStyle w:val="TableParagraph"/>
              <w:spacing w:line="240" w:lineRule="exact"/>
            </w:pPr>
            <w:r>
              <w:t>Oxygenate producers/importers may enter “NA”.</w:t>
            </w:r>
          </w:p>
        </w:tc>
      </w:tr>
    </w:tbl>
    <w:p w:rsidR="00467E02" w:rsidRDefault="00467E02" w14:paraId="7FB1928D" w14:textId="77777777">
      <w:pPr>
        <w:pStyle w:val="BodyText"/>
        <w:rPr>
          <w:b/>
          <w:sz w:val="29"/>
        </w:rPr>
      </w:pPr>
    </w:p>
    <w:p w:rsidR="00467E02" w:rsidRDefault="008C101C" w14:paraId="5A5022CF" w14:textId="77777777">
      <w:pPr>
        <w:pStyle w:val="BodyText"/>
        <w:spacing w:before="92"/>
        <w:ind w:left="3170" w:right="3170"/>
        <w:jc w:val="center"/>
      </w:pPr>
      <w:r>
        <w:rPr>
          <w:u w:val="single"/>
        </w:rPr>
        <w:t>Paperwork Reduction Act Statement</w:t>
      </w:r>
    </w:p>
    <w:p w:rsidR="00467E02" w:rsidP="0091501D" w:rsidRDefault="0091501D" w14:paraId="4F543524" w14:textId="6118B1E3">
      <w:pPr>
        <w:pStyle w:val="BodyText"/>
        <w:spacing w:before="179" w:line="259" w:lineRule="auto"/>
        <w:ind w:left="120" w:right="168"/>
      </w:pPr>
      <w:r>
        <w:t xml:space="preserve">This collection of information is approved by OMB under the Paperwork Reduction Act, 44 U.S.C. 3501 et seq. </w:t>
      </w:r>
      <w:r w:rsidR="003368AF">
        <w:t xml:space="preserve">(OMB Control No. 2060-0437). Responses for this collection of information are mandatory (40 CFR 80). An agency may not conduct or sponsor, and a person is not required to respond to, a collection of information unless it displays a currently valid OMB control number. The public reporting and recordkeeping burden for this collection of information is estimated to be 30 minutes per response. </w:t>
      </w:r>
      <w:r>
        <w:t>Send comments on the Agency’</w:t>
      </w:r>
      <w:r w:rsidR="008C101C">
        <w:t xml:space="preserve">s need for this information, the accuracy of the provided burden estimates, and any suggested methods for minimizing respondent burden to the </w:t>
      </w:r>
      <w:r>
        <w:t xml:space="preserve">Regulatory Support Division </w:t>
      </w:r>
      <w:proofErr w:type="gramStart"/>
      <w:r w:rsidR="008C101C">
        <w:t>Director</w:t>
      </w:r>
      <w:proofErr w:type="gramEnd"/>
      <w:r w:rsidR="008C101C">
        <w:t>, U.S. Environmental Protection Agency (282</w:t>
      </w:r>
      <w:r>
        <w:t>1T</w:t>
      </w:r>
      <w:r w:rsidR="008C101C">
        <w:t>), 1200 Pennsylvania Ave., NW, Washington, D.C. 20460.</w:t>
      </w:r>
      <w:r>
        <w:t xml:space="preserve"> </w:t>
      </w:r>
      <w:r w:rsidR="008C101C">
        <w:t>Include the OMB control number in any correspondence. Do not send the completed form to this address.</w:t>
      </w:r>
      <w:bookmarkStart w:name="_GoBack" w:id="0"/>
      <w:bookmarkEnd w:id="0"/>
    </w:p>
    <w:sectPr w:rsidR="00467E02">
      <w:pgSz w:w="12240" w:h="15840"/>
      <w:pgMar w:top="1560" w:right="1320" w:bottom="920" w:left="1320" w:header="720" w:footer="7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7C35DE" w14:textId="77777777" w:rsidR="00192B23" w:rsidRDefault="008C101C">
      <w:r>
        <w:separator/>
      </w:r>
    </w:p>
  </w:endnote>
  <w:endnote w:type="continuationSeparator" w:id="0">
    <w:p w14:paraId="56EDE14C" w14:textId="77777777" w:rsidR="00192B23" w:rsidRDefault="008C10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A3B946" w14:textId="77777777" w:rsidR="005777B1" w:rsidRDefault="005777B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BD067C" w14:textId="77777777" w:rsidR="00467E02" w:rsidRDefault="002118B1">
    <w:pPr>
      <w:pStyle w:val="BodyText"/>
      <w:spacing w:line="14" w:lineRule="auto"/>
      <w:rPr>
        <w:sz w:val="20"/>
      </w:rPr>
    </w:pPr>
    <w:r>
      <w:pict w14:anchorId="34A3749F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71pt;margin-top:744.8pt;width:95.25pt;height:12pt;z-index:-15903744;mso-position-horizontal-relative:page;mso-position-vertical-relative:page" filled="f" stroked="f">
          <v:textbox inset="0,0,0,0">
            <w:txbxContent>
              <w:p w14:paraId="5CC93A4B" w14:textId="77777777" w:rsidR="00467E02" w:rsidRDefault="008C101C">
                <w:pPr>
                  <w:spacing w:before="12"/>
                  <w:ind w:left="20"/>
                  <w:rPr>
                    <w:sz w:val="18"/>
                  </w:rPr>
                </w:pPr>
                <w:r>
                  <w:rPr>
                    <w:sz w:val="18"/>
                  </w:rPr>
                  <w:t>EPA Form No. 5900-321</w:t>
                </w:r>
              </w:p>
            </w:txbxContent>
          </v:textbox>
          <w10:wrap anchorx="page" anchory="page"/>
        </v:shape>
      </w:pict>
    </w:r>
    <w:r>
      <w:pict w14:anchorId="7DBDC54F">
        <v:shape id="_x0000_s1025" type="#_x0000_t202" style="position:absolute;margin-left:284.6pt;margin-top:744.8pt;width:45.75pt;height:12pt;z-index:-15903232;mso-position-horizontal-relative:page;mso-position-vertical-relative:page" filled="f" stroked="f">
          <v:textbox inset="0,0,0,0">
            <w:txbxContent>
              <w:p w14:paraId="37895177" w14:textId="77777777" w:rsidR="00467E02" w:rsidRDefault="008C101C">
                <w:pPr>
                  <w:spacing w:before="12"/>
                  <w:ind w:left="20"/>
                  <w:rPr>
                    <w:b/>
                    <w:sz w:val="18"/>
                  </w:rPr>
                </w:pPr>
                <w:r>
                  <w:rPr>
                    <w:sz w:val="18"/>
                  </w:rPr>
                  <w:t xml:space="preserve">Page </w:t>
                </w:r>
                <w:r>
                  <w:fldChar w:fldCharType="begin"/>
                </w:r>
                <w:r>
                  <w:rPr>
                    <w:b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b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 xml:space="preserve">of </w:t>
                </w:r>
                <w:r>
                  <w:rPr>
                    <w:b/>
                    <w:sz w:val="18"/>
                  </w:rPr>
                  <w:t>3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713FB6" w14:textId="77777777" w:rsidR="005777B1" w:rsidRDefault="005777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84EE05" w14:textId="77777777" w:rsidR="00192B23" w:rsidRDefault="008C101C">
      <w:r>
        <w:separator/>
      </w:r>
    </w:p>
  </w:footnote>
  <w:footnote w:type="continuationSeparator" w:id="0">
    <w:p w14:paraId="3FE4A898" w14:textId="77777777" w:rsidR="00192B23" w:rsidRDefault="008C10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6EB28A" w14:textId="77777777" w:rsidR="005777B1" w:rsidRDefault="005777B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7201B4" w14:textId="77777777" w:rsidR="00467E02" w:rsidRDefault="008C101C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11200" behindDoc="1" locked="0" layoutInCell="1" allowOverlap="1" wp14:anchorId="32749101" wp14:editId="3CEB923B">
          <wp:simplePos x="0" y="0"/>
          <wp:positionH relativeFrom="page">
            <wp:posOffset>927100</wp:posOffset>
          </wp:positionH>
          <wp:positionV relativeFrom="page">
            <wp:posOffset>457200</wp:posOffset>
          </wp:positionV>
          <wp:extent cx="1281912" cy="505459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81912" cy="5054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8B1">
      <w:pict w14:anchorId="3455A41F"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218.25pt;margin-top:36.8pt;width:192.7pt;height:43.05pt;z-index:-15904768;mso-position-horizontal-relative:page;mso-position-vertical-relative:page" filled="f" stroked="f">
          <v:textbox inset="0,0,0,0">
            <w:txbxContent>
              <w:p w14:paraId="744767D3" w14:textId="77777777" w:rsidR="00467E02" w:rsidRDefault="008C101C">
                <w:pPr>
                  <w:spacing w:before="12" w:line="207" w:lineRule="exact"/>
                  <w:ind w:left="20"/>
                  <w:rPr>
                    <w:sz w:val="18"/>
                  </w:rPr>
                </w:pPr>
                <w:r>
                  <w:rPr>
                    <w:sz w:val="18"/>
                    <w:u w:val="single"/>
                  </w:rPr>
                  <w:t>RFG and Anti-Dumping</w:t>
                </w:r>
              </w:p>
              <w:p w14:paraId="7266FADE" w14:textId="77777777" w:rsidR="00467E02" w:rsidRDefault="008C101C">
                <w:pPr>
                  <w:ind w:left="20" w:right="4"/>
                  <w:rPr>
                    <w:sz w:val="18"/>
                  </w:rPr>
                </w:pPr>
                <w:r>
                  <w:rPr>
                    <w:sz w:val="18"/>
                  </w:rPr>
                  <w:t>Facility Gasoline Sulfur and Benzene Annual Report Instructions</w:t>
                </w:r>
              </w:p>
              <w:p w14:paraId="73B3022B" w14:textId="77777777" w:rsidR="00467E02" w:rsidRDefault="008C101C">
                <w:pPr>
                  <w:spacing w:before="1"/>
                  <w:ind w:left="20"/>
                  <w:rPr>
                    <w:sz w:val="18"/>
                  </w:rPr>
                </w:pPr>
                <w:r>
                  <w:rPr>
                    <w:sz w:val="18"/>
                  </w:rPr>
                  <w:t>Form ID: GSF0402</w:t>
                </w:r>
              </w:p>
            </w:txbxContent>
          </v:textbox>
          <w10:wrap anchorx="page" anchory="page"/>
        </v:shape>
      </w:pict>
    </w:r>
    <w:r w:rsidR="002118B1">
      <w:pict w14:anchorId="54860610">
        <v:shape id="_x0000_s1027" type="#_x0000_t202" style="position:absolute;margin-left:432.9pt;margin-top:36.8pt;width:106.9pt;height:22.45pt;z-index:-15904256;mso-position-horizontal-relative:page;mso-position-vertical-relative:page" filled="f" stroked="f">
          <v:textbox inset="0,0,0,0">
            <w:txbxContent>
              <w:p w14:paraId="500F2629" w14:textId="77777777" w:rsidR="00467E02" w:rsidRDefault="008C101C">
                <w:pPr>
                  <w:spacing w:before="12"/>
                  <w:ind w:right="18"/>
                  <w:jc w:val="right"/>
                  <w:rPr>
                    <w:sz w:val="18"/>
                  </w:rPr>
                </w:pPr>
                <w:r>
                  <w:rPr>
                    <w:sz w:val="18"/>
                  </w:rPr>
                  <w:t>OMB Control No.</w:t>
                </w:r>
                <w:r>
                  <w:rPr>
                    <w:spacing w:val="-7"/>
                    <w:sz w:val="18"/>
                  </w:rPr>
                  <w:t xml:space="preserve"> </w:t>
                </w:r>
                <w:r>
                  <w:rPr>
                    <w:spacing w:val="-5"/>
                    <w:sz w:val="18"/>
                  </w:rPr>
                  <w:t>2060-0437</w:t>
                </w:r>
              </w:p>
              <w:p w14:paraId="7037CFA7" w14:textId="5DAB5CCA" w:rsidR="00467E02" w:rsidRDefault="008C101C">
                <w:pPr>
                  <w:spacing w:before="2"/>
                  <w:ind w:right="18"/>
                  <w:jc w:val="right"/>
                  <w:rPr>
                    <w:sz w:val="18"/>
                  </w:rPr>
                </w:pPr>
                <w:r>
                  <w:rPr>
                    <w:sz w:val="18"/>
                  </w:rPr>
                  <w:t>Expires</w:t>
                </w:r>
                <w:r>
                  <w:rPr>
                    <w:spacing w:val="-3"/>
                    <w:sz w:val="18"/>
                  </w:rPr>
                  <w:t xml:space="preserve"> 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A8AFBA" w14:textId="77777777" w:rsidR="005777B1" w:rsidRDefault="005777B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A37D82"/>
    <w:multiLevelType w:val="hybridMultilevel"/>
    <w:tmpl w:val="6C489024"/>
    <w:lvl w:ilvl="0" w:tplc="5DFE3724">
      <w:numFmt w:val="bullet"/>
      <w:lvlText w:val=""/>
      <w:lvlJc w:val="left"/>
      <w:pPr>
        <w:ind w:left="840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C570019A">
      <w:numFmt w:val="bullet"/>
      <w:lvlText w:val="o"/>
      <w:lvlJc w:val="left"/>
      <w:pPr>
        <w:ind w:left="1560" w:hanging="361"/>
      </w:pPr>
      <w:rPr>
        <w:rFonts w:ascii="Courier New" w:eastAsia="Courier New" w:hAnsi="Courier New" w:cs="Courier New" w:hint="default"/>
        <w:w w:val="100"/>
        <w:sz w:val="22"/>
        <w:szCs w:val="22"/>
        <w:lang w:val="en-US" w:eastAsia="en-US" w:bidi="ar-SA"/>
      </w:rPr>
    </w:lvl>
    <w:lvl w:ilvl="2" w:tplc="C456CC3C">
      <w:numFmt w:val="bullet"/>
      <w:lvlText w:val="•"/>
      <w:lvlJc w:val="left"/>
      <w:pPr>
        <w:ind w:left="2453" w:hanging="361"/>
      </w:pPr>
      <w:rPr>
        <w:rFonts w:hint="default"/>
        <w:lang w:val="en-US" w:eastAsia="en-US" w:bidi="ar-SA"/>
      </w:rPr>
    </w:lvl>
    <w:lvl w:ilvl="3" w:tplc="CCB496FC">
      <w:numFmt w:val="bullet"/>
      <w:lvlText w:val="•"/>
      <w:lvlJc w:val="left"/>
      <w:pPr>
        <w:ind w:left="3346" w:hanging="361"/>
      </w:pPr>
      <w:rPr>
        <w:rFonts w:hint="default"/>
        <w:lang w:val="en-US" w:eastAsia="en-US" w:bidi="ar-SA"/>
      </w:rPr>
    </w:lvl>
    <w:lvl w:ilvl="4" w:tplc="E23A8B10">
      <w:numFmt w:val="bullet"/>
      <w:lvlText w:val="•"/>
      <w:lvlJc w:val="left"/>
      <w:pPr>
        <w:ind w:left="4240" w:hanging="361"/>
      </w:pPr>
      <w:rPr>
        <w:rFonts w:hint="default"/>
        <w:lang w:val="en-US" w:eastAsia="en-US" w:bidi="ar-SA"/>
      </w:rPr>
    </w:lvl>
    <w:lvl w:ilvl="5" w:tplc="8CAACE00">
      <w:numFmt w:val="bullet"/>
      <w:lvlText w:val="•"/>
      <w:lvlJc w:val="left"/>
      <w:pPr>
        <w:ind w:left="5133" w:hanging="361"/>
      </w:pPr>
      <w:rPr>
        <w:rFonts w:hint="default"/>
        <w:lang w:val="en-US" w:eastAsia="en-US" w:bidi="ar-SA"/>
      </w:rPr>
    </w:lvl>
    <w:lvl w:ilvl="6" w:tplc="630886D2">
      <w:numFmt w:val="bullet"/>
      <w:lvlText w:val="•"/>
      <w:lvlJc w:val="left"/>
      <w:pPr>
        <w:ind w:left="6026" w:hanging="361"/>
      </w:pPr>
      <w:rPr>
        <w:rFonts w:hint="default"/>
        <w:lang w:val="en-US" w:eastAsia="en-US" w:bidi="ar-SA"/>
      </w:rPr>
    </w:lvl>
    <w:lvl w:ilvl="7" w:tplc="9CD070EC">
      <w:numFmt w:val="bullet"/>
      <w:lvlText w:val="•"/>
      <w:lvlJc w:val="left"/>
      <w:pPr>
        <w:ind w:left="6920" w:hanging="361"/>
      </w:pPr>
      <w:rPr>
        <w:rFonts w:hint="default"/>
        <w:lang w:val="en-US" w:eastAsia="en-US" w:bidi="ar-SA"/>
      </w:rPr>
    </w:lvl>
    <w:lvl w:ilvl="8" w:tplc="82F0B7AA">
      <w:numFmt w:val="bullet"/>
      <w:lvlText w:val="•"/>
      <w:lvlJc w:val="left"/>
      <w:pPr>
        <w:ind w:left="7813" w:hanging="36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7E02"/>
    <w:rsid w:val="00192B23"/>
    <w:rsid w:val="002118B1"/>
    <w:rsid w:val="003368AF"/>
    <w:rsid w:val="00467E02"/>
    <w:rsid w:val="005777B1"/>
    <w:rsid w:val="008C101C"/>
    <w:rsid w:val="00915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78E8EE"/>
  <w15:docId w15:val="{B50D03CA-5879-44C8-A42B-B6C67D030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2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17"/>
      <w:ind w:left="840" w:hanging="361"/>
    </w:pPr>
  </w:style>
  <w:style w:type="paragraph" w:customStyle="1" w:styleId="TableParagraph">
    <w:name w:val="Table Paragraph"/>
    <w:basedOn w:val="Normal"/>
    <w:uiPriority w:val="1"/>
    <w:qFormat/>
    <w:pPr>
      <w:spacing w:line="247" w:lineRule="exact"/>
      <w:ind w:left="108"/>
    </w:pPr>
  </w:style>
  <w:style w:type="paragraph" w:styleId="Header">
    <w:name w:val="header"/>
    <w:basedOn w:val="Normal"/>
    <w:link w:val="HeaderChar"/>
    <w:uiPriority w:val="99"/>
    <w:unhideWhenUsed/>
    <w:rsid w:val="005777B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77B1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777B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77B1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pa.gov/otaq/fuels/reporting/cdx.ht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haredContentType xmlns="Microsoft.SharePoint.Taxonomy.ContentTypeSync" SourceId="29f62856-1543-49d4-a736-4569d363f533" ContentTypeId="0x0101" PreviousValue="false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Source xmlns="http://schemas.microsoft.com/sharepoint/v3/fields" xsi:nil="true"/>
    <Language xmlns="http://schemas.microsoft.com/sharepoint/v3">English</Language>
    <j747ac98061d40f0aa7bd47e1db5675d xmlns="4ffa91fb-a0ff-4ac5-b2db-65c790d184a4">
      <Terms xmlns="http://schemas.microsoft.com/office/infopath/2007/PartnerControls"/>
    </j747ac98061d40f0aa7bd47e1db5675d>
    <External_x0020_Contributor xmlns="4ffa91fb-a0ff-4ac5-b2db-65c790d184a4" xsi:nil="true"/>
    <Records_x0020_Date xmlns="f15e4d92-675c-4df7-a5c5-11f59c7da362" xsi:nil="true"/>
    <TaxKeywordTaxHTField xmlns="4ffa91fb-a0ff-4ac5-b2db-65c790d184a4">
      <Terms xmlns="http://schemas.microsoft.com/office/infopath/2007/PartnerControls"/>
    </TaxKeywordTaxHTField>
    <Record xmlns="4ffa91fb-a0ff-4ac5-b2db-65c790d184a4">Shared</Record>
    <Rights xmlns="4ffa91fb-a0ff-4ac5-b2db-65c790d184a4" xsi:nil="true"/>
    <Document_x0020_Creation_x0020_Date xmlns="4ffa91fb-a0ff-4ac5-b2db-65c790d184a4">2020-09-22T19:12:58+00:00</Document_x0020_Creation_x0020_Date>
    <EPA_x0020_Office xmlns="4ffa91fb-a0ff-4ac5-b2db-65c790d184a4" xsi:nil="true"/>
    <CategoryDescription xmlns="http://schemas.microsoft.com/sharepoint.v3" xsi:nil="true"/>
    <Identifier xmlns="4ffa91fb-a0ff-4ac5-b2db-65c790d184a4" xsi:nil="true"/>
    <_Coverage xmlns="http://schemas.microsoft.com/sharepoint/v3/fields" xsi:nil="true"/>
    <Records_x0020_Status xmlns="f15e4d92-675c-4df7-a5c5-11f59c7da362">Pending</Records_x0020_Status>
    <Creator xmlns="4ffa91fb-a0ff-4ac5-b2db-65c790d184a4">
      <UserInfo>
        <DisplayName/>
        <AccountId xsi:nil="true"/>
        <AccountType/>
      </UserInfo>
    </Creator>
    <EPA_x0020_Related_x0020_Documents xmlns="4ffa91fb-a0ff-4ac5-b2db-65c790d184a4" xsi:nil="true"/>
    <EPA_x0020_Contributor xmlns="4ffa91fb-a0ff-4ac5-b2db-65c790d184a4">
      <UserInfo>
        <DisplayName/>
        <AccountId xsi:nil="true"/>
        <AccountType/>
      </UserInfo>
    </EPA_x0020_Contributor>
    <TaxCatchAll xmlns="4ffa91fb-a0ff-4ac5-b2db-65c790d184a4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719D49AC1E8445B308ED73430A75FB" ma:contentTypeVersion="37" ma:contentTypeDescription="Create a new document." ma:contentTypeScope="" ma:versionID="a649c2489bb349d81f3bec676c6080b7">
  <xsd:schema xmlns:xsd="http://www.w3.org/2001/XMLSchema" xmlns:xs="http://www.w3.org/2001/XMLSchema" xmlns:p="http://schemas.microsoft.com/office/2006/metadata/properties" xmlns:ns1="http://schemas.microsoft.com/sharepoint/v3" xmlns:ns3="4ffa91fb-a0ff-4ac5-b2db-65c790d184a4" xmlns:ns4="http://schemas.microsoft.com/sharepoint.v3" xmlns:ns5="http://schemas.microsoft.com/sharepoint/v3/fields" xmlns:ns6="bf1bd976-7838-42ba-8ae1-72ce1e6cdd78" xmlns:ns7="f15e4d92-675c-4df7-a5c5-11f59c7da362" targetNamespace="http://schemas.microsoft.com/office/2006/metadata/properties" ma:root="true" ma:fieldsID="8c3f32679a0de21fe5da1893bdc1316f" ns1:_="" ns3:_="" ns4:_="" ns5:_="" ns6:_="" ns7:_="">
    <xsd:import namespace="http://schemas.microsoft.com/sharepoint/v3"/>
    <xsd:import namespace="4ffa91fb-a0ff-4ac5-b2db-65c790d184a4"/>
    <xsd:import namespace="http://schemas.microsoft.com/sharepoint.v3"/>
    <xsd:import namespace="http://schemas.microsoft.com/sharepoint/v3/fields"/>
    <xsd:import namespace="bf1bd976-7838-42ba-8ae1-72ce1e6cdd78"/>
    <xsd:import namespace="f15e4d92-675c-4df7-a5c5-11f59c7da362"/>
    <xsd:element name="properties">
      <xsd:complexType>
        <xsd:sequence>
          <xsd:element name="documentManagement">
            <xsd:complexType>
              <xsd:all>
                <xsd:element ref="ns3:Document_x0020_Creation_x0020_Date" minOccurs="0"/>
                <xsd:element ref="ns3:Creator" minOccurs="0"/>
                <xsd:element ref="ns3:EPA_x0020_Office" minOccurs="0"/>
                <xsd:element ref="ns3:Record" minOccurs="0"/>
                <xsd:element ref="ns4:CategoryDescription" minOccurs="0"/>
                <xsd:element ref="ns3:Identifier" minOccurs="0"/>
                <xsd:element ref="ns3:EPA_x0020_Contributor" minOccurs="0"/>
                <xsd:element ref="ns3:External_x0020_Contributor" minOccurs="0"/>
                <xsd:element ref="ns5:_Coverage" minOccurs="0"/>
                <xsd:element ref="ns3:EPA_x0020_Related_x0020_Documents" minOccurs="0"/>
                <xsd:element ref="ns5:_Source" minOccurs="0"/>
                <xsd:element ref="ns3:Rights" minOccurs="0"/>
                <xsd:element ref="ns1:Language" minOccurs="0"/>
                <xsd:element ref="ns3:j747ac98061d40f0aa7bd47e1db5675d" minOccurs="0"/>
                <xsd:element ref="ns3:TaxKeywordTaxHTField" minOccurs="0"/>
                <xsd:element ref="ns3:TaxCatchAllLabel" minOccurs="0"/>
                <xsd:element ref="ns3:TaxCatchAll" minOccurs="0"/>
                <xsd:element ref="ns6:MediaServiceMetadata" minOccurs="0"/>
                <xsd:element ref="ns6:MediaServiceFastMetadata" minOccurs="0"/>
                <xsd:element ref="ns7:SharedWithUsers" minOccurs="0"/>
                <xsd:element ref="ns7:SharedWithDetails" minOccurs="0"/>
                <xsd:element ref="ns7:SharingHintHash" minOccurs="0"/>
                <xsd:element ref="ns7:Records_x0020_Status" minOccurs="0"/>
                <xsd:element ref="ns7:Records_x0020_Date" minOccurs="0"/>
                <xsd:element ref="ns6:MediaServiceAutoKeyPoints" minOccurs="0"/>
                <xsd:element ref="ns6:MediaServiceKeyPoints" minOccurs="0"/>
                <xsd:element ref="ns6:MediaServiceDateTaken" minOccurs="0"/>
                <xsd:element ref="ns6:MediaServiceAutoTags" minOccurs="0"/>
                <xsd:element ref="ns6:MediaServiceGenerationTime" minOccurs="0"/>
                <xsd:element ref="ns6:MediaServiceEventHashCode" minOccurs="0"/>
                <xsd:element ref="ns6:MediaServiceLocation" minOccurs="0"/>
                <xsd:element ref="ns6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7" nillable="true" ma:displayName="Language" ma:default="English" ma:description="Select the document language from the drop down." ma:format="Dropdown" ma:internalName="Language" ma:readOnly="false">
      <xsd:simpleType>
        <xsd:restriction base="dms:Choice">
          <xsd:enumeration value="Arabic (Saudi Arabia)"/>
          <xsd:enumeration value="Bulgarian (Bulgaria)"/>
          <xsd:enumeration value="Chinese (Hong Kong S.A.R.)"/>
          <xsd:enumeration value="Chinese (People's Republic of China)"/>
          <xsd:enumeration value="Chinese (Taiwan)"/>
          <xsd:enumeration value="Croatian (Croatia)"/>
          <xsd:enumeration value="Czech (Czech Republic)"/>
          <xsd:enumeration value="Danish (Denmark)"/>
          <xsd:enumeration value="Dutch (Netherlands)"/>
          <xsd:enumeration value="English"/>
          <xsd:enumeration value="Estonian (Estonia)"/>
          <xsd:enumeration value="Finnish (Finland)"/>
          <xsd:enumeration value="French (France)"/>
          <xsd:enumeration value="German (Germany)"/>
          <xsd:enumeration value="Greek (Greece)"/>
          <xsd:enumeration value="Hebrew (Israel)"/>
          <xsd:enumeration value="Hindi (India)"/>
          <xsd:enumeration value="Hungarian (Hungary)"/>
          <xsd:enumeration value="Indonesian (Indonesia)"/>
          <xsd:enumeration value="Italian (Italy)"/>
          <xsd:enumeration value="Japanese (Japan)"/>
          <xsd:enumeration value="Korean (Korea)"/>
          <xsd:enumeration value="Latvian (Latvia)"/>
          <xsd:enumeration value="Lithuanian (Lithuania)"/>
          <xsd:enumeration value="Malay (Malaysia)"/>
          <xsd:enumeration value="Norwegian (Bokmal) (Norway)"/>
          <xsd:enumeration value="Polish (Poland)"/>
          <xsd:enumeration value="Portuguese (Brazil)"/>
          <xsd:enumeration value="Portuguese (Portugal)"/>
          <xsd:enumeration value="Romanian (Romania)"/>
          <xsd:enumeration value="Russian (Russia)"/>
          <xsd:enumeration value="Serbian (Latin) (Serbia)"/>
          <xsd:enumeration value="Slovak (Slovakia)"/>
          <xsd:enumeration value="Slovenian (Slovenia)"/>
          <xsd:enumeration value="Spanish (Spain)"/>
          <xsd:enumeration value="Swedish (Sweden)"/>
          <xsd:enumeration value="Thai (Thailand)"/>
          <xsd:enumeration value="Turkish (Turkey)"/>
          <xsd:enumeration value="Ukrainian (Ukraine)"/>
          <xsd:enumeration value="Urdu (Islamic Republic of Pakistan)"/>
          <xsd:enumeration value="Vietnamese (Vietnam)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a91fb-a0ff-4ac5-b2db-65c790d184a4" elementFormDefault="qualified">
    <xsd:import namespace="http://schemas.microsoft.com/office/2006/documentManagement/types"/>
    <xsd:import namespace="http://schemas.microsoft.com/office/infopath/2007/PartnerControls"/>
    <xsd:element name="Document_x0020_Creation_x0020_Date" ma:index="2" nillable="true" ma:displayName="Document Date" ma:default="[today]" ma:description="Enter the date this document was last modified. The upload date has been entered by default." ma:format="DateOnly" ma:internalName="Document_x0020_Creation_x0020_Date" ma:readOnly="false">
      <xsd:simpleType>
        <xsd:restriction base="dms:DateTime"/>
      </xsd:simpleType>
    </xsd:element>
    <xsd:element name="Creator" ma:index="3" nillable="true" ma:displayName="Creator" ma:description="Enter the person primarily responsible for the document. The name of the person uploading the document has been entered by default." ma:list="UserInfo" ma:SharePointGroup="0" ma:internalName="Creato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PA_x0020_Office" ma:index="4" nillable="true" ma:displayName="EPA Office" ma:description="Enter the EPA organization primarily responsible for the document. The office of the person uploading the document has been entered by default." ma:internalName="EPA_x0020_Office">
      <xsd:simpleType>
        <xsd:restriction base="dms:Text">
          <xsd:maxLength value="255"/>
        </xsd:restriction>
      </xsd:simpleType>
    </xsd:element>
    <xsd:element name="Record" ma:index="5" nillable="true" ma:displayName="Record" ma:default="Shared" ma:description="For documents that provide evidence of EPA decisions and actions, select &quot;Shared&quot; (open access) or &quot;Private&quot; (restricted access)." ma:format="Dropdown" ma:internalName="Record">
      <xsd:simpleType>
        <xsd:restriction base="dms:Choice">
          <xsd:enumeration value="None"/>
          <xsd:enumeration value="Shared"/>
          <xsd:enumeration value="Private"/>
        </xsd:restriction>
      </xsd:simpleType>
    </xsd:element>
    <xsd:element name="Identifier" ma:index="9" nillable="true" ma:displayName="Identifier" ma:description="Enter all EPA identification numbers applicable to this document, one on each line." ma:internalName="Identifier" ma:readOnly="false">
      <xsd:simpleType>
        <xsd:restriction base="dms:Note">
          <xsd:maxLength value="255"/>
        </xsd:restriction>
      </xsd:simpleType>
    </xsd:element>
    <xsd:element name="EPA_x0020_Contributor" ma:index="11" nillable="true" ma:displayName="EPA Contributor" ma:description="Enter an EPA person who contributed to the creation of the document but is not the primary author." ma:list="UserInfo" ma:SharePointGroup="0" ma:internalName="EPA_x0020_Contribu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xternal_x0020_Contributor" ma:index="12" nillable="true" ma:displayName="External Contributor" ma:description="Enter a non-EPA person who contributed to the creation of the document but is not the primary author." ma:internalName="External_x0020_Contributor" ma:readOnly="false">
      <xsd:simpleType>
        <xsd:restriction base="dms:Note">
          <xsd:maxLength value="255"/>
        </xsd:restriction>
      </xsd:simpleType>
    </xsd:element>
    <xsd:element name="EPA_x0020_Related_x0020_Documents" ma:index="14" nillable="true" ma:displayName="Other Related Documents" ma:description="Enter any related document." ma:internalName="EPA_x0020_Related_x0020_Documents">
      <xsd:simpleType>
        <xsd:restriction base="dms:Note">
          <xsd:maxLength value="255"/>
        </xsd:restriction>
      </xsd:simpleType>
    </xsd:element>
    <xsd:element name="Rights" ma:index="16" nillable="true" ma:displayName="Rights" ma:description="Enter information about intellectual property rights held over the document (e.g. copyright, patent, trademark)." ma:internalName="Rights" ma:readOnly="false">
      <xsd:simpleType>
        <xsd:restriction base="dms:Note">
          <xsd:maxLength value="255"/>
        </xsd:restriction>
      </xsd:simpleType>
    </xsd:element>
    <xsd:element name="j747ac98061d40f0aa7bd47e1db5675d" ma:index="19" nillable="true" ma:taxonomy="true" ma:internalName="j747ac98061d40f0aa7bd47e1db5675d" ma:taxonomyFieldName="Document_x0020_Type" ma:displayName="Document Type" ma:readOnly="false" ma:default="" ma:fieldId="{3747ac98-061d-40f0-aa7b-d47e1db5675d}" ma:sspId="29f62856-1543-49d4-a736-4569d363f533" ma:termSetId="e06cd6a9-a175-4da0-81cb-8dba7aa394a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21" nillable="true" ma:taxonomy="true" ma:internalName="TaxKeywordTaxHTField" ma:taxonomyFieldName="TaxKeyword" ma:displayName="Enterprise Keywords" ma:readOnly="false" ma:fieldId="{23f27201-bee3-471e-b2e7-b64fd8b7ca38}" ma:taxonomyMulti="true" ma:sspId="29f62856-1543-49d4-a736-4569d363f533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Label" ma:index="23" nillable="true" ma:displayName="Taxonomy Catch All Column1" ma:hidden="true" ma:list="{23cedaac-547f-4967-a7b2-3e43b0a4c251}" ma:internalName="TaxCatchAllLabel" ma:readOnly="true" ma:showField="CatchAllDataLabel" ma:web="f15e4d92-675c-4df7-a5c5-11f59c7da3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24" nillable="true" ma:displayName="Taxonomy Catch All Column" ma:hidden="true" ma:list="{23cedaac-547f-4967-a7b2-3e43b0a4c251}" ma:internalName="TaxCatchAll" ma:showField="CatchAllData" ma:web="f15e4d92-675c-4df7-a5c5-11f59c7da3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6" nillable="true" ma:displayName="Description" ma:description="Enter a brief description." ma:internalName="CategoryDescription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Coverage" ma:index="13" nillable="true" ma:displayName="Coverage" ma:description="Enter the geographic location, jurisdiction, or time period for which the document is relevant." ma:internalName="_Coverage" ma:readOnly="false">
      <xsd:simpleType>
        <xsd:restriction base="dms:Text">
          <xsd:maxLength value="255"/>
        </xsd:restriction>
      </xsd:simpleType>
    </xsd:element>
    <xsd:element name="_Source" ma:index="15" nillable="true" ma:displayName="Source" ma:description="Enter a source from which the document is derived." ma:internalName="_Source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1bd976-7838-42ba-8ae1-72ce1e6cdd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3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3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8" nillable="true" ma:displayName="Tags" ma:internalName="MediaServiceAutoTags" ma:readOnly="true">
      <xsd:simpleType>
        <xsd:restriction base="dms:Text"/>
      </xsd:simpleType>
    </xsd:element>
    <xsd:element name="MediaServiceGenerationTime" ma:index="3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41" nillable="true" ma:displayName="Location" ma:internalName="MediaServiceLocation" ma:readOnly="true">
      <xsd:simpleType>
        <xsd:restriction base="dms:Text"/>
      </xsd:simpleType>
    </xsd:element>
    <xsd:element name="MediaServiceOCR" ma:index="4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e4d92-675c-4df7-a5c5-11f59c7da362" elementFormDefault="qualified">
    <xsd:import namespace="http://schemas.microsoft.com/office/2006/documentManagement/types"/>
    <xsd:import namespace="http://schemas.microsoft.com/office/infopath/2007/PartnerControls"/>
    <xsd:element name="SharedWithUsers" ma:index="3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32" nillable="true" ma:displayName="Sharing Hint Hash" ma:hidden="true" ma:internalName="SharingHintHash" ma:readOnly="true">
      <xsd:simpleType>
        <xsd:restriction base="dms:Text"/>
      </xsd:simpleType>
    </xsd:element>
    <xsd:element name="Records_x0020_Status" ma:index="33" nillable="true" ma:displayName="Records Status" ma:default="Pending" ma:internalName="Records_x0020_Status">
      <xsd:simpleType>
        <xsd:restriction base="dms:Text"/>
      </xsd:simpleType>
    </xsd:element>
    <xsd:element name="Records_x0020_Date" ma:index="34" nillable="true" ma:displayName="Records Date" ma:hidden="true" ma:internalName="Records_x0020_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4AEA27-0851-4EFF-9FD6-4009F2C53271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42C5C633-67F7-4B0D-B187-F4721FD5C5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07F38A-C4D1-4DE9-86FE-1A290A8075DC}">
  <ds:schemaRefs>
    <ds:schemaRef ds:uri="http://schemas.microsoft.com/office/2006/metadata/properties"/>
    <ds:schemaRef ds:uri="http://schemas.microsoft.com/office/infopath/2007/PartnerControls"/>
    <ds:schemaRef ds:uri="http://schemas.microsoft.com/sharepoint/v3/fields"/>
    <ds:schemaRef ds:uri="http://schemas.microsoft.com/sharepoint/v3"/>
    <ds:schemaRef ds:uri="4ffa91fb-a0ff-4ac5-b2db-65c790d184a4"/>
    <ds:schemaRef ds:uri="f15e4d92-675c-4df7-a5c5-11f59c7da362"/>
    <ds:schemaRef ds:uri="http://schemas.microsoft.com/sharepoint.v3"/>
  </ds:schemaRefs>
</ds:datastoreItem>
</file>

<file path=customXml/itemProps4.xml><?xml version="1.0" encoding="utf-8"?>
<ds:datastoreItem xmlns:ds="http://schemas.openxmlformats.org/officeDocument/2006/customXml" ds:itemID="{D5341B37-0CA3-4F53-A2C0-B5477110CE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ffa91fb-a0ff-4ac5-b2db-65c790d184a4"/>
    <ds:schemaRef ds:uri="http://schemas.microsoft.com/sharepoint.v3"/>
    <ds:schemaRef ds:uri="http://schemas.microsoft.com/sharepoint/v3/fields"/>
    <ds:schemaRef ds:uri="bf1bd976-7838-42ba-8ae1-72ce1e6cdd78"/>
    <ds:schemaRef ds:uri="f15e4d92-675c-4df7-a5c5-11f59c7da3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902</Words>
  <Characters>5145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Gasoline Sulfur and Benzene Batch Report (Report Form ID GSF0402) -- Instructions (May 2017)</vt:lpstr>
    </vt:vector>
  </TitlesOfParts>
  <Company/>
  <LinksUpToDate>false</LinksUpToDate>
  <CharactersWithSpaces>6035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Gasoline Sulfur and Benzene Batch Report (Report Form ID GSF0402) -- Instructions (May 2017)</dc:title>
  <dc:subject>This document provides instructions for submitting facility gasoline sulfur and benzene annual reports to the U.S. EPA. Report Form ID: GSF0402</dc:subject>
  <dc:creator>U.S. EPA</dc:creator>
  <cp:keywords>facility; gasoline; sulfur; benzene; batch; annual; report; instructions; GSF0402; gsf0402;reformulated gasoline;rfg;anti dumping;refiner;importer</cp:keywords>
  <cp:lastModifiedBy>Purdy, Mark</cp:lastModifiedBy>
  <cp:revision>5</cp:revision>
  <dcterms:created xsi:type="dcterms:W3CDTF">2020-09-22T19:12:00Z</dcterms:created>
  <dcterms:modified xsi:type="dcterms:W3CDTF">2020-11-09T19:43:00Z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2010-05-20T00:00:00Z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2020-09-22T00:00:00Z</vt:filetime>
  </property>
  <property fmtid="{D5CDD505-2E9C-101B-9397-08002B2CF9AE}" pid="5" name="ContentTypeId">
    <vt:lpwstr>0x010100C1719D49AC1E8445B308ED73430A75FB</vt:lpwstr>
  </property>
</Properties>
</file>