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02004" w14:textId="77777777" w:rsidR="003B4B22" w:rsidRDefault="003B4B22">
      <w:bookmarkStart w:id="0" w:name="_GoBack"/>
      <w:bookmarkEnd w:id="0"/>
    </w:p>
    <w:p w14:paraId="2B08FE50" w14:textId="77777777" w:rsidR="00A27544" w:rsidRDefault="00A27544"/>
    <w:p w14:paraId="13111A22" w14:textId="77777777" w:rsidR="00A27544" w:rsidRPr="005976AB" w:rsidRDefault="00A27544" w:rsidP="00D841DF">
      <w:pPr>
        <w:spacing w:line="240" w:lineRule="auto"/>
        <w:contextualSpacing/>
        <w:jc w:val="center"/>
        <w:rPr>
          <w:b/>
        </w:rPr>
      </w:pPr>
      <w:r w:rsidRPr="005976AB">
        <w:rPr>
          <w:b/>
        </w:rPr>
        <w:t>Supporting Statement A</w:t>
      </w:r>
    </w:p>
    <w:p w14:paraId="12244061" w14:textId="77777777" w:rsidR="00A27544" w:rsidRPr="005976AB" w:rsidRDefault="00A27544" w:rsidP="00D841DF">
      <w:pPr>
        <w:spacing w:line="240" w:lineRule="auto"/>
        <w:contextualSpacing/>
        <w:jc w:val="center"/>
        <w:rPr>
          <w:b/>
        </w:rPr>
      </w:pPr>
      <w:r w:rsidRPr="005976AB">
        <w:rPr>
          <w:b/>
        </w:rPr>
        <w:t>Notice of Proposed Construction or Alteration, Notice of Actual Construction or Alteration</w:t>
      </w:r>
    </w:p>
    <w:p w14:paraId="13C67B4B" w14:textId="77777777" w:rsidR="00A27544" w:rsidRPr="005976AB" w:rsidRDefault="00A27544" w:rsidP="00A27544">
      <w:pPr>
        <w:spacing w:after="0"/>
        <w:jc w:val="center"/>
        <w:rPr>
          <w:b/>
        </w:rPr>
      </w:pPr>
      <w:r w:rsidRPr="005976AB">
        <w:rPr>
          <w:b/>
        </w:rPr>
        <w:t>2120-0001</w:t>
      </w:r>
    </w:p>
    <w:p w14:paraId="4074AC9C" w14:textId="77777777" w:rsidR="00A27544" w:rsidRDefault="00A27544" w:rsidP="00A27544">
      <w:pPr>
        <w:spacing w:after="0"/>
        <w:jc w:val="center"/>
      </w:pPr>
    </w:p>
    <w:p w14:paraId="570EB7A2" w14:textId="77777777" w:rsidR="00A27544" w:rsidRPr="005976AB" w:rsidRDefault="00A27544" w:rsidP="00A27544">
      <w:pPr>
        <w:spacing w:after="0"/>
        <w:rPr>
          <w:b/>
        </w:rPr>
      </w:pPr>
      <w:r w:rsidRPr="005976AB">
        <w:rPr>
          <w:b/>
        </w:rPr>
        <w:t>1. Explain the circumstances that make the collection of information necessary. Identify any legal or administrative requirements that necessitate the collection.</w:t>
      </w:r>
    </w:p>
    <w:p w14:paraId="6AA7AF52" w14:textId="77777777" w:rsidR="00A27544" w:rsidRDefault="00A27544" w:rsidP="00A27544">
      <w:pPr>
        <w:spacing w:after="0"/>
      </w:pPr>
    </w:p>
    <w:p w14:paraId="3DFDC517" w14:textId="77777777" w:rsidR="00A27544" w:rsidRDefault="008F7493" w:rsidP="00A27544">
      <w:pPr>
        <w:spacing w:after="0"/>
      </w:pPr>
      <w:r>
        <w:t xml:space="preserve">Title </w:t>
      </w:r>
      <w:r w:rsidR="00A27544">
        <w:t xml:space="preserve">49 U.S.C. Section 44718 </w:t>
      </w:r>
      <w:r>
        <w:t>empowers and requires the Secretary of Transportation b</w:t>
      </w:r>
      <w:r w:rsidR="00A27544">
        <w:t xml:space="preserve">y regulation or by order when necessary, </w:t>
      </w:r>
      <w:r>
        <w:t>to</w:t>
      </w:r>
      <w:r w:rsidR="00A27544">
        <w:t xml:space="preserve"> require a person to give adequate public notice, in the form and way the Secretary prescribes, of the construction, alteration, establishment, or expansion, of a structure or sanitary landfill when public notice will promote </w:t>
      </w:r>
      <w:r w:rsidR="005976AB">
        <w:t>(1) S</w:t>
      </w:r>
      <w:r w:rsidR="00A27544">
        <w:t>afety in air commerce; and</w:t>
      </w:r>
      <w:r w:rsidR="0030313C">
        <w:t xml:space="preserve"> </w:t>
      </w:r>
      <w:r w:rsidR="005976AB">
        <w:t>(2) T</w:t>
      </w:r>
      <w:r w:rsidR="00A27544">
        <w:t>he efficient use and preservation of the navigable airspace and of airport traffic capacity at public-use airports.</w:t>
      </w:r>
    </w:p>
    <w:p w14:paraId="4B7ED733" w14:textId="77777777" w:rsidR="00A27544" w:rsidRDefault="00A27544" w:rsidP="00A27544">
      <w:pPr>
        <w:spacing w:after="0"/>
      </w:pPr>
    </w:p>
    <w:p w14:paraId="5C12A32E" w14:textId="77777777" w:rsidR="0030313C" w:rsidRDefault="0030313C" w:rsidP="0030313C">
      <w:r>
        <w:t>Also, Title 49 U.S.C., Section 44701 empowers and requires the Administrator of the Federal Aviation Administration (FAA) to prescribe standards applicable to the accomplishment of the mission of the FAA.</w:t>
      </w:r>
    </w:p>
    <w:p w14:paraId="520B0BE1" w14:textId="77777777" w:rsidR="00A27544" w:rsidRDefault="00A27544" w:rsidP="00A27544">
      <w:pPr>
        <w:spacing w:after="0"/>
      </w:pPr>
      <w:r>
        <w:t>The Federal Aviation Administration (FAA) implements the requirement for notification by means of part 77 of Title 14 of the Code of Federal Regulations (part 77)</w:t>
      </w:r>
      <w:r w:rsidR="0030313C">
        <w:t xml:space="preserve"> to promote the safe, efficient use, and preservation of the navigable airspace</w:t>
      </w:r>
      <w:r>
        <w:t>.</w:t>
      </w:r>
    </w:p>
    <w:p w14:paraId="0CD38D5C" w14:textId="77777777" w:rsidR="00A27544" w:rsidRDefault="00A27544" w:rsidP="00A27544">
      <w:pPr>
        <w:spacing w:after="0"/>
      </w:pPr>
    </w:p>
    <w:p w14:paraId="2AE2B500" w14:textId="77777777" w:rsidR="00A27544" w:rsidRPr="005976AB" w:rsidRDefault="00A27544" w:rsidP="00A27544">
      <w:pPr>
        <w:spacing w:after="0"/>
        <w:rPr>
          <w:b/>
        </w:rPr>
      </w:pPr>
      <w:r w:rsidRPr="005976AB">
        <w:rPr>
          <w:b/>
        </w:rPr>
        <w:t>2. Indicate how, by whom, and for what purpose the information is to be used. Except for a new collection, indicate the actual use the agency has made of the information received from the current collection.</w:t>
      </w:r>
    </w:p>
    <w:p w14:paraId="56468BC7" w14:textId="77777777" w:rsidR="00A27544" w:rsidRDefault="00A27544" w:rsidP="00A27544">
      <w:pPr>
        <w:spacing w:after="0"/>
      </w:pPr>
    </w:p>
    <w:p w14:paraId="6B6D35C5" w14:textId="77777777" w:rsidR="00A27544" w:rsidRDefault="0030313C">
      <w:pPr>
        <w:spacing w:after="0"/>
      </w:pPr>
      <w:r>
        <w:t>Sponsors</w:t>
      </w:r>
      <w:r w:rsidR="00FA4D1E">
        <w:t>, anyone</w:t>
      </w:r>
      <w:r>
        <w:t xml:space="preserve"> planning any construction or alteration project described in 14 CFR 77.9</w:t>
      </w:r>
      <w:r w:rsidR="00FA4D1E">
        <w:t>,</w:t>
      </w:r>
      <w:r>
        <w:t xml:space="preserve"> </w:t>
      </w:r>
      <w:r w:rsidR="00ED617E">
        <w:t xml:space="preserve">are required to </w:t>
      </w:r>
      <w:r>
        <w:t xml:space="preserve">provide adequate notice </w:t>
      </w:r>
      <w:r w:rsidR="00FA4D1E">
        <w:t xml:space="preserve">(as specified in 14 CFR 77.7) </w:t>
      </w:r>
      <w:r>
        <w:t>to the FAA</w:t>
      </w:r>
      <w:r w:rsidR="00DE5DFC">
        <w:t xml:space="preserve"> </w:t>
      </w:r>
      <w:r>
        <w:t>of that construction or alteration on FAA Form 7460-1, Notice of Proposed Construction or Alteration.</w:t>
      </w:r>
      <w:r w:rsidR="007E1A6C">
        <w:t xml:space="preserve"> The reporting of this information is mandatory on occasion</w:t>
      </w:r>
      <w:r w:rsidR="00DE5DFC">
        <w:t xml:space="preserve"> of each construction or alteration.</w:t>
      </w:r>
      <w:r w:rsidR="007E1A6C">
        <w:t xml:space="preserve"> </w:t>
      </w:r>
      <w:r>
        <w:t xml:space="preserve"> </w:t>
      </w:r>
      <w:r w:rsidR="00A27544">
        <w:t xml:space="preserve">The FAA uses the information collected to </w:t>
      </w:r>
      <w:r>
        <w:t>evaluate the effect of the proposed construction or alteration on safety in air commerce and the efficient use and preservation of the navigable airspace and airport traffic capacity at public use airports; determine whether the effect or proposed construction or alteration is a hazard to air navigation; determine appropriate marking and lighting recommendations, using FAA Advisory Circular 70/7460-1, Obstruction Marking and Lighting; determine other appropriate measures to be applied for continued safety of air navigation</w:t>
      </w:r>
      <w:r w:rsidR="00792BA1">
        <w:t xml:space="preserve">.  The FAA will determine when sponsors are required to report construction or alteration project status including construction start and estimated end dates, as well as, reporting the date the structure reaches its greatest height on FAA Form 7460-2.  The FAA uses the information collected to </w:t>
      </w:r>
      <w:r>
        <w:t>notify the aviation community of the construction or alteration of objects that affect the navigable airspace, including the revision of charts when necessary.</w:t>
      </w:r>
    </w:p>
    <w:p w14:paraId="57B4B6A8" w14:textId="77777777" w:rsidR="00A27544" w:rsidRDefault="00792BA1" w:rsidP="00A27544">
      <w:pPr>
        <w:spacing w:after="0"/>
      </w:pPr>
      <w:r>
        <w:lastRenderedPageBreak/>
        <w:t>Any sponsor that abandons a construction or alteration proposal that has been previously reported to the FAA must submit notice to the FAA on Form 7460-2 within 5 days after the project is abandoned.</w:t>
      </w:r>
    </w:p>
    <w:p w14:paraId="4AD0410B" w14:textId="77777777" w:rsidR="00792BA1" w:rsidRDefault="00792BA1" w:rsidP="00A27544">
      <w:pPr>
        <w:spacing w:after="0"/>
      </w:pPr>
    </w:p>
    <w:p w14:paraId="325C200F" w14:textId="77777777" w:rsidR="00792BA1" w:rsidRDefault="00792BA1" w:rsidP="00A27544">
      <w:pPr>
        <w:spacing w:after="0"/>
      </w:pPr>
      <w:r>
        <w:t>Additionally, any sponsor that dismantles or destroys a constructed structure previously reported to the FAA must submit notice to the FAA on Form 7460-2 within 5 days after the construction or alteration is dismantled or destroyed.</w:t>
      </w:r>
    </w:p>
    <w:p w14:paraId="1346A9DB" w14:textId="77777777" w:rsidR="00A27544" w:rsidRDefault="00A27544" w:rsidP="00A27544">
      <w:pPr>
        <w:spacing w:after="0"/>
      </w:pPr>
    </w:p>
    <w:p w14:paraId="18EEF833" w14:textId="77777777" w:rsidR="00A27544" w:rsidRDefault="00A27544" w:rsidP="00A27544">
      <w:pPr>
        <w:spacing w:after="0"/>
      </w:pPr>
      <w:r>
        <w:t>Without collection of this information, safety of air navigation and the N</w:t>
      </w:r>
      <w:r w:rsidR="00792BA1">
        <w:t xml:space="preserve">ational </w:t>
      </w:r>
      <w:r>
        <w:t>A</w:t>
      </w:r>
      <w:r w:rsidR="00792BA1">
        <w:t xml:space="preserve">irspace </w:t>
      </w:r>
      <w:r>
        <w:t>S</w:t>
      </w:r>
      <w:r w:rsidR="00792BA1">
        <w:t>ystem</w:t>
      </w:r>
      <w:r>
        <w:t xml:space="preserve"> cannot be ensured.</w:t>
      </w:r>
    </w:p>
    <w:p w14:paraId="22B47480" w14:textId="77777777" w:rsidR="00A27544" w:rsidRDefault="00A27544" w:rsidP="0049218C">
      <w:pPr>
        <w:spacing w:after="0"/>
      </w:pPr>
    </w:p>
    <w:p w14:paraId="7FE62046" w14:textId="77777777" w:rsidR="00A27544" w:rsidRPr="005976AB" w:rsidRDefault="00A27544" w:rsidP="0049218C">
      <w:pPr>
        <w:spacing w:after="0"/>
        <w:rPr>
          <w:b/>
        </w:rPr>
      </w:pPr>
      <w:r w:rsidRPr="005976AB">
        <w:rPr>
          <w:b/>
        </w:rPr>
        <w:t>3. Describe whether, and to what extent, the collection of information involves the use of automated, electronic, mechanical, or other technological collection techniques or other forms of information technology.</w:t>
      </w:r>
    </w:p>
    <w:p w14:paraId="3A710C19" w14:textId="77777777" w:rsidR="0049218C" w:rsidRDefault="0049218C" w:rsidP="0049218C">
      <w:pPr>
        <w:spacing w:after="0"/>
      </w:pPr>
    </w:p>
    <w:p w14:paraId="1DE9FFDD" w14:textId="67085873" w:rsidR="0049218C" w:rsidRDefault="0049218C" w:rsidP="0049218C">
      <w:pPr>
        <w:spacing w:after="0"/>
      </w:pPr>
      <w:r>
        <w:t xml:space="preserve">In </w:t>
      </w:r>
      <w:r w:rsidR="00011A0A">
        <w:t>accordance with the Government Paper Elimination Act (GPEA)</w:t>
      </w:r>
      <w:r w:rsidR="006B07BD">
        <w:t xml:space="preserve"> and the Paperwork Reduction Act of 1995</w:t>
      </w:r>
      <w:r w:rsidR="00011A0A">
        <w:t>, the FAA allows and encourages electronic submission of all 7460-1 and 7460-2</w:t>
      </w:r>
      <w:r>
        <w:t>.</w:t>
      </w:r>
      <w:r w:rsidR="00011A0A">
        <w:t xml:space="preserve">  </w:t>
      </w:r>
      <w:r w:rsidR="00FA4D1E">
        <w:t xml:space="preserve">The FAA has the capability of accepting submissions 100% electronically. </w:t>
      </w:r>
      <w:r w:rsidR="00011A0A">
        <w:t>The FAA</w:t>
      </w:r>
      <w:r w:rsidR="00B854CA">
        <w:t xml:space="preserve"> continues to offer</w:t>
      </w:r>
      <w:r w:rsidR="00011A0A">
        <w:t xml:space="preserve"> an e-filing system via the Internet that has adequate provisions for security </w:t>
      </w:r>
      <w:r w:rsidR="0076413E">
        <w:t>i.e.</w:t>
      </w:r>
      <w:r w:rsidR="00011A0A">
        <w:t xml:space="preserve"> </w:t>
      </w:r>
      <w:r w:rsidR="008F2675">
        <w:t>respondents must register for an account and login with unique user name and password authentication so that 7460-1 and</w:t>
      </w:r>
      <w:r w:rsidR="00011A0A">
        <w:t xml:space="preserve"> 7460-2 submissions may not be altered after acceptance by the FAA.  </w:t>
      </w:r>
      <w:r w:rsidR="009A213A">
        <w:t xml:space="preserve">There are currently more than 80,000 users of this e-filing system </w:t>
      </w:r>
      <w:r w:rsidR="00ED770B">
        <w:t>(</w:t>
      </w:r>
      <w:hyperlink r:id="rId9" w:history="1">
        <w:r w:rsidR="00ED770B" w:rsidRPr="00424E12">
          <w:rPr>
            <w:rStyle w:val="Hyperlink"/>
          </w:rPr>
          <w:t>https://oeaaa.faa.gov</w:t>
        </w:r>
      </w:hyperlink>
      <w:r w:rsidR="00ED770B">
        <w:t xml:space="preserve">) </w:t>
      </w:r>
      <w:r w:rsidR="009A213A">
        <w:t>and t</w:t>
      </w:r>
      <w:r w:rsidR="00011A0A">
        <w:t xml:space="preserve">he </w:t>
      </w:r>
      <w:r w:rsidR="008F2675">
        <w:t>FAA</w:t>
      </w:r>
      <w:r w:rsidR="009A213A">
        <w:t xml:space="preserve"> </w:t>
      </w:r>
      <w:r w:rsidR="00ED770B">
        <w:t xml:space="preserve">System </w:t>
      </w:r>
      <w:r w:rsidR="009A213A">
        <w:t xml:space="preserve">application used to process the collections is compatible with other systems and applications used by the FAA and other government agencies.  Today, the FAA </w:t>
      </w:r>
      <w:r w:rsidR="008F2675">
        <w:t xml:space="preserve">accepts </w:t>
      </w:r>
      <w:r w:rsidR="009A213A">
        <w:t xml:space="preserve">over 98% of 7460-1 and 7460-2 forms electronically </w:t>
      </w:r>
      <w:r w:rsidR="008F2675">
        <w:t xml:space="preserve">and encourages the use of automation and electronic media to gather, store, review and transmit all </w:t>
      </w:r>
      <w:r w:rsidR="009A213A">
        <w:t xml:space="preserve">submissions </w:t>
      </w:r>
      <w:r w:rsidR="008F2675">
        <w:t>and supporting requests,</w:t>
      </w:r>
      <w:r w:rsidR="009A213A">
        <w:t xml:space="preserve"> reviews, </w:t>
      </w:r>
      <w:r w:rsidR="008F2675">
        <w:t>reports,</w:t>
      </w:r>
      <w:r w:rsidR="009A213A">
        <w:t xml:space="preserve"> agency</w:t>
      </w:r>
      <w:r w:rsidR="008F2675">
        <w:t xml:space="preserve"> determinations and other supporting information required by this rule</w:t>
      </w:r>
      <w:r w:rsidR="009A213A">
        <w:t xml:space="preserve"> via the Internet based Obstruction Evaluation/Airport Airspace Analysis (OE/AAA) System.</w:t>
      </w:r>
      <w:r w:rsidR="008F2675">
        <w:t xml:space="preserve">  </w:t>
      </w:r>
    </w:p>
    <w:p w14:paraId="35098087" w14:textId="77777777" w:rsidR="009A213A" w:rsidRDefault="009A213A" w:rsidP="0049218C">
      <w:pPr>
        <w:spacing w:after="0"/>
      </w:pPr>
    </w:p>
    <w:p w14:paraId="032121D1" w14:textId="77777777" w:rsidR="006B07BD" w:rsidRDefault="006B07BD" w:rsidP="0049218C">
      <w:pPr>
        <w:spacing w:after="0"/>
      </w:pPr>
    </w:p>
    <w:p w14:paraId="291B0B3F" w14:textId="65D74D6A" w:rsidR="00ED770B" w:rsidRDefault="00B854CA" w:rsidP="0049218C">
      <w:pPr>
        <w:spacing w:after="0"/>
      </w:pPr>
      <w:r>
        <w:t xml:space="preserve">Electronic filing continues to </w:t>
      </w:r>
      <w:r w:rsidR="0049218C">
        <w:t xml:space="preserve">reduced the time </w:t>
      </w:r>
      <w:r w:rsidR="009A213A">
        <w:t xml:space="preserve">that it takes to collect and process 7460-1 and 7460-2 collections </w:t>
      </w:r>
      <w:r w:rsidR="006B07BD">
        <w:t xml:space="preserve">and the OE/AAA application </w:t>
      </w:r>
      <w:r w:rsidR="009A213A">
        <w:t>provides</w:t>
      </w:r>
      <w:r w:rsidR="0049218C">
        <w:t xml:space="preserve"> a single source </w:t>
      </w:r>
      <w:r w:rsidR="009A213A">
        <w:t xml:space="preserve">to process, </w:t>
      </w:r>
      <w:r w:rsidR="0049218C">
        <w:t>track</w:t>
      </w:r>
      <w:r w:rsidR="009A213A">
        <w:t xml:space="preserve"> and store</w:t>
      </w:r>
      <w:r w:rsidR="0049218C">
        <w:t xml:space="preserve"> all </w:t>
      </w:r>
      <w:r w:rsidR="006B07BD">
        <w:t xml:space="preserve">aeronautical studies processed in accordance with this </w:t>
      </w:r>
      <w:r w:rsidR="003807CE">
        <w:t>collection</w:t>
      </w:r>
      <w:r w:rsidR="0049218C">
        <w:t xml:space="preserve">. </w:t>
      </w:r>
    </w:p>
    <w:p w14:paraId="0D8B2BD6" w14:textId="77777777" w:rsidR="00ED770B" w:rsidRDefault="00ED770B" w:rsidP="0049218C">
      <w:pPr>
        <w:spacing w:after="0"/>
      </w:pPr>
    </w:p>
    <w:p w14:paraId="2F1D60D9" w14:textId="77777777" w:rsidR="0049218C" w:rsidRDefault="00ED770B" w:rsidP="0049218C">
      <w:pPr>
        <w:spacing w:after="0"/>
      </w:pPr>
      <w:r>
        <w:t>The FAA continues to make Forms 7460-1 and 7460-2 available via the Internet (</w:t>
      </w:r>
      <w:hyperlink r:id="rId10" w:history="1">
        <w:r>
          <w:rPr>
            <w:rStyle w:val="Hyperlink"/>
          </w:rPr>
          <w:t>https://www.faa.gov/forms/</w:t>
        </w:r>
      </w:hyperlink>
      <w:r>
        <w:t>) in pdf fill &amp; sign format.</w:t>
      </w:r>
    </w:p>
    <w:p w14:paraId="15192FD7" w14:textId="77777777" w:rsidR="0049218C" w:rsidRDefault="0049218C" w:rsidP="0049218C">
      <w:pPr>
        <w:spacing w:after="0"/>
      </w:pPr>
    </w:p>
    <w:p w14:paraId="024CF7C4" w14:textId="77777777" w:rsidR="00A27544" w:rsidRPr="005976AB" w:rsidRDefault="00A27544" w:rsidP="0049218C">
      <w:pPr>
        <w:spacing w:after="0"/>
        <w:rPr>
          <w:b/>
        </w:rPr>
      </w:pPr>
      <w:r w:rsidRPr="005976AB">
        <w:rPr>
          <w:b/>
        </w:rPr>
        <w:t>4. Describe efforts to identify duplication. Show specifically why any similar information already available cannot be used or modified for use for the purposes described in Item 2 above.</w:t>
      </w:r>
    </w:p>
    <w:p w14:paraId="5DC9D791" w14:textId="77777777" w:rsidR="0049218C" w:rsidRDefault="0049218C" w:rsidP="0049218C">
      <w:pPr>
        <w:spacing w:after="0"/>
      </w:pPr>
    </w:p>
    <w:p w14:paraId="235FCCD1" w14:textId="77777777" w:rsidR="0049218C" w:rsidRDefault="0049218C" w:rsidP="0049218C">
      <w:pPr>
        <w:spacing w:after="0"/>
      </w:pPr>
      <w:r>
        <w:t>FAA is the only Federal agency with this statutory requirement</w:t>
      </w:r>
      <w:r w:rsidR="00684E10">
        <w:t xml:space="preserve"> and is the lead agency for collecting this data. T</w:t>
      </w:r>
      <w:r>
        <w:t>here is no known duplicate reporting.</w:t>
      </w:r>
    </w:p>
    <w:p w14:paraId="2D413110" w14:textId="77777777" w:rsidR="0049218C" w:rsidRDefault="0049218C" w:rsidP="0049218C">
      <w:pPr>
        <w:spacing w:after="0"/>
      </w:pPr>
    </w:p>
    <w:p w14:paraId="39040310" w14:textId="77777777" w:rsidR="00A27544" w:rsidRDefault="0049218C" w:rsidP="0049218C">
      <w:pPr>
        <w:spacing w:after="0"/>
      </w:pPr>
      <w:r>
        <w:lastRenderedPageBreak/>
        <w:t xml:space="preserve">Information </w:t>
      </w:r>
      <w:r w:rsidR="006B07BD">
        <w:t xml:space="preserve">obtained </w:t>
      </w:r>
      <w:r>
        <w:t xml:space="preserve">on FAA form 7460-1 that is also </w:t>
      </w:r>
      <w:r w:rsidR="006B07BD">
        <w:t xml:space="preserve">subject to the licensing authority of the Federal Communications Commission (FCC) </w:t>
      </w:r>
      <w:r>
        <w:t xml:space="preserve">is electronically </w:t>
      </w:r>
      <w:r w:rsidR="006B07BD">
        <w:t xml:space="preserve">transmitted by the FAA OE/AAA System </w:t>
      </w:r>
      <w:r>
        <w:t>on a daily basis to the FCC</w:t>
      </w:r>
      <w:r w:rsidR="006B07BD">
        <w:t>’s Antenna Structure Registration (ASR) System</w:t>
      </w:r>
      <w:r w:rsidR="00684E10">
        <w:t xml:space="preserve"> to prevent duplicative collection</w:t>
      </w:r>
      <w:r>
        <w:t>.</w:t>
      </w:r>
    </w:p>
    <w:p w14:paraId="69F644E4" w14:textId="77777777" w:rsidR="0049218C" w:rsidRDefault="0049218C" w:rsidP="0049218C">
      <w:pPr>
        <w:spacing w:after="0"/>
      </w:pPr>
    </w:p>
    <w:p w14:paraId="27BDD4FE" w14:textId="77777777" w:rsidR="00A27544" w:rsidRPr="005976AB" w:rsidRDefault="00A27544" w:rsidP="0049218C">
      <w:pPr>
        <w:spacing w:after="0"/>
        <w:rPr>
          <w:b/>
        </w:rPr>
      </w:pPr>
      <w:r w:rsidRPr="005976AB">
        <w:rPr>
          <w:b/>
        </w:rPr>
        <w:t>5. If the collection of information involves small businesses or other small entities, describe the methods used to minimize burden.</w:t>
      </w:r>
    </w:p>
    <w:p w14:paraId="38A0D8E9" w14:textId="77777777" w:rsidR="0049218C" w:rsidRDefault="0049218C" w:rsidP="0049218C">
      <w:pPr>
        <w:spacing w:after="0"/>
      </w:pPr>
    </w:p>
    <w:p w14:paraId="0DAE24CF" w14:textId="77777777" w:rsidR="00A27544" w:rsidRDefault="0049218C" w:rsidP="0049218C">
      <w:pPr>
        <w:spacing w:after="0"/>
      </w:pPr>
      <w:r w:rsidRPr="0049218C">
        <w:t>Individuals as well as small businesses and large corporations may file these forms. The information collected has been designed to minimize the burden on all respondents by limiting the amount of information required, the format in which it is submitted (electronic or paper) and by providing clear and concise instructions.</w:t>
      </w:r>
    </w:p>
    <w:p w14:paraId="6CC6DB95" w14:textId="77777777" w:rsidR="00A27544" w:rsidRDefault="00A27544" w:rsidP="0049218C">
      <w:pPr>
        <w:spacing w:after="0"/>
      </w:pPr>
    </w:p>
    <w:p w14:paraId="23E2E0C9" w14:textId="77777777" w:rsidR="00A27544" w:rsidRPr="005976AB" w:rsidRDefault="00A27544" w:rsidP="0049218C">
      <w:pPr>
        <w:spacing w:after="0"/>
        <w:rPr>
          <w:b/>
        </w:rPr>
      </w:pPr>
      <w:r w:rsidRPr="005976AB">
        <w:rPr>
          <w:b/>
        </w:rPr>
        <w:t>6. Describe the consequence to Federal program or policy activities if the collection is not conducted or is conducted less frequently, as well as any technical or legal obstacles to reducing burden.</w:t>
      </w:r>
    </w:p>
    <w:p w14:paraId="51D64A06" w14:textId="77777777" w:rsidR="0049218C" w:rsidRDefault="0049218C" w:rsidP="0049218C">
      <w:pPr>
        <w:spacing w:after="0"/>
      </w:pPr>
    </w:p>
    <w:p w14:paraId="24E29B34" w14:textId="77777777" w:rsidR="00A27544" w:rsidRDefault="006B07BD" w:rsidP="0049218C">
      <w:pPr>
        <w:spacing w:after="0"/>
      </w:pPr>
      <w:r>
        <w:t xml:space="preserve">The frequency of information collection for the purposes of part 77 are to ensure the safe and efficient use and preservation of the navigable airspace.  </w:t>
      </w:r>
      <w:r w:rsidR="0049218C" w:rsidRPr="0049218C">
        <w:t xml:space="preserve">Notification is required “on occasion” </w:t>
      </w:r>
      <w:r>
        <w:t>for</w:t>
      </w:r>
      <w:r w:rsidR="0049218C" w:rsidRPr="0049218C">
        <w:t xml:space="preserve"> construction events</w:t>
      </w:r>
      <w:r>
        <w:t xml:space="preserve"> that meet the requirements to notify the FAA as specified in this rule</w:t>
      </w:r>
      <w:r w:rsidR="0049218C" w:rsidRPr="0049218C">
        <w:t xml:space="preserve">. Thus, the frequency is determined by the </w:t>
      </w:r>
      <w:r>
        <w:t>sponsors,</w:t>
      </w:r>
      <w:r w:rsidRPr="0049218C">
        <w:t xml:space="preserve"> </w:t>
      </w:r>
      <w:r w:rsidR="0049218C" w:rsidRPr="0049218C">
        <w:t>not by the FAA.</w:t>
      </w:r>
      <w:r>
        <w:t xml:space="preserve">  If </w:t>
      </w:r>
      <w:r w:rsidR="007671C9">
        <w:t xml:space="preserve">the collection is not conducted or is conducted less frequently, the FAA would not be able to </w:t>
      </w:r>
      <w:r w:rsidR="003362B9">
        <w:t xml:space="preserve">meet their primary mission goals to promote air safety and the efficient use of the navigable airspace by aircraft. </w:t>
      </w:r>
    </w:p>
    <w:p w14:paraId="2468D742" w14:textId="77777777" w:rsidR="00A27544" w:rsidRDefault="00A27544" w:rsidP="0049218C">
      <w:pPr>
        <w:spacing w:after="0"/>
      </w:pPr>
    </w:p>
    <w:p w14:paraId="6516CFBF" w14:textId="77777777" w:rsidR="00A27544" w:rsidRPr="005976AB" w:rsidRDefault="00A27544" w:rsidP="00A27544">
      <w:pPr>
        <w:rPr>
          <w:b/>
        </w:rPr>
      </w:pPr>
      <w:r w:rsidRPr="005976AB">
        <w:rPr>
          <w:b/>
        </w:rPr>
        <w:t>7. Explain any special circumstances that would cause an information collection to be conducted in a manner:</w:t>
      </w:r>
    </w:p>
    <w:p w14:paraId="372CCB3F" w14:textId="77777777" w:rsidR="00A27544" w:rsidRDefault="00A27544" w:rsidP="004D1911">
      <w:pPr>
        <w:pStyle w:val="ListParagraph"/>
        <w:numPr>
          <w:ilvl w:val="0"/>
          <w:numId w:val="7"/>
        </w:numPr>
      </w:pPr>
      <w:r>
        <w:t>requiring respondents to report information to the agency more often than quarterly;</w:t>
      </w:r>
    </w:p>
    <w:p w14:paraId="4C7E0933" w14:textId="77777777" w:rsidR="00A27544" w:rsidRDefault="00A27544" w:rsidP="004D1911">
      <w:pPr>
        <w:pStyle w:val="ListParagraph"/>
        <w:numPr>
          <w:ilvl w:val="0"/>
          <w:numId w:val="7"/>
        </w:numPr>
      </w:pPr>
      <w:r>
        <w:t>requiring respondents to prepare a written response to a collection of information in fewer than 30 days after receipt of it;</w:t>
      </w:r>
    </w:p>
    <w:p w14:paraId="1A33D726" w14:textId="77777777" w:rsidR="00A27544" w:rsidRDefault="00A27544" w:rsidP="004D1911">
      <w:pPr>
        <w:pStyle w:val="ListParagraph"/>
        <w:numPr>
          <w:ilvl w:val="0"/>
          <w:numId w:val="7"/>
        </w:numPr>
      </w:pPr>
      <w:r>
        <w:t>requiring respondents to submit more than an original and two copies of any document; requiring respondents to retain records, other than health, medical, government contract, grant-in-aid, or tax records, for more than three years;</w:t>
      </w:r>
    </w:p>
    <w:p w14:paraId="51D19CAD" w14:textId="77777777" w:rsidR="00A27544" w:rsidRDefault="00A27544" w:rsidP="004D1911">
      <w:pPr>
        <w:pStyle w:val="ListParagraph"/>
        <w:numPr>
          <w:ilvl w:val="0"/>
          <w:numId w:val="7"/>
        </w:numPr>
      </w:pPr>
      <w:r>
        <w:t>in connection with a statistical survey, that is not designed to produce valid and reliable results that can be generalized to the universe of study;</w:t>
      </w:r>
    </w:p>
    <w:p w14:paraId="71748AD0" w14:textId="77777777" w:rsidR="00A27544" w:rsidRDefault="00A27544" w:rsidP="004D1911">
      <w:pPr>
        <w:pStyle w:val="ListParagraph"/>
        <w:numPr>
          <w:ilvl w:val="0"/>
          <w:numId w:val="7"/>
        </w:numPr>
      </w:pPr>
      <w:r>
        <w:t>requiring the use of a statistical data classification that has not been reviewed and approved by OMB;</w:t>
      </w:r>
    </w:p>
    <w:p w14:paraId="1EFE31F8" w14:textId="77777777" w:rsidR="00A27544" w:rsidRDefault="00A27544" w:rsidP="004D1911">
      <w:pPr>
        <w:pStyle w:val="ListParagraph"/>
        <w:numPr>
          <w:ilvl w:val="0"/>
          <w:numId w:val="7"/>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8CFB9DC" w14:textId="5911DBC3" w:rsidR="00A27544" w:rsidRDefault="0076413E" w:rsidP="004D1911">
      <w:pPr>
        <w:pStyle w:val="ListParagraph"/>
        <w:numPr>
          <w:ilvl w:val="0"/>
          <w:numId w:val="7"/>
        </w:numPr>
        <w:spacing w:after="0"/>
      </w:pPr>
      <w:r>
        <w:t>Requiring</w:t>
      </w:r>
      <w:r w:rsidR="00A27544">
        <w:t xml:space="preserve"> respondents to submit proprietary trade secrets, or other confidential information unless the agency can demonstrate that it has instituted procedures to protect the information's confidentiality to the extent permitted by law.</w:t>
      </w:r>
    </w:p>
    <w:p w14:paraId="7419DA53" w14:textId="77777777" w:rsidR="0049218C" w:rsidRDefault="0049218C" w:rsidP="0049218C">
      <w:pPr>
        <w:spacing w:after="0"/>
      </w:pPr>
    </w:p>
    <w:p w14:paraId="1ED9A534" w14:textId="77777777" w:rsidR="00A27544" w:rsidRDefault="00684E10" w:rsidP="0049218C">
      <w:pPr>
        <w:spacing w:after="0"/>
      </w:pPr>
      <w:r>
        <w:t xml:space="preserve">There are no special circumstances. </w:t>
      </w:r>
    </w:p>
    <w:p w14:paraId="1EA389E5" w14:textId="77777777" w:rsidR="00A27544" w:rsidRDefault="00A27544" w:rsidP="0049218C">
      <w:pPr>
        <w:spacing w:after="0"/>
      </w:pPr>
    </w:p>
    <w:p w14:paraId="02EDCD0B" w14:textId="77777777" w:rsidR="00A27544" w:rsidRPr="003807CE" w:rsidRDefault="00A27544" w:rsidP="00B47363">
      <w:pPr>
        <w:spacing w:after="0"/>
        <w:rPr>
          <w:b/>
        </w:rPr>
      </w:pPr>
      <w:r w:rsidRPr="003807CE">
        <w:rPr>
          <w:b/>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7DFD0F8" w14:textId="77777777" w:rsidR="00B47363" w:rsidRDefault="00B47363" w:rsidP="00B47363">
      <w:pPr>
        <w:spacing w:after="0"/>
      </w:pPr>
    </w:p>
    <w:p w14:paraId="6060C037" w14:textId="77777777" w:rsidR="00A27544" w:rsidRDefault="00A27544" w:rsidP="00B47363">
      <w:pPr>
        <w:spacing w:after="0"/>
      </w:pPr>
      <w:r>
        <w:t>A Federa</w:t>
      </w:r>
      <w:r w:rsidR="00B47363">
        <w:t xml:space="preserve">l Register Notice </w:t>
      </w:r>
      <w:r w:rsidR="007671C9">
        <w:t xml:space="preserve">was </w:t>
      </w:r>
      <w:r w:rsidR="00B47363">
        <w:t xml:space="preserve">published on </w:t>
      </w:r>
      <w:r w:rsidR="00B47363" w:rsidRPr="00B47363">
        <w:t>April 22, 2019</w:t>
      </w:r>
      <w:r w:rsidR="00B47363">
        <w:t xml:space="preserve"> (</w:t>
      </w:r>
      <w:r w:rsidR="00B47363" w:rsidRPr="00B47363">
        <w:t>84 FR 16758</w:t>
      </w:r>
      <w:r w:rsidR="00B47363">
        <w:t>)</w:t>
      </w:r>
      <w:r>
        <w:t xml:space="preserve"> </w:t>
      </w:r>
      <w:r w:rsidR="007671C9">
        <w:t xml:space="preserve">allowing 60 days for </w:t>
      </w:r>
      <w:r>
        <w:t>public comment. No comments were received</w:t>
      </w:r>
      <w:r w:rsidR="00B47363">
        <w:t>.</w:t>
      </w:r>
      <w:r w:rsidR="009633FC">
        <w:t xml:space="preserve"> </w:t>
      </w:r>
    </w:p>
    <w:p w14:paraId="7ABAF424" w14:textId="77777777" w:rsidR="00B47363" w:rsidRDefault="00B47363" w:rsidP="00B47363">
      <w:pPr>
        <w:spacing w:after="0"/>
      </w:pPr>
    </w:p>
    <w:p w14:paraId="7134F413" w14:textId="77777777" w:rsidR="00A27544" w:rsidRPr="005976AB" w:rsidRDefault="00A27544" w:rsidP="00B47363">
      <w:pPr>
        <w:spacing w:after="0"/>
        <w:rPr>
          <w:b/>
        </w:rPr>
      </w:pPr>
      <w:r w:rsidRPr="005976AB">
        <w:rPr>
          <w:b/>
        </w:rPr>
        <w:t>9. Explain any decisions to provide payments or gifts to respondents, other than remuneration of contractors or grantees.</w:t>
      </w:r>
    </w:p>
    <w:p w14:paraId="1784656E" w14:textId="77777777" w:rsidR="00B47363" w:rsidRDefault="00B47363" w:rsidP="00B47363">
      <w:pPr>
        <w:spacing w:after="0"/>
      </w:pPr>
    </w:p>
    <w:p w14:paraId="4D33EF6C" w14:textId="77777777" w:rsidR="00A27544" w:rsidRDefault="00B47363" w:rsidP="00B47363">
      <w:pPr>
        <w:spacing w:after="0"/>
      </w:pPr>
      <w:r w:rsidRPr="00B47363">
        <w:t>No payments or gifts will be provided.</w:t>
      </w:r>
    </w:p>
    <w:p w14:paraId="5C74E07E" w14:textId="77777777" w:rsidR="00A27544" w:rsidRDefault="00A27544" w:rsidP="00B47363">
      <w:pPr>
        <w:spacing w:after="0"/>
      </w:pPr>
    </w:p>
    <w:p w14:paraId="0AD52EF3" w14:textId="77777777" w:rsidR="00A27544" w:rsidRPr="005976AB" w:rsidRDefault="00A27544" w:rsidP="00B47363">
      <w:pPr>
        <w:spacing w:after="0"/>
        <w:rPr>
          <w:b/>
        </w:rPr>
      </w:pPr>
      <w:r w:rsidRPr="005976AB">
        <w:rPr>
          <w:b/>
        </w:rPr>
        <w:t>10. Describe any assurance of confidentiality provided to respondents and the basis for assurance in statute, regulation, or agency policy.</w:t>
      </w:r>
    </w:p>
    <w:p w14:paraId="2F76C658" w14:textId="77777777" w:rsidR="00B47363" w:rsidRDefault="00B47363" w:rsidP="00B47363">
      <w:pPr>
        <w:spacing w:after="0"/>
      </w:pPr>
    </w:p>
    <w:p w14:paraId="7AA3DBEE" w14:textId="77777777" w:rsidR="00A27544" w:rsidRDefault="00B47363" w:rsidP="00B47363">
      <w:pPr>
        <w:spacing w:after="0"/>
      </w:pPr>
      <w:r w:rsidRPr="00B47363">
        <w:t>FAA offers no assurance of confidentiality.</w:t>
      </w:r>
    </w:p>
    <w:p w14:paraId="7B3941FA" w14:textId="77777777" w:rsidR="00A27544" w:rsidRDefault="00A27544" w:rsidP="00B47363">
      <w:pPr>
        <w:spacing w:after="0"/>
      </w:pPr>
    </w:p>
    <w:p w14:paraId="5EA51239" w14:textId="77777777" w:rsidR="00A27544" w:rsidRPr="005976AB" w:rsidRDefault="00A27544" w:rsidP="00B47363">
      <w:pPr>
        <w:spacing w:after="0"/>
        <w:rPr>
          <w:b/>
        </w:rPr>
      </w:pPr>
      <w:r w:rsidRPr="005976AB">
        <w:rPr>
          <w:b/>
        </w:rPr>
        <w:t>11. Provide additional justification for any questions of a sensitive nature, such as sexual behavior and attitudes, religious beliefs, and other matters that are commonly considered private.</w:t>
      </w:r>
    </w:p>
    <w:p w14:paraId="7DB8FF07" w14:textId="77777777" w:rsidR="00B47363" w:rsidRDefault="00B47363" w:rsidP="00B47363">
      <w:pPr>
        <w:spacing w:after="0"/>
      </w:pPr>
    </w:p>
    <w:p w14:paraId="3D1CA614" w14:textId="77777777" w:rsidR="00A27544" w:rsidRDefault="00B47363" w:rsidP="00B47363">
      <w:pPr>
        <w:spacing w:after="0"/>
      </w:pPr>
      <w:r w:rsidRPr="00B47363">
        <w:t>There are no sensitive questions.</w:t>
      </w:r>
    </w:p>
    <w:p w14:paraId="0F1C34E5" w14:textId="77777777" w:rsidR="00A27544" w:rsidRDefault="00A27544" w:rsidP="00B47363">
      <w:pPr>
        <w:spacing w:after="0"/>
      </w:pPr>
    </w:p>
    <w:p w14:paraId="4825F0AF" w14:textId="77777777" w:rsidR="0046754E" w:rsidRPr="005976AB" w:rsidRDefault="00A27544" w:rsidP="0046754E">
      <w:pPr>
        <w:spacing w:after="0"/>
        <w:rPr>
          <w:b/>
        </w:rPr>
      </w:pPr>
      <w:r w:rsidRPr="005976AB">
        <w:rPr>
          <w:b/>
        </w:rPr>
        <w:t>12. Provide estimates of the hour burden of the collection of in</w:t>
      </w:r>
      <w:r w:rsidR="0046754E" w:rsidRPr="005976AB">
        <w:rPr>
          <w:b/>
        </w:rPr>
        <w:t>formation.</w:t>
      </w:r>
    </w:p>
    <w:p w14:paraId="728F4BF4" w14:textId="77777777" w:rsidR="0046754E" w:rsidRDefault="0046754E" w:rsidP="0046754E">
      <w:pPr>
        <w:spacing w:after="0"/>
      </w:pPr>
    </w:p>
    <w:p w14:paraId="7E61BC6F" w14:textId="77777777" w:rsidR="00A27544" w:rsidRDefault="00B218F8" w:rsidP="0046754E">
      <w:pPr>
        <w:spacing w:after="0"/>
      </w:pPr>
      <w:r>
        <w:t xml:space="preserve">The estimates for hours are broken down by sections of the rule below.  </w:t>
      </w:r>
      <w:r w:rsidR="00DC21FE">
        <w:t>For reporting purposes, the FAA based estimates on calendar year</w:t>
      </w:r>
      <w:r w:rsidR="00A70373">
        <w:t xml:space="preserve"> (CY)</w:t>
      </w:r>
      <w:r w:rsidR="00DC21FE">
        <w:t xml:space="preserve"> 2018, which was the highest total number of 7460-1 and 7460-2 submissions received and processed by the FAA </w:t>
      </w:r>
      <w:r w:rsidR="00A70373">
        <w:t>since</w:t>
      </w:r>
      <w:r w:rsidR="00DC21FE">
        <w:t xml:space="preserve"> the last renewal of </w:t>
      </w:r>
      <w:r w:rsidR="00C147A6">
        <w:t xml:space="preserve">OMB Approved Collection No. </w:t>
      </w:r>
      <w:r w:rsidR="00DC21FE">
        <w:t>2120-0001.</w:t>
      </w:r>
    </w:p>
    <w:p w14:paraId="0686E4A4" w14:textId="77777777" w:rsidR="0046754E" w:rsidRDefault="0046754E" w:rsidP="0046754E">
      <w:pPr>
        <w:spacing w:after="0"/>
      </w:pPr>
    </w:p>
    <w:p w14:paraId="7FFE13DB" w14:textId="77777777" w:rsidR="00044D5E" w:rsidRPr="003807CE" w:rsidRDefault="00B218F8" w:rsidP="003807CE">
      <w:pPr>
        <w:spacing w:after="0"/>
        <w:rPr>
          <w:rFonts w:cstheme="minorHAnsi"/>
          <w:u w:val="single"/>
        </w:rPr>
      </w:pPr>
      <w:r w:rsidRPr="003807CE">
        <w:rPr>
          <w:rFonts w:cstheme="minorHAnsi"/>
          <w:u w:val="single"/>
        </w:rPr>
        <w:t>§77.7   Form and time of notice.</w:t>
      </w:r>
    </w:p>
    <w:p w14:paraId="514CC62C" w14:textId="77777777" w:rsidR="00B87BB9" w:rsidRPr="003807CE" w:rsidRDefault="00B218F8" w:rsidP="00A70373">
      <w:r w:rsidRPr="003807CE">
        <w:t xml:space="preserve">This section </w:t>
      </w:r>
      <w:r w:rsidR="00B87BB9" w:rsidRPr="003807CE">
        <w:t>describes the form</w:t>
      </w:r>
      <w:r w:rsidRPr="003807CE">
        <w:t xml:space="preserve"> that must be used to file notice with the FAA and the timeframes for submitting this inf</w:t>
      </w:r>
      <w:r w:rsidR="00B87BB9" w:rsidRPr="003807CE">
        <w:t xml:space="preserve">ormation for aeronautical study and advises sponsors of the availability of forms at FAA regional offices and on the </w:t>
      </w:r>
      <w:r w:rsidR="003362B9">
        <w:t>I</w:t>
      </w:r>
      <w:r w:rsidR="00B87BB9" w:rsidRPr="003807CE">
        <w:t xml:space="preserve">nternet. </w:t>
      </w:r>
      <w:r w:rsidR="00A70373" w:rsidRPr="003807CE">
        <w:t xml:space="preserve"> </w:t>
      </w:r>
      <w:r w:rsidR="00B87BB9" w:rsidRPr="003807CE">
        <w:t xml:space="preserve">Respondents </w:t>
      </w:r>
      <w:r w:rsidR="003362B9">
        <w:t>may either</w:t>
      </w:r>
      <w:r w:rsidR="00B87BB9" w:rsidRPr="003807CE">
        <w:t xml:space="preserve"> download the form or register for an e-filing account to submit the information collection in accordance with this </w:t>
      </w:r>
      <w:r w:rsidR="003362B9">
        <w:t>14 CFR 77</w:t>
      </w:r>
      <w:r w:rsidR="00B87BB9" w:rsidRPr="003807CE">
        <w:t xml:space="preserve">. Each sponsor </w:t>
      </w:r>
      <w:r w:rsidR="00115104" w:rsidRPr="003807CE">
        <w:t xml:space="preserve">required to file notice of proposed construction or alteration </w:t>
      </w:r>
      <w:r w:rsidR="00B87BB9" w:rsidRPr="003807CE">
        <w:t>is expected to spend 19 minutes filling out paper forms and 15 minutes registering and submitting their forms electronically.</w:t>
      </w:r>
    </w:p>
    <w:p w14:paraId="095B6B84" w14:textId="77777777" w:rsidR="00115104" w:rsidRPr="003807CE" w:rsidRDefault="00115104" w:rsidP="003807CE">
      <w:pPr>
        <w:pStyle w:val="ListParagraph"/>
        <w:numPr>
          <w:ilvl w:val="0"/>
          <w:numId w:val="1"/>
        </w:numPr>
      </w:pPr>
      <w:r w:rsidRPr="003807CE">
        <w:t xml:space="preserve">The FAA offers downloadable fillable pdf versions of the form </w:t>
      </w:r>
      <w:r w:rsidR="00072962">
        <w:t xml:space="preserve">7460-1 </w:t>
      </w:r>
      <w:r w:rsidRPr="003807CE">
        <w:t xml:space="preserve">at no cost </w:t>
      </w:r>
      <w:r w:rsidR="00A70373" w:rsidRPr="003807CE">
        <w:t xml:space="preserve">and accepts them electronically via e-mail.  Additionally, the </w:t>
      </w:r>
      <w:r w:rsidRPr="003807CE">
        <w:t xml:space="preserve">FAA </w:t>
      </w:r>
      <w:r w:rsidR="00A70373" w:rsidRPr="003807CE">
        <w:t xml:space="preserve">offers an </w:t>
      </w:r>
      <w:r w:rsidRPr="003807CE">
        <w:t>e-filing System via the Internet and requires no special software or computer equipment to use.</w:t>
      </w:r>
      <w:r w:rsidR="00A70373" w:rsidRPr="003807CE">
        <w:t xml:space="preserve">  The annualized burden is calculated based on the individual respondents time spent completing their submission.</w:t>
      </w:r>
    </w:p>
    <w:p w14:paraId="13385F27" w14:textId="77777777" w:rsidR="00B87BB9" w:rsidRPr="00642D12" w:rsidRDefault="00A70373" w:rsidP="00B87BB9">
      <w:r w:rsidRPr="00642D12">
        <w:t xml:space="preserve">The total number of 7460-1 forms received and processed by the FAA in </w:t>
      </w:r>
      <w:r w:rsidRPr="00C147A6">
        <w:t>CY 2018 was 202,162.</w:t>
      </w:r>
      <w:r w:rsidRPr="003807CE">
        <w:t xml:space="preserve">  </w:t>
      </w:r>
      <w:r w:rsidR="00B87BB9" w:rsidRPr="003807CE">
        <w:t xml:space="preserve">See Table 1 and the Summary at the end of this </w:t>
      </w:r>
      <w:r w:rsidR="00843F65" w:rsidRPr="003807CE">
        <w:t>sec</w:t>
      </w:r>
      <w:r w:rsidR="00B87BB9" w:rsidRPr="003807CE">
        <w:t>t</w:t>
      </w:r>
      <w:r w:rsidR="00843F65" w:rsidRPr="003807CE">
        <w:t>ion</w:t>
      </w:r>
      <w:r w:rsidR="00B87BB9" w:rsidRPr="003807CE">
        <w:t xml:space="preserve"> for calculations.</w:t>
      </w:r>
    </w:p>
    <w:p w14:paraId="3D5EAC86" w14:textId="77777777" w:rsidR="00B87BB9" w:rsidRDefault="00B87BB9" w:rsidP="003807CE">
      <w:pPr>
        <w:spacing w:after="0"/>
      </w:pPr>
    </w:p>
    <w:p w14:paraId="740D64BF" w14:textId="77777777" w:rsidR="00B87BB9" w:rsidRPr="003807CE" w:rsidRDefault="00B87BB9" w:rsidP="003807CE">
      <w:pPr>
        <w:spacing w:after="0"/>
        <w:rPr>
          <w:rFonts w:cstheme="minorHAnsi"/>
          <w:u w:val="single"/>
        </w:rPr>
      </w:pPr>
      <w:r w:rsidRPr="003807CE">
        <w:rPr>
          <w:rFonts w:cstheme="minorHAnsi"/>
          <w:u w:val="single"/>
        </w:rPr>
        <w:t>§77.11   Supplemental notice requirements.</w:t>
      </w:r>
    </w:p>
    <w:p w14:paraId="40DEEBF2" w14:textId="77777777" w:rsidR="00B87BB9" w:rsidRDefault="00B87BB9" w:rsidP="003807CE">
      <w:pPr>
        <w:spacing w:after="0"/>
        <w:rPr>
          <w:rFonts w:cstheme="minorHAnsi"/>
        </w:rPr>
      </w:pPr>
      <w:r>
        <w:rPr>
          <w:rFonts w:cstheme="minorHAnsi"/>
        </w:rPr>
        <w:t xml:space="preserve">This section describes the form that must be used to file supplemental notice and report construction project status to the FAA and the timelines and requirements for this </w:t>
      </w:r>
      <w:r w:rsidR="003362B9">
        <w:rPr>
          <w:rFonts w:cstheme="minorHAnsi"/>
        </w:rPr>
        <w:t xml:space="preserve">type of </w:t>
      </w:r>
      <w:r>
        <w:rPr>
          <w:rFonts w:cstheme="minorHAnsi"/>
        </w:rPr>
        <w:t>notification</w:t>
      </w:r>
      <w:r w:rsidR="003362B9">
        <w:rPr>
          <w:rFonts w:cstheme="minorHAnsi"/>
        </w:rPr>
        <w:t xml:space="preserve"> to the FAA</w:t>
      </w:r>
      <w:r>
        <w:rPr>
          <w:rFonts w:cstheme="minorHAnsi"/>
        </w:rPr>
        <w:t>.</w:t>
      </w:r>
      <w:r w:rsidR="00A70373">
        <w:rPr>
          <w:rFonts w:cstheme="minorHAnsi"/>
        </w:rPr>
        <w:t xml:space="preserve">  </w:t>
      </w:r>
      <w:r>
        <w:rPr>
          <w:rFonts w:cstheme="minorHAnsi"/>
        </w:rPr>
        <w:t xml:space="preserve">Respondents </w:t>
      </w:r>
      <w:r w:rsidR="003362B9">
        <w:rPr>
          <w:rFonts w:cstheme="minorHAnsi"/>
        </w:rPr>
        <w:t>may either</w:t>
      </w:r>
      <w:r>
        <w:rPr>
          <w:rFonts w:cstheme="minorHAnsi"/>
        </w:rPr>
        <w:t xml:space="preserve"> download the form or use their registered e-filing account </w:t>
      </w:r>
      <w:r w:rsidR="00115104">
        <w:rPr>
          <w:rFonts w:cstheme="minorHAnsi"/>
        </w:rPr>
        <w:t xml:space="preserve">to submit supplemental notice and </w:t>
      </w:r>
      <w:r w:rsidR="00843F65">
        <w:rPr>
          <w:rFonts w:cstheme="minorHAnsi"/>
        </w:rPr>
        <w:t xml:space="preserve">report </w:t>
      </w:r>
      <w:r w:rsidR="00115104">
        <w:rPr>
          <w:rFonts w:cstheme="minorHAnsi"/>
        </w:rPr>
        <w:t xml:space="preserve">project status </w:t>
      </w:r>
      <w:r w:rsidR="00843F65">
        <w:rPr>
          <w:rFonts w:cstheme="minorHAnsi"/>
        </w:rPr>
        <w:t>when requested by</w:t>
      </w:r>
      <w:r w:rsidR="00115104">
        <w:rPr>
          <w:rFonts w:cstheme="minorHAnsi"/>
        </w:rPr>
        <w:t xml:space="preserve"> the FAA.  Each sponsor required to provide supplemental notice of actual construction or alteration is expected to spend 1</w:t>
      </w:r>
      <w:r w:rsidR="00F60817">
        <w:rPr>
          <w:rFonts w:cstheme="minorHAnsi"/>
        </w:rPr>
        <w:t>5</w:t>
      </w:r>
      <w:r w:rsidR="00115104">
        <w:rPr>
          <w:rFonts w:cstheme="minorHAnsi"/>
        </w:rPr>
        <w:t xml:space="preserve"> minutes filling out paper forms and 6 minutes using their registered e-filing account to submit their forms electronically</w:t>
      </w:r>
      <w:r w:rsidR="00843F65">
        <w:rPr>
          <w:rFonts w:cstheme="minorHAnsi"/>
        </w:rPr>
        <w:t>.</w:t>
      </w:r>
    </w:p>
    <w:p w14:paraId="430E86CB" w14:textId="77777777" w:rsidR="00931E05" w:rsidRDefault="00931E05" w:rsidP="003807CE">
      <w:pPr>
        <w:spacing w:after="0"/>
        <w:rPr>
          <w:rFonts w:cstheme="minorHAnsi"/>
        </w:rPr>
      </w:pPr>
    </w:p>
    <w:p w14:paraId="1F55F875" w14:textId="77777777" w:rsidR="00A70373" w:rsidRPr="003807CE" w:rsidRDefault="00A70373" w:rsidP="00A70373">
      <w:pPr>
        <w:pStyle w:val="ListParagraph"/>
        <w:numPr>
          <w:ilvl w:val="0"/>
          <w:numId w:val="4"/>
        </w:numPr>
      </w:pPr>
      <w:r w:rsidRPr="003807CE">
        <w:t xml:space="preserve">The FAA offers downloadable fillable pdf versions of form </w:t>
      </w:r>
      <w:r w:rsidR="00072962">
        <w:t xml:space="preserve">7460-2 </w:t>
      </w:r>
      <w:r w:rsidRPr="003807CE">
        <w:t>at no cost and accepts them electronically via e-mail.  Additionally, the FAA offers an e-filing System via the Internet and requires no special software or computer equipment to use.  The annualized burden is calculated based on the individual respondents time spent completing their submission.</w:t>
      </w:r>
    </w:p>
    <w:p w14:paraId="40296AC2" w14:textId="77777777" w:rsidR="00931E05" w:rsidRDefault="00A70373" w:rsidP="00931E05">
      <w:pPr>
        <w:spacing w:after="0"/>
        <w:rPr>
          <w:rFonts w:cstheme="minorHAnsi"/>
        </w:rPr>
      </w:pPr>
      <w:r w:rsidRPr="003807CE">
        <w:t xml:space="preserve">The total number of 7460-2 forms received and processed by the FAA in CY 2018 was 78,136.  </w:t>
      </w:r>
      <w:r w:rsidR="00931E05">
        <w:rPr>
          <w:rFonts w:cstheme="minorHAnsi"/>
        </w:rPr>
        <w:t>See Table 2 and the Summary at the end of this section for calculations.</w:t>
      </w:r>
    </w:p>
    <w:p w14:paraId="0FF16E8B" w14:textId="77777777" w:rsidR="00931E05" w:rsidRDefault="00931E05" w:rsidP="003807CE">
      <w:pPr>
        <w:spacing w:after="0"/>
        <w:rPr>
          <w:rFonts w:cstheme="minorHAnsi"/>
        </w:rPr>
      </w:pPr>
    </w:p>
    <w:p w14:paraId="3C2A8AB6" w14:textId="77777777" w:rsidR="00843F65" w:rsidRPr="003807CE" w:rsidRDefault="00843F65" w:rsidP="003807CE">
      <w:pPr>
        <w:spacing w:after="0"/>
        <w:rPr>
          <w:rFonts w:cstheme="minorHAnsi"/>
          <w:u w:val="single"/>
        </w:rPr>
      </w:pPr>
      <w:r w:rsidRPr="003807CE">
        <w:rPr>
          <w:rFonts w:cstheme="minorHAnsi"/>
          <w:u w:val="single"/>
        </w:rPr>
        <w:t>§77.35   Extensions, terminations, revisions and corrections.</w:t>
      </w:r>
    </w:p>
    <w:p w14:paraId="47183525" w14:textId="77777777" w:rsidR="00931E05" w:rsidRDefault="00931E05" w:rsidP="00931E05">
      <w:pPr>
        <w:spacing w:after="0"/>
        <w:rPr>
          <w:rFonts w:cstheme="minorHAnsi"/>
        </w:rPr>
      </w:pPr>
      <w:r>
        <w:rPr>
          <w:rFonts w:cstheme="minorHAnsi"/>
        </w:rPr>
        <w:t xml:space="preserve">In accordance with </w:t>
      </w:r>
      <w:r w:rsidRPr="00483D9E">
        <w:rPr>
          <w:rFonts w:cstheme="minorHAnsi"/>
        </w:rPr>
        <w:t>§77.3</w:t>
      </w:r>
      <w:r>
        <w:rPr>
          <w:rFonts w:cstheme="minorHAnsi"/>
        </w:rPr>
        <w:t>3 Effective period of determinations, the FAA will assign an effective date on certain</w:t>
      </w:r>
      <w:r w:rsidRPr="00483D9E">
        <w:rPr>
          <w:rFonts w:cstheme="minorHAnsi"/>
        </w:rPr>
        <w:t> </w:t>
      </w:r>
      <w:r>
        <w:rPr>
          <w:rFonts w:cstheme="minorHAnsi"/>
        </w:rPr>
        <w:t>d</w:t>
      </w:r>
      <w:r w:rsidRPr="00483D9E">
        <w:rPr>
          <w:rFonts w:cstheme="minorHAnsi"/>
        </w:rPr>
        <w:t>eterminations</w:t>
      </w:r>
      <w:r>
        <w:rPr>
          <w:rFonts w:cstheme="minorHAnsi"/>
        </w:rPr>
        <w:t xml:space="preserve"> and specify an expiration date in the letter</w:t>
      </w:r>
      <w:r w:rsidRPr="00483D9E">
        <w:rPr>
          <w:rFonts w:cstheme="minorHAnsi"/>
        </w:rPr>
        <w:t>.</w:t>
      </w:r>
      <w:r>
        <w:rPr>
          <w:rFonts w:cstheme="minorHAnsi"/>
        </w:rPr>
        <w:t xml:space="preserve">  </w:t>
      </w:r>
      <w:r w:rsidRPr="00483D9E">
        <w:rPr>
          <w:rFonts w:cstheme="minorHAnsi"/>
        </w:rPr>
        <w:t>§77.3</w:t>
      </w:r>
      <w:r>
        <w:rPr>
          <w:rFonts w:cstheme="minorHAnsi"/>
        </w:rPr>
        <w:t>5 describes how respondents may petition the FAA official that issued the determination letter for an extension of the expiration date</w:t>
      </w:r>
    </w:p>
    <w:p w14:paraId="06BB9BCB" w14:textId="77777777" w:rsidR="00931E05" w:rsidRDefault="00931E05" w:rsidP="00931E05">
      <w:pPr>
        <w:spacing w:after="0"/>
        <w:rPr>
          <w:rFonts w:cstheme="minorHAnsi"/>
        </w:rPr>
      </w:pPr>
      <w:r>
        <w:rPr>
          <w:rFonts w:cstheme="minorHAnsi"/>
        </w:rPr>
        <w:t>This section describes how the FAA will process and disseminate the results of an aeronautical study conducted based on a 7460-1 submission.  The FAA issues a letter upon completion of the aeronautical study and makes this determination and report of findings available via the Internet, therefore there is no cost to the respondent.</w:t>
      </w:r>
    </w:p>
    <w:p w14:paraId="66547BEF" w14:textId="77777777" w:rsidR="00931E05" w:rsidRDefault="00931E05" w:rsidP="00931E05">
      <w:pPr>
        <w:spacing w:after="0"/>
        <w:rPr>
          <w:rFonts w:cstheme="minorHAnsi"/>
        </w:rPr>
      </w:pPr>
    </w:p>
    <w:p w14:paraId="52235AB6" w14:textId="77777777" w:rsidR="00931E05" w:rsidRPr="00931E05" w:rsidRDefault="00931E05" w:rsidP="003807CE">
      <w:pPr>
        <w:pStyle w:val="ListParagraph"/>
        <w:numPr>
          <w:ilvl w:val="0"/>
          <w:numId w:val="3"/>
        </w:numPr>
        <w:spacing w:after="0"/>
        <w:rPr>
          <w:rFonts w:cstheme="minorHAnsi"/>
        </w:rPr>
      </w:pPr>
      <w:r>
        <w:rPr>
          <w:rFonts w:cstheme="minorHAnsi"/>
        </w:rPr>
        <w:t>Respondents must either write a letter to the FAA requesting an extension and mail or email it to the FAA official that issued the determination or use their registered e-filing account to submit a supplemental notice electronically to request an extension.  Since the electronic submission is submitted using the 7460-2 e-filing interface the sponsor is expected to spend the same amount of time as stated above.  The total number of written requests for extension is negligible</w:t>
      </w:r>
      <w:r w:rsidR="00DC21FE">
        <w:rPr>
          <w:rFonts w:cstheme="minorHAnsi"/>
        </w:rPr>
        <w:t>.  T</w:t>
      </w:r>
      <w:r>
        <w:rPr>
          <w:rFonts w:cstheme="minorHAnsi"/>
        </w:rPr>
        <w:t xml:space="preserve">he total number of extension requests </w:t>
      </w:r>
      <w:r w:rsidR="00DC21FE">
        <w:rPr>
          <w:rFonts w:cstheme="minorHAnsi"/>
        </w:rPr>
        <w:t>submitted</w:t>
      </w:r>
      <w:r>
        <w:rPr>
          <w:rFonts w:cstheme="minorHAnsi"/>
        </w:rPr>
        <w:t xml:space="preserve"> electronically</w:t>
      </w:r>
      <w:r w:rsidR="00DC21FE">
        <w:rPr>
          <w:rFonts w:cstheme="minorHAnsi"/>
        </w:rPr>
        <w:t xml:space="preserve"> to the FAA via e-filing</w:t>
      </w:r>
      <w:r>
        <w:rPr>
          <w:rFonts w:cstheme="minorHAnsi"/>
        </w:rPr>
        <w:t xml:space="preserve"> is included in the total calculations in Table 2.</w:t>
      </w:r>
    </w:p>
    <w:p w14:paraId="315BDE9F" w14:textId="77777777" w:rsidR="00076EAA" w:rsidRDefault="00076EAA" w:rsidP="003807CE">
      <w:pPr>
        <w:spacing w:after="0"/>
        <w:jc w:val="center"/>
        <w:rPr>
          <w:rFonts w:cstheme="minorHAnsi"/>
        </w:rPr>
      </w:pPr>
    </w:p>
    <w:p w14:paraId="2C783FD2" w14:textId="77777777" w:rsidR="00931E05" w:rsidRPr="003807CE" w:rsidRDefault="00076EAA" w:rsidP="003807CE">
      <w:pPr>
        <w:spacing w:after="0"/>
        <w:jc w:val="center"/>
        <w:rPr>
          <w:rFonts w:cstheme="minorHAnsi"/>
          <w:b/>
        </w:rPr>
      </w:pPr>
      <w:r w:rsidRPr="003807CE">
        <w:rPr>
          <w:rFonts w:cstheme="minorHAnsi"/>
          <w:b/>
        </w:rPr>
        <w:t>Table 1</w:t>
      </w:r>
      <w:r w:rsidR="00EF1221">
        <w:rPr>
          <w:rFonts w:cstheme="minorHAnsi"/>
          <w:b/>
        </w:rPr>
        <w:t xml:space="preserve"> – IC #1 FAA Form 7460-1</w:t>
      </w:r>
      <w:r w:rsidR="001F3C47">
        <w:rPr>
          <w:rFonts w:cstheme="minorHAnsi"/>
          <w:b/>
        </w:rPr>
        <w:t xml:space="preserve"> for CY18</w:t>
      </w:r>
    </w:p>
    <w:tbl>
      <w:tblPr>
        <w:tblStyle w:val="TableGrid"/>
        <w:tblW w:w="9355" w:type="dxa"/>
        <w:tblLook w:val="04A0" w:firstRow="1" w:lastRow="0" w:firstColumn="1" w:lastColumn="0" w:noHBand="0" w:noVBand="1"/>
      </w:tblPr>
      <w:tblGrid>
        <w:gridCol w:w="3505"/>
        <w:gridCol w:w="3060"/>
        <w:gridCol w:w="2790"/>
      </w:tblGrid>
      <w:tr w:rsidR="00A349FF" w14:paraId="32956C03" w14:textId="77777777" w:rsidTr="003807CE">
        <w:tc>
          <w:tcPr>
            <w:tcW w:w="3505" w:type="dxa"/>
          </w:tcPr>
          <w:p w14:paraId="1C352EC3" w14:textId="77777777" w:rsidR="00A349FF" w:rsidRDefault="00EF1221" w:rsidP="00C779E8">
            <w:pPr>
              <w:rPr>
                <w:rFonts w:cstheme="minorHAnsi"/>
              </w:rPr>
            </w:pPr>
            <w:r>
              <w:rPr>
                <w:rFonts w:cstheme="minorHAnsi"/>
              </w:rPr>
              <w:t>IC Instrument used by Respondent</w:t>
            </w:r>
          </w:p>
        </w:tc>
        <w:tc>
          <w:tcPr>
            <w:tcW w:w="3060" w:type="dxa"/>
          </w:tcPr>
          <w:p w14:paraId="3F4FAFA7" w14:textId="77777777" w:rsidR="00A349FF" w:rsidRDefault="00A349FF" w:rsidP="00AE72A4">
            <w:pPr>
              <w:rPr>
                <w:rFonts w:cstheme="minorHAnsi"/>
              </w:rPr>
            </w:pPr>
            <w:r>
              <w:rPr>
                <w:rFonts w:cstheme="minorHAnsi"/>
              </w:rPr>
              <w:t>7460-1s Received/Processed</w:t>
            </w:r>
          </w:p>
        </w:tc>
        <w:tc>
          <w:tcPr>
            <w:tcW w:w="2790" w:type="dxa"/>
          </w:tcPr>
          <w:p w14:paraId="6F127813" w14:textId="77777777" w:rsidR="00A349FF" w:rsidRDefault="00A349FF" w:rsidP="00C779E8">
            <w:pPr>
              <w:rPr>
                <w:rFonts w:cstheme="minorHAnsi"/>
              </w:rPr>
            </w:pPr>
            <w:r>
              <w:rPr>
                <w:rFonts w:cstheme="minorHAnsi"/>
              </w:rPr>
              <w:t>Total Annualized Hours</w:t>
            </w:r>
          </w:p>
        </w:tc>
      </w:tr>
      <w:tr w:rsidR="00A349FF" w14:paraId="064A9DDB" w14:textId="77777777" w:rsidTr="003807CE">
        <w:tc>
          <w:tcPr>
            <w:tcW w:w="3505" w:type="dxa"/>
          </w:tcPr>
          <w:p w14:paraId="295D735A" w14:textId="77777777" w:rsidR="00A349FF" w:rsidRDefault="00A349FF" w:rsidP="00AE72A4">
            <w:pPr>
              <w:rPr>
                <w:rFonts w:cstheme="minorHAnsi"/>
              </w:rPr>
            </w:pPr>
            <w:r>
              <w:rPr>
                <w:rFonts w:cstheme="minorHAnsi"/>
              </w:rPr>
              <w:t xml:space="preserve">Paper </w:t>
            </w:r>
            <w:r w:rsidR="00EF1221">
              <w:rPr>
                <w:rFonts w:cstheme="minorHAnsi"/>
              </w:rPr>
              <w:t>Form 7460-1</w:t>
            </w:r>
          </w:p>
        </w:tc>
        <w:tc>
          <w:tcPr>
            <w:tcW w:w="3060" w:type="dxa"/>
          </w:tcPr>
          <w:p w14:paraId="011F0962" w14:textId="77777777" w:rsidR="00A349FF" w:rsidRPr="00C147A6" w:rsidRDefault="00A349FF" w:rsidP="00C779E8">
            <w:pPr>
              <w:rPr>
                <w:rFonts w:cstheme="minorHAnsi"/>
              </w:rPr>
            </w:pPr>
            <w:r>
              <w:rPr>
                <w:rFonts w:cstheme="minorHAnsi"/>
              </w:rPr>
              <w:t>5,428</w:t>
            </w:r>
          </w:p>
        </w:tc>
        <w:tc>
          <w:tcPr>
            <w:tcW w:w="2790" w:type="dxa"/>
          </w:tcPr>
          <w:p w14:paraId="1EB7A53B" w14:textId="77777777" w:rsidR="00A349FF" w:rsidRPr="00C147A6" w:rsidRDefault="00A349FF" w:rsidP="00C779E8">
            <w:pPr>
              <w:rPr>
                <w:rFonts w:cstheme="minorHAnsi"/>
              </w:rPr>
            </w:pPr>
            <w:r>
              <w:rPr>
                <w:rFonts w:cstheme="minorHAnsi"/>
              </w:rPr>
              <w:t>1,736.96</w:t>
            </w:r>
          </w:p>
        </w:tc>
      </w:tr>
      <w:tr w:rsidR="00A349FF" w14:paraId="797ED822" w14:textId="77777777" w:rsidTr="003807CE">
        <w:tc>
          <w:tcPr>
            <w:tcW w:w="3505" w:type="dxa"/>
          </w:tcPr>
          <w:p w14:paraId="77969C3B" w14:textId="77777777" w:rsidR="00A349FF" w:rsidRDefault="00A349FF" w:rsidP="00AE72A4">
            <w:pPr>
              <w:rPr>
                <w:rFonts w:cstheme="minorHAnsi"/>
              </w:rPr>
            </w:pPr>
            <w:r>
              <w:rPr>
                <w:rFonts w:cstheme="minorHAnsi"/>
              </w:rPr>
              <w:t xml:space="preserve">e-Filed </w:t>
            </w:r>
            <w:r w:rsidR="00EF1221">
              <w:rPr>
                <w:rFonts w:cstheme="minorHAnsi"/>
              </w:rPr>
              <w:t>7460-1</w:t>
            </w:r>
          </w:p>
        </w:tc>
        <w:tc>
          <w:tcPr>
            <w:tcW w:w="3060" w:type="dxa"/>
          </w:tcPr>
          <w:p w14:paraId="67F4786F" w14:textId="77777777" w:rsidR="00A349FF" w:rsidRDefault="00A349FF" w:rsidP="00C779E8">
            <w:pPr>
              <w:rPr>
                <w:rFonts w:cstheme="minorHAnsi"/>
              </w:rPr>
            </w:pPr>
            <w:r>
              <w:rPr>
                <w:rFonts w:cstheme="minorHAnsi"/>
              </w:rPr>
              <w:t>196,734</w:t>
            </w:r>
          </w:p>
        </w:tc>
        <w:tc>
          <w:tcPr>
            <w:tcW w:w="2790" w:type="dxa"/>
          </w:tcPr>
          <w:p w14:paraId="28BD1943" w14:textId="77777777" w:rsidR="00A349FF" w:rsidRDefault="00A349FF" w:rsidP="00C779E8">
            <w:pPr>
              <w:rPr>
                <w:rFonts w:cstheme="minorHAnsi"/>
              </w:rPr>
            </w:pPr>
            <w:r>
              <w:rPr>
                <w:rFonts w:cstheme="minorHAnsi"/>
              </w:rPr>
              <w:t>49,183.50</w:t>
            </w:r>
          </w:p>
        </w:tc>
      </w:tr>
      <w:tr w:rsidR="00A349FF" w14:paraId="7732A76A" w14:textId="77777777" w:rsidTr="003807CE">
        <w:tc>
          <w:tcPr>
            <w:tcW w:w="3505" w:type="dxa"/>
          </w:tcPr>
          <w:p w14:paraId="1236846B" w14:textId="77777777" w:rsidR="00A349FF" w:rsidRDefault="00A349FF" w:rsidP="00AE72A4">
            <w:pPr>
              <w:rPr>
                <w:rFonts w:cstheme="minorHAnsi"/>
              </w:rPr>
            </w:pPr>
            <w:r>
              <w:rPr>
                <w:rFonts w:cstheme="minorHAnsi"/>
              </w:rPr>
              <w:t xml:space="preserve">Total </w:t>
            </w:r>
            <w:r w:rsidR="00EF1221">
              <w:rPr>
                <w:rFonts w:cstheme="minorHAnsi"/>
              </w:rPr>
              <w:t>7460-1</w:t>
            </w:r>
            <w:r>
              <w:rPr>
                <w:rFonts w:cstheme="minorHAnsi"/>
              </w:rPr>
              <w:t>s</w:t>
            </w:r>
          </w:p>
        </w:tc>
        <w:tc>
          <w:tcPr>
            <w:tcW w:w="3060" w:type="dxa"/>
          </w:tcPr>
          <w:p w14:paraId="5082BE48" w14:textId="77777777" w:rsidR="00A349FF" w:rsidRDefault="00A349FF" w:rsidP="00C779E8">
            <w:pPr>
              <w:rPr>
                <w:rFonts w:cstheme="minorHAnsi"/>
              </w:rPr>
            </w:pPr>
            <w:r>
              <w:rPr>
                <w:rFonts w:cstheme="minorHAnsi"/>
              </w:rPr>
              <w:t>202,162</w:t>
            </w:r>
          </w:p>
        </w:tc>
        <w:tc>
          <w:tcPr>
            <w:tcW w:w="2790" w:type="dxa"/>
          </w:tcPr>
          <w:p w14:paraId="42CABFF3" w14:textId="77777777" w:rsidR="00A349FF" w:rsidRDefault="00A349FF" w:rsidP="00C779E8">
            <w:pPr>
              <w:rPr>
                <w:rFonts w:cstheme="minorHAnsi"/>
              </w:rPr>
            </w:pPr>
            <w:r>
              <w:rPr>
                <w:rFonts w:cstheme="minorHAnsi"/>
              </w:rPr>
              <w:t>50,920.46</w:t>
            </w:r>
          </w:p>
        </w:tc>
      </w:tr>
    </w:tbl>
    <w:p w14:paraId="6D4D7B0D" w14:textId="77777777" w:rsidR="00DC21FE" w:rsidRDefault="00DC21FE" w:rsidP="00931E05">
      <w:pPr>
        <w:spacing w:after="0"/>
        <w:rPr>
          <w:rFonts w:cstheme="minorHAnsi"/>
        </w:rPr>
      </w:pPr>
    </w:p>
    <w:p w14:paraId="50769124" w14:textId="7F554CF5" w:rsidR="0046754E" w:rsidRDefault="00044D5E" w:rsidP="001F3C47">
      <w:pPr>
        <w:spacing w:after="0"/>
      </w:pPr>
      <w:r>
        <w:t>The total estimated annual burden for 7460-1</w:t>
      </w:r>
      <w:r w:rsidR="00642D12">
        <w:t xml:space="preserve"> submission to the FAA</w:t>
      </w:r>
      <w:r>
        <w:t xml:space="preserve"> is </w:t>
      </w:r>
      <w:r w:rsidR="00C147A6">
        <w:t xml:space="preserve">calculated to be </w:t>
      </w:r>
      <w:r>
        <w:t xml:space="preserve">50,921 hours.  This is calculated by summing all of the one-time annual </w:t>
      </w:r>
      <w:r w:rsidR="00A349FF">
        <w:t xml:space="preserve">Form </w:t>
      </w:r>
      <w:r w:rsidR="00C147A6">
        <w:t xml:space="preserve">7460-1 </w:t>
      </w:r>
      <w:r>
        <w:t>information collect</w:t>
      </w:r>
      <w:r w:rsidR="00642D12">
        <w:t>ed by the FAA</w:t>
      </w:r>
      <w:r>
        <w:t xml:space="preserve"> during CY 2018 </w:t>
      </w:r>
      <w:r w:rsidR="00F60817">
        <w:t xml:space="preserve">and </w:t>
      </w:r>
      <w:r>
        <w:t>as described in the preceding sections.</w:t>
      </w:r>
      <w:r w:rsidR="00642D12">
        <w:t xml:space="preserve"> </w:t>
      </w:r>
      <w:r w:rsidR="00C147A6">
        <w:t xml:space="preserve"> Paper submissions are calculated based on an estimated 19 minutes spent filling out the form</w:t>
      </w:r>
      <w:r w:rsidR="00F30885">
        <w:t>.  Electronic submissions are calculated based on an estimated</w:t>
      </w:r>
      <w:r w:rsidR="00C147A6">
        <w:t xml:space="preserve"> 15 minutes spent registering for an e-filing account </w:t>
      </w:r>
      <w:r w:rsidR="00F30885">
        <w:t xml:space="preserve">and </w:t>
      </w:r>
      <w:r w:rsidR="00F60817">
        <w:t xml:space="preserve">submit notice </w:t>
      </w:r>
      <w:r w:rsidR="00C147A6">
        <w:t>electronic</w:t>
      </w:r>
      <w:r w:rsidR="00F60817">
        <w:t>ally</w:t>
      </w:r>
      <w:r w:rsidR="00C147A6">
        <w:t xml:space="preserve">. </w:t>
      </w:r>
      <w:r w:rsidR="00ED770B">
        <w:t xml:space="preserve"> Once an e-filing account has been registered, the respondent may re-use their account to submit additional 7460-1 forms, however, for the purpose of determining the annual hour burden, the FAA did not consider multiple filings by a single respondent and instead assumed each submission to be from a unique individual. </w:t>
      </w:r>
      <w:r w:rsidR="00C147A6">
        <w:t xml:space="preserve"> </w:t>
      </w:r>
      <w:r w:rsidR="00ED770B">
        <w:t>This hour burden estimate was determined based on previous consultations with frequent respondents to this collection and used in previous FAA requests for OMB approval to renew 2120-0001.</w:t>
      </w:r>
      <w:r w:rsidR="00C147A6">
        <w:t xml:space="preserve">  </w:t>
      </w:r>
    </w:p>
    <w:p w14:paraId="0676438D" w14:textId="020A251C" w:rsidR="004B4FE2" w:rsidRDefault="004B4FE2" w:rsidP="001F3C47">
      <w:pPr>
        <w:spacing w:after="0"/>
      </w:pPr>
    </w:p>
    <w:tbl>
      <w:tblPr>
        <w:tblW w:w="6176" w:type="dxa"/>
        <w:tblLook w:val="04A0" w:firstRow="1" w:lastRow="0" w:firstColumn="1" w:lastColumn="0" w:noHBand="0" w:noVBand="1"/>
      </w:tblPr>
      <w:tblGrid>
        <w:gridCol w:w="1900"/>
        <w:gridCol w:w="1118"/>
        <w:gridCol w:w="1579"/>
        <w:gridCol w:w="1579"/>
      </w:tblGrid>
      <w:tr w:rsidR="004B4FE2" w:rsidRPr="00E34880" w14:paraId="54F444FF" w14:textId="77777777" w:rsidTr="00241225">
        <w:trPr>
          <w:trHeight w:val="494"/>
        </w:trPr>
        <w:tc>
          <w:tcPr>
            <w:tcW w:w="6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0CF8A2B" w14:textId="167694A1" w:rsidR="004B4FE2" w:rsidRPr="004B4FE2" w:rsidRDefault="004B4FE2" w:rsidP="00241225">
            <w:pPr>
              <w:spacing w:after="0" w:line="240" w:lineRule="auto"/>
              <w:jc w:val="center"/>
              <w:rPr>
                <w:rFonts w:cs="Calibri"/>
                <w:b/>
                <w:bCs/>
                <w:color w:val="000000"/>
              </w:rPr>
            </w:pPr>
            <w:r>
              <w:t xml:space="preserve">IC 1: </w:t>
            </w:r>
            <w:r w:rsidR="00241225" w:rsidRPr="00241225">
              <w:t>Notice of Proposed Construction or Alteration</w:t>
            </w:r>
            <w:r>
              <w:t xml:space="preserve"> - Electronic</w:t>
            </w:r>
          </w:p>
        </w:tc>
      </w:tr>
      <w:tr w:rsidR="004B4FE2" w:rsidRPr="00E34880" w14:paraId="1FB3DD63" w14:textId="77777777" w:rsidTr="007A2D8F">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9D0B" w14:textId="77777777" w:rsidR="004B4FE2" w:rsidRPr="00E34880" w:rsidRDefault="004B4FE2"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18D17342" w14:textId="77777777" w:rsidR="004B4FE2" w:rsidRPr="00E34880" w:rsidRDefault="004B4FE2" w:rsidP="007A2D8F">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363F70A9" w14:textId="77777777" w:rsidR="004B4FE2" w:rsidRPr="00E34880" w:rsidRDefault="004B4FE2" w:rsidP="007A2D8F">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3AD1DA63" w14:textId="77777777" w:rsidR="004B4FE2" w:rsidRPr="00E34880" w:rsidRDefault="004B4FE2" w:rsidP="007A2D8F">
            <w:pPr>
              <w:spacing w:after="0" w:line="240" w:lineRule="auto"/>
              <w:rPr>
                <w:rFonts w:cs="Calibri"/>
                <w:b/>
                <w:bCs/>
                <w:color w:val="000000"/>
              </w:rPr>
            </w:pPr>
            <w:r>
              <w:rPr>
                <w:rFonts w:cs="Calibri"/>
                <w:b/>
                <w:bCs/>
                <w:color w:val="000000"/>
              </w:rPr>
              <w:t>Disclosure</w:t>
            </w:r>
          </w:p>
        </w:tc>
      </w:tr>
      <w:tr w:rsidR="004B4FE2" w:rsidRPr="00E34880" w14:paraId="6929DD3C" w14:textId="77777777" w:rsidTr="007A2D8F">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240D523" w14:textId="77777777" w:rsidR="004B4FE2" w:rsidRPr="00E34880" w:rsidRDefault="004B4FE2"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1C3D8612" w14:textId="12EB4261" w:rsidR="004B4FE2" w:rsidRPr="00E34880" w:rsidRDefault="004B4FE2" w:rsidP="007A2D8F">
            <w:pPr>
              <w:spacing w:after="0" w:line="240" w:lineRule="auto"/>
              <w:rPr>
                <w:rFonts w:cs="Calibri"/>
                <w:color w:val="000000"/>
              </w:rPr>
            </w:pPr>
            <w:r>
              <w:rPr>
                <w:rFonts w:cs="Calibri"/>
                <w:color w:val="000000"/>
              </w:rPr>
              <w:t>198,119</w:t>
            </w:r>
          </w:p>
        </w:tc>
        <w:tc>
          <w:tcPr>
            <w:tcW w:w="1579" w:type="dxa"/>
            <w:tcBorders>
              <w:top w:val="nil"/>
              <w:left w:val="nil"/>
              <w:bottom w:val="single" w:sz="4" w:space="0" w:color="auto"/>
              <w:right w:val="single" w:sz="4" w:space="0" w:color="auto"/>
            </w:tcBorders>
            <w:shd w:val="clear" w:color="auto" w:fill="auto"/>
            <w:noWrap/>
            <w:vAlign w:val="bottom"/>
          </w:tcPr>
          <w:p w14:paraId="7F4D18A8" w14:textId="239A7AE3" w:rsidR="004B4FE2"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4BB7E71B" w14:textId="2E59E627" w:rsidR="004B4FE2" w:rsidRPr="00E34880" w:rsidRDefault="0017043F" w:rsidP="007A2D8F">
            <w:pPr>
              <w:spacing w:after="0" w:line="240" w:lineRule="auto"/>
              <w:rPr>
                <w:rFonts w:cs="Calibri"/>
                <w:color w:val="000000"/>
              </w:rPr>
            </w:pPr>
            <w:r>
              <w:rPr>
                <w:rFonts w:cs="Calibri"/>
                <w:color w:val="000000"/>
              </w:rPr>
              <w:t>0</w:t>
            </w:r>
          </w:p>
        </w:tc>
      </w:tr>
      <w:tr w:rsidR="004B4FE2" w:rsidRPr="00E34880" w14:paraId="683BEF0A"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192C41" w14:textId="77777777" w:rsidR="004B4FE2" w:rsidRPr="00E34880" w:rsidRDefault="004B4FE2"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0EC36AD8" w14:textId="645BBB5A" w:rsidR="004B4FE2" w:rsidRPr="00E34880" w:rsidRDefault="004B4FE2" w:rsidP="007A2D8F">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14:paraId="79E6A0E7" w14:textId="78692908" w:rsidR="004B4FE2"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1FB7C637" w14:textId="338FCA8A" w:rsidR="004B4FE2" w:rsidRPr="00E34880" w:rsidRDefault="0017043F" w:rsidP="007A2D8F">
            <w:pPr>
              <w:spacing w:after="0" w:line="240" w:lineRule="auto"/>
              <w:rPr>
                <w:rFonts w:cs="Calibri"/>
                <w:color w:val="000000"/>
              </w:rPr>
            </w:pPr>
            <w:r>
              <w:rPr>
                <w:rFonts w:cs="Calibri"/>
                <w:color w:val="000000"/>
              </w:rPr>
              <w:t>0</w:t>
            </w:r>
          </w:p>
        </w:tc>
      </w:tr>
      <w:tr w:rsidR="004B4FE2" w:rsidRPr="00E34880" w14:paraId="3E801CF0"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4E4246" w14:textId="77777777" w:rsidR="004B4FE2" w:rsidRPr="00E34880" w:rsidRDefault="004B4FE2" w:rsidP="007A2D8F">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7B5169FE" w14:textId="35EEBFAA" w:rsidR="004B4FE2" w:rsidRPr="00E34880" w:rsidRDefault="0017043F" w:rsidP="007A2D8F">
            <w:pPr>
              <w:spacing w:after="0" w:line="240" w:lineRule="auto"/>
              <w:rPr>
                <w:rFonts w:cs="Calibri"/>
                <w:color w:val="000000"/>
              </w:rPr>
            </w:pPr>
            <w:r>
              <w:rPr>
                <w:rFonts w:cs="Calibri"/>
                <w:color w:val="000000"/>
              </w:rPr>
              <w:t>15 min</w:t>
            </w:r>
          </w:p>
        </w:tc>
        <w:tc>
          <w:tcPr>
            <w:tcW w:w="1579" w:type="dxa"/>
            <w:tcBorders>
              <w:top w:val="nil"/>
              <w:left w:val="nil"/>
              <w:bottom w:val="single" w:sz="4" w:space="0" w:color="auto"/>
              <w:right w:val="single" w:sz="4" w:space="0" w:color="auto"/>
            </w:tcBorders>
            <w:shd w:val="clear" w:color="auto" w:fill="auto"/>
            <w:noWrap/>
            <w:vAlign w:val="bottom"/>
          </w:tcPr>
          <w:p w14:paraId="7D5C2B0F" w14:textId="75581E8D" w:rsidR="004B4FE2"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3ECCCF8" w14:textId="0CEE7875" w:rsidR="004B4FE2" w:rsidRPr="00E34880" w:rsidRDefault="0017043F" w:rsidP="007A2D8F">
            <w:pPr>
              <w:spacing w:after="0" w:line="240" w:lineRule="auto"/>
              <w:rPr>
                <w:rFonts w:cs="Calibri"/>
                <w:color w:val="000000"/>
              </w:rPr>
            </w:pPr>
            <w:r>
              <w:rPr>
                <w:rFonts w:cs="Calibri"/>
                <w:color w:val="000000"/>
              </w:rPr>
              <w:t>0</w:t>
            </w:r>
          </w:p>
        </w:tc>
      </w:tr>
      <w:tr w:rsidR="004B4FE2" w:rsidRPr="00E34880" w14:paraId="64E49502"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E2EAAB" w14:textId="77777777" w:rsidR="004B4FE2" w:rsidRPr="00E34880" w:rsidRDefault="004B4FE2"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435186E6" w14:textId="101EE74A" w:rsidR="004B4FE2" w:rsidRPr="00E34880" w:rsidRDefault="0017043F" w:rsidP="007A2D8F">
            <w:pPr>
              <w:spacing w:after="0" w:line="240" w:lineRule="auto"/>
              <w:rPr>
                <w:rFonts w:cs="Calibri"/>
                <w:color w:val="000000"/>
              </w:rPr>
            </w:pPr>
            <w:r>
              <w:rPr>
                <w:rFonts w:cs="Calibri"/>
                <w:color w:val="000000"/>
              </w:rPr>
              <w:t>198,119</w:t>
            </w:r>
          </w:p>
        </w:tc>
        <w:tc>
          <w:tcPr>
            <w:tcW w:w="1579" w:type="dxa"/>
            <w:tcBorders>
              <w:top w:val="nil"/>
              <w:left w:val="nil"/>
              <w:bottom w:val="single" w:sz="4" w:space="0" w:color="auto"/>
              <w:right w:val="single" w:sz="4" w:space="0" w:color="auto"/>
            </w:tcBorders>
            <w:shd w:val="clear" w:color="auto" w:fill="auto"/>
            <w:noWrap/>
            <w:vAlign w:val="bottom"/>
          </w:tcPr>
          <w:p w14:paraId="29B10B29" w14:textId="5098F0CC" w:rsidR="004B4FE2"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0805E310" w14:textId="3C0E5563" w:rsidR="004B4FE2" w:rsidRPr="00E34880" w:rsidRDefault="0017043F" w:rsidP="007A2D8F">
            <w:pPr>
              <w:spacing w:after="0" w:line="240" w:lineRule="auto"/>
              <w:rPr>
                <w:rFonts w:cs="Calibri"/>
                <w:color w:val="000000"/>
              </w:rPr>
            </w:pPr>
            <w:r>
              <w:rPr>
                <w:rFonts w:cs="Calibri"/>
                <w:color w:val="000000"/>
              </w:rPr>
              <w:t>0</w:t>
            </w:r>
          </w:p>
        </w:tc>
      </w:tr>
      <w:tr w:rsidR="004B4FE2" w:rsidRPr="00E34880" w14:paraId="4C62589E"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30355069" w14:textId="77777777" w:rsidR="004B4FE2" w:rsidRPr="00E34880" w:rsidRDefault="004B4FE2" w:rsidP="007A2D8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085A8817" w14:textId="4D2D2C6C" w:rsidR="004B4FE2" w:rsidRPr="00E34880" w:rsidRDefault="0017043F" w:rsidP="007A2D8F">
            <w:pPr>
              <w:spacing w:after="0" w:line="240" w:lineRule="auto"/>
              <w:rPr>
                <w:rFonts w:cs="Calibri"/>
                <w:color w:val="000000"/>
              </w:rPr>
            </w:pPr>
            <w:r>
              <w:rPr>
                <w:rFonts w:cs="Calibri"/>
                <w:color w:val="000000"/>
              </w:rPr>
              <w:t>49,529.75 Hrs</w:t>
            </w:r>
          </w:p>
        </w:tc>
        <w:tc>
          <w:tcPr>
            <w:tcW w:w="1579" w:type="dxa"/>
            <w:tcBorders>
              <w:top w:val="nil"/>
              <w:left w:val="nil"/>
              <w:bottom w:val="single" w:sz="4" w:space="0" w:color="auto"/>
              <w:right w:val="single" w:sz="4" w:space="0" w:color="auto"/>
            </w:tcBorders>
            <w:shd w:val="clear" w:color="auto" w:fill="auto"/>
            <w:noWrap/>
            <w:vAlign w:val="bottom"/>
          </w:tcPr>
          <w:p w14:paraId="142399D3" w14:textId="165A9967" w:rsidR="004B4FE2"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34D0E15C" w14:textId="2CBBCF59" w:rsidR="004B4FE2" w:rsidRPr="00E34880" w:rsidRDefault="0017043F" w:rsidP="007A2D8F">
            <w:pPr>
              <w:spacing w:after="0" w:line="240" w:lineRule="auto"/>
              <w:rPr>
                <w:rFonts w:cs="Calibri"/>
                <w:color w:val="000000"/>
              </w:rPr>
            </w:pPr>
            <w:r>
              <w:rPr>
                <w:rFonts w:cs="Calibri"/>
                <w:color w:val="000000"/>
              </w:rPr>
              <w:t>0</w:t>
            </w:r>
          </w:p>
        </w:tc>
      </w:tr>
    </w:tbl>
    <w:p w14:paraId="5A3E4F14" w14:textId="665E2BEC" w:rsidR="004B4FE2" w:rsidRDefault="004B4FE2" w:rsidP="001F3C47">
      <w:pPr>
        <w:spacing w:after="0"/>
      </w:pPr>
    </w:p>
    <w:p w14:paraId="45C7EEC6" w14:textId="22200D4E" w:rsidR="004B4FE2" w:rsidRDefault="004B4FE2" w:rsidP="001F3C47">
      <w:pPr>
        <w:spacing w:after="0"/>
      </w:pPr>
    </w:p>
    <w:tbl>
      <w:tblPr>
        <w:tblW w:w="6176" w:type="dxa"/>
        <w:tblLook w:val="04A0" w:firstRow="1" w:lastRow="0" w:firstColumn="1" w:lastColumn="0" w:noHBand="0" w:noVBand="1"/>
      </w:tblPr>
      <w:tblGrid>
        <w:gridCol w:w="1900"/>
        <w:gridCol w:w="1118"/>
        <w:gridCol w:w="1579"/>
        <w:gridCol w:w="1579"/>
      </w:tblGrid>
      <w:tr w:rsidR="003C423C" w:rsidRPr="00E34880" w14:paraId="7FDD96FB" w14:textId="5E8FB1CD" w:rsidTr="00241225">
        <w:trPr>
          <w:trHeight w:val="494"/>
        </w:trPr>
        <w:tc>
          <w:tcPr>
            <w:tcW w:w="6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682B81A" w14:textId="50E71449" w:rsidR="003C423C" w:rsidRPr="004B4FE2" w:rsidRDefault="003C423C" w:rsidP="004B4FE2">
            <w:pPr>
              <w:spacing w:after="0" w:line="240" w:lineRule="auto"/>
              <w:jc w:val="center"/>
              <w:rPr>
                <w:rFonts w:cs="Calibri"/>
                <w:b/>
                <w:bCs/>
                <w:color w:val="000000"/>
              </w:rPr>
            </w:pPr>
            <w:r>
              <w:t xml:space="preserve">IC 2: </w:t>
            </w:r>
            <w:r w:rsidR="00241225" w:rsidRPr="00241225">
              <w:t>Notice of Proposed Construction or Alteration</w:t>
            </w:r>
            <w:r>
              <w:t xml:space="preserve"> - Paper</w:t>
            </w:r>
          </w:p>
        </w:tc>
      </w:tr>
      <w:tr w:rsidR="003C423C" w:rsidRPr="00E34880" w14:paraId="287E9E42" w14:textId="56D83D8F" w:rsidTr="00241225">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1DB5" w14:textId="77777777" w:rsidR="003C423C" w:rsidRPr="00E34880" w:rsidRDefault="003C423C"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6DE92C7" w14:textId="77777777" w:rsidR="003C423C" w:rsidRPr="00E34880" w:rsidRDefault="003C423C" w:rsidP="007A2D8F">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03B1B709" w14:textId="77777777" w:rsidR="003C423C" w:rsidRPr="00E34880" w:rsidRDefault="003C423C" w:rsidP="007A2D8F">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53C78678" w14:textId="77777777" w:rsidR="003C423C" w:rsidRPr="00E34880" w:rsidRDefault="003C423C" w:rsidP="007A2D8F">
            <w:pPr>
              <w:spacing w:after="0" w:line="240" w:lineRule="auto"/>
              <w:rPr>
                <w:rFonts w:cs="Calibri"/>
                <w:b/>
                <w:bCs/>
                <w:color w:val="000000"/>
              </w:rPr>
            </w:pPr>
            <w:r>
              <w:rPr>
                <w:rFonts w:cs="Calibri"/>
                <w:b/>
                <w:bCs/>
                <w:color w:val="000000"/>
              </w:rPr>
              <w:t>Disclosure</w:t>
            </w:r>
          </w:p>
        </w:tc>
      </w:tr>
      <w:tr w:rsidR="003C423C" w:rsidRPr="00E34880" w14:paraId="067A7704" w14:textId="664CF7CB" w:rsidTr="00241225">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C8A1CB3" w14:textId="77777777" w:rsidR="003C423C" w:rsidRPr="00E34880" w:rsidRDefault="003C423C"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797BC6E1" w14:textId="292218B9" w:rsidR="003C423C" w:rsidRPr="00E34880" w:rsidRDefault="003C423C" w:rsidP="007A2D8F">
            <w:pPr>
              <w:spacing w:after="0" w:line="240" w:lineRule="auto"/>
              <w:rPr>
                <w:rFonts w:cs="Calibri"/>
                <w:color w:val="000000"/>
              </w:rPr>
            </w:pPr>
            <w:r>
              <w:rPr>
                <w:rFonts w:cs="Calibri"/>
                <w:color w:val="000000"/>
              </w:rPr>
              <w:t>4,043</w:t>
            </w:r>
          </w:p>
        </w:tc>
        <w:tc>
          <w:tcPr>
            <w:tcW w:w="1579" w:type="dxa"/>
            <w:tcBorders>
              <w:top w:val="nil"/>
              <w:left w:val="nil"/>
              <w:bottom w:val="single" w:sz="4" w:space="0" w:color="auto"/>
              <w:right w:val="single" w:sz="4" w:space="0" w:color="auto"/>
            </w:tcBorders>
            <w:shd w:val="clear" w:color="auto" w:fill="auto"/>
            <w:noWrap/>
            <w:vAlign w:val="bottom"/>
          </w:tcPr>
          <w:p w14:paraId="1C89AD5C" w14:textId="443352A6"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68CC7391" w14:textId="3531154B"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3A2988DF" w14:textId="55AE3779"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34992A" w14:textId="77777777" w:rsidR="003C423C" w:rsidRPr="00E34880" w:rsidRDefault="003C423C"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33E4A964" w14:textId="77777777" w:rsidR="003C423C" w:rsidRPr="00E34880" w:rsidRDefault="003C423C" w:rsidP="007A2D8F">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14:paraId="66431F97" w14:textId="7FF69586"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381FE1E3" w14:textId="370AB9F6"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0EADB94F" w14:textId="7AED8EF8"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674B0D2" w14:textId="77777777" w:rsidR="003C423C" w:rsidRPr="00E34880" w:rsidRDefault="003C423C" w:rsidP="007A2D8F">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25B05204" w14:textId="47C922B8" w:rsidR="003C423C" w:rsidRPr="00E34880" w:rsidRDefault="003C423C" w:rsidP="007A2D8F">
            <w:pPr>
              <w:spacing w:after="0" w:line="240" w:lineRule="auto"/>
              <w:rPr>
                <w:rFonts w:cs="Calibri"/>
                <w:color w:val="000000"/>
              </w:rPr>
            </w:pPr>
            <w:r>
              <w:rPr>
                <w:rFonts w:cs="Calibri"/>
                <w:color w:val="000000"/>
              </w:rPr>
              <w:t>19 min</w:t>
            </w:r>
          </w:p>
        </w:tc>
        <w:tc>
          <w:tcPr>
            <w:tcW w:w="1579" w:type="dxa"/>
            <w:tcBorders>
              <w:top w:val="nil"/>
              <w:left w:val="nil"/>
              <w:bottom w:val="single" w:sz="4" w:space="0" w:color="auto"/>
              <w:right w:val="single" w:sz="4" w:space="0" w:color="auto"/>
            </w:tcBorders>
            <w:shd w:val="clear" w:color="auto" w:fill="auto"/>
            <w:noWrap/>
            <w:vAlign w:val="bottom"/>
          </w:tcPr>
          <w:p w14:paraId="7847223D" w14:textId="31D3331C"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BF9869A" w14:textId="318CD26F"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4B7DC339" w14:textId="469778FA"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AACCBD" w14:textId="77777777" w:rsidR="003C423C" w:rsidRPr="00E34880" w:rsidRDefault="003C423C"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687D3B9C" w14:textId="751CCDBA" w:rsidR="003C423C" w:rsidRPr="00E34880" w:rsidRDefault="003C423C" w:rsidP="007A2D8F">
            <w:pPr>
              <w:spacing w:after="0" w:line="240" w:lineRule="auto"/>
              <w:rPr>
                <w:rFonts w:cs="Calibri"/>
                <w:color w:val="000000"/>
              </w:rPr>
            </w:pPr>
            <w:r>
              <w:rPr>
                <w:rFonts w:cs="Calibri"/>
                <w:color w:val="000000"/>
              </w:rPr>
              <w:t>4,043</w:t>
            </w:r>
          </w:p>
        </w:tc>
        <w:tc>
          <w:tcPr>
            <w:tcW w:w="1579" w:type="dxa"/>
            <w:tcBorders>
              <w:top w:val="nil"/>
              <w:left w:val="nil"/>
              <w:bottom w:val="single" w:sz="4" w:space="0" w:color="auto"/>
              <w:right w:val="single" w:sz="4" w:space="0" w:color="auto"/>
            </w:tcBorders>
            <w:shd w:val="clear" w:color="auto" w:fill="auto"/>
            <w:noWrap/>
            <w:vAlign w:val="bottom"/>
          </w:tcPr>
          <w:p w14:paraId="2764BE6B" w14:textId="0E5C95B6"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EE9D42E" w14:textId="0271AB6B"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3016F7B3" w14:textId="3DD8014C"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32B74BBB" w14:textId="77777777" w:rsidR="003C423C" w:rsidRPr="00E34880" w:rsidRDefault="003C423C" w:rsidP="007A2D8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3CE11F99" w14:textId="39E93F6F" w:rsidR="003C423C" w:rsidRPr="00E34880" w:rsidRDefault="003C423C" w:rsidP="007A2D8F">
            <w:pPr>
              <w:spacing w:after="0" w:line="240" w:lineRule="auto"/>
              <w:rPr>
                <w:rFonts w:cs="Calibri"/>
                <w:color w:val="000000"/>
              </w:rPr>
            </w:pPr>
            <w:r>
              <w:rPr>
                <w:rFonts w:cs="Calibri"/>
                <w:color w:val="000000"/>
              </w:rPr>
              <w:t>1,280.28</w:t>
            </w:r>
          </w:p>
        </w:tc>
        <w:tc>
          <w:tcPr>
            <w:tcW w:w="1579" w:type="dxa"/>
            <w:tcBorders>
              <w:top w:val="nil"/>
              <w:left w:val="nil"/>
              <w:bottom w:val="single" w:sz="4" w:space="0" w:color="auto"/>
              <w:right w:val="single" w:sz="4" w:space="0" w:color="auto"/>
            </w:tcBorders>
            <w:shd w:val="clear" w:color="auto" w:fill="auto"/>
            <w:noWrap/>
            <w:vAlign w:val="bottom"/>
          </w:tcPr>
          <w:p w14:paraId="2386022E" w14:textId="10E8271C"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670E7121" w14:textId="5DC9D919" w:rsidR="003C423C" w:rsidRPr="00E34880" w:rsidRDefault="003C423C" w:rsidP="007A2D8F">
            <w:pPr>
              <w:spacing w:after="0" w:line="240" w:lineRule="auto"/>
              <w:rPr>
                <w:rFonts w:cs="Calibri"/>
                <w:color w:val="000000"/>
              </w:rPr>
            </w:pPr>
            <w:r>
              <w:rPr>
                <w:rFonts w:cs="Calibri"/>
                <w:color w:val="000000"/>
              </w:rPr>
              <w:t>0</w:t>
            </w:r>
          </w:p>
        </w:tc>
      </w:tr>
    </w:tbl>
    <w:p w14:paraId="42AB27FA" w14:textId="77777777" w:rsidR="004B4FE2" w:rsidRDefault="004B4FE2" w:rsidP="001F3C47">
      <w:pPr>
        <w:spacing w:after="0"/>
      </w:pPr>
    </w:p>
    <w:p w14:paraId="6FAAEFD0" w14:textId="77777777" w:rsidR="00A349FF" w:rsidRDefault="00A349FF" w:rsidP="003807CE">
      <w:pPr>
        <w:spacing w:after="0"/>
        <w:jc w:val="center"/>
      </w:pPr>
    </w:p>
    <w:p w14:paraId="0BBEE152" w14:textId="77777777" w:rsidR="00642D12" w:rsidRPr="003807CE" w:rsidRDefault="00642D12" w:rsidP="003807CE">
      <w:pPr>
        <w:spacing w:after="0"/>
        <w:jc w:val="center"/>
        <w:rPr>
          <w:b/>
        </w:rPr>
      </w:pPr>
      <w:r w:rsidRPr="003807CE">
        <w:rPr>
          <w:b/>
        </w:rPr>
        <w:t>Table 2</w:t>
      </w:r>
      <w:r w:rsidR="00EF1221">
        <w:rPr>
          <w:b/>
        </w:rPr>
        <w:t xml:space="preserve"> – IC #2 FAA Form 7460-2</w:t>
      </w:r>
      <w:r w:rsidR="001F3C47">
        <w:rPr>
          <w:b/>
        </w:rPr>
        <w:t xml:space="preserve"> for CY18</w:t>
      </w:r>
    </w:p>
    <w:tbl>
      <w:tblPr>
        <w:tblStyle w:val="TableGrid"/>
        <w:tblW w:w="0" w:type="auto"/>
        <w:tblLook w:val="04A0" w:firstRow="1" w:lastRow="0" w:firstColumn="1" w:lastColumn="0" w:noHBand="0" w:noVBand="1"/>
      </w:tblPr>
      <w:tblGrid>
        <w:gridCol w:w="3595"/>
        <w:gridCol w:w="3060"/>
        <w:gridCol w:w="2695"/>
      </w:tblGrid>
      <w:tr w:rsidR="00A349FF" w14:paraId="03F1291C" w14:textId="77777777" w:rsidTr="003807CE">
        <w:tc>
          <w:tcPr>
            <w:tcW w:w="3595" w:type="dxa"/>
          </w:tcPr>
          <w:p w14:paraId="34D6C9DA" w14:textId="77777777" w:rsidR="00A349FF" w:rsidRDefault="00EF1221" w:rsidP="003807CE">
            <w:r>
              <w:rPr>
                <w:rFonts w:cstheme="minorHAnsi"/>
              </w:rPr>
              <w:t>IC Instrument Used by Respondent</w:t>
            </w:r>
          </w:p>
        </w:tc>
        <w:tc>
          <w:tcPr>
            <w:tcW w:w="3060" w:type="dxa"/>
          </w:tcPr>
          <w:p w14:paraId="2F0A797A" w14:textId="77777777" w:rsidR="00A349FF" w:rsidRDefault="00A349FF" w:rsidP="003807CE">
            <w:pPr>
              <w:jc w:val="both"/>
            </w:pPr>
            <w:r>
              <w:rPr>
                <w:rFonts w:cstheme="minorHAnsi"/>
              </w:rPr>
              <w:t>7460-2s Received/Processed</w:t>
            </w:r>
          </w:p>
        </w:tc>
        <w:tc>
          <w:tcPr>
            <w:tcW w:w="2695" w:type="dxa"/>
          </w:tcPr>
          <w:p w14:paraId="3FE30986" w14:textId="77777777" w:rsidR="00A349FF" w:rsidRDefault="00A349FF" w:rsidP="003807CE">
            <w:r>
              <w:rPr>
                <w:rFonts w:cstheme="minorHAnsi"/>
              </w:rPr>
              <w:t>Total Annualized Hours</w:t>
            </w:r>
          </w:p>
        </w:tc>
      </w:tr>
      <w:tr w:rsidR="00A349FF" w14:paraId="75C4F0FD" w14:textId="77777777" w:rsidTr="003807CE">
        <w:tc>
          <w:tcPr>
            <w:tcW w:w="3595" w:type="dxa"/>
          </w:tcPr>
          <w:p w14:paraId="55C2B8F7" w14:textId="77777777" w:rsidR="00A349FF" w:rsidRDefault="00A349FF" w:rsidP="003807CE">
            <w:r>
              <w:t xml:space="preserve">Paper </w:t>
            </w:r>
            <w:r w:rsidR="00EF1221">
              <w:t>form 7460-2</w:t>
            </w:r>
          </w:p>
        </w:tc>
        <w:tc>
          <w:tcPr>
            <w:tcW w:w="3060" w:type="dxa"/>
          </w:tcPr>
          <w:p w14:paraId="2A3EB280" w14:textId="77777777" w:rsidR="00A349FF" w:rsidRDefault="00F60817" w:rsidP="003807CE">
            <w:r>
              <w:t>15</w:t>
            </w:r>
          </w:p>
        </w:tc>
        <w:tc>
          <w:tcPr>
            <w:tcW w:w="2695" w:type="dxa"/>
          </w:tcPr>
          <w:p w14:paraId="42529903" w14:textId="77777777" w:rsidR="00A349FF" w:rsidRDefault="00F60817" w:rsidP="003807CE">
            <w:r>
              <w:t>3.75</w:t>
            </w:r>
          </w:p>
        </w:tc>
      </w:tr>
      <w:tr w:rsidR="00A349FF" w14:paraId="24470737" w14:textId="77777777" w:rsidTr="003807CE">
        <w:tc>
          <w:tcPr>
            <w:tcW w:w="3595" w:type="dxa"/>
          </w:tcPr>
          <w:p w14:paraId="1F5DFF24" w14:textId="77777777" w:rsidR="00A349FF" w:rsidRDefault="00A349FF" w:rsidP="003807CE">
            <w:r>
              <w:t xml:space="preserve">e-Filed </w:t>
            </w:r>
            <w:r w:rsidR="00EF1221">
              <w:t>7460-2</w:t>
            </w:r>
          </w:p>
        </w:tc>
        <w:tc>
          <w:tcPr>
            <w:tcW w:w="3060" w:type="dxa"/>
          </w:tcPr>
          <w:p w14:paraId="7411CAD6" w14:textId="77777777" w:rsidR="00A349FF" w:rsidRDefault="00F60817" w:rsidP="003807CE">
            <w:r>
              <w:t>78,121</w:t>
            </w:r>
          </w:p>
        </w:tc>
        <w:tc>
          <w:tcPr>
            <w:tcW w:w="2695" w:type="dxa"/>
          </w:tcPr>
          <w:p w14:paraId="699F6DE0" w14:textId="77777777" w:rsidR="00A349FF" w:rsidRDefault="00F60817" w:rsidP="003807CE">
            <w:r>
              <w:t>7,812.10</w:t>
            </w:r>
          </w:p>
        </w:tc>
      </w:tr>
      <w:tr w:rsidR="00A349FF" w14:paraId="2482875D" w14:textId="77777777" w:rsidTr="003807CE">
        <w:tc>
          <w:tcPr>
            <w:tcW w:w="3595" w:type="dxa"/>
          </w:tcPr>
          <w:p w14:paraId="53EC7E7A" w14:textId="77777777" w:rsidR="00A349FF" w:rsidRDefault="00A349FF" w:rsidP="003807CE">
            <w:r>
              <w:t xml:space="preserve">Total </w:t>
            </w:r>
            <w:r w:rsidR="00EF1221">
              <w:t>7460-2</w:t>
            </w:r>
            <w:r>
              <w:t>s</w:t>
            </w:r>
          </w:p>
        </w:tc>
        <w:tc>
          <w:tcPr>
            <w:tcW w:w="3060" w:type="dxa"/>
          </w:tcPr>
          <w:p w14:paraId="32BD02AF" w14:textId="77777777" w:rsidR="00A349FF" w:rsidRDefault="00F60817" w:rsidP="003807CE">
            <w:r>
              <w:t>78,136</w:t>
            </w:r>
          </w:p>
        </w:tc>
        <w:tc>
          <w:tcPr>
            <w:tcW w:w="2695" w:type="dxa"/>
          </w:tcPr>
          <w:p w14:paraId="181CD0CA" w14:textId="77777777" w:rsidR="00A349FF" w:rsidRDefault="00F60817" w:rsidP="003807CE">
            <w:r>
              <w:t>7,815.85</w:t>
            </w:r>
          </w:p>
        </w:tc>
      </w:tr>
    </w:tbl>
    <w:p w14:paraId="3E8FB42E" w14:textId="77777777" w:rsidR="00F60817" w:rsidRDefault="00F60817" w:rsidP="003807CE">
      <w:pPr>
        <w:spacing w:after="0"/>
        <w:jc w:val="center"/>
      </w:pPr>
    </w:p>
    <w:p w14:paraId="2A0027CC" w14:textId="49DF2DB9" w:rsidR="0046754E" w:rsidRDefault="00F60817" w:rsidP="00AE72A4">
      <w:pPr>
        <w:spacing w:after="0"/>
      </w:pPr>
      <w:r>
        <w:t xml:space="preserve">The total estimated annual burden for 7460-2 submission to the FAA is calculated to be 7,816 hours.  This is calculated by summing all of the one-time annual Form 7460-2 information collected by the FAA during CY 2018 and as described in the preceding sections.  Paper submissions are calculated based on an estimated 15 minutes spent filling out the form and 6 minutes spent using a registered e-filing account to submit notice electronically. </w:t>
      </w:r>
      <w:r w:rsidR="00ED770B">
        <w:t xml:space="preserve">This hour burden estimate was determined based on previous consultation with frequent respondents to this collection and used in previous FAA requests for OMB approval to renew 2120-0001. </w:t>
      </w:r>
    </w:p>
    <w:p w14:paraId="11E9FDF5" w14:textId="58C05B1F" w:rsidR="0017043F" w:rsidRDefault="0017043F" w:rsidP="00AE72A4">
      <w:pPr>
        <w:spacing w:after="0"/>
      </w:pPr>
    </w:p>
    <w:tbl>
      <w:tblPr>
        <w:tblW w:w="6176" w:type="dxa"/>
        <w:tblLook w:val="04A0" w:firstRow="1" w:lastRow="0" w:firstColumn="1" w:lastColumn="0" w:noHBand="0" w:noVBand="1"/>
      </w:tblPr>
      <w:tblGrid>
        <w:gridCol w:w="1900"/>
        <w:gridCol w:w="1118"/>
        <w:gridCol w:w="1579"/>
        <w:gridCol w:w="1579"/>
      </w:tblGrid>
      <w:tr w:rsidR="0017043F" w:rsidRPr="00E34880" w14:paraId="35EFE9B0" w14:textId="77777777" w:rsidTr="007A2D8F">
        <w:trPr>
          <w:trHeight w:val="494"/>
        </w:trPr>
        <w:tc>
          <w:tcPr>
            <w:tcW w:w="6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24B184C" w14:textId="0652D46F" w:rsidR="0017043F" w:rsidRPr="004B4FE2" w:rsidRDefault="0017043F" w:rsidP="0017043F">
            <w:pPr>
              <w:spacing w:after="0" w:line="240" w:lineRule="auto"/>
              <w:jc w:val="center"/>
              <w:rPr>
                <w:rFonts w:cs="Calibri"/>
                <w:b/>
                <w:bCs/>
                <w:color w:val="000000"/>
              </w:rPr>
            </w:pPr>
            <w:r>
              <w:t xml:space="preserve">IC 3: </w:t>
            </w:r>
            <w:r w:rsidR="00241225" w:rsidRPr="00241225">
              <w:t>Notice of Actual Construction or Alteration</w:t>
            </w:r>
            <w:r>
              <w:t xml:space="preserve"> - Electronic</w:t>
            </w:r>
          </w:p>
        </w:tc>
      </w:tr>
      <w:tr w:rsidR="0017043F" w:rsidRPr="00E34880" w14:paraId="25359C29" w14:textId="77777777" w:rsidTr="007A2D8F">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C2C1" w14:textId="77777777" w:rsidR="0017043F" w:rsidRPr="00E34880" w:rsidRDefault="0017043F"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16103A56" w14:textId="77777777" w:rsidR="0017043F" w:rsidRPr="00E34880" w:rsidRDefault="0017043F" w:rsidP="007A2D8F">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079AAF04" w14:textId="77777777" w:rsidR="0017043F" w:rsidRPr="00E34880" w:rsidRDefault="0017043F" w:rsidP="007A2D8F">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5438E1A7" w14:textId="77777777" w:rsidR="0017043F" w:rsidRPr="00E34880" w:rsidRDefault="0017043F" w:rsidP="007A2D8F">
            <w:pPr>
              <w:spacing w:after="0" w:line="240" w:lineRule="auto"/>
              <w:rPr>
                <w:rFonts w:cs="Calibri"/>
                <w:b/>
                <w:bCs/>
                <w:color w:val="000000"/>
              </w:rPr>
            </w:pPr>
            <w:r>
              <w:rPr>
                <w:rFonts w:cs="Calibri"/>
                <w:b/>
                <w:bCs/>
                <w:color w:val="000000"/>
              </w:rPr>
              <w:t>Disclosure</w:t>
            </w:r>
          </w:p>
        </w:tc>
      </w:tr>
      <w:tr w:rsidR="0017043F" w:rsidRPr="00E34880" w14:paraId="28DB49C9" w14:textId="77777777" w:rsidTr="007A2D8F">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B4983B" w14:textId="77777777" w:rsidR="0017043F" w:rsidRPr="00E34880" w:rsidRDefault="0017043F"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6F40BFE9" w14:textId="6B37260F" w:rsidR="0017043F" w:rsidRPr="00E34880" w:rsidRDefault="0017043F" w:rsidP="007A2D8F">
            <w:pPr>
              <w:spacing w:after="0" w:line="240" w:lineRule="auto"/>
              <w:rPr>
                <w:rFonts w:cs="Calibri"/>
                <w:color w:val="000000"/>
              </w:rPr>
            </w:pPr>
            <w:r>
              <w:rPr>
                <w:rFonts w:cs="Calibri"/>
                <w:color w:val="000000"/>
              </w:rPr>
              <w:t>76,573</w:t>
            </w:r>
          </w:p>
        </w:tc>
        <w:tc>
          <w:tcPr>
            <w:tcW w:w="1579" w:type="dxa"/>
            <w:tcBorders>
              <w:top w:val="nil"/>
              <w:left w:val="nil"/>
              <w:bottom w:val="single" w:sz="4" w:space="0" w:color="auto"/>
              <w:right w:val="single" w:sz="4" w:space="0" w:color="auto"/>
            </w:tcBorders>
            <w:shd w:val="clear" w:color="auto" w:fill="auto"/>
            <w:noWrap/>
            <w:vAlign w:val="bottom"/>
          </w:tcPr>
          <w:p w14:paraId="220F3B7E" w14:textId="1FD200EB" w:rsidR="0017043F"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3D6A0F57" w14:textId="007EE98A" w:rsidR="0017043F" w:rsidRPr="00E34880" w:rsidRDefault="0017043F" w:rsidP="007A2D8F">
            <w:pPr>
              <w:spacing w:after="0" w:line="240" w:lineRule="auto"/>
              <w:rPr>
                <w:rFonts w:cs="Calibri"/>
                <w:color w:val="000000"/>
              </w:rPr>
            </w:pPr>
            <w:r>
              <w:rPr>
                <w:rFonts w:cs="Calibri"/>
                <w:color w:val="000000"/>
              </w:rPr>
              <w:t>0</w:t>
            </w:r>
          </w:p>
        </w:tc>
      </w:tr>
      <w:tr w:rsidR="0017043F" w:rsidRPr="00E34880" w14:paraId="2BE0895B"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AA5AF0" w14:textId="77777777" w:rsidR="0017043F" w:rsidRPr="00E34880" w:rsidRDefault="0017043F"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456FAEDC" w14:textId="41D494A4" w:rsidR="0017043F" w:rsidRPr="00E34880" w:rsidRDefault="0017043F" w:rsidP="007A2D8F">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14:paraId="6894098F" w14:textId="5679EA2C" w:rsidR="0017043F"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123F9269" w14:textId="178FBE29" w:rsidR="0017043F" w:rsidRPr="00E34880" w:rsidRDefault="0017043F" w:rsidP="007A2D8F">
            <w:pPr>
              <w:spacing w:after="0" w:line="240" w:lineRule="auto"/>
              <w:rPr>
                <w:rFonts w:cs="Calibri"/>
                <w:color w:val="000000"/>
              </w:rPr>
            </w:pPr>
            <w:r>
              <w:rPr>
                <w:rFonts w:cs="Calibri"/>
                <w:color w:val="000000"/>
              </w:rPr>
              <w:t>0</w:t>
            </w:r>
          </w:p>
        </w:tc>
      </w:tr>
      <w:tr w:rsidR="0017043F" w:rsidRPr="00E34880" w14:paraId="427233A2"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023F46" w14:textId="77777777" w:rsidR="0017043F" w:rsidRPr="00E34880" w:rsidRDefault="0017043F" w:rsidP="007A2D8F">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51424AC1" w14:textId="22D88BD1" w:rsidR="0017043F" w:rsidRPr="00E34880" w:rsidRDefault="0017043F" w:rsidP="007A2D8F">
            <w:pPr>
              <w:spacing w:after="0" w:line="240" w:lineRule="auto"/>
              <w:rPr>
                <w:rFonts w:cs="Calibri"/>
                <w:color w:val="000000"/>
              </w:rPr>
            </w:pPr>
            <w:r>
              <w:rPr>
                <w:rFonts w:cs="Calibri"/>
                <w:color w:val="000000"/>
              </w:rPr>
              <w:t>6 min</w:t>
            </w:r>
          </w:p>
        </w:tc>
        <w:tc>
          <w:tcPr>
            <w:tcW w:w="1579" w:type="dxa"/>
            <w:tcBorders>
              <w:top w:val="nil"/>
              <w:left w:val="nil"/>
              <w:bottom w:val="single" w:sz="4" w:space="0" w:color="auto"/>
              <w:right w:val="single" w:sz="4" w:space="0" w:color="auto"/>
            </w:tcBorders>
            <w:shd w:val="clear" w:color="auto" w:fill="auto"/>
            <w:noWrap/>
            <w:vAlign w:val="bottom"/>
          </w:tcPr>
          <w:p w14:paraId="773A9E49" w14:textId="1E19852C" w:rsidR="0017043F"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1ED73DFF" w14:textId="06D43F5E" w:rsidR="0017043F" w:rsidRPr="00E34880" w:rsidRDefault="0017043F" w:rsidP="007A2D8F">
            <w:pPr>
              <w:spacing w:after="0" w:line="240" w:lineRule="auto"/>
              <w:rPr>
                <w:rFonts w:cs="Calibri"/>
                <w:color w:val="000000"/>
              </w:rPr>
            </w:pPr>
            <w:r>
              <w:rPr>
                <w:rFonts w:cs="Calibri"/>
                <w:color w:val="000000"/>
              </w:rPr>
              <w:t>0</w:t>
            </w:r>
          </w:p>
        </w:tc>
      </w:tr>
      <w:tr w:rsidR="0017043F" w:rsidRPr="00E34880" w14:paraId="3F146BDD"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339915" w14:textId="77777777" w:rsidR="0017043F" w:rsidRPr="00E34880" w:rsidRDefault="0017043F"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00847C32" w14:textId="5EFF394E" w:rsidR="0017043F" w:rsidRPr="00E34880" w:rsidRDefault="0017043F" w:rsidP="007A2D8F">
            <w:pPr>
              <w:spacing w:after="0" w:line="240" w:lineRule="auto"/>
              <w:rPr>
                <w:rFonts w:cs="Calibri"/>
                <w:color w:val="000000"/>
              </w:rPr>
            </w:pPr>
            <w:r>
              <w:rPr>
                <w:rFonts w:cs="Calibri"/>
                <w:color w:val="000000"/>
              </w:rPr>
              <w:t>76,573</w:t>
            </w:r>
          </w:p>
        </w:tc>
        <w:tc>
          <w:tcPr>
            <w:tcW w:w="1579" w:type="dxa"/>
            <w:tcBorders>
              <w:top w:val="nil"/>
              <w:left w:val="nil"/>
              <w:bottom w:val="single" w:sz="4" w:space="0" w:color="auto"/>
              <w:right w:val="single" w:sz="4" w:space="0" w:color="auto"/>
            </w:tcBorders>
            <w:shd w:val="clear" w:color="auto" w:fill="auto"/>
            <w:noWrap/>
            <w:vAlign w:val="bottom"/>
          </w:tcPr>
          <w:p w14:paraId="759D3B2A" w14:textId="5416A96C" w:rsidR="0017043F"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2BF3B285" w14:textId="2E0B6952" w:rsidR="0017043F" w:rsidRPr="00E34880" w:rsidRDefault="0017043F" w:rsidP="007A2D8F">
            <w:pPr>
              <w:spacing w:after="0" w:line="240" w:lineRule="auto"/>
              <w:rPr>
                <w:rFonts w:cs="Calibri"/>
                <w:color w:val="000000"/>
              </w:rPr>
            </w:pPr>
            <w:r>
              <w:rPr>
                <w:rFonts w:cs="Calibri"/>
                <w:color w:val="000000"/>
              </w:rPr>
              <w:t>0</w:t>
            </w:r>
          </w:p>
        </w:tc>
      </w:tr>
      <w:tr w:rsidR="0017043F" w:rsidRPr="00E34880" w14:paraId="44C10FF8" w14:textId="77777777" w:rsidTr="007A2D8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0D7AC512" w14:textId="77777777" w:rsidR="0017043F" w:rsidRPr="00E34880" w:rsidRDefault="0017043F" w:rsidP="007A2D8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39E6F777" w14:textId="26B0DDA3" w:rsidR="0017043F" w:rsidRPr="00E34880" w:rsidRDefault="0017043F" w:rsidP="007A2D8F">
            <w:pPr>
              <w:spacing w:after="0" w:line="240" w:lineRule="auto"/>
              <w:rPr>
                <w:rFonts w:cs="Calibri"/>
                <w:color w:val="000000"/>
              </w:rPr>
            </w:pPr>
            <w:r>
              <w:rPr>
                <w:rFonts w:cs="Calibri"/>
                <w:color w:val="000000"/>
              </w:rPr>
              <w:t>7,657.3 Hrs</w:t>
            </w:r>
          </w:p>
        </w:tc>
        <w:tc>
          <w:tcPr>
            <w:tcW w:w="1579" w:type="dxa"/>
            <w:tcBorders>
              <w:top w:val="nil"/>
              <w:left w:val="nil"/>
              <w:bottom w:val="single" w:sz="4" w:space="0" w:color="auto"/>
              <w:right w:val="single" w:sz="4" w:space="0" w:color="auto"/>
            </w:tcBorders>
            <w:shd w:val="clear" w:color="auto" w:fill="auto"/>
            <w:noWrap/>
            <w:vAlign w:val="bottom"/>
          </w:tcPr>
          <w:p w14:paraId="6CB06559" w14:textId="046E762B" w:rsidR="0017043F" w:rsidRPr="00E34880" w:rsidRDefault="0017043F"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462CEE5C" w14:textId="09521C11" w:rsidR="0017043F" w:rsidRPr="00E34880" w:rsidRDefault="0017043F" w:rsidP="007A2D8F">
            <w:pPr>
              <w:spacing w:after="0" w:line="240" w:lineRule="auto"/>
              <w:rPr>
                <w:rFonts w:cs="Calibri"/>
                <w:color w:val="000000"/>
              </w:rPr>
            </w:pPr>
            <w:r>
              <w:rPr>
                <w:rFonts w:cs="Calibri"/>
                <w:color w:val="000000"/>
              </w:rPr>
              <w:t>0</w:t>
            </w:r>
          </w:p>
        </w:tc>
      </w:tr>
    </w:tbl>
    <w:p w14:paraId="66749A2A" w14:textId="51EBE63F" w:rsidR="0017043F" w:rsidRDefault="0017043F" w:rsidP="00AE72A4">
      <w:pPr>
        <w:spacing w:after="0"/>
      </w:pPr>
    </w:p>
    <w:p w14:paraId="61ECEC94" w14:textId="593CE6F8" w:rsidR="0017043F" w:rsidRDefault="0017043F" w:rsidP="00AE72A4">
      <w:pPr>
        <w:spacing w:after="0"/>
      </w:pPr>
    </w:p>
    <w:tbl>
      <w:tblPr>
        <w:tblW w:w="6176" w:type="dxa"/>
        <w:tblLook w:val="04A0" w:firstRow="1" w:lastRow="0" w:firstColumn="1" w:lastColumn="0" w:noHBand="0" w:noVBand="1"/>
      </w:tblPr>
      <w:tblGrid>
        <w:gridCol w:w="1900"/>
        <w:gridCol w:w="1118"/>
        <w:gridCol w:w="1579"/>
        <w:gridCol w:w="1579"/>
      </w:tblGrid>
      <w:tr w:rsidR="003C423C" w:rsidRPr="00E34880" w14:paraId="1EA30556" w14:textId="086DEA8E" w:rsidTr="00241225">
        <w:trPr>
          <w:trHeight w:val="494"/>
        </w:trPr>
        <w:tc>
          <w:tcPr>
            <w:tcW w:w="6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6BCCF8" w14:textId="1716C7FC" w:rsidR="003C423C" w:rsidRPr="004B4FE2" w:rsidRDefault="003C423C" w:rsidP="007A2D8F">
            <w:pPr>
              <w:spacing w:after="0" w:line="240" w:lineRule="auto"/>
              <w:jc w:val="center"/>
              <w:rPr>
                <w:rFonts w:cs="Calibri"/>
                <w:b/>
                <w:bCs/>
                <w:color w:val="000000"/>
              </w:rPr>
            </w:pPr>
            <w:r>
              <w:t xml:space="preserve">IC 4: </w:t>
            </w:r>
            <w:r w:rsidR="00241225" w:rsidRPr="00241225">
              <w:t>Notice of Actual Construction or Alteration</w:t>
            </w:r>
            <w:r>
              <w:t xml:space="preserve"> - Paper</w:t>
            </w:r>
          </w:p>
        </w:tc>
      </w:tr>
      <w:tr w:rsidR="003C423C" w:rsidRPr="00E34880" w14:paraId="60041542" w14:textId="5CE5F2E7" w:rsidTr="00241225">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7367" w14:textId="77777777" w:rsidR="003C423C" w:rsidRPr="00E34880" w:rsidRDefault="003C423C"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5283B57" w14:textId="77777777" w:rsidR="003C423C" w:rsidRPr="00E34880" w:rsidRDefault="003C423C" w:rsidP="007A2D8F">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53795B6F" w14:textId="77777777" w:rsidR="003C423C" w:rsidRPr="00E34880" w:rsidRDefault="003C423C" w:rsidP="007A2D8F">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71B5A190" w14:textId="77777777" w:rsidR="003C423C" w:rsidRPr="00E34880" w:rsidRDefault="003C423C" w:rsidP="007A2D8F">
            <w:pPr>
              <w:spacing w:after="0" w:line="240" w:lineRule="auto"/>
              <w:rPr>
                <w:rFonts w:cs="Calibri"/>
                <w:b/>
                <w:bCs/>
                <w:color w:val="000000"/>
              </w:rPr>
            </w:pPr>
            <w:r>
              <w:rPr>
                <w:rFonts w:cs="Calibri"/>
                <w:b/>
                <w:bCs/>
                <w:color w:val="000000"/>
              </w:rPr>
              <w:t>Disclosure</w:t>
            </w:r>
          </w:p>
        </w:tc>
      </w:tr>
      <w:tr w:rsidR="003C423C" w:rsidRPr="00E34880" w14:paraId="544F04E6" w14:textId="4D5D7213" w:rsidTr="00241225">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7B0803D" w14:textId="77777777" w:rsidR="003C423C" w:rsidRPr="00E34880" w:rsidRDefault="003C423C"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69344FEB" w14:textId="314BBE69" w:rsidR="003C423C" w:rsidRPr="00E34880" w:rsidRDefault="003C423C" w:rsidP="007A2D8F">
            <w:pPr>
              <w:spacing w:after="0" w:line="240" w:lineRule="auto"/>
              <w:rPr>
                <w:rFonts w:cs="Calibri"/>
                <w:color w:val="000000"/>
              </w:rPr>
            </w:pPr>
            <w:r>
              <w:rPr>
                <w:rFonts w:cs="Calibri"/>
                <w:color w:val="000000"/>
              </w:rPr>
              <w:t>1,563</w:t>
            </w:r>
          </w:p>
        </w:tc>
        <w:tc>
          <w:tcPr>
            <w:tcW w:w="1579" w:type="dxa"/>
            <w:tcBorders>
              <w:top w:val="nil"/>
              <w:left w:val="nil"/>
              <w:bottom w:val="single" w:sz="4" w:space="0" w:color="auto"/>
              <w:right w:val="single" w:sz="4" w:space="0" w:color="auto"/>
            </w:tcBorders>
            <w:shd w:val="clear" w:color="auto" w:fill="auto"/>
            <w:noWrap/>
            <w:vAlign w:val="bottom"/>
          </w:tcPr>
          <w:p w14:paraId="16EAC736" w14:textId="6F10D6BA"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47E9181E" w14:textId="0D080FC8"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17785EA7" w14:textId="0D307DF1"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7BC8C3" w14:textId="77777777" w:rsidR="003C423C" w:rsidRPr="00E34880" w:rsidRDefault="003C423C"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05D1DF8C" w14:textId="135730E5" w:rsidR="003C423C" w:rsidRPr="00E34880" w:rsidRDefault="003C423C" w:rsidP="007A2D8F">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14:paraId="5F79B754" w14:textId="740A91A2"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B7AF791" w14:textId="020ECE2C"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10D1C2B4" w14:textId="2530AFF5"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D3F27F" w14:textId="77777777" w:rsidR="003C423C" w:rsidRPr="00E34880" w:rsidRDefault="003C423C" w:rsidP="007A2D8F">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010AFD6F" w14:textId="795BBED1" w:rsidR="003C423C" w:rsidRPr="00E34880" w:rsidRDefault="003C423C" w:rsidP="007A2D8F">
            <w:pPr>
              <w:spacing w:after="0" w:line="240" w:lineRule="auto"/>
              <w:rPr>
                <w:rFonts w:cs="Calibri"/>
                <w:color w:val="000000"/>
              </w:rPr>
            </w:pPr>
            <w:r>
              <w:rPr>
                <w:rFonts w:cs="Calibri"/>
                <w:color w:val="000000"/>
              </w:rPr>
              <w:t>15 min</w:t>
            </w:r>
          </w:p>
        </w:tc>
        <w:tc>
          <w:tcPr>
            <w:tcW w:w="1579" w:type="dxa"/>
            <w:tcBorders>
              <w:top w:val="nil"/>
              <w:left w:val="nil"/>
              <w:bottom w:val="single" w:sz="4" w:space="0" w:color="auto"/>
              <w:right w:val="single" w:sz="4" w:space="0" w:color="auto"/>
            </w:tcBorders>
            <w:shd w:val="clear" w:color="auto" w:fill="auto"/>
            <w:noWrap/>
            <w:vAlign w:val="bottom"/>
          </w:tcPr>
          <w:p w14:paraId="1DA93237" w14:textId="5481DBA0"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7EF825DE" w14:textId="4CD0D1D6"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6FAC7D55" w14:textId="0BAD7625"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A2737CD" w14:textId="77777777" w:rsidR="003C423C" w:rsidRPr="00E34880" w:rsidRDefault="003C423C"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2D948718" w14:textId="144D74B9" w:rsidR="003C423C" w:rsidRPr="00E34880" w:rsidRDefault="003C423C" w:rsidP="007A2D8F">
            <w:pPr>
              <w:spacing w:after="0" w:line="240" w:lineRule="auto"/>
              <w:rPr>
                <w:rFonts w:cs="Calibri"/>
                <w:color w:val="000000"/>
              </w:rPr>
            </w:pPr>
            <w:r>
              <w:rPr>
                <w:rFonts w:cs="Calibri"/>
                <w:color w:val="000000"/>
              </w:rPr>
              <w:t>1,563</w:t>
            </w:r>
          </w:p>
        </w:tc>
        <w:tc>
          <w:tcPr>
            <w:tcW w:w="1579" w:type="dxa"/>
            <w:tcBorders>
              <w:top w:val="nil"/>
              <w:left w:val="nil"/>
              <w:bottom w:val="single" w:sz="4" w:space="0" w:color="auto"/>
              <w:right w:val="single" w:sz="4" w:space="0" w:color="auto"/>
            </w:tcBorders>
            <w:shd w:val="clear" w:color="auto" w:fill="auto"/>
            <w:noWrap/>
            <w:vAlign w:val="bottom"/>
          </w:tcPr>
          <w:p w14:paraId="360F7278" w14:textId="14D378FF"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09A73BC4" w14:textId="52D83E09" w:rsidR="003C423C" w:rsidRPr="00E34880" w:rsidRDefault="003C423C" w:rsidP="007A2D8F">
            <w:pPr>
              <w:spacing w:after="0" w:line="240" w:lineRule="auto"/>
              <w:rPr>
                <w:rFonts w:cs="Calibri"/>
                <w:color w:val="000000"/>
              </w:rPr>
            </w:pPr>
            <w:r>
              <w:rPr>
                <w:rFonts w:cs="Calibri"/>
                <w:color w:val="000000"/>
              </w:rPr>
              <w:t>0</w:t>
            </w:r>
          </w:p>
        </w:tc>
      </w:tr>
      <w:tr w:rsidR="003C423C" w:rsidRPr="00E34880" w14:paraId="5A64A284" w14:textId="6DE9574C"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47510962" w14:textId="77777777" w:rsidR="003C423C" w:rsidRPr="00E34880" w:rsidRDefault="003C423C" w:rsidP="007A2D8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0AE1D6D6" w14:textId="41D6F8BA" w:rsidR="003C423C" w:rsidRPr="00E34880" w:rsidRDefault="003C423C" w:rsidP="007A2D8F">
            <w:pPr>
              <w:spacing w:after="0" w:line="240" w:lineRule="auto"/>
              <w:rPr>
                <w:rFonts w:cs="Calibri"/>
                <w:color w:val="000000"/>
              </w:rPr>
            </w:pPr>
            <w:r>
              <w:rPr>
                <w:rFonts w:cs="Calibri"/>
                <w:color w:val="000000"/>
              </w:rPr>
              <w:t>390.75 Hrs.</w:t>
            </w:r>
          </w:p>
        </w:tc>
        <w:tc>
          <w:tcPr>
            <w:tcW w:w="1579" w:type="dxa"/>
            <w:tcBorders>
              <w:top w:val="nil"/>
              <w:left w:val="nil"/>
              <w:bottom w:val="single" w:sz="4" w:space="0" w:color="auto"/>
              <w:right w:val="single" w:sz="4" w:space="0" w:color="auto"/>
            </w:tcBorders>
            <w:shd w:val="clear" w:color="auto" w:fill="auto"/>
            <w:noWrap/>
            <w:vAlign w:val="bottom"/>
          </w:tcPr>
          <w:p w14:paraId="14FB883E" w14:textId="0FD58962" w:rsidR="003C423C" w:rsidRPr="00E34880" w:rsidRDefault="003C423C" w:rsidP="007A2D8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10A6645B" w14:textId="0E0437AA" w:rsidR="003C423C" w:rsidRPr="00E34880" w:rsidRDefault="003C423C" w:rsidP="007A2D8F">
            <w:pPr>
              <w:spacing w:after="0" w:line="240" w:lineRule="auto"/>
              <w:rPr>
                <w:rFonts w:cs="Calibri"/>
                <w:color w:val="000000"/>
              </w:rPr>
            </w:pPr>
            <w:r>
              <w:rPr>
                <w:rFonts w:cs="Calibri"/>
                <w:color w:val="000000"/>
              </w:rPr>
              <w:t>0</w:t>
            </w:r>
          </w:p>
        </w:tc>
      </w:tr>
    </w:tbl>
    <w:p w14:paraId="1075A5F1" w14:textId="139D1C17" w:rsidR="0017043F" w:rsidRDefault="0017043F" w:rsidP="00AE72A4">
      <w:pPr>
        <w:spacing w:after="0"/>
      </w:pPr>
    </w:p>
    <w:p w14:paraId="0D4B6850" w14:textId="20ED8341" w:rsidR="00B854CA" w:rsidRDefault="00B854CA" w:rsidP="00AE72A4">
      <w:pPr>
        <w:spacing w:after="0"/>
      </w:pPr>
    </w:p>
    <w:tbl>
      <w:tblPr>
        <w:tblW w:w="6176" w:type="dxa"/>
        <w:tblLook w:val="04A0" w:firstRow="1" w:lastRow="0" w:firstColumn="1" w:lastColumn="0" w:noHBand="0" w:noVBand="1"/>
      </w:tblPr>
      <w:tblGrid>
        <w:gridCol w:w="1900"/>
        <w:gridCol w:w="1118"/>
        <w:gridCol w:w="1579"/>
        <w:gridCol w:w="1579"/>
      </w:tblGrid>
      <w:tr w:rsidR="00B854CA" w:rsidRPr="00E34880" w14:paraId="2A5B334B" w14:textId="77777777" w:rsidTr="005332AF">
        <w:trPr>
          <w:trHeight w:val="494"/>
        </w:trPr>
        <w:tc>
          <w:tcPr>
            <w:tcW w:w="6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29B3C42" w14:textId="77777777" w:rsidR="00B854CA" w:rsidRDefault="00B854CA" w:rsidP="00B854CA">
            <w:pPr>
              <w:spacing w:after="0" w:line="240" w:lineRule="auto"/>
              <w:jc w:val="center"/>
            </w:pPr>
            <w:r>
              <w:t xml:space="preserve">IC 5: Web Based Frequency Coordination Request (WEBFCR).- </w:t>
            </w:r>
          </w:p>
          <w:p w14:paraId="3C913997" w14:textId="3020BA63" w:rsidR="00B854CA" w:rsidRPr="00B854CA" w:rsidRDefault="00B854CA" w:rsidP="00B854CA">
            <w:pPr>
              <w:spacing w:after="0" w:line="240" w:lineRule="auto"/>
              <w:jc w:val="center"/>
              <w:rPr>
                <w:rFonts w:cs="Calibri"/>
                <w:b/>
                <w:bCs/>
                <w:color w:val="000000"/>
              </w:rPr>
            </w:pPr>
            <w:r w:rsidRPr="00B854CA">
              <w:rPr>
                <w:b/>
              </w:rPr>
              <w:t>See Note in Question 15</w:t>
            </w:r>
          </w:p>
        </w:tc>
      </w:tr>
      <w:tr w:rsidR="00B854CA" w:rsidRPr="00E34880" w14:paraId="3AF6604E" w14:textId="77777777" w:rsidTr="005332AF">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8B22" w14:textId="77777777" w:rsidR="00B854CA" w:rsidRPr="00E34880" w:rsidRDefault="00B854CA" w:rsidP="005332A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6A54463" w14:textId="77777777" w:rsidR="00B854CA" w:rsidRPr="00E34880" w:rsidRDefault="00B854CA" w:rsidP="005332AF">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2D3D43D0" w14:textId="77777777" w:rsidR="00B854CA" w:rsidRPr="00E34880" w:rsidRDefault="00B854CA" w:rsidP="005332AF">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225F3EBB" w14:textId="77777777" w:rsidR="00B854CA" w:rsidRPr="00E34880" w:rsidRDefault="00B854CA" w:rsidP="005332AF">
            <w:pPr>
              <w:spacing w:after="0" w:line="240" w:lineRule="auto"/>
              <w:rPr>
                <w:rFonts w:cs="Calibri"/>
                <w:b/>
                <w:bCs/>
                <w:color w:val="000000"/>
              </w:rPr>
            </w:pPr>
            <w:r>
              <w:rPr>
                <w:rFonts w:cs="Calibri"/>
                <w:b/>
                <w:bCs/>
                <w:color w:val="000000"/>
              </w:rPr>
              <w:t>Disclosure</w:t>
            </w:r>
          </w:p>
        </w:tc>
      </w:tr>
      <w:tr w:rsidR="00B854CA" w:rsidRPr="00E34880" w14:paraId="33A08124" w14:textId="77777777" w:rsidTr="005332AF">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D9580C" w14:textId="77777777" w:rsidR="00B854CA" w:rsidRPr="00E34880" w:rsidRDefault="00B854CA" w:rsidP="005332A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65137150" w14:textId="3DD8798B"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shd w:val="clear" w:color="auto" w:fill="auto"/>
            <w:noWrap/>
            <w:vAlign w:val="bottom"/>
          </w:tcPr>
          <w:p w14:paraId="35EF09AB" w14:textId="7777777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2E52A569" w14:textId="77777777" w:rsidR="00B854CA" w:rsidRPr="00E34880" w:rsidRDefault="00B854CA" w:rsidP="005332AF">
            <w:pPr>
              <w:spacing w:after="0" w:line="240" w:lineRule="auto"/>
              <w:rPr>
                <w:rFonts w:cs="Calibri"/>
                <w:color w:val="000000"/>
              </w:rPr>
            </w:pPr>
            <w:r>
              <w:rPr>
                <w:rFonts w:cs="Calibri"/>
                <w:color w:val="000000"/>
              </w:rPr>
              <w:t>0</w:t>
            </w:r>
          </w:p>
        </w:tc>
      </w:tr>
      <w:tr w:rsidR="00B854CA" w:rsidRPr="00E34880" w14:paraId="383F5957" w14:textId="77777777" w:rsidTr="005332A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870D4F" w14:textId="77777777" w:rsidR="00B854CA" w:rsidRPr="00E34880" w:rsidRDefault="00B854CA" w:rsidP="005332A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6B165142" w14:textId="5783D9A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shd w:val="clear" w:color="auto" w:fill="auto"/>
            <w:noWrap/>
            <w:vAlign w:val="bottom"/>
          </w:tcPr>
          <w:p w14:paraId="52384EB5" w14:textId="7777777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53047CD" w14:textId="77777777" w:rsidR="00B854CA" w:rsidRPr="00E34880" w:rsidRDefault="00B854CA" w:rsidP="005332AF">
            <w:pPr>
              <w:spacing w:after="0" w:line="240" w:lineRule="auto"/>
              <w:rPr>
                <w:rFonts w:cs="Calibri"/>
                <w:color w:val="000000"/>
              </w:rPr>
            </w:pPr>
            <w:r>
              <w:rPr>
                <w:rFonts w:cs="Calibri"/>
                <w:color w:val="000000"/>
              </w:rPr>
              <w:t>0</w:t>
            </w:r>
          </w:p>
        </w:tc>
      </w:tr>
      <w:tr w:rsidR="00B854CA" w:rsidRPr="00E34880" w14:paraId="37C03E07" w14:textId="77777777" w:rsidTr="005332A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33E96" w14:textId="77777777" w:rsidR="00B854CA" w:rsidRPr="00E34880" w:rsidRDefault="00B854CA" w:rsidP="005332AF">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2194F47C" w14:textId="63FC3EE6"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shd w:val="clear" w:color="auto" w:fill="auto"/>
            <w:noWrap/>
            <w:vAlign w:val="bottom"/>
          </w:tcPr>
          <w:p w14:paraId="6A73F36A" w14:textId="7777777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7D4E1673" w14:textId="77777777" w:rsidR="00B854CA" w:rsidRPr="00E34880" w:rsidRDefault="00B854CA" w:rsidP="005332AF">
            <w:pPr>
              <w:spacing w:after="0" w:line="240" w:lineRule="auto"/>
              <w:rPr>
                <w:rFonts w:cs="Calibri"/>
                <w:color w:val="000000"/>
              </w:rPr>
            </w:pPr>
            <w:r>
              <w:rPr>
                <w:rFonts w:cs="Calibri"/>
                <w:color w:val="000000"/>
              </w:rPr>
              <w:t>0</w:t>
            </w:r>
          </w:p>
        </w:tc>
      </w:tr>
      <w:tr w:rsidR="00B854CA" w:rsidRPr="00E34880" w14:paraId="14B5CA91" w14:textId="77777777" w:rsidTr="005332A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185CF2" w14:textId="77777777" w:rsidR="00B854CA" w:rsidRPr="00E34880" w:rsidRDefault="00B854CA" w:rsidP="005332A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72B297E9" w14:textId="38D14719"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shd w:val="clear" w:color="auto" w:fill="auto"/>
            <w:noWrap/>
            <w:vAlign w:val="bottom"/>
          </w:tcPr>
          <w:p w14:paraId="487ACA58" w14:textId="7777777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29B15FD2" w14:textId="77777777" w:rsidR="00B854CA" w:rsidRPr="00E34880" w:rsidRDefault="00B854CA" w:rsidP="005332AF">
            <w:pPr>
              <w:spacing w:after="0" w:line="240" w:lineRule="auto"/>
              <w:rPr>
                <w:rFonts w:cs="Calibri"/>
                <w:color w:val="000000"/>
              </w:rPr>
            </w:pPr>
            <w:r>
              <w:rPr>
                <w:rFonts w:cs="Calibri"/>
                <w:color w:val="000000"/>
              </w:rPr>
              <w:t>0</w:t>
            </w:r>
          </w:p>
        </w:tc>
      </w:tr>
      <w:tr w:rsidR="00B854CA" w:rsidRPr="00E34880" w14:paraId="6F51A6BF" w14:textId="77777777" w:rsidTr="005332AF">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1D28D6E6" w14:textId="77777777" w:rsidR="00B854CA" w:rsidRPr="00E34880" w:rsidRDefault="00B854CA" w:rsidP="005332A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42C8EE33" w14:textId="32FB84CA"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shd w:val="clear" w:color="auto" w:fill="auto"/>
            <w:noWrap/>
            <w:vAlign w:val="bottom"/>
          </w:tcPr>
          <w:p w14:paraId="316700A8" w14:textId="77777777" w:rsidR="00B854CA" w:rsidRPr="00E34880" w:rsidRDefault="00B854CA" w:rsidP="005332AF">
            <w:pPr>
              <w:spacing w:after="0" w:line="240" w:lineRule="auto"/>
              <w:rPr>
                <w:rFonts w:cs="Calibri"/>
                <w:color w:val="000000"/>
              </w:rPr>
            </w:pPr>
            <w:r>
              <w:rPr>
                <w:rFonts w:cs="Calibri"/>
                <w:color w:val="000000"/>
              </w:rPr>
              <w:t>0</w:t>
            </w:r>
          </w:p>
        </w:tc>
        <w:tc>
          <w:tcPr>
            <w:tcW w:w="1579" w:type="dxa"/>
            <w:tcBorders>
              <w:top w:val="nil"/>
              <w:left w:val="nil"/>
              <w:bottom w:val="single" w:sz="4" w:space="0" w:color="auto"/>
              <w:right w:val="single" w:sz="4" w:space="0" w:color="auto"/>
            </w:tcBorders>
          </w:tcPr>
          <w:p w14:paraId="5790F69C" w14:textId="77777777" w:rsidR="00B854CA" w:rsidRPr="00E34880" w:rsidRDefault="00B854CA" w:rsidP="005332AF">
            <w:pPr>
              <w:spacing w:after="0" w:line="240" w:lineRule="auto"/>
              <w:rPr>
                <w:rFonts w:cs="Calibri"/>
                <w:color w:val="000000"/>
              </w:rPr>
            </w:pPr>
            <w:r>
              <w:rPr>
                <w:rFonts w:cs="Calibri"/>
                <w:color w:val="000000"/>
              </w:rPr>
              <w:t>0</w:t>
            </w:r>
          </w:p>
        </w:tc>
      </w:tr>
    </w:tbl>
    <w:p w14:paraId="2A76D2B1" w14:textId="77777777" w:rsidR="00B854CA" w:rsidRDefault="00B854CA" w:rsidP="00B854CA">
      <w:pPr>
        <w:spacing w:after="0"/>
      </w:pPr>
    </w:p>
    <w:p w14:paraId="52D1254F" w14:textId="77777777" w:rsidR="00B854CA" w:rsidRDefault="00B854CA" w:rsidP="00AE72A4">
      <w:pPr>
        <w:spacing w:after="0"/>
      </w:pPr>
    </w:p>
    <w:p w14:paraId="27D033DD" w14:textId="77777777" w:rsidR="00012904" w:rsidRDefault="00012904" w:rsidP="00AE72A4">
      <w:pPr>
        <w:spacing w:after="0"/>
      </w:pPr>
    </w:p>
    <w:p w14:paraId="1F3DADB1" w14:textId="2994B642" w:rsidR="00012904" w:rsidRPr="003807CE" w:rsidRDefault="00012904" w:rsidP="00012904">
      <w:pPr>
        <w:spacing w:after="0"/>
        <w:jc w:val="center"/>
        <w:rPr>
          <w:b/>
        </w:rPr>
      </w:pPr>
      <w:r w:rsidRPr="003807CE">
        <w:rPr>
          <w:b/>
        </w:rPr>
        <w:t>Table</w:t>
      </w:r>
      <w:r>
        <w:rPr>
          <w:b/>
        </w:rPr>
        <w:t xml:space="preserve"> 3 – Summary of Reporting, Recordkeeping, and Disclosure</w:t>
      </w:r>
    </w:p>
    <w:tbl>
      <w:tblPr>
        <w:tblW w:w="6203" w:type="dxa"/>
        <w:jc w:val="center"/>
        <w:tblLook w:val="04A0" w:firstRow="1" w:lastRow="0" w:firstColumn="1" w:lastColumn="0" w:noHBand="0" w:noVBand="1"/>
      </w:tblPr>
      <w:tblGrid>
        <w:gridCol w:w="1900"/>
        <w:gridCol w:w="1497"/>
        <w:gridCol w:w="1650"/>
        <w:gridCol w:w="1156"/>
      </w:tblGrid>
      <w:tr w:rsidR="000C24D1" w:rsidRPr="00E34880" w14:paraId="58D682D3" w14:textId="77777777" w:rsidTr="00012904">
        <w:trPr>
          <w:trHeight w:val="63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BAEE" w14:textId="4920C02B" w:rsidR="000C24D1" w:rsidRPr="00E34880" w:rsidRDefault="000C24D1" w:rsidP="00012904">
            <w:pPr>
              <w:spacing w:after="0" w:line="240" w:lineRule="auto"/>
              <w:jc w:val="center"/>
              <w:rPr>
                <w:rFonts w:cs="Calibri"/>
                <w:color w:val="000000"/>
              </w:rPr>
            </w:pPr>
            <w:r>
              <w:rPr>
                <w:rFonts w:cs="Calibri"/>
                <w:color w:val="000000"/>
              </w:rPr>
              <w:t>Summary (Annual numbers)</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4040FE8C" w14:textId="77777777" w:rsidR="000C24D1" w:rsidRPr="00E34880" w:rsidRDefault="000C24D1" w:rsidP="00D74DC2">
            <w:pPr>
              <w:spacing w:after="0" w:line="240" w:lineRule="auto"/>
              <w:rPr>
                <w:rFonts w:cs="Calibri"/>
                <w:b/>
                <w:bCs/>
                <w:color w:val="000000"/>
              </w:rPr>
            </w:pPr>
            <w:r w:rsidRPr="00E34880">
              <w:rPr>
                <w:rFonts w:cs="Calibri"/>
                <w:b/>
                <w:bCs/>
                <w:color w:val="000000"/>
              </w:rPr>
              <w:t>Reporting</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87222A5" w14:textId="77777777" w:rsidR="000C24D1" w:rsidRPr="00E34880" w:rsidRDefault="000C24D1" w:rsidP="00D74DC2">
            <w:pPr>
              <w:spacing w:after="0" w:line="240" w:lineRule="auto"/>
              <w:rPr>
                <w:rFonts w:cs="Calibri"/>
                <w:b/>
                <w:bCs/>
                <w:color w:val="000000"/>
              </w:rPr>
            </w:pPr>
            <w:r w:rsidRPr="00E34880">
              <w:rPr>
                <w:rFonts w:cs="Calibri"/>
                <w:b/>
                <w:bCs/>
                <w:color w:val="000000"/>
              </w:rPr>
              <w:t>Recordkeeping</w:t>
            </w:r>
            <w:r w:rsidR="00D841DF">
              <w:rPr>
                <w:rStyle w:val="FootnoteReference"/>
                <w:rFonts w:cs="Calibri"/>
                <w:b/>
                <w:bCs/>
                <w:color w:val="000000"/>
              </w:rPr>
              <w:footnoteReference w:id="1"/>
            </w:r>
          </w:p>
        </w:tc>
        <w:tc>
          <w:tcPr>
            <w:tcW w:w="1156" w:type="dxa"/>
            <w:tcBorders>
              <w:top w:val="single" w:sz="4" w:space="0" w:color="auto"/>
              <w:left w:val="nil"/>
              <w:bottom w:val="single" w:sz="4" w:space="0" w:color="auto"/>
              <w:right w:val="single" w:sz="4" w:space="0" w:color="auto"/>
            </w:tcBorders>
            <w:vAlign w:val="bottom"/>
          </w:tcPr>
          <w:p w14:paraId="6DA7C8FD" w14:textId="77777777" w:rsidR="000C24D1" w:rsidRPr="00E34880" w:rsidRDefault="000C24D1" w:rsidP="00D74DC2">
            <w:pPr>
              <w:spacing w:after="0" w:line="240" w:lineRule="auto"/>
              <w:rPr>
                <w:rFonts w:cs="Calibri"/>
                <w:b/>
                <w:bCs/>
                <w:color w:val="000000"/>
              </w:rPr>
            </w:pPr>
            <w:r>
              <w:rPr>
                <w:rFonts w:cs="Calibri"/>
                <w:b/>
                <w:bCs/>
                <w:color w:val="000000"/>
              </w:rPr>
              <w:t>Disclosure</w:t>
            </w:r>
          </w:p>
        </w:tc>
      </w:tr>
      <w:tr w:rsidR="000C24D1" w:rsidRPr="00E34880" w14:paraId="31280C4F" w14:textId="77777777" w:rsidTr="00012904">
        <w:trPr>
          <w:trHeight w:val="465"/>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65CEAA" w14:textId="77777777" w:rsidR="000C24D1" w:rsidRPr="00E34880" w:rsidRDefault="000C24D1" w:rsidP="00D74DC2">
            <w:pPr>
              <w:spacing w:after="0" w:line="240" w:lineRule="auto"/>
              <w:rPr>
                <w:rFonts w:cs="Calibri"/>
                <w:b/>
                <w:bCs/>
                <w:color w:val="000000"/>
              </w:rPr>
            </w:pPr>
            <w:r w:rsidRPr="00E34880">
              <w:rPr>
                <w:rFonts w:cs="Calibri"/>
                <w:b/>
                <w:bCs/>
                <w:color w:val="000000"/>
              </w:rPr>
              <w:t># of Respondents</w:t>
            </w:r>
          </w:p>
        </w:tc>
        <w:tc>
          <w:tcPr>
            <w:tcW w:w="1497" w:type="dxa"/>
            <w:tcBorders>
              <w:top w:val="nil"/>
              <w:left w:val="nil"/>
              <w:bottom w:val="single" w:sz="4" w:space="0" w:color="auto"/>
              <w:right w:val="single" w:sz="4" w:space="0" w:color="auto"/>
            </w:tcBorders>
            <w:shd w:val="clear" w:color="auto" w:fill="auto"/>
            <w:noWrap/>
            <w:vAlign w:val="bottom"/>
          </w:tcPr>
          <w:p w14:paraId="34B62CD2" w14:textId="4A17D6B3" w:rsidR="000C24D1" w:rsidRPr="00E34880" w:rsidRDefault="00D73AD6" w:rsidP="00D74DC2">
            <w:pPr>
              <w:spacing w:after="0" w:line="240" w:lineRule="auto"/>
              <w:rPr>
                <w:rFonts w:cs="Calibri"/>
                <w:color w:val="000000"/>
              </w:rPr>
            </w:pPr>
            <w:r>
              <w:rPr>
                <w:rFonts w:cs="Calibri"/>
                <w:color w:val="000000"/>
              </w:rPr>
              <w:t>280,298</w:t>
            </w:r>
            <w:r>
              <w:rPr>
                <w:rStyle w:val="FootnoteReference"/>
                <w:rFonts w:cs="Calibri"/>
                <w:color w:val="000000"/>
              </w:rPr>
              <w:footnoteReference w:id="2"/>
            </w:r>
          </w:p>
        </w:tc>
        <w:tc>
          <w:tcPr>
            <w:tcW w:w="1650" w:type="dxa"/>
            <w:tcBorders>
              <w:top w:val="nil"/>
              <w:left w:val="nil"/>
              <w:bottom w:val="single" w:sz="4" w:space="0" w:color="auto"/>
              <w:right w:val="single" w:sz="4" w:space="0" w:color="auto"/>
            </w:tcBorders>
            <w:shd w:val="clear" w:color="auto" w:fill="auto"/>
            <w:noWrap/>
            <w:vAlign w:val="bottom"/>
          </w:tcPr>
          <w:p w14:paraId="4BE23EB1" w14:textId="77777777" w:rsidR="000C24D1" w:rsidRPr="00E34880" w:rsidRDefault="00D841DF"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418BF44D" w14:textId="581E0881" w:rsidR="00012904" w:rsidRPr="00E34880" w:rsidRDefault="00012904" w:rsidP="00D74DC2">
            <w:pPr>
              <w:spacing w:after="0" w:line="240" w:lineRule="auto"/>
              <w:rPr>
                <w:rFonts w:cs="Calibri"/>
                <w:color w:val="000000"/>
              </w:rPr>
            </w:pPr>
            <w:r>
              <w:rPr>
                <w:rFonts w:cs="Calibri"/>
                <w:color w:val="000000"/>
              </w:rPr>
              <w:t>0</w:t>
            </w:r>
          </w:p>
        </w:tc>
      </w:tr>
      <w:tr w:rsidR="000C24D1" w:rsidRPr="00E34880" w14:paraId="5C7F9EF4" w14:textId="77777777" w:rsidTr="00012904">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6D0079" w14:textId="77777777" w:rsidR="000C24D1" w:rsidRPr="00E34880" w:rsidRDefault="000C24D1" w:rsidP="00D74DC2">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497" w:type="dxa"/>
            <w:tcBorders>
              <w:top w:val="nil"/>
              <w:left w:val="nil"/>
              <w:bottom w:val="single" w:sz="4" w:space="0" w:color="auto"/>
              <w:right w:val="single" w:sz="4" w:space="0" w:color="auto"/>
            </w:tcBorders>
            <w:shd w:val="clear" w:color="auto" w:fill="auto"/>
            <w:noWrap/>
            <w:vAlign w:val="bottom"/>
          </w:tcPr>
          <w:p w14:paraId="38B810A0" w14:textId="45690A45" w:rsidR="000C24D1" w:rsidRPr="00E34880" w:rsidRDefault="00D73AD6" w:rsidP="00D74DC2">
            <w:pPr>
              <w:spacing w:after="0" w:line="240" w:lineRule="auto"/>
              <w:rPr>
                <w:rFonts w:cs="Calibri"/>
                <w:color w:val="000000"/>
              </w:rPr>
            </w:pPr>
            <w:r>
              <w:rPr>
                <w:rFonts w:cs="Calibri"/>
                <w:color w:val="000000"/>
              </w:rPr>
              <w:t>1</w:t>
            </w:r>
          </w:p>
        </w:tc>
        <w:tc>
          <w:tcPr>
            <w:tcW w:w="1650" w:type="dxa"/>
            <w:tcBorders>
              <w:top w:val="nil"/>
              <w:left w:val="nil"/>
              <w:bottom w:val="single" w:sz="4" w:space="0" w:color="auto"/>
              <w:right w:val="single" w:sz="4" w:space="0" w:color="auto"/>
            </w:tcBorders>
            <w:shd w:val="clear" w:color="auto" w:fill="auto"/>
            <w:noWrap/>
            <w:vAlign w:val="bottom"/>
          </w:tcPr>
          <w:p w14:paraId="0862AED5" w14:textId="77777777" w:rsidR="000C24D1" w:rsidRPr="00E34880" w:rsidRDefault="00D841DF"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4CD9D9A6" w14:textId="133913EF" w:rsidR="000C24D1" w:rsidRPr="00E34880" w:rsidRDefault="00012904" w:rsidP="00D74DC2">
            <w:pPr>
              <w:spacing w:after="0" w:line="240" w:lineRule="auto"/>
              <w:rPr>
                <w:rFonts w:cs="Calibri"/>
                <w:color w:val="000000"/>
              </w:rPr>
            </w:pPr>
            <w:r>
              <w:rPr>
                <w:rFonts w:cs="Calibri"/>
                <w:color w:val="000000"/>
              </w:rPr>
              <w:t>0</w:t>
            </w:r>
          </w:p>
        </w:tc>
      </w:tr>
      <w:tr w:rsidR="000C24D1" w:rsidRPr="00E34880" w14:paraId="0901CB85" w14:textId="77777777" w:rsidTr="00012904">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701D4D4" w14:textId="77777777" w:rsidR="000C24D1" w:rsidRPr="00E34880" w:rsidRDefault="000C24D1" w:rsidP="00D74DC2">
            <w:pPr>
              <w:spacing w:after="0" w:line="240" w:lineRule="auto"/>
              <w:rPr>
                <w:rFonts w:cs="Calibri"/>
                <w:b/>
                <w:bCs/>
                <w:color w:val="000000"/>
              </w:rPr>
            </w:pPr>
            <w:r w:rsidRPr="00E34880">
              <w:rPr>
                <w:rFonts w:cs="Calibri"/>
                <w:b/>
                <w:bCs/>
                <w:color w:val="000000"/>
              </w:rPr>
              <w:t>Time per Response</w:t>
            </w:r>
          </w:p>
        </w:tc>
        <w:tc>
          <w:tcPr>
            <w:tcW w:w="1497" w:type="dxa"/>
            <w:tcBorders>
              <w:top w:val="nil"/>
              <w:left w:val="nil"/>
              <w:bottom w:val="single" w:sz="4" w:space="0" w:color="auto"/>
              <w:right w:val="single" w:sz="4" w:space="0" w:color="auto"/>
            </w:tcBorders>
            <w:shd w:val="clear" w:color="auto" w:fill="auto"/>
            <w:noWrap/>
            <w:vAlign w:val="bottom"/>
          </w:tcPr>
          <w:p w14:paraId="0C4E88DC" w14:textId="6002CFCF" w:rsidR="00D73AD6" w:rsidRPr="00E34880" w:rsidRDefault="00D73AD6" w:rsidP="00D841DF">
            <w:pPr>
              <w:spacing w:after="0" w:line="240" w:lineRule="auto"/>
              <w:rPr>
                <w:rFonts w:cs="Calibri"/>
                <w:color w:val="000000"/>
              </w:rPr>
            </w:pPr>
            <w:r>
              <w:rPr>
                <w:rFonts w:cs="Calibri"/>
                <w:color w:val="000000"/>
              </w:rPr>
              <w:t>.2</w:t>
            </w:r>
            <w:r w:rsidR="005B4A25">
              <w:rPr>
                <w:rFonts w:cs="Calibri"/>
                <w:color w:val="000000"/>
              </w:rPr>
              <w:t>3</w:t>
            </w:r>
            <w:r>
              <w:rPr>
                <w:rFonts w:cs="Calibri"/>
                <w:color w:val="000000"/>
              </w:rPr>
              <w:t xml:space="preserve"> </w:t>
            </w:r>
            <w:r w:rsidR="0076413E">
              <w:rPr>
                <w:rFonts w:cs="Calibri"/>
                <w:color w:val="000000"/>
              </w:rPr>
              <w:t>hrs.</w:t>
            </w:r>
            <w:r w:rsidR="005B4A25">
              <w:rPr>
                <w:rFonts w:cs="Calibri"/>
                <w:color w:val="000000"/>
              </w:rPr>
              <w:t xml:space="preserve"> (avg)</w:t>
            </w:r>
          </w:p>
        </w:tc>
        <w:tc>
          <w:tcPr>
            <w:tcW w:w="1650" w:type="dxa"/>
            <w:tcBorders>
              <w:top w:val="nil"/>
              <w:left w:val="nil"/>
              <w:bottom w:val="single" w:sz="4" w:space="0" w:color="auto"/>
              <w:right w:val="single" w:sz="4" w:space="0" w:color="auto"/>
            </w:tcBorders>
            <w:shd w:val="clear" w:color="auto" w:fill="auto"/>
            <w:noWrap/>
            <w:vAlign w:val="bottom"/>
          </w:tcPr>
          <w:p w14:paraId="3BE50A1B" w14:textId="77777777" w:rsidR="000C24D1" w:rsidRPr="00E34880" w:rsidRDefault="00960420"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5CC191C3" w14:textId="0FBE6DDA" w:rsidR="000C24D1" w:rsidRPr="00E34880" w:rsidRDefault="00012904" w:rsidP="00D74DC2">
            <w:pPr>
              <w:spacing w:after="0" w:line="240" w:lineRule="auto"/>
              <w:rPr>
                <w:rFonts w:cs="Calibri"/>
                <w:color w:val="000000"/>
              </w:rPr>
            </w:pPr>
            <w:r>
              <w:rPr>
                <w:rFonts w:cs="Calibri"/>
                <w:color w:val="000000"/>
              </w:rPr>
              <w:t>0</w:t>
            </w:r>
          </w:p>
        </w:tc>
      </w:tr>
      <w:tr w:rsidR="000C24D1" w:rsidRPr="00E34880" w14:paraId="221F7C4F" w14:textId="77777777" w:rsidTr="00012904">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E97374" w14:textId="77777777" w:rsidR="000C24D1" w:rsidRPr="00E34880" w:rsidRDefault="000C24D1" w:rsidP="00D74DC2">
            <w:pPr>
              <w:spacing w:after="0" w:line="240" w:lineRule="auto"/>
              <w:rPr>
                <w:rFonts w:cs="Calibri"/>
                <w:b/>
                <w:bCs/>
                <w:color w:val="000000"/>
              </w:rPr>
            </w:pPr>
            <w:r>
              <w:rPr>
                <w:rFonts w:cs="Calibri"/>
                <w:b/>
                <w:bCs/>
                <w:color w:val="000000"/>
              </w:rPr>
              <w:t>Total # of responses</w:t>
            </w:r>
          </w:p>
        </w:tc>
        <w:tc>
          <w:tcPr>
            <w:tcW w:w="1497" w:type="dxa"/>
            <w:tcBorders>
              <w:top w:val="nil"/>
              <w:left w:val="nil"/>
              <w:bottom w:val="single" w:sz="4" w:space="0" w:color="auto"/>
              <w:right w:val="single" w:sz="4" w:space="0" w:color="auto"/>
            </w:tcBorders>
            <w:shd w:val="clear" w:color="auto" w:fill="auto"/>
            <w:noWrap/>
            <w:vAlign w:val="bottom"/>
          </w:tcPr>
          <w:p w14:paraId="2AFEDD38" w14:textId="4486E221" w:rsidR="000C24D1" w:rsidRPr="00E34880" w:rsidRDefault="00D73AD6" w:rsidP="00D74DC2">
            <w:pPr>
              <w:spacing w:after="0" w:line="240" w:lineRule="auto"/>
              <w:rPr>
                <w:rFonts w:cs="Calibri"/>
                <w:color w:val="000000"/>
              </w:rPr>
            </w:pPr>
            <w:r>
              <w:rPr>
                <w:rFonts w:cs="Calibri"/>
                <w:color w:val="000000"/>
              </w:rPr>
              <w:t>280,298</w:t>
            </w:r>
          </w:p>
        </w:tc>
        <w:tc>
          <w:tcPr>
            <w:tcW w:w="1650" w:type="dxa"/>
            <w:tcBorders>
              <w:top w:val="nil"/>
              <w:left w:val="nil"/>
              <w:bottom w:val="single" w:sz="4" w:space="0" w:color="auto"/>
              <w:right w:val="single" w:sz="4" w:space="0" w:color="auto"/>
            </w:tcBorders>
            <w:shd w:val="clear" w:color="auto" w:fill="auto"/>
            <w:noWrap/>
            <w:vAlign w:val="bottom"/>
          </w:tcPr>
          <w:p w14:paraId="0E796A0A" w14:textId="77777777" w:rsidR="000C24D1" w:rsidRPr="00E34880" w:rsidRDefault="00960420"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62E5BA0D" w14:textId="1788F640" w:rsidR="000C24D1" w:rsidRPr="00E34880" w:rsidRDefault="00012904" w:rsidP="00D74DC2">
            <w:pPr>
              <w:spacing w:after="0" w:line="240" w:lineRule="auto"/>
              <w:rPr>
                <w:rFonts w:cs="Calibri"/>
                <w:color w:val="000000"/>
              </w:rPr>
            </w:pPr>
            <w:r>
              <w:rPr>
                <w:rFonts w:cs="Calibri"/>
                <w:color w:val="000000"/>
              </w:rPr>
              <w:t>0</w:t>
            </w:r>
          </w:p>
        </w:tc>
      </w:tr>
      <w:tr w:rsidR="00960420" w:rsidRPr="00E34880" w14:paraId="1A4E022D" w14:textId="77777777" w:rsidTr="00012904">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CF0B8A5" w14:textId="77777777" w:rsidR="00960420" w:rsidRDefault="00960420" w:rsidP="00D74DC2">
            <w:pPr>
              <w:spacing w:after="0" w:line="240" w:lineRule="auto"/>
              <w:rPr>
                <w:rFonts w:cs="Calibri"/>
                <w:b/>
                <w:bCs/>
                <w:color w:val="000000"/>
              </w:rPr>
            </w:pPr>
            <w:r>
              <w:rPr>
                <w:rFonts w:cs="Calibri"/>
                <w:b/>
                <w:bCs/>
                <w:color w:val="000000"/>
              </w:rPr>
              <w:t>Total Burden (Hours)</w:t>
            </w:r>
          </w:p>
        </w:tc>
        <w:tc>
          <w:tcPr>
            <w:tcW w:w="1497" w:type="dxa"/>
            <w:tcBorders>
              <w:top w:val="nil"/>
              <w:left w:val="nil"/>
              <w:bottom w:val="single" w:sz="4" w:space="0" w:color="auto"/>
              <w:right w:val="single" w:sz="4" w:space="0" w:color="auto"/>
            </w:tcBorders>
            <w:shd w:val="clear" w:color="auto" w:fill="auto"/>
            <w:noWrap/>
            <w:vAlign w:val="bottom"/>
          </w:tcPr>
          <w:p w14:paraId="29E85288" w14:textId="66EB258E" w:rsidR="00012904" w:rsidRPr="00E34880" w:rsidRDefault="005B4A25" w:rsidP="00012904">
            <w:pPr>
              <w:spacing w:after="0" w:line="240" w:lineRule="auto"/>
              <w:rPr>
                <w:rFonts w:cs="Calibri"/>
                <w:color w:val="000000"/>
              </w:rPr>
            </w:pPr>
            <w:r>
              <w:rPr>
                <w:rFonts w:cs="Calibri"/>
                <w:color w:val="000000"/>
              </w:rPr>
              <w:t>58,858.08</w:t>
            </w:r>
          </w:p>
        </w:tc>
        <w:tc>
          <w:tcPr>
            <w:tcW w:w="1650" w:type="dxa"/>
            <w:tcBorders>
              <w:top w:val="nil"/>
              <w:left w:val="nil"/>
              <w:bottom w:val="single" w:sz="4" w:space="0" w:color="auto"/>
              <w:right w:val="single" w:sz="4" w:space="0" w:color="auto"/>
            </w:tcBorders>
            <w:shd w:val="clear" w:color="auto" w:fill="auto"/>
            <w:noWrap/>
            <w:vAlign w:val="bottom"/>
          </w:tcPr>
          <w:p w14:paraId="50B2F4E9" w14:textId="77777777" w:rsidR="00960420" w:rsidRPr="00E34880" w:rsidRDefault="00D841DF"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7C6A6FC0" w14:textId="7C5BB59C" w:rsidR="00960420" w:rsidRPr="00E34880" w:rsidRDefault="00012904" w:rsidP="00D74DC2">
            <w:pPr>
              <w:spacing w:after="0" w:line="240" w:lineRule="auto"/>
              <w:rPr>
                <w:rFonts w:cs="Calibri"/>
                <w:color w:val="000000"/>
              </w:rPr>
            </w:pPr>
            <w:r>
              <w:rPr>
                <w:rFonts w:cs="Calibri"/>
                <w:color w:val="000000"/>
              </w:rPr>
              <w:t>0</w:t>
            </w:r>
          </w:p>
        </w:tc>
      </w:tr>
      <w:tr w:rsidR="000C24D1" w:rsidRPr="00E34880" w14:paraId="0905A2B6" w14:textId="77777777" w:rsidTr="00012904">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3DB641B4" w14:textId="77777777" w:rsidR="000C24D1" w:rsidRPr="00E34880" w:rsidRDefault="00960420" w:rsidP="00D74DC2">
            <w:pPr>
              <w:spacing w:after="0" w:line="240" w:lineRule="auto"/>
              <w:rPr>
                <w:rFonts w:cs="Calibri"/>
                <w:b/>
                <w:bCs/>
                <w:color w:val="000000"/>
              </w:rPr>
            </w:pPr>
            <w:r>
              <w:rPr>
                <w:rFonts w:cs="Calibri"/>
                <w:b/>
                <w:bCs/>
                <w:color w:val="000000"/>
              </w:rPr>
              <w:t>Labor Cost x Hours</w:t>
            </w:r>
          </w:p>
        </w:tc>
        <w:tc>
          <w:tcPr>
            <w:tcW w:w="1497" w:type="dxa"/>
            <w:tcBorders>
              <w:top w:val="nil"/>
              <w:left w:val="nil"/>
              <w:bottom w:val="single" w:sz="4" w:space="0" w:color="auto"/>
              <w:right w:val="single" w:sz="4" w:space="0" w:color="auto"/>
            </w:tcBorders>
            <w:shd w:val="clear" w:color="auto" w:fill="auto"/>
            <w:noWrap/>
            <w:vAlign w:val="bottom"/>
          </w:tcPr>
          <w:p w14:paraId="14036990" w14:textId="3CFB7503" w:rsidR="000C24D1" w:rsidRPr="00E34880" w:rsidRDefault="00012904" w:rsidP="00D74DC2">
            <w:pPr>
              <w:spacing w:after="0" w:line="240" w:lineRule="auto"/>
              <w:rPr>
                <w:rFonts w:cs="Calibri"/>
                <w:color w:val="000000"/>
              </w:rPr>
            </w:pPr>
            <w:r>
              <w:rPr>
                <w:rFonts w:cs="Calibri"/>
                <w:color w:val="000000"/>
              </w:rPr>
              <w:t>$2,133,302.78</w:t>
            </w:r>
          </w:p>
        </w:tc>
        <w:tc>
          <w:tcPr>
            <w:tcW w:w="1650" w:type="dxa"/>
            <w:tcBorders>
              <w:top w:val="nil"/>
              <w:left w:val="nil"/>
              <w:bottom w:val="single" w:sz="4" w:space="0" w:color="auto"/>
              <w:right w:val="single" w:sz="4" w:space="0" w:color="auto"/>
            </w:tcBorders>
            <w:shd w:val="clear" w:color="auto" w:fill="auto"/>
            <w:noWrap/>
            <w:vAlign w:val="bottom"/>
          </w:tcPr>
          <w:p w14:paraId="61F5849D" w14:textId="77777777" w:rsidR="000C24D1" w:rsidRPr="00E34880" w:rsidRDefault="00D841DF" w:rsidP="00D74DC2">
            <w:pPr>
              <w:spacing w:after="0" w:line="240" w:lineRule="auto"/>
              <w:rPr>
                <w:rFonts w:cs="Calibri"/>
                <w:color w:val="000000"/>
              </w:rPr>
            </w:pPr>
            <w:r>
              <w:rPr>
                <w:rFonts w:cs="Calibri"/>
                <w:color w:val="000000"/>
              </w:rPr>
              <w:t>0</w:t>
            </w:r>
          </w:p>
        </w:tc>
        <w:tc>
          <w:tcPr>
            <w:tcW w:w="1156" w:type="dxa"/>
            <w:tcBorders>
              <w:top w:val="nil"/>
              <w:left w:val="nil"/>
              <w:bottom w:val="single" w:sz="4" w:space="0" w:color="auto"/>
              <w:right w:val="single" w:sz="4" w:space="0" w:color="auto"/>
            </w:tcBorders>
          </w:tcPr>
          <w:p w14:paraId="22ED69EE" w14:textId="655322FF" w:rsidR="000C24D1" w:rsidRPr="00E34880" w:rsidRDefault="00012904" w:rsidP="00D74DC2">
            <w:pPr>
              <w:spacing w:after="0" w:line="240" w:lineRule="auto"/>
              <w:rPr>
                <w:rFonts w:cs="Calibri"/>
                <w:color w:val="000000"/>
              </w:rPr>
            </w:pPr>
            <w:r>
              <w:rPr>
                <w:rFonts w:cs="Calibri"/>
                <w:color w:val="000000"/>
              </w:rPr>
              <w:t>0</w:t>
            </w:r>
          </w:p>
        </w:tc>
      </w:tr>
    </w:tbl>
    <w:p w14:paraId="383FCC07" w14:textId="77777777" w:rsidR="000C24D1" w:rsidRDefault="000C24D1" w:rsidP="00AE72A4">
      <w:pPr>
        <w:spacing w:after="0"/>
      </w:pPr>
    </w:p>
    <w:p w14:paraId="0282ECF5" w14:textId="65334E6E" w:rsidR="00814879" w:rsidRDefault="00814879" w:rsidP="00AE72A4">
      <w:pPr>
        <w:spacing w:after="0"/>
      </w:pPr>
      <w:r>
        <w:t xml:space="preserve">In our attempt to convert hours to labor costs, we recognize that many or most respondents will not be associated with actual cost. Rather, this is in </w:t>
      </w:r>
      <w:r w:rsidR="0076413E">
        <w:t>recognition</w:t>
      </w:r>
      <w:r>
        <w:t xml:space="preserve"> that there is a value to time. </w:t>
      </w:r>
      <w:r w:rsidR="00D73AD6">
        <w:t xml:space="preserve">Bureau of Labor Statistics reported for March 2018 that the average </w:t>
      </w:r>
      <w:r w:rsidR="0076413E">
        <w:t>employer</w:t>
      </w:r>
      <w:r w:rsidR="00D73AD6">
        <w:t xml:space="preserve"> cost for employee compensation </w:t>
      </w:r>
      <w:r w:rsidR="0076413E">
        <w:t>was</w:t>
      </w:r>
      <w:r w:rsidR="00D73AD6">
        <w:t xml:space="preserve"> $36.32.  This included $24.77 per hour wages and salaries and $</w:t>
      </w:r>
      <w:r w:rsidR="0076413E">
        <w:t>11.55 per</w:t>
      </w:r>
      <w:r w:rsidR="00D73AD6">
        <w:t xml:space="preserve"> hour for benefits. </w:t>
      </w:r>
      <w:r w:rsidR="00012904">
        <w:rPr>
          <w:rStyle w:val="FootnoteReference"/>
        </w:rPr>
        <w:footnoteReference w:id="3"/>
      </w:r>
      <w:r w:rsidR="00D73AD6">
        <w:t xml:space="preserve"> </w:t>
      </w:r>
    </w:p>
    <w:p w14:paraId="73C92042" w14:textId="77777777" w:rsidR="00044D5E" w:rsidRDefault="00044D5E" w:rsidP="0046754E">
      <w:pPr>
        <w:spacing w:after="0"/>
      </w:pPr>
    </w:p>
    <w:p w14:paraId="05E77918" w14:textId="77777777" w:rsidR="00DA73D5" w:rsidRPr="00DA73D5" w:rsidRDefault="00A27544" w:rsidP="00DA73D5">
      <w:pPr>
        <w:spacing w:after="0"/>
        <w:rPr>
          <w:b/>
        </w:rPr>
      </w:pPr>
      <w:r w:rsidRPr="00DA73D5">
        <w:rPr>
          <w:b/>
        </w:rPr>
        <w:t>13. Provide an estimate for the total annual cost burden to respondents or record keepers resulting from</w:t>
      </w:r>
      <w:r w:rsidR="00DA73D5" w:rsidRPr="00DA73D5">
        <w:rPr>
          <w:b/>
        </w:rPr>
        <w:t xml:space="preserve"> the collection of information.</w:t>
      </w:r>
    </w:p>
    <w:p w14:paraId="1C1D5487" w14:textId="77777777" w:rsidR="00DA73D5" w:rsidRDefault="00DA73D5" w:rsidP="00DA73D5">
      <w:pPr>
        <w:spacing w:after="0"/>
      </w:pPr>
    </w:p>
    <w:p w14:paraId="2C408B79" w14:textId="7016BA89" w:rsidR="00814879" w:rsidRDefault="00814879" w:rsidP="00DA73D5">
      <w:pPr>
        <w:spacing w:after="0"/>
      </w:pPr>
      <w:r>
        <w:t>There</w:t>
      </w:r>
      <w:r w:rsidR="0076413E">
        <w:t xml:space="preserve"> is no additional cost</w:t>
      </w:r>
      <w:r w:rsidR="00817E46">
        <w:t xml:space="preserve"> for electronic submissions</w:t>
      </w:r>
      <w:r w:rsidR="0076413E">
        <w:t xml:space="preserve"> other tha</w:t>
      </w:r>
      <w:r>
        <w:t xml:space="preserve">n </w:t>
      </w:r>
      <w:r w:rsidR="0076413E">
        <w:t xml:space="preserve">that which </w:t>
      </w:r>
      <w:r>
        <w:t>is in question 12.</w:t>
      </w:r>
    </w:p>
    <w:p w14:paraId="43335EEC" w14:textId="77777777" w:rsidR="00EF1221" w:rsidRDefault="00EF1221" w:rsidP="00DA73D5">
      <w:pPr>
        <w:spacing w:after="0"/>
      </w:pPr>
    </w:p>
    <w:p w14:paraId="24CD65E4" w14:textId="5D92B8D9" w:rsidR="00EF1221" w:rsidRDefault="00A349FF" w:rsidP="00DA73D5">
      <w:pPr>
        <w:spacing w:after="0"/>
      </w:pPr>
      <w:r>
        <w:t xml:space="preserve">Although </w:t>
      </w:r>
      <w:r w:rsidR="00AE72A4">
        <w:t xml:space="preserve">the FAA form states </w:t>
      </w:r>
      <w:r>
        <w:t>that a USGS 7.5 minute</w:t>
      </w:r>
      <w:r w:rsidR="00AE72A4">
        <w:t xml:space="preserve"> Topographical</w:t>
      </w:r>
      <w:r>
        <w:t xml:space="preserve"> Quad map </w:t>
      </w:r>
      <w:r w:rsidR="00AE72A4">
        <w:t xml:space="preserve">must </w:t>
      </w:r>
      <w:r>
        <w:t xml:space="preserve">be included when filing </w:t>
      </w:r>
      <w:r w:rsidR="00174D22">
        <w:t xml:space="preserve">a paper </w:t>
      </w:r>
      <w:r>
        <w:t xml:space="preserve">FAA Form 7460-1, </w:t>
      </w:r>
      <w:r w:rsidR="00AE72A4">
        <w:t xml:space="preserve">these </w:t>
      </w:r>
      <w:r>
        <w:t xml:space="preserve">maps are abundantly available on the </w:t>
      </w:r>
      <w:r w:rsidR="00EF1221">
        <w:t>I</w:t>
      </w:r>
      <w:r>
        <w:t>nternet at no cost to the public</w:t>
      </w:r>
      <w:r w:rsidR="00AE72A4">
        <w:t xml:space="preserve"> and the FAA e-Filing system </w:t>
      </w:r>
      <w:r w:rsidR="001F3C47">
        <w:t xml:space="preserve">provides maps to </w:t>
      </w:r>
      <w:r w:rsidR="00AE72A4">
        <w:t xml:space="preserve">meet this requirement for the respondent.  </w:t>
      </w:r>
      <w:r>
        <w:t xml:space="preserve">Therefore, FAA </w:t>
      </w:r>
      <w:r w:rsidR="00EF1221">
        <w:t>no longer consider</w:t>
      </w:r>
      <w:r w:rsidR="000C24D1">
        <w:t>s</w:t>
      </w:r>
      <w:r w:rsidR="00AE72A4">
        <w:t xml:space="preserve"> maps as a cost </w:t>
      </w:r>
      <w:r w:rsidR="00174D22">
        <w:t>when determining the annual cost burden to</w:t>
      </w:r>
      <w:r w:rsidR="001F3C47">
        <w:t xml:space="preserve"> respondents.</w:t>
      </w:r>
    </w:p>
    <w:p w14:paraId="76CAB3B7" w14:textId="77777777" w:rsidR="00EF1221" w:rsidRDefault="00EF1221" w:rsidP="00DA73D5">
      <w:pPr>
        <w:spacing w:after="0"/>
      </w:pPr>
    </w:p>
    <w:p w14:paraId="595D7627" w14:textId="77777777" w:rsidR="003050D5" w:rsidRDefault="00EF1221" w:rsidP="00DA73D5">
      <w:pPr>
        <w:spacing w:after="0"/>
      </w:pPr>
      <w:r>
        <w:t xml:space="preserve">Additionally, since the introduction of the FAA’s Internet based e-Filing System in 2004, which requires no special software or computer equipment to use, and its continued increased usage by respondents to this collection </w:t>
      </w:r>
      <w:r w:rsidR="00174D22">
        <w:t xml:space="preserve">as is evident in more than 98% of submissions received </w:t>
      </w:r>
      <w:r w:rsidR="003050D5">
        <w:t xml:space="preserve">in CY18 </w:t>
      </w:r>
      <w:r w:rsidR="00174D22">
        <w:t>via e-filing</w:t>
      </w:r>
      <w:r w:rsidR="003050D5">
        <w:t xml:space="preserve"> the FAA considers there to be no cost to respondents for e-filing</w:t>
      </w:r>
      <w:r w:rsidR="00174D22">
        <w:t xml:space="preserve">.  </w:t>
      </w:r>
    </w:p>
    <w:p w14:paraId="718AADFA" w14:textId="77777777" w:rsidR="003050D5" w:rsidRDefault="003050D5" w:rsidP="00DA73D5">
      <w:pPr>
        <w:spacing w:after="0"/>
      </w:pPr>
    </w:p>
    <w:p w14:paraId="70413AAA" w14:textId="660CA993" w:rsidR="00EF1221" w:rsidRDefault="00174D22" w:rsidP="00DA73D5">
      <w:pPr>
        <w:spacing w:after="0"/>
      </w:pPr>
      <w:r>
        <w:t xml:space="preserve">The remaining 2% </w:t>
      </w:r>
      <w:r w:rsidR="003050D5">
        <w:t xml:space="preserve">that </w:t>
      </w:r>
      <w:r>
        <w:t>may be sent</w:t>
      </w:r>
      <w:r w:rsidR="003050D5">
        <w:t xml:space="preserve"> using the Forms</w:t>
      </w:r>
      <w:r>
        <w:t xml:space="preserve"> are accepted by the FAA via email</w:t>
      </w:r>
      <w:r w:rsidR="003050D5">
        <w:t>.  This makes it difficult for the FAA to determine</w:t>
      </w:r>
      <w:r>
        <w:t xml:space="preserve"> an</w:t>
      </w:r>
      <w:r w:rsidR="003050D5">
        <w:t>y</w:t>
      </w:r>
      <w:r>
        <w:t xml:space="preserve"> exact annual</w:t>
      </w:r>
      <w:r w:rsidR="003050D5">
        <w:t xml:space="preserve"> cost</w:t>
      </w:r>
      <w:r>
        <w:t xml:space="preserve"> </w:t>
      </w:r>
      <w:r w:rsidR="003050D5">
        <w:t xml:space="preserve">burden.  As a result, for the purpose of </w:t>
      </w:r>
      <w:r w:rsidR="008107FB">
        <w:t>estimating</w:t>
      </w:r>
      <w:r w:rsidR="003050D5">
        <w:t xml:space="preserve"> an annual cost burden to respondents that opt to mail in the form the FAA considered 2018 postage rates for first-class mail letter (1 oz.) to be $0.55 times the total number of paper filings </w:t>
      </w:r>
      <w:r w:rsidR="00AE72A4">
        <w:t xml:space="preserve">received without distinguishing those that were emailed and </w:t>
      </w:r>
      <w:r w:rsidR="003050D5">
        <w:t>determine</w:t>
      </w:r>
      <w:r w:rsidR="00AE72A4">
        <w:t>d</w:t>
      </w:r>
      <w:r w:rsidR="003050D5">
        <w:t xml:space="preserve"> </w:t>
      </w:r>
      <w:r w:rsidR="00AE72A4">
        <w:t xml:space="preserve">the </w:t>
      </w:r>
      <w:r w:rsidR="003050D5">
        <w:t>approximate annualized cost of standard postage rates</w:t>
      </w:r>
      <w:r w:rsidR="003807CE">
        <w:t xml:space="preserve"> and supplies</w:t>
      </w:r>
      <w:r w:rsidR="003050D5">
        <w:t xml:space="preserve"> </w:t>
      </w:r>
      <w:r w:rsidR="00AE72A4">
        <w:t>to be</w:t>
      </w:r>
      <w:r w:rsidR="003050D5">
        <w:t xml:space="preserve"> </w:t>
      </w:r>
      <w:r w:rsidR="00E57CD1">
        <w:t>approximately $3,08</w:t>
      </w:r>
      <w:r w:rsidR="0059772B">
        <w:t>4</w:t>
      </w:r>
      <w:r w:rsidR="003050D5">
        <w:t xml:space="preserve">.  </w:t>
      </w:r>
      <w:r>
        <w:t xml:space="preserve">   </w:t>
      </w:r>
    </w:p>
    <w:p w14:paraId="139A46F5" w14:textId="20A0E7C4" w:rsidR="00FD5DA4" w:rsidRDefault="00FD5DA4" w:rsidP="00DA73D5">
      <w:pPr>
        <w:spacing w:after="0"/>
      </w:pPr>
    </w:p>
    <w:tbl>
      <w:tblPr>
        <w:tblW w:w="3018" w:type="dxa"/>
        <w:tblLook w:val="04A0" w:firstRow="1" w:lastRow="0" w:firstColumn="1" w:lastColumn="0" w:noHBand="0" w:noVBand="1"/>
      </w:tblPr>
      <w:tblGrid>
        <w:gridCol w:w="1900"/>
        <w:gridCol w:w="1118"/>
      </w:tblGrid>
      <w:tr w:rsidR="00FD5DA4" w:rsidRPr="00E34880" w14:paraId="17CA2765" w14:textId="77777777" w:rsidTr="00241225">
        <w:trPr>
          <w:trHeight w:val="494"/>
        </w:trPr>
        <w:tc>
          <w:tcPr>
            <w:tcW w:w="3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D2B624" w14:textId="1A0B52D2" w:rsidR="00FD5DA4" w:rsidRPr="004B4FE2" w:rsidRDefault="00FD5DA4" w:rsidP="007A2D8F">
            <w:pPr>
              <w:spacing w:after="0" w:line="240" w:lineRule="auto"/>
              <w:jc w:val="center"/>
              <w:rPr>
                <w:rFonts w:cs="Calibri"/>
                <w:b/>
                <w:bCs/>
                <w:color w:val="000000"/>
              </w:rPr>
            </w:pPr>
            <w:r>
              <w:t xml:space="preserve">IC 2: </w:t>
            </w:r>
            <w:r w:rsidR="00241225" w:rsidRPr="00241225">
              <w:t>Notice of Proposed Construction or Alteration</w:t>
            </w:r>
            <w:r>
              <w:t xml:space="preserve"> </w:t>
            </w:r>
            <w:r w:rsidR="00B854CA">
              <w:t>–</w:t>
            </w:r>
            <w:r>
              <w:t xml:space="preserve"> Paper</w:t>
            </w:r>
          </w:p>
        </w:tc>
      </w:tr>
      <w:tr w:rsidR="001E6439" w:rsidRPr="00E34880" w14:paraId="1C6E1B02" w14:textId="77777777" w:rsidTr="00241225">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603DD" w14:textId="77777777" w:rsidR="001E6439" w:rsidRPr="00E34880" w:rsidRDefault="001E6439"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1BDF1BA4" w14:textId="77777777" w:rsidR="001E6439" w:rsidRPr="00E34880" w:rsidRDefault="001E6439" w:rsidP="007A2D8F">
            <w:pPr>
              <w:spacing w:after="0" w:line="240" w:lineRule="auto"/>
              <w:rPr>
                <w:rFonts w:cs="Calibri"/>
                <w:b/>
                <w:bCs/>
                <w:color w:val="000000"/>
              </w:rPr>
            </w:pPr>
            <w:r w:rsidRPr="00E34880">
              <w:rPr>
                <w:rFonts w:cs="Calibri"/>
                <w:b/>
                <w:bCs/>
                <w:color w:val="000000"/>
              </w:rPr>
              <w:t>Reporting</w:t>
            </w:r>
          </w:p>
        </w:tc>
      </w:tr>
      <w:tr w:rsidR="001E6439" w:rsidRPr="00E34880" w14:paraId="7CAF2EF5" w14:textId="77777777" w:rsidTr="00241225">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0EDC2A" w14:textId="77777777" w:rsidR="001E6439" w:rsidRPr="00E34880" w:rsidRDefault="001E6439"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20211931" w14:textId="77777777" w:rsidR="001E6439" w:rsidRPr="00E34880" w:rsidRDefault="001E6439" w:rsidP="007A2D8F">
            <w:pPr>
              <w:spacing w:after="0" w:line="240" w:lineRule="auto"/>
              <w:rPr>
                <w:rFonts w:cs="Calibri"/>
                <w:color w:val="000000"/>
              </w:rPr>
            </w:pPr>
            <w:r>
              <w:rPr>
                <w:rFonts w:cs="Calibri"/>
                <w:color w:val="000000"/>
              </w:rPr>
              <w:t>4,043</w:t>
            </w:r>
          </w:p>
        </w:tc>
      </w:tr>
      <w:tr w:rsidR="001E6439" w:rsidRPr="00E34880" w14:paraId="4BF6B007"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A95F1E" w14:textId="77777777" w:rsidR="001E6439" w:rsidRPr="00E34880" w:rsidRDefault="001E6439"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67B2F450" w14:textId="77777777" w:rsidR="001E6439" w:rsidRPr="00E34880" w:rsidRDefault="001E6439" w:rsidP="007A2D8F">
            <w:pPr>
              <w:spacing w:after="0" w:line="240" w:lineRule="auto"/>
              <w:rPr>
                <w:rFonts w:cs="Calibri"/>
                <w:color w:val="000000"/>
              </w:rPr>
            </w:pPr>
            <w:r>
              <w:rPr>
                <w:rFonts w:cs="Calibri"/>
                <w:color w:val="000000"/>
              </w:rPr>
              <w:t>1</w:t>
            </w:r>
          </w:p>
        </w:tc>
      </w:tr>
      <w:tr w:rsidR="001E6439" w:rsidRPr="00E34880" w14:paraId="7895DC5E"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CBE84A" w14:textId="6B02037D" w:rsidR="001E6439" w:rsidRPr="00E34880" w:rsidRDefault="001E6439" w:rsidP="007A2D8F">
            <w:pPr>
              <w:spacing w:after="0" w:line="240" w:lineRule="auto"/>
              <w:rPr>
                <w:rFonts w:cs="Calibri"/>
                <w:b/>
                <w:bCs/>
                <w:color w:val="000000"/>
              </w:rPr>
            </w:pPr>
            <w:r>
              <w:rPr>
                <w:rFonts w:cs="Calibri"/>
                <w:b/>
                <w:bCs/>
                <w:color w:val="000000"/>
              </w:rPr>
              <w:t>Cost</w:t>
            </w:r>
            <w:r w:rsidRPr="00E34880">
              <w:rPr>
                <w:rFonts w:cs="Calibri"/>
                <w:b/>
                <w:bCs/>
                <w:color w:val="000000"/>
              </w:rPr>
              <w:t xml:space="preserve"> per Response</w:t>
            </w:r>
          </w:p>
        </w:tc>
        <w:tc>
          <w:tcPr>
            <w:tcW w:w="1118" w:type="dxa"/>
            <w:tcBorders>
              <w:top w:val="nil"/>
              <w:left w:val="nil"/>
              <w:bottom w:val="single" w:sz="4" w:space="0" w:color="auto"/>
              <w:right w:val="single" w:sz="4" w:space="0" w:color="auto"/>
            </w:tcBorders>
            <w:shd w:val="clear" w:color="auto" w:fill="auto"/>
            <w:noWrap/>
            <w:vAlign w:val="bottom"/>
          </w:tcPr>
          <w:p w14:paraId="169B405E" w14:textId="3CB394A9" w:rsidR="001E6439" w:rsidRPr="00E34880" w:rsidRDefault="001E6439" w:rsidP="007A2D8F">
            <w:pPr>
              <w:spacing w:after="0" w:line="240" w:lineRule="auto"/>
              <w:rPr>
                <w:rFonts w:cs="Calibri"/>
                <w:color w:val="000000"/>
              </w:rPr>
            </w:pPr>
            <w:r>
              <w:rPr>
                <w:rFonts w:cs="Calibri"/>
                <w:color w:val="000000"/>
              </w:rPr>
              <w:t>$0.55</w:t>
            </w:r>
          </w:p>
        </w:tc>
      </w:tr>
      <w:tr w:rsidR="001E6439" w:rsidRPr="00E34880" w14:paraId="60FF7FA9"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33FCBC" w14:textId="77777777" w:rsidR="001E6439" w:rsidRPr="00E34880" w:rsidRDefault="001E6439"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6D737210" w14:textId="77777777" w:rsidR="001E6439" w:rsidRPr="00E34880" w:rsidRDefault="001E6439" w:rsidP="007A2D8F">
            <w:pPr>
              <w:spacing w:after="0" w:line="240" w:lineRule="auto"/>
              <w:rPr>
                <w:rFonts w:cs="Calibri"/>
                <w:color w:val="000000"/>
              </w:rPr>
            </w:pPr>
            <w:r>
              <w:rPr>
                <w:rFonts w:cs="Calibri"/>
                <w:color w:val="000000"/>
              </w:rPr>
              <w:t>4,043</w:t>
            </w:r>
          </w:p>
        </w:tc>
      </w:tr>
      <w:tr w:rsidR="001E6439" w:rsidRPr="00E34880" w14:paraId="6FE608F1"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44D163F1" w14:textId="716B4AE1" w:rsidR="001E6439" w:rsidRPr="00E34880" w:rsidRDefault="001E6439" w:rsidP="001E6439">
            <w:pPr>
              <w:spacing w:after="0" w:line="240" w:lineRule="auto"/>
              <w:rPr>
                <w:rFonts w:cs="Calibri"/>
                <w:b/>
                <w:bCs/>
                <w:color w:val="000000"/>
              </w:rPr>
            </w:pPr>
            <w:r>
              <w:rPr>
                <w:rFonts w:cs="Calibri"/>
                <w:b/>
                <w:bCs/>
                <w:color w:val="000000"/>
              </w:rPr>
              <w:t>Total cost</w:t>
            </w:r>
          </w:p>
        </w:tc>
        <w:tc>
          <w:tcPr>
            <w:tcW w:w="1118" w:type="dxa"/>
            <w:tcBorders>
              <w:top w:val="nil"/>
              <w:left w:val="nil"/>
              <w:bottom w:val="single" w:sz="4" w:space="0" w:color="auto"/>
              <w:right w:val="single" w:sz="4" w:space="0" w:color="auto"/>
            </w:tcBorders>
            <w:shd w:val="clear" w:color="auto" w:fill="auto"/>
            <w:noWrap/>
          </w:tcPr>
          <w:p w14:paraId="2FF3DD75" w14:textId="0A807AF3" w:rsidR="001E6439" w:rsidRPr="00E34880" w:rsidRDefault="001E6439" w:rsidP="001E6439">
            <w:pPr>
              <w:spacing w:after="0" w:line="240" w:lineRule="auto"/>
              <w:rPr>
                <w:rFonts w:cs="Calibri"/>
                <w:color w:val="000000"/>
              </w:rPr>
            </w:pPr>
            <w:r>
              <w:rPr>
                <w:rFonts w:cs="Calibri"/>
                <w:color w:val="000000"/>
              </w:rPr>
              <w:t>$2,223.65</w:t>
            </w:r>
          </w:p>
        </w:tc>
      </w:tr>
    </w:tbl>
    <w:p w14:paraId="57E81DF9" w14:textId="77777777" w:rsidR="00FD5DA4" w:rsidRDefault="00FD5DA4" w:rsidP="00DA73D5">
      <w:pPr>
        <w:spacing w:after="0"/>
      </w:pPr>
    </w:p>
    <w:p w14:paraId="349609F9" w14:textId="7B0974B0" w:rsidR="00FD5DA4" w:rsidRDefault="00FD5DA4" w:rsidP="00DA73D5">
      <w:pPr>
        <w:spacing w:after="0"/>
      </w:pPr>
    </w:p>
    <w:tbl>
      <w:tblPr>
        <w:tblW w:w="3018" w:type="dxa"/>
        <w:tblLook w:val="04A0" w:firstRow="1" w:lastRow="0" w:firstColumn="1" w:lastColumn="0" w:noHBand="0" w:noVBand="1"/>
      </w:tblPr>
      <w:tblGrid>
        <w:gridCol w:w="1900"/>
        <w:gridCol w:w="1118"/>
      </w:tblGrid>
      <w:tr w:rsidR="001E6439" w:rsidRPr="00E34880" w14:paraId="4819263E" w14:textId="77777777" w:rsidTr="00241225">
        <w:trPr>
          <w:trHeight w:val="494"/>
        </w:trPr>
        <w:tc>
          <w:tcPr>
            <w:tcW w:w="3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E9D3D2" w14:textId="04E5934D" w:rsidR="001E6439" w:rsidRPr="004B4FE2" w:rsidRDefault="001E6439" w:rsidP="007A2D8F">
            <w:pPr>
              <w:spacing w:after="0" w:line="240" w:lineRule="auto"/>
              <w:jc w:val="center"/>
              <w:rPr>
                <w:rFonts w:cs="Calibri"/>
                <w:b/>
                <w:bCs/>
                <w:color w:val="000000"/>
              </w:rPr>
            </w:pPr>
            <w:r>
              <w:t xml:space="preserve">IC 4: </w:t>
            </w:r>
            <w:r w:rsidR="00241225" w:rsidRPr="00241225">
              <w:t>Notice of Actual Construction or Alteration</w:t>
            </w:r>
            <w:r>
              <w:t xml:space="preserve"> </w:t>
            </w:r>
            <w:r w:rsidR="00B854CA">
              <w:t>–</w:t>
            </w:r>
            <w:r>
              <w:t xml:space="preserve"> Paper</w:t>
            </w:r>
          </w:p>
        </w:tc>
      </w:tr>
      <w:tr w:rsidR="001E6439" w:rsidRPr="00E34880" w14:paraId="0B259EFB" w14:textId="77777777" w:rsidTr="00241225">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FFC7" w14:textId="77777777" w:rsidR="001E6439" w:rsidRPr="00E34880" w:rsidRDefault="001E6439" w:rsidP="007A2D8F">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44D344F" w14:textId="77777777" w:rsidR="001E6439" w:rsidRPr="00E34880" w:rsidRDefault="001E6439" w:rsidP="007A2D8F">
            <w:pPr>
              <w:spacing w:after="0" w:line="240" w:lineRule="auto"/>
              <w:rPr>
                <w:rFonts w:cs="Calibri"/>
                <w:b/>
                <w:bCs/>
                <w:color w:val="000000"/>
              </w:rPr>
            </w:pPr>
            <w:r w:rsidRPr="00E34880">
              <w:rPr>
                <w:rFonts w:cs="Calibri"/>
                <w:b/>
                <w:bCs/>
                <w:color w:val="000000"/>
              </w:rPr>
              <w:t>Reporting</w:t>
            </w:r>
          </w:p>
        </w:tc>
      </w:tr>
      <w:tr w:rsidR="001E6439" w:rsidRPr="00E34880" w14:paraId="7A5F71AE" w14:textId="77777777" w:rsidTr="00241225">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50AB45" w14:textId="77777777" w:rsidR="001E6439" w:rsidRPr="00E34880" w:rsidRDefault="001E6439" w:rsidP="007A2D8F">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5AC756B9" w14:textId="77777777" w:rsidR="001E6439" w:rsidRPr="00E34880" w:rsidRDefault="001E6439" w:rsidP="007A2D8F">
            <w:pPr>
              <w:spacing w:after="0" w:line="240" w:lineRule="auto"/>
              <w:rPr>
                <w:rFonts w:cs="Calibri"/>
                <w:color w:val="000000"/>
              </w:rPr>
            </w:pPr>
            <w:r>
              <w:rPr>
                <w:rFonts w:cs="Calibri"/>
                <w:color w:val="000000"/>
              </w:rPr>
              <w:t>1,563</w:t>
            </w:r>
          </w:p>
        </w:tc>
      </w:tr>
      <w:tr w:rsidR="001E6439" w:rsidRPr="00E34880" w14:paraId="08DDC3ED"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991746" w14:textId="77777777" w:rsidR="001E6439" w:rsidRPr="00E34880" w:rsidRDefault="001E6439" w:rsidP="007A2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14:paraId="1E1EA409" w14:textId="77777777" w:rsidR="001E6439" w:rsidRPr="00E34880" w:rsidRDefault="001E6439" w:rsidP="007A2D8F">
            <w:pPr>
              <w:spacing w:after="0" w:line="240" w:lineRule="auto"/>
              <w:rPr>
                <w:rFonts w:cs="Calibri"/>
                <w:color w:val="000000"/>
              </w:rPr>
            </w:pPr>
            <w:r>
              <w:rPr>
                <w:rFonts w:cs="Calibri"/>
                <w:color w:val="000000"/>
              </w:rPr>
              <w:t>1</w:t>
            </w:r>
          </w:p>
        </w:tc>
      </w:tr>
      <w:tr w:rsidR="001E6439" w:rsidRPr="00E34880" w14:paraId="6E4DD8F8"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EB202A9" w14:textId="118C257F" w:rsidR="001E6439" w:rsidRPr="00E34880" w:rsidRDefault="001E6439" w:rsidP="007A2D8F">
            <w:pPr>
              <w:spacing w:after="0" w:line="240" w:lineRule="auto"/>
              <w:rPr>
                <w:rFonts w:cs="Calibri"/>
                <w:b/>
                <w:bCs/>
                <w:color w:val="000000"/>
              </w:rPr>
            </w:pPr>
            <w:r>
              <w:rPr>
                <w:rFonts w:cs="Calibri"/>
                <w:b/>
                <w:bCs/>
                <w:color w:val="000000"/>
              </w:rPr>
              <w:t>Cost</w:t>
            </w:r>
            <w:r w:rsidRPr="00E34880">
              <w:rPr>
                <w:rFonts w:cs="Calibri"/>
                <w:b/>
                <w:bCs/>
                <w:color w:val="000000"/>
              </w:rPr>
              <w:t xml:space="preserve"> per Response</w:t>
            </w:r>
          </w:p>
        </w:tc>
        <w:tc>
          <w:tcPr>
            <w:tcW w:w="1118" w:type="dxa"/>
            <w:tcBorders>
              <w:top w:val="nil"/>
              <w:left w:val="nil"/>
              <w:bottom w:val="single" w:sz="4" w:space="0" w:color="auto"/>
              <w:right w:val="single" w:sz="4" w:space="0" w:color="auto"/>
            </w:tcBorders>
            <w:shd w:val="clear" w:color="auto" w:fill="auto"/>
            <w:noWrap/>
            <w:vAlign w:val="bottom"/>
          </w:tcPr>
          <w:p w14:paraId="4E1CE3A3" w14:textId="71F57FEC" w:rsidR="001E6439" w:rsidRPr="00E34880" w:rsidRDefault="001E6439" w:rsidP="007A2D8F">
            <w:pPr>
              <w:spacing w:after="0" w:line="240" w:lineRule="auto"/>
              <w:rPr>
                <w:rFonts w:cs="Calibri"/>
                <w:color w:val="000000"/>
              </w:rPr>
            </w:pPr>
            <w:r>
              <w:rPr>
                <w:rFonts w:cs="Calibri"/>
                <w:color w:val="000000"/>
              </w:rPr>
              <w:t>$0.55</w:t>
            </w:r>
          </w:p>
        </w:tc>
      </w:tr>
      <w:tr w:rsidR="001E6439" w:rsidRPr="00E34880" w14:paraId="393D14E4"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898C0B" w14:textId="77777777" w:rsidR="001E6439" w:rsidRPr="00E34880" w:rsidRDefault="001E6439" w:rsidP="007A2D8F">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26CE55D8" w14:textId="77777777" w:rsidR="001E6439" w:rsidRPr="00E34880" w:rsidRDefault="001E6439" w:rsidP="007A2D8F">
            <w:pPr>
              <w:spacing w:after="0" w:line="240" w:lineRule="auto"/>
              <w:rPr>
                <w:rFonts w:cs="Calibri"/>
                <w:color w:val="000000"/>
              </w:rPr>
            </w:pPr>
            <w:r>
              <w:rPr>
                <w:rFonts w:cs="Calibri"/>
                <w:color w:val="000000"/>
              </w:rPr>
              <w:t>1,563</w:t>
            </w:r>
          </w:p>
        </w:tc>
      </w:tr>
      <w:tr w:rsidR="001E6439" w:rsidRPr="00E34880" w14:paraId="66365EB8" w14:textId="77777777" w:rsidTr="00241225">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7757399B" w14:textId="77777777" w:rsidR="001E6439" w:rsidRPr="00E34880" w:rsidRDefault="001E6439" w:rsidP="007A2D8F">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6849DF40" w14:textId="41FCE40B" w:rsidR="001E6439" w:rsidRPr="00E34880" w:rsidRDefault="001E6439" w:rsidP="007A2D8F">
            <w:pPr>
              <w:spacing w:after="0" w:line="240" w:lineRule="auto"/>
              <w:rPr>
                <w:rFonts w:cs="Calibri"/>
                <w:color w:val="000000"/>
              </w:rPr>
            </w:pPr>
            <w:r>
              <w:rPr>
                <w:rFonts w:cs="Calibri"/>
                <w:color w:val="000000"/>
              </w:rPr>
              <w:t>$859.65</w:t>
            </w:r>
          </w:p>
        </w:tc>
      </w:tr>
    </w:tbl>
    <w:p w14:paraId="34CE7EF9" w14:textId="77777777" w:rsidR="00FD5DA4" w:rsidRDefault="00FD5DA4" w:rsidP="00DA73D5">
      <w:pPr>
        <w:spacing w:after="0"/>
      </w:pPr>
    </w:p>
    <w:p w14:paraId="11748CDD" w14:textId="77777777" w:rsidR="00DA73D5" w:rsidRDefault="00DA73D5" w:rsidP="00DA73D5">
      <w:pPr>
        <w:spacing w:after="0"/>
      </w:pPr>
    </w:p>
    <w:p w14:paraId="3F4CAC90" w14:textId="77777777" w:rsidR="00A27544" w:rsidRPr="00DA73D5" w:rsidRDefault="00A27544" w:rsidP="00DA73D5">
      <w:pPr>
        <w:spacing w:after="0"/>
        <w:rPr>
          <w:b/>
        </w:rPr>
      </w:pPr>
      <w:r w:rsidRPr="00DA73D5">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7B84E594" w14:textId="77777777" w:rsidR="00DA73D5" w:rsidRDefault="00DA73D5" w:rsidP="00DA73D5">
      <w:pPr>
        <w:spacing w:after="0"/>
      </w:pPr>
    </w:p>
    <w:p w14:paraId="346853BB" w14:textId="3AB546DE" w:rsidR="001F3C47" w:rsidRDefault="001F3C47" w:rsidP="00DA73D5">
      <w:pPr>
        <w:spacing w:after="0"/>
      </w:pPr>
      <w:r>
        <w:t xml:space="preserve"> All submissions </w:t>
      </w:r>
      <w:r w:rsidR="008E2019">
        <w:t xml:space="preserve">for this collection </w:t>
      </w:r>
      <w:r>
        <w:t xml:space="preserve">are processed by the government through the </w:t>
      </w:r>
      <w:r w:rsidR="008E2019">
        <w:t xml:space="preserve">automated </w:t>
      </w:r>
      <w:r>
        <w:t>OE/AAA System application</w:t>
      </w:r>
      <w:r w:rsidR="008E2019">
        <w:t>.  A previous</w:t>
      </w:r>
      <w:r w:rsidR="00DA73D5">
        <w:t xml:space="preserve"> “Process and Cost Analyses” study estimated it </w:t>
      </w:r>
      <w:r>
        <w:t xml:space="preserve">takes a government employee approximately 15 minutes per collection to </w:t>
      </w:r>
      <w:r w:rsidR="005C1D43">
        <w:t>complete</w:t>
      </w:r>
      <w:r>
        <w:t xml:space="preserve"> </w:t>
      </w:r>
      <w:r w:rsidR="005C1D43">
        <w:t xml:space="preserve">their contribution </w:t>
      </w:r>
      <w:r>
        <w:t>using the OE/AAA System Application</w:t>
      </w:r>
      <w:r w:rsidR="005C1D43">
        <w:t xml:space="preserve"> for processing</w:t>
      </w:r>
      <w:r>
        <w:t xml:space="preserve">.  The average government labor rate for this job category </w:t>
      </w:r>
      <w:r w:rsidR="005C1D43">
        <w:t xml:space="preserve">varies slightly.  </w:t>
      </w:r>
      <w:r w:rsidR="0076413E">
        <w:t>See Table 4</w:t>
      </w:r>
      <w:r>
        <w:t xml:space="preserve"> and the Summary below for calculations.</w:t>
      </w:r>
    </w:p>
    <w:p w14:paraId="2160F53E" w14:textId="77777777" w:rsidR="001F3C47" w:rsidRDefault="001F3C47" w:rsidP="00DA73D5">
      <w:pPr>
        <w:spacing w:after="0"/>
      </w:pPr>
    </w:p>
    <w:p w14:paraId="1FAD09DE" w14:textId="00DC3B53" w:rsidR="001F3C47" w:rsidRPr="003807CE" w:rsidRDefault="0076413E" w:rsidP="003807CE">
      <w:pPr>
        <w:spacing w:after="0"/>
        <w:jc w:val="center"/>
        <w:rPr>
          <w:b/>
        </w:rPr>
      </w:pPr>
      <w:r>
        <w:rPr>
          <w:b/>
        </w:rPr>
        <w:t>Table 4</w:t>
      </w:r>
      <w:r w:rsidR="001F3C47" w:rsidRPr="003807CE">
        <w:rPr>
          <w:b/>
        </w:rPr>
        <w:t xml:space="preserve"> – 2120-0001 Collections Processed in CY18</w:t>
      </w:r>
    </w:p>
    <w:tbl>
      <w:tblPr>
        <w:tblStyle w:val="TableGrid"/>
        <w:tblW w:w="0" w:type="auto"/>
        <w:tblLook w:val="04A0" w:firstRow="1" w:lastRow="0" w:firstColumn="1" w:lastColumn="0" w:noHBand="0" w:noVBand="1"/>
      </w:tblPr>
      <w:tblGrid>
        <w:gridCol w:w="2101"/>
        <w:gridCol w:w="1155"/>
        <w:gridCol w:w="1027"/>
        <w:gridCol w:w="1179"/>
        <w:gridCol w:w="1168"/>
        <w:gridCol w:w="1219"/>
        <w:gridCol w:w="1608"/>
      </w:tblGrid>
      <w:tr w:rsidR="00840CDE" w14:paraId="449D4C1C" w14:textId="77777777" w:rsidTr="008E2019">
        <w:tc>
          <w:tcPr>
            <w:tcW w:w="2101" w:type="dxa"/>
          </w:tcPr>
          <w:p w14:paraId="4C6041EB" w14:textId="77777777" w:rsidR="007B3C80" w:rsidRDefault="007B3C80" w:rsidP="007B3C80">
            <w:r>
              <w:t>Federal government Employee</w:t>
            </w:r>
            <w:r w:rsidR="008E2019">
              <w:t xml:space="preserve"> by general labor category description</w:t>
            </w:r>
          </w:p>
        </w:tc>
        <w:tc>
          <w:tcPr>
            <w:tcW w:w="1155" w:type="dxa"/>
          </w:tcPr>
          <w:p w14:paraId="23CDBE06" w14:textId="67F10109" w:rsidR="007B3C80" w:rsidRDefault="007B3C80" w:rsidP="007B3C80">
            <w:r>
              <w:t xml:space="preserve">Avg. </w:t>
            </w:r>
            <w:r w:rsidR="0076413E">
              <w:t>Approx.</w:t>
            </w:r>
            <w:r>
              <w:t xml:space="preserve"> Wage Rate/hour</w:t>
            </w:r>
          </w:p>
        </w:tc>
        <w:tc>
          <w:tcPr>
            <w:tcW w:w="1027" w:type="dxa"/>
          </w:tcPr>
          <w:p w14:paraId="26FFA401" w14:textId="77777777" w:rsidR="007B3C80" w:rsidRDefault="007B3C80" w:rsidP="0037191D">
            <w:r>
              <w:t xml:space="preserve">Process time </w:t>
            </w:r>
            <w:r w:rsidR="0037191D">
              <w:t>per/hour for each</w:t>
            </w:r>
            <w:r>
              <w:t xml:space="preserve"> IC</w:t>
            </w:r>
          </w:p>
        </w:tc>
        <w:tc>
          <w:tcPr>
            <w:tcW w:w="1179" w:type="dxa"/>
          </w:tcPr>
          <w:p w14:paraId="38437A34" w14:textId="77777777" w:rsidR="007B3C80" w:rsidRDefault="0037191D" w:rsidP="007B3C80">
            <w:r>
              <w:t xml:space="preserve">IC #1 </w:t>
            </w:r>
            <w:r w:rsidR="007B3C80">
              <w:t>Total 7460-1s Processed</w:t>
            </w:r>
          </w:p>
        </w:tc>
        <w:tc>
          <w:tcPr>
            <w:tcW w:w="1168" w:type="dxa"/>
          </w:tcPr>
          <w:p w14:paraId="0FB3ED71" w14:textId="77777777" w:rsidR="007B3C80" w:rsidRDefault="0037191D" w:rsidP="007B3C80">
            <w:r>
              <w:t xml:space="preserve">IC #2 </w:t>
            </w:r>
            <w:r w:rsidR="007B3C80">
              <w:t>Total 7460-2s Processed</w:t>
            </w:r>
          </w:p>
        </w:tc>
        <w:tc>
          <w:tcPr>
            <w:tcW w:w="1219" w:type="dxa"/>
          </w:tcPr>
          <w:p w14:paraId="04A8C5A5" w14:textId="77777777" w:rsidR="007B3C80" w:rsidRDefault="007B3C80" w:rsidP="007B3C80">
            <w:r>
              <w:t>Total Processing hours</w:t>
            </w:r>
            <w:r w:rsidR="00BC5C12">
              <w:t xml:space="preserve"> for ICs #1&amp;2</w:t>
            </w:r>
          </w:p>
        </w:tc>
        <w:tc>
          <w:tcPr>
            <w:tcW w:w="1501" w:type="dxa"/>
          </w:tcPr>
          <w:p w14:paraId="59B30A41" w14:textId="77777777" w:rsidR="007B3C80" w:rsidRDefault="007B3C80" w:rsidP="007B3C80">
            <w:r>
              <w:t>Approximate Annualized cost to the Government</w:t>
            </w:r>
          </w:p>
        </w:tc>
      </w:tr>
      <w:tr w:rsidR="00840CDE" w14:paraId="33864679" w14:textId="77777777" w:rsidTr="008E2019">
        <w:tc>
          <w:tcPr>
            <w:tcW w:w="2101" w:type="dxa"/>
          </w:tcPr>
          <w:p w14:paraId="617DA89C" w14:textId="77777777" w:rsidR="007B3C80" w:rsidRDefault="007B3C80" w:rsidP="007B3C80">
            <w:r>
              <w:t>Technician/Analyst</w:t>
            </w:r>
          </w:p>
        </w:tc>
        <w:tc>
          <w:tcPr>
            <w:tcW w:w="1155" w:type="dxa"/>
          </w:tcPr>
          <w:p w14:paraId="2CBA4BBB" w14:textId="7725E557" w:rsidR="007B3C80" w:rsidRDefault="007B3C80" w:rsidP="00834B0D">
            <w:r>
              <w:t>$</w:t>
            </w:r>
            <w:r w:rsidR="00834B0D">
              <w:t>78.88</w:t>
            </w:r>
          </w:p>
        </w:tc>
        <w:tc>
          <w:tcPr>
            <w:tcW w:w="1027" w:type="dxa"/>
          </w:tcPr>
          <w:p w14:paraId="01F7FD5C" w14:textId="77777777" w:rsidR="007B3C80" w:rsidRDefault="007B3C80" w:rsidP="0037191D">
            <w:r>
              <w:t>0.</w:t>
            </w:r>
            <w:r w:rsidR="0037191D">
              <w:t>25</w:t>
            </w:r>
          </w:p>
        </w:tc>
        <w:tc>
          <w:tcPr>
            <w:tcW w:w="1179" w:type="dxa"/>
          </w:tcPr>
          <w:p w14:paraId="21BF5D48" w14:textId="77777777" w:rsidR="007B3C80" w:rsidRDefault="007B3C80" w:rsidP="007B3C80">
            <w:r>
              <w:t>202,162</w:t>
            </w:r>
          </w:p>
        </w:tc>
        <w:tc>
          <w:tcPr>
            <w:tcW w:w="1168" w:type="dxa"/>
          </w:tcPr>
          <w:p w14:paraId="456A691A" w14:textId="77777777" w:rsidR="007B3C80" w:rsidRDefault="007B3C80" w:rsidP="007B3C80">
            <w:r>
              <w:t>107,352</w:t>
            </w:r>
          </w:p>
        </w:tc>
        <w:tc>
          <w:tcPr>
            <w:tcW w:w="1219" w:type="dxa"/>
          </w:tcPr>
          <w:p w14:paraId="1E4EE20A" w14:textId="77777777" w:rsidR="007B3C80" w:rsidRDefault="005C1D43" w:rsidP="007B3C80">
            <w:r>
              <w:t>77,378.50</w:t>
            </w:r>
          </w:p>
        </w:tc>
        <w:tc>
          <w:tcPr>
            <w:tcW w:w="1501" w:type="dxa"/>
          </w:tcPr>
          <w:p w14:paraId="53425A12" w14:textId="03DC378D" w:rsidR="007B3C80" w:rsidRDefault="00BC5C12" w:rsidP="00834B0D">
            <w:r>
              <w:t>$</w:t>
            </w:r>
            <w:r w:rsidR="00834B0D">
              <w:t>1,525,904.02</w:t>
            </w:r>
          </w:p>
        </w:tc>
      </w:tr>
      <w:tr w:rsidR="00840CDE" w14:paraId="5003C998" w14:textId="77777777" w:rsidTr="008E2019">
        <w:tc>
          <w:tcPr>
            <w:tcW w:w="2101" w:type="dxa"/>
          </w:tcPr>
          <w:p w14:paraId="414A52F1" w14:textId="77777777" w:rsidR="007B3C80" w:rsidRDefault="008E2019" w:rsidP="00CA524A">
            <w:r>
              <w:t xml:space="preserve">Division </w:t>
            </w:r>
            <w:r w:rsidR="007B3C80">
              <w:t>Responder</w:t>
            </w:r>
            <w:r>
              <w:rPr>
                <w:rStyle w:val="FootnoteReference"/>
              </w:rPr>
              <w:footnoteReference w:id="4"/>
            </w:r>
          </w:p>
        </w:tc>
        <w:tc>
          <w:tcPr>
            <w:tcW w:w="1155" w:type="dxa"/>
          </w:tcPr>
          <w:p w14:paraId="5B5CD039" w14:textId="23A4FE18" w:rsidR="007B3C80" w:rsidRDefault="007B3C80" w:rsidP="00047C07">
            <w:r>
              <w:t>$</w:t>
            </w:r>
            <w:r w:rsidR="00047C07">
              <w:t>89.56</w:t>
            </w:r>
          </w:p>
        </w:tc>
        <w:tc>
          <w:tcPr>
            <w:tcW w:w="1027" w:type="dxa"/>
          </w:tcPr>
          <w:p w14:paraId="12AD1166" w14:textId="0BB4ADC6" w:rsidR="007B3C80" w:rsidRDefault="00B97964" w:rsidP="007B3C80">
            <w:r>
              <w:t>0.25</w:t>
            </w:r>
          </w:p>
        </w:tc>
        <w:tc>
          <w:tcPr>
            <w:tcW w:w="1179" w:type="dxa"/>
          </w:tcPr>
          <w:p w14:paraId="14811EBE" w14:textId="77777777" w:rsidR="007B3C80" w:rsidRDefault="00BC5C12" w:rsidP="007B3C80">
            <w:r>
              <w:t>191,854</w:t>
            </w:r>
          </w:p>
        </w:tc>
        <w:tc>
          <w:tcPr>
            <w:tcW w:w="1168" w:type="dxa"/>
          </w:tcPr>
          <w:p w14:paraId="38852AB4" w14:textId="77777777" w:rsidR="007B3C80" w:rsidRDefault="007B3C80" w:rsidP="007B3C80">
            <w:r>
              <w:t>0</w:t>
            </w:r>
          </w:p>
        </w:tc>
        <w:tc>
          <w:tcPr>
            <w:tcW w:w="1219" w:type="dxa"/>
          </w:tcPr>
          <w:p w14:paraId="67C40066" w14:textId="77777777" w:rsidR="007B3C80" w:rsidRDefault="00BC5C12" w:rsidP="007B3C80">
            <w:r>
              <w:t>527,598.50</w:t>
            </w:r>
          </w:p>
        </w:tc>
        <w:tc>
          <w:tcPr>
            <w:tcW w:w="1501" w:type="dxa"/>
          </w:tcPr>
          <w:p w14:paraId="65502E0E" w14:textId="2D7B2A3F" w:rsidR="007B3C80" w:rsidRDefault="00BC5C12" w:rsidP="00B97964">
            <w:r>
              <w:t>$</w:t>
            </w:r>
            <w:r w:rsidR="00B97964">
              <w:t>11,812,930.42</w:t>
            </w:r>
          </w:p>
        </w:tc>
      </w:tr>
      <w:tr w:rsidR="00840CDE" w14:paraId="45EED1A0" w14:textId="77777777" w:rsidTr="008E2019">
        <w:tc>
          <w:tcPr>
            <w:tcW w:w="2101" w:type="dxa"/>
          </w:tcPr>
          <w:p w14:paraId="3C59A562" w14:textId="77777777" w:rsidR="007B3C80" w:rsidRDefault="007A5191" w:rsidP="0037191D">
            <w:r>
              <w:t>Specialist</w:t>
            </w:r>
          </w:p>
        </w:tc>
        <w:tc>
          <w:tcPr>
            <w:tcW w:w="1155" w:type="dxa"/>
          </w:tcPr>
          <w:p w14:paraId="562A8049" w14:textId="37D47132" w:rsidR="007B3C80" w:rsidRDefault="007A5191" w:rsidP="00834B0D">
            <w:r>
              <w:t>$</w:t>
            </w:r>
            <w:r w:rsidR="00834B0D">
              <w:t>96.44</w:t>
            </w:r>
          </w:p>
        </w:tc>
        <w:tc>
          <w:tcPr>
            <w:tcW w:w="1027" w:type="dxa"/>
          </w:tcPr>
          <w:p w14:paraId="378848A3" w14:textId="77777777" w:rsidR="007B3C80" w:rsidRDefault="007A5191" w:rsidP="007B3C80">
            <w:r>
              <w:t>0.25</w:t>
            </w:r>
          </w:p>
        </w:tc>
        <w:tc>
          <w:tcPr>
            <w:tcW w:w="1179" w:type="dxa"/>
          </w:tcPr>
          <w:p w14:paraId="02576013" w14:textId="77777777" w:rsidR="007B3C80" w:rsidRDefault="00BC5C12" w:rsidP="007B3C80">
            <w:r>
              <w:t>140,080</w:t>
            </w:r>
          </w:p>
        </w:tc>
        <w:tc>
          <w:tcPr>
            <w:tcW w:w="1168" w:type="dxa"/>
          </w:tcPr>
          <w:p w14:paraId="6D0D579F" w14:textId="77777777" w:rsidR="007B3C80" w:rsidRDefault="007A5191" w:rsidP="007B3C80">
            <w:r>
              <w:t>0</w:t>
            </w:r>
          </w:p>
        </w:tc>
        <w:tc>
          <w:tcPr>
            <w:tcW w:w="1219" w:type="dxa"/>
          </w:tcPr>
          <w:p w14:paraId="33E75ABD" w14:textId="77777777" w:rsidR="007B3C80" w:rsidRDefault="00BC5C12" w:rsidP="007B3C80">
            <w:r>
              <w:t>35,020</w:t>
            </w:r>
          </w:p>
        </w:tc>
        <w:tc>
          <w:tcPr>
            <w:tcW w:w="1501" w:type="dxa"/>
          </w:tcPr>
          <w:p w14:paraId="4D90C553" w14:textId="6C075F4E" w:rsidR="007B3C80" w:rsidRDefault="00BC5C12" w:rsidP="00840CDE">
            <w:r>
              <w:t>$</w:t>
            </w:r>
            <w:r w:rsidR="00840CDE">
              <w:t>844,332.20</w:t>
            </w:r>
          </w:p>
        </w:tc>
      </w:tr>
      <w:tr w:rsidR="00840CDE" w14:paraId="70FAA4F0" w14:textId="77777777" w:rsidTr="008E2019">
        <w:tc>
          <w:tcPr>
            <w:tcW w:w="2101" w:type="dxa"/>
          </w:tcPr>
          <w:p w14:paraId="75ECC41C" w14:textId="77777777" w:rsidR="007A5191" w:rsidRDefault="007A5191" w:rsidP="0037191D">
            <w:r>
              <w:t>Reviewer</w:t>
            </w:r>
          </w:p>
        </w:tc>
        <w:tc>
          <w:tcPr>
            <w:tcW w:w="1155" w:type="dxa"/>
          </w:tcPr>
          <w:p w14:paraId="172C4FF9" w14:textId="410C281E" w:rsidR="007A5191" w:rsidRDefault="007A5191" w:rsidP="00834B0D">
            <w:r>
              <w:t>$</w:t>
            </w:r>
            <w:r w:rsidR="00834B0D">
              <w:t>96.44</w:t>
            </w:r>
          </w:p>
        </w:tc>
        <w:tc>
          <w:tcPr>
            <w:tcW w:w="1027" w:type="dxa"/>
          </w:tcPr>
          <w:p w14:paraId="1A04C938" w14:textId="77777777" w:rsidR="007A5191" w:rsidRDefault="007A5191" w:rsidP="007B3C80">
            <w:r>
              <w:t>0.25</w:t>
            </w:r>
          </w:p>
        </w:tc>
        <w:tc>
          <w:tcPr>
            <w:tcW w:w="1179" w:type="dxa"/>
          </w:tcPr>
          <w:p w14:paraId="44A820F1" w14:textId="77777777" w:rsidR="007A5191" w:rsidRDefault="007A5191" w:rsidP="007B3C80">
            <w:r>
              <w:t>0</w:t>
            </w:r>
          </w:p>
        </w:tc>
        <w:tc>
          <w:tcPr>
            <w:tcW w:w="1168" w:type="dxa"/>
          </w:tcPr>
          <w:p w14:paraId="01048EDA" w14:textId="77777777" w:rsidR="007A5191" w:rsidRDefault="007A5191" w:rsidP="007B3C80">
            <w:r>
              <w:t>104,055</w:t>
            </w:r>
          </w:p>
        </w:tc>
        <w:tc>
          <w:tcPr>
            <w:tcW w:w="1219" w:type="dxa"/>
          </w:tcPr>
          <w:p w14:paraId="26E8F7BF" w14:textId="77777777" w:rsidR="007A5191" w:rsidRDefault="00BC5C12" w:rsidP="007B3C80">
            <w:r>
              <w:t>26,013.75</w:t>
            </w:r>
          </w:p>
        </w:tc>
        <w:tc>
          <w:tcPr>
            <w:tcW w:w="1501" w:type="dxa"/>
          </w:tcPr>
          <w:p w14:paraId="527516DB" w14:textId="0A6BED07" w:rsidR="007A5191" w:rsidRDefault="00BC5C12" w:rsidP="00840CDE">
            <w:r>
              <w:t>$</w:t>
            </w:r>
            <w:r w:rsidR="00840CDE">
              <w:t>627,191.51</w:t>
            </w:r>
          </w:p>
        </w:tc>
      </w:tr>
      <w:tr w:rsidR="008E2019" w14:paraId="0B1C6196" w14:textId="77777777" w:rsidTr="008E2019">
        <w:tc>
          <w:tcPr>
            <w:tcW w:w="7849" w:type="dxa"/>
            <w:gridSpan w:val="6"/>
          </w:tcPr>
          <w:p w14:paraId="5A967762" w14:textId="77777777" w:rsidR="008E2019" w:rsidRDefault="008E2019" w:rsidP="003807CE">
            <w:pPr>
              <w:jc w:val="right"/>
            </w:pPr>
            <w:r>
              <w:t>Total</w:t>
            </w:r>
          </w:p>
        </w:tc>
        <w:tc>
          <w:tcPr>
            <w:tcW w:w="1501" w:type="dxa"/>
          </w:tcPr>
          <w:p w14:paraId="596ECF87" w14:textId="6970EF1F" w:rsidR="008E2019" w:rsidRDefault="008E2019" w:rsidP="00B97964">
            <w:r>
              <w:t>$</w:t>
            </w:r>
            <w:r w:rsidR="00B97964">
              <w:t>14,810,358.15</w:t>
            </w:r>
          </w:p>
        </w:tc>
      </w:tr>
    </w:tbl>
    <w:p w14:paraId="5AD86E6A" w14:textId="60CA43A2" w:rsidR="001F3C47" w:rsidRDefault="001F3C47" w:rsidP="001F3C47">
      <w:pPr>
        <w:spacing w:after="0"/>
      </w:pPr>
    </w:p>
    <w:p w14:paraId="4A917FC8" w14:textId="6ECEE512" w:rsidR="00834B0D" w:rsidRDefault="00834B0D" w:rsidP="001F3C47">
      <w:pPr>
        <w:spacing w:after="0"/>
      </w:pPr>
      <w:r>
        <w:t>The 2018 mean hourly wage rates of Federal employees at FAA was estimated using the midpoints for Pay Band I (Technician/Analyst) and Pay Band J (Division Responder, Specialist, Reviewer) of the Core Compensation Pay Plan with no locality rate adjustment applied</w:t>
      </w:r>
      <w:r>
        <w:rPr>
          <w:rStyle w:val="FootnoteReference"/>
        </w:rPr>
        <w:footnoteReference w:id="5"/>
      </w:r>
      <w:r>
        <w:t>.  The FAA then multiplied the hourly wage rate by 2 to account for a fringe benefits rate of 69</w:t>
      </w:r>
      <w:r>
        <w:rPr>
          <w:rStyle w:val="FootnoteReference"/>
        </w:rPr>
        <w:footnoteReference w:id="6"/>
      </w:r>
      <w:r>
        <w:t xml:space="preserve"> percent and an overhead rate of 31</w:t>
      </w:r>
      <w:r>
        <w:rPr>
          <w:rStyle w:val="FootnoteReference"/>
        </w:rPr>
        <w:footnoteReference w:id="7"/>
      </w:r>
      <w:r>
        <w:t xml:space="preserve"> percent.</w:t>
      </w:r>
    </w:p>
    <w:p w14:paraId="1236D7E8" w14:textId="77777777" w:rsidR="00834B0D" w:rsidRDefault="00834B0D" w:rsidP="001F3C47">
      <w:pPr>
        <w:spacing w:after="0"/>
      </w:pPr>
    </w:p>
    <w:p w14:paraId="3C10B7D1" w14:textId="77777777" w:rsidR="00DA73D5" w:rsidRDefault="008E2019" w:rsidP="00DA73D5">
      <w:pPr>
        <w:spacing w:after="0"/>
      </w:pPr>
      <w:r>
        <w:t>In addition to the labor costs associated with processing this Information Collection</w:t>
      </w:r>
      <w:r w:rsidR="00B13254">
        <w:t xml:space="preserve"> during CY18</w:t>
      </w:r>
      <w:r>
        <w:t xml:space="preserve">, the FAA invested </w:t>
      </w:r>
      <w:r w:rsidR="00B13254">
        <w:t>funds totaling $2,244,628.40</w:t>
      </w:r>
      <w:r>
        <w:t xml:space="preserve"> </w:t>
      </w:r>
      <w:r w:rsidR="00B13254">
        <w:t xml:space="preserve">that same year </w:t>
      </w:r>
      <w:r>
        <w:t>to maintain</w:t>
      </w:r>
      <w:r w:rsidR="00B13254">
        <w:t xml:space="preserve"> and enhance</w:t>
      </w:r>
      <w:r>
        <w:t xml:space="preserve"> the automated OE/AAA System application.</w:t>
      </w:r>
      <w:r w:rsidR="00566DE6">
        <w:t xml:space="preserve">  The FAA anticipates investing the same amount per year over the next three years.</w:t>
      </w:r>
    </w:p>
    <w:p w14:paraId="6868A890" w14:textId="77777777" w:rsidR="00DA73D5" w:rsidRDefault="00DA73D5" w:rsidP="00DA73D5">
      <w:pPr>
        <w:spacing w:after="0"/>
      </w:pPr>
    </w:p>
    <w:p w14:paraId="12177BC6" w14:textId="2C926057" w:rsidR="00A27544" w:rsidRDefault="00B13254" w:rsidP="00DA73D5">
      <w:pPr>
        <w:spacing w:after="0"/>
      </w:pPr>
      <w:r>
        <w:t xml:space="preserve">Therefore the total annualized cost to </w:t>
      </w:r>
      <w:r w:rsidRPr="00323638">
        <w:rPr>
          <w:b/>
        </w:rPr>
        <w:t>the government is approximately $</w:t>
      </w:r>
      <w:r w:rsidR="00B97964" w:rsidRPr="00323638">
        <w:rPr>
          <w:b/>
        </w:rPr>
        <w:t>17.1</w:t>
      </w:r>
      <w:r w:rsidRPr="00323638">
        <w:rPr>
          <w:b/>
        </w:rPr>
        <w:t>M annually.</w:t>
      </w:r>
    </w:p>
    <w:p w14:paraId="29F41E24" w14:textId="77777777" w:rsidR="00AA2FC0" w:rsidRDefault="00AA2FC0" w:rsidP="00DA73D5">
      <w:pPr>
        <w:spacing w:after="0"/>
      </w:pPr>
    </w:p>
    <w:p w14:paraId="32718192" w14:textId="77777777" w:rsidR="00A27544" w:rsidRDefault="00A27544" w:rsidP="00DA73D5">
      <w:pPr>
        <w:spacing w:after="0"/>
      </w:pPr>
    </w:p>
    <w:p w14:paraId="47848E36" w14:textId="77777777" w:rsidR="00A27544" w:rsidRPr="00DA73D5" w:rsidRDefault="00A27544" w:rsidP="00DA73D5">
      <w:pPr>
        <w:spacing w:after="0"/>
        <w:rPr>
          <w:b/>
        </w:rPr>
      </w:pPr>
      <w:r w:rsidRPr="00DA73D5">
        <w:rPr>
          <w:b/>
        </w:rPr>
        <w:t>15. Explain the reasons for any program changes or adjustments.</w:t>
      </w:r>
    </w:p>
    <w:p w14:paraId="43509518" w14:textId="77777777" w:rsidR="00DA73D5" w:rsidRDefault="00DA73D5" w:rsidP="00DA73D5">
      <w:pPr>
        <w:spacing w:after="0"/>
      </w:pPr>
    </w:p>
    <w:p w14:paraId="57812A99" w14:textId="77777777" w:rsidR="00B854CA" w:rsidRDefault="00B854CA" w:rsidP="00B854CA">
      <w:r>
        <w:t>The adjustments between the last collection and this collection are the result of a steady annual increase in public response since the beginning of this collection and the continued use of e-filing while the total cost burden has all but been eliminated for respondents.  The FAA expects the number of submissions to continuously increase at a steady rate for both required and voluntary submissions to the FAA through the e-Filing System.</w:t>
      </w:r>
    </w:p>
    <w:p w14:paraId="114C0454" w14:textId="77777777" w:rsidR="00B854CA" w:rsidRDefault="00B854CA" w:rsidP="00B854CA"/>
    <w:p w14:paraId="2C4ECEB4" w14:textId="77777777" w:rsidR="00B854CA" w:rsidRDefault="00B854CA" w:rsidP="00B854CA">
      <w:r>
        <w:t>Note:  The burden does not include 2,400 responses that were previously included in the 2016 renewal that incorrectly included Web Based Frequency Coordination Request (WEBFCR). This renewal removes a previously listed collector of information for this form, WEBFCR, an application used by FAA Frequency Management. This recipient does not collect information from this form, and per their stated intent in the previous renewal, has filed for their own form and OMB number (Website for Frequency Coordination Request). This renewal removes and corrects usage and burden information referring to WEBFCR.</w:t>
      </w:r>
    </w:p>
    <w:p w14:paraId="665C8E1B" w14:textId="77777777" w:rsidR="00B854CA" w:rsidRDefault="00B854CA" w:rsidP="00B854CA"/>
    <w:p w14:paraId="07C47CED" w14:textId="77777777" w:rsidR="00B854CA" w:rsidRDefault="00B854CA" w:rsidP="00B854CA">
      <w:r>
        <w:t xml:space="preserve">The agency has separated collection activity into appropriate information collections, there has not been additional forms or applications added. </w:t>
      </w:r>
    </w:p>
    <w:p w14:paraId="17F93EC8" w14:textId="77777777" w:rsidR="00B854CA" w:rsidRDefault="00B854CA" w:rsidP="00B854CA"/>
    <w:p w14:paraId="4FEA385A" w14:textId="77777777" w:rsidR="00B854CA" w:rsidRDefault="00B854CA" w:rsidP="00B854CA">
      <w:r>
        <w:t>The terms “Project Status Report” have been removed from the title. Previously, “Project Status Report” was incorrectly included in the collection title.</w:t>
      </w:r>
    </w:p>
    <w:p w14:paraId="530C1560" w14:textId="77777777" w:rsidR="00A27544" w:rsidRDefault="00A27544" w:rsidP="00A27544"/>
    <w:p w14:paraId="119CD94C" w14:textId="77777777" w:rsidR="00A27544" w:rsidRPr="00DA73D5" w:rsidRDefault="00A27544" w:rsidP="00DA73D5">
      <w:pPr>
        <w:spacing w:after="0"/>
        <w:rPr>
          <w:b/>
        </w:rPr>
      </w:pPr>
      <w:r w:rsidRPr="00DA73D5">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948EEC8" w14:textId="77777777" w:rsidR="00DA73D5" w:rsidRDefault="00DA73D5" w:rsidP="00DA73D5">
      <w:pPr>
        <w:spacing w:after="0"/>
      </w:pPr>
    </w:p>
    <w:p w14:paraId="0DFD5503" w14:textId="644704F5" w:rsidR="00BF02B7" w:rsidRDefault="00960420" w:rsidP="00960420">
      <w:pPr>
        <w:spacing w:after="0"/>
        <w:rPr>
          <w:rStyle w:val="Hyperlink"/>
          <w:u w:val="none"/>
        </w:rPr>
      </w:pPr>
      <w:r>
        <w:t xml:space="preserve">The FAA makes aeronautical study results </w:t>
      </w:r>
      <w:r w:rsidR="0076413E">
        <w:t>available</w:t>
      </w:r>
      <w:r>
        <w:t xml:space="preserve"> </w:t>
      </w:r>
      <w:r w:rsidR="00DA73D5" w:rsidRPr="00DA73D5">
        <w:t xml:space="preserve">on the web site </w:t>
      </w:r>
      <w:hyperlink r:id="rId11" w:history="1">
        <w:r w:rsidR="00DA73D5" w:rsidRPr="000B283D">
          <w:rPr>
            <w:rStyle w:val="Hyperlink"/>
          </w:rPr>
          <w:t>https://oeaaa.faa.gov</w:t>
        </w:r>
      </w:hyperlink>
      <w:r w:rsidR="00BF02B7">
        <w:rPr>
          <w:rStyle w:val="Hyperlink"/>
        </w:rPr>
        <w:t xml:space="preserve"> </w:t>
      </w:r>
      <w:r>
        <w:rPr>
          <w:rStyle w:val="Hyperlink"/>
        </w:rPr>
        <w:t>.</w:t>
      </w:r>
    </w:p>
    <w:p w14:paraId="4AB30C36" w14:textId="77777777" w:rsidR="00BF02B7" w:rsidRPr="00D841DF" w:rsidRDefault="00BF02B7" w:rsidP="00DA73D5">
      <w:pPr>
        <w:spacing w:after="0"/>
        <w:rPr>
          <w:color w:val="0000FF" w:themeColor="hyperlink"/>
        </w:rPr>
      </w:pPr>
    </w:p>
    <w:p w14:paraId="51E84F54" w14:textId="77777777" w:rsidR="00DA73D5" w:rsidRDefault="00DA73D5" w:rsidP="00DA73D5">
      <w:pPr>
        <w:spacing w:after="0"/>
      </w:pPr>
    </w:p>
    <w:p w14:paraId="58382FF1" w14:textId="77777777" w:rsidR="00A27544" w:rsidRPr="00DA73D5" w:rsidRDefault="00A27544" w:rsidP="00DA73D5">
      <w:pPr>
        <w:spacing w:after="0"/>
        <w:rPr>
          <w:b/>
        </w:rPr>
      </w:pPr>
      <w:r w:rsidRPr="00DA73D5">
        <w:rPr>
          <w:b/>
        </w:rPr>
        <w:t>17. If seeking approval to not display the expiration date for OMB approval of the information collection, explain the reasons why display would be inappropriate.</w:t>
      </w:r>
    </w:p>
    <w:p w14:paraId="7E941600" w14:textId="77777777" w:rsidR="00DA73D5" w:rsidRDefault="00DA73D5" w:rsidP="00DA73D5">
      <w:pPr>
        <w:spacing w:after="0"/>
      </w:pPr>
    </w:p>
    <w:p w14:paraId="121CFBF5" w14:textId="77777777" w:rsidR="00A27544" w:rsidRDefault="00DA73D5" w:rsidP="00DA73D5">
      <w:pPr>
        <w:spacing w:after="0"/>
      </w:pPr>
      <w:r w:rsidRPr="00DA73D5">
        <w:t>FAA is seeking approval to not display the expiration date for OMB approval because these forms are stocked and reprinted automatically for continued use. It is not cost beneficial to discard unused dated stock. Even with compliance with the Government Paperwork Elimination Act allowing for respondents to submit information electronically, FAA is still dependent on paper stock in order to accommodate those respondents who are unable or choose not to do so. Printing the expiration date on the paper forms will result in an undue cost burden and waste.</w:t>
      </w:r>
    </w:p>
    <w:p w14:paraId="7CFAA684" w14:textId="77777777" w:rsidR="00DA73D5" w:rsidRDefault="00DA73D5" w:rsidP="00DA73D5">
      <w:pPr>
        <w:spacing w:after="0"/>
      </w:pPr>
    </w:p>
    <w:p w14:paraId="36D2FEDB" w14:textId="77777777" w:rsidR="00A27544" w:rsidRPr="00DA73D5" w:rsidRDefault="00A27544" w:rsidP="00DA73D5">
      <w:pPr>
        <w:spacing w:after="0"/>
        <w:rPr>
          <w:b/>
        </w:rPr>
      </w:pPr>
      <w:r w:rsidRPr="00DA73D5">
        <w:rPr>
          <w:b/>
        </w:rPr>
        <w:t>18. Explain each exception to the topics of the certification statement identified in “Certification for Paperwork Reduction Act Submissions.”</w:t>
      </w:r>
    </w:p>
    <w:p w14:paraId="5787D66C" w14:textId="77777777" w:rsidR="00DA73D5" w:rsidRDefault="00DA73D5" w:rsidP="00DA73D5">
      <w:pPr>
        <w:spacing w:after="0"/>
      </w:pPr>
    </w:p>
    <w:p w14:paraId="1139D649" w14:textId="77777777" w:rsidR="00A27544" w:rsidRDefault="00DA73D5" w:rsidP="00A27544">
      <w:r>
        <w:t>There are no</w:t>
      </w:r>
      <w:r w:rsidR="00A27544">
        <w:t xml:space="preserve"> exceptions.</w:t>
      </w:r>
    </w:p>
    <w:sectPr w:rsidR="00A27544">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304B2" w14:textId="77777777" w:rsidR="003178BE" w:rsidRDefault="003178BE" w:rsidP="00E760C0">
      <w:pPr>
        <w:spacing w:after="0" w:line="240" w:lineRule="auto"/>
      </w:pPr>
      <w:r>
        <w:separator/>
      </w:r>
    </w:p>
  </w:endnote>
  <w:endnote w:type="continuationSeparator" w:id="0">
    <w:p w14:paraId="4023EBF3" w14:textId="77777777" w:rsidR="003178BE" w:rsidRDefault="003178BE" w:rsidP="00E7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098ED" w14:textId="77777777" w:rsidR="003178BE" w:rsidRDefault="003178BE" w:rsidP="00E760C0">
      <w:pPr>
        <w:spacing w:after="0" w:line="240" w:lineRule="auto"/>
      </w:pPr>
      <w:r>
        <w:separator/>
      </w:r>
    </w:p>
  </w:footnote>
  <w:footnote w:type="continuationSeparator" w:id="0">
    <w:p w14:paraId="0AE375F3" w14:textId="77777777" w:rsidR="003178BE" w:rsidRDefault="003178BE" w:rsidP="00E760C0">
      <w:pPr>
        <w:spacing w:after="0" w:line="240" w:lineRule="auto"/>
      </w:pPr>
      <w:r>
        <w:continuationSeparator/>
      </w:r>
    </w:p>
  </w:footnote>
  <w:footnote w:id="1">
    <w:p w14:paraId="0E13AB4A" w14:textId="2CE321F9" w:rsidR="00D841DF" w:rsidRDefault="00D841DF">
      <w:pPr>
        <w:pStyle w:val="FootnoteText"/>
      </w:pPr>
      <w:r>
        <w:rPr>
          <w:rStyle w:val="FootnoteReference"/>
        </w:rPr>
        <w:footnoteRef/>
      </w:r>
      <w:r>
        <w:t xml:space="preserve"> There are no recordkeeping requirements for the public because of</w:t>
      </w:r>
      <w:r w:rsidRPr="00D841DF">
        <w:t xml:space="preserve"> how the FAA will process and disseminate</w:t>
      </w:r>
      <w:r>
        <w:t>s</w:t>
      </w:r>
      <w:r w:rsidRPr="00D841DF">
        <w:t xml:space="preserve"> the results of aeronautical stud</w:t>
      </w:r>
      <w:r>
        <w:t>ies</w:t>
      </w:r>
      <w:r w:rsidRPr="00D841DF">
        <w:t xml:space="preserve"> conducted based on a 7460-1 submission.  The FAA issues a letter upon completion of the aeronautical study and makes this determination and report of findings publically available via the Internet, therefore there is no record keeping cost to the respondent or the public in general.</w:t>
      </w:r>
    </w:p>
  </w:footnote>
  <w:footnote w:id="2">
    <w:p w14:paraId="0F947C41" w14:textId="001063F1" w:rsidR="00D73AD6" w:rsidRDefault="00D73AD6">
      <w:pPr>
        <w:pStyle w:val="FootnoteText"/>
      </w:pPr>
      <w:r>
        <w:rPr>
          <w:rStyle w:val="FootnoteReference"/>
        </w:rPr>
        <w:footnoteRef/>
      </w:r>
      <w:r>
        <w:t xml:space="preserve"> Total paper and electronic 7460-1 and 7460-2 respondents.  Because there is no direct </w:t>
      </w:r>
      <w:r w:rsidR="0076413E">
        <w:t>correlation</w:t>
      </w:r>
      <w:r>
        <w:t xml:space="preserve"> between the number of 7460-1 and 7460-2 respondents, each response is considered an independent action.</w:t>
      </w:r>
    </w:p>
  </w:footnote>
  <w:footnote w:id="3">
    <w:p w14:paraId="606279D9" w14:textId="7C167832" w:rsidR="00012904" w:rsidRPr="00012904" w:rsidRDefault="00012904">
      <w:pPr>
        <w:pStyle w:val="FootnoteText"/>
      </w:pPr>
      <w:r>
        <w:rPr>
          <w:rStyle w:val="FootnoteReference"/>
        </w:rPr>
        <w:footnoteRef/>
      </w:r>
      <w:r>
        <w:t xml:space="preserve"> Bureau of Labor Statistics News Release, USDL-18-0944, dated June 8, 2018, </w:t>
      </w:r>
      <w:r>
        <w:rPr>
          <w:i/>
        </w:rPr>
        <w:t>Employer Costs for Employee Compensation.</w:t>
      </w:r>
    </w:p>
  </w:footnote>
  <w:footnote w:id="4">
    <w:p w14:paraId="22937E49" w14:textId="3332B394" w:rsidR="008E2019" w:rsidRDefault="008E2019">
      <w:pPr>
        <w:pStyle w:val="FootnoteText"/>
      </w:pPr>
      <w:r>
        <w:rPr>
          <w:rStyle w:val="FootnoteReference"/>
        </w:rPr>
        <w:footnoteRef/>
      </w:r>
      <w:r>
        <w:t xml:space="preserve"> There are 11 government employee responders </w:t>
      </w:r>
      <w:r w:rsidR="00047C07">
        <w:t xml:space="preserve">ranging from Pay Band I to J </w:t>
      </w:r>
      <w:r>
        <w:t>that utilize the OE/AAA System application to submit their contributions to the aeronautical studies conducted by the FAA to support this information collection</w:t>
      </w:r>
      <w:r w:rsidR="00047C07">
        <w:t xml:space="preserve">. The FAA used the 2018 mean hourly wage rate for these two bands combined with no locality rate adjustment applied.  The </w:t>
      </w:r>
      <w:r w:rsidR="00B97964">
        <w:t xml:space="preserve">processing time per hour for an individual is 0.25 hours so the FAA multiplied the IC#1 processed by 0.25 * 11 = 2.75 to calculate the total processing hours and then multiplied that by 0.25 of the average mean salary to </w:t>
      </w:r>
      <w:r w:rsidR="0076413E">
        <w:t>determine</w:t>
      </w:r>
      <w:r w:rsidR="00B97964">
        <w:t xml:space="preserve"> the approximate annualized cost to the government for the Division Responder role.</w:t>
      </w:r>
      <w:r w:rsidR="00047C07">
        <w:t xml:space="preserve"> </w:t>
      </w:r>
    </w:p>
  </w:footnote>
  <w:footnote w:id="5">
    <w:p w14:paraId="4B00D27A" w14:textId="77777777" w:rsidR="00834B0D" w:rsidRDefault="00834B0D" w:rsidP="00834B0D">
      <w:pPr>
        <w:pStyle w:val="FootnoteText"/>
      </w:pPr>
      <w:r>
        <w:rPr>
          <w:rStyle w:val="FootnoteReference"/>
        </w:rPr>
        <w:footnoteRef/>
      </w:r>
      <w:r>
        <w:t xml:space="preserve"> Source: FAA Pay &amp; Benefits Core Compensation Plan (FV) Salary Table </w:t>
      </w:r>
      <w:r w:rsidRPr="00C347B7">
        <w:t>https://www.faa.gov/jobs/working_here/benefits/</w:t>
      </w:r>
    </w:p>
    <w:p w14:paraId="3EA2097F" w14:textId="33D7AFD7" w:rsidR="00834B0D" w:rsidRDefault="00834B0D">
      <w:pPr>
        <w:pStyle w:val="FootnoteText"/>
      </w:pPr>
    </w:p>
  </w:footnote>
  <w:footnote w:id="6">
    <w:p w14:paraId="0246A58E" w14:textId="37FDD436" w:rsidR="00834B0D" w:rsidRDefault="00834B0D">
      <w:pPr>
        <w:pStyle w:val="FootnoteText"/>
      </w:pPr>
      <w:r>
        <w:rPr>
          <w:rStyle w:val="FootnoteReference"/>
        </w:rPr>
        <w:footnoteRef/>
      </w:r>
      <w:r>
        <w:t xml:space="preserve"> Source: Congressional Budget Office, “Comparing the Compensation of Federal and Private-Sector Employees, 2011 to 2015” (April 2017), </w:t>
      </w:r>
      <w:r>
        <w:rPr>
          <w:color w:val="0461C1"/>
        </w:rPr>
        <w:t>https://www.cbo.gov/publication/52637</w:t>
      </w:r>
      <w:r>
        <w:t>. The wages of Federal workers averaged $38.30 per hour over the study period, while the benefits averaged $26.50 per hour, which is a benefits rate of 69 percent.</w:t>
      </w:r>
    </w:p>
  </w:footnote>
  <w:footnote w:id="7">
    <w:p w14:paraId="7C49C63F" w14:textId="3354505A" w:rsidR="00834B0D" w:rsidRDefault="00834B0D">
      <w:pPr>
        <w:pStyle w:val="FootnoteText"/>
      </w:pPr>
      <w:r>
        <w:rPr>
          <w:rStyle w:val="FootnoteReference"/>
        </w:rPr>
        <w:footnoteRef/>
      </w:r>
      <w:r>
        <w:t xml:space="preserve"> Source: U.S. Department of Health and Human Services, “Guidelines for Regulatory Impact Analysis” (2016), </w:t>
      </w:r>
      <w:r>
        <w:rPr>
          <w:color w:val="0461C1"/>
        </w:rPr>
        <w:t>https://aspe.hhs.gov/system/files/pdf/242926/HHS_RIAGuidance.pdf</w:t>
      </w:r>
      <w:r>
        <w:t>. On page 30, HHS states, “As an interim default, while HHS conducts more research, analysts should assume overhead costs (including benefits) are equal to 100 percent of pretax wages….” To isolate the overhead rate, the Department subtracted the benefits rate of 69 percent from the recommended rate of 100 percent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4D4"/>
    <w:multiLevelType w:val="hybridMultilevel"/>
    <w:tmpl w:val="C200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64E62"/>
    <w:multiLevelType w:val="hybridMultilevel"/>
    <w:tmpl w:val="0F1AD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33B93"/>
    <w:multiLevelType w:val="hybridMultilevel"/>
    <w:tmpl w:val="7DD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E2F82"/>
    <w:multiLevelType w:val="hybridMultilevel"/>
    <w:tmpl w:val="C200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3609A"/>
    <w:multiLevelType w:val="hybridMultilevel"/>
    <w:tmpl w:val="9882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4517E"/>
    <w:multiLevelType w:val="hybridMultilevel"/>
    <w:tmpl w:val="CE1A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44"/>
    <w:rsid w:val="00011A0A"/>
    <w:rsid w:val="00012904"/>
    <w:rsid w:val="00026834"/>
    <w:rsid w:val="00030B7B"/>
    <w:rsid w:val="00044D5E"/>
    <w:rsid w:val="00047C07"/>
    <w:rsid w:val="00072962"/>
    <w:rsid w:val="00076EAA"/>
    <w:rsid w:val="000A16C0"/>
    <w:rsid w:val="000C24D1"/>
    <w:rsid w:val="00115104"/>
    <w:rsid w:val="0017043F"/>
    <w:rsid w:val="00174D22"/>
    <w:rsid w:val="001A0CBC"/>
    <w:rsid w:val="001A77E3"/>
    <w:rsid w:val="001E6439"/>
    <w:rsid w:val="001F3C47"/>
    <w:rsid w:val="0021213C"/>
    <w:rsid w:val="00241225"/>
    <w:rsid w:val="002540CD"/>
    <w:rsid w:val="002D79C8"/>
    <w:rsid w:val="0030313C"/>
    <w:rsid w:val="003050D5"/>
    <w:rsid w:val="0031532D"/>
    <w:rsid w:val="003178BE"/>
    <w:rsid w:val="00323638"/>
    <w:rsid w:val="003362B9"/>
    <w:rsid w:val="003510E3"/>
    <w:rsid w:val="0037191D"/>
    <w:rsid w:val="003807CE"/>
    <w:rsid w:val="003B4B22"/>
    <w:rsid w:val="003C4229"/>
    <w:rsid w:val="003C423C"/>
    <w:rsid w:val="003D323E"/>
    <w:rsid w:val="004276C1"/>
    <w:rsid w:val="0043683B"/>
    <w:rsid w:val="00457669"/>
    <w:rsid w:val="0046754E"/>
    <w:rsid w:val="00477D3F"/>
    <w:rsid w:val="0049218C"/>
    <w:rsid w:val="004B4CF2"/>
    <w:rsid w:val="004B4FE2"/>
    <w:rsid w:val="004D1911"/>
    <w:rsid w:val="00566DE6"/>
    <w:rsid w:val="005976AB"/>
    <w:rsid w:val="0059772B"/>
    <w:rsid w:val="005B4A25"/>
    <w:rsid w:val="005C1D43"/>
    <w:rsid w:val="006315E4"/>
    <w:rsid w:val="00642D12"/>
    <w:rsid w:val="00684E10"/>
    <w:rsid w:val="006B07BD"/>
    <w:rsid w:val="006D4565"/>
    <w:rsid w:val="006D4A7E"/>
    <w:rsid w:val="006D5D3A"/>
    <w:rsid w:val="006E08AE"/>
    <w:rsid w:val="00743797"/>
    <w:rsid w:val="00744942"/>
    <w:rsid w:val="007638A9"/>
    <w:rsid w:val="0076413E"/>
    <w:rsid w:val="007671C9"/>
    <w:rsid w:val="00772559"/>
    <w:rsid w:val="00783F80"/>
    <w:rsid w:val="00792BA1"/>
    <w:rsid w:val="007A5191"/>
    <w:rsid w:val="007B3C80"/>
    <w:rsid w:val="007E1A6C"/>
    <w:rsid w:val="007E341B"/>
    <w:rsid w:val="00803F7B"/>
    <w:rsid w:val="008107FB"/>
    <w:rsid w:val="00814879"/>
    <w:rsid w:val="0081582E"/>
    <w:rsid w:val="00817E46"/>
    <w:rsid w:val="00825A97"/>
    <w:rsid w:val="008275D4"/>
    <w:rsid w:val="00834B0D"/>
    <w:rsid w:val="00840CDE"/>
    <w:rsid w:val="00843F65"/>
    <w:rsid w:val="008519E2"/>
    <w:rsid w:val="008840D0"/>
    <w:rsid w:val="008A051B"/>
    <w:rsid w:val="008C67B4"/>
    <w:rsid w:val="008E2019"/>
    <w:rsid w:val="008F2675"/>
    <w:rsid w:val="008F7493"/>
    <w:rsid w:val="00931E05"/>
    <w:rsid w:val="00947656"/>
    <w:rsid w:val="00960420"/>
    <w:rsid w:val="009633FC"/>
    <w:rsid w:val="009A213A"/>
    <w:rsid w:val="009F4B36"/>
    <w:rsid w:val="00A27544"/>
    <w:rsid w:val="00A349FF"/>
    <w:rsid w:val="00A70373"/>
    <w:rsid w:val="00A750E3"/>
    <w:rsid w:val="00AA2FC0"/>
    <w:rsid w:val="00AC7421"/>
    <w:rsid w:val="00AE72A4"/>
    <w:rsid w:val="00B13254"/>
    <w:rsid w:val="00B218F8"/>
    <w:rsid w:val="00B42BDF"/>
    <w:rsid w:val="00B47363"/>
    <w:rsid w:val="00B81E56"/>
    <w:rsid w:val="00B81F1C"/>
    <w:rsid w:val="00B854CA"/>
    <w:rsid w:val="00B87BB9"/>
    <w:rsid w:val="00B97964"/>
    <w:rsid w:val="00BB7086"/>
    <w:rsid w:val="00BC11E7"/>
    <w:rsid w:val="00BC5C12"/>
    <w:rsid w:val="00BE63B3"/>
    <w:rsid w:val="00BF02B7"/>
    <w:rsid w:val="00C11E26"/>
    <w:rsid w:val="00C147A6"/>
    <w:rsid w:val="00C372A6"/>
    <w:rsid w:val="00C73052"/>
    <w:rsid w:val="00C779E8"/>
    <w:rsid w:val="00C8718D"/>
    <w:rsid w:val="00CA2081"/>
    <w:rsid w:val="00CA524A"/>
    <w:rsid w:val="00D035D3"/>
    <w:rsid w:val="00D73A12"/>
    <w:rsid w:val="00D73AD6"/>
    <w:rsid w:val="00D841DF"/>
    <w:rsid w:val="00DA73D5"/>
    <w:rsid w:val="00DC21FE"/>
    <w:rsid w:val="00DE5DFC"/>
    <w:rsid w:val="00E57CD1"/>
    <w:rsid w:val="00E760C0"/>
    <w:rsid w:val="00EC7B1D"/>
    <w:rsid w:val="00ED617E"/>
    <w:rsid w:val="00ED770B"/>
    <w:rsid w:val="00EF1221"/>
    <w:rsid w:val="00F30885"/>
    <w:rsid w:val="00F60817"/>
    <w:rsid w:val="00F77BE7"/>
    <w:rsid w:val="00F94A18"/>
    <w:rsid w:val="00FA4D1E"/>
    <w:rsid w:val="00FA7981"/>
    <w:rsid w:val="00FD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44"/>
    <w:pPr>
      <w:ind w:left="720"/>
      <w:contextualSpacing/>
    </w:pPr>
  </w:style>
  <w:style w:type="character" w:styleId="Hyperlink">
    <w:name w:val="Hyperlink"/>
    <w:basedOn w:val="DefaultParagraphFont"/>
    <w:uiPriority w:val="99"/>
    <w:unhideWhenUsed/>
    <w:rsid w:val="00DA73D5"/>
    <w:rPr>
      <w:color w:val="0000FF" w:themeColor="hyperlink"/>
      <w:u w:val="single"/>
    </w:rPr>
  </w:style>
  <w:style w:type="paragraph" w:styleId="BalloonText">
    <w:name w:val="Balloon Text"/>
    <w:basedOn w:val="Normal"/>
    <w:link w:val="BalloonTextChar"/>
    <w:uiPriority w:val="99"/>
    <w:semiHidden/>
    <w:unhideWhenUsed/>
    <w:rsid w:val="0079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A1"/>
    <w:rPr>
      <w:rFonts w:ascii="Segoe UI" w:hAnsi="Segoe UI" w:cs="Segoe UI"/>
      <w:sz w:val="18"/>
      <w:szCs w:val="18"/>
    </w:rPr>
  </w:style>
  <w:style w:type="table" w:styleId="TableGrid">
    <w:name w:val="Table Grid"/>
    <w:basedOn w:val="TableNormal"/>
    <w:uiPriority w:val="59"/>
    <w:rsid w:val="00DC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0C0"/>
    <w:rPr>
      <w:sz w:val="20"/>
      <w:szCs w:val="20"/>
    </w:rPr>
  </w:style>
  <w:style w:type="character" w:styleId="FootnoteReference">
    <w:name w:val="footnote reference"/>
    <w:basedOn w:val="DefaultParagraphFont"/>
    <w:uiPriority w:val="99"/>
    <w:semiHidden/>
    <w:unhideWhenUsed/>
    <w:rsid w:val="00E760C0"/>
    <w:rPr>
      <w:vertAlign w:val="superscript"/>
    </w:rPr>
  </w:style>
  <w:style w:type="character" w:styleId="CommentReference">
    <w:name w:val="annotation reference"/>
    <w:basedOn w:val="DefaultParagraphFont"/>
    <w:uiPriority w:val="99"/>
    <w:semiHidden/>
    <w:unhideWhenUsed/>
    <w:rsid w:val="00ED617E"/>
    <w:rPr>
      <w:sz w:val="16"/>
      <w:szCs w:val="16"/>
    </w:rPr>
  </w:style>
  <w:style w:type="paragraph" w:styleId="CommentText">
    <w:name w:val="annotation text"/>
    <w:basedOn w:val="Normal"/>
    <w:link w:val="CommentTextChar"/>
    <w:uiPriority w:val="99"/>
    <w:semiHidden/>
    <w:unhideWhenUsed/>
    <w:rsid w:val="00ED617E"/>
    <w:pPr>
      <w:spacing w:line="240" w:lineRule="auto"/>
    </w:pPr>
    <w:rPr>
      <w:sz w:val="20"/>
      <w:szCs w:val="20"/>
    </w:rPr>
  </w:style>
  <w:style w:type="character" w:customStyle="1" w:styleId="CommentTextChar">
    <w:name w:val="Comment Text Char"/>
    <w:basedOn w:val="DefaultParagraphFont"/>
    <w:link w:val="CommentText"/>
    <w:uiPriority w:val="99"/>
    <w:semiHidden/>
    <w:rsid w:val="00ED617E"/>
    <w:rPr>
      <w:sz w:val="20"/>
      <w:szCs w:val="20"/>
    </w:rPr>
  </w:style>
  <w:style w:type="paragraph" w:styleId="CommentSubject">
    <w:name w:val="annotation subject"/>
    <w:basedOn w:val="CommentText"/>
    <w:next w:val="CommentText"/>
    <w:link w:val="CommentSubjectChar"/>
    <w:uiPriority w:val="99"/>
    <w:semiHidden/>
    <w:unhideWhenUsed/>
    <w:rsid w:val="00ED617E"/>
    <w:rPr>
      <w:b/>
      <w:bCs/>
    </w:rPr>
  </w:style>
  <w:style w:type="character" w:customStyle="1" w:styleId="CommentSubjectChar">
    <w:name w:val="Comment Subject Char"/>
    <w:basedOn w:val="CommentTextChar"/>
    <w:link w:val="CommentSubject"/>
    <w:uiPriority w:val="99"/>
    <w:semiHidden/>
    <w:rsid w:val="00ED61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44"/>
    <w:pPr>
      <w:ind w:left="720"/>
      <w:contextualSpacing/>
    </w:pPr>
  </w:style>
  <w:style w:type="character" w:styleId="Hyperlink">
    <w:name w:val="Hyperlink"/>
    <w:basedOn w:val="DefaultParagraphFont"/>
    <w:uiPriority w:val="99"/>
    <w:unhideWhenUsed/>
    <w:rsid w:val="00DA73D5"/>
    <w:rPr>
      <w:color w:val="0000FF" w:themeColor="hyperlink"/>
      <w:u w:val="single"/>
    </w:rPr>
  </w:style>
  <w:style w:type="paragraph" w:styleId="BalloonText">
    <w:name w:val="Balloon Text"/>
    <w:basedOn w:val="Normal"/>
    <w:link w:val="BalloonTextChar"/>
    <w:uiPriority w:val="99"/>
    <w:semiHidden/>
    <w:unhideWhenUsed/>
    <w:rsid w:val="0079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A1"/>
    <w:rPr>
      <w:rFonts w:ascii="Segoe UI" w:hAnsi="Segoe UI" w:cs="Segoe UI"/>
      <w:sz w:val="18"/>
      <w:szCs w:val="18"/>
    </w:rPr>
  </w:style>
  <w:style w:type="table" w:styleId="TableGrid">
    <w:name w:val="Table Grid"/>
    <w:basedOn w:val="TableNormal"/>
    <w:uiPriority w:val="59"/>
    <w:rsid w:val="00DC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0C0"/>
    <w:rPr>
      <w:sz w:val="20"/>
      <w:szCs w:val="20"/>
    </w:rPr>
  </w:style>
  <w:style w:type="character" w:styleId="FootnoteReference">
    <w:name w:val="footnote reference"/>
    <w:basedOn w:val="DefaultParagraphFont"/>
    <w:uiPriority w:val="99"/>
    <w:semiHidden/>
    <w:unhideWhenUsed/>
    <w:rsid w:val="00E760C0"/>
    <w:rPr>
      <w:vertAlign w:val="superscript"/>
    </w:rPr>
  </w:style>
  <w:style w:type="character" w:styleId="CommentReference">
    <w:name w:val="annotation reference"/>
    <w:basedOn w:val="DefaultParagraphFont"/>
    <w:uiPriority w:val="99"/>
    <w:semiHidden/>
    <w:unhideWhenUsed/>
    <w:rsid w:val="00ED617E"/>
    <w:rPr>
      <w:sz w:val="16"/>
      <w:szCs w:val="16"/>
    </w:rPr>
  </w:style>
  <w:style w:type="paragraph" w:styleId="CommentText">
    <w:name w:val="annotation text"/>
    <w:basedOn w:val="Normal"/>
    <w:link w:val="CommentTextChar"/>
    <w:uiPriority w:val="99"/>
    <w:semiHidden/>
    <w:unhideWhenUsed/>
    <w:rsid w:val="00ED617E"/>
    <w:pPr>
      <w:spacing w:line="240" w:lineRule="auto"/>
    </w:pPr>
    <w:rPr>
      <w:sz w:val="20"/>
      <w:szCs w:val="20"/>
    </w:rPr>
  </w:style>
  <w:style w:type="character" w:customStyle="1" w:styleId="CommentTextChar">
    <w:name w:val="Comment Text Char"/>
    <w:basedOn w:val="DefaultParagraphFont"/>
    <w:link w:val="CommentText"/>
    <w:uiPriority w:val="99"/>
    <w:semiHidden/>
    <w:rsid w:val="00ED617E"/>
    <w:rPr>
      <w:sz w:val="20"/>
      <w:szCs w:val="20"/>
    </w:rPr>
  </w:style>
  <w:style w:type="paragraph" w:styleId="CommentSubject">
    <w:name w:val="annotation subject"/>
    <w:basedOn w:val="CommentText"/>
    <w:next w:val="CommentText"/>
    <w:link w:val="CommentSubjectChar"/>
    <w:uiPriority w:val="99"/>
    <w:semiHidden/>
    <w:unhideWhenUsed/>
    <w:rsid w:val="00ED617E"/>
    <w:rPr>
      <w:b/>
      <w:bCs/>
    </w:rPr>
  </w:style>
  <w:style w:type="character" w:customStyle="1" w:styleId="CommentSubjectChar">
    <w:name w:val="Comment Subject Char"/>
    <w:basedOn w:val="CommentTextChar"/>
    <w:link w:val="CommentSubject"/>
    <w:uiPriority w:val="99"/>
    <w:semiHidden/>
    <w:rsid w:val="00ED6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eaaa.faa.gov" TargetMode="External"/><Relationship Id="rId5" Type="http://schemas.openxmlformats.org/officeDocument/2006/relationships/settings" Target="settings.xml"/><Relationship Id="rId10" Type="http://schemas.openxmlformats.org/officeDocument/2006/relationships/hyperlink" Target="https://www.faa.gov/forms/" TargetMode="External"/><Relationship Id="rId4" Type="http://schemas.microsoft.com/office/2007/relationships/stylesWithEffects" Target="stylesWithEffects.xml"/><Relationship Id="rId9" Type="http://schemas.openxmlformats.org/officeDocument/2006/relationships/hyperlink" Target="https://oeaaa.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64C9-F86D-4F3A-9263-5DC7C34D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David (FAA)</dc:creator>
  <cp:keywords/>
  <dc:description/>
  <cp:lastModifiedBy>SYSTEM</cp:lastModifiedBy>
  <cp:revision>2</cp:revision>
  <dcterms:created xsi:type="dcterms:W3CDTF">2019-09-26T22:33:00Z</dcterms:created>
  <dcterms:modified xsi:type="dcterms:W3CDTF">2019-09-26T22:33:00Z</dcterms:modified>
  <cp:contentStatus/>
</cp:coreProperties>
</file>