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CA748" w14:textId="472550D6" w:rsidR="00227221" w:rsidRPr="000C13D2" w:rsidRDefault="00227221" w:rsidP="00227221">
      <w:pPr>
        <w:pStyle w:val="Heading1"/>
      </w:pPr>
      <w:bookmarkStart w:id="0" w:name="_GoBack"/>
      <w:bookmarkEnd w:id="0"/>
      <w:r>
        <w:rPr>
          <w:rStyle w:val="normaltextrun1"/>
        </w:rPr>
        <w:t>DEPARTMENT OF TRANSPORTATION</w:t>
      </w:r>
    </w:p>
    <w:p w14:paraId="24D3992B" w14:textId="77777777" w:rsidR="00227221" w:rsidRDefault="00227221" w:rsidP="00B0635C">
      <w:pPr>
        <w:pStyle w:val="Heading1"/>
        <w:rPr>
          <w:rStyle w:val="normaltextrun1"/>
        </w:rPr>
      </w:pPr>
      <w:r>
        <w:rPr>
          <w:rStyle w:val="normaltextrun1"/>
        </w:rPr>
        <w:t>INFORMATION COLLECTION</w:t>
      </w:r>
    </w:p>
    <w:p w14:paraId="2162CCDB" w14:textId="77777777" w:rsidR="00227221" w:rsidRDefault="00227221" w:rsidP="00B0635C">
      <w:pPr>
        <w:pStyle w:val="Heading1"/>
        <w:spacing w:before="0"/>
        <w:rPr>
          <w:rStyle w:val="normaltextrun1"/>
        </w:rPr>
      </w:pPr>
      <w:r>
        <w:rPr>
          <w:rStyle w:val="normaltextrun1"/>
        </w:rPr>
        <w:t>SUPPORTING STATEMENT</w:t>
      </w:r>
    </w:p>
    <w:p w14:paraId="3E8100CB" w14:textId="7875BABA" w:rsidR="00227221" w:rsidRDefault="00464ED8" w:rsidP="00B0635C">
      <w:pPr>
        <w:pStyle w:val="Heading1"/>
        <w:spacing w:before="0"/>
        <w:rPr>
          <w:rStyle w:val="normaltextrun1"/>
        </w:rPr>
      </w:pPr>
      <w:r w:rsidRPr="00464ED8">
        <w:rPr>
          <w:rStyle w:val="normaltextrun1"/>
        </w:rPr>
        <w:t xml:space="preserve">An Analysis of the Use </w:t>
      </w:r>
      <w:r w:rsidRPr="00A75C4B">
        <w:rPr>
          <w:rStyle w:val="normaltextrun1"/>
        </w:rPr>
        <w:t>of</w:t>
      </w:r>
      <w:r w:rsidRPr="00464ED8">
        <w:rPr>
          <w:rStyle w:val="normaltextrun1"/>
        </w:rPr>
        <w:t xml:space="preserve"> Waiver Valuations by Federal, State and Local Public Agencies (LPAs): Identifying and Measuring Outcomes That C</w:t>
      </w:r>
      <w:r w:rsidR="008B5E9B">
        <w:rPr>
          <w:rStyle w:val="normaltextrun1"/>
        </w:rPr>
        <w:t>ould Further Streamline Project</w:t>
      </w:r>
    </w:p>
    <w:p w14:paraId="0BCCFB2D" w14:textId="0F6AFBBF" w:rsidR="00227221" w:rsidRPr="00B0635C" w:rsidRDefault="009E52F5" w:rsidP="009E52F5">
      <w:pPr>
        <w:contextualSpacing/>
        <w:jc w:val="center"/>
      </w:pPr>
      <w:r>
        <w:rPr>
          <w:szCs w:val="24"/>
        </w:rPr>
        <w:t xml:space="preserve">OMB Control </w:t>
      </w:r>
      <w:r w:rsidRPr="00062D14">
        <w:rPr>
          <w:szCs w:val="24"/>
        </w:rPr>
        <w:t xml:space="preserve">No. </w:t>
      </w:r>
      <w:r w:rsidR="00062D14" w:rsidRPr="00062D14">
        <w:rPr>
          <w:szCs w:val="24"/>
        </w:rPr>
        <w:t>2125</w:t>
      </w:r>
      <w:r w:rsidRPr="00062D14">
        <w:rPr>
          <w:szCs w:val="24"/>
        </w:rPr>
        <w:t>-XXXX.</w:t>
      </w:r>
    </w:p>
    <w:p w14:paraId="185B7825" w14:textId="44E74251" w:rsidR="00227221" w:rsidRPr="00227221" w:rsidRDefault="00227221" w:rsidP="00B0635C"/>
    <w:p w14:paraId="42E57C69" w14:textId="4C12CAF4" w:rsidR="00227221" w:rsidRDefault="00227221" w:rsidP="008F7E4B">
      <w:pPr>
        <w:pStyle w:val="Heading2"/>
      </w:pPr>
      <w:r w:rsidRPr="008F7E4B">
        <w:t>INTRODUCTION</w:t>
      </w:r>
    </w:p>
    <w:p w14:paraId="37A5D613" w14:textId="3336DE84" w:rsidR="00A75C4B" w:rsidRPr="00B0635C" w:rsidRDefault="00A75C4B" w:rsidP="002E42C2">
      <w:pPr>
        <w:rPr>
          <w:bCs/>
        </w:rPr>
      </w:pPr>
      <w:r>
        <w:t>T</w:t>
      </w:r>
      <w:r w:rsidR="43680B74" w:rsidRPr="00A75C4B">
        <w:t xml:space="preserve">his is </w:t>
      </w:r>
      <w:r w:rsidR="00227221">
        <w:t xml:space="preserve">to </w:t>
      </w:r>
      <w:r w:rsidR="43680B74" w:rsidRPr="00A75C4B">
        <w:t xml:space="preserve">request </w:t>
      </w:r>
      <w:r w:rsidR="00227221">
        <w:t xml:space="preserve">the Office of Management and Budget’s (OMB) approval for the information collection </w:t>
      </w:r>
      <w:r w:rsidR="43680B74" w:rsidRPr="00A75C4B">
        <w:t xml:space="preserve">entitled </w:t>
      </w:r>
      <w:r w:rsidR="00B0635C">
        <w:t>“</w:t>
      </w:r>
      <w:r w:rsidR="43680B74" w:rsidRPr="00A75C4B">
        <w:t>An Analysis of the Use of Waiver Valuations by Federal, State and Local Public Agencies (LPAs): Identifying and Measuring Outcomes That Could Further Streamline Project Delivery Supporting Statement.</w:t>
      </w:r>
      <w:r w:rsidR="00B0635C">
        <w:t>”</w:t>
      </w:r>
      <w:r w:rsidR="43680B74" w:rsidRPr="00A75C4B">
        <w:t xml:space="preserve"> </w:t>
      </w:r>
      <w:r w:rsidR="00B0635C">
        <w:t>(“National Waiver Valuation Survey”)</w:t>
      </w:r>
    </w:p>
    <w:p w14:paraId="6CFA95B7" w14:textId="0350562D" w:rsidR="00464ED8" w:rsidRDefault="00227221" w:rsidP="00A75C4B">
      <w:pPr>
        <w:pStyle w:val="Heading1"/>
        <w:jc w:val="left"/>
        <w:rPr>
          <w:rFonts w:eastAsia="Times New Roman"/>
        </w:rPr>
      </w:pPr>
      <w:r>
        <w:rPr>
          <w:rFonts w:eastAsia="Times New Roman"/>
        </w:rPr>
        <w:t xml:space="preserve">Part </w:t>
      </w:r>
      <w:r w:rsidR="00464ED8" w:rsidRPr="00A75C4B">
        <w:rPr>
          <w:rFonts w:eastAsia="Times New Roman"/>
        </w:rPr>
        <w:t xml:space="preserve">A. </w:t>
      </w:r>
      <w:r w:rsidR="00A75C4B">
        <w:rPr>
          <w:rFonts w:eastAsia="Times New Roman"/>
        </w:rPr>
        <w:t xml:space="preserve"> </w:t>
      </w:r>
      <w:r w:rsidR="00464ED8" w:rsidRPr="00A75C4B">
        <w:rPr>
          <w:rFonts w:eastAsia="Times New Roman"/>
        </w:rPr>
        <w:t>Justification</w:t>
      </w:r>
    </w:p>
    <w:p w14:paraId="6B82741F" w14:textId="77777777" w:rsidR="00A75C4B" w:rsidRPr="00A75C4B" w:rsidRDefault="00A75C4B" w:rsidP="00A75C4B">
      <w:pPr>
        <w:widowControl w:val="0"/>
        <w:autoSpaceDE w:val="0"/>
        <w:autoSpaceDN w:val="0"/>
        <w:adjustRightInd w:val="0"/>
        <w:spacing w:after="0" w:line="240" w:lineRule="auto"/>
      </w:pPr>
    </w:p>
    <w:p w14:paraId="685E0535" w14:textId="77777777" w:rsidR="00EE5E46" w:rsidRDefault="7A12CBE0" w:rsidP="00B0635C">
      <w:pPr>
        <w:pStyle w:val="Heading3"/>
        <w:ind w:left="0" w:firstLine="0"/>
        <w:rPr>
          <w:u w:val="single"/>
        </w:rPr>
      </w:pPr>
      <w:r w:rsidRPr="00B0635C">
        <w:rPr>
          <w:u w:val="single"/>
        </w:rPr>
        <w:t>Circumstances that make collection of information necessary</w:t>
      </w:r>
      <w:r w:rsidR="00227221" w:rsidRPr="00B0635C">
        <w:rPr>
          <w:u w:val="single"/>
        </w:rPr>
        <w:t>.</w:t>
      </w:r>
      <w:r w:rsidR="00227221">
        <w:rPr>
          <w:u w:val="single"/>
        </w:rPr>
        <w:t xml:space="preserve"> </w:t>
      </w:r>
    </w:p>
    <w:p w14:paraId="76C2965E" w14:textId="2D5AD275" w:rsidR="0014003B" w:rsidRDefault="00952DD6" w:rsidP="00A75C4B">
      <w:r>
        <w:t xml:space="preserve">This </w:t>
      </w:r>
      <w:r w:rsidR="00631FB8">
        <w:t xml:space="preserve">information collection supports the Department of Transportation’s (DOT) accountability strategic goal. The information will help FHWA modernize existing policies and regulations regarding waiver valuations. </w:t>
      </w:r>
      <w:r w:rsidR="00227221">
        <w:t xml:space="preserve">Waiver valuation is a key component of the “Right of Way Flexibilities” that were an FHWA Every Day Counts (EDC) initiative. </w:t>
      </w:r>
      <w:r w:rsidR="7A12CBE0">
        <w:t xml:space="preserve">Since the "waiver valuation" language was included in 49 CFR Part 24, the extent by which our State Department of Transportation (SDOT) partners have used this “tool” has varied greatly, but its use continues to expand. </w:t>
      </w:r>
    </w:p>
    <w:p w14:paraId="4887B754" w14:textId="77777777" w:rsidR="0014003B" w:rsidRDefault="7A12CBE0" w:rsidP="00A75C4B">
      <w:r>
        <w:t xml:space="preserve">The initial intent of the waiver valuation was to help manage costs and increase efficiency in the right-of-way phase of a project by allowing qualified staff, in lieu of licensed or certified appraisers, to establish estimates of just compensation for straightforward acquisitions. </w:t>
      </w:r>
    </w:p>
    <w:p w14:paraId="1AFD90DC" w14:textId="56805732" w:rsidR="0014003B" w:rsidRDefault="00A75C4B" w:rsidP="00A75C4B">
      <w:r>
        <w:t>I</w:t>
      </w:r>
      <w:r w:rsidR="7A12CBE0">
        <w:t xml:space="preserve">n 2007, FHWA completed and published a research project titled </w:t>
      </w:r>
      <w:r w:rsidR="7A12CBE0" w:rsidRPr="7A12CBE0">
        <w:rPr>
          <w:i/>
          <w:iCs/>
        </w:rPr>
        <w:t>“Effectiveness and Impacts of FHWA’s Implementation of the 49 CFR 24.102(c) (2) Appraisal Waiver</w:t>
      </w:r>
      <w:r w:rsidR="0014003B">
        <w:rPr>
          <w:i/>
          <w:iCs/>
        </w:rPr>
        <w:t>.</w:t>
      </w:r>
      <w:r w:rsidR="7A12CBE0" w:rsidRPr="7A12CBE0">
        <w:rPr>
          <w:i/>
          <w:iCs/>
        </w:rPr>
        <w:t xml:space="preserve">” </w:t>
      </w:r>
      <w:r w:rsidR="7A12CBE0">
        <w:t xml:space="preserve">That was the first (and only) time since its inception 28 years ago, that the process had been objectively evaluated on a program level. </w:t>
      </w:r>
    </w:p>
    <w:p w14:paraId="0F1D25CE" w14:textId="148C8983" w:rsidR="009E1618" w:rsidRPr="009E1618" w:rsidRDefault="7A12CBE0" w:rsidP="00A75C4B">
      <w:r>
        <w:t>There is continuing interest in increasing the waiver valuation limits</w:t>
      </w:r>
      <w:r w:rsidR="00B72B51">
        <w:t>,</w:t>
      </w:r>
      <w:r>
        <w:t xml:space="preserve"> but little current research has been accomplished which can point to an optimum level that balances risks and rewards effectively while also considering appropriate protections for property owners impacted by Federal-aid projects. This collection of information is necessary to enable the agency to quantify the benefits that can be derived by use of the current waiver valuation regulations and to quantify benefits that may be derived if the waiver valuation regulation limits were increased. It is the </w:t>
      </w:r>
      <w:r>
        <w:lastRenderedPageBreak/>
        <w:t>perspective of the FHWA Headquarters Office of Real Estate Services</w:t>
      </w:r>
      <w:r w:rsidR="007F0550">
        <w:t>’</w:t>
      </w:r>
      <w:r>
        <w:t xml:space="preserve"> leadership that the Federal-aid Realty Program could realize significant, tangible benefits through information collection.</w:t>
      </w:r>
    </w:p>
    <w:p w14:paraId="218790C2" w14:textId="77777777" w:rsidR="00EE5E46" w:rsidRDefault="00464ED8" w:rsidP="00B0635C">
      <w:pPr>
        <w:pStyle w:val="Heading3"/>
        <w:ind w:left="0" w:firstLine="0"/>
      </w:pPr>
      <w:r w:rsidRPr="00B0635C">
        <w:rPr>
          <w:u w:val="single"/>
        </w:rPr>
        <w:t>How, by whom, and for what purpose is the information used</w:t>
      </w:r>
      <w:r w:rsidR="009B2DEE">
        <w:t xml:space="preserve">. </w:t>
      </w:r>
    </w:p>
    <w:p w14:paraId="3A6D17E9" w14:textId="7C414BE7" w:rsidR="00464ED8" w:rsidRPr="00464ED8" w:rsidRDefault="003C79F6" w:rsidP="003C79F6">
      <w:r>
        <w:t xml:space="preserve">The </w:t>
      </w:r>
      <w:r w:rsidR="002B7EA9">
        <w:t xml:space="preserve">FHWA, via an online survey and telephone interviews, will be requesting information from the </w:t>
      </w:r>
      <w:r w:rsidR="00EB1455">
        <w:t>SDOTs</w:t>
      </w:r>
      <w:r w:rsidR="002B7EA9">
        <w:t xml:space="preserve"> to </w:t>
      </w:r>
      <w:r>
        <w:t>evaluate the effectiveness of the current waiver valuation regulations defined in 49 CFR Part 24 and to determine the optimal waiver valuation regulation limits.</w:t>
      </w:r>
      <w:r w:rsidR="00F053E8">
        <w:t xml:space="preserve"> </w:t>
      </w:r>
      <w:r w:rsidR="00F053E8" w:rsidRPr="00A75C4B">
        <w:rPr>
          <w:rStyle w:val="normaltextrun1"/>
          <w:rFonts w:cs="Times New Roman"/>
        </w:rPr>
        <w:t>This research will provide a detailed analysis of the current state of the waiver valuation program nationwide. It will identify issues, practices, or misinformation/misunderstanding that limit the implementation of the waiver valuation program and reduce its ability to streamline processes. The research will document</w:t>
      </w:r>
      <w:r w:rsidR="00631FB8">
        <w:rPr>
          <w:rStyle w:val="normaltextrun1"/>
          <w:rFonts w:cs="Times New Roman"/>
        </w:rPr>
        <w:t xml:space="preserve"> how SDOT’s use the waiver valuations and how changes in the waiver valuation limits can </w:t>
      </w:r>
      <w:r w:rsidR="00F053E8" w:rsidRPr="00A75C4B">
        <w:rPr>
          <w:rStyle w:val="normaltextrun1"/>
          <w:rFonts w:cs="Times New Roman"/>
        </w:rPr>
        <w:t>improve implementation of waivers and enhance savings of administrative costs. The research also will identify additional opportunities for improving the existing processes/practices for waiver valuations that can provide significant savings in time and money and provide greater flexibility to acquiring agencies in delivery of their overall right-of-way acquisition program. </w:t>
      </w:r>
    </w:p>
    <w:p w14:paraId="098F12F3" w14:textId="77777777" w:rsidR="00EE5E46" w:rsidRDefault="00464ED8" w:rsidP="00B0635C">
      <w:pPr>
        <w:pStyle w:val="Heading3"/>
        <w:ind w:left="0" w:firstLine="0"/>
      </w:pPr>
      <w:r w:rsidRPr="00B0635C">
        <w:rPr>
          <w:u w:val="single"/>
        </w:rPr>
        <w:t>Extent of automated information collection</w:t>
      </w:r>
      <w:r w:rsidR="009B2DEE" w:rsidRPr="00B0635C">
        <w:rPr>
          <w:u w:val="single"/>
        </w:rPr>
        <w:t>.</w:t>
      </w:r>
      <w:r w:rsidR="009B2DEE">
        <w:t xml:space="preserve"> </w:t>
      </w:r>
    </w:p>
    <w:p w14:paraId="12484B96" w14:textId="7009DE8B" w:rsidR="004024C8" w:rsidRDefault="00AC4AE9" w:rsidP="001C7C3C">
      <w:r>
        <w:t xml:space="preserve">The first phase of the survey </w:t>
      </w:r>
      <w:r w:rsidR="00EF089B">
        <w:t xml:space="preserve">will be conducted electronically. Emails will be sent to SDOT agencies with a link to the electronic survey. </w:t>
      </w:r>
      <w:r w:rsidR="00887627">
        <w:t xml:space="preserve">A version also will be provided to federal agencies. </w:t>
      </w:r>
      <w:r w:rsidR="00B0635C">
        <w:t xml:space="preserve">The electronic survey instrument will let respondents upload documentation and other supporting material. An email invitation will explain the purpose of the survey, explain the type of data needed to answer the survey questions, </w:t>
      </w:r>
      <w:r w:rsidR="004024C8">
        <w:t xml:space="preserve">provide a link to the electronic survey, and instructions for how to respond to the survey. All respondents will receive the electronic version of the survey; they can receive a paper version of the survey on request. The contractor fielding the survey will provide technical support to each respondent to help them answer the survey questions. </w:t>
      </w:r>
    </w:p>
    <w:p w14:paraId="7A11DDB9" w14:textId="105381FF" w:rsidR="00631FB8" w:rsidRDefault="00887627" w:rsidP="001C7C3C">
      <w:r>
        <w:t xml:space="preserve">The information is being collected through an </w:t>
      </w:r>
      <w:r w:rsidR="00631FB8">
        <w:t xml:space="preserve">electronic survey instrument </w:t>
      </w:r>
      <w:r>
        <w:t xml:space="preserve">because it is the easiest, least-cost approach for collecting the information. </w:t>
      </w:r>
      <w:r w:rsidR="00324D21">
        <w:t xml:space="preserve"> </w:t>
      </w:r>
      <w:r>
        <w:t>The electronic survey</w:t>
      </w:r>
      <w:r w:rsidR="00452838">
        <w:t xml:space="preserve"> is</w:t>
      </w:r>
      <w:r>
        <w:t xml:space="preserve"> inexpensive to distribute and track, minimizes the burden on respondents, and facilitate</w:t>
      </w:r>
      <w:r w:rsidR="00B24580">
        <w:t>s</w:t>
      </w:r>
      <w:r>
        <w:t xml:space="preserve"> the creation of electronic data sets that will be used to analyze the survey results. </w:t>
      </w:r>
    </w:p>
    <w:p w14:paraId="4750F367" w14:textId="7ABAC7ED" w:rsidR="006F0BAF" w:rsidRPr="00464ED8" w:rsidRDefault="00EF089B" w:rsidP="001C7C3C">
      <w:r>
        <w:t>A subset of the initial survey respondents</w:t>
      </w:r>
      <w:r w:rsidR="000659F2">
        <w:t xml:space="preserve"> will be chosen for telephone</w:t>
      </w:r>
      <w:r>
        <w:t xml:space="preserve"> interview</w:t>
      </w:r>
      <w:r w:rsidR="004024C8">
        <w:t>s</w:t>
      </w:r>
      <w:r>
        <w:t>.</w:t>
      </w:r>
      <w:r w:rsidR="006F0BAF">
        <w:t xml:space="preserve"> </w:t>
      </w:r>
      <w:r w:rsidR="006F0BAF" w:rsidRPr="006F0BAF">
        <w:t xml:space="preserve">Between 10 and 20 respondents to the survey will be selected, based on their responses to the survey. The most and least prolific users of waiver valuations will be interviewed. The follow-up questions will be informed by their responses to the survey. A draft of the interview protocol is attached. It will be revised based on the survey responses. </w:t>
      </w:r>
    </w:p>
    <w:p w14:paraId="54DA7533" w14:textId="77777777" w:rsidR="00EE5E46" w:rsidRDefault="009B2DEE" w:rsidP="004024C8">
      <w:pPr>
        <w:pStyle w:val="Heading3"/>
        <w:ind w:left="0" w:firstLine="0"/>
      </w:pPr>
      <w:r w:rsidRPr="004024C8">
        <w:rPr>
          <w:u w:val="single"/>
        </w:rPr>
        <w:t>Describe e</w:t>
      </w:r>
      <w:r w:rsidR="7A12CBE0" w:rsidRPr="004024C8">
        <w:rPr>
          <w:u w:val="single"/>
        </w:rPr>
        <w:t>fforts to identify duplication</w:t>
      </w:r>
      <w:r>
        <w:t xml:space="preserve">. </w:t>
      </w:r>
    </w:p>
    <w:p w14:paraId="50E89E33" w14:textId="77777777" w:rsidR="00DA1191" w:rsidRDefault="00271AD0" w:rsidP="005F4817">
      <w:pPr>
        <w:rPr>
          <w:rFonts w:cs="Times New Roman"/>
        </w:rPr>
      </w:pPr>
      <w:r>
        <w:lastRenderedPageBreak/>
        <w:t xml:space="preserve">No similar data are gathered or maintained by the Agency or are available from other sources known to </w:t>
      </w:r>
      <w:r w:rsidRPr="002A35E6">
        <w:t>the Agency.</w:t>
      </w:r>
      <w:r w:rsidR="00634D52" w:rsidRPr="00A75C4B">
        <w:rPr>
          <w:rFonts w:ascii="Calibri" w:hAnsi="Calibri" w:cs="Calibri"/>
        </w:rPr>
        <w:t xml:space="preserve"> </w:t>
      </w:r>
      <w:r w:rsidR="00634D52" w:rsidRPr="00A75C4B">
        <w:rPr>
          <w:rFonts w:cs="Times New Roman"/>
        </w:rPr>
        <w:t>The following sections verify that this information collection satisfies the OMB’s non-duplication and consultation guidelines and does not duplicate another collection.</w:t>
      </w:r>
    </w:p>
    <w:p w14:paraId="1AA6F82C" w14:textId="39140AA1" w:rsidR="00634D52" w:rsidRPr="00DA1191" w:rsidRDefault="00634D52" w:rsidP="005F4817">
      <w:pPr>
        <w:rPr>
          <w:rFonts w:cs="Times New Roman"/>
        </w:rPr>
      </w:pPr>
      <w:r w:rsidRPr="00DA1191">
        <w:rPr>
          <w:rFonts w:cs="Times New Roman"/>
        </w:rPr>
        <w:t xml:space="preserve">To the best of FHWA’s knowledge, up-to-date state-by-state information on the current state of the waiver valuation process is not available from any other source. FHWA considered many other specific data collection and research efforts, but while many were topically relevant or similar, none utilized or offered actual survey data. Examples of considered efforts include: </w:t>
      </w:r>
    </w:p>
    <w:p w14:paraId="128B6017" w14:textId="77777777" w:rsidR="00634D52" w:rsidRPr="00634D52" w:rsidRDefault="00634D52" w:rsidP="00634D52">
      <w:pPr>
        <w:numPr>
          <w:ilvl w:val="0"/>
          <w:numId w:val="8"/>
        </w:numPr>
        <w:spacing w:after="0" w:line="240" w:lineRule="auto"/>
        <w:contextualSpacing/>
        <w:rPr>
          <w:rFonts w:cs="Times New Roman"/>
        </w:rPr>
      </w:pPr>
      <w:r w:rsidRPr="00634D52">
        <w:rPr>
          <w:rFonts w:cs="Times New Roman"/>
        </w:rPr>
        <w:t xml:space="preserve">FDIC’s </w:t>
      </w:r>
      <w:hyperlink r:id="rId12" w:history="1">
        <w:r w:rsidRPr="00634D52">
          <w:rPr>
            <w:rFonts w:cs="Times New Roman"/>
            <w:color w:val="0563C1" w:themeColor="hyperlink"/>
            <w:u w:val="single"/>
          </w:rPr>
          <w:t>Interagency Appraisal and Evaluation Guidelines</w:t>
        </w:r>
      </w:hyperlink>
      <w:r w:rsidRPr="00634D52">
        <w:rPr>
          <w:rFonts w:cs="Times New Roman"/>
        </w:rPr>
        <w:t xml:space="preserve"> offers information on qualifications for staff to perform waiver valuations. </w:t>
      </w:r>
    </w:p>
    <w:p w14:paraId="07F21D5D" w14:textId="77777777" w:rsidR="00634D52" w:rsidRPr="00634D52" w:rsidRDefault="00634D52" w:rsidP="00634D52">
      <w:pPr>
        <w:numPr>
          <w:ilvl w:val="0"/>
          <w:numId w:val="8"/>
        </w:numPr>
        <w:spacing w:after="0" w:line="240" w:lineRule="auto"/>
        <w:contextualSpacing/>
        <w:rPr>
          <w:rFonts w:cs="Times New Roman"/>
        </w:rPr>
      </w:pPr>
      <w:r w:rsidRPr="00634D52">
        <w:rPr>
          <w:rFonts w:cs="Times New Roman"/>
        </w:rPr>
        <w:t xml:space="preserve">NCHRP Report 625: </w:t>
      </w:r>
      <w:hyperlink r:id="rId13" w:history="1">
        <w:r w:rsidRPr="00634D52">
          <w:rPr>
            <w:rFonts w:cs="Times New Roman"/>
            <w:color w:val="0563C1" w:themeColor="hyperlink"/>
            <w:u w:val="single"/>
          </w:rPr>
          <w:t>Procedures Guide for Right-of-Way Cost Estimation and Cost Management</w:t>
        </w:r>
      </w:hyperlink>
      <w:r w:rsidRPr="00634D52">
        <w:rPr>
          <w:rFonts w:cs="Times New Roman"/>
          <w:color w:val="0563C1" w:themeColor="hyperlink"/>
          <w:u w:val="single"/>
        </w:rPr>
        <w:t xml:space="preserve"> </w:t>
      </w:r>
      <w:r w:rsidRPr="00634D52">
        <w:rPr>
          <w:rFonts w:cs="Times New Roman"/>
        </w:rPr>
        <w:t xml:space="preserve">provides relevant information on cost estimation and management. </w:t>
      </w:r>
    </w:p>
    <w:p w14:paraId="6E5D2571" w14:textId="77777777" w:rsidR="00634D52" w:rsidRPr="00634D52" w:rsidRDefault="00634D52" w:rsidP="00634D52">
      <w:pPr>
        <w:numPr>
          <w:ilvl w:val="0"/>
          <w:numId w:val="8"/>
        </w:numPr>
        <w:spacing w:after="0" w:line="240" w:lineRule="auto"/>
        <w:contextualSpacing/>
        <w:rPr>
          <w:rFonts w:cs="Times New Roman"/>
        </w:rPr>
      </w:pPr>
      <w:r w:rsidRPr="00634D52">
        <w:rPr>
          <w:rFonts w:cs="Times New Roman"/>
        </w:rPr>
        <w:t xml:space="preserve">NCHRP 11-08: </w:t>
      </w:r>
      <w:hyperlink r:id="rId14" w:history="1">
        <w:r w:rsidRPr="00634D52">
          <w:rPr>
            <w:rFonts w:cs="Times New Roman"/>
            <w:color w:val="0563C1" w:themeColor="hyperlink"/>
            <w:u w:val="single"/>
          </w:rPr>
          <w:t>Assessing Practices for Right of Way Acquisition and Reimbursement in Utility Relocations</w:t>
        </w:r>
      </w:hyperlink>
      <w:r w:rsidRPr="00634D52">
        <w:rPr>
          <w:rFonts w:cs="Times New Roman"/>
        </w:rPr>
        <w:t xml:space="preserve"> will identify policies, steps, and legislative means that agencies use to secure replacement easements or ROW for utility relocations.  </w:t>
      </w:r>
    </w:p>
    <w:p w14:paraId="563A1D5F" w14:textId="545FAB0E" w:rsidR="00634D52" w:rsidRPr="001C7C3C" w:rsidRDefault="00634D52" w:rsidP="001C7C3C">
      <w:pPr>
        <w:numPr>
          <w:ilvl w:val="0"/>
          <w:numId w:val="8"/>
        </w:numPr>
        <w:spacing w:line="240" w:lineRule="auto"/>
        <w:contextualSpacing/>
        <w:rPr>
          <w:rFonts w:cs="Times New Roman"/>
        </w:rPr>
      </w:pPr>
      <w:r w:rsidRPr="00634D52">
        <w:rPr>
          <w:rFonts w:cs="Times New Roman"/>
        </w:rPr>
        <w:t xml:space="preserve">TxDOT Project: </w:t>
      </w:r>
      <w:hyperlink r:id="rId15" w:history="1">
        <w:r w:rsidRPr="00634D52">
          <w:rPr>
            <w:rFonts w:cs="Times New Roman"/>
            <w:color w:val="0563C1" w:themeColor="hyperlink"/>
            <w:u w:val="single"/>
          </w:rPr>
          <w:t>Synthesis of Best Practices in Right-of-Way Valuations and Negotiations</w:t>
        </w:r>
      </w:hyperlink>
      <w:r w:rsidRPr="00634D52">
        <w:rPr>
          <w:rFonts w:cs="Times New Roman"/>
        </w:rPr>
        <w:t xml:space="preserve"> identifies and summarizes best practices, process differences, legal aspects, and influence factors related to right-of-way valuations and negotiations.</w:t>
      </w:r>
    </w:p>
    <w:p w14:paraId="30E236E8" w14:textId="77777777" w:rsidR="00EE5E46" w:rsidRDefault="00464ED8" w:rsidP="004024C8">
      <w:pPr>
        <w:pStyle w:val="Heading3"/>
        <w:ind w:left="0" w:firstLine="0"/>
      </w:pPr>
      <w:r w:rsidRPr="004024C8">
        <w:rPr>
          <w:u w:val="single"/>
        </w:rPr>
        <w:t>Efforts to minimize the burden on small businesses</w:t>
      </w:r>
      <w:r w:rsidR="001F4C3F">
        <w:t xml:space="preserve">. </w:t>
      </w:r>
    </w:p>
    <w:p w14:paraId="4B86197B" w14:textId="126CA715" w:rsidR="00464ED8" w:rsidRPr="00EF4E1C" w:rsidRDefault="00DA1191" w:rsidP="00A75C4B">
      <w:r>
        <w:t>This information collection does not involve small businesses.</w:t>
      </w:r>
    </w:p>
    <w:p w14:paraId="371BE7AA" w14:textId="77777777" w:rsidR="00EE5E46" w:rsidRDefault="00464ED8" w:rsidP="004024C8">
      <w:pPr>
        <w:pStyle w:val="Heading3"/>
        <w:ind w:left="0" w:firstLine="0"/>
      </w:pPr>
      <w:r w:rsidRPr="004024C8">
        <w:rPr>
          <w:u w:val="single"/>
        </w:rPr>
        <w:t>Impact of less frequent collection of information</w:t>
      </w:r>
      <w:r w:rsidR="001F4C3F" w:rsidRPr="004024C8">
        <w:rPr>
          <w:u w:val="single"/>
        </w:rPr>
        <w:t>.</w:t>
      </w:r>
      <w:r w:rsidR="001F4C3F">
        <w:t xml:space="preserve"> </w:t>
      </w:r>
    </w:p>
    <w:p w14:paraId="0C71576E" w14:textId="0AE56CB7" w:rsidR="00464ED8" w:rsidRPr="00464ED8" w:rsidRDefault="00A07219" w:rsidP="00A75C4B">
      <w:r>
        <w:t>The information will be collected one time only</w:t>
      </w:r>
      <w:r w:rsidR="00F01823">
        <w:t>.</w:t>
      </w:r>
      <w:r w:rsidR="004024C8">
        <w:t xml:space="preserve"> This collection of information is necessary to enable the </w:t>
      </w:r>
      <w:r w:rsidR="00634E49">
        <w:t>A</w:t>
      </w:r>
      <w:r w:rsidR="004024C8">
        <w:t xml:space="preserve">gency to quantify the benefits that can be derived by use of the current waiver valuation regulations and to quantify benefits that may be derived if the waiver valuation regulation limits were increased. The analysis cannot be completed without the information collected by the survey. </w:t>
      </w:r>
    </w:p>
    <w:p w14:paraId="5CF5665C" w14:textId="77777777" w:rsidR="00EE5E46" w:rsidRDefault="00464ED8" w:rsidP="001F4C3F">
      <w:pPr>
        <w:pStyle w:val="Heading3"/>
        <w:ind w:left="0" w:firstLine="0"/>
      </w:pPr>
      <w:r w:rsidRPr="007F0550">
        <w:rPr>
          <w:u w:val="single"/>
        </w:rPr>
        <w:t>Special circumstances</w:t>
      </w:r>
      <w:r w:rsidR="001F4C3F" w:rsidRPr="007F0550">
        <w:rPr>
          <w:u w:val="single"/>
        </w:rPr>
        <w:t>.</w:t>
      </w:r>
      <w:r w:rsidR="001F4C3F">
        <w:t xml:space="preserve"> </w:t>
      </w:r>
    </w:p>
    <w:p w14:paraId="2BBD0264" w14:textId="4D64C3FE" w:rsidR="007F0550" w:rsidRDefault="007F0550" w:rsidP="007F0550">
      <w:pPr>
        <w:widowControl w:val="0"/>
        <w:rPr>
          <w:szCs w:val="24"/>
        </w:rPr>
      </w:pPr>
      <w:r>
        <w:rPr>
          <w:szCs w:val="24"/>
        </w:rPr>
        <w:t>This information collection does not:</w:t>
      </w:r>
    </w:p>
    <w:p w14:paraId="72C6CD78" w14:textId="6BF12DC6" w:rsidR="007F0550" w:rsidRDefault="007F0550" w:rsidP="00DA02F6">
      <w:pPr>
        <w:pStyle w:val="ListParagraph"/>
        <w:widowControl w:val="0"/>
        <w:numPr>
          <w:ilvl w:val="0"/>
          <w:numId w:val="11"/>
        </w:numPr>
        <w:spacing w:after="120"/>
        <w:ind w:left="907"/>
        <w:contextualSpacing w:val="0"/>
        <w:rPr>
          <w:szCs w:val="24"/>
        </w:rPr>
      </w:pPr>
      <w:r>
        <w:rPr>
          <w:szCs w:val="24"/>
        </w:rPr>
        <w:t>Require respondents to report information to the agency more often than quarterly</w:t>
      </w:r>
    </w:p>
    <w:p w14:paraId="401A5814" w14:textId="1E75F579" w:rsidR="007F0550" w:rsidRDefault="007F0550" w:rsidP="00DA02F6">
      <w:pPr>
        <w:pStyle w:val="ListParagraph"/>
        <w:widowControl w:val="0"/>
        <w:numPr>
          <w:ilvl w:val="0"/>
          <w:numId w:val="11"/>
        </w:numPr>
        <w:spacing w:after="120"/>
        <w:ind w:left="907"/>
        <w:contextualSpacing w:val="0"/>
        <w:rPr>
          <w:szCs w:val="24"/>
        </w:rPr>
      </w:pPr>
      <w:r>
        <w:rPr>
          <w:szCs w:val="24"/>
        </w:rPr>
        <w:t>Require a written response to a collection of information in fewer than 30 days after receipt of it</w:t>
      </w:r>
    </w:p>
    <w:p w14:paraId="5D0457E2" w14:textId="20C33EAB" w:rsidR="007F0550" w:rsidRDefault="007F0550" w:rsidP="00DA02F6">
      <w:pPr>
        <w:pStyle w:val="ListParagraph"/>
        <w:widowControl w:val="0"/>
        <w:numPr>
          <w:ilvl w:val="0"/>
          <w:numId w:val="11"/>
        </w:numPr>
        <w:spacing w:after="120"/>
        <w:ind w:left="907"/>
        <w:contextualSpacing w:val="0"/>
        <w:rPr>
          <w:szCs w:val="24"/>
        </w:rPr>
      </w:pPr>
      <w:r>
        <w:rPr>
          <w:szCs w:val="24"/>
        </w:rPr>
        <w:t>Require respondents to submit more than an original and two copies of any document</w:t>
      </w:r>
    </w:p>
    <w:p w14:paraId="05C8479E" w14:textId="77777777" w:rsidR="00887627" w:rsidRDefault="007F0550" w:rsidP="00DA02F6">
      <w:pPr>
        <w:pStyle w:val="ListParagraph"/>
        <w:widowControl w:val="0"/>
        <w:numPr>
          <w:ilvl w:val="0"/>
          <w:numId w:val="11"/>
        </w:numPr>
        <w:tabs>
          <w:tab w:val="left" w:pos="540"/>
        </w:tabs>
        <w:spacing w:after="120"/>
        <w:ind w:left="907"/>
        <w:contextualSpacing w:val="0"/>
        <w:rPr>
          <w:szCs w:val="24"/>
        </w:rPr>
      </w:pPr>
      <w:r w:rsidRPr="00887627">
        <w:rPr>
          <w:szCs w:val="24"/>
        </w:rPr>
        <w:t>Require respondents to retain records for more than three year</w:t>
      </w:r>
      <w:r w:rsidR="004A6CE3" w:rsidRPr="00887627">
        <w:rPr>
          <w:szCs w:val="24"/>
        </w:rPr>
        <w:t>s</w:t>
      </w:r>
      <w:r w:rsidR="00887627" w:rsidRPr="00887627">
        <w:rPr>
          <w:szCs w:val="24"/>
        </w:rPr>
        <w:t xml:space="preserve"> </w:t>
      </w:r>
    </w:p>
    <w:p w14:paraId="4D674F1F" w14:textId="4849B3F6" w:rsidR="00887627" w:rsidRDefault="00887627" w:rsidP="00DA02F6">
      <w:pPr>
        <w:pStyle w:val="ListParagraph"/>
        <w:widowControl w:val="0"/>
        <w:numPr>
          <w:ilvl w:val="0"/>
          <w:numId w:val="11"/>
        </w:numPr>
        <w:tabs>
          <w:tab w:val="left" w:pos="540"/>
        </w:tabs>
        <w:spacing w:after="120"/>
        <w:ind w:left="907"/>
        <w:contextualSpacing w:val="0"/>
        <w:rPr>
          <w:szCs w:val="24"/>
        </w:rPr>
      </w:pPr>
      <w:r>
        <w:rPr>
          <w:szCs w:val="24"/>
        </w:rPr>
        <w:t>R</w:t>
      </w:r>
      <w:r w:rsidR="007F0550" w:rsidRPr="00887627">
        <w:rPr>
          <w:szCs w:val="24"/>
        </w:rPr>
        <w:t>ely on a statistical sample; i</w:t>
      </w:r>
      <w:r w:rsidR="00140887" w:rsidRPr="00887627">
        <w:rPr>
          <w:szCs w:val="24"/>
        </w:rPr>
        <w:t>t</w:t>
      </w:r>
      <w:r w:rsidR="007F0550" w:rsidRPr="00887627">
        <w:rPr>
          <w:szCs w:val="24"/>
        </w:rPr>
        <w:t xml:space="preserve"> is </w:t>
      </w:r>
      <w:r>
        <w:rPr>
          <w:szCs w:val="24"/>
        </w:rPr>
        <w:t xml:space="preserve">conducting a census and is </w:t>
      </w:r>
      <w:r w:rsidR="007F0550" w:rsidRPr="00887627">
        <w:rPr>
          <w:szCs w:val="24"/>
        </w:rPr>
        <w:t xml:space="preserve">collecting information from all relevant </w:t>
      </w:r>
      <w:r w:rsidR="00EB1455" w:rsidRPr="00887627">
        <w:rPr>
          <w:szCs w:val="24"/>
        </w:rPr>
        <w:t>SDOTs</w:t>
      </w:r>
      <w:r w:rsidR="007F0550" w:rsidRPr="00887627">
        <w:rPr>
          <w:szCs w:val="24"/>
        </w:rPr>
        <w:t xml:space="preserve"> and federal agencies. </w:t>
      </w:r>
    </w:p>
    <w:p w14:paraId="0A6D37C8" w14:textId="18D0DD0F" w:rsidR="00887627" w:rsidRDefault="00887627" w:rsidP="00DA02F6">
      <w:pPr>
        <w:pStyle w:val="ListParagraph"/>
        <w:widowControl w:val="0"/>
        <w:numPr>
          <w:ilvl w:val="0"/>
          <w:numId w:val="11"/>
        </w:numPr>
        <w:tabs>
          <w:tab w:val="left" w:pos="540"/>
        </w:tabs>
        <w:spacing w:after="120"/>
        <w:ind w:left="907"/>
        <w:contextualSpacing w:val="0"/>
        <w:rPr>
          <w:szCs w:val="24"/>
        </w:rPr>
      </w:pPr>
      <w:r>
        <w:rPr>
          <w:szCs w:val="24"/>
        </w:rPr>
        <w:t>R</w:t>
      </w:r>
      <w:r w:rsidR="007F0550" w:rsidRPr="00887627">
        <w:rPr>
          <w:szCs w:val="24"/>
        </w:rPr>
        <w:t xml:space="preserve">equire the use of a statistical data classification that has not been reviewed and approved by OMB </w:t>
      </w:r>
    </w:p>
    <w:p w14:paraId="3CD5A08F" w14:textId="77777777" w:rsidR="00887627" w:rsidRDefault="00887627" w:rsidP="00DA02F6">
      <w:pPr>
        <w:pStyle w:val="ListParagraph"/>
        <w:widowControl w:val="0"/>
        <w:numPr>
          <w:ilvl w:val="0"/>
          <w:numId w:val="11"/>
        </w:numPr>
        <w:tabs>
          <w:tab w:val="left" w:pos="540"/>
        </w:tabs>
        <w:spacing w:after="120"/>
        <w:ind w:left="907"/>
        <w:contextualSpacing w:val="0"/>
        <w:rPr>
          <w:szCs w:val="24"/>
        </w:rPr>
      </w:pPr>
      <w:r>
        <w:rPr>
          <w:szCs w:val="24"/>
        </w:rPr>
        <w:t>P</w:t>
      </w:r>
      <w:r w:rsidR="007F0550" w:rsidRPr="00887627">
        <w:rPr>
          <w:szCs w:val="24"/>
        </w:rPr>
        <w:t xml:space="preserve">romise that the data requested will be kept confidential. </w:t>
      </w:r>
    </w:p>
    <w:p w14:paraId="44BE895A" w14:textId="677F4800" w:rsidR="007F0550" w:rsidRPr="00887627" w:rsidRDefault="00887627" w:rsidP="00DA02F6">
      <w:pPr>
        <w:pStyle w:val="ListParagraph"/>
        <w:widowControl w:val="0"/>
        <w:numPr>
          <w:ilvl w:val="0"/>
          <w:numId w:val="11"/>
        </w:numPr>
        <w:tabs>
          <w:tab w:val="left" w:pos="540"/>
        </w:tabs>
        <w:spacing w:after="120"/>
        <w:ind w:left="907"/>
        <w:contextualSpacing w:val="0"/>
        <w:rPr>
          <w:szCs w:val="24"/>
        </w:rPr>
      </w:pPr>
      <w:r>
        <w:rPr>
          <w:szCs w:val="24"/>
        </w:rPr>
        <w:t>R</w:t>
      </w:r>
      <w:r w:rsidR="007F0550" w:rsidRPr="00887627">
        <w:rPr>
          <w:szCs w:val="24"/>
        </w:rPr>
        <w:t xml:space="preserve">equest proprietary trade, secret, or other confidential information. </w:t>
      </w:r>
    </w:p>
    <w:p w14:paraId="248840C2" w14:textId="77BEF478" w:rsidR="00464ED8" w:rsidRPr="005B330C" w:rsidRDefault="00A07219" w:rsidP="00A75C4B">
      <w:r w:rsidRPr="005B330C">
        <w:t>There are no special circumstances associated with this information collection.</w:t>
      </w:r>
    </w:p>
    <w:p w14:paraId="31829A25" w14:textId="77777777" w:rsidR="00EE5E46" w:rsidRPr="005B330C" w:rsidRDefault="00464ED8" w:rsidP="007F0550">
      <w:pPr>
        <w:pStyle w:val="Heading3"/>
        <w:ind w:left="0" w:firstLine="0"/>
      </w:pPr>
      <w:r w:rsidRPr="005B330C">
        <w:rPr>
          <w:u w:val="single"/>
        </w:rPr>
        <w:t>Compliance with 5 CFR 1320.8</w:t>
      </w:r>
      <w:r w:rsidR="001F4C3F" w:rsidRPr="005B330C">
        <w:t xml:space="preserve">.  </w:t>
      </w:r>
    </w:p>
    <w:p w14:paraId="5E4C2017" w14:textId="78AD0BD5" w:rsidR="00B6610D" w:rsidRPr="005B330C" w:rsidRDefault="15075EFB" w:rsidP="00B6610D">
      <w:bookmarkStart w:id="1" w:name="_Hlk2783265"/>
      <w:r w:rsidRPr="005B330C">
        <w:t>The FHWA published a 60-day Federal Register notice regarding the renewal of this information collection on February 7, 2019</w:t>
      </w:r>
      <w:r w:rsidR="00B6610D" w:rsidRPr="005B330C">
        <w:t>, Vol. 84, No. 26, page 2661</w:t>
      </w:r>
      <w:r w:rsidRPr="005B330C">
        <w:t>. No comments were received.</w:t>
      </w:r>
      <w:r w:rsidR="00B6610D" w:rsidRPr="005B330C">
        <w:t xml:space="preserve"> </w:t>
      </w:r>
    </w:p>
    <w:bookmarkEnd w:id="1"/>
    <w:p w14:paraId="5DCD4DA5" w14:textId="02F0EBC6" w:rsidR="00EE5E46" w:rsidRPr="005B330C" w:rsidRDefault="00884DC3" w:rsidP="00EE5E46">
      <w:pPr>
        <w:pStyle w:val="Heading3"/>
        <w:ind w:left="0" w:firstLine="0"/>
        <w:rPr>
          <w:u w:val="single"/>
        </w:rPr>
      </w:pPr>
      <w:r w:rsidRPr="005B330C">
        <w:rPr>
          <w:u w:val="single"/>
        </w:rPr>
        <w:t>Payments or gifts to respondents</w:t>
      </w:r>
      <w:r w:rsidR="001F4C3F" w:rsidRPr="005B330C">
        <w:rPr>
          <w:u w:val="single"/>
        </w:rPr>
        <w:t xml:space="preserve">. </w:t>
      </w:r>
    </w:p>
    <w:p w14:paraId="14E7F258" w14:textId="3E81BFFF" w:rsidR="00884DC3" w:rsidRPr="005B330C" w:rsidRDefault="00C2225E" w:rsidP="00A75C4B">
      <w:r w:rsidRPr="005B330C">
        <w:t>No payments or gifts will be provided to respondents.</w:t>
      </w:r>
    </w:p>
    <w:p w14:paraId="38C44E46" w14:textId="77777777" w:rsidR="00EE5E46" w:rsidRDefault="00884DC3" w:rsidP="00EE5E46">
      <w:pPr>
        <w:pStyle w:val="Heading3"/>
        <w:ind w:left="0" w:firstLine="0"/>
      </w:pPr>
      <w:r w:rsidRPr="005B330C">
        <w:rPr>
          <w:u w:val="single"/>
        </w:rPr>
        <w:t>Assurance of confidentiality</w:t>
      </w:r>
      <w:r w:rsidR="001F4C3F">
        <w:t xml:space="preserve">. </w:t>
      </w:r>
    </w:p>
    <w:p w14:paraId="6D8CB14E" w14:textId="32B3468E" w:rsidR="00884DC3" w:rsidRPr="00F73C7D" w:rsidRDefault="00F73C7D" w:rsidP="00A75C4B">
      <w:pPr>
        <w:rPr>
          <w:rFonts w:cs="Times New Roman"/>
        </w:rPr>
      </w:pPr>
      <w:r w:rsidRPr="00F73C7D">
        <w:t>FHWA is not providing assurance of confidentiality.</w:t>
      </w:r>
    </w:p>
    <w:p w14:paraId="679EA8ED" w14:textId="77777777" w:rsidR="004F79D0" w:rsidRDefault="00884DC3" w:rsidP="00EE5E46">
      <w:pPr>
        <w:pStyle w:val="Heading3"/>
        <w:ind w:left="0" w:firstLine="0"/>
        <w:rPr>
          <w:u w:val="single"/>
        </w:rPr>
      </w:pPr>
      <w:r w:rsidRPr="00EE5E46">
        <w:rPr>
          <w:u w:val="single"/>
        </w:rPr>
        <w:t>Justification for collection of sensitive information</w:t>
      </w:r>
      <w:r w:rsidR="00BB58DC" w:rsidRPr="00EE5E46">
        <w:rPr>
          <w:u w:val="single"/>
        </w:rPr>
        <w:t xml:space="preserve">. </w:t>
      </w:r>
    </w:p>
    <w:p w14:paraId="65FDFC33" w14:textId="671EC534" w:rsidR="00884DC3" w:rsidRPr="00AC5BFE" w:rsidRDefault="00AC5BFE" w:rsidP="00A75C4B">
      <w:r w:rsidRPr="00A023D6">
        <w:t>None of the information collected is</w:t>
      </w:r>
      <w:r w:rsidR="00BB6C23">
        <w:t xml:space="preserve"> of</w:t>
      </w:r>
      <w:r w:rsidRPr="00A023D6">
        <w:t xml:space="preserve"> sensitive or private nature.</w:t>
      </w:r>
    </w:p>
    <w:p w14:paraId="04DBD84C" w14:textId="77777777" w:rsidR="004F79D0" w:rsidRDefault="00884DC3" w:rsidP="00EE5E46">
      <w:pPr>
        <w:pStyle w:val="Heading3"/>
        <w:ind w:left="0" w:firstLine="0"/>
      </w:pPr>
      <w:r w:rsidRPr="00EE5E46">
        <w:rPr>
          <w:u w:val="single"/>
        </w:rPr>
        <w:t>Estimate of burden hours for information requested</w:t>
      </w:r>
      <w:r w:rsidR="00BB58DC" w:rsidRPr="00EE5E46">
        <w:rPr>
          <w:u w:val="single"/>
        </w:rPr>
        <w:t>.</w:t>
      </w:r>
      <w:r w:rsidR="00BB58DC">
        <w:t xml:space="preserve"> </w:t>
      </w:r>
    </w:p>
    <w:p w14:paraId="5AA95D87" w14:textId="77777777" w:rsidR="00BB58DC" w:rsidRPr="00981917" w:rsidRDefault="00BB58DC" w:rsidP="00EE5E46">
      <w:pPr>
        <w:widowControl w:val="0"/>
        <w:tabs>
          <w:tab w:val="left" w:pos="540"/>
        </w:tabs>
        <w:spacing w:after="0" w:line="240" w:lineRule="auto"/>
        <w:ind w:left="540"/>
        <w:rPr>
          <w:b/>
          <w:szCs w:val="24"/>
        </w:rPr>
      </w:pPr>
    </w:p>
    <w:p w14:paraId="33837C3A" w14:textId="36811BFB" w:rsidR="00A466E1" w:rsidRDefault="007769D9" w:rsidP="00A466E1">
      <w:pPr>
        <w:rPr>
          <w:szCs w:val="24"/>
        </w:rPr>
      </w:pPr>
      <w:r w:rsidRPr="0030097D">
        <w:t>Each State</w:t>
      </w:r>
      <w:r w:rsidR="008A2F1C">
        <w:t>,</w:t>
      </w:r>
      <w:r w:rsidR="00EE5E46" w:rsidRPr="0030097D">
        <w:t xml:space="preserve"> </w:t>
      </w:r>
      <w:r w:rsidRPr="0030097D">
        <w:t>the District of Columbia</w:t>
      </w:r>
      <w:r w:rsidR="008A2F1C">
        <w:t>, Guam, Puerto Rico, and the US Virgin Islands</w:t>
      </w:r>
      <w:r w:rsidRPr="0030097D">
        <w:t xml:space="preserve"> are </w:t>
      </w:r>
      <w:r w:rsidR="00EE5E46" w:rsidRPr="0030097D">
        <w:t>requested</w:t>
      </w:r>
      <w:r w:rsidRPr="0030097D">
        <w:t xml:space="preserve"> to provide information</w:t>
      </w:r>
      <w:r w:rsidR="000E494E">
        <w:t>, for a total of 54 respondents</w:t>
      </w:r>
      <w:r w:rsidRPr="0030097D">
        <w:t xml:space="preserve">. The number of burden hours (professional and clerical staff) per respondent for preparation of </w:t>
      </w:r>
      <w:r w:rsidR="00EE5E46" w:rsidRPr="0030097D">
        <w:t>the data required to answer the survey and to fill out the questionnaire is</w:t>
      </w:r>
      <w:r w:rsidR="00EE5E46" w:rsidRPr="000E494E">
        <w:t xml:space="preserve"> 4 </w:t>
      </w:r>
      <w:r w:rsidR="00EE5E46" w:rsidRPr="0030097D">
        <w:t xml:space="preserve">hours. </w:t>
      </w:r>
      <w:r w:rsidRPr="0030097D">
        <w:t xml:space="preserve">The total burden for </w:t>
      </w:r>
      <w:r w:rsidR="0037537D" w:rsidRPr="0030097D">
        <w:t>S</w:t>
      </w:r>
      <w:r w:rsidR="00EE5E46" w:rsidRPr="0030097D">
        <w:t xml:space="preserve">tate </w:t>
      </w:r>
      <w:r w:rsidRPr="0030097D">
        <w:t>respondents is estimated to be</w:t>
      </w:r>
      <w:r w:rsidR="00EE5E46" w:rsidRPr="0030097D">
        <w:t xml:space="preserve"> 2</w:t>
      </w:r>
      <w:r w:rsidR="008A2F1C">
        <w:t>16</w:t>
      </w:r>
      <w:r w:rsidRPr="0030097D">
        <w:t xml:space="preserve"> burden hours (</w:t>
      </w:r>
      <w:r w:rsidR="00EE5E46" w:rsidRPr="0030097D">
        <w:t xml:space="preserve">4 </w:t>
      </w:r>
      <w:r w:rsidRPr="0030097D">
        <w:t>burden hours per respondent times 5</w:t>
      </w:r>
      <w:r w:rsidR="008A2F1C">
        <w:t>4</w:t>
      </w:r>
      <w:r w:rsidRPr="0030097D">
        <w:t xml:space="preserve"> respondents).</w:t>
      </w:r>
      <w:r w:rsidR="00A466E1">
        <w:t xml:space="preserve"> </w:t>
      </w:r>
      <w:r w:rsidR="00A466E1" w:rsidRPr="0030097D">
        <w:rPr>
          <w:szCs w:val="24"/>
        </w:rPr>
        <w:t xml:space="preserve">This burden consists of staff time of each respondent to the information requested by the survey (up to 3 hours) and the time to fill in the survey instrument (up to 1 hour). </w:t>
      </w:r>
    </w:p>
    <w:tbl>
      <w:tblPr>
        <w:tblStyle w:val="TableGrid"/>
        <w:tblW w:w="0" w:type="auto"/>
        <w:tblInd w:w="1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390"/>
        <w:gridCol w:w="1671"/>
        <w:gridCol w:w="352"/>
        <w:gridCol w:w="986"/>
      </w:tblGrid>
      <w:tr w:rsidR="008A2F1C" w14:paraId="1A383702" w14:textId="77777777" w:rsidTr="000C7AB8">
        <w:trPr>
          <w:trHeight w:val="259"/>
        </w:trPr>
        <w:tc>
          <w:tcPr>
            <w:tcW w:w="1461" w:type="dxa"/>
            <w:tcBorders>
              <w:top w:val="single" w:sz="4" w:space="0" w:color="auto"/>
              <w:left w:val="single" w:sz="4" w:space="0" w:color="auto"/>
              <w:right w:val="single" w:sz="4" w:space="0" w:color="auto"/>
            </w:tcBorders>
            <w:vAlign w:val="center"/>
          </w:tcPr>
          <w:p w14:paraId="558C874D" w14:textId="72B86D1F" w:rsidR="008A2F1C" w:rsidRDefault="008A2F1C" w:rsidP="000C7AB8">
            <w:pPr>
              <w:spacing w:after="0"/>
              <w:jc w:val="center"/>
            </w:pPr>
            <w:r>
              <w:t>States &amp; US Territories</w:t>
            </w:r>
          </w:p>
        </w:tc>
        <w:tc>
          <w:tcPr>
            <w:tcW w:w="390" w:type="dxa"/>
            <w:tcBorders>
              <w:left w:val="single" w:sz="4" w:space="0" w:color="auto"/>
              <w:right w:val="single" w:sz="4" w:space="0" w:color="auto"/>
            </w:tcBorders>
            <w:vAlign w:val="center"/>
          </w:tcPr>
          <w:p w14:paraId="0B2F8A50" w14:textId="77777777" w:rsidR="008A2F1C" w:rsidRDefault="008A2F1C" w:rsidP="000C7AB8">
            <w:pPr>
              <w:spacing w:after="0"/>
              <w:jc w:val="center"/>
            </w:pPr>
          </w:p>
        </w:tc>
        <w:tc>
          <w:tcPr>
            <w:tcW w:w="1671" w:type="dxa"/>
            <w:tcBorders>
              <w:top w:val="single" w:sz="4" w:space="0" w:color="auto"/>
              <w:left w:val="single" w:sz="4" w:space="0" w:color="auto"/>
              <w:right w:val="single" w:sz="4" w:space="0" w:color="auto"/>
            </w:tcBorders>
            <w:vAlign w:val="center"/>
          </w:tcPr>
          <w:p w14:paraId="39D9E3C6" w14:textId="4504F611" w:rsidR="008A2F1C" w:rsidRDefault="008A2F1C" w:rsidP="000C7AB8">
            <w:pPr>
              <w:spacing w:after="0"/>
              <w:jc w:val="center"/>
            </w:pPr>
            <w:r>
              <w:t>Labor hours per respondent</w:t>
            </w:r>
          </w:p>
        </w:tc>
        <w:tc>
          <w:tcPr>
            <w:tcW w:w="352" w:type="dxa"/>
            <w:tcBorders>
              <w:left w:val="single" w:sz="4" w:space="0" w:color="auto"/>
              <w:right w:val="single" w:sz="4" w:space="0" w:color="auto"/>
            </w:tcBorders>
            <w:vAlign w:val="center"/>
          </w:tcPr>
          <w:p w14:paraId="7703EC0F" w14:textId="77777777" w:rsidR="008A2F1C" w:rsidRDefault="008A2F1C" w:rsidP="000C7AB8">
            <w:pPr>
              <w:spacing w:after="0"/>
              <w:jc w:val="center"/>
            </w:pPr>
          </w:p>
        </w:tc>
        <w:tc>
          <w:tcPr>
            <w:tcW w:w="986" w:type="dxa"/>
            <w:tcBorders>
              <w:top w:val="single" w:sz="4" w:space="0" w:color="auto"/>
              <w:left w:val="single" w:sz="4" w:space="0" w:color="auto"/>
              <w:right w:val="single" w:sz="4" w:space="0" w:color="auto"/>
            </w:tcBorders>
            <w:vAlign w:val="center"/>
          </w:tcPr>
          <w:p w14:paraId="6C83E013" w14:textId="5717B7CF" w:rsidR="008A2F1C" w:rsidRDefault="006642A1" w:rsidP="000C7AB8">
            <w:pPr>
              <w:spacing w:after="0"/>
              <w:jc w:val="center"/>
            </w:pPr>
            <w:r>
              <w:t xml:space="preserve">Total </w:t>
            </w:r>
            <w:r w:rsidR="008A2F1C">
              <w:t>Burden Hours</w:t>
            </w:r>
          </w:p>
        </w:tc>
      </w:tr>
      <w:tr w:rsidR="008A2F1C" w14:paraId="7330A704" w14:textId="77777777" w:rsidTr="000C7AB8">
        <w:trPr>
          <w:trHeight w:val="359"/>
        </w:trPr>
        <w:tc>
          <w:tcPr>
            <w:tcW w:w="1461" w:type="dxa"/>
            <w:tcBorders>
              <w:left w:val="single" w:sz="4" w:space="0" w:color="auto"/>
              <w:bottom w:val="single" w:sz="4" w:space="0" w:color="auto"/>
              <w:right w:val="single" w:sz="4" w:space="0" w:color="auto"/>
            </w:tcBorders>
            <w:vAlign w:val="center"/>
          </w:tcPr>
          <w:p w14:paraId="79A3162C" w14:textId="6CFA9AD2" w:rsidR="008A2F1C" w:rsidRDefault="008A2F1C" w:rsidP="000C7AB8">
            <w:pPr>
              <w:spacing w:after="0"/>
              <w:jc w:val="center"/>
            </w:pPr>
            <w:r>
              <w:t>54</w:t>
            </w:r>
          </w:p>
        </w:tc>
        <w:tc>
          <w:tcPr>
            <w:tcW w:w="390" w:type="dxa"/>
            <w:tcBorders>
              <w:left w:val="single" w:sz="4" w:space="0" w:color="auto"/>
              <w:right w:val="single" w:sz="4" w:space="0" w:color="auto"/>
            </w:tcBorders>
            <w:vAlign w:val="center"/>
          </w:tcPr>
          <w:p w14:paraId="00969D02" w14:textId="336D1E21" w:rsidR="008A2F1C" w:rsidRDefault="008A2F1C" w:rsidP="000C7AB8">
            <w:pPr>
              <w:spacing w:after="0"/>
              <w:jc w:val="center"/>
            </w:pPr>
            <w:r>
              <w:t>X</w:t>
            </w:r>
          </w:p>
        </w:tc>
        <w:tc>
          <w:tcPr>
            <w:tcW w:w="1671" w:type="dxa"/>
            <w:tcBorders>
              <w:left w:val="single" w:sz="4" w:space="0" w:color="auto"/>
              <w:bottom w:val="single" w:sz="4" w:space="0" w:color="auto"/>
              <w:right w:val="single" w:sz="4" w:space="0" w:color="auto"/>
            </w:tcBorders>
            <w:vAlign w:val="center"/>
          </w:tcPr>
          <w:p w14:paraId="2D12157E" w14:textId="36F244EE" w:rsidR="008A2F1C" w:rsidRDefault="008A2F1C" w:rsidP="000C7AB8">
            <w:pPr>
              <w:spacing w:after="0"/>
              <w:jc w:val="center"/>
            </w:pPr>
            <w:r>
              <w:t>4</w:t>
            </w:r>
          </w:p>
        </w:tc>
        <w:tc>
          <w:tcPr>
            <w:tcW w:w="352" w:type="dxa"/>
            <w:tcBorders>
              <w:left w:val="single" w:sz="4" w:space="0" w:color="auto"/>
              <w:right w:val="single" w:sz="4" w:space="0" w:color="auto"/>
            </w:tcBorders>
            <w:vAlign w:val="center"/>
          </w:tcPr>
          <w:p w14:paraId="29CF4C5B" w14:textId="2A40510B" w:rsidR="008A2F1C" w:rsidRDefault="008A2F1C" w:rsidP="000C7AB8">
            <w:pPr>
              <w:spacing w:after="0"/>
              <w:jc w:val="center"/>
            </w:pPr>
            <w:r>
              <w:t>=</w:t>
            </w:r>
          </w:p>
        </w:tc>
        <w:tc>
          <w:tcPr>
            <w:tcW w:w="986" w:type="dxa"/>
            <w:tcBorders>
              <w:left w:val="single" w:sz="4" w:space="0" w:color="auto"/>
              <w:bottom w:val="single" w:sz="4" w:space="0" w:color="auto"/>
              <w:right w:val="single" w:sz="4" w:space="0" w:color="auto"/>
            </w:tcBorders>
            <w:vAlign w:val="center"/>
          </w:tcPr>
          <w:p w14:paraId="10B10C47" w14:textId="7334A503" w:rsidR="008A2F1C" w:rsidRDefault="008A2F1C" w:rsidP="000C7AB8">
            <w:pPr>
              <w:spacing w:after="0"/>
              <w:jc w:val="center"/>
            </w:pPr>
            <w:r>
              <w:t>216</w:t>
            </w:r>
          </w:p>
        </w:tc>
      </w:tr>
    </w:tbl>
    <w:p w14:paraId="4FB73DDD" w14:textId="77777777" w:rsidR="008A2F1C" w:rsidRPr="0030097D" w:rsidRDefault="008A2F1C" w:rsidP="008A2F1C">
      <w:pPr>
        <w:jc w:val="center"/>
      </w:pPr>
    </w:p>
    <w:p w14:paraId="32A4540E" w14:textId="3FC0109A" w:rsidR="00A20E4A" w:rsidRDefault="00A20E4A" w:rsidP="00A20E4A">
      <w:r w:rsidRPr="00A20E4A">
        <w:t xml:space="preserve">Since this is a one-time survey, this is the total burden. </w:t>
      </w:r>
      <w:r w:rsidR="00531EF5">
        <w:t>T</w:t>
      </w:r>
      <w:r w:rsidRPr="00A20E4A">
        <w:t>he annual time burden would be 216 divided by 3, for 72 hours.</w:t>
      </w:r>
    </w:p>
    <w:p w14:paraId="7BA97BEB" w14:textId="0E2EE1E5" w:rsidR="00A20E4A" w:rsidRDefault="00A20E4A" w:rsidP="00A20E4A">
      <w:pPr>
        <w:pStyle w:val="BodyTextIndent"/>
        <w:ind w:left="0"/>
      </w:pPr>
      <w:bookmarkStart w:id="2" w:name="_Hlk2852765"/>
      <w:bookmarkStart w:id="3" w:name="_Hlk2852967"/>
      <w:r w:rsidRPr="00A466E1">
        <w:t xml:space="preserve">The survey should require no costs to the agencies responding, other than the time needed to respond to the survey. </w:t>
      </w:r>
      <w:r>
        <w:t xml:space="preserve">Respondents will be asked to answer the survey one time. We use the average of the </w:t>
      </w:r>
      <w:r>
        <w:rPr>
          <w:rStyle w:val="normaltextrun1"/>
        </w:rPr>
        <w:t xml:space="preserve">Bureau of Labor Statistics’ median hourly rates for </w:t>
      </w:r>
      <w:hyperlink r:id="rId16" w:history="1">
        <w:r w:rsidRPr="00201F07">
          <w:rPr>
            <w:rStyle w:val="Hyperlink"/>
            <w:rFonts w:cs="Times New Roman"/>
            <w:szCs w:val="24"/>
          </w:rPr>
          <w:t>General and Operations Managers</w:t>
        </w:r>
      </w:hyperlink>
      <w:r w:rsidRPr="00201F07">
        <w:rPr>
          <w:rFonts w:cs="Times New Roman"/>
          <w:szCs w:val="24"/>
        </w:rPr>
        <w:t xml:space="preserve"> </w:t>
      </w:r>
      <w:r>
        <w:t xml:space="preserve">($48.27), </w:t>
      </w:r>
      <w:hyperlink r:id="rId17" w:tgtFrame="_blank" w:history="1">
        <w:r>
          <w:rPr>
            <w:rStyle w:val="normaltextrun1"/>
            <w:color w:val="0000FF"/>
            <w:u w:val="single"/>
          </w:rPr>
          <w:t>Civil Engineers</w:t>
        </w:r>
      </w:hyperlink>
      <w:r>
        <w:rPr>
          <w:rStyle w:val="normaltextrun1"/>
        </w:rPr>
        <w:t xml:space="preserve"> ($4</w:t>
      </w:r>
      <w:r w:rsidR="00AF4E66">
        <w:rPr>
          <w:rStyle w:val="normaltextrun1"/>
        </w:rPr>
        <w:t>1</w:t>
      </w:r>
      <w:r>
        <w:rPr>
          <w:rStyle w:val="normaltextrun1"/>
        </w:rPr>
        <w:t>.</w:t>
      </w:r>
      <w:r w:rsidR="00AF4E66">
        <w:rPr>
          <w:rStyle w:val="normaltextrun1"/>
        </w:rPr>
        <w:t>6</w:t>
      </w:r>
      <w:r>
        <w:rPr>
          <w:rStyle w:val="normaltextrun1"/>
        </w:rPr>
        <w:t xml:space="preserve">5), and </w:t>
      </w:r>
      <w:hyperlink r:id="rId18" w:tgtFrame="_blank" w:history="1">
        <w:r>
          <w:rPr>
            <w:rStyle w:val="normaltextrun1"/>
            <w:color w:val="0000FF"/>
            <w:u w:val="single"/>
          </w:rPr>
          <w:t>Management Analysts</w:t>
        </w:r>
      </w:hyperlink>
      <w:r>
        <w:rPr>
          <w:rStyle w:val="normaltextrun1"/>
        </w:rPr>
        <w:t xml:space="preserve"> ($</w:t>
      </w:r>
      <w:r w:rsidR="00AF4E66">
        <w:rPr>
          <w:rStyle w:val="normaltextrun1"/>
        </w:rPr>
        <w:t>40.20</w:t>
      </w:r>
      <w:r>
        <w:rPr>
          <w:rStyle w:val="normaltextrun1"/>
        </w:rPr>
        <w:t>), rounded up to the nearest whole dollar ($4</w:t>
      </w:r>
      <w:r w:rsidR="00AF4E66">
        <w:rPr>
          <w:rStyle w:val="normaltextrun1"/>
        </w:rPr>
        <w:t>3</w:t>
      </w:r>
      <w:r>
        <w:rPr>
          <w:rStyle w:val="normaltextrun1"/>
        </w:rPr>
        <w:t>). </w:t>
      </w:r>
      <w:r w:rsidR="00AF4E66">
        <w:rPr>
          <w:rStyle w:val="normaltextrun1"/>
        </w:rPr>
        <w:t>The fully loaded wage rate, including benefits, is $63, using a loading factor of 1.46.</w:t>
      </w:r>
      <w:r>
        <w:rPr>
          <w:rStyle w:val="normaltextrun1"/>
        </w:rPr>
        <w:t xml:space="preserve"> </w:t>
      </w:r>
    </w:p>
    <w:p w14:paraId="3003DAD0" w14:textId="379CD4C6" w:rsidR="00A20E4A" w:rsidRDefault="00A20E4A" w:rsidP="00A20E4A">
      <w:pPr>
        <w:pStyle w:val="BodyTextIndent"/>
        <w:ind w:left="0"/>
      </w:pPr>
      <w:r>
        <w:t>The total hourly burden and costs are shown below.</w:t>
      </w:r>
    </w:p>
    <w:tbl>
      <w:tblPr>
        <w:tblStyle w:val="TableGrid"/>
        <w:tblW w:w="0" w:type="auto"/>
        <w:jc w:val="center"/>
        <w:tblLook w:val="04A0" w:firstRow="1" w:lastRow="0" w:firstColumn="1" w:lastColumn="0" w:noHBand="0" w:noVBand="1"/>
      </w:tblPr>
      <w:tblGrid>
        <w:gridCol w:w="2483"/>
        <w:gridCol w:w="2000"/>
      </w:tblGrid>
      <w:tr w:rsidR="00A20E4A" w14:paraId="184C386C" w14:textId="77777777" w:rsidTr="009E7640">
        <w:trPr>
          <w:trHeight w:val="775"/>
          <w:jc w:val="center"/>
        </w:trPr>
        <w:tc>
          <w:tcPr>
            <w:tcW w:w="2483" w:type="dxa"/>
            <w:vAlign w:val="bottom"/>
          </w:tcPr>
          <w:p w14:paraId="1EEE1B88" w14:textId="77777777" w:rsidR="00A20E4A" w:rsidRDefault="00A20E4A" w:rsidP="009E7640">
            <w:pPr>
              <w:pStyle w:val="BodyTextIndent"/>
              <w:spacing w:after="0"/>
              <w:ind w:left="0"/>
            </w:pPr>
            <w:bookmarkStart w:id="4" w:name="_Hlk2852749"/>
            <w:bookmarkEnd w:id="2"/>
            <w:bookmarkEnd w:id="3"/>
          </w:p>
        </w:tc>
        <w:tc>
          <w:tcPr>
            <w:tcW w:w="2000" w:type="dxa"/>
            <w:vAlign w:val="bottom"/>
          </w:tcPr>
          <w:p w14:paraId="2FA2EC33" w14:textId="77777777" w:rsidR="00A20E4A" w:rsidRDefault="00A20E4A" w:rsidP="009E7640">
            <w:pPr>
              <w:pStyle w:val="BodyTextIndent"/>
              <w:spacing w:after="0"/>
              <w:ind w:left="0"/>
              <w:jc w:val="right"/>
            </w:pPr>
            <w:r>
              <w:t>State Departments of Transportation</w:t>
            </w:r>
          </w:p>
        </w:tc>
      </w:tr>
      <w:tr w:rsidR="00A20E4A" w14:paraId="0AFDAA2B" w14:textId="77777777" w:rsidTr="009E7640">
        <w:trPr>
          <w:trHeight w:val="258"/>
          <w:jc w:val="center"/>
        </w:trPr>
        <w:tc>
          <w:tcPr>
            <w:tcW w:w="2483" w:type="dxa"/>
            <w:vAlign w:val="center"/>
          </w:tcPr>
          <w:p w14:paraId="3F1D3D2F" w14:textId="77777777" w:rsidR="00A20E4A" w:rsidRDefault="00A20E4A" w:rsidP="009E7640">
            <w:pPr>
              <w:pStyle w:val="BodyTextIndent"/>
              <w:spacing w:after="0"/>
              <w:ind w:left="0"/>
            </w:pPr>
            <w:r>
              <w:t>Hours</w:t>
            </w:r>
          </w:p>
        </w:tc>
        <w:tc>
          <w:tcPr>
            <w:tcW w:w="2000" w:type="dxa"/>
            <w:vAlign w:val="center"/>
          </w:tcPr>
          <w:p w14:paraId="5FC10585" w14:textId="77777777" w:rsidR="00A20E4A" w:rsidRDefault="00A20E4A" w:rsidP="009E7640">
            <w:pPr>
              <w:pStyle w:val="BodyTextIndent"/>
              <w:spacing w:after="0"/>
              <w:ind w:left="0"/>
              <w:jc w:val="right"/>
            </w:pPr>
            <w:r>
              <w:t>216</w:t>
            </w:r>
          </w:p>
        </w:tc>
      </w:tr>
      <w:tr w:rsidR="00A20E4A" w14:paraId="356B9769" w14:textId="77777777" w:rsidTr="009E7640">
        <w:trPr>
          <w:trHeight w:val="247"/>
          <w:jc w:val="center"/>
        </w:trPr>
        <w:tc>
          <w:tcPr>
            <w:tcW w:w="2483" w:type="dxa"/>
            <w:vAlign w:val="center"/>
          </w:tcPr>
          <w:p w14:paraId="4075E7D9" w14:textId="77777777" w:rsidR="00A20E4A" w:rsidRDefault="00A20E4A" w:rsidP="009E7640">
            <w:pPr>
              <w:pStyle w:val="BodyTextIndent"/>
              <w:spacing w:after="0"/>
              <w:ind w:left="0"/>
            </w:pPr>
            <w:r>
              <w:t>Direct Labor Costs</w:t>
            </w:r>
          </w:p>
        </w:tc>
        <w:tc>
          <w:tcPr>
            <w:tcW w:w="2000" w:type="dxa"/>
            <w:vAlign w:val="bottom"/>
          </w:tcPr>
          <w:p w14:paraId="064C3A77" w14:textId="7904BF7C" w:rsidR="00A20E4A" w:rsidRPr="00720589" w:rsidRDefault="00AF4E66" w:rsidP="009E7640">
            <w:pPr>
              <w:pStyle w:val="BodyTextIndent"/>
              <w:spacing w:after="0"/>
              <w:ind w:left="0"/>
              <w:jc w:val="right"/>
              <w:rPr>
                <w:szCs w:val="24"/>
              </w:rPr>
            </w:pPr>
            <w:r>
              <w:rPr>
                <w:color w:val="000000"/>
                <w:szCs w:val="24"/>
              </w:rPr>
              <w:t>$13.560</w:t>
            </w:r>
          </w:p>
        </w:tc>
      </w:tr>
      <w:tr w:rsidR="00A20E4A" w14:paraId="6035E049" w14:textId="77777777" w:rsidTr="009E7640">
        <w:trPr>
          <w:trHeight w:val="258"/>
          <w:jc w:val="center"/>
        </w:trPr>
        <w:tc>
          <w:tcPr>
            <w:tcW w:w="2483" w:type="dxa"/>
            <w:vAlign w:val="center"/>
          </w:tcPr>
          <w:p w14:paraId="7B9C691D" w14:textId="77777777" w:rsidR="00A20E4A" w:rsidRDefault="00A20E4A" w:rsidP="009E7640">
            <w:pPr>
              <w:pStyle w:val="BodyTextIndent"/>
              <w:spacing w:after="0"/>
              <w:ind w:left="0"/>
            </w:pPr>
            <w:r>
              <w:t xml:space="preserve">Overhead (20%) </w:t>
            </w:r>
          </w:p>
        </w:tc>
        <w:tc>
          <w:tcPr>
            <w:tcW w:w="2000" w:type="dxa"/>
            <w:vAlign w:val="bottom"/>
          </w:tcPr>
          <w:p w14:paraId="3A7972CC" w14:textId="178B080B" w:rsidR="00A20E4A" w:rsidRPr="00720589" w:rsidRDefault="00A20E4A" w:rsidP="009E7640">
            <w:pPr>
              <w:pStyle w:val="BodyTextIndent"/>
              <w:spacing w:after="0"/>
              <w:ind w:left="0"/>
              <w:jc w:val="right"/>
              <w:rPr>
                <w:szCs w:val="24"/>
              </w:rPr>
            </w:pPr>
            <w:r w:rsidRPr="00720589">
              <w:rPr>
                <w:color w:val="000000"/>
                <w:szCs w:val="24"/>
              </w:rPr>
              <w:t>$</w:t>
            </w:r>
            <w:r w:rsidR="00AF4E66">
              <w:rPr>
                <w:color w:val="000000"/>
                <w:szCs w:val="24"/>
              </w:rPr>
              <w:t>2,712</w:t>
            </w:r>
          </w:p>
        </w:tc>
      </w:tr>
      <w:tr w:rsidR="00A20E4A" w14:paraId="48CC7D54" w14:textId="77777777" w:rsidTr="009E7640">
        <w:trPr>
          <w:trHeight w:val="258"/>
          <w:jc w:val="center"/>
        </w:trPr>
        <w:tc>
          <w:tcPr>
            <w:tcW w:w="2483" w:type="dxa"/>
            <w:tcBorders>
              <w:bottom w:val="single" w:sz="4" w:space="0" w:color="auto"/>
            </w:tcBorders>
            <w:vAlign w:val="center"/>
          </w:tcPr>
          <w:p w14:paraId="0DEA4B1B" w14:textId="77777777" w:rsidR="00A20E4A" w:rsidRDefault="00A20E4A" w:rsidP="009E7640">
            <w:pPr>
              <w:pStyle w:val="BodyTextIndent"/>
              <w:spacing w:after="0"/>
              <w:ind w:left="0"/>
            </w:pPr>
            <w:r>
              <w:t>Total</w:t>
            </w:r>
          </w:p>
        </w:tc>
        <w:tc>
          <w:tcPr>
            <w:tcW w:w="2000" w:type="dxa"/>
            <w:tcBorders>
              <w:bottom w:val="single" w:sz="4" w:space="0" w:color="auto"/>
            </w:tcBorders>
            <w:vAlign w:val="bottom"/>
          </w:tcPr>
          <w:p w14:paraId="70500493" w14:textId="5A42DAEC" w:rsidR="00A20E4A" w:rsidRPr="00720589" w:rsidRDefault="00A20E4A" w:rsidP="009E7640">
            <w:pPr>
              <w:pStyle w:val="BodyTextIndent"/>
              <w:spacing w:after="0"/>
              <w:ind w:left="0"/>
              <w:jc w:val="right"/>
              <w:rPr>
                <w:szCs w:val="24"/>
              </w:rPr>
            </w:pPr>
            <w:r w:rsidRPr="00720589">
              <w:rPr>
                <w:color w:val="000000"/>
                <w:szCs w:val="24"/>
              </w:rPr>
              <w:t>$1</w:t>
            </w:r>
            <w:r w:rsidR="00AF4E66">
              <w:rPr>
                <w:color w:val="000000"/>
                <w:szCs w:val="24"/>
              </w:rPr>
              <w:t>6,273</w:t>
            </w:r>
          </w:p>
        </w:tc>
      </w:tr>
      <w:tr w:rsidR="00A20E4A" w14:paraId="4FE5C612" w14:textId="77777777" w:rsidTr="009E7640">
        <w:trPr>
          <w:trHeight w:val="258"/>
          <w:jc w:val="center"/>
        </w:trPr>
        <w:tc>
          <w:tcPr>
            <w:tcW w:w="2483" w:type="dxa"/>
            <w:tcBorders>
              <w:left w:val="nil"/>
              <w:bottom w:val="nil"/>
              <w:right w:val="nil"/>
            </w:tcBorders>
            <w:vAlign w:val="center"/>
          </w:tcPr>
          <w:p w14:paraId="67F0D827" w14:textId="77777777" w:rsidR="00A20E4A" w:rsidRDefault="00A20E4A" w:rsidP="009E7640">
            <w:pPr>
              <w:pStyle w:val="BodyTextIndent"/>
              <w:spacing w:after="0"/>
              <w:ind w:left="0"/>
            </w:pPr>
          </w:p>
        </w:tc>
        <w:tc>
          <w:tcPr>
            <w:tcW w:w="2000" w:type="dxa"/>
            <w:tcBorders>
              <w:left w:val="nil"/>
              <w:bottom w:val="nil"/>
              <w:right w:val="nil"/>
            </w:tcBorders>
            <w:vAlign w:val="bottom"/>
          </w:tcPr>
          <w:p w14:paraId="1DA14BCD" w14:textId="77777777" w:rsidR="00A20E4A" w:rsidRDefault="00A20E4A" w:rsidP="009E7640">
            <w:pPr>
              <w:pStyle w:val="BodyTextIndent"/>
              <w:spacing w:after="0"/>
              <w:ind w:left="0"/>
              <w:jc w:val="right"/>
              <w:rPr>
                <w:rFonts w:ascii="Calibri" w:hAnsi="Calibri"/>
                <w:color w:val="000000"/>
                <w:sz w:val="22"/>
              </w:rPr>
            </w:pPr>
          </w:p>
        </w:tc>
      </w:tr>
      <w:bookmarkEnd w:id="4"/>
    </w:tbl>
    <w:p w14:paraId="596B124A" w14:textId="77777777" w:rsidR="00A20E4A" w:rsidRPr="00A20E4A" w:rsidRDefault="00A20E4A" w:rsidP="00A20E4A"/>
    <w:p w14:paraId="673B5734" w14:textId="1C889501" w:rsidR="004F79D0" w:rsidRDefault="00884DC3" w:rsidP="0053073E">
      <w:pPr>
        <w:pStyle w:val="Heading3"/>
        <w:ind w:left="0" w:firstLine="0"/>
      </w:pPr>
      <w:r w:rsidRPr="00EE5E46">
        <w:rPr>
          <w:u w:val="single"/>
        </w:rPr>
        <w:t xml:space="preserve">Estimate of total annual costs </w:t>
      </w:r>
      <w:r w:rsidR="0053073E" w:rsidRPr="00EE5E46">
        <w:rPr>
          <w:u w:val="single"/>
        </w:rPr>
        <w:t>burden.</w:t>
      </w:r>
      <w:r w:rsidR="0053073E">
        <w:t xml:space="preserve"> </w:t>
      </w:r>
    </w:p>
    <w:p w14:paraId="3EC9155D" w14:textId="79528307" w:rsidR="00AF4E66" w:rsidRDefault="00AF4E66" w:rsidP="00AF4E66">
      <w:r>
        <w:t xml:space="preserve">This is a one-time data collection effort. There are no additional burdens, other than those described above. </w:t>
      </w:r>
    </w:p>
    <w:p w14:paraId="461601B4" w14:textId="77777777" w:rsidR="004F79D0" w:rsidRDefault="00884DC3" w:rsidP="004F79D0">
      <w:pPr>
        <w:pStyle w:val="Heading3"/>
        <w:ind w:left="0" w:firstLine="0"/>
        <w:rPr>
          <w:u w:val="single"/>
        </w:rPr>
      </w:pPr>
      <w:r w:rsidRPr="004F79D0">
        <w:rPr>
          <w:u w:val="single"/>
        </w:rPr>
        <w:t>Estimate</w:t>
      </w:r>
      <w:r w:rsidR="0053073E" w:rsidRPr="004F79D0">
        <w:rPr>
          <w:u w:val="single"/>
        </w:rPr>
        <w:t>s</w:t>
      </w:r>
      <w:r w:rsidRPr="004F79D0">
        <w:rPr>
          <w:u w:val="single"/>
        </w:rPr>
        <w:t xml:space="preserve"> of cost</w:t>
      </w:r>
      <w:r w:rsidR="0053073E" w:rsidRPr="004F79D0">
        <w:rPr>
          <w:u w:val="single"/>
        </w:rPr>
        <w:t>s</w:t>
      </w:r>
      <w:r w:rsidRPr="004F79D0">
        <w:rPr>
          <w:u w:val="single"/>
        </w:rPr>
        <w:t xml:space="preserve"> to the Federal </w:t>
      </w:r>
      <w:r w:rsidR="0053073E" w:rsidRPr="004F79D0">
        <w:rPr>
          <w:u w:val="single"/>
        </w:rPr>
        <w:t>G</w:t>
      </w:r>
      <w:r w:rsidRPr="004F79D0">
        <w:rPr>
          <w:u w:val="single"/>
        </w:rPr>
        <w:t>overnment</w:t>
      </w:r>
      <w:r w:rsidR="0053073E" w:rsidRPr="004F79D0">
        <w:rPr>
          <w:u w:val="single"/>
        </w:rPr>
        <w:t>.</w:t>
      </w:r>
      <w:r w:rsidR="003749F7">
        <w:rPr>
          <w:u w:val="single"/>
        </w:rPr>
        <w:t xml:space="preserve"> </w:t>
      </w:r>
    </w:p>
    <w:p w14:paraId="38F4973C" w14:textId="77777777" w:rsidR="004A2C0A" w:rsidRPr="00FA7B09" w:rsidRDefault="004A2C0A" w:rsidP="004A2C0A">
      <w:pPr>
        <w:rPr>
          <w:szCs w:val="24"/>
        </w:rPr>
      </w:pPr>
      <w:bookmarkStart w:id="5" w:name="_Hlk2783559"/>
      <w:r w:rsidRPr="00A466E1">
        <w:rPr>
          <w:szCs w:val="24"/>
        </w:rPr>
        <w:t xml:space="preserve">Federal and contractor costs are based on the estimated level of effort required to complete the </w:t>
      </w:r>
      <w:r w:rsidRPr="00FA7B09">
        <w:rPr>
          <w:szCs w:val="24"/>
        </w:rPr>
        <w:t xml:space="preserve">data collection, multiplied by the hourly rate of the contractor staff. </w:t>
      </w:r>
    </w:p>
    <w:p w14:paraId="24F335A0" w14:textId="5179E6CF" w:rsidR="00EE79BB" w:rsidRPr="00FA7B09" w:rsidRDefault="00EE79BB" w:rsidP="00EE79BB">
      <w:pPr>
        <w:rPr>
          <w:szCs w:val="24"/>
        </w:rPr>
      </w:pPr>
      <w:r w:rsidRPr="007D3D64">
        <w:rPr>
          <w:szCs w:val="24"/>
        </w:rPr>
        <w:t>The cost to the Federal Government consists of the staff time and related expenses for</w:t>
      </w:r>
      <w:r w:rsidRPr="00FA7B09">
        <w:rPr>
          <w:szCs w:val="24"/>
        </w:rPr>
        <w:t xml:space="preserve"> the development of the survey instrument and outreach to SDOTs to encourage their participation in the survey. </w:t>
      </w:r>
      <w:bookmarkStart w:id="6" w:name="_Hlk2856562"/>
      <w:r w:rsidRPr="00FA7B09">
        <w:rPr>
          <w:szCs w:val="24"/>
        </w:rPr>
        <w:t xml:space="preserve"> It is assumed FHWA staff have already and will spend 50 hours on development of the survey instrument, coordination with OMB and outreach to SDOTs to encourage their participation in the data collection. Hourly costs are $62 and overhead is assumed to be 20 percent. The loading factor for</w:t>
      </w:r>
      <w:r w:rsidR="00574399" w:rsidRPr="00FA7B09">
        <w:rPr>
          <w:szCs w:val="24"/>
        </w:rPr>
        <w:t xml:space="preserve"> fringe</w:t>
      </w:r>
      <w:r w:rsidRPr="00FA7B09">
        <w:rPr>
          <w:szCs w:val="24"/>
        </w:rPr>
        <w:t xml:space="preserve"> benefits is assumed to be 1.46. The fully loaded hourly rate is $109. The cost is:</w:t>
      </w:r>
    </w:p>
    <w:p w14:paraId="215D0010" w14:textId="77777777" w:rsidR="00EE79BB" w:rsidRPr="00FA7B09" w:rsidRDefault="00EE79BB" w:rsidP="00EE79BB">
      <w:pPr>
        <w:ind w:firstLine="720"/>
        <w:rPr>
          <w:szCs w:val="24"/>
        </w:rPr>
      </w:pPr>
      <w:r w:rsidRPr="00FA7B09">
        <w:rPr>
          <w:szCs w:val="24"/>
        </w:rPr>
        <w:t>50 FHWA Headquarters Staff Hours @ $109 per hour = $5,431.</w:t>
      </w:r>
    </w:p>
    <w:bookmarkEnd w:id="6"/>
    <w:p w14:paraId="07D81D7D" w14:textId="77777777" w:rsidR="00EE79BB" w:rsidRPr="00FA7B09" w:rsidRDefault="00EE79BB" w:rsidP="00EE79BB">
      <w:pPr>
        <w:rPr>
          <w:szCs w:val="24"/>
        </w:rPr>
      </w:pPr>
      <w:r w:rsidRPr="00FA7B09">
        <w:rPr>
          <w:szCs w:val="24"/>
        </w:rPr>
        <w:t xml:space="preserve">Contractors will support the federal government’s data collection effort.  Contractors will develop the survey instrument, deliver the survey, and collect the data. In summary: </w:t>
      </w:r>
    </w:p>
    <w:tbl>
      <w:tblPr>
        <w:tblStyle w:val="TableGrid"/>
        <w:tblW w:w="0" w:type="auto"/>
        <w:tblInd w:w="720" w:type="dxa"/>
        <w:tblLook w:val="04A0" w:firstRow="1" w:lastRow="0" w:firstColumn="1" w:lastColumn="0" w:noHBand="0" w:noVBand="1"/>
      </w:tblPr>
      <w:tblGrid>
        <w:gridCol w:w="3145"/>
        <w:gridCol w:w="1443"/>
        <w:gridCol w:w="2543"/>
        <w:gridCol w:w="1499"/>
      </w:tblGrid>
      <w:tr w:rsidR="00FA7B09" w:rsidRPr="00FA7B09" w14:paraId="23A85946" w14:textId="77777777" w:rsidTr="009E7640">
        <w:tc>
          <w:tcPr>
            <w:tcW w:w="3145" w:type="dxa"/>
            <w:vAlign w:val="bottom"/>
          </w:tcPr>
          <w:p w14:paraId="08EFF651" w14:textId="77777777" w:rsidR="00EE79BB" w:rsidRPr="00FA7B09" w:rsidRDefault="00EE79BB" w:rsidP="009E7640">
            <w:pPr>
              <w:spacing w:after="0"/>
              <w:rPr>
                <w:szCs w:val="24"/>
              </w:rPr>
            </w:pPr>
            <w:r w:rsidRPr="00FA7B09">
              <w:rPr>
                <w:szCs w:val="24"/>
              </w:rPr>
              <w:t>Cost Component</w:t>
            </w:r>
          </w:p>
        </w:tc>
        <w:tc>
          <w:tcPr>
            <w:tcW w:w="1443" w:type="dxa"/>
            <w:vAlign w:val="bottom"/>
          </w:tcPr>
          <w:p w14:paraId="78C933D9" w14:textId="77777777" w:rsidR="00EE79BB" w:rsidRPr="00FA7B09" w:rsidRDefault="00EE79BB" w:rsidP="009E7640">
            <w:pPr>
              <w:spacing w:after="0"/>
              <w:jc w:val="right"/>
              <w:rPr>
                <w:szCs w:val="24"/>
              </w:rPr>
            </w:pPr>
            <w:r w:rsidRPr="00FA7B09">
              <w:rPr>
                <w:szCs w:val="24"/>
              </w:rPr>
              <w:t>Federal Agency Costs</w:t>
            </w:r>
          </w:p>
        </w:tc>
        <w:tc>
          <w:tcPr>
            <w:tcW w:w="2543" w:type="dxa"/>
            <w:vAlign w:val="bottom"/>
          </w:tcPr>
          <w:p w14:paraId="59D71566" w14:textId="77777777" w:rsidR="00EE79BB" w:rsidRPr="00FA7B09" w:rsidRDefault="00EE79BB" w:rsidP="009E7640">
            <w:pPr>
              <w:spacing w:after="0"/>
              <w:jc w:val="right"/>
              <w:rPr>
                <w:szCs w:val="24"/>
              </w:rPr>
            </w:pPr>
            <w:r w:rsidRPr="00FA7B09">
              <w:rPr>
                <w:szCs w:val="24"/>
              </w:rPr>
              <w:t>Contractor Costs</w:t>
            </w:r>
          </w:p>
        </w:tc>
        <w:tc>
          <w:tcPr>
            <w:tcW w:w="1499" w:type="dxa"/>
            <w:vAlign w:val="bottom"/>
          </w:tcPr>
          <w:p w14:paraId="2B5CD6C7" w14:textId="77777777" w:rsidR="00EE79BB" w:rsidRPr="00FA7B09" w:rsidRDefault="00EE79BB" w:rsidP="009E7640">
            <w:pPr>
              <w:spacing w:after="0"/>
              <w:jc w:val="right"/>
              <w:rPr>
                <w:szCs w:val="24"/>
              </w:rPr>
            </w:pPr>
            <w:r w:rsidRPr="00FA7B09">
              <w:rPr>
                <w:szCs w:val="24"/>
              </w:rPr>
              <w:t>Total</w:t>
            </w:r>
          </w:p>
        </w:tc>
      </w:tr>
      <w:tr w:rsidR="00FA7B09" w:rsidRPr="00FA7B09" w14:paraId="31726089" w14:textId="77777777" w:rsidTr="009E7640">
        <w:tc>
          <w:tcPr>
            <w:tcW w:w="3145" w:type="dxa"/>
          </w:tcPr>
          <w:p w14:paraId="0C75A920" w14:textId="77777777" w:rsidR="00EE79BB" w:rsidRPr="00FA7B09" w:rsidRDefault="00EE79BB" w:rsidP="009E7640">
            <w:pPr>
              <w:spacing w:after="0"/>
              <w:rPr>
                <w:szCs w:val="24"/>
              </w:rPr>
            </w:pPr>
            <w:r w:rsidRPr="00FA7B09">
              <w:rPr>
                <w:szCs w:val="24"/>
              </w:rPr>
              <w:t>Direct salary and fringe</w:t>
            </w:r>
          </w:p>
        </w:tc>
        <w:tc>
          <w:tcPr>
            <w:tcW w:w="1443" w:type="dxa"/>
          </w:tcPr>
          <w:p w14:paraId="18E5EA2C" w14:textId="77777777" w:rsidR="00EE79BB" w:rsidRPr="00FA7B09" w:rsidRDefault="00EE79BB" w:rsidP="009E7640">
            <w:pPr>
              <w:spacing w:after="0"/>
              <w:jc w:val="right"/>
              <w:rPr>
                <w:szCs w:val="24"/>
              </w:rPr>
            </w:pPr>
            <w:r w:rsidRPr="00FA7B09">
              <w:rPr>
                <w:szCs w:val="24"/>
              </w:rPr>
              <w:t>$4,526</w:t>
            </w:r>
          </w:p>
        </w:tc>
        <w:tc>
          <w:tcPr>
            <w:tcW w:w="2543" w:type="dxa"/>
            <w:vAlign w:val="bottom"/>
          </w:tcPr>
          <w:p w14:paraId="475560A4" w14:textId="77777777" w:rsidR="00EE79BB" w:rsidRPr="00FA7B09" w:rsidRDefault="00EE79BB" w:rsidP="009E7640">
            <w:pPr>
              <w:spacing w:after="0"/>
              <w:jc w:val="right"/>
              <w:rPr>
                <w:szCs w:val="24"/>
              </w:rPr>
            </w:pPr>
            <w:r w:rsidRPr="00FA7B09">
              <w:rPr>
                <w:color w:val="000000"/>
                <w:szCs w:val="24"/>
              </w:rPr>
              <w:t>$58,000</w:t>
            </w:r>
          </w:p>
        </w:tc>
        <w:tc>
          <w:tcPr>
            <w:tcW w:w="1499" w:type="dxa"/>
          </w:tcPr>
          <w:p w14:paraId="3169586F" w14:textId="77777777" w:rsidR="00EE79BB" w:rsidRPr="00FA7B09" w:rsidRDefault="00EE79BB" w:rsidP="009E7640">
            <w:pPr>
              <w:spacing w:after="0"/>
              <w:jc w:val="right"/>
              <w:rPr>
                <w:color w:val="000000"/>
                <w:szCs w:val="24"/>
              </w:rPr>
            </w:pPr>
            <w:r w:rsidRPr="00FA7B09">
              <w:rPr>
                <w:color w:val="000000"/>
                <w:szCs w:val="24"/>
              </w:rPr>
              <w:t>$62,526</w:t>
            </w:r>
          </w:p>
        </w:tc>
      </w:tr>
      <w:tr w:rsidR="00FA7B09" w:rsidRPr="00FA7B09" w14:paraId="3783DE67" w14:textId="77777777" w:rsidTr="009E7640">
        <w:tc>
          <w:tcPr>
            <w:tcW w:w="3145" w:type="dxa"/>
            <w:tcBorders>
              <w:top w:val="single" w:sz="2" w:space="0" w:color="auto"/>
              <w:left w:val="single" w:sz="2" w:space="0" w:color="auto"/>
              <w:bottom w:val="single" w:sz="18" w:space="0" w:color="auto"/>
              <w:right w:val="single" w:sz="2" w:space="0" w:color="auto"/>
            </w:tcBorders>
          </w:tcPr>
          <w:p w14:paraId="0BEE22D1" w14:textId="77777777" w:rsidR="00EE79BB" w:rsidRPr="00FA7B09" w:rsidRDefault="00EE79BB" w:rsidP="009E7640">
            <w:pPr>
              <w:spacing w:after="0"/>
              <w:rPr>
                <w:szCs w:val="24"/>
              </w:rPr>
            </w:pPr>
            <w:r w:rsidRPr="00FA7B09">
              <w:rPr>
                <w:szCs w:val="24"/>
              </w:rPr>
              <w:t xml:space="preserve">Overhead </w:t>
            </w:r>
          </w:p>
        </w:tc>
        <w:tc>
          <w:tcPr>
            <w:tcW w:w="1443" w:type="dxa"/>
            <w:tcBorders>
              <w:top w:val="single" w:sz="2" w:space="0" w:color="auto"/>
              <w:left w:val="single" w:sz="2" w:space="0" w:color="auto"/>
              <w:bottom w:val="single" w:sz="18" w:space="0" w:color="auto"/>
              <w:right w:val="single" w:sz="2" w:space="0" w:color="auto"/>
            </w:tcBorders>
          </w:tcPr>
          <w:p w14:paraId="49BA647F" w14:textId="77777777" w:rsidR="00EE79BB" w:rsidRPr="00FA7B09" w:rsidRDefault="00EE79BB" w:rsidP="009E7640">
            <w:pPr>
              <w:spacing w:after="0"/>
              <w:jc w:val="right"/>
              <w:rPr>
                <w:szCs w:val="24"/>
              </w:rPr>
            </w:pPr>
            <w:r w:rsidRPr="00FA7B09">
              <w:rPr>
                <w:szCs w:val="24"/>
              </w:rPr>
              <w:t>$905</w:t>
            </w:r>
          </w:p>
        </w:tc>
        <w:tc>
          <w:tcPr>
            <w:tcW w:w="2543" w:type="dxa"/>
            <w:tcBorders>
              <w:top w:val="single" w:sz="2" w:space="0" w:color="auto"/>
              <w:left w:val="single" w:sz="2" w:space="0" w:color="auto"/>
              <w:bottom w:val="single" w:sz="18" w:space="0" w:color="auto"/>
              <w:right w:val="single" w:sz="2" w:space="0" w:color="auto"/>
            </w:tcBorders>
            <w:vAlign w:val="bottom"/>
          </w:tcPr>
          <w:p w14:paraId="0EAE3B4D" w14:textId="77777777" w:rsidR="00EE79BB" w:rsidRPr="00FA7B09" w:rsidRDefault="00EE79BB" w:rsidP="009E7640">
            <w:pPr>
              <w:spacing w:after="0"/>
              <w:jc w:val="right"/>
              <w:rPr>
                <w:szCs w:val="24"/>
              </w:rPr>
            </w:pPr>
            <w:r w:rsidRPr="00FA7B09">
              <w:rPr>
                <w:color w:val="000000"/>
                <w:szCs w:val="24"/>
              </w:rPr>
              <w:t>$20,000</w:t>
            </w:r>
          </w:p>
        </w:tc>
        <w:tc>
          <w:tcPr>
            <w:tcW w:w="1499" w:type="dxa"/>
            <w:tcBorders>
              <w:top w:val="single" w:sz="2" w:space="0" w:color="auto"/>
              <w:left w:val="single" w:sz="2" w:space="0" w:color="auto"/>
              <w:bottom w:val="single" w:sz="18" w:space="0" w:color="auto"/>
              <w:right w:val="single" w:sz="2" w:space="0" w:color="auto"/>
            </w:tcBorders>
          </w:tcPr>
          <w:p w14:paraId="4D25A04F" w14:textId="77777777" w:rsidR="00EE79BB" w:rsidRPr="00FA7B09" w:rsidRDefault="00EE79BB" w:rsidP="009E7640">
            <w:pPr>
              <w:spacing w:after="0"/>
              <w:jc w:val="right"/>
              <w:rPr>
                <w:color w:val="000000"/>
                <w:szCs w:val="24"/>
              </w:rPr>
            </w:pPr>
            <w:r w:rsidRPr="00FA7B09">
              <w:rPr>
                <w:color w:val="000000"/>
                <w:szCs w:val="24"/>
              </w:rPr>
              <w:t>$20,905</w:t>
            </w:r>
          </w:p>
        </w:tc>
      </w:tr>
      <w:tr w:rsidR="00EE79BB" w:rsidRPr="00FA7B09" w14:paraId="293BB675" w14:textId="77777777" w:rsidTr="009E7640">
        <w:tc>
          <w:tcPr>
            <w:tcW w:w="3145" w:type="dxa"/>
            <w:tcBorders>
              <w:top w:val="single" w:sz="18" w:space="0" w:color="auto"/>
            </w:tcBorders>
          </w:tcPr>
          <w:p w14:paraId="58F7D7E1" w14:textId="77777777" w:rsidR="00EE79BB" w:rsidRPr="00FA7B09" w:rsidRDefault="00EE79BB" w:rsidP="009E7640">
            <w:pPr>
              <w:spacing w:after="0"/>
              <w:rPr>
                <w:i/>
                <w:szCs w:val="24"/>
              </w:rPr>
            </w:pPr>
            <w:r w:rsidRPr="00FA7B09">
              <w:rPr>
                <w:i/>
                <w:szCs w:val="24"/>
              </w:rPr>
              <w:t>Total cost:</w:t>
            </w:r>
          </w:p>
        </w:tc>
        <w:tc>
          <w:tcPr>
            <w:tcW w:w="1443" w:type="dxa"/>
            <w:tcBorders>
              <w:top w:val="single" w:sz="18" w:space="0" w:color="auto"/>
            </w:tcBorders>
          </w:tcPr>
          <w:p w14:paraId="3721B100" w14:textId="77777777" w:rsidR="00EE79BB" w:rsidRPr="00FA7B09" w:rsidRDefault="00EE79BB" w:rsidP="009E7640">
            <w:pPr>
              <w:spacing w:after="0"/>
              <w:jc w:val="right"/>
              <w:rPr>
                <w:szCs w:val="24"/>
              </w:rPr>
            </w:pPr>
            <w:r w:rsidRPr="00FA7B09">
              <w:rPr>
                <w:szCs w:val="24"/>
              </w:rPr>
              <w:t>$5,431</w:t>
            </w:r>
          </w:p>
        </w:tc>
        <w:tc>
          <w:tcPr>
            <w:tcW w:w="2543" w:type="dxa"/>
            <w:tcBorders>
              <w:top w:val="single" w:sz="18" w:space="0" w:color="auto"/>
            </w:tcBorders>
            <w:vAlign w:val="bottom"/>
          </w:tcPr>
          <w:p w14:paraId="229013CF" w14:textId="77777777" w:rsidR="00EE79BB" w:rsidRPr="00FA7B09" w:rsidRDefault="00EE79BB" w:rsidP="009E7640">
            <w:pPr>
              <w:spacing w:after="0"/>
              <w:jc w:val="right"/>
              <w:rPr>
                <w:szCs w:val="24"/>
              </w:rPr>
            </w:pPr>
            <w:r w:rsidRPr="00FA7B09">
              <w:rPr>
                <w:color w:val="000000"/>
                <w:szCs w:val="24"/>
              </w:rPr>
              <w:t>$78,000</w:t>
            </w:r>
          </w:p>
        </w:tc>
        <w:tc>
          <w:tcPr>
            <w:tcW w:w="1499" w:type="dxa"/>
            <w:tcBorders>
              <w:top w:val="single" w:sz="18" w:space="0" w:color="auto"/>
            </w:tcBorders>
          </w:tcPr>
          <w:p w14:paraId="0C54B8A1" w14:textId="77777777" w:rsidR="00EE79BB" w:rsidRPr="00FA7B09" w:rsidRDefault="00EE79BB" w:rsidP="009E7640">
            <w:pPr>
              <w:spacing w:after="0"/>
              <w:jc w:val="right"/>
              <w:rPr>
                <w:color w:val="000000"/>
                <w:szCs w:val="24"/>
              </w:rPr>
            </w:pPr>
            <w:r w:rsidRPr="00FA7B09">
              <w:rPr>
                <w:color w:val="000000"/>
                <w:szCs w:val="24"/>
              </w:rPr>
              <w:t>$83,431</w:t>
            </w:r>
          </w:p>
        </w:tc>
      </w:tr>
    </w:tbl>
    <w:p w14:paraId="72D3624B" w14:textId="77777777" w:rsidR="00EE79BB" w:rsidRPr="00FA7B09" w:rsidRDefault="00EE79BB" w:rsidP="00EE79BB"/>
    <w:p w14:paraId="326ED580" w14:textId="77777777" w:rsidR="00EE79BB" w:rsidRPr="00FA7B09" w:rsidRDefault="00EE79BB" w:rsidP="00EE79BB">
      <w:r w:rsidRPr="00FA7B09">
        <w:t>The annual costs would be divided by 3, for an annual cost of $27,810.</w:t>
      </w:r>
    </w:p>
    <w:bookmarkEnd w:id="5"/>
    <w:p w14:paraId="4B2D4A89" w14:textId="139DA999" w:rsidR="004F79D0" w:rsidRDefault="00884DC3" w:rsidP="004F79D0">
      <w:pPr>
        <w:pStyle w:val="Heading3"/>
        <w:ind w:left="0" w:firstLine="0"/>
        <w:rPr>
          <w:u w:val="single"/>
        </w:rPr>
      </w:pPr>
      <w:r w:rsidRPr="004F79D0">
        <w:rPr>
          <w:u w:val="single"/>
        </w:rPr>
        <w:t>Explanation of program changes or adjustments</w:t>
      </w:r>
      <w:r w:rsidR="003749F7" w:rsidRPr="004F79D0">
        <w:rPr>
          <w:u w:val="single"/>
        </w:rPr>
        <w:t xml:space="preserve">. </w:t>
      </w:r>
    </w:p>
    <w:p w14:paraId="0EEA4822" w14:textId="39289ACB" w:rsidR="00884DC3" w:rsidRPr="00B0635C" w:rsidRDefault="003749F7" w:rsidP="00A75C4B">
      <w:pPr>
        <w:rPr>
          <w:szCs w:val="24"/>
        </w:rPr>
      </w:pPr>
      <w:r>
        <w:rPr>
          <w:szCs w:val="24"/>
        </w:rPr>
        <w:t>There are no program changes or adjustments</w:t>
      </w:r>
      <w:r w:rsidRPr="009C32CF">
        <w:rPr>
          <w:szCs w:val="24"/>
        </w:rPr>
        <w:t>.</w:t>
      </w:r>
    </w:p>
    <w:p w14:paraId="345F265A" w14:textId="77777777" w:rsidR="004F79D0" w:rsidRDefault="00884DC3" w:rsidP="004F79D0">
      <w:pPr>
        <w:pStyle w:val="Heading3"/>
        <w:ind w:left="0" w:firstLine="0"/>
        <w:rPr>
          <w:u w:val="single"/>
        </w:rPr>
      </w:pPr>
      <w:r w:rsidRPr="004F79D0">
        <w:rPr>
          <w:u w:val="single"/>
        </w:rPr>
        <w:t>Publication of results of data collection</w:t>
      </w:r>
      <w:r w:rsidR="003749F7" w:rsidRPr="004F79D0">
        <w:rPr>
          <w:u w:val="single"/>
        </w:rPr>
        <w:t xml:space="preserve">. </w:t>
      </w:r>
    </w:p>
    <w:p w14:paraId="46108EE5" w14:textId="225E57BD" w:rsidR="00720589" w:rsidRDefault="00005095" w:rsidP="00062D14">
      <w:pPr>
        <w:rPr>
          <w:szCs w:val="24"/>
          <w:highlight w:val="yellow"/>
        </w:rPr>
      </w:pPr>
      <w:r>
        <w:rPr>
          <w:szCs w:val="24"/>
        </w:rPr>
        <w:t xml:space="preserve">The data will be collected 2019 and published in 2020. </w:t>
      </w:r>
      <w:r w:rsidR="001D17DC">
        <w:rPr>
          <w:szCs w:val="24"/>
        </w:rPr>
        <w:t>The survey and interview results will be published in a technical report and PowerPoint presentation.</w:t>
      </w:r>
      <w:r w:rsidR="008D701C" w:rsidRPr="008D701C">
        <w:rPr>
          <w:szCs w:val="24"/>
        </w:rPr>
        <w:t xml:space="preserve"> </w:t>
      </w:r>
      <w:r w:rsidR="008D701C">
        <w:rPr>
          <w:szCs w:val="24"/>
        </w:rPr>
        <w:t xml:space="preserve">The report will summarize the responses to the survey questions. Complex analytical techniques will not be used. </w:t>
      </w:r>
    </w:p>
    <w:p w14:paraId="186355E6" w14:textId="77777777" w:rsidR="004F79D0" w:rsidRDefault="00884DC3" w:rsidP="00A466E1">
      <w:pPr>
        <w:pStyle w:val="Heading3"/>
        <w:keepNext/>
      </w:pPr>
      <w:r w:rsidRPr="00596E30">
        <w:t>Approval for not displaying the expiration date of OMB approval</w:t>
      </w:r>
      <w:r w:rsidR="003749F7">
        <w:t xml:space="preserve">. </w:t>
      </w:r>
    </w:p>
    <w:p w14:paraId="74741719" w14:textId="62CCFB04" w:rsidR="00884DC3" w:rsidRPr="00884DC3" w:rsidRDefault="001D17DC" w:rsidP="00A75C4B">
      <w:r>
        <w:t>Approval for</w:t>
      </w:r>
      <w:r w:rsidR="005445E4" w:rsidRPr="005445E4">
        <w:t xml:space="preserve"> not display</w:t>
      </w:r>
      <w:r>
        <w:t>ing</w:t>
      </w:r>
      <w:r w:rsidR="005445E4" w:rsidRPr="005445E4">
        <w:t xml:space="preserve"> the expiration date </w:t>
      </w:r>
      <w:r>
        <w:t xml:space="preserve">is not being </w:t>
      </w:r>
      <w:r w:rsidR="005445E4">
        <w:t>request</w:t>
      </w:r>
      <w:r>
        <w:t>ed</w:t>
      </w:r>
      <w:r w:rsidR="005445E4">
        <w:t>.</w:t>
      </w:r>
    </w:p>
    <w:p w14:paraId="4134FDF5" w14:textId="77777777" w:rsidR="004F79D0" w:rsidRDefault="00884DC3" w:rsidP="00B72B51">
      <w:pPr>
        <w:pStyle w:val="Heading3"/>
      </w:pPr>
      <w:r w:rsidRPr="00596E30">
        <w:t>Exceptions to certification statement</w:t>
      </w:r>
      <w:r w:rsidR="003749F7">
        <w:t xml:space="preserve">. </w:t>
      </w:r>
    </w:p>
    <w:p w14:paraId="28B30997" w14:textId="5C041542" w:rsidR="00464ED8" w:rsidRDefault="005445E4" w:rsidP="00464ED8">
      <w:r w:rsidRPr="00596E30">
        <w:t xml:space="preserve">There </w:t>
      </w:r>
      <w:r w:rsidR="001D17DC">
        <w:t>are</w:t>
      </w:r>
      <w:r w:rsidR="001D17DC" w:rsidRPr="00596E30">
        <w:t xml:space="preserve"> </w:t>
      </w:r>
      <w:r w:rsidRPr="00596E30">
        <w:t>no exceptions to the certification statement</w:t>
      </w:r>
      <w:r w:rsidR="001D17DC">
        <w:t xml:space="preserve"> for this information collection</w:t>
      </w:r>
      <w:r w:rsidRPr="00596E30">
        <w:t>.</w:t>
      </w:r>
    </w:p>
    <w:p w14:paraId="1C86FD2D" w14:textId="3E963829" w:rsidR="00A26445" w:rsidRPr="00A26445" w:rsidRDefault="00A26445" w:rsidP="002D1DAF">
      <w:pPr>
        <w:widowControl w:val="0"/>
        <w:rPr>
          <w:szCs w:val="24"/>
        </w:rPr>
      </w:pPr>
      <w:r>
        <w:rPr>
          <w:szCs w:val="24"/>
        </w:rPr>
        <w:t xml:space="preserve"> </w:t>
      </w:r>
    </w:p>
    <w:sectPr w:rsidR="00A26445" w:rsidRPr="00A26445">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CD5294" w14:textId="77777777" w:rsidR="008C6CB6" w:rsidRDefault="008C6CB6" w:rsidP="00DA1191">
      <w:pPr>
        <w:spacing w:after="0" w:line="240" w:lineRule="auto"/>
      </w:pPr>
      <w:r>
        <w:separator/>
      </w:r>
    </w:p>
    <w:p w14:paraId="0AE5C2D9" w14:textId="77777777" w:rsidR="008C6CB6" w:rsidRDefault="008C6CB6"/>
  </w:endnote>
  <w:endnote w:type="continuationSeparator" w:id="0">
    <w:p w14:paraId="1D7B121D" w14:textId="77777777" w:rsidR="008C6CB6" w:rsidRDefault="008C6CB6" w:rsidP="00DA1191">
      <w:pPr>
        <w:spacing w:after="0" w:line="240" w:lineRule="auto"/>
      </w:pPr>
      <w:r>
        <w:continuationSeparator/>
      </w:r>
    </w:p>
    <w:p w14:paraId="1572B3AF" w14:textId="77777777" w:rsidR="008C6CB6" w:rsidRDefault="008C6C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1532067726"/>
      <w:docPartObj>
        <w:docPartGallery w:val="Page Numbers (Bottom of Page)"/>
        <w:docPartUnique/>
      </w:docPartObj>
    </w:sdtPr>
    <w:sdtEndPr>
      <w:rPr>
        <w:noProof/>
        <w:sz w:val="24"/>
      </w:rPr>
    </w:sdtEndPr>
    <w:sdtContent>
      <w:p w14:paraId="1AE486EB" w14:textId="3DFD7B52" w:rsidR="00387B11" w:rsidRDefault="00387B11">
        <w:pPr>
          <w:pStyle w:val="Footer"/>
          <w:jc w:val="center"/>
        </w:pPr>
        <w:r>
          <w:fldChar w:fldCharType="begin"/>
        </w:r>
        <w:r>
          <w:instrText xml:space="preserve"> PAGE   \* MERGEFORMAT </w:instrText>
        </w:r>
        <w:r>
          <w:fldChar w:fldCharType="separate"/>
        </w:r>
        <w:r w:rsidR="00990AC6">
          <w:rPr>
            <w:noProof/>
          </w:rPr>
          <w:t>1</w:t>
        </w:r>
        <w:r>
          <w:rPr>
            <w:noProof/>
          </w:rPr>
          <w:fldChar w:fldCharType="end"/>
        </w:r>
      </w:p>
    </w:sdtContent>
  </w:sdt>
  <w:p w14:paraId="337972EF" w14:textId="77777777" w:rsidR="00387B11" w:rsidRDefault="00387B11">
    <w:pPr>
      <w:pStyle w:val="Footer"/>
    </w:pPr>
  </w:p>
  <w:p w14:paraId="404196A2" w14:textId="77777777" w:rsidR="00387B11" w:rsidRDefault="00387B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C7A9E" w14:textId="77777777" w:rsidR="008C6CB6" w:rsidRDefault="008C6CB6" w:rsidP="00DA1191">
      <w:pPr>
        <w:spacing w:after="0" w:line="240" w:lineRule="auto"/>
      </w:pPr>
      <w:r>
        <w:separator/>
      </w:r>
    </w:p>
    <w:p w14:paraId="53A8E2D4" w14:textId="77777777" w:rsidR="008C6CB6" w:rsidRDefault="008C6CB6"/>
  </w:footnote>
  <w:footnote w:type="continuationSeparator" w:id="0">
    <w:p w14:paraId="168118C7" w14:textId="77777777" w:rsidR="008C6CB6" w:rsidRDefault="008C6CB6" w:rsidP="00DA1191">
      <w:pPr>
        <w:spacing w:after="0" w:line="240" w:lineRule="auto"/>
      </w:pPr>
      <w:r>
        <w:continuationSeparator/>
      </w:r>
    </w:p>
    <w:p w14:paraId="71A03BBE" w14:textId="77777777" w:rsidR="008C6CB6" w:rsidRDefault="008C6CB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5E57"/>
    <w:multiLevelType w:val="hybridMultilevel"/>
    <w:tmpl w:val="BC0CC516"/>
    <w:lvl w:ilvl="0" w:tplc="BBD8C37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851595"/>
    <w:multiLevelType w:val="hybridMultilevel"/>
    <w:tmpl w:val="F3EA1A20"/>
    <w:lvl w:ilvl="0" w:tplc="3A2E6332">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273DE1"/>
    <w:multiLevelType w:val="hybridMultilevel"/>
    <w:tmpl w:val="7A101960"/>
    <w:lvl w:ilvl="0" w:tplc="B1BAB0C2">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EA3E20"/>
    <w:multiLevelType w:val="hybridMultilevel"/>
    <w:tmpl w:val="F0AEFAF2"/>
    <w:lvl w:ilvl="0" w:tplc="CABC16A8">
      <w:start w:val="1"/>
      <w:numFmt w:val="decimal"/>
      <w:pStyle w:val="Heading3"/>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312549"/>
    <w:multiLevelType w:val="hybridMultilevel"/>
    <w:tmpl w:val="C478BAD0"/>
    <w:lvl w:ilvl="0" w:tplc="55946F00">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0D8092E"/>
    <w:multiLevelType w:val="multilevel"/>
    <w:tmpl w:val="22B851E6"/>
    <w:styleLink w:val="StyleBulleted"/>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FC464F2"/>
    <w:multiLevelType w:val="hybridMultilevel"/>
    <w:tmpl w:val="D25495E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5D857D3F"/>
    <w:multiLevelType w:val="hybridMultilevel"/>
    <w:tmpl w:val="6D6AED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E5770F2"/>
    <w:multiLevelType w:val="hybridMultilevel"/>
    <w:tmpl w:val="C7E88924"/>
    <w:lvl w:ilvl="0" w:tplc="FBD49FA4">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B655E13"/>
    <w:multiLevelType w:val="multilevel"/>
    <w:tmpl w:val="22B851E6"/>
    <w:numStyleLink w:val="StyleBulleted"/>
  </w:abstractNum>
  <w:abstractNum w:abstractNumId="10">
    <w:nsid w:val="79C84F7F"/>
    <w:multiLevelType w:val="hybridMultilevel"/>
    <w:tmpl w:val="EDC43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1"/>
  </w:num>
  <w:num w:numId="5">
    <w:abstractNumId w:val="0"/>
  </w:num>
  <w:num w:numId="6">
    <w:abstractNumId w:val="9"/>
  </w:num>
  <w:num w:numId="7">
    <w:abstractNumId w:val="5"/>
  </w:num>
  <w:num w:numId="8">
    <w:abstractNumId w:val="7"/>
  </w:num>
  <w:num w:numId="9">
    <w:abstractNumId w:val="8"/>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ED8"/>
    <w:rsid w:val="000041ED"/>
    <w:rsid w:val="00005095"/>
    <w:rsid w:val="00024AA1"/>
    <w:rsid w:val="00062D14"/>
    <w:rsid w:val="000659F2"/>
    <w:rsid w:val="00090AB8"/>
    <w:rsid w:val="0009388E"/>
    <w:rsid w:val="000B448E"/>
    <w:rsid w:val="000C13D2"/>
    <w:rsid w:val="000C1C02"/>
    <w:rsid w:val="000C2372"/>
    <w:rsid w:val="000C7AB8"/>
    <w:rsid w:val="000E494E"/>
    <w:rsid w:val="000F3704"/>
    <w:rsid w:val="00124EC7"/>
    <w:rsid w:val="0013771F"/>
    <w:rsid w:val="0014003B"/>
    <w:rsid w:val="00140887"/>
    <w:rsid w:val="0018537D"/>
    <w:rsid w:val="001867A9"/>
    <w:rsid w:val="001949A3"/>
    <w:rsid w:val="001A2F77"/>
    <w:rsid w:val="001C090B"/>
    <w:rsid w:val="001C59A4"/>
    <w:rsid w:val="001C6C65"/>
    <w:rsid w:val="001C7C3C"/>
    <w:rsid w:val="001D17DC"/>
    <w:rsid w:val="001D47AA"/>
    <w:rsid w:val="001E6F2B"/>
    <w:rsid w:val="001F4C3F"/>
    <w:rsid w:val="002053DB"/>
    <w:rsid w:val="00211FEC"/>
    <w:rsid w:val="00212BF6"/>
    <w:rsid w:val="00227221"/>
    <w:rsid w:val="00233D0C"/>
    <w:rsid w:val="0025535C"/>
    <w:rsid w:val="002664FF"/>
    <w:rsid w:val="00271AD0"/>
    <w:rsid w:val="002B7EA9"/>
    <w:rsid w:val="002C161A"/>
    <w:rsid w:val="002D1DAF"/>
    <w:rsid w:val="002E42C2"/>
    <w:rsid w:val="0030097D"/>
    <w:rsid w:val="00311A57"/>
    <w:rsid w:val="00315115"/>
    <w:rsid w:val="00324D21"/>
    <w:rsid w:val="00327AFF"/>
    <w:rsid w:val="003464DE"/>
    <w:rsid w:val="003749F7"/>
    <w:rsid w:val="0037537D"/>
    <w:rsid w:val="00386023"/>
    <w:rsid w:val="00387B11"/>
    <w:rsid w:val="0039071B"/>
    <w:rsid w:val="00397F15"/>
    <w:rsid w:val="003A42E5"/>
    <w:rsid w:val="003C79F6"/>
    <w:rsid w:val="003E0530"/>
    <w:rsid w:val="003E4C11"/>
    <w:rsid w:val="003E7DA2"/>
    <w:rsid w:val="004024C8"/>
    <w:rsid w:val="00416FEC"/>
    <w:rsid w:val="004200E3"/>
    <w:rsid w:val="00422482"/>
    <w:rsid w:val="00423A5A"/>
    <w:rsid w:val="00435B1D"/>
    <w:rsid w:val="00442D10"/>
    <w:rsid w:val="00452838"/>
    <w:rsid w:val="00464ED8"/>
    <w:rsid w:val="00475FE2"/>
    <w:rsid w:val="00494552"/>
    <w:rsid w:val="004A0DC0"/>
    <w:rsid w:val="004A2C0A"/>
    <w:rsid w:val="004A6CE3"/>
    <w:rsid w:val="004F79D0"/>
    <w:rsid w:val="00512159"/>
    <w:rsid w:val="0053073E"/>
    <w:rsid w:val="00531EF5"/>
    <w:rsid w:val="005445E4"/>
    <w:rsid w:val="00560C11"/>
    <w:rsid w:val="00574399"/>
    <w:rsid w:val="00575925"/>
    <w:rsid w:val="005944B4"/>
    <w:rsid w:val="005B330C"/>
    <w:rsid w:val="005F4817"/>
    <w:rsid w:val="00615902"/>
    <w:rsid w:val="00631FB8"/>
    <w:rsid w:val="00634D52"/>
    <w:rsid w:val="00634E49"/>
    <w:rsid w:val="006642A1"/>
    <w:rsid w:val="00667163"/>
    <w:rsid w:val="00677740"/>
    <w:rsid w:val="006778E8"/>
    <w:rsid w:val="006A2E41"/>
    <w:rsid w:val="006A4CB9"/>
    <w:rsid w:val="006B0D1E"/>
    <w:rsid w:val="006F0BAF"/>
    <w:rsid w:val="006F244B"/>
    <w:rsid w:val="006F7D74"/>
    <w:rsid w:val="00720589"/>
    <w:rsid w:val="0072515F"/>
    <w:rsid w:val="00734AAA"/>
    <w:rsid w:val="00745B7F"/>
    <w:rsid w:val="007526F0"/>
    <w:rsid w:val="00755C25"/>
    <w:rsid w:val="00756FA6"/>
    <w:rsid w:val="0075760A"/>
    <w:rsid w:val="00775F5F"/>
    <w:rsid w:val="007769D9"/>
    <w:rsid w:val="007A6EE0"/>
    <w:rsid w:val="007B3D41"/>
    <w:rsid w:val="007D1CCF"/>
    <w:rsid w:val="007E30A1"/>
    <w:rsid w:val="007F0550"/>
    <w:rsid w:val="007F41FA"/>
    <w:rsid w:val="008440D7"/>
    <w:rsid w:val="0087273E"/>
    <w:rsid w:val="0088419C"/>
    <w:rsid w:val="00884DC3"/>
    <w:rsid w:val="00887627"/>
    <w:rsid w:val="008A2F1C"/>
    <w:rsid w:val="008B1E6B"/>
    <w:rsid w:val="008B5E9B"/>
    <w:rsid w:val="008C6CB6"/>
    <w:rsid w:val="008D701C"/>
    <w:rsid w:val="008E704A"/>
    <w:rsid w:val="008F7912"/>
    <w:rsid w:val="008F7E4B"/>
    <w:rsid w:val="009366DF"/>
    <w:rsid w:val="00952DD6"/>
    <w:rsid w:val="00967809"/>
    <w:rsid w:val="00983A70"/>
    <w:rsid w:val="00990AC6"/>
    <w:rsid w:val="009A5BC7"/>
    <w:rsid w:val="009B2DEE"/>
    <w:rsid w:val="009C226A"/>
    <w:rsid w:val="009D0B84"/>
    <w:rsid w:val="009D6E13"/>
    <w:rsid w:val="009D7FFA"/>
    <w:rsid w:val="009E1618"/>
    <w:rsid w:val="009E52F5"/>
    <w:rsid w:val="009F194C"/>
    <w:rsid w:val="00A01391"/>
    <w:rsid w:val="00A01AA2"/>
    <w:rsid w:val="00A04168"/>
    <w:rsid w:val="00A07219"/>
    <w:rsid w:val="00A11D95"/>
    <w:rsid w:val="00A20E4A"/>
    <w:rsid w:val="00A26445"/>
    <w:rsid w:val="00A27045"/>
    <w:rsid w:val="00A410EB"/>
    <w:rsid w:val="00A466E1"/>
    <w:rsid w:val="00A75C4B"/>
    <w:rsid w:val="00A8195F"/>
    <w:rsid w:val="00A82E59"/>
    <w:rsid w:val="00AA7664"/>
    <w:rsid w:val="00AC4AE9"/>
    <w:rsid w:val="00AC5BFE"/>
    <w:rsid w:val="00AC73BD"/>
    <w:rsid w:val="00AD5AD1"/>
    <w:rsid w:val="00AE1456"/>
    <w:rsid w:val="00AF4E66"/>
    <w:rsid w:val="00AF57F2"/>
    <w:rsid w:val="00B00F9E"/>
    <w:rsid w:val="00B049AB"/>
    <w:rsid w:val="00B0635C"/>
    <w:rsid w:val="00B166F2"/>
    <w:rsid w:val="00B16E44"/>
    <w:rsid w:val="00B16FC6"/>
    <w:rsid w:val="00B24580"/>
    <w:rsid w:val="00B50505"/>
    <w:rsid w:val="00B550D9"/>
    <w:rsid w:val="00B6610D"/>
    <w:rsid w:val="00B66AE2"/>
    <w:rsid w:val="00B72B51"/>
    <w:rsid w:val="00B73E3A"/>
    <w:rsid w:val="00B81167"/>
    <w:rsid w:val="00BB1081"/>
    <w:rsid w:val="00BB3307"/>
    <w:rsid w:val="00BB476C"/>
    <w:rsid w:val="00BB58DC"/>
    <w:rsid w:val="00BB6C23"/>
    <w:rsid w:val="00BD67FB"/>
    <w:rsid w:val="00BF3A4C"/>
    <w:rsid w:val="00C2225E"/>
    <w:rsid w:val="00C26670"/>
    <w:rsid w:val="00C30ED4"/>
    <w:rsid w:val="00C644D4"/>
    <w:rsid w:val="00C85787"/>
    <w:rsid w:val="00C92000"/>
    <w:rsid w:val="00CA2BBD"/>
    <w:rsid w:val="00CB4523"/>
    <w:rsid w:val="00CC5F61"/>
    <w:rsid w:val="00D2344D"/>
    <w:rsid w:val="00D53C10"/>
    <w:rsid w:val="00D80E87"/>
    <w:rsid w:val="00D81DAA"/>
    <w:rsid w:val="00D828B7"/>
    <w:rsid w:val="00D954FF"/>
    <w:rsid w:val="00DA02F6"/>
    <w:rsid w:val="00DA1191"/>
    <w:rsid w:val="00DC6DA4"/>
    <w:rsid w:val="00DE5B56"/>
    <w:rsid w:val="00DF1B80"/>
    <w:rsid w:val="00E24501"/>
    <w:rsid w:val="00E57599"/>
    <w:rsid w:val="00E773E4"/>
    <w:rsid w:val="00EB1455"/>
    <w:rsid w:val="00EB7252"/>
    <w:rsid w:val="00ED4890"/>
    <w:rsid w:val="00EE5E46"/>
    <w:rsid w:val="00EE79BB"/>
    <w:rsid w:val="00EF089B"/>
    <w:rsid w:val="00EF27C9"/>
    <w:rsid w:val="00EF4E1C"/>
    <w:rsid w:val="00EF534F"/>
    <w:rsid w:val="00F01823"/>
    <w:rsid w:val="00F053E8"/>
    <w:rsid w:val="00F42D1A"/>
    <w:rsid w:val="00F73C7D"/>
    <w:rsid w:val="00FA6EE9"/>
    <w:rsid w:val="00FA7B09"/>
    <w:rsid w:val="00FB4114"/>
    <w:rsid w:val="00FD791E"/>
    <w:rsid w:val="15075EFB"/>
    <w:rsid w:val="43680B74"/>
    <w:rsid w:val="7A12C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08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C3C"/>
    <w:pPr>
      <w:spacing w:after="240"/>
    </w:pPr>
    <w:rPr>
      <w:rFonts w:ascii="Times New Roman" w:hAnsi="Times New Roman"/>
      <w:sz w:val="24"/>
    </w:rPr>
  </w:style>
  <w:style w:type="paragraph" w:styleId="Heading1">
    <w:name w:val="heading 1"/>
    <w:basedOn w:val="Normal"/>
    <w:next w:val="Normal"/>
    <w:link w:val="Heading1Char"/>
    <w:uiPriority w:val="9"/>
    <w:qFormat/>
    <w:rsid w:val="00A75C4B"/>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8F7E4B"/>
    <w:pPr>
      <w:keepNext/>
      <w:keepLines/>
      <w:spacing w:before="40" w:after="120"/>
      <w:outlineLvl w:val="1"/>
    </w:pPr>
    <w:rPr>
      <w:rFonts w:eastAsia="Times New Roman" w:cs="Times New Roman"/>
      <w:b/>
      <w:bCs/>
      <w:szCs w:val="24"/>
      <w:u w:val="single"/>
    </w:rPr>
  </w:style>
  <w:style w:type="paragraph" w:styleId="Heading3">
    <w:name w:val="heading 3"/>
    <w:basedOn w:val="Normal"/>
    <w:next w:val="Normal"/>
    <w:link w:val="Heading3Char"/>
    <w:uiPriority w:val="9"/>
    <w:unhideWhenUsed/>
    <w:qFormat/>
    <w:rsid w:val="00B72B51"/>
    <w:pPr>
      <w:widowControl w:val="0"/>
      <w:numPr>
        <w:numId w:val="1"/>
      </w:numPr>
      <w:tabs>
        <w:tab w:val="left" w:pos="720"/>
      </w:tabs>
      <w:autoSpaceDE w:val="0"/>
      <w:autoSpaceDN w:val="0"/>
      <w:adjustRightInd w:val="0"/>
      <w:spacing w:line="240" w:lineRule="auto"/>
      <w:ind w:hanging="720"/>
      <w:outlineLvl w:val="2"/>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4ED8"/>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A75C4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8F7E4B"/>
    <w:rPr>
      <w:rFonts w:ascii="Times New Roman" w:eastAsia="Times New Roman" w:hAnsi="Times New Roman" w:cs="Times New Roman"/>
      <w:b/>
      <w:bCs/>
      <w:sz w:val="24"/>
      <w:szCs w:val="24"/>
      <w:u w:val="single"/>
    </w:rPr>
  </w:style>
  <w:style w:type="character" w:customStyle="1" w:styleId="normaltextrun1">
    <w:name w:val="normaltextrun1"/>
    <w:basedOn w:val="DefaultParagraphFont"/>
    <w:rsid w:val="00464ED8"/>
  </w:style>
  <w:style w:type="paragraph" w:styleId="ListParagraph">
    <w:name w:val="List Paragraph"/>
    <w:basedOn w:val="Normal"/>
    <w:uiPriority w:val="34"/>
    <w:qFormat/>
    <w:rsid w:val="00464ED8"/>
    <w:pPr>
      <w:ind w:left="720"/>
      <w:contextualSpacing/>
    </w:pPr>
  </w:style>
  <w:style w:type="character" w:customStyle="1" w:styleId="Heading3Char">
    <w:name w:val="Heading 3 Char"/>
    <w:basedOn w:val="DefaultParagraphFont"/>
    <w:link w:val="Heading3"/>
    <w:uiPriority w:val="9"/>
    <w:rsid w:val="00B72B51"/>
    <w:rPr>
      <w:rFonts w:ascii="Times New Roman" w:eastAsia="Times New Roman" w:hAnsi="Times New Roman" w:cs="Times New Roman"/>
      <w:b/>
      <w:bCs/>
      <w:sz w:val="24"/>
      <w:szCs w:val="24"/>
    </w:rPr>
  </w:style>
  <w:style w:type="paragraph" w:styleId="NormalWeb">
    <w:name w:val="Normal (Web)"/>
    <w:basedOn w:val="Normal"/>
    <w:rsid w:val="00464ED8"/>
    <w:pPr>
      <w:spacing w:before="100" w:beforeAutospacing="1" w:after="100" w:afterAutospacing="1" w:line="240" w:lineRule="auto"/>
    </w:pPr>
    <w:rPr>
      <w:rFonts w:ascii="Arial Unicode MS" w:eastAsia="Arial Unicode MS" w:hAnsi="Arial Unicode MS" w:cs="Arial Unicode MS"/>
      <w:szCs w:val="24"/>
    </w:rPr>
  </w:style>
  <w:style w:type="character" w:styleId="CommentReference">
    <w:name w:val="annotation reference"/>
    <w:basedOn w:val="DefaultParagraphFont"/>
    <w:uiPriority w:val="99"/>
    <w:unhideWhenUsed/>
    <w:rsid w:val="00A07219"/>
    <w:rPr>
      <w:sz w:val="16"/>
      <w:szCs w:val="16"/>
    </w:rPr>
  </w:style>
  <w:style w:type="paragraph" w:styleId="CommentText">
    <w:name w:val="annotation text"/>
    <w:basedOn w:val="Normal"/>
    <w:link w:val="CommentTextChar"/>
    <w:uiPriority w:val="99"/>
    <w:unhideWhenUsed/>
    <w:rsid w:val="00A07219"/>
    <w:pPr>
      <w:spacing w:line="240" w:lineRule="auto"/>
    </w:pPr>
    <w:rPr>
      <w:sz w:val="20"/>
      <w:szCs w:val="20"/>
    </w:rPr>
  </w:style>
  <w:style w:type="character" w:customStyle="1" w:styleId="CommentTextChar">
    <w:name w:val="Comment Text Char"/>
    <w:basedOn w:val="DefaultParagraphFont"/>
    <w:link w:val="CommentText"/>
    <w:uiPriority w:val="99"/>
    <w:rsid w:val="00A0721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07219"/>
    <w:rPr>
      <w:b/>
      <w:bCs/>
    </w:rPr>
  </w:style>
  <w:style w:type="character" w:customStyle="1" w:styleId="CommentSubjectChar">
    <w:name w:val="Comment Subject Char"/>
    <w:basedOn w:val="CommentTextChar"/>
    <w:link w:val="CommentSubject"/>
    <w:uiPriority w:val="99"/>
    <w:semiHidden/>
    <w:rsid w:val="00A07219"/>
    <w:rPr>
      <w:rFonts w:ascii="Times New Roman" w:hAnsi="Times New Roman"/>
      <w:b/>
      <w:bCs/>
      <w:sz w:val="20"/>
      <w:szCs w:val="20"/>
    </w:rPr>
  </w:style>
  <w:style w:type="paragraph" w:styleId="BalloonText">
    <w:name w:val="Balloon Text"/>
    <w:basedOn w:val="Normal"/>
    <w:link w:val="BalloonTextChar"/>
    <w:uiPriority w:val="99"/>
    <w:semiHidden/>
    <w:unhideWhenUsed/>
    <w:rsid w:val="00A072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219"/>
    <w:rPr>
      <w:rFonts w:ascii="Segoe UI" w:hAnsi="Segoe UI" w:cs="Segoe UI"/>
      <w:sz w:val="18"/>
      <w:szCs w:val="18"/>
    </w:rPr>
  </w:style>
  <w:style w:type="paragraph" w:styleId="BodyText">
    <w:name w:val="Body Text"/>
    <w:basedOn w:val="Normal"/>
    <w:link w:val="BodyTextChar"/>
    <w:rsid w:val="000659F2"/>
    <w:pPr>
      <w:spacing w:after="0" w:line="240" w:lineRule="auto"/>
    </w:pPr>
    <w:rPr>
      <w:rFonts w:ascii="Arial" w:eastAsia="Times New Roman" w:hAnsi="Arial" w:cs="Arial"/>
      <w:color w:val="FF0000"/>
      <w:sz w:val="20"/>
      <w:szCs w:val="20"/>
    </w:rPr>
  </w:style>
  <w:style w:type="character" w:customStyle="1" w:styleId="BodyTextChar">
    <w:name w:val="Body Text Char"/>
    <w:basedOn w:val="DefaultParagraphFont"/>
    <w:link w:val="BodyText"/>
    <w:rsid w:val="000659F2"/>
    <w:rPr>
      <w:rFonts w:ascii="Arial" w:eastAsia="Times New Roman" w:hAnsi="Arial" w:cs="Arial"/>
      <w:color w:val="FF0000"/>
      <w:sz w:val="20"/>
      <w:szCs w:val="20"/>
    </w:rPr>
  </w:style>
  <w:style w:type="numbering" w:customStyle="1" w:styleId="StyleBulleted">
    <w:name w:val="Style Bulleted"/>
    <w:rsid w:val="00634D52"/>
    <w:pPr>
      <w:numPr>
        <w:numId w:val="7"/>
      </w:numPr>
    </w:pPr>
  </w:style>
  <w:style w:type="table" w:styleId="TableGrid">
    <w:name w:val="Table Grid"/>
    <w:basedOn w:val="TableNormal"/>
    <w:rsid w:val="001D17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7769D9"/>
    <w:pPr>
      <w:spacing w:after="120"/>
      <w:ind w:left="360"/>
    </w:pPr>
  </w:style>
  <w:style w:type="character" w:customStyle="1" w:styleId="BodyTextIndentChar">
    <w:name w:val="Body Text Indent Char"/>
    <w:basedOn w:val="DefaultParagraphFont"/>
    <w:link w:val="BodyTextIndent"/>
    <w:uiPriority w:val="99"/>
    <w:rsid w:val="007769D9"/>
    <w:rPr>
      <w:rFonts w:ascii="Times New Roman" w:hAnsi="Times New Roman"/>
      <w:sz w:val="24"/>
    </w:rPr>
  </w:style>
  <w:style w:type="paragraph" w:styleId="Header">
    <w:name w:val="header"/>
    <w:basedOn w:val="Normal"/>
    <w:link w:val="HeaderChar"/>
    <w:uiPriority w:val="99"/>
    <w:unhideWhenUsed/>
    <w:rsid w:val="00DA1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191"/>
    <w:rPr>
      <w:rFonts w:ascii="Times New Roman" w:hAnsi="Times New Roman"/>
      <w:sz w:val="24"/>
    </w:rPr>
  </w:style>
  <w:style w:type="paragraph" w:styleId="Footer">
    <w:name w:val="footer"/>
    <w:basedOn w:val="Normal"/>
    <w:link w:val="FooterChar"/>
    <w:uiPriority w:val="99"/>
    <w:unhideWhenUsed/>
    <w:rsid w:val="00DA11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191"/>
    <w:rPr>
      <w:rFonts w:ascii="Times New Roman" w:hAnsi="Times New Roman"/>
      <w:sz w:val="24"/>
    </w:rPr>
  </w:style>
  <w:style w:type="character" w:styleId="Hyperlink">
    <w:name w:val="Hyperlink"/>
    <w:basedOn w:val="DefaultParagraphFont"/>
    <w:uiPriority w:val="99"/>
    <w:unhideWhenUsed/>
    <w:rsid w:val="004024C8"/>
    <w:rPr>
      <w:color w:val="0563C1"/>
      <w:u w:val="single"/>
    </w:rPr>
  </w:style>
  <w:style w:type="character" w:customStyle="1" w:styleId="UnresolvedMention1">
    <w:name w:val="Unresolved Mention1"/>
    <w:basedOn w:val="DefaultParagraphFont"/>
    <w:uiPriority w:val="99"/>
    <w:semiHidden/>
    <w:unhideWhenUsed/>
    <w:rsid w:val="008B1E6B"/>
    <w:rPr>
      <w:color w:val="605E5C"/>
      <w:shd w:val="clear" w:color="auto" w:fill="E1DFDD"/>
    </w:rPr>
  </w:style>
  <w:style w:type="character" w:styleId="IntenseEmphasis">
    <w:name w:val="Intense Emphasis"/>
    <w:basedOn w:val="DefaultParagraphFont"/>
    <w:uiPriority w:val="21"/>
    <w:qFormat/>
    <w:rsid w:val="002E42C2"/>
    <w:rPr>
      <w:b w:val="0"/>
      <w:i/>
      <w:iCs/>
      <w:color w:val="4472C4" w:themeColor="accent1"/>
    </w:rPr>
  </w:style>
  <w:style w:type="character" w:styleId="FollowedHyperlink">
    <w:name w:val="FollowedHyperlink"/>
    <w:basedOn w:val="DefaultParagraphFont"/>
    <w:uiPriority w:val="99"/>
    <w:semiHidden/>
    <w:unhideWhenUsed/>
    <w:rsid w:val="00AF4E66"/>
    <w:rPr>
      <w:color w:val="954F72" w:themeColor="followedHyperlink"/>
      <w:u w:val="single"/>
    </w:rPr>
  </w:style>
  <w:style w:type="paragraph" w:styleId="Revision">
    <w:name w:val="Revision"/>
    <w:hidden/>
    <w:uiPriority w:val="99"/>
    <w:semiHidden/>
    <w:rsid w:val="00FA7B09"/>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C3C"/>
    <w:pPr>
      <w:spacing w:after="240"/>
    </w:pPr>
    <w:rPr>
      <w:rFonts w:ascii="Times New Roman" w:hAnsi="Times New Roman"/>
      <w:sz w:val="24"/>
    </w:rPr>
  </w:style>
  <w:style w:type="paragraph" w:styleId="Heading1">
    <w:name w:val="heading 1"/>
    <w:basedOn w:val="Normal"/>
    <w:next w:val="Normal"/>
    <w:link w:val="Heading1Char"/>
    <w:uiPriority w:val="9"/>
    <w:qFormat/>
    <w:rsid w:val="00A75C4B"/>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8F7E4B"/>
    <w:pPr>
      <w:keepNext/>
      <w:keepLines/>
      <w:spacing w:before="40" w:after="120"/>
      <w:outlineLvl w:val="1"/>
    </w:pPr>
    <w:rPr>
      <w:rFonts w:eastAsia="Times New Roman" w:cs="Times New Roman"/>
      <w:b/>
      <w:bCs/>
      <w:szCs w:val="24"/>
      <w:u w:val="single"/>
    </w:rPr>
  </w:style>
  <w:style w:type="paragraph" w:styleId="Heading3">
    <w:name w:val="heading 3"/>
    <w:basedOn w:val="Normal"/>
    <w:next w:val="Normal"/>
    <w:link w:val="Heading3Char"/>
    <w:uiPriority w:val="9"/>
    <w:unhideWhenUsed/>
    <w:qFormat/>
    <w:rsid w:val="00B72B51"/>
    <w:pPr>
      <w:widowControl w:val="0"/>
      <w:numPr>
        <w:numId w:val="1"/>
      </w:numPr>
      <w:tabs>
        <w:tab w:val="left" w:pos="720"/>
      </w:tabs>
      <w:autoSpaceDE w:val="0"/>
      <w:autoSpaceDN w:val="0"/>
      <w:adjustRightInd w:val="0"/>
      <w:spacing w:line="240" w:lineRule="auto"/>
      <w:ind w:hanging="720"/>
      <w:outlineLvl w:val="2"/>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4ED8"/>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A75C4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8F7E4B"/>
    <w:rPr>
      <w:rFonts w:ascii="Times New Roman" w:eastAsia="Times New Roman" w:hAnsi="Times New Roman" w:cs="Times New Roman"/>
      <w:b/>
      <w:bCs/>
      <w:sz w:val="24"/>
      <w:szCs w:val="24"/>
      <w:u w:val="single"/>
    </w:rPr>
  </w:style>
  <w:style w:type="character" w:customStyle="1" w:styleId="normaltextrun1">
    <w:name w:val="normaltextrun1"/>
    <w:basedOn w:val="DefaultParagraphFont"/>
    <w:rsid w:val="00464ED8"/>
  </w:style>
  <w:style w:type="paragraph" w:styleId="ListParagraph">
    <w:name w:val="List Paragraph"/>
    <w:basedOn w:val="Normal"/>
    <w:uiPriority w:val="34"/>
    <w:qFormat/>
    <w:rsid w:val="00464ED8"/>
    <w:pPr>
      <w:ind w:left="720"/>
      <w:contextualSpacing/>
    </w:pPr>
  </w:style>
  <w:style w:type="character" w:customStyle="1" w:styleId="Heading3Char">
    <w:name w:val="Heading 3 Char"/>
    <w:basedOn w:val="DefaultParagraphFont"/>
    <w:link w:val="Heading3"/>
    <w:uiPriority w:val="9"/>
    <w:rsid w:val="00B72B51"/>
    <w:rPr>
      <w:rFonts w:ascii="Times New Roman" w:eastAsia="Times New Roman" w:hAnsi="Times New Roman" w:cs="Times New Roman"/>
      <w:b/>
      <w:bCs/>
      <w:sz w:val="24"/>
      <w:szCs w:val="24"/>
    </w:rPr>
  </w:style>
  <w:style w:type="paragraph" w:styleId="NormalWeb">
    <w:name w:val="Normal (Web)"/>
    <w:basedOn w:val="Normal"/>
    <w:rsid w:val="00464ED8"/>
    <w:pPr>
      <w:spacing w:before="100" w:beforeAutospacing="1" w:after="100" w:afterAutospacing="1" w:line="240" w:lineRule="auto"/>
    </w:pPr>
    <w:rPr>
      <w:rFonts w:ascii="Arial Unicode MS" w:eastAsia="Arial Unicode MS" w:hAnsi="Arial Unicode MS" w:cs="Arial Unicode MS"/>
      <w:szCs w:val="24"/>
    </w:rPr>
  </w:style>
  <w:style w:type="character" w:styleId="CommentReference">
    <w:name w:val="annotation reference"/>
    <w:basedOn w:val="DefaultParagraphFont"/>
    <w:uiPriority w:val="99"/>
    <w:unhideWhenUsed/>
    <w:rsid w:val="00A07219"/>
    <w:rPr>
      <w:sz w:val="16"/>
      <w:szCs w:val="16"/>
    </w:rPr>
  </w:style>
  <w:style w:type="paragraph" w:styleId="CommentText">
    <w:name w:val="annotation text"/>
    <w:basedOn w:val="Normal"/>
    <w:link w:val="CommentTextChar"/>
    <w:uiPriority w:val="99"/>
    <w:unhideWhenUsed/>
    <w:rsid w:val="00A07219"/>
    <w:pPr>
      <w:spacing w:line="240" w:lineRule="auto"/>
    </w:pPr>
    <w:rPr>
      <w:sz w:val="20"/>
      <w:szCs w:val="20"/>
    </w:rPr>
  </w:style>
  <w:style w:type="character" w:customStyle="1" w:styleId="CommentTextChar">
    <w:name w:val="Comment Text Char"/>
    <w:basedOn w:val="DefaultParagraphFont"/>
    <w:link w:val="CommentText"/>
    <w:uiPriority w:val="99"/>
    <w:rsid w:val="00A0721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07219"/>
    <w:rPr>
      <w:b/>
      <w:bCs/>
    </w:rPr>
  </w:style>
  <w:style w:type="character" w:customStyle="1" w:styleId="CommentSubjectChar">
    <w:name w:val="Comment Subject Char"/>
    <w:basedOn w:val="CommentTextChar"/>
    <w:link w:val="CommentSubject"/>
    <w:uiPriority w:val="99"/>
    <w:semiHidden/>
    <w:rsid w:val="00A07219"/>
    <w:rPr>
      <w:rFonts w:ascii="Times New Roman" w:hAnsi="Times New Roman"/>
      <w:b/>
      <w:bCs/>
      <w:sz w:val="20"/>
      <w:szCs w:val="20"/>
    </w:rPr>
  </w:style>
  <w:style w:type="paragraph" w:styleId="BalloonText">
    <w:name w:val="Balloon Text"/>
    <w:basedOn w:val="Normal"/>
    <w:link w:val="BalloonTextChar"/>
    <w:uiPriority w:val="99"/>
    <w:semiHidden/>
    <w:unhideWhenUsed/>
    <w:rsid w:val="00A072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219"/>
    <w:rPr>
      <w:rFonts w:ascii="Segoe UI" w:hAnsi="Segoe UI" w:cs="Segoe UI"/>
      <w:sz w:val="18"/>
      <w:szCs w:val="18"/>
    </w:rPr>
  </w:style>
  <w:style w:type="paragraph" w:styleId="BodyText">
    <w:name w:val="Body Text"/>
    <w:basedOn w:val="Normal"/>
    <w:link w:val="BodyTextChar"/>
    <w:rsid w:val="000659F2"/>
    <w:pPr>
      <w:spacing w:after="0" w:line="240" w:lineRule="auto"/>
    </w:pPr>
    <w:rPr>
      <w:rFonts w:ascii="Arial" w:eastAsia="Times New Roman" w:hAnsi="Arial" w:cs="Arial"/>
      <w:color w:val="FF0000"/>
      <w:sz w:val="20"/>
      <w:szCs w:val="20"/>
    </w:rPr>
  </w:style>
  <w:style w:type="character" w:customStyle="1" w:styleId="BodyTextChar">
    <w:name w:val="Body Text Char"/>
    <w:basedOn w:val="DefaultParagraphFont"/>
    <w:link w:val="BodyText"/>
    <w:rsid w:val="000659F2"/>
    <w:rPr>
      <w:rFonts w:ascii="Arial" w:eastAsia="Times New Roman" w:hAnsi="Arial" w:cs="Arial"/>
      <w:color w:val="FF0000"/>
      <w:sz w:val="20"/>
      <w:szCs w:val="20"/>
    </w:rPr>
  </w:style>
  <w:style w:type="numbering" w:customStyle="1" w:styleId="StyleBulleted">
    <w:name w:val="Style Bulleted"/>
    <w:rsid w:val="00634D52"/>
    <w:pPr>
      <w:numPr>
        <w:numId w:val="7"/>
      </w:numPr>
    </w:pPr>
  </w:style>
  <w:style w:type="table" w:styleId="TableGrid">
    <w:name w:val="Table Grid"/>
    <w:basedOn w:val="TableNormal"/>
    <w:rsid w:val="001D17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7769D9"/>
    <w:pPr>
      <w:spacing w:after="120"/>
      <w:ind w:left="360"/>
    </w:pPr>
  </w:style>
  <w:style w:type="character" w:customStyle="1" w:styleId="BodyTextIndentChar">
    <w:name w:val="Body Text Indent Char"/>
    <w:basedOn w:val="DefaultParagraphFont"/>
    <w:link w:val="BodyTextIndent"/>
    <w:uiPriority w:val="99"/>
    <w:rsid w:val="007769D9"/>
    <w:rPr>
      <w:rFonts w:ascii="Times New Roman" w:hAnsi="Times New Roman"/>
      <w:sz w:val="24"/>
    </w:rPr>
  </w:style>
  <w:style w:type="paragraph" w:styleId="Header">
    <w:name w:val="header"/>
    <w:basedOn w:val="Normal"/>
    <w:link w:val="HeaderChar"/>
    <w:uiPriority w:val="99"/>
    <w:unhideWhenUsed/>
    <w:rsid w:val="00DA1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191"/>
    <w:rPr>
      <w:rFonts w:ascii="Times New Roman" w:hAnsi="Times New Roman"/>
      <w:sz w:val="24"/>
    </w:rPr>
  </w:style>
  <w:style w:type="paragraph" w:styleId="Footer">
    <w:name w:val="footer"/>
    <w:basedOn w:val="Normal"/>
    <w:link w:val="FooterChar"/>
    <w:uiPriority w:val="99"/>
    <w:unhideWhenUsed/>
    <w:rsid w:val="00DA11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191"/>
    <w:rPr>
      <w:rFonts w:ascii="Times New Roman" w:hAnsi="Times New Roman"/>
      <w:sz w:val="24"/>
    </w:rPr>
  </w:style>
  <w:style w:type="character" w:styleId="Hyperlink">
    <w:name w:val="Hyperlink"/>
    <w:basedOn w:val="DefaultParagraphFont"/>
    <w:uiPriority w:val="99"/>
    <w:unhideWhenUsed/>
    <w:rsid w:val="004024C8"/>
    <w:rPr>
      <w:color w:val="0563C1"/>
      <w:u w:val="single"/>
    </w:rPr>
  </w:style>
  <w:style w:type="character" w:customStyle="1" w:styleId="UnresolvedMention1">
    <w:name w:val="Unresolved Mention1"/>
    <w:basedOn w:val="DefaultParagraphFont"/>
    <w:uiPriority w:val="99"/>
    <w:semiHidden/>
    <w:unhideWhenUsed/>
    <w:rsid w:val="008B1E6B"/>
    <w:rPr>
      <w:color w:val="605E5C"/>
      <w:shd w:val="clear" w:color="auto" w:fill="E1DFDD"/>
    </w:rPr>
  </w:style>
  <w:style w:type="character" w:styleId="IntenseEmphasis">
    <w:name w:val="Intense Emphasis"/>
    <w:basedOn w:val="DefaultParagraphFont"/>
    <w:uiPriority w:val="21"/>
    <w:qFormat/>
    <w:rsid w:val="002E42C2"/>
    <w:rPr>
      <w:b w:val="0"/>
      <w:i/>
      <w:iCs/>
      <w:color w:val="4472C4" w:themeColor="accent1"/>
    </w:rPr>
  </w:style>
  <w:style w:type="character" w:styleId="FollowedHyperlink">
    <w:name w:val="FollowedHyperlink"/>
    <w:basedOn w:val="DefaultParagraphFont"/>
    <w:uiPriority w:val="99"/>
    <w:semiHidden/>
    <w:unhideWhenUsed/>
    <w:rsid w:val="00AF4E66"/>
    <w:rPr>
      <w:color w:val="954F72" w:themeColor="followedHyperlink"/>
      <w:u w:val="single"/>
    </w:rPr>
  </w:style>
  <w:style w:type="paragraph" w:styleId="Revision">
    <w:name w:val="Revision"/>
    <w:hidden/>
    <w:uiPriority w:val="99"/>
    <w:semiHidden/>
    <w:rsid w:val="00FA7B09"/>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613715">
      <w:bodyDiv w:val="1"/>
      <w:marLeft w:val="0"/>
      <w:marRight w:val="0"/>
      <w:marTop w:val="0"/>
      <w:marBottom w:val="0"/>
      <w:divBdr>
        <w:top w:val="none" w:sz="0" w:space="0" w:color="auto"/>
        <w:left w:val="none" w:sz="0" w:space="0" w:color="auto"/>
        <w:bottom w:val="none" w:sz="0" w:space="0" w:color="auto"/>
        <w:right w:val="none" w:sz="0" w:space="0" w:color="auto"/>
      </w:divBdr>
    </w:div>
    <w:div w:id="772748135">
      <w:bodyDiv w:val="1"/>
      <w:marLeft w:val="0"/>
      <w:marRight w:val="0"/>
      <w:marTop w:val="0"/>
      <w:marBottom w:val="0"/>
      <w:divBdr>
        <w:top w:val="none" w:sz="0" w:space="0" w:color="auto"/>
        <w:left w:val="none" w:sz="0" w:space="0" w:color="auto"/>
        <w:bottom w:val="none" w:sz="0" w:space="0" w:color="auto"/>
        <w:right w:val="none" w:sz="0" w:space="0" w:color="auto"/>
      </w:divBdr>
    </w:div>
    <w:div w:id="900601124">
      <w:bodyDiv w:val="1"/>
      <w:marLeft w:val="0"/>
      <w:marRight w:val="0"/>
      <w:marTop w:val="0"/>
      <w:marBottom w:val="0"/>
      <w:divBdr>
        <w:top w:val="none" w:sz="0" w:space="0" w:color="auto"/>
        <w:left w:val="none" w:sz="0" w:space="0" w:color="auto"/>
        <w:bottom w:val="none" w:sz="0" w:space="0" w:color="auto"/>
        <w:right w:val="none" w:sz="0" w:space="0" w:color="auto"/>
      </w:divBdr>
    </w:div>
    <w:div w:id="156946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onlinepubs.trb.org/onlinepubs/nchrp/nchrp_rpt_625.pdf" TargetMode="External"/><Relationship Id="rId18" Type="http://schemas.openxmlformats.org/officeDocument/2006/relationships/hyperlink" Target="https://www.bls.gov/oes/current/oes131111.ht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www.fdic.gov/regulations/laws/rules/5000-4800.html" TargetMode="External"/><Relationship Id="rId17" Type="http://schemas.openxmlformats.org/officeDocument/2006/relationships/hyperlink" Target="https://www.bls.gov/oes/current/oes172051.htm" TargetMode="External"/><Relationship Id="rId2" Type="http://schemas.openxmlformats.org/officeDocument/2006/relationships/customXml" Target="../customXml/item2.xml"/><Relationship Id="rId16" Type="http://schemas.openxmlformats.org/officeDocument/2006/relationships/hyperlink" Target="https://www.bls.gov/oes/2017/may/oes111021.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ctr.utexas.edu/wp-content/uploads/pubs/0_5379_P1.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apps.trb.org/cmsfeed/TRBNetProjectDisplay.asp?ProjectID=45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AFBF2024B6A64D9E74584F3C79ACD3" ma:contentTypeVersion="8" ma:contentTypeDescription="Create a new document." ma:contentTypeScope="" ma:versionID="d1f8e3d4c8e8e65d8f94f589f307fde4">
  <xsd:schema xmlns:xsd="http://www.w3.org/2001/XMLSchema" xmlns:xs="http://www.w3.org/2001/XMLSchema" xmlns:p="http://schemas.microsoft.com/office/2006/metadata/properties" xmlns:ns1="http://schemas.microsoft.com/sharepoint/v3" xmlns:ns2="b96d93be-b13c-48b7-a31a-bb0859e1f31b" xmlns:ns3="fb434f11-3689-4521-baf5-2e57b742006b" targetNamespace="http://schemas.microsoft.com/office/2006/metadata/properties" ma:root="true" ma:fieldsID="36026acb7b956c9c9a9ceedc85760c15" ns1:_="" ns2:_="" ns3:_="">
    <xsd:import namespace="http://schemas.microsoft.com/sharepoint/v3"/>
    <xsd:import namespace="b96d93be-b13c-48b7-a31a-bb0859e1f31b"/>
    <xsd:import namespace="fb434f11-3689-4521-baf5-2e57b74200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6d93be-b13c-48b7-a31a-bb0859e1f3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434f11-3689-4521-baf5-2e57b74200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D3E16-28B7-4B8E-9C9D-FFF3ED6FDE76}">
  <ds:schemaRefs>
    <ds:schemaRef ds:uri="http://schemas.microsoft.com/sharepoint/v3/contenttype/forms"/>
  </ds:schemaRefs>
</ds:datastoreItem>
</file>

<file path=customXml/itemProps2.xml><?xml version="1.0" encoding="utf-8"?>
<ds:datastoreItem xmlns:ds="http://schemas.openxmlformats.org/officeDocument/2006/customXml" ds:itemID="{F0053E46-A2CD-49D9-886B-AB5FA6F0F7CF}">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b96d93be-b13c-48b7-a31a-bb0859e1f31b"/>
    <ds:schemaRef ds:uri="http://purl.org/dc/elements/1.1/"/>
    <ds:schemaRef ds:uri="http://schemas.microsoft.com/office/2006/metadata/properties"/>
    <ds:schemaRef ds:uri="http://schemas.microsoft.com/office/infopath/2007/PartnerControls"/>
    <ds:schemaRef ds:uri="fb434f11-3689-4521-baf5-2e57b742006b"/>
    <ds:schemaRef ds:uri="http://www.w3.org/XML/1998/namespace"/>
  </ds:schemaRefs>
</ds:datastoreItem>
</file>

<file path=customXml/itemProps3.xml><?xml version="1.0" encoding="utf-8"?>
<ds:datastoreItem xmlns:ds="http://schemas.openxmlformats.org/officeDocument/2006/customXml" ds:itemID="{B9A5A870-2FAB-4A0E-B96F-EF6242307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6d93be-b13c-48b7-a31a-bb0859e1f31b"/>
    <ds:schemaRef ds:uri="fb434f11-3689-4521-baf5-2e57b7420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1C3B95-837D-4D43-82F9-33A443FF4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1929</Words>
  <Characters>10999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Sharry</dc:creator>
  <cp:keywords/>
  <dc:description/>
  <cp:lastModifiedBy>SYSTEM</cp:lastModifiedBy>
  <cp:revision>2</cp:revision>
  <dcterms:created xsi:type="dcterms:W3CDTF">2019-10-17T18:19:00Z</dcterms:created>
  <dcterms:modified xsi:type="dcterms:W3CDTF">2019-10-17T18:19:00Z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0x01010071AFBF2024B6A64D9E74584F3C79ACD3</vt:lpwstr>
  </property>
</Properties>
</file>