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1DC2E" w14:textId="77777777" w:rsidR="000624D2" w:rsidRDefault="001074FF" w:rsidP="00E26FC7">
      <w:pPr>
        <w:pStyle w:val="Heading1"/>
        <w:ind w:left="0"/>
      </w:pPr>
      <w:bookmarkStart w:id="0" w:name="_Toc125447290"/>
      <w:bookmarkStart w:id="1" w:name="_Toc126394118"/>
      <w:bookmarkStart w:id="2" w:name="_GoBack"/>
      <w:bookmarkEnd w:id="2"/>
      <w:r w:rsidRPr="00FD06AE">
        <w:t>Supporting Statement</w:t>
      </w:r>
      <w:bookmarkEnd w:id="0"/>
      <w:bookmarkEnd w:id="1"/>
      <w:r w:rsidR="000624D2" w:rsidRPr="00FD06AE">
        <w:t>:  Section B</w:t>
      </w:r>
    </w:p>
    <w:p w14:paraId="5A888BC1" w14:textId="77777777" w:rsidR="00E23FEA" w:rsidRPr="00E23FEA" w:rsidRDefault="00E23FEA" w:rsidP="00A8506C"/>
    <w:p w14:paraId="43664A0C" w14:textId="77777777" w:rsidR="00617993" w:rsidRPr="00BF62E4" w:rsidRDefault="00E23FEA" w:rsidP="00BF62E4">
      <w:pPr>
        <w:jc w:val="center"/>
        <w:rPr>
          <w:i/>
        </w:rPr>
      </w:pPr>
      <w:r w:rsidRPr="00BF62E4">
        <w:rPr>
          <w:bCs/>
          <w:i/>
        </w:rPr>
        <w:t xml:space="preserve">Prevalence </w:t>
      </w:r>
      <w:r w:rsidR="00BF62E4">
        <w:rPr>
          <w:bCs/>
          <w:i/>
        </w:rPr>
        <w:t>of Alcohol and Other Drug Use a</w:t>
      </w:r>
      <w:r w:rsidRPr="00BF62E4">
        <w:rPr>
          <w:bCs/>
          <w:i/>
        </w:rPr>
        <w:t>mong Motor Vehicle Crash Victims Admitted to Select Trauma Centers</w:t>
      </w:r>
    </w:p>
    <w:p w14:paraId="46338D85" w14:textId="77777777" w:rsidR="00BF62E4" w:rsidRDefault="00BF62E4" w:rsidP="007A7D39">
      <w:pPr>
        <w:pStyle w:val="BodyText"/>
        <w:kinsoku w:val="0"/>
        <w:overflowPunct w:val="0"/>
        <w:spacing w:before="0" w:after="0"/>
        <w:ind w:right="115"/>
        <w:rPr>
          <w:b/>
        </w:rPr>
      </w:pPr>
    </w:p>
    <w:p w14:paraId="42C8F504" w14:textId="77777777" w:rsidR="00334DC9" w:rsidRPr="00FD06AE" w:rsidRDefault="007A7D39" w:rsidP="007A7D39">
      <w:pPr>
        <w:pStyle w:val="BodyText"/>
        <w:kinsoku w:val="0"/>
        <w:overflowPunct w:val="0"/>
        <w:spacing w:before="0" w:after="0"/>
        <w:ind w:right="115"/>
        <w:rPr>
          <w:b/>
        </w:rPr>
      </w:pPr>
      <w:r w:rsidRPr="00FD06AE">
        <w:rPr>
          <w:b/>
        </w:rPr>
        <w:t>Background</w:t>
      </w:r>
    </w:p>
    <w:p w14:paraId="326C8228" w14:textId="77777777" w:rsidR="007A7D39" w:rsidRPr="00FD06AE" w:rsidRDefault="007A7D39" w:rsidP="007A7D39">
      <w:pPr>
        <w:pStyle w:val="BodyText"/>
        <w:kinsoku w:val="0"/>
        <w:overflowPunct w:val="0"/>
        <w:spacing w:before="0" w:after="0"/>
        <w:ind w:right="115"/>
      </w:pPr>
    </w:p>
    <w:p w14:paraId="07C9FAFF" w14:textId="77777777" w:rsidR="004A0621" w:rsidRDefault="007C64BC" w:rsidP="00BB4C30">
      <w:pPr>
        <w:autoSpaceDE w:val="0"/>
        <w:autoSpaceDN w:val="0"/>
        <w:adjustRightInd w:val="0"/>
        <w:ind w:firstLine="720"/>
      </w:pPr>
      <w:r>
        <w:t xml:space="preserve">The National Highway Traffic Safety Administration (NHTSA) is seeking approval to conduct a study that will </w:t>
      </w:r>
      <w:r w:rsidR="00DF7ECB">
        <w:t>gather</w:t>
      </w:r>
      <w:r>
        <w:t xml:space="preserve"> drug prevalence </w:t>
      </w:r>
      <w:r w:rsidR="00DF7ECB">
        <w:t xml:space="preserve">information </w:t>
      </w:r>
      <w:r w:rsidR="00313CD5">
        <w:t>for</w:t>
      </w:r>
      <w:r>
        <w:t xml:space="preserve"> a sample of seriously- or fatally-injured roadway users transported to </w:t>
      </w:r>
      <w:r w:rsidR="00CF4445">
        <w:t>study-</w:t>
      </w:r>
      <w:r>
        <w:t xml:space="preserve">selected trauma centers and morgues immediately after their injuries were sustained in a motor vehicle crash (MVC). </w:t>
      </w:r>
    </w:p>
    <w:p w14:paraId="6AAEC088" w14:textId="77777777" w:rsidR="007C64BC" w:rsidRPr="00FD06AE" w:rsidRDefault="007C64BC" w:rsidP="00BB4C30">
      <w:pPr>
        <w:autoSpaceDE w:val="0"/>
        <w:autoSpaceDN w:val="0"/>
        <w:adjustRightInd w:val="0"/>
        <w:ind w:firstLine="720"/>
      </w:pPr>
    </w:p>
    <w:p w14:paraId="4D1D0E94" w14:textId="77777777" w:rsidR="007C64BC" w:rsidRPr="005378D0" w:rsidRDefault="007C64BC" w:rsidP="007C64BC">
      <w:pPr>
        <w:ind w:right="-360" w:firstLine="720"/>
      </w:pPr>
      <w:r>
        <w:t>There have been recent efforts in the European Union</w:t>
      </w:r>
      <w:bookmarkStart w:id="3" w:name="_Ref443394816"/>
      <w:r w:rsidRPr="005378D0">
        <w:rPr>
          <w:rStyle w:val="FootnoteReference"/>
        </w:rPr>
        <w:footnoteReference w:id="2"/>
      </w:r>
      <w:bookmarkEnd w:id="3"/>
      <w:r w:rsidRPr="005378D0">
        <w:t xml:space="preserve"> </w:t>
      </w:r>
      <w:r w:rsidR="00DF2BC3">
        <w:t>and Canada</w:t>
      </w:r>
      <w:r w:rsidR="00DF2BC3">
        <w:rPr>
          <w:rStyle w:val="FootnoteReference"/>
        </w:rPr>
        <w:footnoteReference w:id="3"/>
      </w:r>
      <w:r w:rsidR="00DF2BC3">
        <w:t xml:space="preserve"> </w:t>
      </w:r>
      <w:r>
        <w:t xml:space="preserve">to </w:t>
      </w:r>
      <w:r w:rsidR="00CF4445">
        <w:t>improve the knowledge</w:t>
      </w:r>
      <w:r>
        <w:t xml:space="preserve"> of drug prevalence among seriously injured drivers. T</w:t>
      </w:r>
      <w:r w:rsidRPr="005378D0">
        <w:t>he European Integrated Project, Driving Under the Influence of Drugs, Alco</w:t>
      </w:r>
      <w:r>
        <w:t xml:space="preserve">hol and Medicines (DRUID) study involved </w:t>
      </w:r>
      <w:r w:rsidRPr="005378D0">
        <w:t>data collection across nine European countries to determine the prevalence of psychoactive substances in the general driving population</w:t>
      </w:r>
      <w:r>
        <w:t xml:space="preserve"> and </w:t>
      </w:r>
      <w:r w:rsidRPr="005378D0">
        <w:t>drivers who were seriousl</w:t>
      </w:r>
      <w:r>
        <w:t xml:space="preserve">y injured or killed in crashes. The data collection and toxicology methods varied </w:t>
      </w:r>
      <w:r w:rsidR="00CF4445">
        <w:t xml:space="preserve">significantly </w:t>
      </w:r>
      <w:r>
        <w:t xml:space="preserve">across countries, however, which limits the usefulness of the information. The study in British Columbia, Canada utilized a methodology similar to that being executed for the current study. The Canadian study analyzed blood already collected during the clinical treatment of trauma patients to provide prevalence </w:t>
      </w:r>
      <w:r w:rsidR="00DF7ECB">
        <w:t>rates</w:t>
      </w:r>
      <w:r>
        <w:t xml:space="preserve"> for a variety of drugs in the systems of the injured drivers. </w:t>
      </w:r>
      <w:r w:rsidR="00737914">
        <w:t>The sample size in the Canadian study, however, was relatively small compared to that proposed in the current effort. Additionally, t</w:t>
      </w:r>
      <w:r>
        <w:t>he</w:t>
      </w:r>
      <w:r w:rsidR="00737914">
        <w:t xml:space="preserve"> European and Canadian studies </w:t>
      </w:r>
      <w:r>
        <w:t>likely have little generalizability to the United States given the different laws and populations of the countries.</w:t>
      </w:r>
    </w:p>
    <w:p w14:paraId="6EC51031" w14:textId="77777777" w:rsidR="007C64BC" w:rsidRPr="005378D0" w:rsidRDefault="007C64BC" w:rsidP="007C64BC">
      <w:pPr>
        <w:ind w:right="-360"/>
      </w:pPr>
    </w:p>
    <w:p w14:paraId="190B0C22" w14:textId="0C1B0CEF" w:rsidR="007C64BC" w:rsidRDefault="007C64BC" w:rsidP="007C64BC">
      <w:pPr>
        <w:ind w:right="-360" w:firstLine="720"/>
      </w:pPr>
      <w:r w:rsidRPr="00A673FD">
        <w:t xml:space="preserve">For the current study, the participating trauma centers </w:t>
      </w:r>
      <w:r>
        <w:t xml:space="preserve">and medical examiners </w:t>
      </w:r>
      <w:r w:rsidRPr="00A673FD">
        <w:t xml:space="preserve">will </w:t>
      </w:r>
      <w:r w:rsidR="00631E3B">
        <w:t>allow</w:t>
      </w:r>
      <w:r w:rsidR="00631E3B" w:rsidRPr="00A673FD">
        <w:t xml:space="preserve"> </w:t>
      </w:r>
      <w:r w:rsidRPr="00A673FD">
        <w:t>NHTSA</w:t>
      </w:r>
      <w:r w:rsidR="00631E3B">
        <w:t>’s research associates</w:t>
      </w:r>
      <w:r w:rsidRPr="00A673FD">
        <w:t xml:space="preserve"> </w:t>
      </w:r>
      <w:r w:rsidR="00631E3B">
        <w:t xml:space="preserve">access to </w:t>
      </w:r>
      <w:r>
        <w:t xml:space="preserve">de-identified blood samples, when available, that were already collected during their routine clinical treatment for seriously- or fatally-injured patients involved in MVCs. The study will then conduct independent </w:t>
      </w:r>
      <w:r w:rsidR="00CF4445">
        <w:t xml:space="preserve">and de-identified </w:t>
      </w:r>
      <w:r>
        <w:t xml:space="preserve">drug toxicology testing to determine the prevalence of alcohol and other drugs in the systems of the injured parties. The trauma centers and medical examiners will also </w:t>
      </w:r>
      <w:r w:rsidR="00631E3B">
        <w:t xml:space="preserve">allow </w:t>
      </w:r>
      <w:r>
        <w:t>the study</w:t>
      </w:r>
      <w:r w:rsidR="006C01D4">
        <w:t>’s</w:t>
      </w:r>
      <w:r>
        <w:t xml:space="preserve"> </w:t>
      </w:r>
      <w:r w:rsidR="00631E3B">
        <w:t>research associate</w:t>
      </w:r>
      <w:r w:rsidR="00CE1FA6">
        <w:t>s</w:t>
      </w:r>
      <w:r w:rsidR="00631E3B">
        <w:t xml:space="preserve"> access to </w:t>
      </w:r>
      <w:r>
        <w:t xml:space="preserve">other de-identified </w:t>
      </w:r>
      <w:r w:rsidR="00CF4445">
        <w:t xml:space="preserve">standard </w:t>
      </w:r>
      <w:r>
        <w:t xml:space="preserve">classification information such as patient demographics, </w:t>
      </w:r>
      <w:r w:rsidR="00DF2BC3">
        <w:t>position in crash</w:t>
      </w:r>
      <w:r>
        <w:t xml:space="preserve">, and injury </w:t>
      </w:r>
      <w:r w:rsidR="00CF4445">
        <w:t xml:space="preserve">nature and </w:t>
      </w:r>
      <w:r>
        <w:t xml:space="preserve">severity. The trauma centers and medical examiners will </w:t>
      </w:r>
      <w:r w:rsidR="00631E3B">
        <w:t xml:space="preserve">allow access to </w:t>
      </w:r>
      <w:r>
        <w:t>this already-collected and de-identified information to the study in accordance with all applicable Federal, State, local</w:t>
      </w:r>
      <w:r w:rsidR="00CF4445">
        <w:t xml:space="preserve">, and </w:t>
      </w:r>
      <w:r w:rsidR="00CF4445">
        <w:lastRenderedPageBreak/>
        <w:t>institutional</w:t>
      </w:r>
      <w:r>
        <w:t xml:space="preserve"> regulations governing the sharing of such information and as approved by the study IRB.</w:t>
      </w:r>
    </w:p>
    <w:p w14:paraId="57DD3038" w14:textId="77777777" w:rsidR="003B0E85" w:rsidRPr="00FD06AE" w:rsidRDefault="003B0E85">
      <w:pPr>
        <w:rPr>
          <w:rFonts w:eastAsia="Calibri"/>
          <w:b/>
        </w:rPr>
      </w:pPr>
    </w:p>
    <w:p w14:paraId="5B8FB334" w14:textId="77777777" w:rsidR="005756BB" w:rsidRPr="00FD06AE" w:rsidRDefault="005756BB" w:rsidP="005756BB">
      <w:pPr>
        <w:pStyle w:val="Heading3"/>
      </w:pPr>
      <w:r w:rsidRPr="00FD06AE">
        <w:t>B.1.</w:t>
      </w:r>
      <w:r w:rsidRPr="00FD06AE">
        <w:tab/>
        <w:t>Describe the potential respondent universe and any sampling or other respondent selection to be used.</w:t>
      </w:r>
    </w:p>
    <w:p w14:paraId="32DAAA15" w14:textId="77777777" w:rsidR="005756BB" w:rsidRDefault="005756BB" w:rsidP="005756BB">
      <w:pPr>
        <w:pStyle w:val="BodyText"/>
        <w:spacing w:after="240"/>
        <w:rPr>
          <w:rFonts w:eastAsia="Calibri"/>
        </w:rPr>
      </w:pPr>
      <w:r w:rsidRPr="00FD06AE">
        <w:rPr>
          <w:color w:val="4F81BD"/>
        </w:rPr>
        <w:tab/>
      </w:r>
      <w:r w:rsidRPr="00FD06AE">
        <w:rPr>
          <w:rFonts w:eastAsia="Calibri"/>
        </w:rPr>
        <w:t xml:space="preserve">The potential respondent universe </w:t>
      </w:r>
      <w:r>
        <w:rPr>
          <w:rFonts w:eastAsia="Calibri"/>
        </w:rPr>
        <w:t xml:space="preserve">includes all individuals seriously- or fatally-injured in an MVC who are transported directly to the selected trauma centers and morgues. Drug toxicology analyses will only be conducted when the trauma centers or medical examiners are able to provide an adequate blood sample that was collected during their normal clinical treatment activities but was not used. When no blood is available, only de-identified classification information such as demographics and injury severity will be collected.  </w:t>
      </w:r>
      <w:r w:rsidR="00C374A2">
        <w:rPr>
          <w:rFonts w:eastAsia="Calibri"/>
        </w:rPr>
        <w:t xml:space="preserve">The classification information for cases that do not have sufficient available blood for toxicology testing will be used to determine if there is any bias in the toxicology data by classification, such as a certain age group (or other demographic category) that may have significantly more or less drug test results available as compared to other age groups.  </w:t>
      </w:r>
    </w:p>
    <w:p w14:paraId="09BBB974" w14:textId="77777777" w:rsidR="0015174A" w:rsidRPr="00FD06AE" w:rsidRDefault="0015174A" w:rsidP="005756BB">
      <w:pPr>
        <w:pStyle w:val="BodyText"/>
        <w:spacing w:after="240"/>
        <w:rPr>
          <w:rFonts w:eastAsia="Calibri"/>
        </w:rPr>
      </w:pPr>
      <w:r>
        <w:rPr>
          <w:rFonts w:eastAsia="Calibri"/>
        </w:rPr>
        <w:tab/>
        <w:t>This prevalence study will be conducting toxicology test</w:t>
      </w:r>
      <w:r w:rsidR="007A0E1D">
        <w:rPr>
          <w:rFonts w:eastAsia="Calibri"/>
        </w:rPr>
        <w:t>ing</w:t>
      </w:r>
      <w:r>
        <w:rPr>
          <w:rFonts w:eastAsia="Calibri"/>
        </w:rPr>
        <w:t xml:space="preserve"> for a wide variety of potentially impairing drugs.  This will require a sufficient sample size to be able to identify </w:t>
      </w:r>
      <w:r w:rsidR="007A0E1D">
        <w:rPr>
          <w:rFonts w:eastAsia="Calibri"/>
        </w:rPr>
        <w:t xml:space="preserve">some of the </w:t>
      </w:r>
      <w:r>
        <w:rPr>
          <w:rFonts w:eastAsia="Calibri"/>
        </w:rPr>
        <w:t xml:space="preserve">less prevalent </w:t>
      </w:r>
      <w:r w:rsidR="007A0E1D">
        <w:rPr>
          <w:rFonts w:eastAsia="Calibri"/>
        </w:rPr>
        <w:t>impairing drugs of concern per impaired driving and traffic safety.</w:t>
      </w:r>
      <w:r>
        <w:rPr>
          <w:rFonts w:eastAsia="Calibri"/>
        </w:rPr>
        <w:t xml:space="preserve">  </w:t>
      </w:r>
      <w:r w:rsidR="007A0E1D">
        <w:rPr>
          <w:rFonts w:eastAsia="Calibri"/>
        </w:rPr>
        <w:t>Our calculations for a sufficient sample size is provided below.</w:t>
      </w:r>
    </w:p>
    <w:p w14:paraId="01C6581C" w14:textId="77777777" w:rsidR="005756BB" w:rsidRDefault="005756BB" w:rsidP="00994A58">
      <w:pPr>
        <w:keepNext/>
        <w:contextualSpacing/>
        <w:rPr>
          <w:rFonts w:eastAsia="Calibri"/>
          <w:b/>
        </w:rPr>
      </w:pPr>
    </w:p>
    <w:p w14:paraId="312EC9CB" w14:textId="77777777" w:rsidR="003767CA" w:rsidRPr="00FD06AE" w:rsidRDefault="003767CA" w:rsidP="00994A58">
      <w:pPr>
        <w:keepNext/>
        <w:contextualSpacing/>
        <w:rPr>
          <w:rFonts w:eastAsia="Calibri"/>
          <w:b/>
        </w:rPr>
      </w:pPr>
      <w:r w:rsidRPr="00FD06AE">
        <w:rPr>
          <w:rFonts w:eastAsia="Calibri"/>
          <w:b/>
        </w:rPr>
        <w:t>Sa</w:t>
      </w:r>
      <w:r w:rsidR="007A7D39" w:rsidRPr="00FD06AE">
        <w:rPr>
          <w:rFonts w:eastAsia="Calibri"/>
          <w:b/>
        </w:rPr>
        <w:t xml:space="preserve">mple Size </w:t>
      </w:r>
      <w:r w:rsidR="00482A8F">
        <w:rPr>
          <w:rFonts w:eastAsia="Calibri"/>
          <w:b/>
        </w:rPr>
        <w:t>Calculations</w:t>
      </w:r>
    </w:p>
    <w:p w14:paraId="6B003D3F" w14:textId="77777777" w:rsidR="00D80C84" w:rsidRPr="00FD06AE" w:rsidRDefault="00D80C84" w:rsidP="00994A58">
      <w:pPr>
        <w:keepNext/>
        <w:ind w:firstLine="720"/>
        <w:contextualSpacing/>
        <w:rPr>
          <w:rFonts w:eastAsia="Calibri"/>
          <w:b/>
        </w:rPr>
      </w:pPr>
    </w:p>
    <w:p w14:paraId="033A9C31" w14:textId="77777777" w:rsidR="008357B3" w:rsidRPr="00B82E48" w:rsidRDefault="00913524" w:rsidP="00B82E48">
      <w:pPr>
        <w:ind w:firstLine="720"/>
        <w:contextualSpacing/>
        <w:rPr>
          <w:rFonts w:eastAsia="Calibri"/>
        </w:rPr>
      </w:pPr>
      <w:r>
        <w:rPr>
          <w:rFonts w:eastAsia="Calibri"/>
          <w:b/>
        </w:rPr>
        <w:t>Sample Acquisition</w:t>
      </w:r>
      <w:r w:rsidR="00D209F0" w:rsidRPr="00FD06AE">
        <w:rPr>
          <w:rFonts w:eastAsia="Calibri"/>
          <w:b/>
        </w:rPr>
        <w:t xml:space="preserve">. </w:t>
      </w:r>
      <w:r w:rsidR="003574F3" w:rsidRPr="00FD06AE">
        <w:rPr>
          <w:rFonts w:eastAsia="Calibri"/>
        </w:rPr>
        <w:t>NHTSA is working wi</w:t>
      </w:r>
      <w:r w:rsidR="008B029B" w:rsidRPr="00FD06AE">
        <w:rPr>
          <w:rFonts w:eastAsia="Calibri"/>
        </w:rPr>
        <w:t>th</w:t>
      </w:r>
      <w:r w:rsidR="00217D4C">
        <w:rPr>
          <w:rFonts w:eastAsia="Calibri"/>
        </w:rPr>
        <w:t xml:space="preserve"> three </w:t>
      </w:r>
      <w:r w:rsidR="00DF7ECB">
        <w:rPr>
          <w:rFonts w:eastAsia="Calibri"/>
        </w:rPr>
        <w:t xml:space="preserve">high-flow </w:t>
      </w:r>
      <w:r w:rsidR="008B029B" w:rsidRPr="00FD06AE">
        <w:rPr>
          <w:rFonts w:eastAsia="Calibri"/>
        </w:rPr>
        <w:t xml:space="preserve">Level 1 </w:t>
      </w:r>
      <w:r w:rsidR="00DF7ECB">
        <w:rPr>
          <w:rFonts w:eastAsia="Calibri"/>
        </w:rPr>
        <w:t>trauma centers and the associated morgues that service the same catchment areas</w:t>
      </w:r>
      <w:r w:rsidR="003574F3" w:rsidRPr="00FD06AE">
        <w:rPr>
          <w:rFonts w:eastAsia="Calibri"/>
        </w:rPr>
        <w:t>.</w:t>
      </w:r>
      <w:r w:rsidR="008B029B" w:rsidRPr="00FD06AE">
        <w:rPr>
          <w:rFonts w:eastAsia="Calibri"/>
        </w:rPr>
        <w:t xml:space="preserve"> </w:t>
      </w:r>
      <w:r w:rsidR="008B029B" w:rsidRPr="00946BB1">
        <w:rPr>
          <w:rFonts w:eastAsia="Calibri"/>
        </w:rPr>
        <w:t xml:space="preserve">They were selected by NHTSA because </w:t>
      </w:r>
      <w:r w:rsidR="003574F3" w:rsidRPr="00946BB1">
        <w:rPr>
          <w:rFonts w:eastAsia="Calibri"/>
        </w:rPr>
        <w:t xml:space="preserve">they each have </w:t>
      </w:r>
      <w:r w:rsidR="000C43CB" w:rsidRPr="00946BB1">
        <w:rPr>
          <w:rFonts w:eastAsia="Calibri"/>
        </w:rPr>
        <w:t>qualified research staff</w:t>
      </w:r>
      <w:r w:rsidR="003574F3" w:rsidRPr="00946BB1">
        <w:rPr>
          <w:rFonts w:eastAsia="Calibri"/>
        </w:rPr>
        <w:t xml:space="preserve"> and high numbers of patient</w:t>
      </w:r>
      <w:r w:rsidR="008B029B" w:rsidRPr="00946BB1">
        <w:rPr>
          <w:rFonts w:eastAsia="Calibri"/>
        </w:rPr>
        <w:t>s</w:t>
      </w:r>
      <w:r w:rsidR="003574F3" w:rsidRPr="00946BB1">
        <w:rPr>
          <w:rFonts w:eastAsia="Calibri"/>
        </w:rPr>
        <w:t xml:space="preserve"> </w:t>
      </w:r>
      <w:r w:rsidR="002B4979" w:rsidRPr="00946BB1">
        <w:rPr>
          <w:rFonts w:eastAsia="Calibri"/>
        </w:rPr>
        <w:t xml:space="preserve">with injuries </w:t>
      </w:r>
      <w:r w:rsidR="008B029B" w:rsidRPr="00946BB1">
        <w:rPr>
          <w:rFonts w:eastAsia="Calibri"/>
        </w:rPr>
        <w:t>r</w:t>
      </w:r>
      <w:r w:rsidR="003574F3" w:rsidRPr="00946BB1">
        <w:rPr>
          <w:rFonts w:eastAsia="Calibri"/>
        </w:rPr>
        <w:t>esulting from motor vehicle crashes</w:t>
      </w:r>
      <w:r w:rsidR="00D209F0" w:rsidRPr="00946BB1">
        <w:rPr>
          <w:rFonts w:eastAsia="Calibri"/>
        </w:rPr>
        <w:t xml:space="preserve">. </w:t>
      </w:r>
      <w:r w:rsidR="004A541C" w:rsidRPr="00FD06AE">
        <w:rPr>
          <w:rFonts w:eastAsia="Calibri"/>
        </w:rPr>
        <w:t>These trauma centers</w:t>
      </w:r>
      <w:r w:rsidR="00DF7ECB">
        <w:rPr>
          <w:rFonts w:eastAsia="Calibri"/>
        </w:rPr>
        <w:t xml:space="preserve"> and morgues</w:t>
      </w:r>
      <w:r w:rsidR="004A541C" w:rsidRPr="00FD06AE">
        <w:rPr>
          <w:rFonts w:eastAsia="Calibri"/>
        </w:rPr>
        <w:t xml:space="preserve"> offer NHTSA </w:t>
      </w:r>
      <w:r w:rsidR="00257142">
        <w:rPr>
          <w:rFonts w:eastAsia="Calibri"/>
        </w:rPr>
        <w:t>a realistic</w:t>
      </w:r>
      <w:r w:rsidR="004A541C" w:rsidRPr="00FD06AE">
        <w:rPr>
          <w:rFonts w:eastAsia="Calibri"/>
        </w:rPr>
        <w:t xml:space="preserve"> opportunity to gather </w:t>
      </w:r>
      <w:r w:rsidR="00313CD5">
        <w:rPr>
          <w:rFonts w:eastAsia="Calibri"/>
        </w:rPr>
        <w:t>a large</w:t>
      </w:r>
      <w:r w:rsidR="004A541C" w:rsidRPr="00FD06AE">
        <w:rPr>
          <w:rFonts w:eastAsia="Calibri"/>
        </w:rPr>
        <w:t xml:space="preserve"> sample size in the shortest time possible.</w:t>
      </w:r>
      <w:r w:rsidR="007073AC" w:rsidRPr="00FD06AE">
        <w:rPr>
          <w:rFonts w:eastAsia="Calibri"/>
        </w:rPr>
        <w:t xml:space="preserve"> </w:t>
      </w:r>
      <w:r w:rsidR="00FE60C1" w:rsidRPr="00FD06AE">
        <w:rPr>
          <w:rFonts w:eastAsia="Calibri"/>
        </w:rPr>
        <w:t>The same data collection protocols will be utilized at</w:t>
      </w:r>
      <w:r w:rsidR="00460D32" w:rsidRPr="00FD06AE">
        <w:rPr>
          <w:rFonts w:eastAsia="Calibri"/>
        </w:rPr>
        <w:t xml:space="preserve"> each </w:t>
      </w:r>
      <w:r w:rsidR="00FE60C1" w:rsidRPr="00FD06AE">
        <w:rPr>
          <w:rFonts w:eastAsia="Calibri"/>
        </w:rPr>
        <w:t>site</w:t>
      </w:r>
      <w:r w:rsidR="00460D32" w:rsidRPr="00FD06AE">
        <w:rPr>
          <w:rFonts w:eastAsia="Calibri"/>
        </w:rPr>
        <w:t>.</w:t>
      </w:r>
      <w:r w:rsidR="00571271">
        <w:rPr>
          <w:rFonts w:eastAsia="Calibri"/>
        </w:rPr>
        <w:t xml:space="preserve"> </w:t>
      </w:r>
      <w:r w:rsidR="00460D32" w:rsidRPr="00FD06AE">
        <w:rPr>
          <w:rFonts w:eastAsia="Calibri"/>
        </w:rPr>
        <w:t>All data will be</w:t>
      </w:r>
      <w:r w:rsidR="006308A9" w:rsidRPr="00FD06AE">
        <w:rPr>
          <w:rFonts w:eastAsia="Calibri"/>
        </w:rPr>
        <w:t xml:space="preserve"> used only in </w:t>
      </w:r>
      <w:r w:rsidR="00FE60C1" w:rsidRPr="007C174E">
        <w:rPr>
          <w:rFonts w:eastAsia="Calibri"/>
        </w:rPr>
        <w:t xml:space="preserve">aggregate </w:t>
      </w:r>
      <w:r w:rsidR="00BF0FEA">
        <w:rPr>
          <w:rFonts w:eastAsia="Calibri"/>
        </w:rPr>
        <w:t xml:space="preserve">to calculate </w:t>
      </w:r>
      <w:r w:rsidR="00087365" w:rsidRPr="007C174E">
        <w:rPr>
          <w:rFonts w:eastAsia="Calibri"/>
        </w:rPr>
        <w:t>drug prevalence</w:t>
      </w:r>
      <w:r w:rsidR="00737914">
        <w:rPr>
          <w:rFonts w:eastAsia="Calibri"/>
        </w:rPr>
        <w:t xml:space="preserve"> among the injured and killed presenting to the trauma centers and morgues</w:t>
      </w:r>
      <w:r w:rsidR="006308A9" w:rsidRPr="007C174E">
        <w:rPr>
          <w:rFonts w:eastAsia="Calibri"/>
        </w:rPr>
        <w:t>.</w:t>
      </w:r>
    </w:p>
    <w:p w14:paraId="7A86B27A" w14:textId="77777777" w:rsidR="000676A2" w:rsidRDefault="000676A2" w:rsidP="007C174E">
      <w:pPr>
        <w:ind w:firstLine="720"/>
        <w:contextualSpacing/>
        <w:rPr>
          <w:b/>
        </w:rPr>
      </w:pPr>
    </w:p>
    <w:p w14:paraId="1C79F8BF" w14:textId="77777777" w:rsidR="007C174E" w:rsidRPr="007C174E" w:rsidRDefault="008357B3" w:rsidP="007C174E">
      <w:pPr>
        <w:ind w:firstLine="720"/>
        <w:contextualSpacing/>
      </w:pPr>
      <w:r>
        <w:rPr>
          <w:b/>
        </w:rPr>
        <w:t xml:space="preserve">Sample Size </w:t>
      </w:r>
      <w:r w:rsidR="00913524">
        <w:rPr>
          <w:b/>
        </w:rPr>
        <w:t>Calculation</w:t>
      </w:r>
      <w:r w:rsidRPr="008357B3">
        <w:rPr>
          <w:b/>
        </w:rPr>
        <w:t>.</w:t>
      </w:r>
      <w:r>
        <w:t xml:space="preserve"> </w:t>
      </w:r>
      <w:r w:rsidR="007C174E" w:rsidRPr="007C174E">
        <w:t xml:space="preserve">For a one-time measurement of prevalence, the equation below </w:t>
      </w:r>
      <w:r w:rsidR="00482A8F">
        <w:t>is</w:t>
      </w:r>
      <w:r w:rsidR="007C174E" w:rsidRPr="007C174E">
        <w:t xml:space="preserve"> </w:t>
      </w:r>
      <w:r w:rsidR="00BF0FEA">
        <w:t>generally</w:t>
      </w:r>
      <w:r w:rsidR="00BF0FEA" w:rsidRPr="007C174E">
        <w:t xml:space="preserve"> </w:t>
      </w:r>
      <w:r w:rsidR="007C174E" w:rsidRPr="007C174E">
        <w:t>used to calculate the sample size needed for a given drug prevalence rate at a specific level of statistical confidence and precision</w:t>
      </w:r>
      <w:r w:rsidR="000676A2">
        <w:t>.</w:t>
      </w:r>
      <w:r w:rsidR="000676A2">
        <w:rPr>
          <w:rStyle w:val="FootnoteReference"/>
        </w:rPr>
        <w:footnoteReference w:id="4"/>
      </w:r>
      <w:r w:rsidR="000676A2">
        <w:t xml:space="preserve"> </w:t>
      </w:r>
    </w:p>
    <w:p w14:paraId="0E487CB3" w14:textId="77777777" w:rsidR="007C174E" w:rsidRPr="007C174E" w:rsidRDefault="007C174E" w:rsidP="007C174E">
      <w:pPr>
        <w:ind w:left="720"/>
        <w:contextualSpacing/>
      </w:pPr>
    </w:p>
    <w:p w14:paraId="0DE4932E" w14:textId="77777777" w:rsidR="007C174E" w:rsidRPr="007C174E" w:rsidRDefault="007C174E" w:rsidP="007C174E">
      <w:pPr>
        <w:ind w:left="720"/>
        <w:contextualSpacing/>
        <w:rPr>
          <w:u w:val="single"/>
        </w:rPr>
      </w:pPr>
      <w:r w:rsidRPr="007C174E">
        <w:rPr>
          <w:i/>
        </w:rPr>
        <w:t>n</w:t>
      </w:r>
      <w:r w:rsidRPr="007C174E">
        <w:t xml:space="preserve"> = </w:t>
      </w:r>
      <w:r w:rsidRPr="007C174E">
        <w:rPr>
          <w:i/>
          <w:u w:val="single"/>
        </w:rPr>
        <w:t>Z</w:t>
      </w:r>
      <w:r w:rsidRPr="007C174E">
        <w:rPr>
          <w:u w:val="single"/>
          <w:vertAlign w:val="superscript"/>
        </w:rPr>
        <w:t>2</w:t>
      </w:r>
      <w:r w:rsidRPr="007C174E">
        <w:rPr>
          <w:i/>
          <w:u w:val="single"/>
        </w:rPr>
        <w:t>P</w:t>
      </w:r>
      <w:r w:rsidRPr="007C174E">
        <w:rPr>
          <w:u w:val="single"/>
        </w:rPr>
        <w:t xml:space="preserve">(1 – </w:t>
      </w:r>
      <w:r w:rsidRPr="007C174E">
        <w:rPr>
          <w:i/>
          <w:u w:val="single"/>
        </w:rPr>
        <w:t>P</w:t>
      </w:r>
      <w:r w:rsidRPr="007C174E">
        <w:rPr>
          <w:u w:val="single"/>
        </w:rPr>
        <w:t>)</w:t>
      </w:r>
      <w:r w:rsidRPr="007C174E">
        <w:rPr>
          <w:i/>
          <w:u w:val="single"/>
        </w:rPr>
        <w:t xml:space="preserve"> </w:t>
      </w:r>
    </w:p>
    <w:p w14:paraId="14EF0F60" w14:textId="77777777" w:rsidR="007C174E" w:rsidRPr="007C174E" w:rsidRDefault="007C174E" w:rsidP="007C174E">
      <w:pPr>
        <w:pStyle w:val="ListParagraph"/>
        <w:contextualSpacing/>
        <w:rPr>
          <w:rFonts w:ascii="Times New Roman" w:hAnsi="Times New Roman" w:cs="Times New Roman"/>
          <w:sz w:val="24"/>
          <w:szCs w:val="24"/>
        </w:rPr>
      </w:pPr>
      <w:r w:rsidRPr="007C174E">
        <w:rPr>
          <w:rFonts w:ascii="Times New Roman" w:hAnsi="Times New Roman" w:cs="Times New Roman"/>
          <w:sz w:val="24"/>
          <w:szCs w:val="24"/>
        </w:rPr>
        <w:tab/>
      </w:r>
      <w:r w:rsidRPr="007C174E">
        <w:rPr>
          <w:rFonts w:ascii="Times New Roman" w:hAnsi="Times New Roman" w:cs="Times New Roman"/>
          <w:i/>
          <w:sz w:val="24"/>
          <w:szCs w:val="24"/>
        </w:rPr>
        <w:t>d</w:t>
      </w:r>
      <w:r w:rsidRPr="007C174E">
        <w:rPr>
          <w:rFonts w:ascii="Times New Roman" w:hAnsi="Times New Roman" w:cs="Times New Roman"/>
          <w:sz w:val="24"/>
          <w:szCs w:val="24"/>
          <w:vertAlign w:val="superscript"/>
        </w:rPr>
        <w:t>2</w:t>
      </w:r>
    </w:p>
    <w:p w14:paraId="322D8A2D" w14:textId="77777777" w:rsidR="007C174E" w:rsidRPr="007C174E" w:rsidRDefault="007C174E" w:rsidP="007C174E">
      <w:pPr>
        <w:ind w:firstLine="720"/>
      </w:pPr>
    </w:p>
    <w:p w14:paraId="181AB1F3" w14:textId="77777777" w:rsidR="007C174E" w:rsidRPr="007C174E" w:rsidRDefault="007C174E" w:rsidP="007C174E">
      <w:pPr>
        <w:ind w:firstLine="720"/>
      </w:pPr>
      <w:r w:rsidRPr="007C174E">
        <w:rPr>
          <w:i/>
        </w:rPr>
        <w:lastRenderedPageBreak/>
        <w:t>Z</w:t>
      </w:r>
      <w:r w:rsidRPr="007C174E">
        <w:t xml:space="preserve"> = Z statistic for a level of confidence (e.g., Z = 1.96 for 95% confidence)</w:t>
      </w:r>
    </w:p>
    <w:p w14:paraId="53296356" w14:textId="77777777" w:rsidR="007C174E" w:rsidRPr="007C174E" w:rsidRDefault="007C174E" w:rsidP="007C174E">
      <w:pPr>
        <w:ind w:firstLine="720"/>
      </w:pPr>
      <w:r w:rsidRPr="007C174E">
        <w:rPr>
          <w:i/>
        </w:rPr>
        <w:t>P</w:t>
      </w:r>
      <w:r w:rsidRPr="007C174E">
        <w:t xml:space="preserve"> = expected prevalence (e.g., 15% or 0.15 estimated from prior studies)</w:t>
      </w:r>
    </w:p>
    <w:p w14:paraId="75D4AC96" w14:textId="77777777" w:rsidR="007C174E" w:rsidRPr="007C174E" w:rsidRDefault="007C174E" w:rsidP="007C174E">
      <w:pPr>
        <w:ind w:firstLine="720"/>
      </w:pPr>
      <w:r w:rsidRPr="007C174E">
        <w:rPr>
          <w:i/>
        </w:rPr>
        <w:t>d</w:t>
      </w:r>
      <w:r w:rsidRPr="007C174E">
        <w:t xml:space="preserve"> = precision (e.g., 3% or 0.03 which provides a confidence interval of </w:t>
      </w:r>
      <w:r w:rsidRPr="007C174E">
        <w:rPr>
          <w:u w:val="single"/>
        </w:rPr>
        <w:t>+</w:t>
      </w:r>
      <w:r w:rsidRPr="007C174E">
        <w:t>3%)</w:t>
      </w:r>
    </w:p>
    <w:p w14:paraId="7AEDE83B" w14:textId="77777777" w:rsidR="007C174E" w:rsidRPr="007C174E" w:rsidRDefault="007C174E" w:rsidP="007C174E">
      <w:pPr>
        <w:pStyle w:val="ListParagraph"/>
        <w:contextualSpacing/>
        <w:rPr>
          <w:rFonts w:ascii="Times New Roman" w:hAnsi="Times New Roman" w:cs="Times New Roman"/>
          <w:sz w:val="24"/>
          <w:szCs w:val="24"/>
        </w:rPr>
      </w:pPr>
    </w:p>
    <w:p w14:paraId="13F31573" w14:textId="77777777" w:rsidR="008357B3" w:rsidRDefault="008357B3" w:rsidP="007C174E">
      <w:pPr>
        <w:contextualSpacing/>
      </w:pPr>
      <w:r>
        <w:t xml:space="preserve">The British Columbia, Canada study </w:t>
      </w:r>
      <w:r w:rsidR="00DF7ECB">
        <w:t xml:space="preserve">mentioned </w:t>
      </w:r>
      <w:r w:rsidR="00FE4CE2">
        <w:t>above</w:t>
      </w:r>
      <w:r w:rsidR="00DF7ECB">
        <w:t xml:space="preserve"> </w:t>
      </w:r>
      <w:r>
        <w:t xml:space="preserve">offers insights into </w:t>
      </w:r>
      <w:r w:rsidR="00BF0FEA">
        <w:t xml:space="preserve">possible </w:t>
      </w:r>
      <w:r>
        <w:t>drug class prevalence rates for drivers presenting to a trauma center</w:t>
      </w:r>
      <w:r w:rsidR="00482A8F">
        <w:t xml:space="preserve"> in North America</w:t>
      </w:r>
      <w:r>
        <w:t xml:space="preserve">. </w:t>
      </w:r>
      <w:r w:rsidR="00B82E48">
        <w:t xml:space="preserve">The table below provides the </w:t>
      </w:r>
      <w:r w:rsidR="00FF3F0B">
        <w:t xml:space="preserve">observed </w:t>
      </w:r>
      <w:r w:rsidR="00B82E48">
        <w:t xml:space="preserve">drug prevalence rates for the major classes of drugs tested for in that study. </w:t>
      </w:r>
    </w:p>
    <w:p w14:paraId="6F8A938C" w14:textId="77777777" w:rsidR="00B82E48" w:rsidRDefault="00B82E48" w:rsidP="007C174E">
      <w:pPr>
        <w:contextualSpacing/>
      </w:pPr>
    </w:p>
    <w:p w14:paraId="324B5999" w14:textId="77777777" w:rsidR="00B82E48" w:rsidRPr="009E23E8" w:rsidRDefault="00B82E48" w:rsidP="00B82E48">
      <w:pPr>
        <w:pStyle w:val="Table"/>
      </w:pPr>
      <w:r>
        <w:t>Table 1. British Columbia, Canada Drug Prevalence</w:t>
      </w:r>
      <w:r w:rsidR="00102A41">
        <w:t xml:space="preserve"> (N = 1,097)</w:t>
      </w:r>
    </w:p>
    <w:tbl>
      <w:tblPr>
        <w:tblStyle w:val="TableGrid"/>
        <w:tblW w:w="5125" w:type="dxa"/>
        <w:jc w:val="center"/>
        <w:tblLook w:val="04A0" w:firstRow="1" w:lastRow="0" w:firstColumn="1" w:lastColumn="0" w:noHBand="0" w:noVBand="1"/>
      </w:tblPr>
      <w:tblGrid>
        <w:gridCol w:w="2065"/>
        <w:gridCol w:w="3060"/>
      </w:tblGrid>
      <w:tr w:rsidR="00B82E48" w14:paraId="315012C8" w14:textId="77777777" w:rsidTr="00B82E48">
        <w:trPr>
          <w:jc w:val="center"/>
        </w:trPr>
        <w:tc>
          <w:tcPr>
            <w:tcW w:w="2065" w:type="dxa"/>
          </w:tcPr>
          <w:p w14:paraId="0FB90040" w14:textId="77777777" w:rsidR="00B82E48" w:rsidRDefault="00B82E48" w:rsidP="006A1005">
            <w:pPr>
              <w:jc w:val="center"/>
            </w:pPr>
            <w:r>
              <w:t>Drug</w:t>
            </w:r>
            <w:r w:rsidR="00DF7ECB">
              <w:t xml:space="preserve"> or Drug</w:t>
            </w:r>
            <w:r>
              <w:t xml:space="preserve"> Class</w:t>
            </w:r>
          </w:p>
        </w:tc>
        <w:tc>
          <w:tcPr>
            <w:tcW w:w="3060" w:type="dxa"/>
          </w:tcPr>
          <w:p w14:paraId="474B5D88" w14:textId="77777777" w:rsidR="00B82E48" w:rsidRDefault="00B82E48" w:rsidP="00FF3F0B">
            <w:pPr>
              <w:jc w:val="center"/>
            </w:pPr>
            <w:r>
              <w:t>Prevalence %</w:t>
            </w:r>
            <w:r w:rsidR="00196387">
              <w:t xml:space="preserve"> (95% CI)</w:t>
            </w:r>
          </w:p>
        </w:tc>
      </w:tr>
      <w:tr w:rsidR="00B82E48" w14:paraId="43D0502B" w14:textId="77777777" w:rsidTr="00B82E48">
        <w:trPr>
          <w:jc w:val="center"/>
        </w:trPr>
        <w:tc>
          <w:tcPr>
            <w:tcW w:w="2065" w:type="dxa"/>
          </w:tcPr>
          <w:p w14:paraId="67ED5D78" w14:textId="77777777" w:rsidR="00B82E48" w:rsidRDefault="00B82E48" w:rsidP="006A1005">
            <w:pPr>
              <w:jc w:val="center"/>
            </w:pPr>
            <w:r>
              <w:t>Alcohol</w:t>
            </w:r>
          </w:p>
        </w:tc>
        <w:tc>
          <w:tcPr>
            <w:tcW w:w="3060" w:type="dxa"/>
          </w:tcPr>
          <w:p w14:paraId="1827A421" w14:textId="77777777" w:rsidR="00B82E48" w:rsidRDefault="00B82E48" w:rsidP="006A1005">
            <w:pPr>
              <w:jc w:val="center"/>
            </w:pPr>
            <w:r>
              <w:t>17.8</w:t>
            </w:r>
            <w:r w:rsidR="00102A41">
              <w:t xml:space="preserve"> (15.6 – 20.1)</w:t>
            </w:r>
          </w:p>
        </w:tc>
      </w:tr>
      <w:tr w:rsidR="00196387" w14:paraId="2E8B405D" w14:textId="77777777" w:rsidTr="00B82E48">
        <w:trPr>
          <w:jc w:val="center"/>
        </w:trPr>
        <w:tc>
          <w:tcPr>
            <w:tcW w:w="2065" w:type="dxa"/>
          </w:tcPr>
          <w:p w14:paraId="29A054B8" w14:textId="77777777" w:rsidR="00196387" w:rsidRDefault="00196387" w:rsidP="006A1005">
            <w:pPr>
              <w:jc w:val="center"/>
            </w:pPr>
            <w:r>
              <w:t>THC-COOH</w:t>
            </w:r>
            <w:r w:rsidR="00DF7ECB">
              <w:t>*</w:t>
            </w:r>
          </w:p>
        </w:tc>
        <w:tc>
          <w:tcPr>
            <w:tcW w:w="3060" w:type="dxa"/>
          </w:tcPr>
          <w:p w14:paraId="06DEDB2F" w14:textId="77777777" w:rsidR="00196387" w:rsidRDefault="00196387" w:rsidP="00196387">
            <w:pPr>
              <w:jc w:val="center"/>
            </w:pPr>
            <w:r>
              <w:t>12.6 (10.7 – 14.7)</w:t>
            </w:r>
          </w:p>
        </w:tc>
      </w:tr>
      <w:tr w:rsidR="00B82E48" w14:paraId="563BC3AB" w14:textId="77777777" w:rsidTr="00B82E48">
        <w:trPr>
          <w:jc w:val="center"/>
        </w:trPr>
        <w:tc>
          <w:tcPr>
            <w:tcW w:w="2065" w:type="dxa"/>
          </w:tcPr>
          <w:p w14:paraId="2F3102A8" w14:textId="77777777" w:rsidR="00B82E48" w:rsidRDefault="00102A41" w:rsidP="006A1005">
            <w:pPr>
              <w:jc w:val="center"/>
            </w:pPr>
            <w:r>
              <w:t>Delta-9 THC</w:t>
            </w:r>
          </w:p>
        </w:tc>
        <w:tc>
          <w:tcPr>
            <w:tcW w:w="3060" w:type="dxa"/>
          </w:tcPr>
          <w:p w14:paraId="063FBCD4" w14:textId="77777777" w:rsidR="00B82E48" w:rsidRDefault="00196387" w:rsidP="00196387">
            <w:pPr>
              <w:jc w:val="center"/>
            </w:pPr>
            <w:r>
              <w:t>7.3</w:t>
            </w:r>
            <w:r w:rsidR="00102A41">
              <w:t xml:space="preserve"> (</w:t>
            </w:r>
            <w:r>
              <w:t>5.9</w:t>
            </w:r>
            <w:r w:rsidR="00102A41">
              <w:t xml:space="preserve"> – </w:t>
            </w:r>
            <w:r>
              <w:t>9.0</w:t>
            </w:r>
            <w:r w:rsidR="00102A41">
              <w:t>)</w:t>
            </w:r>
          </w:p>
        </w:tc>
      </w:tr>
      <w:tr w:rsidR="00B82E48" w14:paraId="6E6D0FD4" w14:textId="77777777" w:rsidTr="00B82E48">
        <w:trPr>
          <w:jc w:val="center"/>
        </w:trPr>
        <w:tc>
          <w:tcPr>
            <w:tcW w:w="2065" w:type="dxa"/>
          </w:tcPr>
          <w:p w14:paraId="4DCE48DE" w14:textId="77777777" w:rsidR="00B82E48" w:rsidRDefault="00B82E48" w:rsidP="006A1005">
            <w:pPr>
              <w:jc w:val="center"/>
            </w:pPr>
            <w:r>
              <w:t>Cocaine</w:t>
            </w:r>
          </w:p>
        </w:tc>
        <w:tc>
          <w:tcPr>
            <w:tcW w:w="3060" w:type="dxa"/>
          </w:tcPr>
          <w:p w14:paraId="7DCE4D01" w14:textId="77777777" w:rsidR="00B82E48" w:rsidRDefault="00102A41" w:rsidP="00102A41">
            <w:pPr>
              <w:jc w:val="center"/>
            </w:pPr>
            <w:r>
              <w:t>7.2 (5.8 – 8.9)</w:t>
            </w:r>
          </w:p>
        </w:tc>
      </w:tr>
      <w:tr w:rsidR="00FF3F0B" w14:paraId="492AA09D" w14:textId="77777777" w:rsidTr="00B82E48">
        <w:trPr>
          <w:jc w:val="center"/>
        </w:trPr>
        <w:tc>
          <w:tcPr>
            <w:tcW w:w="2065" w:type="dxa"/>
          </w:tcPr>
          <w:p w14:paraId="69052A94" w14:textId="77777777" w:rsidR="00FF3F0B" w:rsidRDefault="00FF3F0B" w:rsidP="00FF3F0B">
            <w:pPr>
              <w:jc w:val="center"/>
            </w:pPr>
            <w:r>
              <w:t>Opiates</w:t>
            </w:r>
          </w:p>
        </w:tc>
        <w:tc>
          <w:tcPr>
            <w:tcW w:w="3060" w:type="dxa"/>
          </w:tcPr>
          <w:p w14:paraId="063F65A2" w14:textId="77777777" w:rsidR="00FF3F0B" w:rsidRDefault="00FF3F0B" w:rsidP="00FF3F0B">
            <w:pPr>
              <w:jc w:val="center"/>
            </w:pPr>
            <w:r>
              <w:t>4.8</w:t>
            </w:r>
            <w:r w:rsidR="00102A41">
              <w:t xml:space="preserve"> (3.7 – 6.3)</w:t>
            </w:r>
          </w:p>
        </w:tc>
      </w:tr>
      <w:tr w:rsidR="00FF3F0B" w14:paraId="6877673E" w14:textId="77777777" w:rsidTr="00B82E48">
        <w:trPr>
          <w:jc w:val="center"/>
        </w:trPr>
        <w:tc>
          <w:tcPr>
            <w:tcW w:w="2065" w:type="dxa"/>
          </w:tcPr>
          <w:p w14:paraId="036079AF" w14:textId="77777777" w:rsidR="00FF3F0B" w:rsidRDefault="00FF3F0B" w:rsidP="00FF3F0B">
            <w:pPr>
              <w:jc w:val="center"/>
            </w:pPr>
            <w:r>
              <w:t>Benzodiazepines</w:t>
            </w:r>
          </w:p>
        </w:tc>
        <w:tc>
          <w:tcPr>
            <w:tcW w:w="3060" w:type="dxa"/>
          </w:tcPr>
          <w:p w14:paraId="2728EF77" w14:textId="77777777" w:rsidR="00FF3F0B" w:rsidRDefault="00FF3F0B" w:rsidP="00FF3F0B">
            <w:pPr>
              <w:jc w:val="center"/>
            </w:pPr>
            <w:r>
              <w:t>4.0</w:t>
            </w:r>
            <w:r w:rsidR="00102A41">
              <w:t xml:space="preserve"> (2.9 – 5.3)</w:t>
            </w:r>
          </w:p>
        </w:tc>
      </w:tr>
      <w:tr w:rsidR="00FF3F0B" w14:paraId="2E3EAD5D" w14:textId="77777777" w:rsidTr="00B82E48">
        <w:trPr>
          <w:jc w:val="center"/>
        </w:trPr>
        <w:tc>
          <w:tcPr>
            <w:tcW w:w="2065" w:type="dxa"/>
          </w:tcPr>
          <w:p w14:paraId="47C0AC82" w14:textId="77777777" w:rsidR="00FF3F0B" w:rsidRDefault="00FF3F0B" w:rsidP="00FF3F0B">
            <w:pPr>
              <w:jc w:val="center"/>
            </w:pPr>
            <w:r>
              <w:t>Amphetamines</w:t>
            </w:r>
          </w:p>
        </w:tc>
        <w:tc>
          <w:tcPr>
            <w:tcW w:w="3060" w:type="dxa"/>
          </w:tcPr>
          <w:p w14:paraId="45A6E226" w14:textId="77777777" w:rsidR="00FF3F0B" w:rsidRDefault="00196387" w:rsidP="00102A41">
            <w:pPr>
              <w:jc w:val="center"/>
            </w:pPr>
            <w:r>
              <w:t>2.3</w:t>
            </w:r>
            <w:r w:rsidR="00102A41">
              <w:t xml:space="preserve"> (</w:t>
            </w:r>
            <w:r>
              <w:t>1.5</w:t>
            </w:r>
            <w:r w:rsidR="00102A41">
              <w:t xml:space="preserve"> –</w:t>
            </w:r>
            <w:r>
              <w:t xml:space="preserve"> 3.3</w:t>
            </w:r>
            <w:r w:rsidR="00102A41">
              <w:t>)</w:t>
            </w:r>
          </w:p>
        </w:tc>
      </w:tr>
    </w:tbl>
    <w:p w14:paraId="358D8F4B" w14:textId="77777777" w:rsidR="00B82E48" w:rsidRDefault="00DF7ECB" w:rsidP="00DF7ECB">
      <w:pPr>
        <w:ind w:left="1440" w:firstLine="720"/>
        <w:contextualSpacing/>
      </w:pPr>
      <w:r>
        <w:t>*Metabolite indicating marijuana use.</w:t>
      </w:r>
    </w:p>
    <w:p w14:paraId="12BF072A" w14:textId="77777777" w:rsidR="008357B3" w:rsidRDefault="008357B3" w:rsidP="007C174E">
      <w:pPr>
        <w:contextualSpacing/>
      </w:pPr>
    </w:p>
    <w:p w14:paraId="4582A4B5" w14:textId="77777777" w:rsidR="007C174E" w:rsidRPr="007C174E" w:rsidRDefault="00B82E48" w:rsidP="007C174E">
      <w:pPr>
        <w:contextualSpacing/>
      </w:pPr>
      <w:r>
        <w:t>I</w:t>
      </w:r>
      <w:r w:rsidR="007C174E" w:rsidRPr="007C174E">
        <w:t xml:space="preserve">f </w:t>
      </w:r>
      <w:r w:rsidR="00C23401">
        <w:t>a study</w:t>
      </w:r>
      <w:r w:rsidR="007C174E" w:rsidRPr="007C174E">
        <w:t xml:space="preserve"> wanted to have 95% confidence with an expected individual drug prevalence rate of 15% and 3% precision </w:t>
      </w:r>
      <w:r w:rsidR="00C23401">
        <w:t>it</w:t>
      </w:r>
      <w:r w:rsidR="007C174E" w:rsidRPr="007C174E">
        <w:t xml:space="preserve"> would need 545 participants as shown in the calculation below. </w:t>
      </w:r>
      <w:r>
        <w:t>Given the drug prevalence rates shown above</w:t>
      </w:r>
      <w:r w:rsidR="00DF7ECB">
        <w:t xml:space="preserve"> from the Canadian study</w:t>
      </w:r>
      <w:r>
        <w:t xml:space="preserve">, this sample size would only be sufficient </w:t>
      </w:r>
      <w:r w:rsidR="00C23401">
        <w:t>if the study wanted a reliable estimate for</w:t>
      </w:r>
      <w:r>
        <w:t xml:space="preserve"> alcohol.</w:t>
      </w:r>
    </w:p>
    <w:p w14:paraId="3FF59469" w14:textId="77777777" w:rsidR="007C174E" w:rsidRPr="007C174E" w:rsidRDefault="007C174E" w:rsidP="007C174E">
      <w:pPr>
        <w:pStyle w:val="ListParagraph"/>
        <w:spacing w:after="160" w:line="259" w:lineRule="auto"/>
        <w:contextualSpacing/>
        <w:rPr>
          <w:rFonts w:ascii="Times New Roman" w:hAnsi="Times New Roman" w:cs="Times New Roman"/>
          <w:sz w:val="24"/>
          <w:szCs w:val="24"/>
        </w:rPr>
      </w:pPr>
    </w:p>
    <w:p w14:paraId="4B4B661F" w14:textId="77777777" w:rsidR="007C174E" w:rsidRPr="007C174E" w:rsidRDefault="007C174E" w:rsidP="007C174E">
      <w:pPr>
        <w:pStyle w:val="ListParagraph"/>
        <w:keepNext/>
        <w:spacing w:after="160" w:line="259" w:lineRule="auto"/>
        <w:contextualSpacing/>
        <w:rPr>
          <w:rFonts w:ascii="Times New Roman" w:hAnsi="Times New Roman" w:cs="Times New Roman"/>
          <w:sz w:val="24"/>
          <w:szCs w:val="24"/>
        </w:rPr>
      </w:pPr>
      <w:r w:rsidRPr="007C174E">
        <w:rPr>
          <w:rFonts w:ascii="Times New Roman" w:hAnsi="Times New Roman" w:cs="Times New Roman"/>
          <w:i/>
          <w:sz w:val="24"/>
          <w:szCs w:val="24"/>
        </w:rPr>
        <w:t>n</w:t>
      </w:r>
      <w:r w:rsidRPr="007C174E">
        <w:rPr>
          <w:rFonts w:ascii="Times New Roman" w:hAnsi="Times New Roman" w:cs="Times New Roman"/>
          <w:sz w:val="24"/>
          <w:szCs w:val="24"/>
        </w:rPr>
        <w:t xml:space="preserve"> = </w:t>
      </w:r>
      <w:r w:rsidRPr="007C174E">
        <w:rPr>
          <w:rFonts w:ascii="Times New Roman" w:hAnsi="Times New Roman" w:cs="Times New Roman"/>
          <w:sz w:val="24"/>
          <w:szCs w:val="24"/>
          <w:u w:val="single"/>
        </w:rPr>
        <w:t>(1.96)</w:t>
      </w:r>
      <w:r w:rsidRPr="007C174E">
        <w:rPr>
          <w:rFonts w:ascii="Times New Roman" w:hAnsi="Times New Roman" w:cs="Times New Roman"/>
          <w:sz w:val="24"/>
          <w:szCs w:val="24"/>
          <w:u w:val="single"/>
          <w:vertAlign w:val="superscript"/>
        </w:rPr>
        <w:t xml:space="preserve">2 </w:t>
      </w:r>
      <w:r w:rsidRPr="007C174E">
        <w:rPr>
          <w:rFonts w:ascii="Times New Roman" w:hAnsi="Times New Roman" w:cs="Times New Roman"/>
          <w:sz w:val="24"/>
          <w:szCs w:val="24"/>
          <w:u w:val="single"/>
        </w:rPr>
        <w:t xml:space="preserve">(.15)(1 - .15) </w:t>
      </w:r>
      <w:r w:rsidRPr="007C174E">
        <w:rPr>
          <w:rFonts w:ascii="Times New Roman" w:hAnsi="Times New Roman" w:cs="Times New Roman"/>
          <w:sz w:val="24"/>
          <w:szCs w:val="24"/>
        </w:rPr>
        <w:t xml:space="preserve">= 544.23 or about </w:t>
      </w:r>
      <w:r w:rsidRPr="007C174E">
        <w:rPr>
          <w:rFonts w:ascii="Times New Roman" w:hAnsi="Times New Roman" w:cs="Times New Roman"/>
          <w:b/>
          <w:sz w:val="24"/>
          <w:szCs w:val="24"/>
          <w:u w:val="single"/>
        </w:rPr>
        <w:t>545</w:t>
      </w:r>
      <w:r w:rsidRPr="007C174E">
        <w:rPr>
          <w:rFonts w:ascii="Times New Roman" w:hAnsi="Times New Roman" w:cs="Times New Roman"/>
          <w:b/>
          <w:sz w:val="24"/>
          <w:szCs w:val="24"/>
        </w:rPr>
        <w:t xml:space="preserve"> </w:t>
      </w:r>
      <w:r w:rsidRPr="007C174E">
        <w:rPr>
          <w:rFonts w:ascii="Times New Roman" w:hAnsi="Times New Roman" w:cs="Times New Roman"/>
          <w:sz w:val="24"/>
          <w:szCs w:val="24"/>
        </w:rPr>
        <w:t xml:space="preserve">participants </w:t>
      </w:r>
    </w:p>
    <w:p w14:paraId="26999545" w14:textId="77777777" w:rsidR="007C174E" w:rsidRPr="007C174E" w:rsidRDefault="007C174E" w:rsidP="007C174E">
      <w:pPr>
        <w:pStyle w:val="ListParagraph"/>
        <w:keepNext/>
        <w:spacing w:after="160" w:line="259" w:lineRule="auto"/>
        <w:ind w:left="1440"/>
        <w:contextualSpacing/>
        <w:rPr>
          <w:rFonts w:ascii="Times New Roman" w:hAnsi="Times New Roman" w:cs="Times New Roman"/>
          <w:sz w:val="24"/>
          <w:szCs w:val="24"/>
        </w:rPr>
      </w:pPr>
      <w:r w:rsidRPr="007C174E">
        <w:rPr>
          <w:rFonts w:ascii="Times New Roman" w:hAnsi="Times New Roman" w:cs="Times New Roman"/>
          <w:sz w:val="24"/>
          <w:szCs w:val="24"/>
        </w:rPr>
        <w:t xml:space="preserve">      (.03)</w:t>
      </w:r>
      <w:r w:rsidRPr="007C174E">
        <w:rPr>
          <w:rFonts w:ascii="Times New Roman" w:hAnsi="Times New Roman" w:cs="Times New Roman"/>
          <w:sz w:val="24"/>
          <w:szCs w:val="24"/>
          <w:vertAlign w:val="superscript"/>
        </w:rPr>
        <w:t>2</w:t>
      </w:r>
    </w:p>
    <w:p w14:paraId="6D004205" w14:textId="77777777" w:rsidR="007C174E" w:rsidRPr="007C174E" w:rsidRDefault="007C174E" w:rsidP="007C174E">
      <w:pPr>
        <w:pStyle w:val="ListParagraph"/>
        <w:spacing w:after="160" w:line="259" w:lineRule="auto"/>
        <w:contextualSpacing/>
        <w:rPr>
          <w:rFonts w:ascii="Times New Roman" w:hAnsi="Times New Roman" w:cs="Times New Roman"/>
          <w:sz w:val="24"/>
          <w:szCs w:val="24"/>
        </w:rPr>
      </w:pPr>
    </w:p>
    <w:p w14:paraId="3DF19E5F" w14:textId="77777777" w:rsidR="007C174E" w:rsidRPr="00DF2BC3" w:rsidRDefault="007C174E" w:rsidP="00DF2BC3">
      <w:pPr>
        <w:contextualSpacing/>
      </w:pPr>
      <w:r w:rsidRPr="00DF2BC3">
        <w:t xml:space="preserve">If the expected prevalence rate is lower, </w:t>
      </w:r>
      <w:r w:rsidR="00BF0FEA">
        <w:t>as it surely is for drugs other than alcohol</w:t>
      </w:r>
      <w:r w:rsidRPr="00DF2BC3">
        <w:t>, a more precise estimate is generally advisable, and the sample size can increase dramatically. For example, if you wanted to have 95% confidence in a study with an expected prevalence rate of 7% and 1% precision you would need 2</w:t>
      </w:r>
      <w:r w:rsidR="00FE4CE2">
        <w:t>,</w:t>
      </w:r>
      <w:r w:rsidRPr="00DF2BC3">
        <w:t>501 participants as shown in the calculation below.</w:t>
      </w:r>
      <w:r w:rsidR="00B82E48">
        <w:t xml:space="preserve"> </w:t>
      </w:r>
    </w:p>
    <w:p w14:paraId="7955735B" w14:textId="77777777" w:rsidR="007C174E" w:rsidRPr="007C174E" w:rsidRDefault="007C174E" w:rsidP="007C174E">
      <w:pPr>
        <w:pStyle w:val="ListParagraph"/>
        <w:contextualSpacing/>
        <w:rPr>
          <w:rFonts w:ascii="Times New Roman" w:hAnsi="Times New Roman" w:cs="Times New Roman"/>
          <w:sz w:val="24"/>
          <w:szCs w:val="24"/>
        </w:rPr>
      </w:pPr>
    </w:p>
    <w:p w14:paraId="5E3769E2" w14:textId="77777777" w:rsidR="007C174E" w:rsidRPr="007C174E" w:rsidRDefault="007C174E" w:rsidP="007C174E">
      <w:pPr>
        <w:pStyle w:val="ListParagraph"/>
        <w:spacing w:after="160" w:line="259" w:lineRule="auto"/>
        <w:contextualSpacing/>
        <w:rPr>
          <w:rFonts w:ascii="Times New Roman" w:hAnsi="Times New Roman" w:cs="Times New Roman"/>
          <w:sz w:val="24"/>
          <w:szCs w:val="24"/>
        </w:rPr>
      </w:pPr>
      <w:r w:rsidRPr="007C174E">
        <w:rPr>
          <w:rFonts w:ascii="Times New Roman" w:hAnsi="Times New Roman" w:cs="Times New Roman"/>
          <w:i/>
          <w:sz w:val="24"/>
          <w:szCs w:val="24"/>
        </w:rPr>
        <w:t>n</w:t>
      </w:r>
      <w:r w:rsidRPr="007C174E">
        <w:rPr>
          <w:rFonts w:ascii="Times New Roman" w:hAnsi="Times New Roman" w:cs="Times New Roman"/>
          <w:sz w:val="24"/>
          <w:szCs w:val="24"/>
        </w:rPr>
        <w:t xml:space="preserve"> = </w:t>
      </w:r>
      <w:r w:rsidRPr="007C174E">
        <w:rPr>
          <w:rFonts w:ascii="Times New Roman" w:hAnsi="Times New Roman" w:cs="Times New Roman"/>
          <w:sz w:val="24"/>
          <w:szCs w:val="24"/>
          <w:u w:val="single"/>
        </w:rPr>
        <w:t>(1.96)</w:t>
      </w:r>
      <w:r w:rsidRPr="007C174E">
        <w:rPr>
          <w:rFonts w:ascii="Times New Roman" w:hAnsi="Times New Roman" w:cs="Times New Roman"/>
          <w:sz w:val="24"/>
          <w:szCs w:val="24"/>
          <w:u w:val="single"/>
          <w:vertAlign w:val="superscript"/>
        </w:rPr>
        <w:t xml:space="preserve">2 </w:t>
      </w:r>
      <w:r w:rsidRPr="007C174E">
        <w:rPr>
          <w:rFonts w:ascii="Times New Roman" w:hAnsi="Times New Roman" w:cs="Times New Roman"/>
          <w:sz w:val="24"/>
          <w:szCs w:val="24"/>
          <w:u w:val="single"/>
        </w:rPr>
        <w:t xml:space="preserve">(.07)(1 - .07) </w:t>
      </w:r>
      <w:r w:rsidRPr="007C174E">
        <w:rPr>
          <w:rFonts w:ascii="Times New Roman" w:hAnsi="Times New Roman" w:cs="Times New Roman"/>
          <w:sz w:val="24"/>
          <w:szCs w:val="24"/>
        </w:rPr>
        <w:t>= 2</w:t>
      </w:r>
      <w:r w:rsidR="00FE4CE2">
        <w:rPr>
          <w:rFonts w:ascii="Times New Roman" w:hAnsi="Times New Roman" w:cs="Times New Roman"/>
          <w:sz w:val="24"/>
          <w:szCs w:val="24"/>
        </w:rPr>
        <w:t>,</w:t>
      </w:r>
      <w:r w:rsidRPr="007C174E">
        <w:rPr>
          <w:rFonts w:ascii="Times New Roman" w:hAnsi="Times New Roman" w:cs="Times New Roman"/>
          <w:sz w:val="24"/>
          <w:szCs w:val="24"/>
        </w:rPr>
        <w:t xml:space="preserve">500.88 or about </w:t>
      </w:r>
      <w:r w:rsidRPr="007C174E">
        <w:rPr>
          <w:rFonts w:ascii="Times New Roman" w:hAnsi="Times New Roman" w:cs="Times New Roman"/>
          <w:b/>
          <w:sz w:val="24"/>
          <w:szCs w:val="24"/>
          <w:u w:val="single"/>
        </w:rPr>
        <w:t>2</w:t>
      </w:r>
      <w:r w:rsidR="00FE4CE2">
        <w:rPr>
          <w:rFonts w:ascii="Times New Roman" w:hAnsi="Times New Roman" w:cs="Times New Roman"/>
          <w:b/>
          <w:sz w:val="24"/>
          <w:szCs w:val="24"/>
          <w:u w:val="single"/>
        </w:rPr>
        <w:t>,</w:t>
      </w:r>
      <w:r w:rsidRPr="007C174E">
        <w:rPr>
          <w:rFonts w:ascii="Times New Roman" w:hAnsi="Times New Roman" w:cs="Times New Roman"/>
          <w:b/>
          <w:sz w:val="24"/>
          <w:szCs w:val="24"/>
          <w:u w:val="single"/>
        </w:rPr>
        <w:t>501</w:t>
      </w:r>
      <w:r w:rsidRPr="007C174E">
        <w:rPr>
          <w:rFonts w:ascii="Times New Roman" w:hAnsi="Times New Roman" w:cs="Times New Roman"/>
          <w:b/>
          <w:sz w:val="24"/>
          <w:szCs w:val="24"/>
        </w:rPr>
        <w:t xml:space="preserve"> </w:t>
      </w:r>
      <w:r w:rsidRPr="007C174E">
        <w:rPr>
          <w:rFonts w:ascii="Times New Roman" w:hAnsi="Times New Roman" w:cs="Times New Roman"/>
          <w:sz w:val="24"/>
          <w:szCs w:val="24"/>
        </w:rPr>
        <w:t xml:space="preserve">participants </w:t>
      </w:r>
    </w:p>
    <w:p w14:paraId="0EE5FED0" w14:textId="77777777" w:rsidR="007C174E" w:rsidRPr="007C174E" w:rsidRDefault="007C174E" w:rsidP="007C174E">
      <w:pPr>
        <w:pStyle w:val="ListParagraph"/>
        <w:spacing w:after="160" w:line="259" w:lineRule="auto"/>
        <w:ind w:left="1440"/>
        <w:contextualSpacing/>
        <w:rPr>
          <w:rFonts w:ascii="Times New Roman" w:hAnsi="Times New Roman" w:cs="Times New Roman"/>
          <w:sz w:val="24"/>
          <w:szCs w:val="24"/>
        </w:rPr>
      </w:pPr>
      <w:r w:rsidRPr="007C174E">
        <w:rPr>
          <w:rFonts w:ascii="Times New Roman" w:hAnsi="Times New Roman" w:cs="Times New Roman"/>
          <w:sz w:val="24"/>
          <w:szCs w:val="24"/>
        </w:rPr>
        <w:t xml:space="preserve">      (.01)</w:t>
      </w:r>
      <w:r w:rsidRPr="007C174E">
        <w:rPr>
          <w:rFonts w:ascii="Times New Roman" w:hAnsi="Times New Roman" w:cs="Times New Roman"/>
          <w:sz w:val="24"/>
          <w:szCs w:val="24"/>
          <w:vertAlign w:val="superscript"/>
        </w:rPr>
        <w:t>2</w:t>
      </w:r>
    </w:p>
    <w:p w14:paraId="286D20C5" w14:textId="77777777" w:rsidR="00586E56" w:rsidRDefault="006F5E06" w:rsidP="00584B32">
      <w:pPr>
        <w:contextualSpacing/>
      </w:pPr>
      <w:r>
        <w:t>Special considerations are needed when prevalence rates are expected to be very low or high</w:t>
      </w:r>
      <w:r w:rsidRPr="007C174E">
        <w:t>.</w:t>
      </w:r>
      <w:r>
        <w:rPr>
          <w:rStyle w:val="FootnoteReference"/>
        </w:rPr>
        <w:footnoteReference w:id="5"/>
      </w:r>
      <w:r>
        <w:t xml:space="preserve"> </w:t>
      </w:r>
      <w:r w:rsidR="00B82E48">
        <w:t>The table below provides the sample size</w:t>
      </w:r>
      <w:r w:rsidR="006556CE">
        <w:t>s</w:t>
      </w:r>
      <w:r w:rsidR="00B82E48">
        <w:t xml:space="preserve"> need</w:t>
      </w:r>
      <w:r w:rsidR="006556CE">
        <w:t>ed</w:t>
      </w:r>
      <w:r w:rsidR="00B82E48">
        <w:t xml:space="preserve"> </w:t>
      </w:r>
      <w:r w:rsidR="00E37472">
        <w:t>for</w:t>
      </w:r>
      <w:r>
        <w:t xml:space="preserve"> low</w:t>
      </w:r>
      <w:r w:rsidR="00E37472">
        <w:t xml:space="preserve"> prevalence rates at various levels of precision</w:t>
      </w:r>
      <w:r w:rsidR="00FF3F0B">
        <w:t xml:space="preserve">. </w:t>
      </w:r>
      <w:r w:rsidR="00994A58">
        <w:t xml:space="preserve">These calculations </w:t>
      </w:r>
      <w:r w:rsidR="00994A58" w:rsidRPr="00DF2BC3">
        <w:t xml:space="preserve">demonstrate that getting </w:t>
      </w:r>
      <w:r w:rsidR="00994A58">
        <w:t>precise</w:t>
      </w:r>
      <w:r w:rsidR="00994A58" w:rsidRPr="00DF2BC3">
        <w:t xml:space="preserve"> estimates for </w:t>
      </w:r>
      <w:r w:rsidR="00AF5D5C">
        <w:t>l</w:t>
      </w:r>
      <w:r w:rsidR="00994A58" w:rsidRPr="00DF2BC3">
        <w:t>o</w:t>
      </w:r>
      <w:r w:rsidR="00994A58">
        <w:t xml:space="preserve">w prevalence drugs will take a relatively </w:t>
      </w:r>
      <w:r w:rsidR="00994A58" w:rsidRPr="00DF2BC3">
        <w:t>large sample</w:t>
      </w:r>
      <w:r w:rsidR="00994A58">
        <w:t xml:space="preserve"> if a high degree of precision is desired. </w:t>
      </w:r>
      <w:r w:rsidR="00E37472">
        <w:t>For example, if the expected prevalence rate is .02 (2%) and a precision of .005 was desired, the study would need a sample size of 3,012.</w:t>
      </w:r>
    </w:p>
    <w:p w14:paraId="7D8EE9AC" w14:textId="77777777" w:rsidR="008B1B27" w:rsidRDefault="008B1B27" w:rsidP="006B36A2">
      <w:pPr>
        <w:pStyle w:val="BodyText"/>
        <w:keepNext/>
        <w:spacing w:before="0" w:after="0"/>
        <w:rPr>
          <w:b/>
        </w:rPr>
      </w:pPr>
    </w:p>
    <w:p w14:paraId="6EA76FF4" w14:textId="77777777" w:rsidR="008357B3" w:rsidRDefault="00FF3F0B" w:rsidP="00FF3F0B">
      <w:pPr>
        <w:pStyle w:val="Table"/>
      </w:pPr>
      <w:r>
        <w:t xml:space="preserve">Table 2. </w:t>
      </w:r>
      <w:r w:rsidR="008357B3">
        <w:t xml:space="preserve">Sample Size Needed </w:t>
      </w:r>
      <w:r w:rsidR="002A2D2F">
        <w:t>for Low Prevalence Drugs</w:t>
      </w:r>
    </w:p>
    <w:tbl>
      <w:tblPr>
        <w:tblStyle w:val="TableGrid"/>
        <w:tblW w:w="8489" w:type="dxa"/>
        <w:jc w:val="center"/>
        <w:tblLook w:val="04A0" w:firstRow="1" w:lastRow="0" w:firstColumn="1" w:lastColumn="0" w:noHBand="0" w:noVBand="1"/>
      </w:tblPr>
      <w:tblGrid>
        <w:gridCol w:w="1453"/>
        <w:gridCol w:w="1608"/>
        <w:gridCol w:w="1357"/>
        <w:gridCol w:w="1357"/>
        <w:gridCol w:w="1357"/>
        <w:gridCol w:w="1357"/>
      </w:tblGrid>
      <w:tr w:rsidR="008357B3" w:rsidRPr="00195C28" w14:paraId="09A49178" w14:textId="77777777" w:rsidTr="006A1005">
        <w:trPr>
          <w:trHeight w:hRule="exact" w:val="419"/>
          <w:jc w:val="center"/>
        </w:trPr>
        <w:tc>
          <w:tcPr>
            <w:tcW w:w="1453" w:type="dxa"/>
            <w:vMerge w:val="restart"/>
            <w:vAlign w:val="bottom"/>
          </w:tcPr>
          <w:p w14:paraId="287EE93D" w14:textId="77777777" w:rsidR="008357B3" w:rsidRPr="009E23E8" w:rsidRDefault="008357B3" w:rsidP="006A1005">
            <w:pPr>
              <w:pStyle w:val="ListParagraph"/>
              <w:ind w:left="0"/>
              <w:rPr>
                <w:rFonts w:ascii="Times New Roman" w:hAnsi="Times New Roman" w:cs="Times New Roman"/>
                <w:sz w:val="24"/>
                <w:szCs w:val="24"/>
              </w:rPr>
            </w:pPr>
            <w:r>
              <w:rPr>
                <w:rFonts w:ascii="Times New Roman" w:hAnsi="Times New Roman" w:cs="Times New Roman"/>
                <w:sz w:val="24"/>
                <w:szCs w:val="24"/>
              </w:rPr>
              <w:t>Precision</w:t>
            </w:r>
          </w:p>
        </w:tc>
        <w:tc>
          <w:tcPr>
            <w:tcW w:w="7036" w:type="dxa"/>
            <w:gridSpan w:val="5"/>
          </w:tcPr>
          <w:p w14:paraId="27C69DE8"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Prevalence </w:t>
            </w:r>
          </w:p>
        </w:tc>
      </w:tr>
      <w:tr w:rsidR="008357B3" w:rsidRPr="00195C28" w14:paraId="3DD23D2C" w14:textId="77777777" w:rsidTr="006A1005">
        <w:trPr>
          <w:trHeight w:hRule="exact" w:val="419"/>
          <w:jc w:val="center"/>
        </w:trPr>
        <w:tc>
          <w:tcPr>
            <w:tcW w:w="1453" w:type="dxa"/>
            <w:vMerge/>
          </w:tcPr>
          <w:p w14:paraId="096D6750" w14:textId="77777777" w:rsidR="008357B3" w:rsidRPr="009E23E8" w:rsidRDefault="008357B3" w:rsidP="006A1005">
            <w:pPr>
              <w:pStyle w:val="ListParagraph"/>
              <w:ind w:left="0"/>
              <w:rPr>
                <w:rFonts w:ascii="Times New Roman" w:hAnsi="Times New Roman" w:cs="Times New Roman"/>
                <w:sz w:val="24"/>
                <w:szCs w:val="24"/>
              </w:rPr>
            </w:pPr>
          </w:p>
        </w:tc>
        <w:tc>
          <w:tcPr>
            <w:tcW w:w="1608" w:type="dxa"/>
          </w:tcPr>
          <w:p w14:paraId="45211CD0"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.01</w:t>
            </w:r>
          </w:p>
        </w:tc>
        <w:tc>
          <w:tcPr>
            <w:tcW w:w="1357" w:type="dxa"/>
          </w:tcPr>
          <w:p w14:paraId="225B2C9C"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.02</w:t>
            </w:r>
          </w:p>
        </w:tc>
        <w:tc>
          <w:tcPr>
            <w:tcW w:w="1357" w:type="dxa"/>
          </w:tcPr>
          <w:p w14:paraId="1ECB165E"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.03</w:t>
            </w:r>
          </w:p>
        </w:tc>
        <w:tc>
          <w:tcPr>
            <w:tcW w:w="1357" w:type="dxa"/>
          </w:tcPr>
          <w:p w14:paraId="7025E8BD"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.04</w:t>
            </w:r>
          </w:p>
        </w:tc>
        <w:tc>
          <w:tcPr>
            <w:tcW w:w="1357" w:type="dxa"/>
          </w:tcPr>
          <w:p w14:paraId="795E9DA2"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.05</w:t>
            </w:r>
          </w:p>
        </w:tc>
      </w:tr>
      <w:tr w:rsidR="008357B3" w:rsidRPr="00195C28" w14:paraId="2F8B9817" w14:textId="77777777" w:rsidTr="006A1005">
        <w:trPr>
          <w:trHeight w:hRule="exact" w:val="419"/>
          <w:jc w:val="center"/>
        </w:trPr>
        <w:tc>
          <w:tcPr>
            <w:tcW w:w="1453" w:type="dxa"/>
          </w:tcPr>
          <w:p w14:paraId="45819B6C"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.005</w:t>
            </w:r>
          </w:p>
        </w:tc>
        <w:tc>
          <w:tcPr>
            <w:tcW w:w="1608" w:type="dxa"/>
          </w:tcPr>
          <w:p w14:paraId="1834614B"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152</w:t>
            </w:r>
            <w:r w:rsidR="002A2D2F">
              <w:rPr>
                <w:rFonts w:ascii="Times New Roman" w:hAnsi="Times New Roman" w:cs="Times New Roman"/>
                <w:sz w:val="24"/>
                <w:szCs w:val="24"/>
              </w:rPr>
              <w:t>2</w:t>
            </w:r>
          </w:p>
        </w:tc>
        <w:tc>
          <w:tcPr>
            <w:tcW w:w="1357" w:type="dxa"/>
          </w:tcPr>
          <w:p w14:paraId="2C8532AB"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3012</w:t>
            </w:r>
          </w:p>
        </w:tc>
        <w:tc>
          <w:tcPr>
            <w:tcW w:w="1357" w:type="dxa"/>
          </w:tcPr>
          <w:p w14:paraId="0CF59B59"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4472</w:t>
            </w:r>
          </w:p>
        </w:tc>
        <w:tc>
          <w:tcPr>
            <w:tcW w:w="1357" w:type="dxa"/>
          </w:tcPr>
          <w:p w14:paraId="455554E9"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5901</w:t>
            </w:r>
          </w:p>
        </w:tc>
        <w:tc>
          <w:tcPr>
            <w:tcW w:w="1357" w:type="dxa"/>
          </w:tcPr>
          <w:p w14:paraId="75A75598"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7299</w:t>
            </w:r>
          </w:p>
        </w:tc>
      </w:tr>
      <w:tr w:rsidR="008357B3" w:rsidRPr="00195C28" w14:paraId="6B19D12E" w14:textId="77777777" w:rsidTr="006A1005">
        <w:trPr>
          <w:trHeight w:hRule="exact" w:val="419"/>
          <w:jc w:val="center"/>
        </w:trPr>
        <w:tc>
          <w:tcPr>
            <w:tcW w:w="1453" w:type="dxa"/>
          </w:tcPr>
          <w:p w14:paraId="1956652D"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.01</w:t>
            </w:r>
          </w:p>
        </w:tc>
        <w:tc>
          <w:tcPr>
            <w:tcW w:w="1608" w:type="dxa"/>
          </w:tcPr>
          <w:p w14:paraId="22743961"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5FCA0365"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753</w:t>
            </w:r>
          </w:p>
        </w:tc>
        <w:tc>
          <w:tcPr>
            <w:tcW w:w="1357" w:type="dxa"/>
          </w:tcPr>
          <w:p w14:paraId="63F12CA1"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1,118</w:t>
            </w:r>
          </w:p>
        </w:tc>
        <w:tc>
          <w:tcPr>
            <w:tcW w:w="1357" w:type="dxa"/>
          </w:tcPr>
          <w:p w14:paraId="364A0EC1"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r w:rsidR="00FE4CE2">
              <w:rPr>
                <w:rFonts w:ascii="Times New Roman" w:hAnsi="Times New Roman" w:cs="Times New Roman"/>
                <w:sz w:val="24"/>
                <w:szCs w:val="24"/>
              </w:rPr>
              <w:t>,</w:t>
            </w:r>
            <w:r>
              <w:rPr>
                <w:rFonts w:ascii="Times New Roman" w:hAnsi="Times New Roman" w:cs="Times New Roman"/>
                <w:sz w:val="24"/>
                <w:szCs w:val="24"/>
              </w:rPr>
              <w:t>476</w:t>
            </w:r>
          </w:p>
        </w:tc>
        <w:tc>
          <w:tcPr>
            <w:tcW w:w="1357" w:type="dxa"/>
          </w:tcPr>
          <w:p w14:paraId="5224DC07"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1,825</w:t>
            </w:r>
          </w:p>
        </w:tc>
      </w:tr>
      <w:tr w:rsidR="008357B3" w:rsidRPr="00195C28" w14:paraId="646504E4" w14:textId="77777777" w:rsidTr="006A1005">
        <w:trPr>
          <w:trHeight w:hRule="exact" w:val="419"/>
          <w:jc w:val="center"/>
        </w:trPr>
        <w:tc>
          <w:tcPr>
            <w:tcW w:w="1453" w:type="dxa"/>
          </w:tcPr>
          <w:p w14:paraId="587ACD57"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.015</w:t>
            </w:r>
          </w:p>
        </w:tc>
        <w:tc>
          <w:tcPr>
            <w:tcW w:w="1608" w:type="dxa"/>
          </w:tcPr>
          <w:p w14:paraId="7A2477B7"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6411A402"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13CDDCBC"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497</w:t>
            </w:r>
          </w:p>
        </w:tc>
        <w:tc>
          <w:tcPr>
            <w:tcW w:w="1357" w:type="dxa"/>
          </w:tcPr>
          <w:p w14:paraId="5B99E360"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656</w:t>
            </w:r>
          </w:p>
        </w:tc>
        <w:tc>
          <w:tcPr>
            <w:tcW w:w="1357" w:type="dxa"/>
          </w:tcPr>
          <w:p w14:paraId="39B4B3DD"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811</w:t>
            </w:r>
          </w:p>
        </w:tc>
      </w:tr>
      <w:tr w:rsidR="008357B3" w:rsidRPr="00195C28" w14:paraId="04AAFE1D" w14:textId="77777777" w:rsidTr="006A1005">
        <w:trPr>
          <w:trHeight w:hRule="exact" w:val="419"/>
          <w:jc w:val="center"/>
        </w:trPr>
        <w:tc>
          <w:tcPr>
            <w:tcW w:w="1453" w:type="dxa"/>
          </w:tcPr>
          <w:p w14:paraId="12799658"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.02</w:t>
            </w:r>
          </w:p>
        </w:tc>
        <w:tc>
          <w:tcPr>
            <w:tcW w:w="1608" w:type="dxa"/>
          </w:tcPr>
          <w:p w14:paraId="5D895694"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78CB56D6"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2BCF3F3D" w14:textId="77777777" w:rsidR="008357B3" w:rsidRDefault="008357B3" w:rsidP="006A1005">
            <w:pPr>
              <w:pStyle w:val="ListParagraph"/>
              <w:ind w:left="0"/>
              <w:jc w:val="center"/>
              <w:rPr>
                <w:rFonts w:ascii="Times New Roman" w:hAnsi="Times New Roman" w:cs="Times New Roman"/>
                <w:sz w:val="24"/>
                <w:szCs w:val="24"/>
              </w:rPr>
            </w:pPr>
          </w:p>
        </w:tc>
        <w:tc>
          <w:tcPr>
            <w:tcW w:w="1357" w:type="dxa"/>
          </w:tcPr>
          <w:p w14:paraId="48B9C56D"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369</w:t>
            </w:r>
          </w:p>
        </w:tc>
        <w:tc>
          <w:tcPr>
            <w:tcW w:w="1357" w:type="dxa"/>
          </w:tcPr>
          <w:p w14:paraId="19D7BE44"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457</w:t>
            </w:r>
          </w:p>
        </w:tc>
      </w:tr>
      <w:tr w:rsidR="008357B3" w:rsidRPr="00195C28" w14:paraId="6D8342B9" w14:textId="77777777" w:rsidTr="006A1005">
        <w:trPr>
          <w:trHeight w:hRule="exact" w:val="419"/>
          <w:jc w:val="center"/>
        </w:trPr>
        <w:tc>
          <w:tcPr>
            <w:tcW w:w="1453" w:type="dxa"/>
          </w:tcPr>
          <w:p w14:paraId="2EE355FC" w14:textId="77777777" w:rsidR="008357B3" w:rsidRPr="00B82E48" w:rsidRDefault="008357B3" w:rsidP="006A1005">
            <w:pPr>
              <w:pStyle w:val="ListParagraph"/>
              <w:ind w:left="0"/>
              <w:jc w:val="center"/>
              <w:rPr>
                <w:rFonts w:ascii="Times New Roman" w:hAnsi="Times New Roman" w:cs="Times New Roman"/>
                <w:b/>
                <w:sz w:val="24"/>
                <w:szCs w:val="24"/>
              </w:rPr>
            </w:pPr>
            <w:r w:rsidRPr="00B82E48">
              <w:rPr>
                <w:rFonts w:ascii="Times New Roman" w:hAnsi="Times New Roman" w:cs="Times New Roman"/>
                <w:b/>
                <w:sz w:val="24"/>
                <w:szCs w:val="24"/>
              </w:rPr>
              <w:t>.025</w:t>
            </w:r>
          </w:p>
        </w:tc>
        <w:tc>
          <w:tcPr>
            <w:tcW w:w="1608" w:type="dxa"/>
          </w:tcPr>
          <w:p w14:paraId="626667E8"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0DAD1470"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43F5C868" w14:textId="77777777" w:rsidR="008357B3" w:rsidRDefault="008357B3" w:rsidP="006A1005">
            <w:pPr>
              <w:pStyle w:val="ListParagraph"/>
              <w:ind w:left="0"/>
              <w:jc w:val="center"/>
              <w:rPr>
                <w:rFonts w:ascii="Times New Roman" w:hAnsi="Times New Roman" w:cs="Times New Roman"/>
                <w:sz w:val="24"/>
                <w:szCs w:val="24"/>
              </w:rPr>
            </w:pPr>
          </w:p>
        </w:tc>
        <w:tc>
          <w:tcPr>
            <w:tcW w:w="1357" w:type="dxa"/>
          </w:tcPr>
          <w:p w14:paraId="47160EB4" w14:textId="77777777" w:rsidR="008357B3" w:rsidRPr="009E23E8" w:rsidRDefault="008357B3" w:rsidP="006A1005">
            <w:pPr>
              <w:pStyle w:val="ListParagraph"/>
              <w:ind w:left="0"/>
              <w:jc w:val="center"/>
              <w:rPr>
                <w:rFonts w:ascii="Times New Roman" w:hAnsi="Times New Roman" w:cs="Times New Roman"/>
                <w:sz w:val="24"/>
                <w:szCs w:val="24"/>
              </w:rPr>
            </w:pPr>
          </w:p>
        </w:tc>
        <w:tc>
          <w:tcPr>
            <w:tcW w:w="1357" w:type="dxa"/>
          </w:tcPr>
          <w:p w14:paraId="343EEFD3" w14:textId="77777777" w:rsidR="008357B3" w:rsidRPr="009E23E8" w:rsidRDefault="008357B3" w:rsidP="006A100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292</w:t>
            </w:r>
          </w:p>
        </w:tc>
      </w:tr>
    </w:tbl>
    <w:p w14:paraId="5FA3A193" w14:textId="77777777" w:rsidR="008B1B27" w:rsidRPr="00FD06AE" w:rsidRDefault="008B1B27" w:rsidP="006B36A2">
      <w:pPr>
        <w:pStyle w:val="BodyText"/>
        <w:keepNext/>
        <w:spacing w:before="0" w:after="0"/>
        <w:rPr>
          <w:b/>
        </w:rPr>
      </w:pPr>
    </w:p>
    <w:p w14:paraId="237A73AC" w14:textId="77777777" w:rsidR="00FF3F0B" w:rsidRDefault="00FF3F0B" w:rsidP="006B36A2">
      <w:pPr>
        <w:pStyle w:val="BodyText"/>
        <w:keepNext/>
        <w:spacing w:before="0" w:after="0"/>
        <w:rPr>
          <w:b/>
        </w:rPr>
      </w:pPr>
    </w:p>
    <w:p w14:paraId="2BB45D36" w14:textId="77777777" w:rsidR="00FF3F0B" w:rsidRPr="002A2D2F" w:rsidRDefault="00FF3F0B" w:rsidP="002A2D2F">
      <w:pPr>
        <w:contextualSpacing/>
      </w:pPr>
      <w:r>
        <w:rPr>
          <w:b/>
        </w:rPr>
        <w:tab/>
      </w:r>
      <w:r w:rsidRPr="002A2D2F">
        <w:t>Based on the above calculations,</w:t>
      </w:r>
      <w:r w:rsidR="006556CE">
        <w:t xml:space="preserve"> and drug prevalence rates observed in prior studies,</w:t>
      </w:r>
      <w:r w:rsidRPr="002A2D2F">
        <w:t xml:space="preserve"> </w:t>
      </w:r>
      <w:r w:rsidR="006556CE">
        <w:t>the current effort</w:t>
      </w:r>
      <w:r w:rsidRPr="002A2D2F">
        <w:t xml:space="preserve"> is proposing to gather data from a total of 7,500 people injured </w:t>
      </w:r>
      <w:r w:rsidR="00DF7ECB">
        <w:t xml:space="preserve">or killed </w:t>
      </w:r>
      <w:r w:rsidRPr="002A2D2F">
        <w:t xml:space="preserve">in motor vehicle crashes. </w:t>
      </w:r>
      <w:r w:rsidR="002A2D2F" w:rsidRPr="002A2D2F">
        <w:t xml:space="preserve">Over half of these patients are expected to be drivers (N = 3,750). This </w:t>
      </w:r>
      <w:r w:rsidR="006556CE">
        <w:t xml:space="preserve">sample size </w:t>
      </w:r>
      <w:r w:rsidR="002A2D2F" w:rsidRPr="002A2D2F">
        <w:t xml:space="preserve">will allow for </w:t>
      </w:r>
      <w:r w:rsidR="006F5E06">
        <w:t>precise</w:t>
      </w:r>
      <w:r w:rsidR="002A2D2F" w:rsidRPr="002A2D2F">
        <w:t xml:space="preserve"> </w:t>
      </w:r>
      <w:r w:rsidR="006F5E06">
        <w:t xml:space="preserve">drug </w:t>
      </w:r>
      <w:r w:rsidR="002A2D2F" w:rsidRPr="002A2D2F">
        <w:t>prevalence</w:t>
      </w:r>
      <w:r w:rsidR="006F5E06">
        <w:t xml:space="preserve"> calculations (i.e., </w:t>
      </w:r>
      <w:r w:rsidR="00681ADF">
        <w:t>narrow</w:t>
      </w:r>
      <w:r w:rsidR="006F5E06">
        <w:t xml:space="preserve"> 95% confidence intervals)</w:t>
      </w:r>
      <w:r w:rsidR="002A2D2F" w:rsidRPr="002A2D2F">
        <w:t xml:space="preserve"> among driver</w:t>
      </w:r>
      <w:r w:rsidR="002A2D2F">
        <w:t>s</w:t>
      </w:r>
      <w:r w:rsidR="002A2D2F" w:rsidRPr="002A2D2F">
        <w:t xml:space="preserve"> for even the very low preva</w:t>
      </w:r>
      <w:r w:rsidR="006F5E06">
        <w:t xml:space="preserve">lence drug classes. Drug prevalence rates </w:t>
      </w:r>
      <w:r w:rsidR="002A2D2F">
        <w:t>for other types</w:t>
      </w:r>
      <w:r w:rsidR="002A2D2F" w:rsidRPr="002A2D2F">
        <w:t xml:space="preserve"> of road users (e.g., pedestrians, bicyclists</w:t>
      </w:r>
      <w:r w:rsidR="00FE4CE2">
        <w:t>, scooters</w:t>
      </w:r>
      <w:r w:rsidR="002A2D2F" w:rsidRPr="002A2D2F">
        <w:t xml:space="preserve">) with smaller sample sizes will </w:t>
      </w:r>
      <w:r w:rsidR="006F5E06">
        <w:t>have wider confidence intervals</w:t>
      </w:r>
      <w:r w:rsidR="00681ADF">
        <w:t>, but sample sizes will be sufficient for most classes of road users to provide a reasonable picture of drug prevalence among each</w:t>
      </w:r>
      <w:r w:rsidR="002A2D2F" w:rsidRPr="002A2D2F">
        <w:t>.</w:t>
      </w:r>
    </w:p>
    <w:p w14:paraId="41689E49" w14:textId="77777777" w:rsidR="00FF3F0B" w:rsidRDefault="00FF3F0B" w:rsidP="006B36A2">
      <w:pPr>
        <w:pStyle w:val="BodyText"/>
        <w:keepNext/>
        <w:spacing w:before="0" w:after="0"/>
        <w:rPr>
          <w:b/>
        </w:rPr>
      </w:pPr>
    </w:p>
    <w:p w14:paraId="658D1CCD" w14:textId="77777777" w:rsidR="001074FF" w:rsidRPr="00586E56" w:rsidRDefault="003767CA" w:rsidP="0011631C">
      <w:pPr>
        <w:pStyle w:val="BodyText"/>
        <w:keepNext/>
        <w:spacing w:before="0" w:after="0"/>
        <w:rPr>
          <w:b/>
        </w:rPr>
      </w:pPr>
      <w:r w:rsidRPr="00FD06AE">
        <w:rPr>
          <w:b/>
        </w:rPr>
        <w:t>Statistical Analysis Plan</w:t>
      </w:r>
    </w:p>
    <w:p w14:paraId="7196CCD8" w14:textId="77777777" w:rsidR="002A2D2F" w:rsidRDefault="002A2D2F" w:rsidP="00E32E14">
      <w:pPr>
        <w:keepNext/>
        <w:ind w:right="-360" w:firstLine="720"/>
      </w:pPr>
    </w:p>
    <w:p w14:paraId="413D7BA5" w14:textId="77777777" w:rsidR="00591FFD" w:rsidRDefault="00F3249D" w:rsidP="006556CE">
      <w:pPr>
        <w:ind w:right="-360" w:firstLine="720"/>
      </w:pPr>
      <w:r w:rsidRPr="00FD06AE">
        <w:t xml:space="preserve">The primary objective of this project is to </w:t>
      </w:r>
      <w:r w:rsidR="006556CE">
        <w:t>report</w:t>
      </w:r>
      <w:r w:rsidRPr="00FD06AE">
        <w:t xml:space="preserve"> </w:t>
      </w:r>
      <w:r w:rsidR="00A00AD7" w:rsidRPr="00FD06AE">
        <w:t xml:space="preserve">the </w:t>
      </w:r>
      <w:r w:rsidR="006556CE">
        <w:t xml:space="preserve">observed </w:t>
      </w:r>
      <w:r w:rsidR="00195C28">
        <w:t xml:space="preserve">prevalence of </w:t>
      </w:r>
      <w:r w:rsidR="00761872">
        <w:t xml:space="preserve">drugs in </w:t>
      </w:r>
      <w:r w:rsidR="00DF7ECB">
        <w:t xml:space="preserve">seriously- and fatally-injured </w:t>
      </w:r>
      <w:r w:rsidR="002A2D2F">
        <w:t xml:space="preserve">drivers and other </w:t>
      </w:r>
      <w:r w:rsidR="00D276CA">
        <w:t>motor vehicle crash</w:t>
      </w:r>
      <w:r w:rsidR="00BF0FEA">
        <w:t xml:space="preserve">-involved persons </w:t>
      </w:r>
      <w:r w:rsidR="009E2F53">
        <w:t xml:space="preserve">directly transported </w:t>
      </w:r>
      <w:r w:rsidR="00761872">
        <w:t xml:space="preserve">to </w:t>
      </w:r>
      <w:r w:rsidR="00FE4CE2">
        <w:t xml:space="preserve">the selected </w:t>
      </w:r>
      <w:r w:rsidR="00761872">
        <w:t xml:space="preserve">trauma centers and </w:t>
      </w:r>
      <w:r w:rsidR="00D276CA">
        <w:t>medical examiners.</w:t>
      </w:r>
      <w:r w:rsidR="00195C28">
        <w:t xml:space="preserve"> </w:t>
      </w:r>
      <w:r w:rsidR="00505FDD">
        <w:t>As such, observed drug prevalence rates and 95% confidence intervals will be calculated for each road user type</w:t>
      </w:r>
      <w:r w:rsidR="00BF0FEA">
        <w:t xml:space="preserve"> (e.g., drivers, pedestrians</w:t>
      </w:r>
      <w:r w:rsidR="00FE4CE2">
        <w:t>, scooter riders, pedestrians</w:t>
      </w:r>
      <w:r w:rsidR="00BF0FEA">
        <w:t>)</w:t>
      </w:r>
      <w:r w:rsidR="000244FC">
        <w:t xml:space="preserve">. Further breakdowns by subgroups within classification variables </w:t>
      </w:r>
      <w:r w:rsidR="001227F0">
        <w:t xml:space="preserve">(e.g., by age group, sex) </w:t>
      </w:r>
      <w:r w:rsidR="000244FC">
        <w:t xml:space="preserve">will be reported to the extent sufficient sample sizes are </w:t>
      </w:r>
      <w:r w:rsidR="001227F0">
        <w:t>available</w:t>
      </w:r>
      <w:r w:rsidR="006556CE">
        <w:t xml:space="preserve">. </w:t>
      </w:r>
      <w:r w:rsidR="00971D28">
        <w:t xml:space="preserve">The proposed sample size </w:t>
      </w:r>
      <w:r w:rsidR="001227F0">
        <w:t xml:space="preserve">should be </w:t>
      </w:r>
      <w:r w:rsidR="00971D28">
        <w:t xml:space="preserve">more than sufficient for these prevalence </w:t>
      </w:r>
      <w:r w:rsidR="00DF7ECB">
        <w:t>calculation</w:t>
      </w:r>
      <w:r w:rsidR="00971D28">
        <w:t xml:space="preserve"> purposes</w:t>
      </w:r>
      <w:r w:rsidR="001227F0">
        <w:t xml:space="preserve"> for many</w:t>
      </w:r>
      <w:r w:rsidR="00DF7ECB">
        <w:t>, if not all,</w:t>
      </w:r>
      <w:r w:rsidR="001227F0">
        <w:t xml:space="preserve"> of the drugs being examined</w:t>
      </w:r>
      <w:r w:rsidR="00971D28">
        <w:t>.</w:t>
      </w:r>
      <w:r w:rsidR="0017183B">
        <w:t xml:space="preserve"> </w:t>
      </w:r>
      <w:r w:rsidR="00971D28">
        <w:t>Other descriptive statistics such as average blood concentrations will be reported to the extent enough reliable data exists for each individual drug or class of drugs.</w:t>
      </w:r>
      <w:r w:rsidR="00BB58D2">
        <w:t xml:space="preserve">  Prevalence rates will be calculated for the three catchment areas for the three participating trauma centers and corresponding morgues only.  No inferences will be made to populations beyond the three trauma center areas.</w:t>
      </w:r>
    </w:p>
    <w:p w14:paraId="6EBD4879" w14:textId="77777777" w:rsidR="006556CE" w:rsidRDefault="006556CE" w:rsidP="006556CE">
      <w:pPr>
        <w:ind w:right="-360" w:firstLine="720"/>
        <w:rPr>
          <w:rFonts w:eastAsia="Calibri"/>
        </w:rPr>
      </w:pPr>
    </w:p>
    <w:p w14:paraId="6E923A7F" w14:textId="77777777" w:rsidR="00215CE5" w:rsidRPr="00FD06AE" w:rsidRDefault="00215CE5" w:rsidP="006556CE">
      <w:pPr>
        <w:ind w:right="-360" w:firstLine="720"/>
        <w:rPr>
          <w:rFonts w:eastAsia="Calibri"/>
        </w:rPr>
      </w:pPr>
    </w:p>
    <w:p w14:paraId="7ADB13BE" w14:textId="77777777" w:rsidR="001074FF" w:rsidRPr="00FD06AE" w:rsidRDefault="001074FF" w:rsidP="00591FFD">
      <w:pPr>
        <w:pStyle w:val="Heading3"/>
        <w:spacing w:before="0"/>
      </w:pPr>
      <w:bookmarkStart w:id="4" w:name="_Toc125278833"/>
      <w:bookmarkStart w:id="5" w:name="_Toc125341756"/>
      <w:bookmarkStart w:id="6" w:name="_Toc125447314"/>
      <w:bookmarkStart w:id="7" w:name="_Toc126394141"/>
      <w:r w:rsidRPr="00FD06AE">
        <w:t>B.2.</w:t>
      </w:r>
      <w:r w:rsidRPr="00FD06AE">
        <w:tab/>
        <w:t>Describe the procedures for the collection of information.</w:t>
      </w:r>
      <w:bookmarkEnd w:id="4"/>
      <w:bookmarkEnd w:id="5"/>
      <w:bookmarkEnd w:id="6"/>
      <w:bookmarkEnd w:id="7"/>
    </w:p>
    <w:p w14:paraId="419158BC" w14:textId="77777777" w:rsidR="004767CA" w:rsidRDefault="004767CA" w:rsidP="004767CA">
      <w:pPr>
        <w:ind w:right="-360" w:firstLine="720"/>
      </w:pPr>
      <w:r>
        <w:t xml:space="preserve">The participating trauma centers and medical examiners have agreed to provide de-identified blood samples and other de-identified patient classification information that was already collected during </w:t>
      </w:r>
      <w:r w:rsidR="00DE1962">
        <w:t xml:space="preserve">the application of </w:t>
      </w:r>
      <w:r>
        <w:t>their normal clinical procedures. As such, this study will not have any contact with patients and will only utilize information made available by the trauma centers and medical examiners after treatment is complete. This study is operating under a waiver of consent and authorization as approved by the study IRBs. Under these waivers, the participating trauma centers and medical examiners can provide the de-identified samples without obtaining patient consent</w:t>
      </w:r>
      <w:r w:rsidR="00D054C0">
        <w:t xml:space="preserve"> an</w:t>
      </w:r>
      <w:r w:rsidR="00227CB5">
        <w:t>d</w:t>
      </w:r>
      <w:r w:rsidR="00D054C0">
        <w:t xml:space="preserve"> authorization</w:t>
      </w:r>
      <w:r>
        <w:t xml:space="preserve"> so long as the information is adequately de-identified</w:t>
      </w:r>
      <w:r w:rsidR="00DE1962">
        <w:t xml:space="preserve"> as planned</w:t>
      </w:r>
      <w:r>
        <w:t xml:space="preserve">. </w:t>
      </w:r>
    </w:p>
    <w:p w14:paraId="0005EFC1" w14:textId="77777777" w:rsidR="004767CA" w:rsidRPr="00FD06AE" w:rsidRDefault="004767CA" w:rsidP="004767CA">
      <w:pPr>
        <w:ind w:right="-360" w:firstLine="720"/>
      </w:pPr>
    </w:p>
    <w:p w14:paraId="7ECB6F37" w14:textId="7C3C4D3A" w:rsidR="00EF5603" w:rsidRPr="00FD06AE" w:rsidRDefault="00EF5603" w:rsidP="00EF5603">
      <w:pPr>
        <w:ind w:right="-360" w:firstLine="720"/>
      </w:pPr>
      <w:r w:rsidRPr="00FD06AE">
        <w:t>The</w:t>
      </w:r>
      <w:r w:rsidR="00756D9A" w:rsidRPr="00FD06AE">
        <w:t xml:space="preserve"> </w:t>
      </w:r>
      <w:r w:rsidRPr="00FD06AE">
        <w:t xml:space="preserve">general </w:t>
      </w:r>
      <w:r w:rsidR="004767CA">
        <w:t xml:space="preserve">study </w:t>
      </w:r>
      <w:r w:rsidRPr="00FD06AE">
        <w:t xml:space="preserve">flow for crash-involved drivers </w:t>
      </w:r>
      <w:r w:rsidR="004767CA">
        <w:t xml:space="preserve">and other roadway users </w:t>
      </w:r>
      <w:r w:rsidR="009D2B16">
        <w:t xml:space="preserve">at the participating trauma centers and medical examiners </w:t>
      </w:r>
      <w:r w:rsidRPr="00FD06AE">
        <w:t>is as follows:</w:t>
      </w:r>
    </w:p>
    <w:p w14:paraId="5D768259" w14:textId="77777777" w:rsidR="00E12475" w:rsidRPr="00FD06AE" w:rsidRDefault="00E12475" w:rsidP="00EF5603">
      <w:pPr>
        <w:ind w:right="-360" w:firstLine="720"/>
      </w:pPr>
    </w:p>
    <w:p w14:paraId="26737137" w14:textId="77777777" w:rsidR="00591FFD" w:rsidRPr="00FD06AE" w:rsidRDefault="00591FFD" w:rsidP="00240C71">
      <w:pPr>
        <w:pStyle w:val="BodyText"/>
        <w:numPr>
          <w:ilvl w:val="1"/>
          <w:numId w:val="27"/>
        </w:numPr>
        <w:kinsoku w:val="0"/>
        <w:overflowPunct w:val="0"/>
        <w:spacing w:before="0" w:after="0"/>
        <w:ind w:right="115"/>
      </w:pPr>
      <w:r w:rsidRPr="00FD06AE">
        <w:t>Crash occurs / EMS on scene</w:t>
      </w:r>
    </w:p>
    <w:p w14:paraId="35CB1F80" w14:textId="77777777" w:rsidR="00591FFD" w:rsidRPr="00FD06AE" w:rsidRDefault="00591FFD" w:rsidP="00240C71">
      <w:pPr>
        <w:pStyle w:val="BodyText"/>
        <w:numPr>
          <w:ilvl w:val="1"/>
          <w:numId w:val="27"/>
        </w:numPr>
        <w:kinsoku w:val="0"/>
        <w:overflowPunct w:val="0"/>
        <w:spacing w:before="0" w:after="0"/>
        <w:ind w:right="115"/>
      </w:pPr>
      <w:r w:rsidRPr="00FD06AE">
        <w:t xml:space="preserve">Triage by EMS or at </w:t>
      </w:r>
      <w:r w:rsidR="00D3592A">
        <w:t>Emergency Department</w:t>
      </w:r>
    </w:p>
    <w:p w14:paraId="4C844725" w14:textId="77777777" w:rsidR="004E2F53" w:rsidRDefault="00584BE8" w:rsidP="00240C71">
      <w:pPr>
        <w:pStyle w:val="BodyText"/>
        <w:numPr>
          <w:ilvl w:val="1"/>
          <w:numId w:val="27"/>
        </w:numPr>
        <w:kinsoku w:val="0"/>
        <w:overflowPunct w:val="0"/>
        <w:spacing w:before="0" w:after="0"/>
        <w:ind w:right="115"/>
      </w:pPr>
      <w:r w:rsidRPr="00FD06AE">
        <w:t>Seriously</w:t>
      </w:r>
      <w:r w:rsidR="00FE4CE2">
        <w:t>-</w:t>
      </w:r>
      <w:r w:rsidR="00591FFD" w:rsidRPr="00FD06AE">
        <w:t xml:space="preserve">injured </w:t>
      </w:r>
      <w:r w:rsidRPr="00FD06AE">
        <w:t>sent to trauma center</w:t>
      </w:r>
      <w:r w:rsidR="004E3B88">
        <w:t xml:space="preserve"> and trauma team activated</w:t>
      </w:r>
      <w:r w:rsidRPr="00FD06AE">
        <w:t xml:space="preserve">; fatally </w:t>
      </w:r>
      <w:r w:rsidR="00591FFD" w:rsidRPr="00FD06AE">
        <w:t xml:space="preserve">injured sent to </w:t>
      </w:r>
      <w:r w:rsidR="004767CA">
        <w:t>morgue</w:t>
      </w:r>
    </w:p>
    <w:p w14:paraId="09AA2186" w14:textId="5A9C5FA1" w:rsidR="005C1362" w:rsidRDefault="004767CA" w:rsidP="00240C71">
      <w:pPr>
        <w:pStyle w:val="BodyText"/>
        <w:numPr>
          <w:ilvl w:val="1"/>
          <w:numId w:val="27"/>
        </w:numPr>
        <w:kinsoku w:val="0"/>
        <w:overflowPunct w:val="0"/>
        <w:spacing w:before="0" w:after="0"/>
        <w:ind w:right="115"/>
      </w:pPr>
      <w:r>
        <w:t>Trauma center</w:t>
      </w:r>
      <w:r w:rsidR="00A67DA7">
        <w:t xml:space="preserve"> </w:t>
      </w:r>
      <w:r w:rsidR="00D054C0">
        <w:t xml:space="preserve">or medical examiner </w:t>
      </w:r>
      <w:r w:rsidR="00267D66">
        <w:t xml:space="preserve">staff </w:t>
      </w:r>
      <w:r w:rsidR="00E75843">
        <w:t xml:space="preserve">member </w:t>
      </w:r>
      <w:r w:rsidR="00A67DA7">
        <w:t xml:space="preserve">treats patient per </w:t>
      </w:r>
      <w:r w:rsidR="00E75843">
        <w:t>standard</w:t>
      </w:r>
      <w:r w:rsidR="00A67DA7">
        <w:t xml:space="preserve"> procedures, and</w:t>
      </w:r>
      <w:r>
        <w:t xml:space="preserve"> collects blood samples and </w:t>
      </w:r>
      <w:r w:rsidR="0077404A">
        <w:t>patient information for clinical purposes</w:t>
      </w:r>
      <w:r w:rsidR="00267D66">
        <w:t xml:space="preserve"> (extra blood samples are routinely collected and stored)</w:t>
      </w:r>
    </w:p>
    <w:p w14:paraId="217F959C" w14:textId="77FBE078" w:rsidR="00267D66" w:rsidRDefault="00267D66" w:rsidP="00240C71">
      <w:pPr>
        <w:pStyle w:val="BodyText"/>
        <w:numPr>
          <w:ilvl w:val="1"/>
          <w:numId w:val="27"/>
        </w:numPr>
        <w:kinsoku w:val="0"/>
        <w:overflowPunct w:val="0"/>
        <w:spacing w:before="0" w:after="0"/>
        <w:ind w:right="115"/>
      </w:pPr>
      <w:r>
        <w:t xml:space="preserve">After the trauma center or medical examiner has concluded treatment or autopsy activities, </w:t>
      </w:r>
      <w:r w:rsidR="00E75843">
        <w:t xml:space="preserve">the blood collected during normal clinical procedures </w:t>
      </w:r>
      <w:r>
        <w:t>and associated information are given randomly</w:t>
      </w:r>
      <w:r w:rsidR="00671551">
        <w:t>-</w:t>
      </w:r>
      <w:r>
        <w:t>generated case numbers, and stored for research purposes by the trauma centers</w:t>
      </w:r>
      <w:r w:rsidR="00086888">
        <w:t xml:space="preserve"> or medical examiners</w:t>
      </w:r>
    </w:p>
    <w:p w14:paraId="2DD78C86" w14:textId="4136AFC5" w:rsidR="009D2B16" w:rsidRDefault="009D2B16" w:rsidP="00671551">
      <w:pPr>
        <w:pStyle w:val="BodyText"/>
        <w:kinsoku w:val="0"/>
        <w:overflowPunct w:val="0"/>
        <w:spacing w:before="0" w:after="0"/>
        <w:ind w:left="360" w:right="115"/>
      </w:pPr>
    </w:p>
    <w:p w14:paraId="6A01F028" w14:textId="2E71DA81" w:rsidR="009D2B16" w:rsidRPr="006C52B4" w:rsidRDefault="009D2B16" w:rsidP="00671551">
      <w:pPr>
        <w:pStyle w:val="BodyText"/>
        <w:kinsoku w:val="0"/>
        <w:overflowPunct w:val="0"/>
        <w:spacing w:before="0" w:after="0"/>
        <w:ind w:left="360" w:right="115"/>
      </w:pPr>
      <w:r w:rsidRPr="006C52B4">
        <w:t>After the above flow of events is completed, our study research associates then</w:t>
      </w:r>
    </w:p>
    <w:p w14:paraId="5ED4C54E" w14:textId="78F38254" w:rsidR="0077404A" w:rsidRPr="006C52B4" w:rsidRDefault="009D2B16" w:rsidP="00240C71">
      <w:pPr>
        <w:pStyle w:val="BodyText"/>
        <w:numPr>
          <w:ilvl w:val="1"/>
          <w:numId w:val="27"/>
        </w:numPr>
        <w:kinsoku w:val="0"/>
        <w:overflowPunct w:val="0"/>
        <w:spacing w:before="0" w:after="0"/>
        <w:ind w:right="115"/>
      </w:pPr>
      <w:r w:rsidRPr="006C52B4">
        <w:t xml:space="preserve">Identify </w:t>
      </w:r>
      <w:r w:rsidR="0077404A" w:rsidRPr="006C52B4">
        <w:t>MVC victims as eligible for the study</w:t>
      </w:r>
      <w:r w:rsidR="005B316E" w:rsidRPr="006C52B4">
        <w:t xml:space="preserve"> th</w:t>
      </w:r>
      <w:r w:rsidR="00BC4018" w:rsidRPr="006C52B4">
        <w:t>r</w:t>
      </w:r>
      <w:r w:rsidR="005B316E" w:rsidRPr="006C52B4">
        <w:t>ough the de</w:t>
      </w:r>
      <w:r w:rsidR="006C01D4" w:rsidRPr="006C52B4">
        <w:t>-</w:t>
      </w:r>
      <w:r w:rsidR="005B316E" w:rsidRPr="006C52B4">
        <w:t>identified records</w:t>
      </w:r>
    </w:p>
    <w:p w14:paraId="23A220F2" w14:textId="7A25688F" w:rsidR="0077404A" w:rsidRPr="006C52B4" w:rsidRDefault="009D2B16" w:rsidP="00240C71">
      <w:pPr>
        <w:pStyle w:val="BodyText"/>
        <w:numPr>
          <w:ilvl w:val="1"/>
          <w:numId w:val="27"/>
        </w:numPr>
        <w:kinsoku w:val="0"/>
        <w:overflowPunct w:val="0"/>
        <w:spacing w:before="0" w:after="0"/>
        <w:ind w:right="115"/>
      </w:pPr>
      <w:r w:rsidRPr="006C52B4">
        <w:t>Collect the</w:t>
      </w:r>
      <w:r w:rsidR="004E3B88" w:rsidRPr="006C52B4">
        <w:t xml:space="preserve"> </w:t>
      </w:r>
      <w:r w:rsidR="0077404A" w:rsidRPr="006C52B4">
        <w:t>de-identified blood sample, when available, and other de-identified classification information</w:t>
      </w:r>
      <w:r w:rsidR="004E3B88" w:rsidRPr="006C52B4">
        <w:t xml:space="preserve"> for MVC victims</w:t>
      </w:r>
    </w:p>
    <w:p w14:paraId="1DD6B510" w14:textId="0829284B" w:rsidR="0077404A" w:rsidRPr="006C52B4" w:rsidRDefault="009D2B16" w:rsidP="00240C71">
      <w:pPr>
        <w:pStyle w:val="BodyText"/>
        <w:numPr>
          <w:ilvl w:val="1"/>
          <w:numId w:val="27"/>
        </w:numPr>
        <w:kinsoku w:val="0"/>
        <w:overflowPunct w:val="0"/>
        <w:spacing w:before="0" w:after="0"/>
        <w:ind w:right="115"/>
      </w:pPr>
      <w:r w:rsidRPr="006C52B4">
        <w:t>Send the b</w:t>
      </w:r>
      <w:r w:rsidR="0077404A" w:rsidRPr="006C52B4">
        <w:t>lood sample to independent laboratory for toxicology testing</w:t>
      </w:r>
    </w:p>
    <w:p w14:paraId="50ECF5C9" w14:textId="77777777" w:rsidR="00E12475" w:rsidRPr="00FD06AE" w:rsidRDefault="00E12475" w:rsidP="00EF5603">
      <w:pPr>
        <w:ind w:right="-360" w:firstLine="720"/>
      </w:pPr>
    </w:p>
    <w:p w14:paraId="2D9E0B18" w14:textId="77777777" w:rsidR="00EF5603" w:rsidRPr="00FD06AE" w:rsidRDefault="00EF5603" w:rsidP="00EF5603">
      <w:pPr>
        <w:ind w:right="-360" w:firstLine="720"/>
      </w:pPr>
      <w:r w:rsidRPr="00FD06AE">
        <w:t xml:space="preserve">In all cases, </w:t>
      </w:r>
      <w:r w:rsidR="00FE4CE2">
        <w:t xml:space="preserve">following their normal treatment procedure, </w:t>
      </w:r>
      <w:r w:rsidR="003743EE">
        <w:t>the trauma centers</w:t>
      </w:r>
      <w:r w:rsidR="00D3592A">
        <w:t xml:space="preserve"> and medical examiners</w:t>
      </w:r>
      <w:r w:rsidR="003743EE">
        <w:t xml:space="preserve"> will obtain blood samples for clinical purposes as </w:t>
      </w:r>
      <w:r w:rsidR="00D3592A">
        <w:t>a patient presents to the center or morgue. The blood samples, when available after all clinical treatment is complete, can be provided to the study</w:t>
      </w:r>
      <w:r w:rsidR="00E129B8" w:rsidRPr="00FD06AE">
        <w:t xml:space="preserve"> </w:t>
      </w:r>
      <w:r w:rsidR="008E30FF" w:rsidRPr="00FD06AE">
        <w:t xml:space="preserve">under </w:t>
      </w:r>
      <w:r w:rsidR="00D3592A">
        <w:t>the</w:t>
      </w:r>
      <w:r w:rsidR="00E129B8" w:rsidRPr="00FD06AE">
        <w:t xml:space="preserve"> waiver of consent</w:t>
      </w:r>
      <w:r w:rsidR="005D0237" w:rsidRPr="00FD06AE">
        <w:t xml:space="preserve"> approved by the reviewing IRB</w:t>
      </w:r>
      <w:r w:rsidRPr="00FD06AE">
        <w:t>.</w:t>
      </w:r>
      <w:r w:rsidR="008E30FF" w:rsidRPr="00FD06AE">
        <w:t xml:space="preserve"> Language on the appropriateness of the waiver of informed consent is provided below from the U</w:t>
      </w:r>
      <w:r w:rsidR="000C43CB" w:rsidRPr="00FD06AE">
        <w:t>nite</w:t>
      </w:r>
      <w:r w:rsidR="00BC44C1" w:rsidRPr="00FD06AE">
        <w:t>d</w:t>
      </w:r>
      <w:r w:rsidR="000C43CB" w:rsidRPr="00FD06AE">
        <w:t xml:space="preserve"> States</w:t>
      </w:r>
      <w:r w:rsidR="008E30FF" w:rsidRPr="00FD06AE">
        <w:t xml:space="preserve"> Department of Health and Human Services</w:t>
      </w:r>
      <w:r w:rsidR="000C43CB" w:rsidRPr="00FD06AE">
        <w:t xml:space="preserve"> (HHS)</w:t>
      </w:r>
      <w:r w:rsidR="008E30FF" w:rsidRPr="00FD06AE">
        <w:t xml:space="preserve"> web site</w:t>
      </w:r>
      <w:r w:rsidR="005D0237" w:rsidRPr="00FD06AE">
        <w:t xml:space="preserve"> and as outlined under the Common Rule</w:t>
      </w:r>
      <w:r w:rsidR="00FF1BBE" w:rsidRPr="00FD06AE">
        <w:t xml:space="preserve"> which applies to the Department of Transportation with the same language under 45 CFR Part 11</w:t>
      </w:r>
      <w:r w:rsidR="008E30FF" w:rsidRPr="00FD06AE">
        <w:t>.</w:t>
      </w:r>
      <w:r w:rsidR="008E30FF" w:rsidRPr="00FD06AE">
        <w:rPr>
          <w:rStyle w:val="FootnoteReference"/>
        </w:rPr>
        <w:footnoteReference w:id="6"/>
      </w:r>
      <w:r w:rsidR="008E30FF" w:rsidRPr="00FD06AE">
        <w:t xml:space="preserve"> </w:t>
      </w:r>
      <w:r w:rsidR="002B4979" w:rsidRPr="00FD06AE">
        <w:t xml:space="preserve">The </w:t>
      </w:r>
      <w:r w:rsidR="009E321B" w:rsidRPr="00FD06AE">
        <w:t xml:space="preserve">HHS-approved </w:t>
      </w:r>
      <w:r w:rsidR="008E30FF" w:rsidRPr="00FD06AE">
        <w:t>IRB(s) granted the waiver of informed consent because the</w:t>
      </w:r>
      <w:r w:rsidR="0072487E" w:rsidRPr="00FD06AE">
        <w:t xml:space="preserve"> IRB determined the</w:t>
      </w:r>
      <w:r w:rsidR="008E30FF" w:rsidRPr="00FD06AE">
        <w:t xml:space="preserve"> study met the</w:t>
      </w:r>
      <w:r w:rsidR="0072487E" w:rsidRPr="00FD06AE">
        <w:t>se</w:t>
      </w:r>
      <w:r w:rsidR="008E30FF" w:rsidRPr="00FD06AE">
        <w:t xml:space="preserve"> requirements</w:t>
      </w:r>
      <w:r w:rsidR="009E321B" w:rsidRPr="00FD06AE">
        <w:t xml:space="preserve"> for the waiver</w:t>
      </w:r>
      <w:r w:rsidR="008E30FF" w:rsidRPr="00FD06AE">
        <w:t xml:space="preserve">. </w:t>
      </w:r>
    </w:p>
    <w:p w14:paraId="231C60DA" w14:textId="77777777" w:rsidR="00E129B8" w:rsidRPr="00FD06AE" w:rsidRDefault="00E129B8" w:rsidP="00EF5603">
      <w:pPr>
        <w:ind w:right="-360" w:firstLine="720"/>
      </w:pPr>
    </w:p>
    <w:p w14:paraId="12BC4977" w14:textId="77777777" w:rsidR="00E129B8" w:rsidRPr="00FD06AE" w:rsidRDefault="00E129B8" w:rsidP="00E32E14">
      <w:pPr>
        <w:keepNext/>
        <w:ind w:left="720" w:right="720" w:firstLine="720"/>
        <w:rPr>
          <w:i/>
          <w:color w:val="000000"/>
          <w:shd w:val="clear" w:color="auto" w:fill="FFFFFF"/>
        </w:rPr>
      </w:pPr>
      <w:r w:rsidRPr="00FD06AE">
        <w:rPr>
          <w:i/>
          <w:color w:val="000000"/>
          <w:shd w:val="clear" w:color="auto" w:fill="FFFFFF"/>
        </w:rPr>
        <w:t>Waiver or alteration of the requirements for obtaining informed consent from adult subjects can occur under any of the following three provisions:</w:t>
      </w:r>
    </w:p>
    <w:p w14:paraId="5C5B0B88" w14:textId="77777777" w:rsidR="00E129B8" w:rsidRPr="00FD06AE" w:rsidRDefault="00E129B8" w:rsidP="00E32E14">
      <w:pPr>
        <w:keepNext/>
        <w:ind w:left="720" w:right="720" w:firstLine="720"/>
        <w:rPr>
          <w:i/>
          <w:color w:val="000000"/>
          <w:shd w:val="clear" w:color="auto" w:fill="FFFFFF"/>
        </w:rPr>
      </w:pPr>
    </w:p>
    <w:p w14:paraId="2BD64E2E" w14:textId="77777777" w:rsidR="00E129B8" w:rsidRPr="00FD06AE" w:rsidRDefault="00E129B8" w:rsidP="00E32E14">
      <w:pPr>
        <w:ind w:left="720" w:right="720"/>
        <w:rPr>
          <w:i/>
          <w:color w:val="000000"/>
          <w:shd w:val="clear" w:color="auto" w:fill="FFFFFF"/>
        </w:rPr>
      </w:pPr>
      <w:r w:rsidRPr="00FD06AE">
        <w:rPr>
          <w:i/>
          <w:color w:val="000000"/>
          <w:shd w:val="clear" w:color="auto" w:fill="FFFFFF"/>
        </w:rPr>
        <w:t>2. Research in general: an IRB may waive or alter the requirement of informed consent under </w:t>
      </w:r>
      <w:hyperlink r:id="rId9" w:anchor="46.116(d)" w:history="1">
        <w:r w:rsidRPr="00FD06AE">
          <w:rPr>
            <w:rStyle w:val="Hyperlink"/>
            <w:i/>
            <w:color w:val="6F57B5"/>
            <w:shd w:val="clear" w:color="auto" w:fill="FFFFFF"/>
          </w:rPr>
          <w:t>45 CFR 46.116(d)</w:t>
        </w:r>
      </w:hyperlink>
      <w:r w:rsidRPr="00FD06AE">
        <w:rPr>
          <w:i/>
          <w:color w:val="000000"/>
          <w:shd w:val="clear" w:color="auto" w:fill="FFFFFF"/>
        </w:rPr>
        <w:t>, provided that the IRB finds and documents that all of the following four conditions are met:</w:t>
      </w:r>
    </w:p>
    <w:p w14:paraId="5781F228" w14:textId="77777777" w:rsidR="00E129B8" w:rsidRPr="00FD06AE" w:rsidRDefault="00E129B8" w:rsidP="00E32E14">
      <w:pPr>
        <w:numPr>
          <w:ilvl w:val="0"/>
          <w:numId w:val="30"/>
        </w:numPr>
        <w:shd w:val="clear" w:color="auto" w:fill="FFFFFF"/>
        <w:ind w:right="720"/>
        <w:rPr>
          <w:i/>
          <w:color w:val="000000"/>
        </w:rPr>
      </w:pPr>
      <w:r w:rsidRPr="00FD06AE">
        <w:rPr>
          <w:i/>
          <w:color w:val="000000"/>
        </w:rPr>
        <w:t>the research involves no more than minimal risk to the subjects;</w:t>
      </w:r>
    </w:p>
    <w:p w14:paraId="2F33D242" w14:textId="77777777" w:rsidR="00E129B8" w:rsidRPr="00FD06AE" w:rsidRDefault="00E129B8" w:rsidP="00E32E14">
      <w:pPr>
        <w:numPr>
          <w:ilvl w:val="0"/>
          <w:numId w:val="30"/>
        </w:numPr>
        <w:shd w:val="clear" w:color="auto" w:fill="FFFFFF"/>
        <w:ind w:right="720"/>
        <w:rPr>
          <w:i/>
          <w:color w:val="000000"/>
        </w:rPr>
      </w:pPr>
      <w:r w:rsidRPr="00FD06AE">
        <w:rPr>
          <w:i/>
          <w:color w:val="000000"/>
        </w:rPr>
        <w:t>the waiver or alteration will not adversely affect the rights and welfare of the subjects;</w:t>
      </w:r>
    </w:p>
    <w:p w14:paraId="7215ECC4" w14:textId="77777777" w:rsidR="00E129B8" w:rsidRPr="00FD06AE" w:rsidRDefault="00E129B8" w:rsidP="00E32E14">
      <w:pPr>
        <w:numPr>
          <w:ilvl w:val="0"/>
          <w:numId w:val="30"/>
        </w:numPr>
        <w:shd w:val="clear" w:color="auto" w:fill="FFFFFF"/>
        <w:ind w:right="720"/>
        <w:rPr>
          <w:i/>
          <w:color w:val="000000"/>
        </w:rPr>
      </w:pPr>
      <w:r w:rsidRPr="00FD06AE">
        <w:rPr>
          <w:i/>
          <w:color w:val="000000"/>
        </w:rPr>
        <w:t>the research could not practicably be carried out without the waiver or alteration; and</w:t>
      </w:r>
    </w:p>
    <w:p w14:paraId="4E28FD49" w14:textId="77777777" w:rsidR="00E129B8" w:rsidRPr="00FD06AE" w:rsidRDefault="00E129B8" w:rsidP="00E32E14">
      <w:pPr>
        <w:numPr>
          <w:ilvl w:val="0"/>
          <w:numId w:val="30"/>
        </w:numPr>
        <w:shd w:val="clear" w:color="auto" w:fill="FFFFFF"/>
        <w:ind w:right="720"/>
        <w:rPr>
          <w:i/>
          <w:color w:val="000000"/>
        </w:rPr>
      </w:pPr>
      <w:r w:rsidRPr="00FD06AE">
        <w:rPr>
          <w:i/>
          <w:color w:val="000000"/>
        </w:rPr>
        <w:t>whenever appropriate, the subjects will be provided with additional pertinent information after participation.</w:t>
      </w:r>
    </w:p>
    <w:p w14:paraId="1589AA85" w14:textId="77777777" w:rsidR="003B45C3" w:rsidRPr="00FD06AE" w:rsidRDefault="003B45C3" w:rsidP="003B45C3">
      <w:pPr>
        <w:shd w:val="clear" w:color="auto" w:fill="FFFFFF"/>
        <w:ind w:left="806"/>
        <w:rPr>
          <w:i/>
          <w:color w:val="000000"/>
        </w:rPr>
      </w:pPr>
    </w:p>
    <w:p w14:paraId="5D5F715A" w14:textId="77777777" w:rsidR="002528F1" w:rsidRPr="00FD06AE" w:rsidRDefault="005D0237" w:rsidP="002528F1">
      <w:pPr>
        <w:ind w:right="-360" w:firstLine="720"/>
      </w:pPr>
      <w:r w:rsidRPr="00FD06AE">
        <w:t>The trauma centers are</w:t>
      </w:r>
      <w:r w:rsidR="00D3592A">
        <w:t xml:space="preserve"> also</w:t>
      </w:r>
      <w:r w:rsidRPr="00FD06AE">
        <w:t xml:space="preserve"> </w:t>
      </w:r>
      <w:r w:rsidR="004E3B88">
        <w:t>authorized to release</w:t>
      </w:r>
      <w:r w:rsidRPr="00FD06AE">
        <w:t xml:space="preserve"> </w:t>
      </w:r>
      <w:r w:rsidR="004E3B88">
        <w:t xml:space="preserve">the blood, </w:t>
      </w:r>
      <w:r w:rsidRPr="00FD06AE">
        <w:t xml:space="preserve">demographic, treatment, and </w:t>
      </w:r>
      <w:r w:rsidR="004E3B88">
        <w:t>injury</w:t>
      </w:r>
      <w:r w:rsidRPr="00FD06AE">
        <w:t xml:space="preserve"> information </w:t>
      </w:r>
      <w:r w:rsidR="002528F1" w:rsidRPr="00FD06AE">
        <w:t>under a waiver of HIPAA authorization as granted by the reviewing IRBs</w:t>
      </w:r>
      <w:r w:rsidR="00E91FCE" w:rsidRPr="00FD06AE">
        <w:t xml:space="preserve"> – Advarra</w:t>
      </w:r>
      <w:r w:rsidR="00E91FCE" w:rsidRPr="00FD06AE">
        <w:rPr>
          <w:rStyle w:val="FootnoteReference"/>
        </w:rPr>
        <w:footnoteReference w:id="7"/>
      </w:r>
      <w:r w:rsidR="00E91FCE" w:rsidRPr="00FD06AE">
        <w:t xml:space="preserve"> and University of Florida</w:t>
      </w:r>
      <w:r w:rsidR="002528F1" w:rsidRPr="00FD06AE">
        <w:t>. HHS</w:t>
      </w:r>
      <w:r w:rsidR="00E12475" w:rsidRPr="00FD06AE">
        <w:t xml:space="preserve"> and Department of Transportation regulations</w:t>
      </w:r>
      <w:r w:rsidR="002528F1" w:rsidRPr="00FD06AE">
        <w:t xml:space="preserve"> provide for waivers </w:t>
      </w:r>
      <w:r w:rsidR="006D1581">
        <w:t>in this situation</w:t>
      </w:r>
      <w:r w:rsidR="006D1581" w:rsidRPr="00FD06AE">
        <w:t>.</w:t>
      </w:r>
      <w:bookmarkStart w:id="8" w:name="_Ref3970653"/>
      <w:r w:rsidR="006D1581" w:rsidRPr="00FD06AE">
        <w:rPr>
          <w:rStyle w:val="FootnoteReference"/>
        </w:rPr>
        <w:footnoteReference w:id="8"/>
      </w:r>
      <w:bookmarkEnd w:id="8"/>
      <w:r w:rsidR="00200C94" w:rsidRPr="00FD06AE">
        <w:t xml:space="preserve"> </w:t>
      </w:r>
      <w:r w:rsidR="006D1581">
        <w:t>The applicable wording is:</w:t>
      </w:r>
      <w:r w:rsidR="00737914" w:rsidRPr="00FD06AE">
        <w:t xml:space="preserve"> </w:t>
      </w:r>
    </w:p>
    <w:p w14:paraId="318C7D03" w14:textId="77777777" w:rsidR="002528F1" w:rsidRPr="00FD06AE" w:rsidRDefault="002528F1" w:rsidP="002528F1">
      <w:pPr>
        <w:ind w:right="-360" w:firstLine="720"/>
      </w:pPr>
    </w:p>
    <w:p w14:paraId="75A4A478" w14:textId="77777777" w:rsidR="009E321B" w:rsidRPr="00FD06AE" w:rsidRDefault="009E321B" w:rsidP="00E32E14">
      <w:pPr>
        <w:keepNext/>
        <w:ind w:left="720" w:right="720" w:firstLine="720"/>
        <w:rPr>
          <w:i/>
          <w:color w:val="000000"/>
        </w:rPr>
      </w:pPr>
      <w:r w:rsidRPr="00FD06AE">
        <w:rPr>
          <w:i/>
          <w:color w:val="000000"/>
        </w:rPr>
        <w:t>The following three criteria must be satisfied for an IRB or Privacy Board to approve a waiver of authorization under the Privacy Rule: </w:t>
      </w:r>
    </w:p>
    <w:p w14:paraId="48467B44" w14:textId="77777777" w:rsidR="002528F1" w:rsidRPr="00FD06AE" w:rsidRDefault="002528F1" w:rsidP="00E32E14">
      <w:pPr>
        <w:ind w:left="720" w:right="720" w:firstLine="720"/>
      </w:pPr>
    </w:p>
    <w:p w14:paraId="52F3BA4A" w14:textId="77777777" w:rsidR="009E321B" w:rsidRPr="00FD06AE" w:rsidRDefault="009E321B" w:rsidP="00E32E14">
      <w:pPr>
        <w:numPr>
          <w:ilvl w:val="0"/>
          <w:numId w:val="26"/>
        </w:numPr>
        <w:shd w:val="clear" w:color="auto" w:fill="FFFFFF"/>
        <w:ind w:right="720"/>
        <w:rPr>
          <w:i/>
          <w:color w:val="000000"/>
        </w:rPr>
      </w:pPr>
      <w:r w:rsidRPr="00FD06AE">
        <w:rPr>
          <w:i/>
          <w:color w:val="000000"/>
        </w:rPr>
        <w:t>The use or disclosure of protected health information involves no more than a minimal risk to the privacy of individuals, based on, at least, the presence of the following elements:</w:t>
      </w:r>
    </w:p>
    <w:p w14:paraId="6B3E99DF" w14:textId="77777777" w:rsidR="009E321B" w:rsidRPr="00FD06AE" w:rsidRDefault="009E321B" w:rsidP="00E32E14">
      <w:pPr>
        <w:numPr>
          <w:ilvl w:val="1"/>
          <w:numId w:val="26"/>
        </w:numPr>
        <w:shd w:val="clear" w:color="auto" w:fill="FFFFFF"/>
        <w:ind w:left="720" w:right="720"/>
        <w:rPr>
          <w:i/>
          <w:color w:val="000000"/>
        </w:rPr>
      </w:pPr>
      <w:r w:rsidRPr="00FD06AE">
        <w:rPr>
          <w:i/>
          <w:color w:val="000000"/>
        </w:rPr>
        <w:t>an adequate plan to protect the identifiers from improper use and disclosure; </w:t>
      </w:r>
    </w:p>
    <w:p w14:paraId="5BA1FCEA" w14:textId="77777777" w:rsidR="009E321B" w:rsidRPr="00FD06AE" w:rsidRDefault="009E321B" w:rsidP="00E32E14">
      <w:pPr>
        <w:numPr>
          <w:ilvl w:val="1"/>
          <w:numId w:val="26"/>
        </w:numPr>
        <w:shd w:val="clear" w:color="auto" w:fill="FFFFFF"/>
        <w:ind w:left="720" w:right="720"/>
        <w:rPr>
          <w:i/>
          <w:color w:val="000000"/>
        </w:rPr>
      </w:pPr>
      <w:r w:rsidRPr="00FD06AE">
        <w:rPr>
          <w:i/>
          <w:color w:val="000000"/>
        </w:rPr>
        <w:t>an adequate plan to destroy the identifiers at the earliest opportunity consistent with conduct of the research, unless there is a health or research justification for retaining the identifiers or such retention is otherwise required by law; and </w:t>
      </w:r>
    </w:p>
    <w:p w14:paraId="7070956A" w14:textId="77777777" w:rsidR="003B45C3" w:rsidRPr="00FD06AE" w:rsidRDefault="009E321B" w:rsidP="00E32E14">
      <w:pPr>
        <w:numPr>
          <w:ilvl w:val="1"/>
          <w:numId w:val="26"/>
        </w:numPr>
        <w:shd w:val="clear" w:color="auto" w:fill="FFFFFF"/>
        <w:ind w:left="720" w:right="720"/>
        <w:rPr>
          <w:i/>
          <w:color w:val="000000"/>
        </w:rPr>
      </w:pPr>
      <w:r w:rsidRPr="00FD06AE">
        <w:rPr>
          <w:i/>
          <w:color w:val="000000"/>
        </w:rPr>
        <w:t>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this subpart; </w:t>
      </w:r>
    </w:p>
    <w:p w14:paraId="2A20FFBE" w14:textId="77777777" w:rsidR="009E321B" w:rsidRPr="00FD06AE" w:rsidRDefault="009E321B" w:rsidP="00E32E14">
      <w:pPr>
        <w:numPr>
          <w:ilvl w:val="0"/>
          <w:numId w:val="26"/>
        </w:numPr>
        <w:shd w:val="clear" w:color="auto" w:fill="FFFFFF"/>
        <w:ind w:right="720"/>
        <w:rPr>
          <w:i/>
          <w:color w:val="000000"/>
        </w:rPr>
      </w:pPr>
      <w:r w:rsidRPr="00FD06AE">
        <w:rPr>
          <w:i/>
          <w:color w:val="000000"/>
        </w:rPr>
        <w:t>The research could not practicably be conducted without the waiver or alteration; and </w:t>
      </w:r>
    </w:p>
    <w:p w14:paraId="4EFFD5CB" w14:textId="77777777" w:rsidR="009E321B" w:rsidRPr="00FD06AE" w:rsidRDefault="009E321B" w:rsidP="00E32E14">
      <w:pPr>
        <w:numPr>
          <w:ilvl w:val="0"/>
          <w:numId w:val="26"/>
        </w:numPr>
        <w:shd w:val="clear" w:color="auto" w:fill="FFFFFF"/>
        <w:ind w:right="720"/>
        <w:rPr>
          <w:i/>
          <w:color w:val="000000"/>
        </w:rPr>
      </w:pPr>
      <w:r w:rsidRPr="00FD06AE">
        <w:rPr>
          <w:i/>
          <w:color w:val="000000"/>
        </w:rPr>
        <w:t>The research could not practicably be conducted without access to and use of the protected health information. </w:t>
      </w:r>
    </w:p>
    <w:p w14:paraId="47B9A84F" w14:textId="77777777" w:rsidR="00FA68C1" w:rsidRPr="00FD06AE" w:rsidRDefault="00FA68C1" w:rsidP="00FA68C1">
      <w:pPr>
        <w:shd w:val="clear" w:color="auto" w:fill="FFFFFF"/>
        <w:ind w:left="274"/>
        <w:rPr>
          <w:i/>
          <w:color w:val="000000"/>
        </w:rPr>
      </w:pPr>
    </w:p>
    <w:p w14:paraId="387AB731" w14:textId="20251029" w:rsidR="00875085" w:rsidRDefault="004E3B88" w:rsidP="00F8132B">
      <w:pPr>
        <w:ind w:right="-360" w:firstLine="720"/>
      </w:pPr>
      <w:r>
        <w:t>The trauma centers and medical examiners will</w:t>
      </w:r>
      <w:r w:rsidR="00F8132B" w:rsidRPr="00FD06AE">
        <w:t xml:space="preserve"> </w:t>
      </w:r>
      <w:r w:rsidR="003743EE">
        <w:t xml:space="preserve">temporarily </w:t>
      </w:r>
      <w:r w:rsidR="00F8132B" w:rsidRPr="00FD06AE">
        <w:t>store</w:t>
      </w:r>
      <w:r>
        <w:t xml:space="preserve"> all blood samples </w:t>
      </w:r>
      <w:r w:rsidR="003743EE">
        <w:t xml:space="preserve">in </w:t>
      </w:r>
      <w:r w:rsidR="00FE4CE2">
        <w:t xml:space="preserve">secure </w:t>
      </w:r>
      <w:r w:rsidR="003743EE">
        <w:t xml:space="preserve">refrigerated storage </w:t>
      </w:r>
      <w:r>
        <w:t>on their premises</w:t>
      </w:r>
      <w:r w:rsidR="00FE4CE2" w:rsidRPr="009E28AD">
        <w:t>,</w:t>
      </w:r>
      <w:r w:rsidR="00F8132B" w:rsidRPr="009E28AD">
        <w:t xml:space="preserve"> </w:t>
      </w:r>
      <w:r w:rsidR="00745F25" w:rsidRPr="009E28AD">
        <w:t xml:space="preserve">identified only </w:t>
      </w:r>
      <w:r w:rsidR="00F8132B" w:rsidRPr="009E28AD">
        <w:t xml:space="preserve">by a </w:t>
      </w:r>
      <w:r w:rsidR="00745F25" w:rsidRPr="009E28AD">
        <w:t xml:space="preserve">randomly-generated </w:t>
      </w:r>
      <w:r w:rsidR="00F8132B" w:rsidRPr="009E28AD">
        <w:t xml:space="preserve">study </w:t>
      </w:r>
      <w:r w:rsidR="00B21F4D" w:rsidRPr="009E28AD">
        <w:t>tube number</w:t>
      </w:r>
      <w:r w:rsidR="00F8132B" w:rsidRPr="00FD06AE">
        <w:t xml:space="preserve"> </w:t>
      </w:r>
      <w:r w:rsidR="00875085" w:rsidRPr="00FD06AE">
        <w:t xml:space="preserve">– there will be no information </w:t>
      </w:r>
      <w:r w:rsidR="00745F25">
        <w:t xml:space="preserve">that could potentially be used to </w:t>
      </w:r>
      <w:r w:rsidR="00875085" w:rsidRPr="00FD06AE">
        <w:t xml:space="preserve">identify the </w:t>
      </w:r>
      <w:r w:rsidR="0041103F">
        <w:t>victim</w:t>
      </w:r>
      <w:r>
        <w:t xml:space="preserve">. </w:t>
      </w:r>
      <w:r w:rsidR="00E70E98">
        <w:t>This de-identification process is routinely done for research</w:t>
      </w:r>
      <w:r w:rsidR="003D7843">
        <w:t xml:space="preserve"> studies</w:t>
      </w:r>
      <w:r w:rsidR="00E70E98">
        <w:t xml:space="preserve"> </w:t>
      </w:r>
      <w:r w:rsidR="005B316E">
        <w:t>at</w:t>
      </w:r>
      <w:r w:rsidR="00E70E98">
        <w:t xml:space="preserve"> the trauma centers. </w:t>
      </w:r>
      <w:r>
        <w:t>The samples will be</w:t>
      </w:r>
      <w:r w:rsidR="00E70E98">
        <w:t xml:space="preserve"> collected by study research associates and</w:t>
      </w:r>
      <w:r>
        <w:t xml:space="preserve"> sent </w:t>
      </w:r>
      <w:r w:rsidR="003743EE">
        <w:t xml:space="preserve">in batches </w:t>
      </w:r>
      <w:r>
        <w:t>directly from the trauma centers and medical examiners</w:t>
      </w:r>
      <w:r w:rsidR="00F8132B" w:rsidRPr="00FD06AE">
        <w:t xml:space="preserve"> to the </w:t>
      </w:r>
      <w:r w:rsidR="00E70E98">
        <w:t xml:space="preserve">study’s </w:t>
      </w:r>
      <w:r w:rsidR="00F8132B" w:rsidRPr="00FD06AE">
        <w:t xml:space="preserve">independent </w:t>
      </w:r>
      <w:r w:rsidR="00875085" w:rsidRPr="00FD06AE">
        <w:t>toxicology</w:t>
      </w:r>
      <w:r w:rsidR="00F8132B" w:rsidRPr="00FD06AE">
        <w:t xml:space="preserve"> laboratory for testing</w:t>
      </w:r>
      <w:r w:rsidR="00875085" w:rsidRPr="00FD06AE">
        <w:t xml:space="preserve"> for the presence of drugs</w:t>
      </w:r>
      <w:r w:rsidR="00F8132B" w:rsidRPr="00FD06AE">
        <w:t xml:space="preserve">. </w:t>
      </w:r>
      <w:r w:rsidR="00875085" w:rsidRPr="00FD06AE">
        <w:t>The</w:t>
      </w:r>
      <w:r w:rsidR="00F8132B" w:rsidRPr="00FD06AE">
        <w:t xml:space="preserve"> toxicology laboratory will not have access to </w:t>
      </w:r>
      <w:r w:rsidR="00B21F4D" w:rsidRPr="00FD06AE">
        <w:t>any</w:t>
      </w:r>
      <w:r w:rsidR="00F8132B" w:rsidRPr="00FD06AE">
        <w:t xml:space="preserve"> study database</w:t>
      </w:r>
      <w:r w:rsidR="00B21F4D" w:rsidRPr="00FD06AE">
        <w:t xml:space="preserve"> other than their own which will house the toxicology results stored by study tube number</w:t>
      </w:r>
      <w:r w:rsidR="00F8132B" w:rsidRPr="00FD06AE">
        <w:t xml:space="preserve">. </w:t>
      </w:r>
    </w:p>
    <w:p w14:paraId="56D29A22" w14:textId="77777777" w:rsidR="003743EE" w:rsidRDefault="003743EE" w:rsidP="00F8132B">
      <w:pPr>
        <w:ind w:right="-360" w:firstLine="720"/>
      </w:pPr>
    </w:p>
    <w:p w14:paraId="686FE131" w14:textId="64A4DF23" w:rsidR="003743EE" w:rsidRDefault="003743EE" w:rsidP="003743EE">
      <w:pPr>
        <w:ind w:right="-360" w:firstLine="720"/>
      </w:pPr>
      <w:r>
        <w:t>T</w:t>
      </w:r>
      <w:r w:rsidR="007B6360">
        <w:t>he t</w:t>
      </w:r>
      <w:r>
        <w:t>rauma center</w:t>
      </w:r>
      <w:r w:rsidR="007B6360">
        <w:t>s</w:t>
      </w:r>
      <w:r>
        <w:t xml:space="preserve"> and medical </w:t>
      </w:r>
      <w:r w:rsidR="007B6360">
        <w:t xml:space="preserve">examiners </w:t>
      </w:r>
      <w:r w:rsidR="005B316E">
        <w:t>have</w:t>
      </w:r>
      <w:r w:rsidR="005224C7">
        <w:t xml:space="preserve"> authorized </w:t>
      </w:r>
      <w:r w:rsidR="005B316E">
        <w:t xml:space="preserve">our research associates </w:t>
      </w:r>
      <w:r w:rsidR="006C52B4">
        <w:t>to access</w:t>
      </w:r>
      <w:r>
        <w:t xml:space="preserve"> patient records to gather the needed classification information (e.g., age, sex, position in crash)</w:t>
      </w:r>
      <w:r w:rsidR="005B316E">
        <w:t>. The research associates will</w:t>
      </w:r>
      <w:r>
        <w:t xml:space="preserve">  manually enter the de-identified information into the study tablet system by </w:t>
      </w:r>
      <w:r w:rsidR="000465C4">
        <w:t xml:space="preserve">a study- specific </w:t>
      </w:r>
      <w:r>
        <w:t xml:space="preserve">participant ID. </w:t>
      </w:r>
      <w:r w:rsidRPr="00FD06AE">
        <w:t xml:space="preserve">All toxicology results will be transmitted from the study laboratory directly to the main study database for storage. No toxicology results will be sent back to the participating </w:t>
      </w:r>
      <w:r w:rsidR="005224C7">
        <w:t>trauma centers/</w:t>
      </w:r>
      <w:r w:rsidRPr="00FD06AE">
        <w:t>hospitals</w:t>
      </w:r>
      <w:r w:rsidR="005224C7">
        <w:t xml:space="preserve"> or morgues</w:t>
      </w:r>
      <w:r w:rsidRPr="00FD06AE">
        <w:t xml:space="preserve">, and the toxicology results will never be included in participant medical records. </w:t>
      </w:r>
      <w:r>
        <w:t>The study data system will then merge the toxicology and participant classification information using the study ID and blood tube numbers</w:t>
      </w:r>
      <w:r w:rsidR="005224C7">
        <w:t xml:space="preserve"> to create a de-identified analysis record</w:t>
      </w:r>
      <w:r>
        <w:t>.</w:t>
      </w:r>
    </w:p>
    <w:p w14:paraId="271F02A6" w14:textId="77777777" w:rsidR="00875085" w:rsidRPr="00FD06AE" w:rsidRDefault="00875085" w:rsidP="00F8132B">
      <w:pPr>
        <w:ind w:right="-360" w:firstLine="720"/>
      </w:pPr>
    </w:p>
    <w:p w14:paraId="6BB558B8" w14:textId="77777777" w:rsidR="00F8132B" w:rsidRPr="00FD06AE" w:rsidRDefault="00661B58" w:rsidP="00F8132B">
      <w:pPr>
        <w:ind w:right="-360" w:firstLine="720"/>
      </w:pPr>
      <w:r>
        <w:t>T</w:t>
      </w:r>
      <w:r w:rsidR="00875085" w:rsidRPr="00FD06AE">
        <w:t xml:space="preserve">he study </w:t>
      </w:r>
      <w:r w:rsidR="00B21F4D" w:rsidRPr="00FD06AE">
        <w:t xml:space="preserve">protocols </w:t>
      </w:r>
      <w:r w:rsidR="00875085" w:rsidRPr="00FD06AE">
        <w:t>have been</w:t>
      </w:r>
      <w:r w:rsidR="00B21F4D" w:rsidRPr="00FD06AE">
        <w:t xml:space="preserve"> </w:t>
      </w:r>
      <w:r>
        <w:t xml:space="preserve">carefully </w:t>
      </w:r>
      <w:r w:rsidR="00B21F4D" w:rsidRPr="00FD06AE">
        <w:t xml:space="preserve">designed </w:t>
      </w:r>
      <w:r>
        <w:t xml:space="preserve">and reviewed </w:t>
      </w:r>
      <w:r w:rsidR="00B21F4D" w:rsidRPr="00FD06AE">
        <w:t>to prevent any linkage to</w:t>
      </w:r>
      <w:r w:rsidR="00875085" w:rsidRPr="00FD06AE">
        <w:t xml:space="preserve"> an individual par</w:t>
      </w:r>
      <w:r w:rsidR="00B21F4D" w:rsidRPr="00FD06AE">
        <w:t xml:space="preserve">ticipant. </w:t>
      </w:r>
      <w:r w:rsidR="004F6023" w:rsidRPr="00FD06AE">
        <w:t xml:space="preserve">As such, </w:t>
      </w:r>
      <w:r w:rsidR="000B3C3C">
        <w:t xml:space="preserve">it will be impossible for anyone </w:t>
      </w:r>
      <w:r w:rsidR="004F6023" w:rsidRPr="00FD06AE">
        <w:t xml:space="preserve">to link </w:t>
      </w:r>
      <w:r>
        <w:t xml:space="preserve">toxicology </w:t>
      </w:r>
      <w:r w:rsidR="004F6023" w:rsidRPr="00FD06AE">
        <w:t>results to a given individual.</w:t>
      </w:r>
      <w:r w:rsidR="00875085" w:rsidRPr="00FD06AE">
        <w:t xml:space="preserve"> </w:t>
      </w:r>
      <w:r w:rsidR="004F6023" w:rsidRPr="00FD06AE">
        <w:t xml:space="preserve">In addition, </w:t>
      </w:r>
      <w:r w:rsidR="00875085" w:rsidRPr="00FD06AE">
        <w:t xml:space="preserve">there will be </w:t>
      </w:r>
      <w:r w:rsidR="004F6023" w:rsidRPr="00FD06AE">
        <w:t>n</w:t>
      </w:r>
      <w:r w:rsidR="00B21F4D" w:rsidRPr="00FD06AE">
        <w:t>o records of who had access to</w:t>
      </w:r>
      <w:r w:rsidR="004F6023" w:rsidRPr="00FD06AE">
        <w:t xml:space="preserve"> or handled</w:t>
      </w:r>
      <w:r w:rsidR="00B21F4D" w:rsidRPr="00FD06AE">
        <w:t xml:space="preserve"> the various samples at any given time</w:t>
      </w:r>
      <w:r w:rsidR="000B3C3C">
        <w:t>, and they will be unsupervised in the refrigerator before they are sent for analysis</w:t>
      </w:r>
      <w:r w:rsidR="00B21F4D" w:rsidRPr="00FD06AE">
        <w:t xml:space="preserve">. As such, </w:t>
      </w:r>
      <w:r w:rsidR="00875085" w:rsidRPr="00FD06AE">
        <w:t xml:space="preserve">the chain of custody </w:t>
      </w:r>
      <w:r w:rsidR="000B3C3C">
        <w:t xml:space="preserve">will be </w:t>
      </w:r>
      <w:r w:rsidR="00875085" w:rsidRPr="00FD06AE">
        <w:t>broken</w:t>
      </w:r>
      <w:r w:rsidR="000B3C3C">
        <w:t xml:space="preserve"> thereby further precluding any interest in the de-identified data for use in legal proceedings.</w:t>
      </w:r>
      <w:r w:rsidR="000B3C3C" w:rsidRPr="00FD06AE">
        <w:t xml:space="preserve"> </w:t>
      </w:r>
    </w:p>
    <w:p w14:paraId="27197073" w14:textId="77777777" w:rsidR="00330F31" w:rsidRPr="00FD06AE" w:rsidRDefault="00330F31" w:rsidP="003743EE">
      <w:pPr>
        <w:pStyle w:val="BodyText"/>
        <w:kinsoku w:val="0"/>
        <w:overflowPunct w:val="0"/>
        <w:spacing w:before="0" w:after="0"/>
        <w:ind w:right="115"/>
      </w:pPr>
    </w:p>
    <w:p w14:paraId="15FBAAF2" w14:textId="77777777" w:rsidR="001074FF" w:rsidRPr="00FD06AE" w:rsidRDefault="001074FF" w:rsidP="00354ED9">
      <w:pPr>
        <w:pStyle w:val="BodyText"/>
        <w:spacing w:after="240"/>
        <w:rPr>
          <w:color w:val="4F81BD"/>
        </w:rPr>
      </w:pPr>
      <w:bookmarkStart w:id="9" w:name="_Toc125278839"/>
      <w:bookmarkStart w:id="10" w:name="_Toc125341762"/>
      <w:bookmarkStart w:id="11" w:name="_Toc125447320"/>
      <w:bookmarkStart w:id="12" w:name="_Toc126394143"/>
      <w:r w:rsidRPr="00FD06AE">
        <w:rPr>
          <w:b/>
        </w:rPr>
        <w:t>B.3.</w:t>
      </w:r>
      <w:r w:rsidRPr="00FD06AE">
        <w:rPr>
          <w:b/>
        </w:rPr>
        <w:tab/>
        <w:t>Describe methods to maximize response rates</w:t>
      </w:r>
      <w:r w:rsidRPr="00FD06AE">
        <w:t>.</w:t>
      </w:r>
      <w:bookmarkStart w:id="13" w:name="_Toc125278840"/>
      <w:bookmarkStart w:id="14" w:name="_Toc125341763"/>
      <w:bookmarkStart w:id="15" w:name="_Toc125447321"/>
      <w:bookmarkStart w:id="16" w:name="_Toc126394144"/>
      <w:bookmarkEnd w:id="9"/>
      <w:bookmarkEnd w:id="10"/>
      <w:bookmarkEnd w:id="11"/>
      <w:bookmarkEnd w:id="12"/>
      <w:r w:rsidRPr="00FD06AE">
        <w:rPr>
          <w:color w:val="4F81BD"/>
        </w:rPr>
        <w:tab/>
      </w:r>
    </w:p>
    <w:p w14:paraId="72D9BE1C" w14:textId="77777777" w:rsidR="00EA5290" w:rsidRPr="00FD06AE" w:rsidRDefault="00AE3792" w:rsidP="00D3592A">
      <w:pPr>
        <w:pStyle w:val="BodyText"/>
        <w:spacing w:after="240"/>
        <w:ind w:firstLine="720"/>
      </w:pPr>
      <w:r>
        <w:t>T</w:t>
      </w:r>
      <w:r w:rsidR="00093DA1">
        <w:t>he participating t</w:t>
      </w:r>
      <w:r w:rsidR="00E43919" w:rsidRPr="00FD06AE">
        <w:t xml:space="preserve">rauma centers </w:t>
      </w:r>
      <w:r w:rsidR="00093DA1">
        <w:t xml:space="preserve">already routinely </w:t>
      </w:r>
      <w:r w:rsidR="00E43919" w:rsidRPr="00FD06AE">
        <w:t xml:space="preserve">collect </w:t>
      </w:r>
      <w:r w:rsidR="00D3592A">
        <w:t>blood samp</w:t>
      </w:r>
      <w:r w:rsidR="00085A15">
        <w:t>l</w:t>
      </w:r>
      <w:r w:rsidR="00D3592A">
        <w:t>es</w:t>
      </w:r>
      <w:r w:rsidR="00085A15">
        <w:t>, injury information, and classification information</w:t>
      </w:r>
      <w:r w:rsidR="00E43919" w:rsidRPr="00FD06AE">
        <w:t xml:space="preserve"> </w:t>
      </w:r>
      <w:r w:rsidR="007D4E5B" w:rsidRPr="00FD06AE">
        <w:t xml:space="preserve">for </w:t>
      </w:r>
      <w:r w:rsidR="007D4E5B" w:rsidRPr="00737914">
        <w:t>every</w:t>
      </w:r>
      <w:r w:rsidR="007D4E5B" w:rsidRPr="00FD06AE">
        <w:t xml:space="preserve"> patient </w:t>
      </w:r>
      <w:r w:rsidR="00085A15">
        <w:t>when</w:t>
      </w:r>
      <w:r w:rsidR="007D4E5B" w:rsidRPr="00FD06AE">
        <w:t xml:space="preserve"> a trauma </w:t>
      </w:r>
      <w:r w:rsidR="00EE0425" w:rsidRPr="00FD06AE">
        <w:t>alert</w:t>
      </w:r>
      <w:r w:rsidR="007D4E5B" w:rsidRPr="00FD06AE">
        <w:t xml:space="preserve"> is activated.</w:t>
      </w:r>
      <w:r w:rsidR="00632DF9" w:rsidRPr="00FD06AE">
        <w:t xml:space="preserve"> </w:t>
      </w:r>
      <w:r w:rsidR="00EE0425" w:rsidRPr="00FD06AE">
        <w:t>Trauma alerts are activated when the transporti</w:t>
      </w:r>
      <w:r w:rsidR="00EA5290" w:rsidRPr="00FD06AE">
        <w:t xml:space="preserve">ng </w:t>
      </w:r>
      <w:r w:rsidR="00584BE8" w:rsidRPr="00FD06AE">
        <w:t>EMS staff</w:t>
      </w:r>
      <w:r w:rsidR="00EA5290" w:rsidRPr="00FD06AE">
        <w:t xml:space="preserve"> or the other treating medical staff</w:t>
      </w:r>
      <w:r w:rsidR="00EE0425" w:rsidRPr="00FD06AE">
        <w:t xml:space="preserve"> dete</w:t>
      </w:r>
      <w:r w:rsidR="000657DA" w:rsidRPr="00FD06AE">
        <w:t>rmine</w:t>
      </w:r>
      <w:r w:rsidR="00EE0425" w:rsidRPr="00FD06AE">
        <w:t xml:space="preserve"> the patient meets trauma alert criteria.</w:t>
      </w:r>
      <w:r w:rsidR="00EE0425" w:rsidRPr="00FD06AE">
        <w:rPr>
          <w:rStyle w:val="FootnoteReference"/>
        </w:rPr>
        <w:footnoteReference w:id="9"/>
      </w:r>
      <w:r w:rsidR="00EE0425" w:rsidRPr="00FD06AE">
        <w:t xml:space="preserve"> </w:t>
      </w:r>
      <w:r w:rsidR="00EA5290" w:rsidRPr="00FD06AE">
        <w:t>Even if these criteria are not met</w:t>
      </w:r>
      <w:r w:rsidR="001A199C">
        <w:t xml:space="preserve"> but EMS brings the patient to the trauma center</w:t>
      </w:r>
      <w:r w:rsidR="00EA5290" w:rsidRPr="00FD06AE">
        <w:t xml:space="preserve">, the treating professional can activate an alert if </w:t>
      </w:r>
      <w:r w:rsidR="001A199C">
        <w:t>he or she</w:t>
      </w:r>
      <w:r w:rsidR="001A199C" w:rsidRPr="00FD06AE">
        <w:t xml:space="preserve"> </w:t>
      </w:r>
      <w:r w:rsidR="00EE0425" w:rsidRPr="00FD06AE">
        <w:t>suspect</w:t>
      </w:r>
      <w:r w:rsidR="001A199C">
        <w:t>s</w:t>
      </w:r>
      <w:r w:rsidR="00EE0425" w:rsidRPr="00FD06AE">
        <w:t xml:space="preserve"> a serious injury</w:t>
      </w:r>
      <w:r w:rsidR="00EA5290" w:rsidRPr="00FD06AE">
        <w:t xml:space="preserve"> may have occurred</w:t>
      </w:r>
      <w:r w:rsidR="000657DA" w:rsidRPr="00FD06AE">
        <w:t xml:space="preserve"> </w:t>
      </w:r>
      <w:r w:rsidR="001A199C">
        <w:t>that</w:t>
      </w:r>
      <w:r w:rsidR="001A199C" w:rsidRPr="00FD06AE">
        <w:t xml:space="preserve"> </w:t>
      </w:r>
      <w:r w:rsidR="000657DA" w:rsidRPr="00FD06AE">
        <w:t>is not currently presenting</w:t>
      </w:r>
      <w:r w:rsidR="00EE0425" w:rsidRPr="00FD06AE">
        <w:t xml:space="preserve">. </w:t>
      </w:r>
    </w:p>
    <w:p w14:paraId="265F1ADB" w14:textId="77777777" w:rsidR="00EC4EF1" w:rsidRPr="00FD06AE" w:rsidRDefault="00EC4EF1" w:rsidP="006B36A2">
      <w:pPr>
        <w:pStyle w:val="BodyText"/>
        <w:spacing w:after="240"/>
        <w:ind w:firstLine="720"/>
      </w:pPr>
      <w:r w:rsidRPr="00FD06AE">
        <w:t>As noted above, u</w:t>
      </w:r>
      <w:r w:rsidR="00E72B57" w:rsidRPr="00FD06AE">
        <w:t>nder a waiver of consent and waiver of HIPAA authorization</w:t>
      </w:r>
      <w:r w:rsidR="001A199C">
        <w:t>,</w:t>
      </w:r>
      <w:r w:rsidR="00E72B57" w:rsidRPr="00FD06AE">
        <w:t xml:space="preserve"> </w:t>
      </w:r>
      <w:r w:rsidR="00200C94" w:rsidRPr="00FD06AE">
        <w:t xml:space="preserve">which has been </w:t>
      </w:r>
      <w:r w:rsidR="00E72B57" w:rsidRPr="00FD06AE">
        <w:t>granted by the reviewing HHS</w:t>
      </w:r>
      <w:r w:rsidRPr="00FD06AE">
        <w:t>-</w:t>
      </w:r>
      <w:r w:rsidR="00E72B57" w:rsidRPr="00FD06AE">
        <w:t>approved IRBs, t</w:t>
      </w:r>
      <w:r w:rsidR="00347372" w:rsidRPr="00FD06AE">
        <w:t xml:space="preserve">he trauma teams will </w:t>
      </w:r>
      <w:r w:rsidR="00EF255E" w:rsidRPr="00FD06AE">
        <w:t xml:space="preserve">provide to the study a de-identified </w:t>
      </w:r>
      <w:r w:rsidR="00347372" w:rsidRPr="00FD06AE">
        <w:t>blood sample</w:t>
      </w:r>
      <w:r w:rsidR="00D3592A">
        <w:t>, when available,</w:t>
      </w:r>
      <w:r w:rsidR="00347372" w:rsidRPr="00FD06AE">
        <w:t xml:space="preserve"> for every </w:t>
      </w:r>
      <w:r w:rsidR="001A199C">
        <w:t>patient injured in an MVC who</w:t>
      </w:r>
      <w:r w:rsidR="00347372" w:rsidRPr="00FD06AE">
        <w:t xml:space="preserve"> has a trauma </w:t>
      </w:r>
      <w:r w:rsidR="00EA5290" w:rsidRPr="00FD06AE">
        <w:t>alert</w:t>
      </w:r>
      <w:r w:rsidR="00347372" w:rsidRPr="00FD06AE">
        <w:t xml:space="preserve"> activated</w:t>
      </w:r>
      <w:r w:rsidR="00632DF9" w:rsidRPr="00FD06AE">
        <w:t>.</w:t>
      </w:r>
      <w:r w:rsidR="00347372" w:rsidRPr="00FD06AE">
        <w:t xml:space="preserve"> </w:t>
      </w:r>
      <w:r w:rsidRPr="00FD06AE">
        <w:t xml:space="preserve">This process provides the best opportunity to gather information on the </w:t>
      </w:r>
      <w:r w:rsidR="00C64ACA" w:rsidRPr="00FD06AE">
        <w:t>universe</w:t>
      </w:r>
      <w:r w:rsidRPr="00FD06AE">
        <w:t xml:space="preserve"> of seriously</w:t>
      </w:r>
      <w:r w:rsidR="00584BE8" w:rsidRPr="00FD06AE">
        <w:t xml:space="preserve"> </w:t>
      </w:r>
      <w:r w:rsidRPr="00FD06AE">
        <w:t xml:space="preserve">injured </w:t>
      </w:r>
      <w:r w:rsidR="00AA3CAF">
        <w:t>road users</w:t>
      </w:r>
      <w:r w:rsidR="00A8269E">
        <w:t xml:space="preserve"> </w:t>
      </w:r>
      <w:r w:rsidRPr="00FD06AE">
        <w:t>in a given area.</w:t>
      </w:r>
      <w:r w:rsidR="003741C2" w:rsidRPr="00FD06AE">
        <w:t xml:space="preserve"> </w:t>
      </w:r>
      <w:r w:rsidR="00085A15">
        <w:t>If a blood sample is not available for an eligible patient, the study will still collect available classification information</w:t>
      </w:r>
      <w:r w:rsidR="001A199C">
        <w:t xml:space="preserve"> to provide information on possible sample biases</w:t>
      </w:r>
      <w:r w:rsidR="00085A15">
        <w:t>.</w:t>
      </w:r>
    </w:p>
    <w:p w14:paraId="2995FF94" w14:textId="77777777" w:rsidR="00A51C1F" w:rsidRPr="00FD06AE" w:rsidRDefault="00B0257F" w:rsidP="00ED69C4">
      <w:pPr>
        <w:pStyle w:val="BodyText"/>
        <w:spacing w:after="240"/>
        <w:ind w:firstLine="720"/>
      </w:pPr>
      <w:r w:rsidRPr="00FD06AE">
        <w:t>Fo</w:t>
      </w:r>
      <w:r w:rsidR="00584BE8" w:rsidRPr="00FD06AE">
        <w:t>r fatally</w:t>
      </w:r>
      <w:r w:rsidR="00FE4CE2">
        <w:t>-</w:t>
      </w:r>
      <w:r w:rsidRPr="00FD06AE">
        <w:t xml:space="preserve">injured drivers, </w:t>
      </w:r>
      <w:r w:rsidR="00D3592A">
        <w:t>b</w:t>
      </w:r>
      <w:r w:rsidR="00ED69C4" w:rsidRPr="00FD06AE">
        <w:t>lood samples are routinely gathered for the medical examiner’s own testing</w:t>
      </w:r>
      <w:r w:rsidR="00085A15">
        <w:t>/autopsy</w:t>
      </w:r>
      <w:r w:rsidR="00ED69C4" w:rsidRPr="00FD06AE">
        <w:t xml:space="preserve"> purposes</w:t>
      </w:r>
      <w:r w:rsidR="00D3592A">
        <w:t>. The medical ex</w:t>
      </w:r>
      <w:r w:rsidR="00085A15">
        <w:t>aminers have agreed to provide</w:t>
      </w:r>
      <w:r w:rsidR="00D3592A">
        <w:t xml:space="preserve"> blood samples, when available</w:t>
      </w:r>
      <w:r w:rsidR="00737914">
        <w:t>,</w:t>
      </w:r>
      <w:r w:rsidR="00D3592A">
        <w:t xml:space="preserve"> after all </w:t>
      </w:r>
      <w:r w:rsidR="00FF4214">
        <w:t xml:space="preserve">post mortem </w:t>
      </w:r>
      <w:r w:rsidR="00D3592A">
        <w:t>procedures</w:t>
      </w:r>
      <w:r w:rsidR="00CE17CC">
        <w:t xml:space="preserve"> have been completed</w:t>
      </w:r>
      <w:r w:rsidR="00D3592A">
        <w:t>,</w:t>
      </w:r>
      <w:r w:rsidR="00085A15">
        <w:t xml:space="preserve"> </w:t>
      </w:r>
      <w:r w:rsidR="00CE17CC">
        <w:t xml:space="preserve">as well as </w:t>
      </w:r>
      <w:r w:rsidR="00085A15">
        <w:t>classification information</w:t>
      </w:r>
      <w:r w:rsidR="00D3592A">
        <w:t xml:space="preserve"> </w:t>
      </w:r>
      <w:r w:rsidR="00085A15">
        <w:t>to the study under the same waivers of consent and HIPAA authorization</w:t>
      </w:r>
      <w:r w:rsidR="00A51C1F" w:rsidRPr="00FD06AE">
        <w:t>.</w:t>
      </w:r>
      <w:r w:rsidR="00ED69C4" w:rsidRPr="00FD06AE">
        <w:t xml:space="preserve"> </w:t>
      </w:r>
    </w:p>
    <w:p w14:paraId="7A7A9732" w14:textId="77777777" w:rsidR="001074FF" w:rsidRPr="00FD06AE" w:rsidRDefault="001074FF" w:rsidP="00083749">
      <w:pPr>
        <w:pStyle w:val="Heading3"/>
      </w:pPr>
      <w:r w:rsidRPr="00FD06AE">
        <w:t>B.4.</w:t>
      </w:r>
      <w:r w:rsidRPr="00FD06AE">
        <w:tab/>
        <w:t>Describe any tests of procedures or methods to be undertaken.</w:t>
      </w:r>
      <w:bookmarkEnd w:id="13"/>
      <w:bookmarkEnd w:id="14"/>
      <w:bookmarkEnd w:id="15"/>
      <w:bookmarkEnd w:id="16"/>
    </w:p>
    <w:p w14:paraId="4C074F7A" w14:textId="77777777" w:rsidR="008175AA" w:rsidRPr="00FD06AE" w:rsidRDefault="001074FF" w:rsidP="00FB2F8A">
      <w:pPr>
        <w:pStyle w:val="Heading3"/>
        <w:spacing w:after="240"/>
        <w:rPr>
          <w:b w:val="0"/>
        </w:rPr>
      </w:pPr>
      <w:bookmarkStart w:id="17" w:name="_Toc125278841"/>
      <w:bookmarkStart w:id="18" w:name="_Toc125341764"/>
      <w:bookmarkStart w:id="19" w:name="_Toc125447322"/>
      <w:bookmarkStart w:id="20" w:name="_Toc126394145"/>
      <w:r w:rsidRPr="00FD06AE">
        <w:rPr>
          <w:b w:val="0"/>
          <w:color w:val="4F81BD"/>
        </w:rPr>
        <w:tab/>
      </w:r>
      <w:r w:rsidR="00F75EB2" w:rsidRPr="00FD06AE">
        <w:rPr>
          <w:b w:val="0"/>
        </w:rPr>
        <w:t>W</w:t>
      </w:r>
      <w:r w:rsidR="007D4E5B" w:rsidRPr="00FD06AE">
        <w:rPr>
          <w:b w:val="0"/>
        </w:rPr>
        <w:t xml:space="preserve">e will pilot test all protocols at </w:t>
      </w:r>
      <w:r w:rsidR="008175AA" w:rsidRPr="00FD06AE">
        <w:rPr>
          <w:b w:val="0"/>
        </w:rPr>
        <w:t xml:space="preserve">each </w:t>
      </w:r>
      <w:r w:rsidR="007D4E5B" w:rsidRPr="00FD06AE">
        <w:rPr>
          <w:b w:val="0"/>
        </w:rPr>
        <w:t>trauma center. W</w:t>
      </w:r>
      <w:r w:rsidR="00F75EB2" w:rsidRPr="00FD06AE">
        <w:rPr>
          <w:b w:val="0"/>
        </w:rPr>
        <w:t>e do not anticipate substantive changes to the methodology outlined in this document</w:t>
      </w:r>
      <w:r w:rsidR="00321B9E">
        <w:rPr>
          <w:b w:val="0"/>
        </w:rPr>
        <w:t xml:space="preserve"> as all procedures have been thoroughly reviewed with each center and conform to their current standard operating procedures</w:t>
      </w:r>
      <w:r w:rsidR="00F75EB2" w:rsidRPr="00FD06AE">
        <w:rPr>
          <w:b w:val="0"/>
        </w:rPr>
        <w:t>.</w:t>
      </w:r>
      <w:r w:rsidR="00E43FF8" w:rsidRPr="00FD06AE">
        <w:rPr>
          <w:b w:val="0"/>
        </w:rPr>
        <w:t xml:space="preserve"> </w:t>
      </w:r>
    </w:p>
    <w:p w14:paraId="4F80CDF7" w14:textId="77777777" w:rsidR="006D0F88" w:rsidRPr="00FD06AE" w:rsidRDefault="008175AA" w:rsidP="00FA299C">
      <w:pPr>
        <w:pStyle w:val="Heading3"/>
        <w:spacing w:after="240"/>
        <w:ind w:firstLine="720"/>
        <w:rPr>
          <w:b w:val="0"/>
        </w:rPr>
      </w:pPr>
      <w:r w:rsidRPr="00FD06AE">
        <w:rPr>
          <w:b w:val="0"/>
        </w:rPr>
        <w:t>NHTSA has experience obtaining sensitive data, including biological samples</w:t>
      </w:r>
      <w:r w:rsidR="00D054C0">
        <w:rPr>
          <w:b w:val="0"/>
        </w:rPr>
        <w:t>. T</w:t>
      </w:r>
      <w:r w:rsidR="00E43FF8" w:rsidRPr="00FD06AE">
        <w:rPr>
          <w:b w:val="0"/>
        </w:rPr>
        <w:t xml:space="preserve">he participating trauma </w:t>
      </w:r>
      <w:r w:rsidRPr="00FD06AE">
        <w:rPr>
          <w:b w:val="0"/>
        </w:rPr>
        <w:t xml:space="preserve">medical staff </w:t>
      </w:r>
      <w:r w:rsidR="00E43FF8" w:rsidRPr="00FD06AE">
        <w:rPr>
          <w:b w:val="0"/>
        </w:rPr>
        <w:t>ha</w:t>
      </w:r>
      <w:r w:rsidR="00C0544B" w:rsidRPr="00FD06AE">
        <w:rPr>
          <w:b w:val="0"/>
        </w:rPr>
        <w:t>ve</w:t>
      </w:r>
      <w:r w:rsidR="00E43FF8" w:rsidRPr="00FD06AE">
        <w:rPr>
          <w:b w:val="0"/>
        </w:rPr>
        <w:t xml:space="preserve"> </w:t>
      </w:r>
      <w:r w:rsidRPr="00FD06AE">
        <w:rPr>
          <w:b w:val="0"/>
        </w:rPr>
        <w:t>e</w:t>
      </w:r>
      <w:r w:rsidR="00E43FF8" w:rsidRPr="00FD06AE">
        <w:rPr>
          <w:b w:val="0"/>
        </w:rPr>
        <w:t xml:space="preserve">xperience </w:t>
      </w:r>
      <w:r w:rsidR="007D4E5B" w:rsidRPr="00FD06AE">
        <w:rPr>
          <w:b w:val="0"/>
        </w:rPr>
        <w:t>conducting</w:t>
      </w:r>
      <w:r w:rsidR="00E43FF8" w:rsidRPr="00FD06AE">
        <w:rPr>
          <w:b w:val="0"/>
        </w:rPr>
        <w:t xml:space="preserve"> research </w:t>
      </w:r>
      <w:r w:rsidRPr="00FD06AE">
        <w:rPr>
          <w:b w:val="0"/>
        </w:rPr>
        <w:t>within</w:t>
      </w:r>
      <w:r w:rsidR="00F0756D" w:rsidRPr="00FD06AE">
        <w:rPr>
          <w:b w:val="0"/>
        </w:rPr>
        <w:t xml:space="preserve"> their centers</w:t>
      </w:r>
      <w:r w:rsidR="00252C70" w:rsidRPr="00FD06AE">
        <w:rPr>
          <w:b w:val="0"/>
        </w:rPr>
        <w:t xml:space="preserve"> and providing de-identified samples and information to others for research purposes</w:t>
      </w:r>
      <w:r w:rsidR="002F7CDE" w:rsidRPr="00FD06AE">
        <w:rPr>
          <w:b w:val="0"/>
        </w:rPr>
        <w:t>,</w:t>
      </w:r>
      <w:r w:rsidR="00E43FF8" w:rsidRPr="00FD06AE">
        <w:rPr>
          <w:b w:val="0"/>
        </w:rPr>
        <w:t xml:space="preserve"> </w:t>
      </w:r>
      <w:r w:rsidRPr="00FD06AE">
        <w:rPr>
          <w:b w:val="0"/>
        </w:rPr>
        <w:t>and the contractor has experience in obtaining similar data for NHTSA</w:t>
      </w:r>
      <w:r w:rsidR="00D209F0" w:rsidRPr="00FD06AE">
        <w:rPr>
          <w:b w:val="0"/>
        </w:rPr>
        <w:t xml:space="preserve">. </w:t>
      </w:r>
      <w:r w:rsidRPr="00FD06AE">
        <w:rPr>
          <w:b w:val="0"/>
        </w:rPr>
        <w:t>All participating entities are s</w:t>
      </w:r>
      <w:r w:rsidR="00F75EB2" w:rsidRPr="00FD06AE">
        <w:rPr>
          <w:b w:val="0"/>
        </w:rPr>
        <w:t xml:space="preserve">ensitive to the environment in which data collection will occur and will respond with modest changes as needed to meet </w:t>
      </w:r>
      <w:r w:rsidR="002D1B43" w:rsidRPr="00FD06AE">
        <w:rPr>
          <w:b w:val="0"/>
        </w:rPr>
        <w:t xml:space="preserve">the </w:t>
      </w:r>
      <w:r w:rsidR="00243EEC">
        <w:rPr>
          <w:b w:val="0"/>
        </w:rPr>
        <w:t>target</w:t>
      </w:r>
      <w:r w:rsidR="00243EEC" w:rsidRPr="00FD06AE">
        <w:rPr>
          <w:b w:val="0"/>
        </w:rPr>
        <w:t xml:space="preserve"> </w:t>
      </w:r>
      <w:r w:rsidRPr="00FD06AE">
        <w:rPr>
          <w:b w:val="0"/>
        </w:rPr>
        <w:t xml:space="preserve">sample size </w:t>
      </w:r>
      <w:r w:rsidR="00243EEC">
        <w:rPr>
          <w:b w:val="0"/>
        </w:rPr>
        <w:t>and data quality requirements</w:t>
      </w:r>
      <w:r w:rsidR="00FA299C" w:rsidRPr="00FD06AE">
        <w:rPr>
          <w:b w:val="0"/>
        </w:rPr>
        <w:t>.</w:t>
      </w:r>
    </w:p>
    <w:p w14:paraId="1B6A63FC" w14:textId="77777777" w:rsidR="0026677E" w:rsidRPr="00FD06AE" w:rsidRDefault="001074FF" w:rsidP="0013776B">
      <w:pPr>
        <w:pStyle w:val="Heading3"/>
        <w:spacing w:after="240"/>
      </w:pPr>
      <w:r w:rsidRPr="00FD06AE">
        <w:t>B.5.</w:t>
      </w:r>
      <w:r w:rsidRPr="00FD06AE">
        <w:tab/>
        <w:t>Provide the name and telephone number of individuals consulted on statistical aspects of the design</w:t>
      </w:r>
      <w:bookmarkEnd w:id="17"/>
      <w:bookmarkEnd w:id="18"/>
      <w:bookmarkEnd w:id="19"/>
      <w:bookmarkEnd w:id="20"/>
    </w:p>
    <w:p w14:paraId="5B8A798F" w14:textId="77777777" w:rsidR="001074FF" w:rsidRPr="00211461" w:rsidRDefault="001074FF" w:rsidP="00FF1BBE">
      <w:pPr>
        <w:pStyle w:val="BodyText"/>
      </w:pPr>
      <w:r w:rsidRPr="00211461">
        <w:t>The following individuals have reviewed technical aspects of this research plan:</w:t>
      </w:r>
    </w:p>
    <w:p w14:paraId="6A6659EF" w14:textId="77777777" w:rsidR="004027A1" w:rsidRPr="00FE4CE2" w:rsidRDefault="004027A1" w:rsidP="00706A4A">
      <w:pPr>
        <w:pStyle w:val="BodyText"/>
        <w:spacing w:before="0" w:after="0"/>
        <w:ind w:firstLine="720"/>
      </w:pPr>
      <w:r w:rsidRPr="00FE4CE2">
        <w:t>Amy Berning</w:t>
      </w:r>
      <w:r w:rsidR="00092CBC" w:rsidRPr="00FE4CE2">
        <w:t>, MS</w:t>
      </w:r>
    </w:p>
    <w:p w14:paraId="739510BE" w14:textId="77777777" w:rsidR="004027A1" w:rsidRPr="00FE4CE2" w:rsidRDefault="004027A1" w:rsidP="00706A4A">
      <w:pPr>
        <w:pStyle w:val="BodyText"/>
        <w:spacing w:before="0" w:after="0"/>
        <w:ind w:firstLine="720"/>
      </w:pPr>
      <w:r w:rsidRPr="00FE4CE2">
        <w:t>Research Psychologist</w:t>
      </w:r>
      <w:r w:rsidR="00E94C71" w:rsidRPr="00FE4CE2">
        <w:t>, Office of Behavioral Safety Research</w:t>
      </w:r>
    </w:p>
    <w:p w14:paraId="38B050F2" w14:textId="77777777" w:rsidR="004027A1" w:rsidRPr="00FE4CE2" w:rsidRDefault="004027A1" w:rsidP="004027A1">
      <w:pPr>
        <w:pStyle w:val="BodyText"/>
        <w:spacing w:before="0" w:after="0"/>
        <w:ind w:firstLine="720"/>
      </w:pPr>
      <w:r w:rsidRPr="00FE4CE2">
        <w:t>National Highway Traffic Safety Administration</w:t>
      </w:r>
    </w:p>
    <w:p w14:paraId="5F1E1A92" w14:textId="77777777" w:rsidR="004027A1" w:rsidRPr="00FE4CE2" w:rsidRDefault="004027A1" w:rsidP="004027A1">
      <w:pPr>
        <w:pStyle w:val="BodyText"/>
        <w:spacing w:before="0" w:after="0"/>
        <w:ind w:firstLine="720"/>
      </w:pPr>
      <w:r w:rsidRPr="00FE4CE2">
        <w:t>Washington, DC</w:t>
      </w:r>
    </w:p>
    <w:p w14:paraId="20EE37E5" w14:textId="77777777" w:rsidR="00E94C71" w:rsidRPr="00227CB5" w:rsidRDefault="00E94C71" w:rsidP="004027A1">
      <w:pPr>
        <w:pStyle w:val="BodyText"/>
        <w:spacing w:before="0" w:after="0"/>
        <w:ind w:firstLine="720"/>
      </w:pPr>
      <w:r w:rsidRPr="00227CB5">
        <w:t>202-366-5587</w:t>
      </w:r>
    </w:p>
    <w:p w14:paraId="6DE31266" w14:textId="77777777" w:rsidR="0013776B" w:rsidRPr="00227CB5" w:rsidRDefault="0013776B"/>
    <w:p w14:paraId="3B45B476" w14:textId="77777777" w:rsidR="00FE4CE2" w:rsidRPr="00227CB5" w:rsidRDefault="00FE4CE2">
      <w:r w:rsidRPr="00227CB5">
        <w:tab/>
        <w:t>Rand</w:t>
      </w:r>
      <w:r w:rsidR="00227CB5">
        <w:t>olph</w:t>
      </w:r>
      <w:r w:rsidRPr="00227CB5">
        <w:t xml:space="preserve"> Atkins, Ph.D.</w:t>
      </w:r>
    </w:p>
    <w:p w14:paraId="7C28F1CC" w14:textId="77777777" w:rsidR="00FE4CE2" w:rsidRPr="00227CB5" w:rsidRDefault="00F36EA1">
      <w:r w:rsidRPr="00227CB5">
        <w:tab/>
        <w:t>Chief, Behavioral Research Division</w:t>
      </w:r>
    </w:p>
    <w:p w14:paraId="49D124A2" w14:textId="77777777" w:rsidR="00F36EA1" w:rsidRPr="00227CB5" w:rsidRDefault="00F36EA1">
      <w:r w:rsidRPr="00227CB5">
        <w:tab/>
        <w:t>Office of Behavioral Safety Research</w:t>
      </w:r>
    </w:p>
    <w:p w14:paraId="777728B3" w14:textId="77777777" w:rsidR="00F36EA1" w:rsidRPr="00227CB5" w:rsidRDefault="00F36EA1">
      <w:r w:rsidRPr="00227CB5">
        <w:tab/>
        <w:t>National Highway Traffic Safety Administration</w:t>
      </w:r>
    </w:p>
    <w:p w14:paraId="316150AA" w14:textId="77777777" w:rsidR="00F36EA1" w:rsidRPr="00227CB5" w:rsidRDefault="00F36EA1">
      <w:r w:rsidRPr="00227CB5">
        <w:tab/>
        <w:t>Washington, DC</w:t>
      </w:r>
    </w:p>
    <w:p w14:paraId="7D606A7D" w14:textId="77777777" w:rsidR="00FE4CE2" w:rsidRPr="00227CB5" w:rsidRDefault="00F36EA1">
      <w:r w:rsidRPr="00227CB5">
        <w:tab/>
        <w:t>202-366-5597</w:t>
      </w:r>
    </w:p>
    <w:p w14:paraId="76E22A5A" w14:textId="77777777" w:rsidR="00F36EA1" w:rsidRPr="00227CB5" w:rsidRDefault="00F36EA1"/>
    <w:p w14:paraId="5D7FC318" w14:textId="77777777" w:rsidR="004027A1" w:rsidRPr="00F36EA1" w:rsidRDefault="004027A1" w:rsidP="00706A4A">
      <w:pPr>
        <w:pStyle w:val="BodyText"/>
        <w:spacing w:before="0" w:after="0"/>
        <w:ind w:firstLine="720"/>
      </w:pPr>
      <w:r w:rsidRPr="00F36EA1">
        <w:t>Rory Austin, Ph</w:t>
      </w:r>
      <w:r w:rsidR="00FE4CE2" w:rsidRPr="00F36EA1">
        <w:t>.</w:t>
      </w:r>
      <w:r w:rsidRPr="00F36EA1">
        <w:t>D</w:t>
      </w:r>
      <w:r w:rsidR="00FE4CE2" w:rsidRPr="00F36EA1">
        <w:t>.</w:t>
      </w:r>
      <w:r w:rsidRPr="00F36EA1">
        <w:t xml:space="preserve"> </w:t>
      </w:r>
    </w:p>
    <w:p w14:paraId="096C4810" w14:textId="77777777" w:rsidR="00FE4CE2" w:rsidRPr="00F36EA1" w:rsidRDefault="00FE4CE2" w:rsidP="00706A4A">
      <w:pPr>
        <w:pStyle w:val="BodyText"/>
        <w:spacing w:before="0" w:after="0"/>
        <w:ind w:firstLine="720"/>
      </w:pPr>
      <w:r w:rsidRPr="00F36EA1">
        <w:t>Acting Office Director,</w:t>
      </w:r>
    </w:p>
    <w:p w14:paraId="1A154736" w14:textId="77777777" w:rsidR="004027A1" w:rsidRPr="00F36EA1" w:rsidRDefault="00FE4CE2" w:rsidP="00706A4A">
      <w:pPr>
        <w:pStyle w:val="BodyText"/>
        <w:spacing w:before="0" w:after="0"/>
        <w:ind w:firstLine="720"/>
      </w:pPr>
      <w:r w:rsidRPr="00F36EA1">
        <w:t xml:space="preserve">Office of Behavioral Safety Research </w:t>
      </w:r>
    </w:p>
    <w:p w14:paraId="3D599B57" w14:textId="77777777" w:rsidR="004027A1" w:rsidRPr="00F36EA1" w:rsidRDefault="004027A1" w:rsidP="00706A4A">
      <w:pPr>
        <w:pStyle w:val="BodyText"/>
        <w:spacing w:before="0" w:after="0"/>
        <w:ind w:firstLine="720"/>
      </w:pPr>
      <w:r w:rsidRPr="00F36EA1">
        <w:t>National Highway Traffic Safety Administration</w:t>
      </w:r>
    </w:p>
    <w:p w14:paraId="31A91F57" w14:textId="77777777" w:rsidR="004027A1" w:rsidRPr="00F36EA1" w:rsidRDefault="004027A1" w:rsidP="00706A4A">
      <w:pPr>
        <w:pStyle w:val="BodyText"/>
        <w:spacing w:before="0" w:after="0"/>
        <w:ind w:firstLine="720"/>
      </w:pPr>
      <w:r w:rsidRPr="00F36EA1">
        <w:t>Washington, DC</w:t>
      </w:r>
    </w:p>
    <w:p w14:paraId="40241210" w14:textId="77777777" w:rsidR="004027A1" w:rsidRPr="00F36EA1" w:rsidRDefault="004027A1" w:rsidP="00706A4A">
      <w:pPr>
        <w:pStyle w:val="BodyText"/>
        <w:spacing w:before="0" w:after="0"/>
        <w:ind w:firstLine="720"/>
      </w:pPr>
      <w:r w:rsidRPr="00F36EA1">
        <w:t>202-366-</w:t>
      </w:r>
      <w:r w:rsidR="0013776B" w:rsidRPr="00F36EA1">
        <w:t>5592</w:t>
      </w:r>
    </w:p>
    <w:p w14:paraId="42D5D843" w14:textId="77777777" w:rsidR="004027A1" w:rsidRPr="00A8506C" w:rsidRDefault="004027A1" w:rsidP="00706A4A">
      <w:pPr>
        <w:pStyle w:val="BodyText"/>
        <w:spacing w:before="0" w:after="0"/>
        <w:ind w:firstLine="720"/>
        <w:rPr>
          <w:highlight w:val="yellow"/>
        </w:rPr>
      </w:pPr>
    </w:p>
    <w:p w14:paraId="20D66420" w14:textId="77777777" w:rsidR="001074FF" w:rsidRPr="00FE4CE2" w:rsidRDefault="001074FF" w:rsidP="00706A4A">
      <w:pPr>
        <w:pStyle w:val="BodyText"/>
        <w:spacing w:before="0" w:after="0"/>
        <w:ind w:firstLine="720"/>
      </w:pPr>
      <w:r w:rsidRPr="00FE4CE2">
        <w:t>Dennis Thomas, Ph</w:t>
      </w:r>
      <w:r w:rsidR="00FE4CE2">
        <w:t>.</w:t>
      </w:r>
      <w:r w:rsidRPr="00FE4CE2">
        <w:t>D</w:t>
      </w:r>
      <w:r w:rsidR="00FE4CE2">
        <w:t>.</w:t>
      </w:r>
      <w:r w:rsidR="007154FB" w:rsidRPr="00FE4CE2">
        <w:t>, M</w:t>
      </w:r>
      <w:r w:rsidR="001455DC" w:rsidRPr="00FE4CE2">
        <w:t>A</w:t>
      </w:r>
    </w:p>
    <w:p w14:paraId="5BCBD4AC" w14:textId="77777777" w:rsidR="001074FF" w:rsidRPr="00FE4CE2" w:rsidRDefault="001074FF" w:rsidP="00706A4A">
      <w:pPr>
        <w:pStyle w:val="BodyText"/>
        <w:spacing w:before="0" w:after="0"/>
        <w:ind w:firstLine="720"/>
      </w:pPr>
      <w:r w:rsidRPr="00FE4CE2">
        <w:t>Vice President, Dunlap and Associates, Inc.</w:t>
      </w:r>
    </w:p>
    <w:p w14:paraId="35AABB67" w14:textId="77777777" w:rsidR="001074FF" w:rsidRPr="00FE4CE2" w:rsidRDefault="001074FF" w:rsidP="00706A4A">
      <w:pPr>
        <w:pStyle w:val="BodyText"/>
        <w:spacing w:before="0" w:after="0"/>
        <w:ind w:firstLine="720"/>
      </w:pPr>
      <w:r w:rsidRPr="00FE4CE2">
        <w:t>203-323-8464 (ext. 104)</w:t>
      </w:r>
    </w:p>
    <w:p w14:paraId="71E42DFD" w14:textId="77777777" w:rsidR="001074FF" w:rsidRPr="00FE4CE2" w:rsidRDefault="001074FF" w:rsidP="00706A4A">
      <w:pPr>
        <w:pStyle w:val="BodyText"/>
        <w:spacing w:before="0" w:after="0"/>
        <w:ind w:firstLine="720"/>
      </w:pPr>
    </w:p>
    <w:p w14:paraId="59C53F5D" w14:textId="77777777" w:rsidR="007C68FE" w:rsidRPr="00FE4CE2" w:rsidRDefault="007C68FE" w:rsidP="007C68FE">
      <w:pPr>
        <w:pStyle w:val="BodyText"/>
        <w:spacing w:before="0" w:after="0"/>
        <w:ind w:firstLine="720"/>
      </w:pPr>
      <w:r w:rsidRPr="00FE4CE2">
        <w:t>Raymond C. Peck, M</w:t>
      </w:r>
      <w:r w:rsidR="001455DC" w:rsidRPr="00FE4CE2">
        <w:t>A</w:t>
      </w:r>
    </w:p>
    <w:p w14:paraId="7F1CC7BF" w14:textId="77777777" w:rsidR="007C68FE" w:rsidRPr="00FE4CE2" w:rsidRDefault="007C68FE" w:rsidP="007C68FE">
      <w:pPr>
        <w:pStyle w:val="BodyText"/>
        <w:spacing w:before="0" w:after="0"/>
        <w:ind w:firstLine="720"/>
      </w:pPr>
      <w:r w:rsidRPr="00FE4CE2">
        <w:t>President, R.C. Peck and Associates</w:t>
      </w:r>
    </w:p>
    <w:p w14:paraId="0E27D8FC" w14:textId="77777777" w:rsidR="007C68FE" w:rsidRPr="00FE4CE2" w:rsidRDefault="007C68FE" w:rsidP="007C68FE">
      <w:pPr>
        <w:pStyle w:val="BodyText"/>
        <w:spacing w:before="0" w:after="0"/>
        <w:ind w:firstLine="720"/>
      </w:pPr>
      <w:r w:rsidRPr="00FE4CE2">
        <w:t>916-989-5628</w:t>
      </w:r>
    </w:p>
    <w:p w14:paraId="29BBF2EC" w14:textId="77777777" w:rsidR="00965FCF" w:rsidRPr="00FE4CE2" w:rsidRDefault="00965FCF" w:rsidP="00706A4A">
      <w:pPr>
        <w:pStyle w:val="BodyText"/>
        <w:spacing w:before="0" w:after="0"/>
        <w:ind w:firstLine="720"/>
      </w:pPr>
    </w:p>
    <w:p w14:paraId="2A630421" w14:textId="77777777" w:rsidR="001074FF" w:rsidRPr="00FE4CE2" w:rsidRDefault="001074FF" w:rsidP="00706A4A">
      <w:pPr>
        <w:pStyle w:val="BodyText"/>
        <w:spacing w:before="0" w:after="0"/>
        <w:ind w:firstLine="720"/>
      </w:pPr>
      <w:r w:rsidRPr="00FE4CE2">
        <w:t>Richard Blomberg</w:t>
      </w:r>
      <w:r w:rsidR="007D02F0" w:rsidRPr="00FE4CE2">
        <w:t>, MS</w:t>
      </w:r>
    </w:p>
    <w:p w14:paraId="33A228E6" w14:textId="77777777" w:rsidR="001074FF" w:rsidRPr="00FE4CE2" w:rsidRDefault="001074FF" w:rsidP="00706A4A">
      <w:pPr>
        <w:pStyle w:val="BodyText"/>
        <w:spacing w:before="0" w:after="0"/>
        <w:ind w:firstLine="720"/>
      </w:pPr>
      <w:r w:rsidRPr="00FE4CE2">
        <w:t>President, Dunlap and Associates, Inc.</w:t>
      </w:r>
    </w:p>
    <w:p w14:paraId="6F07E142" w14:textId="77777777" w:rsidR="001074FF" w:rsidRPr="00FE4CE2" w:rsidRDefault="001074FF" w:rsidP="00706A4A">
      <w:pPr>
        <w:pStyle w:val="BodyText"/>
        <w:spacing w:before="0" w:after="0"/>
        <w:ind w:firstLine="720"/>
      </w:pPr>
      <w:r w:rsidRPr="00FE4CE2">
        <w:t>203-323-8464 (ext. 101)</w:t>
      </w:r>
    </w:p>
    <w:p w14:paraId="1C599BC9" w14:textId="77777777" w:rsidR="007D02F0" w:rsidRPr="00FE4CE2" w:rsidRDefault="007D02F0" w:rsidP="00706A4A">
      <w:pPr>
        <w:pStyle w:val="BodyText"/>
        <w:spacing w:before="0" w:after="0"/>
        <w:ind w:firstLine="720"/>
      </w:pPr>
    </w:p>
    <w:p w14:paraId="34BA3CC5" w14:textId="77777777" w:rsidR="001455DC" w:rsidRPr="00FE4CE2" w:rsidRDefault="001455DC" w:rsidP="001455DC">
      <w:pPr>
        <w:shd w:val="clear" w:color="auto" w:fill="FFFFFF"/>
        <w:ind w:left="720"/>
      </w:pPr>
      <w:r w:rsidRPr="00FE4CE2">
        <w:t>Carl Schulman, MD, Ph</w:t>
      </w:r>
      <w:r w:rsidR="00FE4CE2">
        <w:t>.</w:t>
      </w:r>
      <w:r w:rsidRPr="00FE4CE2">
        <w:t>D</w:t>
      </w:r>
      <w:r w:rsidR="00FE4CE2">
        <w:t>.</w:t>
      </w:r>
      <w:r w:rsidRPr="00FE4CE2">
        <w:t>, MSPH, FACS</w:t>
      </w:r>
    </w:p>
    <w:p w14:paraId="67BA27BB" w14:textId="77777777" w:rsidR="001455DC" w:rsidRPr="00FE4CE2" w:rsidRDefault="001455DC" w:rsidP="001455DC">
      <w:pPr>
        <w:shd w:val="clear" w:color="auto" w:fill="FFFFFF"/>
        <w:ind w:left="720"/>
      </w:pPr>
      <w:r w:rsidRPr="00FE4CE2">
        <w:t>Professor of Surgery</w:t>
      </w:r>
    </w:p>
    <w:p w14:paraId="6B932CCA" w14:textId="77777777" w:rsidR="001455DC" w:rsidRPr="00FE4CE2" w:rsidRDefault="001455DC" w:rsidP="001455DC">
      <w:pPr>
        <w:shd w:val="clear" w:color="auto" w:fill="FFFFFF"/>
        <w:ind w:left="720"/>
      </w:pPr>
      <w:r w:rsidRPr="00FE4CE2">
        <w:t>Executive Dean for Research</w:t>
      </w:r>
    </w:p>
    <w:p w14:paraId="082A24E4" w14:textId="77777777" w:rsidR="001455DC" w:rsidRPr="00FE4CE2" w:rsidRDefault="001455DC" w:rsidP="001455DC">
      <w:pPr>
        <w:shd w:val="clear" w:color="auto" w:fill="FFFFFF"/>
        <w:ind w:left="720"/>
      </w:pPr>
      <w:r w:rsidRPr="00FE4CE2">
        <w:t>Director – William Lehman Injury Research Center</w:t>
      </w:r>
    </w:p>
    <w:p w14:paraId="53D5FAB2" w14:textId="77777777" w:rsidR="001455DC" w:rsidRPr="00FE4CE2" w:rsidRDefault="001455DC" w:rsidP="001455DC">
      <w:pPr>
        <w:shd w:val="clear" w:color="auto" w:fill="FFFFFF"/>
        <w:ind w:left="720"/>
      </w:pPr>
      <w:r w:rsidRPr="00FE4CE2">
        <w:t>University of Miami Miller School of Medicine / Ryder Trauma Center</w:t>
      </w:r>
    </w:p>
    <w:p w14:paraId="52FF5D86" w14:textId="77777777" w:rsidR="002D1B43" w:rsidRPr="00955E3C" w:rsidRDefault="007D02F0" w:rsidP="00E26FC7">
      <w:pPr>
        <w:pStyle w:val="BodyText"/>
        <w:spacing w:before="0" w:after="0"/>
        <w:ind w:firstLine="720"/>
      </w:pPr>
      <w:r w:rsidRPr="00FE4CE2">
        <w:t>305-585-1178</w:t>
      </w:r>
    </w:p>
    <w:sectPr w:rsidR="002D1B43" w:rsidRPr="00955E3C" w:rsidSect="00E156BD">
      <w:footerReference w:type="first" r:id="rId10"/>
      <w:type w:val="continuous"/>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FBD8A" w14:textId="77777777" w:rsidR="000D24DC" w:rsidRDefault="000D24DC">
      <w:r>
        <w:separator/>
      </w:r>
    </w:p>
  </w:endnote>
  <w:endnote w:type="continuationSeparator" w:id="0">
    <w:p w14:paraId="6B3A222A" w14:textId="77777777" w:rsidR="000D24DC" w:rsidRDefault="000D24DC">
      <w:r>
        <w:continuationSeparator/>
      </w:r>
    </w:p>
  </w:endnote>
  <w:endnote w:type="continuationNotice" w:id="1">
    <w:p w14:paraId="440D9F23" w14:textId="77777777" w:rsidR="000D24DC" w:rsidRDefault="000D2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CBC3" w14:textId="77777777" w:rsidR="00CC01E9" w:rsidRPr="00CC01E9" w:rsidRDefault="00CC01E9">
    <w:pPr>
      <w:pStyle w:val="Footer"/>
      <w:jc w:val="right"/>
      <w:rPr>
        <w:sz w:val="16"/>
        <w:szCs w:val="16"/>
      </w:rPr>
    </w:pPr>
  </w:p>
  <w:p w14:paraId="7C81D400" w14:textId="77777777" w:rsidR="00CC01E9" w:rsidRDefault="00CC0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A2481" w14:textId="77777777" w:rsidR="000D24DC" w:rsidRDefault="000D24DC">
      <w:r>
        <w:separator/>
      </w:r>
    </w:p>
  </w:footnote>
  <w:footnote w:type="continuationSeparator" w:id="0">
    <w:p w14:paraId="69E62353" w14:textId="77777777" w:rsidR="000D24DC" w:rsidRDefault="000D24DC">
      <w:r>
        <w:continuationSeparator/>
      </w:r>
    </w:p>
  </w:footnote>
  <w:footnote w:type="continuationNotice" w:id="1">
    <w:p w14:paraId="5F78D9AB" w14:textId="77777777" w:rsidR="000D24DC" w:rsidRDefault="000D24DC"/>
  </w:footnote>
  <w:footnote w:id="2">
    <w:p w14:paraId="1130DA28" w14:textId="77777777" w:rsidR="007C64BC" w:rsidRPr="00495B3B" w:rsidRDefault="007C64BC" w:rsidP="007C64BC">
      <w:pPr>
        <w:pStyle w:val="FootnoteText"/>
        <w:rPr>
          <w:sz w:val="19"/>
          <w:szCs w:val="19"/>
        </w:rPr>
      </w:pPr>
      <w:r w:rsidRPr="00495B3B">
        <w:rPr>
          <w:rStyle w:val="FootnoteReference"/>
          <w:sz w:val="19"/>
          <w:szCs w:val="19"/>
        </w:rPr>
        <w:footnoteRef/>
      </w:r>
      <w:r w:rsidRPr="00495B3B">
        <w:rPr>
          <w:sz w:val="19"/>
          <w:szCs w:val="19"/>
        </w:rPr>
        <w:t xml:space="preserve"> Hels, T., Bernhoft, I. M., Lyckegaard, A., Houwing, S., Hagenzieker, M., Legrand, S., Verstraete, A. (2011). Risk of injury by driving with alcohol and other drugs. DRUID (Driving under the Influence of Drugs, Alcohol and Medicines).</w:t>
      </w:r>
    </w:p>
  </w:footnote>
  <w:footnote w:id="3">
    <w:p w14:paraId="1A2DFE16" w14:textId="77777777" w:rsidR="00DF2BC3" w:rsidRDefault="00DF2BC3" w:rsidP="00DF2BC3">
      <w:pPr>
        <w:pStyle w:val="FootnoteText"/>
      </w:pPr>
      <w:r>
        <w:rPr>
          <w:rStyle w:val="FootnoteReference"/>
        </w:rPr>
        <w:footnoteRef/>
      </w:r>
      <w:r>
        <w:t xml:space="preserve"> Brubacher, J., Chan, H., Martz, W., Schreiber, W., Abridge, M., Eppler, J., Lund, A., Macdonald, S., Drummer, O., Purssell, R., Andolfatto, G., Mann, R., &amp; Brant, R. (2016) Prevalence of alcohol and drug use in injured British Columbia drivers. </w:t>
      </w:r>
      <w:r>
        <w:rPr>
          <w:i/>
        </w:rPr>
        <w:t>BMJ Open</w:t>
      </w:r>
      <w:r>
        <w:t xml:space="preserve">, </w:t>
      </w:r>
      <w:r>
        <w:rPr>
          <w:i/>
        </w:rPr>
        <w:t>6</w:t>
      </w:r>
      <w:r>
        <w:t>:</w:t>
      </w:r>
      <w:r w:rsidRPr="001453CB">
        <w:t>e009278</w:t>
      </w:r>
      <w:r>
        <w:t>.</w:t>
      </w:r>
    </w:p>
  </w:footnote>
  <w:footnote w:id="4">
    <w:p w14:paraId="71794564" w14:textId="77777777" w:rsidR="000676A2" w:rsidRDefault="000676A2" w:rsidP="000676A2">
      <w:pPr>
        <w:pStyle w:val="FootnoteText"/>
      </w:pPr>
      <w:r>
        <w:rPr>
          <w:rStyle w:val="FootnoteReference"/>
        </w:rPr>
        <w:footnoteRef/>
      </w:r>
      <w:r>
        <w:t xml:space="preserve"> Daniel, W.W. (1999). </w:t>
      </w:r>
      <w:r w:rsidRPr="006040A2">
        <w:rPr>
          <w:i/>
        </w:rPr>
        <w:t>Biostatistics: A Foundation for Analysis in the Health Sciences.</w:t>
      </w:r>
      <w:r>
        <w:t xml:space="preserve"> 7th Edition. New York: John Wiley &amp; Sons.</w:t>
      </w:r>
    </w:p>
  </w:footnote>
  <w:footnote w:id="5">
    <w:p w14:paraId="5467FE65" w14:textId="77777777" w:rsidR="006F5E06" w:rsidRDefault="006F5E06" w:rsidP="006F5E06">
      <w:pPr>
        <w:pStyle w:val="FootnoteText"/>
      </w:pPr>
      <w:r>
        <w:rPr>
          <w:rStyle w:val="FootnoteReference"/>
        </w:rPr>
        <w:footnoteRef/>
      </w:r>
      <w:r>
        <w:t xml:space="preserve"> Naing, L., Winn, T., &amp; Rusli, B.N. (2006). Practical issues in calculating the sample size for prevalence studies. </w:t>
      </w:r>
      <w:r w:rsidRPr="006040A2">
        <w:rPr>
          <w:i/>
        </w:rPr>
        <w:t>Medical Statistics, 1,</w:t>
      </w:r>
      <w:r>
        <w:t xml:space="preserve"> 9-14.</w:t>
      </w:r>
    </w:p>
  </w:footnote>
  <w:footnote w:id="6">
    <w:p w14:paraId="34974647" w14:textId="77777777" w:rsidR="00763952" w:rsidRPr="00584BE8" w:rsidRDefault="00763952" w:rsidP="008E30FF">
      <w:pPr>
        <w:ind w:right="-360"/>
        <w:rPr>
          <w:sz w:val="20"/>
          <w:szCs w:val="20"/>
        </w:rPr>
      </w:pPr>
      <w:r w:rsidRPr="006B36A2">
        <w:rPr>
          <w:rStyle w:val="FootnoteReference"/>
          <w:sz w:val="20"/>
        </w:rPr>
        <w:footnoteRef/>
      </w:r>
      <w:r w:rsidRPr="006B36A2">
        <w:rPr>
          <w:sz w:val="20"/>
        </w:rPr>
        <w:t xml:space="preserve"> </w:t>
      </w:r>
      <w:r w:rsidRPr="00584BE8">
        <w:rPr>
          <w:sz w:val="20"/>
          <w:szCs w:val="20"/>
        </w:rPr>
        <w:t>https://www.hhs.gov/ohrp/regulations-and-policy/guidance/faq/informed-consent/index.html</w:t>
      </w:r>
    </w:p>
  </w:footnote>
  <w:footnote w:id="7">
    <w:p w14:paraId="2A6FE69D" w14:textId="77777777" w:rsidR="00763952" w:rsidRPr="00FD06AE" w:rsidRDefault="00763952">
      <w:pPr>
        <w:pStyle w:val="FootnoteText"/>
      </w:pPr>
      <w:r w:rsidRPr="00FF1BBE">
        <w:rPr>
          <w:rStyle w:val="FootnoteReference"/>
        </w:rPr>
        <w:footnoteRef/>
      </w:r>
      <w:r w:rsidRPr="00FF1BBE">
        <w:t xml:space="preserve"> </w:t>
      </w:r>
      <w:r w:rsidRPr="00FD06AE">
        <w:t>Previously known as Chesapeake IRB.</w:t>
      </w:r>
    </w:p>
  </w:footnote>
  <w:footnote w:id="8">
    <w:p w14:paraId="21EEE031" w14:textId="77777777" w:rsidR="006D1581" w:rsidRPr="00584BE8" w:rsidRDefault="006D1581" w:rsidP="006D1581">
      <w:pPr>
        <w:pStyle w:val="FootnoteText"/>
      </w:pPr>
      <w:r w:rsidRPr="00FD06AE">
        <w:rPr>
          <w:rStyle w:val="FootnoteReference"/>
        </w:rPr>
        <w:footnoteRef/>
      </w:r>
      <w:r w:rsidRPr="00FD06AE">
        <w:t xml:space="preserve"> </w:t>
      </w:r>
      <w:r w:rsidRPr="006D1581">
        <w:t xml:space="preserve">45 CFR 164.501, 164.508, 164.512(i) </w:t>
      </w:r>
      <w:r>
        <w:t xml:space="preserve">as reported in </w:t>
      </w:r>
      <w:r w:rsidRPr="00FD06AE">
        <w:t>https://www.hhs.gov/hipaa/for-professionals/privacy/guidance/research/index.html</w:t>
      </w:r>
    </w:p>
  </w:footnote>
  <w:footnote w:id="9">
    <w:p w14:paraId="641B7265" w14:textId="77777777" w:rsidR="00763952" w:rsidRDefault="00763952">
      <w:pPr>
        <w:pStyle w:val="FootnoteText"/>
      </w:pPr>
      <w:r>
        <w:rPr>
          <w:rStyle w:val="FootnoteReference"/>
        </w:rPr>
        <w:footnoteRef/>
      </w:r>
      <w:r>
        <w:t xml:space="preserve"> See </w:t>
      </w:r>
      <w:hyperlink r:id="rId1" w:history="1">
        <w:r w:rsidRPr="00BA391C">
          <w:rPr>
            <w:rStyle w:val="Hyperlink"/>
          </w:rPr>
          <w:t>http://ems.ufhealthjax.org/uf-health-jax-trauma-criteria/</w:t>
        </w:r>
      </w:hyperlink>
      <w:r>
        <w:t xml:space="preserve"> for an example of the criteria used by one of </w:t>
      </w:r>
      <w:r w:rsidR="00093DA1">
        <w:t xml:space="preserve">the </w:t>
      </w:r>
      <w:r>
        <w:t xml:space="preserve">participating </w:t>
      </w:r>
      <w:r w:rsidR="00093DA1">
        <w:t>trauma centers/</w:t>
      </w:r>
      <w:r>
        <w:t>hospitals.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ACA9CA"/>
    <w:lvl w:ilvl="0">
      <w:start w:val="1"/>
      <w:numFmt w:val="decimal"/>
      <w:lvlText w:val="%1."/>
      <w:lvlJc w:val="left"/>
      <w:pPr>
        <w:tabs>
          <w:tab w:val="num" w:pos="1800"/>
        </w:tabs>
        <w:ind w:left="1800" w:hanging="360"/>
      </w:pPr>
    </w:lvl>
  </w:abstractNum>
  <w:abstractNum w:abstractNumId="1">
    <w:nsid w:val="FFFFFF7E"/>
    <w:multiLevelType w:val="singleLevel"/>
    <w:tmpl w:val="08388768"/>
    <w:lvl w:ilvl="0">
      <w:start w:val="1"/>
      <w:numFmt w:val="decimal"/>
      <w:pStyle w:val="ListBullet2"/>
      <w:lvlText w:val="%1."/>
      <w:lvlJc w:val="left"/>
      <w:pPr>
        <w:tabs>
          <w:tab w:val="num" w:pos="1080"/>
        </w:tabs>
        <w:ind w:left="1080" w:hanging="360"/>
      </w:pPr>
    </w:lvl>
  </w:abstractNum>
  <w:abstractNum w:abstractNumId="2">
    <w:nsid w:val="FFFFFF7F"/>
    <w:multiLevelType w:val="singleLevel"/>
    <w:tmpl w:val="D128769E"/>
    <w:lvl w:ilvl="0">
      <w:start w:val="1"/>
      <w:numFmt w:val="decimal"/>
      <w:pStyle w:val="ListNumber2"/>
      <w:lvlText w:val="%1."/>
      <w:lvlJc w:val="left"/>
      <w:pPr>
        <w:tabs>
          <w:tab w:val="num" w:pos="720"/>
        </w:tabs>
        <w:ind w:left="720" w:hanging="360"/>
      </w:pPr>
    </w:lvl>
  </w:abstractNum>
  <w:abstractNum w:abstractNumId="3">
    <w:nsid w:val="FFFFFF83"/>
    <w:multiLevelType w:val="singleLevel"/>
    <w:tmpl w:val="30605CCC"/>
    <w:lvl w:ilvl="0">
      <w:start w:val="1"/>
      <w:numFmt w:val="bullet"/>
      <w:pStyle w:val="ListNumber3"/>
      <w:lvlText w:val=""/>
      <w:lvlJc w:val="left"/>
      <w:pPr>
        <w:tabs>
          <w:tab w:val="num" w:pos="720"/>
        </w:tabs>
        <w:ind w:left="720" w:hanging="360"/>
      </w:pPr>
      <w:rPr>
        <w:rFonts w:ascii="Symbol" w:hAnsi="Symbol" w:hint="default"/>
      </w:rPr>
    </w:lvl>
  </w:abstractNum>
  <w:abstractNum w:abstractNumId="4">
    <w:nsid w:val="FFFFFF88"/>
    <w:multiLevelType w:val="singleLevel"/>
    <w:tmpl w:val="A194503C"/>
    <w:lvl w:ilvl="0">
      <w:start w:val="1"/>
      <w:numFmt w:val="decimal"/>
      <w:pStyle w:val="ListNumber"/>
      <w:lvlText w:val="%1."/>
      <w:lvlJc w:val="left"/>
      <w:pPr>
        <w:tabs>
          <w:tab w:val="num" w:pos="360"/>
        </w:tabs>
        <w:ind w:left="360" w:hanging="360"/>
      </w:pPr>
    </w:lvl>
  </w:abstractNum>
  <w:abstractNum w:abstractNumId="5">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402"/>
    <w:multiLevelType w:val="multilevel"/>
    <w:tmpl w:val="00000885"/>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3DB0BB5"/>
    <w:multiLevelType w:val="hybridMultilevel"/>
    <w:tmpl w:val="8C22612A"/>
    <w:lvl w:ilvl="0" w:tplc="0ACA26F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05275E3A"/>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8943A32"/>
    <w:multiLevelType w:val="hybridMultilevel"/>
    <w:tmpl w:val="B252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20D41"/>
    <w:multiLevelType w:val="hybridMultilevel"/>
    <w:tmpl w:val="2B826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5C1CDA"/>
    <w:multiLevelType w:val="hybridMultilevel"/>
    <w:tmpl w:val="F88E0AF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6557357"/>
    <w:multiLevelType w:val="hybridMultilevel"/>
    <w:tmpl w:val="7D4A01CA"/>
    <w:lvl w:ilvl="0" w:tplc="13B2E46A">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77645"/>
    <w:multiLevelType w:val="multilevel"/>
    <w:tmpl w:val="EB8A90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78129F"/>
    <w:multiLevelType w:val="hybridMultilevel"/>
    <w:tmpl w:val="9D8A48F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2524F67"/>
    <w:multiLevelType w:val="multilevel"/>
    <w:tmpl w:val="E7320F12"/>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7">
    <w:nsid w:val="339474CD"/>
    <w:multiLevelType w:val="multilevel"/>
    <w:tmpl w:val="4E906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697BA8"/>
    <w:multiLevelType w:val="hybridMultilevel"/>
    <w:tmpl w:val="7C7ACC3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A64E20"/>
    <w:multiLevelType w:val="hybridMultilevel"/>
    <w:tmpl w:val="DCF0A3BA"/>
    <w:lvl w:ilvl="0" w:tplc="2CE8240E">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820DD9"/>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07372C"/>
    <w:multiLevelType w:val="hybridMultilevel"/>
    <w:tmpl w:val="82A44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BB3BFB"/>
    <w:multiLevelType w:val="multilevel"/>
    <w:tmpl w:val="91FC0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E147A1C"/>
    <w:multiLevelType w:val="hybridMultilevel"/>
    <w:tmpl w:val="F624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5A28ED"/>
    <w:multiLevelType w:val="hybridMultilevel"/>
    <w:tmpl w:val="71846CB8"/>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AD6532"/>
    <w:multiLevelType w:val="hybridMultilevel"/>
    <w:tmpl w:val="F2601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B31707"/>
    <w:multiLevelType w:val="hybridMultilevel"/>
    <w:tmpl w:val="5F2A5D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1F2783"/>
    <w:multiLevelType w:val="hybridMultilevel"/>
    <w:tmpl w:val="0164C2AA"/>
    <w:lvl w:ilvl="0" w:tplc="EABA9CFA">
      <w:start w:val="1"/>
      <w:numFmt w:val="decimal"/>
      <w:pStyle w:val="bioref"/>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72016B62"/>
    <w:multiLevelType w:val="hybridMultilevel"/>
    <w:tmpl w:val="A768C91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77803170"/>
    <w:multiLevelType w:val="hybridMultilevel"/>
    <w:tmpl w:val="A092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12"/>
  </w:num>
  <w:num w:numId="7">
    <w:abstractNumId w:val="24"/>
  </w:num>
  <w:num w:numId="8">
    <w:abstractNumId w:val="19"/>
  </w:num>
  <w:num w:numId="9">
    <w:abstractNumId w:val="21"/>
  </w:num>
  <w:num w:numId="10">
    <w:abstractNumId w:val="5"/>
  </w:num>
  <w:num w:numId="11">
    <w:abstractNumId w:val="31"/>
  </w:num>
  <w:num w:numId="12">
    <w:abstractNumId w:val="33"/>
  </w:num>
  <w:num w:numId="13">
    <w:abstractNumId w:val="10"/>
  </w:num>
  <w:num w:numId="14">
    <w:abstractNumId w:val="15"/>
  </w:num>
  <w:num w:numId="15">
    <w:abstractNumId w:val="32"/>
  </w:num>
  <w:num w:numId="16">
    <w:abstractNumId w:val="26"/>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6"/>
  </w:num>
  <w:num w:numId="21">
    <w:abstractNumId w:val="22"/>
  </w:num>
  <w:num w:numId="22">
    <w:abstractNumId w:val="27"/>
  </w:num>
  <w:num w:numId="23">
    <w:abstractNumId w:val="8"/>
  </w:num>
  <w:num w:numId="24">
    <w:abstractNumId w:val="34"/>
  </w:num>
  <w:num w:numId="25">
    <w:abstractNumId w:val="16"/>
  </w:num>
  <w:num w:numId="26">
    <w:abstractNumId w:val="17"/>
  </w:num>
  <w:num w:numId="27">
    <w:abstractNumId w:val="11"/>
  </w:num>
  <w:num w:numId="28">
    <w:abstractNumId w:val="13"/>
  </w:num>
  <w:num w:numId="29">
    <w:abstractNumId w:val="18"/>
  </w:num>
  <w:num w:numId="30">
    <w:abstractNumId w:val="14"/>
  </w:num>
  <w:num w:numId="31">
    <w:abstractNumId w:val="30"/>
  </w:num>
  <w:num w:numId="32">
    <w:abstractNumId w:val="29"/>
  </w:num>
  <w:num w:numId="33">
    <w:abstractNumId w:val="25"/>
  </w:num>
  <w:num w:numId="34">
    <w:abstractNumId w:val="7"/>
  </w:num>
  <w:num w:numId="35">
    <w:abstractNumId w:val="9"/>
  </w:num>
  <w:num w:numId="3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3281"/>
    <w:rsid w:val="00003727"/>
    <w:rsid w:val="0000450E"/>
    <w:rsid w:val="000058C2"/>
    <w:rsid w:val="00005E5B"/>
    <w:rsid w:val="000064B7"/>
    <w:rsid w:val="000067A7"/>
    <w:rsid w:val="00007F10"/>
    <w:rsid w:val="00010AFE"/>
    <w:rsid w:val="00011905"/>
    <w:rsid w:val="00011D15"/>
    <w:rsid w:val="00013B0B"/>
    <w:rsid w:val="00020B2E"/>
    <w:rsid w:val="00024342"/>
    <w:rsid w:val="00024366"/>
    <w:rsid w:val="0002438C"/>
    <w:rsid w:val="000244FC"/>
    <w:rsid w:val="00024CAB"/>
    <w:rsid w:val="00024F6C"/>
    <w:rsid w:val="00025F18"/>
    <w:rsid w:val="0002697A"/>
    <w:rsid w:val="000306FF"/>
    <w:rsid w:val="000327D2"/>
    <w:rsid w:val="000334A1"/>
    <w:rsid w:val="00034259"/>
    <w:rsid w:val="0003484A"/>
    <w:rsid w:val="00036054"/>
    <w:rsid w:val="00042086"/>
    <w:rsid w:val="0004577B"/>
    <w:rsid w:val="00045EDB"/>
    <w:rsid w:val="00046487"/>
    <w:rsid w:val="000465C4"/>
    <w:rsid w:val="000474C6"/>
    <w:rsid w:val="000509FA"/>
    <w:rsid w:val="0005144D"/>
    <w:rsid w:val="00054254"/>
    <w:rsid w:val="00060174"/>
    <w:rsid w:val="00060BF6"/>
    <w:rsid w:val="00060E35"/>
    <w:rsid w:val="0006191A"/>
    <w:rsid w:val="00061E0B"/>
    <w:rsid w:val="000624D2"/>
    <w:rsid w:val="00063277"/>
    <w:rsid w:val="000639D3"/>
    <w:rsid w:val="00063B1D"/>
    <w:rsid w:val="00065652"/>
    <w:rsid w:val="000657DA"/>
    <w:rsid w:val="00065AFF"/>
    <w:rsid w:val="000665A4"/>
    <w:rsid w:val="000676A2"/>
    <w:rsid w:val="00067F2B"/>
    <w:rsid w:val="000707C9"/>
    <w:rsid w:val="00070A6C"/>
    <w:rsid w:val="000717BC"/>
    <w:rsid w:val="00071858"/>
    <w:rsid w:val="000721AD"/>
    <w:rsid w:val="000727CB"/>
    <w:rsid w:val="00074D91"/>
    <w:rsid w:val="00076EE2"/>
    <w:rsid w:val="000770DC"/>
    <w:rsid w:val="000827D9"/>
    <w:rsid w:val="00083749"/>
    <w:rsid w:val="0008408B"/>
    <w:rsid w:val="0008444E"/>
    <w:rsid w:val="000851B9"/>
    <w:rsid w:val="0008549A"/>
    <w:rsid w:val="00085A15"/>
    <w:rsid w:val="00085CAD"/>
    <w:rsid w:val="00086888"/>
    <w:rsid w:val="00087365"/>
    <w:rsid w:val="00087D79"/>
    <w:rsid w:val="00090D42"/>
    <w:rsid w:val="00092002"/>
    <w:rsid w:val="00092CBC"/>
    <w:rsid w:val="00093DA1"/>
    <w:rsid w:val="000942B8"/>
    <w:rsid w:val="000942FA"/>
    <w:rsid w:val="00096AF3"/>
    <w:rsid w:val="000A1204"/>
    <w:rsid w:val="000A225D"/>
    <w:rsid w:val="000A305F"/>
    <w:rsid w:val="000A38C6"/>
    <w:rsid w:val="000A6A85"/>
    <w:rsid w:val="000A6ECE"/>
    <w:rsid w:val="000B320B"/>
    <w:rsid w:val="000B3C3C"/>
    <w:rsid w:val="000B3E51"/>
    <w:rsid w:val="000B7CE1"/>
    <w:rsid w:val="000C019C"/>
    <w:rsid w:val="000C0516"/>
    <w:rsid w:val="000C1E0F"/>
    <w:rsid w:val="000C3A05"/>
    <w:rsid w:val="000C3A5D"/>
    <w:rsid w:val="000C43CB"/>
    <w:rsid w:val="000C43F0"/>
    <w:rsid w:val="000C5629"/>
    <w:rsid w:val="000C5F0E"/>
    <w:rsid w:val="000D24DC"/>
    <w:rsid w:val="000D5FAA"/>
    <w:rsid w:val="000D7D66"/>
    <w:rsid w:val="000E3A02"/>
    <w:rsid w:val="000E44AC"/>
    <w:rsid w:val="000E6F8B"/>
    <w:rsid w:val="000F0B8B"/>
    <w:rsid w:val="000F114B"/>
    <w:rsid w:val="000F124C"/>
    <w:rsid w:val="000F1E21"/>
    <w:rsid w:val="000F341A"/>
    <w:rsid w:val="000F6CBC"/>
    <w:rsid w:val="00100D16"/>
    <w:rsid w:val="00102A41"/>
    <w:rsid w:val="00102A61"/>
    <w:rsid w:val="00103554"/>
    <w:rsid w:val="0010502A"/>
    <w:rsid w:val="0010572F"/>
    <w:rsid w:val="001074FF"/>
    <w:rsid w:val="00110E4E"/>
    <w:rsid w:val="001113A3"/>
    <w:rsid w:val="0011176A"/>
    <w:rsid w:val="00111A32"/>
    <w:rsid w:val="00115B34"/>
    <w:rsid w:val="00115BFE"/>
    <w:rsid w:val="0011631C"/>
    <w:rsid w:val="00116794"/>
    <w:rsid w:val="001171C5"/>
    <w:rsid w:val="00117AB9"/>
    <w:rsid w:val="00117C47"/>
    <w:rsid w:val="00120B50"/>
    <w:rsid w:val="001217EB"/>
    <w:rsid w:val="001227F0"/>
    <w:rsid w:val="001233E2"/>
    <w:rsid w:val="00127093"/>
    <w:rsid w:val="0012748C"/>
    <w:rsid w:val="001276B2"/>
    <w:rsid w:val="001304A5"/>
    <w:rsid w:val="001306C9"/>
    <w:rsid w:val="0013211B"/>
    <w:rsid w:val="00133FA9"/>
    <w:rsid w:val="001347BE"/>
    <w:rsid w:val="00136ADC"/>
    <w:rsid w:val="00136BE7"/>
    <w:rsid w:val="0013776B"/>
    <w:rsid w:val="00141020"/>
    <w:rsid w:val="00142303"/>
    <w:rsid w:val="00143A28"/>
    <w:rsid w:val="00143CE0"/>
    <w:rsid w:val="001446F0"/>
    <w:rsid w:val="001455DC"/>
    <w:rsid w:val="001455FB"/>
    <w:rsid w:val="00145771"/>
    <w:rsid w:val="00146204"/>
    <w:rsid w:val="001476BB"/>
    <w:rsid w:val="0015174A"/>
    <w:rsid w:val="00152CE0"/>
    <w:rsid w:val="00152E5C"/>
    <w:rsid w:val="001532A9"/>
    <w:rsid w:val="00153BF6"/>
    <w:rsid w:val="00156FFF"/>
    <w:rsid w:val="00157439"/>
    <w:rsid w:val="001600CD"/>
    <w:rsid w:val="00164ADA"/>
    <w:rsid w:val="00164DA0"/>
    <w:rsid w:val="00165B14"/>
    <w:rsid w:val="00170C39"/>
    <w:rsid w:val="0017183B"/>
    <w:rsid w:val="0017221C"/>
    <w:rsid w:val="0017314D"/>
    <w:rsid w:val="00174262"/>
    <w:rsid w:val="001771CC"/>
    <w:rsid w:val="001774F2"/>
    <w:rsid w:val="00181C08"/>
    <w:rsid w:val="001827F2"/>
    <w:rsid w:val="00183A60"/>
    <w:rsid w:val="00183AFA"/>
    <w:rsid w:val="001851A2"/>
    <w:rsid w:val="00185BDA"/>
    <w:rsid w:val="00186409"/>
    <w:rsid w:val="00186E97"/>
    <w:rsid w:val="00187B5E"/>
    <w:rsid w:val="00192192"/>
    <w:rsid w:val="001926D6"/>
    <w:rsid w:val="00193D28"/>
    <w:rsid w:val="00193E69"/>
    <w:rsid w:val="00195C28"/>
    <w:rsid w:val="00196387"/>
    <w:rsid w:val="00196690"/>
    <w:rsid w:val="001A08C8"/>
    <w:rsid w:val="001A0B41"/>
    <w:rsid w:val="001A199C"/>
    <w:rsid w:val="001A252B"/>
    <w:rsid w:val="001A2560"/>
    <w:rsid w:val="001A3C31"/>
    <w:rsid w:val="001A40F3"/>
    <w:rsid w:val="001A51FA"/>
    <w:rsid w:val="001A58F8"/>
    <w:rsid w:val="001A648D"/>
    <w:rsid w:val="001A6584"/>
    <w:rsid w:val="001A73D3"/>
    <w:rsid w:val="001A7B44"/>
    <w:rsid w:val="001B05E2"/>
    <w:rsid w:val="001B368A"/>
    <w:rsid w:val="001B473F"/>
    <w:rsid w:val="001C0617"/>
    <w:rsid w:val="001C0AA3"/>
    <w:rsid w:val="001C60CD"/>
    <w:rsid w:val="001D3A1B"/>
    <w:rsid w:val="001D4221"/>
    <w:rsid w:val="001D496D"/>
    <w:rsid w:val="001D7CB0"/>
    <w:rsid w:val="001E0B26"/>
    <w:rsid w:val="001E3C28"/>
    <w:rsid w:val="001E4536"/>
    <w:rsid w:val="001E4FF4"/>
    <w:rsid w:val="001E5C9E"/>
    <w:rsid w:val="001E7EA4"/>
    <w:rsid w:val="001F0C90"/>
    <w:rsid w:val="001F1204"/>
    <w:rsid w:val="001F2018"/>
    <w:rsid w:val="001F529E"/>
    <w:rsid w:val="001F73F3"/>
    <w:rsid w:val="002007C0"/>
    <w:rsid w:val="0020098A"/>
    <w:rsid w:val="00200C94"/>
    <w:rsid w:val="00203160"/>
    <w:rsid w:val="00206DB1"/>
    <w:rsid w:val="00207029"/>
    <w:rsid w:val="0020774B"/>
    <w:rsid w:val="00211461"/>
    <w:rsid w:val="00214261"/>
    <w:rsid w:val="00215CE5"/>
    <w:rsid w:val="0021689E"/>
    <w:rsid w:val="00217D4C"/>
    <w:rsid w:val="00221A57"/>
    <w:rsid w:val="00224CB1"/>
    <w:rsid w:val="00224DF4"/>
    <w:rsid w:val="002255C6"/>
    <w:rsid w:val="00227720"/>
    <w:rsid w:val="0022783E"/>
    <w:rsid w:val="00227CB5"/>
    <w:rsid w:val="00230727"/>
    <w:rsid w:val="00232B40"/>
    <w:rsid w:val="00232C09"/>
    <w:rsid w:val="0023449C"/>
    <w:rsid w:val="0023551C"/>
    <w:rsid w:val="00235928"/>
    <w:rsid w:val="00235EB0"/>
    <w:rsid w:val="00236671"/>
    <w:rsid w:val="00240C71"/>
    <w:rsid w:val="00243EEC"/>
    <w:rsid w:val="002457BF"/>
    <w:rsid w:val="00245DC0"/>
    <w:rsid w:val="002467C5"/>
    <w:rsid w:val="00246939"/>
    <w:rsid w:val="002470A8"/>
    <w:rsid w:val="00250889"/>
    <w:rsid w:val="00250E96"/>
    <w:rsid w:val="002518F8"/>
    <w:rsid w:val="002528F1"/>
    <w:rsid w:val="00252C70"/>
    <w:rsid w:val="00252D90"/>
    <w:rsid w:val="00253135"/>
    <w:rsid w:val="002552E4"/>
    <w:rsid w:val="00255E1F"/>
    <w:rsid w:val="002569E1"/>
    <w:rsid w:val="00256A49"/>
    <w:rsid w:val="00257142"/>
    <w:rsid w:val="00262923"/>
    <w:rsid w:val="0026510A"/>
    <w:rsid w:val="0026677E"/>
    <w:rsid w:val="00266D9C"/>
    <w:rsid w:val="00267883"/>
    <w:rsid w:val="002679B7"/>
    <w:rsid w:val="00267D66"/>
    <w:rsid w:val="00270C0D"/>
    <w:rsid w:val="00271DA2"/>
    <w:rsid w:val="00273A11"/>
    <w:rsid w:val="00274FF5"/>
    <w:rsid w:val="00277BC6"/>
    <w:rsid w:val="00280951"/>
    <w:rsid w:val="002812C9"/>
    <w:rsid w:val="00282AC1"/>
    <w:rsid w:val="00283ECB"/>
    <w:rsid w:val="002842B6"/>
    <w:rsid w:val="002847EB"/>
    <w:rsid w:val="00287830"/>
    <w:rsid w:val="002912DA"/>
    <w:rsid w:val="00293145"/>
    <w:rsid w:val="00293945"/>
    <w:rsid w:val="0029462A"/>
    <w:rsid w:val="00294B78"/>
    <w:rsid w:val="002963BC"/>
    <w:rsid w:val="00297BB9"/>
    <w:rsid w:val="002A06FD"/>
    <w:rsid w:val="002A2D2F"/>
    <w:rsid w:val="002A4213"/>
    <w:rsid w:val="002A550C"/>
    <w:rsid w:val="002A5908"/>
    <w:rsid w:val="002B0E4F"/>
    <w:rsid w:val="002B1F3D"/>
    <w:rsid w:val="002B27FD"/>
    <w:rsid w:val="002B2AB9"/>
    <w:rsid w:val="002B3117"/>
    <w:rsid w:val="002B3E6A"/>
    <w:rsid w:val="002B4979"/>
    <w:rsid w:val="002B51C8"/>
    <w:rsid w:val="002B58C9"/>
    <w:rsid w:val="002B741E"/>
    <w:rsid w:val="002C2035"/>
    <w:rsid w:val="002C3800"/>
    <w:rsid w:val="002C51FB"/>
    <w:rsid w:val="002C63EC"/>
    <w:rsid w:val="002C6665"/>
    <w:rsid w:val="002C7F7F"/>
    <w:rsid w:val="002D1B43"/>
    <w:rsid w:val="002D1C34"/>
    <w:rsid w:val="002D2D26"/>
    <w:rsid w:val="002D2F31"/>
    <w:rsid w:val="002D4E08"/>
    <w:rsid w:val="002D529A"/>
    <w:rsid w:val="002D5424"/>
    <w:rsid w:val="002D797E"/>
    <w:rsid w:val="002E2A04"/>
    <w:rsid w:val="002E2C83"/>
    <w:rsid w:val="002E32AF"/>
    <w:rsid w:val="002E363C"/>
    <w:rsid w:val="002E606B"/>
    <w:rsid w:val="002E6CF0"/>
    <w:rsid w:val="002E7890"/>
    <w:rsid w:val="002F02CC"/>
    <w:rsid w:val="002F054C"/>
    <w:rsid w:val="002F0C93"/>
    <w:rsid w:val="002F3222"/>
    <w:rsid w:val="002F3472"/>
    <w:rsid w:val="002F4163"/>
    <w:rsid w:val="002F4C9C"/>
    <w:rsid w:val="002F55F7"/>
    <w:rsid w:val="002F69FF"/>
    <w:rsid w:val="002F7816"/>
    <w:rsid w:val="002F7CDE"/>
    <w:rsid w:val="00300171"/>
    <w:rsid w:val="003017EB"/>
    <w:rsid w:val="00301EC1"/>
    <w:rsid w:val="0030294C"/>
    <w:rsid w:val="00302EDC"/>
    <w:rsid w:val="003032DC"/>
    <w:rsid w:val="00303932"/>
    <w:rsid w:val="00304E44"/>
    <w:rsid w:val="00305770"/>
    <w:rsid w:val="00306567"/>
    <w:rsid w:val="003067C5"/>
    <w:rsid w:val="00307BC8"/>
    <w:rsid w:val="00310160"/>
    <w:rsid w:val="003103E4"/>
    <w:rsid w:val="00310DE6"/>
    <w:rsid w:val="00311045"/>
    <w:rsid w:val="00311393"/>
    <w:rsid w:val="00311A05"/>
    <w:rsid w:val="00311F1D"/>
    <w:rsid w:val="0031228D"/>
    <w:rsid w:val="00313CD5"/>
    <w:rsid w:val="00313D5A"/>
    <w:rsid w:val="00314319"/>
    <w:rsid w:val="0031476A"/>
    <w:rsid w:val="003162B8"/>
    <w:rsid w:val="00316A2D"/>
    <w:rsid w:val="003207ED"/>
    <w:rsid w:val="00321A34"/>
    <w:rsid w:val="00321B9E"/>
    <w:rsid w:val="00322664"/>
    <w:rsid w:val="00324B86"/>
    <w:rsid w:val="0032572C"/>
    <w:rsid w:val="00325CEA"/>
    <w:rsid w:val="003261C4"/>
    <w:rsid w:val="003274A9"/>
    <w:rsid w:val="00330F31"/>
    <w:rsid w:val="003338B0"/>
    <w:rsid w:val="00333B6D"/>
    <w:rsid w:val="00334405"/>
    <w:rsid w:val="00334DC3"/>
    <w:rsid w:val="00334DC9"/>
    <w:rsid w:val="003408D4"/>
    <w:rsid w:val="00341CC4"/>
    <w:rsid w:val="00342409"/>
    <w:rsid w:val="00345900"/>
    <w:rsid w:val="00347372"/>
    <w:rsid w:val="00350B5F"/>
    <w:rsid w:val="00351153"/>
    <w:rsid w:val="0035363C"/>
    <w:rsid w:val="00354232"/>
    <w:rsid w:val="003542E4"/>
    <w:rsid w:val="003547CA"/>
    <w:rsid w:val="00354ED9"/>
    <w:rsid w:val="0035560D"/>
    <w:rsid w:val="003574F3"/>
    <w:rsid w:val="00357AE7"/>
    <w:rsid w:val="003600E9"/>
    <w:rsid w:val="00361718"/>
    <w:rsid w:val="00363491"/>
    <w:rsid w:val="003649A2"/>
    <w:rsid w:val="00364C3C"/>
    <w:rsid w:val="0036560B"/>
    <w:rsid w:val="0036569A"/>
    <w:rsid w:val="0036588B"/>
    <w:rsid w:val="00366692"/>
    <w:rsid w:val="003671A7"/>
    <w:rsid w:val="00367637"/>
    <w:rsid w:val="003707E1"/>
    <w:rsid w:val="00371F6E"/>
    <w:rsid w:val="00373B6D"/>
    <w:rsid w:val="003741C2"/>
    <w:rsid w:val="003743EE"/>
    <w:rsid w:val="003761FE"/>
    <w:rsid w:val="003767CA"/>
    <w:rsid w:val="003773D1"/>
    <w:rsid w:val="00377EF2"/>
    <w:rsid w:val="00381DED"/>
    <w:rsid w:val="00383EAB"/>
    <w:rsid w:val="003842BF"/>
    <w:rsid w:val="0038749C"/>
    <w:rsid w:val="00387F7C"/>
    <w:rsid w:val="00394AD5"/>
    <w:rsid w:val="00395E04"/>
    <w:rsid w:val="003967DE"/>
    <w:rsid w:val="00396A70"/>
    <w:rsid w:val="00396CB7"/>
    <w:rsid w:val="003A0AA1"/>
    <w:rsid w:val="003A0FEF"/>
    <w:rsid w:val="003A3D0F"/>
    <w:rsid w:val="003A5B73"/>
    <w:rsid w:val="003A657E"/>
    <w:rsid w:val="003A670F"/>
    <w:rsid w:val="003A710E"/>
    <w:rsid w:val="003B0677"/>
    <w:rsid w:val="003B0CB6"/>
    <w:rsid w:val="003B0E85"/>
    <w:rsid w:val="003B1E88"/>
    <w:rsid w:val="003B45C3"/>
    <w:rsid w:val="003B5A7C"/>
    <w:rsid w:val="003B5DC8"/>
    <w:rsid w:val="003B6432"/>
    <w:rsid w:val="003B6833"/>
    <w:rsid w:val="003B6CD5"/>
    <w:rsid w:val="003C20E9"/>
    <w:rsid w:val="003C27A2"/>
    <w:rsid w:val="003C4CB4"/>
    <w:rsid w:val="003C6414"/>
    <w:rsid w:val="003C7782"/>
    <w:rsid w:val="003C7F57"/>
    <w:rsid w:val="003D262E"/>
    <w:rsid w:val="003D627D"/>
    <w:rsid w:val="003D7843"/>
    <w:rsid w:val="003E092C"/>
    <w:rsid w:val="003E0A75"/>
    <w:rsid w:val="003E2BAD"/>
    <w:rsid w:val="003E4747"/>
    <w:rsid w:val="003E482C"/>
    <w:rsid w:val="003E5EEE"/>
    <w:rsid w:val="003E7D36"/>
    <w:rsid w:val="003F00EA"/>
    <w:rsid w:val="003F3196"/>
    <w:rsid w:val="003F4507"/>
    <w:rsid w:val="003F5F28"/>
    <w:rsid w:val="003F64A0"/>
    <w:rsid w:val="003F7079"/>
    <w:rsid w:val="00400D43"/>
    <w:rsid w:val="0040117D"/>
    <w:rsid w:val="00401328"/>
    <w:rsid w:val="00402525"/>
    <w:rsid w:val="004027A1"/>
    <w:rsid w:val="00403BD0"/>
    <w:rsid w:val="00404673"/>
    <w:rsid w:val="004058C8"/>
    <w:rsid w:val="00406405"/>
    <w:rsid w:val="004065DA"/>
    <w:rsid w:val="0041044D"/>
    <w:rsid w:val="00410962"/>
    <w:rsid w:val="0041103F"/>
    <w:rsid w:val="00417AA6"/>
    <w:rsid w:val="00421DDA"/>
    <w:rsid w:val="00422A8C"/>
    <w:rsid w:val="00422EF5"/>
    <w:rsid w:val="00424275"/>
    <w:rsid w:val="00424A82"/>
    <w:rsid w:val="00425178"/>
    <w:rsid w:val="00430458"/>
    <w:rsid w:val="004314A7"/>
    <w:rsid w:val="00432BBC"/>
    <w:rsid w:val="00433131"/>
    <w:rsid w:val="00433DBD"/>
    <w:rsid w:val="0043471D"/>
    <w:rsid w:val="00437BC7"/>
    <w:rsid w:val="0044165E"/>
    <w:rsid w:val="004416C8"/>
    <w:rsid w:val="00441F89"/>
    <w:rsid w:val="004421BF"/>
    <w:rsid w:val="00442E5D"/>
    <w:rsid w:val="00443243"/>
    <w:rsid w:val="0044515E"/>
    <w:rsid w:val="00445602"/>
    <w:rsid w:val="004457A9"/>
    <w:rsid w:val="0044583D"/>
    <w:rsid w:val="004466BA"/>
    <w:rsid w:val="00446834"/>
    <w:rsid w:val="00446980"/>
    <w:rsid w:val="004509B1"/>
    <w:rsid w:val="00451825"/>
    <w:rsid w:val="00451D99"/>
    <w:rsid w:val="0045394F"/>
    <w:rsid w:val="00453F6D"/>
    <w:rsid w:val="00454BAC"/>
    <w:rsid w:val="00460D32"/>
    <w:rsid w:val="004617C9"/>
    <w:rsid w:val="004642B5"/>
    <w:rsid w:val="00465D3C"/>
    <w:rsid w:val="00466642"/>
    <w:rsid w:val="004675ED"/>
    <w:rsid w:val="00470C13"/>
    <w:rsid w:val="00472092"/>
    <w:rsid w:val="0047275C"/>
    <w:rsid w:val="004747EF"/>
    <w:rsid w:val="00475A8F"/>
    <w:rsid w:val="004767CA"/>
    <w:rsid w:val="00476CCF"/>
    <w:rsid w:val="004776C1"/>
    <w:rsid w:val="0048003A"/>
    <w:rsid w:val="004812A4"/>
    <w:rsid w:val="00482A8F"/>
    <w:rsid w:val="00484731"/>
    <w:rsid w:val="00485EF8"/>
    <w:rsid w:val="00491B6D"/>
    <w:rsid w:val="00494004"/>
    <w:rsid w:val="00496C83"/>
    <w:rsid w:val="004A0621"/>
    <w:rsid w:val="004A07F5"/>
    <w:rsid w:val="004A0BCA"/>
    <w:rsid w:val="004A4102"/>
    <w:rsid w:val="004A541C"/>
    <w:rsid w:val="004A6EC0"/>
    <w:rsid w:val="004B093E"/>
    <w:rsid w:val="004B2260"/>
    <w:rsid w:val="004B2CDC"/>
    <w:rsid w:val="004B3CE2"/>
    <w:rsid w:val="004C02EA"/>
    <w:rsid w:val="004C044C"/>
    <w:rsid w:val="004C189C"/>
    <w:rsid w:val="004C29D8"/>
    <w:rsid w:val="004C3FD6"/>
    <w:rsid w:val="004C47D2"/>
    <w:rsid w:val="004C569A"/>
    <w:rsid w:val="004C6431"/>
    <w:rsid w:val="004C6E93"/>
    <w:rsid w:val="004D009F"/>
    <w:rsid w:val="004D16D1"/>
    <w:rsid w:val="004D1DD6"/>
    <w:rsid w:val="004D2988"/>
    <w:rsid w:val="004D3636"/>
    <w:rsid w:val="004D3845"/>
    <w:rsid w:val="004D3DC6"/>
    <w:rsid w:val="004D3F1D"/>
    <w:rsid w:val="004D5593"/>
    <w:rsid w:val="004D58B2"/>
    <w:rsid w:val="004D79E9"/>
    <w:rsid w:val="004D7C67"/>
    <w:rsid w:val="004D7F24"/>
    <w:rsid w:val="004E0DDD"/>
    <w:rsid w:val="004E1B6E"/>
    <w:rsid w:val="004E27B9"/>
    <w:rsid w:val="004E27E0"/>
    <w:rsid w:val="004E285E"/>
    <w:rsid w:val="004E2F53"/>
    <w:rsid w:val="004E3B88"/>
    <w:rsid w:val="004E4730"/>
    <w:rsid w:val="004E5C23"/>
    <w:rsid w:val="004E61A1"/>
    <w:rsid w:val="004E6775"/>
    <w:rsid w:val="004E70C2"/>
    <w:rsid w:val="004E744A"/>
    <w:rsid w:val="004F1507"/>
    <w:rsid w:val="004F1D59"/>
    <w:rsid w:val="004F38C4"/>
    <w:rsid w:val="004F3C0A"/>
    <w:rsid w:val="004F4A71"/>
    <w:rsid w:val="004F4AAF"/>
    <w:rsid w:val="004F5B4E"/>
    <w:rsid w:val="004F6023"/>
    <w:rsid w:val="004F63A9"/>
    <w:rsid w:val="00501540"/>
    <w:rsid w:val="005042B5"/>
    <w:rsid w:val="005046D5"/>
    <w:rsid w:val="00504CE0"/>
    <w:rsid w:val="00505FDD"/>
    <w:rsid w:val="0051038B"/>
    <w:rsid w:val="00510B32"/>
    <w:rsid w:val="00512907"/>
    <w:rsid w:val="00514FE1"/>
    <w:rsid w:val="005172B2"/>
    <w:rsid w:val="00520BC0"/>
    <w:rsid w:val="005210B5"/>
    <w:rsid w:val="005224C7"/>
    <w:rsid w:val="00523180"/>
    <w:rsid w:val="00523326"/>
    <w:rsid w:val="00524026"/>
    <w:rsid w:val="005241B3"/>
    <w:rsid w:val="005256C0"/>
    <w:rsid w:val="00525A95"/>
    <w:rsid w:val="005270A5"/>
    <w:rsid w:val="00527E0E"/>
    <w:rsid w:val="00530FDC"/>
    <w:rsid w:val="00532D08"/>
    <w:rsid w:val="00532EEE"/>
    <w:rsid w:val="005333A1"/>
    <w:rsid w:val="00533B77"/>
    <w:rsid w:val="00534454"/>
    <w:rsid w:val="00534569"/>
    <w:rsid w:val="00536437"/>
    <w:rsid w:val="0053660C"/>
    <w:rsid w:val="00540AD9"/>
    <w:rsid w:val="00540BD3"/>
    <w:rsid w:val="0054103E"/>
    <w:rsid w:val="00541106"/>
    <w:rsid w:val="00543159"/>
    <w:rsid w:val="00543F15"/>
    <w:rsid w:val="00545F0D"/>
    <w:rsid w:val="00546C64"/>
    <w:rsid w:val="00551284"/>
    <w:rsid w:val="00551491"/>
    <w:rsid w:val="00551C42"/>
    <w:rsid w:val="00553793"/>
    <w:rsid w:val="00553B68"/>
    <w:rsid w:val="0055430C"/>
    <w:rsid w:val="00557A13"/>
    <w:rsid w:val="005617AD"/>
    <w:rsid w:val="00561933"/>
    <w:rsid w:val="00561FCC"/>
    <w:rsid w:val="00564172"/>
    <w:rsid w:val="00564E5A"/>
    <w:rsid w:val="00565419"/>
    <w:rsid w:val="00566C9E"/>
    <w:rsid w:val="00570CC1"/>
    <w:rsid w:val="00571271"/>
    <w:rsid w:val="00571710"/>
    <w:rsid w:val="005756BB"/>
    <w:rsid w:val="00575F9A"/>
    <w:rsid w:val="005760AC"/>
    <w:rsid w:val="00580CFB"/>
    <w:rsid w:val="00581623"/>
    <w:rsid w:val="00581F2F"/>
    <w:rsid w:val="0058299E"/>
    <w:rsid w:val="005839DC"/>
    <w:rsid w:val="00584B32"/>
    <w:rsid w:val="00584BE8"/>
    <w:rsid w:val="00586E56"/>
    <w:rsid w:val="00590613"/>
    <w:rsid w:val="00590C77"/>
    <w:rsid w:val="005911C4"/>
    <w:rsid w:val="00591B14"/>
    <w:rsid w:val="00591FFD"/>
    <w:rsid w:val="00593E41"/>
    <w:rsid w:val="00594347"/>
    <w:rsid w:val="00596CB2"/>
    <w:rsid w:val="005972F5"/>
    <w:rsid w:val="0059760F"/>
    <w:rsid w:val="005A1A96"/>
    <w:rsid w:val="005A1CF4"/>
    <w:rsid w:val="005A394F"/>
    <w:rsid w:val="005A5D38"/>
    <w:rsid w:val="005A66F3"/>
    <w:rsid w:val="005B0910"/>
    <w:rsid w:val="005B316E"/>
    <w:rsid w:val="005B3FB4"/>
    <w:rsid w:val="005B5760"/>
    <w:rsid w:val="005B5D09"/>
    <w:rsid w:val="005B656E"/>
    <w:rsid w:val="005C051C"/>
    <w:rsid w:val="005C0D08"/>
    <w:rsid w:val="005C1362"/>
    <w:rsid w:val="005C13AB"/>
    <w:rsid w:val="005C2E46"/>
    <w:rsid w:val="005C3493"/>
    <w:rsid w:val="005C6426"/>
    <w:rsid w:val="005C7700"/>
    <w:rsid w:val="005D0237"/>
    <w:rsid w:val="005D12C9"/>
    <w:rsid w:val="005D164B"/>
    <w:rsid w:val="005D1846"/>
    <w:rsid w:val="005D7E51"/>
    <w:rsid w:val="005E2536"/>
    <w:rsid w:val="005E59DD"/>
    <w:rsid w:val="005E655E"/>
    <w:rsid w:val="005E7DAE"/>
    <w:rsid w:val="005E7F5E"/>
    <w:rsid w:val="005F41B9"/>
    <w:rsid w:val="005F55E6"/>
    <w:rsid w:val="006000C8"/>
    <w:rsid w:val="00600C3E"/>
    <w:rsid w:val="00601194"/>
    <w:rsid w:val="00601933"/>
    <w:rsid w:val="006040A2"/>
    <w:rsid w:val="0060429E"/>
    <w:rsid w:val="006042B3"/>
    <w:rsid w:val="0060560F"/>
    <w:rsid w:val="0061000B"/>
    <w:rsid w:val="0061122E"/>
    <w:rsid w:val="006123B7"/>
    <w:rsid w:val="006150B3"/>
    <w:rsid w:val="006166FE"/>
    <w:rsid w:val="0061721A"/>
    <w:rsid w:val="00617993"/>
    <w:rsid w:val="006224FE"/>
    <w:rsid w:val="0062363F"/>
    <w:rsid w:val="00624205"/>
    <w:rsid w:val="006242AA"/>
    <w:rsid w:val="006247B7"/>
    <w:rsid w:val="00626198"/>
    <w:rsid w:val="00626B14"/>
    <w:rsid w:val="00626C90"/>
    <w:rsid w:val="0063030E"/>
    <w:rsid w:val="006308A9"/>
    <w:rsid w:val="00631571"/>
    <w:rsid w:val="00631E3B"/>
    <w:rsid w:val="006324CA"/>
    <w:rsid w:val="00632DBD"/>
    <w:rsid w:val="00632DF9"/>
    <w:rsid w:val="00632E1C"/>
    <w:rsid w:val="006333F5"/>
    <w:rsid w:val="006360F2"/>
    <w:rsid w:val="00637A17"/>
    <w:rsid w:val="006413D2"/>
    <w:rsid w:val="006425A9"/>
    <w:rsid w:val="0064326A"/>
    <w:rsid w:val="00643D27"/>
    <w:rsid w:val="00644888"/>
    <w:rsid w:val="00645532"/>
    <w:rsid w:val="00645E58"/>
    <w:rsid w:val="00647DAA"/>
    <w:rsid w:val="00647F0C"/>
    <w:rsid w:val="00650D25"/>
    <w:rsid w:val="00651317"/>
    <w:rsid w:val="0065151D"/>
    <w:rsid w:val="00652D33"/>
    <w:rsid w:val="006530AD"/>
    <w:rsid w:val="006545D6"/>
    <w:rsid w:val="00654CCC"/>
    <w:rsid w:val="006556CE"/>
    <w:rsid w:val="006559B3"/>
    <w:rsid w:val="00656945"/>
    <w:rsid w:val="0065745C"/>
    <w:rsid w:val="006578A1"/>
    <w:rsid w:val="006614F5"/>
    <w:rsid w:val="00661B58"/>
    <w:rsid w:val="006626F3"/>
    <w:rsid w:val="0066337C"/>
    <w:rsid w:val="00664148"/>
    <w:rsid w:val="00665549"/>
    <w:rsid w:val="00666BAA"/>
    <w:rsid w:val="00667618"/>
    <w:rsid w:val="0066798F"/>
    <w:rsid w:val="0067059A"/>
    <w:rsid w:val="00671395"/>
    <w:rsid w:val="00671551"/>
    <w:rsid w:val="00672019"/>
    <w:rsid w:val="00673260"/>
    <w:rsid w:val="00674101"/>
    <w:rsid w:val="00675B19"/>
    <w:rsid w:val="006763B9"/>
    <w:rsid w:val="0068056D"/>
    <w:rsid w:val="00681381"/>
    <w:rsid w:val="006813F1"/>
    <w:rsid w:val="00681ADF"/>
    <w:rsid w:val="00682385"/>
    <w:rsid w:val="00683A21"/>
    <w:rsid w:val="00684C3E"/>
    <w:rsid w:val="00686A0C"/>
    <w:rsid w:val="00686C42"/>
    <w:rsid w:val="006907C0"/>
    <w:rsid w:val="006911D7"/>
    <w:rsid w:val="00692691"/>
    <w:rsid w:val="00693061"/>
    <w:rsid w:val="00695215"/>
    <w:rsid w:val="00695D9A"/>
    <w:rsid w:val="00696AAE"/>
    <w:rsid w:val="006A0BF2"/>
    <w:rsid w:val="006A1091"/>
    <w:rsid w:val="006A2470"/>
    <w:rsid w:val="006B0D3B"/>
    <w:rsid w:val="006B36A2"/>
    <w:rsid w:val="006B57CA"/>
    <w:rsid w:val="006B633E"/>
    <w:rsid w:val="006C01D4"/>
    <w:rsid w:val="006C0FDE"/>
    <w:rsid w:val="006C1631"/>
    <w:rsid w:val="006C42EA"/>
    <w:rsid w:val="006C52B4"/>
    <w:rsid w:val="006C656D"/>
    <w:rsid w:val="006C7D93"/>
    <w:rsid w:val="006C7E19"/>
    <w:rsid w:val="006C7F3B"/>
    <w:rsid w:val="006D0F88"/>
    <w:rsid w:val="006D1581"/>
    <w:rsid w:val="006D1A1C"/>
    <w:rsid w:val="006D1DA3"/>
    <w:rsid w:val="006D34CD"/>
    <w:rsid w:val="006D34F3"/>
    <w:rsid w:val="006D35CC"/>
    <w:rsid w:val="006D732D"/>
    <w:rsid w:val="006E300A"/>
    <w:rsid w:val="006E3CAA"/>
    <w:rsid w:val="006E597C"/>
    <w:rsid w:val="006E5E77"/>
    <w:rsid w:val="006E6768"/>
    <w:rsid w:val="006E6D99"/>
    <w:rsid w:val="006E75A2"/>
    <w:rsid w:val="006F20CF"/>
    <w:rsid w:val="006F272D"/>
    <w:rsid w:val="006F5E06"/>
    <w:rsid w:val="007005AF"/>
    <w:rsid w:val="0070093F"/>
    <w:rsid w:val="00702CD9"/>
    <w:rsid w:val="00703563"/>
    <w:rsid w:val="00703DE5"/>
    <w:rsid w:val="0070464F"/>
    <w:rsid w:val="00704E27"/>
    <w:rsid w:val="00704F1E"/>
    <w:rsid w:val="00705D63"/>
    <w:rsid w:val="00706737"/>
    <w:rsid w:val="00706A4A"/>
    <w:rsid w:val="007073AC"/>
    <w:rsid w:val="007113B7"/>
    <w:rsid w:val="00711ADF"/>
    <w:rsid w:val="00711C71"/>
    <w:rsid w:val="007128F3"/>
    <w:rsid w:val="00713432"/>
    <w:rsid w:val="007154FB"/>
    <w:rsid w:val="00720011"/>
    <w:rsid w:val="0072250B"/>
    <w:rsid w:val="00722922"/>
    <w:rsid w:val="00723713"/>
    <w:rsid w:val="0072487E"/>
    <w:rsid w:val="00725BB2"/>
    <w:rsid w:val="007329B1"/>
    <w:rsid w:val="00734606"/>
    <w:rsid w:val="00734A73"/>
    <w:rsid w:val="00734CF4"/>
    <w:rsid w:val="00734E3A"/>
    <w:rsid w:val="00736FC0"/>
    <w:rsid w:val="00737914"/>
    <w:rsid w:val="00740D92"/>
    <w:rsid w:val="00741D44"/>
    <w:rsid w:val="007434E1"/>
    <w:rsid w:val="00744347"/>
    <w:rsid w:val="0074505D"/>
    <w:rsid w:val="007457F9"/>
    <w:rsid w:val="00745F25"/>
    <w:rsid w:val="00746955"/>
    <w:rsid w:val="007474D1"/>
    <w:rsid w:val="00752032"/>
    <w:rsid w:val="007536F0"/>
    <w:rsid w:val="0075370C"/>
    <w:rsid w:val="00755458"/>
    <w:rsid w:val="00755594"/>
    <w:rsid w:val="00756104"/>
    <w:rsid w:val="007564E2"/>
    <w:rsid w:val="00756D9A"/>
    <w:rsid w:val="00757C32"/>
    <w:rsid w:val="00760089"/>
    <w:rsid w:val="00760A04"/>
    <w:rsid w:val="00761541"/>
    <w:rsid w:val="00761872"/>
    <w:rsid w:val="007629E9"/>
    <w:rsid w:val="00763952"/>
    <w:rsid w:val="00763AE9"/>
    <w:rsid w:val="007651DD"/>
    <w:rsid w:val="00766E67"/>
    <w:rsid w:val="00772111"/>
    <w:rsid w:val="007724C8"/>
    <w:rsid w:val="00773C25"/>
    <w:rsid w:val="00773CAC"/>
    <w:rsid w:val="00774022"/>
    <w:rsid w:val="0077404A"/>
    <w:rsid w:val="007752AC"/>
    <w:rsid w:val="00775A66"/>
    <w:rsid w:val="0077629D"/>
    <w:rsid w:val="0077637B"/>
    <w:rsid w:val="00777283"/>
    <w:rsid w:val="007773B9"/>
    <w:rsid w:val="00783142"/>
    <w:rsid w:val="00785B36"/>
    <w:rsid w:val="00786168"/>
    <w:rsid w:val="00786E37"/>
    <w:rsid w:val="00786F58"/>
    <w:rsid w:val="007876F0"/>
    <w:rsid w:val="00792503"/>
    <w:rsid w:val="007946D6"/>
    <w:rsid w:val="00795A44"/>
    <w:rsid w:val="00796057"/>
    <w:rsid w:val="00796197"/>
    <w:rsid w:val="007966E0"/>
    <w:rsid w:val="00796ABC"/>
    <w:rsid w:val="00797CC1"/>
    <w:rsid w:val="007A091E"/>
    <w:rsid w:val="007A0E1D"/>
    <w:rsid w:val="007A0E5C"/>
    <w:rsid w:val="007A1A1C"/>
    <w:rsid w:val="007A298B"/>
    <w:rsid w:val="007A298C"/>
    <w:rsid w:val="007A4EC0"/>
    <w:rsid w:val="007A502E"/>
    <w:rsid w:val="007A521A"/>
    <w:rsid w:val="007A5ED9"/>
    <w:rsid w:val="007A78B5"/>
    <w:rsid w:val="007A7D39"/>
    <w:rsid w:val="007B32CC"/>
    <w:rsid w:val="007B5278"/>
    <w:rsid w:val="007B6360"/>
    <w:rsid w:val="007B7AAF"/>
    <w:rsid w:val="007C0C9A"/>
    <w:rsid w:val="007C174E"/>
    <w:rsid w:val="007C2812"/>
    <w:rsid w:val="007C2F1A"/>
    <w:rsid w:val="007C3712"/>
    <w:rsid w:val="007C4BE0"/>
    <w:rsid w:val="007C64BC"/>
    <w:rsid w:val="007C68FE"/>
    <w:rsid w:val="007D02F0"/>
    <w:rsid w:val="007D0914"/>
    <w:rsid w:val="007D0C3B"/>
    <w:rsid w:val="007D4836"/>
    <w:rsid w:val="007D4E5B"/>
    <w:rsid w:val="007D525A"/>
    <w:rsid w:val="007D5AB8"/>
    <w:rsid w:val="007D672F"/>
    <w:rsid w:val="007D70F6"/>
    <w:rsid w:val="007E1534"/>
    <w:rsid w:val="007E1993"/>
    <w:rsid w:val="007E50A5"/>
    <w:rsid w:val="007E5133"/>
    <w:rsid w:val="007E5B18"/>
    <w:rsid w:val="007E703C"/>
    <w:rsid w:val="007E78B2"/>
    <w:rsid w:val="007F3156"/>
    <w:rsid w:val="007F46AC"/>
    <w:rsid w:val="007F61C9"/>
    <w:rsid w:val="007F797C"/>
    <w:rsid w:val="00800205"/>
    <w:rsid w:val="008032CE"/>
    <w:rsid w:val="00804CBC"/>
    <w:rsid w:val="00805306"/>
    <w:rsid w:val="00807CF0"/>
    <w:rsid w:val="008107AA"/>
    <w:rsid w:val="00812C05"/>
    <w:rsid w:val="0081305A"/>
    <w:rsid w:val="00813803"/>
    <w:rsid w:val="0081392C"/>
    <w:rsid w:val="00813A8E"/>
    <w:rsid w:val="008150D9"/>
    <w:rsid w:val="00815329"/>
    <w:rsid w:val="00816F6C"/>
    <w:rsid w:val="008175AA"/>
    <w:rsid w:val="00817A5E"/>
    <w:rsid w:val="0082086E"/>
    <w:rsid w:val="00820B74"/>
    <w:rsid w:val="00820FD0"/>
    <w:rsid w:val="0082160C"/>
    <w:rsid w:val="00822692"/>
    <w:rsid w:val="00826EDB"/>
    <w:rsid w:val="0083137A"/>
    <w:rsid w:val="00831BC7"/>
    <w:rsid w:val="008341EF"/>
    <w:rsid w:val="008357B3"/>
    <w:rsid w:val="00837CE4"/>
    <w:rsid w:val="00837EEF"/>
    <w:rsid w:val="00837F0F"/>
    <w:rsid w:val="00841123"/>
    <w:rsid w:val="00845530"/>
    <w:rsid w:val="00846653"/>
    <w:rsid w:val="00846D43"/>
    <w:rsid w:val="00850956"/>
    <w:rsid w:val="00850CAD"/>
    <w:rsid w:val="00850E1C"/>
    <w:rsid w:val="00852D86"/>
    <w:rsid w:val="00853940"/>
    <w:rsid w:val="00856ECB"/>
    <w:rsid w:val="008611D4"/>
    <w:rsid w:val="00864748"/>
    <w:rsid w:val="00867A63"/>
    <w:rsid w:val="0087031F"/>
    <w:rsid w:val="00871D81"/>
    <w:rsid w:val="00872DD2"/>
    <w:rsid w:val="008731B5"/>
    <w:rsid w:val="00875085"/>
    <w:rsid w:val="00875189"/>
    <w:rsid w:val="0088026A"/>
    <w:rsid w:val="00882B8F"/>
    <w:rsid w:val="00882BC2"/>
    <w:rsid w:val="008830BC"/>
    <w:rsid w:val="00883B5E"/>
    <w:rsid w:val="008843C2"/>
    <w:rsid w:val="00884F76"/>
    <w:rsid w:val="008856B1"/>
    <w:rsid w:val="00886746"/>
    <w:rsid w:val="00887D2A"/>
    <w:rsid w:val="008903BC"/>
    <w:rsid w:val="008910DA"/>
    <w:rsid w:val="00891D5B"/>
    <w:rsid w:val="00892534"/>
    <w:rsid w:val="008940F5"/>
    <w:rsid w:val="008946AE"/>
    <w:rsid w:val="00895D6D"/>
    <w:rsid w:val="008964A7"/>
    <w:rsid w:val="00896617"/>
    <w:rsid w:val="008A06A0"/>
    <w:rsid w:val="008A0A9A"/>
    <w:rsid w:val="008A119A"/>
    <w:rsid w:val="008A1EB2"/>
    <w:rsid w:val="008A27BC"/>
    <w:rsid w:val="008A4B24"/>
    <w:rsid w:val="008A599D"/>
    <w:rsid w:val="008A5CE6"/>
    <w:rsid w:val="008A6056"/>
    <w:rsid w:val="008A6B7E"/>
    <w:rsid w:val="008A6DE8"/>
    <w:rsid w:val="008A6EE1"/>
    <w:rsid w:val="008A73EF"/>
    <w:rsid w:val="008A7817"/>
    <w:rsid w:val="008A782F"/>
    <w:rsid w:val="008A7EF0"/>
    <w:rsid w:val="008B0171"/>
    <w:rsid w:val="008B029B"/>
    <w:rsid w:val="008B1B27"/>
    <w:rsid w:val="008B1E03"/>
    <w:rsid w:val="008B3761"/>
    <w:rsid w:val="008B3876"/>
    <w:rsid w:val="008B44B1"/>
    <w:rsid w:val="008B5AAC"/>
    <w:rsid w:val="008B6F14"/>
    <w:rsid w:val="008B7FA9"/>
    <w:rsid w:val="008C0383"/>
    <w:rsid w:val="008C14F4"/>
    <w:rsid w:val="008C25C6"/>
    <w:rsid w:val="008C2D44"/>
    <w:rsid w:val="008C368E"/>
    <w:rsid w:val="008C3A81"/>
    <w:rsid w:val="008C6DBF"/>
    <w:rsid w:val="008C72CD"/>
    <w:rsid w:val="008C744F"/>
    <w:rsid w:val="008D47D1"/>
    <w:rsid w:val="008E2329"/>
    <w:rsid w:val="008E30FF"/>
    <w:rsid w:val="008E341E"/>
    <w:rsid w:val="008E48C1"/>
    <w:rsid w:val="008E68B6"/>
    <w:rsid w:val="008F017C"/>
    <w:rsid w:val="008F1D20"/>
    <w:rsid w:val="008F3DEF"/>
    <w:rsid w:val="008F5131"/>
    <w:rsid w:val="008F5341"/>
    <w:rsid w:val="008F56E2"/>
    <w:rsid w:val="009008E5"/>
    <w:rsid w:val="00901C14"/>
    <w:rsid w:val="00903AA1"/>
    <w:rsid w:val="0090448D"/>
    <w:rsid w:val="00904D80"/>
    <w:rsid w:val="009073CF"/>
    <w:rsid w:val="009101FC"/>
    <w:rsid w:val="00910D84"/>
    <w:rsid w:val="00910F43"/>
    <w:rsid w:val="00913524"/>
    <w:rsid w:val="009161DD"/>
    <w:rsid w:val="00917943"/>
    <w:rsid w:val="00920A1A"/>
    <w:rsid w:val="00922814"/>
    <w:rsid w:val="00922A47"/>
    <w:rsid w:val="00922AD2"/>
    <w:rsid w:val="009245EB"/>
    <w:rsid w:val="00924DBE"/>
    <w:rsid w:val="00926C87"/>
    <w:rsid w:val="00926E0B"/>
    <w:rsid w:val="0093020E"/>
    <w:rsid w:val="009345A2"/>
    <w:rsid w:val="00935CBC"/>
    <w:rsid w:val="00937F45"/>
    <w:rsid w:val="009406A0"/>
    <w:rsid w:val="0094119F"/>
    <w:rsid w:val="0094571B"/>
    <w:rsid w:val="00945810"/>
    <w:rsid w:val="00946BB1"/>
    <w:rsid w:val="00952082"/>
    <w:rsid w:val="00952182"/>
    <w:rsid w:val="009528B1"/>
    <w:rsid w:val="009545F2"/>
    <w:rsid w:val="00954DE8"/>
    <w:rsid w:val="00955E3C"/>
    <w:rsid w:val="009575F2"/>
    <w:rsid w:val="00960298"/>
    <w:rsid w:val="00960EE2"/>
    <w:rsid w:val="00962030"/>
    <w:rsid w:val="0096221C"/>
    <w:rsid w:val="009632CA"/>
    <w:rsid w:val="00965503"/>
    <w:rsid w:val="009656CE"/>
    <w:rsid w:val="00965FCF"/>
    <w:rsid w:val="00967C5A"/>
    <w:rsid w:val="009710F4"/>
    <w:rsid w:val="0097165E"/>
    <w:rsid w:val="00971BA4"/>
    <w:rsid w:val="00971D28"/>
    <w:rsid w:val="00972C0B"/>
    <w:rsid w:val="00973473"/>
    <w:rsid w:val="00973B52"/>
    <w:rsid w:val="00973D5A"/>
    <w:rsid w:val="009807F0"/>
    <w:rsid w:val="0098483C"/>
    <w:rsid w:val="009848F0"/>
    <w:rsid w:val="009859AF"/>
    <w:rsid w:val="0099264E"/>
    <w:rsid w:val="00993077"/>
    <w:rsid w:val="00994902"/>
    <w:rsid w:val="00994A58"/>
    <w:rsid w:val="0099500E"/>
    <w:rsid w:val="009951D0"/>
    <w:rsid w:val="00995480"/>
    <w:rsid w:val="0099558B"/>
    <w:rsid w:val="009955E0"/>
    <w:rsid w:val="00997830"/>
    <w:rsid w:val="00997D6D"/>
    <w:rsid w:val="009A03EA"/>
    <w:rsid w:val="009A0774"/>
    <w:rsid w:val="009A10BD"/>
    <w:rsid w:val="009A1896"/>
    <w:rsid w:val="009A3D9C"/>
    <w:rsid w:val="009A3DB8"/>
    <w:rsid w:val="009A600F"/>
    <w:rsid w:val="009B169A"/>
    <w:rsid w:val="009B3326"/>
    <w:rsid w:val="009B5523"/>
    <w:rsid w:val="009B5D20"/>
    <w:rsid w:val="009B6A45"/>
    <w:rsid w:val="009C00E4"/>
    <w:rsid w:val="009C0700"/>
    <w:rsid w:val="009C3165"/>
    <w:rsid w:val="009C3695"/>
    <w:rsid w:val="009C3FB1"/>
    <w:rsid w:val="009C4AF0"/>
    <w:rsid w:val="009C627C"/>
    <w:rsid w:val="009D06E1"/>
    <w:rsid w:val="009D15B6"/>
    <w:rsid w:val="009D1C79"/>
    <w:rsid w:val="009D1CCC"/>
    <w:rsid w:val="009D2B16"/>
    <w:rsid w:val="009D30FA"/>
    <w:rsid w:val="009D36FD"/>
    <w:rsid w:val="009D47F3"/>
    <w:rsid w:val="009D4A03"/>
    <w:rsid w:val="009D4CBF"/>
    <w:rsid w:val="009D5430"/>
    <w:rsid w:val="009D554C"/>
    <w:rsid w:val="009D5AAB"/>
    <w:rsid w:val="009D636D"/>
    <w:rsid w:val="009D765B"/>
    <w:rsid w:val="009E23E8"/>
    <w:rsid w:val="009E2895"/>
    <w:rsid w:val="009E28AD"/>
    <w:rsid w:val="009E2F53"/>
    <w:rsid w:val="009E321B"/>
    <w:rsid w:val="009E4CF9"/>
    <w:rsid w:val="009E720B"/>
    <w:rsid w:val="009E73CA"/>
    <w:rsid w:val="009F285E"/>
    <w:rsid w:val="009F3D6E"/>
    <w:rsid w:val="009F491E"/>
    <w:rsid w:val="009F5D0A"/>
    <w:rsid w:val="009F5F5B"/>
    <w:rsid w:val="009F6C1A"/>
    <w:rsid w:val="00A00AD7"/>
    <w:rsid w:val="00A010EE"/>
    <w:rsid w:val="00A01ADD"/>
    <w:rsid w:val="00A032CA"/>
    <w:rsid w:val="00A03D8C"/>
    <w:rsid w:val="00A04297"/>
    <w:rsid w:val="00A042BA"/>
    <w:rsid w:val="00A05EE4"/>
    <w:rsid w:val="00A1054F"/>
    <w:rsid w:val="00A10AC3"/>
    <w:rsid w:val="00A13357"/>
    <w:rsid w:val="00A15508"/>
    <w:rsid w:val="00A16B91"/>
    <w:rsid w:val="00A16B93"/>
    <w:rsid w:val="00A16C2A"/>
    <w:rsid w:val="00A16D09"/>
    <w:rsid w:val="00A1710C"/>
    <w:rsid w:val="00A179BE"/>
    <w:rsid w:val="00A201E4"/>
    <w:rsid w:val="00A20AC9"/>
    <w:rsid w:val="00A214D9"/>
    <w:rsid w:val="00A2180F"/>
    <w:rsid w:val="00A22237"/>
    <w:rsid w:val="00A22399"/>
    <w:rsid w:val="00A24375"/>
    <w:rsid w:val="00A25AC7"/>
    <w:rsid w:val="00A26F36"/>
    <w:rsid w:val="00A327B5"/>
    <w:rsid w:val="00A3540F"/>
    <w:rsid w:val="00A3580A"/>
    <w:rsid w:val="00A35C67"/>
    <w:rsid w:val="00A368E8"/>
    <w:rsid w:val="00A36E78"/>
    <w:rsid w:val="00A37C91"/>
    <w:rsid w:val="00A40806"/>
    <w:rsid w:val="00A408BE"/>
    <w:rsid w:val="00A41C2C"/>
    <w:rsid w:val="00A4262E"/>
    <w:rsid w:val="00A42B7F"/>
    <w:rsid w:val="00A45BEF"/>
    <w:rsid w:val="00A516C3"/>
    <w:rsid w:val="00A51C1F"/>
    <w:rsid w:val="00A5473A"/>
    <w:rsid w:val="00A54874"/>
    <w:rsid w:val="00A559B1"/>
    <w:rsid w:val="00A55DF3"/>
    <w:rsid w:val="00A569FA"/>
    <w:rsid w:val="00A60070"/>
    <w:rsid w:val="00A60337"/>
    <w:rsid w:val="00A60923"/>
    <w:rsid w:val="00A61686"/>
    <w:rsid w:val="00A627E9"/>
    <w:rsid w:val="00A65A03"/>
    <w:rsid w:val="00A6713D"/>
    <w:rsid w:val="00A67DA7"/>
    <w:rsid w:val="00A714A6"/>
    <w:rsid w:val="00A72A66"/>
    <w:rsid w:val="00A73F1F"/>
    <w:rsid w:val="00A75678"/>
    <w:rsid w:val="00A76A37"/>
    <w:rsid w:val="00A76B69"/>
    <w:rsid w:val="00A80D85"/>
    <w:rsid w:val="00A823E9"/>
    <w:rsid w:val="00A8269E"/>
    <w:rsid w:val="00A8506C"/>
    <w:rsid w:val="00A85B47"/>
    <w:rsid w:val="00A86FB7"/>
    <w:rsid w:val="00A87658"/>
    <w:rsid w:val="00A902DA"/>
    <w:rsid w:val="00A94C80"/>
    <w:rsid w:val="00A96380"/>
    <w:rsid w:val="00AA04DC"/>
    <w:rsid w:val="00AA3CAF"/>
    <w:rsid w:val="00AA453B"/>
    <w:rsid w:val="00AA5C79"/>
    <w:rsid w:val="00AA6250"/>
    <w:rsid w:val="00AA74F9"/>
    <w:rsid w:val="00AA7591"/>
    <w:rsid w:val="00AB03A5"/>
    <w:rsid w:val="00AB1B64"/>
    <w:rsid w:val="00AB1C58"/>
    <w:rsid w:val="00AB2EF6"/>
    <w:rsid w:val="00AB33BF"/>
    <w:rsid w:val="00AB3575"/>
    <w:rsid w:val="00AB36BD"/>
    <w:rsid w:val="00AB3C29"/>
    <w:rsid w:val="00AB44A3"/>
    <w:rsid w:val="00AB52C6"/>
    <w:rsid w:val="00AB6068"/>
    <w:rsid w:val="00AB7243"/>
    <w:rsid w:val="00AB7260"/>
    <w:rsid w:val="00AB79DD"/>
    <w:rsid w:val="00AC153B"/>
    <w:rsid w:val="00AC30FC"/>
    <w:rsid w:val="00AC3A25"/>
    <w:rsid w:val="00AC42FE"/>
    <w:rsid w:val="00AC5844"/>
    <w:rsid w:val="00AC7FE6"/>
    <w:rsid w:val="00AD0482"/>
    <w:rsid w:val="00AD402F"/>
    <w:rsid w:val="00AD424A"/>
    <w:rsid w:val="00AD4622"/>
    <w:rsid w:val="00AD4DB6"/>
    <w:rsid w:val="00AD5B7E"/>
    <w:rsid w:val="00AD6001"/>
    <w:rsid w:val="00AD61B5"/>
    <w:rsid w:val="00AD6C52"/>
    <w:rsid w:val="00AE3792"/>
    <w:rsid w:val="00AE3D9C"/>
    <w:rsid w:val="00AE41D0"/>
    <w:rsid w:val="00AE6E73"/>
    <w:rsid w:val="00AF229F"/>
    <w:rsid w:val="00AF2F50"/>
    <w:rsid w:val="00AF473D"/>
    <w:rsid w:val="00AF4C91"/>
    <w:rsid w:val="00AF4F4D"/>
    <w:rsid w:val="00AF5D5C"/>
    <w:rsid w:val="00AF6E67"/>
    <w:rsid w:val="00B015DF"/>
    <w:rsid w:val="00B016A8"/>
    <w:rsid w:val="00B0257F"/>
    <w:rsid w:val="00B027E9"/>
    <w:rsid w:val="00B02F1B"/>
    <w:rsid w:val="00B03218"/>
    <w:rsid w:val="00B03550"/>
    <w:rsid w:val="00B03FC3"/>
    <w:rsid w:val="00B04325"/>
    <w:rsid w:val="00B0617B"/>
    <w:rsid w:val="00B06629"/>
    <w:rsid w:val="00B0678E"/>
    <w:rsid w:val="00B10A9D"/>
    <w:rsid w:val="00B1141C"/>
    <w:rsid w:val="00B11594"/>
    <w:rsid w:val="00B11F89"/>
    <w:rsid w:val="00B14668"/>
    <w:rsid w:val="00B15F75"/>
    <w:rsid w:val="00B1648E"/>
    <w:rsid w:val="00B1665B"/>
    <w:rsid w:val="00B1684E"/>
    <w:rsid w:val="00B21F4D"/>
    <w:rsid w:val="00B22559"/>
    <w:rsid w:val="00B22937"/>
    <w:rsid w:val="00B25FD1"/>
    <w:rsid w:val="00B31B20"/>
    <w:rsid w:val="00B36796"/>
    <w:rsid w:val="00B37739"/>
    <w:rsid w:val="00B426E8"/>
    <w:rsid w:val="00B4696F"/>
    <w:rsid w:val="00B47C16"/>
    <w:rsid w:val="00B50C52"/>
    <w:rsid w:val="00B522DC"/>
    <w:rsid w:val="00B52AF7"/>
    <w:rsid w:val="00B547CE"/>
    <w:rsid w:val="00B55C84"/>
    <w:rsid w:val="00B567FC"/>
    <w:rsid w:val="00B570FA"/>
    <w:rsid w:val="00B57131"/>
    <w:rsid w:val="00B573AB"/>
    <w:rsid w:val="00B62DA4"/>
    <w:rsid w:val="00B6305E"/>
    <w:rsid w:val="00B63109"/>
    <w:rsid w:val="00B6332E"/>
    <w:rsid w:val="00B638ED"/>
    <w:rsid w:val="00B65D0F"/>
    <w:rsid w:val="00B65E27"/>
    <w:rsid w:val="00B666CA"/>
    <w:rsid w:val="00B7111D"/>
    <w:rsid w:val="00B71A9B"/>
    <w:rsid w:val="00B71F0B"/>
    <w:rsid w:val="00B74A98"/>
    <w:rsid w:val="00B75BEB"/>
    <w:rsid w:val="00B769EC"/>
    <w:rsid w:val="00B77B44"/>
    <w:rsid w:val="00B800EF"/>
    <w:rsid w:val="00B807E5"/>
    <w:rsid w:val="00B81589"/>
    <w:rsid w:val="00B82E48"/>
    <w:rsid w:val="00B87305"/>
    <w:rsid w:val="00B90DAA"/>
    <w:rsid w:val="00B910A2"/>
    <w:rsid w:val="00B92BC3"/>
    <w:rsid w:val="00B935CB"/>
    <w:rsid w:val="00B93628"/>
    <w:rsid w:val="00B937E6"/>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B4C30"/>
    <w:rsid w:val="00BB58D2"/>
    <w:rsid w:val="00BB7F14"/>
    <w:rsid w:val="00BC1AD9"/>
    <w:rsid w:val="00BC1F5C"/>
    <w:rsid w:val="00BC3587"/>
    <w:rsid w:val="00BC3914"/>
    <w:rsid w:val="00BC4018"/>
    <w:rsid w:val="00BC4149"/>
    <w:rsid w:val="00BC44C1"/>
    <w:rsid w:val="00BC470B"/>
    <w:rsid w:val="00BC5444"/>
    <w:rsid w:val="00BC6CC0"/>
    <w:rsid w:val="00BC7E0F"/>
    <w:rsid w:val="00BD0038"/>
    <w:rsid w:val="00BD0083"/>
    <w:rsid w:val="00BD0DFC"/>
    <w:rsid w:val="00BD1E5D"/>
    <w:rsid w:val="00BD2D61"/>
    <w:rsid w:val="00BD2D91"/>
    <w:rsid w:val="00BD31FD"/>
    <w:rsid w:val="00BD3A0C"/>
    <w:rsid w:val="00BD3AA2"/>
    <w:rsid w:val="00BD3CBE"/>
    <w:rsid w:val="00BD3F81"/>
    <w:rsid w:val="00BD5A20"/>
    <w:rsid w:val="00BD5DE2"/>
    <w:rsid w:val="00BD6802"/>
    <w:rsid w:val="00BD703F"/>
    <w:rsid w:val="00BD70FF"/>
    <w:rsid w:val="00BE0475"/>
    <w:rsid w:val="00BE1C93"/>
    <w:rsid w:val="00BE2F59"/>
    <w:rsid w:val="00BE41AC"/>
    <w:rsid w:val="00BE41F4"/>
    <w:rsid w:val="00BE4BDE"/>
    <w:rsid w:val="00BE57F5"/>
    <w:rsid w:val="00BE6FC6"/>
    <w:rsid w:val="00BF0FEA"/>
    <w:rsid w:val="00BF14C8"/>
    <w:rsid w:val="00BF18C0"/>
    <w:rsid w:val="00BF1F32"/>
    <w:rsid w:val="00BF62E4"/>
    <w:rsid w:val="00BF6EB6"/>
    <w:rsid w:val="00BF7853"/>
    <w:rsid w:val="00BF789D"/>
    <w:rsid w:val="00BF7FC0"/>
    <w:rsid w:val="00C01521"/>
    <w:rsid w:val="00C02721"/>
    <w:rsid w:val="00C0544B"/>
    <w:rsid w:val="00C05ED3"/>
    <w:rsid w:val="00C10CFA"/>
    <w:rsid w:val="00C115B5"/>
    <w:rsid w:val="00C11D80"/>
    <w:rsid w:val="00C12C51"/>
    <w:rsid w:val="00C13E95"/>
    <w:rsid w:val="00C15D28"/>
    <w:rsid w:val="00C15D87"/>
    <w:rsid w:val="00C1664F"/>
    <w:rsid w:val="00C20797"/>
    <w:rsid w:val="00C23401"/>
    <w:rsid w:val="00C247B2"/>
    <w:rsid w:val="00C24BA3"/>
    <w:rsid w:val="00C256C5"/>
    <w:rsid w:val="00C25E02"/>
    <w:rsid w:val="00C276C1"/>
    <w:rsid w:val="00C30B4C"/>
    <w:rsid w:val="00C32B25"/>
    <w:rsid w:val="00C33F7F"/>
    <w:rsid w:val="00C3443F"/>
    <w:rsid w:val="00C3577F"/>
    <w:rsid w:val="00C374A2"/>
    <w:rsid w:val="00C411A0"/>
    <w:rsid w:val="00C43F21"/>
    <w:rsid w:val="00C44D73"/>
    <w:rsid w:val="00C4511F"/>
    <w:rsid w:val="00C466BE"/>
    <w:rsid w:val="00C46E07"/>
    <w:rsid w:val="00C527E7"/>
    <w:rsid w:val="00C52BE2"/>
    <w:rsid w:val="00C53D67"/>
    <w:rsid w:val="00C549CA"/>
    <w:rsid w:val="00C54D7E"/>
    <w:rsid w:val="00C56887"/>
    <w:rsid w:val="00C57450"/>
    <w:rsid w:val="00C604EC"/>
    <w:rsid w:val="00C6183B"/>
    <w:rsid w:val="00C61D54"/>
    <w:rsid w:val="00C630A1"/>
    <w:rsid w:val="00C6434F"/>
    <w:rsid w:val="00C6435D"/>
    <w:rsid w:val="00C64ACA"/>
    <w:rsid w:val="00C65730"/>
    <w:rsid w:val="00C65893"/>
    <w:rsid w:val="00C65DF5"/>
    <w:rsid w:val="00C66D27"/>
    <w:rsid w:val="00C70F9B"/>
    <w:rsid w:val="00C740D1"/>
    <w:rsid w:val="00C747E2"/>
    <w:rsid w:val="00C75606"/>
    <w:rsid w:val="00C7683F"/>
    <w:rsid w:val="00C769F8"/>
    <w:rsid w:val="00C76E67"/>
    <w:rsid w:val="00C800ED"/>
    <w:rsid w:val="00C857FB"/>
    <w:rsid w:val="00C86082"/>
    <w:rsid w:val="00C87174"/>
    <w:rsid w:val="00C8755C"/>
    <w:rsid w:val="00C9008E"/>
    <w:rsid w:val="00C90E29"/>
    <w:rsid w:val="00C912BD"/>
    <w:rsid w:val="00C92DA1"/>
    <w:rsid w:val="00C933EC"/>
    <w:rsid w:val="00C941B0"/>
    <w:rsid w:val="00C97B2F"/>
    <w:rsid w:val="00CA056A"/>
    <w:rsid w:val="00CA2C59"/>
    <w:rsid w:val="00CA319D"/>
    <w:rsid w:val="00CA33ED"/>
    <w:rsid w:val="00CA37AF"/>
    <w:rsid w:val="00CA3922"/>
    <w:rsid w:val="00CA4464"/>
    <w:rsid w:val="00CA679B"/>
    <w:rsid w:val="00CA67DB"/>
    <w:rsid w:val="00CB01B8"/>
    <w:rsid w:val="00CB1BAE"/>
    <w:rsid w:val="00CB2F32"/>
    <w:rsid w:val="00CB4E25"/>
    <w:rsid w:val="00CB5933"/>
    <w:rsid w:val="00CB691C"/>
    <w:rsid w:val="00CB75A5"/>
    <w:rsid w:val="00CC01E9"/>
    <w:rsid w:val="00CC3AD7"/>
    <w:rsid w:val="00CC4F21"/>
    <w:rsid w:val="00CC6143"/>
    <w:rsid w:val="00CC69DA"/>
    <w:rsid w:val="00CC6C5D"/>
    <w:rsid w:val="00CD0829"/>
    <w:rsid w:val="00CD0A13"/>
    <w:rsid w:val="00CD5AC2"/>
    <w:rsid w:val="00CD6CEF"/>
    <w:rsid w:val="00CE1691"/>
    <w:rsid w:val="00CE17CC"/>
    <w:rsid w:val="00CE1FA6"/>
    <w:rsid w:val="00CE3C0F"/>
    <w:rsid w:val="00CE476F"/>
    <w:rsid w:val="00CE666B"/>
    <w:rsid w:val="00CE69DA"/>
    <w:rsid w:val="00CE7053"/>
    <w:rsid w:val="00CF0F39"/>
    <w:rsid w:val="00CF181C"/>
    <w:rsid w:val="00CF240B"/>
    <w:rsid w:val="00CF2BDB"/>
    <w:rsid w:val="00CF3DDC"/>
    <w:rsid w:val="00CF3E93"/>
    <w:rsid w:val="00CF4445"/>
    <w:rsid w:val="00D00A9A"/>
    <w:rsid w:val="00D03DC1"/>
    <w:rsid w:val="00D04323"/>
    <w:rsid w:val="00D05496"/>
    <w:rsid w:val="00D054C0"/>
    <w:rsid w:val="00D10051"/>
    <w:rsid w:val="00D10291"/>
    <w:rsid w:val="00D10761"/>
    <w:rsid w:val="00D1444F"/>
    <w:rsid w:val="00D174E5"/>
    <w:rsid w:val="00D17BA6"/>
    <w:rsid w:val="00D17E3E"/>
    <w:rsid w:val="00D201F3"/>
    <w:rsid w:val="00D209F0"/>
    <w:rsid w:val="00D2431D"/>
    <w:rsid w:val="00D2704D"/>
    <w:rsid w:val="00D276CA"/>
    <w:rsid w:val="00D30DDB"/>
    <w:rsid w:val="00D34E9D"/>
    <w:rsid w:val="00D35321"/>
    <w:rsid w:val="00D3592A"/>
    <w:rsid w:val="00D40BA1"/>
    <w:rsid w:val="00D40E91"/>
    <w:rsid w:val="00D417EF"/>
    <w:rsid w:val="00D4253A"/>
    <w:rsid w:val="00D449B5"/>
    <w:rsid w:val="00D449E7"/>
    <w:rsid w:val="00D4631F"/>
    <w:rsid w:val="00D4661D"/>
    <w:rsid w:val="00D46B57"/>
    <w:rsid w:val="00D50F82"/>
    <w:rsid w:val="00D52275"/>
    <w:rsid w:val="00D52CF8"/>
    <w:rsid w:val="00D536A6"/>
    <w:rsid w:val="00D536C8"/>
    <w:rsid w:val="00D54585"/>
    <w:rsid w:val="00D54C1A"/>
    <w:rsid w:val="00D573FC"/>
    <w:rsid w:val="00D6167E"/>
    <w:rsid w:val="00D6196A"/>
    <w:rsid w:val="00D6437B"/>
    <w:rsid w:val="00D64F8A"/>
    <w:rsid w:val="00D658DE"/>
    <w:rsid w:val="00D66C69"/>
    <w:rsid w:val="00D70193"/>
    <w:rsid w:val="00D72B0A"/>
    <w:rsid w:val="00D733A8"/>
    <w:rsid w:val="00D74D72"/>
    <w:rsid w:val="00D77B13"/>
    <w:rsid w:val="00D77E47"/>
    <w:rsid w:val="00D800BE"/>
    <w:rsid w:val="00D80441"/>
    <w:rsid w:val="00D80710"/>
    <w:rsid w:val="00D80C84"/>
    <w:rsid w:val="00D811C1"/>
    <w:rsid w:val="00D81316"/>
    <w:rsid w:val="00D814B2"/>
    <w:rsid w:val="00D81CDA"/>
    <w:rsid w:val="00D82755"/>
    <w:rsid w:val="00D82D73"/>
    <w:rsid w:val="00D85074"/>
    <w:rsid w:val="00D85834"/>
    <w:rsid w:val="00D85EB5"/>
    <w:rsid w:val="00D8682E"/>
    <w:rsid w:val="00D868D7"/>
    <w:rsid w:val="00D86ADA"/>
    <w:rsid w:val="00D90804"/>
    <w:rsid w:val="00D9085E"/>
    <w:rsid w:val="00D915A0"/>
    <w:rsid w:val="00D9165C"/>
    <w:rsid w:val="00D93C42"/>
    <w:rsid w:val="00D95427"/>
    <w:rsid w:val="00D9651B"/>
    <w:rsid w:val="00DA06B7"/>
    <w:rsid w:val="00DA071B"/>
    <w:rsid w:val="00DA0BF7"/>
    <w:rsid w:val="00DA186A"/>
    <w:rsid w:val="00DA4A29"/>
    <w:rsid w:val="00DA52D9"/>
    <w:rsid w:val="00DA5F1F"/>
    <w:rsid w:val="00DB0F62"/>
    <w:rsid w:val="00DB1DAB"/>
    <w:rsid w:val="00DB4075"/>
    <w:rsid w:val="00DB6671"/>
    <w:rsid w:val="00DB71C7"/>
    <w:rsid w:val="00DC0999"/>
    <w:rsid w:val="00DC1564"/>
    <w:rsid w:val="00DC156C"/>
    <w:rsid w:val="00DC3184"/>
    <w:rsid w:val="00DC3886"/>
    <w:rsid w:val="00DC4820"/>
    <w:rsid w:val="00DC516C"/>
    <w:rsid w:val="00DC7EF5"/>
    <w:rsid w:val="00DD010D"/>
    <w:rsid w:val="00DD295D"/>
    <w:rsid w:val="00DD5E85"/>
    <w:rsid w:val="00DD71F8"/>
    <w:rsid w:val="00DD7836"/>
    <w:rsid w:val="00DE1358"/>
    <w:rsid w:val="00DE1962"/>
    <w:rsid w:val="00DE1ACD"/>
    <w:rsid w:val="00DE4E1F"/>
    <w:rsid w:val="00DE71C3"/>
    <w:rsid w:val="00DE78C1"/>
    <w:rsid w:val="00DF0DA2"/>
    <w:rsid w:val="00DF13F2"/>
    <w:rsid w:val="00DF2BC3"/>
    <w:rsid w:val="00DF72D4"/>
    <w:rsid w:val="00DF7763"/>
    <w:rsid w:val="00DF7ECB"/>
    <w:rsid w:val="00E0136B"/>
    <w:rsid w:val="00E0175D"/>
    <w:rsid w:val="00E02492"/>
    <w:rsid w:val="00E026C1"/>
    <w:rsid w:val="00E03BB7"/>
    <w:rsid w:val="00E03BE1"/>
    <w:rsid w:val="00E046AE"/>
    <w:rsid w:val="00E05010"/>
    <w:rsid w:val="00E07788"/>
    <w:rsid w:val="00E11A72"/>
    <w:rsid w:val="00E122AC"/>
    <w:rsid w:val="00E12475"/>
    <w:rsid w:val="00E129B8"/>
    <w:rsid w:val="00E13909"/>
    <w:rsid w:val="00E1437D"/>
    <w:rsid w:val="00E14DAE"/>
    <w:rsid w:val="00E150C9"/>
    <w:rsid w:val="00E150D1"/>
    <w:rsid w:val="00E156BD"/>
    <w:rsid w:val="00E168EE"/>
    <w:rsid w:val="00E17CE3"/>
    <w:rsid w:val="00E17F6D"/>
    <w:rsid w:val="00E17F9A"/>
    <w:rsid w:val="00E21A19"/>
    <w:rsid w:val="00E21CDC"/>
    <w:rsid w:val="00E21D29"/>
    <w:rsid w:val="00E23FEA"/>
    <w:rsid w:val="00E24C42"/>
    <w:rsid w:val="00E252CA"/>
    <w:rsid w:val="00E25823"/>
    <w:rsid w:val="00E26475"/>
    <w:rsid w:val="00E26865"/>
    <w:rsid w:val="00E26A11"/>
    <w:rsid w:val="00E26C61"/>
    <w:rsid w:val="00E26FC7"/>
    <w:rsid w:val="00E278AE"/>
    <w:rsid w:val="00E302B6"/>
    <w:rsid w:val="00E309FA"/>
    <w:rsid w:val="00E318A4"/>
    <w:rsid w:val="00E32E14"/>
    <w:rsid w:val="00E35C58"/>
    <w:rsid w:val="00E36992"/>
    <w:rsid w:val="00E37472"/>
    <w:rsid w:val="00E418C0"/>
    <w:rsid w:val="00E41A6E"/>
    <w:rsid w:val="00E41B2B"/>
    <w:rsid w:val="00E43919"/>
    <w:rsid w:val="00E43FF8"/>
    <w:rsid w:val="00E46CC0"/>
    <w:rsid w:val="00E50055"/>
    <w:rsid w:val="00E5019F"/>
    <w:rsid w:val="00E50859"/>
    <w:rsid w:val="00E50D6B"/>
    <w:rsid w:val="00E5108B"/>
    <w:rsid w:val="00E51BF5"/>
    <w:rsid w:val="00E52D7C"/>
    <w:rsid w:val="00E53BD5"/>
    <w:rsid w:val="00E5541D"/>
    <w:rsid w:val="00E55428"/>
    <w:rsid w:val="00E558B7"/>
    <w:rsid w:val="00E60614"/>
    <w:rsid w:val="00E63671"/>
    <w:rsid w:val="00E655A0"/>
    <w:rsid w:val="00E70E98"/>
    <w:rsid w:val="00E72B57"/>
    <w:rsid w:val="00E732FC"/>
    <w:rsid w:val="00E75843"/>
    <w:rsid w:val="00E759F0"/>
    <w:rsid w:val="00E75EE2"/>
    <w:rsid w:val="00E7651F"/>
    <w:rsid w:val="00E7680C"/>
    <w:rsid w:val="00E773A5"/>
    <w:rsid w:val="00E778A3"/>
    <w:rsid w:val="00E815C7"/>
    <w:rsid w:val="00E81915"/>
    <w:rsid w:val="00E81E8F"/>
    <w:rsid w:val="00E84FB1"/>
    <w:rsid w:val="00E852F6"/>
    <w:rsid w:val="00E867DE"/>
    <w:rsid w:val="00E87570"/>
    <w:rsid w:val="00E90DF7"/>
    <w:rsid w:val="00E91661"/>
    <w:rsid w:val="00E91FCE"/>
    <w:rsid w:val="00E94C71"/>
    <w:rsid w:val="00E97295"/>
    <w:rsid w:val="00EA07A7"/>
    <w:rsid w:val="00EA0C55"/>
    <w:rsid w:val="00EA2146"/>
    <w:rsid w:val="00EA3039"/>
    <w:rsid w:val="00EA36F6"/>
    <w:rsid w:val="00EA3882"/>
    <w:rsid w:val="00EA47AA"/>
    <w:rsid w:val="00EA5290"/>
    <w:rsid w:val="00EA696E"/>
    <w:rsid w:val="00EA6EBF"/>
    <w:rsid w:val="00EB1597"/>
    <w:rsid w:val="00EB1AA8"/>
    <w:rsid w:val="00EB3E33"/>
    <w:rsid w:val="00EB505C"/>
    <w:rsid w:val="00EB524E"/>
    <w:rsid w:val="00EB5E9C"/>
    <w:rsid w:val="00EC0B00"/>
    <w:rsid w:val="00EC0F5E"/>
    <w:rsid w:val="00EC15A4"/>
    <w:rsid w:val="00EC18FB"/>
    <w:rsid w:val="00EC1EDF"/>
    <w:rsid w:val="00EC26E2"/>
    <w:rsid w:val="00EC32E6"/>
    <w:rsid w:val="00EC3770"/>
    <w:rsid w:val="00EC465D"/>
    <w:rsid w:val="00EC4EF1"/>
    <w:rsid w:val="00EC5B79"/>
    <w:rsid w:val="00EC5FCF"/>
    <w:rsid w:val="00EC62D0"/>
    <w:rsid w:val="00EC6484"/>
    <w:rsid w:val="00EC6CE0"/>
    <w:rsid w:val="00EC7FE2"/>
    <w:rsid w:val="00ED0647"/>
    <w:rsid w:val="00ED0CA4"/>
    <w:rsid w:val="00ED3244"/>
    <w:rsid w:val="00ED4419"/>
    <w:rsid w:val="00ED607B"/>
    <w:rsid w:val="00ED618C"/>
    <w:rsid w:val="00ED69C4"/>
    <w:rsid w:val="00EE021B"/>
    <w:rsid w:val="00EE0425"/>
    <w:rsid w:val="00EE33A2"/>
    <w:rsid w:val="00EE4378"/>
    <w:rsid w:val="00EE4590"/>
    <w:rsid w:val="00EE6DA8"/>
    <w:rsid w:val="00EF1BF1"/>
    <w:rsid w:val="00EF255E"/>
    <w:rsid w:val="00EF4C55"/>
    <w:rsid w:val="00EF5603"/>
    <w:rsid w:val="00EF7432"/>
    <w:rsid w:val="00EF7C4D"/>
    <w:rsid w:val="00EF7F04"/>
    <w:rsid w:val="00F001CF"/>
    <w:rsid w:val="00F004EA"/>
    <w:rsid w:val="00F01DBB"/>
    <w:rsid w:val="00F01E7D"/>
    <w:rsid w:val="00F03114"/>
    <w:rsid w:val="00F06AE7"/>
    <w:rsid w:val="00F070DE"/>
    <w:rsid w:val="00F07354"/>
    <w:rsid w:val="00F0756D"/>
    <w:rsid w:val="00F07A14"/>
    <w:rsid w:val="00F10584"/>
    <w:rsid w:val="00F119C6"/>
    <w:rsid w:val="00F12732"/>
    <w:rsid w:val="00F12FC5"/>
    <w:rsid w:val="00F13384"/>
    <w:rsid w:val="00F13E59"/>
    <w:rsid w:val="00F16646"/>
    <w:rsid w:val="00F16EFD"/>
    <w:rsid w:val="00F20CB5"/>
    <w:rsid w:val="00F23762"/>
    <w:rsid w:val="00F25CBA"/>
    <w:rsid w:val="00F31DF4"/>
    <w:rsid w:val="00F321F5"/>
    <w:rsid w:val="00F3249D"/>
    <w:rsid w:val="00F3340C"/>
    <w:rsid w:val="00F34282"/>
    <w:rsid w:val="00F347A2"/>
    <w:rsid w:val="00F34BC3"/>
    <w:rsid w:val="00F34BE2"/>
    <w:rsid w:val="00F36E44"/>
    <w:rsid w:val="00F36EA1"/>
    <w:rsid w:val="00F40DA8"/>
    <w:rsid w:val="00F41BDE"/>
    <w:rsid w:val="00F42386"/>
    <w:rsid w:val="00F42CD2"/>
    <w:rsid w:val="00F43193"/>
    <w:rsid w:val="00F43CFE"/>
    <w:rsid w:val="00F447A2"/>
    <w:rsid w:val="00F44AE8"/>
    <w:rsid w:val="00F45353"/>
    <w:rsid w:val="00F51BC7"/>
    <w:rsid w:val="00F5410C"/>
    <w:rsid w:val="00F546CC"/>
    <w:rsid w:val="00F54E60"/>
    <w:rsid w:val="00F57078"/>
    <w:rsid w:val="00F5734C"/>
    <w:rsid w:val="00F57D00"/>
    <w:rsid w:val="00F57E0C"/>
    <w:rsid w:val="00F57FAC"/>
    <w:rsid w:val="00F60469"/>
    <w:rsid w:val="00F60ED5"/>
    <w:rsid w:val="00F6215D"/>
    <w:rsid w:val="00F62780"/>
    <w:rsid w:val="00F630FB"/>
    <w:rsid w:val="00F66600"/>
    <w:rsid w:val="00F67476"/>
    <w:rsid w:val="00F67619"/>
    <w:rsid w:val="00F7121E"/>
    <w:rsid w:val="00F73B68"/>
    <w:rsid w:val="00F74A03"/>
    <w:rsid w:val="00F75EB2"/>
    <w:rsid w:val="00F7663F"/>
    <w:rsid w:val="00F774F5"/>
    <w:rsid w:val="00F77CAD"/>
    <w:rsid w:val="00F80076"/>
    <w:rsid w:val="00F8132B"/>
    <w:rsid w:val="00F8214B"/>
    <w:rsid w:val="00F83481"/>
    <w:rsid w:val="00F8358C"/>
    <w:rsid w:val="00F83C92"/>
    <w:rsid w:val="00F84A4D"/>
    <w:rsid w:val="00F84BA1"/>
    <w:rsid w:val="00F85DEE"/>
    <w:rsid w:val="00F87027"/>
    <w:rsid w:val="00F87EA4"/>
    <w:rsid w:val="00F87EA9"/>
    <w:rsid w:val="00F913F5"/>
    <w:rsid w:val="00F92B35"/>
    <w:rsid w:val="00F942C3"/>
    <w:rsid w:val="00F94935"/>
    <w:rsid w:val="00F9499C"/>
    <w:rsid w:val="00F9509C"/>
    <w:rsid w:val="00FA0EDE"/>
    <w:rsid w:val="00FA1ABE"/>
    <w:rsid w:val="00FA299C"/>
    <w:rsid w:val="00FA362F"/>
    <w:rsid w:val="00FA3666"/>
    <w:rsid w:val="00FA4648"/>
    <w:rsid w:val="00FA5796"/>
    <w:rsid w:val="00FA58AD"/>
    <w:rsid w:val="00FA68C1"/>
    <w:rsid w:val="00FA6B8B"/>
    <w:rsid w:val="00FA7854"/>
    <w:rsid w:val="00FB005E"/>
    <w:rsid w:val="00FB018D"/>
    <w:rsid w:val="00FB2356"/>
    <w:rsid w:val="00FB2F8A"/>
    <w:rsid w:val="00FB3808"/>
    <w:rsid w:val="00FB38C2"/>
    <w:rsid w:val="00FB4E55"/>
    <w:rsid w:val="00FB513D"/>
    <w:rsid w:val="00FB74B1"/>
    <w:rsid w:val="00FB79C9"/>
    <w:rsid w:val="00FC00B3"/>
    <w:rsid w:val="00FC062B"/>
    <w:rsid w:val="00FC0CE4"/>
    <w:rsid w:val="00FC1A15"/>
    <w:rsid w:val="00FC42C2"/>
    <w:rsid w:val="00FC5124"/>
    <w:rsid w:val="00FD0630"/>
    <w:rsid w:val="00FD06AE"/>
    <w:rsid w:val="00FD171A"/>
    <w:rsid w:val="00FD225B"/>
    <w:rsid w:val="00FD507D"/>
    <w:rsid w:val="00FD6A36"/>
    <w:rsid w:val="00FE04E2"/>
    <w:rsid w:val="00FE4CE2"/>
    <w:rsid w:val="00FE60C1"/>
    <w:rsid w:val="00FE6D5B"/>
    <w:rsid w:val="00FE74E5"/>
    <w:rsid w:val="00FE7D60"/>
    <w:rsid w:val="00FF028D"/>
    <w:rsid w:val="00FF0EA0"/>
    <w:rsid w:val="00FF1BBE"/>
    <w:rsid w:val="00FF24AD"/>
    <w:rsid w:val="00FF3EEA"/>
    <w:rsid w:val="00FF3F0B"/>
    <w:rsid w:val="00FF4214"/>
    <w:rsid w:val="00FF4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C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List Number 2" w:locked="1"/>
    <w:lsdException w:name="List Number 5" w:locked="1" w:uiPriority="0"/>
    <w:lsdException w:name="Title" w:locked="1" w:semiHidden="0" w:uiPriority="0" w:unhideWhenUsed="0" w:qFormat="1"/>
    <w:lsdException w:name="Default Paragraph Font" w:locked="1" w:uiPriority="1"/>
    <w:lsdException w:name="Body Text" w:uiPriority="1" w:qFormat="1"/>
    <w:lsdException w:name="Subtitle" w:locked="1" w:semiHidden="0" w:uiPriority="0" w:unhideWhenUsed="0" w:qFormat="1"/>
    <w:lsdException w:name="Body Text Indent 3" w:locked="1" w:uiPriority="0"/>
    <w:lsdException w:name="Block Text" w:locked="1" w:uiPriority="0"/>
    <w:lsdException w:name="Hyperlink" w:locked="1"/>
    <w:lsdException w:name="FollowedHyperlink" w:locked="1"/>
    <w:lsdException w:name="Strong" w:locked="1" w:semiHidden="0" w:uiPriority="22" w:unhideWhenUsed="0" w:qFormat="1"/>
    <w:lsdException w:name="Emphasis" w:locked="1" w:semiHidden="0" w:unhideWhenUsed="0" w:qFormat="1"/>
    <w:lsdException w:name="Normal (Web)"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uiPriority w:val="99"/>
    <w:qFormat/>
    <w:rsid w:val="00092002"/>
    <w:pPr>
      <w:keepNext/>
      <w:spacing w:line="360" w:lineRule="auto"/>
      <w:ind w:left="360"/>
      <w:jc w:val="center"/>
      <w:outlineLvl w:val="0"/>
    </w:pPr>
    <w:rPr>
      <w:b/>
    </w:rPr>
  </w:style>
  <w:style w:type="paragraph" w:styleId="Heading2">
    <w:name w:val="heading 2"/>
    <w:basedOn w:val="Normal"/>
    <w:next w:val="Normal"/>
    <w:link w:val="Heading2Char"/>
    <w:uiPriority w:val="99"/>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002"/>
    <w:rPr>
      <w:rFonts w:cs="Times New Roman"/>
      <w:b/>
      <w:sz w:val="24"/>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EB505C"/>
    <w:rPr>
      <w:rFonts w:cs="Times New Roman"/>
      <w:b/>
      <w:sz w:val="24"/>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EB505C"/>
    <w:pPr>
      <w:spacing w:before="120" w:after="120"/>
    </w:pPr>
  </w:style>
  <w:style w:type="character" w:customStyle="1" w:styleId="BodyTextChar">
    <w:name w:val="Body Text Char"/>
    <w:link w:val="BodyText"/>
    <w:uiPriority w:val="1"/>
    <w:locked/>
    <w:rsid w:val="00EB505C"/>
    <w:rPr>
      <w:rFonts w:cs="Times New Roman"/>
      <w:sz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Pr>
      <w:rFonts w:cs="Times New Roman"/>
      <w:sz w:val="20"/>
      <w:szCs w:val="20"/>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6C42EA"/>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22"/>
    <w:qFormat/>
    <w:rsid w:val="00C800ED"/>
    <w:rPr>
      <w:rFonts w:cs="Times New Roman"/>
      <w:b/>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8A6DE8"/>
    <w:pPr>
      <w:autoSpaceDE w:val="0"/>
      <w:autoSpaceDN w:val="0"/>
      <w:adjustRightInd w:val="0"/>
    </w:pPr>
    <w:rPr>
      <w:rFonts w:ascii="Cambria" w:hAnsi="Cambria" w:cs="Cambria"/>
      <w:color w:val="000000"/>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link w:val="CaptionChar"/>
    <w:uiPriority w:val="35"/>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rFonts w:cs="Times New Roman"/>
      <w:sz w:val="16"/>
    </w:rPr>
  </w:style>
  <w:style w:type="paragraph" w:styleId="CommentSubject">
    <w:name w:val="annotation subject"/>
    <w:basedOn w:val="CommentText"/>
    <w:next w:val="CommentText"/>
    <w:link w:val="CommentSubjectChar"/>
    <w:uiPriority w:val="99"/>
    <w:rsid w:val="006C42EA"/>
    <w:rPr>
      <w:b/>
      <w:bCs/>
    </w:rPr>
  </w:style>
  <w:style w:type="character" w:customStyle="1" w:styleId="CommentSubjectChar">
    <w:name w:val="Comment Subject Char"/>
    <w:basedOn w:val="CommentTextChar"/>
    <w:link w:val="CommentSubject"/>
    <w:uiPriority w:val="99"/>
    <w:locked/>
    <w:rsid w:val="006C42EA"/>
    <w:rPr>
      <w:rFonts w:cs="Times New Roman"/>
    </w:rPr>
  </w:style>
  <w:style w:type="paragraph" w:styleId="ListNumber">
    <w:name w:val="List Number"/>
    <w:basedOn w:val="Normal"/>
    <w:uiPriority w:val="99"/>
    <w:rsid w:val="00692691"/>
    <w:pPr>
      <w:numPr>
        <w:numId w:val="1"/>
      </w:numPr>
      <w:tabs>
        <w:tab w:val="clear" w:pos="360"/>
        <w:tab w:val="num" w:pos="1440"/>
        <w:tab w:val="num" w:pos="1560"/>
      </w:tabs>
      <w:spacing w:after="120"/>
      <w:ind w:left="504"/>
    </w:pPr>
    <w:rPr>
      <w:rFonts w:ascii="Arial" w:hAnsi="Arial"/>
      <w:sz w:val="20"/>
    </w:rPr>
  </w:style>
  <w:style w:type="paragraph" w:styleId="ListBullet">
    <w:name w:val="List Bullet"/>
    <w:basedOn w:val="Normal"/>
    <w:autoRedefine/>
    <w:uiPriority w:val="99"/>
    <w:rsid w:val="003E0A75"/>
    <w:pPr>
      <w:numPr>
        <w:numId w:val="2"/>
      </w:numPr>
      <w:spacing w:before="120" w:after="120"/>
      <w:ind w:left="792" w:hanging="432"/>
    </w:pPr>
  </w:style>
  <w:style w:type="paragraph" w:styleId="ListNumber2">
    <w:name w:val="List Number 2"/>
    <w:basedOn w:val="Normal"/>
    <w:uiPriority w:val="99"/>
    <w:rsid w:val="00424275"/>
    <w:pPr>
      <w:numPr>
        <w:numId w:val="3"/>
      </w:numPr>
      <w:tabs>
        <w:tab w:val="clear" w:pos="720"/>
      </w:tabs>
      <w:spacing w:after="60"/>
      <w:ind w:left="360" w:firstLine="0"/>
    </w:pPr>
    <w:rPr>
      <w:b/>
      <w:i/>
    </w:rPr>
  </w:style>
  <w:style w:type="paragraph" w:customStyle="1" w:styleId="StyleHeading1Centered">
    <w:name w:val="Style Heading 1 + Centered"/>
    <w:basedOn w:val="Heading1"/>
    <w:uiPriority w:val="99"/>
    <w:rsid w:val="00250889"/>
    <w:pPr>
      <w:spacing w:after="120"/>
      <w:ind w:left="0"/>
    </w:pPr>
    <w:rPr>
      <w:rFonts w:ascii="Arial Narrow" w:hAnsi="Arial Narrow"/>
      <w:kern w:val="32"/>
      <w:sz w:val="32"/>
      <w:szCs w:val="20"/>
    </w:rPr>
  </w:style>
  <w:style w:type="paragraph" w:customStyle="1" w:styleId="StyleLeft05">
    <w:name w:val="Style Left:  0.5&quot;"/>
    <w:basedOn w:val="Normal"/>
    <w:uiPriority w:val="99"/>
    <w:rsid w:val="00EB505C"/>
    <w:pPr>
      <w:spacing w:before="120" w:after="120"/>
      <w:ind w:left="720"/>
    </w:pPr>
    <w:rPr>
      <w:szCs w:val="20"/>
    </w:rPr>
  </w:style>
  <w:style w:type="paragraph" w:customStyle="1" w:styleId="StyleLeft025Hanging05">
    <w:name w:val="Style Left:  0.25&quot; Hanging:  0.5&quot;"/>
    <w:basedOn w:val="Normal"/>
    <w:uiPriority w:val="99"/>
    <w:rsid w:val="00EB505C"/>
    <w:pPr>
      <w:spacing w:before="120" w:after="120"/>
      <w:ind w:left="1080" w:hanging="720"/>
    </w:pPr>
    <w:rPr>
      <w:szCs w:val="20"/>
    </w:rPr>
  </w:style>
  <w:style w:type="paragraph" w:styleId="ListNumber3">
    <w:name w:val="List Number 3"/>
    <w:basedOn w:val="Normal"/>
    <w:uiPriority w:val="99"/>
    <w:rsid w:val="00083749"/>
    <w:pPr>
      <w:numPr>
        <w:numId w:val="5"/>
      </w:numPr>
      <w:tabs>
        <w:tab w:val="clear" w:pos="720"/>
      </w:tabs>
      <w:ind w:left="432" w:firstLine="0"/>
      <w:contextualSpacing/>
    </w:pPr>
  </w:style>
  <w:style w:type="paragraph" w:styleId="ListBullet2">
    <w:name w:val="List Bullet 2"/>
    <w:basedOn w:val="Normal"/>
    <w:uiPriority w:val="99"/>
    <w:rsid w:val="00083749"/>
    <w:pPr>
      <w:numPr>
        <w:numId w:val="4"/>
      </w:numPr>
      <w:tabs>
        <w:tab w:val="clear" w:pos="1080"/>
        <w:tab w:val="num" w:pos="720"/>
      </w:tabs>
      <w:ind w:left="720"/>
      <w:contextualSpacing/>
    </w:pPr>
  </w:style>
  <w:style w:type="paragraph" w:styleId="EndnoteText">
    <w:name w:val="endnote text"/>
    <w:basedOn w:val="Normal"/>
    <w:link w:val="EndnoteTextChar"/>
    <w:uiPriority w:val="99"/>
    <w:rsid w:val="00E24C42"/>
    <w:rPr>
      <w:sz w:val="20"/>
      <w:szCs w:val="20"/>
    </w:rPr>
  </w:style>
  <w:style w:type="character" w:customStyle="1" w:styleId="EndnoteTextChar">
    <w:name w:val="Endnote Text Char"/>
    <w:link w:val="EndnoteText"/>
    <w:uiPriority w:val="99"/>
    <w:locked/>
    <w:rsid w:val="00E24C42"/>
    <w:rPr>
      <w:rFonts w:cs="Times New Roman"/>
    </w:rPr>
  </w:style>
  <w:style w:type="character" w:styleId="EndnoteReference">
    <w:name w:val="endnote reference"/>
    <w:uiPriority w:val="99"/>
    <w:rsid w:val="00E24C42"/>
    <w:rPr>
      <w:rFonts w:cs="Times New Roman"/>
      <w:vertAlign w:val="superscript"/>
    </w:rPr>
  </w:style>
  <w:style w:type="character" w:customStyle="1" w:styleId="BodyTextChar1">
    <w:name w:val="Body Text Char1"/>
    <w:uiPriority w:val="99"/>
    <w:rsid w:val="00695D9A"/>
    <w:rPr>
      <w:rFonts w:ascii="Georgia" w:hAnsi="Georgia"/>
      <w:sz w:val="20"/>
    </w:rPr>
  </w:style>
  <w:style w:type="paragraph" w:customStyle="1" w:styleId="bioref">
    <w:name w:val="bio ref"/>
    <w:link w:val="biorefChar"/>
    <w:uiPriority w:val="99"/>
    <w:rsid w:val="00695D9A"/>
    <w:pPr>
      <w:numPr>
        <w:numId w:val="11"/>
      </w:numPr>
      <w:spacing w:before="30" w:after="30" w:line="266" w:lineRule="exact"/>
      <w:ind w:left="480" w:hanging="480"/>
    </w:pPr>
    <w:rPr>
      <w:noProof/>
      <w:sz w:val="24"/>
      <w:szCs w:val="22"/>
    </w:rPr>
  </w:style>
  <w:style w:type="character" w:customStyle="1" w:styleId="biorefChar">
    <w:name w:val="bio ref Char"/>
    <w:link w:val="bioref"/>
    <w:uiPriority w:val="99"/>
    <w:locked/>
    <w:rsid w:val="00695D9A"/>
    <w:rPr>
      <w:noProof/>
      <w:sz w:val="24"/>
    </w:rPr>
  </w:style>
  <w:style w:type="character" w:styleId="FollowedHyperlink">
    <w:name w:val="FollowedHyperlink"/>
    <w:uiPriority w:val="99"/>
    <w:rsid w:val="006247B7"/>
    <w:rPr>
      <w:rFonts w:cs="Times New Roman"/>
      <w:color w:val="800080"/>
      <w:u w:val="single"/>
    </w:rPr>
  </w:style>
  <w:style w:type="paragraph" w:styleId="Revision">
    <w:name w:val="Revision"/>
    <w:hidden/>
    <w:uiPriority w:val="99"/>
    <w:semiHidden/>
    <w:rsid w:val="00805306"/>
    <w:rPr>
      <w:sz w:val="24"/>
      <w:szCs w:val="24"/>
    </w:rPr>
  </w:style>
  <w:style w:type="paragraph" w:customStyle="1" w:styleId="Table">
    <w:name w:val="Table"/>
    <w:basedOn w:val="Normal"/>
    <w:next w:val="Normal"/>
    <w:link w:val="TableChar"/>
    <w:rsid w:val="003C4CB4"/>
    <w:pPr>
      <w:tabs>
        <w:tab w:val="num" w:pos="1440"/>
      </w:tabs>
      <w:ind w:left="720" w:hanging="360"/>
      <w:jc w:val="center"/>
    </w:pPr>
    <w:rPr>
      <w:b/>
      <w:szCs w:val="20"/>
    </w:rPr>
  </w:style>
  <w:style w:type="character" w:customStyle="1" w:styleId="TableChar">
    <w:name w:val="Table Char"/>
    <w:link w:val="Table"/>
    <w:rsid w:val="003C4CB4"/>
    <w:rPr>
      <w:b/>
      <w:sz w:val="24"/>
    </w:rPr>
  </w:style>
  <w:style w:type="paragraph" w:customStyle="1" w:styleId="Figure">
    <w:name w:val="Figure"/>
    <w:basedOn w:val="Normal"/>
    <w:next w:val="Normal"/>
    <w:link w:val="FigureChar"/>
    <w:rsid w:val="003C4CB4"/>
    <w:pPr>
      <w:numPr>
        <w:numId w:val="19"/>
      </w:numPr>
      <w:jc w:val="center"/>
    </w:pPr>
    <w:rPr>
      <w:b/>
      <w:szCs w:val="20"/>
    </w:rPr>
  </w:style>
  <w:style w:type="character" w:customStyle="1" w:styleId="FigureChar">
    <w:name w:val="Figure Char"/>
    <w:link w:val="Figure"/>
    <w:rsid w:val="003C4CB4"/>
    <w:rPr>
      <w:b/>
      <w:sz w:val="24"/>
    </w:rPr>
  </w:style>
  <w:style w:type="paragraph" w:customStyle="1" w:styleId="TableParagraph">
    <w:name w:val="Table Paragraph"/>
    <w:basedOn w:val="Normal"/>
    <w:uiPriority w:val="1"/>
    <w:qFormat/>
    <w:rsid w:val="00D85EB5"/>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113B7"/>
  </w:style>
  <w:style w:type="numbering" w:customStyle="1" w:styleId="NoList2">
    <w:name w:val="No List2"/>
    <w:next w:val="NoList"/>
    <w:uiPriority w:val="99"/>
    <w:semiHidden/>
    <w:unhideWhenUsed/>
    <w:rsid w:val="007113B7"/>
  </w:style>
  <w:style w:type="table" w:customStyle="1" w:styleId="TableGrid1">
    <w:name w:val="Table Grid1"/>
    <w:basedOn w:val="TableNormal"/>
    <w:next w:val="TableGrid"/>
    <w:uiPriority w:val="39"/>
    <w:rsid w:val="005D18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52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56B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156BD"/>
    <w:rPr>
      <w:rFonts w:asciiTheme="minorHAnsi" w:eastAsiaTheme="minorEastAsia" w:hAnsiTheme="minorHAnsi" w:cstheme="minorBidi"/>
      <w:sz w:val="22"/>
      <w:szCs w:val="22"/>
    </w:rPr>
  </w:style>
  <w:style w:type="character" w:customStyle="1" w:styleId="Mention1">
    <w:name w:val="Mention1"/>
    <w:basedOn w:val="DefaultParagraphFont"/>
    <w:uiPriority w:val="99"/>
    <w:semiHidden/>
    <w:unhideWhenUsed/>
    <w:rsid w:val="00EA3882"/>
    <w:rPr>
      <w:color w:val="2B579A"/>
      <w:shd w:val="clear" w:color="auto" w:fill="E6E6E6"/>
    </w:rPr>
  </w:style>
  <w:style w:type="character" w:customStyle="1" w:styleId="CaptionChar">
    <w:name w:val="Caption Char"/>
    <w:link w:val="Caption"/>
    <w:uiPriority w:val="35"/>
    <w:rsid w:val="004D3DC6"/>
    <w:rPr>
      <w:rFonts w:ascii="Arial" w:hAnsi="Arial"/>
      <w:b/>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List Number 2" w:locked="1"/>
    <w:lsdException w:name="List Number 5" w:locked="1" w:uiPriority="0"/>
    <w:lsdException w:name="Title" w:locked="1" w:semiHidden="0" w:uiPriority="0" w:unhideWhenUsed="0" w:qFormat="1"/>
    <w:lsdException w:name="Default Paragraph Font" w:locked="1" w:uiPriority="1"/>
    <w:lsdException w:name="Body Text" w:uiPriority="1" w:qFormat="1"/>
    <w:lsdException w:name="Subtitle" w:locked="1" w:semiHidden="0" w:uiPriority="0" w:unhideWhenUsed="0" w:qFormat="1"/>
    <w:lsdException w:name="Body Text Indent 3" w:locked="1" w:uiPriority="0"/>
    <w:lsdException w:name="Block Text" w:locked="1" w:uiPriority="0"/>
    <w:lsdException w:name="Hyperlink" w:locked="1"/>
    <w:lsdException w:name="FollowedHyperlink" w:locked="1"/>
    <w:lsdException w:name="Strong" w:locked="1" w:semiHidden="0" w:uiPriority="22" w:unhideWhenUsed="0" w:qFormat="1"/>
    <w:lsdException w:name="Emphasis" w:locked="1" w:semiHidden="0" w:unhideWhenUsed="0" w:qFormat="1"/>
    <w:lsdException w:name="Normal (Web)"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uiPriority w:val="99"/>
    <w:qFormat/>
    <w:rsid w:val="00092002"/>
    <w:pPr>
      <w:keepNext/>
      <w:spacing w:line="360" w:lineRule="auto"/>
      <w:ind w:left="360"/>
      <w:jc w:val="center"/>
      <w:outlineLvl w:val="0"/>
    </w:pPr>
    <w:rPr>
      <w:b/>
    </w:rPr>
  </w:style>
  <w:style w:type="paragraph" w:styleId="Heading2">
    <w:name w:val="heading 2"/>
    <w:basedOn w:val="Normal"/>
    <w:next w:val="Normal"/>
    <w:link w:val="Heading2Char"/>
    <w:uiPriority w:val="99"/>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002"/>
    <w:rPr>
      <w:rFonts w:cs="Times New Roman"/>
      <w:b/>
      <w:sz w:val="24"/>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EB505C"/>
    <w:rPr>
      <w:rFonts w:cs="Times New Roman"/>
      <w:b/>
      <w:sz w:val="24"/>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EB505C"/>
    <w:pPr>
      <w:spacing w:before="120" w:after="120"/>
    </w:pPr>
  </w:style>
  <w:style w:type="character" w:customStyle="1" w:styleId="BodyTextChar">
    <w:name w:val="Body Text Char"/>
    <w:link w:val="BodyText"/>
    <w:uiPriority w:val="1"/>
    <w:locked/>
    <w:rsid w:val="00EB505C"/>
    <w:rPr>
      <w:rFonts w:cs="Times New Roman"/>
      <w:sz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Pr>
      <w:rFonts w:cs="Times New Roman"/>
      <w:sz w:val="20"/>
      <w:szCs w:val="20"/>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6C42EA"/>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22"/>
    <w:qFormat/>
    <w:rsid w:val="00C800ED"/>
    <w:rPr>
      <w:rFonts w:cs="Times New Roman"/>
      <w:b/>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8A6DE8"/>
    <w:pPr>
      <w:autoSpaceDE w:val="0"/>
      <w:autoSpaceDN w:val="0"/>
      <w:adjustRightInd w:val="0"/>
    </w:pPr>
    <w:rPr>
      <w:rFonts w:ascii="Cambria" w:hAnsi="Cambria" w:cs="Cambria"/>
      <w:color w:val="000000"/>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link w:val="CaptionChar"/>
    <w:uiPriority w:val="35"/>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rFonts w:cs="Times New Roman"/>
      <w:sz w:val="16"/>
    </w:rPr>
  </w:style>
  <w:style w:type="paragraph" w:styleId="CommentSubject">
    <w:name w:val="annotation subject"/>
    <w:basedOn w:val="CommentText"/>
    <w:next w:val="CommentText"/>
    <w:link w:val="CommentSubjectChar"/>
    <w:uiPriority w:val="99"/>
    <w:rsid w:val="006C42EA"/>
    <w:rPr>
      <w:b/>
      <w:bCs/>
    </w:rPr>
  </w:style>
  <w:style w:type="character" w:customStyle="1" w:styleId="CommentSubjectChar">
    <w:name w:val="Comment Subject Char"/>
    <w:basedOn w:val="CommentTextChar"/>
    <w:link w:val="CommentSubject"/>
    <w:uiPriority w:val="99"/>
    <w:locked/>
    <w:rsid w:val="006C42EA"/>
    <w:rPr>
      <w:rFonts w:cs="Times New Roman"/>
    </w:rPr>
  </w:style>
  <w:style w:type="paragraph" w:styleId="ListNumber">
    <w:name w:val="List Number"/>
    <w:basedOn w:val="Normal"/>
    <w:uiPriority w:val="99"/>
    <w:rsid w:val="00692691"/>
    <w:pPr>
      <w:numPr>
        <w:numId w:val="1"/>
      </w:numPr>
      <w:tabs>
        <w:tab w:val="clear" w:pos="360"/>
        <w:tab w:val="num" w:pos="1440"/>
        <w:tab w:val="num" w:pos="1560"/>
      </w:tabs>
      <w:spacing w:after="120"/>
      <w:ind w:left="504"/>
    </w:pPr>
    <w:rPr>
      <w:rFonts w:ascii="Arial" w:hAnsi="Arial"/>
      <w:sz w:val="20"/>
    </w:rPr>
  </w:style>
  <w:style w:type="paragraph" w:styleId="ListBullet">
    <w:name w:val="List Bullet"/>
    <w:basedOn w:val="Normal"/>
    <w:autoRedefine/>
    <w:uiPriority w:val="99"/>
    <w:rsid w:val="003E0A75"/>
    <w:pPr>
      <w:numPr>
        <w:numId w:val="2"/>
      </w:numPr>
      <w:spacing w:before="120" w:after="120"/>
      <w:ind w:left="792" w:hanging="432"/>
    </w:pPr>
  </w:style>
  <w:style w:type="paragraph" w:styleId="ListNumber2">
    <w:name w:val="List Number 2"/>
    <w:basedOn w:val="Normal"/>
    <w:uiPriority w:val="99"/>
    <w:rsid w:val="00424275"/>
    <w:pPr>
      <w:numPr>
        <w:numId w:val="3"/>
      </w:numPr>
      <w:tabs>
        <w:tab w:val="clear" w:pos="720"/>
      </w:tabs>
      <w:spacing w:after="60"/>
      <w:ind w:left="360" w:firstLine="0"/>
    </w:pPr>
    <w:rPr>
      <w:b/>
      <w:i/>
    </w:rPr>
  </w:style>
  <w:style w:type="paragraph" w:customStyle="1" w:styleId="StyleHeading1Centered">
    <w:name w:val="Style Heading 1 + Centered"/>
    <w:basedOn w:val="Heading1"/>
    <w:uiPriority w:val="99"/>
    <w:rsid w:val="00250889"/>
    <w:pPr>
      <w:spacing w:after="120"/>
      <w:ind w:left="0"/>
    </w:pPr>
    <w:rPr>
      <w:rFonts w:ascii="Arial Narrow" w:hAnsi="Arial Narrow"/>
      <w:kern w:val="32"/>
      <w:sz w:val="32"/>
      <w:szCs w:val="20"/>
    </w:rPr>
  </w:style>
  <w:style w:type="paragraph" w:customStyle="1" w:styleId="StyleLeft05">
    <w:name w:val="Style Left:  0.5&quot;"/>
    <w:basedOn w:val="Normal"/>
    <w:uiPriority w:val="99"/>
    <w:rsid w:val="00EB505C"/>
    <w:pPr>
      <w:spacing w:before="120" w:after="120"/>
      <w:ind w:left="720"/>
    </w:pPr>
    <w:rPr>
      <w:szCs w:val="20"/>
    </w:rPr>
  </w:style>
  <w:style w:type="paragraph" w:customStyle="1" w:styleId="StyleLeft025Hanging05">
    <w:name w:val="Style Left:  0.25&quot; Hanging:  0.5&quot;"/>
    <w:basedOn w:val="Normal"/>
    <w:uiPriority w:val="99"/>
    <w:rsid w:val="00EB505C"/>
    <w:pPr>
      <w:spacing w:before="120" w:after="120"/>
      <w:ind w:left="1080" w:hanging="720"/>
    </w:pPr>
    <w:rPr>
      <w:szCs w:val="20"/>
    </w:rPr>
  </w:style>
  <w:style w:type="paragraph" w:styleId="ListNumber3">
    <w:name w:val="List Number 3"/>
    <w:basedOn w:val="Normal"/>
    <w:uiPriority w:val="99"/>
    <w:rsid w:val="00083749"/>
    <w:pPr>
      <w:numPr>
        <w:numId w:val="5"/>
      </w:numPr>
      <w:tabs>
        <w:tab w:val="clear" w:pos="720"/>
      </w:tabs>
      <w:ind w:left="432" w:firstLine="0"/>
      <w:contextualSpacing/>
    </w:pPr>
  </w:style>
  <w:style w:type="paragraph" w:styleId="ListBullet2">
    <w:name w:val="List Bullet 2"/>
    <w:basedOn w:val="Normal"/>
    <w:uiPriority w:val="99"/>
    <w:rsid w:val="00083749"/>
    <w:pPr>
      <w:numPr>
        <w:numId w:val="4"/>
      </w:numPr>
      <w:tabs>
        <w:tab w:val="clear" w:pos="1080"/>
        <w:tab w:val="num" w:pos="720"/>
      </w:tabs>
      <w:ind w:left="720"/>
      <w:contextualSpacing/>
    </w:pPr>
  </w:style>
  <w:style w:type="paragraph" w:styleId="EndnoteText">
    <w:name w:val="endnote text"/>
    <w:basedOn w:val="Normal"/>
    <w:link w:val="EndnoteTextChar"/>
    <w:uiPriority w:val="99"/>
    <w:rsid w:val="00E24C42"/>
    <w:rPr>
      <w:sz w:val="20"/>
      <w:szCs w:val="20"/>
    </w:rPr>
  </w:style>
  <w:style w:type="character" w:customStyle="1" w:styleId="EndnoteTextChar">
    <w:name w:val="Endnote Text Char"/>
    <w:link w:val="EndnoteText"/>
    <w:uiPriority w:val="99"/>
    <w:locked/>
    <w:rsid w:val="00E24C42"/>
    <w:rPr>
      <w:rFonts w:cs="Times New Roman"/>
    </w:rPr>
  </w:style>
  <w:style w:type="character" w:styleId="EndnoteReference">
    <w:name w:val="endnote reference"/>
    <w:uiPriority w:val="99"/>
    <w:rsid w:val="00E24C42"/>
    <w:rPr>
      <w:rFonts w:cs="Times New Roman"/>
      <w:vertAlign w:val="superscript"/>
    </w:rPr>
  </w:style>
  <w:style w:type="character" w:customStyle="1" w:styleId="BodyTextChar1">
    <w:name w:val="Body Text Char1"/>
    <w:uiPriority w:val="99"/>
    <w:rsid w:val="00695D9A"/>
    <w:rPr>
      <w:rFonts w:ascii="Georgia" w:hAnsi="Georgia"/>
      <w:sz w:val="20"/>
    </w:rPr>
  </w:style>
  <w:style w:type="paragraph" w:customStyle="1" w:styleId="bioref">
    <w:name w:val="bio ref"/>
    <w:link w:val="biorefChar"/>
    <w:uiPriority w:val="99"/>
    <w:rsid w:val="00695D9A"/>
    <w:pPr>
      <w:numPr>
        <w:numId w:val="11"/>
      </w:numPr>
      <w:spacing w:before="30" w:after="30" w:line="266" w:lineRule="exact"/>
      <w:ind w:left="480" w:hanging="480"/>
    </w:pPr>
    <w:rPr>
      <w:noProof/>
      <w:sz w:val="24"/>
      <w:szCs w:val="22"/>
    </w:rPr>
  </w:style>
  <w:style w:type="character" w:customStyle="1" w:styleId="biorefChar">
    <w:name w:val="bio ref Char"/>
    <w:link w:val="bioref"/>
    <w:uiPriority w:val="99"/>
    <w:locked/>
    <w:rsid w:val="00695D9A"/>
    <w:rPr>
      <w:noProof/>
      <w:sz w:val="24"/>
    </w:rPr>
  </w:style>
  <w:style w:type="character" w:styleId="FollowedHyperlink">
    <w:name w:val="FollowedHyperlink"/>
    <w:uiPriority w:val="99"/>
    <w:rsid w:val="006247B7"/>
    <w:rPr>
      <w:rFonts w:cs="Times New Roman"/>
      <w:color w:val="800080"/>
      <w:u w:val="single"/>
    </w:rPr>
  </w:style>
  <w:style w:type="paragraph" w:styleId="Revision">
    <w:name w:val="Revision"/>
    <w:hidden/>
    <w:uiPriority w:val="99"/>
    <w:semiHidden/>
    <w:rsid w:val="00805306"/>
    <w:rPr>
      <w:sz w:val="24"/>
      <w:szCs w:val="24"/>
    </w:rPr>
  </w:style>
  <w:style w:type="paragraph" w:customStyle="1" w:styleId="Table">
    <w:name w:val="Table"/>
    <w:basedOn w:val="Normal"/>
    <w:next w:val="Normal"/>
    <w:link w:val="TableChar"/>
    <w:rsid w:val="003C4CB4"/>
    <w:pPr>
      <w:tabs>
        <w:tab w:val="num" w:pos="1440"/>
      </w:tabs>
      <w:ind w:left="720" w:hanging="360"/>
      <w:jc w:val="center"/>
    </w:pPr>
    <w:rPr>
      <w:b/>
      <w:szCs w:val="20"/>
    </w:rPr>
  </w:style>
  <w:style w:type="character" w:customStyle="1" w:styleId="TableChar">
    <w:name w:val="Table Char"/>
    <w:link w:val="Table"/>
    <w:rsid w:val="003C4CB4"/>
    <w:rPr>
      <w:b/>
      <w:sz w:val="24"/>
    </w:rPr>
  </w:style>
  <w:style w:type="paragraph" w:customStyle="1" w:styleId="Figure">
    <w:name w:val="Figure"/>
    <w:basedOn w:val="Normal"/>
    <w:next w:val="Normal"/>
    <w:link w:val="FigureChar"/>
    <w:rsid w:val="003C4CB4"/>
    <w:pPr>
      <w:numPr>
        <w:numId w:val="19"/>
      </w:numPr>
      <w:jc w:val="center"/>
    </w:pPr>
    <w:rPr>
      <w:b/>
      <w:szCs w:val="20"/>
    </w:rPr>
  </w:style>
  <w:style w:type="character" w:customStyle="1" w:styleId="FigureChar">
    <w:name w:val="Figure Char"/>
    <w:link w:val="Figure"/>
    <w:rsid w:val="003C4CB4"/>
    <w:rPr>
      <w:b/>
      <w:sz w:val="24"/>
    </w:rPr>
  </w:style>
  <w:style w:type="paragraph" w:customStyle="1" w:styleId="TableParagraph">
    <w:name w:val="Table Paragraph"/>
    <w:basedOn w:val="Normal"/>
    <w:uiPriority w:val="1"/>
    <w:qFormat/>
    <w:rsid w:val="00D85EB5"/>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113B7"/>
  </w:style>
  <w:style w:type="numbering" w:customStyle="1" w:styleId="NoList2">
    <w:name w:val="No List2"/>
    <w:next w:val="NoList"/>
    <w:uiPriority w:val="99"/>
    <w:semiHidden/>
    <w:unhideWhenUsed/>
    <w:rsid w:val="007113B7"/>
  </w:style>
  <w:style w:type="table" w:customStyle="1" w:styleId="TableGrid1">
    <w:name w:val="Table Grid1"/>
    <w:basedOn w:val="TableNormal"/>
    <w:next w:val="TableGrid"/>
    <w:uiPriority w:val="39"/>
    <w:rsid w:val="005D18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52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56B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156BD"/>
    <w:rPr>
      <w:rFonts w:asciiTheme="minorHAnsi" w:eastAsiaTheme="minorEastAsia" w:hAnsiTheme="minorHAnsi" w:cstheme="minorBidi"/>
      <w:sz w:val="22"/>
      <w:szCs w:val="22"/>
    </w:rPr>
  </w:style>
  <w:style w:type="character" w:customStyle="1" w:styleId="Mention1">
    <w:name w:val="Mention1"/>
    <w:basedOn w:val="DefaultParagraphFont"/>
    <w:uiPriority w:val="99"/>
    <w:semiHidden/>
    <w:unhideWhenUsed/>
    <w:rsid w:val="00EA3882"/>
    <w:rPr>
      <w:color w:val="2B579A"/>
      <w:shd w:val="clear" w:color="auto" w:fill="E6E6E6"/>
    </w:rPr>
  </w:style>
  <w:style w:type="character" w:customStyle="1" w:styleId="CaptionChar">
    <w:name w:val="Caption Char"/>
    <w:link w:val="Caption"/>
    <w:uiPriority w:val="35"/>
    <w:rsid w:val="004D3DC6"/>
    <w:rPr>
      <w:rFonts w:ascii="Arial" w:hAnsi="Arial"/>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1350">
      <w:bodyDiv w:val="1"/>
      <w:marLeft w:val="0"/>
      <w:marRight w:val="0"/>
      <w:marTop w:val="0"/>
      <w:marBottom w:val="0"/>
      <w:divBdr>
        <w:top w:val="none" w:sz="0" w:space="0" w:color="auto"/>
        <w:left w:val="none" w:sz="0" w:space="0" w:color="auto"/>
        <w:bottom w:val="none" w:sz="0" w:space="0" w:color="auto"/>
        <w:right w:val="none" w:sz="0" w:space="0" w:color="auto"/>
      </w:divBdr>
    </w:div>
    <w:div w:id="288973497">
      <w:bodyDiv w:val="1"/>
      <w:marLeft w:val="0"/>
      <w:marRight w:val="0"/>
      <w:marTop w:val="0"/>
      <w:marBottom w:val="0"/>
      <w:divBdr>
        <w:top w:val="none" w:sz="0" w:space="0" w:color="auto"/>
        <w:left w:val="none" w:sz="0" w:space="0" w:color="auto"/>
        <w:bottom w:val="none" w:sz="0" w:space="0" w:color="auto"/>
        <w:right w:val="none" w:sz="0" w:space="0" w:color="auto"/>
      </w:divBdr>
    </w:div>
    <w:div w:id="396325118">
      <w:bodyDiv w:val="1"/>
      <w:marLeft w:val="0"/>
      <w:marRight w:val="0"/>
      <w:marTop w:val="0"/>
      <w:marBottom w:val="0"/>
      <w:divBdr>
        <w:top w:val="none" w:sz="0" w:space="0" w:color="auto"/>
        <w:left w:val="none" w:sz="0" w:space="0" w:color="auto"/>
        <w:bottom w:val="none" w:sz="0" w:space="0" w:color="auto"/>
        <w:right w:val="none" w:sz="0" w:space="0" w:color="auto"/>
      </w:divBdr>
    </w:div>
    <w:div w:id="808592061">
      <w:marLeft w:val="0"/>
      <w:marRight w:val="0"/>
      <w:marTop w:val="0"/>
      <w:marBottom w:val="0"/>
      <w:divBdr>
        <w:top w:val="none" w:sz="0" w:space="0" w:color="auto"/>
        <w:left w:val="none" w:sz="0" w:space="0" w:color="auto"/>
        <w:bottom w:val="none" w:sz="0" w:space="0" w:color="auto"/>
        <w:right w:val="none" w:sz="0" w:space="0" w:color="auto"/>
      </w:divBdr>
    </w:div>
    <w:div w:id="808592062">
      <w:marLeft w:val="0"/>
      <w:marRight w:val="0"/>
      <w:marTop w:val="0"/>
      <w:marBottom w:val="0"/>
      <w:divBdr>
        <w:top w:val="none" w:sz="0" w:space="0" w:color="auto"/>
        <w:left w:val="none" w:sz="0" w:space="0" w:color="auto"/>
        <w:bottom w:val="none" w:sz="0" w:space="0" w:color="auto"/>
        <w:right w:val="none" w:sz="0" w:space="0" w:color="auto"/>
      </w:divBdr>
    </w:div>
    <w:div w:id="808592063">
      <w:marLeft w:val="0"/>
      <w:marRight w:val="0"/>
      <w:marTop w:val="0"/>
      <w:marBottom w:val="0"/>
      <w:divBdr>
        <w:top w:val="none" w:sz="0" w:space="0" w:color="auto"/>
        <w:left w:val="none" w:sz="0" w:space="0" w:color="auto"/>
        <w:bottom w:val="none" w:sz="0" w:space="0" w:color="auto"/>
        <w:right w:val="none" w:sz="0" w:space="0" w:color="auto"/>
      </w:divBdr>
    </w:div>
    <w:div w:id="808592064">
      <w:marLeft w:val="0"/>
      <w:marRight w:val="0"/>
      <w:marTop w:val="0"/>
      <w:marBottom w:val="0"/>
      <w:divBdr>
        <w:top w:val="none" w:sz="0" w:space="0" w:color="auto"/>
        <w:left w:val="none" w:sz="0" w:space="0" w:color="auto"/>
        <w:bottom w:val="none" w:sz="0" w:space="0" w:color="auto"/>
        <w:right w:val="none" w:sz="0" w:space="0" w:color="auto"/>
      </w:divBdr>
    </w:div>
    <w:div w:id="808592066">
      <w:marLeft w:val="0"/>
      <w:marRight w:val="0"/>
      <w:marTop w:val="0"/>
      <w:marBottom w:val="0"/>
      <w:divBdr>
        <w:top w:val="none" w:sz="0" w:space="0" w:color="auto"/>
        <w:left w:val="none" w:sz="0" w:space="0" w:color="auto"/>
        <w:bottom w:val="none" w:sz="0" w:space="0" w:color="auto"/>
        <w:right w:val="none" w:sz="0" w:space="0" w:color="auto"/>
      </w:divBdr>
      <w:divsChild>
        <w:div w:id="808592070">
          <w:marLeft w:val="0"/>
          <w:marRight w:val="0"/>
          <w:marTop w:val="0"/>
          <w:marBottom w:val="0"/>
          <w:divBdr>
            <w:top w:val="none" w:sz="0" w:space="0" w:color="auto"/>
            <w:left w:val="none" w:sz="0" w:space="0" w:color="auto"/>
            <w:bottom w:val="none" w:sz="0" w:space="0" w:color="auto"/>
            <w:right w:val="none" w:sz="0" w:space="0" w:color="auto"/>
          </w:divBdr>
          <w:divsChild>
            <w:div w:id="808592065">
              <w:marLeft w:val="0"/>
              <w:marRight w:val="0"/>
              <w:marTop w:val="0"/>
              <w:marBottom w:val="0"/>
              <w:divBdr>
                <w:top w:val="none" w:sz="0" w:space="0" w:color="auto"/>
                <w:left w:val="none" w:sz="0" w:space="0" w:color="auto"/>
                <w:bottom w:val="none" w:sz="0" w:space="0" w:color="auto"/>
                <w:right w:val="none" w:sz="0" w:space="0" w:color="auto"/>
              </w:divBdr>
              <w:divsChild>
                <w:div w:id="80859207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08592067">
      <w:marLeft w:val="0"/>
      <w:marRight w:val="0"/>
      <w:marTop w:val="0"/>
      <w:marBottom w:val="0"/>
      <w:divBdr>
        <w:top w:val="none" w:sz="0" w:space="0" w:color="auto"/>
        <w:left w:val="none" w:sz="0" w:space="0" w:color="auto"/>
        <w:bottom w:val="none" w:sz="0" w:space="0" w:color="auto"/>
        <w:right w:val="none" w:sz="0" w:space="0" w:color="auto"/>
      </w:divBdr>
    </w:div>
    <w:div w:id="808592068">
      <w:marLeft w:val="0"/>
      <w:marRight w:val="0"/>
      <w:marTop w:val="0"/>
      <w:marBottom w:val="0"/>
      <w:divBdr>
        <w:top w:val="none" w:sz="0" w:space="0" w:color="auto"/>
        <w:left w:val="none" w:sz="0" w:space="0" w:color="auto"/>
        <w:bottom w:val="none" w:sz="0" w:space="0" w:color="auto"/>
        <w:right w:val="none" w:sz="0" w:space="0" w:color="auto"/>
      </w:divBdr>
    </w:div>
    <w:div w:id="808592069">
      <w:marLeft w:val="0"/>
      <w:marRight w:val="0"/>
      <w:marTop w:val="0"/>
      <w:marBottom w:val="0"/>
      <w:divBdr>
        <w:top w:val="none" w:sz="0" w:space="0" w:color="auto"/>
        <w:left w:val="none" w:sz="0" w:space="0" w:color="auto"/>
        <w:bottom w:val="none" w:sz="0" w:space="0" w:color="auto"/>
        <w:right w:val="none" w:sz="0" w:space="0" w:color="auto"/>
      </w:divBdr>
    </w:div>
    <w:div w:id="808592071">
      <w:marLeft w:val="0"/>
      <w:marRight w:val="0"/>
      <w:marTop w:val="0"/>
      <w:marBottom w:val="0"/>
      <w:divBdr>
        <w:top w:val="none" w:sz="0" w:space="0" w:color="auto"/>
        <w:left w:val="none" w:sz="0" w:space="0" w:color="auto"/>
        <w:bottom w:val="none" w:sz="0" w:space="0" w:color="auto"/>
        <w:right w:val="none" w:sz="0" w:space="0" w:color="auto"/>
      </w:divBdr>
    </w:div>
    <w:div w:id="808592072">
      <w:marLeft w:val="0"/>
      <w:marRight w:val="0"/>
      <w:marTop w:val="0"/>
      <w:marBottom w:val="0"/>
      <w:divBdr>
        <w:top w:val="none" w:sz="0" w:space="0" w:color="auto"/>
        <w:left w:val="none" w:sz="0" w:space="0" w:color="auto"/>
        <w:bottom w:val="none" w:sz="0" w:space="0" w:color="auto"/>
        <w:right w:val="none" w:sz="0" w:space="0" w:color="auto"/>
      </w:divBdr>
    </w:div>
    <w:div w:id="836728821">
      <w:bodyDiv w:val="1"/>
      <w:marLeft w:val="0"/>
      <w:marRight w:val="0"/>
      <w:marTop w:val="0"/>
      <w:marBottom w:val="0"/>
      <w:divBdr>
        <w:top w:val="none" w:sz="0" w:space="0" w:color="auto"/>
        <w:left w:val="none" w:sz="0" w:space="0" w:color="auto"/>
        <w:bottom w:val="none" w:sz="0" w:space="0" w:color="auto"/>
        <w:right w:val="none" w:sz="0" w:space="0" w:color="auto"/>
      </w:divBdr>
    </w:div>
    <w:div w:id="878855765">
      <w:bodyDiv w:val="1"/>
      <w:marLeft w:val="0"/>
      <w:marRight w:val="0"/>
      <w:marTop w:val="0"/>
      <w:marBottom w:val="0"/>
      <w:divBdr>
        <w:top w:val="none" w:sz="0" w:space="0" w:color="auto"/>
        <w:left w:val="none" w:sz="0" w:space="0" w:color="auto"/>
        <w:bottom w:val="none" w:sz="0" w:space="0" w:color="auto"/>
        <w:right w:val="none" w:sz="0" w:space="0" w:color="auto"/>
      </w:divBdr>
    </w:div>
    <w:div w:id="899555530">
      <w:bodyDiv w:val="1"/>
      <w:marLeft w:val="0"/>
      <w:marRight w:val="0"/>
      <w:marTop w:val="0"/>
      <w:marBottom w:val="0"/>
      <w:divBdr>
        <w:top w:val="none" w:sz="0" w:space="0" w:color="auto"/>
        <w:left w:val="none" w:sz="0" w:space="0" w:color="auto"/>
        <w:bottom w:val="none" w:sz="0" w:space="0" w:color="auto"/>
        <w:right w:val="none" w:sz="0" w:space="0" w:color="auto"/>
      </w:divBdr>
    </w:div>
    <w:div w:id="1122460361">
      <w:bodyDiv w:val="1"/>
      <w:marLeft w:val="0"/>
      <w:marRight w:val="0"/>
      <w:marTop w:val="0"/>
      <w:marBottom w:val="0"/>
      <w:divBdr>
        <w:top w:val="none" w:sz="0" w:space="0" w:color="auto"/>
        <w:left w:val="none" w:sz="0" w:space="0" w:color="auto"/>
        <w:bottom w:val="none" w:sz="0" w:space="0" w:color="auto"/>
        <w:right w:val="none" w:sz="0" w:space="0" w:color="auto"/>
      </w:divBdr>
    </w:div>
    <w:div w:id="1553618974">
      <w:bodyDiv w:val="1"/>
      <w:marLeft w:val="0"/>
      <w:marRight w:val="0"/>
      <w:marTop w:val="0"/>
      <w:marBottom w:val="0"/>
      <w:divBdr>
        <w:top w:val="none" w:sz="0" w:space="0" w:color="auto"/>
        <w:left w:val="none" w:sz="0" w:space="0" w:color="auto"/>
        <w:bottom w:val="none" w:sz="0" w:space="0" w:color="auto"/>
        <w:right w:val="none" w:sz="0" w:space="0" w:color="auto"/>
      </w:divBdr>
    </w:div>
    <w:div w:id="16006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hs.gov/ohrp/regulations-and-policy/regulations/45-cfr-46/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ms.ufhealthjax.org/uf-health-jax-trauma-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3A61D-B51A-4DEE-AD5E-9EB069F5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Lindsey Graham</dc:creator>
  <cp:lastModifiedBy>SYSTEM</cp:lastModifiedBy>
  <cp:revision>2</cp:revision>
  <cp:lastPrinted>2018-07-19T17:10:00Z</cp:lastPrinted>
  <dcterms:created xsi:type="dcterms:W3CDTF">2019-09-05T18:36:00Z</dcterms:created>
  <dcterms:modified xsi:type="dcterms:W3CDTF">2019-09-05T18:36:00Z</dcterms:modified>
</cp:coreProperties>
</file>