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95D67" w14:textId="77777777" w:rsidR="00E75ACE" w:rsidRPr="00F1233D" w:rsidRDefault="00E75ACE" w:rsidP="00C00973">
      <w:pPr>
        <w:jc w:val="center"/>
        <w:rPr>
          <w:sz w:val="25"/>
          <w:szCs w:val="25"/>
        </w:rPr>
      </w:pPr>
      <w:bookmarkStart w:id="0" w:name="_GoBack"/>
      <w:bookmarkEnd w:id="0"/>
      <w:r w:rsidRPr="00F1233D">
        <w:rPr>
          <w:sz w:val="25"/>
          <w:szCs w:val="25"/>
        </w:rPr>
        <w:t>DEPARTMENT OF TRANSPORTATION</w:t>
      </w:r>
    </w:p>
    <w:p w14:paraId="42B12763" w14:textId="77777777" w:rsidR="00E75ACE" w:rsidRPr="00F1233D" w:rsidRDefault="00E75ACE" w:rsidP="00C00973">
      <w:pPr>
        <w:jc w:val="center"/>
        <w:rPr>
          <w:sz w:val="25"/>
          <w:szCs w:val="25"/>
        </w:rPr>
      </w:pPr>
    </w:p>
    <w:p w14:paraId="2140DB41" w14:textId="77777777" w:rsidR="00E75ACE" w:rsidRPr="00F1233D" w:rsidRDefault="00E75ACE" w:rsidP="00C00973">
      <w:pPr>
        <w:jc w:val="center"/>
        <w:rPr>
          <w:sz w:val="25"/>
          <w:szCs w:val="25"/>
          <w:u w:val="single"/>
        </w:rPr>
      </w:pPr>
      <w:r w:rsidRPr="00F1233D">
        <w:rPr>
          <w:sz w:val="25"/>
          <w:szCs w:val="25"/>
          <w:u w:val="single"/>
        </w:rPr>
        <w:t>FEDERAL TRANSIT ADMINISTRATION</w:t>
      </w:r>
    </w:p>
    <w:p w14:paraId="502821BB" w14:textId="77777777" w:rsidR="00E75ACE" w:rsidRPr="00F1233D" w:rsidRDefault="00E75ACE" w:rsidP="00C00973">
      <w:pPr>
        <w:jc w:val="center"/>
        <w:rPr>
          <w:b/>
          <w:sz w:val="25"/>
          <w:szCs w:val="25"/>
        </w:rPr>
      </w:pPr>
    </w:p>
    <w:p w14:paraId="2EA2E9F6" w14:textId="77777777" w:rsidR="00E75ACE" w:rsidRPr="00F1233D" w:rsidRDefault="00E75ACE" w:rsidP="00C00973">
      <w:pPr>
        <w:jc w:val="center"/>
        <w:rPr>
          <w:sz w:val="25"/>
          <w:szCs w:val="25"/>
        </w:rPr>
      </w:pPr>
      <w:r w:rsidRPr="00F1233D">
        <w:rPr>
          <w:sz w:val="25"/>
          <w:szCs w:val="25"/>
        </w:rPr>
        <w:t>SUPPORTING STATEMENT</w:t>
      </w:r>
    </w:p>
    <w:p w14:paraId="3AF652D7" w14:textId="77777777" w:rsidR="00E75ACE" w:rsidRPr="00F1233D" w:rsidRDefault="00E75ACE" w:rsidP="00C00973">
      <w:pPr>
        <w:jc w:val="center"/>
        <w:rPr>
          <w:sz w:val="25"/>
          <w:szCs w:val="25"/>
        </w:rPr>
      </w:pPr>
    </w:p>
    <w:p w14:paraId="16D4DF18" w14:textId="1D3BEE65" w:rsidR="00E75ACE" w:rsidRPr="006A5B4E" w:rsidRDefault="00E75ACE" w:rsidP="00C00973">
      <w:pPr>
        <w:jc w:val="center"/>
        <w:rPr>
          <w:sz w:val="25"/>
          <w:szCs w:val="25"/>
        </w:rPr>
      </w:pPr>
      <w:r w:rsidRPr="006A5B4E">
        <w:rPr>
          <w:sz w:val="25"/>
          <w:szCs w:val="25"/>
        </w:rPr>
        <w:t>Rail Fixed Guideway Systems; State Safety Oversight</w:t>
      </w:r>
    </w:p>
    <w:p w14:paraId="7F7F5F27" w14:textId="77777777" w:rsidR="00E75ACE" w:rsidRPr="006A5B4E" w:rsidRDefault="00E75ACE" w:rsidP="00C00973">
      <w:pPr>
        <w:jc w:val="center"/>
        <w:rPr>
          <w:sz w:val="25"/>
          <w:szCs w:val="25"/>
        </w:rPr>
      </w:pPr>
    </w:p>
    <w:p w14:paraId="5472474A" w14:textId="77777777" w:rsidR="00E75ACE" w:rsidRPr="006A5B4E" w:rsidRDefault="00E75ACE" w:rsidP="00C00973">
      <w:pPr>
        <w:jc w:val="center"/>
        <w:rPr>
          <w:sz w:val="25"/>
          <w:szCs w:val="25"/>
        </w:rPr>
      </w:pPr>
      <w:r w:rsidRPr="006A5B4E">
        <w:rPr>
          <w:sz w:val="25"/>
          <w:szCs w:val="25"/>
        </w:rPr>
        <w:t>OMB Control No. 2132-</w:t>
      </w:r>
      <w:r w:rsidR="000704D7" w:rsidRPr="006A5B4E">
        <w:rPr>
          <w:sz w:val="25"/>
          <w:szCs w:val="25"/>
        </w:rPr>
        <w:t>0558</w:t>
      </w:r>
    </w:p>
    <w:p w14:paraId="3F25BFEB" w14:textId="77777777" w:rsidR="00E75ACE" w:rsidRPr="006A5B4E" w:rsidRDefault="00E75ACE" w:rsidP="00C00973">
      <w:pPr>
        <w:jc w:val="both"/>
        <w:rPr>
          <w:sz w:val="25"/>
          <w:szCs w:val="25"/>
        </w:rPr>
      </w:pPr>
    </w:p>
    <w:p w14:paraId="264072A3" w14:textId="77777777" w:rsidR="00173681" w:rsidRPr="00F1233D" w:rsidRDefault="00173681" w:rsidP="00C00973">
      <w:pPr>
        <w:jc w:val="both"/>
        <w:rPr>
          <w:sz w:val="25"/>
          <w:szCs w:val="25"/>
        </w:rPr>
      </w:pPr>
    </w:p>
    <w:p w14:paraId="117AB002" w14:textId="19A5FD9D" w:rsidR="00173681" w:rsidRPr="008A4301" w:rsidRDefault="00870258" w:rsidP="00C00973">
      <w:pPr>
        <w:ind w:firstLine="360"/>
        <w:jc w:val="both"/>
        <w:rPr>
          <w:sz w:val="24"/>
          <w:szCs w:val="24"/>
        </w:rPr>
      </w:pPr>
      <w:r w:rsidRPr="008A4301">
        <w:rPr>
          <w:sz w:val="24"/>
          <w:szCs w:val="24"/>
        </w:rPr>
        <w:t xml:space="preserve">This is </w:t>
      </w:r>
      <w:r w:rsidR="00FB2210" w:rsidRPr="008A4301">
        <w:rPr>
          <w:sz w:val="24"/>
          <w:szCs w:val="24"/>
        </w:rPr>
        <w:t>a</w:t>
      </w:r>
      <w:r w:rsidRPr="008A4301">
        <w:rPr>
          <w:sz w:val="24"/>
          <w:szCs w:val="24"/>
        </w:rPr>
        <w:t xml:space="preserve"> request </w:t>
      </w:r>
      <w:r w:rsidR="00FB2210" w:rsidRPr="008A4301">
        <w:rPr>
          <w:sz w:val="24"/>
          <w:szCs w:val="24"/>
        </w:rPr>
        <w:t xml:space="preserve">to </w:t>
      </w:r>
      <w:r w:rsidRPr="008A4301">
        <w:rPr>
          <w:sz w:val="24"/>
          <w:szCs w:val="24"/>
        </w:rPr>
        <w:t>the Office of Management and Budget (OMB) for a revision of a currently approved information collection under OMB Control Number 2132-0558, “Rail Fixed Guideway Systems; State Safety Oversight</w:t>
      </w:r>
      <w:r w:rsidR="00ED1120">
        <w:rPr>
          <w:sz w:val="24"/>
          <w:szCs w:val="24"/>
        </w:rPr>
        <w:t xml:space="preserve"> (SSO)</w:t>
      </w:r>
      <w:r w:rsidR="00B50DF9">
        <w:rPr>
          <w:sz w:val="24"/>
          <w:szCs w:val="24"/>
        </w:rPr>
        <w:t>.</w:t>
      </w:r>
      <w:r w:rsidRPr="008A4301">
        <w:rPr>
          <w:sz w:val="24"/>
          <w:szCs w:val="24"/>
        </w:rPr>
        <w:t xml:space="preserve">” This revision is a result of </w:t>
      </w:r>
      <w:r w:rsidR="00D02A27">
        <w:rPr>
          <w:sz w:val="24"/>
          <w:szCs w:val="24"/>
        </w:rPr>
        <w:t xml:space="preserve">an adjustment </w:t>
      </w:r>
      <w:r w:rsidR="006A510A" w:rsidRPr="008A4301">
        <w:rPr>
          <w:sz w:val="24"/>
          <w:szCs w:val="24"/>
        </w:rPr>
        <w:t xml:space="preserve">to estimation </w:t>
      </w:r>
      <w:r w:rsidR="00DE5507" w:rsidRPr="008A4301">
        <w:rPr>
          <w:sz w:val="24"/>
          <w:szCs w:val="24"/>
        </w:rPr>
        <w:t xml:space="preserve">and burden reduction </w:t>
      </w:r>
      <w:r w:rsidR="00ED1120" w:rsidRPr="00ED1120">
        <w:rPr>
          <w:sz w:val="24"/>
          <w:szCs w:val="24"/>
        </w:rPr>
        <w:t xml:space="preserve">due to a more accurate methodology for estimating information collection burden. Previous </w:t>
      </w:r>
      <w:r w:rsidR="00ED1120">
        <w:rPr>
          <w:sz w:val="24"/>
          <w:szCs w:val="24"/>
        </w:rPr>
        <w:t>OMB submissions i</w:t>
      </w:r>
      <w:r w:rsidR="00ED1120" w:rsidRPr="00ED1120">
        <w:rPr>
          <w:sz w:val="24"/>
          <w:szCs w:val="24"/>
        </w:rPr>
        <w:t xml:space="preserve">ncluded </w:t>
      </w:r>
      <w:r w:rsidR="00ED1120">
        <w:rPr>
          <w:sz w:val="24"/>
          <w:szCs w:val="24"/>
        </w:rPr>
        <w:t>burden h</w:t>
      </w:r>
      <w:r w:rsidR="00ED1120" w:rsidRPr="00ED1120">
        <w:rPr>
          <w:sz w:val="24"/>
          <w:szCs w:val="24"/>
        </w:rPr>
        <w:t xml:space="preserve">our totals for </w:t>
      </w:r>
      <w:r w:rsidR="00ED1120">
        <w:rPr>
          <w:sz w:val="24"/>
          <w:szCs w:val="24"/>
        </w:rPr>
        <w:t>ALL</w:t>
      </w:r>
      <w:r w:rsidR="00ED1120" w:rsidRPr="00ED1120">
        <w:rPr>
          <w:sz w:val="24"/>
          <w:szCs w:val="24"/>
        </w:rPr>
        <w:t xml:space="preserve"> </w:t>
      </w:r>
      <w:r w:rsidR="00ED1120">
        <w:rPr>
          <w:sz w:val="24"/>
          <w:szCs w:val="24"/>
        </w:rPr>
        <w:t>p</w:t>
      </w:r>
      <w:r w:rsidR="00ED1120" w:rsidRPr="00ED1120">
        <w:rPr>
          <w:sz w:val="24"/>
          <w:szCs w:val="24"/>
        </w:rPr>
        <w:t xml:space="preserve">rogram-related activities.  </w:t>
      </w:r>
      <w:r w:rsidR="006A510A" w:rsidRPr="008A4301">
        <w:rPr>
          <w:sz w:val="24"/>
          <w:szCs w:val="24"/>
        </w:rPr>
        <w:t xml:space="preserve">This </w:t>
      </w:r>
      <w:r w:rsidR="00ED1120">
        <w:rPr>
          <w:sz w:val="24"/>
          <w:szCs w:val="24"/>
        </w:rPr>
        <w:t>IC was adjusted to o</w:t>
      </w:r>
      <w:r w:rsidR="006A510A" w:rsidRPr="008A4301">
        <w:rPr>
          <w:sz w:val="24"/>
          <w:szCs w:val="24"/>
        </w:rPr>
        <w:t>nly include burden specifically related to information collection activity and not tot</w:t>
      </w:r>
      <w:r w:rsidR="00ED1120">
        <w:rPr>
          <w:sz w:val="24"/>
          <w:szCs w:val="24"/>
        </w:rPr>
        <w:t>al program implementation burden.</w:t>
      </w:r>
    </w:p>
    <w:p w14:paraId="2ABEF992" w14:textId="77777777" w:rsidR="00E75ACE" w:rsidRPr="008A4301" w:rsidRDefault="00E75ACE" w:rsidP="00C00973">
      <w:pPr>
        <w:jc w:val="both"/>
        <w:rPr>
          <w:sz w:val="24"/>
          <w:szCs w:val="24"/>
          <w:u w:val="single"/>
        </w:rPr>
      </w:pPr>
    </w:p>
    <w:p w14:paraId="7B791C65" w14:textId="77777777" w:rsidR="00E75ACE" w:rsidRPr="008A4301" w:rsidRDefault="00E75ACE" w:rsidP="00C00973">
      <w:pPr>
        <w:numPr>
          <w:ilvl w:val="0"/>
          <w:numId w:val="1"/>
        </w:numPr>
        <w:jc w:val="both"/>
        <w:rPr>
          <w:b/>
          <w:sz w:val="24"/>
          <w:szCs w:val="24"/>
        </w:rPr>
      </w:pPr>
      <w:r w:rsidRPr="008A4301">
        <w:rPr>
          <w:b/>
          <w:sz w:val="24"/>
          <w:szCs w:val="24"/>
        </w:rPr>
        <w:t xml:space="preserve">Explain the circumstances that make the collection of information necessary. </w:t>
      </w:r>
    </w:p>
    <w:p w14:paraId="70433E08" w14:textId="77777777" w:rsidR="00E360A5" w:rsidRPr="008A4301" w:rsidRDefault="00E360A5" w:rsidP="00C00973">
      <w:pPr>
        <w:jc w:val="both"/>
        <w:rPr>
          <w:sz w:val="24"/>
          <w:szCs w:val="24"/>
        </w:rPr>
      </w:pPr>
    </w:p>
    <w:p w14:paraId="5EAFB61C" w14:textId="29879832" w:rsidR="00870258" w:rsidRPr="008A4301" w:rsidRDefault="003E3AFC" w:rsidP="00C00973">
      <w:pPr>
        <w:ind w:firstLine="360"/>
        <w:jc w:val="both"/>
        <w:rPr>
          <w:sz w:val="24"/>
          <w:szCs w:val="24"/>
        </w:rPr>
      </w:pPr>
      <w:r w:rsidRPr="008A4301">
        <w:rPr>
          <w:sz w:val="24"/>
          <w:szCs w:val="24"/>
        </w:rPr>
        <w:t xml:space="preserve">On July 6, 2012, the President signed into law the Moving Ahead for Progress in the 21st Century Act (MAP-21; Pub. L. 112-141). MAP-21 amended Federal transit law at Chapter 53 of the United States Code, by amending Section 5329 to authorize a new comprehensive Public Transportation Safety Program. </w:t>
      </w:r>
      <w:r w:rsidR="00870258" w:rsidRPr="008A4301">
        <w:rPr>
          <w:sz w:val="24"/>
          <w:szCs w:val="24"/>
        </w:rPr>
        <w:t xml:space="preserve">On December 4, 2015, </w:t>
      </w:r>
      <w:r w:rsidR="00F7716A">
        <w:rPr>
          <w:sz w:val="24"/>
          <w:szCs w:val="24"/>
        </w:rPr>
        <w:t xml:space="preserve">the President </w:t>
      </w:r>
      <w:r w:rsidR="00870258" w:rsidRPr="008A4301">
        <w:rPr>
          <w:sz w:val="24"/>
          <w:szCs w:val="24"/>
        </w:rPr>
        <w:t xml:space="preserve">signed the Fixing America’s Surface Transportation (FAST) Act reauthorizing surface transportation programs through Fiscal Year 2020. </w:t>
      </w:r>
      <w:r w:rsidRPr="008A4301">
        <w:rPr>
          <w:sz w:val="24"/>
          <w:szCs w:val="24"/>
        </w:rPr>
        <w:t>As part of this comprehensive program, new Section 5329(e) significantly revise</w:t>
      </w:r>
      <w:r w:rsidR="00D179D3" w:rsidRPr="008A4301">
        <w:rPr>
          <w:sz w:val="24"/>
          <w:szCs w:val="24"/>
        </w:rPr>
        <w:t>d</w:t>
      </w:r>
      <w:r w:rsidRPr="008A4301">
        <w:rPr>
          <w:sz w:val="24"/>
          <w:szCs w:val="24"/>
        </w:rPr>
        <w:t xml:space="preserve"> the existing State Safety</w:t>
      </w:r>
      <w:r w:rsidR="00477731" w:rsidRPr="008A4301">
        <w:rPr>
          <w:sz w:val="24"/>
          <w:szCs w:val="24"/>
        </w:rPr>
        <w:t xml:space="preserve"> Oversight (</w:t>
      </w:r>
      <w:r w:rsidRPr="008A4301">
        <w:rPr>
          <w:sz w:val="24"/>
          <w:szCs w:val="24"/>
        </w:rPr>
        <w:t>SSO</w:t>
      </w:r>
      <w:r w:rsidR="00477731" w:rsidRPr="008A4301">
        <w:rPr>
          <w:sz w:val="24"/>
          <w:szCs w:val="24"/>
        </w:rPr>
        <w:t>)</w:t>
      </w:r>
      <w:r w:rsidRPr="008A4301">
        <w:rPr>
          <w:sz w:val="24"/>
          <w:szCs w:val="24"/>
        </w:rPr>
        <w:t xml:space="preserve"> Program. </w:t>
      </w:r>
    </w:p>
    <w:p w14:paraId="15EA3E18" w14:textId="77777777" w:rsidR="003E3AFC" w:rsidRPr="008A4301" w:rsidRDefault="003E3AFC" w:rsidP="00C00973">
      <w:pPr>
        <w:jc w:val="both"/>
        <w:rPr>
          <w:sz w:val="24"/>
          <w:szCs w:val="24"/>
        </w:rPr>
      </w:pPr>
    </w:p>
    <w:p w14:paraId="565CE41A" w14:textId="77777777" w:rsidR="00BE65A4" w:rsidRPr="008A4301" w:rsidRDefault="003E3AFC" w:rsidP="00C00973">
      <w:pPr>
        <w:ind w:firstLine="360"/>
        <w:jc w:val="both"/>
        <w:rPr>
          <w:sz w:val="24"/>
          <w:szCs w:val="24"/>
        </w:rPr>
      </w:pPr>
      <w:r w:rsidRPr="008A4301">
        <w:rPr>
          <w:sz w:val="24"/>
          <w:szCs w:val="24"/>
        </w:rPr>
        <w:t>Specifically, Section 5329(e) create</w:t>
      </w:r>
      <w:r w:rsidR="00D179D3" w:rsidRPr="008A4301">
        <w:rPr>
          <w:sz w:val="24"/>
          <w:szCs w:val="24"/>
        </w:rPr>
        <w:t>d</w:t>
      </w:r>
      <w:r w:rsidRPr="008A4301">
        <w:rPr>
          <w:sz w:val="24"/>
          <w:szCs w:val="24"/>
        </w:rPr>
        <w:t xml:space="preserve"> a new regulatory role for FTA and the States that respond to known gaps in oversight and safety performance. Accordingly, </w:t>
      </w:r>
      <w:bookmarkStart w:id="1" w:name="_Hlk14351872"/>
      <w:r w:rsidRPr="008A4301">
        <w:rPr>
          <w:sz w:val="24"/>
          <w:szCs w:val="24"/>
        </w:rPr>
        <w:t xml:space="preserve">FTA issued a new rule at 49 C.F.R. Part 674 </w:t>
      </w:r>
      <w:bookmarkEnd w:id="1"/>
      <w:r w:rsidRPr="008A4301">
        <w:rPr>
          <w:sz w:val="24"/>
          <w:szCs w:val="24"/>
        </w:rPr>
        <w:t xml:space="preserve">to implement the requirements in 49 U.S.C. 5329(e) and replace the existing SSO regulations at 49 C.F.R. Part 659. </w:t>
      </w:r>
      <w:r w:rsidRPr="008A4301">
        <w:rPr>
          <w:color w:val="000000" w:themeColor="text1"/>
          <w:sz w:val="24"/>
          <w:szCs w:val="24"/>
        </w:rPr>
        <w:t xml:space="preserve">In accordance with Section 20030(e) of MAP-21, </w:t>
      </w:r>
      <w:r w:rsidR="00BE65A4" w:rsidRPr="008A4301">
        <w:rPr>
          <w:color w:val="000000" w:themeColor="text1"/>
          <w:sz w:val="24"/>
          <w:szCs w:val="24"/>
        </w:rPr>
        <w:t xml:space="preserve">on April 15, 2019, </w:t>
      </w:r>
      <w:r w:rsidR="003B1CAD" w:rsidRPr="008A4301">
        <w:rPr>
          <w:sz w:val="24"/>
          <w:szCs w:val="24"/>
        </w:rPr>
        <w:t xml:space="preserve">Section 5330, which authorized the SSO program at Part 659, </w:t>
      </w:r>
      <w:r w:rsidR="00BE65A4" w:rsidRPr="008A4301">
        <w:rPr>
          <w:color w:val="000000" w:themeColor="text1"/>
          <w:sz w:val="24"/>
          <w:szCs w:val="24"/>
        </w:rPr>
        <w:t>was repealed.</w:t>
      </w:r>
    </w:p>
    <w:p w14:paraId="44A79AED" w14:textId="77777777" w:rsidR="003E3AFC" w:rsidRPr="008A4301" w:rsidRDefault="003E3AFC" w:rsidP="00C00973">
      <w:pPr>
        <w:jc w:val="both"/>
        <w:rPr>
          <w:sz w:val="24"/>
          <w:szCs w:val="24"/>
        </w:rPr>
      </w:pPr>
    </w:p>
    <w:p w14:paraId="6CEF5BFF" w14:textId="3BA275A0" w:rsidR="003E3AFC" w:rsidRPr="008A4301" w:rsidRDefault="003E3AFC" w:rsidP="00C00973">
      <w:pPr>
        <w:ind w:firstLine="360"/>
        <w:jc w:val="both"/>
        <w:rPr>
          <w:sz w:val="24"/>
          <w:szCs w:val="24"/>
        </w:rPr>
      </w:pPr>
      <w:r w:rsidRPr="008A4301">
        <w:rPr>
          <w:sz w:val="24"/>
          <w:szCs w:val="24"/>
        </w:rPr>
        <w:t xml:space="preserve">Section 5329(e) requirements demand more from States and their SSO programs in several ways. For example, the statute requires States to submit their SSO programs to FTA for approval. FTA </w:t>
      </w:r>
      <w:r w:rsidR="00B50DF9">
        <w:rPr>
          <w:sz w:val="24"/>
          <w:szCs w:val="24"/>
        </w:rPr>
        <w:t>certified</w:t>
      </w:r>
      <w:r w:rsidR="00BE65A4" w:rsidRPr="008A4301">
        <w:rPr>
          <w:sz w:val="24"/>
          <w:szCs w:val="24"/>
        </w:rPr>
        <w:t xml:space="preserve"> all States</w:t>
      </w:r>
      <w:r w:rsidR="00FB2210" w:rsidRPr="008A4301">
        <w:rPr>
          <w:sz w:val="24"/>
          <w:szCs w:val="24"/>
        </w:rPr>
        <w:t>’</w:t>
      </w:r>
      <w:r w:rsidR="00D179D3" w:rsidRPr="008A4301">
        <w:rPr>
          <w:sz w:val="24"/>
          <w:szCs w:val="24"/>
        </w:rPr>
        <w:t xml:space="preserve"> </w:t>
      </w:r>
      <w:r w:rsidR="00B50DF9">
        <w:rPr>
          <w:sz w:val="24"/>
          <w:szCs w:val="24"/>
        </w:rPr>
        <w:t>safety oversight</w:t>
      </w:r>
      <w:r w:rsidR="00D179D3" w:rsidRPr="008A4301">
        <w:rPr>
          <w:sz w:val="24"/>
          <w:szCs w:val="24"/>
        </w:rPr>
        <w:t xml:space="preserve"> programs</w:t>
      </w:r>
      <w:r w:rsidR="00BE65A4" w:rsidRPr="008A4301">
        <w:rPr>
          <w:sz w:val="24"/>
          <w:szCs w:val="24"/>
        </w:rPr>
        <w:t xml:space="preserve"> prior to the </w:t>
      </w:r>
      <w:r w:rsidRPr="008A4301">
        <w:rPr>
          <w:sz w:val="24"/>
          <w:szCs w:val="24"/>
        </w:rPr>
        <w:t xml:space="preserve">Congressionally-imposed deadline of April 15, 2019. </w:t>
      </w:r>
    </w:p>
    <w:p w14:paraId="35A9470A" w14:textId="77777777" w:rsidR="003E3AFC" w:rsidRPr="008A4301" w:rsidRDefault="003E3AFC" w:rsidP="00C00973">
      <w:pPr>
        <w:ind w:firstLine="360"/>
        <w:jc w:val="both"/>
        <w:rPr>
          <w:sz w:val="24"/>
          <w:szCs w:val="24"/>
        </w:rPr>
      </w:pPr>
    </w:p>
    <w:p w14:paraId="3A1718C9" w14:textId="5CC2CD23" w:rsidR="003E3AFC" w:rsidRPr="008A4301" w:rsidRDefault="00B50DF9" w:rsidP="00C00973">
      <w:pPr>
        <w:ind w:firstLine="360"/>
        <w:jc w:val="both"/>
        <w:rPr>
          <w:sz w:val="24"/>
          <w:szCs w:val="24"/>
        </w:rPr>
      </w:pPr>
      <w:r>
        <w:rPr>
          <w:sz w:val="24"/>
          <w:szCs w:val="24"/>
        </w:rPr>
        <w:t>To</w:t>
      </w:r>
      <w:r w:rsidR="003E3AFC" w:rsidRPr="008A4301">
        <w:rPr>
          <w:sz w:val="24"/>
          <w:szCs w:val="24"/>
        </w:rPr>
        <w:t xml:space="preserve"> gain FTA approval, the States </w:t>
      </w:r>
      <w:r w:rsidR="00BE65A4" w:rsidRPr="008A4301">
        <w:rPr>
          <w:sz w:val="24"/>
          <w:szCs w:val="24"/>
        </w:rPr>
        <w:t xml:space="preserve">had to </w:t>
      </w:r>
      <w:r w:rsidR="003E3AFC" w:rsidRPr="008A4301">
        <w:rPr>
          <w:sz w:val="24"/>
          <w:szCs w:val="24"/>
        </w:rPr>
        <w:t xml:space="preserve">assume responsibility for overseeing the safety of their </w:t>
      </w:r>
      <w:r w:rsidR="00F37181" w:rsidRPr="008A4301">
        <w:rPr>
          <w:sz w:val="24"/>
          <w:szCs w:val="24"/>
        </w:rPr>
        <w:t>rail transit agencies</w:t>
      </w:r>
      <w:r w:rsidR="00477731" w:rsidRPr="008A4301">
        <w:rPr>
          <w:sz w:val="24"/>
          <w:szCs w:val="24"/>
        </w:rPr>
        <w:t xml:space="preserve"> (</w:t>
      </w:r>
      <w:r w:rsidR="003E3AFC" w:rsidRPr="008A4301">
        <w:rPr>
          <w:sz w:val="24"/>
          <w:szCs w:val="24"/>
        </w:rPr>
        <w:t>RTA</w:t>
      </w:r>
      <w:r w:rsidR="00F37181" w:rsidRPr="008A4301">
        <w:rPr>
          <w:sz w:val="24"/>
          <w:szCs w:val="24"/>
        </w:rPr>
        <w:t>s</w:t>
      </w:r>
      <w:r w:rsidR="00477731" w:rsidRPr="008A4301">
        <w:rPr>
          <w:sz w:val="24"/>
          <w:szCs w:val="24"/>
        </w:rPr>
        <w:t>)</w:t>
      </w:r>
      <w:r w:rsidR="003E3AFC" w:rsidRPr="008A4301">
        <w:rPr>
          <w:sz w:val="24"/>
          <w:szCs w:val="24"/>
        </w:rPr>
        <w:t xml:space="preserve">, adopt and enforce Federal and relevant State safety laws, determine appropriate staffing levels for their SSOA, and ensure proper training and certification of their safety oversight personnel. Additionally, </w:t>
      </w:r>
      <w:r>
        <w:rPr>
          <w:sz w:val="24"/>
          <w:szCs w:val="24"/>
        </w:rPr>
        <w:t xml:space="preserve">FTA verified </w:t>
      </w:r>
      <w:r w:rsidR="003E3AFC" w:rsidRPr="008A4301">
        <w:rPr>
          <w:sz w:val="24"/>
          <w:szCs w:val="24"/>
        </w:rPr>
        <w:t xml:space="preserve">the </w:t>
      </w:r>
      <w:r w:rsidR="0070589C" w:rsidRPr="008A4301">
        <w:rPr>
          <w:sz w:val="24"/>
          <w:szCs w:val="24"/>
        </w:rPr>
        <w:t>SSOA</w:t>
      </w:r>
      <w:r w:rsidR="0070589C">
        <w:rPr>
          <w:sz w:val="24"/>
          <w:szCs w:val="24"/>
        </w:rPr>
        <w:t>’s</w:t>
      </w:r>
      <w:r w:rsidR="0070589C" w:rsidRPr="008A4301">
        <w:rPr>
          <w:sz w:val="24"/>
          <w:szCs w:val="24"/>
        </w:rPr>
        <w:t xml:space="preserve"> </w:t>
      </w:r>
      <w:r w:rsidR="001F26B7">
        <w:rPr>
          <w:sz w:val="24"/>
          <w:szCs w:val="24"/>
        </w:rPr>
        <w:t>financial and legal</w:t>
      </w:r>
      <w:r w:rsidR="003E3AFC" w:rsidRPr="008A4301">
        <w:rPr>
          <w:sz w:val="24"/>
          <w:szCs w:val="24"/>
        </w:rPr>
        <w:t xml:space="preserve"> independen</w:t>
      </w:r>
      <w:r>
        <w:rPr>
          <w:sz w:val="24"/>
          <w:szCs w:val="24"/>
        </w:rPr>
        <w:t>ce</w:t>
      </w:r>
      <w:r w:rsidR="003E3AFC" w:rsidRPr="008A4301">
        <w:rPr>
          <w:sz w:val="24"/>
          <w:szCs w:val="24"/>
        </w:rPr>
        <w:t xml:space="preserve"> </w:t>
      </w:r>
      <w:r>
        <w:rPr>
          <w:sz w:val="24"/>
          <w:szCs w:val="24"/>
        </w:rPr>
        <w:t>from</w:t>
      </w:r>
      <w:r w:rsidR="003E3AFC" w:rsidRPr="008A4301">
        <w:rPr>
          <w:sz w:val="24"/>
          <w:szCs w:val="24"/>
        </w:rPr>
        <w:t xml:space="preserve"> the rail transit systems it oversees, i.e., a SSOA cannot be reimbursed for its expenses by the rail transit agencies it oversees, nor can the SSOA be the same organization that </w:t>
      </w:r>
      <w:r w:rsidR="003E3AFC" w:rsidRPr="008A4301">
        <w:rPr>
          <w:sz w:val="24"/>
          <w:szCs w:val="24"/>
        </w:rPr>
        <w:lastRenderedPageBreak/>
        <w:t xml:space="preserve">operates an RTA.  Moreover, a SSOA may not employ any individual who is also responsible for the administration of rail fixed guideway public transportation systems that are subject to the State’s oversight.  Furthermore, </w:t>
      </w:r>
      <w:r w:rsidR="00BE65A4" w:rsidRPr="008A4301">
        <w:rPr>
          <w:sz w:val="24"/>
          <w:szCs w:val="24"/>
        </w:rPr>
        <w:t>each</w:t>
      </w:r>
      <w:r w:rsidR="003E3AFC" w:rsidRPr="008A4301">
        <w:rPr>
          <w:sz w:val="24"/>
          <w:szCs w:val="24"/>
        </w:rPr>
        <w:t xml:space="preserve"> SSOA </w:t>
      </w:r>
      <w:r w:rsidR="00BE65A4" w:rsidRPr="008A4301">
        <w:rPr>
          <w:sz w:val="24"/>
          <w:szCs w:val="24"/>
        </w:rPr>
        <w:t xml:space="preserve">now </w:t>
      </w:r>
      <w:r w:rsidR="003E3AFC" w:rsidRPr="008A4301">
        <w:rPr>
          <w:sz w:val="24"/>
          <w:szCs w:val="24"/>
        </w:rPr>
        <w:t xml:space="preserve">must have investigative and enforcement authority under </w:t>
      </w:r>
      <w:r w:rsidR="00477731" w:rsidRPr="008A4301">
        <w:rPr>
          <w:sz w:val="24"/>
          <w:szCs w:val="24"/>
        </w:rPr>
        <w:t>S</w:t>
      </w:r>
      <w:r w:rsidR="003E3AFC" w:rsidRPr="008A4301">
        <w:rPr>
          <w:sz w:val="24"/>
          <w:szCs w:val="24"/>
        </w:rPr>
        <w:t xml:space="preserve">tate law </w:t>
      </w:r>
      <w:r w:rsidR="00BE65A4" w:rsidRPr="008A4301">
        <w:rPr>
          <w:sz w:val="24"/>
          <w:szCs w:val="24"/>
        </w:rPr>
        <w:t xml:space="preserve">and </w:t>
      </w:r>
      <w:r w:rsidR="003E3AFC" w:rsidRPr="008A4301">
        <w:rPr>
          <w:sz w:val="24"/>
          <w:szCs w:val="24"/>
        </w:rPr>
        <w:t xml:space="preserve">must audit at least triennially the compliance of the rail transit systems under its oversight, and provide at least annually a status report to FTA, the Governor of the State, and the board of directors of the rail transit system(s).  </w:t>
      </w:r>
    </w:p>
    <w:p w14:paraId="231E9BCE" w14:textId="77777777" w:rsidR="003E3AFC" w:rsidRPr="008A4301" w:rsidRDefault="003E3AFC" w:rsidP="00C00973">
      <w:pPr>
        <w:ind w:firstLine="360"/>
        <w:jc w:val="both"/>
        <w:rPr>
          <w:sz w:val="24"/>
          <w:szCs w:val="24"/>
        </w:rPr>
      </w:pPr>
    </w:p>
    <w:p w14:paraId="684BFDEF" w14:textId="77777777" w:rsidR="00D66194" w:rsidRPr="008A4301" w:rsidRDefault="00D66194" w:rsidP="00C00973">
      <w:pPr>
        <w:ind w:firstLine="360"/>
        <w:jc w:val="both"/>
        <w:rPr>
          <w:sz w:val="24"/>
          <w:szCs w:val="24"/>
        </w:rPr>
      </w:pPr>
      <w:r w:rsidRPr="008A4301">
        <w:rPr>
          <w:sz w:val="24"/>
          <w:szCs w:val="24"/>
        </w:rPr>
        <w:t>RTAs also must perform activities to conduct accident investigations, prepare accident investigation reports, investigate hazards and unsafe conditions, implement a hazard management process, prepare and submit corrective action plans, coordinate hazard management program activities with the SSOA, maintain safety data, and make submissions to the SSOA. Burden hours related to the development and implementation of the agency safety plan and implementation of 49 C.F.R. Part 673 are addressed in impact analyses associated with that regulation.</w:t>
      </w:r>
    </w:p>
    <w:p w14:paraId="46599A55" w14:textId="77777777" w:rsidR="00D66194" w:rsidRPr="008A4301" w:rsidRDefault="00D66194" w:rsidP="00C00973">
      <w:pPr>
        <w:jc w:val="both"/>
        <w:rPr>
          <w:sz w:val="24"/>
          <w:szCs w:val="24"/>
        </w:rPr>
      </w:pPr>
    </w:p>
    <w:p w14:paraId="768286EB" w14:textId="062F7756" w:rsidR="003E3AFC" w:rsidRPr="008A4301" w:rsidRDefault="003E3AFC" w:rsidP="00C00973">
      <w:pPr>
        <w:ind w:firstLine="360"/>
        <w:jc w:val="both"/>
        <w:rPr>
          <w:sz w:val="24"/>
          <w:szCs w:val="24"/>
        </w:rPr>
      </w:pPr>
      <w:r w:rsidRPr="008A4301">
        <w:rPr>
          <w:sz w:val="24"/>
          <w:szCs w:val="24"/>
        </w:rPr>
        <w:t xml:space="preserve">Section 5329(e) also </w:t>
      </w:r>
      <w:r w:rsidR="00FB2210" w:rsidRPr="008A4301">
        <w:rPr>
          <w:sz w:val="24"/>
          <w:szCs w:val="24"/>
        </w:rPr>
        <w:t>authorize</w:t>
      </w:r>
      <w:r w:rsidR="00432C35" w:rsidRPr="008A4301">
        <w:rPr>
          <w:sz w:val="24"/>
          <w:szCs w:val="24"/>
        </w:rPr>
        <w:t>s</w:t>
      </w:r>
      <w:r w:rsidR="00FB2210" w:rsidRPr="008A4301">
        <w:rPr>
          <w:sz w:val="24"/>
          <w:szCs w:val="24"/>
        </w:rPr>
        <w:t xml:space="preserve"> </w:t>
      </w:r>
      <w:r w:rsidR="00F7716A">
        <w:rPr>
          <w:sz w:val="24"/>
          <w:szCs w:val="24"/>
        </w:rPr>
        <w:t>FTA with enhanced</w:t>
      </w:r>
      <w:r w:rsidRPr="008A4301">
        <w:rPr>
          <w:sz w:val="24"/>
          <w:szCs w:val="24"/>
        </w:rPr>
        <w:t xml:space="preserve"> responsibilities under the SSO Program. For example, now FTA must approve each State’s SSO program.  In approving a SSO Program, FTA must certify whether a State is meeting the statutory requirements. FTA may deny certification to a State that is not meeting the requirements, and FTA can withhold Federal funds until a SSO program can be certified. Moreover, FTA must establish a grant program to help States develop and carry out their SSO functions, and to obtain the necessary training and certification for their SSOA staff. FTA now has additional authority to conduct inspections, investigations, audits, and examinations; test the equipment, facilities, rolling stock, and operations of rail transit systems; make reports and issue advisories and directives with respect to safety; issue subpoenas and take depositions from any employee of a rail transit system who is responsible for safety; require production of documents; and issue regulations for </w:t>
      </w:r>
      <w:r w:rsidR="00F84097" w:rsidRPr="008A4301">
        <w:rPr>
          <w:sz w:val="24"/>
          <w:szCs w:val="24"/>
        </w:rPr>
        <w:t>s</w:t>
      </w:r>
      <w:r w:rsidRPr="008A4301">
        <w:rPr>
          <w:sz w:val="24"/>
          <w:szCs w:val="24"/>
        </w:rPr>
        <w:t xml:space="preserve">tate </w:t>
      </w:r>
      <w:r w:rsidR="00F84097" w:rsidRPr="008A4301">
        <w:rPr>
          <w:sz w:val="24"/>
          <w:szCs w:val="24"/>
        </w:rPr>
        <w:t>s</w:t>
      </w:r>
      <w:r w:rsidRPr="008A4301">
        <w:rPr>
          <w:sz w:val="24"/>
          <w:szCs w:val="24"/>
        </w:rPr>
        <w:t xml:space="preserve">afety </w:t>
      </w:r>
      <w:r w:rsidR="00F84097" w:rsidRPr="008A4301">
        <w:rPr>
          <w:sz w:val="24"/>
          <w:szCs w:val="24"/>
        </w:rPr>
        <w:t>o</w:t>
      </w:r>
      <w:r w:rsidRPr="008A4301">
        <w:rPr>
          <w:sz w:val="24"/>
          <w:szCs w:val="24"/>
        </w:rPr>
        <w:t>versight through public notice-and-comment.</w:t>
      </w:r>
    </w:p>
    <w:p w14:paraId="087ECFA0" w14:textId="77777777" w:rsidR="003E3AFC" w:rsidRPr="008A4301" w:rsidRDefault="003E3AFC" w:rsidP="00C00973">
      <w:pPr>
        <w:jc w:val="both"/>
        <w:rPr>
          <w:b/>
          <w:sz w:val="24"/>
          <w:szCs w:val="24"/>
        </w:rPr>
      </w:pPr>
    </w:p>
    <w:p w14:paraId="03EFD01F" w14:textId="2BB85E99" w:rsidR="00653EA6" w:rsidRPr="008A4301" w:rsidRDefault="003E3AFC" w:rsidP="00C00973">
      <w:pPr>
        <w:ind w:firstLine="360"/>
        <w:contextualSpacing/>
        <w:jc w:val="both"/>
        <w:rPr>
          <w:sz w:val="24"/>
          <w:szCs w:val="24"/>
        </w:rPr>
      </w:pPr>
      <w:r w:rsidRPr="008A4301">
        <w:rPr>
          <w:sz w:val="24"/>
          <w:szCs w:val="24"/>
        </w:rPr>
        <w:t>With the passage of MAP-21,</w:t>
      </w:r>
      <w:r w:rsidRPr="008A4301">
        <w:rPr>
          <w:color w:val="000000"/>
          <w:sz w:val="24"/>
          <w:szCs w:val="24"/>
        </w:rPr>
        <w:t xml:space="preserve"> </w:t>
      </w:r>
      <w:r w:rsidRPr="008A4301">
        <w:rPr>
          <w:sz w:val="24"/>
          <w:szCs w:val="24"/>
        </w:rPr>
        <w:t xml:space="preserve">FTA provides financial assistance to eligible States to develop or carry out </w:t>
      </w:r>
      <w:r w:rsidR="00DE5507" w:rsidRPr="008A4301">
        <w:rPr>
          <w:sz w:val="24"/>
          <w:szCs w:val="24"/>
        </w:rPr>
        <w:t>SSO</w:t>
      </w:r>
      <w:r w:rsidRPr="008A4301">
        <w:rPr>
          <w:sz w:val="24"/>
          <w:szCs w:val="24"/>
        </w:rPr>
        <w:t xml:space="preserve"> activities under Section 5329.</w:t>
      </w:r>
      <w:r w:rsidR="00D66194" w:rsidRPr="008A4301">
        <w:rPr>
          <w:sz w:val="24"/>
          <w:szCs w:val="24"/>
        </w:rPr>
        <w:t xml:space="preserve"> FTA manages this financial assistance using the same process as other grant programs, requiring an initial application, annual certifications and assurances, and ongoing quarterly reporting in compliance with the </w:t>
      </w:r>
      <w:r w:rsidR="00FD0567" w:rsidRPr="008A4301">
        <w:rPr>
          <w:sz w:val="24"/>
          <w:szCs w:val="24"/>
        </w:rPr>
        <w:t xml:space="preserve">most current version of </w:t>
      </w:r>
      <w:r w:rsidR="00D66194" w:rsidRPr="008A4301">
        <w:rPr>
          <w:sz w:val="24"/>
          <w:szCs w:val="24"/>
        </w:rPr>
        <w:t>FTA Circular 5010, “Grant Management Requirements</w:t>
      </w:r>
      <w:r w:rsidR="00FD0567" w:rsidRPr="008A4301">
        <w:rPr>
          <w:sz w:val="24"/>
          <w:szCs w:val="24"/>
        </w:rPr>
        <w:t>” as well as any other reporting requirements FTA determines necessary.</w:t>
      </w:r>
    </w:p>
    <w:p w14:paraId="220FE212" w14:textId="77777777" w:rsidR="00E75ACE" w:rsidRPr="008A4301" w:rsidRDefault="00E75ACE" w:rsidP="00C00973">
      <w:pPr>
        <w:jc w:val="both"/>
        <w:rPr>
          <w:b/>
          <w:sz w:val="24"/>
          <w:szCs w:val="24"/>
        </w:rPr>
      </w:pPr>
    </w:p>
    <w:p w14:paraId="566097D7" w14:textId="77777777" w:rsidR="004122C7" w:rsidRPr="008A4301" w:rsidRDefault="00E75ACE" w:rsidP="00C00973">
      <w:pPr>
        <w:jc w:val="both"/>
        <w:rPr>
          <w:b/>
          <w:sz w:val="24"/>
          <w:szCs w:val="24"/>
        </w:rPr>
      </w:pPr>
      <w:r w:rsidRPr="008A4301">
        <w:rPr>
          <w:b/>
          <w:sz w:val="24"/>
          <w:szCs w:val="24"/>
        </w:rPr>
        <w:t xml:space="preserve">2. How, by whom, and for what purpose </w:t>
      </w:r>
      <w:r w:rsidR="00205E4F" w:rsidRPr="008A4301">
        <w:rPr>
          <w:b/>
          <w:sz w:val="24"/>
          <w:szCs w:val="24"/>
        </w:rPr>
        <w:t xml:space="preserve">is </w:t>
      </w:r>
      <w:r w:rsidRPr="008A4301">
        <w:rPr>
          <w:b/>
          <w:sz w:val="24"/>
          <w:szCs w:val="24"/>
        </w:rPr>
        <w:t xml:space="preserve">the information to be used and the consequences if the information is not collected?  </w:t>
      </w:r>
    </w:p>
    <w:p w14:paraId="52AE0200" w14:textId="77777777" w:rsidR="004122C7" w:rsidRPr="008A4301" w:rsidRDefault="004122C7" w:rsidP="00C00973">
      <w:pPr>
        <w:jc w:val="both"/>
        <w:rPr>
          <w:b/>
          <w:sz w:val="24"/>
          <w:szCs w:val="24"/>
        </w:rPr>
      </w:pPr>
    </w:p>
    <w:p w14:paraId="788F8D3E" w14:textId="77777777" w:rsidR="00E6321D" w:rsidRPr="008A4301" w:rsidRDefault="00E75ACE" w:rsidP="00C00973">
      <w:pPr>
        <w:ind w:firstLine="360"/>
        <w:contextualSpacing/>
        <w:jc w:val="both"/>
        <w:rPr>
          <w:sz w:val="24"/>
          <w:szCs w:val="24"/>
        </w:rPr>
      </w:pPr>
      <w:r w:rsidRPr="008A4301">
        <w:rPr>
          <w:sz w:val="24"/>
          <w:szCs w:val="24"/>
        </w:rPr>
        <w:t xml:space="preserve">Collection of information for this program is necessary to ensure that </w:t>
      </w:r>
      <w:r w:rsidR="00FC2F16" w:rsidRPr="008A4301">
        <w:rPr>
          <w:sz w:val="24"/>
          <w:szCs w:val="24"/>
        </w:rPr>
        <w:t xml:space="preserve">SSOAs </w:t>
      </w:r>
      <w:r w:rsidR="00F84097" w:rsidRPr="008A4301">
        <w:rPr>
          <w:sz w:val="24"/>
          <w:szCs w:val="24"/>
        </w:rPr>
        <w:t xml:space="preserve">are </w:t>
      </w:r>
      <w:r w:rsidRPr="008A4301">
        <w:rPr>
          <w:sz w:val="24"/>
          <w:szCs w:val="24"/>
        </w:rPr>
        <w:t>perform</w:t>
      </w:r>
      <w:r w:rsidR="00F84097" w:rsidRPr="008A4301">
        <w:rPr>
          <w:sz w:val="24"/>
          <w:szCs w:val="24"/>
        </w:rPr>
        <w:t>ing</w:t>
      </w:r>
      <w:r w:rsidRPr="008A4301">
        <w:rPr>
          <w:sz w:val="24"/>
          <w:szCs w:val="24"/>
        </w:rPr>
        <w:t xml:space="preserve"> their designated safety</w:t>
      </w:r>
      <w:r w:rsidR="009A1DD1" w:rsidRPr="008A4301">
        <w:rPr>
          <w:sz w:val="24"/>
          <w:szCs w:val="24"/>
        </w:rPr>
        <w:t xml:space="preserve"> function</w:t>
      </w:r>
      <w:r w:rsidR="007E675F" w:rsidRPr="008A4301">
        <w:rPr>
          <w:sz w:val="24"/>
          <w:szCs w:val="24"/>
        </w:rPr>
        <w:t xml:space="preserve"> to ensure compliance with the law</w:t>
      </w:r>
      <w:r w:rsidRPr="008A4301">
        <w:rPr>
          <w:sz w:val="24"/>
          <w:szCs w:val="24"/>
        </w:rPr>
        <w:t>.</w:t>
      </w:r>
      <w:r w:rsidR="00640BB8" w:rsidRPr="008A4301">
        <w:rPr>
          <w:sz w:val="24"/>
          <w:szCs w:val="24"/>
        </w:rPr>
        <w:t xml:space="preserve"> </w:t>
      </w:r>
      <w:r w:rsidRPr="008A4301">
        <w:rPr>
          <w:sz w:val="24"/>
          <w:szCs w:val="24"/>
        </w:rPr>
        <w:t xml:space="preserve">FTA must review and approve </w:t>
      </w:r>
      <w:r w:rsidR="00FC2F16" w:rsidRPr="008A4301">
        <w:rPr>
          <w:sz w:val="24"/>
          <w:szCs w:val="24"/>
        </w:rPr>
        <w:t>SSOA</w:t>
      </w:r>
      <w:r w:rsidRPr="008A4301">
        <w:rPr>
          <w:sz w:val="24"/>
          <w:szCs w:val="24"/>
        </w:rPr>
        <w:t xml:space="preserve"> incorporation of these requirements into their respective programs to verify compliance. </w:t>
      </w:r>
      <w:r w:rsidR="00E6321D" w:rsidRPr="008A4301">
        <w:rPr>
          <w:sz w:val="24"/>
          <w:szCs w:val="24"/>
        </w:rPr>
        <w:t xml:space="preserve">FTA requests information from SSOAs through the SSO Audit program, </w:t>
      </w:r>
      <w:r w:rsidRPr="008A4301">
        <w:rPr>
          <w:sz w:val="24"/>
          <w:szCs w:val="24"/>
        </w:rPr>
        <w:t xml:space="preserve">an annual report and an annual certification from each </w:t>
      </w:r>
      <w:r w:rsidR="00122412" w:rsidRPr="008A4301">
        <w:rPr>
          <w:sz w:val="24"/>
          <w:szCs w:val="24"/>
        </w:rPr>
        <w:t>S</w:t>
      </w:r>
      <w:r w:rsidR="009A1DD1" w:rsidRPr="008A4301">
        <w:rPr>
          <w:sz w:val="24"/>
          <w:szCs w:val="24"/>
        </w:rPr>
        <w:t>tate</w:t>
      </w:r>
      <w:r w:rsidRPr="008A4301">
        <w:rPr>
          <w:sz w:val="24"/>
          <w:szCs w:val="24"/>
        </w:rPr>
        <w:t xml:space="preserve"> to verify its compliance with </w:t>
      </w:r>
      <w:r w:rsidR="00E6321D" w:rsidRPr="008A4301">
        <w:rPr>
          <w:sz w:val="24"/>
          <w:szCs w:val="24"/>
        </w:rPr>
        <w:t xml:space="preserve">the regulation, periodic data requests to respond to emerging safety issues, and regular SSOA grants management reporting. </w:t>
      </w:r>
      <w:r w:rsidRPr="008A4301">
        <w:rPr>
          <w:sz w:val="24"/>
          <w:szCs w:val="24"/>
        </w:rPr>
        <w:t xml:space="preserve">FTA </w:t>
      </w:r>
      <w:r w:rsidR="009A1DD1" w:rsidRPr="008A4301">
        <w:rPr>
          <w:sz w:val="24"/>
          <w:szCs w:val="24"/>
        </w:rPr>
        <w:t xml:space="preserve">may </w:t>
      </w:r>
      <w:r w:rsidRPr="008A4301">
        <w:rPr>
          <w:sz w:val="24"/>
          <w:szCs w:val="24"/>
        </w:rPr>
        <w:t xml:space="preserve">use this information in exercising its authority to withhold </w:t>
      </w:r>
      <w:r w:rsidR="00FC2F16" w:rsidRPr="008A4301">
        <w:rPr>
          <w:sz w:val="24"/>
          <w:szCs w:val="24"/>
        </w:rPr>
        <w:lastRenderedPageBreak/>
        <w:t>F</w:t>
      </w:r>
      <w:r w:rsidRPr="008A4301">
        <w:rPr>
          <w:sz w:val="24"/>
          <w:szCs w:val="24"/>
        </w:rPr>
        <w:t xml:space="preserve">ederal funding to a </w:t>
      </w:r>
      <w:r w:rsidR="003D3C71" w:rsidRPr="008A4301">
        <w:rPr>
          <w:sz w:val="24"/>
          <w:szCs w:val="24"/>
        </w:rPr>
        <w:t>S</w:t>
      </w:r>
      <w:r w:rsidRPr="008A4301">
        <w:rPr>
          <w:sz w:val="24"/>
          <w:szCs w:val="24"/>
        </w:rPr>
        <w:t xml:space="preserve">tate or an urbanized area in the </w:t>
      </w:r>
      <w:r w:rsidR="003D3C71" w:rsidRPr="008A4301">
        <w:rPr>
          <w:sz w:val="24"/>
          <w:szCs w:val="24"/>
        </w:rPr>
        <w:t>S</w:t>
      </w:r>
      <w:r w:rsidRPr="008A4301">
        <w:rPr>
          <w:sz w:val="24"/>
          <w:szCs w:val="24"/>
        </w:rPr>
        <w:t>tate in the event compliance is not reached.</w:t>
      </w:r>
      <w:r w:rsidR="00E6321D" w:rsidRPr="008A4301">
        <w:rPr>
          <w:sz w:val="24"/>
          <w:szCs w:val="24"/>
        </w:rPr>
        <w:t xml:space="preserve"> RTAs are required to notify FTA of an accident within two hours of occurrence.</w:t>
      </w:r>
    </w:p>
    <w:p w14:paraId="362A7C29" w14:textId="77777777" w:rsidR="00B72721" w:rsidRPr="008A4301" w:rsidRDefault="00B72721" w:rsidP="00C00973">
      <w:pPr>
        <w:pStyle w:val="BodyTextIndent"/>
        <w:ind w:firstLine="0"/>
        <w:jc w:val="both"/>
        <w:rPr>
          <w:sz w:val="24"/>
          <w:szCs w:val="24"/>
        </w:rPr>
      </w:pPr>
    </w:p>
    <w:p w14:paraId="16E9F575" w14:textId="77777777" w:rsidR="008C7EB2" w:rsidRPr="008A4301" w:rsidRDefault="00E75ACE" w:rsidP="00C00973">
      <w:pPr>
        <w:pStyle w:val="BodyTextIndent"/>
        <w:jc w:val="both"/>
        <w:rPr>
          <w:sz w:val="24"/>
          <w:szCs w:val="24"/>
        </w:rPr>
      </w:pPr>
      <w:r w:rsidRPr="008A4301">
        <w:rPr>
          <w:sz w:val="24"/>
          <w:szCs w:val="24"/>
        </w:rPr>
        <w:t xml:space="preserve">The grant application and project management reports are submitted to the FTA Program Office to determine the applicant's eligibility for funding and, subsequently, the recipient’s progress in implementing and completing program activities. </w:t>
      </w:r>
      <w:r w:rsidR="00870258" w:rsidRPr="008A4301">
        <w:rPr>
          <w:sz w:val="24"/>
          <w:szCs w:val="24"/>
        </w:rPr>
        <w:t xml:space="preserve">States make quarterly submissions to FTA's electronic grant making and management system (TrAMS). </w:t>
      </w:r>
      <w:r w:rsidRPr="008A4301">
        <w:rPr>
          <w:sz w:val="24"/>
          <w:szCs w:val="24"/>
        </w:rPr>
        <w:t xml:space="preserve">The reports </w:t>
      </w:r>
      <w:r w:rsidR="00432C35" w:rsidRPr="008A4301">
        <w:rPr>
          <w:sz w:val="24"/>
          <w:szCs w:val="24"/>
        </w:rPr>
        <w:t xml:space="preserve">ensure </w:t>
      </w:r>
      <w:r w:rsidRPr="008A4301">
        <w:rPr>
          <w:sz w:val="24"/>
          <w:szCs w:val="24"/>
        </w:rPr>
        <w:t xml:space="preserve">FTA of a level of management of risks and ensure an appropriate allocation of program funds to eligible state safety oversight program activities. Also, the information submitted ensures FTA's compliance with applicable </w:t>
      </w:r>
      <w:r w:rsidR="008C7EB2" w:rsidRPr="008A4301">
        <w:rPr>
          <w:sz w:val="24"/>
          <w:szCs w:val="24"/>
        </w:rPr>
        <w:t>F</w:t>
      </w:r>
      <w:r w:rsidRPr="008A4301">
        <w:rPr>
          <w:sz w:val="24"/>
          <w:szCs w:val="24"/>
        </w:rPr>
        <w:t>ederal laws and the Common Grant Rule. In addition, without these reports, significant resources and manpower would be necessary to conduct on-site inspections.</w:t>
      </w:r>
    </w:p>
    <w:p w14:paraId="287A44B3" w14:textId="77777777" w:rsidR="00E75ACE" w:rsidRPr="008A4301" w:rsidRDefault="00E75ACE" w:rsidP="00C00973">
      <w:pPr>
        <w:pStyle w:val="BodyTextIndent"/>
        <w:jc w:val="both"/>
        <w:rPr>
          <w:sz w:val="24"/>
          <w:szCs w:val="24"/>
        </w:rPr>
      </w:pPr>
    </w:p>
    <w:p w14:paraId="75AA4D88" w14:textId="77777777" w:rsidR="00E75ACE" w:rsidRPr="008A4301" w:rsidRDefault="00E75ACE" w:rsidP="00C00973">
      <w:pPr>
        <w:jc w:val="both"/>
        <w:rPr>
          <w:b/>
          <w:sz w:val="24"/>
          <w:szCs w:val="24"/>
        </w:rPr>
      </w:pPr>
      <w:r w:rsidRPr="008A4301">
        <w:rPr>
          <w:b/>
          <w:sz w:val="24"/>
          <w:szCs w:val="24"/>
        </w:rPr>
        <w:t>3.  Describe whether collection of information involves information technology and any consideration of using information technology to reduce the burden.</w:t>
      </w:r>
    </w:p>
    <w:p w14:paraId="216D57B0" w14:textId="77777777" w:rsidR="00E75ACE" w:rsidRPr="008A4301" w:rsidRDefault="00E75ACE" w:rsidP="00C00973">
      <w:pPr>
        <w:jc w:val="both"/>
        <w:rPr>
          <w:b/>
          <w:sz w:val="24"/>
          <w:szCs w:val="24"/>
        </w:rPr>
      </w:pPr>
    </w:p>
    <w:p w14:paraId="7AC9C962" w14:textId="1DCD4BC4" w:rsidR="00836AA0" w:rsidRPr="008A4301" w:rsidRDefault="00E75ACE" w:rsidP="00C00973">
      <w:pPr>
        <w:ind w:firstLine="360"/>
        <w:jc w:val="both"/>
        <w:rPr>
          <w:sz w:val="24"/>
          <w:szCs w:val="24"/>
        </w:rPr>
      </w:pPr>
      <w:r w:rsidRPr="008A4301">
        <w:rPr>
          <w:sz w:val="24"/>
          <w:szCs w:val="24"/>
        </w:rPr>
        <w:t xml:space="preserve">FTA collects information annually from the </w:t>
      </w:r>
      <w:r w:rsidR="00B72721" w:rsidRPr="008A4301">
        <w:rPr>
          <w:sz w:val="24"/>
          <w:szCs w:val="24"/>
        </w:rPr>
        <w:t>S</w:t>
      </w:r>
      <w:r w:rsidRPr="008A4301">
        <w:rPr>
          <w:sz w:val="24"/>
          <w:szCs w:val="24"/>
        </w:rPr>
        <w:t xml:space="preserve">tates </w:t>
      </w:r>
      <w:r w:rsidR="00B50DF9" w:rsidRPr="008A4301">
        <w:rPr>
          <w:sz w:val="24"/>
          <w:szCs w:val="24"/>
        </w:rPr>
        <w:t>and</w:t>
      </w:r>
      <w:r w:rsidRPr="008A4301">
        <w:rPr>
          <w:sz w:val="24"/>
          <w:szCs w:val="24"/>
        </w:rPr>
        <w:t xml:space="preserve"> requests materials and documentation to support the performance of audits and reviews at the </w:t>
      </w:r>
      <w:r w:rsidR="008C7EB2" w:rsidRPr="008A4301">
        <w:rPr>
          <w:sz w:val="24"/>
          <w:szCs w:val="24"/>
        </w:rPr>
        <w:t>S</w:t>
      </w:r>
      <w:r w:rsidRPr="008A4301">
        <w:rPr>
          <w:sz w:val="24"/>
          <w:szCs w:val="24"/>
        </w:rPr>
        <w:t xml:space="preserve">tates. </w:t>
      </w:r>
      <w:r w:rsidR="00836AA0" w:rsidRPr="008A4301">
        <w:rPr>
          <w:sz w:val="24"/>
          <w:szCs w:val="24"/>
        </w:rPr>
        <w:t>FTA has developed a new web-based data collection portal</w:t>
      </w:r>
      <w:r w:rsidR="00E62ADA" w:rsidRPr="008A4301">
        <w:rPr>
          <w:sz w:val="24"/>
          <w:szCs w:val="24"/>
        </w:rPr>
        <w:t>, State Safety Oversight Reporting tool (SSOR)</w:t>
      </w:r>
      <w:r w:rsidR="00870258" w:rsidRPr="008A4301">
        <w:rPr>
          <w:sz w:val="24"/>
          <w:szCs w:val="24"/>
        </w:rPr>
        <w:t xml:space="preserve"> </w:t>
      </w:r>
      <w:r w:rsidR="00836AA0" w:rsidRPr="008A4301">
        <w:rPr>
          <w:sz w:val="24"/>
          <w:szCs w:val="24"/>
        </w:rPr>
        <w:t>to facilitate the annual submission process.</w:t>
      </w:r>
      <w:r w:rsidR="008706A5">
        <w:rPr>
          <w:sz w:val="24"/>
          <w:szCs w:val="24"/>
        </w:rPr>
        <w:t xml:space="preserve"> This new system is currently in beta testing and is </w:t>
      </w:r>
      <w:r w:rsidR="00DC4E88">
        <w:rPr>
          <w:sz w:val="24"/>
          <w:szCs w:val="24"/>
        </w:rPr>
        <w:t xml:space="preserve">anticipated to go live in Fall 2019.  The PRA burden statement will be added to the home page of the site. </w:t>
      </w:r>
      <w:r w:rsidR="00836AA0" w:rsidRPr="008A4301">
        <w:rPr>
          <w:sz w:val="24"/>
          <w:szCs w:val="24"/>
        </w:rPr>
        <w:t xml:space="preserve"> Th</w:t>
      </w:r>
      <w:r w:rsidR="00B50DF9">
        <w:rPr>
          <w:sz w:val="24"/>
          <w:szCs w:val="24"/>
        </w:rPr>
        <w:t>is</w:t>
      </w:r>
      <w:r w:rsidR="00836AA0" w:rsidRPr="008A4301">
        <w:rPr>
          <w:sz w:val="24"/>
          <w:szCs w:val="24"/>
        </w:rPr>
        <w:t xml:space="preserve"> change reduce</w:t>
      </w:r>
      <w:r w:rsidR="00B50DF9">
        <w:rPr>
          <w:sz w:val="24"/>
          <w:szCs w:val="24"/>
        </w:rPr>
        <w:t>d</w:t>
      </w:r>
      <w:r w:rsidR="00836AA0" w:rsidRPr="008A4301">
        <w:rPr>
          <w:sz w:val="24"/>
          <w:szCs w:val="24"/>
        </w:rPr>
        <w:t xml:space="preserve"> the SSOAs’ reporting burden, provide enhanced data transparency to the SSOAs, and to improve the quality of FTA’s safety data and its data management practices.</w:t>
      </w:r>
    </w:p>
    <w:p w14:paraId="2A3FBBA0" w14:textId="77777777" w:rsidR="00836AA0" w:rsidRPr="008A4301" w:rsidRDefault="00836AA0" w:rsidP="00C00973">
      <w:pPr>
        <w:ind w:firstLine="360"/>
        <w:jc w:val="both"/>
        <w:rPr>
          <w:sz w:val="24"/>
          <w:szCs w:val="24"/>
        </w:rPr>
      </w:pPr>
    </w:p>
    <w:p w14:paraId="6A0DA8E3" w14:textId="77777777" w:rsidR="00836AA0" w:rsidRPr="008A4301" w:rsidRDefault="00836AA0" w:rsidP="00C00973">
      <w:pPr>
        <w:ind w:firstLine="360"/>
        <w:jc w:val="both"/>
        <w:rPr>
          <w:sz w:val="24"/>
          <w:szCs w:val="24"/>
        </w:rPr>
      </w:pPr>
      <w:r w:rsidRPr="008A4301">
        <w:rPr>
          <w:sz w:val="24"/>
          <w:szCs w:val="24"/>
        </w:rPr>
        <w:t xml:space="preserve">The new system will </w:t>
      </w:r>
      <w:r w:rsidR="00432C35" w:rsidRPr="008A4301">
        <w:rPr>
          <w:sz w:val="24"/>
          <w:szCs w:val="24"/>
        </w:rPr>
        <w:t xml:space="preserve">provide </w:t>
      </w:r>
      <w:r w:rsidRPr="008A4301">
        <w:rPr>
          <w:sz w:val="24"/>
          <w:szCs w:val="24"/>
        </w:rPr>
        <w:t>S</w:t>
      </w:r>
      <w:r w:rsidR="00720EB0" w:rsidRPr="008A4301">
        <w:rPr>
          <w:sz w:val="24"/>
          <w:szCs w:val="24"/>
        </w:rPr>
        <w:t>SOA</w:t>
      </w:r>
      <w:r w:rsidRPr="008A4301">
        <w:rPr>
          <w:sz w:val="24"/>
          <w:szCs w:val="24"/>
        </w:rPr>
        <w:t>s with event data reported by RTAs to the National Transit Database (NTD).  In the past, S</w:t>
      </w:r>
      <w:r w:rsidR="00720EB0" w:rsidRPr="008A4301">
        <w:rPr>
          <w:sz w:val="24"/>
          <w:szCs w:val="24"/>
        </w:rPr>
        <w:t>SOA</w:t>
      </w:r>
      <w:r w:rsidRPr="008A4301">
        <w:rPr>
          <w:sz w:val="24"/>
          <w:szCs w:val="24"/>
        </w:rPr>
        <w:t>s had no access to these data and were required to report all event and details themselves.  This change means that S</w:t>
      </w:r>
      <w:r w:rsidR="00720EB0" w:rsidRPr="008A4301">
        <w:rPr>
          <w:sz w:val="24"/>
          <w:szCs w:val="24"/>
        </w:rPr>
        <w:t>SOA</w:t>
      </w:r>
      <w:r w:rsidRPr="008A4301">
        <w:rPr>
          <w:sz w:val="24"/>
          <w:szCs w:val="24"/>
        </w:rPr>
        <w:t xml:space="preserve">s will have less data to report through their annual submission, reducing their </w:t>
      </w:r>
      <w:r w:rsidR="00720EB0" w:rsidRPr="008A4301">
        <w:rPr>
          <w:sz w:val="24"/>
          <w:szCs w:val="24"/>
        </w:rPr>
        <w:t xml:space="preserve">overall </w:t>
      </w:r>
      <w:r w:rsidRPr="008A4301">
        <w:rPr>
          <w:sz w:val="24"/>
          <w:szCs w:val="24"/>
        </w:rPr>
        <w:t xml:space="preserve">reporting burden.  The change also gives them valuable access to event data </w:t>
      </w:r>
      <w:r w:rsidR="00720EB0" w:rsidRPr="008A4301">
        <w:rPr>
          <w:sz w:val="24"/>
          <w:szCs w:val="24"/>
        </w:rPr>
        <w:t>reported by the</w:t>
      </w:r>
      <w:r w:rsidRPr="008A4301">
        <w:rPr>
          <w:sz w:val="24"/>
          <w:szCs w:val="24"/>
        </w:rPr>
        <w:t xml:space="preserve"> RTAs they oversee.  In addition, this new </w:t>
      </w:r>
      <w:r w:rsidR="00432C35" w:rsidRPr="008A4301">
        <w:rPr>
          <w:sz w:val="24"/>
          <w:szCs w:val="24"/>
        </w:rPr>
        <w:t xml:space="preserve">data collection system </w:t>
      </w:r>
      <w:r w:rsidRPr="008A4301">
        <w:rPr>
          <w:sz w:val="24"/>
          <w:szCs w:val="24"/>
        </w:rPr>
        <w:t xml:space="preserve">improves data quality by eliminating duplicative data </w:t>
      </w:r>
      <w:r w:rsidR="001E6DF1" w:rsidRPr="008A4301">
        <w:rPr>
          <w:sz w:val="24"/>
          <w:szCs w:val="24"/>
        </w:rPr>
        <w:t>sets</w:t>
      </w:r>
      <w:r w:rsidRPr="008A4301">
        <w:rPr>
          <w:sz w:val="24"/>
          <w:szCs w:val="24"/>
        </w:rPr>
        <w:t>.</w:t>
      </w:r>
    </w:p>
    <w:p w14:paraId="2914FC69" w14:textId="77777777" w:rsidR="00836AA0" w:rsidRPr="008A4301" w:rsidRDefault="00836AA0" w:rsidP="00C00973">
      <w:pPr>
        <w:ind w:firstLine="360"/>
        <w:jc w:val="both"/>
        <w:rPr>
          <w:sz w:val="24"/>
          <w:szCs w:val="24"/>
        </w:rPr>
      </w:pPr>
    </w:p>
    <w:p w14:paraId="252409DC" w14:textId="118EFDED" w:rsidR="00E75ACE" w:rsidRPr="008A4301" w:rsidRDefault="00836AA0" w:rsidP="00C00973">
      <w:pPr>
        <w:ind w:firstLine="360"/>
        <w:jc w:val="both"/>
        <w:rPr>
          <w:sz w:val="24"/>
          <w:szCs w:val="24"/>
        </w:rPr>
      </w:pPr>
      <w:r w:rsidRPr="008A4301">
        <w:rPr>
          <w:sz w:val="24"/>
          <w:szCs w:val="24"/>
        </w:rPr>
        <w:t>The new data collection system also offers additional burden reduction through ongoing reporting.  In the past</w:t>
      </w:r>
      <w:r w:rsidR="00E62ADA" w:rsidRPr="008A4301">
        <w:rPr>
          <w:sz w:val="24"/>
          <w:szCs w:val="24"/>
        </w:rPr>
        <w:t>,</w:t>
      </w:r>
      <w:r w:rsidRPr="008A4301">
        <w:rPr>
          <w:sz w:val="24"/>
          <w:szCs w:val="24"/>
        </w:rPr>
        <w:t xml:space="preserve"> SSOAs completed a series of spreadsheets at the end of each year.  This entailed going back through records and files</w:t>
      </w:r>
      <w:r w:rsidR="00432C35" w:rsidRPr="008A4301">
        <w:rPr>
          <w:sz w:val="24"/>
          <w:szCs w:val="24"/>
        </w:rPr>
        <w:t>,</w:t>
      </w:r>
      <w:r w:rsidRPr="008A4301">
        <w:rPr>
          <w:sz w:val="24"/>
          <w:szCs w:val="24"/>
        </w:rPr>
        <w:t xml:space="preserve"> and compiling information </w:t>
      </w:r>
      <w:r w:rsidR="00432C35" w:rsidRPr="008A4301">
        <w:rPr>
          <w:sz w:val="24"/>
          <w:szCs w:val="24"/>
        </w:rPr>
        <w:t xml:space="preserve">at the end of each </w:t>
      </w:r>
      <w:r w:rsidR="008F3D99" w:rsidRPr="008A4301">
        <w:rPr>
          <w:sz w:val="24"/>
          <w:szCs w:val="24"/>
        </w:rPr>
        <w:t>year.</w:t>
      </w:r>
      <w:r w:rsidRPr="008A4301">
        <w:rPr>
          <w:sz w:val="24"/>
          <w:szCs w:val="24"/>
        </w:rPr>
        <w:t xml:space="preserve">  With the new </w:t>
      </w:r>
      <w:r w:rsidR="00432C35" w:rsidRPr="008A4301">
        <w:rPr>
          <w:sz w:val="24"/>
          <w:szCs w:val="24"/>
        </w:rPr>
        <w:t>system</w:t>
      </w:r>
      <w:r w:rsidRPr="008A4301">
        <w:rPr>
          <w:sz w:val="24"/>
          <w:szCs w:val="24"/>
        </w:rPr>
        <w:t xml:space="preserve">, SSOAs </w:t>
      </w:r>
      <w:r w:rsidR="00B50DF9" w:rsidRPr="008A4301">
        <w:rPr>
          <w:sz w:val="24"/>
          <w:szCs w:val="24"/>
        </w:rPr>
        <w:t>can</w:t>
      </w:r>
      <w:r w:rsidRPr="008A4301">
        <w:rPr>
          <w:sz w:val="24"/>
          <w:szCs w:val="24"/>
        </w:rPr>
        <w:t xml:space="preserve"> report information to the web-based </w:t>
      </w:r>
      <w:r w:rsidR="00432C35" w:rsidRPr="008A4301">
        <w:rPr>
          <w:sz w:val="24"/>
          <w:szCs w:val="24"/>
        </w:rPr>
        <w:t xml:space="preserve">application </w:t>
      </w:r>
      <w:r w:rsidRPr="008A4301">
        <w:rPr>
          <w:sz w:val="24"/>
          <w:szCs w:val="24"/>
        </w:rPr>
        <w:t>as the year progresses</w:t>
      </w:r>
      <w:r w:rsidR="00E62ADA" w:rsidRPr="008A4301">
        <w:rPr>
          <w:sz w:val="24"/>
          <w:szCs w:val="24"/>
        </w:rPr>
        <w:t xml:space="preserve"> which</w:t>
      </w:r>
      <w:r w:rsidRPr="008A4301">
        <w:rPr>
          <w:sz w:val="24"/>
          <w:szCs w:val="24"/>
        </w:rPr>
        <w:t xml:space="preserve"> promotes more accurate </w:t>
      </w:r>
      <w:r w:rsidR="00432C35" w:rsidRPr="008A4301">
        <w:rPr>
          <w:sz w:val="24"/>
          <w:szCs w:val="24"/>
        </w:rPr>
        <w:t xml:space="preserve">and timely </w:t>
      </w:r>
      <w:r w:rsidRPr="008A4301">
        <w:rPr>
          <w:sz w:val="24"/>
          <w:szCs w:val="24"/>
        </w:rPr>
        <w:t xml:space="preserve">reporting and provides SSOAs with a tool through which they can manage their </w:t>
      </w:r>
      <w:r w:rsidR="001E6DF1" w:rsidRPr="008A4301">
        <w:rPr>
          <w:sz w:val="24"/>
          <w:szCs w:val="24"/>
        </w:rPr>
        <w:t xml:space="preserve">own </w:t>
      </w:r>
      <w:r w:rsidRPr="008A4301">
        <w:rPr>
          <w:sz w:val="24"/>
          <w:szCs w:val="24"/>
        </w:rPr>
        <w:t xml:space="preserve">SSO program activity.  Ongoing reporting also offers FTA added value by providing real-time access to SSOA program activity </w:t>
      </w:r>
      <w:r w:rsidR="000A7C8B" w:rsidRPr="008A4301">
        <w:rPr>
          <w:sz w:val="24"/>
          <w:szCs w:val="24"/>
        </w:rPr>
        <w:t>throughout the year.</w:t>
      </w:r>
      <w:r w:rsidRPr="008A4301">
        <w:rPr>
          <w:sz w:val="24"/>
          <w:szCs w:val="24"/>
        </w:rPr>
        <w:t xml:space="preserve"> </w:t>
      </w:r>
    </w:p>
    <w:p w14:paraId="729AFBDC" w14:textId="2BF2CC63" w:rsidR="00E75ACE" w:rsidRDefault="00E62ADA" w:rsidP="00C00973">
      <w:pPr>
        <w:spacing w:before="100" w:beforeAutospacing="1" w:after="100" w:afterAutospacing="1"/>
        <w:ind w:firstLine="360"/>
        <w:jc w:val="both"/>
        <w:rPr>
          <w:sz w:val="24"/>
          <w:szCs w:val="24"/>
        </w:rPr>
      </w:pPr>
      <w:r w:rsidRPr="008A4301">
        <w:rPr>
          <w:sz w:val="24"/>
          <w:szCs w:val="24"/>
        </w:rPr>
        <w:t xml:space="preserve">Additionally, </w:t>
      </w:r>
      <w:r w:rsidR="00E75ACE" w:rsidRPr="008A4301">
        <w:rPr>
          <w:sz w:val="24"/>
          <w:szCs w:val="24"/>
        </w:rPr>
        <w:t xml:space="preserve">FTA's electronic grant making and management system </w:t>
      </w:r>
      <w:r w:rsidR="002F7010" w:rsidRPr="008A4301">
        <w:rPr>
          <w:sz w:val="24"/>
          <w:szCs w:val="24"/>
        </w:rPr>
        <w:t xml:space="preserve">(TrAMS) </w:t>
      </w:r>
      <w:r w:rsidR="00E75ACE" w:rsidRPr="008A4301">
        <w:rPr>
          <w:sz w:val="24"/>
          <w:szCs w:val="24"/>
        </w:rPr>
        <w:t xml:space="preserve">is a paperless, electronic grant application, review, approval, acceptance and management process. It is anticipated that 100 percent of applications received under this new program will be submitted electronically. FTA also anticipates that approximately 100 percent of the periodic reports that </w:t>
      </w:r>
      <w:r w:rsidR="00A36E84" w:rsidRPr="008A4301">
        <w:rPr>
          <w:sz w:val="24"/>
          <w:szCs w:val="24"/>
        </w:rPr>
        <w:t>SSOAs</w:t>
      </w:r>
      <w:r w:rsidR="007E675F" w:rsidRPr="008A4301">
        <w:rPr>
          <w:sz w:val="24"/>
          <w:szCs w:val="24"/>
        </w:rPr>
        <w:t xml:space="preserve"> </w:t>
      </w:r>
      <w:r w:rsidR="00E75ACE" w:rsidRPr="008A4301">
        <w:rPr>
          <w:sz w:val="24"/>
          <w:szCs w:val="24"/>
        </w:rPr>
        <w:t xml:space="preserve">are required to submit will be submitted electronically.  </w:t>
      </w:r>
      <w:r w:rsidR="00A36E84" w:rsidRPr="008A4301">
        <w:rPr>
          <w:sz w:val="24"/>
          <w:szCs w:val="24"/>
        </w:rPr>
        <w:t xml:space="preserve">SSOAs </w:t>
      </w:r>
      <w:r w:rsidR="00E75ACE" w:rsidRPr="008A4301">
        <w:rPr>
          <w:sz w:val="24"/>
          <w:szCs w:val="24"/>
        </w:rPr>
        <w:t>are also strongly encouraged to use the electronic system for signature of annual certifications and assurances.</w:t>
      </w:r>
    </w:p>
    <w:p w14:paraId="1C97ABE3" w14:textId="09421E6B" w:rsidR="00B0457E" w:rsidRDefault="00B0457E" w:rsidP="00C00973">
      <w:pPr>
        <w:spacing w:before="100" w:beforeAutospacing="1" w:after="100" w:afterAutospacing="1"/>
        <w:ind w:firstLine="360"/>
        <w:jc w:val="both"/>
        <w:rPr>
          <w:sz w:val="24"/>
          <w:szCs w:val="24"/>
        </w:rPr>
      </w:pPr>
    </w:p>
    <w:p w14:paraId="4895A2A5" w14:textId="77777777" w:rsidR="00C00973" w:rsidRPr="008A4301" w:rsidRDefault="00C00973" w:rsidP="00C00973">
      <w:pPr>
        <w:spacing w:before="100" w:beforeAutospacing="1" w:after="100" w:afterAutospacing="1"/>
        <w:ind w:firstLine="360"/>
        <w:jc w:val="both"/>
        <w:rPr>
          <w:sz w:val="24"/>
          <w:szCs w:val="24"/>
        </w:rPr>
      </w:pPr>
    </w:p>
    <w:p w14:paraId="3EBD16F1" w14:textId="77777777" w:rsidR="00E75ACE" w:rsidRPr="008A4301" w:rsidRDefault="00E75ACE" w:rsidP="00C00973">
      <w:pPr>
        <w:jc w:val="both"/>
        <w:rPr>
          <w:b/>
          <w:sz w:val="24"/>
          <w:szCs w:val="24"/>
        </w:rPr>
      </w:pPr>
      <w:r w:rsidRPr="008A4301">
        <w:rPr>
          <w:b/>
          <w:sz w:val="24"/>
          <w:szCs w:val="24"/>
        </w:rPr>
        <w:t xml:space="preserve">4.  Describe efforts to identify duplication.  Show specifically why any similar information already available cannot be used or modified for use for the purposes described </w:t>
      </w:r>
      <w:r w:rsidR="008F3D99" w:rsidRPr="008A4301">
        <w:rPr>
          <w:b/>
          <w:sz w:val="24"/>
          <w:szCs w:val="24"/>
        </w:rPr>
        <w:t xml:space="preserve">above </w:t>
      </w:r>
      <w:r w:rsidRPr="008A4301">
        <w:rPr>
          <w:b/>
          <w:sz w:val="24"/>
          <w:szCs w:val="24"/>
        </w:rPr>
        <w:t xml:space="preserve">in item </w:t>
      </w:r>
      <w:r w:rsidR="008F3D99" w:rsidRPr="008A4301">
        <w:rPr>
          <w:b/>
          <w:sz w:val="24"/>
          <w:szCs w:val="24"/>
        </w:rPr>
        <w:t>three.</w:t>
      </w:r>
    </w:p>
    <w:p w14:paraId="7725E44E" w14:textId="77777777" w:rsidR="00E75ACE" w:rsidRPr="008A4301" w:rsidRDefault="00E75ACE" w:rsidP="00C00973">
      <w:pPr>
        <w:jc w:val="both"/>
        <w:rPr>
          <w:b/>
          <w:sz w:val="24"/>
          <w:szCs w:val="24"/>
        </w:rPr>
      </w:pPr>
    </w:p>
    <w:p w14:paraId="03B46C7E" w14:textId="77777777" w:rsidR="000A7C8B" w:rsidRPr="008A4301" w:rsidRDefault="000A7C8B" w:rsidP="00C00973">
      <w:pPr>
        <w:pStyle w:val="BodyTextIndent2"/>
        <w:jc w:val="both"/>
        <w:rPr>
          <w:szCs w:val="24"/>
        </w:rPr>
      </w:pPr>
      <w:r w:rsidRPr="008A4301">
        <w:rPr>
          <w:szCs w:val="24"/>
        </w:rPr>
        <w:t xml:space="preserve">FTA reviewed its safety data collection and analysis activities and established a Safety Data Management Working Group to prioritize and execute initiatives to improve safety data management practices.  One area of duplication identified and prioritized by the group was </w:t>
      </w:r>
      <w:r w:rsidR="00720EB0" w:rsidRPr="008A4301">
        <w:rPr>
          <w:szCs w:val="24"/>
        </w:rPr>
        <w:t xml:space="preserve">RTA </w:t>
      </w:r>
      <w:r w:rsidRPr="008A4301">
        <w:rPr>
          <w:szCs w:val="24"/>
        </w:rPr>
        <w:t xml:space="preserve">event data captured through both the NTD and the SSO Program.  RTAs are required to report event data to the NTD.  Previously, SSOAs were </w:t>
      </w:r>
      <w:r w:rsidR="001E6DF1" w:rsidRPr="008A4301">
        <w:rPr>
          <w:szCs w:val="24"/>
        </w:rPr>
        <w:t xml:space="preserve">also </w:t>
      </w:r>
      <w:r w:rsidRPr="008A4301">
        <w:rPr>
          <w:szCs w:val="24"/>
        </w:rPr>
        <w:t xml:space="preserve">required to report these same events to FTA through the SSO Program annual reporting process.  </w:t>
      </w:r>
    </w:p>
    <w:p w14:paraId="3BB2BD78" w14:textId="77777777" w:rsidR="000A7C8B" w:rsidRPr="008A4301" w:rsidRDefault="000A7C8B" w:rsidP="00C00973">
      <w:pPr>
        <w:pStyle w:val="BodyTextIndent2"/>
        <w:jc w:val="both"/>
        <w:rPr>
          <w:szCs w:val="24"/>
        </w:rPr>
      </w:pPr>
    </w:p>
    <w:p w14:paraId="531B7810" w14:textId="77777777" w:rsidR="00E75ACE" w:rsidRPr="008A4301" w:rsidRDefault="000A7C8B" w:rsidP="00C00973">
      <w:pPr>
        <w:pStyle w:val="BodyTextIndent2"/>
        <w:jc w:val="both"/>
        <w:rPr>
          <w:szCs w:val="24"/>
        </w:rPr>
      </w:pPr>
      <w:r w:rsidRPr="008A4301">
        <w:rPr>
          <w:szCs w:val="24"/>
        </w:rPr>
        <w:t xml:space="preserve">Over the last three years, FTA executed changes in NTD and SSO Program definitions and reporting thresholds to enable the NTD to serve as the system of record for all </w:t>
      </w:r>
      <w:r w:rsidR="00720EB0" w:rsidRPr="008A4301">
        <w:rPr>
          <w:szCs w:val="24"/>
        </w:rPr>
        <w:t xml:space="preserve">RTA events. </w:t>
      </w:r>
      <w:r w:rsidRPr="008A4301">
        <w:rPr>
          <w:szCs w:val="24"/>
        </w:rPr>
        <w:t xml:space="preserve">FTA’s web-based data collection system </w:t>
      </w:r>
      <w:r w:rsidR="00720EB0" w:rsidRPr="008A4301">
        <w:rPr>
          <w:szCs w:val="24"/>
        </w:rPr>
        <w:t>finalizes this transition by eliminating the requirement for SSOAs to report events to FTA.  Instead, the system provides the SSOAs with event data reported by the RTAs.  SSOAs, as the entity responsible for oversight investigations, will only add the final causal determination of the event through the web-based reporting system.</w:t>
      </w:r>
    </w:p>
    <w:p w14:paraId="5FD9E4FD" w14:textId="77777777" w:rsidR="00E75ACE" w:rsidRPr="008A4301" w:rsidRDefault="00E75ACE" w:rsidP="00C00973">
      <w:pPr>
        <w:pStyle w:val="BodyTextIndent2"/>
        <w:jc w:val="both"/>
        <w:rPr>
          <w:szCs w:val="24"/>
        </w:rPr>
      </w:pPr>
    </w:p>
    <w:p w14:paraId="45329C52" w14:textId="77777777" w:rsidR="00E75ACE" w:rsidRPr="008A4301" w:rsidRDefault="00E75ACE" w:rsidP="00C00973">
      <w:pPr>
        <w:jc w:val="both"/>
        <w:rPr>
          <w:b/>
          <w:sz w:val="24"/>
          <w:szCs w:val="24"/>
        </w:rPr>
      </w:pPr>
      <w:r w:rsidRPr="008A4301">
        <w:rPr>
          <w:b/>
          <w:sz w:val="24"/>
          <w:szCs w:val="24"/>
        </w:rPr>
        <w:t>5.</w:t>
      </w:r>
      <w:r w:rsidRPr="008A4301">
        <w:rPr>
          <w:sz w:val="24"/>
          <w:szCs w:val="24"/>
        </w:rPr>
        <w:t xml:space="preserve">  </w:t>
      </w:r>
      <w:r w:rsidRPr="008A4301">
        <w:rPr>
          <w:b/>
          <w:sz w:val="24"/>
          <w:szCs w:val="24"/>
        </w:rPr>
        <w:t>If the collection of information involves small businesses or other small entities, describe the methods used to minimize burden.</w:t>
      </w:r>
    </w:p>
    <w:p w14:paraId="41A3CA88" w14:textId="77777777" w:rsidR="00E75ACE" w:rsidRPr="008A4301" w:rsidRDefault="00E75ACE" w:rsidP="00C00973">
      <w:pPr>
        <w:pStyle w:val="BodyTextIndent2"/>
        <w:jc w:val="both"/>
        <w:rPr>
          <w:szCs w:val="24"/>
        </w:rPr>
      </w:pPr>
    </w:p>
    <w:p w14:paraId="439DADF4" w14:textId="77777777" w:rsidR="00E75ACE" w:rsidRPr="008A4301" w:rsidRDefault="00E75ACE" w:rsidP="00C00973">
      <w:pPr>
        <w:pStyle w:val="BodyTextIndent2"/>
        <w:jc w:val="both"/>
        <w:rPr>
          <w:szCs w:val="24"/>
        </w:rPr>
      </w:pPr>
      <w:r w:rsidRPr="008A4301">
        <w:rPr>
          <w:szCs w:val="24"/>
        </w:rPr>
        <w:t>Small businesses are not covered by FTA’s state safety oversight requirements.</w:t>
      </w:r>
    </w:p>
    <w:p w14:paraId="13274EB9" w14:textId="77777777" w:rsidR="00E75ACE" w:rsidRPr="008A4301" w:rsidRDefault="00E75ACE" w:rsidP="00C00973">
      <w:pPr>
        <w:jc w:val="both"/>
        <w:rPr>
          <w:b/>
          <w:sz w:val="24"/>
          <w:szCs w:val="24"/>
        </w:rPr>
      </w:pPr>
    </w:p>
    <w:p w14:paraId="6603C3F4" w14:textId="77777777" w:rsidR="00E75ACE" w:rsidRPr="008A4301" w:rsidRDefault="00E75ACE" w:rsidP="00C00973">
      <w:pPr>
        <w:jc w:val="both"/>
        <w:rPr>
          <w:b/>
          <w:sz w:val="24"/>
          <w:szCs w:val="24"/>
        </w:rPr>
      </w:pPr>
      <w:r w:rsidRPr="008A4301">
        <w:rPr>
          <w:b/>
          <w:sz w:val="24"/>
          <w:szCs w:val="24"/>
        </w:rPr>
        <w:t xml:space="preserve">6.  Describe consequences to </w:t>
      </w:r>
      <w:r w:rsidR="00FC2F16" w:rsidRPr="008A4301">
        <w:rPr>
          <w:b/>
          <w:sz w:val="24"/>
          <w:szCs w:val="24"/>
        </w:rPr>
        <w:t>F</w:t>
      </w:r>
      <w:r w:rsidRPr="008A4301">
        <w:rPr>
          <w:b/>
          <w:sz w:val="24"/>
          <w:szCs w:val="24"/>
        </w:rPr>
        <w:t>ederal program or policy activities if the collection were not collected or collected less frequently.</w:t>
      </w:r>
    </w:p>
    <w:p w14:paraId="3981630C" w14:textId="77777777" w:rsidR="00E75ACE" w:rsidRPr="008A4301" w:rsidRDefault="00E75ACE" w:rsidP="00C00973">
      <w:pPr>
        <w:jc w:val="both"/>
        <w:rPr>
          <w:b/>
          <w:sz w:val="24"/>
          <w:szCs w:val="24"/>
        </w:rPr>
      </w:pPr>
    </w:p>
    <w:p w14:paraId="33C1A36B" w14:textId="3AA4B34B" w:rsidR="00E75ACE" w:rsidRPr="008A4301" w:rsidRDefault="00E75ACE" w:rsidP="00C00973">
      <w:pPr>
        <w:pStyle w:val="BodyTextIndent2"/>
        <w:jc w:val="both"/>
        <w:rPr>
          <w:szCs w:val="24"/>
        </w:rPr>
      </w:pPr>
      <w:r w:rsidRPr="008A4301">
        <w:rPr>
          <w:szCs w:val="24"/>
        </w:rPr>
        <w:t xml:space="preserve">FTA would be unable to adequately determine compliance with program requirements, which would negatively affect the payment of </w:t>
      </w:r>
      <w:r w:rsidR="00BF57A7" w:rsidRPr="008A4301">
        <w:rPr>
          <w:szCs w:val="24"/>
        </w:rPr>
        <w:t>SSO</w:t>
      </w:r>
      <w:r w:rsidRPr="008A4301">
        <w:rPr>
          <w:szCs w:val="24"/>
        </w:rPr>
        <w:t xml:space="preserve"> funds to </w:t>
      </w:r>
      <w:r w:rsidR="00D6595D" w:rsidRPr="008A4301">
        <w:rPr>
          <w:szCs w:val="24"/>
        </w:rPr>
        <w:t>States and other grantees</w:t>
      </w:r>
      <w:r w:rsidR="009F460D" w:rsidRPr="008A4301">
        <w:rPr>
          <w:szCs w:val="24"/>
        </w:rPr>
        <w:t xml:space="preserve"> resulting in the inability of the States to effectively conduct safety oversight activiti</w:t>
      </w:r>
      <w:r w:rsidR="00870258" w:rsidRPr="008A4301">
        <w:rPr>
          <w:szCs w:val="24"/>
        </w:rPr>
        <w:t>e</w:t>
      </w:r>
      <w:r w:rsidR="009F460D" w:rsidRPr="008A4301">
        <w:rPr>
          <w:szCs w:val="24"/>
        </w:rPr>
        <w:t>s</w:t>
      </w:r>
      <w:r w:rsidR="00AA63B0">
        <w:rPr>
          <w:szCs w:val="24"/>
        </w:rPr>
        <w:t>.</w:t>
      </w:r>
    </w:p>
    <w:p w14:paraId="26A71478" w14:textId="77777777" w:rsidR="00E75ACE" w:rsidRPr="008A4301" w:rsidRDefault="00E75ACE" w:rsidP="00C00973">
      <w:pPr>
        <w:jc w:val="both"/>
        <w:rPr>
          <w:b/>
          <w:sz w:val="24"/>
          <w:szCs w:val="24"/>
        </w:rPr>
      </w:pPr>
    </w:p>
    <w:p w14:paraId="72C8F5D7" w14:textId="77777777" w:rsidR="00E75ACE" w:rsidRPr="008A4301" w:rsidRDefault="00E75ACE" w:rsidP="00C00973">
      <w:pPr>
        <w:jc w:val="both"/>
        <w:rPr>
          <w:b/>
          <w:sz w:val="24"/>
          <w:szCs w:val="24"/>
        </w:rPr>
      </w:pPr>
      <w:r w:rsidRPr="008A4301">
        <w:rPr>
          <w:b/>
          <w:sz w:val="24"/>
          <w:szCs w:val="24"/>
        </w:rPr>
        <w:t xml:space="preserve">7.  Explain any special circumstances that would cause an information collection to be conducted in a manner inconsistent with the guidelines in 5 </w:t>
      </w:r>
      <w:r w:rsidR="003E3AFC" w:rsidRPr="008A4301">
        <w:rPr>
          <w:b/>
          <w:sz w:val="24"/>
          <w:szCs w:val="24"/>
        </w:rPr>
        <w:t>C.F.R.</w:t>
      </w:r>
      <w:r w:rsidRPr="008A4301">
        <w:rPr>
          <w:b/>
          <w:sz w:val="24"/>
          <w:szCs w:val="24"/>
        </w:rPr>
        <w:t xml:space="preserve"> 1320.6.</w:t>
      </w:r>
    </w:p>
    <w:p w14:paraId="228C266E" w14:textId="77777777" w:rsidR="00E75ACE" w:rsidRPr="008A4301" w:rsidRDefault="00E75ACE" w:rsidP="00C00973">
      <w:pPr>
        <w:jc w:val="both"/>
        <w:rPr>
          <w:b/>
          <w:sz w:val="24"/>
          <w:szCs w:val="24"/>
        </w:rPr>
      </w:pPr>
    </w:p>
    <w:p w14:paraId="75AAFE08" w14:textId="77777777" w:rsidR="00E75ACE" w:rsidRPr="008A4301" w:rsidRDefault="00E75ACE" w:rsidP="00C00973">
      <w:pPr>
        <w:ind w:firstLine="360"/>
        <w:jc w:val="both"/>
        <w:rPr>
          <w:sz w:val="24"/>
          <w:szCs w:val="24"/>
        </w:rPr>
      </w:pPr>
      <w:r w:rsidRPr="008A4301">
        <w:rPr>
          <w:sz w:val="24"/>
          <w:szCs w:val="24"/>
        </w:rPr>
        <w:t xml:space="preserve">The information collected is consistent with the guidelines in 5 </w:t>
      </w:r>
      <w:r w:rsidR="003E3AFC" w:rsidRPr="008A4301">
        <w:rPr>
          <w:sz w:val="24"/>
          <w:szCs w:val="24"/>
        </w:rPr>
        <w:t>C.F.R.</w:t>
      </w:r>
      <w:r w:rsidRPr="008A4301">
        <w:rPr>
          <w:sz w:val="24"/>
          <w:szCs w:val="24"/>
        </w:rPr>
        <w:t xml:space="preserve"> 1320.6.</w:t>
      </w:r>
    </w:p>
    <w:p w14:paraId="3BE08253" w14:textId="77777777" w:rsidR="001C460F" w:rsidRPr="008A4301" w:rsidRDefault="001C460F" w:rsidP="00C00973">
      <w:pPr>
        <w:jc w:val="both"/>
        <w:rPr>
          <w:sz w:val="24"/>
          <w:szCs w:val="24"/>
        </w:rPr>
      </w:pPr>
    </w:p>
    <w:p w14:paraId="2EF48916" w14:textId="77777777" w:rsidR="00E75ACE" w:rsidRPr="008A4301" w:rsidRDefault="00E75ACE" w:rsidP="00C00973">
      <w:pPr>
        <w:jc w:val="both"/>
        <w:rPr>
          <w:b/>
          <w:sz w:val="24"/>
          <w:szCs w:val="24"/>
        </w:rPr>
      </w:pPr>
      <w:r w:rsidRPr="008A4301">
        <w:rPr>
          <w:b/>
          <w:sz w:val="24"/>
          <w:szCs w:val="24"/>
        </w:rPr>
        <w:t xml:space="preserve">8.  Describe efforts to consult with persons outside the agency to obtain their views. </w:t>
      </w:r>
    </w:p>
    <w:p w14:paraId="763BF026" w14:textId="77777777" w:rsidR="00E75ACE" w:rsidRPr="008A4301" w:rsidRDefault="00E75ACE" w:rsidP="00C00973">
      <w:pPr>
        <w:jc w:val="both"/>
        <w:rPr>
          <w:b/>
          <w:sz w:val="24"/>
          <w:szCs w:val="24"/>
        </w:rPr>
      </w:pPr>
    </w:p>
    <w:p w14:paraId="7478D5DE" w14:textId="7DF9D9E3" w:rsidR="00E75ACE" w:rsidRPr="008A4301" w:rsidRDefault="00722D37" w:rsidP="00C00973">
      <w:pPr>
        <w:tabs>
          <w:tab w:val="left" w:pos="360"/>
          <w:tab w:val="left" w:pos="630"/>
        </w:tabs>
        <w:jc w:val="both"/>
        <w:rPr>
          <w:bCs/>
          <w:sz w:val="24"/>
          <w:szCs w:val="24"/>
        </w:rPr>
      </w:pPr>
      <w:r w:rsidRPr="008A4301">
        <w:rPr>
          <w:bCs/>
          <w:sz w:val="24"/>
          <w:szCs w:val="24"/>
        </w:rPr>
        <w:tab/>
        <w:t>FTA published a 60-day notice in the Federal Register summarizing the burden reductions reflected in this estimate</w:t>
      </w:r>
      <w:r w:rsidR="00A73015">
        <w:rPr>
          <w:bCs/>
          <w:sz w:val="24"/>
          <w:szCs w:val="24"/>
        </w:rPr>
        <w:t xml:space="preserve"> on May 14 (Vol 84 No. 21404). </w:t>
      </w:r>
      <w:r w:rsidR="00DE5507" w:rsidRPr="008A4301">
        <w:rPr>
          <w:bCs/>
          <w:sz w:val="24"/>
          <w:szCs w:val="24"/>
        </w:rPr>
        <w:t xml:space="preserve"> </w:t>
      </w:r>
      <w:r w:rsidR="00A73015">
        <w:rPr>
          <w:bCs/>
          <w:sz w:val="24"/>
          <w:szCs w:val="24"/>
        </w:rPr>
        <w:t xml:space="preserve">FTA received </w:t>
      </w:r>
      <w:r w:rsidR="00DE5507" w:rsidRPr="008A4301">
        <w:rPr>
          <w:bCs/>
          <w:sz w:val="24"/>
          <w:szCs w:val="24"/>
        </w:rPr>
        <w:t>one comment related to the 60-day notice and it was not substantive.</w:t>
      </w:r>
      <w:r w:rsidR="00A73015">
        <w:rPr>
          <w:bCs/>
          <w:sz w:val="24"/>
          <w:szCs w:val="24"/>
        </w:rPr>
        <w:t xml:space="preserve"> FTA published a 30-Day Federal Register Notice on July 19, 2019 (Vol. 84 No. 34993).</w:t>
      </w:r>
      <w:r w:rsidRPr="008A4301">
        <w:rPr>
          <w:bCs/>
          <w:sz w:val="24"/>
          <w:szCs w:val="24"/>
        </w:rPr>
        <w:t xml:space="preserve">  FTA communicates program and information collection updates to SSOAs through its monthly safety newsletter</w:t>
      </w:r>
      <w:r w:rsidR="00DE5507" w:rsidRPr="008A4301">
        <w:rPr>
          <w:bCs/>
          <w:sz w:val="24"/>
          <w:szCs w:val="24"/>
        </w:rPr>
        <w:t>, direct monthly planning calls with each SSOA,</w:t>
      </w:r>
      <w:r w:rsidRPr="008A4301">
        <w:rPr>
          <w:bCs/>
          <w:sz w:val="24"/>
          <w:szCs w:val="24"/>
        </w:rPr>
        <w:t xml:space="preserve"> and through quarterly teleconference calls with the </w:t>
      </w:r>
      <w:r w:rsidR="00DE5507" w:rsidRPr="008A4301">
        <w:rPr>
          <w:bCs/>
          <w:sz w:val="24"/>
          <w:szCs w:val="24"/>
        </w:rPr>
        <w:t xml:space="preserve">entire </w:t>
      </w:r>
      <w:r w:rsidRPr="008A4301">
        <w:rPr>
          <w:bCs/>
          <w:sz w:val="24"/>
          <w:szCs w:val="24"/>
        </w:rPr>
        <w:t>SSOA community.  Additionally, FTA hosts annual SSO Program workshops to review current SSO Program activity and requirements.</w:t>
      </w:r>
    </w:p>
    <w:p w14:paraId="5AB18D6C" w14:textId="77777777" w:rsidR="00720EB0" w:rsidRPr="008A4301" w:rsidRDefault="00720EB0" w:rsidP="00C00973">
      <w:pPr>
        <w:tabs>
          <w:tab w:val="left" w:pos="360"/>
          <w:tab w:val="left" w:pos="630"/>
        </w:tabs>
        <w:jc w:val="both"/>
        <w:rPr>
          <w:bCs/>
          <w:sz w:val="24"/>
          <w:szCs w:val="24"/>
        </w:rPr>
      </w:pPr>
    </w:p>
    <w:p w14:paraId="688B581A" w14:textId="77777777" w:rsidR="00720EB0" w:rsidRPr="008A4301" w:rsidRDefault="00720EB0" w:rsidP="00C00973">
      <w:pPr>
        <w:tabs>
          <w:tab w:val="left" w:pos="360"/>
          <w:tab w:val="left" w:pos="630"/>
        </w:tabs>
        <w:jc w:val="both"/>
        <w:rPr>
          <w:bCs/>
          <w:sz w:val="24"/>
          <w:szCs w:val="24"/>
        </w:rPr>
      </w:pPr>
      <w:r w:rsidRPr="008A4301">
        <w:rPr>
          <w:bCs/>
          <w:sz w:val="24"/>
          <w:szCs w:val="24"/>
        </w:rPr>
        <w:tab/>
        <w:t xml:space="preserve">FTA has developed a new web-based reporting </w:t>
      </w:r>
      <w:r w:rsidR="007116E7" w:rsidRPr="008A4301">
        <w:rPr>
          <w:bCs/>
          <w:sz w:val="24"/>
          <w:szCs w:val="24"/>
        </w:rPr>
        <w:t xml:space="preserve">application </w:t>
      </w:r>
      <w:r w:rsidRPr="008A4301">
        <w:rPr>
          <w:bCs/>
          <w:sz w:val="24"/>
          <w:szCs w:val="24"/>
        </w:rPr>
        <w:t>to facilitate the SSO annual reporting process, as discussed above.  FTA has established a three-month pilot period where a group of seven to ten SSOAs will begin early use of the system and provide ongoing feedback on usability, workflows, and other concerns.  FTA has established an ongoing pilot process to solicit feedback, address concerns through system modifications and enhancements, and to test modifications before a full launch to the SSOA community.  FTA understands that the new tool will offer burden reduction to the SSOAs but is committed to ensuring that the tool has been tested and shaped by the SSOA community that will use it.</w:t>
      </w:r>
    </w:p>
    <w:p w14:paraId="44BFBE8D" w14:textId="28B3FFD1" w:rsidR="00E75ACE" w:rsidRDefault="00E75ACE" w:rsidP="00C00973">
      <w:pPr>
        <w:jc w:val="both"/>
        <w:rPr>
          <w:b/>
          <w:sz w:val="24"/>
          <w:szCs w:val="24"/>
        </w:rPr>
      </w:pPr>
    </w:p>
    <w:p w14:paraId="1C69C387" w14:textId="3955A01B" w:rsidR="00656212" w:rsidRDefault="00656212" w:rsidP="00C00973">
      <w:pPr>
        <w:jc w:val="both"/>
        <w:rPr>
          <w:b/>
          <w:sz w:val="24"/>
          <w:szCs w:val="24"/>
        </w:rPr>
      </w:pPr>
    </w:p>
    <w:p w14:paraId="0AFE10A6" w14:textId="77777777" w:rsidR="00E75ACE" w:rsidRPr="008A4301" w:rsidRDefault="00E75ACE" w:rsidP="00C00973">
      <w:pPr>
        <w:numPr>
          <w:ilvl w:val="0"/>
          <w:numId w:val="2"/>
        </w:numPr>
        <w:jc w:val="both"/>
        <w:rPr>
          <w:b/>
          <w:sz w:val="24"/>
          <w:szCs w:val="24"/>
        </w:rPr>
      </w:pPr>
      <w:r w:rsidRPr="008A4301">
        <w:rPr>
          <w:b/>
          <w:sz w:val="24"/>
          <w:szCs w:val="24"/>
        </w:rPr>
        <w:t xml:space="preserve">Explain any decision to provide any payment or gift to respondents, other than </w:t>
      </w:r>
    </w:p>
    <w:p w14:paraId="4FD17995" w14:textId="77777777" w:rsidR="00E75ACE" w:rsidRPr="008A4301" w:rsidRDefault="00E75ACE" w:rsidP="00C00973">
      <w:pPr>
        <w:jc w:val="both"/>
        <w:rPr>
          <w:b/>
          <w:sz w:val="24"/>
          <w:szCs w:val="24"/>
        </w:rPr>
      </w:pPr>
      <w:r w:rsidRPr="008A4301">
        <w:rPr>
          <w:b/>
          <w:sz w:val="24"/>
          <w:szCs w:val="24"/>
        </w:rPr>
        <w:t>remuneration of contractors or grantees.</w:t>
      </w:r>
    </w:p>
    <w:p w14:paraId="32323BB2" w14:textId="77777777" w:rsidR="00E75ACE" w:rsidRPr="008A4301" w:rsidRDefault="00E75ACE" w:rsidP="00C00973">
      <w:pPr>
        <w:jc w:val="both"/>
        <w:rPr>
          <w:b/>
          <w:sz w:val="24"/>
          <w:szCs w:val="24"/>
        </w:rPr>
      </w:pPr>
    </w:p>
    <w:p w14:paraId="4C28EB16" w14:textId="77777777" w:rsidR="00E75ACE" w:rsidRPr="008A4301" w:rsidRDefault="00E75ACE" w:rsidP="00C00973">
      <w:pPr>
        <w:tabs>
          <w:tab w:val="left" w:pos="360"/>
        </w:tabs>
        <w:jc w:val="both"/>
        <w:rPr>
          <w:sz w:val="24"/>
          <w:szCs w:val="24"/>
        </w:rPr>
      </w:pPr>
      <w:r w:rsidRPr="008A4301">
        <w:rPr>
          <w:b/>
          <w:sz w:val="24"/>
          <w:szCs w:val="24"/>
        </w:rPr>
        <w:tab/>
      </w:r>
      <w:r w:rsidRPr="008A4301">
        <w:rPr>
          <w:sz w:val="24"/>
          <w:szCs w:val="24"/>
        </w:rPr>
        <w:t>No payment or gift is made to respondents.</w:t>
      </w:r>
    </w:p>
    <w:p w14:paraId="58CF9983" w14:textId="77777777" w:rsidR="00E75ACE" w:rsidRPr="008A4301" w:rsidRDefault="00E75ACE" w:rsidP="00C00973">
      <w:pPr>
        <w:jc w:val="both"/>
        <w:rPr>
          <w:sz w:val="24"/>
          <w:szCs w:val="24"/>
        </w:rPr>
      </w:pPr>
    </w:p>
    <w:p w14:paraId="2F410D5C" w14:textId="77777777" w:rsidR="00E75ACE" w:rsidRPr="008A4301" w:rsidRDefault="00E75ACE" w:rsidP="00C00973">
      <w:pPr>
        <w:jc w:val="both"/>
        <w:rPr>
          <w:b/>
          <w:sz w:val="24"/>
          <w:szCs w:val="24"/>
        </w:rPr>
      </w:pPr>
      <w:r w:rsidRPr="008A4301">
        <w:rPr>
          <w:b/>
          <w:sz w:val="24"/>
          <w:szCs w:val="24"/>
        </w:rPr>
        <w:t>10.  Describe any assurance of confidentiality provided by to respondents and the basis for the assurance in statute, regulation, or agency policy.</w:t>
      </w:r>
    </w:p>
    <w:p w14:paraId="6DAA42EF" w14:textId="77777777" w:rsidR="00E75ACE" w:rsidRPr="008A4301" w:rsidRDefault="00E75ACE" w:rsidP="00C00973">
      <w:pPr>
        <w:jc w:val="both"/>
        <w:rPr>
          <w:sz w:val="24"/>
          <w:szCs w:val="24"/>
        </w:rPr>
      </w:pPr>
    </w:p>
    <w:p w14:paraId="37D6B3BA" w14:textId="77777777" w:rsidR="00E75ACE" w:rsidRPr="008A4301" w:rsidRDefault="00E75ACE" w:rsidP="00C00973">
      <w:pPr>
        <w:ind w:firstLine="360"/>
        <w:jc w:val="both"/>
        <w:rPr>
          <w:color w:val="000000" w:themeColor="text1"/>
          <w:sz w:val="24"/>
          <w:szCs w:val="24"/>
        </w:rPr>
      </w:pPr>
      <w:r w:rsidRPr="008A4301">
        <w:rPr>
          <w:color w:val="000000" w:themeColor="text1"/>
          <w:sz w:val="24"/>
          <w:szCs w:val="24"/>
        </w:rPr>
        <w:t xml:space="preserve">There will be no questions of a confidential nature for individuals on the information reported by the </w:t>
      </w:r>
      <w:r w:rsidR="003E3AFC" w:rsidRPr="008A4301">
        <w:rPr>
          <w:color w:val="000000" w:themeColor="text1"/>
          <w:sz w:val="24"/>
          <w:szCs w:val="24"/>
        </w:rPr>
        <w:t>RTA</w:t>
      </w:r>
      <w:r w:rsidRPr="008A4301">
        <w:rPr>
          <w:color w:val="000000" w:themeColor="text1"/>
          <w:sz w:val="24"/>
          <w:szCs w:val="24"/>
        </w:rPr>
        <w:t xml:space="preserve"> to the </w:t>
      </w:r>
      <w:r w:rsidR="00BF57A7" w:rsidRPr="008A4301">
        <w:rPr>
          <w:color w:val="000000" w:themeColor="text1"/>
          <w:sz w:val="24"/>
          <w:szCs w:val="24"/>
        </w:rPr>
        <w:t>SSOA</w:t>
      </w:r>
      <w:r w:rsidRPr="008A4301">
        <w:rPr>
          <w:color w:val="000000" w:themeColor="text1"/>
          <w:sz w:val="24"/>
          <w:szCs w:val="24"/>
        </w:rPr>
        <w:t xml:space="preserve">, or on the information reported by the </w:t>
      </w:r>
      <w:r w:rsidR="00BF57A7" w:rsidRPr="008A4301">
        <w:rPr>
          <w:color w:val="000000" w:themeColor="text1"/>
          <w:sz w:val="24"/>
          <w:szCs w:val="24"/>
        </w:rPr>
        <w:t>SSOA</w:t>
      </w:r>
      <w:r w:rsidRPr="008A4301">
        <w:rPr>
          <w:color w:val="000000" w:themeColor="text1"/>
          <w:sz w:val="24"/>
          <w:szCs w:val="24"/>
        </w:rPr>
        <w:t xml:space="preserve"> to FTA.  In the Final Rule, FTA encouraged </w:t>
      </w:r>
      <w:r w:rsidR="00BF57A7" w:rsidRPr="008A4301">
        <w:rPr>
          <w:color w:val="000000" w:themeColor="text1"/>
          <w:sz w:val="24"/>
          <w:szCs w:val="24"/>
        </w:rPr>
        <w:t>S</w:t>
      </w:r>
      <w:r w:rsidRPr="008A4301">
        <w:rPr>
          <w:color w:val="000000" w:themeColor="text1"/>
          <w:sz w:val="24"/>
          <w:szCs w:val="24"/>
        </w:rPr>
        <w:t xml:space="preserve">tates to provide a legal recourse for protecting the information provided to the </w:t>
      </w:r>
      <w:r w:rsidR="00BF57A7" w:rsidRPr="008A4301">
        <w:rPr>
          <w:color w:val="000000" w:themeColor="text1"/>
          <w:sz w:val="24"/>
          <w:szCs w:val="24"/>
        </w:rPr>
        <w:t>SSOA</w:t>
      </w:r>
      <w:r w:rsidRPr="008A4301">
        <w:rPr>
          <w:color w:val="000000" w:themeColor="text1"/>
          <w:sz w:val="24"/>
          <w:szCs w:val="24"/>
        </w:rPr>
        <w:t xml:space="preserve"> from being eligible for use in </w:t>
      </w:r>
      <w:r w:rsidR="00BE009C" w:rsidRPr="008A4301">
        <w:rPr>
          <w:color w:val="000000" w:themeColor="text1"/>
          <w:sz w:val="24"/>
          <w:szCs w:val="24"/>
        </w:rPr>
        <w:t xml:space="preserve">litigation </w:t>
      </w:r>
      <w:r w:rsidRPr="008A4301">
        <w:rPr>
          <w:color w:val="000000" w:themeColor="text1"/>
          <w:sz w:val="24"/>
          <w:szCs w:val="24"/>
        </w:rPr>
        <w:t xml:space="preserve">against </w:t>
      </w:r>
      <w:r w:rsidR="003E3AFC" w:rsidRPr="008A4301">
        <w:rPr>
          <w:color w:val="000000" w:themeColor="text1"/>
          <w:sz w:val="24"/>
          <w:szCs w:val="24"/>
        </w:rPr>
        <w:t>RTA</w:t>
      </w:r>
      <w:r w:rsidRPr="008A4301">
        <w:rPr>
          <w:color w:val="000000" w:themeColor="text1"/>
          <w:sz w:val="24"/>
          <w:szCs w:val="24"/>
        </w:rPr>
        <w:t>.</w:t>
      </w:r>
      <w:r w:rsidR="000704D7" w:rsidRPr="008A4301">
        <w:rPr>
          <w:color w:val="000000" w:themeColor="text1"/>
          <w:sz w:val="24"/>
          <w:szCs w:val="24"/>
        </w:rPr>
        <w:t xml:space="preserve">  </w:t>
      </w:r>
      <w:r w:rsidR="007116E7" w:rsidRPr="008A4301">
        <w:rPr>
          <w:color w:val="000000" w:themeColor="text1"/>
          <w:sz w:val="24"/>
          <w:szCs w:val="24"/>
        </w:rPr>
        <w:t xml:space="preserve">The </w:t>
      </w:r>
      <w:r w:rsidR="003E3AFC" w:rsidRPr="008A4301">
        <w:rPr>
          <w:color w:val="000000" w:themeColor="text1"/>
          <w:sz w:val="24"/>
          <w:szCs w:val="24"/>
        </w:rPr>
        <w:t>RTA</w:t>
      </w:r>
      <w:r w:rsidR="00E6321D" w:rsidRPr="008A4301">
        <w:rPr>
          <w:color w:val="000000" w:themeColor="text1"/>
          <w:sz w:val="24"/>
          <w:szCs w:val="24"/>
        </w:rPr>
        <w:t>s</w:t>
      </w:r>
      <w:r w:rsidR="000704D7" w:rsidRPr="008A4301">
        <w:rPr>
          <w:color w:val="000000" w:themeColor="text1"/>
          <w:sz w:val="24"/>
          <w:szCs w:val="24"/>
        </w:rPr>
        <w:t xml:space="preserve"> are not asked questions of a confidential nature</w:t>
      </w:r>
      <w:r w:rsidR="007116E7" w:rsidRPr="008A4301">
        <w:rPr>
          <w:color w:val="000000" w:themeColor="text1"/>
          <w:sz w:val="24"/>
          <w:szCs w:val="24"/>
        </w:rPr>
        <w:t xml:space="preserve"> however</w:t>
      </w:r>
      <w:r w:rsidR="000704D7" w:rsidRPr="008A4301">
        <w:rPr>
          <w:color w:val="000000" w:themeColor="text1"/>
          <w:sz w:val="24"/>
          <w:szCs w:val="24"/>
        </w:rPr>
        <w:t xml:space="preserve"> </w:t>
      </w:r>
      <w:r w:rsidR="00E6321D" w:rsidRPr="008A4301">
        <w:rPr>
          <w:color w:val="000000" w:themeColor="text1"/>
          <w:sz w:val="24"/>
          <w:szCs w:val="24"/>
        </w:rPr>
        <w:t>a Safety Plan</w:t>
      </w:r>
      <w:r w:rsidR="000704D7" w:rsidRPr="008A4301">
        <w:rPr>
          <w:color w:val="000000" w:themeColor="text1"/>
          <w:sz w:val="24"/>
          <w:szCs w:val="24"/>
        </w:rPr>
        <w:t xml:space="preserve"> may contain confidential information.  The </w:t>
      </w:r>
      <w:r w:rsidR="00E6321D" w:rsidRPr="008A4301">
        <w:rPr>
          <w:color w:val="000000" w:themeColor="text1"/>
          <w:sz w:val="24"/>
          <w:szCs w:val="24"/>
        </w:rPr>
        <w:t xml:space="preserve">final </w:t>
      </w:r>
      <w:r w:rsidR="007116E7" w:rsidRPr="008A4301">
        <w:rPr>
          <w:color w:val="000000" w:themeColor="text1"/>
          <w:sz w:val="24"/>
          <w:szCs w:val="24"/>
        </w:rPr>
        <w:t xml:space="preserve">rule </w:t>
      </w:r>
      <w:r w:rsidR="000704D7" w:rsidRPr="008A4301">
        <w:rPr>
          <w:color w:val="000000" w:themeColor="text1"/>
          <w:sz w:val="24"/>
          <w:szCs w:val="24"/>
        </w:rPr>
        <w:t>at 674.23 provide</w:t>
      </w:r>
      <w:r w:rsidR="00E6321D" w:rsidRPr="008A4301">
        <w:rPr>
          <w:color w:val="000000" w:themeColor="text1"/>
          <w:sz w:val="24"/>
          <w:szCs w:val="24"/>
        </w:rPr>
        <w:t>s</w:t>
      </w:r>
      <w:r w:rsidR="000704D7" w:rsidRPr="008A4301">
        <w:rPr>
          <w:color w:val="000000" w:themeColor="text1"/>
          <w:sz w:val="24"/>
          <w:szCs w:val="24"/>
        </w:rPr>
        <w:t xml:space="preserve"> that agencies may withhold an investigation report “from being admitted as evidence or used in a civil action for damages resulting from a matter mentioned in the report.”  In addition, the </w:t>
      </w:r>
      <w:r w:rsidR="001C7302" w:rsidRPr="008A4301">
        <w:rPr>
          <w:color w:val="000000" w:themeColor="text1"/>
          <w:sz w:val="24"/>
          <w:szCs w:val="24"/>
        </w:rPr>
        <w:t xml:space="preserve">final </w:t>
      </w:r>
      <w:r w:rsidR="00E6321D" w:rsidRPr="008A4301">
        <w:rPr>
          <w:color w:val="000000" w:themeColor="text1"/>
          <w:sz w:val="24"/>
          <w:szCs w:val="24"/>
        </w:rPr>
        <w:t>r</w:t>
      </w:r>
      <w:r w:rsidR="000704D7" w:rsidRPr="008A4301">
        <w:rPr>
          <w:color w:val="000000" w:themeColor="text1"/>
          <w:sz w:val="24"/>
          <w:szCs w:val="24"/>
        </w:rPr>
        <w:t>e</w:t>
      </w:r>
      <w:r w:rsidR="00E6321D" w:rsidRPr="008A4301">
        <w:rPr>
          <w:color w:val="000000" w:themeColor="text1"/>
          <w:sz w:val="24"/>
          <w:szCs w:val="24"/>
        </w:rPr>
        <w:t>gulation</w:t>
      </w:r>
      <w:r w:rsidR="000704D7" w:rsidRPr="008A4301">
        <w:rPr>
          <w:color w:val="000000" w:themeColor="text1"/>
          <w:sz w:val="24"/>
          <w:szCs w:val="24"/>
        </w:rPr>
        <w:t xml:space="preserve"> at 674.</w:t>
      </w:r>
      <w:r w:rsidR="001A0198" w:rsidRPr="008A4301">
        <w:rPr>
          <w:color w:val="000000" w:themeColor="text1"/>
          <w:sz w:val="24"/>
          <w:szCs w:val="24"/>
        </w:rPr>
        <w:t xml:space="preserve">23 </w:t>
      </w:r>
      <w:r w:rsidR="000704D7" w:rsidRPr="008A4301">
        <w:rPr>
          <w:color w:val="000000" w:themeColor="text1"/>
          <w:sz w:val="24"/>
          <w:szCs w:val="24"/>
        </w:rPr>
        <w:t>would “not require public availability of any data, information, or procedures pertaining to the security of a rail fixed guideway public transportation system or its passenger operations.</w:t>
      </w:r>
      <w:r w:rsidR="00E6321D" w:rsidRPr="008A4301">
        <w:rPr>
          <w:color w:val="000000" w:themeColor="text1"/>
          <w:sz w:val="24"/>
          <w:szCs w:val="24"/>
        </w:rPr>
        <w:t>”</w:t>
      </w:r>
    </w:p>
    <w:p w14:paraId="42B9A56F" w14:textId="77777777" w:rsidR="00E75ACE" w:rsidRPr="008A4301" w:rsidRDefault="00E75ACE" w:rsidP="00C00973">
      <w:pPr>
        <w:jc w:val="both"/>
        <w:rPr>
          <w:b/>
          <w:sz w:val="24"/>
          <w:szCs w:val="24"/>
        </w:rPr>
      </w:pPr>
    </w:p>
    <w:p w14:paraId="670C7C5F" w14:textId="77777777" w:rsidR="00E75ACE" w:rsidRPr="008A4301" w:rsidRDefault="00E75ACE" w:rsidP="00C00973">
      <w:pPr>
        <w:jc w:val="both"/>
        <w:rPr>
          <w:b/>
          <w:sz w:val="24"/>
          <w:szCs w:val="24"/>
        </w:rPr>
      </w:pPr>
      <w:r w:rsidRPr="008A4301">
        <w:rPr>
          <w:b/>
          <w:sz w:val="24"/>
          <w:szCs w:val="24"/>
        </w:rPr>
        <w:t>11.  Provide additional justification for any questions of a sensitive nature.</w:t>
      </w:r>
    </w:p>
    <w:p w14:paraId="650C3BAD" w14:textId="77777777" w:rsidR="00E75ACE" w:rsidRPr="008A4301" w:rsidRDefault="00E75ACE" w:rsidP="00C00973">
      <w:pPr>
        <w:jc w:val="both"/>
        <w:rPr>
          <w:b/>
          <w:sz w:val="24"/>
          <w:szCs w:val="24"/>
        </w:rPr>
      </w:pPr>
    </w:p>
    <w:p w14:paraId="215A3CA8" w14:textId="0EB30C77" w:rsidR="00E75ACE" w:rsidRPr="008A4301" w:rsidRDefault="00E75ACE" w:rsidP="00C00973">
      <w:pPr>
        <w:pStyle w:val="BodyTextIndent2"/>
        <w:jc w:val="both"/>
        <w:rPr>
          <w:szCs w:val="24"/>
        </w:rPr>
      </w:pPr>
      <w:r w:rsidRPr="008A4301">
        <w:rPr>
          <w:szCs w:val="24"/>
        </w:rPr>
        <w:t>No individuals are asked questions of a sensitive nature in this information collection</w:t>
      </w:r>
      <w:r w:rsidR="00AA63B0">
        <w:rPr>
          <w:szCs w:val="24"/>
        </w:rPr>
        <w:t>.</w:t>
      </w:r>
      <w:r w:rsidRPr="008A4301">
        <w:rPr>
          <w:szCs w:val="24"/>
        </w:rPr>
        <w:t xml:space="preserve"> </w:t>
      </w:r>
    </w:p>
    <w:p w14:paraId="1DD5C696" w14:textId="77777777" w:rsidR="00E75ACE" w:rsidRPr="008A4301" w:rsidRDefault="00E75ACE" w:rsidP="00C00973">
      <w:pPr>
        <w:ind w:firstLine="360"/>
        <w:jc w:val="both"/>
        <w:rPr>
          <w:sz w:val="24"/>
          <w:szCs w:val="24"/>
        </w:rPr>
      </w:pPr>
    </w:p>
    <w:p w14:paraId="6A474EF8" w14:textId="20E81A7B" w:rsidR="00F467E7" w:rsidRPr="008A4301" w:rsidRDefault="00E75ACE" w:rsidP="00C00973">
      <w:pPr>
        <w:jc w:val="both"/>
        <w:rPr>
          <w:b/>
          <w:sz w:val="24"/>
          <w:szCs w:val="24"/>
        </w:rPr>
      </w:pPr>
      <w:r w:rsidRPr="008A4301">
        <w:rPr>
          <w:b/>
          <w:sz w:val="24"/>
          <w:szCs w:val="24"/>
        </w:rPr>
        <w:t>12.  Provide estimates of the hour burden of the collection of information and annualized cost to respondents.</w:t>
      </w:r>
    </w:p>
    <w:p w14:paraId="31A7C45F" w14:textId="77777777" w:rsidR="00F467E7" w:rsidRPr="008A4301" w:rsidRDefault="00F467E7" w:rsidP="00C00973">
      <w:pPr>
        <w:jc w:val="both"/>
        <w:rPr>
          <w:b/>
          <w:sz w:val="24"/>
          <w:szCs w:val="24"/>
        </w:rPr>
      </w:pPr>
    </w:p>
    <w:p w14:paraId="1D0230B4" w14:textId="7AF8DDB1" w:rsidR="00870258" w:rsidRPr="008A4301" w:rsidRDefault="00870258" w:rsidP="00C00973">
      <w:pPr>
        <w:jc w:val="both"/>
        <w:rPr>
          <w:b/>
          <w:sz w:val="24"/>
          <w:szCs w:val="24"/>
        </w:rPr>
      </w:pPr>
      <w:r w:rsidRPr="008A4301">
        <w:rPr>
          <w:b/>
          <w:sz w:val="24"/>
          <w:szCs w:val="24"/>
        </w:rPr>
        <w:t>Respondents: States and Rail Transit Agencies</w:t>
      </w:r>
    </w:p>
    <w:p w14:paraId="385DD606" w14:textId="77777777" w:rsidR="008A4301" w:rsidRPr="008A4301" w:rsidRDefault="008A4301" w:rsidP="00C00973">
      <w:pPr>
        <w:jc w:val="both"/>
        <w:rPr>
          <w:b/>
          <w:sz w:val="24"/>
          <w:szCs w:val="24"/>
        </w:rPr>
      </w:pPr>
    </w:p>
    <w:p w14:paraId="7813373D" w14:textId="6C69179A" w:rsidR="00EF7003" w:rsidRPr="008A4301" w:rsidRDefault="00EF7003"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008A4301">
        <w:rPr>
          <w:b/>
          <w:color w:val="000000"/>
          <w:sz w:val="24"/>
          <w:szCs w:val="24"/>
        </w:rPr>
        <w:t xml:space="preserve">Total Respondents: </w:t>
      </w:r>
      <w:r w:rsidR="00E50C23" w:rsidRPr="008A4301">
        <w:rPr>
          <w:b/>
          <w:color w:val="000000"/>
          <w:sz w:val="24"/>
          <w:szCs w:val="24"/>
        </w:rPr>
        <w:t>9</w:t>
      </w:r>
      <w:r w:rsidR="00FC221A" w:rsidRPr="008A4301">
        <w:rPr>
          <w:b/>
          <w:color w:val="000000"/>
          <w:sz w:val="24"/>
          <w:szCs w:val="24"/>
        </w:rPr>
        <w:t>6</w:t>
      </w:r>
      <w:r w:rsidR="00E50C23" w:rsidRPr="008A4301">
        <w:rPr>
          <w:b/>
          <w:color w:val="000000"/>
          <w:sz w:val="24"/>
          <w:szCs w:val="24"/>
        </w:rPr>
        <w:t xml:space="preserve"> </w:t>
      </w:r>
      <w:r w:rsidR="00E50C23" w:rsidRPr="008A4301">
        <w:rPr>
          <w:color w:val="000000"/>
          <w:sz w:val="24"/>
          <w:szCs w:val="24"/>
        </w:rPr>
        <w:t>(3</w:t>
      </w:r>
      <w:r w:rsidR="0040510D" w:rsidRPr="008A4301">
        <w:rPr>
          <w:color w:val="000000"/>
          <w:sz w:val="24"/>
          <w:szCs w:val="24"/>
        </w:rPr>
        <w:t>1</w:t>
      </w:r>
      <w:r w:rsidR="00E50C23" w:rsidRPr="008A4301">
        <w:rPr>
          <w:color w:val="000000"/>
          <w:sz w:val="24"/>
          <w:szCs w:val="24"/>
        </w:rPr>
        <w:t xml:space="preserve"> S</w:t>
      </w:r>
      <w:r w:rsidR="00634C05" w:rsidRPr="008A4301">
        <w:rPr>
          <w:color w:val="000000"/>
          <w:sz w:val="24"/>
          <w:szCs w:val="24"/>
        </w:rPr>
        <w:t>SOAs</w:t>
      </w:r>
      <w:r w:rsidR="00E50C23" w:rsidRPr="008A4301">
        <w:rPr>
          <w:color w:val="000000"/>
          <w:sz w:val="24"/>
          <w:szCs w:val="24"/>
        </w:rPr>
        <w:t xml:space="preserve"> + 6</w:t>
      </w:r>
      <w:r w:rsidR="00FC221A" w:rsidRPr="008A4301">
        <w:rPr>
          <w:color w:val="000000"/>
          <w:sz w:val="24"/>
          <w:szCs w:val="24"/>
        </w:rPr>
        <w:t>5</w:t>
      </w:r>
      <w:r w:rsidR="00E50C23" w:rsidRPr="008A4301">
        <w:rPr>
          <w:color w:val="000000"/>
          <w:sz w:val="24"/>
          <w:szCs w:val="24"/>
        </w:rPr>
        <w:t xml:space="preserve"> </w:t>
      </w:r>
      <w:r w:rsidR="00634C05" w:rsidRPr="008A4301">
        <w:rPr>
          <w:color w:val="000000"/>
          <w:sz w:val="24"/>
          <w:szCs w:val="24"/>
        </w:rPr>
        <w:t>RTAs</w:t>
      </w:r>
      <w:r w:rsidR="00E50C23" w:rsidRPr="008A4301">
        <w:rPr>
          <w:color w:val="000000"/>
          <w:sz w:val="24"/>
          <w:szCs w:val="24"/>
        </w:rPr>
        <w:t>)</w:t>
      </w:r>
      <w:r w:rsidR="00634C05" w:rsidRPr="008A4301">
        <w:rPr>
          <w:color w:val="000000"/>
          <w:sz w:val="24"/>
          <w:szCs w:val="24"/>
        </w:rPr>
        <w:t>.</w:t>
      </w:r>
      <w:r w:rsidR="00A3567D">
        <w:rPr>
          <w:color w:val="000000"/>
          <w:sz w:val="24"/>
          <w:szCs w:val="24"/>
        </w:rPr>
        <w:t xml:space="preserve"> </w:t>
      </w:r>
    </w:p>
    <w:p w14:paraId="1D3456C3" w14:textId="134B8FC0" w:rsidR="00A73015" w:rsidRPr="00A73015" w:rsidRDefault="00A73015"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A73015">
        <w:rPr>
          <w:b/>
          <w:color w:val="000000"/>
          <w:sz w:val="24"/>
          <w:szCs w:val="24"/>
        </w:rPr>
        <w:t>Total Estimated Annual Responses</w:t>
      </w:r>
      <w:r>
        <w:rPr>
          <w:b/>
          <w:color w:val="000000"/>
          <w:sz w:val="24"/>
          <w:szCs w:val="24"/>
        </w:rPr>
        <w:t xml:space="preserve">: </w:t>
      </w:r>
      <w:r w:rsidRPr="00A73015">
        <w:rPr>
          <w:color w:val="000000"/>
          <w:sz w:val="24"/>
          <w:szCs w:val="24"/>
        </w:rPr>
        <w:t>1,454</w:t>
      </w:r>
    </w:p>
    <w:p w14:paraId="216DFD70" w14:textId="013E7903" w:rsidR="00634C05" w:rsidRDefault="00EF7003"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008A4301">
        <w:rPr>
          <w:b/>
          <w:color w:val="000000"/>
          <w:sz w:val="24"/>
          <w:szCs w:val="24"/>
        </w:rPr>
        <w:t xml:space="preserve">Total </w:t>
      </w:r>
      <w:r w:rsidR="00A73015">
        <w:rPr>
          <w:b/>
          <w:color w:val="000000"/>
          <w:sz w:val="24"/>
          <w:szCs w:val="24"/>
        </w:rPr>
        <w:t xml:space="preserve">Estimated </w:t>
      </w:r>
      <w:r w:rsidRPr="008A4301">
        <w:rPr>
          <w:b/>
          <w:color w:val="000000"/>
          <w:sz w:val="24"/>
          <w:szCs w:val="24"/>
        </w:rPr>
        <w:t xml:space="preserve">Annual Burden Hours: </w:t>
      </w:r>
      <w:r w:rsidR="00F017CF" w:rsidRPr="006A5B4E">
        <w:rPr>
          <w:color w:val="000000"/>
          <w:sz w:val="24"/>
          <w:szCs w:val="24"/>
        </w:rPr>
        <w:t>16,3</w:t>
      </w:r>
      <w:r w:rsidR="00E04E51" w:rsidRPr="006A5B4E">
        <w:rPr>
          <w:color w:val="000000"/>
          <w:sz w:val="24"/>
          <w:szCs w:val="24"/>
        </w:rPr>
        <w:t>66</w:t>
      </w:r>
      <w:r w:rsidR="00E50C23" w:rsidRPr="006A5B4E">
        <w:rPr>
          <w:color w:val="000000"/>
          <w:sz w:val="24"/>
          <w:szCs w:val="24"/>
        </w:rPr>
        <w:t xml:space="preserve"> hours</w:t>
      </w:r>
      <w:r w:rsidR="00E50C23" w:rsidRPr="008A4301">
        <w:rPr>
          <w:b/>
          <w:color w:val="000000"/>
          <w:sz w:val="24"/>
          <w:szCs w:val="24"/>
        </w:rPr>
        <w:t xml:space="preserve"> </w:t>
      </w:r>
      <w:r w:rsidR="00E50C23" w:rsidRPr="008A4301">
        <w:rPr>
          <w:color w:val="000000"/>
          <w:sz w:val="24"/>
          <w:szCs w:val="24"/>
        </w:rPr>
        <w:t>(</w:t>
      </w:r>
      <w:r w:rsidR="00FC2A89">
        <w:rPr>
          <w:color w:val="000000"/>
          <w:sz w:val="24"/>
          <w:szCs w:val="24"/>
        </w:rPr>
        <w:t>11,6</w:t>
      </w:r>
      <w:r w:rsidR="00E6321D" w:rsidRPr="008A4301">
        <w:rPr>
          <w:color w:val="000000"/>
          <w:sz w:val="24"/>
          <w:szCs w:val="24"/>
        </w:rPr>
        <w:t>03</w:t>
      </w:r>
      <w:r w:rsidR="00E50C23" w:rsidRPr="008A4301">
        <w:rPr>
          <w:color w:val="000000"/>
          <w:sz w:val="24"/>
          <w:szCs w:val="24"/>
        </w:rPr>
        <w:t xml:space="preserve"> </w:t>
      </w:r>
      <w:r w:rsidR="00634C05" w:rsidRPr="008A4301">
        <w:rPr>
          <w:color w:val="000000"/>
          <w:sz w:val="24"/>
          <w:szCs w:val="24"/>
        </w:rPr>
        <w:t>SSOA</w:t>
      </w:r>
      <w:r w:rsidR="00E50C23" w:rsidRPr="008A4301">
        <w:rPr>
          <w:color w:val="000000"/>
          <w:sz w:val="24"/>
          <w:szCs w:val="24"/>
        </w:rPr>
        <w:t xml:space="preserve"> </w:t>
      </w:r>
      <w:r w:rsidR="00F200F4" w:rsidRPr="008A4301">
        <w:rPr>
          <w:color w:val="000000"/>
          <w:sz w:val="24"/>
          <w:szCs w:val="24"/>
        </w:rPr>
        <w:t>hours</w:t>
      </w:r>
      <w:r w:rsidR="00E50C23" w:rsidRPr="008A4301">
        <w:rPr>
          <w:color w:val="000000"/>
          <w:sz w:val="24"/>
          <w:szCs w:val="24"/>
        </w:rPr>
        <w:t>+</w:t>
      </w:r>
      <w:r w:rsidR="00E6321D" w:rsidRPr="008A4301">
        <w:rPr>
          <w:color w:val="000000"/>
          <w:sz w:val="24"/>
          <w:szCs w:val="24"/>
        </w:rPr>
        <w:t>4,762</w:t>
      </w:r>
      <w:r w:rsidR="00F1433E" w:rsidRPr="008A4301">
        <w:rPr>
          <w:color w:val="000000"/>
          <w:sz w:val="24"/>
          <w:szCs w:val="24"/>
        </w:rPr>
        <w:t xml:space="preserve"> </w:t>
      </w:r>
      <w:r w:rsidR="00634C05" w:rsidRPr="008A4301">
        <w:rPr>
          <w:color w:val="000000"/>
          <w:sz w:val="24"/>
          <w:szCs w:val="24"/>
        </w:rPr>
        <w:t>RTA</w:t>
      </w:r>
      <w:r w:rsidR="00E50C23" w:rsidRPr="008A4301">
        <w:rPr>
          <w:color w:val="000000"/>
          <w:sz w:val="24"/>
          <w:szCs w:val="24"/>
        </w:rPr>
        <w:t xml:space="preserve"> hours)</w:t>
      </w:r>
      <w:r w:rsidR="00F200F4" w:rsidRPr="008A4301">
        <w:rPr>
          <w:color w:val="000000"/>
          <w:sz w:val="24"/>
          <w:szCs w:val="24"/>
        </w:rPr>
        <w:t>.</w:t>
      </w:r>
    </w:p>
    <w:p w14:paraId="143B14CD" w14:textId="10A0EAD7" w:rsidR="00EF7003" w:rsidRPr="008A4301" w:rsidRDefault="00634C05"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008A4301">
        <w:rPr>
          <w:b/>
          <w:bCs/>
          <w:color w:val="000000"/>
          <w:sz w:val="24"/>
          <w:szCs w:val="24"/>
        </w:rPr>
        <w:t xml:space="preserve">Annualized Cost to Respondents: </w:t>
      </w:r>
      <w:r w:rsidRPr="006A5B4E">
        <w:rPr>
          <w:bCs/>
          <w:color w:val="000000"/>
          <w:sz w:val="24"/>
          <w:szCs w:val="24"/>
        </w:rPr>
        <w:t>$87</w:t>
      </w:r>
      <w:r w:rsidR="00FC2A89" w:rsidRPr="006A5B4E">
        <w:rPr>
          <w:bCs/>
          <w:color w:val="000000"/>
          <w:sz w:val="24"/>
          <w:szCs w:val="24"/>
        </w:rPr>
        <w:t>8</w:t>
      </w:r>
      <w:r w:rsidRPr="006A5B4E">
        <w:rPr>
          <w:bCs/>
          <w:color w:val="000000"/>
          <w:sz w:val="24"/>
          <w:szCs w:val="24"/>
        </w:rPr>
        <w:t>,</w:t>
      </w:r>
      <w:r w:rsidR="00FC2A89" w:rsidRPr="006A5B4E">
        <w:rPr>
          <w:bCs/>
          <w:color w:val="000000"/>
          <w:sz w:val="24"/>
          <w:szCs w:val="24"/>
        </w:rPr>
        <w:t>107</w:t>
      </w:r>
      <w:r w:rsidRPr="008A4301">
        <w:rPr>
          <w:color w:val="000000"/>
          <w:sz w:val="24"/>
          <w:szCs w:val="24"/>
        </w:rPr>
        <w:t xml:space="preserve"> ($6</w:t>
      </w:r>
      <w:r w:rsidR="00FC2A89">
        <w:rPr>
          <w:color w:val="000000"/>
          <w:sz w:val="24"/>
          <w:szCs w:val="24"/>
        </w:rPr>
        <w:t>22,587</w:t>
      </w:r>
      <w:r w:rsidRPr="008A4301">
        <w:rPr>
          <w:color w:val="000000"/>
          <w:sz w:val="24"/>
          <w:szCs w:val="24"/>
        </w:rPr>
        <w:t xml:space="preserve"> SSOA costs + $255,520 RTA costs).</w:t>
      </w:r>
    </w:p>
    <w:p w14:paraId="3999B6D8" w14:textId="77777777" w:rsidR="00EF7003" w:rsidRPr="008A4301" w:rsidRDefault="00EF7003" w:rsidP="00C00973">
      <w:pPr>
        <w:jc w:val="both"/>
        <w:rPr>
          <w:b/>
          <w:sz w:val="24"/>
          <w:szCs w:val="24"/>
        </w:rPr>
      </w:pPr>
    </w:p>
    <w:p w14:paraId="21660EA7" w14:textId="77777777" w:rsidR="00C00973" w:rsidRDefault="00C00973" w:rsidP="00C00973">
      <w:pPr>
        <w:ind w:firstLine="360"/>
        <w:jc w:val="both"/>
        <w:rPr>
          <w:bCs/>
          <w:color w:val="000000"/>
          <w:sz w:val="24"/>
          <w:szCs w:val="24"/>
        </w:rPr>
      </w:pPr>
    </w:p>
    <w:p w14:paraId="784022F6" w14:textId="77777777" w:rsidR="00C00973" w:rsidRDefault="00C00973" w:rsidP="00C00973">
      <w:pPr>
        <w:ind w:firstLine="360"/>
        <w:jc w:val="both"/>
        <w:rPr>
          <w:bCs/>
          <w:color w:val="000000"/>
          <w:sz w:val="24"/>
          <w:szCs w:val="24"/>
        </w:rPr>
      </w:pPr>
    </w:p>
    <w:p w14:paraId="54F543A8" w14:textId="77777777" w:rsidR="00C00973" w:rsidRDefault="00C00973" w:rsidP="00C00973">
      <w:pPr>
        <w:ind w:firstLine="360"/>
        <w:jc w:val="both"/>
        <w:rPr>
          <w:bCs/>
          <w:color w:val="000000"/>
          <w:sz w:val="24"/>
          <w:szCs w:val="24"/>
        </w:rPr>
      </w:pPr>
    </w:p>
    <w:p w14:paraId="0CA66087" w14:textId="1330DF5A" w:rsidR="00634C05" w:rsidRPr="008A4301" w:rsidRDefault="00634C05" w:rsidP="00C00973">
      <w:pPr>
        <w:ind w:firstLine="360"/>
        <w:jc w:val="both"/>
        <w:rPr>
          <w:bCs/>
          <w:color w:val="000000"/>
          <w:sz w:val="24"/>
          <w:szCs w:val="24"/>
        </w:rPr>
      </w:pPr>
      <w:r w:rsidRPr="008A4301">
        <w:rPr>
          <w:bCs/>
          <w:color w:val="000000"/>
          <w:sz w:val="24"/>
          <w:szCs w:val="24"/>
        </w:rPr>
        <w:t xml:space="preserve">The </w:t>
      </w:r>
      <w:r w:rsidRPr="008A4301">
        <w:rPr>
          <w:bCs/>
          <w:sz w:val="24"/>
          <w:szCs w:val="24"/>
        </w:rPr>
        <w:t>table</w:t>
      </w:r>
      <w:r w:rsidRPr="008A4301">
        <w:rPr>
          <w:bCs/>
          <w:color w:val="000000"/>
          <w:sz w:val="24"/>
          <w:szCs w:val="24"/>
        </w:rPr>
        <w:t xml:space="preserve"> below presents the current estimates for information collection burden for SSOAs and RTAs.</w:t>
      </w:r>
    </w:p>
    <w:p w14:paraId="01631C65" w14:textId="77777777" w:rsidR="00634C05" w:rsidRPr="008A4301" w:rsidRDefault="00634C05"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color w:val="000000"/>
          <w:sz w:val="24"/>
          <w:szCs w:val="24"/>
        </w:rPr>
      </w:pPr>
    </w:p>
    <w:p w14:paraId="3FDC88A7" w14:textId="02E86E70" w:rsidR="00634C05" w:rsidRDefault="003B1CAD"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8A4301">
        <w:rPr>
          <w:b/>
          <w:color w:val="000000"/>
          <w:sz w:val="24"/>
          <w:szCs w:val="24"/>
        </w:rPr>
        <w:t>Total Estimated Hours for 49 CFR Part 674 PRA-Related Activities</w:t>
      </w:r>
    </w:p>
    <w:tbl>
      <w:tblPr>
        <w:tblW w:w="10182" w:type="dxa"/>
        <w:tblLayout w:type="fixed"/>
        <w:tblLook w:val="04A0" w:firstRow="1" w:lastRow="0" w:firstColumn="1" w:lastColumn="0" w:noHBand="0" w:noVBand="1"/>
      </w:tblPr>
      <w:tblGrid>
        <w:gridCol w:w="2051"/>
        <w:gridCol w:w="739"/>
        <w:gridCol w:w="810"/>
        <w:gridCol w:w="990"/>
        <w:gridCol w:w="720"/>
        <w:gridCol w:w="720"/>
        <w:gridCol w:w="1080"/>
        <w:gridCol w:w="360"/>
        <w:gridCol w:w="720"/>
        <w:gridCol w:w="996"/>
        <w:gridCol w:w="990"/>
        <w:gridCol w:w="6"/>
      </w:tblGrid>
      <w:tr w:rsidR="00AA63B0" w:rsidRPr="00634C05" w14:paraId="245DC92C" w14:textId="77777777" w:rsidTr="008570FE">
        <w:trPr>
          <w:gridAfter w:val="1"/>
          <w:wAfter w:w="6" w:type="dxa"/>
          <w:trHeight w:val="70"/>
        </w:trPr>
        <w:tc>
          <w:tcPr>
            <w:tcW w:w="2051" w:type="dxa"/>
            <w:tcBorders>
              <w:top w:val="nil"/>
              <w:bottom w:val="nil"/>
              <w:right w:val="nil"/>
            </w:tcBorders>
            <w:shd w:val="clear" w:color="000000" w:fill="FFFFFF"/>
            <w:noWrap/>
            <w:vAlign w:val="bottom"/>
            <w:hideMark/>
          </w:tcPr>
          <w:p w14:paraId="31377DDF"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w:t>
            </w:r>
          </w:p>
        </w:tc>
        <w:tc>
          <w:tcPr>
            <w:tcW w:w="253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8E4B0EC"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SSOA</w:t>
            </w:r>
          </w:p>
        </w:tc>
        <w:tc>
          <w:tcPr>
            <w:tcW w:w="2520" w:type="dxa"/>
            <w:gridSpan w:val="3"/>
            <w:tcBorders>
              <w:top w:val="single" w:sz="4" w:space="0" w:color="auto"/>
              <w:left w:val="nil"/>
              <w:bottom w:val="single" w:sz="4" w:space="0" w:color="auto"/>
              <w:right w:val="nil"/>
            </w:tcBorders>
            <w:shd w:val="clear" w:color="000000" w:fill="FFFFFF"/>
            <w:noWrap/>
            <w:vAlign w:val="bottom"/>
            <w:hideMark/>
          </w:tcPr>
          <w:p w14:paraId="38643091"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RTA</w:t>
            </w:r>
          </w:p>
        </w:tc>
        <w:tc>
          <w:tcPr>
            <w:tcW w:w="3066" w:type="dxa"/>
            <w:gridSpan w:val="4"/>
            <w:tcBorders>
              <w:top w:val="single" w:sz="4" w:space="0" w:color="auto"/>
              <w:left w:val="single" w:sz="4" w:space="0" w:color="auto"/>
              <w:bottom w:val="single" w:sz="4" w:space="0" w:color="auto"/>
              <w:right w:val="single" w:sz="8" w:space="0" w:color="000000"/>
            </w:tcBorders>
            <w:shd w:val="clear" w:color="000000" w:fill="FFFFFF"/>
          </w:tcPr>
          <w:p w14:paraId="76A7F48D" w14:textId="1D1BB7A4"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Total</w:t>
            </w:r>
          </w:p>
        </w:tc>
      </w:tr>
      <w:tr w:rsidR="00AA63B0" w:rsidRPr="00634C05" w14:paraId="27A37867" w14:textId="77777777" w:rsidTr="00AA63B0">
        <w:trPr>
          <w:trHeight w:val="70"/>
        </w:trPr>
        <w:tc>
          <w:tcPr>
            <w:tcW w:w="2051" w:type="dxa"/>
            <w:tcBorders>
              <w:top w:val="nil"/>
              <w:bottom w:val="single" w:sz="4" w:space="0" w:color="auto"/>
              <w:right w:val="nil"/>
            </w:tcBorders>
            <w:shd w:val="clear" w:color="000000" w:fill="FFFFFF"/>
            <w:noWrap/>
            <w:vAlign w:val="bottom"/>
            <w:hideMark/>
          </w:tcPr>
          <w:p w14:paraId="3CFB71E1"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w:t>
            </w:r>
          </w:p>
        </w:tc>
        <w:tc>
          <w:tcPr>
            <w:tcW w:w="739" w:type="dxa"/>
            <w:tcBorders>
              <w:top w:val="nil"/>
              <w:left w:val="single" w:sz="4" w:space="0" w:color="auto"/>
              <w:bottom w:val="nil"/>
              <w:right w:val="nil"/>
            </w:tcBorders>
            <w:shd w:val="clear" w:color="000000" w:fill="FFFFFF"/>
            <w:noWrap/>
            <w:vAlign w:val="bottom"/>
            <w:hideMark/>
          </w:tcPr>
          <w:p w14:paraId="154C96DD" w14:textId="4E2F02CB" w:rsidR="00AA63B0" w:rsidRPr="00634C05" w:rsidRDefault="00AA63B0" w:rsidP="00C00973">
            <w:pPr>
              <w:ind w:right="-206"/>
              <w:jc w:val="both"/>
              <w:rPr>
                <w:rFonts w:ascii="Calibri" w:hAnsi="Calibri" w:cs="Calibri"/>
                <w:b/>
                <w:bCs/>
                <w:color w:val="000000"/>
              </w:rPr>
            </w:pPr>
            <w:r w:rsidRPr="00634C05">
              <w:rPr>
                <w:rFonts w:ascii="Calibri" w:hAnsi="Calibri" w:cs="Calibri"/>
                <w:b/>
                <w:bCs/>
                <w:color w:val="000000"/>
              </w:rPr>
              <w:t>Resp.*</w:t>
            </w:r>
          </w:p>
        </w:tc>
        <w:tc>
          <w:tcPr>
            <w:tcW w:w="810" w:type="dxa"/>
            <w:tcBorders>
              <w:top w:val="nil"/>
              <w:left w:val="nil"/>
              <w:bottom w:val="nil"/>
              <w:right w:val="nil"/>
            </w:tcBorders>
            <w:shd w:val="clear" w:color="000000" w:fill="FFFFFF"/>
            <w:noWrap/>
            <w:vAlign w:val="bottom"/>
            <w:hideMark/>
          </w:tcPr>
          <w:p w14:paraId="364452C2"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Hours</w:t>
            </w:r>
          </w:p>
        </w:tc>
        <w:tc>
          <w:tcPr>
            <w:tcW w:w="990" w:type="dxa"/>
            <w:tcBorders>
              <w:top w:val="nil"/>
              <w:left w:val="nil"/>
              <w:bottom w:val="nil"/>
              <w:right w:val="single" w:sz="4" w:space="0" w:color="auto"/>
            </w:tcBorders>
            <w:shd w:val="clear" w:color="000000" w:fill="FFFFFF"/>
            <w:noWrap/>
            <w:vAlign w:val="bottom"/>
            <w:hideMark/>
          </w:tcPr>
          <w:p w14:paraId="7627B856" w14:textId="2791C839"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Cost</w:t>
            </w:r>
            <w:r w:rsidRPr="00634C05">
              <w:rPr>
                <w:rStyle w:val="FootnoteReference"/>
                <w:rFonts w:ascii="Calibri" w:hAnsi="Calibri" w:cs="Calibri"/>
                <w:b/>
                <w:bCs/>
                <w:color w:val="000000"/>
              </w:rPr>
              <w:footnoteReference w:id="1"/>
            </w:r>
          </w:p>
        </w:tc>
        <w:tc>
          <w:tcPr>
            <w:tcW w:w="720" w:type="dxa"/>
            <w:tcBorders>
              <w:top w:val="nil"/>
              <w:left w:val="nil"/>
              <w:bottom w:val="nil"/>
              <w:right w:val="nil"/>
            </w:tcBorders>
            <w:shd w:val="clear" w:color="000000" w:fill="FFFFFF"/>
            <w:noWrap/>
            <w:vAlign w:val="bottom"/>
            <w:hideMark/>
          </w:tcPr>
          <w:p w14:paraId="6CD7AF9A" w14:textId="1AF787F7" w:rsidR="00AA63B0" w:rsidRPr="00634C05" w:rsidRDefault="00AA63B0" w:rsidP="00C00973">
            <w:pPr>
              <w:ind w:right="-218"/>
              <w:jc w:val="both"/>
              <w:rPr>
                <w:rFonts w:ascii="Calibri" w:hAnsi="Calibri" w:cs="Calibri"/>
                <w:b/>
                <w:bCs/>
                <w:color w:val="000000"/>
              </w:rPr>
            </w:pPr>
            <w:r w:rsidRPr="00634C05">
              <w:rPr>
                <w:rFonts w:ascii="Calibri" w:hAnsi="Calibri" w:cs="Calibri"/>
                <w:b/>
                <w:bCs/>
                <w:color w:val="000000"/>
              </w:rPr>
              <w:t>Resp.*</w:t>
            </w:r>
          </w:p>
        </w:tc>
        <w:tc>
          <w:tcPr>
            <w:tcW w:w="720" w:type="dxa"/>
            <w:tcBorders>
              <w:top w:val="nil"/>
              <w:left w:val="nil"/>
              <w:bottom w:val="nil"/>
              <w:right w:val="nil"/>
            </w:tcBorders>
            <w:shd w:val="clear" w:color="000000" w:fill="FFFFFF"/>
            <w:noWrap/>
            <w:vAlign w:val="bottom"/>
            <w:hideMark/>
          </w:tcPr>
          <w:p w14:paraId="2978AA99" w14:textId="27CED626"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Hours</w:t>
            </w:r>
          </w:p>
        </w:tc>
        <w:tc>
          <w:tcPr>
            <w:tcW w:w="1080" w:type="dxa"/>
            <w:tcBorders>
              <w:top w:val="nil"/>
              <w:left w:val="nil"/>
              <w:bottom w:val="nil"/>
              <w:right w:val="single" w:sz="4" w:space="0" w:color="auto"/>
            </w:tcBorders>
            <w:shd w:val="clear" w:color="000000" w:fill="FFFFFF"/>
            <w:noWrap/>
            <w:vAlign w:val="bottom"/>
            <w:hideMark/>
          </w:tcPr>
          <w:p w14:paraId="1535689B" w14:textId="5EC4D283"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c>
          <w:tcPr>
            <w:tcW w:w="360" w:type="dxa"/>
            <w:tcBorders>
              <w:top w:val="nil"/>
              <w:left w:val="nil"/>
              <w:bottom w:val="nil"/>
              <w:right w:val="nil"/>
            </w:tcBorders>
            <w:shd w:val="clear" w:color="000000" w:fill="FFFFFF"/>
          </w:tcPr>
          <w:p w14:paraId="5F787EEA" w14:textId="77777777" w:rsidR="00AA63B0" w:rsidRPr="00634C05" w:rsidRDefault="00AA63B0" w:rsidP="00C00973">
            <w:pPr>
              <w:ind w:right="-219"/>
              <w:jc w:val="both"/>
              <w:rPr>
                <w:rFonts w:ascii="Calibri" w:hAnsi="Calibri" w:cs="Calibri"/>
                <w:b/>
                <w:bCs/>
                <w:color w:val="000000"/>
              </w:rPr>
            </w:pPr>
          </w:p>
        </w:tc>
        <w:tc>
          <w:tcPr>
            <w:tcW w:w="720" w:type="dxa"/>
            <w:tcBorders>
              <w:top w:val="nil"/>
              <w:left w:val="nil"/>
              <w:bottom w:val="nil"/>
              <w:right w:val="nil"/>
            </w:tcBorders>
            <w:shd w:val="clear" w:color="000000" w:fill="FFFFFF"/>
            <w:noWrap/>
            <w:vAlign w:val="bottom"/>
            <w:hideMark/>
          </w:tcPr>
          <w:p w14:paraId="3CFABE8D" w14:textId="0DD27FAB" w:rsidR="00AA63B0" w:rsidRPr="00634C05" w:rsidRDefault="00AA63B0" w:rsidP="00C00973">
            <w:pPr>
              <w:ind w:right="-219"/>
              <w:jc w:val="both"/>
              <w:rPr>
                <w:rFonts w:ascii="Calibri" w:hAnsi="Calibri" w:cs="Calibri"/>
                <w:b/>
                <w:bCs/>
                <w:color w:val="000000"/>
              </w:rPr>
            </w:pPr>
            <w:r w:rsidRPr="00634C05">
              <w:rPr>
                <w:rFonts w:ascii="Calibri" w:hAnsi="Calibri" w:cs="Calibri"/>
                <w:b/>
                <w:bCs/>
                <w:color w:val="000000"/>
              </w:rPr>
              <w:t>Resp.*</w:t>
            </w:r>
          </w:p>
        </w:tc>
        <w:tc>
          <w:tcPr>
            <w:tcW w:w="996" w:type="dxa"/>
            <w:tcBorders>
              <w:top w:val="nil"/>
              <w:left w:val="nil"/>
              <w:bottom w:val="nil"/>
              <w:right w:val="nil"/>
            </w:tcBorders>
            <w:shd w:val="clear" w:color="000000" w:fill="FFFFFF"/>
            <w:noWrap/>
            <w:vAlign w:val="bottom"/>
            <w:hideMark/>
          </w:tcPr>
          <w:p w14:paraId="7A6D028F" w14:textId="4EC00C16"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Hours</w:t>
            </w:r>
          </w:p>
        </w:tc>
        <w:tc>
          <w:tcPr>
            <w:tcW w:w="996" w:type="dxa"/>
            <w:gridSpan w:val="2"/>
            <w:tcBorders>
              <w:top w:val="nil"/>
              <w:left w:val="nil"/>
              <w:bottom w:val="nil"/>
              <w:right w:val="single" w:sz="8" w:space="0" w:color="auto"/>
            </w:tcBorders>
            <w:shd w:val="clear" w:color="000000" w:fill="FFFFFF"/>
            <w:noWrap/>
            <w:vAlign w:val="bottom"/>
            <w:hideMark/>
          </w:tcPr>
          <w:p w14:paraId="430811E6" w14:textId="542DFFBF"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r>
      <w:tr w:rsidR="00AA63B0" w:rsidRPr="00634C05" w14:paraId="2DDA4775" w14:textId="77777777" w:rsidTr="00AA63B0">
        <w:trPr>
          <w:trHeight w:val="98"/>
        </w:trPr>
        <w:tc>
          <w:tcPr>
            <w:tcW w:w="2051" w:type="dxa"/>
            <w:tcBorders>
              <w:top w:val="single" w:sz="4" w:space="0" w:color="auto"/>
              <w:left w:val="single" w:sz="8" w:space="0" w:color="auto"/>
              <w:bottom w:val="nil"/>
              <w:right w:val="nil"/>
            </w:tcBorders>
            <w:shd w:val="clear" w:color="000000" w:fill="FFFFFF"/>
            <w:vAlign w:val="center"/>
            <w:hideMark/>
          </w:tcPr>
          <w:p w14:paraId="454EC4B6"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Annual Reporting</w:t>
            </w:r>
          </w:p>
        </w:tc>
        <w:tc>
          <w:tcPr>
            <w:tcW w:w="739" w:type="dxa"/>
            <w:tcBorders>
              <w:top w:val="single" w:sz="4" w:space="0" w:color="auto"/>
              <w:left w:val="single" w:sz="4" w:space="0" w:color="auto"/>
              <w:bottom w:val="nil"/>
              <w:right w:val="nil"/>
            </w:tcBorders>
            <w:shd w:val="clear" w:color="000000" w:fill="FFFFFF"/>
            <w:vAlign w:val="center"/>
            <w:hideMark/>
          </w:tcPr>
          <w:p w14:paraId="79DD43EB"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31</w:t>
            </w:r>
          </w:p>
        </w:tc>
        <w:tc>
          <w:tcPr>
            <w:tcW w:w="810" w:type="dxa"/>
            <w:tcBorders>
              <w:top w:val="single" w:sz="4" w:space="0" w:color="auto"/>
              <w:left w:val="nil"/>
              <w:bottom w:val="nil"/>
              <w:right w:val="nil"/>
            </w:tcBorders>
            <w:shd w:val="clear" w:color="000000" w:fill="FFFFFF"/>
            <w:vAlign w:val="center"/>
            <w:hideMark/>
          </w:tcPr>
          <w:p w14:paraId="38838B5A" w14:textId="6A3FB1C6" w:rsidR="00AA63B0" w:rsidRPr="00634C05" w:rsidRDefault="00AA63B0" w:rsidP="00C00973">
            <w:pPr>
              <w:jc w:val="both"/>
              <w:rPr>
                <w:rFonts w:ascii="Calibri" w:hAnsi="Calibri" w:cs="Calibri"/>
                <w:color w:val="000000"/>
              </w:rPr>
            </w:pPr>
            <w:r>
              <w:rPr>
                <w:rFonts w:ascii="Calibri" w:hAnsi="Calibri" w:cs="Calibri"/>
                <w:color w:val="000000"/>
              </w:rPr>
              <w:t xml:space="preserve">2,920 </w:t>
            </w:r>
          </w:p>
        </w:tc>
        <w:tc>
          <w:tcPr>
            <w:tcW w:w="990" w:type="dxa"/>
            <w:tcBorders>
              <w:top w:val="single" w:sz="4" w:space="0" w:color="auto"/>
              <w:left w:val="nil"/>
              <w:bottom w:val="nil"/>
              <w:right w:val="single" w:sz="4" w:space="0" w:color="auto"/>
            </w:tcBorders>
            <w:shd w:val="clear" w:color="000000" w:fill="FFFFFF"/>
            <w:vAlign w:val="center"/>
            <w:hideMark/>
          </w:tcPr>
          <w:p w14:paraId="2985D4A3" w14:textId="03FEA8A3" w:rsidR="00AA63B0" w:rsidRPr="00634C05" w:rsidRDefault="00AA63B0" w:rsidP="00C00973">
            <w:pPr>
              <w:jc w:val="both"/>
              <w:rPr>
                <w:rFonts w:ascii="Calibri" w:hAnsi="Calibri" w:cs="Calibri"/>
                <w:color w:val="000000"/>
              </w:rPr>
            </w:pPr>
            <w:r>
              <w:rPr>
                <w:rFonts w:ascii="Calibri" w:hAnsi="Calibri" w:cs="Calibri"/>
                <w:color w:val="000000"/>
              </w:rPr>
              <w:t xml:space="preserve">$156,660 </w:t>
            </w:r>
          </w:p>
        </w:tc>
        <w:tc>
          <w:tcPr>
            <w:tcW w:w="720" w:type="dxa"/>
            <w:tcBorders>
              <w:top w:val="single" w:sz="4" w:space="0" w:color="auto"/>
              <w:left w:val="nil"/>
              <w:bottom w:val="nil"/>
              <w:right w:val="nil"/>
            </w:tcBorders>
            <w:shd w:val="clear" w:color="000000" w:fill="FFFFFF"/>
            <w:vAlign w:val="center"/>
            <w:hideMark/>
          </w:tcPr>
          <w:p w14:paraId="0E3B3BFF"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720" w:type="dxa"/>
            <w:tcBorders>
              <w:top w:val="single" w:sz="4" w:space="0" w:color="auto"/>
              <w:left w:val="nil"/>
              <w:bottom w:val="nil"/>
              <w:right w:val="nil"/>
            </w:tcBorders>
            <w:shd w:val="clear" w:color="000000" w:fill="FFFFFF"/>
            <w:vAlign w:val="center"/>
            <w:hideMark/>
          </w:tcPr>
          <w:p w14:paraId="117963C1"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1080" w:type="dxa"/>
            <w:tcBorders>
              <w:top w:val="single" w:sz="4" w:space="0" w:color="auto"/>
              <w:left w:val="nil"/>
              <w:bottom w:val="nil"/>
              <w:right w:val="single" w:sz="4" w:space="0" w:color="auto"/>
            </w:tcBorders>
            <w:shd w:val="clear" w:color="000000" w:fill="FFFFFF"/>
            <w:vAlign w:val="center"/>
            <w:hideMark/>
          </w:tcPr>
          <w:p w14:paraId="78F4ACD7" w14:textId="11EC1CF6"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$0   </w:t>
            </w:r>
          </w:p>
        </w:tc>
        <w:tc>
          <w:tcPr>
            <w:tcW w:w="360" w:type="dxa"/>
            <w:tcBorders>
              <w:top w:val="single" w:sz="4" w:space="0" w:color="auto"/>
              <w:left w:val="nil"/>
              <w:bottom w:val="nil"/>
              <w:right w:val="nil"/>
            </w:tcBorders>
            <w:shd w:val="clear" w:color="000000" w:fill="FFFFFF"/>
          </w:tcPr>
          <w:p w14:paraId="60C21291" w14:textId="77777777" w:rsidR="00AA63B0" w:rsidRPr="00634C05" w:rsidRDefault="00AA63B0" w:rsidP="00C00973">
            <w:pPr>
              <w:jc w:val="both"/>
              <w:rPr>
                <w:rFonts w:ascii="Calibri" w:hAnsi="Calibri" w:cs="Calibri"/>
                <w:color w:val="000000"/>
              </w:rPr>
            </w:pPr>
          </w:p>
        </w:tc>
        <w:tc>
          <w:tcPr>
            <w:tcW w:w="720" w:type="dxa"/>
            <w:tcBorders>
              <w:top w:val="single" w:sz="4" w:space="0" w:color="auto"/>
              <w:left w:val="nil"/>
              <w:bottom w:val="nil"/>
              <w:right w:val="nil"/>
            </w:tcBorders>
            <w:shd w:val="clear" w:color="000000" w:fill="FFFFFF"/>
            <w:vAlign w:val="center"/>
            <w:hideMark/>
          </w:tcPr>
          <w:p w14:paraId="5D97AA1E" w14:textId="2A60DB19"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31 </w:t>
            </w:r>
          </w:p>
        </w:tc>
        <w:tc>
          <w:tcPr>
            <w:tcW w:w="996" w:type="dxa"/>
            <w:tcBorders>
              <w:top w:val="single" w:sz="4" w:space="0" w:color="auto"/>
              <w:left w:val="nil"/>
              <w:bottom w:val="nil"/>
              <w:right w:val="nil"/>
            </w:tcBorders>
            <w:shd w:val="clear" w:color="000000" w:fill="FFFFFF"/>
            <w:vAlign w:val="center"/>
            <w:hideMark/>
          </w:tcPr>
          <w:p w14:paraId="1E661E09" w14:textId="27CFBDD4" w:rsidR="00AA63B0" w:rsidRPr="00634C05" w:rsidRDefault="00AA63B0" w:rsidP="00C00973">
            <w:pPr>
              <w:jc w:val="both"/>
              <w:rPr>
                <w:rFonts w:ascii="Calibri" w:hAnsi="Calibri" w:cs="Calibri"/>
                <w:color w:val="000000"/>
              </w:rPr>
            </w:pPr>
            <w:r w:rsidRPr="00634C05">
              <w:rPr>
                <w:rFonts w:ascii="Calibri" w:hAnsi="Calibri" w:cs="Calibri"/>
                <w:color w:val="000000"/>
              </w:rPr>
              <w:t>2,92</w:t>
            </w:r>
            <w:r>
              <w:rPr>
                <w:rFonts w:ascii="Calibri" w:hAnsi="Calibri" w:cs="Calibri"/>
                <w:color w:val="000000"/>
              </w:rPr>
              <w:t>0</w:t>
            </w:r>
            <w:r w:rsidRPr="00634C05">
              <w:rPr>
                <w:rFonts w:ascii="Calibri" w:hAnsi="Calibri" w:cs="Calibri"/>
                <w:color w:val="000000"/>
              </w:rPr>
              <w:t xml:space="preserve"> </w:t>
            </w:r>
          </w:p>
        </w:tc>
        <w:tc>
          <w:tcPr>
            <w:tcW w:w="996" w:type="dxa"/>
            <w:gridSpan w:val="2"/>
            <w:tcBorders>
              <w:top w:val="single" w:sz="4" w:space="0" w:color="auto"/>
              <w:left w:val="nil"/>
              <w:bottom w:val="nil"/>
              <w:right w:val="single" w:sz="8" w:space="0" w:color="auto"/>
            </w:tcBorders>
            <w:shd w:val="clear" w:color="000000" w:fill="FFFFFF"/>
            <w:vAlign w:val="center"/>
            <w:hideMark/>
          </w:tcPr>
          <w:p w14:paraId="4E9B10A4" w14:textId="2F08FC72"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$156,</w:t>
            </w:r>
            <w:r>
              <w:rPr>
                <w:rFonts w:ascii="Calibri" w:hAnsi="Calibri" w:cs="Calibri"/>
                <w:color w:val="000000"/>
              </w:rPr>
              <w:t>660</w:t>
            </w:r>
          </w:p>
        </w:tc>
      </w:tr>
      <w:tr w:rsidR="00AA63B0" w:rsidRPr="00634C05" w14:paraId="211E0568" w14:textId="77777777" w:rsidTr="00AA63B0">
        <w:trPr>
          <w:trHeight w:val="70"/>
        </w:trPr>
        <w:tc>
          <w:tcPr>
            <w:tcW w:w="2051" w:type="dxa"/>
            <w:tcBorders>
              <w:top w:val="nil"/>
              <w:left w:val="single" w:sz="8" w:space="0" w:color="auto"/>
              <w:bottom w:val="nil"/>
              <w:right w:val="nil"/>
            </w:tcBorders>
            <w:shd w:val="clear" w:color="000000" w:fill="FFFFFF"/>
            <w:vAlign w:val="center"/>
            <w:hideMark/>
          </w:tcPr>
          <w:p w14:paraId="29F43237"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FTA Audits</w:t>
            </w:r>
          </w:p>
        </w:tc>
        <w:tc>
          <w:tcPr>
            <w:tcW w:w="739" w:type="dxa"/>
            <w:tcBorders>
              <w:top w:val="nil"/>
              <w:left w:val="single" w:sz="4" w:space="0" w:color="auto"/>
              <w:bottom w:val="nil"/>
              <w:right w:val="nil"/>
            </w:tcBorders>
            <w:shd w:val="clear" w:color="000000" w:fill="FFFFFF"/>
            <w:vAlign w:val="center"/>
            <w:hideMark/>
          </w:tcPr>
          <w:p w14:paraId="1837323D" w14:textId="2EA3F01B" w:rsidR="00AA63B0" w:rsidRPr="00634C05" w:rsidRDefault="00832270" w:rsidP="00C00973">
            <w:pPr>
              <w:ind w:left="-132" w:right="-108"/>
              <w:jc w:val="both"/>
              <w:rPr>
                <w:rFonts w:ascii="Calibri" w:hAnsi="Calibri" w:cs="Calibri"/>
                <w:color w:val="000000"/>
              </w:rPr>
            </w:pPr>
            <w:r>
              <w:rPr>
                <w:rFonts w:ascii="Calibri" w:hAnsi="Calibri" w:cs="Calibri"/>
                <w:color w:val="000000"/>
              </w:rPr>
              <w:t xml:space="preserve">  </w:t>
            </w:r>
            <w:r w:rsidR="00AA63B0" w:rsidRPr="00634C05">
              <w:rPr>
                <w:rFonts w:ascii="Calibri" w:hAnsi="Calibri" w:cs="Calibri"/>
                <w:color w:val="000000"/>
              </w:rPr>
              <w:t>10</w:t>
            </w:r>
          </w:p>
        </w:tc>
        <w:tc>
          <w:tcPr>
            <w:tcW w:w="810" w:type="dxa"/>
            <w:tcBorders>
              <w:top w:val="nil"/>
              <w:left w:val="nil"/>
              <w:bottom w:val="nil"/>
              <w:right w:val="nil"/>
            </w:tcBorders>
            <w:shd w:val="clear" w:color="000000" w:fill="FFFFFF"/>
            <w:vAlign w:val="center"/>
            <w:hideMark/>
          </w:tcPr>
          <w:p w14:paraId="188F01DD" w14:textId="1A928994" w:rsidR="00AA63B0" w:rsidRPr="00634C05" w:rsidRDefault="00AA63B0" w:rsidP="00C00973">
            <w:pPr>
              <w:jc w:val="both"/>
              <w:rPr>
                <w:rFonts w:ascii="Calibri" w:hAnsi="Calibri" w:cs="Calibri"/>
                <w:color w:val="000000"/>
              </w:rPr>
            </w:pPr>
            <w:r>
              <w:rPr>
                <w:rFonts w:ascii="Calibri" w:hAnsi="Calibri" w:cs="Calibri"/>
                <w:color w:val="000000"/>
              </w:rPr>
              <w:t xml:space="preserve">1,591 </w:t>
            </w:r>
          </w:p>
        </w:tc>
        <w:tc>
          <w:tcPr>
            <w:tcW w:w="990" w:type="dxa"/>
            <w:tcBorders>
              <w:top w:val="nil"/>
              <w:left w:val="nil"/>
              <w:bottom w:val="nil"/>
              <w:right w:val="single" w:sz="4" w:space="0" w:color="auto"/>
            </w:tcBorders>
            <w:shd w:val="clear" w:color="000000" w:fill="FFFFFF"/>
            <w:vAlign w:val="center"/>
            <w:hideMark/>
          </w:tcPr>
          <w:p w14:paraId="41473B80" w14:textId="2B3FB7D6" w:rsidR="00AA63B0" w:rsidRPr="00634C05" w:rsidRDefault="00AA63B0" w:rsidP="00C00973">
            <w:pPr>
              <w:jc w:val="both"/>
              <w:rPr>
                <w:rFonts w:ascii="Calibri" w:hAnsi="Calibri" w:cs="Calibri"/>
                <w:color w:val="000000"/>
              </w:rPr>
            </w:pPr>
            <w:r>
              <w:rPr>
                <w:rFonts w:ascii="Calibri" w:hAnsi="Calibri" w:cs="Calibri"/>
                <w:color w:val="000000"/>
              </w:rPr>
              <w:t xml:space="preserve">$85,387 </w:t>
            </w:r>
          </w:p>
        </w:tc>
        <w:tc>
          <w:tcPr>
            <w:tcW w:w="720" w:type="dxa"/>
            <w:tcBorders>
              <w:top w:val="nil"/>
              <w:left w:val="nil"/>
              <w:bottom w:val="nil"/>
              <w:right w:val="nil"/>
            </w:tcBorders>
            <w:shd w:val="clear" w:color="000000" w:fill="FFFFFF"/>
            <w:vAlign w:val="center"/>
            <w:hideMark/>
          </w:tcPr>
          <w:p w14:paraId="64C26A86"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14 </w:t>
            </w:r>
          </w:p>
        </w:tc>
        <w:tc>
          <w:tcPr>
            <w:tcW w:w="720" w:type="dxa"/>
            <w:tcBorders>
              <w:top w:val="nil"/>
              <w:left w:val="nil"/>
              <w:bottom w:val="nil"/>
              <w:right w:val="nil"/>
            </w:tcBorders>
            <w:shd w:val="clear" w:color="000000" w:fill="FFFFFF"/>
            <w:vAlign w:val="center"/>
            <w:hideMark/>
          </w:tcPr>
          <w:p w14:paraId="117D8C65"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245 </w:t>
            </w:r>
          </w:p>
        </w:tc>
        <w:tc>
          <w:tcPr>
            <w:tcW w:w="1080" w:type="dxa"/>
            <w:tcBorders>
              <w:top w:val="nil"/>
              <w:left w:val="nil"/>
              <w:bottom w:val="nil"/>
              <w:right w:val="single" w:sz="4" w:space="0" w:color="auto"/>
            </w:tcBorders>
            <w:shd w:val="clear" w:color="000000" w:fill="FFFFFF"/>
            <w:vAlign w:val="center"/>
            <w:hideMark/>
          </w:tcPr>
          <w:p w14:paraId="187FBFE2" w14:textId="08F6B326"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$13,122 </w:t>
            </w:r>
          </w:p>
        </w:tc>
        <w:tc>
          <w:tcPr>
            <w:tcW w:w="360" w:type="dxa"/>
            <w:tcBorders>
              <w:top w:val="nil"/>
              <w:left w:val="nil"/>
              <w:bottom w:val="nil"/>
              <w:right w:val="nil"/>
            </w:tcBorders>
            <w:shd w:val="clear" w:color="000000" w:fill="FFFFFF"/>
          </w:tcPr>
          <w:p w14:paraId="6F571634" w14:textId="77777777" w:rsidR="00AA63B0" w:rsidRPr="00634C05" w:rsidRDefault="00AA63B0" w:rsidP="00C00973">
            <w:pPr>
              <w:jc w:val="both"/>
              <w:rPr>
                <w:rFonts w:ascii="Calibri" w:hAnsi="Calibri" w:cs="Calibri"/>
                <w:color w:val="000000"/>
              </w:rPr>
            </w:pPr>
          </w:p>
        </w:tc>
        <w:tc>
          <w:tcPr>
            <w:tcW w:w="720" w:type="dxa"/>
            <w:tcBorders>
              <w:top w:val="nil"/>
              <w:left w:val="nil"/>
              <w:bottom w:val="nil"/>
              <w:right w:val="nil"/>
            </w:tcBorders>
            <w:shd w:val="clear" w:color="000000" w:fill="FFFFFF"/>
            <w:vAlign w:val="center"/>
            <w:hideMark/>
          </w:tcPr>
          <w:p w14:paraId="77F0F5A0" w14:textId="34B7196C"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24 </w:t>
            </w:r>
          </w:p>
        </w:tc>
        <w:tc>
          <w:tcPr>
            <w:tcW w:w="996" w:type="dxa"/>
            <w:tcBorders>
              <w:top w:val="nil"/>
              <w:left w:val="nil"/>
              <w:bottom w:val="nil"/>
              <w:right w:val="nil"/>
            </w:tcBorders>
            <w:shd w:val="clear" w:color="000000" w:fill="FFFFFF"/>
            <w:vAlign w:val="center"/>
            <w:hideMark/>
          </w:tcPr>
          <w:p w14:paraId="720BE1A0" w14:textId="4768D011" w:rsidR="00AA63B0" w:rsidRPr="00634C05" w:rsidRDefault="00AA63B0" w:rsidP="00C00973">
            <w:pPr>
              <w:jc w:val="both"/>
              <w:rPr>
                <w:rFonts w:ascii="Calibri" w:hAnsi="Calibri" w:cs="Calibri"/>
                <w:color w:val="000000"/>
              </w:rPr>
            </w:pPr>
            <w:r w:rsidRPr="00634C05">
              <w:rPr>
                <w:rFonts w:ascii="Calibri" w:hAnsi="Calibri" w:cs="Calibri"/>
                <w:color w:val="000000"/>
              </w:rPr>
              <w:t>1,</w:t>
            </w:r>
            <w:r>
              <w:rPr>
                <w:rFonts w:ascii="Calibri" w:hAnsi="Calibri" w:cs="Calibri"/>
                <w:color w:val="000000"/>
              </w:rPr>
              <w:t>836</w:t>
            </w:r>
            <w:r w:rsidRPr="00634C05">
              <w:rPr>
                <w:rFonts w:ascii="Calibri" w:hAnsi="Calibri" w:cs="Calibri"/>
                <w:color w:val="000000"/>
              </w:rPr>
              <w:t xml:space="preserve"> </w:t>
            </w:r>
          </w:p>
        </w:tc>
        <w:tc>
          <w:tcPr>
            <w:tcW w:w="996" w:type="dxa"/>
            <w:gridSpan w:val="2"/>
            <w:tcBorders>
              <w:top w:val="nil"/>
              <w:left w:val="nil"/>
              <w:bottom w:val="nil"/>
              <w:right w:val="single" w:sz="8" w:space="0" w:color="auto"/>
            </w:tcBorders>
            <w:shd w:val="clear" w:color="000000" w:fill="FFFFFF"/>
            <w:vAlign w:val="center"/>
            <w:hideMark/>
          </w:tcPr>
          <w:p w14:paraId="4CDBA38C" w14:textId="0A40BB45"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$9</w:t>
            </w:r>
            <w:r>
              <w:rPr>
                <w:rFonts w:ascii="Calibri" w:hAnsi="Calibri" w:cs="Calibri"/>
                <w:color w:val="000000"/>
              </w:rPr>
              <w:t>8,509</w:t>
            </w:r>
          </w:p>
        </w:tc>
      </w:tr>
      <w:tr w:rsidR="00AA63B0" w:rsidRPr="00634C05" w14:paraId="1EB7EE93" w14:textId="77777777" w:rsidTr="00AA63B0">
        <w:trPr>
          <w:trHeight w:val="70"/>
        </w:trPr>
        <w:tc>
          <w:tcPr>
            <w:tcW w:w="2051" w:type="dxa"/>
            <w:tcBorders>
              <w:top w:val="nil"/>
              <w:left w:val="single" w:sz="8" w:space="0" w:color="auto"/>
              <w:bottom w:val="nil"/>
              <w:right w:val="nil"/>
            </w:tcBorders>
            <w:shd w:val="clear" w:color="000000" w:fill="FFFFFF"/>
            <w:vAlign w:val="center"/>
            <w:hideMark/>
          </w:tcPr>
          <w:p w14:paraId="17C22E91"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Periodic Requests</w:t>
            </w:r>
          </w:p>
        </w:tc>
        <w:tc>
          <w:tcPr>
            <w:tcW w:w="739" w:type="dxa"/>
            <w:tcBorders>
              <w:top w:val="nil"/>
              <w:left w:val="single" w:sz="4" w:space="0" w:color="auto"/>
              <w:bottom w:val="nil"/>
              <w:right w:val="nil"/>
            </w:tcBorders>
            <w:shd w:val="clear" w:color="000000" w:fill="FFFFFF"/>
            <w:vAlign w:val="center"/>
            <w:hideMark/>
          </w:tcPr>
          <w:p w14:paraId="0F81249B"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496</w:t>
            </w:r>
          </w:p>
        </w:tc>
        <w:tc>
          <w:tcPr>
            <w:tcW w:w="810" w:type="dxa"/>
            <w:tcBorders>
              <w:top w:val="nil"/>
              <w:left w:val="nil"/>
              <w:bottom w:val="nil"/>
              <w:right w:val="nil"/>
            </w:tcBorders>
            <w:shd w:val="clear" w:color="000000" w:fill="FFFFFF"/>
            <w:vAlign w:val="center"/>
            <w:hideMark/>
          </w:tcPr>
          <w:p w14:paraId="6865FD10" w14:textId="1FE4BB7F" w:rsidR="00AA63B0" w:rsidRPr="00634C05" w:rsidRDefault="00AA63B0" w:rsidP="00C00973">
            <w:pPr>
              <w:jc w:val="both"/>
              <w:rPr>
                <w:rFonts w:ascii="Calibri" w:hAnsi="Calibri" w:cs="Calibri"/>
                <w:color w:val="000000"/>
              </w:rPr>
            </w:pPr>
            <w:r>
              <w:rPr>
                <w:rFonts w:ascii="Calibri" w:hAnsi="Calibri" w:cs="Calibri"/>
                <w:color w:val="000000"/>
              </w:rPr>
              <w:t xml:space="preserve">4,092 </w:t>
            </w:r>
          </w:p>
        </w:tc>
        <w:tc>
          <w:tcPr>
            <w:tcW w:w="990" w:type="dxa"/>
            <w:tcBorders>
              <w:top w:val="nil"/>
              <w:left w:val="nil"/>
              <w:bottom w:val="nil"/>
              <w:right w:val="single" w:sz="4" w:space="0" w:color="auto"/>
            </w:tcBorders>
            <w:shd w:val="clear" w:color="000000" w:fill="FFFFFF"/>
            <w:vAlign w:val="center"/>
            <w:hideMark/>
          </w:tcPr>
          <w:p w14:paraId="2BAA35D7" w14:textId="60993F14" w:rsidR="00AA63B0" w:rsidRPr="00634C05" w:rsidRDefault="00AA63B0" w:rsidP="00C00973">
            <w:pPr>
              <w:jc w:val="both"/>
              <w:rPr>
                <w:rFonts w:ascii="Calibri" w:hAnsi="Calibri" w:cs="Calibri"/>
                <w:color w:val="000000"/>
              </w:rPr>
            </w:pPr>
            <w:r>
              <w:rPr>
                <w:rFonts w:ascii="Calibri" w:hAnsi="Calibri" w:cs="Calibri"/>
                <w:color w:val="000000"/>
              </w:rPr>
              <w:t xml:space="preserve">$219,567 </w:t>
            </w:r>
          </w:p>
        </w:tc>
        <w:tc>
          <w:tcPr>
            <w:tcW w:w="720" w:type="dxa"/>
            <w:tcBorders>
              <w:top w:val="nil"/>
              <w:left w:val="nil"/>
              <w:bottom w:val="nil"/>
              <w:right w:val="nil"/>
            </w:tcBorders>
            <w:shd w:val="clear" w:color="000000" w:fill="FFFFFF"/>
            <w:vAlign w:val="center"/>
            <w:hideMark/>
          </w:tcPr>
          <w:p w14:paraId="3BE04994"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130 </w:t>
            </w:r>
          </w:p>
        </w:tc>
        <w:tc>
          <w:tcPr>
            <w:tcW w:w="720" w:type="dxa"/>
            <w:tcBorders>
              <w:top w:val="nil"/>
              <w:left w:val="nil"/>
              <w:bottom w:val="nil"/>
              <w:right w:val="nil"/>
            </w:tcBorders>
            <w:shd w:val="clear" w:color="000000" w:fill="FFFFFF"/>
            <w:vAlign w:val="center"/>
            <w:hideMark/>
          </w:tcPr>
          <w:p w14:paraId="26738FC1"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3,900 </w:t>
            </w:r>
          </w:p>
        </w:tc>
        <w:tc>
          <w:tcPr>
            <w:tcW w:w="1080" w:type="dxa"/>
            <w:tcBorders>
              <w:top w:val="nil"/>
              <w:left w:val="nil"/>
              <w:bottom w:val="nil"/>
              <w:right w:val="single" w:sz="4" w:space="0" w:color="auto"/>
            </w:tcBorders>
            <w:shd w:val="clear" w:color="000000" w:fill="FFFFFF"/>
            <w:vAlign w:val="center"/>
            <w:hideMark/>
          </w:tcPr>
          <w:p w14:paraId="3A5EA28D" w14:textId="12148A0C"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$ 209,265 </w:t>
            </w:r>
          </w:p>
        </w:tc>
        <w:tc>
          <w:tcPr>
            <w:tcW w:w="360" w:type="dxa"/>
            <w:tcBorders>
              <w:top w:val="nil"/>
              <w:left w:val="nil"/>
              <w:bottom w:val="nil"/>
              <w:right w:val="nil"/>
            </w:tcBorders>
            <w:shd w:val="clear" w:color="000000" w:fill="FFFFFF"/>
          </w:tcPr>
          <w:p w14:paraId="5DBE753A" w14:textId="77777777" w:rsidR="00AA63B0" w:rsidRPr="00634C05" w:rsidRDefault="00AA63B0" w:rsidP="00C00973">
            <w:pPr>
              <w:jc w:val="both"/>
              <w:rPr>
                <w:rFonts w:ascii="Calibri" w:hAnsi="Calibri" w:cs="Calibri"/>
                <w:color w:val="000000"/>
              </w:rPr>
            </w:pPr>
          </w:p>
        </w:tc>
        <w:tc>
          <w:tcPr>
            <w:tcW w:w="720" w:type="dxa"/>
            <w:tcBorders>
              <w:top w:val="nil"/>
              <w:left w:val="nil"/>
              <w:bottom w:val="nil"/>
              <w:right w:val="nil"/>
            </w:tcBorders>
            <w:shd w:val="clear" w:color="000000" w:fill="FFFFFF"/>
            <w:vAlign w:val="center"/>
            <w:hideMark/>
          </w:tcPr>
          <w:p w14:paraId="5B8EC0FB" w14:textId="65BEA4A0"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626 </w:t>
            </w:r>
          </w:p>
        </w:tc>
        <w:tc>
          <w:tcPr>
            <w:tcW w:w="996" w:type="dxa"/>
            <w:tcBorders>
              <w:top w:val="nil"/>
              <w:left w:val="nil"/>
              <w:bottom w:val="nil"/>
              <w:right w:val="nil"/>
            </w:tcBorders>
            <w:shd w:val="clear" w:color="000000" w:fill="FFFFFF"/>
            <w:vAlign w:val="center"/>
            <w:hideMark/>
          </w:tcPr>
          <w:p w14:paraId="0E8E3B26"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7,992 </w:t>
            </w:r>
          </w:p>
        </w:tc>
        <w:tc>
          <w:tcPr>
            <w:tcW w:w="996" w:type="dxa"/>
            <w:gridSpan w:val="2"/>
            <w:tcBorders>
              <w:top w:val="nil"/>
              <w:left w:val="nil"/>
              <w:bottom w:val="nil"/>
              <w:right w:val="single" w:sz="8" w:space="0" w:color="auto"/>
            </w:tcBorders>
            <w:shd w:val="clear" w:color="000000" w:fill="FFFFFF"/>
            <w:vAlign w:val="center"/>
            <w:hideMark/>
          </w:tcPr>
          <w:p w14:paraId="017FCBBE" w14:textId="13D805FC"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$428,832</w:t>
            </w:r>
          </w:p>
        </w:tc>
      </w:tr>
      <w:tr w:rsidR="00AA63B0" w:rsidRPr="00634C05" w14:paraId="390F5DC2" w14:textId="77777777" w:rsidTr="00AA63B0">
        <w:trPr>
          <w:trHeight w:val="70"/>
        </w:trPr>
        <w:tc>
          <w:tcPr>
            <w:tcW w:w="2051" w:type="dxa"/>
            <w:tcBorders>
              <w:top w:val="nil"/>
              <w:left w:val="single" w:sz="8" w:space="0" w:color="auto"/>
              <w:bottom w:val="nil"/>
              <w:right w:val="nil"/>
            </w:tcBorders>
            <w:shd w:val="clear" w:color="000000" w:fill="FFFFFF"/>
            <w:vAlign w:val="center"/>
            <w:hideMark/>
          </w:tcPr>
          <w:p w14:paraId="114839E0"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Grant Management</w:t>
            </w:r>
          </w:p>
        </w:tc>
        <w:tc>
          <w:tcPr>
            <w:tcW w:w="739" w:type="dxa"/>
            <w:tcBorders>
              <w:top w:val="nil"/>
              <w:left w:val="single" w:sz="4" w:space="0" w:color="auto"/>
              <w:bottom w:val="nil"/>
              <w:right w:val="nil"/>
            </w:tcBorders>
            <w:shd w:val="clear" w:color="000000" w:fill="FFFFFF"/>
            <w:vAlign w:val="center"/>
            <w:hideMark/>
          </w:tcPr>
          <w:p w14:paraId="1AE0F565"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155</w:t>
            </w:r>
          </w:p>
        </w:tc>
        <w:tc>
          <w:tcPr>
            <w:tcW w:w="810" w:type="dxa"/>
            <w:tcBorders>
              <w:top w:val="nil"/>
              <w:left w:val="nil"/>
              <w:bottom w:val="nil"/>
              <w:right w:val="nil"/>
            </w:tcBorders>
            <w:shd w:val="clear" w:color="000000" w:fill="FFFFFF"/>
            <w:vAlign w:val="center"/>
            <w:hideMark/>
          </w:tcPr>
          <w:p w14:paraId="4332E990" w14:textId="4B18936E" w:rsidR="00AA63B0" w:rsidRPr="00634C05" w:rsidRDefault="00AA63B0" w:rsidP="00C00973">
            <w:pPr>
              <w:jc w:val="both"/>
              <w:rPr>
                <w:rFonts w:ascii="Calibri" w:hAnsi="Calibri" w:cs="Calibri"/>
                <w:color w:val="000000"/>
              </w:rPr>
            </w:pPr>
            <w:r>
              <w:rPr>
                <w:rFonts w:ascii="Calibri" w:hAnsi="Calibri" w:cs="Calibri"/>
                <w:color w:val="000000"/>
              </w:rPr>
              <w:t xml:space="preserve">3,000 </w:t>
            </w:r>
          </w:p>
        </w:tc>
        <w:tc>
          <w:tcPr>
            <w:tcW w:w="990" w:type="dxa"/>
            <w:tcBorders>
              <w:top w:val="nil"/>
              <w:left w:val="nil"/>
              <w:bottom w:val="nil"/>
              <w:right w:val="single" w:sz="4" w:space="0" w:color="auto"/>
            </w:tcBorders>
            <w:shd w:val="clear" w:color="000000" w:fill="FFFFFF"/>
            <w:vAlign w:val="center"/>
            <w:hideMark/>
          </w:tcPr>
          <w:p w14:paraId="13370E8C" w14:textId="2E912956" w:rsidR="00AA63B0" w:rsidRPr="00634C05" w:rsidRDefault="00AA63B0" w:rsidP="00C00973">
            <w:pPr>
              <w:jc w:val="both"/>
              <w:rPr>
                <w:rFonts w:ascii="Calibri" w:hAnsi="Calibri" w:cs="Calibri"/>
                <w:color w:val="000000"/>
              </w:rPr>
            </w:pPr>
            <w:r>
              <w:rPr>
                <w:rFonts w:ascii="Calibri" w:hAnsi="Calibri" w:cs="Calibri"/>
                <w:color w:val="000000"/>
              </w:rPr>
              <w:t xml:space="preserve">$160,973 </w:t>
            </w:r>
          </w:p>
        </w:tc>
        <w:tc>
          <w:tcPr>
            <w:tcW w:w="720" w:type="dxa"/>
            <w:tcBorders>
              <w:top w:val="nil"/>
              <w:left w:val="nil"/>
              <w:bottom w:val="nil"/>
              <w:right w:val="nil"/>
            </w:tcBorders>
            <w:shd w:val="clear" w:color="000000" w:fill="FFFFFF"/>
            <w:vAlign w:val="center"/>
            <w:hideMark/>
          </w:tcPr>
          <w:p w14:paraId="4235C8C2"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720" w:type="dxa"/>
            <w:tcBorders>
              <w:top w:val="nil"/>
              <w:left w:val="nil"/>
              <w:bottom w:val="nil"/>
              <w:right w:val="nil"/>
            </w:tcBorders>
            <w:shd w:val="clear" w:color="000000" w:fill="FFFFFF"/>
            <w:vAlign w:val="center"/>
            <w:hideMark/>
          </w:tcPr>
          <w:p w14:paraId="24638149"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1080" w:type="dxa"/>
            <w:tcBorders>
              <w:top w:val="nil"/>
              <w:left w:val="nil"/>
              <w:bottom w:val="nil"/>
              <w:right w:val="single" w:sz="4" w:space="0" w:color="auto"/>
            </w:tcBorders>
            <w:shd w:val="clear" w:color="000000" w:fill="FFFFFF"/>
            <w:vAlign w:val="center"/>
            <w:hideMark/>
          </w:tcPr>
          <w:p w14:paraId="186399F3" w14:textId="1ABA0268"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$0   </w:t>
            </w:r>
          </w:p>
        </w:tc>
        <w:tc>
          <w:tcPr>
            <w:tcW w:w="360" w:type="dxa"/>
            <w:tcBorders>
              <w:top w:val="nil"/>
              <w:left w:val="nil"/>
              <w:bottom w:val="nil"/>
              <w:right w:val="nil"/>
            </w:tcBorders>
            <w:shd w:val="clear" w:color="000000" w:fill="FFFFFF"/>
          </w:tcPr>
          <w:p w14:paraId="7C363867" w14:textId="77777777" w:rsidR="00AA63B0" w:rsidRPr="00634C05" w:rsidRDefault="00AA63B0" w:rsidP="00C00973">
            <w:pPr>
              <w:jc w:val="both"/>
              <w:rPr>
                <w:rFonts w:ascii="Calibri" w:hAnsi="Calibri" w:cs="Calibri"/>
                <w:color w:val="000000"/>
              </w:rPr>
            </w:pPr>
          </w:p>
        </w:tc>
        <w:tc>
          <w:tcPr>
            <w:tcW w:w="720" w:type="dxa"/>
            <w:tcBorders>
              <w:top w:val="nil"/>
              <w:left w:val="nil"/>
              <w:bottom w:val="nil"/>
              <w:right w:val="nil"/>
            </w:tcBorders>
            <w:shd w:val="clear" w:color="000000" w:fill="FFFFFF"/>
            <w:vAlign w:val="center"/>
            <w:hideMark/>
          </w:tcPr>
          <w:p w14:paraId="4015BD3E" w14:textId="7876AF76"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155 </w:t>
            </w:r>
          </w:p>
        </w:tc>
        <w:tc>
          <w:tcPr>
            <w:tcW w:w="996" w:type="dxa"/>
            <w:tcBorders>
              <w:top w:val="nil"/>
              <w:left w:val="nil"/>
              <w:bottom w:val="nil"/>
              <w:right w:val="nil"/>
            </w:tcBorders>
            <w:shd w:val="clear" w:color="000000" w:fill="FFFFFF"/>
            <w:vAlign w:val="center"/>
            <w:hideMark/>
          </w:tcPr>
          <w:p w14:paraId="1D09D5AF"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3,000 </w:t>
            </w:r>
          </w:p>
        </w:tc>
        <w:tc>
          <w:tcPr>
            <w:tcW w:w="996" w:type="dxa"/>
            <w:gridSpan w:val="2"/>
            <w:tcBorders>
              <w:top w:val="nil"/>
              <w:left w:val="nil"/>
              <w:bottom w:val="nil"/>
              <w:right w:val="single" w:sz="8" w:space="0" w:color="auto"/>
            </w:tcBorders>
            <w:shd w:val="clear" w:color="000000" w:fill="FFFFFF"/>
            <w:vAlign w:val="center"/>
            <w:hideMark/>
          </w:tcPr>
          <w:p w14:paraId="1D574C1B" w14:textId="1B2C51EF"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$160,973 </w:t>
            </w:r>
          </w:p>
        </w:tc>
      </w:tr>
      <w:tr w:rsidR="00AA63B0" w:rsidRPr="00634C05" w14:paraId="74197B50" w14:textId="77777777" w:rsidTr="00AA63B0">
        <w:trPr>
          <w:trHeight w:val="70"/>
        </w:trPr>
        <w:tc>
          <w:tcPr>
            <w:tcW w:w="2051" w:type="dxa"/>
            <w:tcBorders>
              <w:top w:val="nil"/>
              <w:left w:val="single" w:sz="8" w:space="0" w:color="auto"/>
              <w:bottom w:val="single" w:sz="4" w:space="0" w:color="auto"/>
              <w:right w:val="nil"/>
            </w:tcBorders>
            <w:shd w:val="clear" w:color="000000" w:fill="FFFFFF"/>
            <w:vAlign w:val="center"/>
            <w:hideMark/>
          </w:tcPr>
          <w:p w14:paraId="1D8CACED"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FTA Event Notification</w:t>
            </w:r>
          </w:p>
        </w:tc>
        <w:tc>
          <w:tcPr>
            <w:tcW w:w="739" w:type="dxa"/>
            <w:tcBorders>
              <w:top w:val="nil"/>
              <w:left w:val="single" w:sz="4" w:space="0" w:color="auto"/>
              <w:bottom w:val="single" w:sz="4" w:space="0" w:color="auto"/>
              <w:right w:val="nil"/>
            </w:tcBorders>
            <w:shd w:val="clear" w:color="000000" w:fill="FFFFFF"/>
            <w:vAlign w:val="center"/>
            <w:hideMark/>
          </w:tcPr>
          <w:p w14:paraId="38D2C495"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0</w:t>
            </w:r>
          </w:p>
        </w:tc>
        <w:tc>
          <w:tcPr>
            <w:tcW w:w="810" w:type="dxa"/>
            <w:tcBorders>
              <w:top w:val="nil"/>
              <w:left w:val="nil"/>
              <w:bottom w:val="single" w:sz="4" w:space="0" w:color="auto"/>
              <w:right w:val="nil"/>
            </w:tcBorders>
            <w:shd w:val="clear" w:color="000000" w:fill="FFFFFF"/>
            <w:vAlign w:val="center"/>
            <w:hideMark/>
          </w:tcPr>
          <w:p w14:paraId="08CC62B9" w14:textId="15A6C923" w:rsidR="00AA63B0" w:rsidRPr="00634C05" w:rsidRDefault="00AA63B0" w:rsidP="00C00973">
            <w:pPr>
              <w:jc w:val="both"/>
              <w:rPr>
                <w:rFonts w:ascii="Calibri" w:hAnsi="Calibri" w:cs="Calibri"/>
                <w:color w:val="000000"/>
              </w:rPr>
            </w:pPr>
            <w:r>
              <w:rPr>
                <w:rFonts w:ascii="Calibri" w:hAnsi="Calibri" w:cs="Calibri"/>
                <w:color w:val="000000"/>
              </w:rPr>
              <w:t xml:space="preserve">0 </w:t>
            </w:r>
          </w:p>
        </w:tc>
        <w:tc>
          <w:tcPr>
            <w:tcW w:w="990" w:type="dxa"/>
            <w:tcBorders>
              <w:top w:val="nil"/>
              <w:left w:val="nil"/>
              <w:bottom w:val="single" w:sz="4" w:space="0" w:color="auto"/>
              <w:right w:val="single" w:sz="4" w:space="0" w:color="auto"/>
            </w:tcBorders>
            <w:shd w:val="clear" w:color="000000" w:fill="FFFFFF"/>
            <w:vAlign w:val="center"/>
            <w:hideMark/>
          </w:tcPr>
          <w:p w14:paraId="23F3F779" w14:textId="64B58C50" w:rsidR="00AA63B0" w:rsidRPr="00634C05" w:rsidRDefault="00AA63B0" w:rsidP="00C00973">
            <w:pPr>
              <w:jc w:val="both"/>
              <w:rPr>
                <w:rFonts w:ascii="Calibri" w:hAnsi="Calibri" w:cs="Calibri"/>
                <w:color w:val="000000"/>
              </w:rPr>
            </w:pPr>
            <w:r>
              <w:rPr>
                <w:rFonts w:ascii="Calibri" w:hAnsi="Calibri" w:cs="Calibri"/>
                <w:color w:val="000000"/>
              </w:rPr>
              <w:t xml:space="preserve">$0   </w:t>
            </w:r>
          </w:p>
        </w:tc>
        <w:tc>
          <w:tcPr>
            <w:tcW w:w="720" w:type="dxa"/>
            <w:tcBorders>
              <w:top w:val="nil"/>
              <w:left w:val="nil"/>
              <w:bottom w:val="single" w:sz="4" w:space="0" w:color="auto"/>
              <w:right w:val="nil"/>
            </w:tcBorders>
            <w:shd w:val="clear" w:color="000000" w:fill="FFFFFF"/>
            <w:vAlign w:val="center"/>
            <w:hideMark/>
          </w:tcPr>
          <w:p w14:paraId="6169B37F"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720" w:type="dxa"/>
            <w:tcBorders>
              <w:top w:val="nil"/>
              <w:left w:val="nil"/>
              <w:bottom w:val="single" w:sz="4" w:space="0" w:color="auto"/>
              <w:right w:val="nil"/>
            </w:tcBorders>
            <w:shd w:val="clear" w:color="000000" w:fill="FFFFFF"/>
            <w:vAlign w:val="center"/>
            <w:hideMark/>
          </w:tcPr>
          <w:p w14:paraId="2F180779"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618 </w:t>
            </w:r>
          </w:p>
        </w:tc>
        <w:tc>
          <w:tcPr>
            <w:tcW w:w="1080" w:type="dxa"/>
            <w:tcBorders>
              <w:top w:val="nil"/>
              <w:left w:val="nil"/>
              <w:bottom w:val="single" w:sz="4" w:space="0" w:color="auto"/>
              <w:right w:val="single" w:sz="4" w:space="0" w:color="auto"/>
            </w:tcBorders>
            <w:shd w:val="clear" w:color="000000" w:fill="FFFFFF"/>
            <w:vAlign w:val="center"/>
            <w:hideMark/>
          </w:tcPr>
          <w:p w14:paraId="47E37BDB" w14:textId="17F4D01C"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$33,134 </w:t>
            </w:r>
          </w:p>
        </w:tc>
        <w:tc>
          <w:tcPr>
            <w:tcW w:w="360" w:type="dxa"/>
            <w:tcBorders>
              <w:top w:val="nil"/>
              <w:left w:val="nil"/>
              <w:bottom w:val="single" w:sz="4" w:space="0" w:color="auto"/>
              <w:right w:val="nil"/>
            </w:tcBorders>
            <w:shd w:val="clear" w:color="000000" w:fill="FFFFFF"/>
          </w:tcPr>
          <w:p w14:paraId="7648013C" w14:textId="77777777" w:rsidR="00AA63B0" w:rsidRPr="00634C05" w:rsidRDefault="00AA63B0" w:rsidP="00C00973">
            <w:pPr>
              <w:jc w:val="both"/>
              <w:rPr>
                <w:rFonts w:ascii="Calibri" w:hAnsi="Calibri" w:cs="Calibri"/>
                <w:color w:val="000000"/>
              </w:rPr>
            </w:pPr>
          </w:p>
        </w:tc>
        <w:tc>
          <w:tcPr>
            <w:tcW w:w="720" w:type="dxa"/>
            <w:tcBorders>
              <w:top w:val="nil"/>
              <w:left w:val="nil"/>
              <w:bottom w:val="single" w:sz="4" w:space="0" w:color="auto"/>
              <w:right w:val="nil"/>
            </w:tcBorders>
            <w:shd w:val="clear" w:color="000000" w:fill="FFFFFF"/>
            <w:vAlign w:val="center"/>
            <w:hideMark/>
          </w:tcPr>
          <w:p w14:paraId="7D1364A9" w14:textId="26CBDF73"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0 </w:t>
            </w:r>
          </w:p>
        </w:tc>
        <w:tc>
          <w:tcPr>
            <w:tcW w:w="996" w:type="dxa"/>
            <w:tcBorders>
              <w:top w:val="nil"/>
              <w:left w:val="nil"/>
              <w:bottom w:val="single" w:sz="4" w:space="0" w:color="auto"/>
              <w:right w:val="nil"/>
            </w:tcBorders>
            <w:shd w:val="clear" w:color="000000" w:fill="FFFFFF"/>
            <w:vAlign w:val="center"/>
            <w:hideMark/>
          </w:tcPr>
          <w:p w14:paraId="6C099B02" w14:textId="7777777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618 </w:t>
            </w:r>
          </w:p>
        </w:tc>
        <w:tc>
          <w:tcPr>
            <w:tcW w:w="996" w:type="dxa"/>
            <w:gridSpan w:val="2"/>
            <w:tcBorders>
              <w:top w:val="nil"/>
              <w:left w:val="nil"/>
              <w:bottom w:val="single" w:sz="4" w:space="0" w:color="auto"/>
              <w:right w:val="single" w:sz="8" w:space="0" w:color="auto"/>
            </w:tcBorders>
            <w:shd w:val="clear" w:color="000000" w:fill="FFFFFF"/>
            <w:vAlign w:val="center"/>
            <w:hideMark/>
          </w:tcPr>
          <w:p w14:paraId="478C800E" w14:textId="2A33E8D7" w:rsidR="00AA63B0" w:rsidRPr="00634C05" w:rsidRDefault="00AA63B0" w:rsidP="00C00973">
            <w:pPr>
              <w:jc w:val="both"/>
              <w:rPr>
                <w:rFonts w:ascii="Calibri" w:hAnsi="Calibri" w:cs="Calibri"/>
                <w:color w:val="000000"/>
              </w:rPr>
            </w:pPr>
            <w:r w:rsidRPr="00634C05">
              <w:rPr>
                <w:rFonts w:ascii="Calibri" w:hAnsi="Calibri" w:cs="Calibri"/>
                <w:color w:val="000000"/>
              </w:rPr>
              <w:t xml:space="preserve"> $33,134 </w:t>
            </w:r>
          </w:p>
        </w:tc>
      </w:tr>
      <w:tr w:rsidR="00AA63B0" w:rsidRPr="00634C05" w14:paraId="52F26317" w14:textId="77777777" w:rsidTr="00AA63B0">
        <w:trPr>
          <w:trHeight w:val="340"/>
        </w:trPr>
        <w:tc>
          <w:tcPr>
            <w:tcW w:w="2051" w:type="dxa"/>
            <w:tcBorders>
              <w:top w:val="single" w:sz="4" w:space="0" w:color="auto"/>
              <w:left w:val="single" w:sz="8" w:space="0" w:color="auto"/>
              <w:bottom w:val="single" w:sz="8" w:space="0" w:color="auto"/>
              <w:right w:val="nil"/>
            </w:tcBorders>
            <w:shd w:val="clear" w:color="000000" w:fill="FFFFFF"/>
            <w:noWrap/>
            <w:vAlign w:val="center"/>
            <w:hideMark/>
          </w:tcPr>
          <w:p w14:paraId="109CB14A" w14:textId="6BF3936C"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xml:space="preserve">Total SSOA </w:t>
            </w:r>
          </w:p>
        </w:tc>
        <w:tc>
          <w:tcPr>
            <w:tcW w:w="739" w:type="dxa"/>
            <w:tcBorders>
              <w:top w:val="single" w:sz="4" w:space="0" w:color="auto"/>
              <w:left w:val="single" w:sz="4" w:space="0" w:color="auto"/>
              <w:bottom w:val="single" w:sz="8" w:space="0" w:color="auto"/>
              <w:right w:val="nil"/>
            </w:tcBorders>
            <w:shd w:val="clear" w:color="000000" w:fill="FFFFFF"/>
            <w:noWrap/>
            <w:vAlign w:val="center"/>
            <w:hideMark/>
          </w:tcPr>
          <w:p w14:paraId="664A15DC"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692</w:t>
            </w:r>
          </w:p>
        </w:tc>
        <w:tc>
          <w:tcPr>
            <w:tcW w:w="810" w:type="dxa"/>
            <w:tcBorders>
              <w:top w:val="nil"/>
              <w:left w:val="nil"/>
              <w:bottom w:val="single" w:sz="8" w:space="0" w:color="auto"/>
              <w:right w:val="nil"/>
            </w:tcBorders>
            <w:shd w:val="clear" w:color="000000" w:fill="FFFFFF"/>
            <w:vAlign w:val="center"/>
            <w:hideMark/>
          </w:tcPr>
          <w:p w14:paraId="433578AE" w14:textId="55F940EC" w:rsidR="00AA63B0" w:rsidRPr="00634C05" w:rsidRDefault="00AA63B0" w:rsidP="00C00973">
            <w:pPr>
              <w:jc w:val="both"/>
              <w:rPr>
                <w:rFonts w:ascii="Calibri" w:hAnsi="Calibri" w:cs="Calibri"/>
                <w:b/>
                <w:bCs/>
                <w:color w:val="000000"/>
              </w:rPr>
            </w:pPr>
            <w:r>
              <w:rPr>
                <w:rFonts w:ascii="Calibri" w:hAnsi="Calibri" w:cs="Calibri"/>
                <w:b/>
                <w:bCs/>
                <w:color w:val="000000"/>
              </w:rPr>
              <w:t xml:space="preserve">11,603 </w:t>
            </w:r>
          </w:p>
        </w:tc>
        <w:tc>
          <w:tcPr>
            <w:tcW w:w="990" w:type="dxa"/>
            <w:tcBorders>
              <w:top w:val="single" w:sz="4" w:space="0" w:color="auto"/>
              <w:left w:val="nil"/>
              <w:bottom w:val="single" w:sz="8" w:space="0" w:color="auto"/>
              <w:right w:val="single" w:sz="4" w:space="0" w:color="auto"/>
            </w:tcBorders>
            <w:shd w:val="clear" w:color="000000" w:fill="FFFFFF"/>
            <w:vAlign w:val="center"/>
            <w:hideMark/>
          </w:tcPr>
          <w:p w14:paraId="75638A4B" w14:textId="68DC2F26" w:rsidR="00AA63B0" w:rsidRPr="00634C05" w:rsidRDefault="00AA63B0" w:rsidP="00C00973">
            <w:pPr>
              <w:jc w:val="both"/>
              <w:rPr>
                <w:rFonts w:ascii="Calibri" w:hAnsi="Calibri" w:cs="Calibri"/>
                <w:b/>
                <w:bCs/>
                <w:color w:val="000000"/>
              </w:rPr>
            </w:pPr>
            <w:r>
              <w:rPr>
                <w:rFonts w:ascii="Calibri" w:hAnsi="Calibri" w:cs="Calibri"/>
                <w:b/>
                <w:bCs/>
                <w:color w:val="000000"/>
              </w:rPr>
              <w:t xml:space="preserve">$622,587 </w:t>
            </w:r>
          </w:p>
        </w:tc>
        <w:tc>
          <w:tcPr>
            <w:tcW w:w="720" w:type="dxa"/>
            <w:tcBorders>
              <w:top w:val="nil"/>
              <w:left w:val="nil"/>
              <w:bottom w:val="single" w:sz="8" w:space="0" w:color="auto"/>
              <w:right w:val="nil"/>
            </w:tcBorders>
            <w:shd w:val="clear" w:color="000000" w:fill="FFFFFF"/>
            <w:noWrap/>
            <w:vAlign w:val="center"/>
            <w:hideMark/>
          </w:tcPr>
          <w:p w14:paraId="06BD4C58"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144</w:t>
            </w:r>
          </w:p>
        </w:tc>
        <w:tc>
          <w:tcPr>
            <w:tcW w:w="720" w:type="dxa"/>
            <w:tcBorders>
              <w:top w:val="nil"/>
              <w:left w:val="nil"/>
              <w:bottom w:val="single" w:sz="8" w:space="0" w:color="auto"/>
              <w:right w:val="nil"/>
            </w:tcBorders>
            <w:shd w:val="clear" w:color="000000" w:fill="FFFFFF"/>
            <w:vAlign w:val="center"/>
            <w:hideMark/>
          </w:tcPr>
          <w:p w14:paraId="2726916E" w14:textId="77777777"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xml:space="preserve">4,762 </w:t>
            </w:r>
          </w:p>
        </w:tc>
        <w:tc>
          <w:tcPr>
            <w:tcW w:w="1080" w:type="dxa"/>
            <w:tcBorders>
              <w:top w:val="single" w:sz="4" w:space="0" w:color="auto"/>
              <w:left w:val="nil"/>
              <w:bottom w:val="single" w:sz="8" w:space="0" w:color="auto"/>
              <w:right w:val="single" w:sz="4" w:space="0" w:color="auto"/>
            </w:tcBorders>
            <w:shd w:val="clear" w:color="000000" w:fill="FFFFFF"/>
            <w:vAlign w:val="center"/>
            <w:hideMark/>
          </w:tcPr>
          <w:p w14:paraId="0DA5EB0D" w14:textId="1FBFFD53"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xml:space="preserve"> $255,520 </w:t>
            </w:r>
          </w:p>
        </w:tc>
        <w:tc>
          <w:tcPr>
            <w:tcW w:w="360" w:type="dxa"/>
            <w:tcBorders>
              <w:top w:val="nil"/>
              <w:left w:val="nil"/>
              <w:bottom w:val="single" w:sz="8" w:space="0" w:color="auto"/>
              <w:right w:val="nil"/>
            </w:tcBorders>
            <w:shd w:val="clear" w:color="000000" w:fill="FFFFFF"/>
          </w:tcPr>
          <w:p w14:paraId="2E5E527F" w14:textId="77777777" w:rsidR="00AA63B0" w:rsidRPr="00634C05" w:rsidRDefault="00AA63B0" w:rsidP="00C00973">
            <w:pPr>
              <w:jc w:val="both"/>
              <w:rPr>
                <w:rFonts w:ascii="Calibri" w:hAnsi="Calibri" w:cs="Calibri"/>
                <w:b/>
                <w:bCs/>
                <w:color w:val="000000"/>
              </w:rPr>
            </w:pPr>
          </w:p>
        </w:tc>
        <w:tc>
          <w:tcPr>
            <w:tcW w:w="720" w:type="dxa"/>
            <w:tcBorders>
              <w:top w:val="nil"/>
              <w:left w:val="nil"/>
              <w:bottom w:val="single" w:sz="8" w:space="0" w:color="auto"/>
              <w:right w:val="nil"/>
            </w:tcBorders>
            <w:shd w:val="clear" w:color="000000" w:fill="FFFFFF"/>
            <w:noWrap/>
            <w:vAlign w:val="center"/>
            <w:hideMark/>
          </w:tcPr>
          <w:p w14:paraId="31370D24" w14:textId="260F272B"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836</w:t>
            </w:r>
          </w:p>
        </w:tc>
        <w:tc>
          <w:tcPr>
            <w:tcW w:w="996" w:type="dxa"/>
            <w:tcBorders>
              <w:top w:val="nil"/>
              <w:left w:val="nil"/>
              <w:bottom w:val="single" w:sz="8" w:space="0" w:color="auto"/>
              <w:right w:val="nil"/>
            </w:tcBorders>
            <w:shd w:val="clear" w:color="000000" w:fill="FFFFFF"/>
            <w:vAlign w:val="center"/>
            <w:hideMark/>
          </w:tcPr>
          <w:p w14:paraId="27FFF97E" w14:textId="383EB3C4"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16,</w:t>
            </w:r>
            <w:r>
              <w:rPr>
                <w:rFonts w:ascii="Calibri" w:hAnsi="Calibri" w:cs="Calibri"/>
                <w:b/>
                <w:bCs/>
                <w:color w:val="000000"/>
              </w:rPr>
              <w:t>3</w:t>
            </w:r>
            <w:r w:rsidRPr="00634C05">
              <w:rPr>
                <w:rFonts w:ascii="Calibri" w:hAnsi="Calibri" w:cs="Calibri"/>
                <w:b/>
                <w:bCs/>
                <w:color w:val="000000"/>
              </w:rPr>
              <w:t>65</w:t>
            </w:r>
          </w:p>
        </w:tc>
        <w:tc>
          <w:tcPr>
            <w:tcW w:w="996" w:type="dxa"/>
            <w:gridSpan w:val="2"/>
            <w:tcBorders>
              <w:top w:val="single" w:sz="4" w:space="0" w:color="auto"/>
              <w:left w:val="nil"/>
              <w:bottom w:val="single" w:sz="8" w:space="0" w:color="auto"/>
              <w:right w:val="single" w:sz="8" w:space="0" w:color="auto"/>
            </w:tcBorders>
            <w:shd w:val="clear" w:color="000000" w:fill="FFFFFF"/>
            <w:vAlign w:val="center"/>
            <w:hideMark/>
          </w:tcPr>
          <w:p w14:paraId="22132154" w14:textId="77F53F32" w:rsidR="00AA63B0" w:rsidRPr="00634C05" w:rsidRDefault="00AA63B0" w:rsidP="00C00973">
            <w:pPr>
              <w:jc w:val="both"/>
              <w:rPr>
                <w:rFonts w:ascii="Calibri" w:hAnsi="Calibri" w:cs="Calibri"/>
                <w:b/>
                <w:bCs/>
                <w:color w:val="000000"/>
              </w:rPr>
            </w:pPr>
            <w:r w:rsidRPr="00634C05">
              <w:rPr>
                <w:rFonts w:ascii="Calibri" w:hAnsi="Calibri" w:cs="Calibri"/>
                <w:b/>
                <w:bCs/>
                <w:color w:val="000000"/>
              </w:rPr>
              <w:t xml:space="preserve"> $87</w:t>
            </w:r>
            <w:r>
              <w:rPr>
                <w:rFonts w:ascii="Calibri" w:hAnsi="Calibri" w:cs="Calibri"/>
                <w:b/>
                <w:bCs/>
                <w:color w:val="000000"/>
              </w:rPr>
              <w:t>8</w:t>
            </w:r>
            <w:r w:rsidRPr="00634C05">
              <w:rPr>
                <w:rFonts w:ascii="Calibri" w:hAnsi="Calibri" w:cs="Calibri"/>
                <w:b/>
                <w:bCs/>
                <w:color w:val="000000"/>
              </w:rPr>
              <w:t>,</w:t>
            </w:r>
            <w:r>
              <w:rPr>
                <w:rFonts w:ascii="Calibri" w:hAnsi="Calibri" w:cs="Calibri"/>
                <w:b/>
                <w:bCs/>
                <w:color w:val="000000"/>
              </w:rPr>
              <w:t>107</w:t>
            </w:r>
            <w:r w:rsidRPr="00634C05">
              <w:rPr>
                <w:rFonts w:ascii="Calibri" w:hAnsi="Calibri" w:cs="Calibri"/>
                <w:b/>
                <w:bCs/>
                <w:color w:val="000000"/>
              </w:rPr>
              <w:t xml:space="preserve"> </w:t>
            </w:r>
          </w:p>
        </w:tc>
      </w:tr>
    </w:tbl>
    <w:p w14:paraId="0E16D70B" w14:textId="28E18879" w:rsidR="00634C05" w:rsidRPr="00634C05" w:rsidRDefault="00634C05" w:rsidP="00C0097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634C05">
        <w:rPr>
          <w:b/>
          <w:color w:val="000000"/>
          <w:sz w:val="24"/>
          <w:szCs w:val="24"/>
        </w:rPr>
        <w:t>*</w:t>
      </w:r>
      <w:r>
        <w:rPr>
          <w:b/>
          <w:color w:val="000000"/>
          <w:sz w:val="24"/>
          <w:szCs w:val="24"/>
        </w:rPr>
        <w:t xml:space="preserve"> </w:t>
      </w:r>
      <w:r w:rsidRPr="00634C05">
        <w:rPr>
          <w:bCs/>
          <w:color w:val="000000"/>
          <w:sz w:val="24"/>
          <w:szCs w:val="24"/>
        </w:rPr>
        <w:t>number of estimated responses</w:t>
      </w:r>
    </w:p>
    <w:p w14:paraId="39E0AC4D" w14:textId="543B25A0" w:rsidR="00E75ACE" w:rsidRPr="00634C05" w:rsidRDefault="00E75ACE" w:rsidP="00C00973">
      <w:pPr>
        <w:autoSpaceDE w:val="0"/>
        <w:autoSpaceDN w:val="0"/>
        <w:adjustRightInd w:val="0"/>
        <w:jc w:val="both"/>
        <w:rPr>
          <w:sz w:val="24"/>
          <w:szCs w:val="24"/>
        </w:rPr>
      </w:pPr>
    </w:p>
    <w:p w14:paraId="7B3EEA39" w14:textId="0AA11D3D" w:rsidR="00874206" w:rsidRPr="00634C05" w:rsidRDefault="00866909" w:rsidP="00C00973">
      <w:pPr>
        <w:jc w:val="both"/>
        <w:rPr>
          <w:b/>
          <w:sz w:val="24"/>
          <w:szCs w:val="24"/>
        </w:rPr>
      </w:pPr>
      <w:r w:rsidRPr="00634C05">
        <w:rPr>
          <w:b/>
          <w:sz w:val="24"/>
          <w:szCs w:val="24"/>
        </w:rPr>
        <w:t>Annual Reporting</w:t>
      </w:r>
    </w:p>
    <w:p w14:paraId="61EB7204" w14:textId="208200E3" w:rsidR="00634C05" w:rsidRPr="00634C05" w:rsidRDefault="00634C05" w:rsidP="00C00973">
      <w:pPr>
        <w:jc w:val="both"/>
        <w:rPr>
          <w:b/>
          <w:sz w:val="24"/>
          <w:szCs w:val="24"/>
        </w:rPr>
      </w:pPr>
    </w:p>
    <w:p w14:paraId="3668BA7D" w14:textId="23F0A72F" w:rsidR="00634C05" w:rsidRPr="00634C05" w:rsidRDefault="00634C05" w:rsidP="00C00973">
      <w:pPr>
        <w:ind w:firstLine="360"/>
        <w:jc w:val="both"/>
        <w:rPr>
          <w:bCs/>
          <w:sz w:val="24"/>
          <w:szCs w:val="24"/>
        </w:rPr>
      </w:pPr>
      <w:r w:rsidRPr="00634C05">
        <w:rPr>
          <w:bCs/>
          <w:sz w:val="24"/>
          <w:szCs w:val="24"/>
        </w:rPr>
        <w:t>FTA requires each SSOA to make an Annual Submission each year summarizing their program activity for the previous calendar year. Beginning with Calendar Year 2019 reporting, SSOAs will make this submission through a new web-based reporting tool.</w:t>
      </w:r>
    </w:p>
    <w:p w14:paraId="4A14922A" w14:textId="77777777" w:rsidR="00634C05" w:rsidRPr="00634C05" w:rsidRDefault="00634C05" w:rsidP="00C00973">
      <w:pPr>
        <w:jc w:val="both"/>
        <w:rPr>
          <w:b/>
          <w:sz w:val="24"/>
          <w:szCs w:val="24"/>
        </w:rPr>
      </w:pPr>
    </w:p>
    <w:tbl>
      <w:tblPr>
        <w:tblW w:w="8040" w:type="dxa"/>
        <w:tblLook w:val="04A0" w:firstRow="1" w:lastRow="0" w:firstColumn="1" w:lastColumn="0" w:noHBand="0" w:noVBand="1"/>
      </w:tblPr>
      <w:tblGrid>
        <w:gridCol w:w="6740"/>
        <w:gridCol w:w="1300"/>
      </w:tblGrid>
      <w:tr w:rsidR="00C542C0" w:rsidRPr="00866909" w14:paraId="602486B7" w14:textId="77777777" w:rsidTr="00C542C0">
        <w:trPr>
          <w:trHeight w:val="260"/>
        </w:trPr>
        <w:tc>
          <w:tcPr>
            <w:tcW w:w="6740" w:type="dxa"/>
            <w:tcBorders>
              <w:top w:val="single" w:sz="4" w:space="0" w:color="auto"/>
              <w:left w:val="single" w:sz="8" w:space="0" w:color="auto"/>
              <w:bottom w:val="single" w:sz="8" w:space="0" w:color="auto"/>
              <w:right w:val="nil"/>
            </w:tcBorders>
            <w:shd w:val="clear" w:color="000000" w:fill="FFFFFF"/>
            <w:vAlign w:val="bottom"/>
            <w:hideMark/>
          </w:tcPr>
          <w:p w14:paraId="37AC8E42"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Total estimated hours necessary for Annual Reporting for SSOA community</w:t>
            </w:r>
            <w:r w:rsidR="00C542C0">
              <w:rPr>
                <w:rStyle w:val="FootnoteReference"/>
                <w:rFonts w:ascii="Calibri" w:hAnsi="Calibri" w:cs="Calibri"/>
                <w:color w:val="000000"/>
                <w:sz w:val="24"/>
                <w:szCs w:val="24"/>
              </w:rPr>
              <w:footnoteReference w:id="2"/>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14:paraId="71DA5610" w14:textId="4ADF782F" w:rsidR="00866909" w:rsidRPr="00866909" w:rsidRDefault="00866909" w:rsidP="00C00973">
            <w:pPr>
              <w:ind w:right="263"/>
              <w:jc w:val="both"/>
              <w:rPr>
                <w:rFonts w:ascii="Calibri" w:hAnsi="Calibri" w:cs="Calibri"/>
                <w:b/>
                <w:bCs/>
                <w:color w:val="000000"/>
                <w:sz w:val="24"/>
                <w:szCs w:val="24"/>
              </w:rPr>
            </w:pPr>
            <w:r w:rsidRPr="00866909">
              <w:rPr>
                <w:rFonts w:ascii="Calibri" w:hAnsi="Calibri" w:cs="Calibri"/>
                <w:b/>
                <w:bCs/>
                <w:color w:val="000000"/>
                <w:sz w:val="24"/>
                <w:szCs w:val="24"/>
              </w:rPr>
              <w:t>2,92</w:t>
            </w:r>
            <w:r w:rsidR="001E4BE1">
              <w:rPr>
                <w:rFonts w:ascii="Calibri" w:hAnsi="Calibri" w:cs="Calibri"/>
                <w:b/>
                <w:bCs/>
                <w:color w:val="000000"/>
                <w:sz w:val="24"/>
                <w:szCs w:val="24"/>
              </w:rPr>
              <w:t>0</w:t>
            </w:r>
          </w:p>
        </w:tc>
      </w:tr>
    </w:tbl>
    <w:p w14:paraId="745111B0" w14:textId="77777777" w:rsidR="00866909" w:rsidRPr="00634C05" w:rsidRDefault="00866909" w:rsidP="00C00973">
      <w:pPr>
        <w:jc w:val="both"/>
        <w:rPr>
          <w:b/>
          <w:sz w:val="24"/>
          <w:szCs w:val="24"/>
        </w:rPr>
      </w:pPr>
    </w:p>
    <w:p w14:paraId="65208CC3" w14:textId="6AAB754E" w:rsidR="00866909" w:rsidRPr="00634C05" w:rsidRDefault="00866909" w:rsidP="00C00973">
      <w:pPr>
        <w:jc w:val="both"/>
        <w:rPr>
          <w:b/>
          <w:sz w:val="24"/>
          <w:szCs w:val="24"/>
        </w:rPr>
      </w:pPr>
      <w:r w:rsidRPr="00634C05">
        <w:rPr>
          <w:b/>
          <w:sz w:val="24"/>
          <w:szCs w:val="24"/>
        </w:rPr>
        <w:t>FTA Audits</w:t>
      </w:r>
    </w:p>
    <w:p w14:paraId="4DAEA9C7" w14:textId="77777777" w:rsidR="00634C05" w:rsidRPr="00634C05" w:rsidRDefault="00634C05" w:rsidP="00C00973">
      <w:pPr>
        <w:jc w:val="both"/>
        <w:rPr>
          <w:bCs/>
          <w:sz w:val="24"/>
          <w:szCs w:val="24"/>
        </w:rPr>
      </w:pPr>
    </w:p>
    <w:p w14:paraId="4EC02759" w14:textId="3952F12C" w:rsidR="00634C05" w:rsidRDefault="00634C05" w:rsidP="00C00973">
      <w:pPr>
        <w:ind w:firstLine="360"/>
        <w:jc w:val="both"/>
        <w:rPr>
          <w:bCs/>
          <w:sz w:val="24"/>
          <w:szCs w:val="24"/>
        </w:rPr>
      </w:pPr>
      <w:r w:rsidRPr="00634C05">
        <w:rPr>
          <w:bCs/>
          <w:sz w:val="24"/>
          <w:szCs w:val="24"/>
        </w:rPr>
        <w:t>FTA conducts an audit of each SSOA at least once every three years. These audits include pre-audit document collection, onsite review and interviews, and audit follow-up to track finding resolution. FTA will conduct approximately 10 audits per year. Audits also include RTA participation and require information collection from RTAs during the onsite portion of the audit.</w:t>
      </w:r>
    </w:p>
    <w:p w14:paraId="3DFB0950" w14:textId="77777777" w:rsidR="00634C05" w:rsidRPr="00634C05" w:rsidRDefault="00634C05" w:rsidP="00C00973">
      <w:pPr>
        <w:jc w:val="both"/>
        <w:rPr>
          <w:bCs/>
          <w:sz w:val="24"/>
          <w:szCs w:val="24"/>
        </w:rPr>
      </w:pPr>
    </w:p>
    <w:tbl>
      <w:tblPr>
        <w:tblW w:w="8055" w:type="dxa"/>
        <w:tblLook w:val="04A0" w:firstRow="1" w:lastRow="0" w:firstColumn="1" w:lastColumn="0" w:noHBand="0" w:noVBand="1"/>
      </w:tblPr>
      <w:tblGrid>
        <w:gridCol w:w="5210"/>
        <w:gridCol w:w="1455"/>
        <w:gridCol w:w="1390"/>
      </w:tblGrid>
      <w:tr w:rsidR="003B1CAD" w:rsidRPr="00866909" w14:paraId="44A570A6" w14:textId="77777777" w:rsidTr="008A4301">
        <w:trPr>
          <w:trHeight w:val="50"/>
          <w:tblHeader/>
        </w:trPr>
        <w:tc>
          <w:tcPr>
            <w:tcW w:w="5210" w:type="dxa"/>
            <w:tcBorders>
              <w:top w:val="single" w:sz="8" w:space="0" w:color="auto"/>
              <w:left w:val="single" w:sz="8" w:space="0" w:color="auto"/>
              <w:bottom w:val="single" w:sz="4" w:space="0" w:color="auto"/>
              <w:right w:val="nil"/>
            </w:tcBorders>
            <w:shd w:val="clear" w:color="000000" w:fill="FFFFFF"/>
            <w:vAlign w:val="bottom"/>
            <w:hideMark/>
          </w:tcPr>
          <w:p w14:paraId="2CC5108C" w14:textId="77777777" w:rsidR="003B1CAD" w:rsidRPr="00866909" w:rsidRDefault="003B1CAD" w:rsidP="00C00973">
            <w:pPr>
              <w:jc w:val="both"/>
              <w:rPr>
                <w:rFonts w:ascii="Calibri" w:hAnsi="Calibri" w:cs="Calibri"/>
                <w:b/>
                <w:bCs/>
                <w:color w:val="000000"/>
                <w:sz w:val="24"/>
                <w:szCs w:val="24"/>
              </w:rPr>
            </w:pPr>
            <w:r w:rsidRPr="00866909">
              <w:rPr>
                <w:rFonts w:ascii="Calibri" w:hAnsi="Calibri" w:cs="Calibri"/>
                <w:b/>
                <w:bCs/>
                <w:color w:val="000000"/>
                <w:sz w:val="24"/>
                <w:szCs w:val="24"/>
              </w:rPr>
              <w:t>Activity</w:t>
            </w:r>
          </w:p>
        </w:tc>
        <w:tc>
          <w:tcPr>
            <w:tcW w:w="1455" w:type="dxa"/>
            <w:tcBorders>
              <w:top w:val="single" w:sz="8" w:space="0" w:color="auto"/>
              <w:left w:val="nil"/>
              <w:bottom w:val="single" w:sz="4" w:space="0" w:color="auto"/>
              <w:right w:val="nil"/>
            </w:tcBorders>
            <w:shd w:val="clear" w:color="000000" w:fill="FFFFFF"/>
            <w:vAlign w:val="bottom"/>
            <w:hideMark/>
          </w:tcPr>
          <w:p w14:paraId="1F18A06E" w14:textId="77777777" w:rsidR="003B1CAD" w:rsidRPr="00866909" w:rsidRDefault="003B1CAD" w:rsidP="00C00973">
            <w:pPr>
              <w:jc w:val="both"/>
              <w:rPr>
                <w:rFonts w:ascii="Calibri" w:hAnsi="Calibri" w:cs="Calibri"/>
                <w:b/>
                <w:bCs/>
                <w:color w:val="000000"/>
                <w:sz w:val="24"/>
                <w:szCs w:val="24"/>
              </w:rPr>
            </w:pPr>
            <w:r w:rsidRPr="00866909">
              <w:rPr>
                <w:rFonts w:ascii="Calibri" w:hAnsi="Calibri" w:cs="Calibri"/>
                <w:b/>
                <w:bCs/>
                <w:color w:val="000000"/>
                <w:sz w:val="24"/>
                <w:szCs w:val="24"/>
              </w:rPr>
              <w:t>SSOA Hours Estimate</w:t>
            </w:r>
            <w:r>
              <w:rPr>
                <w:rStyle w:val="FootnoteReference"/>
                <w:rFonts w:ascii="Calibri" w:hAnsi="Calibri" w:cs="Calibri"/>
                <w:color w:val="000000"/>
                <w:sz w:val="24"/>
                <w:szCs w:val="24"/>
              </w:rPr>
              <w:footnoteReference w:id="3"/>
            </w:r>
          </w:p>
        </w:tc>
        <w:tc>
          <w:tcPr>
            <w:tcW w:w="1390" w:type="dxa"/>
            <w:tcBorders>
              <w:top w:val="single" w:sz="8" w:space="0" w:color="auto"/>
              <w:left w:val="nil"/>
              <w:bottom w:val="single" w:sz="4" w:space="0" w:color="auto"/>
              <w:right w:val="single" w:sz="8" w:space="0" w:color="auto"/>
            </w:tcBorders>
            <w:shd w:val="clear" w:color="000000" w:fill="FFFFFF"/>
            <w:vAlign w:val="bottom"/>
            <w:hideMark/>
          </w:tcPr>
          <w:p w14:paraId="0ECF6013" w14:textId="3CA7ECD0" w:rsidR="003B1CAD" w:rsidRPr="00866909" w:rsidRDefault="003B1CAD" w:rsidP="00C00973">
            <w:pPr>
              <w:jc w:val="both"/>
              <w:rPr>
                <w:rFonts w:ascii="Calibri" w:hAnsi="Calibri" w:cs="Calibri"/>
                <w:b/>
                <w:bCs/>
                <w:color w:val="000000"/>
                <w:sz w:val="24"/>
                <w:szCs w:val="24"/>
              </w:rPr>
            </w:pPr>
            <w:r w:rsidRPr="00866909">
              <w:rPr>
                <w:rFonts w:ascii="Calibri" w:hAnsi="Calibri" w:cs="Calibri"/>
                <w:b/>
                <w:bCs/>
                <w:color w:val="000000"/>
                <w:sz w:val="24"/>
                <w:szCs w:val="24"/>
              </w:rPr>
              <w:t>RTA Hours Estimate</w:t>
            </w:r>
            <w:r w:rsidR="001E4BE1" w:rsidRPr="001E4BE1">
              <w:rPr>
                <w:rFonts w:ascii="Calibri" w:hAnsi="Calibri" w:cs="Calibri"/>
                <w:color w:val="000000"/>
                <w:sz w:val="24"/>
                <w:szCs w:val="24"/>
                <w:vertAlign w:val="superscript"/>
              </w:rPr>
              <w:t>3</w:t>
            </w:r>
          </w:p>
        </w:tc>
      </w:tr>
      <w:tr w:rsidR="003B1CAD" w:rsidRPr="00866909" w14:paraId="086CC4ED" w14:textId="77777777" w:rsidTr="00634C05">
        <w:trPr>
          <w:trHeight w:val="60"/>
        </w:trPr>
        <w:tc>
          <w:tcPr>
            <w:tcW w:w="5210" w:type="dxa"/>
            <w:tcBorders>
              <w:top w:val="single" w:sz="4" w:space="0" w:color="auto"/>
              <w:left w:val="single" w:sz="8" w:space="0" w:color="auto"/>
              <w:bottom w:val="single" w:sz="4" w:space="0" w:color="auto"/>
              <w:right w:val="nil"/>
            </w:tcBorders>
            <w:shd w:val="clear" w:color="000000" w:fill="FFFFFF"/>
            <w:hideMark/>
          </w:tcPr>
          <w:p w14:paraId="19DF6F8B"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Pre-Audit Document Request</w:t>
            </w:r>
          </w:p>
        </w:tc>
        <w:tc>
          <w:tcPr>
            <w:tcW w:w="1455" w:type="dxa"/>
            <w:tcBorders>
              <w:top w:val="single" w:sz="4" w:space="0" w:color="auto"/>
              <w:left w:val="nil"/>
              <w:bottom w:val="single" w:sz="4" w:space="0" w:color="auto"/>
              <w:right w:val="nil"/>
            </w:tcBorders>
            <w:shd w:val="clear" w:color="000000" w:fill="FFFFFF"/>
            <w:noWrap/>
            <w:hideMark/>
          </w:tcPr>
          <w:p w14:paraId="2BC6D5CE"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10</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0604FD0E"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 </w:t>
            </w:r>
          </w:p>
        </w:tc>
      </w:tr>
      <w:tr w:rsidR="003B1CAD" w:rsidRPr="00866909" w14:paraId="06EDEFE9"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4FCB6C79"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SSOA On-Site Interviews</w:t>
            </w:r>
          </w:p>
        </w:tc>
        <w:tc>
          <w:tcPr>
            <w:tcW w:w="1455" w:type="dxa"/>
            <w:tcBorders>
              <w:top w:val="single" w:sz="4" w:space="0" w:color="auto"/>
              <w:left w:val="nil"/>
              <w:bottom w:val="single" w:sz="4" w:space="0" w:color="auto"/>
              <w:right w:val="nil"/>
            </w:tcBorders>
            <w:shd w:val="clear" w:color="000000" w:fill="FFFFFF"/>
            <w:noWrap/>
            <w:hideMark/>
          </w:tcPr>
          <w:p w14:paraId="4A0D3686"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16</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77F180FA"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 </w:t>
            </w:r>
          </w:p>
        </w:tc>
      </w:tr>
      <w:tr w:rsidR="003B1CAD" w:rsidRPr="00866909" w14:paraId="0514385D"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71195F23"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RTA On-Site Entrance and Exit Briefing</w:t>
            </w:r>
          </w:p>
        </w:tc>
        <w:tc>
          <w:tcPr>
            <w:tcW w:w="1455" w:type="dxa"/>
            <w:tcBorders>
              <w:top w:val="single" w:sz="4" w:space="0" w:color="auto"/>
              <w:left w:val="nil"/>
              <w:bottom w:val="single" w:sz="4" w:space="0" w:color="auto"/>
              <w:right w:val="nil"/>
            </w:tcBorders>
            <w:shd w:val="clear" w:color="000000" w:fill="FFFFFF"/>
            <w:noWrap/>
            <w:hideMark/>
          </w:tcPr>
          <w:p w14:paraId="7563A2F8"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4</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0A6FFB9C"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8</w:t>
            </w:r>
          </w:p>
        </w:tc>
      </w:tr>
      <w:tr w:rsidR="003B1CAD" w:rsidRPr="00866909" w14:paraId="3A2D2575"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73C2ED19"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RTA System Tour and Records Reviews</w:t>
            </w:r>
          </w:p>
        </w:tc>
        <w:tc>
          <w:tcPr>
            <w:tcW w:w="1455" w:type="dxa"/>
            <w:tcBorders>
              <w:top w:val="single" w:sz="4" w:space="0" w:color="auto"/>
              <w:left w:val="nil"/>
              <w:bottom w:val="single" w:sz="4" w:space="0" w:color="auto"/>
              <w:right w:val="nil"/>
            </w:tcBorders>
            <w:shd w:val="clear" w:color="000000" w:fill="FFFFFF"/>
            <w:noWrap/>
            <w:hideMark/>
          </w:tcPr>
          <w:p w14:paraId="180EC375"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6</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096D1E39"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6</w:t>
            </w:r>
          </w:p>
        </w:tc>
      </w:tr>
      <w:tr w:rsidR="003B1CAD" w:rsidRPr="00866909" w14:paraId="3ED1CF15"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7102CE8B"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RTA On-Site Interviews</w:t>
            </w:r>
          </w:p>
        </w:tc>
        <w:tc>
          <w:tcPr>
            <w:tcW w:w="1455" w:type="dxa"/>
            <w:tcBorders>
              <w:top w:val="single" w:sz="4" w:space="0" w:color="auto"/>
              <w:left w:val="nil"/>
              <w:bottom w:val="single" w:sz="4" w:space="0" w:color="auto"/>
              <w:right w:val="nil"/>
            </w:tcBorders>
            <w:shd w:val="clear" w:color="000000" w:fill="FFFFFF"/>
            <w:noWrap/>
            <w:hideMark/>
          </w:tcPr>
          <w:p w14:paraId="13BAB0EC"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38</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7C21FC1D"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57</w:t>
            </w:r>
          </w:p>
        </w:tc>
      </w:tr>
      <w:tr w:rsidR="003B1CAD" w:rsidRPr="00866909" w14:paraId="15DD96D8"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12023DDC"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SSOA Audit Report Review Period</w:t>
            </w:r>
          </w:p>
        </w:tc>
        <w:tc>
          <w:tcPr>
            <w:tcW w:w="1455" w:type="dxa"/>
            <w:tcBorders>
              <w:top w:val="single" w:sz="4" w:space="0" w:color="auto"/>
              <w:left w:val="nil"/>
              <w:bottom w:val="single" w:sz="4" w:space="0" w:color="auto"/>
              <w:right w:val="nil"/>
            </w:tcBorders>
            <w:shd w:val="clear" w:color="000000" w:fill="FFFFFF"/>
            <w:noWrap/>
            <w:hideMark/>
          </w:tcPr>
          <w:p w14:paraId="7B0BE39B" w14:textId="32C1E982"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1</w:t>
            </w:r>
            <w:r w:rsidR="001E4BE1">
              <w:rPr>
                <w:rFonts w:ascii="Calibri" w:hAnsi="Calibri" w:cs="Calibri"/>
                <w:color w:val="000000"/>
                <w:sz w:val="22"/>
                <w:szCs w:val="22"/>
              </w:rPr>
              <w:t>6</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1227A47A"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 </w:t>
            </w:r>
          </w:p>
        </w:tc>
      </w:tr>
      <w:tr w:rsidR="003B1CAD" w:rsidRPr="00866909" w14:paraId="0DA3BCCE"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70F08A9F"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Drafting Responses to Findings and Creating CAPs</w:t>
            </w:r>
          </w:p>
        </w:tc>
        <w:tc>
          <w:tcPr>
            <w:tcW w:w="1455" w:type="dxa"/>
            <w:tcBorders>
              <w:top w:val="single" w:sz="4" w:space="0" w:color="auto"/>
              <w:left w:val="nil"/>
              <w:bottom w:val="single" w:sz="4" w:space="0" w:color="auto"/>
              <w:right w:val="nil"/>
            </w:tcBorders>
            <w:shd w:val="clear" w:color="000000" w:fill="FFFFFF"/>
            <w:noWrap/>
            <w:hideMark/>
          </w:tcPr>
          <w:p w14:paraId="5702F1C4" w14:textId="1AF0C406"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2</w:t>
            </w:r>
            <w:r w:rsidR="001E4BE1">
              <w:rPr>
                <w:rFonts w:ascii="Calibri" w:hAnsi="Calibri" w:cs="Calibri"/>
                <w:color w:val="000000"/>
                <w:sz w:val="22"/>
                <w:szCs w:val="22"/>
              </w:rPr>
              <w:t>4</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2701DDB9"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 </w:t>
            </w:r>
          </w:p>
        </w:tc>
      </w:tr>
      <w:tr w:rsidR="003B1CAD" w:rsidRPr="00866909" w14:paraId="0C24F7A1" w14:textId="77777777" w:rsidTr="003B1CAD">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14:paraId="5D8EDFF5" w14:textId="77777777" w:rsidR="003B1CAD" w:rsidRPr="008A4301" w:rsidRDefault="003B1CAD" w:rsidP="00C00973">
            <w:pPr>
              <w:jc w:val="both"/>
              <w:rPr>
                <w:rFonts w:ascii="Calibri" w:hAnsi="Calibri" w:cs="Calibri"/>
                <w:color w:val="000000"/>
                <w:sz w:val="22"/>
                <w:szCs w:val="22"/>
              </w:rPr>
            </w:pPr>
            <w:r w:rsidRPr="008A4301">
              <w:rPr>
                <w:rFonts w:ascii="Calibri" w:hAnsi="Calibri" w:cs="Calibri"/>
                <w:color w:val="000000"/>
                <w:sz w:val="22"/>
                <w:szCs w:val="22"/>
              </w:rPr>
              <w:t>Executing and Reporting to FTA on CAP Progress</w:t>
            </w:r>
          </w:p>
        </w:tc>
        <w:tc>
          <w:tcPr>
            <w:tcW w:w="1455" w:type="dxa"/>
            <w:tcBorders>
              <w:top w:val="single" w:sz="4" w:space="0" w:color="auto"/>
              <w:left w:val="nil"/>
              <w:bottom w:val="single" w:sz="4" w:space="0" w:color="auto"/>
              <w:right w:val="nil"/>
            </w:tcBorders>
            <w:shd w:val="clear" w:color="000000" w:fill="FFFFFF"/>
            <w:noWrap/>
            <w:hideMark/>
          </w:tcPr>
          <w:p w14:paraId="4D32B1E4"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40</w:t>
            </w:r>
          </w:p>
        </w:tc>
        <w:tc>
          <w:tcPr>
            <w:tcW w:w="1390" w:type="dxa"/>
            <w:tcBorders>
              <w:top w:val="single" w:sz="4" w:space="0" w:color="auto"/>
              <w:left w:val="nil"/>
              <w:bottom w:val="single" w:sz="4" w:space="0" w:color="auto"/>
              <w:right w:val="single" w:sz="8" w:space="0" w:color="auto"/>
            </w:tcBorders>
            <w:shd w:val="clear" w:color="000000" w:fill="FFFFFF"/>
            <w:noWrap/>
            <w:hideMark/>
          </w:tcPr>
          <w:p w14:paraId="2CDF4348"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 </w:t>
            </w:r>
          </w:p>
        </w:tc>
      </w:tr>
      <w:tr w:rsidR="003B1CAD" w:rsidRPr="00866909" w14:paraId="089C01C8" w14:textId="77777777" w:rsidTr="003D3C8B">
        <w:trPr>
          <w:trHeight w:val="320"/>
        </w:trPr>
        <w:tc>
          <w:tcPr>
            <w:tcW w:w="5210" w:type="dxa"/>
            <w:tcBorders>
              <w:top w:val="nil"/>
              <w:left w:val="single" w:sz="8" w:space="0" w:color="auto"/>
              <w:bottom w:val="nil"/>
              <w:right w:val="nil"/>
            </w:tcBorders>
            <w:shd w:val="clear" w:color="000000" w:fill="FFFFFF"/>
            <w:vAlign w:val="center"/>
            <w:hideMark/>
          </w:tcPr>
          <w:p w14:paraId="013C8022" w14:textId="77777777" w:rsidR="003B1CAD" w:rsidRPr="008A4301" w:rsidRDefault="003B1CAD" w:rsidP="00C00973">
            <w:pPr>
              <w:jc w:val="both"/>
              <w:rPr>
                <w:rFonts w:ascii="Calibri" w:hAnsi="Calibri" w:cs="Calibri"/>
                <w:b/>
                <w:bCs/>
                <w:color w:val="000000"/>
                <w:sz w:val="22"/>
                <w:szCs w:val="22"/>
              </w:rPr>
            </w:pPr>
            <w:r w:rsidRPr="008A4301">
              <w:rPr>
                <w:rFonts w:ascii="Calibri" w:hAnsi="Calibri" w:cs="Calibri"/>
                <w:b/>
                <w:bCs/>
                <w:color w:val="000000"/>
                <w:sz w:val="22"/>
                <w:szCs w:val="22"/>
              </w:rPr>
              <w:t>Total Estimated Hours</w:t>
            </w:r>
          </w:p>
        </w:tc>
        <w:tc>
          <w:tcPr>
            <w:tcW w:w="1455" w:type="dxa"/>
            <w:tcBorders>
              <w:top w:val="nil"/>
              <w:left w:val="nil"/>
              <w:bottom w:val="nil"/>
              <w:right w:val="nil"/>
            </w:tcBorders>
            <w:shd w:val="clear" w:color="000000" w:fill="FFFFFF"/>
            <w:noWrap/>
            <w:vAlign w:val="center"/>
            <w:hideMark/>
          </w:tcPr>
          <w:p w14:paraId="090C4503" w14:textId="1BD4864E"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1</w:t>
            </w:r>
            <w:r w:rsidR="001E4BE1">
              <w:rPr>
                <w:rFonts w:ascii="Calibri" w:hAnsi="Calibri" w:cs="Calibri"/>
                <w:color w:val="000000"/>
                <w:sz w:val="22"/>
                <w:szCs w:val="22"/>
              </w:rPr>
              <w:t>5</w:t>
            </w:r>
            <w:r w:rsidRPr="008A4301">
              <w:rPr>
                <w:rFonts w:ascii="Calibri" w:hAnsi="Calibri" w:cs="Calibri"/>
                <w:color w:val="000000"/>
                <w:sz w:val="22"/>
                <w:szCs w:val="22"/>
              </w:rPr>
              <w:t>4</w:t>
            </w:r>
          </w:p>
        </w:tc>
        <w:tc>
          <w:tcPr>
            <w:tcW w:w="1390" w:type="dxa"/>
            <w:tcBorders>
              <w:top w:val="nil"/>
              <w:left w:val="nil"/>
              <w:bottom w:val="nil"/>
              <w:right w:val="single" w:sz="8" w:space="0" w:color="auto"/>
            </w:tcBorders>
            <w:shd w:val="clear" w:color="000000" w:fill="FFFFFF"/>
            <w:noWrap/>
            <w:vAlign w:val="center"/>
            <w:hideMark/>
          </w:tcPr>
          <w:p w14:paraId="36C04175"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24</w:t>
            </w:r>
          </w:p>
        </w:tc>
      </w:tr>
      <w:tr w:rsidR="003B1CAD" w:rsidRPr="00866909" w14:paraId="6A4AF1F6" w14:textId="77777777" w:rsidTr="003D3C8B">
        <w:trPr>
          <w:trHeight w:val="320"/>
        </w:trPr>
        <w:tc>
          <w:tcPr>
            <w:tcW w:w="5210" w:type="dxa"/>
            <w:tcBorders>
              <w:top w:val="nil"/>
              <w:left w:val="single" w:sz="8" w:space="0" w:color="auto"/>
              <w:bottom w:val="nil"/>
              <w:right w:val="nil"/>
            </w:tcBorders>
            <w:shd w:val="clear" w:color="000000" w:fill="FFFFFF"/>
            <w:vAlign w:val="center"/>
            <w:hideMark/>
          </w:tcPr>
          <w:p w14:paraId="63FD1066" w14:textId="77777777" w:rsidR="003B1CAD" w:rsidRPr="008A4301" w:rsidRDefault="003B1CAD" w:rsidP="00C00973">
            <w:pPr>
              <w:jc w:val="both"/>
              <w:rPr>
                <w:rFonts w:ascii="Calibri" w:hAnsi="Calibri" w:cs="Calibri"/>
                <w:b/>
                <w:bCs/>
                <w:color w:val="000000"/>
                <w:sz w:val="22"/>
                <w:szCs w:val="22"/>
              </w:rPr>
            </w:pPr>
            <w:r w:rsidRPr="008A4301">
              <w:rPr>
                <w:rFonts w:ascii="Calibri" w:hAnsi="Calibri" w:cs="Calibri"/>
                <w:b/>
                <w:bCs/>
                <w:color w:val="000000"/>
                <w:sz w:val="22"/>
                <w:szCs w:val="22"/>
              </w:rPr>
              <w:t>Average SSOA Audits per Year</w:t>
            </w:r>
          </w:p>
        </w:tc>
        <w:tc>
          <w:tcPr>
            <w:tcW w:w="2845" w:type="dxa"/>
            <w:gridSpan w:val="2"/>
            <w:tcBorders>
              <w:top w:val="nil"/>
              <w:left w:val="nil"/>
              <w:bottom w:val="nil"/>
              <w:right w:val="single" w:sz="8" w:space="0" w:color="000000"/>
            </w:tcBorders>
            <w:shd w:val="clear" w:color="000000" w:fill="FFFFFF"/>
            <w:noWrap/>
            <w:vAlign w:val="center"/>
            <w:hideMark/>
          </w:tcPr>
          <w:p w14:paraId="7E6B027A" w14:textId="77777777" w:rsidR="003B1CAD" w:rsidRPr="008A4301" w:rsidRDefault="003B1CAD" w:rsidP="00C00973">
            <w:pPr>
              <w:ind w:right="348"/>
              <w:jc w:val="both"/>
              <w:rPr>
                <w:rFonts w:ascii="Calibri" w:hAnsi="Calibri" w:cs="Calibri"/>
                <w:color w:val="000000"/>
                <w:sz w:val="22"/>
                <w:szCs w:val="22"/>
              </w:rPr>
            </w:pPr>
            <w:r w:rsidRPr="008A4301">
              <w:rPr>
                <w:rFonts w:ascii="Calibri" w:hAnsi="Calibri" w:cs="Calibri"/>
                <w:color w:val="000000"/>
                <w:sz w:val="22"/>
                <w:szCs w:val="22"/>
              </w:rPr>
              <w:t>10</w:t>
            </w:r>
          </w:p>
        </w:tc>
      </w:tr>
      <w:tr w:rsidR="003B1CAD" w:rsidRPr="00866909" w14:paraId="0713FC08" w14:textId="77777777" w:rsidTr="003D3C8B">
        <w:trPr>
          <w:trHeight w:val="340"/>
        </w:trPr>
        <w:tc>
          <w:tcPr>
            <w:tcW w:w="5210" w:type="dxa"/>
            <w:tcBorders>
              <w:top w:val="nil"/>
              <w:left w:val="single" w:sz="8" w:space="0" w:color="auto"/>
              <w:bottom w:val="single" w:sz="8" w:space="0" w:color="auto"/>
              <w:right w:val="nil"/>
            </w:tcBorders>
            <w:shd w:val="clear" w:color="000000" w:fill="FFFFFF"/>
            <w:noWrap/>
            <w:vAlign w:val="center"/>
            <w:hideMark/>
          </w:tcPr>
          <w:p w14:paraId="58315D15" w14:textId="77777777" w:rsidR="003B1CAD" w:rsidRPr="008A4301" w:rsidRDefault="003B1CAD" w:rsidP="00C00973">
            <w:pPr>
              <w:jc w:val="both"/>
              <w:rPr>
                <w:rFonts w:ascii="Calibri" w:hAnsi="Calibri" w:cs="Calibri"/>
                <w:b/>
                <w:bCs/>
                <w:color w:val="000000"/>
                <w:sz w:val="22"/>
                <w:szCs w:val="22"/>
              </w:rPr>
            </w:pPr>
            <w:r w:rsidRPr="008A4301">
              <w:rPr>
                <w:rFonts w:ascii="Calibri" w:hAnsi="Calibri" w:cs="Calibri"/>
                <w:b/>
                <w:bCs/>
                <w:color w:val="000000"/>
                <w:sz w:val="22"/>
                <w:szCs w:val="22"/>
              </w:rPr>
              <w:t>Industry-Wide Estimated Hours per Year</w:t>
            </w:r>
          </w:p>
        </w:tc>
        <w:tc>
          <w:tcPr>
            <w:tcW w:w="1455" w:type="dxa"/>
            <w:tcBorders>
              <w:top w:val="nil"/>
              <w:left w:val="nil"/>
              <w:bottom w:val="single" w:sz="8" w:space="0" w:color="auto"/>
              <w:right w:val="nil"/>
            </w:tcBorders>
            <w:shd w:val="clear" w:color="000000" w:fill="FFFFFF"/>
            <w:noWrap/>
            <w:vAlign w:val="center"/>
            <w:hideMark/>
          </w:tcPr>
          <w:p w14:paraId="78CCCBFD" w14:textId="1B558FCC" w:rsidR="003B1CAD" w:rsidRPr="008A4301" w:rsidRDefault="003B1CAD" w:rsidP="00C00973">
            <w:pPr>
              <w:ind w:right="348"/>
              <w:jc w:val="both"/>
              <w:rPr>
                <w:rFonts w:ascii="Calibri" w:hAnsi="Calibri" w:cs="Calibri"/>
                <w:b/>
                <w:color w:val="000000"/>
                <w:sz w:val="22"/>
                <w:szCs w:val="22"/>
              </w:rPr>
            </w:pPr>
            <w:r w:rsidRPr="008A4301">
              <w:rPr>
                <w:rFonts w:ascii="Calibri" w:hAnsi="Calibri" w:cs="Calibri"/>
                <w:b/>
                <w:color w:val="000000"/>
                <w:sz w:val="22"/>
                <w:szCs w:val="22"/>
              </w:rPr>
              <w:t>1,</w:t>
            </w:r>
            <w:r w:rsidR="001E4BE1">
              <w:rPr>
                <w:rFonts w:ascii="Calibri" w:hAnsi="Calibri" w:cs="Calibri"/>
                <w:b/>
                <w:color w:val="000000"/>
                <w:sz w:val="22"/>
                <w:szCs w:val="22"/>
              </w:rPr>
              <w:t>591</w:t>
            </w:r>
          </w:p>
        </w:tc>
        <w:tc>
          <w:tcPr>
            <w:tcW w:w="1390" w:type="dxa"/>
            <w:tcBorders>
              <w:top w:val="nil"/>
              <w:left w:val="nil"/>
              <w:bottom w:val="single" w:sz="8" w:space="0" w:color="auto"/>
              <w:right w:val="single" w:sz="8" w:space="0" w:color="auto"/>
            </w:tcBorders>
            <w:shd w:val="clear" w:color="000000" w:fill="FFFFFF"/>
            <w:noWrap/>
            <w:vAlign w:val="center"/>
            <w:hideMark/>
          </w:tcPr>
          <w:p w14:paraId="63BA8F2F" w14:textId="77777777" w:rsidR="003B1CAD" w:rsidRPr="008A4301" w:rsidRDefault="003B1CAD" w:rsidP="00C00973">
            <w:pPr>
              <w:ind w:right="348"/>
              <w:jc w:val="both"/>
              <w:rPr>
                <w:rFonts w:ascii="Calibri" w:hAnsi="Calibri" w:cs="Calibri"/>
                <w:b/>
                <w:color w:val="000000"/>
                <w:sz w:val="22"/>
                <w:szCs w:val="22"/>
              </w:rPr>
            </w:pPr>
            <w:r w:rsidRPr="008A4301">
              <w:rPr>
                <w:rFonts w:ascii="Calibri" w:hAnsi="Calibri" w:cs="Calibri"/>
                <w:b/>
                <w:color w:val="000000"/>
                <w:sz w:val="22"/>
                <w:szCs w:val="22"/>
              </w:rPr>
              <w:t>245</w:t>
            </w:r>
          </w:p>
        </w:tc>
      </w:tr>
    </w:tbl>
    <w:p w14:paraId="24B87F59" w14:textId="77777777" w:rsidR="00866909" w:rsidRPr="00634C05" w:rsidRDefault="00866909" w:rsidP="00C00973">
      <w:pPr>
        <w:jc w:val="both"/>
        <w:rPr>
          <w:b/>
          <w:sz w:val="24"/>
          <w:szCs w:val="24"/>
        </w:rPr>
      </w:pPr>
    </w:p>
    <w:p w14:paraId="54FA34E6" w14:textId="208CE003" w:rsidR="00874206" w:rsidRPr="00634C05" w:rsidRDefault="00866909" w:rsidP="00C00973">
      <w:pPr>
        <w:jc w:val="both"/>
        <w:rPr>
          <w:b/>
          <w:sz w:val="24"/>
          <w:szCs w:val="24"/>
        </w:rPr>
      </w:pPr>
      <w:r w:rsidRPr="00634C05">
        <w:rPr>
          <w:b/>
          <w:sz w:val="24"/>
          <w:szCs w:val="24"/>
        </w:rPr>
        <w:t>Periodic Requests</w:t>
      </w:r>
      <w:r w:rsidR="004B55AF" w:rsidRPr="00634C05">
        <w:rPr>
          <w:rStyle w:val="FootnoteReference"/>
          <w:b/>
          <w:sz w:val="24"/>
          <w:szCs w:val="24"/>
        </w:rPr>
        <w:footnoteReference w:id="4"/>
      </w:r>
    </w:p>
    <w:p w14:paraId="577A9673" w14:textId="5FD72318" w:rsidR="00634C05" w:rsidRPr="00634C05" w:rsidRDefault="00634C05" w:rsidP="00C00973">
      <w:pPr>
        <w:jc w:val="both"/>
        <w:rPr>
          <w:b/>
          <w:sz w:val="24"/>
          <w:szCs w:val="24"/>
        </w:rPr>
      </w:pPr>
    </w:p>
    <w:p w14:paraId="5B6A44AE" w14:textId="54B00EF7" w:rsidR="00634C05" w:rsidRPr="00634C05" w:rsidRDefault="00634C05" w:rsidP="00C00973">
      <w:pPr>
        <w:ind w:firstLine="360"/>
        <w:jc w:val="both"/>
        <w:rPr>
          <w:bCs/>
          <w:sz w:val="24"/>
          <w:szCs w:val="24"/>
        </w:rPr>
      </w:pPr>
      <w:r w:rsidRPr="00634C05">
        <w:rPr>
          <w:bCs/>
          <w:sz w:val="24"/>
          <w:szCs w:val="24"/>
        </w:rPr>
        <w:t>FTA issues periodic requests to SSOAs and RTAs. This may include Safety Advisories or Safety Directives that require information collection from SSOAs and/or RTAs. In addition, FTA holds monthly update teleconferences with each SSOA.</w:t>
      </w:r>
    </w:p>
    <w:p w14:paraId="5D010665" w14:textId="77777777" w:rsidR="00634C05" w:rsidRPr="00634C05" w:rsidRDefault="00634C05" w:rsidP="00C00973">
      <w:pPr>
        <w:jc w:val="both"/>
        <w:rPr>
          <w:b/>
          <w:sz w:val="24"/>
          <w:szCs w:val="24"/>
        </w:rPr>
      </w:pPr>
    </w:p>
    <w:tbl>
      <w:tblPr>
        <w:tblW w:w="9170" w:type="dxa"/>
        <w:tblLook w:val="04A0" w:firstRow="1" w:lastRow="0" w:firstColumn="1" w:lastColumn="0" w:noHBand="0" w:noVBand="1"/>
      </w:tblPr>
      <w:tblGrid>
        <w:gridCol w:w="2240"/>
        <w:gridCol w:w="1153"/>
        <w:gridCol w:w="917"/>
        <w:gridCol w:w="1101"/>
        <w:gridCol w:w="1430"/>
        <w:gridCol w:w="1259"/>
        <w:gridCol w:w="1070"/>
      </w:tblGrid>
      <w:tr w:rsidR="00866909" w:rsidRPr="00866909" w14:paraId="64A3DCF9" w14:textId="77777777" w:rsidTr="003B1CAD">
        <w:trPr>
          <w:trHeight w:val="320"/>
        </w:trPr>
        <w:tc>
          <w:tcPr>
            <w:tcW w:w="2240" w:type="dxa"/>
            <w:tcBorders>
              <w:top w:val="single" w:sz="8" w:space="0" w:color="auto"/>
              <w:left w:val="single" w:sz="8" w:space="0" w:color="auto"/>
              <w:bottom w:val="single" w:sz="4" w:space="0" w:color="auto"/>
              <w:right w:val="nil"/>
            </w:tcBorders>
            <w:shd w:val="clear" w:color="000000" w:fill="FFFFFF"/>
            <w:noWrap/>
            <w:vAlign w:val="bottom"/>
            <w:hideMark/>
          </w:tcPr>
          <w:p w14:paraId="1DCC44E8" w14:textId="77777777" w:rsidR="00866909" w:rsidRPr="00866909" w:rsidRDefault="00866909" w:rsidP="00C00973">
            <w:pPr>
              <w:jc w:val="both"/>
              <w:rPr>
                <w:rFonts w:ascii="Calibri" w:hAnsi="Calibri" w:cs="Calibri"/>
                <w:color w:val="000000"/>
                <w:sz w:val="24"/>
                <w:szCs w:val="24"/>
              </w:rPr>
            </w:pPr>
            <w:r w:rsidRPr="00866909">
              <w:rPr>
                <w:rFonts w:ascii="Calibri" w:hAnsi="Calibri" w:cs="Calibri"/>
                <w:color w:val="000000"/>
                <w:sz w:val="24"/>
                <w:szCs w:val="24"/>
              </w:rPr>
              <w:t> </w:t>
            </w:r>
          </w:p>
        </w:tc>
        <w:tc>
          <w:tcPr>
            <w:tcW w:w="1153" w:type="dxa"/>
            <w:tcBorders>
              <w:top w:val="single" w:sz="8" w:space="0" w:color="auto"/>
              <w:left w:val="nil"/>
              <w:bottom w:val="single" w:sz="4" w:space="0" w:color="auto"/>
              <w:right w:val="nil"/>
            </w:tcBorders>
            <w:shd w:val="clear" w:color="000000" w:fill="FFFFFF"/>
            <w:noWrap/>
            <w:vAlign w:val="bottom"/>
            <w:hideMark/>
          </w:tcPr>
          <w:p w14:paraId="407C3A98"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Quantity</w:t>
            </w:r>
          </w:p>
        </w:tc>
        <w:tc>
          <w:tcPr>
            <w:tcW w:w="917" w:type="dxa"/>
            <w:tcBorders>
              <w:top w:val="single" w:sz="8" w:space="0" w:color="auto"/>
              <w:left w:val="nil"/>
              <w:bottom w:val="single" w:sz="4" w:space="0" w:color="auto"/>
              <w:right w:val="nil"/>
            </w:tcBorders>
            <w:shd w:val="clear" w:color="000000" w:fill="FFFFFF"/>
            <w:noWrap/>
            <w:vAlign w:val="bottom"/>
            <w:hideMark/>
          </w:tcPr>
          <w:p w14:paraId="78E0A98A"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Hours</w:t>
            </w:r>
          </w:p>
        </w:tc>
        <w:tc>
          <w:tcPr>
            <w:tcW w:w="1101" w:type="dxa"/>
            <w:tcBorders>
              <w:top w:val="single" w:sz="8" w:space="0" w:color="auto"/>
              <w:left w:val="nil"/>
              <w:bottom w:val="single" w:sz="4" w:space="0" w:color="auto"/>
              <w:right w:val="single" w:sz="8" w:space="0" w:color="auto"/>
            </w:tcBorders>
            <w:shd w:val="clear" w:color="000000" w:fill="FFFFFF"/>
            <w:noWrap/>
            <w:vAlign w:val="bottom"/>
            <w:hideMark/>
          </w:tcPr>
          <w:p w14:paraId="5DD5088B"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Agencies</w:t>
            </w:r>
          </w:p>
        </w:tc>
        <w:tc>
          <w:tcPr>
            <w:tcW w:w="1430" w:type="dxa"/>
            <w:tcBorders>
              <w:top w:val="single" w:sz="8" w:space="0" w:color="auto"/>
              <w:left w:val="single" w:sz="8" w:space="0" w:color="auto"/>
              <w:bottom w:val="single" w:sz="4" w:space="0" w:color="auto"/>
              <w:right w:val="nil"/>
            </w:tcBorders>
            <w:shd w:val="clear" w:color="000000" w:fill="FFFFFF"/>
            <w:noWrap/>
            <w:vAlign w:val="bottom"/>
            <w:hideMark/>
          </w:tcPr>
          <w:p w14:paraId="50B5AE9C"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SSOA Total</w:t>
            </w:r>
          </w:p>
        </w:tc>
        <w:tc>
          <w:tcPr>
            <w:tcW w:w="1259" w:type="dxa"/>
            <w:tcBorders>
              <w:top w:val="single" w:sz="8" w:space="0" w:color="auto"/>
              <w:left w:val="nil"/>
              <w:bottom w:val="single" w:sz="4" w:space="0" w:color="auto"/>
              <w:right w:val="single" w:sz="8" w:space="0" w:color="auto"/>
            </w:tcBorders>
            <w:shd w:val="clear" w:color="000000" w:fill="FFFFFF"/>
            <w:noWrap/>
            <w:vAlign w:val="bottom"/>
            <w:hideMark/>
          </w:tcPr>
          <w:p w14:paraId="64F88903"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RTA Total</w:t>
            </w:r>
          </w:p>
        </w:tc>
        <w:tc>
          <w:tcPr>
            <w:tcW w:w="1070" w:type="dxa"/>
            <w:tcBorders>
              <w:top w:val="single" w:sz="8" w:space="0" w:color="auto"/>
              <w:left w:val="nil"/>
              <w:bottom w:val="single" w:sz="4" w:space="0" w:color="auto"/>
              <w:right w:val="single" w:sz="8" w:space="0" w:color="auto"/>
            </w:tcBorders>
            <w:shd w:val="clear" w:color="000000" w:fill="FFFFFF"/>
            <w:noWrap/>
            <w:vAlign w:val="bottom"/>
            <w:hideMark/>
          </w:tcPr>
          <w:p w14:paraId="2DAD18F9" w14:textId="77777777" w:rsidR="00866909" w:rsidRPr="00866909" w:rsidRDefault="00866909" w:rsidP="00C00973">
            <w:pPr>
              <w:jc w:val="both"/>
              <w:rPr>
                <w:rFonts w:ascii="Calibri" w:hAnsi="Calibri" w:cs="Calibri"/>
                <w:b/>
                <w:bCs/>
                <w:color w:val="000000"/>
                <w:sz w:val="24"/>
                <w:szCs w:val="24"/>
              </w:rPr>
            </w:pPr>
            <w:r w:rsidRPr="00866909">
              <w:rPr>
                <w:rFonts w:ascii="Calibri" w:hAnsi="Calibri" w:cs="Calibri"/>
                <w:b/>
                <w:bCs/>
                <w:color w:val="000000"/>
                <w:sz w:val="24"/>
                <w:szCs w:val="24"/>
              </w:rPr>
              <w:t>Total</w:t>
            </w:r>
          </w:p>
        </w:tc>
      </w:tr>
      <w:tr w:rsidR="00866909" w:rsidRPr="00866909" w14:paraId="74231D70" w14:textId="77777777" w:rsidTr="003B1CAD">
        <w:trPr>
          <w:trHeight w:val="320"/>
        </w:trPr>
        <w:tc>
          <w:tcPr>
            <w:tcW w:w="2240" w:type="dxa"/>
            <w:tcBorders>
              <w:top w:val="single" w:sz="4" w:space="0" w:color="auto"/>
              <w:left w:val="single" w:sz="8" w:space="0" w:color="auto"/>
              <w:bottom w:val="single" w:sz="4" w:space="0" w:color="auto"/>
              <w:right w:val="nil"/>
            </w:tcBorders>
            <w:shd w:val="clear" w:color="000000" w:fill="FFFFFF"/>
            <w:noWrap/>
            <w:vAlign w:val="bottom"/>
            <w:hideMark/>
          </w:tcPr>
          <w:p w14:paraId="7D613876" w14:textId="77777777" w:rsidR="00866909" w:rsidRPr="00866909" w:rsidRDefault="00866909" w:rsidP="00C00973">
            <w:pPr>
              <w:jc w:val="both"/>
              <w:rPr>
                <w:rFonts w:ascii="Calibri" w:hAnsi="Calibri" w:cs="Calibri"/>
                <w:color w:val="000000"/>
                <w:sz w:val="24"/>
                <w:szCs w:val="24"/>
              </w:rPr>
            </w:pPr>
            <w:r w:rsidRPr="00866909">
              <w:rPr>
                <w:rFonts w:ascii="Calibri" w:hAnsi="Calibri" w:cs="Calibri"/>
                <w:color w:val="000000"/>
                <w:sz w:val="24"/>
                <w:szCs w:val="24"/>
              </w:rPr>
              <w:t>Safety Advisories/</w:t>
            </w:r>
            <w:r>
              <w:rPr>
                <w:rFonts w:ascii="Calibri" w:hAnsi="Calibri" w:cs="Calibri"/>
                <w:color w:val="000000"/>
                <w:sz w:val="24"/>
                <w:szCs w:val="24"/>
              </w:rPr>
              <w:t xml:space="preserve"> </w:t>
            </w:r>
            <w:r w:rsidRPr="00866909">
              <w:rPr>
                <w:rFonts w:ascii="Calibri" w:hAnsi="Calibri" w:cs="Calibri"/>
                <w:color w:val="000000"/>
                <w:sz w:val="24"/>
                <w:szCs w:val="24"/>
              </w:rPr>
              <w:t>Directives: SSOAs</w:t>
            </w:r>
          </w:p>
        </w:tc>
        <w:tc>
          <w:tcPr>
            <w:tcW w:w="1153" w:type="dxa"/>
            <w:tcBorders>
              <w:top w:val="single" w:sz="4" w:space="0" w:color="auto"/>
              <w:left w:val="nil"/>
              <w:bottom w:val="single" w:sz="4" w:space="0" w:color="auto"/>
              <w:right w:val="nil"/>
            </w:tcBorders>
            <w:shd w:val="clear" w:color="000000" w:fill="FFFFFF"/>
            <w:noWrap/>
            <w:vAlign w:val="center"/>
            <w:hideMark/>
          </w:tcPr>
          <w:p w14:paraId="15BFF850"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4</w:t>
            </w:r>
          </w:p>
        </w:tc>
        <w:tc>
          <w:tcPr>
            <w:tcW w:w="917" w:type="dxa"/>
            <w:tcBorders>
              <w:top w:val="single" w:sz="4" w:space="0" w:color="auto"/>
              <w:left w:val="nil"/>
              <w:bottom w:val="single" w:sz="4" w:space="0" w:color="auto"/>
              <w:right w:val="nil"/>
            </w:tcBorders>
            <w:shd w:val="clear" w:color="000000" w:fill="FFFFFF"/>
            <w:noWrap/>
            <w:vAlign w:val="center"/>
            <w:hideMark/>
          </w:tcPr>
          <w:p w14:paraId="00A5C8D8"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30</w:t>
            </w:r>
          </w:p>
        </w:tc>
        <w:tc>
          <w:tcPr>
            <w:tcW w:w="1101" w:type="dxa"/>
            <w:tcBorders>
              <w:top w:val="single" w:sz="4" w:space="0" w:color="auto"/>
              <w:left w:val="nil"/>
              <w:bottom w:val="single" w:sz="4" w:space="0" w:color="auto"/>
              <w:right w:val="single" w:sz="8" w:space="0" w:color="auto"/>
            </w:tcBorders>
            <w:shd w:val="clear" w:color="000000" w:fill="FFFFFF"/>
            <w:noWrap/>
            <w:vAlign w:val="center"/>
            <w:hideMark/>
          </w:tcPr>
          <w:p w14:paraId="7316A749"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31</w:t>
            </w:r>
          </w:p>
        </w:tc>
        <w:tc>
          <w:tcPr>
            <w:tcW w:w="1430" w:type="dxa"/>
            <w:tcBorders>
              <w:top w:val="single" w:sz="4" w:space="0" w:color="auto"/>
              <w:left w:val="single" w:sz="8" w:space="0" w:color="auto"/>
              <w:bottom w:val="single" w:sz="4" w:space="0" w:color="auto"/>
              <w:right w:val="nil"/>
            </w:tcBorders>
            <w:shd w:val="clear" w:color="000000" w:fill="FFFFFF"/>
            <w:noWrap/>
            <w:vAlign w:val="center"/>
            <w:hideMark/>
          </w:tcPr>
          <w:p w14:paraId="471C8ACA"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3,720</w:t>
            </w:r>
          </w:p>
        </w:tc>
        <w:tc>
          <w:tcPr>
            <w:tcW w:w="1259" w:type="dxa"/>
            <w:tcBorders>
              <w:top w:val="single" w:sz="4" w:space="0" w:color="auto"/>
              <w:left w:val="nil"/>
              <w:bottom w:val="single" w:sz="4" w:space="0" w:color="auto"/>
              <w:right w:val="single" w:sz="8" w:space="0" w:color="auto"/>
            </w:tcBorders>
            <w:shd w:val="clear" w:color="000000" w:fill="FFFFFF"/>
            <w:noWrap/>
            <w:vAlign w:val="center"/>
            <w:hideMark/>
          </w:tcPr>
          <w:p w14:paraId="2D0542B9"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 </w:t>
            </w:r>
          </w:p>
        </w:tc>
        <w:tc>
          <w:tcPr>
            <w:tcW w:w="1070" w:type="dxa"/>
            <w:tcBorders>
              <w:top w:val="single" w:sz="4" w:space="0" w:color="auto"/>
              <w:left w:val="nil"/>
              <w:bottom w:val="single" w:sz="4" w:space="0" w:color="auto"/>
              <w:right w:val="single" w:sz="8" w:space="0" w:color="auto"/>
            </w:tcBorders>
            <w:shd w:val="clear" w:color="000000" w:fill="FFFFFF"/>
            <w:noWrap/>
            <w:vAlign w:val="center"/>
            <w:hideMark/>
          </w:tcPr>
          <w:p w14:paraId="3DDD76CB" w14:textId="77777777" w:rsidR="00866909" w:rsidRPr="00866909" w:rsidRDefault="00C542C0" w:rsidP="00C00973">
            <w:pPr>
              <w:ind w:right="36"/>
              <w:jc w:val="both"/>
              <w:rPr>
                <w:rFonts w:ascii="Calibri" w:hAnsi="Calibri" w:cs="Calibri"/>
                <w:color w:val="000000"/>
                <w:sz w:val="24"/>
                <w:szCs w:val="24"/>
              </w:rPr>
            </w:pPr>
            <w:r>
              <w:rPr>
                <w:rFonts w:ascii="Calibri" w:hAnsi="Calibri" w:cs="Calibri"/>
                <w:color w:val="000000"/>
                <w:sz w:val="24"/>
                <w:szCs w:val="24"/>
              </w:rPr>
              <w:t>3,720</w:t>
            </w:r>
            <w:r w:rsidR="00866909" w:rsidRPr="00866909">
              <w:rPr>
                <w:rFonts w:ascii="Calibri" w:hAnsi="Calibri" w:cs="Calibri"/>
                <w:color w:val="000000"/>
                <w:sz w:val="24"/>
                <w:szCs w:val="24"/>
              </w:rPr>
              <w:t> </w:t>
            </w:r>
          </w:p>
        </w:tc>
      </w:tr>
      <w:tr w:rsidR="00866909" w:rsidRPr="00866909" w14:paraId="4C71609F" w14:textId="77777777" w:rsidTr="003B1CAD">
        <w:trPr>
          <w:trHeight w:val="320"/>
        </w:trPr>
        <w:tc>
          <w:tcPr>
            <w:tcW w:w="2240" w:type="dxa"/>
            <w:tcBorders>
              <w:top w:val="single" w:sz="4" w:space="0" w:color="auto"/>
              <w:left w:val="single" w:sz="8" w:space="0" w:color="auto"/>
              <w:bottom w:val="single" w:sz="4" w:space="0" w:color="auto"/>
              <w:right w:val="nil"/>
            </w:tcBorders>
            <w:shd w:val="clear" w:color="000000" w:fill="FFFFFF"/>
            <w:noWrap/>
            <w:vAlign w:val="bottom"/>
            <w:hideMark/>
          </w:tcPr>
          <w:p w14:paraId="022D4DC6" w14:textId="77777777" w:rsidR="00866909" w:rsidRPr="00866909" w:rsidRDefault="00866909" w:rsidP="00C00973">
            <w:pPr>
              <w:jc w:val="both"/>
              <w:rPr>
                <w:rFonts w:ascii="Calibri" w:hAnsi="Calibri" w:cs="Calibri"/>
                <w:color w:val="000000"/>
                <w:sz w:val="24"/>
                <w:szCs w:val="24"/>
              </w:rPr>
            </w:pPr>
            <w:r w:rsidRPr="00866909">
              <w:rPr>
                <w:rFonts w:ascii="Calibri" w:hAnsi="Calibri" w:cs="Calibri"/>
                <w:color w:val="000000"/>
                <w:sz w:val="24"/>
                <w:szCs w:val="24"/>
              </w:rPr>
              <w:t>Safety Advisories/</w:t>
            </w:r>
            <w:r>
              <w:rPr>
                <w:rFonts w:ascii="Calibri" w:hAnsi="Calibri" w:cs="Calibri"/>
                <w:color w:val="000000"/>
                <w:sz w:val="24"/>
                <w:szCs w:val="24"/>
              </w:rPr>
              <w:t xml:space="preserve"> </w:t>
            </w:r>
            <w:r w:rsidRPr="00866909">
              <w:rPr>
                <w:rFonts w:ascii="Calibri" w:hAnsi="Calibri" w:cs="Calibri"/>
                <w:color w:val="000000"/>
                <w:sz w:val="24"/>
                <w:szCs w:val="24"/>
              </w:rPr>
              <w:t>Directives: RTAs</w:t>
            </w:r>
          </w:p>
        </w:tc>
        <w:tc>
          <w:tcPr>
            <w:tcW w:w="1153" w:type="dxa"/>
            <w:tcBorders>
              <w:top w:val="single" w:sz="4" w:space="0" w:color="auto"/>
              <w:left w:val="nil"/>
              <w:bottom w:val="single" w:sz="4" w:space="0" w:color="auto"/>
              <w:right w:val="nil"/>
            </w:tcBorders>
            <w:shd w:val="clear" w:color="000000" w:fill="FFFFFF"/>
            <w:noWrap/>
            <w:vAlign w:val="center"/>
            <w:hideMark/>
          </w:tcPr>
          <w:p w14:paraId="1F0D509D"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2</w:t>
            </w:r>
          </w:p>
        </w:tc>
        <w:tc>
          <w:tcPr>
            <w:tcW w:w="917" w:type="dxa"/>
            <w:tcBorders>
              <w:top w:val="single" w:sz="4" w:space="0" w:color="auto"/>
              <w:left w:val="nil"/>
              <w:bottom w:val="single" w:sz="4" w:space="0" w:color="auto"/>
              <w:right w:val="nil"/>
            </w:tcBorders>
            <w:shd w:val="clear" w:color="000000" w:fill="FFFFFF"/>
            <w:noWrap/>
            <w:vAlign w:val="center"/>
            <w:hideMark/>
          </w:tcPr>
          <w:p w14:paraId="5CDA6CE7"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30</w:t>
            </w:r>
          </w:p>
        </w:tc>
        <w:tc>
          <w:tcPr>
            <w:tcW w:w="1101" w:type="dxa"/>
            <w:tcBorders>
              <w:top w:val="single" w:sz="4" w:space="0" w:color="auto"/>
              <w:left w:val="nil"/>
              <w:bottom w:val="single" w:sz="4" w:space="0" w:color="auto"/>
              <w:right w:val="single" w:sz="8" w:space="0" w:color="auto"/>
            </w:tcBorders>
            <w:shd w:val="clear" w:color="000000" w:fill="FFFFFF"/>
            <w:noWrap/>
            <w:vAlign w:val="center"/>
            <w:hideMark/>
          </w:tcPr>
          <w:p w14:paraId="4290D0E7"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65</w:t>
            </w:r>
          </w:p>
        </w:tc>
        <w:tc>
          <w:tcPr>
            <w:tcW w:w="1430" w:type="dxa"/>
            <w:tcBorders>
              <w:top w:val="single" w:sz="4" w:space="0" w:color="auto"/>
              <w:left w:val="single" w:sz="8" w:space="0" w:color="auto"/>
              <w:bottom w:val="single" w:sz="4" w:space="0" w:color="auto"/>
              <w:right w:val="nil"/>
            </w:tcBorders>
            <w:shd w:val="clear" w:color="000000" w:fill="FFFFFF"/>
            <w:noWrap/>
            <w:vAlign w:val="center"/>
            <w:hideMark/>
          </w:tcPr>
          <w:p w14:paraId="48AB18D7"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 </w:t>
            </w:r>
          </w:p>
        </w:tc>
        <w:tc>
          <w:tcPr>
            <w:tcW w:w="1259" w:type="dxa"/>
            <w:tcBorders>
              <w:top w:val="single" w:sz="4" w:space="0" w:color="auto"/>
              <w:left w:val="nil"/>
              <w:bottom w:val="single" w:sz="4" w:space="0" w:color="auto"/>
              <w:right w:val="single" w:sz="8" w:space="0" w:color="auto"/>
            </w:tcBorders>
            <w:shd w:val="clear" w:color="000000" w:fill="FFFFFF"/>
            <w:noWrap/>
            <w:vAlign w:val="center"/>
            <w:hideMark/>
          </w:tcPr>
          <w:p w14:paraId="66E4D1A9"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3,900</w:t>
            </w:r>
          </w:p>
        </w:tc>
        <w:tc>
          <w:tcPr>
            <w:tcW w:w="1070" w:type="dxa"/>
            <w:tcBorders>
              <w:top w:val="single" w:sz="4" w:space="0" w:color="auto"/>
              <w:left w:val="nil"/>
              <w:bottom w:val="single" w:sz="4" w:space="0" w:color="auto"/>
              <w:right w:val="single" w:sz="8" w:space="0" w:color="auto"/>
            </w:tcBorders>
            <w:shd w:val="clear" w:color="000000" w:fill="FFFFFF"/>
            <w:noWrap/>
            <w:vAlign w:val="center"/>
            <w:hideMark/>
          </w:tcPr>
          <w:p w14:paraId="734C2D43" w14:textId="77777777" w:rsidR="00866909" w:rsidRPr="00866909" w:rsidRDefault="00C542C0" w:rsidP="00C00973">
            <w:pPr>
              <w:ind w:right="36"/>
              <w:jc w:val="both"/>
              <w:rPr>
                <w:rFonts w:ascii="Calibri" w:hAnsi="Calibri" w:cs="Calibri"/>
                <w:color w:val="000000"/>
                <w:sz w:val="24"/>
                <w:szCs w:val="24"/>
              </w:rPr>
            </w:pPr>
            <w:r>
              <w:rPr>
                <w:rFonts w:ascii="Calibri" w:hAnsi="Calibri" w:cs="Calibri"/>
                <w:color w:val="000000"/>
                <w:sz w:val="24"/>
                <w:szCs w:val="24"/>
              </w:rPr>
              <w:t>3,900</w:t>
            </w:r>
            <w:r w:rsidR="00866909" w:rsidRPr="00866909">
              <w:rPr>
                <w:rFonts w:ascii="Calibri" w:hAnsi="Calibri" w:cs="Calibri"/>
                <w:color w:val="000000"/>
                <w:sz w:val="24"/>
                <w:szCs w:val="24"/>
              </w:rPr>
              <w:t> </w:t>
            </w:r>
          </w:p>
        </w:tc>
      </w:tr>
      <w:tr w:rsidR="00866909" w:rsidRPr="00866909" w14:paraId="6783A4CD" w14:textId="77777777" w:rsidTr="00634C05">
        <w:trPr>
          <w:trHeight w:val="320"/>
        </w:trPr>
        <w:tc>
          <w:tcPr>
            <w:tcW w:w="2240" w:type="dxa"/>
            <w:tcBorders>
              <w:top w:val="single" w:sz="4" w:space="0" w:color="auto"/>
              <w:left w:val="single" w:sz="8" w:space="0" w:color="auto"/>
              <w:bottom w:val="single" w:sz="4" w:space="0" w:color="auto"/>
              <w:right w:val="nil"/>
            </w:tcBorders>
            <w:shd w:val="clear" w:color="000000" w:fill="FFFFFF"/>
            <w:noWrap/>
            <w:vAlign w:val="bottom"/>
            <w:hideMark/>
          </w:tcPr>
          <w:p w14:paraId="34948236" w14:textId="77777777" w:rsidR="00866909" w:rsidRPr="00866909" w:rsidRDefault="00866909" w:rsidP="00C00973">
            <w:pPr>
              <w:jc w:val="both"/>
              <w:rPr>
                <w:rFonts w:ascii="Calibri" w:hAnsi="Calibri" w:cs="Calibri"/>
                <w:color w:val="000000"/>
                <w:sz w:val="24"/>
                <w:szCs w:val="24"/>
              </w:rPr>
            </w:pPr>
            <w:r w:rsidRPr="00866909">
              <w:rPr>
                <w:rFonts w:ascii="Calibri" w:hAnsi="Calibri" w:cs="Calibri"/>
                <w:color w:val="000000"/>
                <w:sz w:val="24"/>
                <w:szCs w:val="24"/>
              </w:rPr>
              <w:t>Monthly Updates</w:t>
            </w:r>
          </w:p>
        </w:tc>
        <w:tc>
          <w:tcPr>
            <w:tcW w:w="1153" w:type="dxa"/>
            <w:tcBorders>
              <w:top w:val="single" w:sz="4" w:space="0" w:color="auto"/>
              <w:left w:val="nil"/>
              <w:bottom w:val="single" w:sz="4" w:space="0" w:color="auto"/>
              <w:right w:val="nil"/>
            </w:tcBorders>
            <w:shd w:val="clear" w:color="000000" w:fill="FFFFFF"/>
            <w:noWrap/>
            <w:vAlign w:val="center"/>
            <w:hideMark/>
          </w:tcPr>
          <w:p w14:paraId="40543246"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12</w:t>
            </w:r>
          </w:p>
        </w:tc>
        <w:tc>
          <w:tcPr>
            <w:tcW w:w="917" w:type="dxa"/>
            <w:tcBorders>
              <w:top w:val="single" w:sz="4" w:space="0" w:color="auto"/>
              <w:left w:val="nil"/>
              <w:bottom w:val="single" w:sz="4" w:space="0" w:color="auto"/>
              <w:right w:val="nil"/>
            </w:tcBorders>
            <w:shd w:val="clear" w:color="000000" w:fill="FFFFFF"/>
            <w:noWrap/>
            <w:vAlign w:val="center"/>
            <w:hideMark/>
          </w:tcPr>
          <w:p w14:paraId="79198D67"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1</w:t>
            </w:r>
          </w:p>
        </w:tc>
        <w:tc>
          <w:tcPr>
            <w:tcW w:w="1101" w:type="dxa"/>
            <w:tcBorders>
              <w:top w:val="single" w:sz="4" w:space="0" w:color="auto"/>
              <w:left w:val="nil"/>
              <w:bottom w:val="single" w:sz="4" w:space="0" w:color="auto"/>
              <w:right w:val="single" w:sz="8" w:space="0" w:color="auto"/>
            </w:tcBorders>
            <w:shd w:val="clear" w:color="000000" w:fill="FFFFFF"/>
            <w:noWrap/>
            <w:vAlign w:val="center"/>
            <w:hideMark/>
          </w:tcPr>
          <w:p w14:paraId="6452B0C9"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31</w:t>
            </w:r>
          </w:p>
        </w:tc>
        <w:tc>
          <w:tcPr>
            <w:tcW w:w="1430" w:type="dxa"/>
            <w:tcBorders>
              <w:top w:val="single" w:sz="4" w:space="0" w:color="auto"/>
              <w:left w:val="single" w:sz="8" w:space="0" w:color="auto"/>
              <w:bottom w:val="single" w:sz="4" w:space="0" w:color="auto"/>
              <w:right w:val="nil"/>
            </w:tcBorders>
            <w:shd w:val="clear" w:color="000000" w:fill="FFFFFF"/>
            <w:noWrap/>
            <w:vAlign w:val="center"/>
            <w:hideMark/>
          </w:tcPr>
          <w:p w14:paraId="5354FF56"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372</w:t>
            </w:r>
          </w:p>
        </w:tc>
        <w:tc>
          <w:tcPr>
            <w:tcW w:w="1259" w:type="dxa"/>
            <w:tcBorders>
              <w:top w:val="single" w:sz="4" w:space="0" w:color="auto"/>
              <w:left w:val="nil"/>
              <w:bottom w:val="single" w:sz="4" w:space="0" w:color="auto"/>
              <w:right w:val="single" w:sz="8" w:space="0" w:color="auto"/>
            </w:tcBorders>
            <w:shd w:val="clear" w:color="000000" w:fill="FFFFFF"/>
            <w:noWrap/>
            <w:vAlign w:val="center"/>
            <w:hideMark/>
          </w:tcPr>
          <w:p w14:paraId="7ED46ACB"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 </w:t>
            </w:r>
          </w:p>
        </w:tc>
        <w:tc>
          <w:tcPr>
            <w:tcW w:w="1070" w:type="dxa"/>
            <w:tcBorders>
              <w:top w:val="single" w:sz="4" w:space="0" w:color="auto"/>
              <w:left w:val="nil"/>
              <w:bottom w:val="single" w:sz="4" w:space="0" w:color="auto"/>
              <w:right w:val="single" w:sz="8" w:space="0" w:color="auto"/>
            </w:tcBorders>
            <w:shd w:val="clear" w:color="000000" w:fill="FFFFFF"/>
            <w:noWrap/>
            <w:vAlign w:val="center"/>
            <w:hideMark/>
          </w:tcPr>
          <w:p w14:paraId="3611E4CF" w14:textId="77777777" w:rsidR="00866909" w:rsidRPr="00866909" w:rsidRDefault="00C542C0" w:rsidP="00C00973">
            <w:pPr>
              <w:ind w:right="36"/>
              <w:jc w:val="both"/>
              <w:rPr>
                <w:rFonts w:ascii="Calibri" w:hAnsi="Calibri" w:cs="Calibri"/>
                <w:color w:val="000000"/>
                <w:sz w:val="24"/>
                <w:szCs w:val="24"/>
              </w:rPr>
            </w:pPr>
            <w:r>
              <w:rPr>
                <w:rFonts w:ascii="Calibri" w:hAnsi="Calibri" w:cs="Calibri"/>
                <w:color w:val="000000"/>
                <w:sz w:val="24"/>
                <w:szCs w:val="24"/>
              </w:rPr>
              <w:t>372</w:t>
            </w:r>
            <w:r w:rsidR="00866909" w:rsidRPr="00866909">
              <w:rPr>
                <w:rFonts w:ascii="Calibri" w:hAnsi="Calibri" w:cs="Calibri"/>
                <w:color w:val="000000"/>
                <w:sz w:val="24"/>
                <w:szCs w:val="24"/>
              </w:rPr>
              <w:t> </w:t>
            </w:r>
          </w:p>
        </w:tc>
      </w:tr>
      <w:tr w:rsidR="004B55AF" w:rsidRPr="00866909" w14:paraId="06764048" w14:textId="77777777" w:rsidTr="00634C05">
        <w:trPr>
          <w:trHeight w:val="340"/>
        </w:trPr>
        <w:tc>
          <w:tcPr>
            <w:tcW w:w="2240" w:type="dxa"/>
            <w:tcBorders>
              <w:top w:val="single" w:sz="4" w:space="0" w:color="auto"/>
              <w:right w:val="nil"/>
            </w:tcBorders>
            <w:shd w:val="clear" w:color="000000" w:fill="FFFFFF"/>
            <w:noWrap/>
            <w:vAlign w:val="bottom"/>
            <w:hideMark/>
          </w:tcPr>
          <w:p w14:paraId="405630E0" w14:textId="77777777" w:rsidR="00866909" w:rsidRPr="00866909" w:rsidRDefault="00866909" w:rsidP="00C00973">
            <w:pPr>
              <w:jc w:val="both"/>
              <w:rPr>
                <w:rFonts w:ascii="Calibri" w:hAnsi="Calibri" w:cs="Calibri"/>
                <w:color w:val="000000"/>
                <w:sz w:val="24"/>
                <w:szCs w:val="24"/>
              </w:rPr>
            </w:pPr>
            <w:r w:rsidRPr="00866909">
              <w:rPr>
                <w:rFonts w:ascii="Calibri" w:hAnsi="Calibri" w:cs="Calibri"/>
                <w:color w:val="000000"/>
                <w:sz w:val="24"/>
                <w:szCs w:val="24"/>
              </w:rPr>
              <w:t> </w:t>
            </w:r>
          </w:p>
        </w:tc>
        <w:tc>
          <w:tcPr>
            <w:tcW w:w="1153" w:type="dxa"/>
            <w:tcBorders>
              <w:top w:val="single" w:sz="4" w:space="0" w:color="auto"/>
              <w:left w:val="nil"/>
              <w:right w:val="nil"/>
            </w:tcBorders>
            <w:shd w:val="clear" w:color="000000" w:fill="FFFFFF"/>
            <w:noWrap/>
            <w:vAlign w:val="center"/>
            <w:hideMark/>
          </w:tcPr>
          <w:p w14:paraId="459DEA80"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 </w:t>
            </w:r>
          </w:p>
        </w:tc>
        <w:tc>
          <w:tcPr>
            <w:tcW w:w="917" w:type="dxa"/>
            <w:tcBorders>
              <w:top w:val="single" w:sz="4" w:space="0" w:color="auto"/>
              <w:left w:val="nil"/>
              <w:right w:val="nil"/>
            </w:tcBorders>
            <w:shd w:val="clear" w:color="000000" w:fill="FFFFFF"/>
            <w:noWrap/>
            <w:vAlign w:val="center"/>
            <w:hideMark/>
          </w:tcPr>
          <w:p w14:paraId="563A0445" w14:textId="77777777" w:rsidR="00866909" w:rsidRPr="00866909" w:rsidRDefault="00866909" w:rsidP="00C00973">
            <w:pPr>
              <w:ind w:right="121"/>
              <w:jc w:val="both"/>
              <w:rPr>
                <w:rFonts w:ascii="Calibri" w:hAnsi="Calibri" w:cs="Calibri"/>
                <w:color w:val="000000"/>
                <w:sz w:val="24"/>
                <w:szCs w:val="24"/>
              </w:rPr>
            </w:pPr>
            <w:r w:rsidRPr="00866909">
              <w:rPr>
                <w:rFonts w:ascii="Calibri" w:hAnsi="Calibri" w:cs="Calibri"/>
                <w:color w:val="000000"/>
                <w:sz w:val="24"/>
                <w:szCs w:val="24"/>
              </w:rPr>
              <w:t> </w:t>
            </w:r>
          </w:p>
        </w:tc>
        <w:tc>
          <w:tcPr>
            <w:tcW w:w="1101" w:type="dxa"/>
            <w:tcBorders>
              <w:top w:val="single" w:sz="4" w:space="0" w:color="auto"/>
              <w:left w:val="nil"/>
              <w:right w:val="single" w:sz="8" w:space="0" w:color="auto"/>
            </w:tcBorders>
            <w:shd w:val="clear" w:color="000000" w:fill="FFFFFF"/>
            <w:noWrap/>
            <w:vAlign w:val="center"/>
            <w:hideMark/>
          </w:tcPr>
          <w:p w14:paraId="0AC2A7C2" w14:textId="77777777" w:rsidR="00866909" w:rsidRPr="00866909" w:rsidRDefault="00866909" w:rsidP="00C00973">
            <w:pPr>
              <w:ind w:right="121"/>
              <w:jc w:val="both"/>
              <w:rPr>
                <w:rFonts w:ascii="Calibri" w:hAnsi="Calibri" w:cs="Calibri"/>
                <w:b/>
                <w:bCs/>
                <w:color w:val="000000"/>
                <w:sz w:val="24"/>
                <w:szCs w:val="24"/>
              </w:rPr>
            </w:pPr>
            <w:r w:rsidRPr="00866909">
              <w:rPr>
                <w:rFonts w:ascii="Calibri" w:hAnsi="Calibri" w:cs="Calibri"/>
                <w:b/>
                <w:bCs/>
                <w:color w:val="000000"/>
                <w:sz w:val="24"/>
                <w:szCs w:val="24"/>
              </w:rPr>
              <w:t> </w:t>
            </w:r>
          </w:p>
        </w:tc>
        <w:tc>
          <w:tcPr>
            <w:tcW w:w="1430" w:type="dxa"/>
            <w:tcBorders>
              <w:top w:val="single" w:sz="4" w:space="0" w:color="auto"/>
              <w:left w:val="single" w:sz="8" w:space="0" w:color="auto"/>
              <w:bottom w:val="single" w:sz="8" w:space="0" w:color="auto"/>
              <w:right w:val="nil"/>
            </w:tcBorders>
            <w:shd w:val="clear" w:color="000000" w:fill="FFFFFF"/>
            <w:noWrap/>
            <w:vAlign w:val="center"/>
            <w:hideMark/>
          </w:tcPr>
          <w:p w14:paraId="68AA6509" w14:textId="77777777" w:rsidR="00866909" w:rsidRPr="00866909" w:rsidRDefault="00866909" w:rsidP="00C00973">
            <w:pPr>
              <w:ind w:right="121"/>
              <w:jc w:val="both"/>
              <w:rPr>
                <w:rFonts w:ascii="Calibri" w:hAnsi="Calibri" w:cs="Calibri"/>
                <w:b/>
                <w:bCs/>
                <w:color w:val="000000"/>
                <w:sz w:val="24"/>
                <w:szCs w:val="24"/>
              </w:rPr>
            </w:pPr>
            <w:r w:rsidRPr="00866909">
              <w:rPr>
                <w:rFonts w:ascii="Calibri" w:hAnsi="Calibri" w:cs="Calibri"/>
                <w:b/>
                <w:bCs/>
                <w:color w:val="000000"/>
                <w:sz w:val="24"/>
                <w:szCs w:val="24"/>
              </w:rPr>
              <w:t>4,092</w:t>
            </w:r>
          </w:p>
        </w:tc>
        <w:tc>
          <w:tcPr>
            <w:tcW w:w="1259" w:type="dxa"/>
            <w:tcBorders>
              <w:top w:val="single" w:sz="4" w:space="0" w:color="auto"/>
              <w:left w:val="nil"/>
              <w:bottom w:val="single" w:sz="8" w:space="0" w:color="auto"/>
              <w:right w:val="single" w:sz="8" w:space="0" w:color="auto"/>
            </w:tcBorders>
            <w:shd w:val="clear" w:color="000000" w:fill="FFFFFF"/>
            <w:noWrap/>
            <w:vAlign w:val="center"/>
            <w:hideMark/>
          </w:tcPr>
          <w:p w14:paraId="6BF306DF" w14:textId="77777777" w:rsidR="00866909" w:rsidRPr="00866909" w:rsidRDefault="00866909" w:rsidP="00C00973">
            <w:pPr>
              <w:ind w:right="121"/>
              <w:jc w:val="both"/>
              <w:rPr>
                <w:rFonts w:ascii="Calibri" w:hAnsi="Calibri" w:cs="Calibri"/>
                <w:b/>
                <w:bCs/>
                <w:color w:val="000000"/>
                <w:sz w:val="24"/>
                <w:szCs w:val="24"/>
              </w:rPr>
            </w:pPr>
            <w:r w:rsidRPr="00866909">
              <w:rPr>
                <w:rFonts w:ascii="Calibri" w:hAnsi="Calibri" w:cs="Calibri"/>
                <w:b/>
                <w:bCs/>
                <w:color w:val="000000"/>
                <w:sz w:val="24"/>
                <w:szCs w:val="24"/>
              </w:rPr>
              <w:t>3,900</w:t>
            </w:r>
          </w:p>
        </w:tc>
        <w:tc>
          <w:tcPr>
            <w:tcW w:w="1070" w:type="dxa"/>
            <w:tcBorders>
              <w:top w:val="nil"/>
              <w:left w:val="nil"/>
              <w:bottom w:val="single" w:sz="8" w:space="0" w:color="auto"/>
              <w:right w:val="single" w:sz="8" w:space="0" w:color="auto"/>
            </w:tcBorders>
            <w:shd w:val="clear" w:color="000000" w:fill="FFFFFF"/>
            <w:noWrap/>
            <w:vAlign w:val="center"/>
            <w:hideMark/>
          </w:tcPr>
          <w:p w14:paraId="655B9BD6" w14:textId="77777777" w:rsidR="00866909" w:rsidRPr="00866909" w:rsidRDefault="00866909" w:rsidP="00C00973">
            <w:pPr>
              <w:ind w:right="36"/>
              <w:jc w:val="both"/>
              <w:rPr>
                <w:rFonts w:ascii="Calibri" w:hAnsi="Calibri" w:cs="Calibri"/>
                <w:b/>
                <w:bCs/>
                <w:color w:val="000000"/>
                <w:sz w:val="24"/>
                <w:szCs w:val="24"/>
              </w:rPr>
            </w:pPr>
            <w:r w:rsidRPr="00866909">
              <w:rPr>
                <w:rFonts w:ascii="Calibri" w:hAnsi="Calibri" w:cs="Calibri"/>
                <w:b/>
                <w:bCs/>
                <w:color w:val="000000"/>
                <w:sz w:val="24"/>
                <w:szCs w:val="24"/>
              </w:rPr>
              <w:t>7,992</w:t>
            </w:r>
          </w:p>
        </w:tc>
      </w:tr>
    </w:tbl>
    <w:p w14:paraId="018CADFA" w14:textId="77777777" w:rsidR="00866909" w:rsidRPr="00634C05" w:rsidRDefault="00866909" w:rsidP="00C00973">
      <w:pPr>
        <w:jc w:val="both"/>
        <w:rPr>
          <w:sz w:val="24"/>
          <w:szCs w:val="24"/>
        </w:rPr>
      </w:pPr>
    </w:p>
    <w:p w14:paraId="0CFAFC8E" w14:textId="31E3F609" w:rsidR="00866909" w:rsidRPr="00634C05" w:rsidRDefault="004B55AF" w:rsidP="00C00973">
      <w:pPr>
        <w:jc w:val="both"/>
        <w:rPr>
          <w:b/>
          <w:sz w:val="24"/>
          <w:szCs w:val="24"/>
        </w:rPr>
      </w:pPr>
      <w:r w:rsidRPr="00634C05">
        <w:rPr>
          <w:b/>
          <w:sz w:val="24"/>
          <w:szCs w:val="24"/>
        </w:rPr>
        <w:t>Grant Management</w:t>
      </w:r>
    </w:p>
    <w:p w14:paraId="1162740A" w14:textId="5CA3BECC" w:rsidR="00634C05" w:rsidRPr="00634C05" w:rsidRDefault="00634C05" w:rsidP="00C00973">
      <w:pPr>
        <w:jc w:val="both"/>
        <w:rPr>
          <w:b/>
          <w:sz w:val="24"/>
          <w:szCs w:val="24"/>
        </w:rPr>
      </w:pPr>
    </w:p>
    <w:p w14:paraId="10DB7C71" w14:textId="3F5478C3" w:rsidR="00634C05" w:rsidRPr="00634C05" w:rsidRDefault="00634C05" w:rsidP="00C00973">
      <w:pPr>
        <w:ind w:firstLine="360"/>
        <w:jc w:val="both"/>
        <w:rPr>
          <w:bCs/>
          <w:sz w:val="24"/>
          <w:szCs w:val="24"/>
        </w:rPr>
      </w:pPr>
      <w:r w:rsidRPr="00634C05">
        <w:rPr>
          <w:bCs/>
          <w:sz w:val="24"/>
          <w:szCs w:val="24"/>
        </w:rPr>
        <w:t xml:space="preserve">FTA requires </w:t>
      </w:r>
      <w:r>
        <w:rPr>
          <w:bCs/>
          <w:sz w:val="24"/>
          <w:szCs w:val="24"/>
        </w:rPr>
        <w:t xml:space="preserve">SSOA grant recipients to submit reports to its </w:t>
      </w:r>
      <w:r w:rsidRPr="00F1233D">
        <w:rPr>
          <w:sz w:val="25"/>
          <w:szCs w:val="25"/>
        </w:rPr>
        <w:t xml:space="preserve">electronic grant making and management system </w:t>
      </w:r>
      <w:r>
        <w:rPr>
          <w:sz w:val="25"/>
          <w:szCs w:val="25"/>
        </w:rPr>
        <w:t>(TrAMS), including the Federal Financial Report and the Milestone Progress Report.</w:t>
      </w:r>
    </w:p>
    <w:p w14:paraId="2FD21D32" w14:textId="77777777" w:rsidR="00634C05" w:rsidRPr="00634C05" w:rsidRDefault="00634C05" w:rsidP="00C00973">
      <w:pPr>
        <w:jc w:val="both"/>
        <w:rPr>
          <w:b/>
          <w:sz w:val="24"/>
          <w:szCs w:val="24"/>
        </w:rPr>
      </w:pPr>
    </w:p>
    <w:tbl>
      <w:tblPr>
        <w:tblW w:w="827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190"/>
        <w:gridCol w:w="1080"/>
      </w:tblGrid>
      <w:tr w:rsidR="004B55AF" w:rsidRPr="004B55AF" w14:paraId="5230B5FC" w14:textId="77777777" w:rsidTr="00634C05">
        <w:trPr>
          <w:trHeight w:val="340"/>
        </w:trPr>
        <w:tc>
          <w:tcPr>
            <w:tcW w:w="7190" w:type="dxa"/>
            <w:shd w:val="clear" w:color="000000" w:fill="FFFFFF"/>
            <w:noWrap/>
            <w:vAlign w:val="bottom"/>
            <w:hideMark/>
          </w:tcPr>
          <w:p w14:paraId="13B797ED" w14:textId="724D270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Estimated Total Hours for SSO Program Grant Management</w:t>
            </w:r>
            <w:r w:rsidR="00F467E7">
              <w:rPr>
                <w:rFonts w:ascii="Calibri" w:hAnsi="Calibri" w:cs="Calibri"/>
                <w:color w:val="000000"/>
                <w:sz w:val="24"/>
                <w:szCs w:val="24"/>
              </w:rPr>
              <w:t xml:space="preserve"> in TrAMS</w:t>
            </w:r>
            <w:r>
              <w:rPr>
                <w:rStyle w:val="FootnoteReference"/>
                <w:rFonts w:ascii="Calibri" w:hAnsi="Calibri" w:cs="Calibri"/>
                <w:color w:val="000000"/>
                <w:sz w:val="24"/>
                <w:szCs w:val="24"/>
              </w:rPr>
              <w:footnoteReference w:id="5"/>
            </w:r>
          </w:p>
        </w:tc>
        <w:tc>
          <w:tcPr>
            <w:tcW w:w="1080" w:type="dxa"/>
            <w:shd w:val="clear" w:color="000000" w:fill="FFFFFF"/>
            <w:noWrap/>
            <w:vAlign w:val="bottom"/>
            <w:hideMark/>
          </w:tcPr>
          <w:p w14:paraId="054C10E4" w14:textId="77777777" w:rsidR="004B55AF" w:rsidRPr="004B55AF" w:rsidRDefault="004B55AF" w:rsidP="00C00973">
            <w:pPr>
              <w:jc w:val="both"/>
              <w:rPr>
                <w:rFonts w:ascii="Calibri" w:hAnsi="Calibri" w:cs="Calibri"/>
                <w:b/>
                <w:color w:val="000000"/>
                <w:sz w:val="24"/>
                <w:szCs w:val="24"/>
              </w:rPr>
            </w:pPr>
            <w:r w:rsidRPr="004B55AF">
              <w:rPr>
                <w:rFonts w:ascii="Calibri" w:hAnsi="Calibri" w:cs="Calibri"/>
                <w:b/>
                <w:color w:val="000000"/>
                <w:sz w:val="24"/>
                <w:szCs w:val="24"/>
              </w:rPr>
              <w:t>3,000</w:t>
            </w:r>
          </w:p>
        </w:tc>
      </w:tr>
    </w:tbl>
    <w:p w14:paraId="31C25AC1" w14:textId="77777777" w:rsidR="004B55AF" w:rsidRPr="00634C05" w:rsidRDefault="004B55AF" w:rsidP="00C00973">
      <w:pPr>
        <w:jc w:val="both"/>
        <w:rPr>
          <w:sz w:val="24"/>
          <w:szCs w:val="24"/>
        </w:rPr>
      </w:pPr>
    </w:p>
    <w:p w14:paraId="082063F3" w14:textId="5BDB00BB" w:rsidR="00866909" w:rsidRPr="00634C05" w:rsidRDefault="004B55AF" w:rsidP="00C00973">
      <w:pPr>
        <w:jc w:val="both"/>
        <w:rPr>
          <w:b/>
          <w:sz w:val="24"/>
          <w:szCs w:val="24"/>
        </w:rPr>
      </w:pPr>
      <w:r w:rsidRPr="00634C05">
        <w:rPr>
          <w:b/>
          <w:sz w:val="24"/>
          <w:szCs w:val="24"/>
        </w:rPr>
        <w:t>Event Notification</w:t>
      </w:r>
    </w:p>
    <w:p w14:paraId="7BB7E5B0" w14:textId="36B4967E" w:rsidR="00634C05" w:rsidRPr="00634C05" w:rsidRDefault="00634C05" w:rsidP="00C00973">
      <w:pPr>
        <w:jc w:val="both"/>
        <w:rPr>
          <w:bCs/>
          <w:sz w:val="24"/>
          <w:szCs w:val="24"/>
        </w:rPr>
      </w:pPr>
    </w:p>
    <w:p w14:paraId="48FE332B" w14:textId="24DDB9C4" w:rsidR="00634C05" w:rsidRPr="00634C05" w:rsidRDefault="00634C05" w:rsidP="00C00973">
      <w:pPr>
        <w:ind w:firstLine="360"/>
        <w:jc w:val="both"/>
        <w:rPr>
          <w:bCs/>
          <w:sz w:val="24"/>
          <w:szCs w:val="24"/>
        </w:rPr>
      </w:pPr>
      <w:r w:rsidRPr="00634C05">
        <w:rPr>
          <w:bCs/>
          <w:sz w:val="24"/>
          <w:szCs w:val="24"/>
        </w:rPr>
        <w:t xml:space="preserve">FTA requires </w:t>
      </w:r>
      <w:r>
        <w:rPr>
          <w:bCs/>
          <w:sz w:val="24"/>
          <w:szCs w:val="24"/>
        </w:rPr>
        <w:t>RTAs to notify FTA within two hours of any event meeting the accident thresholds established in 49 CFR Part 674. RTAs submit a brief report to FTA via email.</w:t>
      </w:r>
    </w:p>
    <w:p w14:paraId="51DD285E" w14:textId="77777777" w:rsidR="00634C05" w:rsidRPr="00634C05" w:rsidRDefault="00634C05" w:rsidP="00C00973">
      <w:pPr>
        <w:jc w:val="both"/>
        <w:rPr>
          <w:bCs/>
          <w:sz w:val="24"/>
          <w:szCs w:val="24"/>
        </w:rPr>
      </w:pPr>
    </w:p>
    <w:tbl>
      <w:tblPr>
        <w:tblW w:w="5400" w:type="dxa"/>
        <w:tblLook w:val="04A0" w:firstRow="1" w:lastRow="0" w:firstColumn="1" w:lastColumn="0" w:noHBand="0" w:noVBand="1"/>
      </w:tblPr>
      <w:tblGrid>
        <w:gridCol w:w="4100"/>
        <w:gridCol w:w="1300"/>
      </w:tblGrid>
      <w:tr w:rsidR="004B55AF" w:rsidRPr="004B55AF" w14:paraId="3A0A8D3A" w14:textId="77777777" w:rsidTr="008A4301">
        <w:trPr>
          <w:trHeight w:val="320"/>
        </w:trPr>
        <w:tc>
          <w:tcPr>
            <w:tcW w:w="4100" w:type="dxa"/>
            <w:tcBorders>
              <w:top w:val="single" w:sz="8" w:space="0" w:color="auto"/>
              <w:left w:val="single" w:sz="8" w:space="0" w:color="auto"/>
              <w:bottom w:val="single" w:sz="8" w:space="0" w:color="auto"/>
              <w:right w:val="nil"/>
            </w:tcBorders>
            <w:shd w:val="clear" w:color="000000" w:fill="FFFFFF"/>
            <w:noWrap/>
            <w:vAlign w:val="bottom"/>
            <w:hideMark/>
          </w:tcPr>
          <w:p w14:paraId="5DA71FD7"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CY 2017 674-Reportable Events</w:t>
            </w:r>
          </w:p>
        </w:tc>
        <w:tc>
          <w:tcPr>
            <w:tcW w:w="1300" w:type="dxa"/>
            <w:tcBorders>
              <w:top w:val="single" w:sz="8" w:space="0" w:color="auto"/>
              <w:left w:val="nil"/>
              <w:bottom w:val="single" w:sz="8" w:space="0" w:color="auto"/>
              <w:right w:val="single" w:sz="8" w:space="0" w:color="auto"/>
            </w:tcBorders>
            <w:shd w:val="clear" w:color="000000" w:fill="FFFFFF"/>
            <w:noWrap/>
            <w:vAlign w:val="center"/>
            <w:hideMark/>
          </w:tcPr>
          <w:p w14:paraId="6F7D6EA4"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581</w:t>
            </w:r>
            <w:r>
              <w:rPr>
                <w:rStyle w:val="FootnoteReference"/>
                <w:rFonts w:ascii="Calibri" w:hAnsi="Calibri" w:cs="Calibri"/>
                <w:color w:val="000000"/>
                <w:sz w:val="24"/>
                <w:szCs w:val="24"/>
              </w:rPr>
              <w:footnoteReference w:id="6"/>
            </w:r>
          </w:p>
        </w:tc>
      </w:tr>
      <w:tr w:rsidR="004B55AF" w:rsidRPr="004B55AF" w14:paraId="29DAFFBA" w14:textId="77777777" w:rsidTr="008A4301">
        <w:trPr>
          <w:trHeight w:val="320"/>
        </w:trPr>
        <w:tc>
          <w:tcPr>
            <w:tcW w:w="4100" w:type="dxa"/>
            <w:tcBorders>
              <w:top w:val="single" w:sz="8" w:space="0" w:color="auto"/>
              <w:left w:val="single" w:sz="8" w:space="0" w:color="auto"/>
              <w:bottom w:val="single" w:sz="8" w:space="0" w:color="auto"/>
              <w:right w:val="nil"/>
            </w:tcBorders>
            <w:shd w:val="clear" w:color="000000" w:fill="FFFFFF"/>
            <w:noWrap/>
            <w:vAlign w:val="bottom"/>
            <w:hideMark/>
          </w:tcPr>
          <w:p w14:paraId="41D8C974"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CY 2018 674-Reportable Events</w:t>
            </w:r>
          </w:p>
        </w:tc>
        <w:tc>
          <w:tcPr>
            <w:tcW w:w="1300" w:type="dxa"/>
            <w:tcBorders>
              <w:top w:val="single" w:sz="8" w:space="0" w:color="auto"/>
              <w:left w:val="nil"/>
              <w:bottom w:val="single" w:sz="8" w:space="0" w:color="auto"/>
              <w:right w:val="single" w:sz="8" w:space="0" w:color="auto"/>
            </w:tcBorders>
            <w:shd w:val="clear" w:color="000000" w:fill="FFFFFF"/>
            <w:noWrap/>
            <w:vAlign w:val="center"/>
            <w:hideMark/>
          </w:tcPr>
          <w:p w14:paraId="34B549BF"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654</w:t>
            </w:r>
            <w:r w:rsidRPr="004B55AF">
              <w:rPr>
                <w:rFonts w:ascii="Calibri" w:hAnsi="Calibri" w:cs="Calibri"/>
                <w:color w:val="000000"/>
                <w:sz w:val="24"/>
                <w:szCs w:val="24"/>
                <w:vertAlign w:val="superscript"/>
              </w:rPr>
              <w:t>5</w:t>
            </w:r>
          </w:p>
        </w:tc>
      </w:tr>
      <w:tr w:rsidR="004B55AF" w:rsidRPr="004B55AF" w14:paraId="41D5C6CA" w14:textId="77777777" w:rsidTr="008A4301">
        <w:trPr>
          <w:trHeight w:val="320"/>
        </w:trPr>
        <w:tc>
          <w:tcPr>
            <w:tcW w:w="4100" w:type="dxa"/>
            <w:tcBorders>
              <w:top w:val="single" w:sz="8" w:space="0" w:color="auto"/>
              <w:left w:val="single" w:sz="8" w:space="0" w:color="auto"/>
              <w:bottom w:val="single" w:sz="8" w:space="0" w:color="auto"/>
              <w:right w:val="nil"/>
            </w:tcBorders>
            <w:shd w:val="clear" w:color="000000" w:fill="FFFFFF"/>
            <w:noWrap/>
            <w:vAlign w:val="bottom"/>
            <w:hideMark/>
          </w:tcPr>
          <w:p w14:paraId="51914628"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Average 674-Reportable Events</w:t>
            </w:r>
          </w:p>
        </w:tc>
        <w:tc>
          <w:tcPr>
            <w:tcW w:w="1300" w:type="dxa"/>
            <w:tcBorders>
              <w:top w:val="single" w:sz="8" w:space="0" w:color="auto"/>
              <w:left w:val="nil"/>
              <w:bottom w:val="single" w:sz="8" w:space="0" w:color="auto"/>
              <w:right w:val="single" w:sz="8" w:space="0" w:color="auto"/>
            </w:tcBorders>
            <w:shd w:val="clear" w:color="000000" w:fill="FFFFFF"/>
            <w:noWrap/>
            <w:vAlign w:val="center"/>
            <w:hideMark/>
          </w:tcPr>
          <w:p w14:paraId="4D3D403A"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618</w:t>
            </w:r>
          </w:p>
        </w:tc>
      </w:tr>
      <w:tr w:rsidR="004B55AF" w:rsidRPr="004B55AF" w14:paraId="1A85FF00" w14:textId="77777777" w:rsidTr="008A4301">
        <w:trPr>
          <w:trHeight w:val="320"/>
        </w:trPr>
        <w:tc>
          <w:tcPr>
            <w:tcW w:w="4100" w:type="dxa"/>
            <w:tcBorders>
              <w:top w:val="single" w:sz="8" w:space="0" w:color="auto"/>
              <w:left w:val="single" w:sz="8" w:space="0" w:color="auto"/>
              <w:bottom w:val="nil"/>
              <w:right w:val="nil"/>
            </w:tcBorders>
            <w:shd w:val="clear" w:color="000000" w:fill="FFFFFF"/>
            <w:noWrap/>
            <w:vAlign w:val="bottom"/>
            <w:hideMark/>
          </w:tcPr>
          <w:p w14:paraId="4138056E"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Estimated Hours to Report an Event</w:t>
            </w:r>
          </w:p>
        </w:tc>
        <w:tc>
          <w:tcPr>
            <w:tcW w:w="1300" w:type="dxa"/>
            <w:tcBorders>
              <w:top w:val="single" w:sz="8" w:space="0" w:color="auto"/>
              <w:left w:val="nil"/>
              <w:bottom w:val="nil"/>
              <w:right w:val="single" w:sz="8" w:space="0" w:color="auto"/>
            </w:tcBorders>
            <w:shd w:val="clear" w:color="000000" w:fill="FFFFFF"/>
            <w:noWrap/>
            <w:vAlign w:val="center"/>
            <w:hideMark/>
          </w:tcPr>
          <w:p w14:paraId="1D3522D5" w14:textId="77777777" w:rsidR="004B55AF" w:rsidRPr="004B55AF" w:rsidRDefault="004B55AF" w:rsidP="00C00973">
            <w:pPr>
              <w:jc w:val="both"/>
              <w:rPr>
                <w:rFonts w:ascii="Calibri" w:hAnsi="Calibri" w:cs="Calibri"/>
                <w:color w:val="000000"/>
                <w:sz w:val="24"/>
                <w:szCs w:val="24"/>
              </w:rPr>
            </w:pPr>
            <w:r w:rsidRPr="004B55AF">
              <w:rPr>
                <w:rFonts w:ascii="Calibri" w:hAnsi="Calibri" w:cs="Calibri"/>
                <w:color w:val="000000"/>
                <w:sz w:val="24"/>
                <w:szCs w:val="24"/>
              </w:rPr>
              <w:t>1</w:t>
            </w:r>
          </w:p>
        </w:tc>
      </w:tr>
      <w:tr w:rsidR="004B55AF" w:rsidRPr="004B55AF" w14:paraId="7428E080" w14:textId="77777777" w:rsidTr="008A4301">
        <w:trPr>
          <w:trHeight w:val="340"/>
        </w:trPr>
        <w:tc>
          <w:tcPr>
            <w:tcW w:w="4100" w:type="dxa"/>
            <w:tcBorders>
              <w:top w:val="single" w:sz="4" w:space="0" w:color="auto"/>
              <w:left w:val="single" w:sz="8" w:space="0" w:color="auto"/>
              <w:bottom w:val="single" w:sz="8" w:space="0" w:color="auto"/>
              <w:right w:val="nil"/>
            </w:tcBorders>
            <w:shd w:val="clear" w:color="000000" w:fill="FFFFFF"/>
            <w:noWrap/>
            <w:vAlign w:val="bottom"/>
            <w:hideMark/>
          </w:tcPr>
          <w:p w14:paraId="219470A1" w14:textId="6B5F0043" w:rsidR="004B55AF" w:rsidRPr="004B55AF" w:rsidRDefault="004B55AF" w:rsidP="00C00973">
            <w:pPr>
              <w:jc w:val="both"/>
              <w:rPr>
                <w:rFonts w:ascii="Calibri" w:hAnsi="Calibri" w:cs="Calibri"/>
                <w:b/>
                <w:bCs/>
                <w:color w:val="000000"/>
                <w:sz w:val="24"/>
                <w:szCs w:val="24"/>
              </w:rPr>
            </w:pPr>
            <w:r w:rsidRPr="004B55AF">
              <w:rPr>
                <w:rFonts w:ascii="Calibri" w:hAnsi="Calibri" w:cs="Calibri"/>
                <w:b/>
                <w:bCs/>
                <w:color w:val="000000"/>
                <w:sz w:val="24"/>
                <w:szCs w:val="24"/>
              </w:rPr>
              <w:t xml:space="preserve">Total Estimated RTA </w:t>
            </w:r>
            <w:r w:rsidR="00600C8F">
              <w:rPr>
                <w:rFonts w:ascii="Calibri" w:hAnsi="Calibri" w:cs="Calibri"/>
                <w:b/>
                <w:bCs/>
                <w:color w:val="000000"/>
                <w:sz w:val="24"/>
                <w:szCs w:val="24"/>
              </w:rPr>
              <w:t xml:space="preserve">Hours </w:t>
            </w:r>
            <w:r w:rsidRPr="004B55AF">
              <w:rPr>
                <w:rFonts w:ascii="Calibri" w:hAnsi="Calibri" w:cs="Calibri"/>
                <w:b/>
                <w:bCs/>
                <w:color w:val="000000"/>
                <w:sz w:val="24"/>
                <w:szCs w:val="24"/>
              </w:rPr>
              <w:t>Burden</w:t>
            </w:r>
          </w:p>
        </w:tc>
        <w:tc>
          <w:tcPr>
            <w:tcW w:w="1300" w:type="dxa"/>
            <w:tcBorders>
              <w:top w:val="single" w:sz="4" w:space="0" w:color="auto"/>
              <w:left w:val="nil"/>
              <w:bottom w:val="single" w:sz="8" w:space="0" w:color="auto"/>
              <w:right w:val="single" w:sz="8" w:space="0" w:color="auto"/>
            </w:tcBorders>
            <w:shd w:val="clear" w:color="000000" w:fill="FFFFFF"/>
            <w:noWrap/>
            <w:vAlign w:val="center"/>
            <w:hideMark/>
          </w:tcPr>
          <w:p w14:paraId="56B18ADB" w14:textId="77777777" w:rsidR="004B55AF" w:rsidRPr="004B55AF" w:rsidRDefault="004B55AF" w:rsidP="00C00973">
            <w:pPr>
              <w:jc w:val="both"/>
              <w:rPr>
                <w:rFonts w:ascii="Calibri" w:hAnsi="Calibri" w:cs="Calibri"/>
                <w:b/>
                <w:bCs/>
                <w:color w:val="000000"/>
                <w:sz w:val="24"/>
                <w:szCs w:val="24"/>
              </w:rPr>
            </w:pPr>
            <w:r w:rsidRPr="004B55AF">
              <w:rPr>
                <w:rFonts w:ascii="Calibri" w:hAnsi="Calibri" w:cs="Calibri"/>
                <w:b/>
                <w:bCs/>
                <w:color w:val="000000"/>
                <w:sz w:val="24"/>
                <w:szCs w:val="24"/>
              </w:rPr>
              <w:t>618</w:t>
            </w:r>
          </w:p>
        </w:tc>
      </w:tr>
    </w:tbl>
    <w:p w14:paraId="3EBF9A27" w14:textId="77777777" w:rsidR="0040019A" w:rsidRPr="00634C05" w:rsidRDefault="0040019A" w:rsidP="00C00973">
      <w:pPr>
        <w:jc w:val="both"/>
        <w:rPr>
          <w:b/>
          <w:sz w:val="24"/>
          <w:szCs w:val="24"/>
        </w:rPr>
      </w:pPr>
    </w:p>
    <w:p w14:paraId="5789B22B" w14:textId="77777777" w:rsidR="00E75ACE" w:rsidRPr="00634C05" w:rsidRDefault="00E75ACE" w:rsidP="00C00973">
      <w:pPr>
        <w:numPr>
          <w:ilvl w:val="0"/>
          <w:numId w:val="3"/>
        </w:numPr>
        <w:jc w:val="both"/>
        <w:rPr>
          <w:b/>
          <w:sz w:val="24"/>
          <w:szCs w:val="24"/>
        </w:rPr>
      </w:pPr>
      <w:r w:rsidRPr="00634C05">
        <w:rPr>
          <w:b/>
          <w:sz w:val="24"/>
          <w:szCs w:val="24"/>
        </w:rPr>
        <w:t>Estimate of the total cost burden to respondents or record keepers resulting from the collection of information (not including the cost of any hour burden shown in items 12</w:t>
      </w:r>
      <w:r w:rsidR="00D6595D" w:rsidRPr="00634C05">
        <w:rPr>
          <w:b/>
          <w:sz w:val="24"/>
          <w:szCs w:val="24"/>
        </w:rPr>
        <w:t xml:space="preserve"> </w:t>
      </w:r>
      <w:r w:rsidRPr="00634C05">
        <w:rPr>
          <w:b/>
          <w:sz w:val="24"/>
          <w:szCs w:val="24"/>
        </w:rPr>
        <w:t>and 14).</w:t>
      </w:r>
    </w:p>
    <w:p w14:paraId="5884F9F4" w14:textId="77777777" w:rsidR="00E75ACE" w:rsidRPr="00634C05" w:rsidRDefault="00E75ACE" w:rsidP="00C00973">
      <w:pPr>
        <w:jc w:val="both"/>
        <w:rPr>
          <w:b/>
          <w:sz w:val="24"/>
          <w:szCs w:val="24"/>
        </w:rPr>
      </w:pPr>
    </w:p>
    <w:p w14:paraId="0075F9C9" w14:textId="77777777" w:rsidR="00E75ACE" w:rsidRPr="00634C05" w:rsidRDefault="00E75ACE" w:rsidP="00C00973">
      <w:pPr>
        <w:ind w:firstLine="420"/>
        <w:jc w:val="both"/>
        <w:rPr>
          <w:b/>
          <w:sz w:val="24"/>
          <w:szCs w:val="24"/>
        </w:rPr>
      </w:pPr>
      <w:r w:rsidRPr="00634C05">
        <w:rPr>
          <w:sz w:val="24"/>
          <w:szCs w:val="24"/>
        </w:rPr>
        <w:t>There is no additional cost beyond that shown in items 12 and 14.</w:t>
      </w:r>
    </w:p>
    <w:p w14:paraId="48FC35F6" w14:textId="77777777" w:rsidR="00E75ACE" w:rsidRPr="00634C05" w:rsidRDefault="00E75ACE" w:rsidP="00C00973">
      <w:pPr>
        <w:jc w:val="both"/>
        <w:rPr>
          <w:sz w:val="24"/>
          <w:szCs w:val="24"/>
        </w:rPr>
      </w:pPr>
    </w:p>
    <w:p w14:paraId="0EAF0313" w14:textId="77777777" w:rsidR="00E75ACE" w:rsidRPr="00634C05" w:rsidRDefault="00E75ACE" w:rsidP="00C00973">
      <w:pPr>
        <w:numPr>
          <w:ilvl w:val="0"/>
          <w:numId w:val="3"/>
        </w:numPr>
        <w:jc w:val="both"/>
        <w:rPr>
          <w:b/>
          <w:sz w:val="24"/>
          <w:szCs w:val="24"/>
        </w:rPr>
      </w:pPr>
      <w:r w:rsidRPr="00634C05">
        <w:rPr>
          <w:b/>
          <w:sz w:val="24"/>
          <w:szCs w:val="24"/>
        </w:rPr>
        <w:t xml:space="preserve">Estimate of annualized cost to the </w:t>
      </w:r>
      <w:r w:rsidR="00F32E11" w:rsidRPr="00634C05">
        <w:rPr>
          <w:b/>
          <w:sz w:val="24"/>
          <w:szCs w:val="24"/>
        </w:rPr>
        <w:t>F</w:t>
      </w:r>
      <w:r w:rsidRPr="00634C05">
        <w:rPr>
          <w:b/>
          <w:sz w:val="24"/>
          <w:szCs w:val="24"/>
        </w:rPr>
        <w:t>ederal government.</w:t>
      </w:r>
    </w:p>
    <w:p w14:paraId="6B15B3A3" w14:textId="77777777" w:rsidR="00E75ACE" w:rsidRPr="00634C05" w:rsidRDefault="00E75ACE" w:rsidP="00C00973">
      <w:pPr>
        <w:jc w:val="both"/>
        <w:rPr>
          <w:sz w:val="24"/>
          <w:szCs w:val="24"/>
        </w:rPr>
      </w:pPr>
    </w:p>
    <w:p w14:paraId="3A9955D9" w14:textId="74AA496C" w:rsidR="00E75ACE" w:rsidRPr="00634C05" w:rsidRDefault="00E75ACE" w:rsidP="00C00973">
      <w:pPr>
        <w:ind w:firstLine="420"/>
        <w:jc w:val="both"/>
        <w:rPr>
          <w:sz w:val="24"/>
          <w:szCs w:val="24"/>
        </w:rPr>
      </w:pPr>
      <w:r w:rsidRPr="00634C05">
        <w:rPr>
          <w:sz w:val="24"/>
          <w:szCs w:val="24"/>
        </w:rPr>
        <w:t>To comply with Section 53</w:t>
      </w:r>
      <w:r w:rsidR="008356BD" w:rsidRPr="00634C05">
        <w:rPr>
          <w:sz w:val="24"/>
          <w:szCs w:val="24"/>
        </w:rPr>
        <w:t>29</w:t>
      </w:r>
      <w:r w:rsidRPr="00634C05">
        <w:rPr>
          <w:sz w:val="24"/>
          <w:szCs w:val="24"/>
        </w:rPr>
        <w:t xml:space="preserve">, FTA must make an initial review of each </w:t>
      </w:r>
      <w:r w:rsidR="00110835" w:rsidRPr="00634C05">
        <w:rPr>
          <w:sz w:val="24"/>
          <w:szCs w:val="24"/>
        </w:rPr>
        <w:t>S</w:t>
      </w:r>
      <w:r w:rsidR="00DD5D3B" w:rsidRPr="00634C05">
        <w:rPr>
          <w:sz w:val="24"/>
          <w:szCs w:val="24"/>
        </w:rPr>
        <w:t>SOA’s</w:t>
      </w:r>
      <w:r w:rsidRPr="00634C05">
        <w:rPr>
          <w:sz w:val="24"/>
          <w:szCs w:val="24"/>
        </w:rPr>
        <w:t xml:space="preserve"> </w:t>
      </w:r>
      <w:r w:rsidR="006A6BDA">
        <w:rPr>
          <w:sz w:val="24"/>
          <w:szCs w:val="24"/>
        </w:rPr>
        <w:t xml:space="preserve">oversight </w:t>
      </w:r>
      <w:r w:rsidR="006A6BDA" w:rsidRPr="00634C05">
        <w:rPr>
          <w:sz w:val="24"/>
          <w:szCs w:val="24"/>
        </w:rPr>
        <w:t>program</w:t>
      </w:r>
      <w:r w:rsidRPr="00634C05">
        <w:rPr>
          <w:sz w:val="24"/>
          <w:szCs w:val="24"/>
        </w:rPr>
        <w:t xml:space="preserve"> standard and procedures to determine compliance. Each year thereafter, FTA must continue to monitor compliance. In addition, FTA must provide technical assistance and general monitoring services to manage the </w:t>
      </w:r>
      <w:r w:rsidR="00DD5D3B" w:rsidRPr="00634C05">
        <w:rPr>
          <w:sz w:val="24"/>
          <w:szCs w:val="24"/>
        </w:rPr>
        <w:t xml:space="preserve">SSO </w:t>
      </w:r>
      <w:r w:rsidRPr="00634C05">
        <w:rPr>
          <w:sz w:val="24"/>
          <w:szCs w:val="24"/>
        </w:rPr>
        <w:t>program. The table below provides estimates of the labor costs to FTA for compliance wit</w:t>
      </w:r>
      <w:r w:rsidR="00F32E11" w:rsidRPr="00634C05">
        <w:rPr>
          <w:sz w:val="24"/>
          <w:szCs w:val="24"/>
        </w:rPr>
        <w:t xml:space="preserve">h </w:t>
      </w:r>
      <w:r w:rsidRPr="00634C05">
        <w:rPr>
          <w:sz w:val="24"/>
          <w:szCs w:val="24"/>
        </w:rPr>
        <w:t>Section 53</w:t>
      </w:r>
      <w:r w:rsidR="008356BD" w:rsidRPr="00634C05">
        <w:rPr>
          <w:sz w:val="24"/>
          <w:szCs w:val="24"/>
        </w:rPr>
        <w:t>29</w:t>
      </w:r>
      <w:r w:rsidR="00D6595D" w:rsidRPr="00634C05">
        <w:rPr>
          <w:sz w:val="24"/>
          <w:szCs w:val="24"/>
        </w:rPr>
        <w:t>.</w:t>
      </w:r>
    </w:p>
    <w:p w14:paraId="277F3362" w14:textId="77777777" w:rsidR="00E75ACE" w:rsidRPr="00634C05" w:rsidRDefault="00E75ACE" w:rsidP="00C00973">
      <w:pPr>
        <w:jc w:val="both"/>
        <w:rPr>
          <w:sz w:val="24"/>
          <w:szCs w:val="24"/>
        </w:rPr>
      </w:pPr>
    </w:p>
    <w:p w14:paraId="55E3105D" w14:textId="0A0718B1" w:rsidR="00E75ACE" w:rsidRPr="00634C05" w:rsidRDefault="00E75ACE" w:rsidP="00C00973">
      <w:pPr>
        <w:pStyle w:val="BodyText"/>
        <w:ind w:firstLine="420"/>
        <w:jc w:val="both"/>
        <w:rPr>
          <w:szCs w:val="24"/>
        </w:rPr>
      </w:pPr>
      <w:r w:rsidRPr="00634C05">
        <w:rPr>
          <w:szCs w:val="24"/>
        </w:rPr>
        <w:t>Compliance monitoring audits have demonstrated their effectiveness to improve the state oversight for accident/hazardous condition investigations, accident reporting, and implementing corrective actions for causes of accidents. It is necessary to provide technical assistance and training to prevent future accidents with injuries and fatalities.  Costs are based on $</w:t>
      </w:r>
      <w:r w:rsidR="00605E9A" w:rsidRPr="00634C05">
        <w:rPr>
          <w:szCs w:val="24"/>
        </w:rPr>
        <w:t>4</w:t>
      </w:r>
      <w:r w:rsidR="00600C8F">
        <w:rPr>
          <w:szCs w:val="24"/>
        </w:rPr>
        <w:t>7.</w:t>
      </w:r>
      <w:r w:rsidR="00A12E4E">
        <w:rPr>
          <w:szCs w:val="24"/>
        </w:rPr>
        <w:t>52</w:t>
      </w:r>
      <w:r w:rsidRPr="00634C05">
        <w:rPr>
          <w:szCs w:val="24"/>
        </w:rPr>
        <w:t xml:space="preserve"> per labor hour</w:t>
      </w:r>
      <w:r w:rsidR="00600C8F">
        <w:rPr>
          <w:rStyle w:val="FootnoteReference"/>
          <w:szCs w:val="24"/>
        </w:rPr>
        <w:footnoteReference w:id="7"/>
      </w:r>
      <w:r w:rsidRPr="00634C05">
        <w:rPr>
          <w:szCs w:val="24"/>
        </w:rPr>
        <w:t xml:space="preserve">. Using this rate, FTA estimates </w:t>
      </w:r>
      <w:r w:rsidR="008A4301">
        <w:rPr>
          <w:szCs w:val="24"/>
        </w:rPr>
        <w:t xml:space="preserve">a total annual cost </w:t>
      </w:r>
      <w:r w:rsidRPr="00634C05">
        <w:rPr>
          <w:szCs w:val="24"/>
        </w:rPr>
        <w:t xml:space="preserve">to </w:t>
      </w:r>
      <w:r w:rsidR="00FD2631">
        <w:rPr>
          <w:szCs w:val="24"/>
        </w:rPr>
        <w:t>Federal Government</w:t>
      </w:r>
      <w:r w:rsidR="008A4301">
        <w:rPr>
          <w:szCs w:val="24"/>
        </w:rPr>
        <w:t xml:space="preserve"> of</w:t>
      </w:r>
      <w:r w:rsidRPr="00634C05">
        <w:rPr>
          <w:szCs w:val="24"/>
        </w:rPr>
        <w:t xml:space="preserve"> $</w:t>
      </w:r>
      <w:r w:rsidR="003F61E6">
        <w:rPr>
          <w:szCs w:val="24"/>
        </w:rPr>
        <w:t>667,656.00</w:t>
      </w:r>
      <w:r w:rsidR="00AA63B0">
        <w:rPr>
          <w:szCs w:val="24"/>
        </w:rPr>
        <w:t>.</w:t>
      </w:r>
    </w:p>
    <w:p w14:paraId="71A238AB" w14:textId="77777777" w:rsidR="00F467E7" w:rsidRPr="00634C05" w:rsidRDefault="00F467E7" w:rsidP="00C00973">
      <w:pPr>
        <w:jc w:val="both"/>
        <w:rPr>
          <w:sz w:val="24"/>
          <w:szCs w:val="24"/>
        </w:rPr>
      </w:pPr>
    </w:p>
    <w:p w14:paraId="734878B4" w14:textId="609CE754" w:rsidR="003E1DFF" w:rsidRDefault="00FE6173" w:rsidP="00C00973">
      <w:pPr>
        <w:jc w:val="both"/>
        <w:rPr>
          <w:b/>
          <w:sz w:val="24"/>
          <w:szCs w:val="24"/>
        </w:rPr>
      </w:pPr>
      <w:r w:rsidRPr="00600C8F">
        <w:rPr>
          <w:b/>
          <w:sz w:val="24"/>
          <w:szCs w:val="24"/>
        </w:rPr>
        <w:t>Federal Transit Administration</w:t>
      </w:r>
    </w:p>
    <w:p w14:paraId="7E637D85" w14:textId="2862B257" w:rsidR="003F61E6" w:rsidRDefault="003F61E6" w:rsidP="00C00973">
      <w:pPr>
        <w:jc w:val="both"/>
        <w:rPr>
          <w:b/>
          <w:sz w:val="24"/>
          <w:szCs w:val="24"/>
        </w:rPr>
      </w:pPr>
    </w:p>
    <w:tbl>
      <w:tblPr>
        <w:tblW w:w="8720" w:type="dxa"/>
        <w:tblLook w:val="04A0" w:firstRow="1" w:lastRow="0" w:firstColumn="1" w:lastColumn="0" w:noHBand="0" w:noVBand="1"/>
      </w:tblPr>
      <w:tblGrid>
        <w:gridCol w:w="4480"/>
        <w:gridCol w:w="1880"/>
        <w:gridCol w:w="2360"/>
      </w:tblGrid>
      <w:tr w:rsidR="003F61E6" w:rsidRPr="003F61E6" w14:paraId="0E01595F" w14:textId="77777777" w:rsidTr="003F61E6">
        <w:trPr>
          <w:trHeight w:val="330"/>
        </w:trPr>
        <w:tc>
          <w:tcPr>
            <w:tcW w:w="4480" w:type="dxa"/>
            <w:tcBorders>
              <w:top w:val="single" w:sz="8" w:space="0" w:color="auto"/>
              <w:left w:val="single" w:sz="8" w:space="0" w:color="auto"/>
              <w:bottom w:val="nil"/>
              <w:right w:val="nil"/>
            </w:tcBorders>
            <w:shd w:val="clear" w:color="auto" w:fill="auto"/>
            <w:noWrap/>
            <w:vAlign w:val="bottom"/>
            <w:hideMark/>
          </w:tcPr>
          <w:p w14:paraId="406D507A" w14:textId="4F2C24BD" w:rsidR="003F61E6" w:rsidRPr="003F61E6" w:rsidRDefault="003F61E6" w:rsidP="00C00973">
            <w:pPr>
              <w:jc w:val="both"/>
              <w:rPr>
                <w:rFonts w:ascii="Calibri (Body)" w:hAnsi="Calibri (Body)"/>
                <w:b/>
                <w:bCs/>
                <w:color w:val="000000"/>
                <w:sz w:val="24"/>
                <w:szCs w:val="24"/>
              </w:rPr>
            </w:pPr>
            <w:r>
              <w:rPr>
                <w:rFonts w:ascii="Calibri (Body)" w:hAnsi="Calibri (Body)"/>
                <w:b/>
                <w:bCs/>
                <w:color w:val="000000"/>
                <w:sz w:val="24"/>
                <w:szCs w:val="24"/>
              </w:rPr>
              <w:t>Annual Activity for PRA Related Activities</w:t>
            </w:r>
          </w:p>
        </w:tc>
        <w:tc>
          <w:tcPr>
            <w:tcW w:w="1880" w:type="dxa"/>
            <w:tcBorders>
              <w:top w:val="single" w:sz="8" w:space="0" w:color="auto"/>
              <w:left w:val="nil"/>
              <w:bottom w:val="nil"/>
              <w:right w:val="nil"/>
            </w:tcBorders>
            <w:shd w:val="clear" w:color="auto" w:fill="auto"/>
            <w:noWrap/>
            <w:vAlign w:val="bottom"/>
            <w:hideMark/>
          </w:tcPr>
          <w:p w14:paraId="3CB51E14" w14:textId="77777777" w:rsidR="003F61E6" w:rsidRPr="003F61E6" w:rsidRDefault="003F61E6" w:rsidP="00C00973">
            <w:pPr>
              <w:jc w:val="both"/>
              <w:rPr>
                <w:rFonts w:ascii="Calibri (Body)" w:hAnsi="Calibri (Body)"/>
                <w:b/>
                <w:bCs/>
                <w:color w:val="000000"/>
                <w:sz w:val="24"/>
                <w:szCs w:val="24"/>
              </w:rPr>
            </w:pPr>
            <w:r w:rsidRPr="003F61E6">
              <w:rPr>
                <w:rFonts w:ascii="Calibri (Body)" w:hAnsi="Calibri (Body)"/>
                <w:b/>
                <w:bCs/>
                <w:color w:val="000000"/>
                <w:sz w:val="24"/>
                <w:szCs w:val="24"/>
              </w:rPr>
              <w:t>Labor Hours</w:t>
            </w:r>
          </w:p>
        </w:tc>
        <w:tc>
          <w:tcPr>
            <w:tcW w:w="2360" w:type="dxa"/>
            <w:tcBorders>
              <w:top w:val="single" w:sz="8" w:space="0" w:color="auto"/>
              <w:left w:val="nil"/>
              <w:bottom w:val="nil"/>
              <w:right w:val="single" w:sz="8" w:space="0" w:color="auto"/>
            </w:tcBorders>
            <w:shd w:val="clear" w:color="auto" w:fill="auto"/>
            <w:noWrap/>
            <w:vAlign w:val="bottom"/>
            <w:hideMark/>
          </w:tcPr>
          <w:p w14:paraId="0B4FC33B" w14:textId="77777777" w:rsidR="003F61E6" w:rsidRPr="003F61E6" w:rsidRDefault="003F61E6" w:rsidP="00C00973">
            <w:pPr>
              <w:jc w:val="both"/>
              <w:rPr>
                <w:rFonts w:ascii="Calibri (Body)" w:hAnsi="Calibri (Body)"/>
                <w:b/>
                <w:bCs/>
                <w:color w:val="000000"/>
                <w:sz w:val="24"/>
                <w:szCs w:val="24"/>
              </w:rPr>
            </w:pPr>
            <w:r w:rsidRPr="003F61E6">
              <w:rPr>
                <w:rFonts w:ascii="Calibri (Body)" w:hAnsi="Calibri (Body)"/>
                <w:b/>
                <w:bCs/>
                <w:color w:val="000000"/>
                <w:sz w:val="24"/>
                <w:szCs w:val="24"/>
              </w:rPr>
              <w:t>Total Cost</w:t>
            </w:r>
          </w:p>
        </w:tc>
      </w:tr>
      <w:tr w:rsidR="003F61E6" w:rsidRPr="003F61E6" w14:paraId="33DA14DB" w14:textId="77777777" w:rsidTr="003F61E6">
        <w:trPr>
          <w:trHeight w:val="315"/>
        </w:trPr>
        <w:tc>
          <w:tcPr>
            <w:tcW w:w="4480" w:type="dxa"/>
            <w:tcBorders>
              <w:top w:val="single" w:sz="8" w:space="0" w:color="auto"/>
              <w:left w:val="single" w:sz="8" w:space="0" w:color="auto"/>
              <w:bottom w:val="nil"/>
              <w:right w:val="nil"/>
            </w:tcBorders>
            <w:shd w:val="clear" w:color="000000" w:fill="FFFFFF"/>
            <w:vAlign w:val="center"/>
            <w:hideMark/>
          </w:tcPr>
          <w:p w14:paraId="64CE480F"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Annual Reporting</w:t>
            </w:r>
          </w:p>
        </w:tc>
        <w:tc>
          <w:tcPr>
            <w:tcW w:w="1880" w:type="dxa"/>
            <w:tcBorders>
              <w:top w:val="single" w:sz="8" w:space="0" w:color="auto"/>
              <w:left w:val="single" w:sz="4" w:space="0" w:color="auto"/>
              <w:bottom w:val="nil"/>
              <w:right w:val="single" w:sz="4" w:space="0" w:color="auto"/>
            </w:tcBorders>
            <w:shd w:val="clear" w:color="000000" w:fill="FFFFFF"/>
            <w:vAlign w:val="center"/>
            <w:hideMark/>
          </w:tcPr>
          <w:p w14:paraId="58AF4A47"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4,800 </w:t>
            </w:r>
          </w:p>
        </w:tc>
        <w:tc>
          <w:tcPr>
            <w:tcW w:w="2360" w:type="dxa"/>
            <w:tcBorders>
              <w:top w:val="single" w:sz="8" w:space="0" w:color="auto"/>
              <w:left w:val="nil"/>
              <w:bottom w:val="nil"/>
              <w:right w:val="single" w:sz="8" w:space="0" w:color="auto"/>
            </w:tcBorders>
            <w:shd w:val="clear" w:color="000000" w:fill="FFFFFF"/>
            <w:vAlign w:val="center"/>
            <w:hideMark/>
          </w:tcPr>
          <w:p w14:paraId="57C17609"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                228,096.00 </w:t>
            </w:r>
          </w:p>
        </w:tc>
      </w:tr>
      <w:tr w:rsidR="003F61E6" w:rsidRPr="003F61E6" w14:paraId="4F289B02" w14:textId="77777777" w:rsidTr="003F61E6">
        <w:trPr>
          <w:trHeight w:val="315"/>
        </w:trPr>
        <w:tc>
          <w:tcPr>
            <w:tcW w:w="4480" w:type="dxa"/>
            <w:tcBorders>
              <w:top w:val="nil"/>
              <w:left w:val="single" w:sz="8" w:space="0" w:color="auto"/>
              <w:bottom w:val="nil"/>
              <w:right w:val="nil"/>
            </w:tcBorders>
            <w:shd w:val="clear" w:color="000000" w:fill="FFFFFF"/>
            <w:vAlign w:val="center"/>
            <w:hideMark/>
          </w:tcPr>
          <w:p w14:paraId="505EEA60"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FTA Audits</w:t>
            </w:r>
          </w:p>
        </w:tc>
        <w:tc>
          <w:tcPr>
            <w:tcW w:w="1880" w:type="dxa"/>
            <w:tcBorders>
              <w:top w:val="nil"/>
              <w:left w:val="single" w:sz="4" w:space="0" w:color="auto"/>
              <w:bottom w:val="nil"/>
              <w:right w:val="single" w:sz="4" w:space="0" w:color="auto"/>
            </w:tcBorders>
            <w:shd w:val="clear" w:color="000000" w:fill="FFFFFF"/>
            <w:vAlign w:val="center"/>
            <w:hideMark/>
          </w:tcPr>
          <w:p w14:paraId="64525664"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5,400 </w:t>
            </w:r>
          </w:p>
        </w:tc>
        <w:tc>
          <w:tcPr>
            <w:tcW w:w="2360" w:type="dxa"/>
            <w:tcBorders>
              <w:top w:val="nil"/>
              <w:left w:val="nil"/>
              <w:bottom w:val="nil"/>
              <w:right w:val="single" w:sz="8" w:space="0" w:color="auto"/>
            </w:tcBorders>
            <w:shd w:val="clear" w:color="000000" w:fill="FFFFFF"/>
            <w:vAlign w:val="center"/>
            <w:hideMark/>
          </w:tcPr>
          <w:p w14:paraId="45C91B49"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                256,608.00 </w:t>
            </w:r>
          </w:p>
        </w:tc>
      </w:tr>
      <w:tr w:rsidR="003F61E6" w:rsidRPr="003F61E6" w14:paraId="218008ED" w14:textId="77777777" w:rsidTr="003F61E6">
        <w:trPr>
          <w:trHeight w:val="315"/>
        </w:trPr>
        <w:tc>
          <w:tcPr>
            <w:tcW w:w="4480" w:type="dxa"/>
            <w:tcBorders>
              <w:top w:val="nil"/>
              <w:left w:val="single" w:sz="8" w:space="0" w:color="auto"/>
              <w:bottom w:val="nil"/>
              <w:right w:val="nil"/>
            </w:tcBorders>
            <w:shd w:val="clear" w:color="000000" w:fill="FFFFFF"/>
            <w:vAlign w:val="center"/>
            <w:hideMark/>
          </w:tcPr>
          <w:p w14:paraId="63CF6D3F"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Periodic Requests</w:t>
            </w:r>
          </w:p>
        </w:tc>
        <w:tc>
          <w:tcPr>
            <w:tcW w:w="1880" w:type="dxa"/>
            <w:tcBorders>
              <w:top w:val="nil"/>
              <w:left w:val="single" w:sz="4" w:space="0" w:color="auto"/>
              <w:bottom w:val="nil"/>
              <w:right w:val="single" w:sz="4" w:space="0" w:color="auto"/>
            </w:tcBorders>
            <w:shd w:val="clear" w:color="000000" w:fill="FFFFFF"/>
            <w:vAlign w:val="center"/>
            <w:hideMark/>
          </w:tcPr>
          <w:p w14:paraId="279EFBB4"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2,000 </w:t>
            </w:r>
          </w:p>
        </w:tc>
        <w:tc>
          <w:tcPr>
            <w:tcW w:w="2360" w:type="dxa"/>
            <w:tcBorders>
              <w:top w:val="nil"/>
              <w:left w:val="nil"/>
              <w:bottom w:val="nil"/>
              <w:right w:val="single" w:sz="8" w:space="0" w:color="auto"/>
            </w:tcBorders>
            <w:shd w:val="clear" w:color="000000" w:fill="FFFFFF"/>
            <w:vAlign w:val="center"/>
            <w:hideMark/>
          </w:tcPr>
          <w:p w14:paraId="192AFEDC"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                  95,040.00 </w:t>
            </w:r>
          </w:p>
        </w:tc>
      </w:tr>
      <w:tr w:rsidR="003F61E6" w:rsidRPr="003F61E6" w14:paraId="04F096FD" w14:textId="77777777" w:rsidTr="003F61E6">
        <w:trPr>
          <w:trHeight w:val="315"/>
        </w:trPr>
        <w:tc>
          <w:tcPr>
            <w:tcW w:w="4480" w:type="dxa"/>
            <w:tcBorders>
              <w:top w:val="nil"/>
              <w:left w:val="single" w:sz="8" w:space="0" w:color="auto"/>
              <w:bottom w:val="nil"/>
              <w:right w:val="nil"/>
            </w:tcBorders>
            <w:shd w:val="clear" w:color="000000" w:fill="FFFFFF"/>
            <w:vAlign w:val="center"/>
            <w:hideMark/>
          </w:tcPr>
          <w:p w14:paraId="47E33F1E"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Grant Management</w:t>
            </w:r>
          </w:p>
        </w:tc>
        <w:tc>
          <w:tcPr>
            <w:tcW w:w="1880" w:type="dxa"/>
            <w:tcBorders>
              <w:top w:val="nil"/>
              <w:left w:val="single" w:sz="4" w:space="0" w:color="auto"/>
              <w:bottom w:val="nil"/>
              <w:right w:val="single" w:sz="4" w:space="0" w:color="auto"/>
            </w:tcBorders>
            <w:shd w:val="clear" w:color="000000" w:fill="FFFFFF"/>
            <w:vAlign w:val="center"/>
            <w:hideMark/>
          </w:tcPr>
          <w:p w14:paraId="73F945A0"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1,232 </w:t>
            </w:r>
          </w:p>
        </w:tc>
        <w:tc>
          <w:tcPr>
            <w:tcW w:w="2360" w:type="dxa"/>
            <w:tcBorders>
              <w:top w:val="nil"/>
              <w:left w:val="nil"/>
              <w:bottom w:val="nil"/>
              <w:right w:val="single" w:sz="8" w:space="0" w:color="auto"/>
            </w:tcBorders>
            <w:shd w:val="clear" w:color="000000" w:fill="FFFFFF"/>
            <w:vAlign w:val="center"/>
            <w:hideMark/>
          </w:tcPr>
          <w:p w14:paraId="3CF10243"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                  58,544.64 </w:t>
            </w:r>
          </w:p>
        </w:tc>
      </w:tr>
      <w:tr w:rsidR="003F61E6" w:rsidRPr="003F61E6" w14:paraId="28D930D5" w14:textId="77777777" w:rsidTr="003F61E6">
        <w:trPr>
          <w:trHeight w:val="315"/>
        </w:trPr>
        <w:tc>
          <w:tcPr>
            <w:tcW w:w="4480" w:type="dxa"/>
            <w:tcBorders>
              <w:top w:val="nil"/>
              <w:left w:val="single" w:sz="8" w:space="0" w:color="auto"/>
              <w:bottom w:val="single" w:sz="4" w:space="0" w:color="auto"/>
              <w:right w:val="nil"/>
            </w:tcBorders>
            <w:shd w:val="clear" w:color="000000" w:fill="FFFFFF"/>
            <w:vAlign w:val="center"/>
            <w:hideMark/>
          </w:tcPr>
          <w:p w14:paraId="1CDD28CD"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FTA Event Notification</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14:paraId="6B72FF7C"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618 </w:t>
            </w:r>
          </w:p>
        </w:tc>
        <w:tc>
          <w:tcPr>
            <w:tcW w:w="2360" w:type="dxa"/>
            <w:tcBorders>
              <w:top w:val="nil"/>
              <w:left w:val="nil"/>
              <w:bottom w:val="single" w:sz="4" w:space="0" w:color="auto"/>
              <w:right w:val="single" w:sz="8" w:space="0" w:color="auto"/>
            </w:tcBorders>
            <w:shd w:val="clear" w:color="000000" w:fill="FFFFFF"/>
            <w:vAlign w:val="center"/>
            <w:hideMark/>
          </w:tcPr>
          <w:p w14:paraId="35C02F09" w14:textId="77777777" w:rsidR="003F61E6" w:rsidRPr="003F61E6" w:rsidRDefault="003F61E6" w:rsidP="00C00973">
            <w:pPr>
              <w:jc w:val="both"/>
              <w:rPr>
                <w:rFonts w:ascii="Calibri" w:hAnsi="Calibri"/>
                <w:color w:val="000000"/>
                <w:sz w:val="24"/>
                <w:szCs w:val="24"/>
              </w:rPr>
            </w:pPr>
            <w:r w:rsidRPr="003F61E6">
              <w:rPr>
                <w:rFonts w:ascii="Calibri" w:hAnsi="Calibri"/>
                <w:color w:val="000000"/>
                <w:sz w:val="24"/>
                <w:szCs w:val="24"/>
              </w:rPr>
              <w:t xml:space="preserve"> $                  29,367.36 </w:t>
            </w:r>
          </w:p>
        </w:tc>
      </w:tr>
      <w:tr w:rsidR="003F61E6" w:rsidRPr="003F61E6" w14:paraId="7BFCE2C2" w14:textId="77777777" w:rsidTr="003F61E6">
        <w:trPr>
          <w:trHeight w:val="330"/>
        </w:trPr>
        <w:tc>
          <w:tcPr>
            <w:tcW w:w="4480" w:type="dxa"/>
            <w:tcBorders>
              <w:top w:val="single" w:sz="4" w:space="0" w:color="auto"/>
              <w:left w:val="single" w:sz="8" w:space="0" w:color="auto"/>
              <w:bottom w:val="single" w:sz="8" w:space="0" w:color="auto"/>
              <w:right w:val="nil"/>
            </w:tcBorders>
            <w:shd w:val="clear" w:color="000000" w:fill="FFFFFF"/>
            <w:noWrap/>
            <w:vAlign w:val="bottom"/>
            <w:hideMark/>
          </w:tcPr>
          <w:p w14:paraId="2F331693" w14:textId="77777777" w:rsidR="003F61E6" w:rsidRPr="003F61E6" w:rsidRDefault="003F61E6" w:rsidP="00C00973">
            <w:pPr>
              <w:jc w:val="both"/>
              <w:rPr>
                <w:rFonts w:ascii="Calibri" w:hAnsi="Calibri"/>
                <w:b/>
                <w:bCs/>
                <w:color w:val="000000"/>
                <w:sz w:val="24"/>
                <w:szCs w:val="24"/>
              </w:rPr>
            </w:pPr>
            <w:r w:rsidRPr="003F61E6">
              <w:rPr>
                <w:rFonts w:ascii="Calibri" w:hAnsi="Calibri"/>
                <w:b/>
                <w:bCs/>
                <w:color w:val="000000"/>
                <w:sz w:val="24"/>
                <w:szCs w:val="24"/>
              </w:rPr>
              <w:t>Total</w:t>
            </w:r>
          </w:p>
        </w:tc>
        <w:tc>
          <w:tcPr>
            <w:tcW w:w="1880" w:type="dxa"/>
            <w:tcBorders>
              <w:top w:val="nil"/>
              <w:left w:val="single" w:sz="4" w:space="0" w:color="auto"/>
              <w:bottom w:val="single" w:sz="8" w:space="0" w:color="auto"/>
              <w:right w:val="single" w:sz="4" w:space="0" w:color="auto"/>
            </w:tcBorders>
            <w:shd w:val="clear" w:color="000000" w:fill="FFFFFF"/>
            <w:noWrap/>
            <w:vAlign w:val="bottom"/>
            <w:hideMark/>
          </w:tcPr>
          <w:p w14:paraId="55F5CBE9" w14:textId="77777777" w:rsidR="003F61E6" w:rsidRPr="003F61E6" w:rsidRDefault="003F61E6" w:rsidP="00C00973">
            <w:pPr>
              <w:jc w:val="both"/>
              <w:rPr>
                <w:rFonts w:ascii="Calibri" w:hAnsi="Calibri"/>
                <w:b/>
                <w:bCs/>
                <w:color w:val="000000"/>
                <w:sz w:val="24"/>
                <w:szCs w:val="24"/>
              </w:rPr>
            </w:pPr>
            <w:r w:rsidRPr="003F61E6">
              <w:rPr>
                <w:rFonts w:ascii="Calibri" w:hAnsi="Calibri"/>
                <w:b/>
                <w:bCs/>
                <w:color w:val="000000"/>
                <w:sz w:val="24"/>
                <w:szCs w:val="24"/>
              </w:rPr>
              <w:t xml:space="preserve">                  14,050 </w:t>
            </w:r>
          </w:p>
        </w:tc>
        <w:tc>
          <w:tcPr>
            <w:tcW w:w="2360" w:type="dxa"/>
            <w:tcBorders>
              <w:top w:val="single" w:sz="4" w:space="0" w:color="auto"/>
              <w:left w:val="nil"/>
              <w:bottom w:val="single" w:sz="8" w:space="0" w:color="auto"/>
              <w:right w:val="single" w:sz="8" w:space="0" w:color="auto"/>
            </w:tcBorders>
            <w:shd w:val="clear" w:color="000000" w:fill="FFFFFF"/>
            <w:vAlign w:val="center"/>
            <w:hideMark/>
          </w:tcPr>
          <w:p w14:paraId="519C8090" w14:textId="77777777" w:rsidR="003F61E6" w:rsidRPr="003F61E6" w:rsidRDefault="003F61E6" w:rsidP="00C00973">
            <w:pPr>
              <w:jc w:val="both"/>
              <w:rPr>
                <w:rFonts w:ascii="Calibri" w:hAnsi="Calibri"/>
                <w:b/>
                <w:bCs/>
                <w:color w:val="000000"/>
                <w:sz w:val="24"/>
                <w:szCs w:val="24"/>
              </w:rPr>
            </w:pPr>
            <w:r w:rsidRPr="003F61E6">
              <w:rPr>
                <w:rFonts w:ascii="Calibri" w:hAnsi="Calibri"/>
                <w:b/>
                <w:bCs/>
                <w:color w:val="000000"/>
                <w:sz w:val="24"/>
                <w:szCs w:val="24"/>
              </w:rPr>
              <w:t xml:space="preserve"> $                667,656.00 </w:t>
            </w:r>
          </w:p>
        </w:tc>
      </w:tr>
    </w:tbl>
    <w:p w14:paraId="6D6087F9" w14:textId="42E66613" w:rsidR="003F61E6" w:rsidRDefault="003F61E6" w:rsidP="00C00973">
      <w:pPr>
        <w:jc w:val="both"/>
        <w:rPr>
          <w:b/>
          <w:sz w:val="24"/>
          <w:szCs w:val="24"/>
        </w:rPr>
      </w:pPr>
    </w:p>
    <w:p w14:paraId="1BE6BB0D" w14:textId="01FA7936" w:rsidR="00C00973" w:rsidRDefault="00C00973" w:rsidP="00C00973">
      <w:pPr>
        <w:jc w:val="both"/>
        <w:rPr>
          <w:b/>
          <w:sz w:val="24"/>
          <w:szCs w:val="24"/>
        </w:rPr>
      </w:pPr>
    </w:p>
    <w:p w14:paraId="0108C9B0" w14:textId="468FC691" w:rsidR="00C00973" w:rsidRDefault="00C00973" w:rsidP="00C00973">
      <w:pPr>
        <w:jc w:val="both"/>
        <w:rPr>
          <w:b/>
          <w:sz w:val="24"/>
          <w:szCs w:val="24"/>
        </w:rPr>
      </w:pPr>
    </w:p>
    <w:p w14:paraId="14C18F68" w14:textId="6ADE59D7" w:rsidR="00C00973" w:rsidRDefault="00C00973" w:rsidP="00C00973">
      <w:pPr>
        <w:jc w:val="both"/>
        <w:rPr>
          <w:b/>
          <w:sz w:val="24"/>
          <w:szCs w:val="24"/>
        </w:rPr>
      </w:pPr>
    </w:p>
    <w:p w14:paraId="6F298EA7" w14:textId="7B69FE5A" w:rsidR="00C00973" w:rsidRDefault="00C00973" w:rsidP="00C00973">
      <w:pPr>
        <w:jc w:val="both"/>
        <w:rPr>
          <w:b/>
          <w:sz w:val="24"/>
          <w:szCs w:val="24"/>
        </w:rPr>
      </w:pPr>
    </w:p>
    <w:p w14:paraId="2C4FCA78" w14:textId="1C007938" w:rsidR="00C00973" w:rsidRDefault="00C00973" w:rsidP="00C00973">
      <w:pPr>
        <w:jc w:val="both"/>
        <w:rPr>
          <w:b/>
          <w:sz w:val="24"/>
          <w:szCs w:val="24"/>
        </w:rPr>
      </w:pPr>
    </w:p>
    <w:p w14:paraId="59370B8B" w14:textId="73180A2C" w:rsidR="00C00973" w:rsidRDefault="00C00973" w:rsidP="00C00973">
      <w:pPr>
        <w:jc w:val="both"/>
        <w:rPr>
          <w:b/>
          <w:sz w:val="24"/>
          <w:szCs w:val="24"/>
        </w:rPr>
      </w:pPr>
    </w:p>
    <w:p w14:paraId="7C4B34DD" w14:textId="77777777" w:rsidR="00C00973" w:rsidRPr="00600C8F" w:rsidRDefault="00C00973" w:rsidP="00C00973">
      <w:pPr>
        <w:jc w:val="both"/>
        <w:rPr>
          <w:b/>
          <w:sz w:val="24"/>
          <w:szCs w:val="24"/>
        </w:rPr>
      </w:pPr>
    </w:p>
    <w:p w14:paraId="47A3B505" w14:textId="77777777" w:rsidR="00E75ACE" w:rsidRPr="00600C8F" w:rsidRDefault="00E75ACE" w:rsidP="00C00973">
      <w:pPr>
        <w:jc w:val="both"/>
        <w:rPr>
          <w:sz w:val="25"/>
          <w:szCs w:val="25"/>
        </w:rPr>
      </w:pPr>
    </w:p>
    <w:p w14:paraId="6E644E37" w14:textId="37F75EAD" w:rsidR="00E75ACE" w:rsidRPr="00F1233D" w:rsidRDefault="00E75ACE" w:rsidP="00C00973">
      <w:pPr>
        <w:numPr>
          <w:ilvl w:val="0"/>
          <w:numId w:val="3"/>
        </w:numPr>
        <w:jc w:val="both"/>
        <w:rPr>
          <w:b/>
          <w:sz w:val="25"/>
          <w:szCs w:val="25"/>
        </w:rPr>
      </w:pPr>
      <w:r w:rsidRPr="00600C8F">
        <w:rPr>
          <w:b/>
          <w:sz w:val="25"/>
          <w:szCs w:val="25"/>
        </w:rPr>
        <w:t>Explain the reasons for any program changes or adjustments</w:t>
      </w:r>
      <w:r w:rsidRPr="00F1233D">
        <w:rPr>
          <w:b/>
          <w:sz w:val="25"/>
          <w:szCs w:val="25"/>
        </w:rPr>
        <w:t xml:space="preserve"> reported.</w:t>
      </w:r>
    </w:p>
    <w:p w14:paraId="1919862D" w14:textId="77777777" w:rsidR="00E75ACE" w:rsidRPr="00F1233D" w:rsidRDefault="00E75ACE" w:rsidP="00C00973">
      <w:pPr>
        <w:jc w:val="both"/>
        <w:rPr>
          <w:b/>
          <w:sz w:val="25"/>
          <w:szCs w:val="25"/>
        </w:rPr>
      </w:pPr>
    </w:p>
    <w:p w14:paraId="033D18EF" w14:textId="76DF8921" w:rsidR="001C460F" w:rsidRPr="00B40691" w:rsidRDefault="005A285B" w:rsidP="00C00973">
      <w:pPr>
        <w:ind w:firstLine="420"/>
        <w:jc w:val="both"/>
        <w:rPr>
          <w:sz w:val="25"/>
          <w:szCs w:val="25"/>
        </w:rPr>
      </w:pPr>
      <w:r w:rsidRPr="005A285B">
        <w:rPr>
          <w:sz w:val="25"/>
          <w:szCs w:val="25"/>
        </w:rPr>
        <w:t xml:space="preserve">The total burden estimates for States and Rail Transit Agencies is significantly lower than the previous estimate due to a more accurate methodology for estimating information collection burden.  Previous estimates included labor hours totals for all SSO Program-related activities.  The new estimate includes only burden hours related to information collection activity.  FTA is also deploying a new web-based system (SSOR) to facilitate the SSOA annual reporting requirement which will reduce burden related to the annual reporting process through a streamlined reporting process. There </w:t>
      </w:r>
      <w:r>
        <w:rPr>
          <w:sz w:val="25"/>
          <w:szCs w:val="25"/>
        </w:rPr>
        <w:t>is</w:t>
      </w:r>
      <w:r w:rsidRPr="005A285B">
        <w:rPr>
          <w:sz w:val="25"/>
          <w:szCs w:val="25"/>
        </w:rPr>
        <w:t xml:space="preserve"> also an increase in responses </w:t>
      </w:r>
      <w:r>
        <w:rPr>
          <w:sz w:val="25"/>
          <w:szCs w:val="25"/>
        </w:rPr>
        <w:t xml:space="preserve">in this submission due to the respondents increasing </w:t>
      </w:r>
      <w:r w:rsidRPr="005A285B">
        <w:rPr>
          <w:sz w:val="25"/>
          <w:szCs w:val="25"/>
        </w:rPr>
        <w:t>from 90 in 2016 to 96 in 2019</w:t>
      </w:r>
      <w:r>
        <w:rPr>
          <w:sz w:val="25"/>
          <w:szCs w:val="25"/>
        </w:rPr>
        <w:t>. The new IC submission includes one</w:t>
      </w:r>
      <w:r w:rsidRPr="005A285B">
        <w:rPr>
          <w:sz w:val="25"/>
          <w:szCs w:val="25"/>
        </w:rPr>
        <w:t xml:space="preserve"> new State being certified and </w:t>
      </w:r>
      <w:r>
        <w:rPr>
          <w:sz w:val="25"/>
          <w:szCs w:val="25"/>
        </w:rPr>
        <w:t>five</w:t>
      </w:r>
      <w:r w:rsidRPr="005A285B">
        <w:rPr>
          <w:sz w:val="25"/>
          <w:szCs w:val="25"/>
        </w:rPr>
        <w:t xml:space="preserve"> new rail transit agencies being added</w:t>
      </w:r>
      <w:r>
        <w:rPr>
          <w:sz w:val="25"/>
          <w:szCs w:val="25"/>
        </w:rPr>
        <w:t xml:space="preserve"> to the program</w:t>
      </w:r>
      <w:r w:rsidRPr="005A285B">
        <w:rPr>
          <w:sz w:val="25"/>
          <w:szCs w:val="25"/>
        </w:rPr>
        <w:t>.</w:t>
      </w:r>
    </w:p>
    <w:p w14:paraId="59F23F39" w14:textId="7B52EFB8" w:rsidR="001C460F" w:rsidRDefault="001C460F" w:rsidP="00C00973">
      <w:pPr>
        <w:jc w:val="both"/>
        <w:rPr>
          <w:bCs/>
          <w:sz w:val="25"/>
          <w:szCs w:val="25"/>
        </w:rPr>
      </w:pPr>
    </w:p>
    <w:p w14:paraId="3D70429B" w14:textId="77777777" w:rsidR="00E75ACE" w:rsidRPr="00F1233D" w:rsidRDefault="00E75ACE" w:rsidP="00C00973">
      <w:pPr>
        <w:pStyle w:val="BodyText2"/>
        <w:numPr>
          <w:ilvl w:val="0"/>
          <w:numId w:val="3"/>
        </w:numPr>
        <w:jc w:val="both"/>
        <w:rPr>
          <w:sz w:val="25"/>
          <w:szCs w:val="25"/>
        </w:rPr>
      </w:pPr>
      <w:r w:rsidRPr="00F1233D">
        <w:rPr>
          <w:sz w:val="25"/>
          <w:szCs w:val="25"/>
        </w:rPr>
        <w:t>Plans for tabulation and publication for collections of information whose results will be published.</w:t>
      </w:r>
    </w:p>
    <w:p w14:paraId="16B7F713" w14:textId="77777777" w:rsidR="00E75ACE" w:rsidRPr="00F1233D" w:rsidRDefault="00E75ACE" w:rsidP="00C00973">
      <w:pPr>
        <w:pStyle w:val="BodyText2"/>
        <w:ind w:firstLine="420"/>
        <w:jc w:val="both"/>
        <w:rPr>
          <w:sz w:val="25"/>
          <w:szCs w:val="25"/>
        </w:rPr>
      </w:pPr>
    </w:p>
    <w:p w14:paraId="2A8E414F" w14:textId="77777777" w:rsidR="00E75ACE" w:rsidRPr="00F1233D" w:rsidRDefault="00E75ACE" w:rsidP="00C00973">
      <w:pPr>
        <w:pStyle w:val="BodyText2"/>
        <w:jc w:val="both"/>
        <w:rPr>
          <w:b w:val="0"/>
          <w:sz w:val="25"/>
          <w:szCs w:val="25"/>
        </w:rPr>
      </w:pPr>
      <w:r w:rsidRPr="00F1233D">
        <w:rPr>
          <w:b w:val="0"/>
          <w:sz w:val="25"/>
          <w:szCs w:val="25"/>
        </w:rPr>
        <w:t xml:space="preserve">       FTA will prepare an annual report on accident statistics as reported by </w:t>
      </w:r>
      <w:r w:rsidR="00DD5D3B" w:rsidRPr="00F1233D">
        <w:rPr>
          <w:b w:val="0"/>
          <w:sz w:val="25"/>
          <w:szCs w:val="25"/>
        </w:rPr>
        <w:t>SSOAs</w:t>
      </w:r>
      <w:r w:rsidRPr="00F1233D">
        <w:rPr>
          <w:b w:val="0"/>
          <w:sz w:val="25"/>
          <w:szCs w:val="25"/>
        </w:rPr>
        <w:t xml:space="preserve"> in their annual submission to FTA.</w:t>
      </w:r>
    </w:p>
    <w:p w14:paraId="2E6C5063" w14:textId="77777777" w:rsidR="00E75ACE" w:rsidRPr="00F1233D" w:rsidRDefault="00E75ACE" w:rsidP="00C00973">
      <w:pPr>
        <w:pStyle w:val="BodyText2"/>
        <w:ind w:firstLine="420"/>
        <w:jc w:val="both"/>
        <w:rPr>
          <w:b w:val="0"/>
          <w:sz w:val="25"/>
          <w:szCs w:val="25"/>
        </w:rPr>
      </w:pPr>
    </w:p>
    <w:p w14:paraId="0C54B3E5" w14:textId="77777777" w:rsidR="00E75ACE" w:rsidRPr="00F1233D" w:rsidRDefault="00E75ACE" w:rsidP="00C00973">
      <w:pPr>
        <w:pStyle w:val="BodyText2"/>
        <w:numPr>
          <w:ilvl w:val="0"/>
          <w:numId w:val="3"/>
        </w:numPr>
        <w:jc w:val="both"/>
        <w:rPr>
          <w:sz w:val="25"/>
          <w:szCs w:val="25"/>
        </w:rPr>
      </w:pPr>
      <w:r w:rsidRPr="00F1233D">
        <w:rPr>
          <w:sz w:val="25"/>
          <w:szCs w:val="25"/>
        </w:rPr>
        <w:t>If seeking approval not to display the expiration date for OMB approval, explain the reasons.</w:t>
      </w:r>
    </w:p>
    <w:p w14:paraId="28860813" w14:textId="77777777" w:rsidR="00E75ACE" w:rsidRPr="00F1233D" w:rsidRDefault="00E75ACE" w:rsidP="00C00973">
      <w:pPr>
        <w:pStyle w:val="BodyText2"/>
        <w:ind w:firstLine="420"/>
        <w:jc w:val="both"/>
        <w:rPr>
          <w:b w:val="0"/>
          <w:sz w:val="25"/>
          <w:szCs w:val="25"/>
        </w:rPr>
      </w:pPr>
    </w:p>
    <w:p w14:paraId="38F07700" w14:textId="77777777" w:rsidR="00E75ACE" w:rsidRPr="00F1233D" w:rsidRDefault="00A71AB7" w:rsidP="00C00973">
      <w:pPr>
        <w:spacing w:line="360" w:lineRule="auto"/>
        <w:ind w:firstLine="420"/>
        <w:jc w:val="both"/>
        <w:rPr>
          <w:sz w:val="25"/>
          <w:szCs w:val="25"/>
        </w:rPr>
      </w:pPr>
      <w:r w:rsidRPr="00F1233D">
        <w:rPr>
          <w:sz w:val="25"/>
          <w:szCs w:val="25"/>
        </w:rPr>
        <w:t>FTA is not seeking this approval</w:t>
      </w:r>
      <w:r w:rsidR="00E75ACE" w:rsidRPr="00F1233D">
        <w:rPr>
          <w:sz w:val="25"/>
          <w:szCs w:val="25"/>
        </w:rPr>
        <w:t>.</w:t>
      </w:r>
    </w:p>
    <w:p w14:paraId="7C121A61" w14:textId="27F7D7B5" w:rsidR="00E75ACE" w:rsidRPr="00F1233D" w:rsidRDefault="00E75ACE" w:rsidP="00C00973">
      <w:pPr>
        <w:pStyle w:val="BodyText2"/>
        <w:numPr>
          <w:ilvl w:val="0"/>
          <w:numId w:val="3"/>
        </w:numPr>
        <w:jc w:val="both"/>
        <w:rPr>
          <w:sz w:val="25"/>
          <w:szCs w:val="25"/>
        </w:rPr>
      </w:pPr>
      <w:r w:rsidRPr="00F1233D">
        <w:rPr>
          <w:sz w:val="25"/>
          <w:szCs w:val="25"/>
        </w:rPr>
        <w:t>Explain any exception to the certification statement.</w:t>
      </w:r>
    </w:p>
    <w:p w14:paraId="5D8B0435" w14:textId="77777777" w:rsidR="00E75ACE" w:rsidRPr="00F1233D" w:rsidRDefault="00E75ACE" w:rsidP="00C00973">
      <w:pPr>
        <w:pStyle w:val="BodyText2"/>
        <w:jc w:val="both"/>
        <w:rPr>
          <w:sz w:val="25"/>
          <w:szCs w:val="25"/>
        </w:rPr>
      </w:pPr>
    </w:p>
    <w:p w14:paraId="392D4098" w14:textId="77777777" w:rsidR="00E75ACE" w:rsidRPr="00F1233D" w:rsidRDefault="00E75ACE" w:rsidP="00C00973">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p w14:paraId="1813CACF" w14:textId="59B75020" w:rsidR="00224B2A" w:rsidRDefault="00224B2A" w:rsidP="00C00973">
      <w:pPr>
        <w:jc w:val="both"/>
        <w:rPr>
          <w:sz w:val="25"/>
          <w:szCs w:val="25"/>
        </w:rPr>
      </w:pPr>
    </w:p>
    <w:p w14:paraId="6889BA42" w14:textId="77777777" w:rsidR="00F1732B" w:rsidRPr="00F1233D" w:rsidRDefault="00F1732B" w:rsidP="00C00973">
      <w:pPr>
        <w:jc w:val="both"/>
        <w:rPr>
          <w:sz w:val="25"/>
          <w:szCs w:val="25"/>
        </w:rPr>
      </w:pPr>
    </w:p>
    <w:sectPr w:rsidR="00F1732B" w:rsidRPr="00F1233D" w:rsidSect="00C00973">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607D4" w14:textId="77777777" w:rsidR="00122DF6" w:rsidRDefault="00122DF6">
      <w:r>
        <w:separator/>
      </w:r>
    </w:p>
  </w:endnote>
  <w:endnote w:type="continuationSeparator" w:id="0">
    <w:p w14:paraId="22054E4B" w14:textId="77777777" w:rsidR="00122DF6" w:rsidRDefault="0012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E7A85" w14:textId="15C8E862" w:rsidR="005B072C" w:rsidRDefault="005B072C">
    <w:pPr>
      <w:pStyle w:val="Footer"/>
      <w:jc w:val="center"/>
    </w:pPr>
    <w:r>
      <w:rPr>
        <w:rStyle w:val="PageNumber"/>
      </w:rPr>
      <w:fldChar w:fldCharType="begin"/>
    </w:r>
    <w:r>
      <w:rPr>
        <w:rStyle w:val="PageNumber"/>
      </w:rPr>
      <w:instrText xml:space="preserve"> PAGE </w:instrText>
    </w:r>
    <w:r>
      <w:rPr>
        <w:rStyle w:val="PageNumber"/>
      </w:rPr>
      <w:fldChar w:fldCharType="separate"/>
    </w:r>
    <w:r w:rsidR="00ED208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AF889" w14:textId="77777777" w:rsidR="00122DF6" w:rsidRDefault="00122DF6">
      <w:r>
        <w:separator/>
      </w:r>
    </w:p>
  </w:footnote>
  <w:footnote w:type="continuationSeparator" w:id="0">
    <w:p w14:paraId="0FDEB55F" w14:textId="77777777" w:rsidR="00122DF6" w:rsidRDefault="00122DF6">
      <w:r>
        <w:continuationSeparator/>
      </w:r>
    </w:p>
  </w:footnote>
  <w:footnote w:id="1">
    <w:p w14:paraId="1EBAE835" w14:textId="25C53616" w:rsidR="00AA63B0" w:rsidRDefault="00AA63B0">
      <w:pPr>
        <w:pStyle w:val="FootnoteText"/>
      </w:pPr>
      <w:r>
        <w:rPr>
          <w:rStyle w:val="FootnoteReference"/>
        </w:rPr>
        <w:footnoteRef/>
      </w:r>
      <w:r>
        <w:t xml:space="preserve"> Labor rate calculated by using Bureau of Labor Statistics (BLS) </w:t>
      </w:r>
      <w:hyperlink r:id="rId1" w:anchor="11-0000" w:history="1">
        <w:r w:rsidRPr="00634C05">
          <w:rPr>
            <w:rStyle w:val="Hyperlink"/>
          </w:rPr>
          <w:t>rate tables</w:t>
        </w:r>
      </w:hyperlink>
      <w:r>
        <w:t xml:space="preserve">, category </w:t>
      </w:r>
      <w:r w:rsidRPr="00634C05">
        <w:t>17-2110</w:t>
      </w:r>
      <w:r>
        <w:t xml:space="preserve"> ($41.92), and adding 28% for fringe costs ($53.66).</w:t>
      </w:r>
    </w:p>
  </w:footnote>
  <w:footnote w:id="2">
    <w:p w14:paraId="55FE4085" w14:textId="688449A6" w:rsidR="00C542C0" w:rsidRDefault="00C542C0" w:rsidP="00C542C0">
      <w:pPr>
        <w:pStyle w:val="FootnoteText"/>
      </w:pPr>
      <w:r>
        <w:rPr>
          <w:rStyle w:val="FootnoteReference"/>
        </w:rPr>
        <w:footnoteRef/>
      </w:r>
      <w:r>
        <w:t xml:space="preserve"> Based on Part 674 Workload Assessments and burden reduction related to FTA’s new reporting system and process</w:t>
      </w:r>
      <w:r w:rsidR="00634C05">
        <w:t>.</w:t>
      </w:r>
    </w:p>
  </w:footnote>
  <w:footnote w:id="3">
    <w:p w14:paraId="15FE0323" w14:textId="47B86AC2" w:rsidR="003B1CAD" w:rsidRPr="004B55AF" w:rsidRDefault="003B1CAD" w:rsidP="003B1CAD">
      <w:pPr>
        <w:pStyle w:val="FootnoteText"/>
      </w:pPr>
      <w:r>
        <w:rPr>
          <w:rStyle w:val="FootnoteReference"/>
        </w:rPr>
        <w:footnoteRef/>
      </w:r>
      <w:r>
        <w:t xml:space="preserve"> Estimates</w:t>
      </w:r>
      <w:r w:rsidRPr="004B55AF">
        <w:t xml:space="preserve"> based on the schedule provided in the most recent</w:t>
      </w:r>
      <w:r>
        <w:t xml:space="preserve"> </w:t>
      </w:r>
      <w:r w:rsidRPr="004B55AF">
        <w:t xml:space="preserve">SSO Audit SOP. </w:t>
      </w:r>
      <w:r w:rsidR="004753F0">
        <w:t xml:space="preserve">The 10-audit annual average </w:t>
      </w:r>
      <w:r w:rsidRPr="004B55AF">
        <w:t xml:space="preserve">is based on </w:t>
      </w:r>
      <w:r w:rsidR="004753F0">
        <w:t xml:space="preserve">FTA’s </w:t>
      </w:r>
      <w:r w:rsidRPr="004B55AF">
        <w:t>requirement to audit each SSOA</w:t>
      </w:r>
      <w:r w:rsidR="004753F0">
        <w:t xml:space="preserve"> at least once every three years</w:t>
      </w:r>
      <w:r w:rsidRPr="004B55AF">
        <w:t>.</w:t>
      </w:r>
    </w:p>
  </w:footnote>
  <w:footnote w:id="4">
    <w:p w14:paraId="4CCB20DE" w14:textId="42D7264C" w:rsidR="004B55AF" w:rsidRDefault="004B55AF">
      <w:pPr>
        <w:pStyle w:val="FootnoteText"/>
      </w:pPr>
      <w:r>
        <w:rPr>
          <w:rStyle w:val="FootnoteReference"/>
        </w:rPr>
        <w:footnoteRef/>
      </w:r>
      <w:r>
        <w:t xml:space="preserve"> </w:t>
      </w:r>
      <w:r w:rsidRPr="004B55AF">
        <w:t xml:space="preserve">Safety Advisories/Directives hours are projected based on an average of four advisories or directives a year to SSOAs and 2 requests a year to RTAs. Ongoing monthly </w:t>
      </w:r>
      <w:r w:rsidR="00F467E7">
        <w:t xml:space="preserve">teleconference </w:t>
      </w:r>
      <w:r w:rsidRPr="004B55AF">
        <w:t>updates occur between the SSOA and FTA Program Manager to discuss program elements.</w:t>
      </w:r>
    </w:p>
  </w:footnote>
  <w:footnote w:id="5">
    <w:p w14:paraId="27B8C59C" w14:textId="4EE736F8" w:rsidR="004B55AF" w:rsidRDefault="004B55AF">
      <w:pPr>
        <w:pStyle w:val="FootnoteText"/>
      </w:pPr>
      <w:r>
        <w:rPr>
          <w:rStyle w:val="FootnoteReference"/>
        </w:rPr>
        <w:footnoteRef/>
      </w:r>
      <w:r>
        <w:t xml:space="preserve"> </w:t>
      </w:r>
      <w:r w:rsidRPr="004B55AF">
        <w:t xml:space="preserve">Page 14251 of the Federal Register for the final 49 CFR Part 674 rule estimates 3,000 hours industry-wide for </w:t>
      </w:r>
      <w:r w:rsidR="00634C05">
        <w:t>“</w:t>
      </w:r>
      <w:r w:rsidRPr="004B55AF">
        <w:t>SSO Grant Management and Reporting Activities.</w:t>
      </w:r>
      <w:r w:rsidR="00634C05">
        <w:t>”</w:t>
      </w:r>
    </w:p>
  </w:footnote>
  <w:footnote w:id="6">
    <w:p w14:paraId="7681A6CB" w14:textId="77777777" w:rsidR="004B55AF" w:rsidRDefault="004B55AF">
      <w:pPr>
        <w:pStyle w:val="FootnoteText"/>
      </w:pPr>
      <w:r>
        <w:rPr>
          <w:rStyle w:val="FootnoteReference"/>
        </w:rPr>
        <w:footnoteRef/>
      </w:r>
      <w:r>
        <w:t xml:space="preserve"> </w:t>
      </w:r>
      <w:r w:rsidRPr="004B55AF">
        <w:t>Reportable events in 2017 and 2018 are calculated using data from the National Transit Database.</w:t>
      </w:r>
    </w:p>
  </w:footnote>
  <w:footnote w:id="7">
    <w:p w14:paraId="73019EF6" w14:textId="68D972E2" w:rsidR="00600C8F" w:rsidRDefault="00600C8F">
      <w:pPr>
        <w:pStyle w:val="FootnoteText"/>
      </w:pPr>
      <w:r>
        <w:rPr>
          <w:rStyle w:val="FootnoteReference"/>
        </w:rPr>
        <w:footnoteRef/>
      </w:r>
      <w:r>
        <w:t xml:space="preserve"> This labor hour rate based on the </w:t>
      </w:r>
      <w:r w:rsidR="00C772D2">
        <w:t>hourly wage rate</w:t>
      </w:r>
      <w:r>
        <w:t xml:space="preserve"> of the GS-13 </w:t>
      </w:r>
      <w:r w:rsidR="003D3C8B">
        <w:t>S</w:t>
      </w:r>
      <w:r>
        <w:t xml:space="preserve">tep 1 grade defined by the current </w:t>
      </w:r>
      <w:hyperlink r:id="rId2" w:history="1">
        <w:r w:rsidRPr="00600C8F">
          <w:rPr>
            <w:rStyle w:val="Hyperlink"/>
          </w:rPr>
          <w:t xml:space="preserve">Office of Personnel Management </w:t>
        </w:r>
        <w:r w:rsidR="003D3C8B">
          <w:rPr>
            <w:rStyle w:val="Hyperlink"/>
          </w:rPr>
          <w:t xml:space="preserve">(OPM) </w:t>
        </w:r>
        <w:r w:rsidRPr="00600C8F">
          <w:rPr>
            <w:rStyle w:val="Hyperlink"/>
          </w:rPr>
          <w:t>table</w:t>
        </w:r>
      </w:hyperlink>
      <w:r w:rsidR="00C772D2">
        <w:t xml:space="preserve"> (</w:t>
      </w:r>
      <w:r>
        <w:t>$47.</w:t>
      </w:r>
      <w:r w:rsidR="00C772D2">
        <w:t>52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E96"/>
    <w:multiLevelType w:val="hybridMultilevel"/>
    <w:tmpl w:val="E48A48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0D7B64FD"/>
    <w:multiLevelType w:val="hybridMultilevel"/>
    <w:tmpl w:val="9EE8BD4A"/>
    <w:lvl w:ilvl="0" w:tplc="04090001">
      <w:start w:val="6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029E7"/>
    <w:multiLevelType w:val="singleLevel"/>
    <w:tmpl w:val="800CCC20"/>
    <w:lvl w:ilvl="0">
      <w:start w:val="1"/>
      <w:numFmt w:val="lowerLetter"/>
      <w:lvlText w:val="%1."/>
      <w:lvlJc w:val="left"/>
      <w:pPr>
        <w:tabs>
          <w:tab w:val="num" w:pos="1080"/>
        </w:tabs>
        <w:ind w:left="1080" w:hanging="360"/>
      </w:pPr>
    </w:lvl>
  </w:abstractNum>
  <w:abstractNum w:abstractNumId="4">
    <w:nsid w:val="34932958"/>
    <w:multiLevelType w:val="hybridMultilevel"/>
    <w:tmpl w:val="7D86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6">
    <w:nsid w:val="406D5574"/>
    <w:multiLevelType w:val="hybridMultilevel"/>
    <w:tmpl w:val="F808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3367B"/>
    <w:multiLevelType w:val="hybridMultilevel"/>
    <w:tmpl w:val="E20A2E28"/>
    <w:lvl w:ilvl="0" w:tplc="12047D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D73EC"/>
    <w:multiLevelType w:val="hybridMultilevel"/>
    <w:tmpl w:val="4B4E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54E94"/>
    <w:multiLevelType w:val="hybridMultilevel"/>
    <w:tmpl w:val="23EC7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6BF41E8"/>
    <w:multiLevelType w:val="singleLevel"/>
    <w:tmpl w:val="0409000F"/>
    <w:lvl w:ilvl="0">
      <w:start w:val="1"/>
      <w:numFmt w:val="decimal"/>
      <w:lvlText w:val="%1."/>
      <w:lvlJc w:val="left"/>
      <w:pPr>
        <w:tabs>
          <w:tab w:val="num" w:pos="360"/>
        </w:tabs>
        <w:ind w:left="360" w:hanging="360"/>
      </w:pPr>
    </w:lvl>
  </w:abstractNum>
  <w:abstractNum w:abstractNumId="11">
    <w:nsid w:val="7E607090"/>
    <w:multiLevelType w:val="hybridMultilevel"/>
    <w:tmpl w:val="C9EE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3"/>
    <w:lvlOverride w:ilvl="0">
      <w:startOverride w:val="1"/>
    </w:lvlOverride>
  </w:num>
  <w:num w:numId="6">
    <w:abstractNumId w:val="0"/>
  </w:num>
  <w:num w:numId="7">
    <w:abstractNumId w:val="9"/>
  </w:num>
  <w:num w:numId="8">
    <w:abstractNumId w:val="6"/>
  </w:num>
  <w:num w:numId="9">
    <w:abstractNumId w:val="8"/>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CE"/>
    <w:rsid w:val="00012614"/>
    <w:rsid w:val="000157CD"/>
    <w:rsid w:val="00020ECF"/>
    <w:rsid w:val="0003358D"/>
    <w:rsid w:val="00036954"/>
    <w:rsid w:val="000704D7"/>
    <w:rsid w:val="00074DE3"/>
    <w:rsid w:val="00090BE7"/>
    <w:rsid w:val="00096DAC"/>
    <w:rsid w:val="000A7C8B"/>
    <w:rsid w:val="000C07B3"/>
    <w:rsid w:val="000D4787"/>
    <w:rsid w:val="000E4630"/>
    <w:rsid w:val="000E6431"/>
    <w:rsid w:val="0010593F"/>
    <w:rsid w:val="00110835"/>
    <w:rsid w:val="00122412"/>
    <w:rsid w:val="00122DF6"/>
    <w:rsid w:val="0013131B"/>
    <w:rsid w:val="001423B1"/>
    <w:rsid w:val="00142F16"/>
    <w:rsid w:val="00146257"/>
    <w:rsid w:val="00153FCB"/>
    <w:rsid w:val="00173681"/>
    <w:rsid w:val="0018317D"/>
    <w:rsid w:val="0018713F"/>
    <w:rsid w:val="00190EB2"/>
    <w:rsid w:val="001A0198"/>
    <w:rsid w:val="001A0BA5"/>
    <w:rsid w:val="001A6A3F"/>
    <w:rsid w:val="001B1CF1"/>
    <w:rsid w:val="001B63AC"/>
    <w:rsid w:val="001C08C2"/>
    <w:rsid w:val="001C460F"/>
    <w:rsid w:val="001C7302"/>
    <w:rsid w:val="001E4BE1"/>
    <w:rsid w:val="001E6DF1"/>
    <w:rsid w:val="001F26B7"/>
    <w:rsid w:val="00205E4F"/>
    <w:rsid w:val="00212E23"/>
    <w:rsid w:val="00220BDD"/>
    <w:rsid w:val="00224B2A"/>
    <w:rsid w:val="00260C83"/>
    <w:rsid w:val="00270C38"/>
    <w:rsid w:val="00271E62"/>
    <w:rsid w:val="00285CAA"/>
    <w:rsid w:val="0028650A"/>
    <w:rsid w:val="002A0CAA"/>
    <w:rsid w:val="002C335A"/>
    <w:rsid w:val="002D0E9B"/>
    <w:rsid w:val="002E026A"/>
    <w:rsid w:val="002E1467"/>
    <w:rsid w:val="002E7FDB"/>
    <w:rsid w:val="002F7010"/>
    <w:rsid w:val="0030401B"/>
    <w:rsid w:val="00307B44"/>
    <w:rsid w:val="00307FCF"/>
    <w:rsid w:val="00314B2C"/>
    <w:rsid w:val="00317759"/>
    <w:rsid w:val="00322556"/>
    <w:rsid w:val="0034305A"/>
    <w:rsid w:val="00373A67"/>
    <w:rsid w:val="00374034"/>
    <w:rsid w:val="003A295A"/>
    <w:rsid w:val="003B1CAD"/>
    <w:rsid w:val="003B2F03"/>
    <w:rsid w:val="003D3C71"/>
    <w:rsid w:val="003D3C8B"/>
    <w:rsid w:val="003D5F27"/>
    <w:rsid w:val="003E1DFF"/>
    <w:rsid w:val="003E3128"/>
    <w:rsid w:val="003E3AFC"/>
    <w:rsid w:val="003F61E6"/>
    <w:rsid w:val="0040019A"/>
    <w:rsid w:val="00400BC4"/>
    <w:rsid w:val="0040510D"/>
    <w:rsid w:val="00410471"/>
    <w:rsid w:val="004122C7"/>
    <w:rsid w:val="00417510"/>
    <w:rsid w:val="0041765F"/>
    <w:rsid w:val="004223A4"/>
    <w:rsid w:val="00432C35"/>
    <w:rsid w:val="00434517"/>
    <w:rsid w:val="004753F0"/>
    <w:rsid w:val="00477731"/>
    <w:rsid w:val="00480AB2"/>
    <w:rsid w:val="004818D8"/>
    <w:rsid w:val="00482742"/>
    <w:rsid w:val="00491626"/>
    <w:rsid w:val="00491CAC"/>
    <w:rsid w:val="004944EF"/>
    <w:rsid w:val="00495DFB"/>
    <w:rsid w:val="004A5B2B"/>
    <w:rsid w:val="004B55AF"/>
    <w:rsid w:val="004D44C2"/>
    <w:rsid w:val="004D5F9C"/>
    <w:rsid w:val="004E3705"/>
    <w:rsid w:val="004F152A"/>
    <w:rsid w:val="004F762B"/>
    <w:rsid w:val="00511415"/>
    <w:rsid w:val="005147E3"/>
    <w:rsid w:val="00547F66"/>
    <w:rsid w:val="005725DF"/>
    <w:rsid w:val="005A285B"/>
    <w:rsid w:val="005A3EBE"/>
    <w:rsid w:val="005B072C"/>
    <w:rsid w:val="005C63A7"/>
    <w:rsid w:val="005D4F69"/>
    <w:rsid w:val="005F0ED3"/>
    <w:rsid w:val="005F7957"/>
    <w:rsid w:val="00600127"/>
    <w:rsid w:val="00600C8F"/>
    <w:rsid w:val="00601DCB"/>
    <w:rsid w:val="00601E25"/>
    <w:rsid w:val="00605E9A"/>
    <w:rsid w:val="006206BE"/>
    <w:rsid w:val="00621D6E"/>
    <w:rsid w:val="00623515"/>
    <w:rsid w:val="00634C05"/>
    <w:rsid w:val="00640BB8"/>
    <w:rsid w:val="00640CAE"/>
    <w:rsid w:val="00644ED5"/>
    <w:rsid w:val="00653BE5"/>
    <w:rsid w:val="00653EA6"/>
    <w:rsid w:val="00656212"/>
    <w:rsid w:val="006618C9"/>
    <w:rsid w:val="00664874"/>
    <w:rsid w:val="00674F12"/>
    <w:rsid w:val="00687C13"/>
    <w:rsid w:val="006932E0"/>
    <w:rsid w:val="006A02A4"/>
    <w:rsid w:val="006A13C6"/>
    <w:rsid w:val="006A510A"/>
    <w:rsid w:val="006A5B4E"/>
    <w:rsid w:val="006A6BDA"/>
    <w:rsid w:val="006B537D"/>
    <w:rsid w:val="006C475C"/>
    <w:rsid w:val="006F7D19"/>
    <w:rsid w:val="0070064A"/>
    <w:rsid w:val="0070589C"/>
    <w:rsid w:val="007116E7"/>
    <w:rsid w:val="00720EB0"/>
    <w:rsid w:val="00722D37"/>
    <w:rsid w:val="007267ED"/>
    <w:rsid w:val="007326DE"/>
    <w:rsid w:val="00746B3B"/>
    <w:rsid w:val="007511C1"/>
    <w:rsid w:val="00753E9E"/>
    <w:rsid w:val="00760C6C"/>
    <w:rsid w:val="00785BA5"/>
    <w:rsid w:val="0079186F"/>
    <w:rsid w:val="007932F3"/>
    <w:rsid w:val="007B1FA8"/>
    <w:rsid w:val="007C006E"/>
    <w:rsid w:val="007D3A87"/>
    <w:rsid w:val="007E0C27"/>
    <w:rsid w:val="007E675F"/>
    <w:rsid w:val="007F53D4"/>
    <w:rsid w:val="007F58F6"/>
    <w:rsid w:val="00811C0D"/>
    <w:rsid w:val="00811CB4"/>
    <w:rsid w:val="00816D00"/>
    <w:rsid w:val="00832270"/>
    <w:rsid w:val="008356BD"/>
    <w:rsid w:val="00836AA0"/>
    <w:rsid w:val="00841868"/>
    <w:rsid w:val="00841E04"/>
    <w:rsid w:val="00855C4F"/>
    <w:rsid w:val="008562A5"/>
    <w:rsid w:val="00860C7B"/>
    <w:rsid w:val="008632AA"/>
    <w:rsid w:val="00866909"/>
    <w:rsid w:val="00870258"/>
    <w:rsid w:val="008706A5"/>
    <w:rsid w:val="00874206"/>
    <w:rsid w:val="0088032C"/>
    <w:rsid w:val="00891CED"/>
    <w:rsid w:val="008A4301"/>
    <w:rsid w:val="008B7F7F"/>
    <w:rsid w:val="008C5892"/>
    <w:rsid w:val="008C7EB2"/>
    <w:rsid w:val="008D6C88"/>
    <w:rsid w:val="008E189F"/>
    <w:rsid w:val="008F3D99"/>
    <w:rsid w:val="009110B5"/>
    <w:rsid w:val="00924EA3"/>
    <w:rsid w:val="00931DC2"/>
    <w:rsid w:val="00956EBD"/>
    <w:rsid w:val="0096704B"/>
    <w:rsid w:val="009A1DD1"/>
    <w:rsid w:val="009A2184"/>
    <w:rsid w:val="009A6C9A"/>
    <w:rsid w:val="009D7A46"/>
    <w:rsid w:val="009E1A40"/>
    <w:rsid w:val="009E2727"/>
    <w:rsid w:val="009E57DE"/>
    <w:rsid w:val="009E6FEC"/>
    <w:rsid w:val="009F460D"/>
    <w:rsid w:val="009F47B8"/>
    <w:rsid w:val="009F5680"/>
    <w:rsid w:val="009F7280"/>
    <w:rsid w:val="00A12E4E"/>
    <w:rsid w:val="00A23703"/>
    <w:rsid w:val="00A24A3E"/>
    <w:rsid w:val="00A3567D"/>
    <w:rsid w:val="00A36E84"/>
    <w:rsid w:val="00A50C2F"/>
    <w:rsid w:val="00A71AB7"/>
    <w:rsid w:val="00A73015"/>
    <w:rsid w:val="00A77813"/>
    <w:rsid w:val="00AA63B0"/>
    <w:rsid w:val="00AB0AC1"/>
    <w:rsid w:val="00AC1CCD"/>
    <w:rsid w:val="00AC4EB2"/>
    <w:rsid w:val="00B0457E"/>
    <w:rsid w:val="00B06E42"/>
    <w:rsid w:val="00B210A9"/>
    <w:rsid w:val="00B25A9B"/>
    <w:rsid w:val="00B40691"/>
    <w:rsid w:val="00B509CF"/>
    <w:rsid w:val="00B50DF9"/>
    <w:rsid w:val="00B61429"/>
    <w:rsid w:val="00B61EBC"/>
    <w:rsid w:val="00B66AE4"/>
    <w:rsid w:val="00B70E98"/>
    <w:rsid w:val="00B72721"/>
    <w:rsid w:val="00B82AC7"/>
    <w:rsid w:val="00BB68E8"/>
    <w:rsid w:val="00BC1543"/>
    <w:rsid w:val="00BE009C"/>
    <w:rsid w:val="00BE236E"/>
    <w:rsid w:val="00BE65A4"/>
    <w:rsid w:val="00BF57A7"/>
    <w:rsid w:val="00BF59C1"/>
    <w:rsid w:val="00C00973"/>
    <w:rsid w:val="00C124E2"/>
    <w:rsid w:val="00C223C6"/>
    <w:rsid w:val="00C22796"/>
    <w:rsid w:val="00C32C6A"/>
    <w:rsid w:val="00C37C6A"/>
    <w:rsid w:val="00C404AD"/>
    <w:rsid w:val="00C45FAB"/>
    <w:rsid w:val="00C51FEB"/>
    <w:rsid w:val="00C542C0"/>
    <w:rsid w:val="00C772D2"/>
    <w:rsid w:val="00C848EF"/>
    <w:rsid w:val="00C92D9A"/>
    <w:rsid w:val="00C93E13"/>
    <w:rsid w:val="00CA0F99"/>
    <w:rsid w:val="00CB2DBE"/>
    <w:rsid w:val="00CF4DA9"/>
    <w:rsid w:val="00D02A27"/>
    <w:rsid w:val="00D117E0"/>
    <w:rsid w:val="00D1669F"/>
    <w:rsid w:val="00D179D3"/>
    <w:rsid w:val="00D27179"/>
    <w:rsid w:val="00D316FA"/>
    <w:rsid w:val="00D479A1"/>
    <w:rsid w:val="00D64AA9"/>
    <w:rsid w:val="00D6595D"/>
    <w:rsid w:val="00D66194"/>
    <w:rsid w:val="00D8394A"/>
    <w:rsid w:val="00D945E0"/>
    <w:rsid w:val="00D96325"/>
    <w:rsid w:val="00D9719A"/>
    <w:rsid w:val="00D977A5"/>
    <w:rsid w:val="00DA6AB9"/>
    <w:rsid w:val="00DC4E88"/>
    <w:rsid w:val="00DD114B"/>
    <w:rsid w:val="00DD5D3B"/>
    <w:rsid w:val="00DE24F1"/>
    <w:rsid w:val="00DE5507"/>
    <w:rsid w:val="00DE643B"/>
    <w:rsid w:val="00DF48A2"/>
    <w:rsid w:val="00E00F56"/>
    <w:rsid w:val="00E04E51"/>
    <w:rsid w:val="00E22296"/>
    <w:rsid w:val="00E25AAA"/>
    <w:rsid w:val="00E360A5"/>
    <w:rsid w:val="00E3711F"/>
    <w:rsid w:val="00E4055F"/>
    <w:rsid w:val="00E50C23"/>
    <w:rsid w:val="00E54903"/>
    <w:rsid w:val="00E57CF2"/>
    <w:rsid w:val="00E62ADA"/>
    <w:rsid w:val="00E6321D"/>
    <w:rsid w:val="00E7331B"/>
    <w:rsid w:val="00E75ACE"/>
    <w:rsid w:val="00E901E6"/>
    <w:rsid w:val="00E90C44"/>
    <w:rsid w:val="00EA1114"/>
    <w:rsid w:val="00EC0A80"/>
    <w:rsid w:val="00EC0E97"/>
    <w:rsid w:val="00EC7235"/>
    <w:rsid w:val="00ED1120"/>
    <w:rsid w:val="00ED192F"/>
    <w:rsid w:val="00ED2084"/>
    <w:rsid w:val="00EE783E"/>
    <w:rsid w:val="00EE7BAE"/>
    <w:rsid w:val="00EF5D08"/>
    <w:rsid w:val="00EF6723"/>
    <w:rsid w:val="00EF7003"/>
    <w:rsid w:val="00F017CF"/>
    <w:rsid w:val="00F1233D"/>
    <w:rsid w:val="00F1433E"/>
    <w:rsid w:val="00F1732B"/>
    <w:rsid w:val="00F200F4"/>
    <w:rsid w:val="00F27835"/>
    <w:rsid w:val="00F32E11"/>
    <w:rsid w:val="00F35A45"/>
    <w:rsid w:val="00F37181"/>
    <w:rsid w:val="00F467E7"/>
    <w:rsid w:val="00F469C5"/>
    <w:rsid w:val="00F7716A"/>
    <w:rsid w:val="00F81CF6"/>
    <w:rsid w:val="00F8249A"/>
    <w:rsid w:val="00F83F73"/>
    <w:rsid w:val="00F84097"/>
    <w:rsid w:val="00F91288"/>
    <w:rsid w:val="00FA241F"/>
    <w:rsid w:val="00FB2210"/>
    <w:rsid w:val="00FC1CFF"/>
    <w:rsid w:val="00FC221A"/>
    <w:rsid w:val="00FC2A89"/>
    <w:rsid w:val="00FC2F16"/>
    <w:rsid w:val="00FD0567"/>
    <w:rsid w:val="00FD2631"/>
    <w:rsid w:val="00FE5915"/>
    <w:rsid w:val="00FE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9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909"/>
  </w:style>
  <w:style w:type="character" w:customStyle="1" w:styleId="FootnoteTextChar">
    <w:name w:val="Footnote Text Char"/>
    <w:basedOn w:val="DefaultParagraphFont"/>
    <w:link w:val="FootnoteText"/>
    <w:uiPriority w:val="99"/>
    <w:semiHidden/>
    <w:rsid w:val="008669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6909"/>
    <w:rPr>
      <w:vertAlign w:val="superscript"/>
    </w:rPr>
  </w:style>
  <w:style w:type="character" w:customStyle="1" w:styleId="UnresolvedMention1">
    <w:name w:val="Unresolved Mention1"/>
    <w:basedOn w:val="DefaultParagraphFont"/>
    <w:uiPriority w:val="99"/>
    <w:semiHidden/>
    <w:unhideWhenUsed/>
    <w:rsid w:val="00634C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909"/>
  </w:style>
  <w:style w:type="character" w:customStyle="1" w:styleId="FootnoteTextChar">
    <w:name w:val="Footnote Text Char"/>
    <w:basedOn w:val="DefaultParagraphFont"/>
    <w:link w:val="FootnoteText"/>
    <w:uiPriority w:val="99"/>
    <w:semiHidden/>
    <w:rsid w:val="008669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6909"/>
    <w:rPr>
      <w:vertAlign w:val="superscript"/>
    </w:rPr>
  </w:style>
  <w:style w:type="character" w:customStyle="1" w:styleId="UnresolvedMention1">
    <w:name w:val="Unresolved Mention1"/>
    <w:basedOn w:val="DefaultParagraphFont"/>
    <w:uiPriority w:val="99"/>
    <w:semiHidden/>
    <w:unhideWhenUsed/>
    <w:rsid w:val="0063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9614">
      <w:bodyDiv w:val="1"/>
      <w:marLeft w:val="0"/>
      <w:marRight w:val="0"/>
      <w:marTop w:val="0"/>
      <w:marBottom w:val="0"/>
      <w:divBdr>
        <w:top w:val="none" w:sz="0" w:space="0" w:color="auto"/>
        <w:left w:val="none" w:sz="0" w:space="0" w:color="auto"/>
        <w:bottom w:val="none" w:sz="0" w:space="0" w:color="auto"/>
        <w:right w:val="none" w:sz="0" w:space="0" w:color="auto"/>
      </w:divBdr>
    </w:div>
    <w:div w:id="180049479">
      <w:bodyDiv w:val="1"/>
      <w:marLeft w:val="0"/>
      <w:marRight w:val="0"/>
      <w:marTop w:val="0"/>
      <w:marBottom w:val="0"/>
      <w:divBdr>
        <w:top w:val="none" w:sz="0" w:space="0" w:color="auto"/>
        <w:left w:val="none" w:sz="0" w:space="0" w:color="auto"/>
        <w:bottom w:val="none" w:sz="0" w:space="0" w:color="auto"/>
        <w:right w:val="none" w:sz="0" w:space="0" w:color="auto"/>
      </w:divBdr>
    </w:div>
    <w:div w:id="351759527">
      <w:bodyDiv w:val="1"/>
      <w:marLeft w:val="0"/>
      <w:marRight w:val="0"/>
      <w:marTop w:val="0"/>
      <w:marBottom w:val="0"/>
      <w:divBdr>
        <w:top w:val="none" w:sz="0" w:space="0" w:color="auto"/>
        <w:left w:val="none" w:sz="0" w:space="0" w:color="auto"/>
        <w:bottom w:val="none" w:sz="0" w:space="0" w:color="auto"/>
        <w:right w:val="none" w:sz="0" w:space="0" w:color="auto"/>
      </w:divBdr>
    </w:div>
    <w:div w:id="399376701">
      <w:bodyDiv w:val="1"/>
      <w:marLeft w:val="0"/>
      <w:marRight w:val="0"/>
      <w:marTop w:val="0"/>
      <w:marBottom w:val="0"/>
      <w:divBdr>
        <w:top w:val="none" w:sz="0" w:space="0" w:color="auto"/>
        <w:left w:val="none" w:sz="0" w:space="0" w:color="auto"/>
        <w:bottom w:val="none" w:sz="0" w:space="0" w:color="auto"/>
        <w:right w:val="none" w:sz="0" w:space="0" w:color="auto"/>
      </w:divBdr>
    </w:div>
    <w:div w:id="526212817">
      <w:bodyDiv w:val="1"/>
      <w:marLeft w:val="0"/>
      <w:marRight w:val="0"/>
      <w:marTop w:val="0"/>
      <w:marBottom w:val="0"/>
      <w:divBdr>
        <w:top w:val="none" w:sz="0" w:space="0" w:color="auto"/>
        <w:left w:val="none" w:sz="0" w:space="0" w:color="auto"/>
        <w:bottom w:val="none" w:sz="0" w:space="0" w:color="auto"/>
        <w:right w:val="none" w:sz="0" w:space="0" w:color="auto"/>
      </w:divBdr>
    </w:div>
    <w:div w:id="622266804">
      <w:bodyDiv w:val="1"/>
      <w:marLeft w:val="0"/>
      <w:marRight w:val="0"/>
      <w:marTop w:val="0"/>
      <w:marBottom w:val="0"/>
      <w:divBdr>
        <w:top w:val="none" w:sz="0" w:space="0" w:color="auto"/>
        <w:left w:val="none" w:sz="0" w:space="0" w:color="auto"/>
        <w:bottom w:val="none" w:sz="0" w:space="0" w:color="auto"/>
        <w:right w:val="none" w:sz="0" w:space="0" w:color="auto"/>
      </w:divBdr>
    </w:div>
    <w:div w:id="765347749">
      <w:bodyDiv w:val="1"/>
      <w:marLeft w:val="0"/>
      <w:marRight w:val="0"/>
      <w:marTop w:val="0"/>
      <w:marBottom w:val="0"/>
      <w:divBdr>
        <w:top w:val="none" w:sz="0" w:space="0" w:color="auto"/>
        <w:left w:val="none" w:sz="0" w:space="0" w:color="auto"/>
        <w:bottom w:val="none" w:sz="0" w:space="0" w:color="auto"/>
        <w:right w:val="none" w:sz="0" w:space="0" w:color="auto"/>
      </w:divBdr>
    </w:div>
    <w:div w:id="809328369">
      <w:bodyDiv w:val="1"/>
      <w:marLeft w:val="0"/>
      <w:marRight w:val="0"/>
      <w:marTop w:val="0"/>
      <w:marBottom w:val="0"/>
      <w:divBdr>
        <w:top w:val="none" w:sz="0" w:space="0" w:color="auto"/>
        <w:left w:val="none" w:sz="0" w:space="0" w:color="auto"/>
        <w:bottom w:val="none" w:sz="0" w:space="0" w:color="auto"/>
        <w:right w:val="none" w:sz="0" w:space="0" w:color="auto"/>
      </w:divBdr>
    </w:div>
    <w:div w:id="874151040">
      <w:bodyDiv w:val="1"/>
      <w:marLeft w:val="0"/>
      <w:marRight w:val="0"/>
      <w:marTop w:val="0"/>
      <w:marBottom w:val="0"/>
      <w:divBdr>
        <w:top w:val="none" w:sz="0" w:space="0" w:color="auto"/>
        <w:left w:val="none" w:sz="0" w:space="0" w:color="auto"/>
        <w:bottom w:val="none" w:sz="0" w:space="0" w:color="auto"/>
        <w:right w:val="none" w:sz="0" w:space="0" w:color="auto"/>
      </w:divBdr>
    </w:div>
    <w:div w:id="1029186648">
      <w:bodyDiv w:val="1"/>
      <w:marLeft w:val="0"/>
      <w:marRight w:val="0"/>
      <w:marTop w:val="0"/>
      <w:marBottom w:val="0"/>
      <w:divBdr>
        <w:top w:val="none" w:sz="0" w:space="0" w:color="auto"/>
        <w:left w:val="none" w:sz="0" w:space="0" w:color="auto"/>
        <w:bottom w:val="none" w:sz="0" w:space="0" w:color="auto"/>
        <w:right w:val="none" w:sz="0" w:space="0" w:color="auto"/>
      </w:divBdr>
    </w:div>
    <w:div w:id="1199973022">
      <w:bodyDiv w:val="1"/>
      <w:marLeft w:val="0"/>
      <w:marRight w:val="0"/>
      <w:marTop w:val="0"/>
      <w:marBottom w:val="0"/>
      <w:divBdr>
        <w:top w:val="none" w:sz="0" w:space="0" w:color="auto"/>
        <w:left w:val="none" w:sz="0" w:space="0" w:color="auto"/>
        <w:bottom w:val="none" w:sz="0" w:space="0" w:color="auto"/>
        <w:right w:val="none" w:sz="0" w:space="0" w:color="auto"/>
      </w:divBdr>
    </w:div>
    <w:div w:id="1402950517">
      <w:bodyDiv w:val="1"/>
      <w:marLeft w:val="0"/>
      <w:marRight w:val="0"/>
      <w:marTop w:val="0"/>
      <w:marBottom w:val="0"/>
      <w:divBdr>
        <w:top w:val="none" w:sz="0" w:space="0" w:color="auto"/>
        <w:left w:val="none" w:sz="0" w:space="0" w:color="auto"/>
        <w:bottom w:val="none" w:sz="0" w:space="0" w:color="auto"/>
        <w:right w:val="none" w:sz="0" w:space="0" w:color="auto"/>
      </w:divBdr>
    </w:div>
    <w:div w:id="1877085950">
      <w:bodyDiv w:val="1"/>
      <w:marLeft w:val="0"/>
      <w:marRight w:val="0"/>
      <w:marTop w:val="0"/>
      <w:marBottom w:val="0"/>
      <w:divBdr>
        <w:top w:val="none" w:sz="0" w:space="0" w:color="auto"/>
        <w:left w:val="none" w:sz="0" w:space="0" w:color="auto"/>
        <w:bottom w:val="none" w:sz="0" w:space="0" w:color="auto"/>
        <w:right w:val="none" w:sz="0" w:space="0" w:color="auto"/>
      </w:divBdr>
    </w:div>
    <w:div w:id="1996714193">
      <w:bodyDiv w:val="1"/>
      <w:marLeft w:val="0"/>
      <w:marRight w:val="0"/>
      <w:marTop w:val="0"/>
      <w:marBottom w:val="0"/>
      <w:divBdr>
        <w:top w:val="none" w:sz="0" w:space="0" w:color="auto"/>
        <w:left w:val="none" w:sz="0" w:space="0" w:color="auto"/>
        <w:bottom w:val="none" w:sz="0" w:space="0" w:color="auto"/>
        <w:right w:val="none" w:sz="0" w:space="0" w:color="auto"/>
      </w:divBdr>
    </w:div>
    <w:div w:id="20695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9/DCB_h.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48B7EDC1FBF449D492656203F2AC2" ma:contentTypeVersion="0" ma:contentTypeDescription="Create a new document." ma:contentTypeScope="" ma:versionID="fd67b32b10d525928b83ea335667d9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6F75-0770-44BA-891E-C4D7D87023C9}">
  <ds:schemaRefs>
    <ds:schemaRef ds:uri="http://schemas.microsoft.com/sharepoint/v3/contenttype/forms"/>
  </ds:schemaRefs>
</ds:datastoreItem>
</file>

<file path=customXml/itemProps2.xml><?xml version="1.0" encoding="utf-8"?>
<ds:datastoreItem xmlns:ds="http://schemas.openxmlformats.org/officeDocument/2006/customXml" ds:itemID="{580E7323-18CF-4741-B82E-AB1E9753E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EF4B7C-947F-464F-B4D1-6C87361CD4A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13DBC2B-3948-49CA-B2AD-9FE67618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SYSTEM</cp:lastModifiedBy>
  <cp:revision>2</cp:revision>
  <cp:lastPrinted>2019-07-18T17:15:00Z</cp:lastPrinted>
  <dcterms:created xsi:type="dcterms:W3CDTF">2019-07-23T19:58:00Z</dcterms:created>
  <dcterms:modified xsi:type="dcterms:W3CDTF">2019-07-23T19:58:00Z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0x0101000DB48B7EDC1FBF449D492656203F2AC2</vt:lpwstr>
  </property>
</Properties>
</file>