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40DB1" w14:textId="77777777" w:rsidR="00E7789A" w:rsidRDefault="00E7789A">
      <w:pPr>
        <w:suppressAutoHyphens/>
        <w:jc w:val="center"/>
        <w:rPr>
          <w:rFonts w:ascii="Times New Roman" w:hAnsi="Times New Roman"/>
          <w:b/>
        </w:rPr>
      </w:pPr>
      <w:bookmarkStart w:id="0" w:name="_GoBack"/>
      <w:bookmarkEnd w:id="0"/>
      <w:r>
        <w:rPr>
          <w:rFonts w:ascii="Times New Roman" w:hAnsi="Times New Roman"/>
          <w:b/>
        </w:rPr>
        <w:t>SUPPORTING STATEMENT FOR NEW AND</w:t>
      </w:r>
    </w:p>
    <w:p w14:paraId="24BE2462" w14:textId="77777777" w:rsidR="00E7789A" w:rsidRDefault="00E7789A">
      <w:pPr>
        <w:suppressAutoHyphens/>
        <w:spacing w:after="240"/>
        <w:jc w:val="center"/>
        <w:rPr>
          <w:rFonts w:ascii="Times New Roman" w:hAnsi="Times New Roman"/>
          <w:b/>
        </w:rPr>
      </w:pPr>
      <w:r>
        <w:rPr>
          <w:rFonts w:ascii="Times New Roman" w:hAnsi="Times New Roman"/>
          <w:b/>
        </w:rPr>
        <w:t>REVISED INFORMATION COLLECTIONS</w:t>
      </w:r>
    </w:p>
    <w:p w14:paraId="2D86785A" w14:textId="77777777" w:rsidR="00987907" w:rsidRDefault="00987907" w:rsidP="00987907">
      <w:pPr>
        <w:suppressAutoHyphens/>
        <w:jc w:val="center"/>
        <w:rPr>
          <w:rFonts w:ascii="Times New Roman" w:hAnsi="Times New Roman"/>
          <w:b/>
        </w:rPr>
      </w:pPr>
      <w:r>
        <w:rPr>
          <w:rFonts w:ascii="Times New Roman" w:hAnsi="Times New Roman"/>
          <w:b/>
        </w:rPr>
        <w:t xml:space="preserve">Conflicts of Interest Policies and Procedures by </w:t>
      </w:r>
    </w:p>
    <w:p w14:paraId="1AC3E9BE" w14:textId="77777777" w:rsidR="00E7789A" w:rsidRDefault="00987907" w:rsidP="00987907">
      <w:pPr>
        <w:suppressAutoHyphens/>
        <w:jc w:val="center"/>
        <w:rPr>
          <w:rFonts w:ascii="Times New Roman" w:hAnsi="Times New Roman"/>
          <w:b/>
        </w:rPr>
      </w:pPr>
      <w:r>
        <w:rPr>
          <w:rFonts w:ascii="Times New Roman" w:hAnsi="Times New Roman"/>
          <w:b/>
        </w:rPr>
        <w:t>Futures Commission Merchants and Introducing Brokers</w:t>
      </w:r>
    </w:p>
    <w:p w14:paraId="68EAD7B7" w14:textId="77777777" w:rsidR="007412D4" w:rsidRDefault="007412D4" w:rsidP="00987907">
      <w:pPr>
        <w:suppressAutoHyphens/>
        <w:jc w:val="center"/>
        <w:rPr>
          <w:rFonts w:ascii="Times New Roman" w:hAnsi="Times New Roman"/>
          <w:b/>
        </w:rPr>
      </w:pPr>
    </w:p>
    <w:p w14:paraId="14628271" w14:textId="77777777" w:rsidR="00E7789A" w:rsidRDefault="00E7789A" w:rsidP="00E7789A">
      <w:pPr>
        <w:tabs>
          <w:tab w:val="center" w:pos="4680"/>
        </w:tabs>
        <w:suppressAutoHyphens/>
        <w:spacing w:after="240"/>
        <w:jc w:val="center"/>
        <w:rPr>
          <w:rFonts w:ascii="Times New Roman" w:hAnsi="Times New Roman"/>
          <w:b/>
        </w:rPr>
      </w:pPr>
      <w:r>
        <w:rPr>
          <w:rFonts w:ascii="Times New Roman" w:hAnsi="Times New Roman"/>
          <w:b/>
        </w:rPr>
        <w:t>OMB CONTROL NUMBER 3038-</w:t>
      </w:r>
      <w:r w:rsidR="00987907">
        <w:rPr>
          <w:rFonts w:ascii="Times New Roman" w:hAnsi="Times New Roman"/>
          <w:b/>
        </w:rPr>
        <w:t>0078</w:t>
      </w:r>
    </w:p>
    <w:p w14:paraId="2232DF4D" w14:textId="77777777" w:rsidR="00E7789A" w:rsidRDefault="00E7789A">
      <w:pPr>
        <w:pStyle w:val="Heading1"/>
        <w:keepNext w:val="0"/>
        <w:rPr>
          <w:rFonts w:ascii="Times New Roman" w:hAnsi="Times New Roman"/>
          <w:szCs w:val="24"/>
        </w:rPr>
      </w:pPr>
      <w:r>
        <w:rPr>
          <w:rFonts w:ascii="Times New Roman" w:hAnsi="Times New Roman"/>
          <w:szCs w:val="24"/>
        </w:rPr>
        <w:t>Justification</w:t>
      </w:r>
    </w:p>
    <w:p w14:paraId="14AD53EF" w14:textId="77777777" w:rsidR="00E7789A" w:rsidRDefault="00E7789A">
      <w:pPr>
        <w:jc w:val="both"/>
      </w:pPr>
    </w:p>
    <w:p w14:paraId="5879ABD3" w14:textId="77777777" w:rsidR="00E7789A" w:rsidRDefault="00E7789A">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EC199BD" w14:textId="77777777" w:rsidR="00E7789A" w:rsidRDefault="00E7789A">
      <w:pPr>
        <w:pStyle w:val="Default"/>
        <w:jc w:val="both"/>
        <w:rPr>
          <w:rFonts w:ascii="Times New Roman" w:hAnsi="Times New Roman" w:cs="Times New Roman"/>
        </w:rPr>
      </w:pPr>
    </w:p>
    <w:p w14:paraId="7433CA90" w14:textId="77777777" w:rsidR="00E7789A" w:rsidRDefault="00E7789A">
      <w:pPr>
        <w:pStyle w:val="Default"/>
        <w:jc w:val="both"/>
        <w:rPr>
          <w:rFonts w:ascii="Times New Roman" w:hAnsi="Times New Roman" w:cs="Times New Roman"/>
        </w:rPr>
      </w:pPr>
      <w:r>
        <w:rPr>
          <w:rFonts w:ascii="Times New Roman" w:hAnsi="Times New Roman" w:cs="Times New Roman"/>
        </w:rPr>
        <w:t xml:space="preserve">Section 732 of Title VII of the Dodd-Frank Wall Street Reform and Consumer Protection Act (Dodd-Frank Act, Pub L. No. 111-203, 124 Stat. 1376 (2010)) amended section 4d of the Commodity Exchange Act </w:t>
      </w:r>
      <w:r w:rsidR="00ED7DC7">
        <w:rPr>
          <w:rFonts w:ascii="Times New Roman" w:hAnsi="Times New Roman" w:cs="Times New Roman"/>
        </w:rPr>
        <w:t xml:space="preserve">(“CEA”) </w:t>
      </w:r>
      <w:r>
        <w:rPr>
          <w:rFonts w:ascii="Times New Roman" w:hAnsi="Times New Roman" w:cs="Times New Roman"/>
        </w:rPr>
        <w:t xml:space="preserve">to require each futures commission merchant and introducing broker to implement conflicts of interest systems and procedures that:  (1) establish structural and institutional safeguards to ensure that any persons within the firm researching or analyzing the price or market for any commodity are separated by appropriate informational partitions within the firm from the review, pressure or oversight of persons whose involvement in trading or clearing activities might potentially bias their judgment or supervision, and (2) address other issues that the Commission determines to be appropriate.  </w:t>
      </w:r>
    </w:p>
    <w:p w14:paraId="01EEED87" w14:textId="77777777" w:rsidR="00E7789A" w:rsidRDefault="00E7789A">
      <w:pPr>
        <w:pStyle w:val="Default"/>
        <w:jc w:val="both"/>
        <w:rPr>
          <w:rFonts w:ascii="Times New Roman" w:hAnsi="Times New Roman" w:cs="Times New Roman"/>
        </w:rPr>
      </w:pPr>
    </w:p>
    <w:p w14:paraId="461B0738" w14:textId="77777777" w:rsidR="00E7789A" w:rsidRDefault="00E7789A">
      <w:pPr>
        <w:pStyle w:val="Default"/>
        <w:jc w:val="both"/>
        <w:rPr>
          <w:rFonts w:ascii="Times New Roman" w:hAnsi="Times New Roman" w:cs="Times New Roman"/>
        </w:rPr>
      </w:pPr>
      <w:r>
        <w:rPr>
          <w:rFonts w:ascii="Times New Roman" w:hAnsi="Times New Roman" w:cs="Times New Roman"/>
        </w:rPr>
        <w:t xml:space="preserve">Accordingly, the Commission </w:t>
      </w:r>
      <w:r w:rsidR="00987907">
        <w:rPr>
          <w:rFonts w:ascii="Times New Roman" w:hAnsi="Times New Roman" w:cs="Times New Roman"/>
        </w:rPr>
        <w:t xml:space="preserve">adopted </w:t>
      </w:r>
      <w:r>
        <w:rPr>
          <w:rFonts w:ascii="Times New Roman" w:hAnsi="Times New Roman" w:cs="Times New Roman"/>
        </w:rPr>
        <w:t>regulation</w:t>
      </w:r>
      <w:r w:rsidR="008A011C">
        <w:rPr>
          <w:rFonts w:ascii="Times New Roman" w:hAnsi="Times New Roman" w:cs="Times New Roman"/>
        </w:rPr>
        <w:t xml:space="preserve"> </w:t>
      </w:r>
      <w:r w:rsidR="001F2541">
        <w:rPr>
          <w:rFonts w:ascii="Times New Roman" w:hAnsi="Times New Roman" w:cs="Times New Roman"/>
        </w:rPr>
        <w:t>1.71</w:t>
      </w:r>
      <w:r w:rsidR="00D24F3C">
        <w:rPr>
          <w:rFonts w:ascii="Times New Roman" w:hAnsi="Times New Roman" w:cs="Times New Roman"/>
        </w:rPr>
        <w:t>.  The regulation</w:t>
      </w:r>
      <w:r w:rsidR="007412D4">
        <w:rPr>
          <w:rFonts w:ascii="Times New Roman" w:hAnsi="Times New Roman" w:cs="Times New Roman"/>
        </w:rPr>
        <w:t xml:space="preserve"> </w:t>
      </w:r>
      <w:r w:rsidR="008A011C">
        <w:rPr>
          <w:rFonts w:ascii="Times New Roman" w:hAnsi="Times New Roman" w:cs="Times New Roman"/>
        </w:rPr>
        <w:t xml:space="preserve">generally </w:t>
      </w:r>
      <w:r>
        <w:rPr>
          <w:rFonts w:ascii="Times New Roman" w:hAnsi="Times New Roman" w:cs="Times New Roman"/>
        </w:rPr>
        <w:t xml:space="preserve">requires futures commission merchants and introducing brokers to develop conflicts of interest procedures and disclosures, to </w:t>
      </w:r>
      <w:r w:rsidR="00776B11">
        <w:rPr>
          <w:rFonts w:ascii="Times New Roman" w:hAnsi="Times New Roman" w:cs="Times New Roman"/>
        </w:rPr>
        <w:t xml:space="preserve">adopt and implement </w:t>
      </w:r>
      <w:r>
        <w:rPr>
          <w:rFonts w:ascii="Times New Roman" w:hAnsi="Times New Roman" w:cs="Times New Roman"/>
        </w:rPr>
        <w:t xml:space="preserve">written policies and procedures reasonably designed to ensure compliance with </w:t>
      </w:r>
      <w:r w:rsidR="00776B11">
        <w:rPr>
          <w:rFonts w:ascii="Times New Roman" w:hAnsi="Times New Roman" w:cs="Times New Roman"/>
        </w:rPr>
        <w:t xml:space="preserve">its </w:t>
      </w:r>
      <w:r>
        <w:rPr>
          <w:rFonts w:ascii="Times New Roman" w:hAnsi="Times New Roman" w:cs="Times New Roman"/>
        </w:rPr>
        <w:t xml:space="preserve">conflicts of interest and disclosure obligations, and to maintain specified records related to those requirements. </w:t>
      </w:r>
      <w:r w:rsidR="008A011C">
        <w:rPr>
          <w:rFonts w:ascii="Times New Roman" w:hAnsi="Times New Roman" w:cs="Times New Roman"/>
        </w:rPr>
        <w:t xml:space="preserve"> </w:t>
      </w:r>
      <w:r w:rsidR="00776B11">
        <w:rPr>
          <w:rFonts w:ascii="Times New Roman" w:hAnsi="Times New Roman" w:cs="Times New Roman"/>
        </w:rPr>
        <w:t>“</w:t>
      </w:r>
      <w:r>
        <w:rPr>
          <w:rFonts w:ascii="Times New Roman" w:hAnsi="Times New Roman" w:cs="Times New Roman"/>
        </w:rPr>
        <w:t>Small introducing brokers,</w:t>
      </w:r>
      <w:r w:rsidR="00776B11">
        <w:rPr>
          <w:rFonts w:ascii="Times New Roman" w:hAnsi="Times New Roman" w:cs="Times New Roman"/>
        </w:rPr>
        <w:t>”</w:t>
      </w:r>
      <w:r>
        <w:rPr>
          <w:rFonts w:ascii="Times New Roman" w:hAnsi="Times New Roman" w:cs="Times New Roman"/>
        </w:rPr>
        <w:t xml:space="preserve"> as defined within the regulation, are </w:t>
      </w:r>
      <w:r w:rsidR="008A011C">
        <w:rPr>
          <w:rFonts w:ascii="Times New Roman" w:hAnsi="Times New Roman" w:cs="Times New Roman"/>
        </w:rPr>
        <w:t xml:space="preserve">subject to modified requirements, but are obligated to adopt certain </w:t>
      </w:r>
      <w:r>
        <w:rPr>
          <w:rFonts w:ascii="Times New Roman" w:hAnsi="Times New Roman" w:cs="Times New Roman"/>
        </w:rPr>
        <w:t xml:space="preserve">policies and procedures </w:t>
      </w:r>
      <w:r w:rsidR="008A011C">
        <w:rPr>
          <w:rFonts w:ascii="Times New Roman" w:hAnsi="Times New Roman" w:cs="Times New Roman"/>
        </w:rPr>
        <w:t>and to provide specified disclosures</w:t>
      </w:r>
      <w:r w:rsidR="00776B11">
        <w:rPr>
          <w:rFonts w:ascii="Times New Roman" w:hAnsi="Times New Roman" w:cs="Times New Roman"/>
        </w:rPr>
        <w:t>.</w:t>
      </w:r>
      <w:r>
        <w:rPr>
          <w:rFonts w:ascii="Times New Roman" w:hAnsi="Times New Roman" w:cs="Times New Roman"/>
        </w:rPr>
        <w:t xml:space="preserve">  The regulation does not require reporting to the Commission.</w:t>
      </w:r>
    </w:p>
    <w:p w14:paraId="15F0CB83" w14:textId="77777777" w:rsidR="00E7789A" w:rsidRDefault="00E7789A">
      <w:pPr>
        <w:pStyle w:val="Default"/>
        <w:jc w:val="both"/>
        <w:rPr>
          <w:rFonts w:ascii="Times New Roman" w:hAnsi="Times New Roman" w:cs="Times New Roman"/>
        </w:rPr>
      </w:pPr>
    </w:p>
    <w:p w14:paraId="51BC14BD" w14:textId="77777777" w:rsidR="00E7789A" w:rsidRDefault="00E7789A">
      <w:pPr>
        <w:pStyle w:val="Default"/>
        <w:jc w:val="both"/>
        <w:rPr>
          <w:rFonts w:ascii="Times New Roman" w:hAnsi="Times New Roman" w:cs="Times New Roman"/>
        </w:rPr>
      </w:pPr>
      <w:r>
        <w:rPr>
          <w:rFonts w:ascii="Times New Roman" w:hAnsi="Times New Roman" w:cs="Times New Roman"/>
        </w:rPr>
        <w:t>The recordkeeping obligations imposed by the regulation are essential to ensuring that futures commission merchants and introducing brokers develop and maintain the conflicts of interest systems, procedures</w:t>
      </w:r>
      <w:r w:rsidR="00ED7DC7">
        <w:rPr>
          <w:rFonts w:ascii="Times New Roman" w:hAnsi="Times New Roman" w:cs="Times New Roman"/>
        </w:rPr>
        <w:t>,</w:t>
      </w:r>
      <w:r>
        <w:rPr>
          <w:rFonts w:ascii="Times New Roman" w:hAnsi="Times New Roman" w:cs="Times New Roman"/>
        </w:rPr>
        <w:t xml:space="preserve"> and disclosures required by the CEA and Commission regulations and to the effective evaluation of such registrants’ actual compliance with the CEA and Commission regulations. </w:t>
      </w:r>
    </w:p>
    <w:p w14:paraId="377480AF" w14:textId="77777777" w:rsidR="00E7789A" w:rsidRDefault="00E7789A">
      <w:pPr>
        <w:pStyle w:val="Default"/>
        <w:jc w:val="both"/>
        <w:rPr>
          <w:rFonts w:ascii="Times New Roman" w:hAnsi="Times New Roman" w:cs="Times New Roman"/>
        </w:rPr>
      </w:pPr>
    </w:p>
    <w:p w14:paraId="0B79943E" w14:textId="77777777" w:rsidR="00E7789A" w:rsidRDefault="00E7789A">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14:paraId="5238B9C2" w14:textId="77777777" w:rsidR="00E7789A" w:rsidRDefault="00E7789A">
      <w:pPr>
        <w:jc w:val="both"/>
        <w:rPr>
          <w:rFonts w:ascii="Times New Roman" w:hAnsi="Times New Roman"/>
        </w:rPr>
      </w:pPr>
    </w:p>
    <w:p w14:paraId="653B19E5" w14:textId="77777777" w:rsidR="00E7789A" w:rsidRDefault="00E7789A">
      <w:pPr>
        <w:jc w:val="both"/>
        <w:rPr>
          <w:rFonts w:ascii="Times New Roman" w:hAnsi="Times New Roman"/>
        </w:rPr>
      </w:pPr>
      <w:r>
        <w:rPr>
          <w:rFonts w:ascii="Times New Roman" w:hAnsi="Times New Roman"/>
        </w:rPr>
        <w:t>The required recordkeeping will be used by Commission staff to evaluate the completeness and effectiveness of the conflicts of interest procedures and disclosures of future commission merchants and introducing brokers.</w:t>
      </w:r>
    </w:p>
    <w:p w14:paraId="275D5EE7" w14:textId="77777777" w:rsidR="00E7789A" w:rsidRDefault="00E7789A">
      <w:pPr>
        <w:jc w:val="both"/>
        <w:rPr>
          <w:rFonts w:ascii="Times New Roman" w:hAnsi="Times New Roman"/>
        </w:rPr>
      </w:pPr>
    </w:p>
    <w:p w14:paraId="440E8F4C" w14:textId="77777777" w:rsidR="00E7789A" w:rsidRDefault="00E7789A">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9C261B" w14:textId="77777777" w:rsidR="00E7789A" w:rsidRDefault="00E7789A">
      <w:pPr>
        <w:tabs>
          <w:tab w:val="left" w:pos="-720"/>
          <w:tab w:val="left" w:pos="0"/>
        </w:tabs>
        <w:spacing w:after="240"/>
        <w:jc w:val="both"/>
        <w:rPr>
          <w:rFonts w:ascii="Times New Roman" w:hAnsi="Times New Roman"/>
        </w:rPr>
      </w:pPr>
      <w:r>
        <w:rPr>
          <w:rFonts w:ascii="Times New Roman" w:hAnsi="Times New Roman"/>
        </w:rPr>
        <w:t>The regulation requires that recordkeeping be performed in accordance with Commission regulation 1.31, which permits the use of electronic storage media.</w:t>
      </w:r>
    </w:p>
    <w:p w14:paraId="6A6ECF4B"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14:paraId="38136942" w14:textId="77777777" w:rsidR="00E7789A" w:rsidRDefault="00E7789A">
      <w:pPr>
        <w:tabs>
          <w:tab w:val="left" w:pos="-720"/>
        </w:tabs>
        <w:spacing w:after="240"/>
        <w:jc w:val="both"/>
        <w:rPr>
          <w:rFonts w:ascii="Times New Roman" w:hAnsi="Times New Roman"/>
        </w:rPr>
      </w:pPr>
      <w:r>
        <w:rPr>
          <w:rFonts w:ascii="Times New Roman" w:hAnsi="Times New Roman"/>
        </w:rPr>
        <w:t xml:space="preserve">The required information is not already collected by the Commission for any other purpose, collected by any other agency, or available for public disclosure through any other source. </w:t>
      </w:r>
    </w:p>
    <w:p w14:paraId="5BB9C9DD"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w:t>
      </w:r>
      <w:r w:rsidR="00776B11">
        <w:rPr>
          <w:rFonts w:ascii="Times New Roman" w:hAnsi="Times New Roman"/>
          <w:b/>
        </w:rPr>
        <w:t>orm</w:t>
      </w:r>
      <w:r>
        <w:rPr>
          <w:rFonts w:ascii="Times New Roman" w:hAnsi="Times New Roman"/>
          <w:b/>
        </w:rPr>
        <w:t xml:space="preserve"> 83-I), describe the methods used to minimize burden.</w:t>
      </w:r>
    </w:p>
    <w:p w14:paraId="018208AB" w14:textId="77777777" w:rsidR="00E7789A" w:rsidRDefault="00B82E68">
      <w:pPr>
        <w:tabs>
          <w:tab w:val="left" w:pos="-720"/>
        </w:tabs>
        <w:spacing w:after="240"/>
        <w:jc w:val="both"/>
        <w:rPr>
          <w:rFonts w:ascii="Times New Roman" w:hAnsi="Times New Roman"/>
        </w:rPr>
      </w:pPr>
      <w:r w:rsidRPr="00B82E68">
        <w:rPr>
          <w:rFonts w:ascii="Times New Roman" w:hAnsi="Times New Roman"/>
        </w:rPr>
        <w:t xml:space="preserve">In the adopting release, the Commission certified that the rules do not have a significant economic impact on a substantial number of small entities.  </w:t>
      </w:r>
      <w:r w:rsidR="00AF2155">
        <w:rPr>
          <w:rFonts w:ascii="Times New Roman" w:hAnsi="Times New Roman"/>
        </w:rPr>
        <w:t xml:space="preserve">As noted above, any </w:t>
      </w:r>
      <w:r w:rsidR="00AF2155" w:rsidRPr="00AF2155">
        <w:rPr>
          <w:rFonts w:ascii="Times New Roman" w:hAnsi="Times New Roman"/>
        </w:rPr>
        <w:t>“</w:t>
      </w:r>
      <w:r w:rsidR="00AF2155">
        <w:rPr>
          <w:rFonts w:ascii="Times New Roman" w:hAnsi="Times New Roman"/>
        </w:rPr>
        <w:t>s</w:t>
      </w:r>
      <w:r w:rsidR="00AF2155" w:rsidRPr="00AF2155">
        <w:rPr>
          <w:rFonts w:ascii="Times New Roman" w:hAnsi="Times New Roman"/>
        </w:rPr>
        <w:t xml:space="preserve">mall introducing brokers,” </w:t>
      </w:r>
      <w:r w:rsidR="00E22BA0" w:rsidRPr="00E22BA0">
        <w:rPr>
          <w:rFonts w:ascii="Times New Roman" w:hAnsi="Times New Roman"/>
        </w:rPr>
        <w:t>some of whom may be considered small entities</w:t>
      </w:r>
      <w:r w:rsidR="00E22BA0">
        <w:rPr>
          <w:rFonts w:ascii="Times New Roman" w:hAnsi="Times New Roman"/>
        </w:rPr>
        <w:t>,</w:t>
      </w:r>
      <w:r w:rsidR="00E22BA0" w:rsidRPr="00E22BA0">
        <w:rPr>
          <w:rFonts w:ascii="Times New Roman" w:hAnsi="Times New Roman"/>
        </w:rPr>
        <w:t xml:space="preserve"> </w:t>
      </w:r>
      <w:r w:rsidR="00AF2155" w:rsidRPr="00AF2155">
        <w:rPr>
          <w:rFonts w:ascii="Times New Roman" w:hAnsi="Times New Roman"/>
        </w:rPr>
        <w:t>as def</w:t>
      </w:r>
      <w:r w:rsidR="003C4CCE">
        <w:rPr>
          <w:rFonts w:ascii="Times New Roman" w:hAnsi="Times New Roman"/>
        </w:rPr>
        <w:t xml:space="preserve">ined within the regulation, are </w:t>
      </w:r>
      <w:r w:rsidR="00AF2155" w:rsidRPr="00AF2155">
        <w:rPr>
          <w:rFonts w:ascii="Times New Roman" w:hAnsi="Times New Roman"/>
        </w:rPr>
        <w:t>subject to modified requirements</w:t>
      </w:r>
      <w:r w:rsidR="003C4CCE">
        <w:rPr>
          <w:rFonts w:ascii="Times New Roman" w:hAnsi="Times New Roman"/>
        </w:rPr>
        <w:t xml:space="preserve"> and exempt from certain provisions of </w:t>
      </w:r>
      <w:r w:rsidR="0066573A">
        <w:rPr>
          <w:rFonts w:ascii="Times New Roman" w:hAnsi="Times New Roman"/>
        </w:rPr>
        <w:t xml:space="preserve">Commission </w:t>
      </w:r>
      <w:r w:rsidR="003C4CCE">
        <w:rPr>
          <w:rFonts w:ascii="Times New Roman" w:hAnsi="Times New Roman"/>
        </w:rPr>
        <w:t>regulation 1.71</w:t>
      </w:r>
      <w:r w:rsidR="00AF2155">
        <w:rPr>
          <w:rFonts w:ascii="Times New Roman" w:hAnsi="Times New Roman"/>
        </w:rPr>
        <w:t>.</w:t>
      </w:r>
      <w:r w:rsidR="003C4CCE">
        <w:rPr>
          <w:rFonts w:ascii="Times New Roman" w:hAnsi="Times New Roman"/>
        </w:rPr>
        <w:t xml:space="preserve">  </w:t>
      </w:r>
    </w:p>
    <w:p w14:paraId="74933261"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14:paraId="4E009E29" w14:textId="77777777" w:rsidR="00E7789A" w:rsidRDefault="00E7789A">
      <w:pPr>
        <w:pStyle w:val="Default"/>
        <w:jc w:val="both"/>
        <w:rPr>
          <w:rFonts w:ascii="Times New Roman" w:hAnsi="Times New Roman" w:cs="Times New Roman"/>
        </w:rPr>
      </w:pPr>
      <w:r>
        <w:rPr>
          <w:rFonts w:ascii="Times New Roman" w:hAnsi="Times New Roman" w:cs="Times New Roman"/>
        </w:rPr>
        <w:t>The regulation does not impose any reporting requirements.</w:t>
      </w:r>
    </w:p>
    <w:p w14:paraId="08C077EB" w14:textId="77777777" w:rsidR="00E7789A" w:rsidRDefault="00E7789A">
      <w:pPr>
        <w:pStyle w:val="Default"/>
        <w:jc w:val="both"/>
        <w:rPr>
          <w:rFonts w:ascii="Times New Roman" w:hAnsi="Times New Roman" w:cs="Times New Roman"/>
        </w:rPr>
      </w:pPr>
    </w:p>
    <w:p w14:paraId="5AC530DC" w14:textId="77777777" w:rsidR="00E7789A" w:rsidRDefault="00E7789A">
      <w:pPr>
        <w:pStyle w:val="Default"/>
        <w:jc w:val="both"/>
        <w:rPr>
          <w:rFonts w:ascii="Times New Roman" w:hAnsi="Times New Roman" w:cs="Times New Roman"/>
        </w:rPr>
      </w:pPr>
      <w:r>
        <w:rPr>
          <w:rFonts w:ascii="Times New Roman" w:hAnsi="Times New Roman" w:cs="Times New Roman"/>
        </w:rPr>
        <w:t>Failure to maintain the policies, procedures and other records required by the regulation would adversely affect the Commission’s ability to ensure the compliance of affected registrants with their conflicts of interest obligations under the CEA and Commission regulations.</w:t>
      </w:r>
    </w:p>
    <w:p w14:paraId="59F0547E" w14:textId="77777777" w:rsidR="00E7789A" w:rsidRDefault="00E7789A">
      <w:pPr>
        <w:pStyle w:val="Default"/>
        <w:jc w:val="both"/>
        <w:rPr>
          <w:rFonts w:ascii="Times New Roman" w:hAnsi="Times New Roman" w:cs="Times New Roman"/>
        </w:rPr>
      </w:pPr>
    </w:p>
    <w:p w14:paraId="73E6472D" w14:textId="77777777" w:rsidR="00E7789A" w:rsidRDefault="00E7789A">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14:paraId="64458EA5"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14:paraId="5B7E2F2D" w14:textId="77777777"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impose reporting requirements.</w:t>
      </w:r>
    </w:p>
    <w:p w14:paraId="12E4A605"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14:paraId="68C1CB08" w14:textId="77777777"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14:paraId="6D96DB1A"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more that an original and two copies of any document;</w:t>
      </w:r>
    </w:p>
    <w:p w14:paraId="4F60758C" w14:textId="77777777"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impose reporting requirements.</w:t>
      </w:r>
    </w:p>
    <w:p w14:paraId="428A5480"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14:paraId="3CB4F071" w14:textId="77777777" w:rsidR="00654B1E" w:rsidRPr="001238D6" w:rsidRDefault="00CD4796" w:rsidP="001238D6">
      <w:pPr>
        <w:tabs>
          <w:tab w:val="left" w:pos="-720"/>
          <w:tab w:val="left" w:pos="0"/>
          <w:tab w:val="left" w:pos="720"/>
        </w:tabs>
        <w:spacing w:after="240"/>
        <w:jc w:val="both"/>
        <w:rPr>
          <w:rFonts w:ascii="Times New Roman" w:hAnsi="Times New Roman"/>
          <w:b/>
        </w:rPr>
      </w:pPr>
      <w:r w:rsidRPr="00CD4796">
        <w:rPr>
          <w:rFonts w:ascii="Times New Roman" w:hAnsi="Times New Roman"/>
        </w:rPr>
        <w:t xml:space="preserve">Commission regulation 1.31(b) expressly requires that books and records required to be kept by the CEA or Commission regulations be retained for certain specified periods.  Other than with respect to oral communications, the shortest of these periods is five years from the date of creation.  </w:t>
      </w:r>
    </w:p>
    <w:p w14:paraId="0798BCDB" w14:textId="0478F440"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14:paraId="0991D4EF" w14:textId="77777777"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w:t>
      </w:r>
      <w:r w:rsidR="00776B11">
        <w:rPr>
          <w:rFonts w:ascii="Times New Roman" w:hAnsi="Times New Roman"/>
        </w:rPr>
        <w:t xml:space="preserve">neither </w:t>
      </w:r>
      <w:r>
        <w:rPr>
          <w:rFonts w:ascii="Times New Roman" w:hAnsi="Times New Roman"/>
        </w:rPr>
        <w:t>require</w:t>
      </w:r>
      <w:r w:rsidR="00776B11">
        <w:rPr>
          <w:rFonts w:ascii="Times New Roman" w:hAnsi="Times New Roman"/>
        </w:rPr>
        <w:t>s</w:t>
      </w:r>
      <w:r>
        <w:rPr>
          <w:rFonts w:ascii="Times New Roman" w:hAnsi="Times New Roman"/>
        </w:rPr>
        <w:t xml:space="preserve"> nor involve</w:t>
      </w:r>
      <w:r w:rsidR="00776B11">
        <w:rPr>
          <w:rFonts w:ascii="Times New Roman" w:hAnsi="Times New Roman"/>
        </w:rPr>
        <w:t>s</w:t>
      </w:r>
      <w:r>
        <w:rPr>
          <w:rFonts w:ascii="Times New Roman" w:hAnsi="Times New Roman"/>
        </w:rPr>
        <w:t xml:space="preserve"> any statistical surveys.</w:t>
      </w:r>
    </w:p>
    <w:p w14:paraId="3AA29138"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14:paraId="09A9D442" w14:textId="77777777"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w:t>
      </w:r>
      <w:r w:rsidR="00776B11">
        <w:rPr>
          <w:rFonts w:ascii="Times New Roman" w:hAnsi="Times New Roman"/>
        </w:rPr>
        <w:t xml:space="preserve">neither </w:t>
      </w:r>
      <w:r>
        <w:rPr>
          <w:rFonts w:ascii="Times New Roman" w:hAnsi="Times New Roman"/>
        </w:rPr>
        <w:t>require</w:t>
      </w:r>
      <w:r w:rsidR="00776B11">
        <w:rPr>
          <w:rFonts w:ascii="Times New Roman" w:hAnsi="Times New Roman"/>
        </w:rPr>
        <w:t>s</w:t>
      </w:r>
      <w:r>
        <w:rPr>
          <w:rFonts w:ascii="Times New Roman" w:hAnsi="Times New Roman"/>
        </w:rPr>
        <w:t xml:space="preserve"> nor involve</w:t>
      </w:r>
      <w:r w:rsidR="00776B11">
        <w:rPr>
          <w:rFonts w:ascii="Times New Roman" w:hAnsi="Times New Roman"/>
        </w:rPr>
        <w:t>s</w:t>
      </w:r>
      <w:r>
        <w:rPr>
          <w:rFonts w:ascii="Times New Roman" w:hAnsi="Times New Roman"/>
        </w:rPr>
        <w:t xml:space="preserve"> the use of any statistical data classification.</w:t>
      </w:r>
    </w:p>
    <w:p w14:paraId="5340A352"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71C6553B" w14:textId="77777777"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regulation does not require a pledge of confidentiality.</w:t>
      </w:r>
    </w:p>
    <w:p w14:paraId="60C0AD78"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5ACBCA28" w14:textId="77777777" w:rsidR="00E7789A" w:rsidRDefault="00E7789A">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The regulation does not impose reporting requirements.  In any event, the Commission has promulgated regulations to protect the confidentiality of the information collected from respondents.  They are set forth in 17 CFR Part 145.  </w:t>
      </w:r>
    </w:p>
    <w:p w14:paraId="57173A25"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11E8093" w14:textId="154CECCF" w:rsidR="000C1000" w:rsidRDefault="000C1000" w:rsidP="00E22BA0">
      <w:pPr>
        <w:pStyle w:val="TOC6"/>
        <w:tabs>
          <w:tab w:val="left" w:pos="-720"/>
          <w:tab w:val="left" w:pos="0"/>
        </w:tabs>
        <w:spacing w:after="240"/>
        <w:ind w:left="0" w:firstLine="0"/>
        <w:jc w:val="both"/>
      </w:pPr>
      <w:r w:rsidRPr="003F6F39">
        <w:rPr>
          <w:rFonts w:ascii="Times New Roman" w:hAnsi="Times New Roman"/>
          <w:szCs w:val="24"/>
        </w:rPr>
        <w:t>A copy of the Federal Register notice soliciting comments on this information collection</w:t>
      </w:r>
      <w:r w:rsidR="00D24F3C">
        <w:rPr>
          <w:rFonts w:ascii="Times New Roman" w:hAnsi="Times New Roman"/>
          <w:szCs w:val="24"/>
        </w:rPr>
        <w:t xml:space="preserve"> </w:t>
      </w:r>
      <w:r w:rsidR="009E11E1">
        <w:rPr>
          <w:rFonts w:ascii="Times New Roman" w:hAnsi="Times New Roman"/>
          <w:szCs w:val="24"/>
        </w:rPr>
        <w:t>was published on April 9, 2019, 84 FR 14098</w:t>
      </w:r>
      <w:r w:rsidRPr="003F6F39">
        <w:rPr>
          <w:rFonts w:ascii="Times New Roman" w:hAnsi="Times New Roman"/>
        </w:rPr>
        <w:t xml:space="preserve">.  No </w:t>
      </w:r>
      <w:r w:rsidR="00654B1E">
        <w:rPr>
          <w:rFonts w:ascii="Times New Roman" w:hAnsi="Times New Roman"/>
        </w:rPr>
        <w:t xml:space="preserve">relevant </w:t>
      </w:r>
      <w:r w:rsidRPr="003F6F39">
        <w:rPr>
          <w:rFonts w:ascii="Times New Roman" w:hAnsi="Times New Roman"/>
        </w:rPr>
        <w:t>comments were received</w:t>
      </w:r>
      <w:r w:rsidR="0046714C">
        <w:rPr>
          <w:rFonts w:ascii="Times New Roman" w:hAnsi="Times New Roman"/>
        </w:rPr>
        <w:t>.</w:t>
      </w:r>
    </w:p>
    <w:p w14:paraId="7A3746CA" w14:textId="77777777" w:rsidR="00E7789A" w:rsidRDefault="00E7789A" w:rsidP="009A4A4D">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5A3A6D9" w14:textId="77777777" w:rsidR="000C1000" w:rsidRDefault="000C1000" w:rsidP="000C1000">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As set forth above, the Commission affirmatively sought comments on the extension of information collection requirements described herein.</w:t>
      </w:r>
    </w:p>
    <w:p w14:paraId="6244A939" w14:textId="77777777" w:rsidR="00E7789A" w:rsidRDefault="00E7789A" w:rsidP="00E7789A">
      <w:pPr>
        <w:tabs>
          <w:tab w:val="left" w:pos="-720"/>
        </w:tabs>
        <w:spacing w:after="24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F1CDA1A" w14:textId="77777777" w:rsidR="00E7789A" w:rsidRDefault="00E7789A">
      <w:pPr>
        <w:tabs>
          <w:tab w:val="left" w:pos="-720"/>
        </w:tabs>
        <w:spacing w:after="240"/>
        <w:jc w:val="both"/>
        <w:rPr>
          <w:rFonts w:ascii="Times New Roman" w:hAnsi="Times New Roman"/>
        </w:rPr>
      </w:pPr>
      <w:r>
        <w:rPr>
          <w:rFonts w:ascii="Times New Roman" w:hAnsi="Times New Roman"/>
        </w:rPr>
        <w:t xml:space="preserve">No such circumstances are anticipated.  </w:t>
      </w:r>
    </w:p>
    <w:p w14:paraId="10E814F4" w14:textId="336D4507" w:rsidR="00E7789A" w:rsidRDefault="00E7789A">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w:t>
      </w:r>
      <w:r w:rsidR="001238D6">
        <w:rPr>
          <w:rFonts w:ascii="Times New Roman" w:hAnsi="Times New Roman"/>
          <w:b/>
        </w:rPr>
        <w:t>mun</w:t>
      </w:r>
      <w:r>
        <w:rPr>
          <w:rFonts w:ascii="Times New Roman" w:hAnsi="Times New Roman"/>
          <w:b/>
        </w:rPr>
        <w:t>eration of contractors or grantees.</w:t>
      </w:r>
    </w:p>
    <w:p w14:paraId="327891B5" w14:textId="77777777" w:rsidR="00E7789A" w:rsidRDefault="00E7789A">
      <w:pPr>
        <w:tabs>
          <w:tab w:val="left" w:pos="-720"/>
        </w:tabs>
        <w:spacing w:after="240"/>
        <w:jc w:val="both"/>
        <w:rPr>
          <w:rFonts w:ascii="Times New Roman" w:hAnsi="Times New Roman"/>
        </w:rPr>
      </w:pPr>
      <w:r>
        <w:rPr>
          <w:rFonts w:ascii="Times New Roman" w:hAnsi="Times New Roman"/>
        </w:rPr>
        <w:t>This question does not apply.  No such decision was made.</w:t>
      </w:r>
    </w:p>
    <w:p w14:paraId="567AA804"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14:paraId="3A8C846F" w14:textId="77777777" w:rsidR="00E22BA0" w:rsidRDefault="000C1000" w:rsidP="00E22BA0">
      <w:pPr>
        <w:tabs>
          <w:tab w:val="left" w:pos="-720"/>
        </w:tabs>
        <w:spacing w:after="240"/>
        <w:jc w:val="both"/>
        <w:rPr>
          <w:rFonts w:ascii="Times New Roman" w:hAnsi="Times New Roman"/>
        </w:rPr>
      </w:pPr>
      <w:r>
        <w:rPr>
          <w:rFonts w:ascii="Times New Roman" w:hAnsi="Times New Roman"/>
        </w:rPr>
        <w:t>The Commission does not provide respondents with an assurance of confidentiality beyond that provided by applicable law.  The Commission fully complies with s</w:t>
      </w:r>
      <w:r w:rsidRPr="003E1569">
        <w:rPr>
          <w:rFonts w:ascii="Times New Roman" w:hAnsi="Times New Roman"/>
        </w:rPr>
        <w:t>ection 8(a)</w:t>
      </w:r>
      <w:r>
        <w:rPr>
          <w:rFonts w:ascii="Times New Roman" w:hAnsi="Times New Roman"/>
        </w:rPr>
        <w:t xml:space="preserve">(1) of the </w:t>
      </w:r>
      <w:r w:rsidR="00ED7DC7">
        <w:rPr>
          <w:rFonts w:ascii="Times New Roman" w:hAnsi="Times New Roman"/>
        </w:rPr>
        <w:t>CEA</w:t>
      </w:r>
      <w:r>
        <w:rPr>
          <w:rFonts w:ascii="Times New Roman" w:hAnsi="Times New Roman"/>
        </w:rPr>
        <w:t>, which strictly prohibits the Commission, unless specifically authorized by the</w:t>
      </w:r>
      <w:r w:rsidR="00ED7DC7">
        <w:rPr>
          <w:rFonts w:ascii="Times New Roman" w:hAnsi="Times New Roman"/>
        </w:rPr>
        <w:t xml:space="preserve"> CEA</w:t>
      </w:r>
      <w:r>
        <w:rPr>
          <w:rFonts w:ascii="Times New Roman" w:hAnsi="Times New Roman"/>
        </w:rPr>
        <w:t>, from making public “data and information that would separately disclose the business transactions or market positions of any person and trade secrets or names of customers</w:t>
      </w:r>
      <w:r w:rsidRPr="003E1569">
        <w:rPr>
          <w:rFonts w:ascii="Times New Roman" w:hAnsi="Times New Roman"/>
        </w:rPr>
        <w:t>.</w:t>
      </w:r>
      <w:r>
        <w:rPr>
          <w:rFonts w:ascii="Times New Roman" w:hAnsi="Times New Roman"/>
        </w:rPr>
        <w:t>”  The Commission has procedures to protect the confidentiality of a respondent’s data.  These are set forth in the Commission’s regulations at part 145 of the Code of Federal Regulations.</w:t>
      </w:r>
    </w:p>
    <w:p w14:paraId="3BC16E24"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AB306D" w14:textId="77777777" w:rsidR="00E7789A" w:rsidRDefault="00E7789A">
      <w:pPr>
        <w:tabs>
          <w:tab w:val="left" w:pos="-720"/>
        </w:tabs>
        <w:spacing w:after="240"/>
        <w:jc w:val="both"/>
        <w:rPr>
          <w:rFonts w:ascii="Times New Roman" w:hAnsi="Times New Roman"/>
        </w:rPr>
      </w:pPr>
      <w:r>
        <w:rPr>
          <w:rFonts w:ascii="Times New Roman" w:hAnsi="Times New Roman"/>
        </w:rPr>
        <w:t xml:space="preserve">This question does not apply.  The regulation </w:t>
      </w:r>
      <w:r w:rsidR="008136BF">
        <w:rPr>
          <w:rFonts w:ascii="Times New Roman" w:hAnsi="Times New Roman"/>
        </w:rPr>
        <w:t xml:space="preserve">neither </w:t>
      </w:r>
      <w:r>
        <w:rPr>
          <w:rFonts w:ascii="Times New Roman" w:hAnsi="Times New Roman"/>
        </w:rPr>
        <w:t>request</w:t>
      </w:r>
      <w:r w:rsidR="008136BF">
        <w:rPr>
          <w:rFonts w:ascii="Times New Roman" w:hAnsi="Times New Roman"/>
        </w:rPr>
        <w:t>s</w:t>
      </w:r>
      <w:r>
        <w:rPr>
          <w:rFonts w:ascii="Times New Roman" w:hAnsi="Times New Roman"/>
        </w:rPr>
        <w:t xml:space="preserve"> </w:t>
      </w:r>
      <w:r w:rsidR="008136BF">
        <w:rPr>
          <w:rFonts w:ascii="Times New Roman" w:hAnsi="Times New Roman"/>
        </w:rPr>
        <w:t>n</w:t>
      </w:r>
      <w:r>
        <w:rPr>
          <w:rFonts w:ascii="Times New Roman" w:hAnsi="Times New Roman"/>
        </w:rPr>
        <w:t>or require</w:t>
      </w:r>
      <w:r w:rsidR="008136BF">
        <w:rPr>
          <w:rFonts w:ascii="Times New Roman" w:hAnsi="Times New Roman"/>
        </w:rPr>
        <w:t>s</w:t>
      </w:r>
      <w:r>
        <w:rPr>
          <w:rFonts w:ascii="Times New Roman" w:hAnsi="Times New Roman"/>
        </w:rPr>
        <w:t xml:space="preserve"> the provision of sensitive information, as that term is used in question 11.</w:t>
      </w:r>
    </w:p>
    <w:p w14:paraId="706D74CD"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14:paraId="3226C6F2"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4AB101A"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14:paraId="0195754A"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DC14211" w14:textId="77777777" w:rsidR="00E7789A" w:rsidRDefault="00E7789A">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  </w:t>
      </w:r>
    </w:p>
    <w:p w14:paraId="5A106A21" w14:textId="77777777" w:rsidR="00E7789A" w:rsidRDefault="00E7789A">
      <w:pPr>
        <w:pStyle w:val="PlainText"/>
        <w:jc w:val="both"/>
        <w:rPr>
          <w:rFonts w:ascii="Times New Roman" w:hAnsi="Times New Roman"/>
          <w:color w:val="auto"/>
          <w:sz w:val="24"/>
          <w:szCs w:val="24"/>
        </w:rPr>
      </w:pPr>
    </w:p>
    <w:p w14:paraId="42C46521" w14:textId="77777777" w:rsidR="00E7789A" w:rsidRDefault="00E7789A">
      <w:pPr>
        <w:pStyle w:val="PlainText"/>
        <w:jc w:val="both"/>
        <w:rPr>
          <w:rFonts w:ascii="Times New Roman" w:hAnsi="Times New Roman"/>
          <w:color w:val="auto"/>
          <w:sz w:val="24"/>
          <w:szCs w:val="24"/>
        </w:rPr>
      </w:pPr>
      <w:r w:rsidRPr="008136BF">
        <w:rPr>
          <w:rFonts w:ascii="Times New Roman" w:hAnsi="Times New Roman"/>
          <w:color w:val="auto"/>
          <w:sz w:val="24"/>
          <w:szCs w:val="24"/>
        </w:rPr>
        <w:t>As delineated below, the hour burden per registrant associated with the proposed regulation is estimated to be 44.5 hours, at an annual cost of $4,450.  This</w:t>
      </w:r>
      <w:r>
        <w:rPr>
          <w:rFonts w:ascii="Times New Roman" w:hAnsi="Times New Roman"/>
          <w:color w:val="auto"/>
          <w:sz w:val="24"/>
          <w:szCs w:val="24"/>
        </w:rPr>
        <w:t xml:space="preserve"> burden would result from recordkeeping </w:t>
      </w:r>
      <w:r w:rsidR="00775DE7">
        <w:rPr>
          <w:rFonts w:ascii="Times New Roman" w:hAnsi="Times New Roman"/>
          <w:color w:val="auto"/>
          <w:sz w:val="24"/>
          <w:szCs w:val="24"/>
        </w:rPr>
        <w:t xml:space="preserve">requirements </w:t>
      </w:r>
      <w:r>
        <w:rPr>
          <w:rFonts w:ascii="Times New Roman" w:hAnsi="Times New Roman"/>
          <w:color w:val="auto"/>
          <w:sz w:val="24"/>
          <w:szCs w:val="24"/>
        </w:rPr>
        <w:t xml:space="preserve">related to </w:t>
      </w:r>
      <w:r w:rsidR="00775DE7">
        <w:rPr>
          <w:rFonts w:ascii="Times New Roman" w:hAnsi="Times New Roman"/>
          <w:color w:val="auto"/>
          <w:sz w:val="24"/>
          <w:szCs w:val="24"/>
        </w:rPr>
        <w:t xml:space="preserve">the obligations </w:t>
      </w:r>
      <w:r>
        <w:rPr>
          <w:rFonts w:ascii="Times New Roman" w:hAnsi="Times New Roman"/>
          <w:color w:val="auto"/>
          <w:sz w:val="24"/>
          <w:szCs w:val="24"/>
        </w:rPr>
        <w:t xml:space="preserve">to adopt and implement written policies and procedures to ensure compliance with the regulation, document communications between </w:t>
      </w:r>
      <w:r w:rsidR="008136BF">
        <w:rPr>
          <w:rFonts w:ascii="Times New Roman" w:hAnsi="Times New Roman"/>
          <w:color w:val="auto"/>
          <w:sz w:val="24"/>
          <w:szCs w:val="24"/>
        </w:rPr>
        <w:t xml:space="preserve">certain </w:t>
      </w:r>
      <w:r>
        <w:rPr>
          <w:rFonts w:ascii="Times New Roman" w:hAnsi="Times New Roman"/>
          <w:color w:val="auto"/>
          <w:sz w:val="24"/>
          <w:szCs w:val="24"/>
        </w:rPr>
        <w:t xml:space="preserve">personnel, and provide certain disclosures.  The burden relates solely to recordkeeping requirements; the regulation does not contain any reporting requirements.  </w:t>
      </w:r>
    </w:p>
    <w:p w14:paraId="03688779"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b/>
      </w:r>
    </w:p>
    <w:p w14:paraId="5C21D052" w14:textId="2F130A1F" w:rsidR="00E7789A" w:rsidRDefault="00D2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0"/>
        </w:rPr>
      </w:pPr>
      <w:r w:rsidRPr="00B2750A">
        <w:rPr>
          <w:rFonts w:ascii="Times New Roman" w:hAnsi="Times New Roman"/>
          <w:szCs w:val="20"/>
        </w:rPr>
        <w:t xml:space="preserve">In light of the </w:t>
      </w:r>
      <w:r>
        <w:rPr>
          <w:rFonts w:ascii="Times New Roman" w:hAnsi="Times New Roman"/>
          <w:szCs w:val="20"/>
        </w:rPr>
        <w:t>current</w:t>
      </w:r>
      <w:r w:rsidRPr="00B2750A">
        <w:rPr>
          <w:rFonts w:ascii="Times New Roman" w:hAnsi="Times New Roman"/>
          <w:szCs w:val="20"/>
        </w:rPr>
        <w:t xml:space="preserve"> number of Commission-registered </w:t>
      </w:r>
      <w:r>
        <w:rPr>
          <w:rFonts w:ascii="Times New Roman" w:hAnsi="Times New Roman"/>
        </w:rPr>
        <w:t>futures commission merchants and introducing brokers</w:t>
      </w:r>
      <w:r>
        <w:rPr>
          <w:rFonts w:ascii="Times New Roman" w:hAnsi="Times New Roman"/>
          <w:szCs w:val="20"/>
        </w:rPr>
        <w:t xml:space="preserve">, the total number of respondents (combined </w:t>
      </w:r>
      <w:r>
        <w:rPr>
          <w:rFonts w:ascii="Times New Roman" w:hAnsi="Times New Roman"/>
        </w:rPr>
        <w:t>futures commission merchants and introducing brokers</w:t>
      </w:r>
      <w:r>
        <w:rPr>
          <w:rFonts w:ascii="Times New Roman" w:hAnsi="Times New Roman"/>
          <w:szCs w:val="20"/>
        </w:rPr>
        <w:t xml:space="preserve">) is estimated to be </w:t>
      </w:r>
      <w:r w:rsidR="00183B59" w:rsidRPr="00284D9C">
        <w:rPr>
          <w:rFonts w:ascii="Times New Roman" w:hAnsi="Times New Roman"/>
          <w:szCs w:val="20"/>
        </w:rPr>
        <w:t>1,</w:t>
      </w:r>
      <w:r w:rsidR="00183B59" w:rsidRPr="00AB12D2">
        <w:rPr>
          <w:rFonts w:ascii="Times New Roman" w:hAnsi="Times New Roman"/>
          <w:szCs w:val="20"/>
        </w:rPr>
        <w:t>244</w:t>
      </w:r>
      <w:r w:rsidR="00082105">
        <w:rPr>
          <w:rFonts w:ascii="Times New Roman" w:hAnsi="Times New Roman"/>
          <w:szCs w:val="20"/>
        </w:rPr>
        <w:t>,</w:t>
      </w:r>
      <w:r w:rsidR="00AB12D2">
        <w:rPr>
          <w:rStyle w:val="FootnoteReference"/>
          <w:rFonts w:ascii="Times New Roman" w:hAnsi="Times New Roman"/>
          <w:szCs w:val="20"/>
        </w:rPr>
        <w:footnoteReference w:id="2"/>
      </w:r>
      <w:r w:rsidR="00AB12D2">
        <w:rPr>
          <w:rFonts w:ascii="Times New Roman" w:hAnsi="Times New Roman"/>
          <w:szCs w:val="20"/>
        </w:rPr>
        <w:t xml:space="preserve"> </w:t>
      </w:r>
      <w:r>
        <w:rPr>
          <w:rFonts w:ascii="Times New Roman" w:hAnsi="Times New Roman"/>
          <w:szCs w:val="20"/>
        </w:rPr>
        <w:t xml:space="preserve">and the aggregate hour burdens set forth below are based upon that </w:t>
      </w:r>
      <w:r w:rsidR="00D045EF">
        <w:rPr>
          <w:rFonts w:ascii="Times New Roman" w:hAnsi="Times New Roman"/>
          <w:szCs w:val="20"/>
        </w:rPr>
        <w:t>estimate</w:t>
      </w:r>
      <w:r>
        <w:rPr>
          <w:rFonts w:ascii="Times New Roman" w:hAnsi="Times New Roman"/>
          <w:szCs w:val="20"/>
        </w:rPr>
        <w:t>.  The burden hours are not anticipated to vary widely among respondents.</w:t>
      </w:r>
      <w:r w:rsidR="00AB12D2">
        <w:rPr>
          <w:rFonts w:ascii="Times New Roman" w:hAnsi="Times New Roman"/>
          <w:szCs w:val="20"/>
        </w:rPr>
        <w:t xml:space="preserve"> </w:t>
      </w:r>
    </w:p>
    <w:p w14:paraId="1841CFCE" w14:textId="77777777" w:rsidR="00E7789A" w:rsidRDefault="00E7789A">
      <w:pPr>
        <w:widowControl w:val="0"/>
        <w:rPr>
          <w:rFonts w:ascii="Times New Roman" w:hAnsi="Times New Roman"/>
        </w:rPr>
      </w:pPr>
    </w:p>
    <w:p w14:paraId="2FCDC889" w14:textId="77777777" w:rsidR="000C1000" w:rsidRDefault="000C1000" w:rsidP="000C1000">
      <w:pPr>
        <w:widowControl w:val="0"/>
        <w:jc w:val="both"/>
        <w:rPr>
          <w:rFonts w:ascii="Times New Roman" w:hAnsi="Times New Roman"/>
        </w:rPr>
      </w:pPr>
      <w:r>
        <w:rPr>
          <w:rFonts w:ascii="Times New Roman" w:hAnsi="Times New Roman"/>
        </w:rPr>
        <w:t xml:space="preserve">The annualized costs per affected registrant and in the aggregate were determined using an average salary of $100.00 per hour.  The Commission believes that this is an appropriate salary estimate for purposes of this regulation.  </w:t>
      </w:r>
    </w:p>
    <w:p w14:paraId="761A0EE1" w14:textId="77777777" w:rsidR="0086653F" w:rsidRDefault="0086653F" w:rsidP="000C1000">
      <w:pPr>
        <w:widowControl w:val="0"/>
        <w:jc w:val="both"/>
        <w:rPr>
          <w:rFonts w:ascii="Times New Roman" w:hAnsi="Times New Roman"/>
        </w:rPr>
      </w:pPr>
    </w:p>
    <w:p w14:paraId="60B9C1E0" w14:textId="117F8CCD" w:rsidR="0086653F" w:rsidRDefault="0086653F" w:rsidP="000C1000">
      <w:pPr>
        <w:widowControl w:val="0"/>
        <w:jc w:val="both"/>
        <w:rPr>
          <w:rFonts w:ascii="Times New Roman" w:hAnsi="Times New Roman"/>
        </w:rPr>
      </w:pPr>
      <w:r w:rsidRPr="00031D56">
        <w:rPr>
          <w:rFonts w:ascii="Times New Roman" w:hAnsi="Times New Roman"/>
        </w:rPr>
        <w:t>In support of this determination, the Commission notes that the salary estimate is bas</w:t>
      </w:r>
      <w:r w:rsidRPr="003056C2">
        <w:rPr>
          <w:rFonts w:ascii="Times New Roman" w:hAnsi="Times New Roman"/>
        </w:rPr>
        <w:t>ed upon May 201</w:t>
      </w:r>
      <w:r>
        <w:rPr>
          <w:rFonts w:ascii="Times New Roman" w:hAnsi="Times New Roman"/>
        </w:rPr>
        <w:t>7</w:t>
      </w:r>
      <w:r w:rsidRPr="00031D56">
        <w:rPr>
          <w:rFonts w:ascii="Times New Roman" w:hAnsi="Times New Roman"/>
        </w:rPr>
        <w:t xml:space="preserve"> Bureau of Labor Statistics’ findings of National Occupation Employment and Wage Estimates, United States</w:t>
      </w:r>
      <w:r w:rsidRPr="00031D56">
        <w:rPr>
          <w:rStyle w:val="FootnoteReference"/>
          <w:rFonts w:ascii="Times New Roman" w:hAnsi="Times New Roman"/>
        </w:rPr>
        <w:footnoteReference w:id="3"/>
      </w:r>
      <w:r w:rsidRPr="00031D56">
        <w:rPr>
          <w:rFonts w:ascii="Times New Roman" w:hAnsi="Times New Roman"/>
        </w:rPr>
        <w:t>, including the mean hourly wage of an employee under occupation code 23-1011, “Lawyers,” that is employed by the “</w:t>
      </w:r>
      <w:r w:rsidRPr="00F5543C">
        <w:rPr>
          <w:rFonts w:ascii="Times New Roman" w:hAnsi="Times New Roman"/>
        </w:rPr>
        <w:t>Securities, Commodity Contracts, and Other Financial Investments and Related Activities</w:t>
      </w:r>
      <w:r>
        <w:rPr>
          <w:rFonts w:ascii="Times New Roman" w:hAnsi="Times New Roman"/>
        </w:rPr>
        <w:t xml:space="preserve"> Industry</w:t>
      </w:r>
      <w:r w:rsidRPr="00031D56">
        <w:rPr>
          <w:rFonts w:ascii="Times New Roman" w:hAnsi="Times New Roman"/>
        </w:rPr>
        <w:t>,” which is $9</w:t>
      </w:r>
      <w:r>
        <w:rPr>
          <w:rFonts w:ascii="Times New Roman" w:hAnsi="Times New Roman"/>
        </w:rPr>
        <w:t>4</w:t>
      </w:r>
      <w:r w:rsidRPr="00031D56">
        <w:rPr>
          <w:rFonts w:ascii="Times New Roman" w:hAnsi="Times New Roman"/>
        </w:rPr>
        <w:t>.</w:t>
      </w:r>
      <w:r>
        <w:rPr>
          <w:rFonts w:ascii="Times New Roman" w:hAnsi="Times New Roman"/>
        </w:rPr>
        <w:t>20</w:t>
      </w:r>
      <w:r w:rsidRPr="00031D56">
        <w:rPr>
          <w:rFonts w:ascii="Times New Roman" w:hAnsi="Times New Roman"/>
        </w:rPr>
        <w:t>; the mean hourly wage of an employee under occupation code 11-3031, “Financial Managers,” in the same industry, which is $97.</w:t>
      </w:r>
      <w:r>
        <w:rPr>
          <w:rFonts w:ascii="Times New Roman" w:hAnsi="Times New Roman"/>
        </w:rPr>
        <w:t>82</w:t>
      </w:r>
      <w:r w:rsidRPr="00031D56">
        <w:rPr>
          <w:rFonts w:ascii="Times New Roman" w:hAnsi="Times New Roman"/>
        </w:rPr>
        <w:t>; and the mean hourly wage of an employee under occupation code-13-1041, “Compliance Officers” in the same industry, which is $4</w:t>
      </w:r>
      <w:r>
        <w:rPr>
          <w:rFonts w:ascii="Times New Roman" w:hAnsi="Times New Roman"/>
        </w:rPr>
        <w:t>3</w:t>
      </w:r>
      <w:r w:rsidRPr="00031D56">
        <w:rPr>
          <w:rFonts w:ascii="Times New Roman" w:hAnsi="Times New Roman"/>
        </w:rPr>
        <w:t>.27.  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14:paraId="514F9D0B" w14:textId="77777777" w:rsidR="00E7789A" w:rsidRPr="00764F16" w:rsidRDefault="000C1000" w:rsidP="000C1000">
      <w:pPr>
        <w:widowControl w:val="0"/>
        <w:jc w:val="both"/>
        <w:rPr>
          <w:rFonts w:ascii="Times New Roman" w:hAnsi="Times New Roman"/>
        </w:rPr>
      </w:pPr>
      <w:r w:rsidRPr="003056C2">
        <w:rPr>
          <w:rFonts w:ascii="Times New Roman" w:hAnsi="Times New Roman"/>
        </w:rPr>
        <w:t xml:space="preserve">  </w:t>
      </w:r>
      <w:r w:rsidR="00E7789A" w:rsidRPr="003056C2">
        <w:rPr>
          <w:rFonts w:ascii="Times New Roman" w:hAnsi="Times New Roman"/>
          <w:szCs w:val="20"/>
        </w:rPr>
        <w:t xml:space="preserve"> </w:t>
      </w:r>
    </w:p>
    <w:p w14:paraId="595718A9"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Cs w:val="20"/>
        </w:rPr>
      </w:pPr>
      <w:r>
        <w:rPr>
          <w:rFonts w:ascii="Times New Roman" w:hAnsi="Times New Roman"/>
          <w:szCs w:val="20"/>
          <w:u w:val="single"/>
        </w:rPr>
        <w:t>Recordkeeping Related to Maintenance of Conflicts of Interest Policies and Procedures</w:t>
      </w:r>
      <w:r>
        <w:rPr>
          <w:rFonts w:ascii="Times New Roman" w:hAnsi="Times New Roman"/>
          <w:szCs w:val="20"/>
        </w:rPr>
        <w:t xml:space="preserve">.  </w:t>
      </w:r>
    </w:p>
    <w:p w14:paraId="7D59F51D"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14:paraId="7F1D650C" w14:textId="65494194"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183B59">
        <w:rPr>
          <w:rFonts w:ascii="Times New Roman" w:hAnsi="Times New Roman"/>
          <w:szCs w:val="20"/>
        </w:rPr>
        <w:t>1,244</w:t>
      </w:r>
    </w:p>
    <w:p w14:paraId="25BA85CE"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Average number of annual responses by each registrant: 1 </w:t>
      </w:r>
    </w:p>
    <w:p w14:paraId="7FAC00D4"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2</w:t>
      </w:r>
    </w:p>
    <w:p w14:paraId="04A8D2C9"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Frequency of collection:  Annually </w:t>
      </w:r>
    </w:p>
    <w:p w14:paraId="5BAB0F9B" w14:textId="466848F6"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annual burden:    </w:t>
      </w:r>
      <w:r w:rsidR="00764F16">
        <w:rPr>
          <w:rFonts w:ascii="Times New Roman" w:hAnsi="Times New Roman"/>
          <w:szCs w:val="20"/>
        </w:rPr>
        <w:t>[</w:t>
      </w:r>
      <w:r w:rsidR="00183B59">
        <w:rPr>
          <w:rFonts w:ascii="Times New Roman" w:hAnsi="Times New Roman"/>
          <w:szCs w:val="20"/>
        </w:rPr>
        <w:t>1,244</w:t>
      </w:r>
      <w:r w:rsidR="00764F16">
        <w:rPr>
          <w:rFonts w:ascii="Times New Roman" w:hAnsi="Times New Roman"/>
          <w:szCs w:val="20"/>
        </w:rPr>
        <w:t>]</w:t>
      </w:r>
      <w:r>
        <w:rPr>
          <w:rFonts w:ascii="Times New Roman" w:hAnsi="Times New Roman"/>
          <w:szCs w:val="20"/>
        </w:rPr>
        <w:t xml:space="preserve"> registrants x 1 response x 2 hours = </w:t>
      </w:r>
      <w:r w:rsidR="005036F2">
        <w:rPr>
          <w:rFonts w:ascii="Times New Roman" w:hAnsi="Times New Roman"/>
          <w:szCs w:val="20"/>
        </w:rPr>
        <w:t>2,</w:t>
      </w:r>
      <w:r w:rsidR="004A14AD">
        <w:rPr>
          <w:rFonts w:ascii="Times New Roman" w:hAnsi="Times New Roman"/>
          <w:szCs w:val="20"/>
        </w:rPr>
        <w:t>488</w:t>
      </w:r>
      <w:r>
        <w:rPr>
          <w:rFonts w:ascii="Times New Roman" w:hAnsi="Times New Roman"/>
          <w:szCs w:val="20"/>
        </w:rPr>
        <w:t xml:space="preserve"> burden hours</w:t>
      </w:r>
    </w:p>
    <w:p w14:paraId="4C829C0D"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p>
    <w:p w14:paraId="49A98A65"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r>
        <w:rPr>
          <w:rFonts w:ascii="Times New Roman" w:hAnsi="Times New Roman"/>
          <w:szCs w:val="20"/>
          <w:u w:val="single"/>
        </w:rPr>
        <w:t>Recordkeeping Related to Communications Between Certain Personnel</w:t>
      </w:r>
    </w:p>
    <w:p w14:paraId="082F1F35" w14:textId="29C3DA1D"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183B59">
        <w:rPr>
          <w:rFonts w:ascii="Times New Roman" w:hAnsi="Times New Roman"/>
          <w:szCs w:val="20"/>
        </w:rPr>
        <w:t>1,244</w:t>
      </w:r>
    </w:p>
    <w:p w14:paraId="12CCF7EB"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Average number of annual responses by each registrant: 20 </w:t>
      </w:r>
    </w:p>
    <w:p w14:paraId="5C4FA6AB"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0.5</w:t>
      </w:r>
    </w:p>
    <w:p w14:paraId="76B9E614"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As needed</w:t>
      </w:r>
    </w:p>
    <w:p w14:paraId="54BC860D" w14:textId="033FCDED"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annual burden:    </w:t>
      </w:r>
      <w:r w:rsidR="00183B59">
        <w:rPr>
          <w:rFonts w:ascii="Times New Roman" w:hAnsi="Times New Roman"/>
          <w:szCs w:val="20"/>
        </w:rPr>
        <w:t>1,244</w:t>
      </w:r>
      <w:r>
        <w:rPr>
          <w:rFonts w:ascii="Times New Roman" w:hAnsi="Times New Roman"/>
          <w:szCs w:val="20"/>
        </w:rPr>
        <w:t xml:space="preserve"> registrants x 20 responses x 0.5 hours = </w:t>
      </w:r>
      <w:r w:rsidR="005036F2">
        <w:rPr>
          <w:rFonts w:ascii="Times New Roman" w:hAnsi="Times New Roman"/>
          <w:szCs w:val="20"/>
        </w:rPr>
        <w:t>1</w:t>
      </w:r>
      <w:r w:rsidR="004A14AD">
        <w:rPr>
          <w:rFonts w:ascii="Times New Roman" w:hAnsi="Times New Roman"/>
          <w:szCs w:val="20"/>
        </w:rPr>
        <w:t>2</w:t>
      </w:r>
      <w:r w:rsidR="005036F2">
        <w:rPr>
          <w:rFonts w:ascii="Times New Roman" w:hAnsi="Times New Roman"/>
          <w:szCs w:val="20"/>
        </w:rPr>
        <w:t>,</w:t>
      </w:r>
      <w:r w:rsidR="004A14AD">
        <w:rPr>
          <w:rFonts w:ascii="Times New Roman" w:hAnsi="Times New Roman"/>
          <w:szCs w:val="20"/>
        </w:rPr>
        <w:t>44</w:t>
      </w:r>
      <w:r w:rsidR="005036F2">
        <w:rPr>
          <w:rFonts w:ascii="Times New Roman" w:hAnsi="Times New Roman"/>
          <w:szCs w:val="20"/>
        </w:rPr>
        <w:t>0</w:t>
      </w:r>
      <w:r>
        <w:rPr>
          <w:rFonts w:ascii="Times New Roman" w:hAnsi="Times New Roman"/>
          <w:szCs w:val="20"/>
        </w:rPr>
        <w:t xml:space="preserve"> burden hours</w:t>
      </w:r>
    </w:p>
    <w:p w14:paraId="5F6F7311"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14:paraId="519E44EB"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u w:val="single"/>
        </w:rPr>
      </w:pPr>
      <w:r>
        <w:rPr>
          <w:rFonts w:ascii="Times New Roman" w:hAnsi="Times New Roman"/>
          <w:szCs w:val="20"/>
          <w:u w:val="single"/>
        </w:rPr>
        <w:t xml:space="preserve">Recordkeeping Related to Disclosure Requirements </w:t>
      </w:r>
    </w:p>
    <w:p w14:paraId="3FC6BADF" w14:textId="41CBB1D9"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Number of registrants:  </w:t>
      </w:r>
      <w:r w:rsidR="00183B59">
        <w:rPr>
          <w:rFonts w:ascii="Times New Roman" w:hAnsi="Times New Roman"/>
          <w:szCs w:val="20"/>
        </w:rPr>
        <w:t>1,244</w:t>
      </w:r>
    </w:p>
    <w:p w14:paraId="45FBCC23"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Average number of annual responses by each registrant:   65</w:t>
      </w:r>
    </w:p>
    <w:p w14:paraId="67D32D5C"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Estimated average hours per response:  0.5</w:t>
      </w:r>
    </w:p>
    <w:p w14:paraId="2B8009AD"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Frequency of collection:  As needed</w:t>
      </w:r>
    </w:p>
    <w:p w14:paraId="69FFF0DC" w14:textId="1EA9E56B"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Aggregate annual burden:   </w:t>
      </w:r>
      <w:r w:rsidR="00183B59">
        <w:rPr>
          <w:rFonts w:ascii="Times New Roman" w:hAnsi="Times New Roman"/>
          <w:szCs w:val="20"/>
        </w:rPr>
        <w:t>1,244</w:t>
      </w:r>
      <w:r>
        <w:rPr>
          <w:rFonts w:ascii="Times New Roman" w:hAnsi="Times New Roman"/>
          <w:szCs w:val="20"/>
        </w:rPr>
        <w:t xml:space="preserve"> registrants x 65 responses x 0.5 hours = </w:t>
      </w:r>
      <w:r w:rsidR="005036F2">
        <w:rPr>
          <w:rFonts w:ascii="Times New Roman" w:hAnsi="Times New Roman"/>
          <w:szCs w:val="20"/>
        </w:rPr>
        <w:t>4</w:t>
      </w:r>
      <w:r w:rsidR="004A14AD">
        <w:rPr>
          <w:rFonts w:ascii="Times New Roman" w:hAnsi="Times New Roman"/>
          <w:szCs w:val="20"/>
        </w:rPr>
        <w:t>0</w:t>
      </w:r>
      <w:r>
        <w:rPr>
          <w:rFonts w:ascii="Times New Roman" w:hAnsi="Times New Roman"/>
          <w:szCs w:val="20"/>
        </w:rPr>
        <w:t>,</w:t>
      </w:r>
      <w:r w:rsidR="004A14AD">
        <w:rPr>
          <w:rFonts w:ascii="Times New Roman" w:hAnsi="Times New Roman"/>
          <w:szCs w:val="20"/>
        </w:rPr>
        <w:t xml:space="preserve">430 </w:t>
      </w:r>
      <w:r>
        <w:rPr>
          <w:rFonts w:ascii="Times New Roman" w:hAnsi="Times New Roman"/>
          <w:szCs w:val="20"/>
        </w:rPr>
        <w:t>hours</w:t>
      </w:r>
    </w:p>
    <w:p w14:paraId="1AC81EE9"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14:paraId="0A569535" w14:textId="144C6ABB"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r>
        <w:rPr>
          <w:rFonts w:ascii="Times New Roman" w:hAnsi="Times New Roman"/>
          <w:szCs w:val="20"/>
        </w:rPr>
        <w:t xml:space="preserve">Based upon the above, the aggregate </w:t>
      </w:r>
      <w:r w:rsidR="00D045EF">
        <w:rPr>
          <w:rFonts w:ascii="Times New Roman" w:hAnsi="Times New Roman"/>
          <w:szCs w:val="20"/>
        </w:rPr>
        <w:t xml:space="preserve">burden hours and </w:t>
      </w:r>
      <w:r>
        <w:rPr>
          <w:rFonts w:ascii="Times New Roman" w:hAnsi="Times New Roman"/>
          <w:szCs w:val="20"/>
        </w:rPr>
        <w:t xml:space="preserve">cost for all registrants is </w:t>
      </w:r>
      <w:r w:rsidR="004A14AD">
        <w:rPr>
          <w:rFonts w:ascii="Times New Roman" w:hAnsi="Times New Roman"/>
          <w:szCs w:val="20"/>
        </w:rPr>
        <w:t>55,358</w:t>
      </w:r>
      <w:r>
        <w:rPr>
          <w:rFonts w:ascii="Times New Roman" w:hAnsi="Times New Roman"/>
          <w:szCs w:val="20"/>
        </w:rPr>
        <w:t xml:space="preserve"> burden hours and $</w:t>
      </w:r>
      <w:r w:rsidR="004A14AD">
        <w:rPr>
          <w:rFonts w:ascii="Times New Roman" w:hAnsi="Times New Roman"/>
          <w:szCs w:val="20"/>
        </w:rPr>
        <w:t>5,535,800</w:t>
      </w:r>
      <w:r>
        <w:rPr>
          <w:rFonts w:ascii="Times New Roman" w:hAnsi="Times New Roman"/>
          <w:szCs w:val="20"/>
        </w:rPr>
        <w:t xml:space="preserve"> [</w:t>
      </w:r>
      <w:r w:rsidR="004A14AD">
        <w:rPr>
          <w:rFonts w:ascii="Times New Roman" w:hAnsi="Times New Roman"/>
          <w:szCs w:val="20"/>
        </w:rPr>
        <w:t>55,358</w:t>
      </w:r>
      <w:r>
        <w:rPr>
          <w:rFonts w:ascii="Times New Roman" w:hAnsi="Times New Roman"/>
          <w:szCs w:val="20"/>
        </w:rPr>
        <w:t xml:space="preserve"> burden hours x $100 per hour].</w:t>
      </w:r>
    </w:p>
    <w:p w14:paraId="36A6CD73" w14:textId="77777777" w:rsidR="00E7789A" w:rsidRDefault="00E7789A">
      <w:pPr>
        <w:pStyle w:val="PlainText"/>
        <w:jc w:val="both"/>
        <w:rPr>
          <w:rFonts w:ascii="Times New Roman" w:hAnsi="Times New Roman"/>
          <w:color w:val="auto"/>
          <w:sz w:val="24"/>
          <w:szCs w:val="24"/>
        </w:rPr>
      </w:pPr>
    </w:p>
    <w:p w14:paraId="38247B49" w14:textId="77777777" w:rsidR="00E7789A" w:rsidRDefault="00E7789A">
      <w:pPr>
        <w:keepNext/>
        <w:tabs>
          <w:tab w:val="left" w:pos="-720"/>
          <w:tab w:val="left" w:pos="0"/>
        </w:tabs>
        <w:spacing w:after="240"/>
        <w:jc w:val="both"/>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recordkeepers resulting form the collection of information.  (Do not include the cost of any hour burden shown in Items 12 and 14).</w:t>
      </w:r>
    </w:p>
    <w:p w14:paraId="6A9A766F"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BE7523"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1FA0A060" w14:textId="77777777" w:rsidR="00E7789A" w:rsidRDefault="00E7789A">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035427D" w14:textId="77777777" w:rsidR="00E7789A" w:rsidRDefault="00E7789A">
      <w:pPr>
        <w:tabs>
          <w:tab w:val="left" w:pos="-720"/>
        </w:tabs>
        <w:spacing w:after="240"/>
        <w:jc w:val="both"/>
        <w:rPr>
          <w:rFonts w:ascii="Times New Roman" w:hAnsi="Times New Roman"/>
        </w:rPr>
      </w:pPr>
      <w:r>
        <w:rPr>
          <w:rFonts w:ascii="Times New Roman" w:hAnsi="Times New Roman"/>
        </w:rPr>
        <w:t xml:space="preserve">The information collection required by the regulations would not involve any capital or start-up capital, operations or maintenance costs as the Commission anticipates that futures commission merchants and introducing brokers already maintain mechanisms to preserve records related to their compliance with regulatory requirements as part of their customary or usual business practices.  </w:t>
      </w:r>
    </w:p>
    <w:p w14:paraId="4644976B"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5071ADD3" w14:textId="77777777" w:rsidR="00E7789A" w:rsidRDefault="00E7789A">
      <w:pPr>
        <w:tabs>
          <w:tab w:val="left" w:pos="-720"/>
        </w:tabs>
        <w:spacing w:after="240"/>
        <w:jc w:val="both"/>
        <w:rPr>
          <w:rFonts w:ascii="Times New Roman" w:hAnsi="Times New Roman"/>
        </w:rPr>
      </w:pPr>
      <w:r>
        <w:rPr>
          <w:rFonts w:ascii="Times New Roman" w:hAnsi="Times New Roman"/>
        </w:rPr>
        <w:t>The regulation does not impose any regular reporting requirements.  Accordingly, it does not anticipate that the requirements would impose any additional costs to the Federal Government.</w:t>
      </w:r>
    </w:p>
    <w:p w14:paraId="34265C35"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14:paraId="3EAC2DF4" w14:textId="4C0ED48E" w:rsidR="00C8425A" w:rsidRDefault="002A1E7F" w:rsidP="002A1E7F">
      <w:pPr>
        <w:spacing w:after="240"/>
        <w:contextualSpacing/>
        <w:rPr>
          <w:rFonts w:ascii="Times New Roman" w:hAnsi="Times New Roman"/>
        </w:rPr>
      </w:pPr>
      <w:r>
        <w:rPr>
          <w:rFonts w:ascii="Times New Roman" w:hAnsi="Times New Roman"/>
        </w:rPr>
        <w:t>T</w:t>
      </w:r>
      <w:r w:rsidR="000C1000">
        <w:rPr>
          <w:rFonts w:ascii="Times New Roman" w:hAnsi="Times New Roman"/>
        </w:rPr>
        <w:t>he Commission has revised its estimate i</w:t>
      </w:r>
      <w:r w:rsidR="000C1000" w:rsidRPr="00F02435">
        <w:rPr>
          <w:rFonts w:ascii="Times New Roman" w:hAnsi="Times New Roman"/>
        </w:rPr>
        <w:t>n light of t</w:t>
      </w:r>
      <w:r w:rsidR="00833008">
        <w:rPr>
          <w:rFonts w:ascii="Times New Roman" w:hAnsi="Times New Roman"/>
        </w:rPr>
        <w:t>he current number of Commission registered</w:t>
      </w:r>
      <w:r>
        <w:rPr>
          <w:rFonts w:ascii="Times New Roman" w:hAnsi="Times New Roman"/>
        </w:rPr>
        <w:t xml:space="preserve"> </w:t>
      </w:r>
      <w:r w:rsidR="000C1000" w:rsidRPr="00F02435">
        <w:rPr>
          <w:rFonts w:ascii="Times New Roman" w:hAnsi="Times New Roman"/>
        </w:rPr>
        <w:t>futures commission merchants</w:t>
      </w:r>
      <w:r w:rsidR="005036F2">
        <w:rPr>
          <w:rFonts w:ascii="Times New Roman" w:hAnsi="Times New Roman"/>
        </w:rPr>
        <w:t xml:space="preserve"> and introducing brokers</w:t>
      </w:r>
      <w:r w:rsidR="000C1000">
        <w:rPr>
          <w:rFonts w:ascii="Times New Roman" w:hAnsi="Times New Roman"/>
        </w:rPr>
        <w:t>.</w:t>
      </w:r>
      <w:r w:rsidR="00AB12D2" w:rsidRPr="00AB12D2">
        <w:rPr>
          <w:rFonts w:ascii="Times New Roman" w:hAnsi="Times New Roman"/>
        </w:rPr>
        <w:t xml:space="preserve"> </w:t>
      </w:r>
      <w:r w:rsidR="00AB12D2">
        <w:rPr>
          <w:rFonts w:ascii="Times New Roman" w:hAnsi="Times New Roman"/>
        </w:rPr>
        <w:t xml:space="preserve">Specifically, the Commission is reducing its estimate of the </w:t>
      </w:r>
      <w:r w:rsidR="00C05367">
        <w:rPr>
          <w:rFonts w:ascii="Times New Roman" w:hAnsi="Times New Roman"/>
        </w:rPr>
        <w:t xml:space="preserve">total </w:t>
      </w:r>
      <w:r w:rsidR="00AB12D2">
        <w:rPr>
          <w:rFonts w:ascii="Times New Roman" w:hAnsi="Times New Roman"/>
        </w:rPr>
        <w:t xml:space="preserve">number of </w:t>
      </w:r>
      <w:r w:rsidR="00C05367">
        <w:rPr>
          <w:rFonts w:ascii="Times New Roman" w:hAnsi="Times New Roman"/>
        </w:rPr>
        <w:t>respondents</w:t>
      </w:r>
      <w:r w:rsidR="00AB12D2">
        <w:rPr>
          <w:rFonts w:ascii="Times New Roman" w:hAnsi="Times New Roman"/>
        </w:rPr>
        <w:t xml:space="preserve"> from 1,362 to 1,244.</w:t>
      </w:r>
      <w:r>
        <w:rPr>
          <w:rFonts w:ascii="Times New Roman" w:hAnsi="Times New Roman"/>
        </w:rPr>
        <w:br/>
      </w:r>
    </w:p>
    <w:p w14:paraId="6E6BB52A"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3512100F" w14:textId="77777777" w:rsidR="00E7789A" w:rsidRDefault="00E7789A">
      <w:pPr>
        <w:tabs>
          <w:tab w:val="left" w:pos="-720"/>
        </w:tabs>
        <w:spacing w:after="240"/>
        <w:jc w:val="both"/>
        <w:rPr>
          <w:rFonts w:ascii="Times New Roman" w:hAnsi="Times New Roman"/>
        </w:rPr>
      </w:pPr>
      <w:r>
        <w:rPr>
          <w:rFonts w:ascii="Times New Roman" w:hAnsi="Times New Roman"/>
        </w:rPr>
        <w:t>This question does not apply.</w:t>
      </w:r>
    </w:p>
    <w:p w14:paraId="10FED669" w14:textId="77777777" w:rsidR="00E7789A" w:rsidRDefault="00E7789A">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14:paraId="1B742E26" w14:textId="77777777" w:rsidR="00E7789A" w:rsidRDefault="00E7789A">
      <w:pPr>
        <w:tabs>
          <w:tab w:val="left" w:pos="-720"/>
        </w:tabs>
        <w:spacing w:after="240"/>
        <w:jc w:val="both"/>
        <w:rPr>
          <w:rFonts w:ascii="Times New Roman" w:hAnsi="Times New Roman"/>
        </w:rPr>
      </w:pPr>
      <w:r>
        <w:rPr>
          <w:rFonts w:ascii="Times New Roman" w:hAnsi="Times New Roman"/>
        </w:rPr>
        <w:t>This question does not apply.</w:t>
      </w:r>
    </w:p>
    <w:p w14:paraId="531B1D87" w14:textId="77777777" w:rsidR="00E7789A" w:rsidRDefault="00E7789A">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14:paraId="5248A6F3" w14:textId="77777777" w:rsidR="00E7789A" w:rsidRDefault="00E7789A">
      <w:pPr>
        <w:tabs>
          <w:tab w:val="left" w:pos="-720"/>
        </w:tabs>
        <w:spacing w:after="240"/>
        <w:jc w:val="both"/>
        <w:rPr>
          <w:rFonts w:ascii="Times New Roman" w:hAnsi="Times New Roman"/>
        </w:rPr>
      </w:pPr>
      <w:r>
        <w:rPr>
          <w:rFonts w:ascii="Times New Roman" w:hAnsi="Times New Roman"/>
        </w:rPr>
        <w:t>This question does not apply.</w:t>
      </w:r>
    </w:p>
    <w:p w14:paraId="48398920" w14:textId="77777777" w:rsidR="00E7789A" w:rsidRDefault="00E7789A">
      <w:pPr>
        <w:pStyle w:val="Title"/>
        <w:spacing w:after="240"/>
        <w:rPr>
          <w:sz w:val="24"/>
          <w:szCs w:val="24"/>
        </w:rPr>
      </w:pPr>
      <w:r>
        <w:br w:type="page"/>
      </w:r>
      <w:r>
        <w:rPr>
          <w:sz w:val="24"/>
          <w:szCs w:val="24"/>
        </w:rPr>
        <w:t>Attachment A</w:t>
      </w:r>
    </w:p>
    <w:p w14:paraId="624E6A16" w14:textId="77777777" w:rsidR="00E7789A" w:rsidRDefault="00E7789A">
      <w:pPr>
        <w:pStyle w:val="Title"/>
        <w:spacing w:after="240"/>
        <w:rPr>
          <w:sz w:val="24"/>
          <w:szCs w:val="24"/>
        </w:rPr>
      </w:pPr>
      <w:r>
        <w:rPr>
          <w:sz w:val="24"/>
          <w:szCs w:val="24"/>
        </w:rPr>
        <w:t xml:space="preserve">Part 23 – Conflicts of Interest Policies and Procedures by Futures Commission Merchants and Introducing Brokers </w:t>
      </w:r>
    </w:p>
    <w:p w14:paraId="7548C98C" w14:textId="77777777" w:rsidR="00E7789A" w:rsidRDefault="00E7789A">
      <w:pPr>
        <w:pStyle w:val="Title"/>
        <w:spacing w:after="480"/>
        <w:rPr>
          <w:sz w:val="24"/>
          <w:szCs w:val="24"/>
        </w:rPr>
      </w:pPr>
      <w:r>
        <w:rPr>
          <w:sz w:val="24"/>
          <w:szCs w:val="24"/>
        </w:rPr>
        <w:t>OMB Collection File 3038-</w:t>
      </w:r>
      <w:r w:rsidR="003F616C">
        <w:rPr>
          <w:sz w:val="24"/>
          <w:szCs w:val="24"/>
        </w:rPr>
        <w:t>0078</w:t>
      </w:r>
    </w:p>
    <w:p w14:paraId="0468EDDC" w14:textId="77777777" w:rsidR="00E7789A" w:rsidRDefault="00E7789A">
      <w:pPr>
        <w:rPr>
          <w:rFonts w:ascii="Times New Roman" w:hAnsi="Times New Roman"/>
        </w:rPr>
      </w:pPr>
    </w:p>
    <w:p w14:paraId="4879B6E9" w14:textId="52A731D1" w:rsidR="00E7789A" w:rsidRDefault="00E7789A">
      <w:pPr>
        <w:pStyle w:val="Title"/>
        <w:tabs>
          <w:tab w:val="center" w:pos="7200"/>
        </w:tabs>
        <w:spacing w:after="120"/>
        <w:ind w:left="1440"/>
        <w:jc w:val="left"/>
        <w:rPr>
          <w:b w:val="0"/>
          <w:sz w:val="24"/>
          <w:szCs w:val="24"/>
        </w:rPr>
      </w:pPr>
      <w:r>
        <w:rPr>
          <w:b w:val="0"/>
          <w:sz w:val="24"/>
          <w:szCs w:val="24"/>
        </w:rPr>
        <w:t>Number of Registrants</w:t>
      </w:r>
      <w:r>
        <w:rPr>
          <w:b w:val="0"/>
          <w:sz w:val="24"/>
          <w:szCs w:val="24"/>
        </w:rPr>
        <w:tab/>
      </w:r>
      <w:r w:rsidR="00183B59">
        <w:rPr>
          <w:b w:val="0"/>
          <w:sz w:val="24"/>
          <w:szCs w:val="24"/>
        </w:rPr>
        <w:t>1,244</w:t>
      </w:r>
    </w:p>
    <w:p w14:paraId="006AE602" w14:textId="77777777" w:rsidR="00E7789A" w:rsidRDefault="00E7789A">
      <w:pPr>
        <w:pStyle w:val="Title"/>
        <w:tabs>
          <w:tab w:val="center" w:pos="7200"/>
        </w:tabs>
        <w:spacing w:after="120"/>
        <w:ind w:left="1440"/>
        <w:jc w:val="left"/>
        <w:rPr>
          <w:b w:val="0"/>
          <w:sz w:val="24"/>
          <w:szCs w:val="24"/>
        </w:rPr>
      </w:pPr>
      <w:r>
        <w:rPr>
          <w:b w:val="0"/>
          <w:sz w:val="24"/>
          <w:szCs w:val="24"/>
        </w:rPr>
        <w:t>Estimated Average Burden Hours Per Registrant</w:t>
      </w:r>
      <w:r>
        <w:rPr>
          <w:b w:val="0"/>
          <w:sz w:val="24"/>
          <w:szCs w:val="24"/>
        </w:rPr>
        <w:tab/>
        <w:t>44.5</w:t>
      </w:r>
    </w:p>
    <w:p w14:paraId="20069AA5" w14:textId="77777777" w:rsidR="00E7789A" w:rsidRDefault="00E7789A">
      <w:pPr>
        <w:pStyle w:val="Title"/>
        <w:tabs>
          <w:tab w:val="center" w:pos="7200"/>
        </w:tabs>
        <w:spacing w:after="120"/>
        <w:ind w:left="1440"/>
        <w:jc w:val="left"/>
        <w:rPr>
          <w:b w:val="0"/>
          <w:sz w:val="24"/>
          <w:szCs w:val="24"/>
        </w:rPr>
      </w:pPr>
      <w:r>
        <w:rPr>
          <w:b w:val="0"/>
          <w:sz w:val="24"/>
          <w:szCs w:val="24"/>
        </w:rPr>
        <w:t>Estimated Annual Cost Per Registrant</w:t>
      </w:r>
      <w:r>
        <w:rPr>
          <w:b w:val="0"/>
          <w:sz w:val="24"/>
          <w:szCs w:val="24"/>
        </w:rPr>
        <w:tab/>
        <w:t>$4,450</w:t>
      </w:r>
    </w:p>
    <w:p w14:paraId="38675D19" w14:textId="732F0D5E" w:rsidR="00E7789A" w:rsidRDefault="00E7789A">
      <w:pPr>
        <w:pStyle w:val="Title"/>
        <w:tabs>
          <w:tab w:val="center" w:pos="7200"/>
        </w:tabs>
        <w:spacing w:after="120"/>
        <w:ind w:left="1440"/>
        <w:jc w:val="left"/>
        <w:rPr>
          <w:b w:val="0"/>
          <w:sz w:val="24"/>
          <w:szCs w:val="24"/>
        </w:rPr>
      </w:pPr>
      <w:r>
        <w:rPr>
          <w:b w:val="0"/>
          <w:sz w:val="24"/>
          <w:szCs w:val="24"/>
        </w:rPr>
        <w:t>Estimated Aggregate Burden Hours</w:t>
      </w:r>
      <w:r>
        <w:t xml:space="preserve"> </w:t>
      </w:r>
      <w:r>
        <w:tab/>
      </w:r>
      <w:r w:rsidR="004A14AD" w:rsidRPr="004A14AD">
        <w:rPr>
          <w:b w:val="0"/>
          <w:sz w:val="24"/>
          <w:szCs w:val="24"/>
        </w:rPr>
        <w:t>55,358</w:t>
      </w:r>
    </w:p>
    <w:p w14:paraId="706B4D0D" w14:textId="6F20C54F" w:rsidR="00E7789A" w:rsidRDefault="00E7789A">
      <w:pPr>
        <w:pStyle w:val="Title"/>
        <w:tabs>
          <w:tab w:val="center" w:pos="7200"/>
        </w:tabs>
        <w:spacing w:after="120"/>
        <w:ind w:left="1440"/>
        <w:jc w:val="left"/>
        <w:rPr>
          <w:b w:val="0"/>
          <w:sz w:val="24"/>
          <w:szCs w:val="24"/>
        </w:rPr>
      </w:pPr>
      <w:r>
        <w:rPr>
          <w:b w:val="0"/>
          <w:sz w:val="24"/>
          <w:szCs w:val="24"/>
        </w:rPr>
        <w:t>Estimated Aggregate Cost</w:t>
      </w:r>
      <w:r>
        <w:rPr>
          <w:b w:val="0"/>
          <w:sz w:val="24"/>
          <w:szCs w:val="24"/>
        </w:rPr>
        <w:tab/>
        <w:t>$</w:t>
      </w:r>
      <w:r w:rsidR="004A14AD" w:rsidRPr="004A14AD">
        <w:rPr>
          <w:b w:val="0"/>
          <w:sz w:val="24"/>
          <w:szCs w:val="24"/>
        </w:rPr>
        <w:t>5,535,800</w:t>
      </w:r>
    </w:p>
    <w:p w14:paraId="5F77E076" w14:textId="77777777" w:rsidR="00E7789A" w:rsidRDefault="00E7789A">
      <w:pPr>
        <w:pStyle w:val="Title"/>
        <w:tabs>
          <w:tab w:val="center" w:pos="7200"/>
        </w:tabs>
        <w:spacing w:after="120"/>
        <w:ind w:left="1440"/>
        <w:jc w:val="left"/>
        <w:rPr>
          <w:b w:val="0"/>
          <w:sz w:val="24"/>
          <w:szCs w:val="24"/>
        </w:rPr>
      </w:pPr>
      <w:r>
        <w:rPr>
          <w:b w:val="0"/>
          <w:sz w:val="24"/>
          <w:szCs w:val="24"/>
        </w:rPr>
        <w:t>% of Responses Collected Electronically</w:t>
      </w:r>
      <w:r>
        <w:rPr>
          <w:b w:val="0"/>
          <w:sz w:val="24"/>
          <w:szCs w:val="24"/>
        </w:rPr>
        <w:tab/>
        <w:t>N/A (No reporting requirements)</w:t>
      </w:r>
    </w:p>
    <w:p w14:paraId="14EAE88F" w14:textId="77777777" w:rsidR="00DC4EB5" w:rsidRDefault="00E7789A" w:rsidP="00E22BA0">
      <w:pPr>
        <w:pStyle w:val="Title"/>
        <w:tabs>
          <w:tab w:val="center" w:pos="7200"/>
        </w:tabs>
        <w:ind w:left="1440"/>
        <w:jc w:val="left"/>
        <w:rPr>
          <w:b w:val="0"/>
          <w:sz w:val="24"/>
          <w:szCs w:val="24"/>
        </w:rPr>
      </w:pPr>
      <w:r>
        <w:rPr>
          <w:b w:val="0"/>
          <w:sz w:val="24"/>
          <w:szCs w:val="24"/>
        </w:rPr>
        <w:t>Frequency of Recordkeeping</w:t>
      </w:r>
      <w:r w:rsidR="00DC4EB5">
        <w:rPr>
          <w:b w:val="0"/>
          <w:sz w:val="24"/>
          <w:szCs w:val="24"/>
        </w:rPr>
        <w:t>/</w:t>
      </w:r>
    </w:p>
    <w:p w14:paraId="12E879B0" w14:textId="77777777" w:rsidR="00E7789A" w:rsidRDefault="00DC4EB5" w:rsidP="00E22BA0">
      <w:pPr>
        <w:pStyle w:val="Title"/>
        <w:tabs>
          <w:tab w:val="center" w:pos="7200"/>
        </w:tabs>
        <w:ind w:left="1440"/>
        <w:jc w:val="left"/>
        <w:rPr>
          <w:b w:val="0"/>
          <w:sz w:val="24"/>
          <w:szCs w:val="24"/>
        </w:rPr>
      </w:pPr>
      <w:r>
        <w:rPr>
          <w:b w:val="0"/>
          <w:sz w:val="24"/>
          <w:szCs w:val="24"/>
        </w:rPr>
        <w:t>Third-party Disclosure</w:t>
      </w:r>
      <w:r w:rsidR="00E7789A">
        <w:rPr>
          <w:b w:val="0"/>
          <w:sz w:val="24"/>
          <w:szCs w:val="24"/>
        </w:rPr>
        <w:tab/>
        <w:t>As applicable</w:t>
      </w:r>
    </w:p>
    <w:p w14:paraId="7B911034" w14:textId="77777777" w:rsidR="00DC4EB5" w:rsidRDefault="00DC4EB5" w:rsidP="00E22BA0">
      <w:pPr>
        <w:pStyle w:val="Title"/>
        <w:tabs>
          <w:tab w:val="center" w:pos="7200"/>
        </w:tabs>
        <w:ind w:left="1440"/>
        <w:jc w:val="left"/>
        <w:rPr>
          <w:b w:val="0"/>
          <w:sz w:val="24"/>
          <w:szCs w:val="24"/>
        </w:rPr>
      </w:pPr>
    </w:p>
    <w:tbl>
      <w:tblPr>
        <w:tblW w:w="9394" w:type="dxa"/>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340"/>
        <w:gridCol w:w="1266"/>
        <w:gridCol w:w="1230"/>
        <w:gridCol w:w="1176"/>
        <w:gridCol w:w="1176"/>
        <w:gridCol w:w="1350"/>
      </w:tblGrid>
      <w:tr w:rsidR="00E7789A" w14:paraId="67EB64D2" w14:textId="77777777">
        <w:trPr>
          <w:jc w:val="center"/>
        </w:trPr>
        <w:tc>
          <w:tcPr>
            <w:tcW w:w="1856" w:type="dxa"/>
          </w:tcPr>
          <w:p w14:paraId="07278EBC" w14:textId="77777777" w:rsidR="00E7789A" w:rsidRDefault="00E7789A">
            <w:pPr>
              <w:jc w:val="center"/>
              <w:rPr>
                <w:rFonts w:ascii="Times New Roman" w:hAnsi="Times New Roman"/>
              </w:rPr>
            </w:pPr>
            <w:r>
              <w:rPr>
                <w:rFonts w:ascii="Times New Roman" w:hAnsi="Times New Roman"/>
              </w:rPr>
              <w:t>Requirement</w:t>
            </w:r>
          </w:p>
        </w:tc>
        <w:tc>
          <w:tcPr>
            <w:tcW w:w="1340" w:type="dxa"/>
          </w:tcPr>
          <w:p w14:paraId="139B6EBB" w14:textId="77777777" w:rsidR="00E7789A" w:rsidRDefault="00E7789A">
            <w:pPr>
              <w:jc w:val="center"/>
              <w:rPr>
                <w:rFonts w:ascii="Times New Roman" w:hAnsi="Times New Roman"/>
              </w:rPr>
            </w:pPr>
            <w:r>
              <w:rPr>
                <w:rFonts w:ascii="Times New Roman" w:hAnsi="Times New Roman"/>
              </w:rPr>
              <w:t>Estimated # of Registrants Per Year</w:t>
            </w:r>
          </w:p>
        </w:tc>
        <w:tc>
          <w:tcPr>
            <w:tcW w:w="1266" w:type="dxa"/>
          </w:tcPr>
          <w:p w14:paraId="4CF3CAC2" w14:textId="77777777" w:rsidR="00E7789A" w:rsidRDefault="00E7789A">
            <w:pPr>
              <w:jc w:val="center"/>
              <w:rPr>
                <w:rFonts w:ascii="Times New Roman" w:hAnsi="Times New Roman"/>
              </w:rPr>
            </w:pPr>
            <w:r>
              <w:rPr>
                <w:rFonts w:ascii="Times New Roman" w:hAnsi="Times New Roman"/>
              </w:rPr>
              <w:t>Average</w:t>
            </w:r>
          </w:p>
          <w:p w14:paraId="3FB6519D" w14:textId="77777777" w:rsidR="00E7789A" w:rsidRDefault="00E7789A">
            <w:pPr>
              <w:jc w:val="center"/>
              <w:rPr>
                <w:rFonts w:ascii="Times New Roman" w:hAnsi="Times New Roman"/>
              </w:rPr>
            </w:pPr>
            <w:r>
              <w:rPr>
                <w:rFonts w:ascii="Times New Roman" w:hAnsi="Times New Roman"/>
              </w:rPr>
              <w:t># of Annual Responses Per Registrant</w:t>
            </w:r>
          </w:p>
          <w:p w14:paraId="5065C568" w14:textId="77777777" w:rsidR="00E7789A" w:rsidRDefault="00E7789A">
            <w:pPr>
              <w:jc w:val="center"/>
              <w:rPr>
                <w:rFonts w:ascii="Times New Roman" w:hAnsi="Times New Roman"/>
              </w:rPr>
            </w:pPr>
          </w:p>
        </w:tc>
        <w:tc>
          <w:tcPr>
            <w:tcW w:w="1230" w:type="dxa"/>
          </w:tcPr>
          <w:p w14:paraId="6B530AA9" w14:textId="77777777" w:rsidR="00E7789A" w:rsidRDefault="00E7789A">
            <w:pPr>
              <w:jc w:val="center"/>
              <w:rPr>
                <w:rFonts w:ascii="Times New Roman" w:hAnsi="Times New Roman"/>
              </w:rPr>
            </w:pPr>
            <w:r>
              <w:rPr>
                <w:rFonts w:ascii="Times New Roman" w:hAnsi="Times New Roman"/>
              </w:rPr>
              <w:t>Total #Annual Responses</w:t>
            </w:r>
          </w:p>
        </w:tc>
        <w:tc>
          <w:tcPr>
            <w:tcW w:w="1176" w:type="dxa"/>
          </w:tcPr>
          <w:p w14:paraId="6BCCD41A" w14:textId="77777777" w:rsidR="00E7789A" w:rsidRDefault="00E7789A">
            <w:pPr>
              <w:jc w:val="center"/>
              <w:rPr>
                <w:rFonts w:ascii="Times New Roman" w:hAnsi="Times New Roman"/>
              </w:rPr>
            </w:pPr>
            <w:r>
              <w:rPr>
                <w:rFonts w:ascii="Times New Roman" w:hAnsi="Times New Roman"/>
              </w:rPr>
              <w:t>Estimated Average # of Hours Per Response</w:t>
            </w:r>
          </w:p>
        </w:tc>
        <w:tc>
          <w:tcPr>
            <w:tcW w:w="1176" w:type="dxa"/>
          </w:tcPr>
          <w:p w14:paraId="2BF1DA10" w14:textId="77777777" w:rsidR="00E7789A" w:rsidRDefault="00E7789A">
            <w:pPr>
              <w:jc w:val="center"/>
              <w:rPr>
                <w:rFonts w:ascii="Times New Roman" w:hAnsi="Times New Roman"/>
              </w:rPr>
            </w:pPr>
            <w:r>
              <w:rPr>
                <w:rFonts w:ascii="Times New Roman" w:hAnsi="Times New Roman"/>
              </w:rPr>
              <w:t>Estimated Total # of Hours of Annual Burden in Fiscal Year</w:t>
            </w:r>
          </w:p>
        </w:tc>
        <w:tc>
          <w:tcPr>
            <w:tcW w:w="1350" w:type="dxa"/>
          </w:tcPr>
          <w:p w14:paraId="784771F3" w14:textId="77777777" w:rsidR="00E7789A" w:rsidRDefault="00E7789A">
            <w:pPr>
              <w:jc w:val="center"/>
              <w:rPr>
                <w:rFonts w:ascii="Times New Roman" w:hAnsi="Times New Roman"/>
              </w:rPr>
            </w:pPr>
            <w:r>
              <w:rPr>
                <w:rFonts w:ascii="Times New Roman" w:hAnsi="Times New Roman"/>
              </w:rPr>
              <w:t>Estimated Annual Cost Per Registrant</w:t>
            </w:r>
          </w:p>
        </w:tc>
      </w:tr>
      <w:tr w:rsidR="00E7789A" w14:paraId="209EAE03" w14:textId="77777777">
        <w:trPr>
          <w:jc w:val="center"/>
        </w:trPr>
        <w:tc>
          <w:tcPr>
            <w:tcW w:w="1856" w:type="dxa"/>
          </w:tcPr>
          <w:p w14:paraId="4C87BB8F" w14:textId="77777777" w:rsidR="00E7789A" w:rsidRDefault="00E7789A">
            <w:pPr>
              <w:rPr>
                <w:rFonts w:ascii="Times New Roman" w:hAnsi="Times New Roman"/>
              </w:rPr>
            </w:pPr>
            <w:r w:rsidRPr="003F616C">
              <w:rPr>
                <w:rFonts w:ascii="Times New Roman" w:hAnsi="Times New Roman"/>
                <w:b/>
                <w:u w:val="single"/>
              </w:rPr>
              <w:t>Recordkeeping</w:t>
            </w:r>
            <w:r>
              <w:rPr>
                <w:rFonts w:ascii="Times New Roman" w:hAnsi="Times New Roman"/>
              </w:rPr>
              <w:t xml:space="preserve"> Policies and Procedures</w:t>
            </w:r>
          </w:p>
        </w:tc>
        <w:tc>
          <w:tcPr>
            <w:tcW w:w="1340" w:type="dxa"/>
          </w:tcPr>
          <w:p w14:paraId="0E332CAD" w14:textId="573E52C5" w:rsidR="00E7789A" w:rsidRDefault="00183B59">
            <w:pPr>
              <w:rPr>
                <w:rFonts w:ascii="Times New Roman" w:hAnsi="Times New Roman"/>
              </w:rPr>
            </w:pPr>
            <w:r>
              <w:rPr>
                <w:rFonts w:ascii="Times New Roman" w:hAnsi="Times New Roman"/>
              </w:rPr>
              <w:t>1,244</w:t>
            </w:r>
          </w:p>
        </w:tc>
        <w:tc>
          <w:tcPr>
            <w:tcW w:w="1266" w:type="dxa"/>
          </w:tcPr>
          <w:p w14:paraId="5C45A683" w14:textId="77777777" w:rsidR="00E7789A" w:rsidRDefault="00E7789A">
            <w:pPr>
              <w:rPr>
                <w:rFonts w:ascii="Times New Roman" w:hAnsi="Times New Roman"/>
              </w:rPr>
            </w:pPr>
            <w:r>
              <w:rPr>
                <w:rFonts w:ascii="Times New Roman" w:hAnsi="Times New Roman"/>
              </w:rPr>
              <w:t>1</w:t>
            </w:r>
          </w:p>
        </w:tc>
        <w:tc>
          <w:tcPr>
            <w:tcW w:w="1230" w:type="dxa"/>
          </w:tcPr>
          <w:p w14:paraId="7711DC3C" w14:textId="0CFA3F23" w:rsidR="00E7789A" w:rsidRDefault="00183B59">
            <w:pPr>
              <w:rPr>
                <w:rFonts w:ascii="Times New Roman" w:hAnsi="Times New Roman"/>
              </w:rPr>
            </w:pPr>
            <w:r>
              <w:rPr>
                <w:rFonts w:ascii="Times New Roman" w:hAnsi="Times New Roman"/>
              </w:rPr>
              <w:t>1,244</w:t>
            </w:r>
          </w:p>
        </w:tc>
        <w:tc>
          <w:tcPr>
            <w:tcW w:w="1176" w:type="dxa"/>
          </w:tcPr>
          <w:p w14:paraId="033AD22D" w14:textId="77777777" w:rsidR="00E7789A" w:rsidRDefault="00E7789A">
            <w:pPr>
              <w:rPr>
                <w:rFonts w:ascii="Times New Roman" w:hAnsi="Times New Roman"/>
              </w:rPr>
            </w:pPr>
            <w:r>
              <w:rPr>
                <w:rFonts w:ascii="Times New Roman" w:hAnsi="Times New Roman"/>
              </w:rPr>
              <w:t>2</w:t>
            </w:r>
          </w:p>
        </w:tc>
        <w:tc>
          <w:tcPr>
            <w:tcW w:w="1176" w:type="dxa"/>
          </w:tcPr>
          <w:p w14:paraId="029DBCE0" w14:textId="7754E6F2" w:rsidR="00E7789A" w:rsidRDefault="005036F2">
            <w:pPr>
              <w:rPr>
                <w:rFonts w:ascii="Times New Roman" w:hAnsi="Times New Roman"/>
              </w:rPr>
            </w:pPr>
            <w:r>
              <w:rPr>
                <w:rFonts w:ascii="Times New Roman" w:hAnsi="Times New Roman"/>
              </w:rPr>
              <w:t>2,</w:t>
            </w:r>
            <w:r w:rsidR="004A14AD">
              <w:rPr>
                <w:rFonts w:ascii="Times New Roman" w:hAnsi="Times New Roman"/>
              </w:rPr>
              <w:t>488</w:t>
            </w:r>
          </w:p>
        </w:tc>
        <w:tc>
          <w:tcPr>
            <w:tcW w:w="1350" w:type="dxa"/>
          </w:tcPr>
          <w:p w14:paraId="78639D83" w14:textId="77777777" w:rsidR="00E7789A" w:rsidRDefault="00E7789A">
            <w:pPr>
              <w:rPr>
                <w:rFonts w:ascii="Times New Roman" w:hAnsi="Times New Roman"/>
              </w:rPr>
            </w:pPr>
            <w:r>
              <w:rPr>
                <w:rFonts w:ascii="Times New Roman" w:hAnsi="Times New Roman"/>
              </w:rPr>
              <w:t>$200</w:t>
            </w:r>
          </w:p>
        </w:tc>
      </w:tr>
      <w:tr w:rsidR="00E7789A" w14:paraId="4AFE188A" w14:textId="77777777">
        <w:trPr>
          <w:jc w:val="center"/>
        </w:trPr>
        <w:tc>
          <w:tcPr>
            <w:tcW w:w="1856" w:type="dxa"/>
          </w:tcPr>
          <w:p w14:paraId="02866BDB" w14:textId="77777777" w:rsidR="00E7789A" w:rsidRPr="003F616C" w:rsidRDefault="00E7789A">
            <w:pPr>
              <w:rPr>
                <w:rFonts w:ascii="Times New Roman" w:hAnsi="Times New Roman"/>
                <w:b/>
                <w:u w:val="single"/>
              </w:rPr>
            </w:pPr>
            <w:r w:rsidRPr="003F616C">
              <w:rPr>
                <w:rFonts w:ascii="Times New Roman" w:hAnsi="Times New Roman"/>
                <w:b/>
                <w:u w:val="single"/>
              </w:rPr>
              <w:t>Recordkeeping</w:t>
            </w:r>
          </w:p>
          <w:p w14:paraId="79E45DF6" w14:textId="77777777" w:rsidR="00E7789A" w:rsidRDefault="00E7789A">
            <w:pPr>
              <w:rPr>
                <w:rFonts w:ascii="Times New Roman" w:hAnsi="Times New Roman"/>
              </w:rPr>
            </w:pPr>
            <w:r>
              <w:rPr>
                <w:rFonts w:ascii="Times New Roman" w:hAnsi="Times New Roman"/>
              </w:rPr>
              <w:t>Communications</w:t>
            </w:r>
          </w:p>
        </w:tc>
        <w:tc>
          <w:tcPr>
            <w:tcW w:w="1340" w:type="dxa"/>
          </w:tcPr>
          <w:p w14:paraId="48F5A96B" w14:textId="0F2CCBD3" w:rsidR="00E7789A" w:rsidRDefault="00183B59">
            <w:pPr>
              <w:rPr>
                <w:rFonts w:ascii="Times New Roman" w:hAnsi="Times New Roman"/>
              </w:rPr>
            </w:pPr>
            <w:r>
              <w:rPr>
                <w:rFonts w:ascii="Times New Roman" w:hAnsi="Times New Roman"/>
              </w:rPr>
              <w:t>1,244</w:t>
            </w:r>
          </w:p>
        </w:tc>
        <w:tc>
          <w:tcPr>
            <w:tcW w:w="1266" w:type="dxa"/>
          </w:tcPr>
          <w:p w14:paraId="137152CD" w14:textId="77777777" w:rsidR="00E7789A" w:rsidRDefault="00E7789A">
            <w:pPr>
              <w:rPr>
                <w:rFonts w:ascii="Times New Roman" w:hAnsi="Times New Roman"/>
              </w:rPr>
            </w:pPr>
            <w:r>
              <w:rPr>
                <w:rFonts w:ascii="Times New Roman" w:hAnsi="Times New Roman"/>
              </w:rPr>
              <w:t>20</w:t>
            </w:r>
          </w:p>
        </w:tc>
        <w:tc>
          <w:tcPr>
            <w:tcW w:w="1230" w:type="dxa"/>
          </w:tcPr>
          <w:p w14:paraId="7D824FA5" w14:textId="196B9F40" w:rsidR="00E7789A" w:rsidRDefault="005036F2">
            <w:pPr>
              <w:rPr>
                <w:rFonts w:ascii="Times New Roman" w:hAnsi="Times New Roman"/>
              </w:rPr>
            </w:pPr>
            <w:r>
              <w:rPr>
                <w:rFonts w:ascii="Times New Roman" w:hAnsi="Times New Roman"/>
              </w:rPr>
              <w:t>2</w:t>
            </w:r>
            <w:r w:rsidR="00AF4782">
              <w:rPr>
                <w:rFonts w:ascii="Times New Roman" w:hAnsi="Times New Roman"/>
              </w:rPr>
              <w:t>4,880</w:t>
            </w:r>
          </w:p>
        </w:tc>
        <w:tc>
          <w:tcPr>
            <w:tcW w:w="1176" w:type="dxa"/>
          </w:tcPr>
          <w:p w14:paraId="0B367098" w14:textId="77777777" w:rsidR="00E7789A" w:rsidRDefault="00E7789A">
            <w:pPr>
              <w:rPr>
                <w:rFonts w:ascii="Times New Roman" w:hAnsi="Times New Roman"/>
              </w:rPr>
            </w:pPr>
            <w:r>
              <w:rPr>
                <w:rFonts w:ascii="Times New Roman" w:hAnsi="Times New Roman"/>
              </w:rPr>
              <w:t>.5</w:t>
            </w:r>
          </w:p>
        </w:tc>
        <w:tc>
          <w:tcPr>
            <w:tcW w:w="1176" w:type="dxa"/>
          </w:tcPr>
          <w:p w14:paraId="428A303D" w14:textId="44942582" w:rsidR="00E7789A" w:rsidRDefault="005036F2">
            <w:pPr>
              <w:rPr>
                <w:rFonts w:ascii="Times New Roman" w:hAnsi="Times New Roman"/>
              </w:rPr>
            </w:pPr>
            <w:r>
              <w:rPr>
                <w:rFonts w:ascii="Times New Roman" w:hAnsi="Times New Roman"/>
              </w:rPr>
              <w:t>1</w:t>
            </w:r>
            <w:r w:rsidR="004A14AD">
              <w:rPr>
                <w:rFonts w:ascii="Times New Roman" w:hAnsi="Times New Roman"/>
              </w:rPr>
              <w:t>2,440</w:t>
            </w:r>
          </w:p>
        </w:tc>
        <w:tc>
          <w:tcPr>
            <w:tcW w:w="1350" w:type="dxa"/>
          </w:tcPr>
          <w:p w14:paraId="4A6976C4" w14:textId="77777777" w:rsidR="00E7789A" w:rsidRDefault="00E7789A">
            <w:pPr>
              <w:rPr>
                <w:rFonts w:ascii="Times New Roman" w:hAnsi="Times New Roman"/>
              </w:rPr>
            </w:pPr>
            <w:r>
              <w:rPr>
                <w:rFonts w:ascii="Times New Roman" w:hAnsi="Times New Roman"/>
              </w:rPr>
              <w:t>$1,000</w:t>
            </w:r>
          </w:p>
        </w:tc>
      </w:tr>
      <w:tr w:rsidR="00E7789A" w14:paraId="3A605E2C" w14:textId="77777777">
        <w:trPr>
          <w:jc w:val="center"/>
        </w:trPr>
        <w:tc>
          <w:tcPr>
            <w:tcW w:w="1856" w:type="dxa"/>
          </w:tcPr>
          <w:p w14:paraId="11005016" w14:textId="77777777" w:rsidR="00E7789A" w:rsidRDefault="00E7789A">
            <w:pPr>
              <w:rPr>
                <w:rFonts w:ascii="Times New Roman" w:hAnsi="Times New Roman"/>
              </w:rPr>
            </w:pPr>
            <w:r w:rsidRPr="003F616C">
              <w:rPr>
                <w:rFonts w:ascii="Times New Roman" w:hAnsi="Times New Roman"/>
                <w:b/>
                <w:u w:val="single"/>
              </w:rPr>
              <w:t>Recordkeeping</w:t>
            </w:r>
            <w:r w:rsidR="00DC4EB5">
              <w:rPr>
                <w:rFonts w:ascii="Times New Roman" w:hAnsi="Times New Roman"/>
                <w:b/>
                <w:u w:val="single"/>
              </w:rPr>
              <w:t>/</w:t>
            </w:r>
            <w:r>
              <w:rPr>
                <w:rFonts w:ascii="Times New Roman" w:hAnsi="Times New Roman"/>
              </w:rPr>
              <w:t xml:space="preserve"> </w:t>
            </w:r>
            <w:r w:rsidR="00DC4EB5" w:rsidRPr="00D3337D">
              <w:rPr>
                <w:rFonts w:ascii="Times New Roman" w:hAnsi="Times New Roman"/>
                <w:b/>
                <w:u w:val="single"/>
              </w:rPr>
              <w:t xml:space="preserve">Third-party </w:t>
            </w:r>
            <w:r w:rsidRPr="00D3337D">
              <w:rPr>
                <w:rFonts w:ascii="Times New Roman" w:hAnsi="Times New Roman"/>
                <w:b/>
                <w:u w:val="single"/>
              </w:rPr>
              <w:t>Disclosure</w:t>
            </w:r>
          </w:p>
        </w:tc>
        <w:tc>
          <w:tcPr>
            <w:tcW w:w="1340" w:type="dxa"/>
          </w:tcPr>
          <w:p w14:paraId="540D0953" w14:textId="026FCD7D" w:rsidR="00E7789A" w:rsidRDefault="00183B59">
            <w:pPr>
              <w:rPr>
                <w:rFonts w:ascii="Times New Roman" w:hAnsi="Times New Roman"/>
              </w:rPr>
            </w:pPr>
            <w:r>
              <w:rPr>
                <w:rFonts w:ascii="Times New Roman" w:hAnsi="Times New Roman"/>
              </w:rPr>
              <w:t>1,244</w:t>
            </w:r>
          </w:p>
        </w:tc>
        <w:tc>
          <w:tcPr>
            <w:tcW w:w="1266" w:type="dxa"/>
          </w:tcPr>
          <w:p w14:paraId="132B8AE0" w14:textId="77777777" w:rsidR="00E7789A" w:rsidRDefault="00E7789A">
            <w:pPr>
              <w:rPr>
                <w:rFonts w:ascii="Times New Roman" w:hAnsi="Times New Roman"/>
              </w:rPr>
            </w:pPr>
            <w:r>
              <w:rPr>
                <w:rFonts w:ascii="Times New Roman" w:hAnsi="Times New Roman"/>
              </w:rPr>
              <w:t>65</w:t>
            </w:r>
          </w:p>
        </w:tc>
        <w:tc>
          <w:tcPr>
            <w:tcW w:w="1230" w:type="dxa"/>
          </w:tcPr>
          <w:p w14:paraId="087B5F10" w14:textId="50C9099B" w:rsidR="00E7789A" w:rsidRDefault="00AF4782">
            <w:pPr>
              <w:rPr>
                <w:rFonts w:ascii="Times New Roman" w:hAnsi="Times New Roman"/>
              </w:rPr>
            </w:pPr>
            <w:r>
              <w:rPr>
                <w:rFonts w:ascii="Times New Roman" w:hAnsi="Times New Roman"/>
              </w:rPr>
              <w:t>80,860</w:t>
            </w:r>
          </w:p>
        </w:tc>
        <w:tc>
          <w:tcPr>
            <w:tcW w:w="1176" w:type="dxa"/>
          </w:tcPr>
          <w:p w14:paraId="7FFA9850" w14:textId="77777777" w:rsidR="00E7789A" w:rsidRDefault="00E7789A">
            <w:pPr>
              <w:rPr>
                <w:rFonts w:ascii="Times New Roman" w:hAnsi="Times New Roman"/>
              </w:rPr>
            </w:pPr>
            <w:r>
              <w:rPr>
                <w:rFonts w:ascii="Times New Roman" w:hAnsi="Times New Roman"/>
              </w:rPr>
              <w:t>.5</w:t>
            </w:r>
          </w:p>
        </w:tc>
        <w:tc>
          <w:tcPr>
            <w:tcW w:w="1176" w:type="dxa"/>
          </w:tcPr>
          <w:p w14:paraId="4BB23B69" w14:textId="162ADF0C" w:rsidR="00E7789A" w:rsidRDefault="00FD6C97">
            <w:pPr>
              <w:rPr>
                <w:rFonts w:ascii="Times New Roman" w:hAnsi="Times New Roman"/>
              </w:rPr>
            </w:pPr>
            <w:r>
              <w:rPr>
                <w:rFonts w:ascii="Times New Roman" w:hAnsi="Times New Roman"/>
              </w:rPr>
              <w:t>40,430</w:t>
            </w:r>
          </w:p>
        </w:tc>
        <w:tc>
          <w:tcPr>
            <w:tcW w:w="1350" w:type="dxa"/>
          </w:tcPr>
          <w:p w14:paraId="0F9DF8D9" w14:textId="77777777" w:rsidR="00E7789A" w:rsidRDefault="00E7789A">
            <w:pPr>
              <w:rPr>
                <w:rFonts w:ascii="Times New Roman" w:hAnsi="Times New Roman"/>
              </w:rPr>
            </w:pPr>
            <w:r>
              <w:rPr>
                <w:rFonts w:ascii="Times New Roman" w:hAnsi="Times New Roman"/>
              </w:rPr>
              <w:t>$3,250</w:t>
            </w:r>
          </w:p>
        </w:tc>
      </w:tr>
      <w:tr w:rsidR="00E7789A" w14:paraId="6CA91E2C" w14:textId="77777777">
        <w:trPr>
          <w:trHeight w:val="341"/>
          <w:jc w:val="center"/>
        </w:trPr>
        <w:tc>
          <w:tcPr>
            <w:tcW w:w="1856" w:type="dxa"/>
          </w:tcPr>
          <w:p w14:paraId="1E098073" w14:textId="77777777" w:rsidR="00E7789A" w:rsidRDefault="00E7789A">
            <w:pPr>
              <w:rPr>
                <w:rFonts w:ascii="Times New Roman" w:hAnsi="Times New Roman"/>
              </w:rPr>
            </w:pPr>
          </w:p>
        </w:tc>
        <w:tc>
          <w:tcPr>
            <w:tcW w:w="1340" w:type="dxa"/>
          </w:tcPr>
          <w:p w14:paraId="6D9173AC" w14:textId="77777777" w:rsidR="00E7789A" w:rsidRDefault="00E7789A">
            <w:pPr>
              <w:rPr>
                <w:rFonts w:ascii="Times New Roman" w:hAnsi="Times New Roman"/>
              </w:rPr>
            </w:pPr>
          </w:p>
        </w:tc>
        <w:tc>
          <w:tcPr>
            <w:tcW w:w="1266" w:type="dxa"/>
          </w:tcPr>
          <w:p w14:paraId="000F7AA9" w14:textId="77777777" w:rsidR="00E7789A" w:rsidRDefault="00E7789A">
            <w:pPr>
              <w:rPr>
                <w:rFonts w:ascii="Times New Roman" w:hAnsi="Times New Roman"/>
              </w:rPr>
            </w:pPr>
          </w:p>
        </w:tc>
        <w:tc>
          <w:tcPr>
            <w:tcW w:w="1230" w:type="dxa"/>
          </w:tcPr>
          <w:p w14:paraId="6CE14B88" w14:textId="77777777" w:rsidR="00E7789A" w:rsidRDefault="00E7789A">
            <w:pPr>
              <w:rPr>
                <w:rFonts w:ascii="Times New Roman" w:hAnsi="Times New Roman"/>
              </w:rPr>
            </w:pPr>
          </w:p>
        </w:tc>
        <w:tc>
          <w:tcPr>
            <w:tcW w:w="1176" w:type="dxa"/>
          </w:tcPr>
          <w:p w14:paraId="1A1B8BB5" w14:textId="77777777" w:rsidR="00E7789A" w:rsidRDefault="00E7789A">
            <w:pPr>
              <w:rPr>
                <w:rFonts w:ascii="Times New Roman" w:hAnsi="Times New Roman"/>
              </w:rPr>
            </w:pPr>
          </w:p>
        </w:tc>
        <w:tc>
          <w:tcPr>
            <w:tcW w:w="1176" w:type="dxa"/>
          </w:tcPr>
          <w:p w14:paraId="2DCB6410" w14:textId="77777777" w:rsidR="00E7789A" w:rsidRDefault="00E7789A">
            <w:pPr>
              <w:rPr>
                <w:rFonts w:ascii="Times New Roman" w:hAnsi="Times New Roman"/>
              </w:rPr>
            </w:pPr>
          </w:p>
        </w:tc>
        <w:tc>
          <w:tcPr>
            <w:tcW w:w="1350" w:type="dxa"/>
          </w:tcPr>
          <w:p w14:paraId="6ECA9453" w14:textId="77777777" w:rsidR="00E7789A" w:rsidRDefault="00E7789A">
            <w:pPr>
              <w:rPr>
                <w:rFonts w:ascii="Times New Roman" w:hAnsi="Times New Roman"/>
              </w:rPr>
            </w:pPr>
          </w:p>
        </w:tc>
      </w:tr>
      <w:tr w:rsidR="00E7789A" w14:paraId="5BFF3293" w14:textId="77777777">
        <w:trPr>
          <w:jc w:val="center"/>
        </w:trPr>
        <w:tc>
          <w:tcPr>
            <w:tcW w:w="1856" w:type="dxa"/>
          </w:tcPr>
          <w:p w14:paraId="2EF77F16" w14:textId="77777777" w:rsidR="00E7789A" w:rsidRDefault="00E7789A">
            <w:pPr>
              <w:rPr>
                <w:rFonts w:ascii="Times New Roman" w:hAnsi="Times New Roman"/>
              </w:rPr>
            </w:pPr>
            <w:r>
              <w:rPr>
                <w:rFonts w:ascii="Times New Roman" w:hAnsi="Times New Roman"/>
              </w:rPr>
              <w:t>Total</w:t>
            </w:r>
          </w:p>
        </w:tc>
        <w:tc>
          <w:tcPr>
            <w:tcW w:w="1340" w:type="dxa"/>
          </w:tcPr>
          <w:p w14:paraId="67D347A1" w14:textId="77777777" w:rsidR="00E7789A" w:rsidRDefault="00E7789A">
            <w:pPr>
              <w:rPr>
                <w:rFonts w:ascii="Times New Roman" w:hAnsi="Times New Roman"/>
              </w:rPr>
            </w:pPr>
          </w:p>
        </w:tc>
        <w:tc>
          <w:tcPr>
            <w:tcW w:w="1266" w:type="dxa"/>
          </w:tcPr>
          <w:p w14:paraId="2F6FE71F" w14:textId="77777777" w:rsidR="00E7789A" w:rsidRDefault="00E7789A">
            <w:pPr>
              <w:rPr>
                <w:rFonts w:ascii="Times New Roman" w:hAnsi="Times New Roman"/>
              </w:rPr>
            </w:pPr>
          </w:p>
        </w:tc>
        <w:tc>
          <w:tcPr>
            <w:tcW w:w="1230" w:type="dxa"/>
          </w:tcPr>
          <w:p w14:paraId="73025EDC" w14:textId="77777777" w:rsidR="00E7789A" w:rsidRDefault="00E7789A">
            <w:pPr>
              <w:rPr>
                <w:rFonts w:ascii="Times New Roman" w:hAnsi="Times New Roman"/>
              </w:rPr>
            </w:pPr>
          </w:p>
        </w:tc>
        <w:tc>
          <w:tcPr>
            <w:tcW w:w="1176" w:type="dxa"/>
          </w:tcPr>
          <w:p w14:paraId="3CFE0C84" w14:textId="77777777" w:rsidR="00E7789A" w:rsidRDefault="00E7789A">
            <w:pPr>
              <w:rPr>
                <w:rFonts w:ascii="Times New Roman" w:hAnsi="Times New Roman"/>
              </w:rPr>
            </w:pPr>
          </w:p>
        </w:tc>
        <w:tc>
          <w:tcPr>
            <w:tcW w:w="1176" w:type="dxa"/>
          </w:tcPr>
          <w:p w14:paraId="793301AF" w14:textId="05BB9067" w:rsidR="00E7789A" w:rsidRDefault="00FD6C97">
            <w:pPr>
              <w:rPr>
                <w:rFonts w:ascii="Times New Roman" w:hAnsi="Times New Roman"/>
              </w:rPr>
            </w:pPr>
            <w:r>
              <w:rPr>
                <w:rFonts w:ascii="Times New Roman" w:hAnsi="Times New Roman"/>
                <w:szCs w:val="20"/>
              </w:rPr>
              <w:t>55,358</w:t>
            </w:r>
          </w:p>
        </w:tc>
        <w:tc>
          <w:tcPr>
            <w:tcW w:w="1350" w:type="dxa"/>
          </w:tcPr>
          <w:p w14:paraId="34D49FB2" w14:textId="77777777" w:rsidR="00E7789A" w:rsidRDefault="00E7789A">
            <w:pPr>
              <w:rPr>
                <w:rFonts w:ascii="Times New Roman" w:hAnsi="Times New Roman"/>
              </w:rPr>
            </w:pPr>
            <w:r>
              <w:rPr>
                <w:rFonts w:ascii="Times New Roman" w:hAnsi="Times New Roman"/>
              </w:rPr>
              <w:t>$4,450</w:t>
            </w:r>
          </w:p>
        </w:tc>
      </w:tr>
    </w:tbl>
    <w:p w14:paraId="6844131B"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14:paraId="169DED9E" w14:textId="77777777" w:rsidR="00E7789A" w:rsidRDefault="00E7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p w14:paraId="43B19513" w14:textId="77777777" w:rsidR="00E7789A" w:rsidRDefault="00E7789A">
      <w:pPr>
        <w:jc w:val="both"/>
        <w:rPr>
          <w:rFonts w:ascii="Times New Roman" w:hAnsi="Times New Roman"/>
        </w:rPr>
      </w:pPr>
    </w:p>
    <w:sectPr w:rsidR="00E7789A" w:rsidSect="002A1E7F">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819D7" w14:textId="77777777" w:rsidR="00284D9C" w:rsidRDefault="00284D9C">
      <w:r>
        <w:separator/>
      </w:r>
    </w:p>
  </w:endnote>
  <w:endnote w:type="continuationSeparator" w:id="0">
    <w:p w14:paraId="527A18A7" w14:textId="77777777" w:rsidR="00284D9C" w:rsidRDefault="00284D9C">
      <w:r>
        <w:continuationSeparator/>
      </w:r>
    </w:p>
  </w:endnote>
  <w:endnote w:type="continuationNotice" w:id="1">
    <w:p w14:paraId="2CCC2078" w14:textId="77777777" w:rsidR="00284D9C" w:rsidRDefault="00284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712776"/>
      <w:docPartObj>
        <w:docPartGallery w:val="Page Numbers (Bottom of Page)"/>
        <w:docPartUnique/>
      </w:docPartObj>
    </w:sdtPr>
    <w:sdtEndPr>
      <w:rPr>
        <w:rFonts w:ascii="Times New Roman" w:hAnsi="Times New Roman"/>
        <w:noProof/>
      </w:rPr>
    </w:sdtEndPr>
    <w:sdtContent>
      <w:p w14:paraId="287B14C2" w14:textId="432D1755" w:rsidR="002A1E7F" w:rsidRPr="002A1E7F" w:rsidRDefault="002A1E7F">
        <w:pPr>
          <w:pStyle w:val="Footer"/>
          <w:jc w:val="center"/>
          <w:rPr>
            <w:rFonts w:ascii="Times New Roman" w:hAnsi="Times New Roman"/>
          </w:rPr>
        </w:pPr>
        <w:r w:rsidRPr="002A1E7F">
          <w:rPr>
            <w:rFonts w:ascii="Times New Roman" w:hAnsi="Times New Roman"/>
          </w:rPr>
          <w:fldChar w:fldCharType="begin"/>
        </w:r>
        <w:r w:rsidRPr="002A1E7F">
          <w:rPr>
            <w:rFonts w:ascii="Times New Roman" w:hAnsi="Times New Roman"/>
          </w:rPr>
          <w:instrText xml:space="preserve"> PAGE   \* MERGEFORMAT </w:instrText>
        </w:r>
        <w:r w:rsidRPr="002A1E7F">
          <w:rPr>
            <w:rFonts w:ascii="Times New Roman" w:hAnsi="Times New Roman"/>
          </w:rPr>
          <w:fldChar w:fldCharType="separate"/>
        </w:r>
        <w:r w:rsidR="00C80C4C">
          <w:rPr>
            <w:rFonts w:ascii="Times New Roman" w:hAnsi="Times New Roman"/>
            <w:noProof/>
          </w:rPr>
          <w:t>9</w:t>
        </w:r>
        <w:r w:rsidRPr="002A1E7F">
          <w:rPr>
            <w:rFonts w:ascii="Times New Roman" w:hAnsi="Times New Roman"/>
            <w:noProof/>
          </w:rPr>
          <w:fldChar w:fldCharType="end"/>
        </w:r>
      </w:p>
    </w:sdtContent>
  </w:sdt>
  <w:p w14:paraId="4A1742E9" w14:textId="77777777" w:rsidR="00775DE7" w:rsidRPr="00833008" w:rsidRDefault="00775DE7" w:rsidP="00833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F390B" w14:textId="77777777" w:rsidR="00284D9C" w:rsidRDefault="00284D9C">
      <w:r>
        <w:separator/>
      </w:r>
    </w:p>
  </w:footnote>
  <w:footnote w:type="continuationSeparator" w:id="0">
    <w:p w14:paraId="73E6EDC0" w14:textId="77777777" w:rsidR="00284D9C" w:rsidRDefault="00284D9C">
      <w:r>
        <w:continuationSeparator/>
      </w:r>
    </w:p>
  </w:footnote>
  <w:footnote w:type="continuationNotice" w:id="1">
    <w:p w14:paraId="1E74F706" w14:textId="77777777" w:rsidR="00284D9C" w:rsidRDefault="00284D9C"/>
  </w:footnote>
  <w:footnote w:id="2">
    <w:p w14:paraId="63D133AA" w14:textId="5B9F8DD4" w:rsidR="00AB12D2" w:rsidRDefault="00AB12D2">
      <w:pPr>
        <w:pStyle w:val="FootnoteText"/>
      </w:pPr>
      <w:r>
        <w:rPr>
          <w:rStyle w:val="FootnoteReference"/>
        </w:rPr>
        <w:footnoteRef/>
      </w:r>
      <w:r>
        <w:t xml:space="preserve"> This is a reduction from the Commission’s previous estimate of 1,362</w:t>
      </w:r>
      <w:r w:rsidR="00C05367">
        <w:t xml:space="preserve"> total respondents</w:t>
      </w:r>
      <w:r>
        <w:t>.</w:t>
      </w:r>
    </w:p>
  </w:footnote>
  <w:footnote w:id="3">
    <w:p w14:paraId="5E535184" w14:textId="125A9356" w:rsidR="0086653F" w:rsidRDefault="0086653F" w:rsidP="0086653F">
      <w:pPr>
        <w:pStyle w:val="FootnoteText"/>
      </w:pPr>
      <w:r>
        <w:rPr>
          <w:rStyle w:val="FootnoteReference"/>
        </w:rPr>
        <w:footnoteRef/>
      </w:r>
      <w:r>
        <w:t xml:space="preserve"> </w:t>
      </w:r>
      <w:r w:rsidRPr="001238D6">
        <w:rPr>
          <w:i/>
        </w:rPr>
        <w:t>See</w:t>
      </w:r>
      <w:r w:rsidRPr="001238D6">
        <w:t xml:space="preserve"> </w:t>
      </w:r>
      <w:hyperlink r:id="rId1" w:history="1">
        <w:r w:rsidR="00316155" w:rsidRPr="001238D6">
          <w:rPr>
            <w:rStyle w:val="Hyperlink"/>
            <w:iCs/>
          </w:rPr>
          <w:t>http://www.bls.gov/oes/current/oes_nat.htm</w:t>
        </w:r>
      </w:hyperlink>
      <w:r w:rsidRPr="001238D6">
        <w:rPr>
          <w:iCs/>
        </w:rPr>
        <w:t>.</w:t>
      </w:r>
      <w:r w:rsidR="00316155">
        <w:rPr>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22F5E" w14:textId="4B82515B" w:rsidR="00654B1E" w:rsidRDefault="00654B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C30"/>
    <w:rsid w:val="00082105"/>
    <w:rsid w:val="000C1000"/>
    <w:rsid w:val="000D06B7"/>
    <w:rsid w:val="00107563"/>
    <w:rsid w:val="001238D6"/>
    <w:rsid w:val="001768E6"/>
    <w:rsid w:val="00183B59"/>
    <w:rsid w:val="001843EA"/>
    <w:rsid w:val="00186491"/>
    <w:rsid w:val="001A566B"/>
    <w:rsid w:val="001D3B33"/>
    <w:rsid w:val="001F2541"/>
    <w:rsid w:val="00202E19"/>
    <w:rsid w:val="00284D9C"/>
    <w:rsid w:val="002A1E7F"/>
    <w:rsid w:val="00304639"/>
    <w:rsid w:val="003056C2"/>
    <w:rsid w:val="00312424"/>
    <w:rsid w:val="00316155"/>
    <w:rsid w:val="003226FD"/>
    <w:rsid w:val="003608BF"/>
    <w:rsid w:val="003623A4"/>
    <w:rsid w:val="003C4CCE"/>
    <w:rsid w:val="003E3F5F"/>
    <w:rsid w:val="003F616C"/>
    <w:rsid w:val="00401E4C"/>
    <w:rsid w:val="0044775A"/>
    <w:rsid w:val="0046714C"/>
    <w:rsid w:val="00487593"/>
    <w:rsid w:val="004A14AD"/>
    <w:rsid w:val="004F7EB7"/>
    <w:rsid w:val="005036F2"/>
    <w:rsid w:val="005717C9"/>
    <w:rsid w:val="00584F35"/>
    <w:rsid w:val="006013C6"/>
    <w:rsid w:val="00654B1E"/>
    <w:rsid w:val="00662408"/>
    <w:rsid w:val="0066573A"/>
    <w:rsid w:val="00671426"/>
    <w:rsid w:val="006871BC"/>
    <w:rsid w:val="006B3837"/>
    <w:rsid w:val="00707074"/>
    <w:rsid w:val="007412D4"/>
    <w:rsid w:val="00764F16"/>
    <w:rsid w:val="00775DE7"/>
    <w:rsid w:val="00776B11"/>
    <w:rsid w:val="007B6699"/>
    <w:rsid w:val="007C122E"/>
    <w:rsid w:val="007E2FB5"/>
    <w:rsid w:val="007E6051"/>
    <w:rsid w:val="007F2C41"/>
    <w:rsid w:val="00805E50"/>
    <w:rsid w:val="008136BF"/>
    <w:rsid w:val="00833008"/>
    <w:rsid w:val="0086653F"/>
    <w:rsid w:val="00881536"/>
    <w:rsid w:val="008A011C"/>
    <w:rsid w:val="008B0B23"/>
    <w:rsid w:val="008D18D8"/>
    <w:rsid w:val="008D7696"/>
    <w:rsid w:val="008F3E2C"/>
    <w:rsid w:val="00987907"/>
    <w:rsid w:val="0099479F"/>
    <w:rsid w:val="009A4A4D"/>
    <w:rsid w:val="009B2F59"/>
    <w:rsid w:val="009C1120"/>
    <w:rsid w:val="009E11E1"/>
    <w:rsid w:val="00A277AC"/>
    <w:rsid w:val="00A375E6"/>
    <w:rsid w:val="00A531F3"/>
    <w:rsid w:val="00A84C30"/>
    <w:rsid w:val="00AB12D2"/>
    <w:rsid w:val="00AC4D2C"/>
    <w:rsid w:val="00AF2155"/>
    <w:rsid w:val="00AF4782"/>
    <w:rsid w:val="00AF4CBA"/>
    <w:rsid w:val="00B4774B"/>
    <w:rsid w:val="00B82E68"/>
    <w:rsid w:val="00BB274B"/>
    <w:rsid w:val="00BC4404"/>
    <w:rsid w:val="00C05367"/>
    <w:rsid w:val="00C10CCC"/>
    <w:rsid w:val="00C37870"/>
    <w:rsid w:val="00C80C4C"/>
    <w:rsid w:val="00C8425A"/>
    <w:rsid w:val="00C970B7"/>
    <w:rsid w:val="00CB418D"/>
    <w:rsid w:val="00CC2366"/>
    <w:rsid w:val="00CD110A"/>
    <w:rsid w:val="00CD4796"/>
    <w:rsid w:val="00CF0836"/>
    <w:rsid w:val="00D045EF"/>
    <w:rsid w:val="00D07862"/>
    <w:rsid w:val="00D24F3C"/>
    <w:rsid w:val="00D3337D"/>
    <w:rsid w:val="00D65EF2"/>
    <w:rsid w:val="00DC4EB5"/>
    <w:rsid w:val="00E14AB5"/>
    <w:rsid w:val="00E22BA0"/>
    <w:rsid w:val="00E36933"/>
    <w:rsid w:val="00E7789A"/>
    <w:rsid w:val="00E82995"/>
    <w:rsid w:val="00ED7DC7"/>
    <w:rsid w:val="00F00BC4"/>
    <w:rsid w:val="00F11D76"/>
    <w:rsid w:val="00F5543C"/>
    <w:rsid w:val="00F71B58"/>
    <w:rsid w:val="00F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uiPriority w:val="99"/>
    <w:unhideWhenUsed/>
    <w:rsid w:val="008815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uiPriority w:val="99"/>
    <w:unhideWhenUsed/>
    <w:rsid w:val="00881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48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63A7-B29E-47D7-B473-05C14DE0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2012-02-21T22:14:00Z</cp:lastPrinted>
  <dcterms:created xsi:type="dcterms:W3CDTF">2019-07-01T15:57:00Z</dcterms:created>
  <dcterms:modified xsi:type="dcterms:W3CDTF">2019-07-01T15:57:00Z</dcterms:modified>
</cp:coreProperties>
</file>