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B5E3" w14:textId="77777777" w:rsidR="007936F2" w:rsidRDefault="007936F2" w:rsidP="007936F2">
      <w:pPr>
        <w:pStyle w:val="Heading1"/>
        <w:spacing w:after="280"/>
        <w:ind w:left="547" w:hanging="547"/>
      </w:pPr>
      <w:bookmarkStart w:id="0" w:name="_Toc475701067"/>
      <w:bookmarkStart w:id="1" w:name="_GoBack"/>
      <w:bookmarkEnd w:id="1"/>
      <w:r w:rsidRPr="00B64C19">
        <w:t>B.</w:t>
      </w:r>
      <w:r>
        <w:tab/>
      </w:r>
      <w:r w:rsidRPr="00B64C19">
        <w:t>COLLECTION OF INFORMATION EMPLOYING STATISTICAL METHODS</w:t>
      </w:r>
    </w:p>
    <w:p w14:paraId="291243DD" w14:textId="2F55A6B8" w:rsidR="007936F2" w:rsidRDefault="007936F2" w:rsidP="0093786D">
      <w:pPr>
        <w:pStyle w:val="Heading2"/>
        <w:spacing w:before="280" w:after="280"/>
        <w:ind w:left="547" w:hanging="547"/>
        <w:rPr>
          <w:sz w:val="22"/>
          <w:szCs w:val="22"/>
        </w:rPr>
      </w:pPr>
      <w:r w:rsidRPr="00B23A4D">
        <w:rPr>
          <w:i w:val="0"/>
        </w:rPr>
        <w:t>1.</w:t>
      </w:r>
      <w:r w:rsidRPr="00B23A4D">
        <w:rPr>
          <w:i w:val="0"/>
        </w:rPr>
        <w:tab/>
      </w:r>
      <w:r>
        <w:rPr>
          <w:i w:val="0"/>
        </w:rPr>
        <w:t>RESPONDENT UNIVERSE AND SAMPLING METHODS</w:t>
      </w:r>
    </w:p>
    <w:p w14:paraId="3CC23BC1" w14:textId="799ED491" w:rsidR="007936F2" w:rsidRDefault="007936F2" w:rsidP="007936F2">
      <w:pPr>
        <w:pStyle w:val="BodyText"/>
        <w:rPr>
          <w:sz w:val="22"/>
          <w:szCs w:val="22"/>
        </w:rPr>
      </w:pPr>
      <w:r>
        <w:rPr>
          <w:sz w:val="22"/>
          <w:szCs w:val="22"/>
        </w:rPr>
        <w:t>T</w:t>
      </w:r>
      <w:r w:rsidRPr="00402D33">
        <w:rPr>
          <w:sz w:val="22"/>
          <w:szCs w:val="22"/>
        </w:rPr>
        <w:t xml:space="preserve">he 2019 SDR </w:t>
      </w:r>
      <w:r>
        <w:rPr>
          <w:sz w:val="22"/>
          <w:szCs w:val="22"/>
        </w:rPr>
        <w:t xml:space="preserve">sample size is set at 120,000 cases including 95,436 returning sample cases from the last survey cycle, 10,000 new cohort cases who are recent doctorate recipients from academic years 2016 and 2017, and a supplemental sample of </w:t>
      </w:r>
      <w:r w:rsidR="008E31F6">
        <w:rPr>
          <w:sz w:val="22"/>
          <w:szCs w:val="22"/>
        </w:rPr>
        <w:t>1</w:t>
      </w:r>
      <w:r>
        <w:rPr>
          <w:sz w:val="22"/>
          <w:szCs w:val="22"/>
        </w:rPr>
        <w:t>4,564 drawn from the 2015 SDR sampling frame to supplement the portion of the returning sample representing the 2015 SDR target population.</w:t>
      </w:r>
    </w:p>
    <w:p w14:paraId="5D4DA673" w14:textId="06F779A6" w:rsidR="004737F5" w:rsidRDefault="004737F5" w:rsidP="007936F2">
      <w:pPr>
        <w:pStyle w:val="BodyText"/>
        <w:rPr>
          <w:sz w:val="22"/>
          <w:szCs w:val="22"/>
        </w:rPr>
      </w:pPr>
    </w:p>
    <w:p w14:paraId="001DABAA" w14:textId="7219C078" w:rsidR="00655643" w:rsidRPr="00C12F60" w:rsidRDefault="00655643" w:rsidP="00C12F60">
      <w:pPr>
        <w:pStyle w:val="BodyText"/>
        <w:rPr>
          <w:sz w:val="22"/>
          <w:szCs w:val="22"/>
        </w:rPr>
      </w:pPr>
      <w:r>
        <w:rPr>
          <w:sz w:val="22"/>
          <w:szCs w:val="22"/>
        </w:rPr>
        <w:t>A</w:t>
      </w:r>
      <w:r w:rsidR="00FA6583">
        <w:rPr>
          <w:sz w:val="22"/>
          <w:szCs w:val="22"/>
        </w:rPr>
        <w:t xml:space="preserve">pproximately 40,000 </w:t>
      </w:r>
      <w:r w:rsidR="00FA6583" w:rsidRPr="00C12F60">
        <w:rPr>
          <w:sz w:val="22"/>
          <w:szCs w:val="22"/>
        </w:rPr>
        <w:t xml:space="preserve">of </w:t>
      </w:r>
      <w:r w:rsidR="00FA6583">
        <w:rPr>
          <w:sz w:val="22"/>
          <w:szCs w:val="22"/>
        </w:rPr>
        <w:t xml:space="preserve">the </w:t>
      </w:r>
      <w:r>
        <w:rPr>
          <w:sz w:val="22"/>
          <w:szCs w:val="22"/>
        </w:rPr>
        <w:t xml:space="preserve">2019 SDR sample </w:t>
      </w:r>
      <w:r w:rsidR="00FA6583">
        <w:rPr>
          <w:sz w:val="22"/>
          <w:szCs w:val="22"/>
        </w:rPr>
        <w:t xml:space="preserve">who participated in </w:t>
      </w:r>
      <w:r w:rsidR="00D876D4">
        <w:rPr>
          <w:sz w:val="22"/>
          <w:szCs w:val="22"/>
        </w:rPr>
        <w:t xml:space="preserve">the </w:t>
      </w:r>
      <w:r>
        <w:rPr>
          <w:sz w:val="22"/>
          <w:szCs w:val="22"/>
        </w:rPr>
        <w:t>2015</w:t>
      </w:r>
      <w:r w:rsidR="00D876D4">
        <w:rPr>
          <w:sz w:val="22"/>
          <w:szCs w:val="22"/>
        </w:rPr>
        <w:t xml:space="preserve"> SDR</w:t>
      </w:r>
      <w:r>
        <w:rPr>
          <w:sz w:val="22"/>
          <w:szCs w:val="22"/>
        </w:rPr>
        <w:t xml:space="preserve"> </w:t>
      </w:r>
      <w:r w:rsidR="00FA6583">
        <w:rPr>
          <w:sz w:val="22"/>
          <w:szCs w:val="22"/>
        </w:rPr>
        <w:t>w</w:t>
      </w:r>
      <w:r w:rsidR="00FA6583" w:rsidRPr="00C12F60">
        <w:rPr>
          <w:sz w:val="22"/>
          <w:szCs w:val="22"/>
        </w:rPr>
        <w:t>ill be the basis for establishing a longitudinal panel representing the 2015 SDR target population</w:t>
      </w:r>
      <w:r w:rsidR="00FA6583">
        <w:rPr>
          <w:sz w:val="22"/>
          <w:szCs w:val="22"/>
        </w:rPr>
        <w:t xml:space="preserve"> moving forward into the 2021 SDR cycle of data collection</w:t>
      </w:r>
      <w:r w:rsidR="00FA6583" w:rsidRPr="00C12F60">
        <w:rPr>
          <w:sz w:val="22"/>
          <w:szCs w:val="22"/>
        </w:rPr>
        <w:t xml:space="preserve">. This panel will be weighted and maintained through the </w:t>
      </w:r>
      <w:r w:rsidR="00FA6583">
        <w:rPr>
          <w:sz w:val="22"/>
          <w:szCs w:val="22"/>
        </w:rPr>
        <w:t>2</w:t>
      </w:r>
      <w:r w:rsidR="00FA6583" w:rsidRPr="00C12F60">
        <w:rPr>
          <w:sz w:val="22"/>
          <w:szCs w:val="22"/>
        </w:rPr>
        <w:t xml:space="preserve">025 cycle </w:t>
      </w:r>
      <w:r w:rsidR="00FA6583">
        <w:rPr>
          <w:sz w:val="22"/>
          <w:szCs w:val="22"/>
        </w:rPr>
        <w:t xml:space="preserve">of the SDR </w:t>
      </w:r>
      <w:r w:rsidR="00FA6583" w:rsidRPr="00C12F60">
        <w:rPr>
          <w:sz w:val="22"/>
          <w:szCs w:val="22"/>
        </w:rPr>
        <w:t xml:space="preserve">to provide longitudinal data for the </w:t>
      </w:r>
      <w:r w:rsidR="00FA6583">
        <w:rPr>
          <w:sz w:val="22"/>
          <w:szCs w:val="22"/>
        </w:rPr>
        <w:t xml:space="preserve">10-year time period </w:t>
      </w:r>
      <w:r w:rsidR="00FA6583" w:rsidRPr="00C12F60">
        <w:rPr>
          <w:sz w:val="22"/>
          <w:szCs w:val="22"/>
        </w:rPr>
        <w:t>2015-2025.</w:t>
      </w:r>
      <w:r w:rsidR="00FA6583">
        <w:rPr>
          <w:sz w:val="22"/>
          <w:szCs w:val="22"/>
        </w:rPr>
        <w:t xml:space="preserve"> (See </w:t>
      </w:r>
      <w:r w:rsidR="00D876D4">
        <w:rPr>
          <w:sz w:val="22"/>
          <w:szCs w:val="22"/>
        </w:rPr>
        <w:t xml:space="preserve">“Consultation Outside the Agency” within </w:t>
      </w:r>
      <w:r w:rsidR="00FA6583">
        <w:rPr>
          <w:sz w:val="22"/>
          <w:szCs w:val="22"/>
        </w:rPr>
        <w:t>Section A.8</w:t>
      </w:r>
      <w:r w:rsidR="00D876D4">
        <w:rPr>
          <w:sz w:val="22"/>
          <w:szCs w:val="22"/>
        </w:rPr>
        <w:t xml:space="preserve"> </w:t>
      </w:r>
      <w:r w:rsidR="00FA6583">
        <w:rPr>
          <w:sz w:val="22"/>
          <w:szCs w:val="22"/>
        </w:rPr>
        <w:t xml:space="preserve">for background information on the development of </w:t>
      </w:r>
      <w:r w:rsidR="00D876D4">
        <w:rPr>
          <w:sz w:val="22"/>
          <w:szCs w:val="22"/>
        </w:rPr>
        <w:t>an SDR sample design that supports longitudinal analysis</w:t>
      </w:r>
      <w:r w:rsidR="003F0B49">
        <w:rPr>
          <w:sz w:val="22"/>
          <w:szCs w:val="22"/>
        </w:rPr>
        <w:t>, and Appendix G for summary reports</w:t>
      </w:r>
      <w:r w:rsidR="00D876D4">
        <w:rPr>
          <w:sz w:val="22"/>
          <w:szCs w:val="22"/>
        </w:rPr>
        <w:t>).</w:t>
      </w:r>
    </w:p>
    <w:p w14:paraId="783EDA84" w14:textId="77777777" w:rsidR="00C12F60" w:rsidRPr="00C12F60" w:rsidRDefault="00C12F60" w:rsidP="00C12F60">
      <w:pPr>
        <w:pStyle w:val="BodyText"/>
        <w:rPr>
          <w:sz w:val="22"/>
          <w:szCs w:val="22"/>
        </w:rPr>
      </w:pPr>
    </w:p>
    <w:p w14:paraId="4D956039" w14:textId="77777777" w:rsidR="007936F2" w:rsidRDefault="007936F2" w:rsidP="007936F2">
      <w:pPr>
        <w:pStyle w:val="BodyText"/>
        <w:spacing w:after="120"/>
        <w:rPr>
          <w:b/>
          <w:szCs w:val="24"/>
        </w:rPr>
      </w:pPr>
      <w:r w:rsidRPr="00420C59">
        <w:rPr>
          <w:b/>
          <w:szCs w:val="24"/>
        </w:rPr>
        <w:t xml:space="preserve">1.1 </w:t>
      </w:r>
      <w:r w:rsidRPr="00B23A4D">
        <w:rPr>
          <w:b/>
          <w:szCs w:val="24"/>
        </w:rPr>
        <w:t>Frame</w:t>
      </w:r>
    </w:p>
    <w:p w14:paraId="76995AE0" w14:textId="60F9AA90" w:rsidR="007936F2" w:rsidRPr="001863B8" w:rsidRDefault="007936F2" w:rsidP="007936F2">
      <w:pPr>
        <w:rPr>
          <w:color w:val="000000"/>
          <w:sz w:val="22"/>
          <w:szCs w:val="22"/>
        </w:rPr>
      </w:pPr>
      <w:r w:rsidRPr="0051614F">
        <w:rPr>
          <w:color w:val="000000"/>
          <w:sz w:val="22"/>
          <w:szCs w:val="22"/>
        </w:rPr>
        <w:t>T</w:t>
      </w:r>
      <w:r>
        <w:rPr>
          <w:color w:val="000000"/>
          <w:sz w:val="22"/>
          <w:szCs w:val="22"/>
        </w:rPr>
        <w:t>he primary sampling frame source for the SDR is the Doctorate Records File (DRF).</w:t>
      </w:r>
      <w:r w:rsidRPr="00DF6D09">
        <w:rPr>
          <w:color w:val="000000"/>
          <w:sz w:val="22"/>
          <w:szCs w:val="22"/>
        </w:rPr>
        <w:t xml:space="preserve"> </w:t>
      </w:r>
      <w:r w:rsidRPr="001863B8">
        <w:rPr>
          <w:color w:val="000000"/>
          <w:sz w:val="22"/>
          <w:szCs w:val="22"/>
        </w:rPr>
        <w:t>The DRF is a cumulative</w:t>
      </w:r>
      <w:r>
        <w:rPr>
          <w:color w:val="000000"/>
          <w:sz w:val="22"/>
          <w:szCs w:val="22"/>
        </w:rPr>
        <w:t xml:space="preserve"> file listing</w:t>
      </w:r>
      <w:r w:rsidRPr="001863B8">
        <w:rPr>
          <w:color w:val="000000"/>
          <w:sz w:val="22"/>
          <w:szCs w:val="22"/>
        </w:rPr>
        <w:t xml:space="preserve"> research doctorates awarded from U.S. institutions since 1920. It is annually updated with new research doctorate recipients through </w:t>
      </w:r>
      <w:r w:rsidR="004B690A">
        <w:rPr>
          <w:color w:val="000000"/>
          <w:sz w:val="22"/>
          <w:szCs w:val="22"/>
        </w:rPr>
        <w:t xml:space="preserve">NCSES’s Survey of Earned </w:t>
      </w:r>
      <w:r w:rsidR="008C304E">
        <w:rPr>
          <w:color w:val="000000"/>
          <w:sz w:val="22"/>
          <w:szCs w:val="22"/>
        </w:rPr>
        <w:t>Doctorates (</w:t>
      </w:r>
      <w:r w:rsidRPr="001863B8">
        <w:rPr>
          <w:color w:val="000000"/>
          <w:sz w:val="22"/>
          <w:szCs w:val="22"/>
        </w:rPr>
        <w:t>SED</w:t>
      </w:r>
      <w:r w:rsidR="004B690A">
        <w:rPr>
          <w:color w:val="000000"/>
          <w:sz w:val="22"/>
          <w:szCs w:val="22"/>
        </w:rPr>
        <w:t>)</w:t>
      </w:r>
      <w:r w:rsidRPr="001863B8">
        <w:rPr>
          <w:color w:val="000000"/>
          <w:sz w:val="22"/>
          <w:szCs w:val="22"/>
        </w:rPr>
        <w:t>. The 201</w:t>
      </w:r>
      <w:r>
        <w:rPr>
          <w:color w:val="000000"/>
          <w:sz w:val="22"/>
          <w:szCs w:val="22"/>
        </w:rPr>
        <w:t>7</w:t>
      </w:r>
      <w:r w:rsidRPr="001863B8">
        <w:rPr>
          <w:color w:val="000000"/>
          <w:sz w:val="22"/>
          <w:szCs w:val="22"/>
        </w:rPr>
        <w:t xml:space="preserve"> SDR sample selected from the 201</w:t>
      </w:r>
      <w:r>
        <w:rPr>
          <w:color w:val="000000"/>
          <w:sz w:val="22"/>
          <w:szCs w:val="22"/>
        </w:rPr>
        <w:t>5</w:t>
      </w:r>
      <w:r w:rsidRPr="001863B8">
        <w:rPr>
          <w:color w:val="000000"/>
          <w:sz w:val="22"/>
          <w:szCs w:val="22"/>
        </w:rPr>
        <w:t xml:space="preserve"> DRF represented a surviving population of </w:t>
      </w:r>
      <w:r w:rsidR="00FF060B">
        <w:rPr>
          <w:color w:val="000000"/>
          <w:sz w:val="22"/>
          <w:szCs w:val="22"/>
        </w:rPr>
        <w:t>over</w:t>
      </w:r>
      <w:r w:rsidRPr="001863B8">
        <w:rPr>
          <w:color w:val="000000"/>
          <w:sz w:val="22"/>
          <w:szCs w:val="22"/>
        </w:rPr>
        <w:t xml:space="preserve"> </w:t>
      </w:r>
      <w:r>
        <w:rPr>
          <w:color w:val="000000"/>
          <w:sz w:val="22"/>
          <w:szCs w:val="22"/>
        </w:rPr>
        <w:t xml:space="preserve">one </w:t>
      </w:r>
      <w:r w:rsidRPr="001863B8">
        <w:rPr>
          <w:color w:val="000000"/>
          <w:sz w:val="22"/>
          <w:szCs w:val="22"/>
        </w:rPr>
        <w:t>million individuals with SEH doctorates who were less than</w:t>
      </w:r>
      <w:r w:rsidRPr="00DF6D09">
        <w:rPr>
          <w:color w:val="000000"/>
          <w:sz w:val="22"/>
          <w:szCs w:val="22"/>
        </w:rPr>
        <w:t xml:space="preserve"> 76 years of age. The 201</w:t>
      </w:r>
      <w:r>
        <w:rPr>
          <w:color w:val="000000"/>
          <w:sz w:val="22"/>
          <w:szCs w:val="22"/>
        </w:rPr>
        <w:t>9</w:t>
      </w:r>
      <w:r w:rsidRPr="00DF6D09">
        <w:rPr>
          <w:color w:val="000000"/>
          <w:sz w:val="22"/>
          <w:szCs w:val="22"/>
        </w:rPr>
        <w:t xml:space="preserve"> SDR is expected to represent a slightly larger and growing population of </w:t>
      </w:r>
      <w:r w:rsidR="008541DD">
        <w:rPr>
          <w:color w:val="000000"/>
          <w:sz w:val="22"/>
          <w:szCs w:val="22"/>
        </w:rPr>
        <w:t>nearly</w:t>
      </w:r>
      <w:r w:rsidR="00FF060B">
        <w:rPr>
          <w:color w:val="000000"/>
          <w:sz w:val="22"/>
          <w:szCs w:val="22"/>
        </w:rPr>
        <w:t xml:space="preserve"> </w:t>
      </w:r>
      <w:r w:rsidRPr="00DF6D09">
        <w:rPr>
          <w:color w:val="000000"/>
          <w:sz w:val="22"/>
          <w:szCs w:val="22"/>
        </w:rPr>
        <w:t>1.</w:t>
      </w:r>
      <w:r>
        <w:rPr>
          <w:color w:val="000000"/>
          <w:sz w:val="22"/>
          <w:szCs w:val="22"/>
        </w:rPr>
        <w:t>2</w:t>
      </w:r>
      <w:r w:rsidRPr="00DF6D09">
        <w:rPr>
          <w:color w:val="000000"/>
          <w:sz w:val="22"/>
          <w:szCs w:val="22"/>
        </w:rPr>
        <w:t xml:space="preserve"> million </w:t>
      </w:r>
      <w:r>
        <w:rPr>
          <w:color w:val="000000"/>
          <w:sz w:val="22"/>
          <w:szCs w:val="22"/>
        </w:rPr>
        <w:t xml:space="preserve">SEH </w:t>
      </w:r>
      <w:r w:rsidRPr="00DF6D09">
        <w:rPr>
          <w:color w:val="000000"/>
          <w:sz w:val="22"/>
          <w:szCs w:val="22"/>
        </w:rPr>
        <w:t>doctorate</w:t>
      </w:r>
      <w:r>
        <w:rPr>
          <w:color w:val="000000"/>
          <w:sz w:val="22"/>
          <w:szCs w:val="22"/>
        </w:rPr>
        <w:t xml:space="preserve"> holders</w:t>
      </w:r>
      <w:r w:rsidRPr="00DF6D09">
        <w:rPr>
          <w:color w:val="000000"/>
          <w:sz w:val="22"/>
          <w:szCs w:val="22"/>
        </w:rPr>
        <w:t xml:space="preserve"> from the </w:t>
      </w:r>
      <w:r>
        <w:rPr>
          <w:color w:val="000000"/>
          <w:sz w:val="22"/>
          <w:szCs w:val="22"/>
        </w:rPr>
        <w:t xml:space="preserve">2017 </w:t>
      </w:r>
      <w:r w:rsidRPr="00DF6D09">
        <w:rPr>
          <w:color w:val="000000"/>
          <w:sz w:val="22"/>
          <w:szCs w:val="22"/>
        </w:rPr>
        <w:t xml:space="preserve">DRF including over 80,000 from the </w:t>
      </w:r>
      <w:r w:rsidR="008E31F6">
        <w:rPr>
          <w:color w:val="000000"/>
          <w:sz w:val="22"/>
          <w:szCs w:val="22"/>
        </w:rPr>
        <w:t xml:space="preserve">two </w:t>
      </w:r>
      <w:r w:rsidRPr="00DF6D09">
        <w:rPr>
          <w:color w:val="000000"/>
          <w:sz w:val="22"/>
          <w:szCs w:val="22"/>
        </w:rPr>
        <w:t>most recent academic years</w:t>
      </w:r>
      <w:r w:rsidR="008E31F6">
        <w:rPr>
          <w:color w:val="000000"/>
          <w:sz w:val="22"/>
          <w:szCs w:val="22"/>
        </w:rPr>
        <w:t>, 2016 and 2017</w:t>
      </w:r>
      <w:r w:rsidRPr="001863B8">
        <w:rPr>
          <w:color w:val="000000"/>
          <w:sz w:val="22"/>
          <w:szCs w:val="22"/>
        </w:rPr>
        <w:t xml:space="preserve">. </w:t>
      </w:r>
      <w:r w:rsidR="008E31F6">
        <w:rPr>
          <w:color w:val="000000"/>
          <w:sz w:val="22"/>
          <w:szCs w:val="22"/>
        </w:rPr>
        <w:t>In total, t</w:t>
      </w:r>
      <w:r w:rsidRPr="001863B8">
        <w:rPr>
          <w:color w:val="000000"/>
          <w:sz w:val="22"/>
          <w:szCs w:val="22"/>
        </w:rPr>
        <w:t>he 201</w:t>
      </w:r>
      <w:r>
        <w:rPr>
          <w:color w:val="000000"/>
          <w:sz w:val="22"/>
          <w:szCs w:val="22"/>
        </w:rPr>
        <w:t>7</w:t>
      </w:r>
      <w:r w:rsidRPr="001863B8">
        <w:rPr>
          <w:color w:val="000000"/>
          <w:sz w:val="22"/>
          <w:szCs w:val="22"/>
        </w:rPr>
        <w:t xml:space="preserve"> DRF contains </w:t>
      </w:r>
      <w:r w:rsidRPr="001D5E50">
        <w:rPr>
          <w:color w:val="000000"/>
          <w:sz w:val="22"/>
          <w:szCs w:val="22"/>
        </w:rPr>
        <w:t>2,214,261</w:t>
      </w:r>
      <w:r w:rsidRPr="001863B8">
        <w:rPr>
          <w:color w:val="000000"/>
          <w:sz w:val="22"/>
          <w:szCs w:val="22"/>
        </w:rPr>
        <w:t xml:space="preserve"> records</w:t>
      </w:r>
      <w:r w:rsidR="004B690A">
        <w:rPr>
          <w:color w:val="000000"/>
          <w:sz w:val="22"/>
          <w:szCs w:val="22"/>
        </w:rPr>
        <w:t xml:space="preserve"> which includes individuals with research doctorate degrees in a field other than </w:t>
      </w:r>
      <w:r w:rsidR="004B690A" w:rsidRPr="00161918">
        <w:rPr>
          <w:rFonts w:eastAsiaTheme="minorEastAsia"/>
          <w:spacing w:val="-2"/>
          <w:sz w:val="22"/>
          <w:szCs w:val="22"/>
        </w:rPr>
        <w:t>science, engineering or health</w:t>
      </w:r>
      <w:r w:rsidR="004B690A">
        <w:rPr>
          <w:rFonts w:eastAsiaTheme="minorEastAsia"/>
          <w:spacing w:val="-2"/>
          <w:sz w:val="22"/>
          <w:szCs w:val="22"/>
        </w:rPr>
        <w:t xml:space="preserve"> (SEH)</w:t>
      </w:r>
      <w:r w:rsidR="004B690A">
        <w:rPr>
          <w:color w:val="000000"/>
          <w:sz w:val="22"/>
          <w:szCs w:val="22"/>
        </w:rPr>
        <w:t>, individuals who are age ineligible for the SDR, and deceased individuals</w:t>
      </w:r>
      <w:r w:rsidRPr="001863B8">
        <w:rPr>
          <w:color w:val="000000"/>
          <w:sz w:val="22"/>
          <w:szCs w:val="22"/>
        </w:rPr>
        <w:t>.</w:t>
      </w:r>
    </w:p>
    <w:p w14:paraId="744030FE" w14:textId="77777777" w:rsidR="007936F2" w:rsidRPr="00DF6D09" w:rsidRDefault="007936F2" w:rsidP="007936F2">
      <w:pPr>
        <w:rPr>
          <w:color w:val="000000"/>
          <w:sz w:val="22"/>
          <w:szCs w:val="22"/>
        </w:rPr>
      </w:pPr>
    </w:p>
    <w:p w14:paraId="5DA47695" w14:textId="77777777" w:rsidR="007936F2" w:rsidRPr="00161918" w:rsidRDefault="007936F2" w:rsidP="007936F2">
      <w:pPr>
        <w:rPr>
          <w:color w:val="000000"/>
          <w:sz w:val="22"/>
          <w:szCs w:val="22"/>
        </w:rPr>
      </w:pPr>
      <w:r>
        <w:rPr>
          <w:color w:val="000000"/>
          <w:sz w:val="22"/>
          <w:szCs w:val="22"/>
        </w:rPr>
        <w:t>The target population for the</w:t>
      </w:r>
      <w:r w:rsidRPr="00161918">
        <w:rPr>
          <w:color w:val="000000"/>
          <w:sz w:val="22"/>
          <w:szCs w:val="22"/>
        </w:rPr>
        <w:t xml:space="preserve"> 201</w:t>
      </w:r>
      <w:r>
        <w:rPr>
          <w:color w:val="000000"/>
          <w:sz w:val="22"/>
          <w:szCs w:val="22"/>
        </w:rPr>
        <w:t>9</w:t>
      </w:r>
      <w:r w:rsidRPr="00161918">
        <w:rPr>
          <w:color w:val="000000"/>
          <w:sz w:val="22"/>
          <w:szCs w:val="22"/>
        </w:rPr>
        <w:t xml:space="preserve"> SDR </w:t>
      </w:r>
      <w:r>
        <w:rPr>
          <w:color w:val="000000"/>
          <w:sz w:val="22"/>
          <w:szCs w:val="22"/>
        </w:rPr>
        <w:t xml:space="preserve">includes individuals who </w:t>
      </w:r>
      <w:r w:rsidRPr="00161918">
        <w:rPr>
          <w:color w:val="000000"/>
          <w:sz w:val="22"/>
          <w:szCs w:val="22"/>
        </w:rPr>
        <w:t>must:</w:t>
      </w:r>
    </w:p>
    <w:p w14:paraId="09662B24" w14:textId="5297E030" w:rsidR="007936F2" w:rsidRPr="00161918" w:rsidRDefault="007936F2" w:rsidP="007936F2">
      <w:pPr>
        <w:numPr>
          <w:ilvl w:val="0"/>
          <w:numId w:val="3"/>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 xml:space="preserve">Have </w:t>
      </w:r>
      <w:r>
        <w:rPr>
          <w:rFonts w:eastAsiaTheme="minorEastAsia"/>
          <w:spacing w:val="-2"/>
          <w:sz w:val="22"/>
          <w:szCs w:val="22"/>
        </w:rPr>
        <w:t xml:space="preserve">earned </w:t>
      </w:r>
      <w:r w:rsidRPr="00161918">
        <w:rPr>
          <w:rFonts w:eastAsiaTheme="minorEastAsia"/>
          <w:spacing w:val="-2"/>
          <w:sz w:val="22"/>
          <w:szCs w:val="22"/>
        </w:rPr>
        <w:t xml:space="preserve">a research doctoral degree in a </w:t>
      </w:r>
      <w:r w:rsidR="00E20D77">
        <w:rPr>
          <w:rFonts w:eastAsiaTheme="minorEastAsia"/>
          <w:spacing w:val="-2"/>
          <w:sz w:val="22"/>
          <w:szCs w:val="22"/>
        </w:rPr>
        <w:t>SEH</w:t>
      </w:r>
      <w:r w:rsidRPr="00161918">
        <w:rPr>
          <w:rFonts w:eastAsiaTheme="minorEastAsia"/>
          <w:spacing w:val="-2"/>
          <w:sz w:val="22"/>
          <w:szCs w:val="22"/>
        </w:rPr>
        <w:t xml:space="preserve"> field from a U.S. institution, awarded no later than academic year 201</w:t>
      </w:r>
      <w:r>
        <w:rPr>
          <w:rFonts w:eastAsiaTheme="minorEastAsia"/>
          <w:spacing w:val="-2"/>
          <w:sz w:val="22"/>
          <w:szCs w:val="22"/>
        </w:rPr>
        <w:t>7</w:t>
      </w:r>
      <w:r w:rsidRPr="00161918">
        <w:rPr>
          <w:rFonts w:eastAsiaTheme="minorEastAsia"/>
          <w:spacing w:val="-2"/>
          <w:sz w:val="22"/>
          <w:szCs w:val="22"/>
        </w:rPr>
        <w:t>, and</w:t>
      </w:r>
    </w:p>
    <w:p w14:paraId="2F91C4F8" w14:textId="77777777" w:rsidR="007936F2" w:rsidRDefault="007936F2" w:rsidP="007936F2">
      <w:pPr>
        <w:numPr>
          <w:ilvl w:val="0"/>
          <w:numId w:val="3"/>
        </w:numPr>
        <w:tabs>
          <w:tab w:val="clear" w:pos="360"/>
          <w:tab w:val="num" w:pos="720"/>
        </w:tabs>
        <w:spacing w:before="120"/>
        <w:ind w:left="720"/>
        <w:rPr>
          <w:rFonts w:eastAsiaTheme="minorEastAsia"/>
          <w:spacing w:val="-2"/>
          <w:sz w:val="22"/>
          <w:szCs w:val="22"/>
        </w:rPr>
      </w:pPr>
      <w:r w:rsidRPr="00161918">
        <w:rPr>
          <w:rFonts w:eastAsiaTheme="minorEastAsia"/>
          <w:spacing w:val="-2"/>
          <w:sz w:val="22"/>
          <w:szCs w:val="22"/>
        </w:rPr>
        <w:t>Be less than 76 years of age on 1 February 201</w:t>
      </w:r>
      <w:r>
        <w:rPr>
          <w:rFonts w:eastAsiaTheme="minorEastAsia"/>
          <w:spacing w:val="-2"/>
          <w:sz w:val="22"/>
          <w:szCs w:val="22"/>
        </w:rPr>
        <w:t>9</w:t>
      </w:r>
      <w:r w:rsidRPr="00161918">
        <w:rPr>
          <w:rFonts w:eastAsiaTheme="minorEastAsia"/>
          <w:spacing w:val="-2"/>
          <w:sz w:val="22"/>
          <w:szCs w:val="22"/>
        </w:rPr>
        <w:t xml:space="preserve"> based on their date of birth</w:t>
      </w:r>
      <w:r>
        <w:rPr>
          <w:rFonts w:eastAsiaTheme="minorEastAsia"/>
          <w:spacing w:val="-2"/>
          <w:sz w:val="22"/>
          <w:szCs w:val="22"/>
        </w:rPr>
        <w:t>, and</w:t>
      </w:r>
    </w:p>
    <w:p w14:paraId="063E1D1D" w14:textId="1F6081FD" w:rsidR="007936F2" w:rsidRPr="00161918" w:rsidRDefault="008E31F6" w:rsidP="007936F2">
      <w:pPr>
        <w:numPr>
          <w:ilvl w:val="0"/>
          <w:numId w:val="3"/>
        </w:numPr>
        <w:tabs>
          <w:tab w:val="clear" w:pos="360"/>
          <w:tab w:val="num" w:pos="720"/>
        </w:tabs>
        <w:spacing w:before="120"/>
        <w:ind w:left="720"/>
        <w:rPr>
          <w:rFonts w:eastAsiaTheme="minorEastAsia"/>
          <w:spacing w:val="-2"/>
          <w:sz w:val="22"/>
          <w:szCs w:val="22"/>
        </w:rPr>
      </w:pPr>
      <w:r>
        <w:rPr>
          <w:rFonts w:eastAsiaTheme="minorEastAsia"/>
          <w:spacing w:val="-2"/>
          <w:sz w:val="22"/>
          <w:szCs w:val="22"/>
        </w:rPr>
        <w:t>Be l</w:t>
      </w:r>
      <w:r w:rsidR="007936F2">
        <w:rPr>
          <w:rFonts w:eastAsiaTheme="minorEastAsia"/>
          <w:spacing w:val="-2"/>
          <w:sz w:val="22"/>
          <w:szCs w:val="22"/>
        </w:rPr>
        <w:t>iving in a noninstitutionalized setting on 1 February 2019</w:t>
      </w:r>
    </w:p>
    <w:p w14:paraId="17EF8BCC" w14:textId="77777777" w:rsidR="007936F2" w:rsidRDefault="007936F2" w:rsidP="007936F2">
      <w:pPr>
        <w:pStyle w:val="BodyText"/>
        <w:rPr>
          <w:sz w:val="22"/>
          <w:szCs w:val="22"/>
        </w:rPr>
      </w:pPr>
    </w:p>
    <w:p w14:paraId="5BD2D5AB" w14:textId="77777777" w:rsidR="007936F2" w:rsidRPr="006F18E5" w:rsidRDefault="007936F2" w:rsidP="007936F2">
      <w:pPr>
        <w:rPr>
          <w:color w:val="000000"/>
          <w:sz w:val="22"/>
          <w:szCs w:val="22"/>
        </w:rPr>
      </w:pPr>
      <w:r w:rsidRPr="00214529">
        <w:rPr>
          <w:sz w:val="22"/>
          <w:szCs w:val="22"/>
        </w:rPr>
        <w:t xml:space="preserve">The final </w:t>
      </w:r>
      <w:r w:rsidRPr="00113EBC">
        <w:rPr>
          <w:sz w:val="22"/>
          <w:szCs w:val="22"/>
        </w:rPr>
        <w:t>201</w:t>
      </w:r>
      <w:r>
        <w:rPr>
          <w:sz w:val="22"/>
          <w:szCs w:val="22"/>
        </w:rPr>
        <w:t>9</w:t>
      </w:r>
      <w:r w:rsidRPr="00214529">
        <w:rPr>
          <w:sz w:val="22"/>
          <w:szCs w:val="22"/>
        </w:rPr>
        <w:t xml:space="preserve"> SDR sampling frame </w:t>
      </w:r>
      <w:r>
        <w:rPr>
          <w:sz w:val="22"/>
          <w:szCs w:val="22"/>
        </w:rPr>
        <w:t>can be</w:t>
      </w:r>
      <w:r w:rsidRPr="00214529">
        <w:rPr>
          <w:sz w:val="22"/>
          <w:szCs w:val="22"/>
        </w:rPr>
        <w:t xml:space="preserve"> classified into </w:t>
      </w:r>
      <w:r>
        <w:rPr>
          <w:sz w:val="22"/>
          <w:szCs w:val="22"/>
        </w:rPr>
        <w:t>three</w:t>
      </w:r>
      <w:r w:rsidRPr="006F18E5">
        <w:rPr>
          <w:sz w:val="22"/>
          <w:szCs w:val="22"/>
        </w:rPr>
        <w:t xml:space="preserve"> groups </w:t>
      </w:r>
      <w:r>
        <w:rPr>
          <w:sz w:val="22"/>
          <w:szCs w:val="22"/>
        </w:rPr>
        <w:t xml:space="preserve">as </w:t>
      </w:r>
      <w:r w:rsidRPr="006F18E5">
        <w:rPr>
          <w:sz w:val="22"/>
          <w:szCs w:val="22"/>
        </w:rPr>
        <w:t xml:space="preserve">shown in Table 1. </w:t>
      </w:r>
    </w:p>
    <w:p w14:paraId="34366231" w14:textId="42EC083D" w:rsidR="00E20D77" w:rsidRDefault="00E20D77" w:rsidP="00E20D77">
      <w:pPr>
        <w:pStyle w:val="ListParagraph"/>
        <w:numPr>
          <w:ilvl w:val="0"/>
          <w:numId w:val="42"/>
        </w:numPr>
        <w:rPr>
          <w:color w:val="000000"/>
        </w:rPr>
      </w:pPr>
      <w:r w:rsidRPr="006F18E5">
        <w:rPr>
          <w:color w:val="000000"/>
        </w:rPr>
        <w:t xml:space="preserve">Frame Group 1 contains </w:t>
      </w:r>
      <w:r>
        <w:rPr>
          <w:color w:val="000000"/>
        </w:rPr>
        <w:t>individuals eligible for</w:t>
      </w:r>
      <w:r w:rsidRPr="006F18E5">
        <w:rPr>
          <w:color w:val="000000"/>
        </w:rPr>
        <w:t xml:space="preserve"> the 2015 SDR </w:t>
      </w:r>
      <w:r>
        <w:rPr>
          <w:color w:val="000000"/>
        </w:rPr>
        <w:t>target population</w:t>
      </w:r>
      <w:r w:rsidRPr="006F18E5">
        <w:rPr>
          <w:color w:val="000000"/>
        </w:rPr>
        <w:t>.</w:t>
      </w:r>
      <w:r>
        <w:rPr>
          <w:color w:val="000000"/>
        </w:rPr>
        <w:t xml:space="preserve"> These cases were awarded doctorate degree</w:t>
      </w:r>
      <w:r w:rsidR="000E48CE">
        <w:rPr>
          <w:color w:val="000000"/>
        </w:rPr>
        <w:t>s</w:t>
      </w:r>
      <w:r>
        <w:rPr>
          <w:color w:val="000000"/>
        </w:rPr>
        <w:t xml:space="preserve"> in academic years 2013 and earlier.</w:t>
      </w:r>
      <w:r w:rsidRPr="006F18E5">
        <w:rPr>
          <w:color w:val="000000"/>
        </w:rPr>
        <w:t xml:space="preserve"> </w:t>
      </w:r>
    </w:p>
    <w:p w14:paraId="2561CB7E" w14:textId="67B0C106" w:rsidR="00E20D77" w:rsidRDefault="00E20D77" w:rsidP="00E20D77">
      <w:pPr>
        <w:pStyle w:val="ListParagraph"/>
        <w:numPr>
          <w:ilvl w:val="0"/>
          <w:numId w:val="42"/>
        </w:numPr>
        <w:rPr>
          <w:color w:val="000000"/>
        </w:rPr>
      </w:pPr>
      <w:r>
        <w:rPr>
          <w:color w:val="000000"/>
        </w:rPr>
        <w:t xml:space="preserve">Frame Group 2 contains individuals </w:t>
      </w:r>
      <w:bookmarkStart w:id="2" w:name="_Hlk17386695"/>
      <w:r>
        <w:rPr>
          <w:color w:val="000000"/>
        </w:rPr>
        <w:t xml:space="preserve">that became </w:t>
      </w:r>
      <w:r w:rsidR="000E48CE">
        <w:rPr>
          <w:color w:val="000000"/>
        </w:rPr>
        <w:t xml:space="preserve">newly </w:t>
      </w:r>
      <w:r>
        <w:rPr>
          <w:color w:val="000000"/>
        </w:rPr>
        <w:t xml:space="preserve">eligible for </w:t>
      </w:r>
      <w:r w:rsidR="000E48CE">
        <w:rPr>
          <w:color w:val="000000"/>
        </w:rPr>
        <w:t xml:space="preserve">inclusion in </w:t>
      </w:r>
      <w:r>
        <w:rPr>
          <w:color w:val="000000"/>
        </w:rPr>
        <w:t xml:space="preserve">the </w:t>
      </w:r>
      <w:r w:rsidR="000E48CE">
        <w:rPr>
          <w:color w:val="000000"/>
        </w:rPr>
        <w:t xml:space="preserve">2017 </w:t>
      </w:r>
      <w:r>
        <w:rPr>
          <w:color w:val="000000"/>
        </w:rPr>
        <w:t>SDR survey cycle. These cases were awarded doctorate degrees in the 2014 and 2015 academic years.</w:t>
      </w:r>
    </w:p>
    <w:bookmarkEnd w:id="2"/>
    <w:p w14:paraId="74729F5E" w14:textId="62FAC741" w:rsidR="000E48CE" w:rsidRDefault="00E20D77" w:rsidP="000E48CE">
      <w:pPr>
        <w:pStyle w:val="ListParagraph"/>
        <w:numPr>
          <w:ilvl w:val="0"/>
          <w:numId w:val="42"/>
        </w:numPr>
        <w:rPr>
          <w:color w:val="000000"/>
        </w:rPr>
      </w:pPr>
      <w:r w:rsidRPr="00531AB4">
        <w:t xml:space="preserve">Frame Group </w:t>
      </w:r>
      <w:r>
        <w:t>3</w:t>
      </w:r>
      <w:r w:rsidRPr="00531AB4">
        <w:t xml:space="preserve"> contains individuals </w:t>
      </w:r>
      <w:r w:rsidR="000E48CE">
        <w:rPr>
          <w:color w:val="000000"/>
        </w:rPr>
        <w:t>that became newly eligible for inclusion in the 2019</w:t>
      </w:r>
      <w:r w:rsidR="00F6367C">
        <w:rPr>
          <w:color w:val="000000"/>
        </w:rPr>
        <w:t xml:space="preserve"> SDR survey cycle. </w:t>
      </w:r>
      <w:r w:rsidR="000E48CE">
        <w:rPr>
          <w:color w:val="000000"/>
        </w:rPr>
        <w:t>These cases were awarded doctorate degrees in the 2016 and 2017 academic years.</w:t>
      </w:r>
    </w:p>
    <w:p w14:paraId="33C86482" w14:textId="4BBEAD1A" w:rsidR="00E20D77" w:rsidRPr="00130EFF" w:rsidRDefault="00E20D77" w:rsidP="00707F37">
      <w:pPr>
        <w:pStyle w:val="ListParagraph"/>
        <w:numPr>
          <w:ilvl w:val="0"/>
          <w:numId w:val="0"/>
        </w:numPr>
        <w:ind w:left="720"/>
        <w:rPr>
          <w:color w:val="000000"/>
        </w:rPr>
      </w:pPr>
    </w:p>
    <w:p w14:paraId="6D039DAD" w14:textId="31ECF13C" w:rsidR="00896119" w:rsidRDefault="00896119" w:rsidP="00130EFF">
      <w:pPr>
        <w:rPr>
          <w:color w:val="000000"/>
        </w:rPr>
      </w:pPr>
    </w:p>
    <w:p w14:paraId="69EF5AAB" w14:textId="1E764417" w:rsidR="00896119" w:rsidRDefault="00896119" w:rsidP="00130EFF">
      <w:pPr>
        <w:rPr>
          <w:color w:val="000000"/>
        </w:rPr>
      </w:pPr>
    </w:p>
    <w:p w14:paraId="3A1EE466" w14:textId="4E2CDFD1" w:rsidR="00896119" w:rsidRDefault="00896119" w:rsidP="00130EFF">
      <w:pPr>
        <w:rPr>
          <w:color w:val="000000"/>
        </w:rPr>
      </w:pPr>
    </w:p>
    <w:p w14:paraId="2A9328B2" w14:textId="6A8D1159" w:rsidR="00896119" w:rsidRDefault="00896119" w:rsidP="00130EFF">
      <w:pPr>
        <w:rPr>
          <w:color w:val="000000"/>
        </w:rPr>
      </w:pPr>
    </w:p>
    <w:p w14:paraId="56E1B28A" w14:textId="701C3599" w:rsidR="007936F2" w:rsidRDefault="007936F2" w:rsidP="007936F2">
      <w:pPr>
        <w:spacing w:after="120"/>
        <w:rPr>
          <w:b/>
          <w:sz w:val="22"/>
          <w:szCs w:val="22"/>
        </w:rPr>
      </w:pPr>
      <w:r w:rsidRPr="006F18E5">
        <w:rPr>
          <w:b/>
          <w:sz w:val="22"/>
          <w:szCs w:val="22"/>
        </w:rPr>
        <w:lastRenderedPageBreak/>
        <w:t>Table 1: The 201</w:t>
      </w:r>
      <w:r>
        <w:rPr>
          <w:b/>
          <w:sz w:val="22"/>
          <w:szCs w:val="22"/>
        </w:rPr>
        <w:t>9</w:t>
      </w:r>
      <w:r w:rsidRPr="006F18E5">
        <w:rPr>
          <w:b/>
          <w:sz w:val="22"/>
          <w:szCs w:val="22"/>
        </w:rPr>
        <w:t xml:space="preserve"> SDR Frame </w:t>
      </w:r>
      <w:r>
        <w:rPr>
          <w:b/>
          <w:sz w:val="22"/>
          <w:szCs w:val="22"/>
        </w:rPr>
        <w:t>Groups by Sample Component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5"/>
        <w:gridCol w:w="2795"/>
        <w:gridCol w:w="1530"/>
        <w:gridCol w:w="1327"/>
        <w:gridCol w:w="1440"/>
        <w:gridCol w:w="990"/>
      </w:tblGrid>
      <w:tr w:rsidR="007936F2" w:rsidRPr="00531AB4" w14:paraId="4A83D295" w14:textId="77777777" w:rsidTr="0069333B">
        <w:trPr>
          <w:cantSplit/>
          <w:trHeight w:val="520"/>
          <w:tblHeader/>
        </w:trPr>
        <w:tc>
          <w:tcPr>
            <w:tcW w:w="985" w:type="dxa"/>
            <w:tcMar>
              <w:top w:w="0" w:type="dxa"/>
              <w:left w:w="108" w:type="dxa"/>
              <w:bottom w:w="0" w:type="dxa"/>
              <w:right w:w="108" w:type="dxa"/>
            </w:tcMar>
            <w:vAlign w:val="center"/>
            <w:hideMark/>
          </w:tcPr>
          <w:p w14:paraId="2B8B3E1D" w14:textId="77777777" w:rsidR="007936F2" w:rsidRPr="00531AB4" w:rsidRDefault="007936F2" w:rsidP="0069333B">
            <w:pPr>
              <w:jc w:val="center"/>
              <w:rPr>
                <w:rFonts w:eastAsiaTheme="minorHAnsi"/>
                <w:b/>
                <w:bCs/>
                <w:sz w:val="20"/>
                <w:szCs w:val="20"/>
                <w:lang w:eastAsia="zh-CN"/>
              </w:rPr>
            </w:pPr>
            <w:r w:rsidRPr="00531AB4">
              <w:rPr>
                <w:b/>
                <w:bCs/>
                <w:sz w:val="20"/>
                <w:szCs w:val="20"/>
                <w:lang w:eastAsia="zh-CN"/>
              </w:rPr>
              <w:t>Frame Group</w:t>
            </w:r>
          </w:p>
        </w:tc>
        <w:tc>
          <w:tcPr>
            <w:tcW w:w="2795" w:type="dxa"/>
            <w:tcMar>
              <w:top w:w="0" w:type="dxa"/>
              <w:left w:w="108" w:type="dxa"/>
              <w:bottom w:w="0" w:type="dxa"/>
              <w:right w:w="108" w:type="dxa"/>
            </w:tcMar>
            <w:vAlign w:val="center"/>
            <w:hideMark/>
          </w:tcPr>
          <w:p w14:paraId="17DA9A2E" w14:textId="77777777" w:rsidR="007936F2" w:rsidRPr="00531AB4" w:rsidRDefault="007936F2" w:rsidP="0069333B">
            <w:pPr>
              <w:jc w:val="center"/>
              <w:rPr>
                <w:rFonts w:eastAsiaTheme="minorHAnsi"/>
                <w:b/>
                <w:bCs/>
                <w:sz w:val="20"/>
                <w:szCs w:val="20"/>
                <w:lang w:eastAsia="zh-CN"/>
              </w:rPr>
            </w:pPr>
            <w:r w:rsidRPr="00531AB4">
              <w:rPr>
                <w:b/>
                <w:bCs/>
                <w:sz w:val="20"/>
                <w:szCs w:val="20"/>
                <w:lang w:eastAsia="zh-CN"/>
              </w:rPr>
              <w:t>Description</w:t>
            </w:r>
          </w:p>
        </w:tc>
        <w:tc>
          <w:tcPr>
            <w:tcW w:w="1530" w:type="dxa"/>
            <w:tcMar>
              <w:top w:w="0" w:type="dxa"/>
              <w:left w:w="108" w:type="dxa"/>
              <w:bottom w:w="0" w:type="dxa"/>
              <w:right w:w="108" w:type="dxa"/>
            </w:tcMar>
            <w:vAlign w:val="center"/>
            <w:hideMark/>
          </w:tcPr>
          <w:p w14:paraId="3859A0AA" w14:textId="77777777" w:rsidR="007936F2" w:rsidRPr="00531AB4" w:rsidRDefault="007936F2" w:rsidP="0069333B">
            <w:pPr>
              <w:jc w:val="center"/>
              <w:rPr>
                <w:rFonts w:eastAsiaTheme="minorHAnsi"/>
                <w:b/>
                <w:bCs/>
                <w:sz w:val="20"/>
                <w:szCs w:val="20"/>
                <w:lang w:eastAsia="zh-CN"/>
              </w:rPr>
            </w:pPr>
            <w:r w:rsidRPr="00531AB4">
              <w:rPr>
                <w:b/>
                <w:bCs/>
                <w:sz w:val="20"/>
                <w:szCs w:val="20"/>
                <w:lang w:eastAsia="zh-CN"/>
              </w:rPr>
              <w:t>SED Academic Years (AY)</w:t>
            </w:r>
          </w:p>
        </w:tc>
        <w:tc>
          <w:tcPr>
            <w:tcW w:w="1327" w:type="dxa"/>
            <w:tcMar>
              <w:top w:w="0" w:type="dxa"/>
              <w:left w:w="108" w:type="dxa"/>
              <w:bottom w:w="0" w:type="dxa"/>
              <w:right w:w="108" w:type="dxa"/>
            </w:tcMar>
            <w:vAlign w:val="center"/>
            <w:hideMark/>
          </w:tcPr>
          <w:p w14:paraId="61757E4F" w14:textId="77777777" w:rsidR="007936F2" w:rsidRPr="00531AB4" w:rsidRDefault="007936F2" w:rsidP="0069333B">
            <w:pPr>
              <w:jc w:val="center"/>
              <w:rPr>
                <w:rFonts w:eastAsiaTheme="minorHAnsi"/>
                <w:b/>
                <w:bCs/>
                <w:sz w:val="20"/>
                <w:szCs w:val="20"/>
                <w:lang w:eastAsia="zh-CN"/>
              </w:rPr>
            </w:pPr>
            <w:r>
              <w:rPr>
                <w:b/>
                <w:bCs/>
                <w:sz w:val="20"/>
                <w:szCs w:val="20"/>
                <w:lang w:eastAsia="zh-CN"/>
              </w:rPr>
              <w:t>Population Size</w:t>
            </w:r>
          </w:p>
        </w:tc>
        <w:tc>
          <w:tcPr>
            <w:tcW w:w="1440" w:type="dxa"/>
            <w:vAlign w:val="center"/>
          </w:tcPr>
          <w:p w14:paraId="737B93C2" w14:textId="77777777" w:rsidR="007936F2" w:rsidRPr="00531AB4" w:rsidRDefault="007936F2" w:rsidP="0069333B">
            <w:pPr>
              <w:jc w:val="center"/>
              <w:rPr>
                <w:b/>
                <w:bCs/>
                <w:sz w:val="20"/>
                <w:szCs w:val="20"/>
                <w:lang w:eastAsia="zh-CN"/>
              </w:rPr>
            </w:pPr>
            <w:r>
              <w:rPr>
                <w:b/>
                <w:bCs/>
                <w:sz w:val="20"/>
                <w:szCs w:val="20"/>
                <w:lang w:eastAsia="zh-CN"/>
              </w:rPr>
              <w:t>Sample Component</w:t>
            </w:r>
          </w:p>
        </w:tc>
        <w:tc>
          <w:tcPr>
            <w:tcW w:w="990" w:type="dxa"/>
          </w:tcPr>
          <w:p w14:paraId="66E06B5E" w14:textId="77777777" w:rsidR="007936F2" w:rsidRDefault="007936F2" w:rsidP="0069333B">
            <w:pPr>
              <w:jc w:val="center"/>
              <w:rPr>
                <w:b/>
                <w:bCs/>
                <w:sz w:val="20"/>
                <w:szCs w:val="20"/>
                <w:lang w:eastAsia="zh-CN"/>
              </w:rPr>
            </w:pPr>
            <w:r>
              <w:rPr>
                <w:b/>
                <w:bCs/>
                <w:sz w:val="20"/>
                <w:szCs w:val="20"/>
                <w:lang w:eastAsia="zh-CN"/>
              </w:rPr>
              <w:t>Sample Size</w:t>
            </w:r>
          </w:p>
        </w:tc>
      </w:tr>
      <w:tr w:rsidR="007936F2" w:rsidRPr="00BC7C5A" w14:paraId="3A10A778" w14:textId="77777777" w:rsidTr="0069333B">
        <w:trPr>
          <w:cantSplit/>
          <w:trHeight w:val="250"/>
        </w:trPr>
        <w:tc>
          <w:tcPr>
            <w:tcW w:w="985" w:type="dxa"/>
            <w:vMerge w:val="restart"/>
            <w:noWrap/>
            <w:tcMar>
              <w:top w:w="0" w:type="dxa"/>
              <w:left w:w="108" w:type="dxa"/>
              <w:bottom w:w="0" w:type="dxa"/>
              <w:right w:w="108" w:type="dxa"/>
            </w:tcMar>
            <w:vAlign w:val="center"/>
            <w:hideMark/>
          </w:tcPr>
          <w:p w14:paraId="3E328B60" w14:textId="77777777" w:rsidR="007936F2" w:rsidRPr="00531AB4" w:rsidRDefault="007936F2" w:rsidP="0069333B">
            <w:pPr>
              <w:jc w:val="center"/>
              <w:rPr>
                <w:rFonts w:eastAsiaTheme="minorHAnsi"/>
                <w:color w:val="000000"/>
                <w:sz w:val="20"/>
                <w:szCs w:val="20"/>
                <w:lang w:eastAsia="zh-CN"/>
              </w:rPr>
            </w:pPr>
            <w:r w:rsidRPr="00531AB4">
              <w:rPr>
                <w:color w:val="000000"/>
                <w:sz w:val="20"/>
                <w:szCs w:val="20"/>
                <w:lang w:eastAsia="zh-CN"/>
              </w:rPr>
              <w:t>1</w:t>
            </w:r>
          </w:p>
        </w:tc>
        <w:tc>
          <w:tcPr>
            <w:tcW w:w="2795" w:type="dxa"/>
            <w:vMerge w:val="restart"/>
            <w:tcMar>
              <w:top w:w="0" w:type="dxa"/>
              <w:left w:w="108" w:type="dxa"/>
              <w:bottom w:w="0" w:type="dxa"/>
              <w:right w:w="108" w:type="dxa"/>
            </w:tcMar>
            <w:vAlign w:val="center"/>
            <w:hideMark/>
          </w:tcPr>
          <w:p w14:paraId="3419B545" w14:textId="77777777" w:rsidR="007936F2" w:rsidRPr="00531AB4" w:rsidRDefault="007936F2" w:rsidP="0069333B">
            <w:pPr>
              <w:spacing w:before="40" w:after="40"/>
              <w:rPr>
                <w:rFonts w:eastAsiaTheme="minorHAnsi"/>
                <w:color w:val="000000"/>
                <w:sz w:val="20"/>
                <w:szCs w:val="20"/>
                <w:lang w:eastAsia="zh-CN"/>
              </w:rPr>
            </w:pPr>
            <w:r w:rsidRPr="00531AB4">
              <w:rPr>
                <w:color w:val="000000"/>
                <w:sz w:val="20"/>
                <w:szCs w:val="20"/>
                <w:lang w:eastAsia="zh-CN"/>
              </w:rPr>
              <w:t xml:space="preserve">2015 SDR </w:t>
            </w:r>
            <w:r>
              <w:rPr>
                <w:color w:val="000000"/>
                <w:sz w:val="20"/>
                <w:szCs w:val="20"/>
                <w:lang w:eastAsia="zh-CN"/>
              </w:rPr>
              <w:t xml:space="preserve">target population </w:t>
            </w:r>
            <w:r w:rsidRPr="00531AB4">
              <w:rPr>
                <w:color w:val="000000"/>
                <w:sz w:val="20"/>
                <w:szCs w:val="20"/>
                <w:lang w:eastAsia="zh-CN"/>
              </w:rPr>
              <w:t>that remain eligible for 201</w:t>
            </w:r>
            <w:r>
              <w:rPr>
                <w:color w:val="000000"/>
                <w:sz w:val="20"/>
                <w:szCs w:val="20"/>
                <w:lang w:eastAsia="zh-CN"/>
              </w:rPr>
              <w:t>9</w:t>
            </w:r>
          </w:p>
        </w:tc>
        <w:tc>
          <w:tcPr>
            <w:tcW w:w="1530" w:type="dxa"/>
            <w:vMerge w:val="restart"/>
            <w:tcMar>
              <w:top w:w="0" w:type="dxa"/>
              <w:left w:w="108" w:type="dxa"/>
              <w:bottom w:w="0" w:type="dxa"/>
              <w:right w:w="108" w:type="dxa"/>
            </w:tcMar>
            <w:vAlign w:val="center"/>
            <w:hideMark/>
          </w:tcPr>
          <w:p w14:paraId="594BF846" w14:textId="2C0AD72D" w:rsidR="007936F2" w:rsidRPr="00531AB4" w:rsidRDefault="007936F2" w:rsidP="0069333B">
            <w:pPr>
              <w:jc w:val="center"/>
              <w:rPr>
                <w:rFonts w:eastAsiaTheme="minorHAnsi"/>
                <w:color w:val="000000"/>
                <w:sz w:val="20"/>
                <w:szCs w:val="20"/>
                <w:lang w:eastAsia="zh-CN"/>
              </w:rPr>
            </w:pPr>
            <w:r w:rsidRPr="00531AB4">
              <w:rPr>
                <w:color w:val="000000"/>
                <w:sz w:val="20"/>
                <w:szCs w:val="20"/>
                <w:lang w:eastAsia="zh-CN"/>
              </w:rPr>
              <w:t>1960-201</w:t>
            </w:r>
            <w:r w:rsidR="00E20D77">
              <w:rPr>
                <w:color w:val="000000"/>
                <w:sz w:val="20"/>
                <w:szCs w:val="20"/>
                <w:lang w:eastAsia="zh-CN"/>
              </w:rPr>
              <w:t>3</w:t>
            </w:r>
          </w:p>
        </w:tc>
        <w:tc>
          <w:tcPr>
            <w:tcW w:w="1327" w:type="dxa"/>
            <w:vMerge w:val="restart"/>
            <w:tcMar>
              <w:top w:w="0" w:type="dxa"/>
              <w:left w:w="108" w:type="dxa"/>
              <w:bottom w:w="0" w:type="dxa"/>
              <w:right w:w="108" w:type="dxa"/>
            </w:tcMar>
            <w:vAlign w:val="center"/>
            <w:hideMark/>
          </w:tcPr>
          <w:p w14:paraId="528077F6" w14:textId="77777777" w:rsidR="007936F2" w:rsidRPr="00531AB4" w:rsidRDefault="007936F2" w:rsidP="0069333B">
            <w:pPr>
              <w:jc w:val="center"/>
              <w:rPr>
                <w:rFonts w:eastAsiaTheme="minorHAnsi"/>
                <w:color w:val="000000"/>
                <w:sz w:val="20"/>
                <w:szCs w:val="20"/>
                <w:lang w:eastAsia="zh-CN"/>
              </w:rPr>
            </w:pPr>
            <w:r>
              <w:rPr>
                <w:color w:val="000000"/>
                <w:sz w:val="20"/>
                <w:szCs w:val="20"/>
                <w:lang w:eastAsia="zh-CN"/>
              </w:rPr>
              <w:t>991,254</w:t>
            </w:r>
          </w:p>
        </w:tc>
        <w:tc>
          <w:tcPr>
            <w:tcW w:w="1440" w:type="dxa"/>
            <w:tcBorders>
              <w:bottom w:val="single" w:sz="4" w:space="0" w:color="auto"/>
            </w:tcBorders>
            <w:vAlign w:val="center"/>
          </w:tcPr>
          <w:p w14:paraId="2586ECBD" w14:textId="77777777" w:rsidR="007936F2" w:rsidRPr="00BC7C5A" w:rsidRDefault="007936F2" w:rsidP="0069333B">
            <w:pPr>
              <w:jc w:val="center"/>
              <w:rPr>
                <w:sz w:val="20"/>
                <w:szCs w:val="20"/>
                <w:lang w:eastAsia="zh-CN"/>
              </w:rPr>
            </w:pPr>
            <w:r>
              <w:rPr>
                <w:sz w:val="20"/>
                <w:szCs w:val="20"/>
                <w:lang w:eastAsia="zh-CN"/>
              </w:rPr>
              <w:t>2015 SDR returning sample</w:t>
            </w:r>
          </w:p>
        </w:tc>
        <w:tc>
          <w:tcPr>
            <w:tcW w:w="990" w:type="dxa"/>
            <w:tcBorders>
              <w:bottom w:val="single" w:sz="4" w:space="0" w:color="auto"/>
            </w:tcBorders>
          </w:tcPr>
          <w:p w14:paraId="4434D65E" w14:textId="77777777" w:rsidR="007936F2" w:rsidRDefault="007936F2" w:rsidP="0069333B">
            <w:pPr>
              <w:jc w:val="center"/>
              <w:rPr>
                <w:sz w:val="20"/>
                <w:szCs w:val="20"/>
                <w:lang w:eastAsia="zh-CN"/>
              </w:rPr>
            </w:pPr>
            <w:r>
              <w:rPr>
                <w:sz w:val="20"/>
                <w:szCs w:val="20"/>
                <w:lang w:eastAsia="zh-CN"/>
              </w:rPr>
              <w:t>84,695</w:t>
            </w:r>
          </w:p>
        </w:tc>
      </w:tr>
      <w:tr w:rsidR="007936F2" w:rsidRPr="00BC7C5A" w14:paraId="442EA1B8" w14:textId="77777777" w:rsidTr="0069333B">
        <w:trPr>
          <w:cantSplit/>
          <w:trHeight w:val="250"/>
        </w:trPr>
        <w:tc>
          <w:tcPr>
            <w:tcW w:w="985" w:type="dxa"/>
            <w:vMerge/>
            <w:tcBorders>
              <w:bottom w:val="single" w:sz="4" w:space="0" w:color="auto"/>
            </w:tcBorders>
            <w:noWrap/>
            <w:tcMar>
              <w:top w:w="0" w:type="dxa"/>
              <w:left w:w="108" w:type="dxa"/>
              <w:bottom w:w="0" w:type="dxa"/>
              <w:right w:w="108" w:type="dxa"/>
            </w:tcMar>
            <w:vAlign w:val="center"/>
          </w:tcPr>
          <w:p w14:paraId="2BF57FD6" w14:textId="77777777" w:rsidR="007936F2" w:rsidRPr="00531AB4" w:rsidRDefault="007936F2" w:rsidP="0069333B">
            <w:pPr>
              <w:jc w:val="center"/>
              <w:rPr>
                <w:color w:val="000000"/>
                <w:sz w:val="20"/>
                <w:szCs w:val="20"/>
                <w:lang w:eastAsia="zh-CN"/>
              </w:rPr>
            </w:pPr>
          </w:p>
        </w:tc>
        <w:tc>
          <w:tcPr>
            <w:tcW w:w="2795" w:type="dxa"/>
            <w:vMerge/>
            <w:tcBorders>
              <w:bottom w:val="single" w:sz="4" w:space="0" w:color="auto"/>
            </w:tcBorders>
            <w:tcMar>
              <w:top w:w="0" w:type="dxa"/>
              <w:left w:w="108" w:type="dxa"/>
              <w:bottom w:w="0" w:type="dxa"/>
              <w:right w:w="108" w:type="dxa"/>
            </w:tcMar>
            <w:vAlign w:val="center"/>
          </w:tcPr>
          <w:p w14:paraId="0435F509" w14:textId="77777777" w:rsidR="007936F2" w:rsidRPr="00531AB4" w:rsidRDefault="007936F2" w:rsidP="0069333B">
            <w:pPr>
              <w:spacing w:before="40" w:after="40"/>
              <w:rPr>
                <w:color w:val="000000"/>
                <w:sz w:val="20"/>
                <w:szCs w:val="20"/>
                <w:lang w:eastAsia="zh-CN"/>
              </w:rPr>
            </w:pPr>
          </w:p>
        </w:tc>
        <w:tc>
          <w:tcPr>
            <w:tcW w:w="1530" w:type="dxa"/>
            <w:vMerge/>
            <w:tcBorders>
              <w:bottom w:val="single" w:sz="4" w:space="0" w:color="auto"/>
            </w:tcBorders>
            <w:tcMar>
              <w:top w:w="0" w:type="dxa"/>
              <w:left w:w="108" w:type="dxa"/>
              <w:bottom w:w="0" w:type="dxa"/>
              <w:right w:w="108" w:type="dxa"/>
            </w:tcMar>
            <w:vAlign w:val="center"/>
          </w:tcPr>
          <w:p w14:paraId="250607E7" w14:textId="77777777" w:rsidR="007936F2" w:rsidRPr="00531AB4" w:rsidRDefault="007936F2" w:rsidP="0069333B">
            <w:pPr>
              <w:jc w:val="center"/>
              <w:rPr>
                <w:color w:val="000000"/>
                <w:sz w:val="20"/>
                <w:szCs w:val="20"/>
                <w:lang w:eastAsia="zh-CN"/>
              </w:rPr>
            </w:pPr>
          </w:p>
        </w:tc>
        <w:tc>
          <w:tcPr>
            <w:tcW w:w="1327" w:type="dxa"/>
            <w:vMerge/>
            <w:tcBorders>
              <w:bottom w:val="single" w:sz="4" w:space="0" w:color="auto"/>
            </w:tcBorders>
            <w:tcMar>
              <w:top w:w="0" w:type="dxa"/>
              <w:left w:w="108" w:type="dxa"/>
              <w:bottom w:w="0" w:type="dxa"/>
              <w:right w:w="108" w:type="dxa"/>
            </w:tcMar>
            <w:vAlign w:val="center"/>
          </w:tcPr>
          <w:p w14:paraId="7369F425" w14:textId="77777777" w:rsidR="007936F2" w:rsidRDefault="007936F2" w:rsidP="0069333B">
            <w:pPr>
              <w:jc w:val="center"/>
              <w:rPr>
                <w:color w:val="000000"/>
                <w:sz w:val="20"/>
                <w:szCs w:val="20"/>
                <w:lang w:eastAsia="zh-CN"/>
              </w:rPr>
            </w:pPr>
          </w:p>
        </w:tc>
        <w:tc>
          <w:tcPr>
            <w:tcW w:w="1440" w:type="dxa"/>
            <w:tcBorders>
              <w:bottom w:val="single" w:sz="4" w:space="0" w:color="auto"/>
            </w:tcBorders>
            <w:vAlign w:val="center"/>
          </w:tcPr>
          <w:p w14:paraId="42C8175E" w14:textId="77777777" w:rsidR="007936F2" w:rsidRDefault="007936F2" w:rsidP="0069333B">
            <w:pPr>
              <w:jc w:val="center"/>
              <w:rPr>
                <w:sz w:val="20"/>
                <w:szCs w:val="20"/>
                <w:lang w:eastAsia="zh-CN"/>
              </w:rPr>
            </w:pPr>
            <w:r>
              <w:rPr>
                <w:sz w:val="20"/>
                <w:szCs w:val="20"/>
                <w:lang w:eastAsia="zh-CN"/>
              </w:rPr>
              <w:t>Supplemental sample</w:t>
            </w:r>
          </w:p>
        </w:tc>
        <w:tc>
          <w:tcPr>
            <w:tcW w:w="990" w:type="dxa"/>
            <w:tcBorders>
              <w:bottom w:val="single" w:sz="4" w:space="0" w:color="auto"/>
            </w:tcBorders>
          </w:tcPr>
          <w:p w14:paraId="11354898" w14:textId="77777777" w:rsidR="007936F2" w:rsidRDefault="007936F2" w:rsidP="0069333B">
            <w:pPr>
              <w:jc w:val="center"/>
              <w:rPr>
                <w:sz w:val="20"/>
                <w:szCs w:val="20"/>
                <w:lang w:eastAsia="zh-CN"/>
              </w:rPr>
            </w:pPr>
            <w:r>
              <w:rPr>
                <w:sz w:val="20"/>
                <w:szCs w:val="20"/>
                <w:lang w:eastAsia="zh-CN"/>
              </w:rPr>
              <w:t>14,564</w:t>
            </w:r>
          </w:p>
        </w:tc>
      </w:tr>
      <w:tr w:rsidR="007936F2" w:rsidRPr="00F54966" w14:paraId="612CAC01" w14:textId="77777777" w:rsidTr="0069333B">
        <w:trPr>
          <w:cantSplit/>
          <w:trHeight w:val="269"/>
        </w:trPr>
        <w:tc>
          <w:tcPr>
            <w:tcW w:w="985" w:type="dxa"/>
            <w:tcBorders>
              <w:bottom w:val="double" w:sz="4" w:space="0" w:color="auto"/>
            </w:tcBorders>
            <w:noWrap/>
            <w:tcMar>
              <w:top w:w="0" w:type="dxa"/>
              <w:left w:w="108" w:type="dxa"/>
              <w:bottom w:w="0" w:type="dxa"/>
              <w:right w:w="108" w:type="dxa"/>
            </w:tcMar>
            <w:vAlign w:val="center"/>
            <w:hideMark/>
          </w:tcPr>
          <w:p w14:paraId="4BFEFA04" w14:textId="77777777" w:rsidR="007936F2" w:rsidRPr="00531AB4" w:rsidRDefault="007936F2" w:rsidP="0069333B">
            <w:pPr>
              <w:jc w:val="center"/>
              <w:rPr>
                <w:rFonts w:eastAsiaTheme="minorHAnsi"/>
                <w:sz w:val="20"/>
                <w:szCs w:val="20"/>
                <w:lang w:eastAsia="zh-CN"/>
              </w:rPr>
            </w:pPr>
            <w:r w:rsidRPr="00531AB4">
              <w:rPr>
                <w:sz w:val="20"/>
                <w:szCs w:val="20"/>
                <w:lang w:eastAsia="zh-CN"/>
              </w:rPr>
              <w:t>2</w:t>
            </w:r>
          </w:p>
        </w:tc>
        <w:tc>
          <w:tcPr>
            <w:tcW w:w="2795" w:type="dxa"/>
            <w:tcBorders>
              <w:bottom w:val="double" w:sz="4" w:space="0" w:color="auto"/>
            </w:tcBorders>
            <w:tcMar>
              <w:top w:w="0" w:type="dxa"/>
              <w:left w:w="108" w:type="dxa"/>
              <w:bottom w:w="0" w:type="dxa"/>
              <w:right w:w="108" w:type="dxa"/>
            </w:tcMar>
            <w:vAlign w:val="center"/>
            <w:hideMark/>
          </w:tcPr>
          <w:p w14:paraId="0FCA540E" w14:textId="77777777" w:rsidR="007936F2" w:rsidRPr="00531AB4" w:rsidRDefault="007936F2" w:rsidP="0069333B">
            <w:pPr>
              <w:rPr>
                <w:rFonts w:eastAsiaTheme="minorHAnsi"/>
                <w:sz w:val="20"/>
                <w:szCs w:val="20"/>
                <w:lang w:eastAsia="zh-CN"/>
              </w:rPr>
            </w:pPr>
            <w:r>
              <w:rPr>
                <w:rFonts w:eastAsiaTheme="minorHAnsi"/>
                <w:sz w:val="20"/>
                <w:szCs w:val="20"/>
                <w:lang w:eastAsia="zh-CN"/>
              </w:rPr>
              <w:t>2017 SDR newly sampled cases that remain eligible for 2019</w:t>
            </w:r>
          </w:p>
        </w:tc>
        <w:tc>
          <w:tcPr>
            <w:tcW w:w="1530" w:type="dxa"/>
            <w:tcBorders>
              <w:bottom w:val="double" w:sz="4" w:space="0" w:color="auto"/>
            </w:tcBorders>
            <w:tcMar>
              <w:top w:w="0" w:type="dxa"/>
              <w:left w:w="108" w:type="dxa"/>
              <w:bottom w:w="0" w:type="dxa"/>
              <w:right w:w="108" w:type="dxa"/>
            </w:tcMar>
            <w:vAlign w:val="center"/>
            <w:hideMark/>
          </w:tcPr>
          <w:p w14:paraId="60076670" w14:textId="77777777" w:rsidR="007936F2" w:rsidRPr="00531AB4" w:rsidRDefault="007936F2" w:rsidP="0069333B">
            <w:pPr>
              <w:jc w:val="center"/>
              <w:rPr>
                <w:rFonts w:eastAsiaTheme="minorHAnsi"/>
                <w:sz w:val="20"/>
                <w:szCs w:val="20"/>
                <w:lang w:eastAsia="zh-CN"/>
              </w:rPr>
            </w:pPr>
            <w:r w:rsidRPr="00531AB4">
              <w:rPr>
                <w:sz w:val="20"/>
                <w:szCs w:val="20"/>
                <w:lang w:eastAsia="zh-CN"/>
              </w:rPr>
              <w:t>2014-2015</w:t>
            </w:r>
          </w:p>
        </w:tc>
        <w:tc>
          <w:tcPr>
            <w:tcW w:w="1327" w:type="dxa"/>
            <w:tcBorders>
              <w:bottom w:val="double" w:sz="4" w:space="0" w:color="auto"/>
            </w:tcBorders>
            <w:tcMar>
              <w:top w:w="0" w:type="dxa"/>
              <w:left w:w="108" w:type="dxa"/>
              <w:bottom w:w="0" w:type="dxa"/>
              <w:right w:w="108" w:type="dxa"/>
            </w:tcMar>
            <w:vAlign w:val="center"/>
            <w:hideMark/>
          </w:tcPr>
          <w:p w14:paraId="16F1D039" w14:textId="77777777" w:rsidR="007936F2" w:rsidRPr="00531AB4" w:rsidRDefault="007936F2" w:rsidP="0069333B">
            <w:pPr>
              <w:jc w:val="center"/>
              <w:rPr>
                <w:rFonts w:eastAsiaTheme="minorHAnsi"/>
                <w:sz w:val="20"/>
                <w:szCs w:val="20"/>
                <w:lang w:eastAsia="zh-CN"/>
              </w:rPr>
            </w:pPr>
            <w:r w:rsidRPr="00531AB4">
              <w:rPr>
                <w:color w:val="000000"/>
                <w:sz w:val="20"/>
                <w:szCs w:val="20"/>
                <w:lang w:eastAsia="zh-CN"/>
              </w:rPr>
              <w:t>82,</w:t>
            </w:r>
            <w:r>
              <w:rPr>
                <w:color w:val="000000"/>
                <w:sz w:val="20"/>
                <w:szCs w:val="20"/>
                <w:lang w:eastAsia="zh-CN"/>
              </w:rPr>
              <w:t>266</w:t>
            </w:r>
          </w:p>
        </w:tc>
        <w:tc>
          <w:tcPr>
            <w:tcW w:w="1440" w:type="dxa"/>
            <w:tcBorders>
              <w:bottom w:val="double" w:sz="4" w:space="0" w:color="auto"/>
            </w:tcBorders>
            <w:vAlign w:val="center"/>
          </w:tcPr>
          <w:p w14:paraId="55CDE602" w14:textId="77777777" w:rsidR="007936F2" w:rsidRPr="00F54966" w:rsidRDefault="007936F2" w:rsidP="0069333B">
            <w:pPr>
              <w:jc w:val="center"/>
              <w:rPr>
                <w:sz w:val="20"/>
                <w:szCs w:val="20"/>
                <w:lang w:eastAsia="zh-CN"/>
              </w:rPr>
            </w:pPr>
            <w:r>
              <w:rPr>
                <w:sz w:val="20"/>
                <w:szCs w:val="20"/>
                <w:lang w:eastAsia="zh-CN"/>
              </w:rPr>
              <w:t>2017 new cohort</w:t>
            </w:r>
          </w:p>
        </w:tc>
        <w:tc>
          <w:tcPr>
            <w:tcW w:w="990" w:type="dxa"/>
            <w:tcBorders>
              <w:bottom w:val="double" w:sz="4" w:space="0" w:color="auto"/>
            </w:tcBorders>
          </w:tcPr>
          <w:p w14:paraId="56FDC99F" w14:textId="77777777" w:rsidR="007936F2" w:rsidRDefault="007936F2" w:rsidP="0069333B">
            <w:pPr>
              <w:jc w:val="center"/>
              <w:rPr>
                <w:sz w:val="20"/>
                <w:szCs w:val="20"/>
                <w:lang w:eastAsia="zh-CN"/>
              </w:rPr>
            </w:pPr>
            <w:r>
              <w:rPr>
                <w:sz w:val="20"/>
                <w:szCs w:val="20"/>
                <w:lang w:eastAsia="zh-CN"/>
              </w:rPr>
              <w:t>10,741</w:t>
            </w:r>
          </w:p>
        </w:tc>
      </w:tr>
      <w:tr w:rsidR="007936F2" w14:paraId="359B52B2" w14:textId="77777777" w:rsidTr="0069333B">
        <w:trPr>
          <w:cantSplit/>
          <w:trHeight w:val="269"/>
        </w:trPr>
        <w:tc>
          <w:tcPr>
            <w:tcW w:w="985" w:type="dxa"/>
            <w:noWrap/>
            <w:tcMar>
              <w:top w:w="0" w:type="dxa"/>
              <w:left w:w="108" w:type="dxa"/>
              <w:bottom w:w="0" w:type="dxa"/>
              <w:right w:w="108" w:type="dxa"/>
            </w:tcMar>
            <w:vAlign w:val="center"/>
          </w:tcPr>
          <w:p w14:paraId="09CF9B00" w14:textId="77777777" w:rsidR="007936F2" w:rsidRPr="00531AB4" w:rsidRDefault="007936F2" w:rsidP="0069333B">
            <w:pPr>
              <w:jc w:val="center"/>
              <w:rPr>
                <w:sz w:val="20"/>
                <w:szCs w:val="20"/>
                <w:lang w:eastAsia="zh-CN"/>
              </w:rPr>
            </w:pPr>
            <w:r>
              <w:rPr>
                <w:sz w:val="20"/>
                <w:szCs w:val="20"/>
                <w:lang w:eastAsia="zh-CN"/>
              </w:rPr>
              <w:t>3</w:t>
            </w:r>
          </w:p>
        </w:tc>
        <w:tc>
          <w:tcPr>
            <w:tcW w:w="2795" w:type="dxa"/>
            <w:tcMar>
              <w:top w:w="0" w:type="dxa"/>
              <w:left w:w="108" w:type="dxa"/>
              <w:bottom w:w="0" w:type="dxa"/>
              <w:right w:w="108" w:type="dxa"/>
            </w:tcMar>
            <w:vAlign w:val="center"/>
          </w:tcPr>
          <w:p w14:paraId="7C7A1368" w14:textId="77777777" w:rsidR="007936F2" w:rsidRPr="00531AB4" w:rsidRDefault="007936F2" w:rsidP="0069333B">
            <w:pPr>
              <w:rPr>
                <w:sz w:val="20"/>
                <w:szCs w:val="20"/>
                <w:lang w:eastAsia="zh-CN"/>
              </w:rPr>
            </w:pPr>
            <w:r w:rsidRPr="00531AB4">
              <w:rPr>
                <w:sz w:val="20"/>
                <w:szCs w:val="20"/>
                <w:lang w:eastAsia="zh-CN"/>
              </w:rPr>
              <w:t>New cohort cases from SED AY 201</w:t>
            </w:r>
            <w:r>
              <w:rPr>
                <w:sz w:val="20"/>
                <w:szCs w:val="20"/>
                <w:lang w:eastAsia="zh-CN"/>
              </w:rPr>
              <w:t>6</w:t>
            </w:r>
            <w:r w:rsidRPr="00531AB4">
              <w:rPr>
                <w:sz w:val="20"/>
                <w:szCs w:val="20"/>
                <w:lang w:eastAsia="zh-CN"/>
              </w:rPr>
              <w:t xml:space="preserve"> and 201</w:t>
            </w:r>
            <w:r>
              <w:rPr>
                <w:sz w:val="20"/>
                <w:szCs w:val="20"/>
                <w:lang w:eastAsia="zh-CN"/>
              </w:rPr>
              <w:t>7</w:t>
            </w:r>
          </w:p>
        </w:tc>
        <w:tc>
          <w:tcPr>
            <w:tcW w:w="1530" w:type="dxa"/>
            <w:tcMar>
              <w:top w:w="0" w:type="dxa"/>
              <w:left w:w="108" w:type="dxa"/>
              <w:bottom w:w="0" w:type="dxa"/>
              <w:right w:w="108" w:type="dxa"/>
            </w:tcMar>
            <w:vAlign w:val="center"/>
          </w:tcPr>
          <w:p w14:paraId="724776C3" w14:textId="77777777" w:rsidR="007936F2" w:rsidRPr="00531AB4" w:rsidRDefault="007936F2" w:rsidP="0069333B">
            <w:pPr>
              <w:jc w:val="center"/>
              <w:rPr>
                <w:sz w:val="20"/>
                <w:szCs w:val="20"/>
                <w:lang w:eastAsia="zh-CN"/>
              </w:rPr>
            </w:pPr>
            <w:r w:rsidRPr="00531AB4">
              <w:rPr>
                <w:sz w:val="20"/>
                <w:szCs w:val="20"/>
                <w:lang w:eastAsia="zh-CN"/>
              </w:rPr>
              <w:t>201</w:t>
            </w:r>
            <w:r>
              <w:rPr>
                <w:sz w:val="20"/>
                <w:szCs w:val="20"/>
                <w:lang w:eastAsia="zh-CN"/>
              </w:rPr>
              <w:t>6</w:t>
            </w:r>
            <w:r w:rsidRPr="00531AB4">
              <w:rPr>
                <w:sz w:val="20"/>
                <w:szCs w:val="20"/>
                <w:lang w:eastAsia="zh-CN"/>
              </w:rPr>
              <w:t>-201</w:t>
            </w:r>
            <w:r>
              <w:rPr>
                <w:sz w:val="20"/>
                <w:szCs w:val="20"/>
                <w:lang w:eastAsia="zh-CN"/>
              </w:rPr>
              <w:t>7</w:t>
            </w:r>
          </w:p>
        </w:tc>
        <w:tc>
          <w:tcPr>
            <w:tcW w:w="1327" w:type="dxa"/>
            <w:tcMar>
              <w:top w:w="0" w:type="dxa"/>
              <w:left w:w="108" w:type="dxa"/>
              <w:bottom w:w="0" w:type="dxa"/>
              <w:right w:w="108" w:type="dxa"/>
            </w:tcMar>
            <w:vAlign w:val="center"/>
          </w:tcPr>
          <w:p w14:paraId="3AA40BF4" w14:textId="77777777" w:rsidR="007936F2" w:rsidRPr="00531AB4" w:rsidRDefault="007936F2" w:rsidP="0069333B">
            <w:pPr>
              <w:jc w:val="center"/>
              <w:rPr>
                <w:color w:val="000000"/>
                <w:sz w:val="20"/>
                <w:szCs w:val="20"/>
                <w:lang w:eastAsia="zh-CN"/>
              </w:rPr>
            </w:pPr>
            <w:r>
              <w:rPr>
                <w:color w:val="000000"/>
                <w:sz w:val="20"/>
                <w:szCs w:val="20"/>
                <w:lang w:eastAsia="zh-CN"/>
              </w:rPr>
              <w:t>83,169</w:t>
            </w:r>
          </w:p>
        </w:tc>
        <w:tc>
          <w:tcPr>
            <w:tcW w:w="1440" w:type="dxa"/>
            <w:vAlign w:val="center"/>
          </w:tcPr>
          <w:p w14:paraId="426B65E2" w14:textId="77777777" w:rsidR="007936F2" w:rsidRDefault="007936F2" w:rsidP="0069333B">
            <w:pPr>
              <w:jc w:val="center"/>
              <w:rPr>
                <w:sz w:val="20"/>
                <w:szCs w:val="20"/>
                <w:lang w:eastAsia="zh-CN"/>
              </w:rPr>
            </w:pPr>
            <w:r>
              <w:rPr>
                <w:sz w:val="20"/>
                <w:szCs w:val="20"/>
                <w:lang w:eastAsia="zh-CN"/>
              </w:rPr>
              <w:t>2019 new cohort</w:t>
            </w:r>
          </w:p>
        </w:tc>
        <w:tc>
          <w:tcPr>
            <w:tcW w:w="990" w:type="dxa"/>
          </w:tcPr>
          <w:p w14:paraId="2D306B91" w14:textId="77777777" w:rsidR="007936F2" w:rsidRDefault="007936F2" w:rsidP="0069333B">
            <w:pPr>
              <w:jc w:val="center"/>
              <w:rPr>
                <w:sz w:val="20"/>
                <w:szCs w:val="20"/>
                <w:lang w:eastAsia="zh-CN"/>
              </w:rPr>
            </w:pPr>
            <w:r>
              <w:rPr>
                <w:sz w:val="20"/>
                <w:szCs w:val="20"/>
                <w:lang w:eastAsia="zh-CN"/>
              </w:rPr>
              <w:t>10,000</w:t>
            </w:r>
          </w:p>
        </w:tc>
      </w:tr>
      <w:tr w:rsidR="007936F2" w14:paraId="4FDC5D30" w14:textId="77777777" w:rsidTr="0069333B">
        <w:trPr>
          <w:cantSplit/>
          <w:trHeight w:val="269"/>
        </w:trPr>
        <w:tc>
          <w:tcPr>
            <w:tcW w:w="5310" w:type="dxa"/>
            <w:gridSpan w:val="3"/>
            <w:tcBorders>
              <w:bottom w:val="double" w:sz="4" w:space="0" w:color="auto"/>
            </w:tcBorders>
            <w:noWrap/>
            <w:tcMar>
              <w:top w:w="0" w:type="dxa"/>
              <w:left w:w="108" w:type="dxa"/>
              <w:bottom w:w="0" w:type="dxa"/>
              <w:right w:w="108" w:type="dxa"/>
            </w:tcMar>
            <w:vAlign w:val="center"/>
          </w:tcPr>
          <w:p w14:paraId="22C05946" w14:textId="77777777" w:rsidR="007936F2" w:rsidRPr="00531AB4" w:rsidRDefault="007936F2" w:rsidP="0069333B">
            <w:pPr>
              <w:jc w:val="center"/>
              <w:rPr>
                <w:sz w:val="20"/>
                <w:szCs w:val="20"/>
                <w:lang w:eastAsia="zh-CN"/>
              </w:rPr>
            </w:pPr>
            <w:r>
              <w:rPr>
                <w:sz w:val="20"/>
                <w:szCs w:val="20"/>
                <w:lang w:eastAsia="zh-CN"/>
              </w:rPr>
              <w:t>Total</w:t>
            </w:r>
          </w:p>
        </w:tc>
        <w:tc>
          <w:tcPr>
            <w:tcW w:w="1327" w:type="dxa"/>
            <w:tcBorders>
              <w:bottom w:val="double" w:sz="4" w:space="0" w:color="auto"/>
            </w:tcBorders>
            <w:tcMar>
              <w:top w:w="0" w:type="dxa"/>
              <w:left w:w="108" w:type="dxa"/>
              <w:bottom w:w="0" w:type="dxa"/>
              <w:right w:w="108" w:type="dxa"/>
            </w:tcMar>
            <w:vAlign w:val="center"/>
          </w:tcPr>
          <w:p w14:paraId="482D8767" w14:textId="77777777" w:rsidR="007936F2" w:rsidRDefault="007936F2" w:rsidP="0069333B">
            <w:pPr>
              <w:jc w:val="center"/>
              <w:rPr>
                <w:color w:val="000000"/>
                <w:sz w:val="20"/>
                <w:szCs w:val="20"/>
                <w:lang w:eastAsia="zh-CN"/>
              </w:rPr>
            </w:pPr>
            <w:r>
              <w:rPr>
                <w:color w:val="000000"/>
                <w:sz w:val="20"/>
                <w:szCs w:val="20"/>
                <w:lang w:eastAsia="zh-CN"/>
              </w:rPr>
              <w:t>1,156,689</w:t>
            </w:r>
          </w:p>
        </w:tc>
        <w:tc>
          <w:tcPr>
            <w:tcW w:w="1440" w:type="dxa"/>
            <w:tcBorders>
              <w:bottom w:val="double" w:sz="4" w:space="0" w:color="auto"/>
            </w:tcBorders>
            <w:vAlign w:val="center"/>
          </w:tcPr>
          <w:p w14:paraId="15B0645F" w14:textId="77777777" w:rsidR="007936F2" w:rsidRDefault="007936F2" w:rsidP="0069333B">
            <w:pPr>
              <w:jc w:val="center"/>
              <w:rPr>
                <w:sz w:val="20"/>
                <w:szCs w:val="20"/>
                <w:lang w:eastAsia="zh-CN"/>
              </w:rPr>
            </w:pPr>
          </w:p>
        </w:tc>
        <w:tc>
          <w:tcPr>
            <w:tcW w:w="990" w:type="dxa"/>
            <w:tcBorders>
              <w:bottom w:val="double" w:sz="4" w:space="0" w:color="auto"/>
            </w:tcBorders>
          </w:tcPr>
          <w:p w14:paraId="2B073DD8" w14:textId="77777777" w:rsidR="007936F2" w:rsidRDefault="007936F2" w:rsidP="0069333B">
            <w:pPr>
              <w:jc w:val="center"/>
              <w:rPr>
                <w:sz w:val="20"/>
                <w:szCs w:val="20"/>
                <w:lang w:eastAsia="zh-CN"/>
              </w:rPr>
            </w:pPr>
            <w:r>
              <w:rPr>
                <w:sz w:val="20"/>
                <w:szCs w:val="20"/>
                <w:lang w:eastAsia="zh-CN"/>
              </w:rPr>
              <w:t>120,000</w:t>
            </w:r>
          </w:p>
        </w:tc>
      </w:tr>
    </w:tbl>
    <w:p w14:paraId="74750CDF" w14:textId="77777777" w:rsidR="00896119" w:rsidRDefault="00896119" w:rsidP="007936F2">
      <w:pPr>
        <w:spacing w:after="120"/>
        <w:rPr>
          <w:b/>
        </w:rPr>
      </w:pPr>
    </w:p>
    <w:p w14:paraId="4B3843E6" w14:textId="02D3050A" w:rsidR="007936F2" w:rsidRPr="00545173" w:rsidRDefault="007936F2" w:rsidP="007936F2">
      <w:pPr>
        <w:spacing w:after="120"/>
        <w:rPr>
          <w:b/>
        </w:rPr>
      </w:pPr>
      <w:r w:rsidRPr="007E2986">
        <w:rPr>
          <w:b/>
        </w:rPr>
        <w:t>1.2 201</w:t>
      </w:r>
      <w:r>
        <w:rPr>
          <w:b/>
        </w:rPr>
        <w:t>9</w:t>
      </w:r>
      <w:r w:rsidRPr="007E2986">
        <w:rPr>
          <w:b/>
        </w:rPr>
        <w:t xml:space="preserve"> Sample Design</w:t>
      </w:r>
    </w:p>
    <w:p w14:paraId="6EADAA8F" w14:textId="49BAF974" w:rsidR="00556F01" w:rsidRPr="004C355D" w:rsidRDefault="007936F2" w:rsidP="00556F01">
      <w:pPr>
        <w:rPr>
          <w:sz w:val="22"/>
          <w:szCs w:val="22"/>
          <w:u w:val="single"/>
        </w:rPr>
      </w:pPr>
      <w:r>
        <w:rPr>
          <w:sz w:val="22"/>
          <w:szCs w:val="22"/>
        </w:rPr>
        <w:t>In the 2015 survey cycle, the SDR sample size increased</w:t>
      </w:r>
      <w:r w:rsidR="00E20D77">
        <w:rPr>
          <w:sz w:val="22"/>
          <w:szCs w:val="22"/>
        </w:rPr>
        <w:t xml:space="preserve"> from 4</w:t>
      </w:r>
      <w:r w:rsidR="00556F01">
        <w:rPr>
          <w:sz w:val="22"/>
          <w:szCs w:val="22"/>
        </w:rPr>
        <w:t>5</w:t>
      </w:r>
      <w:r w:rsidR="00E20D77">
        <w:rPr>
          <w:sz w:val="22"/>
          <w:szCs w:val="22"/>
        </w:rPr>
        <w:t>,000</w:t>
      </w:r>
      <w:r>
        <w:rPr>
          <w:sz w:val="22"/>
          <w:szCs w:val="22"/>
        </w:rPr>
        <w:t xml:space="preserve"> to 120,000 individuals to improve the estimation capabilities at the fine field of degree (FFOD) level as reported in the SED. </w:t>
      </w:r>
      <w:r w:rsidR="00DA3586">
        <w:rPr>
          <w:sz w:val="22"/>
          <w:szCs w:val="22"/>
        </w:rPr>
        <w:t xml:space="preserve">Over 200 </w:t>
      </w:r>
      <w:r>
        <w:rPr>
          <w:sz w:val="22"/>
          <w:szCs w:val="22"/>
        </w:rPr>
        <w:t xml:space="preserve">FFODs served as the explicit sampling strata in both the 2015 and 2017 sample design. </w:t>
      </w:r>
      <w:r w:rsidR="00E20D77">
        <w:rPr>
          <w:sz w:val="22"/>
          <w:szCs w:val="22"/>
        </w:rPr>
        <w:t>For the 2019 survey cycle, three adjustments to the SDR sample design were made based on feedback from SDR stakeholders in combination with evaluations of the reliability and utility of the 2015 and 2017 estimates at the 200+ FFOD stratification levels.</w:t>
      </w:r>
      <w:r w:rsidR="00556F01">
        <w:rPr>
          <w:sz w:val="22"/>
          <w:szCs w:val="22"/>
        </w:rPr>
        <w:t xml:space="preserve"> (See section A.8 </w:t>
      </w:r>
      <w:r w:rsidR="00556F01" w:rsidRPr="00707F37">
        <w:rPr>
          <w:i/>
          <w:sz w:val="22"/>
          <w:szCs w:val="22"/>
          <w:u w:val="single"/>
        </w:rPr>
        <w:t>Technical and analytical support for the SDR longitudinal design</w:t>
      </w:r>
      <w:r w:rsidR="00556F01" w:rsidRPr="004C355D">
        <w:rPr>
          <w:sz w:val="22"/>
          <w:szCs w:val="22"/>
          <w:u w:val="single"/>
        </w:rPr>
        <w:t>)</w:t>
      </w:r>
    </w:p>
    <w:p w14:paraId="10EC53B1" w14:textId="79C30ED3" w:rsidR="00E20D77" w:rsidRDefault="00E20D77" w:rsidP="00E20D77">
      <w:pPr>
        <w:pStyle w:val="ListParagraph"/>
        <w:numPr>
          <w:ilvl w:val="0"/>
          <w:numId w:val="92"/>
        </w:numPr>
      </w:pPr>
      <w:r w:rsidRPr="0033189B">
        <w:t xml:space="preserve">The first adjustment is to </w:t>
      </w:r>
      <w:r>
        <w:t xml:space="preserve">the </w:t>
      </w:r>
      <w:r w:rsidRPr="0033189B">
        <w:t>sample</w:t>
      </w:r>
      <w:r>
        <w:t xml:space="preserve"> selection</w:t>
      </w:r>
      <w:r w:rsidRPr="0033189B">
        <w:t xml:space="preserve"> stratification.</w:t>
      </w:r>
      <w:r w:rsidRPr="006551B4">
        <w:t xml:space="preserve"> </w:t>
      </w:r>
      <w:r w:rsidRPr="00E20D77">
        <w:t xml:space="preserve">The 2015 and 2017 sampling strata of over 200 FFODs are replaced by a set of 308 sampling strata defined by crossing 77 detailed fields of degree (DFOD) with gender </w:t>
      </w:r>
      <w:r>
        <w:t>(2 categories: male and female)</w:t>
      </w:r>
      <w:r w:rsidRPr="0033189B">
        <w:t xml:space="preserve"> </w:t>
      </w:r>
      <w:r w:rsidRPr="00E20D77">
        <w:t>and underrepresented minority (URM) status</w:t>
      </w:r>
      <w:r>
        <w:t xml:space="preserve"> (2 categories: URM and non-URM)</w:t>
      </w:r>
      <w:r w:rsidRPr="0033189B">
        <w:t>. These stratification changes are designed to produce high quality estimates for population subgroups that can be supported by the sample and are aligned with the NCSES taxonomy of disciplines (TOD).</w:t>
      </w:r>
    </w:p>
    <w:p w14:paraId="3CA0A08F" w14:textId="1D0D6611" w:rsidR="00E20D77" w:rsidRDefault="00E20D77" w:rsidP="00E20D77">
      <w:pPr>
        <w:pStyle w:val="ListParagraph"/>
        <w:numPr>
          <w:ilvl w:val="0"/>
          <w:numId w:val="92"/>
        </w:numPr>
      </w:pPr>
      <w:r w:rsidRPr="006551B4">
        <w:t xml:space="preserve">The second adjustment is to </w:t>
      </w:r>
      <w:r>
        <w:t xml:space="preserve">the </w:t>
      </w:r>
      <w:r w:rsidRPr="006551B4">
        <w:t xml:space="preserve">estimation precision requirements. Instead of setting </w:t>
      </w:r>
      <w:r>
        <w:t xml:space="preserve">the precision </w:t>
      </w:r>
      <w:r w:rsidRPr="006551B4">
        <w:t>requirements at the FFOD level as</w:t>
      </w:r>
      <w:r w:rsidRPr="0033189B">
        <w:t xml:space="preserve"> </w:t>
      </w:r>
      <w:r>
        <w:t>was done</w:t>
      </w:r>
      <w:r w:rsidRPr="006551B4">
        <w:t xml:space="preserve"> in the 2015 and 2017 cycles, the estimation precision requirements are set for three levels of aggregation over the 308 sampling strata</w:t>
      </w:r>
      <w:r>
        <w:t xml:space="preserve">. The estimation precision requirements are included </w:t>
      </w:r>
      <w:r w:rsidRPr="0033189B">
        <w:t xml:space="preserve">in Table 2. </w:t>
      </w:r>
    </w:p>
    <w:p w14:paraId="4340403A" w14:textId="77777777" w:rsidR="007936F2" w:rsidRDefault="007936F2" w:rsidP="007936F2">
      <w:pPr>
        <w:rPr>
          <w:sz w:val="22"/>
          <w:szCs w:val="22"/>
        </w:rPr>
      </w:pPr>
    </w:p>
    <w:p w14:paraId="12ECD21B" w14:textId="77777777" w:rsidR="007936F2" w:rsidRDefault="007936F2" w:rsidP="00954D55">
      <w:pPr>
        <w:ind w:firstLine="720"/>
        <w:rPr>
          <w:b/>
          <w:sz w:val="22"/>
          <w:szCs w:val="22"/>
        </w:rPr>
      </w:pPr>
      <w:r w:rsidRPr="006F18E5">
        <w:rPr>
          <w:b/>
          <w:sz w:val="22"/>
          <w:szCs w:val="22"/>
        </w:rPr>
        <w:t xml:space="preserve">Table </w:t>
      </w:r>
      <w:r>
        <w:rPr>
          <w:b/>
          <w:sz w:val="22"/>
          <w:szCs w:val="22"/>
        </w:rPr>
        <w:t>2</w:t>
      </w:r>
      <w:r w:rsidRPr="006F18E5">
        <w:rPr>
          <w:b/>
          <w:sz w:val="22"/>
          <w:szCs w:val="22"/>
        </w:rPr>
        <w:t>: The 201</w:t>
      </w:r>
      <w:r>
        <w:rPr>
          <w:b/>
          <w:sz w:val="22"/>
          <w:szCs w:val="22"/>
        </w:rPr>
        <w:t>9</w:t>
      </w:r>
      <w:r w:rsidRPr="006F18E5">
        <w:rPr>
          <w:b/>
          <w:sz w:val="22"/>
          <w:szCs w:val="22"/>
        </w:rPr>
        <w:t xml:space="preserve"> SDR </w:t>
      </w:r>
      <w:r>
        <w:rPr>
          <w:b/>
          <w:sz w:val="22"/>
          <w:szCs w:val="22"/>
        </w:rPr>
        <w:t>Overall Precision Requirements</w:t>
      </w:r>
    </w:p>
    <w:tbl>
      <w:tblPr>
        <w:tblStyle w:val="TableGrid"/>
        <w:tblW w:w="0" w:type="auto"/>
        <w:tblInd w:w="720" w:type="dxa"/>
        <w:tblLook w:val="04A0" w:firstRow="1" w:lastRow="0" w:firstColumn="1" w:lastColumn="0" w:noHBand="0" w:noVBand="1"/>
      </w:tblPr>
      <w:tblGrid>
        <w:gridCol w:w="1975"/>
        <w:gridCol w:w="2700"/>
        <w:gridCol w:w="3240"/>
      </w:tblGrid>
      <w:tr w:rsidR="007936F2" w14:paraId="014E01BC" w14:textId="77777777" w:rsidTr="00954D55">
        <w:tc>
          <w:tcPr>
            <w:tcW w:w="1975" w:type="dxa"/>
          </w:tcPr>
          <w:p w14:paraId="4ECC9851" w14:textId="77777777" w:rsidR="007936F2" w:rsidRDefault="007936F2" w:rsidP="0069333B">
            <w:pPr>
              <w:rPr>
                <w:sz w:val="22"/>
                <w:szCs w:val="22"/>
              </w:rPr>
            </w:pPr>
            <w:r>
              <w:rPr>
                <w:sz w:val="22"/>
                <w:szCs w:val="22"/>
              </w:rPr>
              <w:t>Domain</w:t>
            </w:r>
          </w:p>
        </w:tc>
        <w:tc>
          <w:tcPr>
            <w:tcW w:w="2700" w:type="dxa"/>
          </w:tcPr>
          <w:p w14:paraId="19FC4D9F" w14:textId="77777777" w:rsidR="007936F2" w:rsidRDefault="007936F2" w:rsidP="0069333B">
            <w:pPr>
              <w:jc w:val="center"/>
              <w:rPr>
                <w:sz w:val="22"/>
                <w:szCs w:val="22"/>
              </w:rPr>
            </w:pPr>
            <w:r>
              <w:rPr>
                <w:sz w:val="22"/>
                <w:szCs w:val="22"/>
              </w:rPr>
              <w:t>Margin of Error</w:t>
            </w:r>
          </w:p>
        </w:tc>
        <w:tc>
          <w:tcPr>
            <w:tcW w:w="3240" w:type="dxa"/>
          </w:tcPr>
          <w:p w14:paraId="7F3A7957" w14:textId="77777777" w:rsidR="007936F2" w:rsidRDefault="007936F2" w:rsidP="0069333B">
            <w:pPr>
              <w:jc w:val="center"/>
              <w:rPr>
                <w:sz w:val="22"/>
                <w:szCs w:val="22"/>
              </w:rPr>
            </w:pPr>
            <w:r>
              <w:rPr>
                <w:sz w:val="22"/>
                <w:szCs w:val="22"/>
              </w:rPr>
              <w:t>Minimum Number of Completes</w:t>
            </w:r>
          </w:p>
        </w:tc>
      </w:tr>
      <w:tr w:rsidR="007936F2" w14:paraId="46B94AAD" w14:textId="77777777" w:rsidTr="00954D55">
        <w:tc>
          <w:tcPr>
            <w:tcW w:w="1975" w:type="dxa"/>
          </w:tcPr>
          <w:p w14:paraId="28A537FB" w14:textId="77777777" w:rsidR="007936F2" w:rsidRDefault="007936F2" w:rsidP="0069333B">
            <w:pPr>
              <w:rPr>
                <w:sz w:val="22"/>
                <w:szCs w:val="22"/>
              </w:rPr>
            </w:pPr>
            <w:r>
              <w:rPr>
                <w:sz w:val="22"/>
                <w:szCs w:val="22"/>
              </w:rPr>
              <w:t>DFOD</w:t>
            </w:r>
          </w:p>
        </w:tc>
        <w:tc>
          <w:tcPr>
            <w:tcW w:w="2700" w:type="dxa"/>
          </w:tcPr>
          <w:p w14:paraId="656151E1" w14:textId="77777777" w:rsidR="007936F2" w:rsidRDefault="007936F2" w:rsidP="0069333B">
            <w:pPr>
              <w:jc w:val="center"/>
              <w:rPr>
                <w:sz w:val="22"/>
                <w:szCs w:val="22"/>
              </w:rPr>
            </w:pPr>
            <w:r>
              <w:rPr>
                <w:sz w:val="22"/>
                <w:szCs w:val="22"/>
              </w:rPr>
              <w:t>5%</w:t>
            </w:r>
          </w:p>
        </w:tc>
        <w:tc>
          <w:tcPr>
            <w:tcW w:w="3240" w:type="dxa"/>
          </w:tcPr>
          <w:p w14:paraId="618F04D5" w14:textId="77777777" w:rsidR="007936F2" w:rsidRDefault="007936F2" w:rsidP="0069333B">
            <w:pPr>
              <w:jc w:val="center"/>
              <w:rPr>
                <w:sz w:val="22"/>
                <w:szCs w:val="22"/>
              </w:rPr>
            </w:pPr>
            <w:r>
              <w:rPr>
                <w:sz w:val="22"/>
                <w:szCs w:val="22"/>
              </w:rPr>
              <w:t>270</w:t>
            </w:r>
          </w:p>
        </w:tc>
      </w:tr>
      <w:tr w:rsidR="007936F2" w14:paraId="6EF59264" w14:textId="77777777" w:rsidTr="00954D55">
        <w:tc>
          <w:tcPr>
            <w:tcW w:w="1975" w:type="dxa"/>
          </w:tcPr>
          <w:p w14:paraId="4D72ACE2" w14:textId="77777777" w:rsidR="007936F2" w:rsidRDefault="007936F2" w:rsidP="0069333B">
            <w:pPr>
              <w:rPr>
                <w:sz w:val="22"/>
                <w:szCs w:val="22"/>
              </w:rPr>
            </w:pPr>
            <w:r>
              <w:rPr>
                <w:sz w:val="22"/>
                <w:szCs w:val="22"/>
              </w:rPr>
              <w:t>DFOD x SEX</w:t>
            </w:r>
          </w:p>
        </w:tc>
        <w:tc>
          <w:tcPr>
            <w:tcW w:w="2700" w:type="dxa"/>
          </w:tcPr>
          <w:p w14:paraId="435F325E" w14:textId="77777777" w:rsidR="007936F2" w:rsidRDefault="007936F2" w:rsidP="0069333B">
            <w:pPr>
              <w:jc w:val="center"/>
              <w:rPr>
                <w:sz w:val="22"/>
                <w:szCs w:val="22"/>
              </w:rPr>
            </w:pPr>
            <w:r>
              <w:rPr>
                <w:sz w:val="22"/>
                <w:szCs w:val="22"/>
              </w:rPr>
              <w:t>6%</w:t>
            </w:r>
          </w:p>
        </w:tc>
        <w:tc>
          <w:tcPr>
            <w:tcW w:w="3240" w:type="dxa"/>
          </w:tcPr>
          <w:p w14:paraId="361C18F0" w14:textId="77777777" w:rsidR="007936F2" w:rsidRDefault="007936F2" w:rsidP="0069333B">
            <w:pPr>
              <w:jc w:val="center"/>
              <w:rPr>
                <w:sz w:val="22"/>
                <w:szCs w:val="22"/>
              </w:rPr>
            </w:pPr>
            <w:r>
              <w:rPr>
                <w:sz w:val="22"/>
                <w:szCs w:val="22"/>
              </w:rPr>
              <w:t>190</w:t>
            </w:r>
          </w:p>
        </w:tc>
      </w:tr>
      <w:tr w:rsidR="007936F2" w14:paraId="781A9193" w14:textId="77777777" w:rsidTr="00954D55">
        <w:tc>
          <w:tcPr>
            <w:tcW w:w="1975" w:type="dxa"/>
          </w:tcPr>
          <w:p w14:paraId="5DFDF30C" w14:textId="77777777" w:rsidR="007936F2" w:rsidRDefault="007936F2" w:rsidP="0069333B">
            <w:pPr>
              <w:rPr>
                <w:sz w:val="22"/>
                <w:szCs w:val="22"/>
              </w:rPr>
            </w:pPr>
            <w:r>
              <w:rPr>
                <w:sz w:val="22"/>
                <w:szCs w:val="22"/>
              </w:rPr>
              <w:t>DFOD x URM</w:t>
            </w:r>
          </w:p>
        </w:tc>
        <w:tc>
          <w:tcPr>
            <w:tcW w:w="2700" w:type="dxa"/>
          </w:tcPr>
          <w:p w14:paraId="726202C6" w14:textId="77777777" w:rsidR="007936F2" w:rsidRDefault="007936F2" w:rsidP="0069333B">
            <w:pPr>
              <w:jc w:val="center"/>
              <w:rPr>
                <w:sz w:val="22"/>
                <w:szCs w:val="22"/>
              </w:rPr>
            </w:pPr>
            <w:r>
              <w:rPr>
                <w:sz w:val="22"/>
                <w:szCs w:val="22"/>
              </w:rPr>
              <w:t>7%</w:t>
            </w:r>
          </w:p>
        </w:tc>
        <w:tc>
          <w:tcPr>
            <w:tcW w:w="3240" w:type="dxa"/>
          </w:tcPr>
          <w:p w14:paraId="351169F4" w14:textId="77777777" w:rsidR="007936F2" w:rsidRDefault="007936F2" w:rsidP="0069333B">
            <w:pPr>
              <w:jc w:val="center"/>
              <w:rPr>
                <w:sz w:val="22"/>
                <w:szCs w:val="22"/>
              </w:rPr>
            </w:pPr>
            <w:r>
              <w:rPr>
                <w:sz w:val="22"/>
                <w:szCs w:val="22"/>
              </w:rPr>
              <w:t>135</w:t>
            </w:r>
          </w:p>
        </w:tc>
      </w:tr>
    </w:tbl>
    <w:p w14:paraId="6BCF9075" w14:textId="77777777" w:rsidR="00E325F4" w:rsidRDefault="00E325F4" w:rsidP="007936F2">
      <w:pPr>
        <w:rPr>
          <w:sz w:val="22"/>
          <w:szCs w:val="22"/>
        </w:rPr>
      </w:pPr>
    </w:p>
    <w:p w14:paraId="2E4FAFBC" w14:textId="7E1EDB0C" w:rsidR="007936F2" w:rsidRDefault="007936F2" w:rsidP="00954D55">
      <w:pPr>
        <w:ind w:left="720"/>
        <w:rPr>
          <w:sz w:val="22"/>
          <w:szCs w:val="22"/>
        </w:rPr>
      </w:pPr>
      <w:r w:rsidRPr="001D5E50">
        <w:rPr>
          <w:sz w:val="22"/>
          <w:szCs w:val="22"/>
        </w:rPr>
        <w:t xml:space="preserve">In Table 2, the margin of error is two times </w:t>
      </w:r>
      <w:r w:rsidR="00E325F4">
        <w:rPr>
          <w:sz w:val="22"/>
          <w:szCs w:val="22"/>
        </w:rPr>
        <w:t xml:space="preserve">that </w:t>
      </w:r>
      <w:r w:rsidRPr="001D5E50">
        <w:rPr>
          <w:sz w:val="22"/>
          <w:szCs w:val="22"/>
        </w:rPr>
        <w:t xml:space="preserve">of the standard error associated with estimating a population proportion of 50% at the 90% confidence level.  The last column shows the </w:t>
      </w:r>
      <w:r w:rsidR="00B61A1C">
        <w:rPr>
          <w:sz w:val="22"/>
          <w:szCs w:val="22"/>
        </w:rPr>
        <w:t xml:space="preserve">estimated </w:t>
      </w:r>
      <w:r w:rsidRPr="001D5E50">
        <w:rPr>
          <w:sz w:val="22"/>
          <w:szCs w:val="22"/>
        </w:rPr>
        <w:t>required number of complete</w:t>
      </w:r>
      <w:r w:rsidR="00E325F4">
        <w:rPr>
          <w:sz w:val="22"/>
          <w:szCs w:val="22"/>
        </w:rPr>
        <w:t>d</w:t>
      </w:r>
      <w:r w:rsidRPr="001D5E50">
        <w:rPr>
          <w:sz w:val="22"/>
          <w:szCs w:val="22"/>
        </w:rPr>
        <w:t xml:space="preserve"> surveys to achieve the precision requirement per domain.</w:t>
      </w:r>
    </w:p>
    <w:p w14:paraId="56DCAAB9" w14:textId="1F09D232" w:rsidR="00954D55" w:rsidRDefault="00954D55" w:rsidP="00954D55">
      <w:pPr>
        <w:pStyle w:val="ListParagraph"/>
        <w:numPr>
          <w:ilvl w:val="0"/>
          <w:numId w:val="93"/>
        </w:numPr>
      </w:pPr>
      <w:r w:rsidRPr="006551B4">
        <w:t xml:space="preserve">The third adjustment is to the returning cohort’s retention </w:t>
      </w:r>
      <w:r w:rsidRPr="008D2533">
        <w:t xml:space="preserve">rule. </w:t>
      </w:r>
      <w:r>
        <w:t>F</w:t>
      </w:r>
      <w:r w:rsidRPr="00D305B1">
        <w:t xml:space="preserve">or </w:t>
      </w:r>
      <w:r>
        <w:t xml:space="preserve">the </w:t>
      </w:r>
      <w:r w:rsidRPr="00D305B1">
        <w:t>2019</w:t>
      </w:r>
      <w:r>
        <w:t xml:space="preserve"> SDR survey cycle</w:t>
      </w:r>
      <w:r w:rsidRPr="00D305B1">
        <w:t xml:space="preserve"> and beyond, sample cases are dropped from subsequent cycles if they did not respond in the </w:t>
      </w:r>
      <w:r w:rsidRPr="00B922B0">
        <w:t xml:space="preserve">preceding two cycles of data collection after entering the SDR. </w:t>
      </w:r>
      <w:r>
        <w:t xml:space="preserve">This is a change from previous cycles where </w:t>
      </w:r>
      <w:r w:rsidRPr="0033189B">
        <w:t xml:space="preserve">all previously sampled cases </w:t>
      </w:r>
      <w:r>
        <w:t xml:space="preserve">were carried forward </w:t>
      </w:r>
      <w:r w:rsidRPr="00D305B1">
        <w:t>regardless of prior response status</w:t>
      </w:r>
      <w:r w:rsidR="00162B79">
        <w:t xml:space="preserve">. This decision was made in response to the cost inefficiencies of including these nonresponding cases in subsequent survey cycles. </w:t>
      </w:r>
    </w:p>
    <w:p w14:paraId="6A8E6C0C" w14:textId="6F733F45" w:rsidR="00954D55" w:rsidRPr="00E1581A" w:rsidRDefault="00954D55" w:rsidP="00954D55">
      <w:pPr>
        <w:pStyle w:val="ListParagraph"/>
        <w:numPr>
          <w:ilvl w:val="0"/>
          <w:numId w:val="0"/>
        </w:numPr>
        <w:ind w:left="720"/>
      </w:pPr>
      <w:r>
        <w:lastRenderedPageBreak/>
        <w:t>As part of the implementation of t</w:t>
      </w:r>
      <w:r w:rsidRPr="00E1581A">
        <w:t>his new rule</w:t>
      </w:r>
      <w:r>
        <w:t xml:space="preserve"> during the 2019 SDR, it</w:t>
      </w:r>
      <w:r w:rsidRPr="00E1581A">
        <w:t xml:space="preserve"> is applicable only to sample cases </w:t>
      </w:r>
      <w:r>
        <w:t xml:space="preserve">that </w:t>
      </w:r>
      <w:r w:rsidRPr="00E1581A">
        <w:t xml:space="preserve">entered in the 2015 </w:t>
      </w:r>
      <w:r>
        <w:t xml:space="preserve">SDR survey </w:t>
      </w:r>
      <w:r w:rsidRPr="00E1581A">
        <w:t>cycle. After dropping the</w:t>
      </w:r>
      <w:r>
        <w:t xml:space="preserve"> cases new to the SDR in 2015 that did not respond in </w:t>
      </w:r>
      <w:r w:rsidRPr="00E1581A">
        <w:t xml:space="preserve">2015 </w:t>
      </w:r>
      <w:r>
        <w:t>or</w:t>
      </w:r>
      <w:r w:rsidRPr="00E1581A">
        <w:t xml:space="preserve"> 2017 (n=25,066), the sample representation of the 2015 SDR target population </w:t>
      </w:r>
      <w:r>
        <w:t>will be boosted in the 2019 SDR by</w:t>
      </w:r>
      <w:r w:rsidRPr="00E1581A">
        <w:t xml:space="preserve"> </w:t>
      </w:r>
      <w:r>
        <w:t>including a</w:t>
      </w:r>
      <w:r w:rsidRPr="00E1581A">
        <w:t xml:space="preserve"> supplemental sample of 14,564 cases selected from the 2015 DRF. Th</w:t>
      </w:r>
      <w:r>
        <w:t>is</w:t>
      </w:r>
      <w:r w:rsidRPr="00E1581A">
        <w:t xml:space="preserve"> supplemental sample also serves the purpose of </w:t>
      </w:r>
      <w:r>
        <w:t xml:space="preserve">aligning </w:t>
      </w:r>
      <w:r w:rsidRPr="00E1581A">
        <w:t>the overall 2019 sample</w:t>
      </w:r>
      <w:r>
        <w:t xml:space="preserve"> size with</w:t>
      </w:r>
      <w:r w:rsidR="00421EDD">
        <w:t xml:space="preserve"> </w:t>
      </w:r>
      <w:r>
        <w:t xml:space="preserve">the overall </w:t>
      </w:r>
      <w:r w:rsidRPr="00E1581A">
        <w:t xml:space="preserve">sample size </w:t>
      </w:r>
      <w:r>
        <w:t>goal of 120,000</w:t>
      </w:r>
      <w:r w:rsidRPr="00E1581A">
        <w:t>.</w:t>
      </w:r>
    </w:p>
    <w:p w14:paraId="6CB99113" w14:textId="77777777" w:rsidR="00954D55" w:rsidRPr="00D22F67" w:rsidRDefault="00954D55" w:rsidP="007936F2">
      <w:pPr>
        <w:rPr>
          <w:sz w:val="22"/>
          <w:szCs w:val="22"/>
        </w:rPr>
      </w:pPr>
    </w:p>
    <w:p w14:paraId="5189A66C" w14:textId="335812BF" w:rsidR="007936F2" w:rsidRPr="00084552" w:rsidRDefault="007936F2" w:rsidP="007936F2">
      <w:pPr>
        <w:rPr>
          <w:sz w:val="22"/>
          <w:szCs w:val="22"/>
        </w:rPr>
      </w:pPr>
      <w:r>
        <w:rPr>
          <w:sz w:val="22"/>
          <w:szCs w:val="22"/>
        </w:rPr>
        <w:t>The 2015 and 2017 SDR</w:t>
      </w:r>
      <w:r w:rsidRPr="003C4997">
        <w:rPr>
          <w:sz w:val="22"/>
          <w:szCs w:val="22"/>
        </w:rPr>
        <w:t xml:space="preserve"> feature</w:t>
      </w:r>
      <w:r>
        <w:rPr>
          <w:sz w:val="22"/>
          <w:szCs w:val="22"/>
        </w:rPr>
        <w:t>d</w:t>
      </w:r>
      <w:r w:rsidRPr="003C4997">
        <w:rPr>
          <w:sz w:val="22"/>
          <w:szCs w:val="22"/>
        </w:rPr>
        <w:t xml:space="preserve"> oversampling of under-represented minorities</w:t>
      </w:r>
      <w:r>
        <w:rPr>
          <w:sz w:val="22"/>
          <w:szCs w:val="22"/>
        </w:rPr>
        <w:t xml:space="preserve"> and</w:t>
      </w:r>
      <w:r w:rsidRPr="003C4997">
        <w:rPr>
          <w:sz w:val="22"/>
          <w:szCs w:val="22"/>
        </w:rPr>
        <w:t xml:space="preserve"> women within each sampling stratum. Oversampling of URM and women allows the</w:t>
      </w:r>
      <w:r>
        <w:rPr>
          <w:sz w:val="22"/>
          <w:szCs w:val="22"/>
        </w:rPr>
        <w:t xml:space="preserve"> SDR</w:t>
      </w:r>
      <w:r w:rsidRPr="003C4997">
        <w:rPr>
          <w:sz w:val="22"/>
          <w:szCs w:val="22"/>
        </w:rPr>
        <w:t xml:space="preserve"> </w:t>
      </w:r>
      <w:r w:rsidRPr="005D56B7">
        <w:rPr>
          <w:sz w:val="22"/>
          <w:szCs w:val="22"/>
        </w:rPr>
        <w:t>sample to sustain the estimation capabilities under the</w:t>
      </w:r>
      <w:r>
        <w:rPr>
          <w:sz w:val="22"/>
          <w:szCs w:val="22"/>
        </w:rPr>
        <w:t xml:space="preserve"> 2013 and</w:t>
      </w:r>
      <w:r w:rsidRPr="005D56B7">
        <w:rPr>
          <w:sz w:val="22"/>
          <w:szCs w:val="22"/>
        </w:rPr>
        <w:t xml:space="preserve"> prior </w:t>
      </w:r>
      <w:r w:rsidR="00E325F4">
        <w:rPr>
          <w:sz w:val="22"/>
          <w:szCs w:val="22"/>
        </w:rPr>
        <w:t xml:space="preserve">cycles’ </w:t>
      </w:r>
      <w:r w:rsidRPr="005D56B7">
        <w:rPr>
          <w:sz w:val="22"/>
          <w:szCs w:val="22"/>
        </w:rPr>
        <w:t>SDR design.</w:t>
      </w:r>
      <w:r w:rsidRPr="00CD2205">
        <w:rPr>
          <w:sz w:val="22"/>
          <w:szCs w:val="22"/>
        </w:rPr>
        <w:t xml:space="preserve"> </w:t>
      </w:r>
      <w:r>
        <w:rPr>
          <w:sz w:val="22"/>
          <w:szCs w:val="22"/>
        </w:rPr>
        <w:t>This feature is ensured under the 2019 sample design. The 2019 design uses gender and URM indicator</w:t>
      </w:r>
      <w:r w:rsidR="00E325F4">
        <w:rPr>
          <w:sz w:val="22"/>
          <w:szCs w:val="22"/>
        </w:rPr>
        <w:t>s</w:t>
      </w:r>
      <w:r>
        <w:rPr>
          <w:sz w:val="22"/>
          <w:szCs w:val="22"/>
        </w:rPr>
        <w:t xml:space="preserve"> explicitly to define sampling strata, coupled with estimation precision requirements set at a level to guarantee that women and URM are oversampled at the level similar to past designs. For the new cohort sample and the supplement</w:t>
      </w:r>
      <w:r w:rsidR="00E325F4">
        <w:rPr>
          <w:sz w:val="22"/>
          <w:szCs w:val="22"/>
        </w:rPr>
        <w:t>al</w:t>
      </w:r>
      <w:r>
        <w:rPr>
          <w:sz w:val="22"/>
          <w:szCs w:val="22"/>
        </w:rPr>
        <w:t xml:space="preserve"> sample selection, d</w:t>
      </w:r>
      <w:r w:rsidRPr="00CD2205">
        <w:rPr>
          <w:sz w:val="22"/>
          <w:szCs w:val="22"/>
        </w:rPr>
        <w:t xml:space="preserve">emographic variables used for stratification in previous sample designs, such as </w:t>
      </w:r>
      <w:r>
        <w:rPr>
          <w:sz w:val="22"/>
          <w:szCs w:val="22"/>
        </w:rPr>
        <w:t xml:space="preserve">detailed race/ethnicity categories, </w:t>
      </w:r>
      <w:r w:rsidRPr="00CD2205">
        <w:rPr>
          <w:sz w:val="22"/>
          <w:szCs w:val="22"/>
        </w:rPr>
        <w:t>citizenship at birth, predicted resident l</w:t>
      </w:r>
      <w:r w:rsidRPr="00084552">
        <w:rPr>
          <w:sz w:val="22"/>
          <w:szCs w:val="22"/>
        </w:rPr>
        <w:t xml:space="preserve">ocation, </w:t>
      </w:r>
      <w:r>
        <w:rPr>
          <w:sz w:val="22"/>
          <w:szCs w:val="22"/>
        </w:rPr>
        <w:t xml:space="preserve">FFOD, disability indicator, age, </w:t>
      </w:r>
      <w:r w:rsidRPr="00084552">
        <w:rPr>
          <w:sz w:val="22"/>
          <w:szCs w:val="22"/>
        </w:rPr>
        <w:t>and doctorate award year, are used as sorting variables within each stratum to impose an implicit stratification to improve their representation in the sample.</w:t>
      </w:r>
      <w:r>
        <w:rPr>
          <w:sz w:val="22"/>
          <w:szCs w:val="22"/>
        </w:rPr>
        <w:t xml:space="preserve"> The new cohort sample was selected systematically with equal probability within each stratum. The supplemental sample is selected via a systematic probability proportional to size (PPS) method. The purpose of using </w:t>
      </w:r>
      <w:r w:rsidR="00E325F4">
        <w:rPr>
          <w:sz w:val="22"/>
          <w:szCs w:val="22"/>
        </w:rPr>
        <w:t xml:space="preserve">a </w:t>
      </w:r>
      <w:r>
        <w:rPr>
          <w:sz w:val="22"/>
          <w:szCs w:val="22"/>
        </w:rPr>
        <w:t>PPS method is to oversample frame cases that have responded better in the most recent SDR cycles.</w:t>
      </w:r>
    </w:p>
    <w:p w14:paraId="28C2513B" w14:textId="77777777" w:rsidR="007936F2" w:rsidRPr="00EC5BE8" w:rsidRDefault="007936F2" w:rsidP="007936F2">
      <w:pPr>
        <w:ind w:left="360" w:hanging="360"/>
        <w:rPr>
          <w:rStyle w:val="MemoBody"/>
          <w:sz w:val="22"/>
          <w:szCs w:val="22"/>
        </w:rPr>
      </w:pPr>
    </w:p>
    <w:p w14:paraId="23BB4399" w14:textId="6709138E" w:rsidR="007936F2" w:rsidRDefault="007936F2" w:rsidP="0093786D">
      <w:pPr>
        <w:rPr>
          <w:rStyle w:val="MemoBody"/>
          <w:sz w:val="22"/>
          <w:szCs w:val="22"/>
        </w:rPr>
      </w:pPr>
      <w:r w:rsidRPr="00EC5BE8">
        <w:rPr>
          <w:rStyle w:val="MemoBody"/>
          <w:sz w:val="22"/>
          <w:szCs w:val="22"/>
        </w:rPr>
        <w:t>The 201</w:t>
      </w:r>
      <w:r>
        <w:rPr>
          <w:rStyle w:val="MemoBody"/>
          <w:sz w:val="22"/>
          <w:szCs w:val="22"/>
        </w:rPr>
        <w:t>9</w:t>
      </w:r>
      <w:r w:rsidRPr="00EC5BE8">
        <w:rPr>
          <w:rStyle w:val="MemoBody"/>
          <w:sz w:val="22"/>
          <w:szCs w:val="22"/>
        </w:rPr>
        <w:t xml:space="preserve"> SDR sample allocation </w:t>
      </w:r>
      <w:r>
        <w:rPr>
          <w:rStyle w:val="MemoBody"/>
          <w:sz w:val="22"/>
          <w:szCs w:val="22"/>
        </w:rPr>
        <w:t>follows an iterative</w:t>
      </w:r>
      <w:r w:rsidRPr="00EC5BE8">
        <w:rPr>
          <w:rStyle w:val="MemoBody"/>
          <w:sz w:val="22"/>
          <w:szCs w:val="22"/>
        </w:rPr>
        <w:t xml:space="preserve"> process</w:t>
      </w:r>
      <w:r>
        <w:rPr>
          <w:rStyle w:val="MemoBody"/>
          <w:sz w:val="22"/>
          <w:szCs w:val="22"/>
        </w:rPr>
        <w:t xml:space="preserve"> of gradually adjusting the initial proportional to population size allocation to meet all levels of estimation precision requirements set in Table 2. This set of allocation is considered the expected allocation under the 2019 sample design. The expected allocation at the stratum level is used to determine the stratum level allocation only for the new cohort and the supplemental sample. The eligible returning sample cases are not affected by the expected allocation. The new cohort allocation is assigned by multiplying the expected allocation and the proportion of new cohort on the population for each stratum.  For the supplemental sample, the proportional share of the portion </w:t>
      </w:r>
      <w:r w:rsidR="00E325F4">
        <w:rPr>
          <w:rStyle w:val="MemoBody"/>
          <w:sz w:val="22"/>
          <w:szCs w:val="22"/>
        </w:rPr>
        <w:t xml:space="preserve">that </w:t>
      </w:r>
      <w:r>
        <w:rPr>
          <w:rStyle w:val="MemoBody"/>
          <w:sz w:val="22"/>
          <w:szCs w:val="22"/>
        </w:rPr>
        <w:t xml:space="preserve">corresponds to the 2015 target population </w:t>
      </w:r>
      <w:r w:rsidR="00867BF7">
        <w:rPr>
          <w:rStyle w:val="MemoBody"/>
          <w:sz w:val="22"/>
          <w:szCs w:val="22"/>
        </w:rPr>
        <w:t xml:space="preserve">after </w:t>
      </w:r>
      <w:r>
        <w:rPr>
          <w:rStyle w:val="MemoBody"/>
          <w:sz w:val="22"/>
          <w:szCs w:val="22"/>
        </w:rPr>
        <w:t>subtract</w:t>
      </w:r>
      <w:r w:rsidR="00867BF7">
        <w:rPr>
          <w:rStyle w:val="MemoBody"/>
          <w:sz w:val="22"/>
          <w:szCs w:val="22"/>
        </w:rPr>
        <w:t>ing</w:t>
      </w:r>
      <w:r>
        <w:rPr>
          <w:rStyle w:val="MemoBody"/>
          <w:sz w:val="22"/>
          <w:szCs w:val="22"/>
        </w:rPr>
        <w:t xml:space="preserve"> the number of returning 2015 old cohort cases is the needed supplement allocation. However, the total needed supplement </w:t>
      </w:r>
      <w:r w:rsidR="00F6367C">
        <w:rPr>
          <w:rStyle w:val="MemoBody"/>
          <w:sz w:val="22"/>
          <w:szCs w:val="22"/>
        </w:rPr>
        <w:t xml:space="preserve">allocation </w:t>
      </w:r>
      <w:r>
        <w:rPr>
          <w:rStyle w:val="MemoBody"/>
          <w:sz w:val="22"/>
          <w:szCs w:val="22"/>
        </w:rPr>
        <w:t xml:space="preserve">exceeds the pre-determined sample size of the supplemental sample. As a result, for all strata needing supplement, the final allocation filled at least 80% of the expected proportional allocation. </w:t>
      </w:r>
    </w:p>
    <w:p w14:paraId="7900243A" w14:textId="527C9E62" w:rsidR="00046B7E" w:rsidRPr="009830D0" w:rsidRDefault="00046B7E" w:rsidP="00EF74E7">
      <w:pPr>
        <w:pStyle w:val="Heading2"/>
        <w:spacing w:before="280" w:after="280"/>
        <w:rPr>
          <w:i w:val="0"/>
          <w:sz w:val="22"/>
          <w:szCs w:val="22"/>
        </w:rPr>
      </w:pPr>
      <w:bookmarkStart w:id="3" w:name="_Toc410981792"/>
      <w:bookmarkStart w:id="4" w:name="_Toc475701069"/>
      <w:bookmarkEnd w:id="0"/>
      <w:r w:rsidRPr="009830D0">
        <w:rPr>
          <w:i w:val="0"/>
        </w:rPr>
        <w:t>2.</w:t>
      </w:r>
      <w:r w:rsidRPr="009830D0">
        <w:rPr>
          <w:i w:val="0"/>
        </w:rPr>
        <w:tab/>
        <w:t>STATISTICAL PROCEDURES</w:t>
      </w:r>
      <w:bookmarkEnd w:id="3"/>
      <w:bookmarkEnd w:id="4"/>
    </w:p>
    <w:p w14:paraId="157AAF3F" w14:textId="13D9A413" w:rsidR="00046B7E" w:rsidRDefault="00046B7E" w:rsidP="00046B7E">
      <w:pPr>
        <w:rPr>
          <w:sz w:val="22"/>
          <w:szCs w:val="22"/>
        </w:rPr>
      </w:pPr>
      <w:r>
        <w:rPr>
          <w:sz w:val="22"/>
          <w:szCs w:val="22"/>
        </w:rPr>
        <w:t>The SDR statistical data processing procedures have several components includ</w:t>
      </w:r>
      <w:r w:rsidR="00954D55">
        <w:rPr>
          <w:sz w:val="22"/>
          <w:szCs w:val="22"/>
        </w:rPr>
        <w:t>ing</w:t>
      </w:r>
      <w:r>
        <w:rPr>
          <w:sz w:val="22"/>
          <w:szCs w:val="22"/>
        </w:rPr>
        <w:t xml:space="preserve"> </w:t>
      </w:r>
      <w:r w:rsidR="007E0FE9">
        <w:rPr>
          <w:sz w:val="22"/>
          <w:szCs w:val="22"/>
        </w:rPr>
        <w:t xml:space="preserve">adjusting </w:t>
      </w:r>
      <w:r>
        <w:rPr>
          <w:sz w:val="22"/>
          <w:szCs w:val="22"/>
        </w:rPr>
        <w:t>weight</w:t>
      </w:r>
      <w:r w:rsidR="007E0FE9">
        <w:rPr>
          <w:sz w:val="22"/>
          <w:szCs w:val="22"/>
        </w:rPr>
        <w:t>s</w:t>
      </w:r>
      <w:r>
        <w:rPr>
          <w:sz w:val="22"/>
          <w:szCs w:val="22"/>
        </w:rPr>
        <w:t xml:space="preserve"> to compensate for the complex </w:t>
      </w:r>
      <w:r w:rsidR="00867BF7">
        <w:rPr>
          <w:sz w:val="22"/>
          <w:szCs w:val="22"/>
        </w:rPr>
        <w:t xml:space="preserve">sampling </w:t>
      </w:r>
      <w:r>
        <w:rPr>
          <w:sz w:val="22"/>
          <w:szCs w:val="22"/>
        </w:rPr>
        <w:t xml:space="preserve">design features, </w:t>
      </w:r>
      <w:r w:rsidR="00292BEF">
        <w:rPr>
          <w:sz w:val="22"/>
          <w:szCs w:val="22"/>
        </w:rPr>
        <w:t xml:space="preserve">imputing </w:t>
      </w:r>
      <w:r w:rsidR="00954D55">
        <w:rPr>
          <w:sz w:val="22"/>
          <w:szCs w:val="22"/>
        </w:rPr>
        <w:t xml:space="preserve">to address </w:t>
      </w:r>
      <w:r w:rsidR="00867BF7">
        <w:rPr>
          <w:sz w:val="22"/>
          <w:szCs w:val="22"/>
        </w:rPr>
        <w:t>item nonresponse</w:t>
      </w:r>
      <w:r>
        <w:rPr>
          <w:sz w:val="22"/>
          <w:szCs w:val="22"/>
        </w:rPr>
        <w:t xml:space="preserve">, and </w:t>
      </w:r>
      <w:r w:rsidR="007E0FE9">
        <w:rPr>
          <w:sz w:val="22"/>
          <w:szCs w:val="22"/>
        </w:rPr>
        <w:t>estimating sampling error</w:t>
      </w:r>
    </w:p>
    <w:p w14:paraId="1EA1C633" w14:textId="77777777" w:rsidR="00046B7E" w:rsidRDefault="00046B7E" w:rsidP="00046B7E">
      <w:pPr>
        <w:rPr>
          <w:b/>
          <w:i/>
          <w:sz w:val="22"/>
          <w:szCs w:val="22"/>
        </w:rPr>
      </w:pPr>
    </w:p>
    <w:p w14:paraId="3F3D62DA" w14:textId="77777777" w:rsidR="00046B7E" w:rsidRPr="00420C59" w:rsidRDefault="00046B7E" w:rsidP="00046B7E">
      <w:pPr>
        <w:spacing w:after="120"/>
      </w:pPr>
      <w:r w:rsidRPr="00420C59">
        <w:rPr>
          <w:b/>
        </w:rPr>
        <w:t>2.1 Weighting</w:t>
      </w:r>
    </w:p>
    <w:p w14:paraId="3106143F" w14:textId="4CDDAD11" w:rsidR="00046B7E" w:rsidRDefault="00046B7E" w:rsidP="00046B7E">
      <w:pPr>
        <w:rPr>
          <w:sz w:val="22"/>
          <w:szCs w:val="22"/>
        </w:rPr>
      </w:pPr>
      <w:r w:rsidRPr="00163325">
        <w:rPr>
          <w:sz w:val="22"/>
          <w:szCs w:val="22"/>
        </w:rPr>
        <w:t>A final weight will be computed for ea</w:t>
      </w:r>
      <w:r>
        <w:rPr>
          <w:sz w:val="22"/>
          <w:szCs w:val="22"/>
        </w:rPr>
        <w:t>ch completed interview to reduce</w:t>
      </w:r>
      <w:r w:rsidRPr="00163325">
        <w:rPr>
          <w:sz w:val="22"/>
          <w:szCs w:val="22"/>
        </w:rPr>
        <w:t xml:space="preserve"> potential bias in estimates of population characteristics</w:t>
      </w:r>
      <w:r>
        <w:rPr>
          <w:sz w:val="22"/>
          <w:szCs w:val="22"/>
        </w:rPr>
        <w:t xml:space="preserve">. </w:t>
      </w:r>
      <w:r w:rsidRPr="00163325">
        <w:rPr>
          <w:sz w:val="22"/>
          <w:szCs w:val="22"/>
        </w:rPr>
        <w:t>Estimation bias could result from various sources, including unequal selection probabilities, nonresponse, and frame coverage issues</w:t>
      </w:r>
      <w:r>
        <w:rPr>
          <w:sz w:val="22"/>
          <w:szCs w:val="22"/>
        </w:rPr>
        <w:t xml:space="preserve">. </w:t>
      </w:r>
      <w:r w:rsidRPr="00163325">
        <w:rPr>
          <w:sz w:val="22"/>
          <w:szCs w:val="22"/>
        </w:rPr>
        <w:t>The weighting procedures will address all these factors through a seri</w:t>
      </w:r>
      <w:r>
        <w:rPr>
          <w:sz w:val="22"/>
          <w:szCs w:val="22"/>
        </w:rPr>
        <w:t>e</w:t>
      </w:r>
      <w:r w:rsidRPr="00163325">
        <w:rPr>
          <w:sz w:val="22"/>
          <w:szCs w:val="22"/>
        </w:rPr>
        <w:t xml:space="preserve">s of adjustments to the sampling weights </w:t>
      </w:r>
      <w:r w:rsidR="007E0FE9">
        <w:rPr>
          <w:sz w:val="22"/>
          <w:szCs w:val="22"/>
        </w:rPr>
        <w:t>using methods similar to</w:t>
      </w:r>
      <w:r w:rsidRPr="006474BE">
        <w:rPr>
          <w:sz w:val="22"/>
          <w:szCs w:val="22"/>
        </w:rPr>
        <w:t xml:space="preserve"> the 2017 SDR</w:t>
      </w:r>
      <w:r w:rsidRPr="00163325">
        <w:rPr>
          <w:sz w:val="22"/>
          <w:szCs w:val="22"/>
        </w:rPr>
        <w:t xml:space="preserve"> design.</w:t>
      </w:r>
      <w:r>
        <w:rPr>
          <w:sz w:val="22"/>
          <w:szCs w:val="22"/>
        </w:rPr>
        <w:t xml:space="preserve"> </w:t>
      </w:r>
    </w:p>
    <w:p w14:paraId="51438090" w14:textId="77777777" w:rsidR="00046B7E" w:rsidRDefault="00046B7E" w:rsidP="00046B7E">
      <w:pPr>
        <w:rPr>
          <w:sz w:val="22"/>
          <w:szCs w:val="22"/>
        </w:rPr>
      </w:pPr>
    </w:p>
    <w:p w14:paraId="548A1D9B" w14:textId="77777777" w:rsidR="00326E5A" w:rsidRDefault="00326E5A">
      <w:pPr>
        <w:rPr>
          <w:sz w:val="22"/>
          <w:szCs w:val="22"/>
        </w:rPr>
      </w:pPr>
      <w:r>
        <w:rPr>
          <w:sz w:val="22"/>
          <w:szCs w:val="22"/>
        </w:rPr>
        <w:br w:type="page"/>
      </w:r>
    </w:p>
    <w:p w14:paraId="25A7FFB0" w14:textId="2771D1CB" w:rsidR="00046B7E" w:rsidRPr="00D21758" w:rsidRDefault="00046B7E" w:rsidP="00046B7E">
      <w:pPr>
        <w:rPr>
          <w:sz w:val="22"/>
          <w:szCs w:val="22"/>
        </w:rPr>
      </w:pPr>
      <w:r w:rsidRPr="00265B8F">
        <w:rPr>
          <w:sz w:val="22"/>
          <w:szCs w:val="22"/>
        </w:rPr>
        <w:t xml:space="preserve">For a </w:t>
      </w:r>
      <w:r w:rsidRPr="00D21758">
        <w:rPr>
          <w:sz w:val="22"/>
          <w:szCs w:val="22"/>
        </w:rPr>
        <w:t>sample member</w:t>
      </w:r>
      <w:r w:rsidRPr="00D21758">
        <w:rPr>
          <w:position w:val="-10"/>
          <w:sz w:val="22"/>
          <w:szCs w:val="22"/>
        </w:rPr>
        <w:object w:dxaOrig="200" w:dyaOrig="300" w14:anchorId="4D706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4.25pt" o:ole="">
            <v:imagedata r:id="rId12" o:title=""/>
          </v:shape>
          <o:OLEObject Type="Embed" ProgID="Equation.3" ShapeID="_x0000_i1025" DrawAspect="Content" ObjectID="_1628506599" r:id="rId13"/>
        </w:object>
      </w:r>
      <w:r w:rsidRPr="00D21758">
        <w:rPr>
          <w:sz w:val="22"/>
          <w:szCs w:val="22"/>
        </w:rPr>
        <w:t>, its sampling weight will be computed as</w:t>
      </w:r>
    </w:p>
    <w:p w14:paraId="1FF71EEA" w14:textId="77777777" w:rsidR="00046B7E" w:rsidRPr="00D21758" w:rsidRDefault="00046B7E" w:rsidP="00046B7E">
      <w:pPr>
        <w:jc w:val="center"/>
        <w:rPr>
          <w:rFonts w:asciiTheme="minorHAnsi" w:hAnsiTheme="minorHAnsi"/>
          <w:sz w:val="22"/>
          <w:szCs w:val="22"/>
        </w:rPr>
      </w:pPr>
      <w:r w:rsidRPr="00D21758">
        <w:rPr>
          <w:rFonts w:asciiTheme="minorHAnsi" w:hAnsiTheme="minorHAnsi"/>
          <w:position w:val="-32"/>
          <w:sz w:val="22"/>
          <w:szCs w:val="22"/>
        </w:rPr>
        <w:object w:dxaOrig="880" w:dyaOrig="700" w14:anchorId="6B973FDA">
          <v:shape id="_x0000_i1026" type="#_x0000_t75" style="width:44.25pt;height:37.5pt" o:ole="">
            <v:imagedata r:id="rId14" o:title=""/>
          </v:shape>
          <o:OLEObject Type="Embed" ProgID="Equation.3" ShapeID="_x0000_i1026" DrawAspect="Content" ObjectID="_1628506600" r:id="rId15"/>
        </w:object>
      </w:r>
      <w:r w:rsidRPr="00D21758">
        <w:rPr>
          <w:rFonts w:asciiTheme="minorHAnsi" w:hAnsiTheme="minorHAnsi"/>
          <w:sz w:val="22"/>
          <w:szCs w:val="22"/>
        </w:rPr>
        <w:t xml:space="preserve">                                </w:t>
      </w:r>
    </w:p>
    <w:p w14:paraId="7EA449E1" w14:textId="77777777" w:rsidR="00046B7E" w:rsidRDefault="00046B7E" w:rsidP="00046B7E">
      <w:pPr>
        <w:rPr>
          <w:sz w:val="22"/>
          <w:szCs w:val="22"/>
        </w:rPr>
      </w:pPr>
      <w:r w:rsidRPr="00D21758">
        <w:rPr>
          <w:sz w:val="22"/>
          <w:szCs w:val="22"/>
        </w:rPr>
        <w:t>where</w:t>
      </w:r>
      <w:r w:rsidRPr="00D21758">
        <w:rPr>
          <w:position w:val="-14"/>
          <w:sz w:val="22"/>
          <w:szCs w:val="22"/>
        </w:rPr>
        <w:object w:dxaOrig="300" w:dyaOrig="380" w14:anchorId="247972C0">
          <v:shape id="_x0000_i1027" type="#_x0000_t75" style="width:14.25pt;height:21.75pt" o:ole="">
            <v:imagedata r:id="rId16" o:title=""/>
          </v:shape>
          <o:OLEObject Type="Embed" ProgID="Equation.3" ShapeID="_x0000_i1027" DrawAspect="Content" ObjectID="_1628506601" r:id="rId17"/>
        </w:object>
      </w:r>
      <w:r w:rsidRPr="00D21758">
        <w:rPr>
          <w:sz w:val="22"/>
          <w:szCs w:val="22"/>
        </w:rPr>
        <w:t>is the inclusion</w:t>
      </w:r>
      <w:r w:rsidRPr="00265B8F">
        <w:rPr>
          <w:sz w:val="22"/>
          <w:szCs w:val="22"/>
        </w:rPr>
        <w:t xml:space="preserve"> probability under the sample design. </w:t>
      </w:r>
    </w:p>
    <w:p w14:paraId="7FB33B37" w14:textId="77777777" w:rsidR="00046B7E" w:rsidRDefault="00046B7E" w:rsidP="00046B7E">
      <w:pPr>
        <w:rPr>
          <w:sz w:val="22"/>
          <w:szCs w:val="22"/>
        </w:rPr>
      </w:pPr>
    </w:p>
    <w:p w14:paraId="19F39E33" w14:textId="09FAC5B7" w:rsidR="00046B7E" w:rsidRPr="00CD2205" w:rsidRDefault="00046B7E" w:rsidP="00046B7E">
      <w:pPr>
        <w:rPr>
          <w:sz w:val="22"/>
          <w:szCs w:val="22"/>
        </w:rPr>
      </w:pPr>
      <w:r w:rsidRPr="00163325">
        <w:rPr>
          <w:sz w:val="22"/>
          <w:szCs w:val="22"/>
        </w:rPr>
        <w:t xml:space="preserve">The sampling weight will be adjusted in sequence for unknown eligibility, unit nonresponse, and frame coverage based on similar methodologies developed for the </w:t>
      </w:r>
      <w:r w:rsidRPr="006474BE">
        <w:rPr>
          <w:sz w:val="22"/>
          <w:szCs w:val="22"/>
        </w:rPr>
        <w:t>201</w:t>
      </w:r>
      <w:r w:rsidR="007E0FE9">
        <w:rPr>
          <w:sz w:val="22"/>
          <w:szCs w:val="22"/>
        </w:rPr>
        <w:t>7</w:t>
      </w:r>
      <w:r w:rsidRPr="00163325">
        <w:rPr>
          <w:sz w:val="22"/>
          <w:szCs w:val="22"/>
        </w:rPr>
        <w:t xml:space="preserve"> SDR</w:t>
      </w:r>
      <w:r>
        <w:rPr>
          <w:sz w:val="22"/>
          <w:szCs w:val="22"/>
        </w:rPr>
        <w:t xml:space="preserve">. </w:t>
      </w:r>
      <w:r w:rsidRPr="00163325">
        <w:rPr>
          <w:sz w:val="22"/>
          <w:szCs w:val="22"/>
        </w:rPr>
        <w:t xml:space="preserve">First, for cases whose eligibility status is not determined by the end of </w:t>
      </w:r>
      <w:r>
        <w:rPr>
          <w:sz w:val="22"/>
          <w:szCs w:val="22"/>
        </w:rPr>
        <w:t xml:space="preserve">the </w:t>
      </w:r>
      <w:r w:rsidRPr="00163325">
        <w:rPr>
          <w:sz w:val="22"/>
          <w:szCs w:val="22"/>
        </w:rPr>
        <w:t>survey, their assigned base weights are transferred to cases whose eligibility is known. Next, among eligible cases, the weights of nonrespo</w:t>
      </w:r>
      <w:r w:rsidR="008755CD">
        <w:rPr>
          <w:sz w:val="22"/>
          <w:szCs w:val="22"/>
        </w:rPr>
        <w:t>n</w:t>
      </w:r>
      <w:r w:rsidRPr="00163325">
        <w:rPr>
          <w:sz w:val="22"/>
          <w:szCs w:val="22"/>
        </w:rPr>
        <w:t xml:space="preserve">dents are transferred to the respondents so that </w:t>
      </w:r>
      <w:r w:rsidRPr="003C4997">
        <w:rPr>
          <w:sz w:val="22"/>
          <w:szCs w:val="22"/>
        </w:rPr>
        <w:t xml:space="preserve">the respondents represent all eligible cases in the sample. Finally, a </w:t>
      </w:r>
      <w:r>
        <w:rPr>
          <w:sz w:val="22"/>
          <w:szCs w:val="22"/>
        </w:rPr>
        <w:t xml:space="preserve">raking </w:t>
      </w:r>
      <w:r w:rsidRPr="003C4997">
        <w:rPr>
          <w:sz w:val="22"/>
          <w:szCs w:val="22"/>
        </w:rPr>
        <w:t>adjustment align</w:t>
      </w:r>
      <w:r>
        <w:rPr>
          <w:sz w:val="22"/>
          <w:szCs w:val="22"/>
        </w:rPr>
        <w:t>s</w:t>
      </w:r>
      <w:r w:rsidRPr="003C4997">
        <w:rPr>
          <w:sz w:val="22"/>
          <w:szCs w:val="22"/>
        </w:rPr>
        <w:t xml:space="preserve"> the sample to the frame population so that the sample estimates agree with the frame counts with respect to factors not explicitly controlled in the sample design. </w:t>
      </w:r>
    </w:p>
    <w:p w14:paraId="3208CFB0" w14:textId="77777777" w:rsidR="00046B7E" w:rsidRPr="00CD2205" w:rsidRDefault="00046B7E" w:rsidP="00046B7E">
      <w:pPr>
        <w:rPr>
          <w:sz w:val="22"/>
          <w:szCs w:val="22"/>
        </w:rPr>
      </w:pPr>
    </w:p>
    <w:p w14:paraId="17145F84" w14:textId="4FE27EDD" w:rsidR="00046B7E" w:rsidRPr="003C4997" w:rsidRDefault="00046B7E" w:rsidP="00046B7E">
      <w:pPr>
        <w:rPr>
          <w:sz w:val="22"/>
          <w:szCs w:val="22"/>
        </w:rPr>
      </w:pPr>
      <w:r>
        <w:rPr>
          <w:sz w:val="22"/>
          <w:szCs w:val="22"/>
        </w:rPr>
        <w:t>Like the 201</w:t>
      </w:r>
      <w:r w:rsidR="007E0FE9">
        <w:rPr>
          <w:sz w:val="22"/>
          <w:szCs w:val="22"/>
        </w:rPr>
        <w:t>7</w:t>
      </w:r>
      <w:r>
        <w:rPr>
          <w:sz w:val="22"/>
          <w:szCs w:val="22"/>
        </w:rPr>
        <w:t xml:space="preserve"> SDR</w:t>
      </w:r>
      <w:r w:rsidRPr="00EC5BE8">
        <w:rPr>
          <w:sz w:val="22"/>
          <w:szCs w:val="22"/>
        </w:rPr>
        <w:t xml:space="preserve">, logistic regression models </w:t>
      </w:r>
      <w:r>
        <w:rPr>
          <w:sz w:val="22"/>
          <w:szCs w:val="22"/>
        </w:rPr>
        <w:t>will be</w:t>
      </w:r>
      <w:r w:rsidRPr="00EC5BE8">
        <w:rPr>
          <w:sz w:val="22"/>
          <w:szCs w:val="22"/>
        </w:rPr>
        <w:t xml:space="preserve"> used to derive unknown eligibility and nonresponse weighting adjustment factors for different segments of the sample. </w:t>
      </w:r>
      <w:r>
        <w:rPr>
          <w:sz w:val="22"/>
          <w:szCs w:val="22"/>
        </w:rPr>
        <w:t xml:space="preserve">Predicted propensity scores will be used to define weighting classes, and extreme weights will be trimmed to reduce the variation of the weights prior to raking. </w:t>
      </w:r>
      <w:r w:rsidRPr="003C4997">
        <w:rPr>
          <w:sz w:val="22"/>
          <w:szCs w:val="22"/>
        </w:rPr>
        <w:t xml:space="preserve">With a final weight, the Horvitz-Thompson estimator will be used to derive point estimates for various SDR variables. </w:t>
      </w:r>
    </w:p>
    <w:p w14:paraId="03A116DC" w14:textId="77777777" w:rsidR="00046B7E" w:rsidRPr="003C4997" w:rsidRDefault="00046B7E" w:rsidP="00046B7E">
      <w:pPr>
        <w:rPr>
          <w:b/>
          <w:i/>
          <w:sz w:val="22"/>
          <w:szCs w:val="22"/>
        </w:rPr>
      </w:pPr>
    </w:p>
    <w:p w14:paraId="55F6A979" w14:textId="77777777" w:rsidR="00046B7E" w:rsidRPr="003C4997" w:rsidRDefault="00046B7E" w:rsidP="00046B7E">
      <w:pPr>
        <w:spacing w:after="120"/>
      </w:pPr>
      <w:r w:rsidRPr="003C4997">
        <w:rPr>
          <w:b/>
        </w:rPr>
        <w:t>2.2 Item Nonresponse Adjustment</w:t>
      </w:r>
    </w:p>
    <w:p w14:paraId="72D05F98" w14:textId="5D82064A" w:rsidR="00046B7E" w:rsidRDefault="00B45866" w:rsidP="00046B7E">
      <w:pPr>
        <w:rPr>
          <w:sz w:val="22"/>
          <w:szCs w:val="22"/>
        </w:rPr>
      </w:pPr>
      <w:r>
        <w:rPr>
          <w:sz w:val="22"/>
          <w:szCs w:val="22"/>
        </w:rPr>
        <w:t>Historically, t</w:t>
      </w:r>
      <w:r w:rsidR="00046B7E" w:rsidRPr="00CD2205">
        <w:rPr>
          <w:sz w:val="22"/>
          <w:szCs w:val="22"/>
        </w:rPr>
        <w:t xml:space="preserve">he SDR has conducted comprehensive imputation to fill in item-level missing data. Two general methods of imputation, logical imputation and </w:t>
      </w:r>
      <w:r w:rsidR="00D05B71">
        <w:rPr>
          <w:sz w:val="22"/>
          <w:szCs w:val="22"/>
        </w:rPr>
        <w:t>hot deck</w:t>
      </w:r>
      <w:r w:rsidR="00046B7E" w:rsidRPr="00CD2205">
        <w:rPr>
          <w:sz w:val="22"/>
          <w:szCs w:val="22"/>
        </w:rPr>
        <w:t xml:space="preserve"> imputation, have been used. The logical imputation method is usually employed during the data editing process when </w:t>
      </w:r>
      <w:r w:rsidR="00046B7E">
        <w:rPr>
          <w:sz w:val="22"/>
          <w:szCs w:val="22"/>
        </w:rPr>
        <w:t>the</w:t>
      </w:r>
      <w:r w:rsidR="00046B7E" w:rsidRPr="00CD2205">
        <w:rPr>
          <w:sz w:val="22"/>
          <w:szCs w:val="22"/>
        </w:rPr>
        <w:t xml:space="preserve"> answer to a missing item can be deduced from past data, or from other responses from the same respondent. For those items </w:t>
      </w:r>
      <w:r w:rsidR="00046B7E" w:rsidRPr="00084552">
        <w:rPr>
          <w:sz w:val="22"/>
          <w:szCs w:val="22"/>
        </w:rPr>
        <w:t xml:space="preserve">still missing after logical imputation, </w:t>
      </w:r>
      <w:r w:rsidR="00046B7E">
        <w:rPr>
          <w:sz w:val="22"/>
          <w:szCs w:val="22"/>
        </w:rPr>
        <w:t xml:space="preserve">a hot deck </w:t>
      </w:r>
      <w:r w:rsidR="00046B7E" w:rsidRPr="00084552">
        <w:rPr>
          <w:sz w:val="22"/>
          <w:szCs w:val="22"/>
        </w:rPr>
        <w:t xml:space="preserve">imputation </w:t>
      </w:r>
      <w:r w:rsidR="00046B7E">
        <w:rPr>
          <w:sz w:val="22"/>
          <w:szCs w:val="22"/>
        </w:rPr>
        <w:t xml:space="preserve">method </w:t>
      </w:r>
      <w:r w:rsidR="00046B7E" w:rsidRPr="00084552">
        <w:rPr>
          <w:sz w:val="22"/>
          <w:szCs w:val="22"/>
        </w:rPr>
        <w:t>is employed</w:t>
      </w:r>
      <w:r w:rsidR="00046B7E">
        <w:rPr>
          <w:sz w:val="22"/>
          <w:szCs w:val="22"/>
        </w:rPr>
        <w:t>.</w:t>
      </w:r>
      <w:r w:rsidR="00046B7E" w:rsidRPr="00EC5BE8">
        <w:rPr>
          <w:sz w:val="22"/>
          <w:szCs w:val="22"/>
        </w:rPr>
        <w:t xml:space="preserve"> In hot-deck imputation, data provided by a donor respondent in the current cycle is used to impute missing data for a respondent who is similar to the donor respondent</w:t>
      </w:r>
      <w:r w:rsidR="00AD6979">
        <w:rPr>
          <w:sz w:val="22"/>
          <w:szCs w:val="22"/>
        </w:rPr>
        <w:t xml:space="preserve"> based on a propensity model</w:t>
      </w:r>
      <w:r w:rsidR="00046B7E" w:rsidRPr="00EC5BE8">
        <w:rPr>
          <w:sz w:val="22"/>
          <w:szCs w:val="22"/>
        </w:rPr>
        <w:t>. The 201</w:t>
      </w:r>
      <w:r w:rsidR="00954D55">
        <w:rPr>
          <w:sz w:val="22"/>
          <w:szCs w:val="22"/>
        </w:rPr>
        <w:t>9</w:t>
      </w:r>
      <w:r w:rsidR="00046B7E" w:rsidRPr="00087E14">
        <w:rPr>
          <w:sz w:val="22"/>
          <w:szCs w:val="22"/>
        </w:rPr>
        <w:t xml:space="preserve"> SDR will use similar imputation techniques, although the actual imputation models may differ</w:t>
      </w:r>
      <w:r w:rsidR="00AD6979">
        <w:rPr>
          <w:sz w:val="22"/>
          <w:szCs w:val="22"/>
        </w:rPr>
        <w:t xml:space="preserve"> in that longitudinal</w:t>
      </w:r>
      <w:r w:rsidR="00D05B71">
        <w:rPr>
          <w:sz w:val="22"/>
          <w:szCs w:val="22"/>
        </w:rPr>
        <w:t xml:space="preserve"> </w:t>
      </w:r>
      <w:r w:rsidR="00AD6979">
        <w:rPr>
          <w:sz w:val="22"/>
          <w:szCs w:val="22"/>
        </w:rPr>
        <w:t>data from the 201</w:t>
      </w:r>
      <w:r w:rsidR="007E0FE9">
        <w:rPr>
          <w:sz w:val="22"/>
          <w:szCs w:val="22"/>
        </w:rPr>
        <w:t>7</w:t>
      </w:r>
      <w:r w:rsidR="00AD6979">
        <w:rPr>
          <w:sz w:val="22"/>
          <w:szCs w:val="22"/>
        </w:rPr>
        <w:t xml:space="preserve"> cycle may be used to identify donors</w:t>
      </w:r>
      <w:r w:rsidR="00046B7E" w:rsidRPr="00087E14">
        <w:rPr>
          <w:sz w:val="22"/>
          <w:szCs w:val="22"/>
        </w:rPr>
        <w:t>.</w:t>
      </w:r>
      <w:r w:rsidR="00046B7E" w:rsidRPr="007D3D67" w:rsidDel="007D3D67">
        <w:rPr>
          <w:sz w:val="22"/>
          <w:szCs w:val="22"/>
        </w:rPr>
        <w:t xml:space="preserve"> </w:t>
      </w:r>
    </w:p>
    <w:p w14:paraId="3EF045DA" w14:textId="77777777" w:rsidR="00046B7E" w:rsidRDefault="00046B7E" w:rsidP="00046B7E">
      <w:pPr>
        <w:jc w:val="center"/>
        <w:rPr>
          <w:b/>
          <w:i/>
          <w:sz w:val="22"/>
          <w:szCs w:val="22"/>
        </w:rPr>
      </w:pPr>
    </w:p>
    <w:p w14:paraId="22B48AF2" w14:textId="77777777" w:rsidR="00046B7E" w:rsidRPr="00F0460B" w:rsidRDefault="00046B7E" w:rsidP="00046B7E">
      <w:pPr>
        <w:spacing w:after="120"/>
      </w:pPr>
      <w:r w:rsidRPr="003C4997">
        <w:rPr>
          <w:b/>
        </w:rPr>
        <w:t xml:space="preserve">2.3 </w:t>
      </w:r>
      <w:r w:rsidRPr="00F0460B">
        <w:rPr>
          <w:b/>
        </w:rPr>
        <w:t>Variance Estimation</w:t>
      </w:r>
    </w:p>
    <w:p w14:paraId="03433C16" w14:textId="7383362E" w:rsidR="00046B7E" w:rsidRDefault="00046B7E" w:rsidP="00046B7E">
      <w:pPr>
        <w:rPr>
          <w:sz w:val="22"/>
          <w:szCs w:val="22"/>
        </w:rPr>
      </w:pPr>
      <w:r w:rsidRPr="003F1BFE">
        <w:rPr>
          <w:sz w:val="22"/>
          <w:szCs w:val="22"/>
        </w:rPr>
        <w:t xml:space="preserve">The SDR has </w:t>
      </w:r>
      <w:r w:rsidR="00954D55">
        <w:rPr>
          <w:sz w:val="22"/>
          <w:szCs w:val="22"/>
        </w:rPr>
        <w:t>historically used the</w:t>
      </w:r>
      <w:r w:rsidRPr="003F1BFE">
        <w:rPr>
          <w:sz w:val="22"/>
          <w:szCs w:val="22"/>
        </w:rPr>
        <w:t xml:space="preserve"> Successive Difference Replication Method (SDRM) for variance estimation. The SDRM method was designed to be used with systematic samples </w:t>
      </w:r>
      <w:r>
        <w:rPr>
          <w:sz w:val="22"/>
          <w:szCs w:val="22"/>
        </w:rPr>
        <w:t>when</w:t>
      </w:r>
      <w:r w:rsidRPr="003F1BFE">
        <w:rPr>
          <w:sz w:val="22"/>
          <w:szCs w:val="22"/>
        </w:rPr>
        <w:t xml:space="preserve"> the sort order of the sample is informative</w:t>
      </w:r>
      <w:r>
        <w:rPr>
          <w:sz w:val="22"/>
          <w:szCs w:val="22"/>
        </w:rPr>
        <w:t>.</w:t>
      </w:r>
      <w:r w:rsidRPr="003F1BFE">
        <w:rPr>
          <w:sz w:val="22"/>
          <w:szCs w:val="22"/>
        </w:rPr>
        <w:t xml:space="preserve"> </w:t>
      </w:r>
      <w:r>
        <w:rPr>
          <w:sz w:val="22"/>
          <w:szCs w:val="22"/>
        </w:rPr>
        <w:t>This</w:t>
      </w:r>
      <w:r w:rsidRPr="003F1BFE">
        <w:rPr>
          <w:sz w:val="22"/>
          <w:szCs w:val="22"/>
        </w:rPr>
        <w:t xml:space="preserve"> is the case </w:t>
      </w:r>
      <w:r>
        <w:rPr>
          <w:sz w:val="22"/>
          <w:szCs w:val="22"/>
        </w:rPr>
        <w:t>for the 201</w:t>
      </w:r>
      <w:r w:rsidR="00094D22">
        <w:rPr>
          <w:sz w:val="22"/>
          <w:szCs w:val="22"/>
        </w:rPr>
        <w:t>9</w:t>
      </w:r>
      <w:r w:rsidRPr="003F1BFE">
        <w:rPr>
          <w:sz w:val="22"/>
          <w:szCs w:val="22"/>
        </w:rPr>
        <w:t xml:space="preserve"> SDR</w:t>
      </w:r>
      <w:r>
        <w:rPr>
          <w:sz w:val="22"/>
          <w:szCs w:val="22"/>
        </w:rPr>
        <w:t>,</w:t>
      </w:r>
      <w:r w:rsidRPr="003F1BFE">
        <w:rPr>
          <w:sz w:val="22"/>
          <w:szCs w:val="22"/>
        </w:rPr>
        <w:t xml:space="preserve"> </w:t>
      </w:r>
      <w:r>
        <w:rPr>
          <w:sz w:val="22"/>
          <w:szCs w:val="22"/>
        </w:rPr>
        <w:t>which employs systematic sampling</w:t>
      </w:r>
      <w:r w:rsidRPr="003F1BFE">
        <w:rPr>
          <w:sz w:val="22"/>
          <w:szCs w:val="22"/>
        </w:rPr>
        <w:t xml:space="preserve"> after sorting cases within each stratum by selected demographic variables. </w:t>
      </w:r>
      <w:r>
        <w:rPr>
          <w:sz w:val="22"/>
          <w:szCs w:val="22"/>
        </w:rPr>
        <w:t xml:space="preserve">In </w:t>
      </w:r>
      <w:r w:rsidRPr="006474BE">
        <w:rPr>
          <w:sz w:val="22"/>
          <w:szCs w:val="22"/>
        </w:rPr>
        <w:t>201</w:t>
      </w:r>
      <w:r w:rsidR="00094D22">
        <w:rPr>
          <w:sz w:val="22"/>
          <w:szCs w:val="22"/>
        </w:rPr>
        <w:t>7</w:t>
      </w:r>
      <w:r w:rsidRPr="001F3FBC">
        <w:rPr>
          <w:sz w:val="22"/>
          <w:szCs w:val="22"/>
        </w:rPr>
        <w:t xml:space="preserve">, a total of </w:t>
      </w:r>
      <w:r w:rsidRPr="003C4997">
        <w:rPr>
          <w:sz w:val="22"/>
          <w:szCs w:val="22"/>
        </w:rPr>
        <w:t>104</w:t>
      </w:r>
      <w:r w:rsidRPr="001F3FBC">
        <w:rPr>
          <w:sz w:val="22"/>
          <w:szCs w:val="22"/>
        </w:rPr>
        <w:t xml:space="preserve"> replicates were </w:t>
      </w:r>
      <w:r>
        <w:rPr>
          <w:sz w:val="22"/>
          <w:szCs w:val="22"/>
        </w:rPr>
        <w:t>us</w:t>
      </w:r>
      <w:r w:rsidRPr="001F3FBC">
        <w:rPr>
          <w:sz w:val="22"/>
          <w:szCs w:val="22"/>
        </w:rPr>
        <w:t>ed</w:t>
      </w:r>
      <w:r>
        <w:rPr>
          <w:sz w:val="22"/>
          <w:szCs w:val="22"/>
        </w:rPr>
        <w:t xml:space="preserve">. Within each replicate, the final weight is developed using the same </w:t>
      </w:r>
      <w:r w:rsidR="00954D55">
        <w:rPr>
          <w:sz w:val="22"/>
          <w:szCs w:val="22"/>
        </w:rPr>
        <w:t xml:space="preserve">weighting adjustment </w:t>
      </w:r>
      <w:r>
        <w:rPr>
          <w:sz w:val="22"/>
          <w:szCs w:val="22"/>
        </w:rPr>
        <w:t>procedures applied to the full sample</w:t>
      </w:r>
      <w:r w:rsidR="00B36669">
        <w:rPr>
          <w:sz w:val="22"/>
          <w:szCs w:val="22"/>
        </w:rPr>
        <w:t xml:space="preserve">. </w:t>
      </w:r>
      <w:r w:rsidRPr="001F3FBC">
        <w:rPr>
          <w:sz w:val="22"/>
          <w:szCs w:val="22"/>
        </w:rPr>
        <w:t xml:space="preserve">The results of SDRM are multiple sets of replicate weights that can </w:t>
      </w:r>
      <w:r>
        <w:rPr>
          <w:sz w:val="22"/>
          <w:szCs w:val="22"/>
        </w:rPr>
        <w:t xml:space="preserve">be </w:t>
      </w:r>
      <w:r w:rsidRPr="001F3FBC">
        <w:rPr>
          <w:sz w:val="22"/>
          <w:szCs w:val="22"/>
        </w:rPr>
        <w:t>use</w:t>
      </w:r>
      <w:r>
        <w:rPr>
          <w:sz w:val="22"/>
          <w:szCs w:val="22"/>
        </w:rPr>
        <w:t>d</w:t>
      </w:r>
      <w:r w:rsidRPr="001F3FBC">
        <w:rPr>
          <w:sz w:val="22"/>
          <w:szCs w:val="22"/>
        </w:rPr>
        <w:t xml:space="preserve"> to derive the variance of point estimates by using special variance estimation software pa</w:t>
      </w:r>
      <w:r>
        <w:rPr>
          <w:sz w:val="22"/>
          <w:szCs w:val="22"/>
        </w:rPr>
        <w:t xml:space="preserve">ckages such as SAS and SUDAAN. </w:t>
      </w:r>
    </w:p>
    <w:p w14:paraId="4564C71F" w14:textId="77777777" w:rsidR="00046B7E" w:rsidRDefault="00046B7E" w:rsidP="00046B7E">
      <w:pPr>
        <w:rPr>
          <w:sz w:val="22"/>
          <w:szCs w:val="22"/>
        </w:rPr>
      </w:pPr>
    </w:p>
    <w:p w14:paraId="4637D3C5" w14:textId="184A49BD" w:rsidR="00046B7E" w:rsidRPr="00265B8F" w:rsidRDefault="00046B7E" w:rsidP="00046B7E">
      <w:pPr>
        <w:rPr>
          <w:sz w:val="22"/>
          <w:szCs w:val="22"/>
        </w:rPr>
      </w:pPr>
      <w:r>
        <w:rPr>
          <w:sz w:val="22"/>
          <w:szCs w:val="22"/>
        </w:rPr>
        <w:t>T</w:t>
      </w:r>
      <w:r w:rsidRPr="00265B8F">
        <w:rPr>
          <w:sz w:val="22"/>
          <w:szCs w:val="22"/>
        </w:rPr>
        <w:t>he same</w:t>
      </w:r>
      <w:r>
        <w:rPr>
          <w:sz w:val="22"/>
          <w:szCs w:val="22"/>
        </w:rPr>
        <w:t xml:space="preserve"> variance estimation approach</w:t>
      </w:r>
      <w:r w:rsidRPr="00265B8F">
        <w:rPr>
          <w:sz w:val="22"/>
          <w:szCs w:val="22"/>
        </w:rPr>
        <w:t xml:space="preserve"> </w:t>
      </w:r>
      <w:r>
        <w:rPr>
          <w:sz w:val="22"/>
          <w:szCs w:val="22"/>
        </w:rPr>
        <w:t>will</w:t>
      </w:r>
      <w:r w:rsidRPr="00265B8F">
        <w:rPr>
          <w:sz w:val="22"/>
          <w:szCs w:val="22"/>
        </w:rPr>
        <w:t xml:space="preserve"> be adapted </w:t>
      </w:r>
      <w:r>
        <w:rPr>
          <w:sz w:val="22"/>
          <w:szCs w:val="22"/>
        </w:rPr>
        <w:t>for</w:t>
      </w:r>
      <w:r w:rsidRPr="006474BE">
        <w:rPr>
          <w:sz w:val="22"/>
          <w:szCs w:val="22"/>
        </w:rPr>
        <w:t xml:space="preserve"> the 201</w:t>
      </w:r>
      <w:r w:rsidR="007E0FE9">
        <w:rPr>
          <w:sz w:val="22"/>
          <w:szCs w:val="22"/>
        </w:rPr>
        <w:t>9</w:t>
      </w:r>
      <w:r w:rsidRPr="006474BE">
        <w:rPr>
          <w:sz w:val="22"/>
          <w:szCs w:val="22"/>
        </w:rPr>
        <w:t xml:space="preserve"> SDR.</w:t>
      </w:r>
      <w:r>
        <w:rPr>
          <w:sz w:val="22"/>
          <w:szCs w:val="22"/>
        </w:rPr>
        <w:t xml:space="preserve"> </w:t>
      </w:r>
    </w:p>
    <w:p w14:paraId="082B417C" w14:textId="77777777" w:rsidR="00046B7E" w:rsidRPr="009C4537" w:rsidRDefault="00046B7E" w:rsidP="00720C04">
      <w:pPr>
        <w:pStyle w:val="Heading2"/>
        <w:spacing w:before="280" w:after="280"/>
        <w:ind w:left="547" w:hanging="547"/>
        <w:rPr>
          <w:i w:val="0"/>
        </w:rPr>
      </w:pPr>
      <w:bookmarkStart w:id="5" w:name="_Toc475701070"/>
      <w:bookmarkStart w:id="6" w:name="_Toc410981793"/>
      <w:r w:rsidRPr="009C4537">
        <w:rPr>
          <w:i w:val="0"/>
        </w:rPr>
        <w:t>3.</w:t>
      </w:r>
      <w:r w:rsidRPr="009C4537">
        <w:rPr>
          <w:i w:val="0"/>
        </w:rPr>
        <w:tab/>
        <w:t>METHODS TO MAXIMIZE RESPONSE</w:t>
      </w:r>
      <w:bookmarkEnd w:id="5"/>
    </w:p>
    <w:p w14:paraId="7E7BE4B2" w14:textId="77777777" w:rsidR="00046B7E" w:rsidRPr="009C4537" w:rsidRDefault="00046B7E" w:rsidP="00046B7E">
      <w:pPr>
        <w:pStyle w:val="Heading3"/>
        <w:rPr>
          <w:i w:val="0"/>
          <w:sz w:val="24"/>
        </w:rPr>
      </w:pPr>
      <w:bookmarkStart w:id="7" w:name="_Toc410981794"/>
      <w:bookmarkEnd w:id="6"/>
      <w:r w:rsidRPr="009C4537">
        <w:rPr>
          <w:i w:val="0"/>
          <w:sz w:val="24"/>
        </w:rPr>
        <w:t>3</w:t>
      </w:r>
      <w:r w:rsidRPr="009C4537">
        <w:rPr>
          <w:i w:val="0"/>
          <w:sz w:val="24"/>
          <w:lang w:val="x-none"/>
        </w:rPr>
        <w:t>.</w:t>
      </w:r>
      <w:r w:rsidRPr="009C4537">
        <w:rPr>
          <w:i w:val="0"/>
          <w:sz w:val="24"/>
        </w:rPr>
        <w:t>1 Maximizing Response Rates</w:t>
      </w:r>
      <w:bookmarkEnd w:id="7"/>
    </w:p>
    <w:p w14:paraId="720178C5" w14:textId="79CDD407" w:rsidR="00046B7E" w:rsidRPr="000D77AA" w:rsidRDefault="00046B7E" w:rsidP="00046B7E">
      <w:pPr>
        <w:pStyle w:val="BodyText"/>
        <w:rPr>
          <w:sz w:val="22"/>
          <w:szCs w:val="22"/>
        </w:rPr>
      </w:pPr>
      <w:r w:rsidRPr="009C4537">
        <w:rPr>
          <w:sz w:val="22"/>
          <w:szCs w:val="22"/>
        </w:rPr>
        <w:t>The weighted response rate for the 201</w:t>
      </w:r>
      <w:r w:rsidR="00402D33" w:rsidRPr="009C4537">
        <w:rPr>
          <w:sz w:val="22"/>
          <w:szCs w:val="22"/>
        </w:rPr>
        <w:t>7</w:t>
      </w:r>
      <w:r w:rsidRPr="009C4537">
        <w:rPr>
          <w:sz w:val="22"/>
          <w:szCs w:val="22"/>
        </w:rPr>
        <w:t xml:space="preserve"> SDR was </w:t>
      </w:r>
      <w:r w:rsidR="00610421" w:rsidRPr="009C4537">
        <w:rPr>
          <w:sz w:val="22"/>
          <w:szCs w:val="22"/>
        </w:rPr>
        <w:t>70</w:t>
      </w:r>
      <w:r w:rsidR="00D0276C" w:rsidRPr="009C4537">
        <w:rPr>
          <w:sz w:val="22"/>
          <w:szCs w:val="22"/>
        </w:rPr>
        <w:t>%</w:t>
      </w:r>
      <w:r w:rsidRPr="009C4537">
        <w:rPr>
          <w:sz w:val="22"/>
          <w:szCs w:val="22"/>
        </w:rPr>
        <w:t xml:space="preserve"> (unweighted, </w:t>
      </w:r>
      <w:r w:rsidR="00EB6D51" w:rsidRPr="009C4537">
        <w:rPr>
          <w:sz w:val="22"/>
          <w:szCs w:val="22"/>
        </w:rPr>
        <w:t>69%</w:t>
      </w:r>
      <w:r w:rsidR="004C013B" w:rsidRPr="009C4537">
        <w:rPr>
          <w:sz w:val="22"/>
          <w:szCs w:val="22"/>
        </w:rPr>
        <w:t>)</w:t>
      </w:r>
      <w:r w:rsidRPr="009C4537">
        <w:rPr>
          <w:sz w:val="22"/>
          <w:szCs w:val="22"/>
        </w:rPr>
        <w:t>. Extensive locating efforts, nonresponse follow-up survey procedures, and targeted data collection protocols will be used to attain a targeted response rate</w:t>
      </w:r>
      <w:r w:rsidR="00EB6D51" w:rsidRPr="009C4537">
        <w:rPr>
          <w:sz w:val="22"/>
          <w:szCs w:val="22"/>
        </w:rPr>
        <w:t xml:space="preserve"> of 75%</w:t>
      </w:r>
      <w:r w:rsidRPr="009C4537">
        <w:rPr>
          <w:sz w:val="22"/>
          <w:szCs w:val="22"/>
        </w:rPr>
        <w:t xml:space="preserve"> for 201</w:t>
      </w:r>
      <w:r w:rsidR="00E62114" w:rsidRPr="009C4537">
        <w:rPr>
          <w:sz w:val="22"/>
          <w:szCs w:val="22"/>
        </w:rPr>
        <w:t>9</w:t>
      </w:r>
      <w:r w:rsidRPr="009C4537">
        <w:rPr>
          <w:sz w:val="22"/>
          <w:szCs w:val="22"/>
        </w:rPr>
        <w:t>.</w:t>
      </w:r>
      <w:r w:rsidR="00EC5D14" w:rsidRPr="009C4537">
        <w:rPr>
          <w:sz w:val="22"/>
          <w:szCs w:val="22"/>
        </w:rPr>
        <w:t xml:space="preserve"> </w:t>
      </w:r>
      <w:r w:rsidRPr="009C4537">
        <w:rPr>
          <w:sz w:val="22"/>
          <w:szCs w:val="22"/>
        </w:rPr>
        <w:t xml:space="preserve"> </w:t>
      </w:r>
      <w:r w:rsidR="00EC5D14" w:rsidRPr="009C4537">
        <w:rPr>
          <w:sz w:val="22"/>
          <w:szCs w:val="22"/>
        </w:rPr>
        <w:t xml:space="preserve">Both </w:t>
      </w:r>
      <w:r w:rsidR="00B944DA" w:rsidRPr="009C4537">
        <w:rPr>
          <w:sz w:val="22"/>
          <w:szCs w:val="22"/>
        </w:rPr>
        <w:t>a</w:t>
      </w:r>
      <w:r w:rsidRPr="009C4537">
        <w:rPr>
          <w:sz w:val="22"/>
          <w:szCs w:val="22"/>
        </w:rPr>
        <w:t>n early</w:t>
      </w:r>
      <w:r w:rsidR="009C4537">
        <w:rPr>
          <w:sz w:val="22"/>
          <w:szCs w:val="22"/>
        </w:rPr>
        <w:t>-stage</w:t>
      </w:r>
      <w:r w:rsidRPr="009C4537">
        <w:rPr>
          <w:sz w:val="22"/>
          <w:szCs w:val="22"/>
        </w:rPr>
        <w:t xml:space="preserve"> </w:t>
      </w:r>
      <w:r w:rsidR="00B944DA" w:rsidRPr="009C4537">
        <w:rPr>
          <w:sz w:val="22"/>
          <w:szCs w:val="22"/>
        </w:rPr>
        <w:t>and late</w:t>
      </w:r>
      <w:r w:rsidR="009C4537">
        <w:rPr>
          <w:sz w:val="22"/>
          <w:szCs w:val="22"/>
        </w:rPr>
        <w:t>-stage</w:t>
      </w:r>
      <w:r w:rsidR="00B944DA" w:rsidRPr="009C4537">
        <w:rPr>
          <w:sz w:val="22"/>
          <w:szCs w:val="22"/>
        </w:rPr>
        <w:t xml:space="preserve"> monetary </w:t>
      </w:r>
      <w:r w:rsidRPr="009C4537">
        <w:rPr>
          <w:sz w:val="22"/>
          <w:szCs w:val="22"/>
        </w:rPr>
        <w:t xml:space="preserve">incentive </w:t>
      </w:r>
      <w:r w:rsidR="00B944DA" w:rsidRPr="009C4537">
        <w:rPr>
          <w:sz w:val="22"/>
          <w:szCs w:val="22"/>
        </w:rPr>
        <w:t xml:space="preserve">will be offer </w:t>
      </w:r>
      <w:r w:rsidRPr="009C4537">
        <w:rPr>
          <w:sz w:val="22"/>
          <w:szCs w:val="22"/>
        </w:rPr>
        <w:t>as outlined in section A.9</w:t>
      </w:r>
      <w:r w:rsidR="00EB6D51" w:rsidRPr="009C4537">
        <w:rPr>
          <w:sz w:val="22"/>
          <w:szCs w:val="22"/>
        </w:rPr>
        <w:t xml:space="preserve"> above</w:t>
      </w:r>
      <w:r w:rsidRPr="009C4537">
        <w:rPr>
          <w:sz w:val="22"/>
          <w:szCs w:val="22"/>
        </w:rPr>
        <w:t>.</w:t>
      </w:r>
    </w:p>
    <w:p w14:paraId="3D83245D" w14:textId="77777777" w:rsidR="00046B7E" w:rsidRPr="000D77AA" w:rsidRDefault="00046B7E" w:rsidP="00046B7E">
      <w:pPr>
        <w:pStyle w:val="BodyText"/>
        <w:rPr>
          <w:sz w:val="22"/>
          <w:szCs w:val="22"/>
        </w:rPr>
      </w:pPr>
    </w:p>
    <w:p w14:paraId="6B16D4EE" w14:textId="77777777" w:rsidR="00046B7E" w:rsidRPr="003C4997" w:rsidRDefault="00046B7E" w:rsidP="00046B7E">
      <w:pPr>
        <w:pStyle w:val="Heading3"/>
        <w:rPr>
          <w:i w:val="0"/>
          <w:sz w:val="24"/>
        </w:rPr>
      </w:pPr>
      <w:bookmarkStart w:id="8" w:name="_Toc410981795"/>
      <w:r w:rsidRPr="003C4997">
        <w:rPr>
          <w:i w:val="0"/>
          <w:sz w:val="24"/>
        </w:rPr>
        <w:t>3</w:t>
      </w:r>
      <w:r w:rsidRPr="003C4997">
        <w:rPr>
          <w:i w:val="0"/>
          <w:sz w:val="24"/>
          <w:lang w:val="x-none"/>
        </w:rPr>
        <w:t>.</w:t>
      </w:r>
      <w:r w:rsidRPr="003C4997">
        <w:rPr>
          <w:i w:val="0"/>
          <w:sz w:val="24"/>
        </w:rPr>
        <w:t>2 Locating</w:t>
      </w:r>
      <w:bookmarkEnd w:id="8"/>
    </w:p>
    <w:p w14:paraId="65F3A3CC" w14:textId="6496A50E" w:rsidR="00046B7E" w:rsidRDefault="0006723F" w:rsidP="00046B7E">
      <w:pPr>
        <w:rPr>
          <w:rFonts w:eastAsia="Calibri"/>
          <w:sz w:val="22"/>
          <w:szCs w:val="22"/>
          <w:lang w:bidi="en-US"/>
        </w:rPr>
      </w:pPr>
      <w:r>
        <w:rPr>
          <w:sz w:val="22"/>
        </w:rPr>
        <w:t xml:space="preserve">Panel sample members </w:t>
      </w:r>
      <w:r w:rsidR="00D05B71">
        <w:rPr>
          <w:sz w:val="22"/>
        </w:rPr>
        <w:t>who</w:t>
      </w:r>
      <w:r>
        <w:rPr>
          <w:sz w:val="22"/>
        </w:rPr>
        <w:t xml:space="preserve"> </w:t>
      </w:r>
      <w:r w:rsidR="00B944DA">
        <w:rPr>
          <w:sz w:val="22"/>
        </w:rPr>
        <w:t>are</w:t>
      </w:r>
      <w:r>
        <w:rPr>
          <w:sz w:val="22"/>
        </w:rPr>
        <w:t xml:space="preserve"> </w:t>
      </w:r>
      <w:r w:rsidR="00D05B71">
        <w:rPr>
          <w:sz w:val="22"/>
        </w:rPr>
        <w:t>categorized</w:t>
      </w:r>
      <w:r w:rsidR="004C013B">
        <w:rPr>
          <w:sz w:val="22"/>
        </w:rPr>
        <w:t xml:space="preserve"> as </w:t>
      </w:r>
      <w:r>
        <w:rPr>
          <w:sz w:val="22"/>
        </w:rPr>
        <w:t>locating problems in 201</w:t>
      </w:r>
      <w:r w:rsidR="003B0E9F">
        <w:rPr>
          <w:sz w:val="22"/>
        </w:rPr>
        <w:t>9</w:t>
      </w:r>
      <w:r>
        <w:rPr>
          <w:sz w:val="22"/>
        </w:rPr>
        <w:t xml:space="preserve"> and n</w:t>
      </w:r>
      <w:r w:rsidR="00046B7E" w:rsidRPr="006474BE">
        <w:rPr>
          <w:sz w:val="22"/>
        </w:rPr>
        <w:t xml:space="preserve">ew sample members </w:t>
      </w:r>
      <w:r>
        <w:rPr>
          <w:sz w:val="22"/>
        </w:rPr>
        <w:t xml:space="preserve">with incomplete contacting data </w:t>
      </w:r>
      <w:r w:rsidR="00046B7E" w:rsidRPr="006474BE">
        <w:rPr>
          <w:sz w:val="22"/>
        </w:rPr>
        <w:t xml:space="preserve">will first need to be located before </w:t>
      </w:r>
      <w:r w:rsidR="0028271A">
        <w:rPr>
          <w:sz w:val="22"/>
        </w:rPr>
        <w:t xml:space="preserve">making </w:t>
      </w:r>
      <w:r w:rsidR="00046B7E" w:rsidRPr="006474BE">
        <w:rPr>
          <w:sz w:val="22"/>
        </w:rPr>
        <w:t>a request for survey participation</w:t>
      </w:r>
      <w:r w:rsidR="00046B7E">
        <w:rPr>
          <w:sz w:val="22"/>
        </w:rPr>
        <w:t xml:space="preserve">. </w:t>
      </w:r>
      <w:r w:rsidR="00046B7E" w:rsidRPr="006474BE">
        <w:rPr>
          <w:rFonts w:eastAsia="Calibri"/>
          <w:sz w:val="22"/>
          <w:szCs w:val="22"/>
          <w:lang w:bidi="en-US"/>
        </w:rPr>
        <w:t>The 201</w:t>
      </w:r>
      <w:r w:rsidR="00300C96">
        <w:rPr>
          <w:rFonts w:eastAsia="Calibri"/>
          <w:sz w:val="22"/>
          <w:szCs w:val="22"/>
          <w:lang w:bidi="en-US"/>
        </w:rPr>
        <w:t>9</w:t>
      </w:r>
      <w:r w:rsidR="00046B7E" w:rsidRPr="006474BE">
        <w:rPr>
          <w:rFonts w:eastAsia="Calibri"/>
          <w:sz w:val="22"/>
          <w:szCs w:val="22"/>
          <w:lang w:bidi="en-US"/>
        </w:rPr>
        <w:t xml:space="preserve"> SDR will follow a locating protocol</w:t>
      </w:r>
      <w:r w:rsidR="00B932F4">
        <w:rPr>
          <w:rFonts w:eastAsia="Calibri"/>
          <w:sz w:val="22"/>
          <w:szCs w:val="22"/>
          <w:lang w:bidi="en-US"/>
        </w:rPr>
        <w:t xml:space="preserve"> similar to </w:t>
      </w:r>
      <w:r w:rsidR="00046B7E" w:rsidRPr="006474BE">
        <w:rPr>
          <w:rFonts w:eastAsia="Calibri"/>
          <w:sz w:val="22"/>
          <w:szCs w:val="22"/>
          <w:lang w:bidi="en-US"/>
        </w:rPr>
        <w:t>th</w:t>
      </w:r>
      <w:r w:rsidR="009C4537">
        <w:rPr>
          <w:rFonts w:eastAsia="Calibri"/>
          <w:sz w:val="22"/>
          <w:szCs w:val="22"/>
          <w:lang w:bidi="en-US"/>
        </w:rPr>
        <w:t>e approach</w:t>
      </w:r>
      <w:r w:rsidR="00046B7E" w:rsidRPr="006474BE">
        <w:rPr>
          <w:rFonts w:eastAsia="Calibri"/>
          <w:sz w:val="22"/>
          <w:szCs w:val="22"/>
          <w:lang w:bidi="en-US"/>
        </w:rPr>
        <w:t xml:space="preserve"> implemented in 201</w:t>
      </w:r>
      <w:r w:rsidR="00300C96">
        <w:rPr>
          <w:rFonts w:eastAsia="Calibri"/>
          <w:sz w:val="22"/>
          <w:szCs w:val="22"/>
          <w:lang w:bidi="en-US"/>
        </w:rPr>
        <w:t>7</w:t>
      </w:r>
      <w:r w:rsidR="00046B7E">
        <w:rPr>
          <w:rFonts w:eastAsia="Calibri"/>
          <w:sz w:val="22"/>
          <w:szCs w:val="22"/>
          <w:lang w:bidi="en-US"/>
        </w:rPr>
        <w:t xml:space="preserve">. </w:t>
      </w:r>
      <w:r w:rsidR="00046B7E" w:rsidRPr="006474BE">
        <w:rPr>
          <w:rFonts w:eastAsia="Calibri"/>
          <w:sz w:val="22"/>
          <w:szCs w:val="22"/>
          <w:lang w:bidi="en-US"/>
        </w:rPr>
        <w:t>The contacting information obtained from the 201</w:t>
      </w:r>
      <w:r w:rsidR="00300C96">
        <w:rPr>
          <w:rFonts w:eastAsia="Calibri"/>
          <w:sz w:val="22"/>
          <w:szCs w:val="22"/>
          <w:lang w:bidi="en-US"/>
        </w:rPr>
        <w:t>7</w:t>
      </w:r>
      <w:r w:rsidR="00046B7E" w:rsidRPr="006474BE">
        <w:rPr>
          <w:rFonts w:eastAsia="Calibri"/>
          <w:sz w:val="22"/>
          <w:szCs w:val="22"/>
          <w:lang w:bidi="en-US"/>
        </w:rPr>
        <w:t xml:space="preserve"> SDR and prior cycles will</w:t>
      </w:r>
      <w:r w:rsidR="00046B7E" w:rsidRPr="0056012C">
        <w:rPr>
          <w:rFonts w:eastAsia="Calibri"/>
          <w:sz w:val="22"/>
          <w:szCs w:val="22"/>
          <w:lang w:bidi="en-US"/>
        </w:rPr>
        <w:t xml:space="preserve"> be used to locate and contact the panel; the information from the SE</w:t>
      </w:r>
      <w:r w:rsidR="00046B7E">
        <w:rPr>
          <w:rFonts w:eastAsia="Calibri"/>
          <w:sz w:val="22"/>
          <w:szCs w:val="22"/>
          <w:lang w:bidi="en-US"/>
        </w:rPr>
        <w:t>D</w:t>
      </w:r>
      <w:r w:rsidR="00046B7E" w:rsidRPr="0056012C">
        <w:rPr>
          <w:rFonts w:eastAsia="Calibri"/>
          <w:sz w:val="22"/>
          <w:szCs w:val="22"/>
          <w:lang w:bidi="en-US"/>
        </w:rPr>
        <w:t xml:space="preserve"> will be the starting information used to locat</w:t>
      </w:r>
      <w:r w:rsidR="00046B7E">
        <w:rPr>
          <w:rFonts w:eastAsia="Calibri"/>
          <w:sz w:val="22"/>
          <w:szCs w:val="22"/>
          <w:lang w:bidi="en-US"/>
        </w:rPr>
        <w:t>e</w:t>
      </w:r>
      <w:r w:rsidR="00046B7E" w:rsidRPr="0056012C">
        <w:rPr>
          <w:rFonts w:eastAsia="Calibri"/>
          <w:sz w:val="22"/>
          <w:szCs w:val="22"/>
          <w:lang w:bidi="en-US"/>
        </w:rPr>
        <w:t xml:space="preserve"> and contact any </w:t>
      </w:r>
      <w:r w:rsidR="00D05B71">
        <w:rPr>
          <w:rFonts w:eastAsia="Calibri"/>
          <w:sz w:val="22"/>
          <w:szCs w:val="22"/>
          <w:lang w:bidi="en-US"/>
        </w:rPr>
        <w:t xml:space="preserve">new cohort </w:t>
      </w:r>
      <w:r w:rsidR="00046B7E" w:rsidRPr="0056012C">
        <w:rPr>
          <w:rFonts w:eastAsia="Calibri"/>
          <w:sz w:val="22"/>
          <w:szCs w:val="22"/>
          <w:lang w:bidi="en-US"/>
        </w:rPr>
        <w:t xml:space="preserve">cases </w:t>
      </w:r>
      <w:r w:rsidR="00046B7E" w:rsidRPr="00646FED">
        <w:rPr>
          <w:rFonts w:eastAsia="Calibri"/>
          <w:sz w:val="22"/>
          <w:szCs w:val="22"/>
          <w:lang w:bidi="en-US"/>
        </w:rPr>
        <w:t>in</w:t>
      </w:r>
      <w:r w:rsidR="00046B7E" w:rsidRPr="0056012C">
        <w:rPr>
          <w:rFonts w:eastAsia="Calibri"/>
          <w:sz w:val="22"/>
          <w:szCs w:val="22"/>
          <w:lang w:bidi="en-US"/>
        </w:rPr>
        <w:t xml:space="preserve"> </w:t>
      </w:r>
      <w:r w:rsidR="00046B7E" w:rsidRPr="006474BE">
        <w:rPr>
          <w:rFonts w:eastAsia="Calibri"/>
          <w:sz w:val="22"/>
          <w:szCs w:val="22"/>
          <w:lang w:bidi="en-US"/>
        </w:rPr>
        <w:t>201</w:t>
      </w:r>
      <w:r w:rsidR="00300C96">
        <w:rPr>
          <w:rFonts w:eastAsia="Calibri"/>
          <w:sz w:val="22"/>
          <w:szCs w:val="22"/>
          <w:lang w:bidi="en-US"/>
        </w:rPr>
        <w:t>9</w:t>
      </w:r>
      <w:r w:rsidR="00046B7E" w:rsidRPr="0056012C">
        <w:rPr>
          <w:rFonts w:eastAsia="Calibri"/>
          <w:sz w:val="22"/>
          <w:szCs w:val="22"/>
          <w:lang w:bidi="en-US"/>
        </w:rPr>
        <w:t xml:space="preserve">. </w:t>
      </w:r>
    </w:p>
    <w:p w14:paraId="4EDFB455" w14:textId="77777777" w:rsidR="00046B7E" w:rsidRDefault="00046B7E" w:rsidP="00046B7E">
      <w:pPr>
        <w:rPr>
          <w:rFonts w:eastAsia="Calibri"/>
          <w:sz w:val="22"/>
          <w:szCs w:val="22"/>
          <w:lang w:bidi="en-US"/>
        </w:rPr>
      </w:pPr>
    </w:p>
    <w:p w14:paraId="7715F7F1" w14:textId="22F7FC32" w:rsidR="00046B7E" w:rsidRPr="00880EF4" w:rsidRDefault="00046B7E" w:rsidP="00046B7E">
      <w:pPr>
        <w:rPr>
          <w:rFonts w:eastAsia="Calibri"/>
          <w:sz w:val="22"/>
          <w:szCs w:val="22"/>
          <w:lang w:bidi="en-US"/>
        </w:rPr>
      </w:pPr>
      <w:r w:rsidRPr="00113EBC">
        <w:rPr>
          <w:rFonts w:eastAsia="Calibri"/>
          <w:b/>
          <w:sz w:val="22"/>
          <w:szCs w:val="22"/>
          <w:lang w:bidi="en-US"/>
        </w:rPr>
        <w:t>201</w:t>
      </w:r>
      <w:r w:rsidR="00300C96">
        <w:rPr>
          <w:rFonts w:eastAsia="Calibri"/>
          <w:b/>
          <w:sz w:val="22"/>
          <w:szCs w:val="22"/>
          <w:lang w:bidi="en-US"/>
        </w:rPr>
        <w:t>9</w:t>
      </w:r>
      <w:r w:rsidRPr="00113EBC">
        <w:rPr>
          <w:rFonts w:eastAsia="Calibri"/>
          <w:b/>
          <w:sz w:val="22"/>
          <w:szCs w:val="22"/>
          <w:lang w:bidi="en-US"/>
        </w:rPr>
        <w:t xml:space="preserve"> SDR Locating Protocol Overview</w:t>
      </w:r>
      <w:r>
        <w:rPr>
          <w:rFonts w:eastAsia="Calibri"/>
          <w:b/>
          <w:sz w:val="22"/>
          <w:szCs w:val="22"/>
          <w:lang w:bidi="en-US"/>
        </w:rPr>
        <w:t xml:space="preserve">. </w:t>
      </w:r>
      <w:r w:rsidRPr="00113EBC">
        <w:rPr>
          <w:rFonts w:eastAsia="Calibri"/>
          <w:sz w:val="22"/>
          <w:szCs w:val="22"/>
          <w:lang w:bidi="en-US"/>
        </w:rPr>
        <w:t>As in prior SDR cycles, there will be two phases of locating for the 201</w:t>
      </w:r>
      <w:r w:rsidR="00300C96">
        <w:rPr>
          <w:rFonts w:eastAsia="Calibri"/>
          <w:sz w:val="22"/>
          <w:szCs w:val="22"/>
          <w:lang w:bidi="en-US"/>
        </w:rPr>
        <w:t>9</w:t>
      </w:r>
      <w:r w:rsidRPr="00113EBC">
        <w:rPr>
          <w:rFonts w:eastAsia="Calibri"/>
          <w:sz w:val="22"/>
          <w:szCs w:val="22"/>
          <w:lang w:bidi="en-US"/>
        </w:rPr>
        <w:t xml:space="preserve"> SDR: prefield and main locating</w:t>
      </w:r>
      <w:r>
        <w:rPr>
          <w:rFonts w:eastAsia="Calibri"/>
          <w:sz w:val="22"/>
          <w:szCs w:val="22"/>
          <w:lang w:bidi="en-US"/>
        </w:rPr>
        <w:t xml:space="preserve">. </w:t>
      </w:r>
      <w:r w:rsidRPr="00113EBC">
        <w:rPr>
          <w:rFonts w:eastAsia="Calibri"/>
          <w:sz w:val="22"/>
          <w:szCs w:val="22"/>
          <w:lang w:bidi="en-US"/>
        </w:rPr>
        <w:t>Prefield locating activities include Accurint®</w:t>
      </w:r>
      <w:r w:rsidRPr="00113EBC">
        <w:rPr>
          <w:rStyle w:val="FootnoteReference"/>
          <w:rFonts w:eastAsia="Calibri"/>
          <w:sz w:val="22"/>
          <w:szCs w:val="22"/>
          <w:lang w:bidi="en-US"/>
        </w:rPr>
        <w:footnoteReference w:id="1"/>
      </w:r>
      <w:r w:rsidRPr="00113EBC">
        <w:rPr>
          <w:rFonts w:eastAsia="Calibri"/>
          <w:sz w:val="22"/>
          <w:szCs w:val="22"/>
          <w:lang w:bidi="en-US"/>
        </w:rPr>
        <w:t xml:space="preserve"> batch processing</w:t>
      </w:r>
      <w:r>
        <w:rPr>
          <w:rFonts w:eastAsia="Calibri"/>
          <w:sz w:val="22"/>
          <w:szCs w:val="22"/>
          <w:lang w:bidi="en-US"/>
        </w:rPr>
        <w:t xml:space="preserve"> and individual searches</w:t>
      </w:r>
      <w:r w:rsidRPr="00113EBC">
        <w:rPr>
          <w:rFonts w:eastAsia="Calibri"/>
          <w:sz w:val="22"/>
          <w:szCs w:val="22"/>
          <w:lang w:bidi="en-US"/>
        </w:rPr>
        <w:t>, address review, and individual case locating (also called manual locating)</w:t>
      </w:r>
      <w:r>
        <w:rPr>
          <w:rFonts w:eastAsia="Calibri"/>
          <w:sz w:val="22"/>
          <w:szCs w:val="22"/>
          <w:lang w:bidi="en-US"/>
        </w:rPr>
        <w:t xml:space="preserve">. </w:t>
      </w:r>
      <w:r w:rsidRPr="00113EBC">
        <w:rPr>
          <w:rFonts w:eastAsia="Calibri"/>
          <w:sz w:val="22"/>
          <w:szCs w:val="22"/>
          <w:lang w:bidi="en-US"/>
        </w:rPr>
        <w:t>Prefield</w:t>
      </w:r>
      <w:r w:rsidRPr="00880EF4">
        <w:rPr>
          <w:rFonts w:eastAsia="Calibri"/>
          <w:sz w:val="22"/>
          <w:szCs w:val="22"/>
          <w:lang w:bidi="en-US"/>
        </w:rPr>
        <w:t xml:space="preserve"> locating occurs </w:t>
      </w:r>
      <w:r w:rsidR="003B0E9F">
        <w:rPr>
          <w:rFonts w:eastAsia="Calibri"/>
          <w:sz w:val="22"/>
          <w:szCs w:val="22"/>
          <w:lang w:bidi="en-US"/>
        </w:rPr>
        <w:t xml:space="preserve">at least one month </w:t>
      </w:r>
      <w:r w:rsidRPr="00880EF4">
        <w:rPr>
          <w:rFonts w:eastAsia="Calibri"/>
          <w:sz w:val="22"/>
          <w:szCs w:val="22"/>
          <w:lang w:bidi="en-US"/>
        </w:rPr>
        <w:t xml:space="preserve">before the start of data collection </w:t>
      </w:r>
      <w:r>
        <w:rPr>
          <w:rFonts w:eastAsia="Calibri"/>
          <w:sz w:val="22"/>
          <w:szCs w:val="22"/>
          <w:lang w:bidi="en-US"/>
        </w:rPr>
        <w:t xml:space="preserve">and is used </w:t>
      </w:r>
      <w:r w:rsidRPr="00880EF4">
        <w:rPr>
          <w:rFonts w:eastAsia="Calibri"/>
          <w:sz w:val="22"/>
          <w:szCs w:val="22"/>
          <w:lang w:bidi="en-US"/>
        </w:rPr>
        <w:t>to ensure the initial outreach request for survey participation is sent to as many sample members as possible</w:t>
      </w:r>
      <w:r>
        <w:rPr>
          <w:rFonts w:eastAsia="Calibri"/>
          <w:sz w:val="22"/>
          <w:szCs w:val="22"/>
          <w:lang w:bidi="en-US"/>
        </w:rPr>
        <w:t xml:space="preserve">. </w:t>
      </w:r>
      <w:r w:rsidRPr="00880EF4">
        <w:rPr>
          <w:rFonts w:eastAsia="Calibri"/>
          <w:sz w:val="22"/>
          <w:szCs w:val="22"/>
          <w:lang w:bidi="en-US"/>
        </w:rPr>
        <w:t xml:space="preserve">Prefield </w:t>
      </w:r>
      <w:r>
        <w:rPr>
          <w:rFonts w:eastAsia="Calibri"/>
          <w:sz w:val="22"/>
          <w:szCs w:val="22"/>
          <w:lang w:bidi="en-US"/>
        </w:rPr>
        <w:t>individual case locating includes online searches</w:t>
      </w:r>
      <w:r w:rsidR="00F21F12">
        <w:rPr>
          <w:rFonts w:eastAsia="Calibri"/>
          <w:sz w:val="22"/>
          <w:szCs w:val="22"/>
          <w:lang w:bidi="en-US"/>
        </w:rPr>
        <w:t xml:space="preserve">, </w:t>
      </w:r>
      <w:r>
        <w:rPr>
          <w:rFonts w:eastAsia="Calibri"/>
          <w:sz w:val="22"/>
          <w:szCs w:val="22"/>
          <w:lang w:bidi="en-US"/>
        </w:rPr>
        <w:t>limited telephone calls to sample members, and telephone calls and emails to contact persons</w:t>
      </w:r>
      <w:r w:rsidRPr="00880EF4">
        <w:rPr>
          <w:rFonts w:eastAsia="Calibri"/>
          <w:sz w:val="22"/>
          <w:szCs w:val="22"/>
          <w:lang w:bidi="en-US"/>
        </w:rPr>
        <w:t xml:space="preserve"> who</w:t>
      </w:r>
      <w:r w:rsidR="00A13E9B">
        <w:rPr>
          <w:rFonts w:eastAsia="Calibri"/>
          <w:sz w:val="22"/>
          <w:szCs w:val="22"/>
          <w:lang w:bidi="en-US"/>
        </w:rPr>
        <w:t xml:space="preserve"> </w:t>
      </w:r>
      <w:r w:rsidR="00B45866">
        <w:rPr>
          <w:rFonts w:eastAsia="Calibri"/>
          <w:sz w:val="22"/>
          <w:szCs w:val="22"/>
          <w:lang w:bidi="en-US"/>
        </w:rPr>
        <w:t>may</w:t>
      </w:r>
      <w:r w:rsidRPr="00880EF4">
        <w:rPr>
          <w:rFonts w:eastAsia="Calibri"/>
          <w:sz w:val="22"/>
          <w:szCs w:val="22"/>
          <w:lang w:bidi="en-US"/>
        </w:rPr>
        <w:t xml:space="preserve"> know </w:t>
      </w:r>
      <w:r>
        <w:rPr>
          <w:rFonts w:eastAsia="Calibri"/>
          <w:sz w:val="22"/>
          <w:szCs w:val="22"/>
          <w:lang w:bidi="en-US"/>
        </w:rPr>
        <w:t xml:space="preserve">how to reach </w:t>
      </w:r>
      <w:r w:rsidRPr="00880EF4">
        <w:rPr>
          <w:rFonts w:eastAsia="Calibri"/>
          <w:sz w:val="22"/>
          <w:szCs w:val="22"/>
          <w:lang w:bidi="en-US"/>
        </w:rPr>
        <w:t>the sample member</w:t>
      </w:r>
      <w:r>
        <w:rPr>
          <w:rFonts w:eastAsia="Calibri"/>
          <w:sz w:val="22"/>
          <w:szCs w:val="22"/>
          <w:lang w:bidi="en-US"/>
        </w:rPr>
        <w:t xml:space="preserve">s. </w:t>
      </w:r>
      <w:r w:rsidRPr="00880EF4">
        <w:rPr>
          <w:rFonts w:eastAsia="Calibri"/>
          <w:sz w:val="22"/>
          <w:szCs w:val="22"/>
          <w:lang w:bidi="en-US"/>
        </w:rPr>
        <w:t>Main locating includes manual locating and additional Accurint</w:t>
      </w:r>
      <w:r w:rsidRPr="00880EF4">
        <w:rPr>
          <w:rFonts w:eastAsia="Calibri"/>
          <w:sz w:val="22"/>
          <w:szCs w:val="22"/>
          <w:vertAlign w:val="superscript"/>
          <w:lang w:bidi="en-US"/>
        </w:rPr>
        <w:t>®</w:t>
      </w:r>
      <w:r w:rsidRPr="00880EF4">
        <w:rPr>
          <w:rFonts w:eastAsia="Calibri"/>
          <w:sz w:val="22"/>
          <w:szCs w:val="22"/>
          <w:lang w:bidi="en-US"/>
        </w:rPr>
        <w:t xml:space="preserve"> processing as needed</w:t>
      </w:r>
      <w:r>
        <w:rPr>
          <w:rFonts w:eastAsia="Calibri"/>
          <w:sz w:val="22"/>
          <w:szCs w:val="22"/>
          <w:lang w:bidi="en-US"/>
        </w:rPr>
        <w:t>. M</w:t>
      </w:r>
      <w:r w:rsidRPr="00880EF4">
        <w:rPr>
          <w:rFonts w:eastAsia="Calibri"/>
          <w:sz w:val="22"/>
          <w:szCs w:val="22"/>
          <w:lang w:bidi="en-US"/>
        </w:rPr>
        <w:t xml:space="preserve">ain locating activity will begin at the start of data collection and will include contact </w:t>
      </w:r>
      <w:r>
        <w:rPr>
          <w:rFonts w:eastAsia="Calibri"/>
          <w:sz w:val="22"/>
          <w:szCs w:val="22"/>
          <w:lang w:bidi="en-US"/>
        </w:rPr>
        <w:t xml:space="preserve">(by mail, telephone, or email) </w:t>
      </w:r>
      <w:r w:rsidRPr="00880EF4">
        <w:rPr>
          <w:rFonts w:eastAsia="Calibri"/>
          <w:sz w:val="22"/>
          <w:szCs w:val="22"/>
          <w:lang w:bidi="en-US"/>
        </w:rPr>
        <w:t xml:space="preserve">with sample members and other </w:t>
      </w:r>
      <w:r>
        <w:rPr>
          <w:rFonts w:eastAsia="Calibri"/>
          <w:sz w:val="22"/>
          <w:szCs w:val="22"/>
          <w:lang w:bidi="en-US"/>
        </w:rPr>
        <w:t xml:space="preserve">contact persons. </w:t>
      </w:r>
      <w:r w:rsidRPr="00880EF4">
        <w:rPr>
          <w:rFonts w:eastAsia="Calibri"/>
          <w:sz w:val="22"/>
          <w:szCs w:val="22"/>
          <w:lang w:bidi="en-US"/>
        </w:rPr>
        <w:t xml:space="preserve">Both the prefield and main locating activities will be supported by an </w:t>
      </w:r>
      <w:r>
        <w:rPr>
          <w:rFonts w:eastAsia="Calibri"/>
          <w:sz w:val="22"/>
          <w:szCs w:val="22"/>
          <w:lang w:bidi="en-US"/>
        </w:rPr>
        <w:t>inte</w:t>
      </w:r>
      <w:r w:rsidR="003B0E9F">
        <w:rPr>
          <w:rFonts w:eastAsia="Calibri"/>
          <w:sz w:val="22"/>
          <w:szCs w:val="22"/>
          <w:lang w:bidi="en-US"/>
        </w:rPr>
        <w:t>ractive (i.e., real time)</w:t>
      </w:r>
      <w:r>
        <w:rPr>
          <w:rFonts w:eastAsia="Calibri"/>
          <w:sz w:val="22"/>
          <w:szCs w:val="22"/>
          <w:lang w:bidi="en-US"/>
        </w:rPr>
        <w:t xml:space="preserve"> </w:t>
      </w:r>
      <w:r w:rsidRPr="00880EF4">
        <w:rPr>
          <w:rFonts w:eastAsia="Calibri"/>
          <w:sz w:val="22"/>
          <w:szCs w:val="22"/>
          <w:lang w:bidi="en-US"/>
        </w:rPr>
        <w:t>online case management system</w:t>
      </w:r>
      <w:r w:rsidR="003B0E9F">
        <w:rPr>
          <w:rFonts w:eastAsia="Calibri"/>
          <w:sz w:val="22"/>
          <w:szCs w:val="22"/>
          <w:lang w:bidi="en-US"/>
        </w:rPr>
        <w:t xml:space="preserve"> (CMS)</w:t>
      </w:r>
      <w:r>
        <w:rPr>
          <w:rFonts w:eastAsia="Calibri"/>
          <w:sz w:val="22"/>
          <w:szCs w:val="22"/>
          <w:lang w:bidi="en-US"/>
        </w:rPr>
        <w:t xml:space="preserve">. </w:t>
      </w:r>
      <w:r w:rsidRPr="00880EF4">
        <w:rPr>
          <w:rFonts w:eastAsia="Calibri"/>
          <w:sz w:val="22"/>
          <w:szCs w:val="22"/>
          <w:lang w:bidi="en-US"/>
        </w:rPr>
        <w:t xml:space="preserve">The case management system </w:t>
      </w:r>
      <w:r>
        <w:rPr>
          <w:rFonts w:eastAsia="Calibri"/>
          <w:sz w:val="22"/>
          <w:szCs w:val="22"/>
          <w:lang w:bidi="en-US"/>
        </w:rPr>
        <w:t xml:space="preserve">will </w:t>
      </w:r>
      <w:r w:rsidRPr="00880EF4">
        <w:rPr>
          <w:rFonts w:eastAsia="Calibri"/>
          <w:sz w:val="22"/>
          <w:szCs w:val="22"/>
          <w:lang w:bidi="en-US"/>
        </w:rPr>
        <w:t xml:space="preserve">include background information for each case, </w:t>
      </w:r>
      <w:r w:rsidR="00D05B71" w:rsidRPr="00880EF4">
        <w:rPr>
          <w:rFonts w:eastAsia="Calibri"/>
          <w:sz w:val="22"/>
          <w:szCs w:val="22"/>
          <w:lang w:bidi="en-US"/>
        </w:rPr>
        <w:t>all</w:t>
      </w:r>
      <w:r w:rsidRPr="00880EF4">
        <w:rPr>
          <w:rFonts w:eastAsia="Calibri"/>
          <w:sz w:val="22"/>
          <w:szCs w:val="22"/>
          <w:lang w:bidi="en-US"/>
        </w:rPr>
        <w:t xml:space="preserve"> the locating leads, all searches conducted, and all outreach </w:t>
      </w:r>
      <w:r>
        <w:rPr>
          <w:rFonts w:eastAsia="Calibri"/>
          <w:sz w:val="22"/>
          <w:szCs w:val="22"/>
          <w:lang w:bidi="en-US"/>
        </w:rPr>
        <w:t>attempts</w:t>
      </w:r>
      <w:r w:rsidRPr="00880EF4">
        <w:rPr>
          <w:rFonts w:eastAsia="Calibri"/>
          <w:sz w:val="22"/>
          <w:szCs w:val="22"/>
          <w:lang w:bidi="en-US"/>
        </w:rPr>
        <w:t xml:space="preserve"> made which lead to the newly found contacting information (including </w:t>
      </w:r>
      <w:r>
        <w:rPr>
          <w:rFonts w:eastAsia="Calibri"/>
          <w:sz w:val="22"/>
          <w:szCs w:val="22"/>
          <w:lang w:bidi="en-US"/>
        </w:rPr>
        <w:t xml:space="preserve">mailing </w:t>
      </w:r>
      <w:r w:rsidRPr="00880EF4">
        <w:rPr>
          <w:rFonts w:eastAsia="Calibri"/>
          <w:sz w:val="22"/>
          <w:szCs w:val="22"/>
          <w:lang w:bidi="en-US"/>
        </w:rPr>
        <w:t>addresses, telephone numbers, and email addresses).</w:t>
      </w:r>
      <w:r w:rsidR="003B0E9F">
        <w:rPr>
          <w:rFonts w:eastAsia="Calibri"/>
          <w:sz w:val="22"/>
          <w:szCs w:val="22"/>
          <w:lang w:bidi="en-US"/>
        </w:rPr>
        <w:t xml:space="preserve"> The CMS </w:t>
      </w:r>
      <w:r w:rsidR="001903E3">
        <w:rPr>
          <w:rFonts w:eastAsia="Calibri"/>
          <w:sz w:val="22"/>
          <w:szCs w:val="22"/>
          <w:lang w:bidi="en-US"/>
        </w:rPr>
        <w:t xml:space="preserve">information </w:t>
      </w:r>
      <w:r w:rsidR="003B0E9F">
        <w:rPr>
          <w:rFonts w:eastAsia="Calibri"/>
          <w:sz w:val="22"/>
          <w:szCs w:val="22"/>
          <w:lang w:bidi="en-US"/>
        </w:rPr>
        <w:t xml:space="preserve">will </w:t>
      </w:r>
      <w:r w:rsidR="001903E3">
        <w:rPr>
          <w:rFonts w:eastAsia="Calibri"/>
          <w:sz w:val="22"/>
          <w:szCs w:val="22"/>
          <w:lang w:bidi="en-US"/>
        </w:rPr>
        <w:t xml:space="preserve">be integrated with survey paradata and monitoring metrics that support </w:t>
      </w:r>
      <w:r w:rsidR="0085004B">
        <w:rPr>
          <w:rFonts w:eastAsia="Calibri"/>
          <w:sz w:val="22"/>
          <w:szCs w:val="22"/>
          <w:lang w:bidi="en-US"/>
        </w:rPr>
        <w:t>an</w:t>
      </w:r>
      <w:r w:rsidR="001903E3">
        <w:rPr>
          <w:rFonts w:eastAsia="Calibri"/>
          <w:sz w:val="22"/>
          <w:szCs w:val="22"/>
          <w:lang w:bidi="en-US"/>
        </w:rPr>
        <w:t xml:space="preserve"> adaptive design approach.</w:t>
      </w:r>
      <w:r w:rsidR="00F21F12">
        <w:rPr>
          <w:rFonts w:eastAsia="Calibri"/>
          <w:sz w:val="22"/>
          <w:szCs w:val="22"/>
          <w:lang w:bidi="en-US"/>
        </w:rPr>
        <w:t xml:space="preserve"> See section B.</w:t>
      </w:r>
      <w:r w:rsidR="0090671D">
        <w:rPr>
          <w:rFonts w:eastAsia="Calibri"/>
          <w:sz w:val="22"/>
          <w:szCs w:val="22"/>
          <w:lang w:bidi="en-US"/>
        </w:rPr>
        <w:t>4.4</w:t>
      </w:r>
      <w:r w:rsidR="00F21F12">
        <w:rPr>
          <w:rFonts w:eastAsia="Calibri"/>
          <w:sz w:val="22"/>
          <w:szCs w:val="22"/>
          <w:lang w:bidi="en-US"/>
        </w:rPr>
        <w:t>. for more information on the adaptive design plans for 2019.</w:t>
      </w:r>
    </w:p>
    <w:p w14:paraId="20D5DB4E" w14:textId="77777777" w:rsidR="00046B7E" w:rsidRPr="00880EF4" w:rsidRDefault="00046B7E" w:rsidP="00046B7E">
      <w:pPr>
        <w:ind w:left="360"/>
        <w:rPr>
          <w:rFonts w:eastAsia="Calibri"/>
          <w:sz w:val="22"/>
          <w:szCs w:val="22"/>
          <w:lang w:bidi="en-US"/>
        </w:rPr>
      </w:pPr>
    </w:p>
    <w:p w14:paraId="1D2D5028" w14:textId="0A82B9B2" w:rsidR="00046B7E" w:rsidRPr="00163325" w:rsidRDefault="00046B7E" w:rsidP="00046B7E">
      <w:pPr>
        <w:tabs>
          <w:tab w:val="left" w:pos="360"/>
        </w:tabs>
        <w:rPr>
          <w:rFonts w:eastAsia="Calibri"/>
          <w:sz w:val="22"/>
          <w:szCs w:val="22"/>
          <w:lang w:bidi="en-US"/>
        </w:rPr>
      </w:pPr>
      <w:r w:rsidRPr="00880EF4">
        <w:rPr>
          <w:rFonts w:eastAsia="Calibri"/>
          <w:b/>
          <w:sz w:val="22"/>
          <w:szCs w:val="22"/>
          <w:lang w:bidi="en-US"/>
        </w:rPr>
        <w:t>Prefield Locating Activities</w:t>
      </w:r>
      <w:r>
        <w:rPr>
          <w:rFonts w:eastAsia="Calibri"/>
          <w:b/>
          <w:sz w:val="22"/>
          <w:szCs w:val="22"/>
          <w:lang w:bidi="en-US"/>
        </w:rPr>
        <w:t xml:space="preserve">. </w:t>
      </w:r>
      <w:r>
        <w:rPr>
          <w:rFonts w:eastAsia="Calibri"/>
          <w:sz w:val="22"/>
          <w:szCs w:val="22"/>
          <w:lang w:bidi="en-US"/>
        </w:rPr>
        <w:t xml:space="preserve">The prefield locating activities consist of </w:t>
      </w:r>
      <w:r w:rsidRPr="00CD2205">
        <w:rPr>
          <w:rFonts w:eastAsia="Calibri"/>
          <w:sz w:val="22"/>
          <w:szCs w:val="22"/>
          <w:lang w:bidi="en-US"/>
        </w:rPr>
        <w:t>four</w:t>
      </w:r>
      <w:r>
        <w:rPr>
          <w:rFonts w:eastAsia="Calibri"/>
          <w:sz w:val="22"/>
          <w:szCs w:val="22"/>
          <w:lang w:bidi="en-US"/>
        </w:rPr>
        <w:t xml:space="preserve"> major components</w:t>
      </w:r>
      <w:r w:rsidR="0085004B">
        <w:rPr>
          <w:rFonts w:eastAsia="Calibri"/>
          <w:sz w:val="22"/>
          <w:szCs w:val="22"/>
          <w:lang w:bidi="en-US"/>
        </w:rPr>
        <w:t xml:space="preserve"> as follows:</w:t>
      </w:r>
      <w:r>
        <w:rPr>
          <w:rFonts w:eastAsia="Calibri"/>
          <w:sz w:val="22"/>
          <w:szCs w:val="22"/>
          <w:lang w:bidi="en-US"/>
        </w:rPr>
        <w:t xml:space="preserve"> </w:t>
      </w:r>
    </w:p>
    <w:p w14:paraId="6E68D603" w14:textId="77777777" w:rsidR="00046B7E" w:rsidRDefault="00046B7E" w:rsidP="00046B7E">
      <w:pPr>
        <w:tabs>
          <w:tab w:val="left" w:pos="360"/>
        </w:tabs>
        <w:rPr>
          <w:rFonts w:eastAsia="Calibri"/>
          <w:b/>
          <w:sz w:val="22"/>
          <w:szCs w:val="22"/>
          <w:lang w:bidi="en-US"/>
        </w:rPr>
      </w:pPr>
    </w:p>
    <w:p w14:paraId="46E715DE" w14:textId="2991BEEC" w:rsidR="00046B7E" w:rsidRPr="007D3D67" w:rsidRDefault="00046B7E" w:rsidP="00046B7E">
      <w:pPr>
        <w:pStyle w:val="ListParagraph"/>
        <w:numPr>
          <w:ilvl w:val="0"/>
          <w:numId w:val="47"/>
        </w:numPr>
        <w:tabs>
          <w:tab w:val="left" w:pos="360"/>
        </w:tabs>
        <w:spacing w:before="0"/>
        <w:rPr>
          <w:rFonts w:eastAsia="Calibri"/>
          <w:b/>
          <w:lang w:bidi="en-US"/>
        </w:rPr>
      </w:pPr>
      <w:r w:rsidRPr="0014735B">
        <w:rPr>
          <w:rFonts w:eastAsia="Calibri"/>
          <w:lang w:bidi="en-US"/>
        </w:rPr>
        <w:t xml:space="preserve">For the </w:t>
      </w:r>
      <w:r w:rsidR="00421EDD">
        <w:rPr>
          <w:rFonts w:eastAsia="Calibri"/>
          <w:lang w:bidi="en-US"/>
        </w:rPr>
        <w:t xml:space="preserve">returning </w:t>
      </w:r>
      <w:r w:rsidRPr="0014735B">
        <w:rPr>
          <w:rFonts w:eastAsia="Calibri"/>
          <w:lang w:bidi="en-US"/>
        </w:rPr>
        <w:t>panel (sample component 1)</w:t>
      </w:r>
      <w:r w:rsidR="00585E32">
        <w:rPr>
          <w:rFonts w:eastAsia="Calibri"/>
          <w:lang w:bidi="en-US"/>
        </w:rPr>
        <w:t>,</w:t>
      </w:r>
      <w:r w:rsidRPr="0014735B">
        <w:rPr>
          <w:rFonts w:eastAsia="Calibri"/>
          <w:lang w:bidi="en-US"/>
        </w:rPr>
        <w:t xml:space="preserve"> the new cohort (sample com</w:t>
      </w:r>
      <w:r w:rsidRPr="007D3D67">
        <w:rPr>
          <w:rFonts w:eastAsia="Calibri"/>
          <w:lang w:bidi="en-US"/>
        </w:rPr>
        <w:t xml:space="preserve">ponent </w:t>
      </w:r>
      <w:r>
        <w:rPr>
          <w:rFonts w:eastAsia="Calibri"/>
          <w:lang w:bidi="en-US"/>
        </w:rPr>
        <w:t>2</w:t>
      </w:r>
      <w:r w:rsidRPr="007D3D67">
        <w:rPr>
          <w:rFonts w:eastAsia="Calibri"/>
          <w:lang w:bidi="en-US"/>
        </w:rPr>
        <w:t xml:space="preserve">), </w:t>
      </w:r>
      <w:r w:rsidR="00585E32">
        <w:rPr>
          <w:rFonts w:eastAsia="Calibri"/>
          <w:lang w:bidi="en-US"/>
        </w:rPr>
        <w:t>and the</w:t>
      </w:r>
      <w:r w:rsidR="00C302E5">
        <w:rPr>
          <w:rFonts w:eastAsia="Calibri"/>
          <w:lang w:bidi="en-US"/>
        </w:rPr>
        <w:t xml:space="preserve"> 2015 DRF</w:t>
      </w:r>
      <w:r w:rsidR="00585E32">
        <w:rPr>
          <w:rFonts w:eastAsia="Calibri"/>
          <w:lang w:bidi="en-US"/>
        </w:rPr>
        <w:t xml:space="preserve"> supplemental sample </w:t>
      </w:r>
      <w:r w:rsidR="00C302E5">
        <w:rPr>
          <w:rFonts w:eastAsia="Calibri"/>
          <w:lang w:bidi="en-US"/>
        </w:rPr>
        <w:t xml:space="preserve">(sample component 3), </w:t>
      </w:r>
      <w:r w:rsidRPr="007D3D67">
        <w:rPr>
          <w:rFonts w:eastAsia="Calibri"/>
          <w:lang w:bidi="en-US"/>
        </w:rPr>
        <w:t>the U.S. Postal Service’s (USPS) automated National Change of Address (NCOA) database will be used to update addresses for the sample</w:t>
      </w:r>
      <w:r>
        <w:rPr>
          <w:rFonts w:eastAsia="Calibri"/>
          <w:lang w:bidi="en-US"/>
        </w:rPr>
        <w:t xml:space="preserve">. </w:t>
      </w:r>
      <w:r w:rsidRPr="007D3D67">
        <w:rPr>
          <w:rFonts w:eastAsia="Calibri"/>
          <w:lang w:bidi="en-US"/>
        </w:rPr>
        <w:t>The NCOA incorporates all change of name/address orders submitted to the USPS nationwide for residential addr</w:t>
      </w:r>
      <w:r w:rsidRPr="004E2A30">
        <w:rPr>
          <w:rFonts w:eastAsia="Calibri"/>
          <w:lang w:bidi="en-US"/>
        </w:rPr>
        <w:t>esses; this database is updated biwee</w:t>
      </w:r>
      <w:r w:rsidRPr="00125A55">
        <w:rPr>
          <w:rFonts w:eastAsia="Calibri"/>
          <w:lang w:bidi="en-US"/>
        </w:rPr>
        <w:t>kly</w:t>
      </w:r>
      <w:r>
        <w:rPr>
          <w:rFonts w:eastAsia="Calibri"/>
          <w:lang w:bidi="en-US"/>
        </w:rPr>
        <w:t xml:space="preserve">. </w:t>
      </w:r>
      <w:r w:rsidRPr="00125A55">
        <w:rPr>
          <w:rFonts w:eastAsia="Calibri"/>
          <w:lang w:bidi="en-US"/>
        </w:rPr>
        <w:t xml:space="preserve">The NCOA database maintains up to 36 months of historical records of previous address changes. </w:t>
      </w:r>
      <w:r w:rsidRPr="00C8571D">
        <w:rPr>
          <w:rFonts w:eastAsia="Calibri"/>
          <w:lang w:bidi="en-US"/>
        </w:rPr>
        <w:t xml:space="preserve">However, the NCOA updates will be less effective for the new sample (sample component 2) since the starting contacting information from SED </w:t>
      </w:r>
      <w:r>
        <w:rPr>
          <w:rFonts w:eastAsia="Calibri"/>
          <w:lang w:bidi="en-US"/>
        </w:rPr>
        <w:t xml:space="preserve">could </w:t>
      </w:r>
      <w:r w:rsidRPr="00C8571D">
        <w:rPr>
          <w:rFonts w:eastAsia="Calibri"/>
          <w:lang w:bidi="en-US"/>
        </w:rPr>
        <w:t xml:space="preserve">be </w:t>
      </w:r>
      <w:r>
        <w:rPr>
          <w:rFonts w:eastAsia="Calibri"/>
          <w:lang w:bidi="en-US"/>
        </w:rPr>
        <w:t xml:space="preserve">up to </w:t>
      </w:r>
      <w:r w:rsidRPr="00C8571D">
        <w:rPr>
          <w:rFonts w:eastAsia="Calibri"/>
          <w:lang w:bidi="en-US"/>
        </w:rPr>
        <w:t>three years out of date.</w:t>
      </w:r>
    </w:p>
    <w:p w14:paraId="2A3ECB54" w14:textId="77777777" w:rsidR="00046B7E" w:rsidRDefault="00046B7E" w:rsidP="00046B7E">
      <w:pPr>
        <w:tabs>
          <w:tab w:val="left" w:pos="360"/>
        </w:tabs>
        <w:rPr>
          <w:rFonts w:eastAsia="Calibri"/>
          <w:b/>
          <w:sz w:val="22"/>
          <w:szCs w:val="22"/>
          <w:lang w:bidi="en-US"/>
        </w:rPr>
      </w:pPr>
    </w:p>
    <w:p w14:paraId="460B1BA6" w14:textId="291E1540" w:rsidR="00046B7E" w:rsidRDefault="00046B7E" w:rsidP="00046B7E">
      <w:pPr>
        <w:pStyle w:val="ListParagraph"/>
        <w:numPr>
          <w:ilvl w:val="0"/>
          <w:numId w:val="47"/>
        </w:numPr>
        <w:tabs>
          <w:tab w:val="left" w:pos="360"/>
        </w:tabs>
        <w:spacing w:before="0"/>
      </w:pPr>
      <w:r w:rsidRPr="0014735B">
        <w:t xml:space="preserve">After implementing the NCOA updates for the </w:t>
      </w:r>
      <w:r w:rsidR="00B932F4">
        <w:t xml:space="preserve">returning </w:t>
      </w:r>
      <w:r w:rsidRPr="0014735B">
        <w:t>panel</w:t>
      </w:r>
      <w:r w:rsidR="00C302E5">
        <w:t>,</w:t>
      </w:r>
      <w:r w:rsidRPr="0014735B">
        <w:t xml:space="preserve"> new cohort</w:t>
      </w:r>
      <w:r w:rsidRPr="007D3D67">
        <w:t xml:space="preserve">, </w:t>
      </w:r>
      <w:r w:rsidR="00C302E5">
        <w:t xml:space="preserve">and supplemental component, </w:t>
      </w:r>
      <w:r w:rsidRPr="007D3D67">
        <w:t>the sample will be assessed to determine which cases require prefield</w:t>
      </w:r>
      <w:r w:rsidRPr="004E2A30">
        <w:t xml:space="preserve"> locating. This assessment is different for the panel </w:t>
      </w:r>
      <w:r w:rsidR="00C302E5">
        <w:t xml:space="preserve">and supplemental </w:t>
      </w:r>
      <w:r w:rsidRPr="004E2A30">
        <w:t xml:space="preserve">cases </w:t>
      </w:r>
      <w:r>
        <w:t>than for</w:t>
      </w:r>
      <w:r w:rsidRPr="0014735B">
        <w:t xml:space="preserve"> the new cohort</w:t>
      </w:r>
      <w:r w:rsidRPr="007D3D67">
        <w:t xml:space="preserve"> sample components.</w:t>
      </w:r>
    </w:p>
    <w:p w14:paraId="333089BF" w14:textId="77777777" w:rsidR="00046B7E" w:rsidRDefault="00046B7E" w:rsidP="00046B7E">
      <w:pPr>
        <w:pStyle w:val="ListParagraph"/>
        <w:numPr>
          <w:ilvl w:val="0"/>
          <w:numId w:val="0"/>
        </w:numPr>
        <w:tabs>
          <w:tab w:val="left" w:pos="360"/>
        </w:tabs>
        <w:spacing w:before="0"/>
        <w:ind w:left="720"/>
      </w:pPr>
    </w:p>
    <w:p w14:paraId="68212114" w14:textId="644841FF" w:rsidR="00046B7E" w:rsidRDefault="00046B7E" w:rsidP="00046B7E">
      <w:pPr>
        <w:pStyle w:val="ListParagraph"/>
        <w:numPr>
          <w:ilvl w:val="0"/>
          <w:numId w:val="0"/>
        </w:numPr>
        <w:tabs>
          <w:tab w:val="left" w:pos="360"/>
        </w:tabs>
        <w:spacing w:before="0"/>
        <w:ind w:left="720"/>
      </w:pPr>
      <w:r w:rsidRPr="007D3D67">
        <w:t>Prefield locating will be conducted on panel cases which could not be found in the prior round of data</w:t>
      </w:r>
      <w:r w:rsidRPr="004E2A30">
        <w:t xml:space="preserve"> collection</w:t>
      </w:r>
      <w:r>
        <w:t xml:space="preserve"> or ended the round with unknown eligibility (meaning we did not successfully reach the sample member). </w:t>
      </w:r>
      <w:r w:rsidR="00C302E5">
        <w:t>In addition, prefield locating</w:t>
      </w:r>
      <w:r w:rsidR="003F05AF">
        <w:t xml:space="preserve"> will be conducted on the newly selected 2015 DRF supplemental cases that </w:t>
      </w:r>
      <w:r w:rsidR="0087340C">
        <w:t>were</w:t>
      </w:r>
      <w:r w:rsidR="003F05AF">
        <w:t xml:space="preserve"> selected for the </w:t>
      </w:r>
      <w:r w:rsidR="0087340C">
        <w:t xml:space="preserve">2019 </w:t>
      </w:r>
      <w:r w:rsidR="003F05AF">
        <w:t xml:space="preserve">SDR. </w:t>
      </w:r>
      <w:r w:rsidR="001D539E">
        <w:t>A</w:t>
      </w:r>
      <w:r w:rsidR="001D539E" w:rsidRPr="007D3D67">
        <w:t xml:space="preserve">n Accurint® batch search </w:t>
      </w:r>
      <w:r w:rsidR="001D539E">
        <w:t xml:space="preserve">also </w:t>
      </w:r>
      <w:r w:rsidR="001D539E" w:rsidRPr="007D3D67">
        <w:t>will be run using the available information</w:t>
      </w:r>
      <w:r w:rsidR="001D539E">
        <w:t xml:space="preserve"> as necessary.</w:t>
      </w:r>
    </w:p>
    <w:p w14:paraId="59FEDB0C" w14:textId="77777777" w:rsidR="00046B7E" w:rsidRDefault="00046B7E" w:rsidP="00046B7E">
      <w:pPr>
        <w:pStyle w:val="ListParagraph"/>
        <w:numPr>
          <w:ilvl w:val="0"/>
          <w:numId w:val="0"/>
        </w:numPr>
        <w:tabs>
          <w:tab w:val="left" w:pos="360"/>
        </w:tabs>
        <w:spacing w:before="0"/>
        <w:ind w:left="720"/>
      </w:pPr>
    </w:p>
    <w:p w14:paraId="212652F2" w14:textId="62B26E4E" w:rsidR="00046B7E" w:rsidRPr="00D21758" w:rsidRDefault="00046B7E" w:rsidP="00046B7E">
      <w:pPr>
        <w:pStyle w:val="ListParagraph"/>
        <w:numPr>
          <w:ilvl w:val="0"/>
          <w:numId w:val="0"/>
        </w:numPr>
        <w:tabs>
          <w:tab w:val="left" w:pos="360"/>
        </w:tabs>
        <w:spacing w:before="0"/>
        <w:ind w:left="720"/>
        <w:rPr>
          <w:rFonts w:eastAsia="Calibri"/>
          <w:lang w:bidi="en-US"/>
        </w:rPr>
      </w:pPr>
      <w:r w:rsidRPr="0014735B">
        <w:t>For the new</w:t>
      </w:r>
      <w:r>
        <w:t xml:space="preserve"> cohort</w:t>
      </w:r>
      <w:r w:rsidRPr="007D3D67">
        <w:t xml:space="preserve">, an Accurint® batch search will be run using the available information provided in the </w:t>
      </w:r>
      <w:r w:rsidR="003F05AF">
        <w:t xml:space="preserve">2016 and 2017 </w:t>
      </w:r>
      <w:r w:rsidRPr="007D3D67">
        <w:t>SED</w:t>
      </w:r>
      <w:r>
        <w:t xml:space="preserve">. </w:t>
      </w:r>
      <w:r w:rsidRPr="007D3D67">
        <w:t>The returned results from Accurint® will be assessed to determine which cases are ready for contacting a</w:t>
      </w:r>
      <w:r w:rsidRPr="004E2A30">
        <w:t>nd which require prefield locating.</w:t>
      </w:r>
      <w:r w:rsidRPr="00165560">
        <w:rPr>
          <w:rFonts w:eastAsia="Calibri"/>
          <w:lang w:bidi="en-US"/>
        </w:rPr>
        <w:t xml:space="preserve"> There are four potential data retur</w:t>
      </w:r>
      <w:r w:rsidRPr="00F65268">
        <w:rPr>
          <w:rFonts w:eastAsia="Calibri"/>
          <w:lang w:bidi="en-US"/>
        </w:rPr>
        <w:t xml:space="preserve">n </w:t>
      </w:r>
      <w:r w:rsidRPr="00D21758">
        <w:rPr>
          <w:rFonts w:eastAsia="Calibri"/>
          <w:lang w:bidi="en-US"/>
        </w:rPr>
        <w:t>outcomes from the Accurint® batch search:</w:t>
      </w:r>
    </w:p>
    <w:p w14:paraId="5648E3DB" w14:textId="77777777" w:rsidR="00046B7E" w:rsidRPr="00D21758" w:rsidRDefault="00046B7E" w:rsidP="00046B7E">
      <w:pPr>
        <w:tabs>
          <w:tab w:val="left" w:pos="360"/>
        </w:tabs>
        <w:rPr>
          <w:sz w:val="22"/>
          <w:szCs w:val="22"/>
        </w:rPr>
      </w:pPr>
    </w:p>
    <w:p w14:paraId="455A2F83" w14:textId="77777777" w:rsidR="00046B7E" w:rsidRPr="00D21758" w:rsidRDefault="00046B7E" w:rsidP="00046B7E">
      <w:pPr>
        <w:numPr>
          <w:ilvl w:val="0"/>
          <w:numId w:val="43"/>
        </w:numPr>
        <w:spacing w:after="120"/>
        <w:rPr>
          <w:rFonts w:eastAsia="Calibri"/>
          <w:sz w:val="22"/>
          <w:szCs w:val="22"/>
          <w:lang w:bidi="en-US"/>
        </w:rPr>
      </w:pPr>
      <w:r w:rsidRPr="00D21758">
        <w:rPr>
          <w:rFonts w:eastAsia="Calibri"/>
          <w:sz w:val="22"/>
          <w:szCs w:val="22"/>
          <w:lang w:bidi="en-US"/>
        </w:rPr>
        <w:t>Returned with a date of death. For those cases that return a date of death, the mortality status will be confirmed with an independent online source and finalized as deceased. When the deceased status cannot be confirmed, the cases will be queued for manual prefield locating and the possible deceased outcome will be noted in the case record so further searching on the possible date of death may be conducted.</w:t>
      </w:r>
    </w:p>
    <w:p w14:paraId="2FDD7E19" w14:textId="77777777" w:rsidR="00046B7E" w:rsidRPr="00D21758" w:rsidRDefault="00046B7E" w:rsidP="00046B7E">
      <w:pPr>
        <w:numPr>
          <w:ilvl w:val="0"/>
          <w:numId w:val="43"/>
        </w:numPr>
        <w:spacing w:after="120"/>
        <w:rPr>
          <w:rFonts w:eastAsia="Calibri"/>
          <w:sz w:val="22"/>
          <w:szCs w:val="22"/>
          <w:lang w:bidi="en-US"/>
        </w:rPr>
      </w:pPr>
      <w:r w:rsidRPr="00D21758">
        <w:rPr>
          <w:rFonts w:eastAsia="Calibri"/>
          <w:sz w:val="22"/>
          <w:szCs w:val="22"/>
          <w:lang w:bidi="en-US"/>
        </w:rPr>
        <w:t>Returned with existing address confirmed. For cases where Accurint</w:t>
      </w:r>
      <w:r w:rsidRPr="00D21758">
        <w:rPr>
          <w:rFonts w:eastAsia="Calibri"/>
          <w:sz w:val="22"/>
          <w:szCs w:val="22"/>
          <w:vertAlign w:val="superscript"/>
          <w:lang w:bidi="en-US"/>
        </w:rPr>
        <w:t>®</w:t>
      </w:r>
      <w:r w:rsidRPr="00D21758">
        <w:rPr>
          <w:rFonts w:eastAsia="Calibri"/>
          <w:sz w:val="22"/>
          <w:szCs w:val="22"/>
          <w:lang w:bidi="en-US"/>
        </w:rPr>
        <w:t xml:space="preserve"> confirms the SED address as current (i.e., less than two years old), the case will be considered ready for data collection and will not receive prefield locating.</w:t>
      </w:r>
    </w:p>
    <w:p w14:paraId="5F3B3FD3" w14:textId="77777777" w:rsidR="00046B7E" w:rsidRPr="00D21758" w:rsidRDefault="00046B7E" w:rsidP="00046B7E">
      <w:pPr>
        <w:numPr>
          <w:ilvl w:val="0"/>
          <w:numId w:val="43"/>
        </w:numPr>
        <w:spacing w:after="120"/>
        <w:rPr>
          <w:rFonts w:eastAsia="Calibri"/>
          <w:sz w:val="22"/>
          <w:szCs w:val="22"/>
          <w:lang w:bidi="en-US"/>
        </w:rPr>
      </w:pPr>
      <w:r w:rsidRPr="00D21758">
        <w:rPr>
          <w:rFonts w:eastAsia="Calibri"/>
          <w:sz w:val="22"/>
          <w:szCs w:val="22"/>
          <w:lang w:bidi="en-US"/>
        </w:rPr>
        <w:t>Returned with no new information. For cases where Accurint</w:t>
      </w:r>
      <w:r w:rsidRPr="00D21758">
        <w:rPr>
          <w:rFonts w:eastAsia="Calibri"/>
          <w:sz w:val="22"/>
          <w:szCs w:val="22"/>
          <w:vertAlign w:val="superscript"/>
          <w:lang w:bidi="en-US"/>
        </w:rPr>
        <w:t>®</w:t>
      </w:r>
      <w:r w:rsidRPr="00D21758">
        <w:rPr>
          <w:rFonts w:eastAsia="Calibri"/>
          <w:sz w:val="22"/>
          <w:szCs w:val="22"/>
          <w:lang w:bidi="en-US"/>
        </w:rPr>
        <w:t xml:space="preserve"> provides no new information or the date associated with new contacting information is more than two years out of date, the cases will be queued for manual prefield locating.</w:t>
      </w:r>
    </w:p>
    <w:p w14:paraId="7F0C6B13" w14:textId="77777777" w:rsidR="00046B7E" w:rsidRPr="00880EF4" w:rsidRDefault="00046B7E" w:rsidP="00046B7E">
      <w:pPr>
        <w:numPr>
          <w:ilvl w:val="0"/>
          <w:numId w:val="43"/>
        </w:numPr>
        <w:spacing w:after="120"/>
        <w:rPr>
          <w:rFonts w:eastAsia="Calibri"/>
          <w:sz w:val="22"/>
          <w:szCs w:val="22"/>
          <w:lang w:bidi="en-US"/>
        </w:rPr>
      </w:pPr>
      <w:r w:rsidRPr="00D21758">
        <w:rPr>
          <w:rFonts w:eastAsia="Calibri"/>
          <w:sz w:val="22"/>
          <w:szCs w:val="22"/>
          <w:lang w:bidi="en-US"/>
        </w:rPr>
        <w:t>Returned with new information. When Accurint</w:t>
      </w:r>
      <w:r w:rsidRPr="00D21758">
        <w:rPr>
          <w:rFonts w:eastAsia="Calibri"/>
          <w:sz w:val="22"/>
          <w:szCs w:val="22"/>
          <w:vertAlign w:val="superscript"/>
          <w:lang w:bidi="en-US"/>
        </w:rPr>
        <w:t>®</w:t>
      </w:r>
      <w:r w:rsidRPr="00D21758">
        <w:rPr>
          <w:rFonts w:eastAsia="Calibri"/>
          <w:sz w:val="22"/>
          <w:szCs w:val="22"/>
          <w:lang w:bidi="en-US"/>
        </w:rPr>
        <w:t xml:space="preserve"> provides new and current contacting information, the new information will be used, the case will be considered ready for data collection, and will not receiv</w:t>
      </w:r>
      <w:r w:rsidRPr="00880EF4">
        <w:rPr>
          <w:rFonts w:eastAsia="Calibri"/>
          <w:sz w:val="22"/>
          <w:szCs w:val="22"/>
          <w:lang w:bidi="en-US"/>
        </w:rPr>
        <w:t>e prefield locating.</w:t>
      </w:r>
    </w:p>
    <w:p w14:paraId="1A74A78C" w14:textId="04F852B9" w:rsidR="00046B7E" w:rsidRPr="00163325" w:rsidRDefault="00046B7E" w:rsidP="00046B7E">
      <w:pPr>
        <w:pStyle w:val="ListParagraph"/>
        <w:numPr>
          <w:ilvl w:val="0"/>
          <w:numId w:val="47"/>
        </w:numPr>
        <w:spacing w:after="120"/>
        <w:rPr>
          <w:rFonts w:eastAsia="Calibri"/>
          <w:lang w:bidi="en-US"/>
        </w:rPr>
      </w:pPr>
      <w:r w:rsidRPr="0014735B">
        <w:rPr>
          <w:rFonts w:eastAsia="Calibri"/>
          <w:lang w:bidi="en-US"/>
        </w:rPr>
        <w:t>A specially trained locating team</w:t>
      </w:r>
      <w:r w:rsidRPr="007D3D67">
        <w:rPr>
          <w:rFonts w:eastAsia="Calibri"/>
          <w:lang w:bidi="en-US"/>
        </w:rPr>
        <w:t xml:space="preserve"> will conduct online searches </w:t>
      </w:r>
      <w:r w:rsidR="0006723F">
        <w:rPr>
          <w:rFonts w:eastAsia="Calibri"/>
          <w:lang w:bidi="en-US"/>
        </w:rPr>
        <w:t xml:space="preserve">and </w:t>
      </w:r>
      <w:r w:rsidR="003F762A">
        <w:rPr>
          <w:rFonts w:eastAsia="Calibri"/>
          <w:lang w:bidi="en-US"/>
        </w:rPr>
        <w:t xml:space="preserve">make </w:t>
      </w:r>
      <w:r w:rsidR="0006723F">
        <w:rPr>
          <w:rFonts w:eastAsia="Calibri"/>
          <w:lang w:bidi="en-US"/>
        </w:rPr>
        <w:t xml:space="preserve">limited calls to sample members and </w:t>
      </w:r>
      <w:r w:rsidR="004C013B">
        <w:rPr>
          <w:rFonts w:eastAsia="Calibri"/>
          <w:lang w:bidi="en-US"/>
        </w:rPr>
        <w:t xml:space="preserve">outreach </w:t>
      </w:r>
      <w:r w:rsidR="009B0743">
        <w:rPr>
          <w:rFonts w:eastAsia="Calibri"/>
          <w:lang w:bidi="en-US"/>
        </w:rPr>
        <w:t xml:space="preserve">to </w:t>
      </w:r>
      <w:r w:rsidR="0006723F">
        <w:rPr>
          <w:rFonts w:eastAsia="Calibri"/>
          <w:lang w:bidi="en-US"/>
        </w:rPr>
        <w:t>contact persons</w:t>
      </w:r>
      <w:r w:rsidR="004C013B">
        <w:rPr>
          <w:rFonts w:eastAsia="Calibri"/>
          <w:lang w:bidi="en-US"/>
        </w:rPr>
        <w:t xml:space="preserve"> </w:t>
      </w:r>
      <w:r w:rsidRPr="007D3D67">
        <w:rPr>
          <w:rFonts w:eastAsia="Calibri"/>
          <w:lang w:bidi="en-US"/>
        </w:rPr>
        <w:t>as part of the manual locating effort</w:t>
      </w:r>
      <w:r>
        <w:rPr>
          <w:rFonts w:eastAsia="Calibri"/>
          <w:lang w:bidi="en-US"/>
        </w:rPr>
        <w:t xml:space="preserve"> throughout prefield locating, for those individuals not found via the automated searches</w:t>
      </w:r>
      <w:r w:rsidRPr="0014735B">
        <w:rPr>
          <w:rFonts w:eastAsia="Calibri"/>
          <w:lang w:bidi="en-US"/>
        </w:rPr>
        <w:t xml:space="preserve">. Only </w:t>
      </w:r>
      <w:r w:rsidR="000450CF" w:rsidRPr="0014735B">
        <w:rPr>
          <w:rFonts w:eastAsia="Calibri"/>
          <w:lang w:bidi="en-US"/>
        </w:rPr>
        <w:t>publicly</w:t>
      </w:r>
      <w:r w:rsidRPr="0014735B">
        <w:rPr>
          <w:rFonts w:eastAsia="Calibri"/>
          <w:lang w:bidi="en-US"/>
        </w:rPr>
        <w:t xml:space="preserve"> available data will be accessed during the online searches</w:t>
      </w:r>
      <w:r>
        <w:rPr>
          <w:rFonts w:eastAsia="Calibri"/>
          <w:lang w:bidi="en-US"/>
        </w:rPr>
        <w:t xml:space="preserve">. </w:t>
      </w:r>
      <w:r w:rsidRPr="007D3D67">
        <w:rPr>
          <w:rFonts w:eastAsia="Calibri"/>
          <w:lang w:bidi="en-US"/>
        </w:rPr>
        <w:t>The locating staff will use search strategies that effectively combine and triangulate the sample member’s earned degree and academic institution information, demographic information, prior address information, any return informati</w:t>
      </w:r>
      <w:r w:rsidRPr="004E2A30">
        <w:rPr>
          <w:rFonts w:eastAsia="Calibri"/>
          <w:lang w:bidi="en-US"/>
        </w:rPr>
        <w:t>on from Accurint®, and</w:t>
      </w:r>
      <w:r w:rsidRPr="00034C5A">
        <w:rPr>
          <w:rFonts w:eastAsia="Calibri"/>
          <w:lang w:bidi="en-US"/>
        </w:rPr>
        <w:t xml:space="preserve"> information about any nominated contact persons</w:t>
      </w:r>
      <w:r>
        <w:rPr>
          <w:rFonts w:eastAsia="Calibri"/>
          <w:lang w:bidi="en-US"/>
        </w:rPr>
        <w:t xml:space="preserve">. </w:t>
      </w:r>
      <w:r w:rsidRPr="00034C5A">
        <w:rPr>
          <w:rFonts w:eastAsia="Calibri"/>
          <w:lang w:bidi="en-US"/>
        </w:rPr>
        <w:t xml:space="preserve">From the search results, locators will search employer directories, education institutions sites, alumni and professional association lists, white pages listings, real estate databases, online publication </w:t>
      </w:r>
      <w:r w:rsidRPr="00165560">
        <w:rPr>
          <w:rFonts w:eastAsia="Calibri"/>
          <w:lang w:bidi="en-US"/>
        </w:rPr>
        <w:t>databases (including those with dissertations), on</w:t>
      </w:r>
      <w:r w:rsidRPr="00F65268">
        <w:rPr>
          <w:rFonts w:eastAsia="Calibri"/>
          <w:lang w:bidi="en-US"/>
        </w:rPr>
        <w:t>line voting records, and other administrative sources</w:t>
      </w:r>
      <w:r>
        <w:rPr>
          <w:rFonts w:eastAsia="Calibri"/>
          <w:lang w:bidi="en-US"/>
        </w:rPr>
        <w:t xml:space="preserve">. </w:t>
      </w:r>
      <w:r w:rsidRPr="00F65268">
        <w:rPr>
          <w:rFonts w:eastAsia="Calibri"/>
          <w:lang w:bidi="en-US"/>
        </w:rPr>
        <w:t>Locating staff will be carefully trained to verify they have found the correct sample member by using personal identifying information such as name and date of birth, academic history, and past addres</w:t>
      </w:r>
      <w:r w:rsidRPr="00163325">
        <w:rPr>
          <w:rFonts w:eastAsia="Calibri"/>
          <w:lang w:bidi="en-US"/>
        </w:rPr>
        <w:t>s information from the SED and the SDR (where it exists).</w:t>
      </w:r>
    </w:p>
    <w:p w14:paraId="084C7237" w14:textId="0D7EABAD" w:rsidR="00046B7E" w:rsidRDefault="00046B7E" w:rsidP="00046B7E">
      <w:pPr>
        <w:pStyle w:val="ListParagraph"/>
        <w:numPr>
          <w:ilvl w:val="0"/>
          <w:numId w:val="47"/>
        </w:numPr>
        <w:spacing w:before="0" w:after="120"/>
        <w:rPr>
          <w:rFonts w:eastAsia="Calibri"/>
          <w:lang w:bidi="en-US"/>
        </w:rPr>
      </w:pPr>
      <w:r w:rsidRPr="00163325">
        <w:rPr>
          <w:rFonts w:eastAsia="Calibri"/>
          <w:lang w:bidi="en-US"/>
        </w:rPr>
        <w:t xml:space="preserve">Additionally, the </w:t>
      </w:r>
      <w:r w:rsidRPr="00A30797">
        <w:rPr>
          <w:rFonts w:eastAsia="Calibri"/>
          <w:lang w:bidi="en-US"/>
        </w:rPr>
        <w:t>201</w:t>
      </w:r>
      <w:r w:rsidR="009B0743">
        <w:rPr>
          <w:rFonts w:eastAsia="Calibri"/>
          <w:lang w:bidi="en-US"/>
        </w:rPr>
        <w:t>9</w:t>
      </w:r>
      <w:r w:rsidRPr="00163325">
        <w:rPr>
          <w:rFonts w:eastAsia="Calibri"/>
          <w:lang w:bidi="en-US"/>
        </w:rPr>
        <w:t xml:space="preserve"> SDR will use Accurint® to conduct individual matched searches</w:t>
      </w:r>
      <w:r w:rsidR="009B0743">
        <w:rPr>
          <w:rFonts w:eastAsia="Calibri"/>
          <w:lang w:bidi="en-US"/>
        </w:rPr>
        <w:t xml:space="preserve">, also known as </w:t>
      </w:r>
      <w:r w:rsidRPr="00163325">
        <w:rPr>
          <w:rFonts w:eastAsia="Calibri"/>
          <w:lang w:bidi="en-US"/>
        </w:rPr>
        <w:t>AIM searches</w:t>
      </w:r>
      <w:r>
        <w:rPr>
          <w:rFonts w:eastAsia="Calibri"/>
          <w:lang w:bidi="en-US"/>
        </w:rPr>
        <w:t xml:space="preserve">. </w:t>
      </w:r>
      <w:r w:rsidRPr="00163325">
        <w:rPr>
          <w:rFonts w:eastAsia="Calibri"/>
          <w:lang w:bidi="en-US"/>
        </w:rPr>
        <w:t>AIM allows locators to search on partial combinations of identifying information to obtain an individual’s full address history and discover critical name changes</w:t>
      </w:r>
      <w:r>
        <w:rPr>
          <w:rFonts w:eastAsia="Calibri"/>
          <w:lang w:bidi="en-US"/>
        </w:rPr>
        <w:t>. T</w:t>
      </w:r>
      <w:r w:rsidRPr="0014735B">
        <w:rPr>
          <w:rFonts w:eastAsia="Calibri"/>
          <w:lang w:bidi="en-US"/>
        </w:rPr>
        <w:t xml:space="preserve">his method has </w:t>
      </w:r>
      <w:r>
        <w:rPr>
          <w:rFonts w:eastAsia="Calibri"/>
          <w:lang w:bidi="en-US"/>
        </w:rPr>
        <w:t>shown</w:t>
      </w:r>
      <w:r w:rsidRPr="0014735B">
        <w:rPr>
          <w:rFonts w:eastAsia="Calibri"/>
          <w:lang w:bidi="en-US"/>
        </w:rPr>
        <w:t xml:space="preserve"> </w:t>
      </w:r>
      <w:r>
        <w:rPr>
          <w:rFonts w:eastAsia="Calibri"/>
          <w:lang w:bidi="en-US"/>
        </w:rPr>
        <w:t>in other studies, as well as the 201</w:t>
      </w:r>
      <w:r w:rsidR="009B0743">
        <w:rPr>
          <w:rFonts w:eastAsia="Calibri"/>
          <w:lang w:bidi="en-US"/>
        </w:rPr>
        <w:t>7</w:t>
      </w:r>
      <w:r>
        <w:rPr>
          <w:rFonts w:eastAsia="Calibri"/>
          <w:lang w:bidi="en-US"/>
        </w:rPr>
        <w:t xml:space="preserve"> SDR, </w:t>
      </w:r>
      <w:r w:rsidRPr="0014735B">
        <w:rPr>
          <w:rFonts w:eastAsia="Calibri"/>
          <w:lang w:bidi="en-US"/>
        </w:rPr>
        <w:t xml:space="preserve">to be a cost-effective strategy when locating </w:t>
      </w:r>
      <w:r>
        <w:rPr>
          <w:rFonts w:eastAsia="Calibri"/>
          <w:lang w:bidi="en-US"/>
        </w:rPr>
        <w:t xml:space="preserve">respondents with out-of-date contact information. </w:t>
      </w:r>
      <w:r w:rsidRPr="00034C5A">
        <w:rPr>
          <w:rFonts w:eastAsia="Calibri"/>
          <w:lang w:bidi="en-US"/>
        </w:rPr>
        <w:t>The AIM searching method will be implemented by the most expert locating staff</w:t>
      </w:r>
      <w:r>
        <w:rPr>
          <w:rFonts w:eastAsia="Calibri"/>
          <w:lang w:bidi="en-US"/>
        </w:rPr>
        <w:t xml:space="preserve"> and</w:t>
      </w:r>
      <w:r w:rsidRPr="00034C5A">
        <w:rPr>
          <w:rFonts w:eastAsia="Calibri"/>
          <w:lang w:bidi="en-US"/>
        </w:rPr>
        <w:t xml:space="preserve"> will be conducted on </w:t>
      </w:r>
      <w:r>
        <w:rPr>
          <w:rFonts w:eastAsia="Calibri"/>
          <w:lang w:bidi="en-US"/>
        </w:rPr>
        <w:t>the</w:t>
      </w:r>
      <w:r w:rsidRPr="00034C5A">
        <w:rPr>
          <w:rFonts w:eastAsia="Calibri"/>
          <w:lang w:bidi="en-US"/>
        </w:rPr>
        <w:t xml:space="preserve"> subset of cases not found with regular online searches.</w:t>
      </w:r>
    </w:p>
    <w:p w14:paraId="4F8CB98E" w14:textId="77777777" w:rsidR="0090671D" w:rsidRDefault="0090671D" w:rsidP="0090671D">
      <w:pPr>
        <w:pStyle w:val="ListParagraph"/>
        <w:numPr>
          <w:ilvl w:val="0"/>
          <w:numId w:val="0"/>
        </w:numPr>
        <w:spacing w:before="0" w:after="120"/>
        <w:ind w:left="720"/>
        <w:rPr>
          <w:rFonts w:eastAsia="Calibri"/>
          <w:lang w:bidi="en-US"/>
        </w:rPr>
      </w:pPr>
    </w:p>
    <w:p w14:paraId="508CA1B2" w14:textId="27B6D71B" w:rsidR="006322EF" w:rsidRDefault="00046B7E">
      <w:pPr>
        <w:rPr>
          <w:b/>
        </w:rPr>
      </w:pPr>
      <w:r w:rsidRPr="0056012C">
        <w:rPr>
          <w:rFonts w:eastAsia="Calibri"/>
          <w:b/>
          <w:sz w:val="22"/>
          <w:szCs w:val="22"/>
          <w:lang w:bidi="en-US"/>
        </w:rPr>
        <w:t>Main Locating Activities</w:t>
      </w:r>
      <w:r>
        <w:rPr>
          <w:rFonts w:eastAsia="Calibri"/>
          <w:b/>
          <w:sz w:val="22"/>
          <w:szCs w:val="22"/>
          <w:lang w:bidi="en-US"/>
        </w:rPr>
        <w:t xml:space="preserve">. </w:t>
      </w:r>
      <w:r w:rsidRPr="00880EF4">
        <w:rPr>
          <w:rFonts w:eastAsia="Calibri"/>
          <w:sz w:val="22"/>
          <w:szCs w:val="22"/>
          <w:lang w:bidi="en-US"/>
        </w:rPr>
        <w:t>Cases worked in main locating will include those not found during the prefield locating period as well as cases determined to have outdated or incorrect contacting information from failed</w:t>
      </w:r>
      <w:r w:rsidR="00D222E4">
        <w:rPr>
          <w:rFonts w:eastAsia="Calibri"/>
          <w:sz w:val="22"/>
          <w:szCs w:val="22"/>
          <w:lang w:bidi="en-US"/>
        </w:rPr>
        <w:t xml:space="preserve"> 2019</w:t>
      </w:r>
      <w:r w:rsidRPr="00880EF4">
        <w:rPr>
          <w:rFonts w:eastAsia="Calibri"/>
          <w:sz w:val="22"/>
          <w:szCs w:val="22"/>
          <w:lang w:bidi="en-US"/>
        </w:rPr>
        <w:t xml:space="preserve"> data collection outreach activities</w:t>
      </w:r>
      <w:r>
        <w:rPr>
          <w:rFonts w:eastAsia="Calibri"/>
          <w:sz w:val="22"/>
          <w:szCs w:val="22"/>
          <w:lang w:bidi="en-US"/>
        </w:rPr>
        <w:t xml:space="preserve">. </w:t>
      </w:r>
      <w:r w:rsidRPr="00880EF4">
        <w:rPr>
          <w:rFonts w:eastAsia="Calibri"/>
          <w:sz w:val="22"/>
          <w:szCs w:val="22"/>
          <w:lang w:bidi="en-US"/>
        </w:rPr>
        <w:t xml:space="preserve">Prior to beginning the main locating work, locating staff </w:t>
      </w:r>
      <w:r>
        <w:rPr>
          <w:rFonts w:eastAsia="Calibri"/>
          <w:sz w:val="22"/>
          <w:szCs w:val="22"/>
          <w:lang w:bidi="en-US"/>
        </w:rPr>
        <w:t xml:space="preserve">who worked during the prefield period </w:t>
      </w:r>
      <w:r w:rsidRPr="00880EF4">
        <w:rPr>
          <w:rFonts w:eastAsia="Calibri"/>
          <w:sz w:val="22"/>
          <w:szCs w:val="22"/>
          <w:lang w:bidi="en-US"/>
        </w:rPr>
        <w:t xml:space="preserve">will receive refresher training </w:t>
      </w:r>
      <w:r w:rsidR="00EC5D14">
        <w:rPr>
          <w:rFonts w:eastAsia="Calibri"/>
          <w:sz w:val="22"/>
          <w:szCs w:val="22"/>
          <w:lang w:bidi="en-US"/>
        </w:rPr>
        <w:t>that</w:t>
      </w:r>
      <w:r w:rsidRPr="00880EF4">
        <w:rPr>
          <w:rFonts w:eastAsia="Calibri"/>
          <w:sz w:val="22"/>
          <w:szCs w:val="22"/>
          <w:lang w:bidi="en-US"/>
        </w:rPr>
        <w:t xml:space="preserve"> focuses on maintaining</w:t>
      </w:r>
      <w:r w:rsidR="00374209">
        <w:rPr>
          <w:rFonts w:eastAsia="Calibri"/>
          <w:sz w:val="22"/>
          <w:szCs w:val="22"/>
          <w:lang w:bidi="en-US"/>
        </w:rPr>
        <w:t xml:space="preserve"> </w:t>
      </w:r>
      <w:r w:rsidRPr="00880EF4">
        <w:rPr>
          <w:rFonts w:eastAsia="Calibri"/>
          <w:sz w:val="22"/>
          <w:szCs w:val="22"/>
          <w:lang w:bidi="en-US"/>
        </w:rPr>
        <w:t>sample member</w:t>
      </w:r>
      <w:r w:rsidR="00374209">
        <w:rPr>
          <w:rFonts w:eastAsia="Calibri"/>
          <w:sz w:val="22"/>
          <w:szCs w:val="22"/>
          <w:lang w:bidi="en-US"/>
        </w:rPr>
        <w:t>s’</w:t>
      </w:r>
      <w:r w:rsidRPr="00880EF4">
        <w:rPr>
          <w:rFonts w:eastAsia="Calibri"/>
          <w:sz w:val="22"/>
          <w:szCs w:val="22"/>
          <w:lang w:bidi="en-US"/>
        </w:rPr>
        <w:t xml:space="preserve"> confidentiality particularly when making phone calls,</w:t>
      </w:r>
      <w:r>
        <w:rPr>
          <w:rFonts w:eastAsia="Calibri"/>
          <w:sz w:val="22"/>
          <w:szCs w:val="22"/>
          <w:lang w:bidi="en-US"/>
        </w:rPr>
        <w:t xml:space="preserve"> </w:t>
      </w:r>
      <w:r w:rsidR="00EC5D14">
        <w:rPr>
          <w:rFonts w:eastAsia="Calibri"/>
          <w:sz w:val="22"/>
          <w:szCs w:val="22"/>
          <w:lang w:bidi="en-US"/>
        </w:rPr>
        <w:t xml:space="preserve">on </w:t>
      </w:r>
      <w:r w:rsidRPr="00880EF4">
        <w:rPr>
          <w:rFonts w:eastAsia="Calibri"/>
          <w:sz w:val="22"/>
          <w:szCs w:val="22"/>
          <w:lang w:bidi="en-US"/>
        </w:rPr>
        <w:t xml:space="preserve">supplementing </w:t>
      </w:r>
      <w:r>
        <w:rPr>
          <w:rFonts w:eastAsia="Calibri"/>
          <w:sz w:val="22"/>
          <w:szCs w:val="22"/>
          <w:lang w:bidi="en-US"/>
        </w:rPr>
        <w:t xml:space="preserve">online </w:t>
      </w:r>
      <w:r w:rsidRPr="00880EF4">
        <w:rPr>
          <w:rFonts w:eastAsia="Calibri"/>
          <w:sz w:val="22"/>
          <w:szCs w:val="22"/>
          <w:lang w:bidi="en-US"/>
        </w:rPr>
        <w:t xml:space="preserve">searches with </w:t>
      </w:r>
      <w:r>
        <w:rPr>
          <w:rFonts w:eastAsia="Calibri"/>
          <w:sz w:val="22"/>
          <w:szCs w:val="22"/>
          <w:lang w:bidi="en-US"/>
        </w:rPr>
        <w:t xml:space="preserve">direct </w:t>
      </w:r>
      <w:r w:rsidRPr="00880EF4">
        <w:rPr>
          <w:rFonts w:eastAsia="Calibri"/>
          <w:sz w:val="22"/>
          <w:szCs w:val="22"/>
          <w:lang w:bidi="en-US"/>
        </w:rPr>
        <w:t>outreach to the sample members and other individuals</w:t>
      </w:r>
      <w:r>
        <w:rPr>
          <w:rFonts w:eastAsia="Calibri"/>
          <w:sz w:val="22"/>
          <w:szCs w:val="22"/>
          <w:lang w:bidi="en-US"/>
        </w:rPr>
        <w:t xml:space="preserve">, and gaining the cooperation of those sample members and other individuals successfully reached. </w:t>
      </w:r>
      <w:r w:rsidRPr="00880EF4">
        <w:rPr>
          <w:rFonts w:eastAsia="Calibri"/>
          <w:sz w:val="22"/>
          <w:szCs w:val="22"/>
          <w:lang w:bidi="en-US"/>
        </w:rPr>
        <w:t>The locating staff will continue to use and expand upon the online searching methods from the prefield period and, ideally, gain survey cooperation from the found individuals</w:t>
      </w:r>
      <w:r>
        <w:rPr>
          <w:rFonts w:eastAsia="Calibri"/>
          <w:sz w:val="22"/>
          <w:szCs w:val="22"/>
          <w:lang w:bidi="en-US"/>
        </w:rPr>
        <w:t xml:space="preserve">. </w:t>
      </w:r>
      <w:r w:rsidRPr="00880EF4">
        <w:rPr>
          <w:rFonts w:eastAsia="Calibri"/>
          <w:sz w:val="22"/>
          <w:szCs w:val="22"/>
          <w:lang w:bidi="en-US"/>
        </w:rPr>
        <w:t xml:space="preserve">In addition to outreach to sample members, main locating activities during data collection will include calls and emails to dissertation advisors, employers, alumni associations, and other individuals who may know how to reach </w:t>
      </w:r>
      <w:r>
        <w:rPr>
          <w:rFonts w:eastAsia="Calibri"/>
          <w:sz w:val="22"/>
          <w:szCs w:val="22"/>
          <w:lang w:bidi="en-US"/>
        </w:rPr>
        <w:t>the sample member.</w:t>
      </w:r>
      <w:bookmarkStart w:id="9" w:name="_Toc410981796"/>
    </w:p>
    <w:p w14:paraId="2955EDDB" w14:textId="77777777" w:rsidR="00356D1E" w:rsidRDefault="00356D1E" w:rsidP="00046B7E">
      <w:pPr>
        <w:pStyle w:val="Heading3"/>
        <w:rPr>
          <w:i w:val="0"/>
          <w:sz w:val="24"/>
        </w:rPr>
      </w:pPr>
    </w:p>
    <w:p w14:paraId="16502DAD" w14:textId="57170634" w:rsidR="00046B7E" w:rsidRPr="00EC5BE8" w:rsidRDefault="00046B7E" w:rsidP="00046B7E">
      <w:pPr>
        <w:pStyle w:val="Heading3"/>
        <w:rPr>
          <w:i w:val="0"/>
          <w:sz w:val="24"/>
        </w:rPr>
      </w:pPr>
      <w:r w:rsidRPr="00EC5BE8">
        <w:rPr>
          <w:i w:val="0"/>
          <w:sz w:val="24"/>
        </w:rPr>
        <w:t>3</w:t>
      </w:r>
      <w:r w:rsidRPr="00EC5BE8">
        <w:rPr>
          <w:i w:val="0"/>
          <w:sz w:val="24"/>
          <w:lang w:val="x-none"/>
        </w:rPr>
        <w:t>.</w:t>
      </w:r>
      <w:r w:rsidRPr="00EC5BE8">
        <w:rPr>
          <w:i w:val="0"/>
          <w:sz w:val="24"/>
        </w:rPr>
        <w:t>3 Data Collection Strategies</w:t>
      </w:r>
      <w:bookmarkEnd w:id="9"/>
    </w:p>
    <w:p w14:paraId="1CF5064A" w14:textId="4E2BD48B" w:rsidR="00046B7E" w:rsidRDefault="00046B7E" w:rsidP="00046B7E">
      <w:pPr>
        <w:pStyle w:val="BodyText"/>
        <w:rPr>
          <w:sz w:val="22"/>
          <w:szCs w:val="22"/>
        </w:rPr>
      </w:pPr>
      <w:r>
        <w:rPr>
          <w:sz w:val="22"/>
          <w:szCs w:val="22"/>
        </w:rPr>
        <w:t>A</w:t>
      </w:r>
      <w:r w:rsidRPr="000D77AA">
        <w:rPr>
          <w:sz w:val="22"/>
          <w:szCs w:val="22"/>
        </w:rPr>
        <w:t xml:space="preserve"> multi-mode data collection protocol (</w:t>
      </w:r>
      <w:r w:rsidR="008755CD">
        <w:rPr>
          <w:sz w:val="22"/>
          <w:szCs w:val="22"/>
        </w:rPr>
        <w:t xml:space="preserve">web, </w:t>
      </w:r>
      <w:r w:rsidRPr="000D77AA">
        <w:rPr>
          <w:sz w:val="22"/>
          <w:szCs w:val="22"/>
        </w:rPr>
        <w:t xml:space="preserve">mail, </w:t>
      </w:r>
      <w:r w:rsidR="008755CD">
        <w:rPr>
          <w:sz w:val="22"/>
          <w:szCs w:val="22"/>
        </w:rPr>
        <w:t xml:space="preserve">and </w:t>
      </w:r>
      <w:r w:rsidRPr="000D77AA">
        <w:rPr>
          <w:sz w:val="22"/>
          <w:szCs w:val="22"/>
        </w:rPr>
        <w:t xml:space="preserve">CATI) </w:t>
      </w:r>
      <w:r>
        <w:rPr>
          <w:sz w:val="22"/>
          <w:szCs w:val="22"/>
        </w:rPr>
        <w:t xml:space="preserve">will be used </w:t>
      </w:r>
      <w:r w:rsidRPr="000D77AA">
        <w:rPr>
          <w:sz w:val="22"/>
          <w:szCs w:val="22"/>
        </w:rPr>
        <w:t xml:space="preserve">to facilitate </w:t>
      </w:r>
      <w:r>
        <w:rPr>
          <w:sz w:val="22"/>
          <w:szCs w:val="22"/>
        </w:rPr>
        <w:t xml:space="preserve">survey </w:t>
      </w:r>
      <w:r w:rsidRPr="000D77AA">
        <w:rPr>
          <w:sz w:val="22"/>
          <w:szCs w:val="22"/>
        </w:rPr>
        <w:t>participation, data completeness</w:t>
      </w:r>
      <w:r>
        <w:rPr>
          <w:sz w:val="22"/>
          <w:szCs w:val="22"/>
        </w:rPr>
        <w:t>,</w:t>
      </w:r>
      <w:r w:rsidRPr="000D77AA">
        <w:rPr>
          <w:sz w:val="22"/>
          <w:szCs w:val="22"/>
        </w:rPr>
        <w:t xml:space="preserve"> and sample member satisfaction.</w:t>
      </w:r>
      <w:r>
        <w:rPr>
          <w:sz w:val="22"/>
          <w:szCs w:val="22"/>
        </w:rPr>
        <w:t xml:space="preserve"> </w:t>
      </w:r>
      <w:r w:rsidRPr="004A3160">
        <w:rPr>
          <w:sz w:val="22"/>
          <w:szCs w:val="22"/>
        </w:rPr>
        <w:t>The 201</w:t>
      </w:r>
      <w:r w:rsidR="009B0743">
        <w:rPr>
          <w:sz w:val="22"/>
          <w:szCs w:val="22"/>
        </w:rPr>
        <w:t>9</w:t>
      </w:r>
      <w:r w:rsidRPr="004A3160">
        <w:rPr>
          <w:sz w:val="22"/>
          <w:szCs w:val="22"/>
        </w:rPr>
        <w:t xml:space="preserve"> SDR data collection protocols and contacting methods are built upon the methodology used in 201</w:t>
      </w:r>
      <w:r w:rsidR="009B0743">
        <w:rPr>
          <w:sz w:val="22"/>
          <w:szCs w:val="22"/>
        </w:rPr>
        <w:t>7</w:t>
      </w:r>
      <w:r>
        <w:rPr>
          <w:sz w:val="22"/>
          <w:szCs w:val="22"/>
        </w:rPr>
        <w:t xml:space="preserve">. The data collection field period is segmented into four phases: a “starting” phase, “interim” phase, “late-stage” phase, and “last chance” phase. The starting and interim phases include four separate data collection protocols tailored to different sample groups. In the late-stage and last chance phases, all remaining nonresponse cases (regardless of their starting data collection protocol) receive a </w:t>
      </w:r>
      <w:r w:rsidR="00674785">
        <w:rPr>
          <w:sz w:val="22"/>
          <w:szCs w:val="22"/>
        </w:rPr>
        <w:t xml:space="preserve">tailored </w:t>
      </w:r>
      <w:r>
        <w:rPr>
          <w:sz w:val="22"/>
          <w:szCs w:val="22"/>
        </w:rPr>
        <w:t>contacting protocol based on assigned priority</w:t>
      </w:r>
      <w:r w:rsidR="00674785">
        <w:rPr>
          <w:sz w:val="22"/>
          <w:szCs w:val="22"/>
        </w:rPr>
        <w:t xml:space="preserve"> group</w:t>
      </w:r>
      <w:r>
        <w:rPr>
          <w:sz w:val="22"/>
          <w:szCs w:val="22"/>
        </w:rPr>
        <w:t xml:space="preserve">. </w:t>
      </w:r>
    </w:p>
    <w:p w14:paraId="7EFF0073" w14:textId="77777777" w:rsidR="00046B7E" w:rsidRDefault="00046B7E" w:rsidP="00046B7E">
      <w:pPr>
        <w:pStyle w:val="BodyText"/>
        <w:rPr>
          <w:sz w:val="22"/>
          <w:szCs w:val="22"/>
        </w:rPr>
      </w:pPr>
    </w:p>
    <w:p w14:paraId="17C12521" w14:textId="245F04CD" w:rsidR="00046B7E" w:rsidRDefault="00046B7E" w:rsidP="00046B7E">
      <w:pPr>
        <w:pStyle w:val="BodyText"/>
        <w:rPr>
          <w:sz w:val="22"/>
          <w:szCs w:val="22"/>
        </w:rPr>
      </w:pPr>
      <w:r>
        <w:rPr>
          <w:sz w:val="22"/>
          <w:szCs w:val="22"/>
        </w:rPr>
        <w:t>The majority of the sample will be assigned to the web</w:t>
      </w:r>
      <w:r w:rsidR="00374209">
        <w:rPr>
          <w:sz w:val="22"/>
          <w:szCs w:val="22"/>
        </w:rPr>
        <w:t>-</w:t>
      </w:r>
      <w:r>
        <w:rPr>
          <w:sz w:val="22"/>
          <w:szCs w:val="22"/>
        </w:rPr>
        <w:t>starting data collection protocol. However, some panel sample members will be assigned to the alternative modes based on their reported mode preferences</w:t>
      </w:r>
      <w:r w:rsidR="00374209">
        <w:rPr>
          <w:sz w:val="22"/>
          <w:szCs w:val="22"/>
        </w:rPr>
        <w:t xml:space="preserve"> in the prior cycle</w:t>
      </w:r>
      <w:r>
        <w:rPr>
          <w:sz w:val="22"/>
          <w:szCs w:val="22"/>
        </w:rPr>
        <w:t xml:space="preserve"> </w:t>
      </w:r>
      <w:r w:rsidR="00374209">
        <w:rPr>
          <w:sz w:val="22"/>
          <w:szCs w:val="22"/>
        </w:rPr>
        <w:t xml:space="preserve">or their </w:t>
      </w:r>
      <w:r>
        <w:rPr>
          <w:sz w:val="22"/>
          <w:szCs w:val="22"/>
        </w:rPr>
        <w:t xml:space="preserve">past response </w:t>
      </w:r>
      <w:r w:rsidR="00374209">
        <w:rPr>
          <w:sz w:val="22"/>
          <w:szCs w:val="22"/>
        </w:rPr>
        <w:t>modes</w:t>
      </w:r>
      <w:r>
        <w:rPr>
          <w:sz w:val="22"/>
          <w:szCs w:val="22"/>
        </w:rPr>
        <w:t>, and available contacting information. The four different starting protocols are implemented in tandem. The starting protocols and sample members assigned to these starting protocols are described below.</w:t>
      </w:r>
    </w:p>
    <w:p w14:paraId="67BA2573" w14:textId="6C47FFDE" w:rsidR="00046B7E" w:rsidRDefault="00D405D8" w:rsidP="00046B7E">
      <w:pPr>
        <w:pStyle w:val="BodyText"/>
        <w:numPr>
          <w:ilvl w:val="0"/>
          <w:numId w:val="45"/>
        </w:numPr>
        <w:spacing w:before="120"/>
        <w:rPr>
          <w:sz w:val="22"/>
          <w:szCs w:val="22"/>
        </w:rPr>
      </w:pPr>
      <w:r>
        <w:rPr>
          <w:sz w:val="22"/>
          <w:szCs w:val="22"/>
        </w:rPr>
        <w:t>Web</w:t>
      </w:r>
      <w:r w:rsidR="00046B7E" w:rsidRPr="00B612CC">
        <w:rPr>
          <w:sz w:val="22"/>
          <w:szCs w:val="22"/>
        </w:rPr>
        <w:t xml:space="preserve"> – </w:t>
      </w:r>
      <w:r w:rsidR="00046B7E">
        <w:rPr>
          <w:sz w:val="22"/>
          <w:szCs w:val="22"/>
        </w:rPr>
        <w:t xml:space="preserve">This is the primary data collection mode and </w:t>
      </w:r>
      <w:r w:rsidR="000450CF">
        <w:rPr>
          <w:sz w:val="22"/>
          <w:szCs w:val="22"/>
        </w:rPr>
        <w:t>most</w:t>
      </w:r>
      <w:r w:rsidR="00046B7E">
        <w:rPr>
          <w:sz w:val="22"/>
          <w:szCs w:val="22"/>
        </w:rPr>
        <w:t xml:space="preserve"> cases start with the </w:t>
      </w:r>
      <w:r w:rsidR="003F590A">
        <w:rPr>
          <w:sz w:val="22"/>
          <w:szCs w:val="22"/>
        </w:rPr>
        <w:t xml:space="preserve">web </w:t>
      </w:r>
      <w:r w:rsidR="00046B7E">
        <w:rPr>
          <w:sz w:val="22"/>
          <w:szCs w:val="22"/>
        </w:rPr>
        <w:t>protocol</w:t>
      </w:r>
      <w:r w:rsidR="00B36669">
        <w:rPr>
          <w:sz w:val="22"/>
          <w:szCs w:val="22"/>
        </w:rPr>
        <w:t xml:space="preserve">. </w:t>
      </w:r>
      <w:r w:rsidR="00046B7E">
        <w:rPr>
          <w:sz w:val="22"/>
          <w:szCs w:val="22"/>
        </w:rPr>
        <w:t>The initial request</w:t>
      </w:r>
      <w:r w:rsidR="00046B7E" w:rsidRPr="00B612CC">
        <w:rPr>
          <w:sz w:val="22"/>
          <w:szCs w:val="22"/>
        </w:rPr>
        <w:t xml:space="preserve"> to complete the </w:t>
      </w:r>
      <w:r w:rsidR="00046B7E" w:rsidRPr="00A30797">
        <w:rPr>
          <w:sz w:val="22"/>
          <w:szCs w:val="22"/>
        </w:rPr>
        <w:t>201</w:t>
      </w:r>
      <w:r w:rsidR="00374209">
        <w:rPr>
          <w:sz w:val="22"/>
          <w:szCs w:val="22"/>
        </w:rPr>
        <w:t>9</w:t>
      </w:r>
      <w:r w:rsidR="00046B7E" w:rsidRPr="00B612CC">
        <w:rPr>
          <w:sz w:val="22"/>
          <w:szCs w:val="22"/>
        </w:rPr>
        <w:t xml:space="preserve"> SDR will be made by a USPS </w:t>
      </w:r>
      <w:r w:rsidR="00374209">
        <w:rPr>
          <w:sz w:val="22"/>
          <w:szCs w:val="22"/>
        </w:rPr>
        <w:t xml:space="preserve">letter </w:t>
      </w:r>
      <w:r w:rsidR="00046B7E" w:rsidRPr="00B612CC">
        <w:rPr>
          <w:sz w:val="22"/>
          <w:szCs w:val="22"/>
        </w:rPr>
        <w:t>and/or email message that includes links to the online version of the survey</w:t>
      </w:r>
      <w:r w:rsidR="00046B7E">
        <w:rPr>
          <w:sz w:val="22"/>
          <w:szCs w:val="22"/>
        </w:rPr>
        <w:t xml:space="preserve">; when both a USPS and email address are available, sample members are contacted by both means rather than one. This contacting strategy was tested in a 2013 </w:t>
      </w:r>
      <w:r w:rsidR="002B773F">
        <w:rPr>
          <w:sz w:val="22"/>
          <w:szCs w:val="22"/>
        </w:rPr>
        <w:t xml:space="preserve">SDR </w:t>
      </w:r>
      <w:r w:rsidR="00046B7E">
        <w:rPr>
          <w:sz w:val="22"/>
          <w:szCs w:val="22"/>
        </w:rPr>
        <w:t>methods experiment and works well. This starting protocol group includes the following sample members:</w:t>
      </w:r>
    </w:p>
    <w:p w14:paraId="6B3B8B09" w14:textId="39F601E3" w:rsidR="00046B7E" w:rsidRPr="004A3160" w:rsidRDefault="00046B7E" w:rsidP="000A00F6">
      <w:pPr>
        <w:pStyle w:val="ListParagraph"/>
        <w:numPr>
          <w:ilvl w:val="0"/>
          <w:numId w:val="49"/>
        </w:numPr>
        <w:spacing w:after="120"/>
        <w:ind w:left="1440" w:right="-72"/>
        <w:rPr>
          <w:color w:val="000000"/>
        </w:rPr>
      </w:pPr>
      <w:r>
        <w:rPr>
          <w:color w:val="000000"/>
        </w:rPr>
        <w:t>C</w:t>
      </w:r>
      <w:r w:rsidRPr="004A3160">
        <w:rPr>
          <w:color w:val="000000"/>
        </w:rPr>
        <w:t xml:space="preserve">ooperative respondents who prefer the web questionnaire, </w:t>
      </w:r>
    </w:p>
    <w:p w14:paraId="6651C570" w14:textId="7ADE6D00" w:rsidR="00046B7E" w:rsidRPr="004A3160" w:rsidRDefault="00046B7E" w:rsidP="000A00F6">
      <w:pPr>
        <w:pStyle w:val="ListParagraph"/>
        <w:numPr>
          <w:ilvl w:val="0"/>
          <w:numId w:val="49"/>
        </w:numPr>
        <w:spacing w:after="120"/>
        <w:ind w:left="1440" w:right="-72"/>
        <w:rPr>
          <w:color w:val="000000"/>
        </w:rPr>
      </w:pPr>
      <w:r>
        <w:rPr>
          <w:color w:val="000000"/>
        </w:rPr>
        <w:t>C</w:t>
      </w:r>
      <w:r w:rsidRPr="004A3160">
        <w:rPr>
          <w:color w:val="000000"/>
        </w:rPr>
        <w:t xml:space="preserve">ooperative respondents who prefer the mail questionnaire, but have an email </w:t>
      </w:r>
      <w:r>
        <w:rPr>
          <w:color w:val="000000"/>
        </w:rPr>
        <w:t xml:space="preserve">and mailing </w:t>
      </w:r>
      <w:r w:rsidRPr="004A3160">
        <w:rPr>
          <w:color w:val="000000"/>
        </w:rPr>
        <w:t xml:space="preserve">address, </w:t>
      </w:r>
    </w:p>
    <w:p w14:paraId="6A104C8D" w14:textId="77777777" w:rsidR="00046B7E" w:rsidRPr="004A3160" w:rsidRDefault="00046B7E" w:rsidP="000A00F6">
      <w:pPr>
        <w:pStyle w:val="ListParagraph"/>
        <w:numPr>
          <w:ilvl w:val="0"/>
          <w:numId w:val="49"/>
        </w:numPr>
        <w:spacing w:after="120"/>
        <w:ind w:left="1440" w:right="-72"/>
        <w:rPr>
          <w:color w:val="000000"/>
        </w:rPr>
      </w:pPr>
      <w:r>
        <w:rPr>
          <w:color w:val="000000"/>
        </w:rPr>
        <w:t>N</w:t>
      </w:r>
      <w:r w:rsidRPr="004A3160">
        <w:rPr>
          <w:color w:val="000000"/>
        </w:rPr>
        <w:t xml:space="preserve">ew cohort sample members with complete sampling stratification variables who have a portable email address, (e.g., gmail or yahoo), </w:t>
      </w:r>
    </w:p>
    <w:p w14:paraId="0E55A886" w14:textId="2F7FF6D0" w:rsidR="00046B7E" w:rsidRPr="004A3160" w:rsidRDefault="00046B7E" w:rsidP="000A00F6">
      <w:pPr>
        <w:pStyle w:val="ListParagraph"/>
        <w:numPr>
          <w:ilvl w:val="0"/>
          <w:numId w:val="49"/>
        </w:numPr>
        <w:spacing w:after="120"/>
        <w:ind w:left="1440" w:right="-72"/>
        <w:rPr>
          <w:color w:val="000000"/>
        </w:rPr>
      </w:pPr>
      <w:r>
        <w:rPr>
          <w:color w:val="000000"/>
        </w:rPr>
        <w:t>A</w:t>
      </w:r>
      <w:r w:rsidRPr="004A3160">
        <w:rPr>
          <w:color w:val="000000"/>
        </w:rPr>
        <w:t>ll locating problem cases as they are found,</w:t>
      </w:r>
      <w:r w:rsidR="002B773F">
        <w:rPr>
          <w:color w:val="000000"/>
        </w:rPr>
        <w:t xml:space="preserve"> especially the supplemental sampled cases,</w:t>
      </w:r>
      <w:r w:rsidRPr="004A3160">
        <w:rPr>
          <w:color w:val="000000"/>
        </w:rPr>
        <w:t xml:space="preserve"> </w:t>
      </w:r>
      <w:r>
        <w:rPr>
          <w:color w:val="000000"/>
        </w:rPr>
        <w:t>and</w:t>
      </w:r>
    </w:p>
    <w:p w14:paraId="072ED45B" w14:textId="212FC7DC" w:rsidR="00046B7E" w:rsidRPr="004A3160" w:rsidRDefault="00046B7E" w:rsidP="000A00F6">
      <w:pPr>
        <w:pStyle w:val="ListParagraph"/>
        <w:numPr>
          <w:ilvl w:val="0"/>
          <w:numId w:val="49"/>
        </w:numPr>
        <w:spacing w:after="120"/>
        <w:ind w:left="1440" w:right="-72"/>
        <w:rPr>
          <w:color w:val="000000"/>
        </w:rPr>
      </w:pPr>
      <w:r>
        <w:rPr>
          <w:color w:val="000000"/>
        </w:rPr>
        <w:t>C</w:t>
      </w:r>
      <w:r w:rsidRPr="004A3160">
        <w:rPr>
          <w:color w:val="000000"/>
        </w:rPr>
        <w:t>ases w</w:t>
      </w:r>
      <w:r w:rsidR="002B773F">
        <w:rPr>
          <w:color w:val="000000"/>
        </w:rPr>
        <w:t>ho</w:t>
      </w:r>
      <w:r w:rsidRPr="004A3160">
        <w:rPr>
          <w:color w:val="000000"/>
        </w:rPr>
        <w:t xml:space="preserve"> previously experienced language problems. </w:t>
      </w:r>
    </w:p>
    <w:p w14:paraId="2A9558F6" w14:textId="12E4B4BE" w:rsidR="00046B7E" w:rsidRDefault="00046B7E" w:rsidP="00046B7E">
      <w:pPr>
        <w:pStyle w:val="BodyText"/>
        <w:numPr>
          <w:ilvl w:val="0"/>
          <w:numId w:val="45"/>
        </w:numPr>
        <w:spacing w:before="120"/>
        <w:rPr>
          <w:sz w:val="22"/>
          <w:szCs w:val="22"/>
        </w:rPr>
      </w:pPr>
      <w:r w:rsidRPr="0022641A">
        <w:rPr>
          <w:sz w:val="22"/>
          <w:szCs w:val="22"/>
        </w:rPr>
        <w:t>Mail</w:t>
      </w:r>
      <w:r w:rsidRPr="00B612CC">
        <w:rPr>
          <w:sz w:val="22"/>
          <w:szCs w:val="22"/>
        </w:rPr>
        <w:t xml:space="preserve"> – </w:t>
      </w:r>
      <w:r>
        <w:rPr>
          <w:sz w:val="22"/>
          <w:szCs w:val="22"/>
        </w:rPr>
        <w:t>The i</w:t>
      </w:r>
      <w:r w:rsidRPr="00B612CC">
        <w:rPr>
          <w:sz w:val="22"/>
          <w:szCs w:val="22"/>
        </w:rPr>
        <w:t xml:space="preserve">nitial request to complete the </w:t>
      </w:r>
      <w:r w:rsidRPr="00A30797">
        <w:rPr>
          <w:sz w:val="22"/>
          <w:szCs w:val="22"/>
        </w:rPr>
        <w:t>201</w:t>
      </w:r>
      <w:r w:rsidR="0078043A">
        <w:rPr>
          <w:sz w:val="22"/>
          <w:szCs w:val="22"/>
        </w:rPr>
        <w:t>9</w:t>
      </w:r>
      <w:r w:rsidRPr="00B612CC">
        <w:rPr>
          <w:sz w:val="22"/>
          <w:szCs w:val="22"/>
        </w:rPr>
        <w:t xml:space="preserve"> SDR will be made through a USPS mailing that include</w:t>
      </w:r>
      <w:r>
        <w:rPr>
          <w:sz w:val="22"/>
          <w:szCs w:val="22"/>
        </w:rPr>
        <w:t xml:space="preserve">s a paper version of the survey. This starting protocol group includes </w:t>
      </w:r>
      <w:r w:rsidR="005014F6">
        <w:rPr>
          <w:sz w:val="22"/>
          <w:szCs w:val="22"/>
        </w:rPr>
        <w:t xml:space="preserve">returning </w:t>
      </w:r>
      <w:r>
        <w:rPr>
          <w:sz w:val="22"/>
          <w:szCs w:val="22"/>
        </w:rPr>
        <w:t>panel sample members who reported they prefer the mail mode and do not have an email address</w:t>
      </w:r>
      <w:r w:rsidRPr="005A1A5F">
        <w:rPr>
          <w:sz w:val="22"/>
          <w:szCs w:val="22"/>
        </w:rPr>
        <w:t xml:space="preserve">, and all </w:t>
      </w:r>
      <w:r w:rsidR="002B773F">
        <w:rPr>
          <w:sz w:val="22"/>
          <w:szCs w:val="22"/>
        </w:rPr>
        <w:t xml:space="preserve">known </w:t>
      </w:r>
      <w:r w:rsidRPr="005A1A5F">
        <w:rPr>
          <w:sz w:val="22"/>
          <w:szCs w:val="22"/>
        </w:rPr>
        <w:t>non-cooperative retiree</w:t>
      </w:r>
      <w:r>
        <w:rPr>
          <w:sz w:val="22"/>
          <w:szCs w:val="22"/>
        </w:rPr>
        <w:t xml:space="preserve">s. </w:t>
      </w:r>
      <w:r w:rsidRPr="008A3AE1">
        <w:rPr>
          <w:sz w:val="22"/>
          <w:szCs w:val="22"/>
        </w:rPr>
        <w:t>New cohort sample members with</w:t>
      </w:r>
      <w:r>
        <w:rPr>
          <w:sz w:val="22"/>
          <w:szCs w:val="22"/>
        </w:rPr>
        <w:t>out a portable email address will also receive the mail starting protocol.</w:t>
      </w:r>
    </w:p>
    <w:p w14:paraId="3E82AE28" w14:textId="10688C4C" w:rsidR="00046B7E" w:rsidRDefault="00046B7E" w:rsidP="00046B7E">
      <w:pPr>
        <w:pStyle w:val="BodyText"/>
        <w:numPr>
          <w:ilvl w:val="0"/>
          <w:numId w:val="45"/>
        </w:numPr>
        <w:spacing w:before="120"/>
        <w:rPr>
          <w:sz w:val="22"/>
          <w:szCs w:val="22"/>
        </w:rPr>
      </w:pPr>
      <w:r w:rsidRPr="0022641A">
        <w:rPr>
          <w:sz w:val="22"/>
          <w:szCs w:val="22"/>
        </w:rPr>
        <w:t>Reluctant Mail</w:t>
      </w:r>
      <w:r w:rsidRPr="00B612CC">
        <w:rPr>
          <w:sz w:val="22"/>
          <w:szCs w:val="22"/>
        </w:rPr>
        <w:t xml:space="preserve"> – </w:t>
      </w:r>
      <w:r>
        <w:rPr>
          <w:sz w:val="22"/>
          <w:szCs w:val="22"/>
        </w:rPr>
        <w:t>The i</w:t>
      </w:r>
      <w:r w:rsidRPr="00B612CC">
        <w:rPr>
          <w:sz w:val="22"/>
          <w:szCs w:val="22"/>
        </w:rPr>
        <w:t xml:space="preserve">nitial request to complete the </w:t>
      </w:r>
      <w:r w:rsidRPr="00A30797">
        <w:rPr>
          <w:sz w:val="22"/>
          <w:szCs w:val="22"/>
        </w:rPr>
        <w:t>201</w:t>
      </w:r>
      <w:r w:rsidR="005014F6">
        <w:rPr>
          <w:sz w:val="22"/>
          <w:szCs w:val="22"/>
        </w:rPr>
        <w:t>9</w:t>
      </w:r>
      <w:r w:rsidRPr="00B612CC">
        <w:rPr>
          <w:sz w:val="22"/>
          <w:szCs w:val="22"/>
        </w:rPr>
        <w:t xml:space="preserve"> SDR will be made through a USPS mailing that includes a paper version of the survey</w:t>
      </w:r>
      <w:r>
        <w:rPr>
          <w:sz w:val="22"/>
          <w:szCs w:val="22"/>
        </w:rPr>
        <w:t xml:space="preserve">. This </w:t>
      </w:r>
      <w:r w:rsidRPr="00B612CC">
        <w:rPr>
          <w:sz w:val="22"/>
          <w:szCs w:val="22"/>
        </w:rPr>
        <w:t xml:space="preserve">protocol </w:t>
      </w:r>
      <w:r>
        <w:rPr>
          <w:sz w:val="22"/>
          <w:szCs w:val="22"/>
        </w:rPr>
        <w:t xml:space="preserve">is a modified version of the starting mail protocol but has </w:t>
      </w:r>
      <w:r w:rsidRPr="00B612CC">
        <w:rPr>
          <w:sz w:val="22"/>
          <w:szCs w:val="22"/>
        </w:rPr>
        <w:t>fewer contacts</w:t>
      </w:r>
      <w:r>
        <w:rPr>
          <w:sz w:val="22"/>
          <w:szCs w:val="22"/>
        </w:rPr>
        <w:t xml:space="preserve"> with more time between contacts during the starting phase. This group will include panel sample </w:t>
      </w:r>
      <w:r w:rsidRPr="00B67C17">
        <w:rPr>
          <w:sz w:val="22"/>
          <w:szCs w:val="22"/>
        </w:rPr>
        <w:t xml:space="preserve">members who </w:t>
      </w:r>
      <w:r>
        <w:rPr>
          <w:sz w:val="22"/>
          <w:szCs w:val="22"/>
        </w:rPr>
        <w:t>are known to be reluctant survey participants – specifically, individuals who previously i</w:t>
      </w:r>
      <w:r w:rsidRPr="00B67C17">
        <w:rPr>
          <w:sz w:val="22"/>
          <w:szCs w:val="22"/>
        </w:rPr>
        <w:t xml:space="preserve">ndicated they </w:t>
      </w:r>
      <w:r>
        <w:rPr>
          <w:sz w:val="22"/>
          <w:szCs w:val="22"/>
        </w:rPr>
        <w:t>would</w:t>
      </w:r>
      <w:r w:rsidRPr="00B67C17">
        <w:rPr>
          <w:sz w:val="22"/>
          <w:szCs w:val="22"/>
        </w:rPr>
        <w:t xml:space="preserve"> complete the survey only after receiving an incentive, </w:t>
      </w:r>
      <w:r w:rsidR="00674785">
        <w:rPr>
          <w:sz w:val="22"/>
          <w:szCs w:val="22"/>
        </w:rPr>
        <w:t>and</w:t>
      </w:r>
      <w:r w:rsidRPr="00B67C17">
        <w:rPr>
          <w:sz w:val="22"/>
          <w:szCs w:val="22"/>
        </w:rPr>
        <w:t xml:space="preserve"> panel sample members who refused to participate in </w:t>
      </w:r>
      <w:r w:rsidRPr="00A30797">
        <w:rPr>
          <w:sz w:val="22"/>
          <w:szCs w:val="22"/>
        </w:rPr>
        <w:t>201</w:t>
      </w:r>
      <w:r w:rsidR="002B773F">
        <w:rPr>
          <w:sz w:val="22"/>
          <w:szCs w:val="22"/>
        </w:rPr>
        <w:t>7</w:t>
      </w:r>
      <w:r w:rsidRPr="00B67C17">
        <w:rPr>
          <w:sz w:val="22"/>
          <w:szCs w:val="22"/>
        </w:rPr>
        <w:t>.</w:t>
      </w:r>
    </w:p>
    <w:p w14:paraId="366017BD" w14:textId="232C02BE" w:rsidR="00046B7E" w:rsidRPr="00937CD7" w:rsidRDefault="00046B7E" w:rsidP="00046B7E">
      <w:pPr>
        <w:pStyle w:val="ListParagraph"/>
        <w:numPr>
          <w:ilvl w:val="0"/>
          <w:numId w:val="45"/>
        </w:numPr>
        <w:ind w:right="-72"/>
      </w:pPr>
      <w:r w:rsidRPr="00E13A42">
        <w:t xml:space="preserve">CATI – The initial request to complete the </w:t>
      </w:r>
      <w:r w:rsidRPr="00A30797">
        <w:rPr>
          <w:color w:val="000000"/>
          <w:sz w:val="24"/>
          <w:szCs w:val="20"/>
        </w:rPr>
        <w:t>201</w:t>
      </w:r>
      <w:r w:rsidR="002B773F">
        <w:rPr>
          <w:color w:val="000000"/>
          <w:sz w:val="24"/>
          <w:szCs w:val="20"/>
        </w:rPr>
        <w:t>9</w:t>
      </w:r>
      <w:r w:rsidRPr="00E13A42">
        <w:t xml:space="preserve"> SDR will be made by a trained telephone interviewer who will attempt to complete the survey via CATI</w:t>
      </w:r>
      <w:r>
        <w:t xml:space="preserve">. </w:t>
      </w:r>
      <w:r w:rsidRPr="00E13A42">
        <w:t>This starting group includes</w:t>
      </w:r>
      <w:r w:rsidR="005014F6">
        <w:t xml:space="preserve"> returning</w:t>
      </w:r>
      <w:r w:rsidRPr="00E13A42">
        <w:t xml:space="preserve"> panel sample members who reported they prefer the </w:t>
      </w:r>
      <w:r w:rsidRPr="005A1A5F">
        <w:t xml:space="preserve">CATI </w:t>
      </w:r>
      <w:r w:rsidRPr="004A3160">
        <w:t>mode, new cohort sample members with incomplete sampling stratification variables, institutionalized sample members,</w:t>
      </w:r>
      <w:r w:rsidRPr="005A1A5F">
        <w:t xml:space="preserve"> and</w:t>
      </w:r>
      <w:r w:rsidRPr="00E13A42">
        <w:t xml:space="preserve"> other sample members whose only current contacting information is a valid telephone number</w:t>
      </w:r>
      <w:r w:rsidRPr="00937CD7">
        <w:t xml:space="preserve"> at the beginning of data collection.</w:t>
      </w:r>
    </w:p>
    <w:p w14:paraId="1F7B7405" w14:textId="77777777" w:rsidR="00046B7E" w:rsidRDefault="00046B7E" w:rsidP="00046B7E">
      <w:pPr>
        <w:pStyle w:val="BodyText"/>
        <w:rPr>
          <w:sz w:val="22"/>
          <w:szCs w:val="22"/>
        </w:rPr>
      </w:pPr>
    </w:p>
    <w:p w14:paraId="5E1EACCC" w14:textId="2BCEE8D6" w:rsidR="00046B7E" w:rsidRDefault="00046B7E" w:rsidP="00046B7E">
      <w:pPr>
        <w:pStyle w:val="BodyText"/>
        <w:rPr>
          <w:sz w:val="22"/>
          <w:szCs w:val="22"/>
        </w:rPr>
      </w:pPr>
      <w:r w:rsidRPr="000D77AA">
        <w:rPr>
          <w:sz w:val="22"/>
          <w:szCs w:val="22"/>
        </w:rPr>
        <w:t xml:space="preserve">A core set of contact materials (Prenotice Letter, Thank You/Reminder Postcard, and Cover Letters accompanying the </w:t>
      </w:r>
      <w:r>
        <w:rPr>
          <w:sz w:val="22"/>
          <w:szCs w:val="22"/>
        </w:rPr>
        <w:t>paper questionnaire</w:t>
      </w:r>
      <w:r w:rsidRPr="000D77AA">
        <w:rPr>
          <w:sz w:val="22"/>
          <w:szCs w:val="22"/>
        </w:rPr>
        <w:t>) will be used</w:t>
      </w:r>
      <w:r>
        <w:rPr>
          <w:sz w:val="22"/>
          <w:szCs w:val="22"/>
        </w:rPr>
        <w:t xml:space="preserve"> as outreach</w:t>
      </w:r>
      <w:r w:rsidRPr="000D77AA">
        <w:rPr>
          <w:sz w:val="22"/>
          <w:szCs w:val="22"/>
        </w:rPr>
        <w:t xml:space="preserve"> to the SDR sample members (</w:t>
      </w:r>
      <w:r w:rsidRPr="007362B2">
        <w:rPr>
          <w:sz w:val="22"/>
          <w:szCs w:val="22"/>
        </w:rPr>
        <w:t xml:space="preserve">see </w:t>
      </w:r>
      <w:r w:rsidR="00481FE5">
        <w:rPr>
          <w:sz w:val="22"/>
          <w:szCs w:val="22"/>
        </w:rPr>
        <w:t>Appendix</w:t>
      </w:r>
      <w:r w:rsidRPr="007362B2">
        <w:rPr>
          <w:sz w:val="22"/>
          <w:szCs w:val="22"/>
        </w:rPr>
        <w:t xml:space="preserve"> </w:t>
      </w:r>
      <w:r w:rsidR="00F63D26" w:rsidRPr="007362B2">
        <w:rPr>
          <w:sz w:val="22"/>
          <w:szCs w:val="22"/>
        </w:rPr>
        <w:t>E</w:t>
      </w:r>
      <w:r w:rsidRPr="007362B2">
        <w:rPr>
          <w:sz w:val="22"/>
          <w:szCs w:val="22"/>
        </w:rPr>
        <w:t xml:space="preserve"> – Draft 201</w:t>
      </w:r>
      <w:r w:rsidR="002B773F" w:rsidRPr="0093786D">
        <w:rPr>
          <w:sz w:val="22"/>
          <w:szCs w:val="22"/>
        </w:rPr>
        <w:t>9</w:t>
      </w:r>
      <w:r w:rsidRPr="007362B2">
        <w:rPr>
          <w:sz w:val="22"/>
          <w:szCs w:val="22"/>
        </w:rPr>
        <w:t xml:space="preserve"> SDR Survey Mailing Materials).</w:t>
      </w:r>
      <w:r w:rsidRPr="000D77AA">
        <w:rPr>
          <w:sz w:val="22"/>
          <w:szCs w:val="22"/>
        </w:rPr>
        <w:t xml:space="preserve"> These contact materials </w:t>
      </w:r>
      <w:r w:rsidR="00D405D8">
        <w:rPr>
          <w:sz w:val="22"/>
          <w:szCs w:val="22"/>
        </w:rPr>
        <w:t>are</w:t>
      </w:r>
      <w:r w:rsidRPr="000D77AA">
        <w:rPr>
          <w:sz w:val="22"/>
          <w:szCs w:val="22"/>
        </w:rPr>
        <w:t xml:space="preserve"> tailored to address the </w:t>
      </w:r>
      <w:r w:rsidR="000450CF" w:rsidRPr="000D77AA">
        <w:rPr>
          <w:sz w:val="22"/>
          <w:szCs w:val="22"/>
        </w:rPr>
        <w:t>issues</w:t>
      </w:r>
      <w:r w:rsidRPr="000D77AA">
        <w:rPr>
          <w:sz w:val="22"/>
          <w:szCs w:val="22"/>
        </w:rPr>
        <w:t xml:space="preserve"> or concerns of the sample groups to whom they are targeted. Tailoring </w:t>
      </w:r>
      <w:r w:rsidR="00D405D8">
        <w:rPr>
          <w:sz w:val="22"/>
          <w:szCs w:val="22"/>
        </w:rPr>
        <w:t>is</w:t>
      </w:r>
      <w:r w:rsidRPr="000D77AA">
        <w:rPr>
          <w:sz w:val="22"/>
          <w:szCs w:val="22"/>
        </w:rPr>
        <w:t xml:space="preserve"> primarily based on type of cohort (e.g., </w:t>
      </w:r>
      <w:r w:rsidR="005014F6">
        <w:rPr>
          <w:sz w:val="22"/>
          <w:szCs w:val="22"/>
        </w:rPr>
        <w:t>returning</w:t>
      </w:r>
      <w:r w:rsidRPr="000D77AA">
        <w:rPr>
          <w:sz w:val="22"/>
          <w:szCs w:val="22"/>
        </w:rPr>
        <w:t xml:space="preserve"> panel or new cohort).</w:t>
      </w:r>
      <w:r>
        <w:rPr>
          <w:sz w:val="22"/>
          <w:szCs w:val="22"/>
        </w:rPr>
        <w:t xml:space="preserve"> </w:t>
      </w:r>
      <w:r w:rsidRPr="000D77AA">
        <w:rPr>
          <w:sz w:val="22"/>
          <w:szCs w:val="22"/>
        </w:rPr>
        <w:t xml:space="preserve">Additional tailoring for </w:t>
      </w:r>
      <w:r>
        <w:rPr>
          <w:sz w:val="22"/>
          <w:szCs w:val="22"/>
        </w:rPr>
        <w:t xml:space="preserve">the </w:t>
      </w:r>
      <w:r w:rsidR="005014F6">
        <w:rPr>
          <w:sz w:val="22"/>
          <w:szCs w:val="22"/>
        </w:rPr>
        <w:t xml:space="preserve">returning </w:t>
      </w:r>
      <w:r w:rsidRPr="000D77AA">
        <w:rPr>
          <w:sz w:val="22"/>
          <w:szCs w:val="22"/>
        </w:rPr>
        <w:t xml:space="preserve">panel members </w:t>
      </w:r>
      <w:r w:rsidR="00D405D8">
        <w:rPr>
          <w:sz w:val="22"/>
          <w:szCs w:val="22"/>
        </w:rPr>
        <w:t xml:space="preserve">is </w:t>
      </w:r>
      <w:r w:rsidRPr="000D77AA">
        <w:rPr>
          <w:sz w:val="22"/>
          <w:szCs w:val="22"/>
        </w:rPr>
        <w:t xml:space="preserve">based on response/nonresponse in the past round, citizenship, retirement status, and expressed mode preference. Email versions of contact materials </w:t>
      </w:r>
      <w:r>
        <w:rPr>
          <w:sz w:val="22"/>
          <w:szCs w:val="22"/>
        </w:rPr>
        <w:t xml:space="preserve">will be developed </w:t>
      </w:r>
      <w:r w:rsidRPr="000D77AA">
        <w:rPr>
          <w:sz w:val="22"/>
          <w:szCs w:val="22"/>
        </w:rPr>
        <w:t xml:space="preserve">to communicate with sample members who have email addresses on file. </w:t>
      </w:r>
    </w:p>
    <w:p w14:paraId="59D7E4CD" w14:textId="77777777" w:rsidR="00046B7E" w:rsidRDefault="00046B7E" w:rsidP="00046B7E">
      <w:pPr>
        <w:pStyle w:val="BodyText"/>
        <w:rPr>
          <w:sz w:val="22"/>
          <w:szCs w:val="22"/>
        </w:rPr>
      </w:pPr>
    </w:p>
    <w:p w14:paraId="11FCEAA5" w14:textId="02A37F03" w:rsidR="00046B7E" w:rsidRPr="00222D20" w:rsidRDefault="00046B7E" w:rsidP="0093786D">
      <w:pPr>
        <w:pStyle w:val="BodyText"/>
      </w:pPr>
      <w:r w:rsidRPr="00643B87">
        <w:rPr>
          <w:sz w:val="22"/>
          <w:szCs w:val="22"/>
        </w:rPr>
        <w:t xml:space="preserve">The </w:t>
      </w:r>
      <w:r>
        <w:rPr>
          <w:sz w:val="22"/>
          <w:szCs w:val="22"/>
        </w:rPr>
        <w:t>type</w:t>
      </w:r>
      <w:r w:rsidRPr="00643B87">
        <w:rPr>
          <w:sz w:val="22"/>
          <w:szCs w:val="22"/>
        </w:rPr>
        <w:t xml:space="preserve"> and timing of contacts </w:t>
      </w:r>
      <w:r>
        <w:rPr>
          <w:sz w:val="22"/>
          <w:szCs w:val="22"/>
        </w:rPr>
        <w:t xml:space="preserve">for each starting data collection protocol is shown in Figure 1. The outreach method and schedule </w:t>
      </w:r>
      <w:r w:rsidR="007362B2">
        <w:rPr>
          <w:sz w:val="22"/>
          <w:szCs w:val="22"/>
        </w:rPr>
        <w:t>are</w:t>
      </w:r>
      <w:r>
        <w:rPr>
          <w:sz w:val="22"/>
          <w:szCs w:val="22"/>
        </w:rPr>
        <w:t xml:space="preserve"> consistent with the approach used in the </w:t>
      </w:r>
      <w:r w:rsidRPr="00A30797">
        <w:rPr>
          <w:sz w:val="22"/>
          <w:szCs w:val="22"/>
        </w:rPr>
        <w:t>201</w:t>
      </w:r>
      <w:r w:rsidR="002B773F">
        <w:rPr>
          <w:sz w:val="22"/>
          <w:szCs w:val="22"/>
        </w:rPr>
        <w:t>7</w:t>
      </w:r>
      <w:r>
        <w:rPr>
          <w:sz w:val="22"/>
          <w:szCs w:val="22"/>
        </w:rPr>
        <w:t xml:space="preserve"> cycle</w:t>
      </w:r>
      <w:r w:rsidR="00641437">
        <w:rPr>
          <w:sz w:val="22"/>
          <w:szCs w:val="22"/>
        </w:rPr>
        <w:t>.</w:t>
      </w:r>
    </w:p>
    <w:p w14:paraId="2EC26C46" w14:textId="77777777" w:rsidR="00046B7E" w:rsidRPr="007079D0" w:rsidRDefault="00046B7E" w:rsidP="00046B7E">
      <w:pPr>
        <w:pStyle w:val="ListParagraph"/>
        <w:numPr>
          <w:ilvl w:val="0"/>
          <w:numId w:val="0"/>
        </w:numPr>
        <w:spacing w:before="0"/>
        <w:ind w:left="720"/>
      </w:pPr>
    </w:p>
    <w:p w14:paraId="73C07E79" w14:textId="119C21D3" w:rsidR="00046B7E" w:rsidRDefault="00046B7E" w:rsidP="00046B7E">
      <w:pPr>
        <w:pStyle w:val="BodyText"/>
        <w:rPr>
          <w:sz w:val="22"/>
          <w:szCs w:val="22"/>
        </w:rPr>
      </w:pPr>
      <w:r>
        <w:rPr>
          <w:sz w:val="22"/>
          <w:szCs w:val="22"/>
        </w:rPr>
        <w:t>Telephone</w:t>
      </w:r>
      <w:r w:rsidRPr="000D77AA">
        <w:rPr>
          <w:sz w:val="22"/>
          <w:szCs w:val="22"/>
        </w:rPr>
        <w:t xml:space="preserve"> follow-up contacts </w:t>
      </w:r>
      <w:r>
        <w:rPr>
          <w:sz w:val="22"/>
          <w:szCs w:val="22"/>
        </w:rPr>
        <w:t xml:space="preserve">will be conducted </w:t>
      </w:r>
      <w:r w:rsidRPr="000D77AA">
        <w:rPr>
          <w:sz w:val="22"/>
          <w:szCs w:val="22"/>
        </w:rPr>
        <w:t>for those sample members who do not submit a completed questionnaire via a paper or online survey</w:t>
      </w:r>
      <w:r>
        <w:rPr>
          <w:sz w:val="22"/>
          <w:szCs w:val="22"/>
        </w:rPr>
        <w:t>. To facilitate the multi</w:t>
      </w:r>
      <w:r w:rsidR="001D539E">
        <w:rPr>
          <w:sz w:val="22"/>
          <w:szCs w:val="22"/>
        </w:rPr>
        <w:t>-</w:t>
      </w:r>
      <w:r>
        <w:rPr>
          <w:sz w:val="22"/>
          <w:szCs w:val="22"/>
        </w:rPr>
        <w:t xml:space="preserve">mode effort, the telephone call case management module will have the ability to record updated USPS and email addresses for sample members who request a paper survey or web survey access, respectively. </w:t>
      </w:r>
      <w:r w:rsidRPr="000D77AA">
        <w:rPr>
          <w:sz w:val="22"/>
          <w:szCs w:val="22"/>
        </w:rPr>
        <w:t xml:space="preserve">The </w:t>
      </w:r>
      <w:r>
        <w:rPr>
          <w:sz w:val="22"/>
          <w:szCs w:val="22"/>
        </w:rPr>
        <w:t>telephone</w:t>
      </w:r>
      <w:r w:rsidRPr="000D77AA">
        <w:rPr>
          <w:sz w:val="22"/>
          <w:szCs w:val="22"/>
        </w:rPr>
        <w:t xml:space="preserve"> </w:t>
      </w:r>
      <w:r>
        <w:rPr>
          <w:sz w:val="22"/>
          <w:szCs w:val="22"/>
        </w:rPr>
        <w:t>i</w:t>
      </w:r>
      <w:r w:rsidRPr="000D77AA">
        <w:rPr>
          <w:sz w:val="22"/>
          <w:szCs w:val="22"/>
        </w:rPr>
        <w:t xml:space="preserve">nterviewing team will include Refusal Avoidance and Conversion specialists who have a proven ability to work with </w:t>
      </w:r>
      <w:r>
        <w:rPr>
          <w:sz w:val="22"/>
          <w:szCs w:val="22"/>
        </w:rPr>
        <w:t xml:space="preserve">doctoral </w:t>
      </w:r>
      <w:r w:rsidRPr="000D77AA">
        <w:rPr>
          <w:sz w:val="22"/>
          <w:szCs w:val="22"/>
        </w:rPr>
        <w:t xml:space="preserve">sample members to </w:t>
      </w:r>
      <w:r w:rsidR="00FE492B">
        <w:rPr>
          <w:sz w:val="22"/>
          <w:szCs w:val="22"/>
        </w:rPr>
        <w:t xml:space="preserve">obtain </w:t>
      </w:r>
      <w:r>
        <w:rPr>
          <w:sz w:val="22"/>
          <w:szCs w:val="22"/>
        </w:rPr>
        <w:t xml:space="preserve">survey </w:t>
      </w:r>
      <w:r w:rsidRPr="000D77AA">
        <w:rPr>
          <w:sz w:val="22"/>
          <w:szCs w:val="22"/>
        </w:rPr>
        <w:t>participation.</w:t>
      </w:r>
    </w:p>
    <w:p w14:paraId="3AC0E3A0" w14:textId="77777777" w:rsidR="00046B7E" w:rsidRDefault="00046B7E" w:rsidP="00046B7E">
      <w:pPr>
        <w:pStyle w:val="BodyText"/>
        <w:rPr>
          <w:sz w:val="22"/>
          <w:szCs w:val="22"/>
        </w:rPr>
      </w:pPr>
    </w:p>
    <w:p w14:paraId="35D1E933" w14:textId="0EFE153C" w:rsidR="0090671D" w:rsidRDefault="00046B7E" w:rsidP="0090671D">
      <w:pPr>
        <w:pStyle w:val="BodyText"/>
        <w:rPr>
          <w:sz w:val="22"/>
          <w:szCs w:val="22"/>
        </w:rPr>
      </w:pPr>
      <w:r w:rsidRPr="005D56B7">
        <w:rPr>
          <w:sz w:val="22"/>
          <w:szCs w:val="22"/>
        </w:rPr>
        <w:t>The overall 201</w:t>
      </w:r>
      <w:r w:rsidR="00F1310D">
        <w:rPr>
          <w:sz w:val="22"/>
          <w:szCs w:val="22"/>
        </w:rPr>
        <w:t>9</w:t>
      </w:r>
      <w:r w:rsidRPr="005D56B7">
        <w:rPr>
          <w:sz w:val="22"/>
          <w:szCs w:val="22"/>
        </w:rPr>
        <w:t xml:space="preserve"> SDR schedule of contacts by starting protocol is shown in Figure 1.</w:t>
      </w:r>
      <w:bookmarkStart w:id="10" w:name="_Toc410981797"/>
    </w:p>
    <w:p w14:paraId="44814755" w14:textId="4A07D01F" w:rsidR="00123FF6" w:rsidRDefault="00123FF6">
      <w:pPr>
        <w:rPr>
          <w:color w:val="000000"/>
          <w:sz w:val="22"/>
          <w:szCs w:val="22"/>
        </w:rPr>
      </w:pPr>
      <w:r>
        <w:rPr>
          <w:sz w:val="22"/>
          <w:szCs w:val="22"/>
        </w:rPr>
        <w:br w:type="page"/>
      </w:r>
    </w:p>
    <w:p w14:paraId="0CDC4CEC" w14:textId="77777777" w:rsidR="0090671D" w:rsidRDefault="0090671D" w:rsidP="0090671D">
      <w:pPr>
        <w:pStyle w:val="BodyText"/>
        <w:rPr>
          <w:b/>
        </w:rPr>
      </w:pPr>
    </w:p>
    <w:p w14:paraId="14FD76F9" w14:textId="50EC1B33" w:rsidR="00200EF7" w:rsidRDefault="00200EF7" w:rsidP="0090671D">
      <w:pPr>
        <w:pStyle w:val="BodyText"/>
        <w:rPr>
          <w:b/>
        </w:rPr>
      </w:pPr>
      <w:r w:rsidRPr="00312544">
        <w:rPr>
          <w:b/>
        </w:rPr>
        <w:t>Figure 1: 201</w:t>
      </w:r>
      <w:r w:rsidR="00F1310D">
        <w:rPr>
          <w:b/>
        </w:rPr>
        <w:t>9</w:t>
      </w:r>
      <w:r w:rsidRPr="00312544">
        <w:rPr>
          <w:b/>
        </w:rPr>
        <w:t xml:space="preserve"> SDR Data Collection Contacting Protocol and Schedule by Starting Mode</w:t>
      </w:r>
    </w:p>
    <w:p w14:paraId="5AC9E9A6" w14:textId="77777777" w:rsidR="00200EF7" w:rsidRDefault="00200EF7" w:rsidP="00200EF7">
      <w:r w:rsidRPr="00312544">
        <w:rPr>
          <w:noProof/>
        </w:rPr>
        <w:drawing>
          <wp:inline distT="0" distB="0" distL="0" distR="0" wp14:anchorId="62340099" wp14:editId="0EA214BF">
            <wp:extent cx="5802239" cy="6185647"/>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5318" cy="6188930"/>
                    </a:xfrm>
                    <a:prstGeom prst="rect">
                      <a:avLst/>
                    </a:prstGeom>
                    <a:noFill/>
                    <a:ln>
                      <a:noFill/>
                    </a:ln>
                  </pic:spPr>
                </pic:pic>
              </a:graphicData>
            </a:graphic>
          </wp:inline>
        </w:drawing>
      </w:r>
    </w:p>
    <w:p w14:paraId="0F15722E" w14:textId="77777777" w:rsidR="00200EF7" w:rsidRDefault="00200EF7" w:rsidP="000A00F6">
      <w:pPr>
        <w:pStyle w:val="Heading3"/>
        <w:spacing w:after="0"/>
        <w:rPr>
          <w:i w:val="0"/>
          <w:sz w:val="24"/>
        </w:rPr>
      </w:pPr>
    </w:p>
    <w:p w14:paraId="44C9FF44" w14:textId="633ECB6D" w:rsidR="00046B7E" w:rsidRPr="00222D20" w:rsidRDefault="00046B7E" w:rsidP="00046B7E">
      <w:pPr>
        <w:pStyle w:val="Heading3"/>
        <w:rPr>
          <w:i w:val="0"/>
          <w:sz w:val="24"/>
        </w:rPr>
      </w:pPr>
      <w:r w:rsidRPr="00222D20">
        <w:rPr>
          <w:i w:val="0"/>
          <w:sz w:val="24"/>
        </w:rPr>
        <w:t>3</w:t>
      </w:r>
      <w:r w:rsidRPr="00222D20">
        <w:rPr>
          <w:i w:val="0"/>
          <w:sz w:val="24"/>
          <w:lang w:val="x-none"/>
        </w:rPr>
        <w:t>.</w:t>
      </w:r>
      <w:r w:rsidRPr="00222D20">
        <w:rPr>
          <w:i w:val="0"/>
          <w:sz w:val="24"/>
        </w:rPr>
        <w:t xml:space="preserve">4 Incentive Plan for </w:t>
      </w:r>
      <w:bookmarkEnd w:id="10"/>
      <w:r w:rsidR="00B45866">
        <w:rPr>
          <w:i w:val="0"/>
          <w:sz w:val="24"/>
        </w:rPr>
        <w:t>201</w:t>
      </w:r>
      <w:r w:rsidR="00220EF7">
        <w:rPr>
          <w:i w:val="0"/>
          <w:sz w:val="24"/>
        </w:rPr>
        <w:t>9</w:t>
      </w:r>
    </w:p>
    <w:p w14:paraId="1452A228" w14:textId="14175AD5" w:rsidR="00046B7E" w:rsidRPr="00273253" w:rsidRDefault="00046B7E" w:rsidP="00046B7E">
      <w:pPr>
        <w:pStyle w:val="BodyText"/>
        <w:rPr>
          <w:sz w:val="22"/>
          <w:szCs w:val="22"/>
        </w:rPr>
      </w:pPr>
      <w:r w:rsidRPr="00AE4CD6">
        <w:rPr>
          <w:sz w:val="22"/>
          <w:szCs w:val="22"/>
        </w:rPr>
        <w:t>The 201</w:t>
      </w:r>
      <w:r w:rsidR="00F1310D">
        <w:rPr>
          <w:sz w:val="22"/>
          <w:szCs w:val="22"/>
        </w:rPr>
        <w:t>9</w:t>
      </w:r>
      <w:r w:rsidRPr="00AE4CD6">
        <w:rPr>
          <w:sz w:val="22"/>
          <w:szCs w:val="22"/>
        </w:rPr>
        <w:t xml:space="preserve"> SDR protocol includes an early</w:t>
      </w:r>
      <w:r w:rsidR="005014F6">
        <w:rPr>
          <w:sz w:val="22"/>
          <w:szCs w:val="22"/>
        </w:rPr>
        <w:t>-stage</w:t>
      </w:r>
      <w:r w:rsidRPr="00AE4CD6">
        <w:rPr>
          <w:sz w:val="22"/>
          <w:szCs w:val="22"/>
        </w:rPr>
        <w:t xml:space="preserve"> and</w:t>
      </w:r>
      <w:r w:rsidRPr="00273253">
        <w:rPr>
          <w:sz w:val="22"/>
          <w:szCs w:val="22"/>
        </w:rPr>
        <w:t xml:space="preserve"> a late-stage incentive for</w:t>
      </w:r>
      <w:r>
        <w:rPr>
          <w:sz w:val="22"/>
          <w:szCs w:val="22"/>
        </w:rPr>
        <w:t xml:space="preserve"> U.S.-residing</w:t>
      </w:r>
      <w:r w:rsidRPr="00273253">
        <w:rPr>
          <w:sz w:val="22"/>
          <w:szCs w:val="22"/>
        </w:rPr>
        <w:t xml:space="preserve"> nonrespondents to reduce</w:t>
      </w:r>
      <w:r w:rsidR="005014F6">
        <w:rPr>
          <w:sz w:val="22"/>
          <w:szCs w:val="22"/>
        </w:rPr>
        <w:t xml:space="preserve"> the potential for</w:t>
      </w:r>
      <w:r w:rsidRPr="00273253">
        <w:rPr>
          <w:sz w:val="22"/>
          <w:szCs w:val="22"/>
        </w:rPr>
        <w:t xml:space="preserve"> nonresponse bias</w:t>
      </w:r>
      <w:r>
        <w:rPr>
          <w:sz w:val="22"/>
          <w:szCs w:val="22"/>
        </w:rPr>
        <w:t xml:space="preserve">. Sample members determined </w:t>
      </w:r>
      <w:r w:rsidR="00D405D8">
        <w:rPr>
          <w:sz w:val="22"/>
          <w:szCs w:val="22"/>
        </w:rPr>
        <w:t>to be out of the U.S.</w:t>
      </w:r>
      <w:r w:rsidR="005014F6">
        <w:rPr>
          <w:sz w:val="22"/>
          <w:szCs w:val="22"/>
        </w:rPr>
        <w:t xml:space="preserve"> </w:t>
      </w:r>
      <w:r>
        <w:rPr>
          <w:sz w:val="22"/>
          <w:szCs w:val="22"/>
        </w:rPr>
        <w:t>will be excluded from the incentive offer, even if the contacting information on file for them is residential.</w:t>
      </w:r>
      <w:r w:rsidR="005014F6">
        <w:rPr>
          <w:sz w:val="22"/>
          <w:szCs w:val="22"/>
        </w:rPr>
        <w:t xml:space="preserve"> In addition, sample members who work for the National Science Foundation</w:t>
      </w:r>
      <w:r>
        <w:rPr>
          <w:sz w:val="22"/>
          <w:szCs w:val="22"/>
        </w:rPr>
        <w:t xml:space="preserve"> </w:t>
      </w:r>
      <w:r w:rsidR="005014F6">
        <w:rPr>
          <w:sz w:val="22"/>
          <w:szCs w:val="22"/>
        </w:rPr>
        <w:t>will also be excluded from the incentive offer.</w:t>
      </w:r>
    </w:p>
    <w:p w14:paraId="412392D3" w14:textId="1989CA1A" w:rsidR="00046B7E" w:rsidRPr="005A1A5F" w:rsidRDefault="00046B7E" w:rsidP="00046B7E">
      <w:pPr>
        <w:spacing w:before="120"/>
        <w:rPr>
          <w:sz w:val="22"/>
          <w:szCs w:val="22"/>
        </w:rPr>
      </w:pPr>
      <w:r w:rsidRPr="008A3AE1">
        <w:rPr>
          <w:sz w:val="22"/>
          <w:szCs w:val="22"/>
        </w:rPr>
        <w:t xml:space="preserve">As noted in section A.9, there are </w:t>
      </w:r>
      <w:r w:rsidR="00F1310D">
        <w:rPr>
          <w:sz w:val="22"/>
          <w:szCs w:val="22"/>
        </w:rPr>
        <w:t>three</w:t>
      </w:r>
      <w:r w:rsidRPr="005A1A5F">
        <w:rPr>
          <w:sz w:val="22"/>
          <w:szCs w:val="22"/>
        </w:rPr>
        <w:t xml:space="preserve"> primary sample components in the 201</w:t>
      </w:r>
      <w:r w:rsidR="00F1310D">
        <w:rPr>
          <w:sz w:val="22"/>
          <w:szCs w:val="22"/>
        </w:rPr>
        <w:t>9</w:t>
      </w:r>
      <w:r w:rsidRPr="005A1A5F">
        <w:rPr>
          <w:sz w:val="22"/>
          <w:szCs w:val="22"/>
        </w:rPr>
        <w:t xml:space="preserve"> SDR: </w:t>
      </w:r>
    </w:p>
    <w:p w14:paraId="0CC48EA2" w14:textId="68719951" w:rsidR="00046B7E" w:rsidRPr="00A13E9B" w:rsidRDefault="005014F6" w:rsidP="00A13E9B">
      <w:pPr>
        <w:pStyle w:val="ListParagraph"/>
        <w:numPr>
          <w:ilvl w:val="0"/>
          <w:numId w:val="76"/>
        </w:numPr>
      </w:pPr>
      <w:r>
        <w:t>Returning p</w:t>
      </w:r>
      <w:r w:rsidR="00046B7E" w:rsidRPr="00A13E9B">
        <w:t>anel: Individuals included in the 201</w:t>
      </w:r>
      <w:r w:rsidR="00F1310D">
        <w:t>7</w:t>
      </w:r>
      <w:r w:rsidR="00046B7E" w:rsidRPr="00A13E9B">
        <w:t xml:space="preserve"> SDR sample </w:t>
      </w:r>
      <w:r w:rsidR="00F1310D">
        <w:t>who were</w:t>
      </w:r>
      <w:r w:rsidR="00046B7E" w:rsidRPr="00A13E9B">
        <w:t xml:space="preserve"> selected for the 201</w:t>
      </w:r>
      <w:r w:rsidR="00F1310D">
        <w:t>9 SDR</w:t>
      </w:r>
      <w:r w:rsidR="00046B7E" w:rsidRPr="00A13E9B">
        <w:t xml:space="preserve">. </w:t>
      </w:r>
    </w:p>
    <w:p w14:paraId="6BA0987E" w14:textId="4A1BB2B9" w:rsidR="00046B7E" w:rsidRDefault="00046B7E" w:rsidP="00A13E9B">
      <w:pPr>
        <w:pStyle w:val="ListParagraph"/>
        <w:numPr>
          <w:ilvl w:val="0"/>
          <w:numId w:val="76"/>
        </w:numPr>
      </w:pPr>
      <w:r w:rsidRPr="00A13E9B">
        <w:t>New cohort: Individuals who received their doctorate in the academic years 201</w:t>
      </w:r>
      <w:r w:rsidR="00F1310D">
        <w:t>6</w:t>
      </w:r>
      <w:r w:rsidRPr="00A13E9B">
        <w:t xml:space="preserve"> and 201</w:t>
      </w:r>
      <w:r w:rsidR="00F1310D">
        <w:t>7</w:t>
      </w:r>
      <w:r w:rsidRPr="00A13E9B">
        <w:t>.</w:t>
      </w:r>
    </w:p>
    <w:p w14:paraId="7FA0B6EB" w14:textId="3B11D251" w:rsidR="00F1310D" w:rsidRPr="00A13E9B" w:rsidRDefault="00F1310D" w:rsidP="00F1310D">
      <w:pPr>
        <w:pStyle w:val="ListParagraph"/>
        <w:numPr>
          <w:ilvl w:val="0"/>
          <w:numId w:val="76"/>
        </w:numPr>
      </w:pPr>
      <w:r>
        <w:t xml:space="preserve">Supplemental </w:t>
      </w:r>
      <w:r w:rsidRPr="00A13E9B">
        <w:t xml:space="preserve">cohort: Individuals who received their doctorate </w:t>
      </w:r>
      <w:r w:rsidR="005014F6">
        <w:t xml:space="preserve">during or </w:t>
      </w:r>
      <w:r>
        <w:t xml:space="preserve">prior to 2015 and were newly selected to </w:t>
      </w:r>
      <w:r w:rsidR="00C7483C">
        <w:t>participate in the 2019 SDR</w:t>
      </w:r>
      <w:r w:rsidRPr="00A13E9B">
        <w:t>.</w:t>
      </w:r>
    </w:p>
    <w:p w14:paraId="6AE21DDE" w14:textId="77777777" w:rsidR="00F1310D" w:rsidRPr="00A13E9B" w:rsidRDefault="00F1310D" w:rsidP="0093786D">
      <w:pPr>
        <w:pStyle w:val="ListParagraph"/>
        <w:numPr>
          <w:ilvl w:val="0"/>
          <w:numId w:val="0"/>
        </w:numPr>
        <w:ind w:left="720"/>
      </w:pPr>
    </w:p>
    <w:p w14:paraId="281AF8FC" w14:textId="6E66D398" w:rsidR="00046B7E" w:rsidRPr="00477C85" w:rsidRDefault="00046B7E" w:rsidP="00046B7E">
      <w:pPr>
        <w:pStyle w:val="BodyText"/>
        <w:rPr>
          <w:sz w:val="22"/>
          <w:szCs w:val="22"/>
        </w:rPr>
      </w:pPr>
      <w:r w:rsidRPr="005A1A5F">
        <w:rPr>
          <w:sz w:val="22"/>
          <w:szCs w:val="22"/>
        </w:rPr>
        <w:t>In the 201</w:t>
      </w:r>
      <w:r w:rsidR="00C7483C">
        <w:rPr>
          <w:sz w:val="22"/>
          <w:szCs w:val="22"/>
        </w:rPr>
        <w:t>9</w:t>
      </w:r>
      <w:r w:rsidRPr="005A1A5F">
        <w:rPr>
          <w:sz w:val="22"/>
          <w:szCs w:val="22"/>
        </w:rPr>
        <w:t xml:space="preserve"> </w:t>
      </w:r>
      <w:r w:rsidRPr="00477C85">
        <w:rPr>
          <w:sz w:val="22"/>
          <w:szCs w:val="22"/>
        </w:rPr>
        <w:t>SDR, these specific subgroups of cases will be offered an early</w:t>
      </w:r>
      <w:r w:rsidR="005014F6">
        <w:rPr>
          <w:sz w:val="22"/>
          <w:szCs w:val="22"/>
        </w:rPr>
        <w:t>-stage</w:t>
      </w:r>
      <w:r w:rsidRPr="00477C85">
        <w:rPr>
          <w:sz w:val="22"/>
          <w:szCs w:val="22"/>
        </w:rPr>
        <w:t xml:space="preserve"> incentive:</w:t>
      </w:r>
    </w:p>
    <w:p w14:paraId="2DCEB337" w14:textId="58461786" w:rsidR="00046B7E" w:rsidRPr="007362B2" w:rsidRDefault="00046B7E" w:rsidP="00046B7E">
      <w:pPr>
        <w:pStyle w:val="ListNumber2"/>
        <w:numPr>
          <w:ilvl w:val="0"/>
          <w:numId w:val="37"/>
        </w:numPr>
      </w:pPr>
      <w:r w:rsidRPr="00477C85">
        <w:t xml:space="preserve">Reluctant Panel Sample Members. Sample members who completed the 2006, 2008, 2010, 2013, 2015 </w:t>
      </w:r>
      <w:r w:rsidR="00C7483C">
        <w:t xml:space="preserve">or 2017 </w:t>
      </w:r>
      <w:r w:rsidRPr="00477C85">
        <w:t>SDR only after having been offered an incentive are designated as reluctant</w:t>
      </w:r>
      <w:r w:rsidR="00C7483C">
        <w:t xml:space="preserve"> sampled cases</w:t>
      </w:r>
      <w:r w:rsidRPr="00477C85">
        <w:t xml:space="preserve"> and will receive a $30 incentive check affixed to the cover letter of the first mail questionnaire; the follow-up letter </w:t>
      </w:r>
      <w:r w:rsidRPr="00220451">
        <w:rPr>
          <w:color w:val="auto"/>
        </w:rPr>
        <w:t>to these sample members will refer to this incentive. The rationale for proposing this approach is based on the 2013 SDR data collection experience</w:t>
      </w:r>
      <w:r w:rsidR="009A5E49" w:rsidRPr="00220451">
        <w:rPr>
          <w:color w:val="auto"/>
        </w:rPr>
        <w:t>. In 2013, SDR only had a late-stage incentive offer</w:t>
      </w:r>
      <w:r w:rsidR="00242616" w:rsidRPr="00220451">
        <w:rPr>
          <w:color w:val="auto"/>
        </w:rPr>
        <w:t xml:space="preserve"> and those </w:t>
      </w:r>
      <w:r w:rsidR="009A5E49" w:rsidRPr="00220451">
        <w:rPr>
          <w:color w:val="auto"/>
        </w:rPr>
        <w:t xml:space="preserve">offered the incentive were selected irrespective of </w:t>
      </w:r>
      <w:r w:rsidR="00242616" w:rsidRPr="00220451">
        <w:rPr>
          <w:color w:val="auto"/>
        </w:rPr>
        <w:t>their history of receiving an incentive in past cycles. Therefore, s</w:t>
      </w:r>
      <w:r w:rsidR="009A5E49" w:rsidRPr="00220451">
        <w:rPr>
          <w:color w:val="auto"/>
        </w:rPr>
        <w:t xml:space="preserve">ome in this group </w:t>
      </w:r>
      <w:r w:rsidR="00242616" w:rsidRPr="00220451">
        <w:rPr>
          <w:color w:val="auto"/>
        </w:rPr>
        <w:t xml:space="preserve">with a history of </w:t>
      </w:r>
      <w:r w:rsidR="002F1A3E" w:rsidRPr="00220451">
        <w:rPr>
          <w:color w:val="auto"/>
        </w:rPr>
        <w:t xml:space="preserve">only </w:t>
      </w:r>
      <w:r w:rsidR="00B5549A" w:rsidRPr="00220451">
        <w:rPr>
          <w:color w:val="auto"/>
        </w:rPr>
        <w:t xml:space="preserve">participating after </w:t>
      </w:r>
      <w:r w:rsidR="00242616" w:rsidRPr="00220451">
        <w:rPr>
          <w:color w:val="auto"/>
        </w:rPr>
        <w:t xml:space="preserve">having received a past incentive </w:t>
      </w:r>
      <w:r w:rsidR="009A5E49" w:rsidRPr="00220451">
        <w:rPr>
          <w:color w:val="auto"/>
        </w:rPr>
        <w:t>were selected for the 2013 late stage incentive and some were</w:t>
      </w:r>
      <w:r w:rsidR="00242616" w:rsidRPr="00220451">
        <w:rPr>
          <w:color w:val="auto"/>
        </w:rPr>
        <w:t xml:space="preserve"> </w:t>
      </w:r>
      <w:r w:rsidR="009A5E49" w:rsidRPr="00220451">
        <w:rPr>
          <w:color w:val="auto"/>
        </w:rPr>
        <w:t>n</w:t>
      </w:r>
      <w:r w:rsidR="00242616" w:rsidRPr="00220451">
        <w:rPr>
          <w:color w:val="auto"/>
        </w:rPr>
        <w:t xml:space="preserve">ot selected for the incentive. Findings showed that </w:t>
      </w:r>
      <w:r w:rsidRPr="00220451">
        <w:rPr>
          <w:color w:val="auto"/>
        </w:rPr>
        <w:t>69.7</w:t>
      </w:r>
      <w:r w:rsidR="00FE492B" w:rsidRPr="00220451">
        <w:rPr>
          <w:color w:val="auto"/>
        </w:rPr>
        <w:t>%</w:t>
      </w:r>
      <w:r w:rsidRPr="00220451">
        <w:rPr>
          <w:color w:val="auto"/>
        </w:rPr>
        <w:t xml:space="preserve"> of the incentivized sample members </w:t>
      </w:r>
      <w:r w:rsidR="00242616" w:rsidRPr="00220451">
        <w:rPr>
          <w:color w:val="auto"/>
        </w:rPr>
        <w:t xml:space="preserve">in 2013 with a past history of </w:t>
      </w:r>
      <w:r w:rsidR="00B5549A" w:rsidRPr="00220451">
        <w:rPr>
          <w:color w:val="auto"/>
        </w:rPr>
        <w:t xml:space="preserve">being </w:t>
      </w:r>
      <w:r w:rsidR="00242616" w:rsidRPr="00220451">
        <w:rPr>
          <w:color w:val="auto"/>
        </w:rPr>
        <w:t xml:space="preserve">incentivized </w:t>
      </w:r>
      <w:r w:rsidRPr="00220451">
        <w:rPr>
          <w:color w:val="auto"/>
        </w:rPr>
        <w:t>completed the survey compared to 37.6</w:t>
      </w:r>
      <w:r w:rsidR="00FE492B" w:rsidRPr="00220451">
        <w:rPr>
          <w:color w:val="auto"/>
        </w:rPr>
        <w:t>%</w:t>
      </w:r>
      <w:r w:rsidRPr="00220451">
        <w:rPr>
          <w:color w:val="auto"/>
        </w:rPr>
        <w:t xml:space="preserve"> of the </w:t>
      </w:r>
      <w:r w:rsidRPr="00477C85">
        <w:t xml:space="preserve">non-incentivized </w:t>
      </w:r>
      <w:r w:rsidR="00242616">
        <w:t>sample members in 2013</w:t>
      </w:r>
      <w:r w:rsidR="00242616" w:rsidRPr="00242616">
        <w:t xml:space="preserve"> </w:t>
      </w:r>
      <w:r w:rsidR="00242616">
        <w:t>with a past history of being incentivized</w:t>
      </w:r>
      <w:r w:rsidRPr="00477C85">
        <w:t>. In 201</w:t>
      </w:r>
      <w:r w:rsidR="00C7483C">
        <w:t>7</w:t>
      </w:r>
      <w:r w:rsidRPr="00477C85">
        <w:t>, all sample members who only respond</w:t>
      </w:r>
      <w:r w:rsidR="00F25D47">
        <w:t>ed</w:t>
      </w:r>
      <w:r w:rsidRPr="00477C85">
        <w:t xml:space="preserve"> after receiving an incentive </w:t>
      </w:r>
      <w:r w:rsidR="00242616">
        <w:t xml:space="preserve">in past cycles </w:t>
      </w:r>
      <w:r w:rsidRPr="00477C85">
        <w:t xml:space="preserve">were sent an incentive </w:t>
      </w:r>
      <w:r w:rsidR="009B3C0B">
        <w:t xml:space="preserve">early </w:t>
      </w:r>
      <w:r w:rsidRPr="00477C85">
        <w:t xml:space="preserve">with their first survey </w:t>
      </w:r>
      <w:r w:rsidR="00130EFF">
        <w:t xml:space="preserve">invitation </w:t>
      </w:r>
      <w:r w:rsidR="009B3C0B">
        <w:t xml:space="preserve">and </w:t>
      </w:r>
      <w:r w:rsidRPr="007362B2">
        <w:t>81.5</w:t>
      </w:r>
      <w:r w:rsidR="00FE492B" w:rsidRPr="007362B2">
        <w:t>%</w:t>
      </w:r>
      <w:r w:rsidRPr="007362B2">
        <w:t xml:space="preserve"> completed the 201</w:t>
      </w:r>
      <w:r w:rsidR="00C7483C" w:rsidRPr="007362B2">
        <w:t>7</w:t>
      </w:r>
      <w:r w:rsidRPr="007362B2">
        <w:t xml:space="preserve"> survey</w:t>
      </w:r>
      <w:r w:rsidR="00262BCD" w:rsidRPr="007362B2">
        <w:t xml:space="preserve">. </w:t>
      </w:r>
      <w:r w:rsidR="00242616">
        <w:t>This practice will be carried forward going into the 2019 cycle.</w:t>
      </w:r>
    </w:p>
    <w:p w14:paraId="6DBE0C62" w14:textId="2DCA62FC" w:rsidR="00046B7E" w:rsidRPr="005A1A5F" w:rsidRDefault="00046B7E" w:rsidP="00046B7E">
      <w:pPr>
        <w:pStyle w:val="ListNumber2"/>
        <w:numPr>
          <w:ilvl w:val="0"/>
          <w:numId w:val="37"/>
        </w:numPr>
      </w:pPr>
      <w:r w:rsidRPr="00477C85">
        <w:t>New Cohort Sample Members. Based on the new cohort incentive experiments in the 2006 and 2008 SDR, an incentive will be included in the second contact with all new cohort sample members. The</w:t>
      </w:r>
      <w:r w:rsidRPr="00273253">
        <w:t xml:space="preserve"> 2006 and 2008 experiment results indicate that offering an </w:t>
      </w:r>
      <w:r w:rsidR="00F25D47">
        <w:t>incentive</w:t>
      </w:r>
      <w:r w:rsidRPr="00273253">
        <w:t xml:space="preserve"> in the second request for survey participation was more </w:t>
      </w:r>
      <w:r w:rsidRPr="008A3AE1">
        <w:t>effective than offering it in the first survey request or during the late-stage of data collection</w:t>
      </w:r>
      <w:r>
        <w:t xml:space="preserve">. </w:t>
      </w:r>
      <w:r w:rsidRPr="0088614E">
        <w:t>These experimental results suggest an incentive offer to new cohort sample members accelerates their response and will be more cost</w:t>
      </w:r>
      <w:r w:rsidR="00D405D8">
        <w:t>-</w:t>
      </w:r>
      <w:r w:rsidRPr="0088614E">
        <w:t>effect</w:t>
      </w:r>
      <w:r w:rsidRPr="000A68AC">
        <w:t xml:space="preserve">ive. These sample members will receive a $30 incentive check in their second contact regardless of their starting mode (although for sample members starting on the telephone, this will be their first mailing, which follows their first “contact” </w:t>
      </w:r>
      <w:r w:rsidRPr="005A1A5F">
        <w:t>of a telephone call) – only finalized cases (i.e., completes, final ineligibles, final refusals) will not receive the second contact with the incentive.</w:t>
      </w:r>
    </w:p>
    <w:p w14:paraId="2EEE0FC7" w14:textId="77777777" w:rsidR="00046B7E" w:rsidRDefault="00046B7E" w:rsidP="00046B7E">
      <w:pPr>
        <w:rPr>
          <w:sz w:val="22"/>
          <w:szCs w:val="22"/>
        </w:rPr>
      </w:pPr>
      <w:bookmarkStart w:id="11" w:name="_Toc410981798"/>
    </w:p>
    <w:p w14:paraId="7DE008A6" w14:textId="747FBEAA" w:rsidR="00046B7E" w:rsidRDefault="00046B7E" w:rsidP="00046B7E">
      <w:pPr>
        <w:rPr>
          <w:sz w:val="22"/>
          <w:szCs w:val="22"/>
        </w:rPr>
      </w:pPr>
      <w:r w:rsidRPr="00CD2205">
        <w:rPr>
          <w:sz w:val="22"/>
          <w:szCs w:val="22"/>
        </w:rPr>
        <w:t>The overall strategy for the late-stage incentive is to ensure that all sample members who have been subject to the standard survey data collection protocols and still remain as survey nonrespondents midway through the field period will have a probability of receiving a monetary incentive</w:t>
      </w:r>
      <w:r w:rsidR="00262BCD">
        <w:rPr>
          <w:sz w:val="22"/>
          <w:szCs w:val="22"/>
        </w:rPr>
        <w:t xml:space="preserve">. </w:t>
      </w:r>
      <w:r w:rsidRPr="00CD2205">
        <w:rPr>
          <w:sz w:val="22"/>
          <w:szCs w:val="22"/>
        </w:rPr>
        <w:t>In the late-stage incentive plans used for the 2008 through 201</w:t>
      </w:r>
      <w:r w:rsidR="002045ED">
        <w:rPr>
          <w:sz w:val="22"/>
          <w:szCs w:val="22"/>
        </w:rPr>
        <w:t>7</w:t>
      </w:r>
      <w:r w:rsidRPr="00CD2205">
        <w:rPr>
          <w:sz w:val="22"/>
          <w:szCs w:val="22"/>
        </w:rPr>
        <w:t xml:space="preserve"> SDR, a higher probability of selection for the incentive was given to more challenging cases in key analytic domains with relatively lower response rates, in order to improve the accuracy of survey estimates and, ideally, mitigate nonresponse bias</w:t>
      </w:r>
      <w:r w:rsidR="00262BCD">
        <w:rPr>
          <w:sz w:val="22"/>
          <w:szCs w:val="22"/>
        </w:rPr>
        <w:t xml:space="preserve">. </w:t>
      </w:r>
      <w:bookmarkStart w:id="12" w:name="_Hlk6307350"/>
      <w:r w:rsidR="005014F6">
        <w:rPr>
          <w:sz w:val="22"/>
          <w:szCs w:val="22"/>
        </w:rPr>
        <w:t>R</w:t>
      </w:r>
      <w:r w:rsidRPr="00CD2205">
        <w:rPr>
          <w:sz w:val="22"/>
          <w:szCs w:val="22"/>
        </w:rPr>
        <w:t>esults from the 201</w:t>
      </w:r>
      <w:r w:rsidR="002045ED">
        <w:rPr>
          <w:sz w:val="22"/>
          <w:szCs w:val="22"/>
        </w:rPr>
        <w:t>7</w:t>
      </w:r>
      <w:r w:rsidRPr="00CD2205">
        <w:rPr>
          <w:sz w:val="22"/>
          <w:szCs w:val="22"/>
        </w:rPr>
        <w:t xml:space="preserve"> SDR, show that found late-stage eligible cases offered the incentive achieved a survey yield of </w:t>
      </w:r>
      <w:r w:rsidR="005014F6">
        <w:rPr>
          <w:sz w:val="22"/>
          <w:szCs w:val="22"/>
        </w:rPr>
        <w:t>56.5</w:t>
      </w:r>
      <w:r w:rsidR="00FE492B">
        <w:rPr>
          <w:sz w:val="22"/>
          <w:szCs w:val="22"/>
        </w:rPr>
        <w:t>%</w:t>
      </w:r>
      <w:r w:rsidRPr="00CD2205">
        <w:rPr>
          <w:sz w:val="22"/>
          <w:szCs w:val="22"/>
        </w:rPr>
        <w:t xml:space="preserve"> versus late-stage eligible cases not offered the incentive who achieved a survey yield of </w:t>
      </w:r>
      <w:r w:rsidR="005014F6">
        <w:rPr>
          <w:sz w:val="22"/>
          <w:szCs w:val="22"/>
        </w:rPr>
        <w:t>51.5</w:t>
      </w:r>
      <w:r w:rsidR="00FE492B">
        <w:rPr>
          <w:sz w:val="22"/>
          <w:szCs w:val="22"/>
        </w:rPr>
        <w:t>%</w:t>
      </w:r>
      <w:r w:rsidR="00262BCD">
        <w:rPr>
          <w:sz w:val="22"/>
          <w:szCs w:val="22"/>
        </w:rPr>
        <w:t xml:space="preserve">. </w:t>
      </w:r>
      <w:r w:rsidRPr="00CD2205">
        <w:rPr>
          <w:sz w:val="22"/>
          <w:szCs w:val="22"/>
        </w:rPr>
        <w:t>Based on these results and findings from past cycles, we propose to continue that strategy for the 201</w:t>
      </w:r>
      <w:r w:rsidR="002045ED">
        <w:rPr>
          <w:sz w:val="22"/>
          <w:szCs w:val="22"/>
        </w:rPr>
        <w:t>9</w:t>
      </w:r>
      <w:r w:rsidRPr="00CD2205">
        <w:rPr>
          <w:sz w:val="22"/>
          <w:szCs w:val="22"/>
        </w:rPr>
        <w:t xml:space="preserve"> cycle.</w:t>
      </w:r>
    </w:p>
    <w:bookmarkEnd w:id="12"/>
    <w:p w14:paraId="16B8D3D3" w14:textId="77777777" w:rsidR="00046B7E" w:rsidRDefault="00046B7E" w:rsidP="00046B7E">
      <w:pPr>
        <w:pStyle w:val="Body"/>
        <w:spacing w:after="0"/>
        <w:rPr>
          <w:rFonts w:ascii="Times New Roman" w:hAnsi="Times New Roman"/>
          <w:sz w:val="22"/>
        </w:rPr>
      </w:pPr>
    </w:p>
    <w:p w14:paraId="4BA30185" w14:textId="628F79DA" w:rsidR="00046B7E" w:rsidRPr="003E5AF0" w:rsidRDefault="00046B7E" w:rsidP="00046B7E">
      <w:pPr>
        <w:pStyle w:val="Body"/>
        <w:spacing w:after="0"/>
        <w:rPr>
          <w:rFonts w:ascii="Times New Roman" w:hAnsi="Times New Roman"/>
          <w:sz w:val="22"/>
        </w:rPr>
      </w:pPr>
      <w:r w:rsidRPr="003E5AF0">
        <w:rPr>
          <w:rFonts w:ascii="Times New Roman" w:hAnsi="Times New Roman"/>
          <w:sz w:val="22"/>
        </w:rPr>
        <w:t xml:space="preserve">To </w:t>
      </w:r>
      <w:r w:rsidR="00CC10F2">
        <w:rPr>
          <w:rFonts w:ascii="Times New Roman" w:hAnsi="Times New Roman"/>
          <w:sz w:val="22"/>
        </w:rPr>
        <w:t xml:space="preserve">effectively </w:t>
      </w:r>
      <w:r w:rsidRPr="003E5AF0">
        <w:rPr>
          <w:rFonts w:ascii="Times New Roman" w:hAnsi="Times New Roman"/>
          <w:sz w:val="22"/>
        </w:rPr>
        <w:t xml:space="preserve">allocate limited resources for the monetary incentive to late-stage survey nonrespondents, there will be an analysis of the characteristics of the remaining nonrespondents using </w:t>
      </w:r>
      <w:r w:rsidR="00B30797">
        <w:rPr>
          <w:rFonts w:ascii="Times New Roman" w:hAnsi="Times New Roman"/>
          <w:sz w:val="22"/>
        </w:rPr>
        <w:t xml:space="preserve">pre-set targets of key analytical domains and </w:t>
      </w:r>
      <w:r w:rsidRPr="003E5AF0">
        <w:rPr>
          <w:rFonts w:ascii="Times New Roman" w:hAnsi="Times New Roman"/>
          <w:sz w:val="22"/>
        </w:rPr>
        <w:t xml:space="preserve">a logistic regression </w:t>
      </w:r>
      <w:r w:rsidR="00244337">
        <w:rPr>
          <w:rFonts w:ascii="Times New Roman" w:hAnsi="Times New Roman"/>
          <w:sz w:val="22"/>
        </w:rPr>
        <w:t xml:space="preserve">derived cooperation </w:t>
      </w:r>
      <w:r w:rsidR="00B30797">
        <w:rPr>
          <w:rFonts w:ascii="Times New Roman" w:hAnsi="Times New Roman"/>
          <w:sz w:val="22"/>
        </w:rPr>
        <w:t>propensity</w:t>
      </w:r>
      <w:r w:rsidRPr="003E5AF0">
        <w:rPr>
          <w:rFonts w:ascii="Times New Roman" w:hAnsi="Times New Roman"/>
          <w:sz w:val="22"/>
        </w:rPr>
        <w:t xml:space="preserve"> to determine which types of sample members should receive additional inducement to mitigate response bias; the cases with lowest response propensity </w:t>
      </w:r>
      <w:r>
        <w:rPr>
          <w:rFonts w:ascii="Times New Roman" w:hAnsi="Times New Roman"/>
          <w:sz w:val="22"/>
        </w:rPr>
        <w:t xml:space="preserve">and/or who are </w:t>
      </w:r>
      <w:r w:rsidR="00B30797">
        <w:rPr>
          <w:rFonts w:ascii="Times New Roman" w:hAnsi="Times New Roman"/>
          <w:sz w:val="22"/>
        </w:rPr>
        <w:t>in underperforming analytical domains</w:t>
      </w:r>
      <w:r>
        <w:rPr>
          <w:rFonts w:ascii="Times New Roman" w:hAnsi="Times New Roman"/>
          <w:sz w:val="22"/>
        </w:rPr>
        <w:t xml:space="preserve"> </w:t>
      </w:r>
      <w:r w:rsidRPr="003E5AF0">
        <w:rPr>
          <w:rFonts w:ascii="Times New Roman" w:hAnsi="Times New Roman"/>
          <w:sz w:val="22"/>
        </w:rPr>
        <w:t>will be selected for the incentive</w:t>
      </w:r>
      <w:r>
        <w:rPr>
          <w:rFonts w:ascii="Times New Roman" w:hAnsi="Times New Roman"/>
          <w:sz w:val="22"/>
        </w:rPr>
        <w:t xml:space="preserve"> provided they reside in the U.S</w:t>
      </w:r>
      <w:r w:rsidRPr="003E5AF0">
        <w:rPr>
          <w:rFonts w:ascii="Times New Roman" w:hAnsi="Times New Roman"/>
          <w:sz w:val="22"/>
        </w:rPr>
        <w:t>. The volume of late-stage nonresponse cases to be incentivized will be based on available funds.</w:t>
      </w:r>
    </w:p>
    <w:p w14:paraId="477E2A2D" w14:textId="77777777" w:rsidR="00046B7E" w:rsidRDefault="00046B7E" w:rsidP="00046B7E">
      <w:pPr>
        <w:pStyle w:val="Body"/>
        <w:spacing w:after="0"/>
        <w:rPr>
          <w:rFonts w:ascii="Times New Roman" w:hAnsi="Times New Roman"/>
          <w:sz w:val="22"/>
        </w:rPr>
      </w:pPr>
    </w:p>
    <w:p w14:paraId="4E24D88A" w14:textId="0551CBAB" w:rsidR="00046B7E" w:rsidRDefault="00046B7E" w:rsidP="00046B7E">
      <w:pPr>
        <w:pStyle w:val="Body"/>
        <w:spacing w:after="0"/>
        <w:rPr>
          <w:rFonts w:ascii="Times New Roman" w:hAnsi="Times New Roman"/>
          <w:sz w:val="22"/>
        </w:rPr>
      </w:pPr>
      <w:r w:rsidRPr="003E5AF0">
        <w:rPr>
          <w:rFonts w:ascii="Times New Roman" w:hAnsi="Times New Roman"/>
          <w:sz w:val="22"/>
        </w:rPr>
        <w:t>Also</w:t>
      </w:r>
      <w:r w:rsidR="00356D1E">
        <w:rPr>
          <w:rFonts w:ascii="Times New Roman" w:hAnsi="Times New Roman"/>
          <w:sz w:val="22"/>
        </w:rPr>
        <w:t>,</w:t>
      </w:r>
      <w:r w:rsidRPr="003E5AF0">
        <w:rPr>
          <w:rFonts w:ascii="Times New Roman" w:hAnsi="Times New Roman"/>
          <w:sz w:val="22"/>
        </w:rPr>
        <w:t xml:space="preserve"> during </w:t>
      </w:r>
      <w:r w:rsidR="002045ED">
        <w:rPr>
          <w:rFonts w:ascii="Times New Roman" w:hAnsi="Times New Roman"/>
          <w:sz w:val="22"/>
        </w:rPr>
        <w:t xml:space="preserve">the </w:t>
      </w:r>
      <w:r w:rsidRPr="003E5AF0">
        <w:rPr>
          <w:rFonts w:ascii="Times New Roman" w:hAnsi="Times New Roman"/>
          <w:sz w:val="22"/>
        </w:rPr>
        <w:t>late-stage</w:t>
      </w:r>
      <w:r w:rsidR="002045ED">
        <w:rPr>
          <w:rFonts w:ascii="Times New Roman" w:hAnsi="Times New Roman"/>
          <w:sz w:val="22"/>
        </w:rPr>
        <w:t xml:space="preserve"> data collection phase</w:t>
      </w:r>
      <w:r w:rsidRPr="003E5AF0">
        <w:rPr>
          <w:rFonts w:ascii="Times New Roman" w:hAnsi="Times New Roman"/>
          <w:sz w:val="22"/>
        </w:rPr>
        <w:t xml:space="preserve">, any </w:t>
      </w:r>
      <w:r w:rsidR="00CC10F2">
        <w:rPr>
          <w:rFonts w:ascii="Times New Roman" w:hAnsi="Times New Roman"/>
          <w:sz w:val="22"/>
        </w:rPr>
        <w:t xml:space="preserve">locatable </w:t>
      </w:r>
      <w:r w:rsidRPr="003E5AF0">
        <w:rPr>
          <w:rFonts w:ascii="Times New Roman" w:hAnsi="Times New Roman"/>
          <w:sz w:val="22"/>
        </w:rPr>
        <w:t xml:space="preserve">nonresponding sample members selected for any early incentive who were not previously sent their incentive due to locating problems or a lack of a mailing address, will be issued or </w:t>
      </w:r>
      <w:r w:rsidRPr="000F1E38">
        <w:rPr>
          <w:rFonts w:ascii="Times New Roman" w:hAnsi="Times New Roman"/>
          <w:sz w:val="22"/>
        </w:rPr>
        <w:t>reoffered the incentive at this time. Those nonrespondents who were successfully sent the incentive during the early phase will receive the non-incentivized late-stage treatment.</w:t>
      </w:r>
    </w:p>
    <w:p w14:paraId="24C5463E" w14:textId="3F248999" w:rsidR="003B5C79" w:rsidRDefault="003B5C79" w:rsidP="00046B7E">
      <w:pPr>
        <w:pStyle w:val="Body"/>
        <w:spacing w:after="0"/>
        <w:rPr>
          <w:rFonts w:ascii="Times New Roman" w:hAnsi="Times New Roman"/>
          <w:sz w:val="22"/>
        </w:rPr>
      </w:pPr>
    </w:p>
    <w:p w14:paraId="6AF63679" w14:textId="2489094D" w:rsidR="003B5C79" w:rsidRDefault="003B5C79" w:rsidP="003B5C79">
      <w:pPr>
        <w:rPr>
          <w:sz w:val="22"/>
          <w:szCs w:val="22"/>
        </w:rPr>
      </w:pPr>
      <w:r>
        <w:rPr>
          <w:sz w:val="22"/>
          <w:szCs w:val="22"/>
        </w:rPr>
        <w:t>Based on this monetary incentive plan which includes early and late-stage incentives, the incentive will be offered to approximatel</w:t>
      </w:r>
      <w:r w:rsidRPr="007362B2">
        <w:rPr>
          <w:sz w:val="22"/>
          <w:szCs w:val="22"/>
        </w:rPr>
        <w:t xml:space="preserve">y </w:t>
      </w:r>
      <w:r w:rsidRPr="0093786D">
        <w:rPr>
          <w:sz w:val="22"/>
          <w:szCs w:val="22"/>
        </w:rPr>
        <w:t>25,000</w:t>
      </w:r>
      <w:r w:rsidRPr="007362B2">
        <w:rPr>
          <w:sz w:val="22"/>
          <w:szCs w:val="22"/>
        </w:rPr>
        <w:t xml:space="preserve"> sample members to include an estimated </w:t>
      </w:r>
      <w:r w:rsidRPr="0093786D">
        <w:rPr>
          <w:sz w:val="22"/>
          <w:szCs w:val="22"/>
        </w:rPr>
        <w:t xml:space="preserve">17,500 from the </w:t>
      </w:r>
      <w:r w:rsidR="005014F6">
        <w:rPr>
          <w:sz w:val="22"/>
          <w:szCs w:val="22"/>
        </w:rPr>
        <w:t xml:space="preserve">returning </w:t>
      </w:r>
      <w:r w:rsidRPr="0093786D">
        <w:rPr>
          <w:sz w:val="22"/>
          <w:szCs w:val="22"/>
        </w:rPr>
        <w:t>panel and supplemental samples</w:t>
      </w:r>
      <w:r w:rsidRPr="007362B2">
        <w:rPr>
          <w:sz w:val="22"/>
          <w:szCs w:val="22"/>
        </w:rPr>
        <w:t xml:space="preserve"> and </w:t>
      </w:r>
      <w:r w:rsidRPr="0093786D">
        <w:rPr>
          <w:sz w:val="22"/>
          <w:szCs w:val="22"/>
        </w:rPr>
        <w:t>7,500 from the</w:t>
      </w:r>
      <w:r w:rsidRPr="007362B2">
        <w:rPr>
          <w:sz w:val="22"/>
          <w:szCs w:val="22"/>
        </w:rPr>
        <w:t xml:space="preserve"> new</w:t>
      </w:r>
      <w:r>
        <w:rPr>
          <w:sz w:val="22"/>
          <w:szCs w:val="22"/>
        </w:rPr>
        <w:t xml:space="preserve"> cohort sample. All SDR incentive experiments have consistently shown that most incentivized sample members do not cash their prepaid incentive </w:t>
      </w:r>
      <w:r w:rsidR="00504FC5">
        <w:rPr>
          <w:sz w:val="22"/>
          <w:szCs w:val="22"/>
        </w:rPr>
        <w:t>check yet</w:t>
      </w:r>
      <w:r>
        <w:rPr>
          <w:sz w:val="22"/>
          <w:szCs w:val="22"/>
        </w:rPr>
        <w:t xml:space="preserve"> do participate in the survey. For example, in the </w:t>
      </w:r>
      <w:r w:rsidRPr="0093786D">
        <w:rPr>
          <w:sz w:val="22"/>
          <w:szCs w:val="22"/>
        </w:rPr>
        <w:t>2017</w:t>
      </w:r>
      <w:r w:rsidRPr="007362B2">
        <w:rPr>
          <w:sz w:val="22"/>
          <w:szCs w:val="22"/>
        </w:rPr>
        <w:t xml:space="preserve"> SDR, </w:t>
      </w:r>
      <w:r w:rsidRPr="0093786D">
        <w:rPr>
          <w:sz w:val="22"/>
          <w:szCs w:val="22"/>
        </w:rPr>
        <w:t>24,085</w:t>
      </w:r>
      <w:r w:rsidRPr="007362B2">
        <w:rPr>
          <w:sz w:val="22"/>
          <w:szCs w:val="22"/>
        </w:rPr>
        <w:t xml:space="preserve"> sample members were offered the incentive. Of these individuals, only </w:t>
      </w:r>
      <w:r w:rsidRPr="0093786D">
        <w:rPr>
          <w:sz w:val="22"/>
          <w:szCs w:val="22"/>
        </w:rPr>
        <w:t>10,078</w:t>
      </w:r>
      <w:r w:rsidRPr="007362B2">
        <w:rPr>
          <w:sz w:val="22"/>
          <w:szCs w:val="22"/>
        </w:rPr>
        <w:t xml:space="preserve"> cashed the incentive check (</w:t>
      </w:r>
      <w:r w:rsidRPr="0093786D">
        <w:rPr>
          <w:sz w:val="22"/>
          <w:szCs w:val="22"/>
        </w:rPr>
        <w:t>41.8</w:t>
      </w:r>
      <w:r w:rsidRPr="007362B2">
        <w:rPr>
          <w:sz w:val="22"/>
          <w:szCs w:val="22"/>
        </w:rPr>
        <w:t xml:space="preserve">%) and yet </w:t>
      </w:r>
      <w:r w:rsidRPr="0093786D">
        <w:rPr>
          <w:sz w:val="22"/>
          <w:szCs w:val="22"/>
        </w:rPr>
        <w:t>15,114</w:t>
      </w:r>
      <w:r w:rsidRPr="007362B2">
        <w:rPr>
          <w:sz w:val="22"/>
          <w:szCs w:val="22"/>
        </w:rPr>
        <w:t xml:space="preserve"> completed the survey (</w:t>
      </w:r>
      <w:r w:rsidRPr="0093786D">
        <w:rPr>
          <w:sz w:val="22"/>
          <w:szCs w:val="22"/>
        </w:rPr>
        <w:t>62.8</w:t>
      </w:r>
      <w:r w:rsidRPr="007362B2">
        <w:rPr>
          <w:sz w:val="22"/>
          <w:szCs w:val="22"/>
        </w:rPr>
        <w:t xml:space="preserve">%). Therefore, although the incentive to be offered to the approximately </w:t>
      </w:r>
      <w:r w:rsidRPr="0093786D">
        <w:rPr>
          <w:sz w:val="22"/>
          <w:szCs w:val="22"/>
        </w:rPr>
        <w:t>25,000</w:t>
      </w:r>
      <w:r w:rsidRPr="007362B2">
        <w:rPr>
          <w:sz w:val="22"/>
          <w:szCs w:val="22"/>
        </w:rPr>
        <w:t xml:space="preserve"> sample members in the 2019 SDR will have a total incentive amount of </w:t>
      </w:r>
      <w:r w:rsidRPr="0093786D">
        <w:rPr>
          <w:sz w:val="22"/>
          <w:szCs w:val="22"/>
        </w:rPr>
        <w:t>$750,000</w:t>
      </w:r>
      <w:r w:rsidRPr="007362B2">
        <w:rPr>
          <w:sz w:val="22"/>
          <w:szCs w:val="22"/>
        </w:rPr>
        <w:t xml:space="preserve">, the actual value of the cashed incentives is expected to total </w:t>
      </w:r>
      <w:r w:rsidRPr="0093786D">
        <w:rPr>
          <w:sz w:val="22"/>
          <w:szCs w:val="22"/>
        </w:rPr>
        <w:t>$</w:t>
      </w:r>
      <w:r w:rsidR="009D2D0E">
        <w:rPr>
          <w:sz w:val="22"/>
          <w:szCs w:val="22"/>
        </w:rPr>
        <w:t>315,00</w:t>
      </w:r>
      <w:r w:rsidRPr="0093786D">
        <w:rPr>
          <w:sz w:val="22"/>
          <w:szCs w:val="22"/>
        </w:rPr>
        <w:t>0</w:t>
      </w:r>
      <w:r w:rsidRPr="007362B2">
        <w:rPr>
          <w:sz w:val="22"/>
          <w:szCs w:val="22"/>
        </w:rPr>
        <w:t>.</w:t>
      </w:r>
      <w:r>
        <w:rPr>
          <w:sz w:val="22"/>
          <w:szCs w:val="22"/>
        </w:rPr>
        <w:t xml:space="preserve"> </w:t>
      </w:r>
    </w:p>
    <w:p w14:paraId="492CE37B" w14:textId="77777777" w:rsidR="00046B7E" w:rsidRPr="00F75952" w:rsidRDefault="00046B7E" w:rsidP="000A00F6">
      <w:pPr>
        <w:pStyle w:val="Heading2"/>
        <w:spacing w:before="280" w:after="280"/>
        <w:ind w:left="547" w:hanging="547"/>
      </w:pPr>
      <w:bookmarkStart w:id="13" w:name="_Toc475701071"/>
      <w:r w:rsidRPr="00060181">
        <w:rPr>
          <w:i w:val="0"/>
        </w:rPr>
        <w:t>4.</w:t>
      </w:r>
      <w:r w:rsidRPr="00060181">
        <w:rPr>
          <w:i w:val="0"/>
        </w:rPr>
        <w:tab/>
        <w:t>TESTING OF PROCEDURES</w:t>
      </w:r>
      <w:bookmarkEnd w:id="11"/>
      <w:bookmarkEnd w:id="13"/>
    </w:p>
    <w:p w14:paraId="5A1FB255" w14:textId="6F8EA43E" w:rsidR="00046B7E" w:rsidRPr="00421D36" w:rsidRDefault="00400787" w:rsidP="00046B7E">
      <w:pPr>
        <w:pStyle w:val="BodyText"/>
        <w:rPr>
          <w:sz w:val="22"/>
          <w:szCs w:val="22"/>
        </w:rPr>
      </w:pPr>
      <w:r>
        <w:rPr>
          <w:sz w:val="22"/>
          <w:szCs w:val="22"/>
        </w:rPr>
        <w:t xml:space="preserve">The </w:t>
      </w:r>
      <w:r w:rsidR="00046B7E">
        <w:rPr>
          <w:sz w:val="22"/>
          <w:szCs w:val="22"/>
        </w:rPr>
        <w:t>SDR and NSCG</w:t>
      </w:r>
      <w:r w:rsidR="00046B7E" w:rsidRPr="00421D36">
        <w:rPr>
          <w:sz w:val="22"/>
          <w:szCs w:val="22"/>
        </w:rPr>
        <w:t xml:space="preserve"> are </w:t>
      </w:r>
      <w:r>
        <w:rPr>
          <w:sz w:val="22"/>
          <w:szCs w:val="22"/>
        </w:rPr>
        <w:t>complimentary workforce surveys</w:t>
      </w:r>
      <w:r w:rsidR="00CC10F2">
        <w:rPr>
          <w:sz w:val="22"/>
          <w:szCs w:val="22"/>
        </w:rPr>
        <w:t>. Therefore,</w:t>
      </w:r>
      <w:r w:rsidR="00046B7E">
        <w:rPr>
          <w:sz w:val="22"/>
          <w:szCs w:val="22"/>
        </w:rPr>
        <w:t xml:space="preserve"> </w:t>
      </w:r>
      <w:r w:rsidR="00046B7E" w:rsidRPr="00421D36">
        <w:rPr>
          <w:sz w:val="22"/>
          <w:szCs w:val="22"/>
        </w:rPr>
        <w:t xml:space="preserve">the two surveys must be closely coordinated to provide comparable data. </w:t>
      </w:r>
      <w:r w:rsidR="00046B7E">
        <w:rPr>
          <w:sz w:val="22"/>
          <w:szCs w:val="22"/>
        </w:rPr>
        <w:t>Many of the</w:t>
      </w:r>
      <w:r w:rsidR="00046B7E" w:rsidRPr="00421D36">
        <w:rPr>
          <w:sz w:val="22"/>
          <w:szCs w:val="22"/>
        </w:rPr>
        <w:t xml:space="preserve"> questionnaire items in the two surveys are the same</w:t>
      </w:r>
      <w:r>
        <w:rPr>
          <w:sz w:val="22"/>
          <w:szCs w:val="22"/>
        </w:rPr>
        <w:t xml:space="preserve"> including the reference date of 1 February 2019</w:t>
      </w:r>
      <w:r w:rsidR="00046B7E" w:rsidRPr="00421D36">
        <w:rPr>
          <w:sz w:val="22"/>
          <w:szCs w:val="22"/>
        </w:rPr>
        <w:t>.</w:t>
      </w:r>
    </w:p>
    <w:p w14:paraId="0D09601E" w14:textId="77777777" w:rsidR="00046B7E" w:rsidRPr="00421D36" w:rsidRDefault="00046B7E" w:rsidP="00046B7E">
      <w:pPr>
        <w:pStyle w:val="BodyText"/>
        <w:rPr>
          <w:sz w:val="22"/>
          <w:szCs w:val="22"/>
        </w:rPr>
      </w:pPr>
    </w:p>
    <w:p w14:paraId="3BB90E54" w14:textId="608CB80A" w:rsidR="00046B7E" w:rsidRDefault="00046B7E" w:rsidP="00046B7E">
      <w:pPr>
        <w:pStyle w:val="BodyText"/>
        <w:rPr>
          <w:sz w:val="22"/>
          <w:szCs w:val="22"/>
        </w:rPr>
      </w:pPr>
      <w:r w:rsidRPr="00421D36">
        <w:rPr>
          <w:sz w:val="22"/>
          <w:szCs w:val="22"/>
        </w:rPr>
        <w:t xml:space="preserve">The </w:t>
      </w:r>
      <w:r w:rsidR="00400787">
        <w:rPr>
          <w:sz w:val="22"/>
          <w:szCs w:val="22"/>
        </w:rPr>
        <w:t xml:space="preserve">complimentary </w:t>
      </w:r>
      <w:r w:rsidRPr="00421D36">
        <w:rPr>
          <w:sz w:val="22"/>
          <w:szCs w:val="22"/>
        </w:rPr>
        <w:t xml:space="preserve">survey questionnaire items are divided into two types of questions: core and module. Core questions are defined as those considered to be the base for the </w:t>
      </w:r>
      <w:r>
        <w:rPr>
          <w:sz w:val="22"/>
          <w:szCs w:val="22"/>
        </w:rPr>
        <w:t xml:space="preserve">SDR </w:t>
      </w:r>
      <w:r w:rsidR="00400787">
        <w:rPr>
          <w:sz w:val="22"/>
          <w:szCs w:val="22"/>
        </w:rPr>
        <w:t>and</w:t>
      </w:r>
      <w:r>
        <w:rPr>
          <w:sz w:val="22"/>
          <w:szCs w:val="22"/>
        </w:rPr>
        <w:t xml:space="preserve"> NSCG</w:t>
      </w:r>
      <w:r w:rsidRPr="00421D36">
        <w:rPr>
          <w:sz w:val="22"/>
          <w:szCs w:val="22"/>
        </w:rPr>
        <w:t xml:space="preserve"> surveys. These items are essential for sampling, respondent verification, basic labor force information, or analyses of the science and engineering workforce </w:t>
      </w:r>
      <w:r w:rsidR="00400787">
        <w:rPr>
          <w:sz w:val="22"/>
          <w:szCs w:val="22"/>
        </w:rPr>
        <w:t xml:space="preserve">using </w:t>
      </w:r>
      <w:r>
        <w:rPr>
          <w:sz w:val="22"/>
          <w:szCs w:val="22"/>
        </w:rPr>
        <w:t xml:space="preserve">NCSES </w:t>
      </w:r>
      <w:r w:rsidRPr="00421D36">
        <w:rPr>
          <w:sz w:val="22"/>
          <w:szCs w:val="22"/>
        </w:rPr>
        <w:t xml:space="preserve">data. </w:t>
      </w:r>
      <w:r>
        <w:rPr>
          <w:sz w:val="22"/>
          <w:szCs w:val="22"/>
        </w:rPr>
        <w:t>SDR and NSCG</w:t>
      </w:r>
      <w:r w:rsidRPr="00421D36">
        <w:rPr>
          <w:sz w:val="22"/>
          <w:szCs w:val="22"/>
        </w:rPr>
        <w:t xml:space="preserve"> surveys ask core</w:t>
      </w:r>
      <w:r w:rsidR="009D0F0C">
        <w:rPr>
          <w:sz w:val="22"/>
          <w:szCs w:val="22"/>
        </w:rPr>
        <w:t xml:space="preserve"> q</w:t>
      </w:r>
      <w:r w:rsidRPr="00421D36">
        <w:rPr>
          <w:sz w:val="22"/>
          <w:szCs w:val="22"/>
        </w:rPr>
        <w:t xml:space="preserve">uestions </w:t>
      </w:r>
      <w:r>
        <w:rPr>
          <w:sz w:val="22"/>
          <w:szCs w:val="22"/>
        </w:rPr>
        <w:t>of</w:t>
      </w:r>
      <w:r w:rsidRPr="00421D36">
        <w:rPr>
          <w:sz w:val="22"/>
          <w:szCs w:val="22"/>
        </w:rPr>
        <w:t xml:space="preserve"> all respondents each time they are surveyed to establish the baseline data and to update the respondents’ labor force status, changes in employment</w:t>
      </w:r>
      <w:r>
        <w:rPr>
          <w:sz w:val="22"/>
          <w:szCs w:val="22"/>
        </w:rPr>
        <w:t>,</w:t>
      </w:r>
      <w:r w:rsidRPr="00421D36">
        <w:rPr>
          <w:sz w:val="22"/>
          <w:szCs w:val="22"/>
        </w:rPr>
        <w:t xml:space="preserve"> and other characteristics. Module items are special topics that are asked less frequently on a rotational basis. Module items provide the data needed to satisfy specific policy</w:t>
      </w:r>
      <w:r>
        <w:rPr>
          <w:sz w:val="22"/>
          <w:szCs w:val="22"/>
        </w:rPr>
        <w:t xml:space="preserve"> or</w:t>
      </w:r>
      <w:r w:rsidRPr="00421D36">
        <w:rPr>
          <w:sz w:val="22"/>
          <w:szCs w:val="22"/>
        </w:rPr>
        <w:t xml:space="preserve"> research needs.</w:t>
      </w:r>
    </w:p>
    <w:p w14:paraId="45678588" w14:textId="77777777" w:rsidR="00046B7E" w:rsidRDefault="00046B7E" w:rsidP="00046B7E">
      <w:pPr>
        <w:pStyle w:val="BodyText"/>
        <w:rPr>
          <w:sz w:val="22"/>
          <w:szCs w:val="22"/>
        </w:rPr>
      </w:pPr>
    </w:p>
    <w:p w14:paraId="0A2CAC88" w14:textId="709DF749" w:rsidR="00046B7E" w:rsidRPr="00734242" w:rsidRDefault="00400787" w:rsidP="00046B7E">
      <w:pPr>
        <w:pStyle w:val="BodyText"/>
        <w:rPr>
          <w:sz w:val="22"/>
          <w:szCs w:val="22"/>
        </w:rPr>
      </w:pPr>
      <w:r>
        <w:rPr>
          <w:sz w:val="22"/>
          <w:szCs w:val="22"/>
        </w:rPr>
        <w:t xml:space="preserve">As in the </w:t>
      </w:r>
      <w:r w:rsidR="00046B7E" w:rsidRPr="000A68AC">
        <w:rPr>
          <w:sz w:val="22"/>
          <w:szCs w:val="22"/>
        </w:rPr>
        <w:t>2017</w:t>
      </w:r>
      <w:r>
        <w:rPr>
          <w:sz w:val="22"/>
          <w:szCs w:val="22"/>
        </w:rPr>
        <w:t xml:space="preserve"> SDR</w:t>
      </w:r>
      <w:r w:rsidR="00046B7E" w:rsidRPr="007806F0">
        <w:rPr>
          <w:sz w:val="22"/>
          <w:szCs w:val="22"/>
        </w:rPr>
        <w:t xml:space="preserve">, there will be </w:t>
      </w:r>
      <w:r w:rsidR="00CC10F2">
        <w:rPr>
          <w:sz w:val="22"/>
          <w:szCs w:val="22"/>
        </w:rPr>
        <w:t>only</w:t>
      </w:r>
      <w:r w:rsidR="00046B7E" w:rsidRPr="007806F0">
        <w:rPr>
          <w:sz w:val="22"/>
          <w:szCs w:val="22"/>
        </w:rPr>
        <w:t xml:space="preserve"> one</w:t>
      </w:r>
      <w:r w:rsidR="00046B7E" w:rsidRPr="000A68AC">
        <w:rPr>
          <w:sz w:val="22"/>
          <w:szCs w:val="22"/>
        </w:rPr>
        <w:t xml:space="preserve"> </w:t>
      </w:r>
      <w:r>
        <w:rPr>
          <w:sz w:val="22"/>
          <w:szCs w:val="22"/>
        </w:rPr>
        <w:t xml:space="preserve">2019 </w:t>
      </w:r>
      <w:r w:rsidR="00046B7E" w:rsidRPr="000A68AC">
        <w:rPr>
          <w:sz w:val="22"/>
          <w:szCs w:val="22"/>
        </w:rPr>
        <w:t xml:space="preserve">SDR questionnaire </w:t>
      </w:r>
      <w:r w:rsidR="00046B7E" w:rsidRPr="007806F0">
        <w:rPr>
          <w:sz w:val="22"/>
          <w:szCs w:val="22"/>
        </w:rPr>
        <w:t>for all sample members, regardless of their current location (in the U.S. versus out of the U.S.). The 201</w:t>
      </w:r>
      <w:r>
        <w:rPr>
          <w:sz w:val="22"/>
          <w:szCs w:val="22"/>
        </w:rPr>
        <w:t>9</w:t>
      </w:r>
      <w:r w:rsidR="00046B7E" w:rsidRPr="007806F0">
        <w:rPr>
          <w:sz w:val="22"/>
          <w:szCs w:val="22"/>
        </w:rPr>
        <w:t xml:space="preserve"> questionnaire contains n</w:t>
      </w:r>
      <w:r w:rsidR="00046B7E" w:rsidRPr="000A68AC">
        <w:rPr>
          <w:sz w:val="22"/>
          <w:szCs w:val="22"/>
        </w:rPr>
        <w:t>o new survey question content compared to the 201</w:t>
      </w:r>
      <w:r>
        <w:rPr>
          <w:sz w:val="22"/>
          <w:szCs w:val="22"/>
        </w:rPr>
        <w:t>7</w:t>
      </w:r>
      <w:r w:rsidR="00046B7E" w:rsidRPr="000A68AC">
        <w:rPr>
          <w:sz w:val="22"/>
          <w:szCs w:val="22"/>
        </w:rPr>
        <w:t xml:space="preserve"> version of the questionnaire</w:t>
      </w:r>
      <w:r>
        <w:rPr>
          <w:sz w:val="22"/>
          <w:szCs w:val="22"/>
        </w:rPr>
        <w:t>.</w:t>
      </w:r>
    </w:p>
    <w:p w14:paraId="28DE5AEF" w14:textId="57819E39" w:rsidR="00046B7E" w:rsidRPr="00421D36" w:rsidRDefault="00046B7E" w:rsidP="00046B7E">
      <w:pPr>
        <w:pStyle w:val="BodyText"/>
        <w:rPr>
          <w:sz w:val="22"/>
          <w:szCs w:val="22"/>
        </w:rPr>
      </w:pPr>
    </w:p>
    <w:p w14:paraId="75534B47" w14:textId="77777777" w:rsidR="00046B7E" w:rsidRPr="007806F0" w:rsidRDefault="00046B7E" w:rsidP="00046B7E">
      <w:pPr>
        <w:pStyle w:val="Heading3"/>
        <w:rPr>
          <w:i w:val="0"/>
          <w:sz w:val="24"/>
        </w:rPr>
      </w:pPr>
      <w:bookmarkStart w:id="14" w:name="_Toc410981799"/>
      <w:r w:rsidRPr="007806F0">
        <w:rPr>
          <w:i w:val="0"/>
          <w:sz w:val="24"/>
        </w:rPr>
        <w:t>4</w:t>
      </w:r>
      <w:r w:rsidRPr="007806F0">
        <w:rPr>
          <w:i w:val="0"/>
          <w:sz w:val="24"/>
          <w:lang w:val="x-none"/>
        </w:rPr>
        <w:t>.</w:t>
      </w:r>
      <w:r w:rsidRPr="007806F0">
        <w:rPr>
          <w:i w:val="0"/>
          <w:sz w:val="24"/>
        </w:rPr>
        <w:t>1 Survey Contact Materials</w:t>
      </w:r>
      <w:bookmarkEnd w:id="14"/>
    </w:p>
    <w:p w14:paraId="177BD570" w14:textId="77249A43" w:rsidR="00046B7E" w:rsidRPr="00421D36" w:rsidRDefault="00046B7E" w:rsidP="00046B7E">
      <w:pPr>
        <w:pStyle w:val="BodyText"/>
        <w:rPr>
          <w:sz w:val="22"/>
          <w:szCs w:val="22"/>
        </w:rPr>
      </w:pPr>
      <w:r w:rsidRPr="00421D36">
        <w:rPr>
          <w:sz w:val="22"/>
          <w:szCs w:val="22"/>
        </w:rPr>
        <w:t xml:space="preserve">Survey contact materials will be tailored to fit sample </w:t>
      </w:r>
      <w:r w:rsidR="000450CF" w:rsidRPr="00421D36">
        <w:rPr>
          <w:sz w:val="22"/>
          <w:szCs w:val="22"/>
        </w:rPr>
        <w:t>member’s</w:t>
      </w:r>
      <w:r w:rsidRPr="00421D36">
        <w:rPr>
          <w:sz w:val="22"/>
          <w:szCs w:val="22"/>
        </w:rPr>
        <w:t xml:space="preserve"> information and to gain their cooperation. Contact materials that request sample </w:t>
      </w:r>
      <w:r w:rsidRPr="007806F0">
        <w:rPr>
          <w:sz w:val="22"/>
          <w:szCs w:val="22"/>
        </w:rPr>
        <w:t>member participation via the web survey will include access to the survey online. As has been done since 2003 SDR, the 201</w:t>
      </w:r>
      <w:r w:rsidR="00400787">
        <w:rPr>
          <w:sz w:val="22"/>
          <w:szCs w:val="22"/>
        </w:rPr>
        <w:t>9</w:t>
      </w:r>
      <w:r w:rsidRPr="007806F0">
        <w:rPr>
          <w:sz w:val="22"/>
          <w:szCs w:val="22"/>
        </w:rPr>
        <w:t xml:space="preserve"> SDR letterhead</w:t>
      </w:r>
      <w:r w:rsidRPr="00421D36">
        <w:rPr>
          <w:sz w:val="22"/>
          <w:szCs w:val="22"/>
        </w:rPr>
        <w:t xml:space="preserve"> stationery </w:t>
      </w:r>
      <w:r>
        <w:rPr>
          <w:sz w:val="22"/>
          <w:szCs w:val="22"/>
        </w:rPr>
        <w:t xml:space="preserve">will </w:t>
      </w:r>
      <w:r w:rsidRPr="00421D36">
        <w:rPr>
          <w:sz w:val="22"/>
          <w:szCs w:val="22"/>
        </w:rPr>
        <w:t>include project and NSF</w:t>
      </w:r>
      <w:r w:rsidR="00E720B3">
        <w:rPr>
          <w:sz w:val="22"/>
          <w:szCs w:val="22"/>
        </w:rPr>
        <w:t>/NCSES</w:t>
      </w:r>
      <w:r w:rsidRPr="00421D36">
        <w:rPr>
          <w:sz w:val="22"/>
          <w:szCs w:val="22"/>
        </w:rPr>
        <w:t xml:space="preserve"> website information</w:t>
      </w:r>
      <w:r>
        <w:rPr>
          <w:sz w:val="22"/>
          <w:szCs w:val="22"/>
        </w:rPr>
        <w:t>,</w:t>
      </w:r>
      <w:r w:rsidRPr="00421D36">
        <w:rPr>
          <w:sz w:val="22"/>
          <w:szCs w:val="22"/>
        </w:rPr>
        <w:t xml:space="preserve"> and the </w:t>
      </w:r>
      <w:r>
        <w:rPr>
          <w:sz w:val="22"/>
          <w:szCs w:val="22"/>
        </w:rPr>
        <w:t xml:space="preserve">data collection </w:t>
      </w:r>
      <w:r w:rsidRPr="00421D36">
        <w:rPr>
          <w:sz w:val="22"/>
          <w:szCs w:val="22"/>
        </w:rPr>
        <w:t xml:space="preserve">contractor’s project toll-free telephone line, USPS and email addresses. </w:t>
      </w:r>
      <w:r>
        <w:rPr>
          <w:sz w:val="22"/>
          <w:szCs w:val="22"/>
        </w:rPr>
        <w:t>S</w:t>
      </w:r>
      <w:r w:rsidRPr="00421D36">
        <w:rPr>
          <w:sz w:val="22"/>
          <w:szCs w:val="22"/>
        </w:rPr>
        <w:t>tationery will contain a watermark that shows the survey’s established logo as part of an effort to brand the communication to sample members for ease of recognition.</w:t>
      </w:r>
      <w:r w:rsidR="00D0276C">
        <w:rPr>
          <w:sz w:val="22"/>
          <w:szCs w:val="22"/>
        </w:rPr>
        <w:t xml:space="preserve"> The back of the stationery will display the basic elements of informed consent.</w:t>
      </w:r>
    </w:p>
    <w:p w14:paraId="04B7D9DF" w14:textId="77777777" w:rsidR="00046B7E" w:rsidRPr="00421D36" w:rsidRDefault="00046B7E" w:rsidP="00046B7E">
      <w:pPr>
        <w:pStyle w:val="BodyText"/>
        <w:rPr>
          <w:sz w:val="22"/>
          <w:szCs w:val="22"/>
        </w:rPr>
      </w:pPr>
    </w:p>
    <w:p w14:paraId="1C2DEB9F" w14:textId="77777777" w:rsidR="00046B7E" w:rsidRPr="007806F0" w:rsidRDefault="00046B7E" w:rsidP="00046B7E">
      <w:pPr>
        <w:pStyle w:val="Heading3"/>
        <w:rPr>
          <w:i w:val="0"/>
          <w:sz w:val="24"/>
        </w:rPr>
      </w:pPr>
      <w:bookmarkStart w:id="15" w:name="_Toc410981800"/>
      <w:r w:rsidRPr="007806F0">
        <w:rPr>
          <w:i w:val="0"/>
          <w:sz w:val="24"/>
        </w:rPr>
        <w:t>4</w:t>
      </w:r>
      <w:r w:rsidRPr="007806F0">
        <w:rPr>
          <w:i w:val="0"/>
          <w:sz w:val="24"/>
          <w:lang w:val="x-none"/>
        </w:rPr>
        <w:t>.</w:t>
      </w:r>
      <w:r w:rsidRPr="007806F0">
        <w:rPr>
          <w:i w:val="0"/>
          <w:sz w:val="24"/>
        </w:rPr>
        <w:t>2 Questionnaire Layout</w:t>
      </w:r>
      <w:bookmarkEnd w:id="15"/>
    </w:p>
    <w:p w14:paraId="28B501AA" w14:textId="0DF518A5" w:rsidR="00046B7E" w:rsidRPr="00D0276C" w:rsidRDefault="00400787" w:rsidP="00046B7E">
      <w:pPr>
        <w:rPr>
          <w:sz w:val="22"/>
          <w:szCs w:val="22"/>
        </w:rPr>
      </w:pPr>
      <w:r>
        <w:rPr>
          <w:sz w:val="22"/>
          <w:szCs w:val="22"/>
        </w:rPr>
        <w:t>T</w:t>
      </w:r>
      <w:r w:rsidR="00046B7E" w:rsidRPr="007806F0">
        <w:rPr>
          <w:sz w:val="22"/>
          <w:szCs w:val="22"/>
        </w:rPr>
        <w:t xml:space="preserve">here are no changes </w:t>
      </w:r>
      <w:r>
        <w:rPr>
          <w:sz w:val="22"/>
          <w:szCs w:val="22"/>
        </w:rPr>
        <w:t xml:space="preserve">from the 2017 SDR questionnaire </w:t>
      </w:r>
      <w:r w:rsidR="00046B7E" w:rsidRPr="007806F0">
        <w:rPr>
          <w:sz w:val="22"/>
          <w:szCs w:val="22"/>
        </w:rPr>
        <w:t xml:space="preserve">for </w:t>
      </w:r>
      <w:r w:rsidR="009D2D0E">
        <w:rPr>
          <w:sz w:val="22"/>
          <w:szCs w:val="22"/>
        </w:rPr>
        <w:t xml:space="preserve">the </w:t>
      </w:r>
      <w:r w:rsidR="00046B7E" w:rsidRPr="007806F0">
        <w:rPr>
          <w:sz w:val="22"/>
          <w:szCs w:val="22"/>
        </w:rPr>
        <w:t>201</w:t>
      </w:r>
      <w:r>
        <w:rPr>
          <w:sz w:val="22"/>
          <w:szCs w:val="22"/>
        </w:rPr>
        <w:t>9 survey</w:t>
      </w:r>
      <w:r w:rsidR="00046B7E" w:rsidRPr="007806F0">
        <w:rPr>
          <w:sz w:val="22"/>
          <w:szCs w:val="22"/>
        </w:rPr>
        <w:t xml:space="preserve">. </w:t>
      </w:r>
      <w:r w:rsidR="00046B7E" w:rsidRPr="007806F0">
        <w:t xml:space="preserve">Through </w:t>
      </w:r>
      <w:r w:rsidR="00046B7E" w:rsidRPr="00D0276C">
        <w:rPr>
          <w:sz w:val="22"/>
          <w:szCs w:val="22"/>
        </w:rPr>
        <w:t xml:space="preserve">the Human Resources Experts Panel (section A.8), cognitive research and testing, </w:t>
      </w:r>
      <w:r w:rsidR="00375A55">
        <w:rPr>
          <w:sz w:val="22"/>
          <w:szCs w:val="22"/>
        </w:rPr>
        <w:t xml:space="preserve">and other community interest, </w:t>
      </w:r>
      <w:r w:rsidR="00046B7E" w:rsidRPr="00D0276C">
        <w:rPr>
          <w:sz w:val="22"/>
          <w:szCs w:val="22"/>
        </w:rPr>
        <w:t>NCSES continues to review</w:t>
      </w:r>
      <w:r w:rsidR="00375A55">
        <w:rPr>
          <w:sz w:val="22"/>
          <w:szCs w:val="22"/>
        </w:rPr>
        <w:t xml:space="preserve"> and</w:t>
      </w:r>
      <w:r w:rsidR="00046B7E" w:rsidRPr="00D0276C">
        <w:rPr>
          <w:sz w:val="22"/>
          <w:szCs w:val="22"/>
        </w:rPr>
        <w:t xml:space="preserve"> revise the content of its survey instruments. NCSES will review the data after the 201</w:t>
      </w:r>
      <w:r>
        <w:rPr>
          <w:sz w:val="22"/>
          <w:szCs w:val="22"/>
        </w:rPr>
        <w:t>9</w:t>
      </w:r>
      <w:r w:rsidR="00046B7E" w:rsidRPr="00D0276C">
        <w:rPr>
          <w:sz w:val="22"/>
          <w:szCs w:val="22"/>
        </w:rPr>
        <w:t xml:space="preserve"> </w:t>
      </w:r>
      <w:r w:rsidR="00DB6255" w:rsidRPr="00D0276C">
        <w:rPr>
          <w:sz w:val="22"/>
          <w:szCs w:val="22"/>
        </w:rPr>
        <w:t>round and</w:t>
      </w:r>
      <w:r w:rsidR="00046B7E" w:rsidRPr="00D0276C">
        <w:rPr>
          <w:sz w:val="22"/>
          <w:szCs w:val="22"/>
        </w:rPr>
        <w:t xml:space="preserve"> will propose and test changes for the 20</w:t>
      </w:r>
      <w:r>
        <w:rPr>
          <w:sz w:val="22"/>
          <w:szCs w:val="22"/>
        </w:rPr>
        <w:t>21</w:t>
      </w:r>
      <w:r w:rsidR="00046B7E" w:rsidRPr="00D0276C">
        <w:rPr>
          <w:sz w:val="22"/>
          <w:szCs w:val="22"/>
        </w:rPr>
        <w:t xml:space="preserve"> questionnaire.</w:t>
      </w:r>
    </w:p>
    <w:p w14:paraId="53EEB266" w14:textId="35429310" w:rsidR="006322EF" w:rsidRDefault="006322EF">
      <w:pPr>
        <w:rPr>
          <w:b/>
        </w:rPr>
      </w:pPr>
      <w:bookmarkStart w:id="16" w:name="_Toc410981801"/>
    </w:p>
    <w:p w14:paraId="7B06BFBF" w14:textId="2F90753F" w:rsidR="00046B7E" w:rsidRPr="007806F0" w:rsidRDefault="00046B7E" w:rsidP="00046B7E">
      <w:pPr>
        <w:pStyle w:val="Heading3"/>
        <w:rPr>
          <w:i w:val="0"/>
          <w:sz w:val="24"/>
        </w:rPr>
      </w:pPr>
      <w:r w:rsidRPr="007806F0">
        <w:rPr>
          <w:i w:val="0"/>
          <w:sz w:val="24"/>
        </w:rPr>
        <w:t>4</w:t>
      </w:r>
      <w:r w:rsidRPr="007806F0">
        <w:rPr>
          <w:i w:val="0"/>
          <w:sz w:val="24"/>
          <w:lang w:val="x-none"/>
        </w:rPr>
        <w:t>.</w:t>
      </w:r>
      <w:r w:rsidRPr="007806F0">
        <w:rPr>
          <w:i w:val="0"/>
          <w:sz w:val="24"/>
        </w:rPr>
        <w:t>3 Web-Based Survey Instrument</w:t>
      </w:r>
      <w:bookmarkEnd w:id="16"/>
    </w:p>
    <w:p w14:paraId="4CF70D01" w14:textId="5433E0C0" w:rsidR="00046B7E" w:rsidRDefault="00046B7E" w:rsidP="00046B7E">
      <w:pPr>
        <w:pStyle w:val="BodyText"/>
        <w:rPr>
          <w:sz w:val="22"/>
          <w:szCs w:val="22"/>
        </w:rPr>
      </w:pPr>
      <w:r w:rsidRPr="00421D36">
        <w:rPr>
          <w:sz w:val="22"/>
          <w:szCs w:val="22"/>
        </w:rPr>
        <w:t xml:space="preserve">In the 2003 SDR, the online mode was introduced. </w:t>
      </w:r>
      <w:r w:rsidRPr="007806F0">
        <w:rPr>
          <w:sz w:val="22"/>
          <w:szCs w:val="22"/>
        </w:rPr>
        <w:t>Figure 2</w:t>
      </w:r>
      <w:r>
        <w:rPr>
          <w:sz w:val="22"/>
          <w:szCs w:val="22"/>
        </w:rPr>
        <w:t xml:space="preserve"> shows the rate of SDR web survey participation from the 2003 through 201</w:t>
      </w:r>
      <w:r w:rsidR="009D2D0E">
        <w:rPr>
          <w:sz w:val="22"/>
          <w:szCs w:val="22"/>
        </w:rPr>
        <w:t>7</w:t>
      </w:r>
      <w:r>
        <w:rPr>
          <w:sz w:val="22"/>
          <w:szCs w:val="22"/>
        </w:rPr>
        <w:t xml:space="preserve"> survey cycles.</w:t>
      </w:r>
    </w:p>
    <w:p w14:paraId="75D60BD2" w14:textId="073EDBF5" w:rsidR="006322EF" w:rsidRDefault="006322EF">
      <w:pPr>
        <w:rPr>
          <w:b/>
          <w:sz w:val="22"/>
          <w:szCs w:val="22"/>
        </w:rPr>
      </w:pPr>
    </w:p>
    <w:p w14:paraId="62994EF9" w14:textId="4E959681" w:rsidR="00046B7E" w:rsidRDefault="00046B7E" w:rsidP="00046B7E">
      <w:pPr>
        <w:spacing w:after="120"/>
        <w:rPr>
          <w:b/>
          <w:sz w:val="22"/>
          <w:szCs w:val="22"/>
        </w:rPr>
      </w:pPr>
      <w:r w:rsidRPr="00580CAB">
        <w:rPr>
          <w:b/>
          <w:sz w:val="22"/>
          <w:szCs w:val="22"/>
        </w:rPr>
        <w:t>Figure 2: Web Mode Participation Rate: 2003-</w:t>
      </w:r>
      <w:r w:rsidRPr="007806F0">
        <w:rPr>
          <w:b/>
          <w:sz w:val="22"/>
          <w:szCs w:val="22"/>
        </w:rPr>
        <w:t>201</w:t>
      </w:r>
      <w:r w:rsidR="00400787">
        <w:rPr>
          <w:b/>
          <w:sz w:val="22"/>
          <w:szCs w:val="22"/>
        </w:rPr>
        <w:t>7</w:t>
      </w:r>
      <w:r w:rsidRPr="007806F0">
        <w:rPr>
          <w:b/>
          <w:sz w:val="22"/>
          <w:szCs w:val="22"/>
        </w:rPr>
        <w:t xml:space="preserve"> SDR</w:t>
      </w:r>
    </w:p>
    <w:p w14:paraId="0CCE8BBB" w14:textId="454781C8" w:rsidR="009A3C53" w:rsidRDefault="008A5691" w:rsidP="00046B7E">
      <w:pPr>
        <w:spacing w:after="120"/>
        <w:rPr>
          <w:b/>
          <w:sz w:val="22"/>
          <w:szCs w:val="22"/>
        </w:rPr>
      </w:pPr>
      <w:r>
        <w:rPr>
          <w:noProof/>
        </w:rPr>
        <w:drawing>
          <wp:inline distT="0" distB="0" distL="0" distR="0" wp14:anchorId="5897DA79" wp14:editId="21E41006">
            <wp:extent cx="4572000" cy="2627630"/>
            <wp:effectExtent l="0" t="0" r="0" b="1270"/>
            <wp:docPr id="14" name="Picture 14" descr="cid:image002.png@01D4EFBE.26F2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d:image002.png@01D4EFBE.26F238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72000" cy="2627630"/>
                    </a:xfrm>
                    <a:prstGeom prst="rect">
                      <a:avLst/>
                    </a:prstGeom>
                    <a:noFill/>
                    <a:ln>
                      <a:noFill/>
                    </a:ln>
                  </pic:spPr>
                </pic:pic>
              </a:graphicData>
            </a:graphic>
          </wp:inline>
        </w:drawing>
      </w:r>
    </w:p>
    <w:p w14:paraId="3E55BDAC" w14:textId="77777777" w:rsidR="00046B7E" w:rsidRPr="005D2584" w:rsidRDefault="00046B7E" w:rsidP="00046B7E">
      <w:pPr>
        <w:spacing w:after="120"/>
        <w:rPr>
          <w:sz w:val="20"/>
          <w:szCs w:val="22"/>
        </w:rPr>
      </w:pPr>
      <w:r w:rsidRPr="005D2584">
        <w:rPr>
          <w:sz w:val="20"/>
          <w:szCs w:val="22"/>
        </w:rPr>
        <w:t>*Other response modes are self-administered mail-in form or telephone interview.</w:t>
      </w:r>
    </w:p>
    <w:p w14:paraId="33722D70" w14:textId="77777777" w:rsidR="009D2D0E" w:rsidRDefault="009D2D0E" w:rsidP="00046B7E">
      <w:pPr>
        <w:pStyle w:val="BodyText"/>
        <w:rPr>
          <w:sz w:val="22"/>
          <w:szCs w:val="22"/>
        </w:rPr>
      </w:pPr>
    </w:p>
    <w:p w14:paraId="7A5A4187" w14:textId="48279DCA" w:rsidR="00046B7E" w:rsidRDefault="00046B7E" w:rsidP="00046B7E">
      <w:pPr>
        <w:pStyle w:val="BodyText"/>
        <w:rPr>
          <w:sz w:val="22"/>
          <w:szCs w:val="22"/>
        </w:rPr>
      </w:pPr>
      <w:r>
        <w:rPr>
          <w:sz w:val="22"/>
          <w:szCs w:val="22"/>
        </w:rPr>
        <w:t>As in 201</w:t>
      </w:r>
      <w:r w:rsidR="00F402B5">
        <w:rPr>
          <w:sz w:val="22"/>
          <w:szCs w:val="22"/>
        </w:rPr>
        <w:t>7</w:t>
      </w:r>
      <w:r>
        <w:rPr>
          <w:sz w:val="22"/>
          <w:szCs w:val="22"/>
        </w:rPr>
        <w:t>, t</w:t>
      </w:r>
      <w:r w:rsidRPr="00421D36">
        <w:rPr>
          <w:sz w:val="22"/>
          <w:szCs w:val="22"/>
        </w:rPr>
        <w:t xml:space="preserve">he </w:t>
      </w:r>
      <w:r w:rsidRPr="00A30797">
        <w:rPr>
          <w:sz w:val="22"/>
          <w:szCs w:val="22"/>
        </w:rPr>
        <w:t>201</w:t>
      </w:r>
      <w:r w:rsidR="00F402B5">
        <w:rPr>
          <w:sz w:val="22"/>
          <w:szCs w:val="22"/>
        </w:rPr>
        <w:t>9</w:t>
      </w:r>
      <w:r w:rsidRPr="00421D36">
        <w:rPr>
          <w:sz w:val="22"/>
          <w:szCs w:val="22"/>
        </w:rPr>
        <w:t xml:space="preserve"> </w:t>
      </w:r>
      <w:r>
        <w:rPr>
          <w:sz w:val="22"/>
          <w:szCs w:val="22"/>
        </w:rPr>
        <w:t>online survey</w:t>
      </w:r>
      <w:r w:rsidRPr="00421D36">
        <w:rPr>
          <w:sz w:val="22"/>
          <w:szCs w:val="22"/>
        </w:rPr>
        <w:t xml:space="preserve"> will employ a front-end user interface that is optimized for mobile devices (e.g., smartphones and tablets) so that the respondent experience with the online survey will be similar regardless of the screen size or web browser used to access the survey. </w:t>
      </w:r>
      <w:r w:rsidR="00375A55">
        <w:rPr>
          <w:sz w:val="22"/>
          <w:szCs w:val="22"/>
        </w:rPr>
        <w:t>O</w:t>
      </w:r>
      <w:r>
        <w:rPr>
          <w:sz w:val="22"/>
          <w:szCs w:val="22"/>
        </w:rPr>
        <w:t>ver</w:t>
      </w:r>
      <w:r w:rsidRPr="00421D36">
        <w:rPr>
          <w:sz w:val="22"/>
          <w:szCs w:val="22"/>
        </w:rPr>
        <w:t xml:space="preserve"> </w:t>
      </w:r>
      <w:r w:rsidRPr="00A30797">
        <w:rPr>
          <w:sz w:val="22"/>
          <w:szCs w:val="22"/>
        </w:rPr>
        <w:t>80</w:t>
      </w:r>
      <w:r w:rsidR="00D0276C">
        <w:rPr>
          <w:sz w:val="22"/>
          <w:szCs w:val="22"/>
        </w:rPr>
        <w:t>%</w:t>
      </w:r>
      <w:r w:rsidRPr="00421D36">
        <w:rPr>
          <w:sz w:val="22"/>
          <w:szCs w:val="22"/>
        </w:rPr>
        <w:t xml:space="preserve"> of the SDR respondents are expected to participate </w:t>
      </w:r>
      <w:r>
        <w:rPr>
          <w:sz w:val="22"/>
          <w:szCs w:val="22"/>
        </w:rPr>
        <w:t>via</w:t>
      </w:r>
      <w:r w:rsidRPr="00421D36">
        <w:rPr>
          <w:sz w:val="22"/>
          <w:szCs w:val="22"/>
        </w:rPr>
        <w:t xml:space="preserve"> </w:t>
      </w:r>
      <w:r>
        <w:rPr>
          <w:sz w:val="22"/>
          <w:szCs w:val="22"/>
        </w:rPr>
        <w:t>w</w:t>
      </w:r>
      <w:r w:rsidRPr="00421D36">
        <w:rPr>
          <w:sz w:val="22"/>
          <w:szCs w:val="22"/>
        </w:rPr>
        <w:t>eb based on their stated preference in the last round and the observed rate of online participation in the last survey cycle</w:t>
      </w:r>
      <w:r>
        <w:rPr>
          <w:sz w:val="22"/>
          <w:szCs w:val="22"/>
        </w:rPr>
        <w:t xml:space="preserve"> (8</w:t>
      </w:r>
      <w:r w:rsidR="00220451">
        <w:rPr>
          <w:sz w:val="22"/>
          <w:szCs w:val="22"/>
        </w:rPr>
        <w:t>3.8</w:t>
      </w:r>
      <w:r w:rsidR="00D0276C">
        <w:rPr>
          <w:sz w:val="22"/>
          <w:szCs w:val="22"/>
        </w:rPr>
        <w:t>%</w:t>
      </w:r>
      <w:r>
        <w:rPr>
          <w:sz w:val="22"/>
          <w:szCs w:val="22"/>
        </w:rPr>
        <w:t xml:space="preserve"> in 201</w:t>
      </w:r>
      <w:r w:rsidR="00F402B5">
        <w:rPr>
          <w:sz w:val="22"/>
          <w:szCs w:val="22"/>
        </w:rPr>
        <w:t>7</w:t>
      </w:r>
      <w:r>
        <w:rPr>
          <w:sz w:val="22"/>
          <w:szCs w:val="22"/>
        </w:rPr>
        <w:t>)</w:t>
      </w:r>
      <w:r w:rsidRPr="00421D36">
        <w:rPr>
          <w:sz w:val="22"/>
          <w:szCs w:val="22"/>
        </w:rPr>
        <w:t>.</w:t>
      </w:r>
    </w:p>
    <w:p w14:paraId="687C22EB" w14:textId="77777777" w:rsidR="00D3342A" w:rsidRDefault="00D3342A" w:rsidP="00D66DB2">
      <w:pPr>
        <w:pStyle w:val="Heading3"/>
        <w:rPr>
          <w:i w:val="0"/>
          <w:sz w:val="24"/>
        </w:rPr>
      </w:pPr>
    </w:p>
    <w:p w14:paraId="123C9B0A" w14:textId="31175DF4" w:rsidR="00D66DB2" w:rsidRPr="007806F0" w:rsidRDefault="00D66DB2" w:rsidP="00D66DB2">
      <w:pPr>
        <w:pStyle w:val="Heading3"/>
        <w:rPr>
          <w:i w:val="0"/>
          <w:sz w:val="24"/>
        </w:rPr>
      </w:pPr>
      <w:r w:rsidRPr="007806F0">
        <w:rPr>
          <w:i w:val="0"/>
          <w:sz w:val="24"/>
        </w:rPr>
        <w:t>4</w:t>
      </w:r>
      <w:r w:rsidRPr="007806F0">
        <w:rPr>
          <w:i w:val="0"/>
          <w:sz w:val="24"/>
          <w:lang w:val="x-none"/>
        </w:rPr>
        <w:t>.</w:t>
      </w:r>
      <w:r w:rsidR="0090671D">
        <w:rPr>
          <w:i w:val="0"/>
          <w:sz w:val="24"/>
        </w:rPr>
        <w:t>4</w:t>
      </w:r>
      <w:r w:rsidRPr="007806F0">
        <w:rPr>
          <w:i w:val="0"/>
          <w:sz w:val="24"/>
        </w:rPr>
        <w:t xml:space="preserve"> </w:t>
      </w:r>
      <w:r>
        <w:rPr>
          <w:i w:val="0"/>
          <w:sz w:val="24"/>
        </w:rPr>
        <w:t>Adaptive Design Goals and Monitoring Metrics</w:t>
      </w:r>
    </w:p>
    <w:p w14:paraId="63794EF6" w14:textId="5DA3B682" w:rsidR="00377852" w:rsidRPr="00C76D27" w:rsidRDefault="00377852" w:rsidP="00377852">
      <w:pPr>
        <w:pStyle w:val="BodyText"/>
        <w:rPr>
          <w:sz w:val="22"/>
          <w:szCs w:val="22"/>
        </w:rPr>
      </w:pPr>
      <w:r w:rsidRPr="00C76D27">
        <w:rPr>
          <w:sz w:val="22"/>
          <w:szCs w:val="22"/>
        </w:rPr>
        <w:t>The 201</w:t>
      </w:r>
      <w:r w:rsidR="006D17A5" w:rsidRPr="00C76D27">
        <w:rPr>
          <w:sz w:val="22"/>
          <w:szCs w:val="22"/>
        </w:rPr>
        <w:t>9</w:t>
      </w:r>
      <w:r w:rsidRPr="00C76D27">
        <w:rPr>
          <w:sz w:val="22"/>
          <w:szCs w:val="22"/>
        </w:rPr>
        <w:t xml:space="preserve"> data collection </w:t>
      </w:r>
      <w:r w:rsidR="006D17A5" w:rsidRPr="00C76D27">
        <w:rPr>
          <w:sz w:val="22"/>
          <w:szCs w:val="22"/>
        </w:rPr>
        <w:t xml:space="preserve">will </w:t>
      </w:r>
      <w:r w:rsidRPr="00C76D27">
        <w:rPr>
          <w:sz w:val="22"/>
          <w:szCs w:val="22"/>
        </w:rPr>
        <w:t>include an adaptive design strategy to help achieve a balanced sample to minimize nonresponse bias</w:t>
      </w:r>
      <w:r w:rsidR="00A514E7">
        <w:rPr>
          <w:sz w:val="22"/>
          <w:szCs w:val="22"/>
        </w:rPr>
        <w:t xml:space="preserve"> and</w:t>
      </w:r>
      <w:r w:rsidRPr="00C76D27">
        <w:rPr>
          <w:sz w:val="22"/>
          <w:szCs w:val="22"/>
        </w:rPr>
        <w:t xml:space="preserve"> to achieve target numbers of completes for key analytic domains.</w:t>
      </w:r>
      <w:r w:rsidR="008207D3" w:rsidRPr="008207D3">
        <w:rPr>
          <w:sz w:val="22"/>
          <w:szCs w:val="22"/>
        </w:rPr>
        <w:t xml:space="preserve"> This is the 3rd cycle of SDR to apply an adaptive design approach and the </w:t>
      </w:r>
      <w:r w:rsidR="008207D3" w:rsidRPr="003E7A4F">
        <w:rPr>
          <w:sz w:val="22"/>
          <w:szCs w:val="22"/>
        </w:rPr>
        <w:t xml:space="preserve">2019 emphasis </w:t>
      </w:r>
      <w:r w:rsidR="00B64FFD">
        <w:rPr>
          <w:sz w:val="22"/>
          <w:szCs w:val="22"/>
        </w:rPr>
        <w:t xml:space="preserve">will be </w:t>
      </w:r>
      <w:r w:rsidR="008207D3" w:rsidRPr="003E7A4F">
        <w:rPr>
          <w:sz w:val="22"/>
          <w:szCs w:val="22"/>
        </w:rPr>
        <w:t xml:space="preserve">on continuous quality improvement in the </w:t>
      </w:r>
      <w:r w:rsidR="008905CE">
        <w:rPr>
          <w:sz w:val="22"/>
          <w:szCs w:val="22"/>
        </w:rPr>
        <w:t xml:space="preserve">use of </w:t>
      </w:r>
      <w:r w:rsidR="008207D3" w:rsidRPr="003E7A4F">
        <w:rPr>
          <w:sz w:val="22"/>
          <w:szCs w:val="22"/>
        </w:rPr>
        <w:t xml:space="preserve">data monitoring metrics </w:t>
      </w:r>
      <w:r w:rsidR="008905CE">
        <w:rPr>
          <w:sz w:val="22"/>
          <w:szCs w:val="22"/>
        </w:rPr>
        <w:t xml:space="preserve">that assess the </w:t>
      </w:r>
      <w:r w:rsidR="00315222">
        <w:rPr>
          <w:sz w:val="22"/>
          <w:szCs w:val="22"/>
        </w:rPr>
        <w:t xml:space="preserve">adaptive design’s </w:t>
      </w:r>
      <w:r w:rsidR="008905CE">
        <w:rPr>
          <w:sz w:val="22"/>
          <w:szCs w:val="22"/>
        </w:rPr>
        <w:t xml:space="preserve">effects of treatments and interventions </w:t>
      </w:r>
      <w:r w:rsidR="008207D3" w:rsidRPr="00AB57F4">
        <w:rPr>
          <w:sz w:val="22"/>
          <w:szCs w:val="22"/>
        </w:rPr>
        <w:t xml:space="preserve">used in prioritizing nonrespondents for </w:t>
      </w:r>
      <w:r w:rsidR="00D9776C">
        <w:rPr>
          <w:sz w:val="22"/>
          <w:szCs w:val="22"/>
        </w:rPr>
        <w:t>data collection</w:t>
      </w:r>
      <w:r w:rsidR="008207D3" w:rsidRPr="00AB57F4">
        <w:rPr>
          <w:sz w:val="22"/>
          <w:szCs w:val="22"/>
        </w:rPr>
        <w:t>.</w:t>
      </w:r>
    </w:p>
    <w:p w14:paraId="3F5791E9" w14:textId="77777777" w:rsidR="006D17A5" w:rsidRPr="00C76D27" w:rsidRDefault="006D17A5" w:rsidP="00377852">
      <w:pPr>
        <w:pStyle w:val="BodyText"/>
        <w:rPr>
          <w:sz w:val="22"/>
          <w:szCs w:val="22"/>
        </w:rPr>
      </w:pPr>
    </w:p>
    <w:p w14:paraId="05648EBC" w14:textId="3E0DEC1A" w:rsidR="00D9776C" w:rsidRDefault="00D9776C" w:rsidP="00D9776C">
      <w:pPr>
        <w:pStyle w:val="BodyText"/>
        <w:rPr>
          <w:sz w:val="22"/>
          <w:szCs w:val="22"/>
        </w:rPr>
      </w:pPr>
      <w:r>
        <w:rPr>
          <w:sz w:val="22"/>
          <w:szCs w:val="22"/>
        </w:rPr>
        <w:t>As shown in Figure 3, t</w:t>
      </w:r>
      <w:r w:rsidR="00377852" w:rsidRPr="00C76D27">
        <w:rPr>
          <w:sz w:val="22"/>
          <w:szCs w:val="22"/>
        </w:rPr>
        <w:t>he 201</w:t>
      </w:r>
      <w:r w:rsidR="006D17A5" w:rsidRPr="00C76D27">
        <w:rPr>
          <w:sz w:val="22"/>
          <w:szCs w:val="22"/>
        </w:rPr>
        <w:t>9</w:t>
      </w:r>
      <w:r w:rsidR="00377852" w:rsidRPr="00C76D27">
        <w:rPr>
          <w:sz w:val="22"/>
          <w:szCs w:val="22"/>
        </w:rPr>
        <w:t xml:space="preserve"> SDR data collection w</w:t>
      </w:r>
      <w:r w:rsidR="006D17A5" w:rsidRPr="00C76D27">
        <w:rPr>
          <w:sz w:val="22"/>
          <w:szCs w:val="22"/>
        </w:rPr>
        <w:t>ill be</w:t>
      </w:r>
      <w:r w:rsidR="00377852" w:rsidRPr="00C76D27">
        <w:rPr>
          <w:sz w:val="22"/>
          <w:szCs w:val="22"/>
        </w:rPr>
        <w:t xml:space="preserve"> implemented in four primary phases</w:t>
      </w:r>
      <w:r>
        <w:rPr>
          <w:sz w:val="22"/>
          <w:szCs w:val="22"/>
        </w:rPr>
        <w:t>, a starting phase, an interim phase, a late</w:t>
      </w:r>
      <w:r w:rsidR="00C05418">
        <w:rPr>
          <w:sz w:val="22"/>
          <w:szCs w:val="22"/>
        </w:rPr>
        <w:t>-stage</w:t>
      </w:r>
      <w:r>
        <w:rPr>
          <w:sz w:val="22"/>
          <w:szCs w:val="22"/>
        </w:rPr>
        <w:t xml:space="preserve"> phase and a last</w:t>
      </w:r>
      <w:r w:rsidR="00C05418">
        <w:rPr>
          <w:sz w:val="22"/>
          <w:szCs w:val="22"/>
        </w:rPr>
        <w:t>-</w:t>
      </w:r>
      <w:r w:rsidR="00CF291D">
        <w:rPr>
          <w:sz w:val="22"/>
          <w:szCs w:val="22"/>
        </w:rPr>
        <w:t>chance</w:t>
      </w:r>
      <w:r>
        <w:rPr>
          <w:sz w:val="22"/>
          <w:szCs w:val="22"/>
        </w:rPr>
        <w:t xml:space="preserve"> phase. </w:t>
      </w:r>
      <w:r w:rsidR="00377852" w:rsidRPr="00C76D27">
        <w:rPr>
          <w:sz w:val="22"/>
          <w:szCs w:val="22"/>
        </w:rPr>
        <w:t>Prior to the start of each phase</w:t>
      </w:r>
      <w:r w:rsidR="00A1616C">
        <w:rPr>
          <w:sz w:val="22"/>
          <w:szCs w:val="22"/>
        </w:rPr>
        <w:t xml:space="preserve">, </w:t>
      </w:r>
      <w:r w:rsidR="00377852" w:rsidRPr="00C76D27">
        <w:rPr>
          <w:sz w:val="22"/>
          <w:szCs w:val="22"/>
        </w:rPr>
        <w:t xml:space="preserve">pending </w:t>
      </w:r>
      <w:r w:rsidR="00C05418">
        <w:rPr>
          <w:sz w:val="22"/>
          <w:szCs w:val="22"/>
        </w:rPr>
        <w:t xml:space="preserve">nonresponding sampled </w:t>
      </w:r>
      <w:r w:rsidR="00377852" w:rsidRPr="00C76D27">
        <w:rPr>
          <w:sz w:val="22"/>
          <w:szCs w:val="22"/>
        </w:rPr>
        <w:t xml:space="preserve">cases </w:t>
      </w:r>
      <w:r w:rsidR="006D17A5" w:rsidRPr="00C76D27">
        <w:rPr>
          <w:sz w:val="22"/>
          <w:szCs w:val="22"/>
        </w:rPr>
        <w:t>are</w:t>
      </w:r>
      <w:r w:rsidR="00377852" w:rsidRPr="00C76D27">
        <w:rPr>
          <w:sz w:val="22"/>
          <w:szCs w:val="22"/>
        </w:rPr>
        <w:t xml:space="preserve"> prioritized </w:t>
      </w:r>
      <w:r w:rsidR="003E7A4F">
        <w:rPr>
          <w:sz w:val="22"/>
          <w:szCs w:val="22"/>
        </w:rPr>
        <w:t xml:space="preserve">with </w:t>
      </w:r>
      <w:r w:rsidR="00377852" w:rsidRPr="00C76D27">
        <w:rPr>
          <w:sz w:val="22"/>
          <w:szCs w:val="22"/>
        </w:rPr>
        <w:t xml:space="preserve">differential locating and/or data collection treatments assigned to each </w:t>
      </w:r>
      <w:r w:rsidR="006D17A5" w:rsidRPr="00C76D27">
        <w:rPr>
          <w:sz w:val="22"/>
          <w:szCs w:val="22"/>
        </w:rPr>
        <w:t xml:space="preserve">of the </w:t>
      </w:r>
      <w:r w:rsidR="00377852" w:rsidRPr="00C76D27">
        <w:rPr>
          <w:sz w:val="22"/>
          <w:szCs w:val="22"/>
        </w:rPr>
        <w:t xml:space="preserve">priority groups. In general, cases </w:t>
      </w:r>
      <w:r w:rsidR="003E7A4F">
        <w:rPr>
          <w:sz w:val="22"/>
          <w:szCs w:val="22"/>
        </w:rPr>
        <w:t>are</w:t>
      </w:r>
      <w:r w:rsidR="00377852" w:rsidRPr="00C76D27">
        <w:rPr>
          <w:sz w:val="22"/>
          <w:szCs w:val="22"/>
        </w:rPr>
        <w:t xml:space="preserve"> prioritized according to the importance of their representation in the sample and the estimated effort needed to obtain </w:t>
      </w:r>
      <w:r w:rsidR="003E7A4F">
        <w:rPr>
          <w:sz w:val="22"/>
          <w:szCs w:val="22"/>
        </w:rPr>
        <w:t>their</w:t>
      </w:r>
      <w:r w:rsidR="00377852" w:rsidRPr="00C76D27">
        <w:rPr>
          <w:sz w:val="22"/>
          <w:szCs w:val="22"/>
        </w:rPr>
        <w:t xml:space="preserve"> response</w:t>
      </w:r>
      <w:r w:rsidR="003E7A4F">
        <w:rPr>
          <w:sz w:val="22"/>
          <w:szCs w:val="22"/>
        </w:rPr>
        <w:t>.</w:t>
      </w:r>
      <w:r>
        <w:rPr>
          <w:sz w:val="22"/>
          <w:szCs w:val="22"/>
        </w:rPr>
        <w:t xml:space="preserve"> </w:t>
      </w:r>
      <w:r w:rsidR="005F5C8C">
        <w:rPr>
          <w:sz w:val="22"/>
          <w:szCs w:val="22"/>
        </w:rPr>
        <w:t xml:space="preserve">The proposed adaptive design metrics </w:t>
      </w:r>
      <w:r w:rsidR="0067492E">
        <w:rPr>
          <w:sz w:val="22"/>
          <w:szCs w:val="22"/>
        </w:rPr>
        <w:t xml:space="preserve">used for case prioritization </w:t>
      </w:r>
      <w:r w:rsidR="005F5C8C">
        <w:rPr>
          <w:sz w:val="22"/>
          <w:szCs w:val="22"/>
        </w:rPr>
        <w:t xml:space="preserve">are described below </w:t>
      </w:r>
      <w:r w:rsidR="0067492E">
        <w:rPr>
          <w:sz w:val="22"/>
          <w:szCs w:val="22"/>
        </w:rPr>
        <w:t xml:space="preserve">by phase </w:t>
      </w:r>
      <w:r w:rsidR="005F5C8C">
        <w:rPr>
          <w:sz w:val="22"/>
          <w:szCs w:val="22"/>
        </w:rPr>
        <w:t>and summarized in Table 3.</w:t>
      </w:r>
    </w:p>
    <w:p w14:paraId="744EA574" w14:textId="77777777" w:rsidR="00D9776C" w:rsidRDefault="00D9776C" w:rsidP="00D9776C">
      <w:pPr>
        <w:pStyle w:val="BodyText"/>
        <w:rPr>
          <w:sz w:val="22"/>
          <w:szCs w:val="22"/>
        </w:rPr>
      </w:pPr>
    </w:p>
    <w:p w14:paraId="2D3AB78B" w14:textId="0FE58CE8" w:rsidR="001657BB" w:rsidRDefault="00D9776C" w:rsidP="00652F8C">
      <w:pPr>
        <w:pStyle w:val="BodyText"/>
        <w:rPr>
          <w:sz w:val="22"/>
          <w:szCs w:val="22"/>
        </w:rPr>
      </w:pPr>
      <w:r>
        <w:rPr>
          <w:sz w:val="22"/>
          <w:szCs w:val="22"/>
        </w:rPr>
        <w:t xml:space="preserve">For the starting phase in 2019, </w:t>
      </w:r>
      <w:r w:rsidR="00027F11">
        <w:rPr>
          <w:sz w:val="22"/>
          <w:szCs w:val="22"/>
        </w:rPr>
        <w:t>n</w:t>
      </w:r>
      <w:r w:rsidR="00C05418">
        <w:rPr>
          <w:sz w:val="22"/>
          <w:szCs w:val="22"/>
        </w:rPr>
        <w:t>o data collection treatments occur other than honoring past mode preference</w:t>
      </w:r>
      <w:r w:rsidR="001657BB">
        <w:rPr>
          <w:sz w:val="22"/>
          <w:szCs w:val="22"/>
        </w:rPr>
        <w:t xml:space="preserve"> among the existing cohort, if applicable.</w:t>
      </w:r>
      <w:r w:rsidR="001657BB" w:rsidRPr="001657BB">
        <w:rPr>
          <w:sz w:val="22"/>
          <w:szCs w:val="22"/>
        </w:rPr>
        <w:t xml:space="preserve"> </w:t>
      </w:r>
      <w:r w:rsidR="00B83029">
        <w:rPr>
          <w:sz w:val="22"/>
          <w:szCs w:val="22"/>
        </w:rPr>
        <w:t xml:space="preserve">High priority locating treatment may use “people-finder” services and up to 60 minutes of locating effort per case whereas </w:t>
      </w:r>
      <w:r w:rsidR="00C30B68">
        <w:rPr>
          <w:sz w:val="22"/>
          <w:szCs w:val="22"/>
        </w:rPr>
        <w:t>the remaining</w:t>
      </w:r>
      <w:r w:rsidR="00B83029">
        <w:rPr>
          <w:sz w:val="22"/>
          <w:szCs w:val="22"/>
        </w:rPr>
        <w:t xml:space="preserve"> cases are searched for up to 20 minutes. </w:t>
      </w:r>
      <w:r w:rsidR="00C55901">
        <w:rPr>
          <w:sz w:val="22"/>
          <w:szCs w:val="22"/>
        </w:rPr>
        <w:t>For nonresponse follow-ups, p</w:t>
      </w:r>
      <w:r w:rsidR="00027F11" w:rsidRPr="00D9776C">
        <w:rPr>
          <w:sz w:val="22"/>
          <w:szCs w:val="22"/>
        </w:rPr>
        <w:t>rioritization of the</w:t>
      </w:r>
      <w:r w:rsidR="00027F11">
        <w:rPr>
          <w:sz w:val="22"/>
          <w:szCs w:val="22"/>
        </w:rPr>
        <w:t xml:space="preserve"> 2017 SDR sampled </w:t>
      </w:r>
      <w:r w:rsidR="00027F11" w:rsidRPr="00D9776C">
        <w:rPr>
          <w:sz w:val="22"/>
          <w:szCs w:val="22"/>
        </w:rPr>
        <w:t xml:space="preserve">cases will be based on their 2017 </w:t>
      </w:r>
      <w:r w:rsidR="00027F11">
        <w:rPr>
          <w:sz w:val="22"/>
          <w:szCs w:val="22"/>
        </w:rPr>
        <w:t xml:space="preserve">response status and measures of locating effort defined as the number of changes in locating disposition </w:t>
      </w:r>
      <w:r w:rsidR="00A514E7">
        <w:rPr>
          <w:sz w:val="22"/>
          <w:szCs w:val="22"/>
        </w:rPr>
        <w:t xml:space="preserve">during the </w:t>
      </w:r>
      <w:r w:rsidR="00027F11">
        <w:rPr>
          <w:sz w:val="22"/>
          <w:szCs w:val="22"/>
        </w:rPr>
        <w:t>2017</w:t>
      </w:r>
      <w:r w:rsidR="00A514E7">
        <w:rPr>
          <w:sz w:val="22"/>
          <w:szCs w:val="22"/>
        </w:rPr>
        <w:t xml:space="preserve"> SDR survey cycle. </w:t>
      </w:r>
      <w:r w:rsidR="001657BB">
        <w:rPr>
          <w:sz w:val="22"/>
          <w:szCs w:val="22"/>
        </w:rPr>
        <w:t>P</w:t>
      </w:r>
      <w:r w:rsidR="001657BB" w:rsidRPr="00D9776C">
        <w:rPr>
          <w:sz w:val="22"/>
          <w:szCs w:val="22"/>
        </w:rPr>
        <w:t xml:space="preserve">rioritizing the new cohort sampled cases </w:t>
      </w:r>
      <w:r w:rsidR="001657BB">
        <w:rPr>
          <w:sz w:val="22"/>
          <w:szCs w:val="22"/>
        </w:rPr>
        <w:t xml:space="preserve">and the 2015 supplemental sampled cases </w:t>
      </w:r>
      <w:r w:rsidR="001657BB" w:rsidRPr="00D9776C">
        <w:rPr>
          <w:sz w:val="22"/>
          <w:szCs w:val="22"/>
        </w:rPr>
        <w:t xml:space="preserve">will be based </w:t>
      </w:r>
      <w:r w:rsidR="00027F11">
        <w:rPr>
          <w:sz w:val="22"/>
          <w:szCs w:val="22"/>
        </w:rPr>
        <w:t xml:space="preserve">on </w:t>
      </w:r>
      <w:r w:rsidR="00A514E7">
        <w:rPr>
          <w:sz w:val="22"/>
          <w:szCs w:val="22"/>
        </w:rPr>
        <w:t xml:space="preserve">the 2019 SDR </w:t>
      </w:r>
      <w:r w:rsidR="00027F11">
        <w:rPr>
          <w:sz w:val="22"/>
          <w:szCs w:val="22"/>
        </w:rPr>
        <w:t>prefield locating effort. In 2017</w:t>
      </w:r>
      <w:r w:rsidR="00870AE3">
        <w:rPr>
          <w:sz w:val="22"/>
          <w:szCs w:val="22"/>
        </w:rPr>
        <w:t>,</w:t>
      </w:r>
      <w:r w:rsidR="00027F11">
        <w:rPr>
          <w:sz w:val="22"/>
          <w:szCs w:val="22"/>
        </w:rPr>
        <w:t xml:space="preserve"> </w:t>
      </w:r>
      <w:r w:rsidR="00870AE3">
        <w:rPr>
          <w:sz w:val="22"/>
          <w:szCs w:val="22"/>
        </w:rPr>
        <w:t>all prior respondents were assigned high locating priority</w:t>
      </w:r>
      <w:r w:rsidR="00A514E7">
        <w:rPr>
          <w:sz w:val="22"/>
          <w:szCs w:val="22"/>
        </w:rPr>
        <w:t xml:space="preserve">. In addition, unlocated </w:t>
      </w:r>
      <w:r w:rsidR="00870AE3">
        <w:rPr>
          <w:sz w:val="22"/>
          <w:szCs w:val="22"/>
        </w:rPr>
        <w:t xml:space="preserve">cases </w:t>
      </w:r>
      <w:r w:rsidR="00A514E7">
        <w:rPr>
          <w:sz w:val="22"/>
          <w:szCs w:val="22"/>
        </w:rPr>
        <w:t xml:space="preserve">and cases </w:t>
      </w:r>
      <w:r w:rsidR="00B27459">
        <w:rPr>
          <w:sz w:val="22"/>
          <w:szCs w:val="22"/>
        </w:rPr>
        <w:t>receiving</w:t>
      </w:r>
      <w:r w:rsidR="00870AE3">
        <w:rPr>
          <w:sz w:val="22"/>
          <w:szCs w:val="22"/>
        </w:rPr>
        <w:t xml:space="preserve"> lower than average locati</w:t>
      </w:r>
      <w:r w:rsidR="00B27459">
        <w:rPr>
          <w:sz w:val="22"/>
          <w:szCs w:val="22"/>
        </w:rPr>
        <w:t>ng</w:t>
      </w:r>
      <w:r w:rsidR="00870AE3">
        <w:rPr>
          <w:sz w:val="22"/>
          <w:szCs w:val="22"/>
        </w:rPr>
        <w:t xml:space="preserve"> effort were also assign</w:t>
      </w:r>
      <w:r w:rsidR="00652F8C">
        <w:rPr>
          <w:sz w:val="22"/>
          <w:szCs w:val="22"/>
        </w:rPr>
        <w:t>ed</w:t>
      </w:r>
      <w:r w:rsidR="00870AE3">
        <w:rPr>
          <w:sz w:val="22"/>
          <w:szCs w:val="22"/>
        </w:rPr>
        <w:t xml:space="preserve"> high priority. </w:t>
      </w:r>
      <w:r w:rsidR="00652F8C">
        <w:rPr>
          <w:sz w:val="22"/>
          <w:szCs w:val="22"/>
        </w:rPr>
        <w:t xml:space="preserve">Within </w:t>
      </w:r>
      <w:r w:rsidR="00C55901">
        <w:rPr>
          <w:sz w:val="22"/>
          <w:szCs w:val="22"/>
        </w:rPr>
        <w:t>each priority level</w:t>
      </w:r>
      <w:r w:rsidR="00652F8C">
        <w:rPr>
          <w:sz w:val="22"/>
          <w:szCs w:val="22"/>
        </w:rPr>
        <w:t xml:space="preserve">, cases are sorted by the measure of prior locating effort with those </w:t>
      </w:r>
      <w:r w:rsidR="00C55901">
        <w:rPr>
          <w:sz w:val="22"/>
          <w:szCs w:val="22"/>
        </w:rPr>
        <w:t xml:space="preserve">that </w:t>
      </w:r>
      <w:r w:rsidR="00652F8C">
        <w:rPr>
          <w:sz w:val="22"/>
          <w:szCs w:val="22"/>
        </w:rPr>
        <w:t xml:space="preserve">received lower effort </w:t>
      </w:r>
      <w:r w:rsidR="00A514E7">
        <w:rPr>
          <w:sz w:val="22"/>
          <w:szCs w:val="22"/>
        </w:rPr>
        <w:t>in the previous cycle</w:t>
      </w:r>
      <w:r w:rsidR="00652F8C">
        <w:rPr>
          <w:sz w:val="22"/>
          <w:szCs w:val="22"/>
        </w:rPr>
        <w:t xml:space="preserve"> </w:t>
      </w:r>
      <w:r w:rsidR="00A514E7">
        <w:rPr>
          <w:sz w:val="22"/>
          <w:szCs w:val="22"/>
        </w:rPr>
        <w:t>being</w:t>
      </w:r>
      <w:r w:rsidR="00652F8C">
        <w:rPr>
          <w:sz w:val="22"/>
          <w:szCs w:val="22"/>
        </w:rPr>
        <w:t xml:space="preserve"> processed first. </w:t>
      </w:r>
      <w:r w:rsidR="004B494B">
        <w:rPr>
          <w:sz w:val="22"/>
          <w:szCs w:val="22"/>
        </w:rPr>
        <w:t>The starting phase of the 2019 SDR data collection generally will last about 4 to 5 weeks.</w:t>
      </w:r>
      <w:r w:rsidR="001657BB">
        <w:rPr>
          <w:sz w:val="22"/>
          <w:szCs w:val="22"/>
        </w:rPr>
        <w:t xml:space="preserve"> </w:t>
      </w:r>
      <w:r w:rsidR="00C30B68">
        <w:rPr>
          <w:sz w:val="22"/>
          <w:szCs w:val="22"/>
        </w:rPr>
        <w:t>The assignment of high priority treatments is based on the proposed metrics and rules detailed in Table 3.</w:t>
      </w:r>
    </w:p>
    <w:p w14:paraId="08CC07C2" w14:textId="52AF20E6" w:rsidR="003E7A4F" w:rsidRDefault="003E7A4F" w:rsidP="00377852">
      <w:pPr>
        <w:pStyle w:val="BodyText"/>
        <w:rPr>
          <w:sz w:val="22"/>
          <w:szCs w:val="22"/>
        </w:rPr>
      </w:pPr>
    </w:p>
    <w:p w14:paraId="35EA3147" w14:textId="5DE6687A" w:rsidR="004B494B" w:rsidRDefault="004D317B" w:rsidP="00E34129">
      <w:pPr>
        <w:rPr>
          <w:sz w:val="22"/>
        </w:rPr>
      </w:pPr>
      <w:r>
        <w:rPr>
          <w:sz w:val="22"/>
        </w:rPr>
        <w:t>T</w:t>
      </w:r>
      <w:r w:rsidR="00FB5A54">
        <w:rPr>
          <w:sz w:val="22"/>
        </w:rPr>
        <w:t>he interim phase of data collection</w:t>
      </w:r>
      <w:r>
        <w:rPr>
          <w:sz w:val="22"/>
        </w:rPr>
        <w:t xml:space="preserve"> generally last</w:t>
      </w:r>
      <w:r w:rsidR="00E0738E">
        <w:rPr>
          <w:sz w:val="22"/>
        </w:rPr>
        <w:t>s</w:t>
      </w:r>
      <w:r>
        <w:rPr>
          <w:sz w:val="22"/>
        </w:rPr>
        <w:t xml:space="preserve"> about 10 to 12 weeks. Information from the starting phase response is used to </w:t>
      </w:r>
      <w:r w:rsidR="00E0738E">
        <w:rPr>
          <w:sz w:val="22"/>
        </w:rPr>
        <w:t xml:space="preserve">reset the prioritization of all </w:t>
      </w:r>
      <w:r w:rsidR="00242376">
        <w:rPr>
          <w:sz w:val="22"/>
        </w:rPr>
        <w:t>pending</w:t>
      </w:r>
      <w:r w:rsidR="00E0738E">
        <w:rPr>
          <w:sz w:val="22"/>
        </w:rPr>
        <w:t xml:space="preserve"> nonresponding cases. </w:t>
      </w:r>
      <w:r w:rsidR="00242376">
        <w:rPr>
          <w:sz w:val="22"/>
        </w:rPr>
        <w:t xml:space="preserve">The number of key analytical domains a sample case is in that are both (a) below the target number of completes and (b) below average response rate </w:t>
      </w:r>
      <w:r w:rsidR="00B71994">
        <w:rPr>
          <w:sz w:val="22"/>
        </w:rPr>
        <w:t xml:space="preserve">will be used to assign high priority </w:t>
      </w:r>
      <w:r w:rsidR="00C55901">
        <w:rPr>
          <w:sz w:val="22"/>
        </w:rPr>
        <w:t xml:space="preserve">treatments </w:t>
      </w:r>
      <w:r w:rsidR="00B71994">
        <w:rPr>
          <w:sz w:val="22"/>
        </w:rPr>
        <w:t xml:space="preserve">to </w:t>
      </w:r>
      <w:r w:rsidR="0024092A">
        <w:rPr>
          <w:sz w:val="22"/>
        </w:rPr>
        <w:t>sample case</w:t>
      </w:r>
      <w:r w:rsidR="00E57346">
        <w:rPr>
          <w:sz w:val="22"/>
        </w:rPr>
        <w:t xml:space="preserve">s </w:t>
      </w:r>
      <w:r w:rsidR="001E2F13">
        <w:rPr>
          <w:sz w:val="22"/>
        </w:rPr>
        <w:t xml:space="preserve">This combination of criteria </w:t>
      </w:r>
      <w:r w:rsidR="007F7799">
        <w:rPr>
          <w:sz w:val="22"/>
        </w:rPr>
        <w:t xml:space="preserve">is </w:t>
      </w:r>
      <w:r w:rsidR="001E2F13">
        <w:rPr>
          <w:sz w:val="22"/>
        </w:rPr>
        <w:t>aimed</w:t>
      </w:r>
      <w:r w:rsidR="00E34129">
        <w:rPr>
          <w:sz w:val="22"/>
        </w:rPr>
        <w:t xml:space="preserve"> at both helping achieve targets in the analytical domains and improve sample balance by targeting domains that </w:t>
      </w:r>
      <w:r w:rsidR="007F7799">
        <w:rPr>
          <w:sz w:val="22"/>
        </w:rPr>
        <w:t>are</w:t>
      </w:r>
      <w:r w:rsidR="00E34129">
        <w:rPr>
          <w:sz w:val="22"/>
        </w:rPr>
        <w:t xml:space="preserve"> underperforming. </w:t>
      </w:r>
      <w:r w:rsidR="0024092A">
        <w:rPr>
          <w:sz w:val="22"/>
        </w:rPr>
        <w:t xml:space="preserve">Within each priority level, priority order, which determines the case processing order, is developed using </w:t>
      </w:r>
      <w:r w:rsidR="007F7799">
        <w:rPr>
          <w:sz w:val="22"/>
        </w:rPr>
        <w:t xml:space="preserve">an </w:t>
      </w:r>
      <w:r w:rsidR="0024092A">
        <w:rPr>
          <w:sz w:val="22"/>
        </w:rPr>
        <w:t>estimated cooperation propensity score</w:t>
      </w:r>
      <w:r w:rsidR="00854BA9">
        <w:rPr>
          <w:sz w:val="22"/>
        </w:rPr>
        <w:t xml:space="preserve">. The cooperation propensity is estimated </w:t>
      </w:r>
      <w:r w:rsidR="001E2F13">
        <w:rPr>
          <w:sz w:val="22"/>
        </w:rPr>
        <w:t xml:space="preserve">based on the subset of located cases as of </w:t>
      </w:r>
      <w:r w:rsidR="00A514E7">
        <w:rPr>
          <w:sz w:val="22"/>
        </w:rPr>
        <w:t xml:space="preserve">the </w:t>
      </w:r>
      <w:r w:rsidR="001E2F13">
        <w:rPr>
          <w:sz w:val="22"/>
        </w:rPr>
        <w:t xml:space="preserve">end of </w:t>
      </w:r>
      <w:r w:rsidR="00E34129">
        <w:rPr>
          <w:sz w:val="22"/>
        </w:rPr>
        <w:t xml:space="preserve">the </w:t>
      </w:r>
      <w:r w:rsidR="001E2F13">
        <w:rPr>
          <w:sz w:val="22"/>
        </w:rPr>
        <w:t xml:space="preserve">starting phase </w:t>
      </w:r>
      <w:r w:rsidR="007F7799">
        <w:rPr>
          <w:sz w:val="22"/>
        </w:rPr>
        <w:t>using a</w:t>
      </w:r>
      <w:r w:rsidR="00854BA9">
        <w:rPr>
          <w:sz w:val="22"/>
        </w:rPr>
        <w:t xml:space="preserve"> logistic regression</w:t>
      </w:r>
      <w:r w:rsidR="007F7799">
        <w:rPr>
          <w:sz w:val="22"/>
        </w:rPr>
        <w:t xml:space="preserve"> model</w:t>
      </w:r>
      <w:r w:rsidR="001E2F13">
        <w:rPr>
          <w:sz w:val="22"/>
        </w:rPr>
        <w:t>.</w:t>
      </w:r>
      <w:r w:rsidR="00854BA9">
        <w:rPr>
          <w:sz w:val="22"/>
        </w:rPr>
        <w:t xml:space="preserve"> Those with high</w:t>
      </w:r>
      <w:r w:rsidR="001E2F13">
        <w:rPr>
          <w:sz w:val="22"/>
        </w:rPr>
        <w:t>er</w:t>
      </w:r>
      <w:r w:rsidR="00854BA9">
        <w:rPr>
          <w:sz w:val="22"/>
        </w:rPr>
        <w:t xml:space="preserve"> cooperation propensity </w:t>
      </w:r>
      <w:r w:rsidR="001E2F13">
        <w:rPr>
          <w:sz w:val="22"/>
        </w:rPr>
        <w:t xml:space="preserve">are ranked higher for locating, while those with lower cooperation propensity </w:t>
      </w:r>
      <w:r w:rsidR="001E2A5E">
        <w:rPr>
          <w:sz w:val="22"/>
        </w:rPr>
        <w:t xml:space="preserve">are </w:t>
      </w:r>
      <w:r w:rsidR="001E2F13">
        <w:rPr>
          <w:sz w:val="22"/>
        </w:rPr>
        <w:t xml:space="preserve">ranked higher for data collection to </w:t>
      </w:r>
      <w:r w:rsidR="001E2A5E">
        <w:rPr>
          <w:sz w:val="22"/>
        </w:rPr>
        <w:t>ensure</w:t>
      </w:r>
      <w:r w:rsidR="001E2F13">
        <w:rPr>
          <w:sz w:val="22"/>
        </w:rPr>
        <w:t xml:space="preserve"> that cases needing more data collection effort are worked first.</w:t>
      </w:r>
      <w:r w:rsidR="0024092A">
        <w:rPr>
          <w:sz w:val="22"/>
        </w:rPr>
        <w:t xml:space="preserve"> </w:t>
      </w:r>
      <w:r w:rsidR="004B494B">
        <w:rPr>
          <w:sz w:val="22"/>
        </w:rPr>
        <w:t>In this phase, high priority for locating is the same as in the starting phase except more experienced locators will be used to</w:t>
      </w:r>
      <w:r w:rsidR="001E2A5E">
        <w:rPr>
          <w:sz w:val="22"/>
        </w:rPr>
        <w:t xml:space="preserve"> perform the locating effort</w:t>
      </w:r>
      <w:r w:rsidR="004B494B">
        <w:rPr>
          <w:sz w:val="22"/>
        </w:rPr>
        <w:t>.</w:t>
      </w:r>
      <w:r w:rsidR="00601C17">
        <w:rPr>
          <w:sz w:val="22"/>
        </w:rPr>
        <w:t xml:space="preserve"> </w:t>
      </w:r>
    </w:p>
    <w:p w14:paraId="38ECFEAA" w14:textId="77777777" w:rsidR="004B494B" w:rsidRDefault="004B494B" w:rsidP="00B17E87">
      <w:pPr>
        <w:rPr>
          <w:sz w:val="22"/>
        </w:rPr>
      </w:pPr>
    </w:p>
    <w:p w14:paraId="265F750D" w14:textId="6B430309" w:rsidR="00D650B0" w:rsidRDefault="004B494B" w:rsidP="00B17E87">
      <w:pPr>
        <w:rPr>
          <w:sz w:val="22"/>
        </w:rPr>
      </w:pPr>
      <w:r>
        <w:rPr>
          <w:sz w:val="22"/>
        </w:rPr>
        <w:t>The late-stage phase of data collection</w:t>
      </w:r>
      <w:r w:rsidR="00725918">
        <w:rPr>
          <w:sz w:val="22"/>
        </w:rPr>
        <w:t xml:space="preserve"> generally lasts about 6 weeks and </w:t>
      </w:r>
      <w:r w:rsidR="00E34129">
        <w:rPr>
          <w:sz w:val="22"/>
        </w:rPr>
        <w:t>the prioritization scheme based on meeting targets in the key analytical domains is continued</w:t>
      </w:r>
      <w:r w:rsidR="00283310">
        <w:rPr>
          <w:sz w:val="22"/>
        </w:rPr>
        <w:t>. To set the priority order, cases are sorted by a cooperation propensity estimated using data</w:t>
      </w:r>
      <w:r w:rsidR="00E34129">
        <w:rPr>
          <w:sz w:val="22"/>
        </w:rPr>
        <w:t xml:space="preserve"> </w:t>
      </w:r>
      <w:r w:rsidR="00283310">
        <w:rPr>
          <w:sz w:val="22"/>
        </w:rPr>
        <w:t xml:space="preserve">as of </w:t>
      </w:r>
      <w:r w:rsidR="004D2D5A">
        <w:rPr>
          <w:sz w:val="22"/>
        </w:rPr>
        <w:t xml:space="preserve">the </w:t>
      </w:r>
      <w:r w:rsidR="00283310">
        <w:rPr>
          <w:sz w:val="22"/>
        </w:rPr>
        <w:t xml:space="preserve">end of the interim phase for locating. For data collection, cases are sorted by the number of contacts received, defined as the sum of </w:t>
      </w:r>
      <w:r w:rsidR="003D076C">
        <w:rPr>
          <w:sz w:val="22"/>
        </w:rPr>
        <w:t>the number of CATI dials and mailings, and those who received less data collection effort will be processed first</w:t>
      </w:r>
      <w:r w:rsidR="004D2D5A">
        <w:rPr>
          <w:sz w:val="22"/>
        </w:rPr>
        <w:t>.</w:t>
      </w:r>
      <w:r w:rsidR="003D076C">
        <w:rPr>
          <w:sz w:val="22"/>
        </w:rPr>
        <w:t xml:space="preserve"> </w:t>
      </w:r>
      <w:r w:rsidR="00D650B0">
        <w:rPr>
          <w:sz w:val="22"/>
        </w:rPr>
        <w:t>Priority for locating nonre</w:t>
      </w:r>
      <w:r w:rsidR="00725918">
        <w:rPr>
          <w:sz w:val="22"/>
        </w:rPr>
        <w:t>s</w:t>
      </w:r>
      <w:r w:rsidR="00D650B0">
        <w:rPr>
          <w:sz w:val="22"/>
        </w:rPr>
        <w:t xml:space="preserve">pondents </w:t>
      </w:r>
      <w:r w:rsidR="00725918">
        <w:rPr>
          <w:sz w:val="22"/>
        </w:rPr>
        <w:t xml:space="preserve">in the late-stage </w:t>
      </w:r>
      <w:r w:rsidR="00D650B0">
        <w:rPr>
          <w:sz w:val="22"/>
        </w:rPr>
        <w:t xml:space="preserve">will be the same </w:t>
      </w:r>
      <w:r w:rsidR="00725918">
        <w:rPr>
          <w:sz w:val="22"/>
        </w:rPr>
        <w:t>as in the interim stage (i.e., more locating effort going to high priority cases). In addition, high priority n</w:t>
      </w:r>
      <w:r w:rsidR="00D650B0">
        <w:rPr>
          <w:sz w:val="22"/>
        </w:rPr>
        <w:t>onre</w:t>
      </w:r>
      <w:r w:rsidR="00725918">
        <w:rPr>
          <w:sz w:val="22"/>
        </w:rPr>
        <w:t>s</w:t>
      </w:r>
      <w:r w:rsidR="00D650B0">
        <w:rPr>
          <w:sz w:val="22"/>
        </w:rPr>
        <w:t xml:space="preserve">pondents who are </w:t>
      </w:r>
      <w:r>
        <w:rPr>
          <w:sz w:val="22"/>
        </w:rPr>
        <w:t xml:space="preserve">found to be residing in the U.S. </w:t>
      </w:r>
      <w:r w:rsidR="00B83029">
        <w:rPr>
          <w:sz w:val="22"/>
        </w:rPr>
        <w:t>will</w:t>
      </w:r>
      <w:r w:rsidR="00D650B0">
        <w:rPr>
          <w:sz w:val="22"/>
        </w:rPr>
        <w:t xml:space="preserve"> be </w:t>
      </w:r>
      <w:r w:rsidR="00B83029">
        <w:rPr>
          <w:sz w:val="22"/>
        </w:rPr>
        <w:t>offered a $30 prepaid incentive and an infographic</w:t>
      </w:r>
      <w:r w:rsidR="004D317B">
        <w:rPr>
          <w:sz w:val="22"/>
        </w:rPr>
        <w:t xml:space="preserve"> </w:t>
      </w:r>
      <w:r w:rsidR="00D650B0">
        <w:rPr>
          <w:sz w:val="22"/>
        </w:rPr>
        <w:t>along with a copy of the questionnaire</w:t>
      </w:r>
      <w:r w:rsidR="00725918">
        <w:rPr>
          <w:sz w:val="22"/>
        </w:rPr>
        <w:t xml:space="preserve"> as a data collection treatment to increase the likelihood of gaining their cooperation. </w:t>
      </w:r>
      <w:r w:rsidR="00E57346">
        <w:rPr>
          <w:sz w:val="22"/>
        </w:rPr>
        <w:t>The remaining</w:t>
      </w:r>
      <w:r w:rsidR="00725918">
        <w:rPr>
          <w:sz w:val="22"/>
        </w:rPr>
        <w:t xml:space="preserve"> cases who are located in the U.S. only receive a mailed questionnaire or</w:t>
      </w:r>
      <w:r w:rsidR="008824D2">
        <w:rPr>
          <w:sz w:val="22"/>
        </w:rPr>
        <w:t>,</w:t>
      </w:r>
      <w:r w:rsidR="00725918">
        <w:rPr>
          <w:sz w:val="22"/>
        </w:rPr>
        <w:t xml:space="preserve"> if residing outside of the U.S.</w:t>
      </w:r>
      <w:r w:rsidR="00C76D27">
        <w:rPr>
          <w:sz w:val="22"/>
        </w:rPr>
        <w:t>,</w:t>
      </w:r>
      <w:r w:rsidR="00725918">
        <w:rPr>
          <w:sz w:val="22"/>
        </w:rPr>
        <w:t xml:space="preserve"> only receive a mailed infographic. </w:t>
      </w:r>
    </w:p>
    <w:p w14:paraId="539FD2C3" w14:textId="35656B4A" w:rsidR="00725918" w:rsidRDefault="00725918" w:rsidP="00B17E87">
      <w:pPr>
        <w:rPr>
          <w:sz w:val="22"/>
        </w:rPr>
      </w:pPr>
    </w:p>
    <w:p w14:paraId="315152CF" w14:textId="7926FFE9" w:rsidR="00FD7A49" w:rsidRDefault="00FD7A49" w:rsidP="00B17E87">
      <w:pPr>
        <w:rPr>
          <w:sz w:val="22"/>
        </w:rPr>
      </w:pPr>
      <w:r>
        <w:rPr>
          <w:sz w:val="22"/>
        </w:rPr>
        <w:t>T</w:t>
      </w:r>
      <w:r w:rsidR="00725918">
        <w:rPr>
          <w:sz w:val="22"/>
        </w:rPr>
        <w:t>he last-chance phase of data collection</w:t>
      </w:r>
      <w:r>
        <w:rPr>
          <w:sz w:val="22"/>
        </w:rPr>
        <w:t xml:space="preserve"> generally lasts 6 to 7 weeks. Th</w:t>
      </w:r>
      <w:r w:rsidR="00725918">
        <w:rPr>
          <w:sz w:val="22"/>
        </w:rPr>
        <w:t xml:space="preserve">e locating </w:t>
      </w:r>
      <w:r w:rsidR="000219FA">
        <w:rPr>
          <w:sz w:val="22"/>
        </w:rPr>
        <w:t>effort is prioritized the same as in the late-stage</w:t>
      </w:r>
      <w:r>
        <w:rPr>
          <w:sz w:val="22"/>
        </w:rPr>
        <w:t>. However,</w:t>
      </w:r>
      <w:r w:rsidR="000219FA">
        <w:rPr>
          <w:sz w:val="22"/>
        </w:rPr>
        <w:t xml:space="preserve"> high priority cases also receive more contacts in attempting to gain their cooperation once found</w:t>
      </w:r>
      <w:r w:rsidR="00A10DD3">
        <w:rPr>
          <w:sz w:val="22"/>
        </w:rPr>
        <w:t xml:space="preserve">. Furthermore, high priority cases </w:t>
      </w:r>
      <w:r w:rsidR="000219FA">
        <w:rPr>
          <w:sz w:val="22"/>
        </w:rPr>
        <w:t xml:space="preserve">may be offered an abbreviated survey that only asks about “critical items” such as the respondent’s employment status, location, citizenship, occupation and employer name. </w:t>
      </w:r>
      <w:r w:rsidR="00E57346">
        <w:rPr>
          <w:sz w:val="22"/>
        </w:rPr>
        <w:t>The remaining f</w:t>
      </w:r>
      <w:r w:rsidR="000219FA">
        <w:rPr>
          <w:sz w:val="22"/>
        </w:rPr>
        <w:t>ound sampled members are also offered a “critical item only” (CIO) form. Persons responding to a CIO survey often participate using CATI.</w:t>
      </w:r>
    </w:p>
    <w:p w14:paraId="5F385688" w14:textId="0F5C96FF" w:rsidR="00FD7A49" w:rsidRDefault="00FD7A49" w:rsidP="00B17E87">
      <w:pPr>
        <w:rPr>
          <w:sz w:val="22"/>
        </w:rPr>
      </w:pPr>
    </w:p>
    <w:p w14:paraId="6E196437" w14:textId="1743532A" w:rsidR="00FD7A49" w:rsidRDefault="003D076C" w:rsidP="00B17E87">
      <w:pPr>
        <w:rPr>
          <w:sz w:val="22"/>
        </w:rPr>
      </w:pPr>
      <w:r>
        <w:rPr>
          <w:sz w:val="22"/>
        </w:rPr>
        <w:t xml:space="preserve">Throughout all phases, </w:t>
      </w:r>
      <w:r w:rsidR="005B2439">
        <w:rPr>
          <w:sz w:val="22"/>
        </w:rPr>
        <w:t xml:space="preserve">other </w:t>
      </w:r>
      <w:r w:rsidR="0021427E">
        <w:rPr>
          <w:sz w:val="22"/>
        </w:rPr>
        <w:t>metrics</w:t>
      </w:r>
      <w:r w:rsidR="005B2439">
        <w:rPr>
          <w:sz w:val="22"/>
        </w:rPr>
        <w:t xml:space="preserve"> such as</w:t>
      </w:r>
      <w:r w:rsidR="000A284D">
        <w:rPr>
          <w:sz w:val="22"/>
        </w:rPr>
        <w:t xml:space="preserve"> R-indicators and preliminary weighted key </w:t>
      </w:r>
      <w:r w:rsidR="00D06E7B">
        <w:rPr>
          <w:sz w:val="22"/>
        </w:rPr>
        <w:t xml:space="preserve">domain </w:t>
      </w:r>
      <w:r w:rsidR="000A284D">
        <w:rPr>
          <w:sz w:val="22"/>
        </w:rPr>
        <w:t>estimates will be monitored and compared to those from prior survey cycles</w:t>
      </w:r>
      <w:r w:rsidR="004C01BE">
        <w:rPr>
          <w:sz w:val="22"/>
        </w:rPr>
        <w:t xml:space="preserve"> as supplemental metrics to evaluate the impact of the </w:t>
      </w:r>
      <w:r w:rsidR="0021427E">
        <w:rPr>
          <w:sz w:val="22"/>
        </w:rPr>
        <w:t>locating and data collection efforts</w:t>
      </w:r>
      <w:r w:rsidR="000A284D">
        <w:rPr>
          <w:sz w:val="22"/>
        </w:rPr>
        <w:t>.</w:t>
      </w:r>
    </w:p>
    <w:p w14:paraId="46D0C1F9" w14:textId="77777777" w:rsidR="00856CBE" w:rsidRDefault="00856CBE">
      <w:pPr>
        <w:rPr>
          <w:sz w:val="22"/>
        </w:rPr>
      </w:pPr>
    </w:p>
    <w:p w14:paraId="51AE49EB" w14:textId="3666C989" w:rsidR="00856CBE" w:rsidRDefault="00856CBE" w:rsidP="008212F0">
      <w:pPr>
        <w:rPr>
          <w:b/>
          <w:sz w:val="22"/>
          <w:szCs w:val="22"/>
        </w:rPr>
      </w:pPr>
      <w:r w:rsidRPr="00460E97">
        <w:rPr>
          <w:b/>
          <w:sz w:val="22"/>
          <w:szCs w:val="22"/>
        </w:rPr>
        <w:t xml:space="preserve">Table </w:t>
      </w:r>
      <w:r w:rsidR="00460E97" w:rsidRPr="00460E97">
        <w:rPr>
          <w:b/>
          <w:sz w:val="22"/>
          <w:szCs w:val="22"/>
        </w:rPr>
        <w:t>3</w:t>
      </w:r>
      <w:r w:rsidRPr="00460E97">
        <w:rPr>
          <w:b/>
          <w:sz w:val="22"/>
          <w:szCs w:val="22"/>
        </w:rPr>
        <w:t xml:space="preserve">: </w:t>
      </w:r>
      <w:r w:rsidR="004C01BE">
        <w:rPr>
          <w:b/>
          <w:sz w:val="22"/>
          <w:szCs w:val="22"/>
        </w:rPr>
        <w:t xml:space="preserve">Proposed </w:t>
      </w:r>
      <w:r w:rsidR="00460E97" w:rsidRPr="00460E97">
        <w:rPr>
          <w:b/>
          <w:sz w:val="22"/>
          <w:szCs w:val="22"/>
        </w:rPr>
        <w:t>2019 SDR Adaptive Design Metrics and Criteria</w:t>
      </w:r>
    </w:p>
    <w:tbl>
      <w:tblPr>
        <w:tblStyle w:val="TableGrid"/>
        <w:tblW w:w="9625" w:type="dxa"/>
        <w:tblLook w:val="04A0" w:firstRow="1" w:lastRow="0" w:firstColumn="1" w:lastColumn="0" w:noHBand="0" w:noVBand="1"/>
      </w:tblPr>
      <w:tblGrid>
        <w:gridCol w:w="1659"/>
        <w:gridCol w:w="3940"/>
        <w:gridCol w:w="4026"/>
      </w:tblGrid>
      <w:tr w:rsidR="00856CBE" w14:paraId="1FB2EC17" w14:textId="77777777" w:rsidTr="008212F0">
        <w:trPr>
          <w:cantSplit/>
          <w:tblHeader/>
        </w:trPr>
        <w:tc>
          <w:tcPr>
            <w:tcW w:w="1435" w:type="dxa"/>
          </w:tcPr>
          <w:p w14:paraId="63A21DB8" w14:textId="614AC3D1" w:rsidR="00856CBE" w:rsidRDefault="00460E97" w:rsidP="008B55FD">
            <w:pPr>
              <w:rPr>
                <w:sz w:val="22"/>
                <w:szCs w:val="22"/>
              </w:rPr>
            </w:pPr>
            <w:r>
              <w:rPr>
                <w:sz w:val="22"/>
                <w:szCs w:val="22"/>
              </w:rPr>
              <w:t>Phase</w:t>
            </w:r>
          </w:p>
        </w:tc>
        <w:tc>
          <w:tcPr>
            <w:tcW w:w="4050" w:type="dxa"/>
          </w:tcPr>
          <w:p w14:paraId="5D5AF72E" w14:textId="6ED4C520" w:rsidR="00856CBE" w:rsidRDefault="00460E97" w:rsidP="008B55FD">
            <w:pPr>
              <w:jc w:val="center"/>
              <w:rPr>
                <w:sz w:val="22"/>
                <w:szCs w:val="22"/>
              </w:rPr>
            </w:pPr>
            <w:r>
              <w:rPr>
                <w:sz w:val="22"/>
                <w:szCs w:val="22"/>
              </w:rPr>
              <w:t>Proposed metric</w:t>
            </w:r>
          </w:p>
        </w:tc>
        <w:tc>
          <w:tcPr>
            <w:tcW w:w="4140" w:type="dxa"/>
          </w:tcPr>
          <w:p w14:paraId="05C989AA" w14:textId="03299095" w:rsidR="00856CBE" w:rsidRDefault="00460E97" w:rsidP="008B55FD">
            <w:pPr>
              <w:jc w:val="center"/>
              <w:rPr>
                <w:sz w:val="22"/>
                <w:szCs w:val="22"/>
              </w:rPr>
            </w:pPr>
            <w:r>
              <w:rPr>
                <w:sz w:val="22"/>
                <w:szCs w:val="22"/>
              </w:rPr>
              <w:t>Proposed metric criteria</w:t>
            </w:r>
          </w:p>
        </w:tc>
      </w:tr>
      <w:tr w:rsidR="00460E97" w14:paraId="10CB4C37" w14:textId="77777777" w:rsidTr="008212F0">
        <w:trPr>
          <w:cantSplit/>
        </w:trPr>
        <w:tc>
          <w:tcPr>
            <w:tcW w:w="1435" w:type="dxa"/>
          </w:tcPr>
          <w:p w14:paraId="55F8A5D5" w14:textId="77777777" w:rsidR="00652F8C" w:rsidRDefault="00460E97" w:rsidP="008B55FD">
            <w:pPr>
              <w:rPr>
                <w:sz w:val="22"/>
                <w:szCs w:val="22"/>
              </w:rPr>
            </w:pPr>
            <w:r>
              <w:rPr>
                <w:sz w:val="22"/>
                <w:szCs w:val="22"/>
              </w:rPr>
              <w:t>Starting</w:t>
            </w:r>
            <w:r w:rsidR="00652F8C">
              <w:rPr>
                <w:sz w:val="22"/>
                <w:szCs w:val="22"/>
              </w:rPr>
              <w:t xml:space="preserve"> </w:t>
            </w:r>
          </w:p>
          <w:p w14:paraId="6B5E8B9D" w14:textId="77777777" w:rsidR="00A10DD3" w:rsidRDefault="00A10DD3" w:rsidP="008B55FD">
            <w:pPr>
              <w:rPr>
                <w:sz w:val="22"/>
                <w:szCs w:val="22"/>
              </w:rPr>
            </w:pPr>
          </w:p>
          <w:p w14:paraId="3A80D4A3" w14:textId="78799538" w:rsidR="00460E97" w:rsidRDefault="00652F8C" w:rsidP="008B55FD">
            <w:pPr>
              <w:rPr>
                <w:sz w:val="22"/>
                <w:szCs w:val="22"/>
              </w:rPr>
            </w:pPr>
            <w:r>
              <w:rPr>
                <w:sz w:val="22"/>
                <w:szCs w:val="22"/>
              </w:rPr>
              <w:t>(</w:t>
            </w:r>
            <w:r w:rsidR="00A10DD3">
              <w:rPr>
                <w:sz w:val="22"/>
                <w:szCs w:val="22"/>
              </w:rPr>
              <w:t xml:space="preserve">120,000 sample cases; Phase lasts </w:t>
            </w:r>
            <w:r>
              <w:rPr>
                <w:sz w:val="22"/>
                <w:szCs w:val="22"/>
              </w:rPr>
              <w:t>4-5 weeks)</w:t>
            </w:r>
          </w:p>
        </w:tc>
        <w:tc>
          <w:tcPr>
            <w:tcW w:w="4050" w:type="dxa"/>
          </w:tcPr>
          <w:p w14:paraId="07C6EBD1" w14:textId="48786324" w:rsidR="00460E97" w:rsidRDefault="00F622C5" w:rsidP="00F622C5">
            <w:pPr>
              <w:rPr>
                <w:sz w:val="22"/>
                <w:szCs w:val="22"/>
              </w:rPr>
            </w:pPr>
            <w:r w:rsidRPr="00F622C5">
              <w:rPr>
                <w:i/>
                <w:sz w:val="22"/>
                <w:szCs w:val="22"/>
              </w:rPr>
              <w:t xml:space="preserve">Starting phase priority </w:t>
            </w:r>
            <w:r w:rsidR="008212F0">
              <w:rPr>
                <w:sz w:val="22"/>
                <w:szCs w:val="22"/>
              </w:rPr>
              <w:t>determined</w:t>
            </w:r>
            <w:r>
              <w:rPr>
                <w:sz w:val="22"/>
                <w:szCs w:val="22"/>
              </w:rPr>
              <w:t xml:space="preserve"> </w:t>
            </w:r>
            <w:r w:rsidR="00652F8C">
              <w:rPr>
                <w:sz w:val="22"/>
                <w:szCs w:val="22"/>
              </w:rPr>
              <w:t>using</w:t>
            </w:r>
            <w:r w:rsidR="008212F0">
              <w:rPr>
                <w:sz w:val="22"/>
                <w:szCs w:val="22"/>
              </w:rPr>
              <w:t>:</w:t>
            </w:r>
          </w:p>
          <w:p w14:paraId="4486DC12" w14:textId="6441124F" w:rsidR="00652F8C" w:rsidRDefault="00652F8C" w:rsidP="00652F8C">
            <w:pPr>
              <w:pStyle w:val="ListParagraph"/>
              <w:numPr>
                <w:ilvl w:val="0"/>
                <w:numId w:val="96"/>
              </w:numPr>
            </w:pPr>
            <w:r w:rsidRPr="00652F8C">
              <w:t>2017 SDR response status</w:t>
            </w:r>
          </w:p>
          <w:p w14:paraId="2F68536A" w14:textId="6881B122" w:rsidR="00652F8C" w:rsidRPr="00652F8C" w:rsidRDefault="008212F0" w:rsidP="008212F0">
            <w:pPr>
              <w:pStyle w:val="ListParagraph"/>
              <w:numPr>
                <w:ilvl w:val="0"/>
                <w:numId w:val="96"/>
              </w:numPr>
            </w:pPr>
            <w:r>
              <w:t>M</w:t>
            </w:r>
            <w:r w:rsidR="00B27459">
              <w:t xml:space="preserve">easure of prior locating effort defined as </w:t>
            </w:r>
            <w:r>
              <w:t xml:space="preserve">the </w:t>
            </w:r>
            <w:r w:rsidR="00B27459">
              <w:t>number of changes in locating disposition</w:t>
            </w:r>
            <w:r w:rsidR="004D2D5A">
              <w:t xml:space="preserve"> </w:t>
            </w:r>
            <w:r>
              <w:t>during</w:t>
            </w:r>
            <w:r w:rsidR="004D2D5A">
              <w:t xml:space="preserve"> the 2017 SDR survey cycle</w:t>
            </w:r>
          </w:p>
          <w:p w14:paraId="7B6A4B80" w14:textId="31E1F528" w:rsidR="00652F8C" w:rsidRDefault="00652F8C" w:rsidP="00F622C5">
            <w:pPr>
              <w:rPr>
                <w:sz w:val="22"/>
                <w:szCs w:val="22"/>
              </w:rPr>
            </w:pPr>
          </w:p>
        </w:tc>
        <w:tc>
          <w:tcPr>
            <w:tcW w:w="4140" w:type="dxa"/>
          </w:tcPr>
          <w:p w14:paraId="1DCD9B73" w14:textId="21027AEB" w:rsidR="00460E97" w:rsidRDefault="00B27459" w:rsidP="00F622C5">
            <w:pPr>
              <w:rPr>
                <w:i/>
                <w:sz w:val="22"/>
                <w:szCs w:val="22"/>
              </w:rPr>
            </w:pPr>
            <w:r>
              <w:rPr>
                <w:sz w:val="22"/>
                <w:szCs w:val="22"/>
              </w:rPr>
              <w:t>H</w:t>
            </w:r>
            <w:r w:rsidR="00F622C5">
              <w:rPr>
                <w:sz w:val="22"/>
                <w:szCs w:val="22"/>
              </w:rPr>
              <w:t xml:space="preserve">igh </w:t>
            </w:r>
            <w:r w:rsidR="00903CDF">
              <w:rPr>
                <w:sz w:val="22"/>
                <w:szCs w:val="22"/>
              </w:rPr>
              <w:t>priority</w:t>
            </w:r>
            <w:r w:rsidR="00E438A6">
              <w:rPr>
                <w:sz w:val="22"/>
                <w:szCs w:val="22"/>
              </w:rPr>
              <w:t>:</w:t>
            </w:r>
            <w:r w:rsidR="00F622C5">
              <w:rPr>
                <w:sz w:val="22"/>
                <w:szCs w:val="22"/>
              </w:rPr>
              <w:t xml:space="preserve"> </w:t>
            </w:r>
            <w:r w:rsidR="00E438A6">
              <w:rPr>
                <w:sz w:val="22"/>
                <w:szCs w:val="22"/>
              </w:rPr>
              <w:t>A</w:t>
            </w:r>
            <w:r>
              <w:rPr>
                <w:sz w:val="22"/>
                <w:szCs w:val="22"/>
              </w:rPr>
              <w:t xml:space="preserve">ll prior </w:t>
            </w:r>
            <w:r w:rsidRPr="00AF3D6A">
              <w:rPr>
                <w:sz w:val="22"/>
                <w:szCs w:val="22"/>
              </w:rPr>
              <w:t xml:space="preserve">respondents and 50% of unlocated cases with </w:t>
            </w:r>
            <w:r w:rsidR="00AF3D6A">
              <w:rPr>
                <w:sz w:val="22"/>
                <w:szCs w:val="22"/>
              </w:rPr>
              <w:t>fewer than 3</w:t>
            </w:r>
            <w:r w:rsidR="00AF3D6A" w:rsidRPr="00AF3D6A">
              <w:rPr>
                <w:sz w:val="22"/>
                <w:szCs w:val="22"/>
              </w:rPr>
              <w:t xml:space="preserve"> changes in </w:t>
            </w:r>
            <w:r w:rsidRPr="00AF3D6A">
              <w:rPr>
                <w:sz w:val="22"/>
                <w:szCs w:val="22"/>
              </w:rPr>
              <w:t xml:space="preserve">prior locating </w:t>
            </w:r>
            <w:r w:rsidR="00AF3D6A">
              <w:rPr>
                <w:sz w:val="22"/>
                <w:szCs w:val="22"/>
              </w:rPr>
              <w:t>disposition</w:t>
            </w:r>
          </w:p>
          <w:p w14:paraId="28D22120" w14:textId="77777777" w:rsidR="00F622C5" w:rsidRDefault="00F622C5" w:rsidP="00F622C5">
            <w:pPr>
              <w:rPr>
                <w:sz w:val="22"/>
                <w:szCs w:val="22"/>
              </w:rPr>
            </w:pPr>
          </w:p>
          <w:p w14:paraId="1F2009FA" w14:textId="465F979F" w:rsidR="00AF3D6A" w:rsidRDefault="00B27459" w:rsidP="00F622C5">
            <w:pPr>
              <w:rPr>
                <w:sz w:val="22"/>
                <w:szCs w:val="22"/>
              </w:rPr>
            </w:pPr>
            <w:r>
              <w:rPr>
                <w:sz w:val="22"/>
                <w:szCs w:val="22"/>
              </w:rPr>
              <w:t>Note: In 2017, about 7</w:t>
            </w:r>
            <w:r w:rsidR="00F844B1">
              <w:rPr>
                <w:sz w:val="22"/>
                <w:szCs w:val="22"/>
              </w:rPr>
              <w:t>5</w:t>
            </w:r>
            <w:r>
              <w:rPr>
                <w:sz w:val="22"/>
                <w:szCs w:val="22"/>
              </w:rPr>
              <w:t xml:space="preserve">% of overall sample assigned to the high priority </w:t>
            </w:r>
            <w:r w:rsidR="00BA1C5B">
              <w:rPr>
                <w:sz w:val="22"/>
                <w:szCs w:val="22"/>
              </w:rPr>
              <w:t>treatment</w:t>
            </w:r>
            <w:r>
              <w:rPr>
                <w:sz w:val="22"/>
                <w:szCs w:val="22"/>
              </w:rPr>
              <w:t xml:space="preserve">. </w:t>
            </w:r>
            <w:r w:rsidR="00D90AAD">
              <w:rPr>
                <w:sz w:val="22"/>
                <w:szCs w:val="22"/>
              </w:rPr>
              <w:t xml:space="preserve">For </w:t>
            </w:r>
            <w:r w:rsidR="00AF3D6A">
              <w:rPr>
                <w:sz w:val="22"/>
                <w:szCs w:val="22"/>
              </w:rPr>
              <w:t xml:space="preserve">the </w:t>
            </w:r>
            <w:r w:rsidR="00D90AAD">
              <w:rPr>
                <w:sz w:val="22"/>
                <w:szCs w:val="22"/>
              </w:rPr>
              <w:t>2019</w:t>
            </w:r>
            <w:r w:rsidR="00AF3D6A">
              <w:rPr>
                <w:sz w:val="22"/>
                <w:szCs w:val="22"/>
              </w:rPr>
              <w:t xml:space="preserve"> SDR</w:t>
            </w:r>
            <w:r w:rsidR="00D90AAD">
              <w:rPr>
                <w:sz w:val="22"/>
                <w:szCs w:val="22"/>
              </w:rPr>
              <w:t>, the size of high priority assignment will be based on level of resour</w:t>
            </w:r>
            <w:r w:rsidR="00AF3D6A">
              <w:rPr>
                <w:sz w:val="22"/>
                <w:szCs w:val="22"/>
              </w:rPr>
              <w:t>c</w:t>
            </w:r>
            <w:r w:rsidR="00D90AAD">
              <w:rPr>
                <w:sz w:val="22"/>
                <w:szCs w:val="22"/>
              </w:rPr>
              <w:t>e</w:t>
            </w:r>
            <w:r w:rsidR="00AF3D6A">
              <w:rPr>
                <w:sz w:val="22"/>
                <w:szCs w:val="22"/>
              </w:rPr>
              <w:t>s</w:t>
            </w:r>
            <w:r w:rsidR="00D90AAD">
              <w:rPr>
                <w:sz w:val="22"/>
                <w:szCs w:val="22"/>
              </w:rPr>
              <w:t xml:space="preserve"> </w:t>
            </w:r>
            <w:r w:rsidR="00BA1C5B">
              <w:rPr>
                <w:sz w:val="22"/>
                <w:szCs w:val="22"/>
              </w:rPr>
              <w:t>available</w:t>
            </w:r>
          </w:p>
          <w:p w14:paraId="37DF68FC" w14:textId="2B9C1D62" w:rsidR="00F622C5" w:rsidRDefault="00B27459" w:rsidP="00F622C5">
            <w:pPr>
              <w:rPr>
                <w:sz w:val="22"/>
                <w:szCs w:val="22"/>
              </w:rPr>
            </w:pPr>
            <w:r>
              <w:rPr>
                <w:sz w:val="22"/>
                <w:szCs w:val="22"/>
              </w:rPr>
              <w:t xml:space="preserve"> </w:t>
            </w:r>
          </w:p>
        </w:tc>
      </w:tr>
      <w:tr w:rsidR="00856CBE" w14:paraId="66DD396C" w14:textId="77777777" w:rsidTr="008212F0">
        <w:trPr>
          <w:cantSplit/>
        </w:trPr>
        <w:tc>
          <w:tcPr>
            <w:tcW w:w="1435" w:type="dxa"/>
          </w:tcPr>
          <w:p w14:paraId="10545FB3" w14:textId="77777777" w:rsidR="00B27459" w:rsidRDefault="00460E97" w:rsidP="008B55FD">
            <w:pPr>
              <w:rPr>
                <w:sz w:val="22"/>
                <w:szCs w:val="22"/>
              </w:rPr>
            </w:pPr>
            <w:r>
              <w:rPr>
                <w:sz w:val="22"/>
                <w:szCs w:val="22"/>
              </w:rPr>
              <w:t>Interim</w:t>
            </w:r>
            <w:r w:rsidR="00B27459">
              <w:rPr>
                <w:sz w:val="22"/>
                <w:szCs w:val="22"/>
              </w:rPr>
              <w:t xml:space="preserve"> </w:t>
            </w:r>
          </w:p>
          <w:p w14:paraId="2F5F4504" w14:textId="77777777" w:rsidR="00A10DD3" w:rsidRDefault="00A10DD3" w:rsidP="008B55FD">
            <w:pPr>
              <w:rPr>
                <w:sz w:val="22"/>
                <w:szCs w:val="22"/>
              </w:rPr>
            </w:pPr>
          </w:p>
          <w:p w14:paraId="004FF41F" w14:textId="251EF30F" w:rsidR="00856CBE" w:rsidRDefault="00B27459" w:rsidP="008B55FD">
            <w:pPr>
              <w:rPr>
                <w:sz w:val="22"/>
                <w:szCs w:val="22"/>
              </w:rPr>
            </w:pPr>
            <w:r>
              <w:rPr>
                <w:sz w:val="22"/>
                <w:szCs w:val="22"/>
              </w:rPr>
              <w:t>(</w:t>
            </w:r>
            <w:r w:rsidR="00A10DD3">
              <w:rPr>
                <w:sz w:val="22"/>
                <w:szCs w:val="22"/>
              </w:rPr>
              <w:t xml:space="preserve">Approximately 80% of original sample cases remain nonrespondents; Phase lasts </w:t>
            </w:r>
            <w:r>
              <w:rPr>
                <w:sz w:val="22"/>
                <w:szCs w:val="22"/>
              </w:rPr>
              <w:t>10-12 weeks)</w:t>
            </w:r>
          </w:p>
          <w:p w14:paraId="2E180413" w14:textId="0AFF5441" w:rsidR="00652F8C" w:rsidRDefault="00652F8C" w:rsidP="008B55FD">
            <w:pPr>
              <w:rPr>
                <w:sz w:val="22"/>
                <w:szCs w:val="22"/>
              </w:rPr>
            </w:pPr>
          </w:p>
        </w:tc>
        <w:tc>
          <w:tcPr>
            <w:tcW w:w="4050" w:type="dxa"/>
          </w:tcPr>
          <w:p w14:paraId="055EE009" w14:textId="51177B67" w:rsidR="003D2067" w:rsidRDefault="00F622C5" w:rsidP="00F622C5">
            <w:pPr>
              <w:rPr>
                <w:sz w:val="22"/>
                <w:szCs w:val="22"/>
              </w:rPr>
            </w:pPr>
            <w:r w:rsidRPr="00F622C5">
              <w:rPr>
                <w:i/>
                <w:sz w:val="22"/>
                <w:szCs w:val="22"/>
              </w:rPr>
              <w:t>Interim phase priority</w:t>
            </w:r>
            <w:r>
              <w:rPr>
                <w:sz w:val="22"/>
                <w:szCs w:val="22"/>
              </w:rPr>
              <w:t xml:space="preserve"> </w:t>
            </w:r>
            <w:r w:rsidR="008212F0">
              <w:rPr>
                <w:sz w:val="22"/>
                <w:szCs w:val="22"/>
              </w:rPr>
              <w:t xml:space="preserve">determined </w:t>
            </w:r>
            <w:r w:rsidR="003D2067">
              <w:rPr>
                <w:sz w:val="22"/>
                <w:szCs w:val="22"/>
              </w:rPr>
              <w:t>using</w:t>
            </w:r>
          </w:p>
          <w:p w14:paraId="4D97CBF4" w14:textId="00DEF83E" w:rsidR="003D2067" w:rsidRDefault="003D2067" w:rsidP="003D2067">
            <w:pPr>
              <w:pStyle w:val="ListParagraph"/>
              <w:numPr>
                <w:ilvl w:val="0"/>
                <w:numId w:val="97"/>
              </w:numPr>
            </w:pPr>
            <w:r>
              <w:t xml:space="preserve">A: </w:t>
            </w:r>
            <w:r w:rsidR="00E438A6">
              <w:t>T</w:t>
            </w:r>
            <w:r w:rsidR="00F622C5" w:rsidRPr="003D2067">
              <w:t>he number of key analytical domains a sample case is in that are both (</w:t>
            </w:r>
            <w:r>
              <w:t>i</w:t>
            </w:r>
            <w:r w:rsidR="00F622C5" w:rsidRPr="003D2067">
              <w:t>) below the target number of completes and (</w:t>
            </w:r>
            <w:r>
              <w:t>ii</w:t>
            </w:r>
            <w:r w:rsidR="00F622C5" w:rsidRPr="003D2067">
              <w:t xml:space="preserve">) below </w:t>
            </w:r>
            <w:r w:rsidR="00E438A6">
              <w:t xml:space="preserve">the </w:t>
            </w:r>
            <w:r w:rsidR="00F622C5" w:rsidRPr="003D2067">
              <w:t xml:space="preserve">average response rate </w:t>
            </w:r>
          </w:p>
          <w:p w14:paraId="6A611EF2" w14:textId="34C0F59C" w:rsidR="00F622C5" w:rsidRPr="003D2067" w:rsidRDefault="00F427FD" w:rsidP="00AF3D6A">
            <w:pPr>
              <w:pStyle w:val="ListParagraph"/>
              <w:numPr>
                <w:ilvl w:val="0"/>
                <w:numId w:val="97"/>
              </w:numPr>
            </w:pPr>
            <w:r>
              <w:t xml:space="preserve">B: </w:t>
            </w:r>
            <w:r w:rsidR="00E438A6">
              <w:t>E</w:t>
            </w:r>
            <w:r w:rsidR="003D2067">
              <w:t xml:space="preserve">stimated cooperation propensity score based on the subset of located cases as of end of the starting phase </w:t>
            </w:r>
          </w:p>
        </w:tc>
        <w:tc>
          <w:tcPr>
            <w:tcW w:w="4140" w:type="dxa"/>
          </w:tcPr>
          <w:p w14:paraId="4D3A4337" w14:textId="2186A342" w:rsidR="00856CBE" w:rsidRDefault="003D2067" w:rsidP="00F622C5">
            <w:pPr>
              <w:rPr>
                <w:sz w:val="22"/>
                <w:szCs w:val="22"/>
              </w:rPr>
            </w:pPr>
            <w:r>
              <w:rPr>
                <w:sz w:val="22"/>
                <w:szCs w:val="22"/>
              </w:rPr>
              <w:t xml:space="preserve">High </w:t>
            </w:r>
            <w:r w:rsidR="00903CDF">
              <w:rPr>
                <w:sz w:val="22"/>
                <w:szCs w:val="22"/>
              </w:rPr>
              <w:t>priority</w:t>
            </w:r>
            <w:r>
              <w:rPr>
                <w:sz w:val="22"/>
                <w:szCs w:val="22"/>
              </w:rPr>
              <w:t xml:space="preserve">: </w:t>
            </w:r>
            <w:r w:rsidR="00F427FD">
              <w:rPr>
                <w:sz w:val="22"/>
                <w:szCs w:val="22"/>
              </w:rPr>
              <w:t>A ≥ 2 and B ≤ 0.4</w:t>
            </w:r>
          </w:p>
          <w:p w14:paraId="313E63EC" w14:textId="77777777" w:rsidR="00F427FD" w:rsidRDefault="00F427FD" w:rsidP="00F622C5">
            <w:pPr>
              <w:rPr>
                <w:sz w:val="22"/>
                <w:szCs w:val="22"/>
              </w:rPr>
            </w:pPr>
          </w:p>
          <w:p w14:paraId="597CA0E4" w14:textId="34338BA3" w:rsidR="00F427FD" w:rsidRDefault="00F427FD" w:rsidP="00F622C5">
            <w:pPr>
              <w:rPr>
                <w:sz w:val="22"/>
                <w:szCs w:val="22"/>
              </w:rPr>
            </w:pPr>
            <w:r>
              <w:rPr>
                <w:sz w:val="22"/>
                <w:szCs w:val="22"/>
              </w:rPr>
              <w:t xml:space="preserve">Locating priority order: </w:t>
            </w:r>
            <w:r w:rsidR="00903CDF">
              <w:rPr>
                <w:sz w:val="22"/>
                <w:szCs w:val="22"/>
              </w:rPr>
              <w:t>S</w:t>
            </w:r>
            <w:r>
              <w:rPr>
                <w:sz w:val="22"/>
                <w:szCs w:val="22"/>
              </w:rPr>
              <w:t>orting by A (from high to low) and then by B (from high to low)</w:t>
            </w:r>
          </w:p>
          <w:p w14:paraId="1D140B8B" w14:textId="77777777" w:rsidR="00F427FD" w:rsidRDefault="00F427FD" w:rsidP="00F622C5">
            <w:pPr>
              <w:rPr>
                <w:sz w:val="22"/>
                <w:szCs w:val="22"/>
              </w:rPr>
            </w:pPr>
          </w:p>
          <w:p w14:paraId="298A0B0D" w14:textId="3F43785F" w:rsidR="00F427FD" w:rsidRDefault="00F427FD" w:rsidP="00F427FD">
            <w:pPr>
              <w:rPr>
                <w:sz w:val="22"/>
                <w:szCs w:val="22"/>
              </w:rPr>
            </w:pPr>
            <w:r>
              <w:rPr>
                <w:sz w:val="22"/>
                <w:szCs w:val="22"/>
              </w:rPr>
              <w:t xml:space="preserve">Data collection priority order (CATI prompting order): </w:t>
            </w:r>
            <w:r w:rsidR="00903CDF">
              <w:rPr>
                <w:sz w:val="22"/>
                <w:szCs w:val="22"/>
              </w:rPr>
              <w:t>S</w:t>
            </w:r>
            <w:r>
              <w:rPr>
                <w:sz w:val="22"/>
                <w:szCs w:val="22"/>
              </w:rPr>
              <w:t>ort by A (from high to low) and then by B (from low to high)</w:t>
            </w:r>
          </w:p>
          <w:p w14:paraId="0EAC9874" w14:textId="77777777" w:rsidR="00F844B1" w:rsidRDefault="00F844B1" w:rsidP="00F427FD">
            <w:pPr>
              <w:rPr>
                <w:sz w:val="22"/>
                <w:szCs w:val="22"/>
              </w:rPr>
            </w:pPr>
          </w:p>
          <w:p w14:paraId="6D68A9E1" w14:textId="3EAA5926" w:rsidR="00F427FD" w:rsidRDefault="00F844B1" w:rsidP="00F622C5">
            <w:pPr>
              <w:rPr>
                <w:sz w:val="22"/>
                <w:szCs w:val="22"/>
              </w:rPr>
            </w:pPr>
            <w:r>
              <w:rPr>
                <w:sz w:val="22"/>
                <w:szCs w:val="22"/>
              </w:rPr>
              <w:t>Note: In 2017, about 75% of pending cases assigned to the high locating treatment</w:t>
            </w:r>
          </w:p>
          <w:p w14:paraId="2AED2626" w14:textId="0379A983" w:rsidR="00AF3D6A" w:rsidRDefault="00AF3D6A" w:rsidP="00F622C5">
            <w:pPr>
              <w:rPr>
                <w:sz w:val="22"/>
                <w:szCs w:val="22"/>
              </w:rPr>
            </w:pPr>
          </w:p>
        </w:tc>
      </w:tr>
      <w:tr w:rsidR="00856CBE" w14:paraId="071220BE" w14:textId="77777777" w:rsidTr="008212F0">
        <w:trPr>
          <w:cantSplit/>
        </w:trPr>
        <w:tc>
          <w:tcPr>
            <w:tcW w:w="1435" w:type="dxa"/>
          </w:tcPr>
          <w:p w14:paraId="0DA0D0BD" w14:textId="77777777" w:rsidR="00F844B1" w:rsidRDefault="00460E97" w:rsidP="008B55FD">
            <w:pPr>
              <w:rPr>
                <w:sz w:val="22"/>
                <w:szCs w:val="22"/>
              </w:rPr>
            </w:pPr>
            <w:r>
              <w:rPr>
                <w:sz w:val="22"/>
                <w:szCs w:val="22"/>
              </w:rPr>
              <w:t>Lat</w:t>
            </w:r>
            <w:r w:rsidR="001533BD">
              <w:rPr>
                <w:sz w:val="22"/>
                <w:szCs w:val="22"/>
              </w:rPr>
              <w:t>e</w:t>
            </w:r>
            <w:r>
              <w:rPr>
                <w:sz w:val="22"/>
                <w:szCs w:val="22"/>
              </w:rPr>
              <w:t xml:space="preserve">-stage </w:t>
            </w:r>
          </w:p>
          <w:p w14:paraId="49A354A1" w14:textId="77777777" w:rsidR="00A10DD3" w:rsidRDefault="00A10DD3" w:rsidP="00A10DD3">
            <w:pPr>
              <w:rPr>
                <w:sz w:val="22"/>
                <w:szCs w:val="22"/>
              </w:rPr>
            </w:pPr>
          </w:p>
          <w:p w14:paraId="5715C028" w14:textId="425FC34B" w:rsidR="00A10DD3" w:rsidRDefault="00A10DD3" w:rsidP="00A10DD3">
            <w:pPr>
              <w:rPr>
                <w:sz w:val="22"/>
                <w:szCs w:val="22"/>
              </w:rPr>
            </w:pPr>
            <w:r>
              <w:rPr>
                <w:sz w:val="22"/>
                <w:szCs w:val="22"/>
              </w:rPr>
              <w:t>(Approximately 50% of original sample cases remain nonrespondents; Phase lasts 6 weeks)</w:t>
            </w:r>
          </w:p>
          <w:p w14:paraId="4FF0D839" w14:textId="24590E39" w:rsidR="00A10DD3" w:rsidRDefault="00A10DD3" w:rsidP="008B55FD">
            <w:pPr>
              <w:rPr>
                <w:sz w:val="22"/>
                <w:szCs w:val="22"/>
              </w:rPr>
            </w:pPr>
          </w:p>
        </w:tc>
        <w:tc>
          <w:tcPr>
            <w:tcW w:w="4050" w:type="dxa"/>
          </w:tcPr>
          <w:p w14:paraId="1DB0355D" w14:textId="129E72C0" w:rsidR="00F844B1" w:rsidRDefault="001533BD" w:rsidP="001533BD">
            <w:pPr>
              <w:rPr>
                <w:sz w:val="22"/>
                <w:szCs w:val="22"/>
              </w:rPr>
            </w:pPr>
            <w:r w:rsidRPr="001533BD">
              <w:rPr>
                <w:i/>
                <w:sz w:val="22"/>
                <w:szCs w:val="22"/>
              </w:rPr>
              <w:t>Late-sta</w:t>
            </w:r>
            <w:r>
              <w:rPr>
                <w:i/>
                <w:sz w:val="22"/>
                <w:szCs w:val="22"/>
              </w:rPr>
              <w:t>g</w:t>
            </w:r>
            <w:r w:rsidRPr="001533BD">
              <w:rPr>
                <w:i/>
                <w:sz w:val="22"/>
                <w:szCs w:val="22"/>
              </w:rPr>
              <w:t xml:space="preserve">e phase priority </w:t>
            </w:r>
            <w:r w:rsidR="008212F0">
              <w:rPr>
                <w:sz w:val="22"/>
                <w:szCs w:val="22"/>
              </w:rPr>
              <w:t xml:space="preserve">determined </w:t>
            </w:r>
            <w:r w:rsidR="00F844B1">
              <w:rPr>
                <w:sz w:val="22"/>
                <w:szCs w:val="22"/>
              </w:rPr>
              <w:t>using</w:t>
            </w:r>
            <w:r w:rsidR="00E438A6">
              <w:rPr>
                <w:sz w:val="22"/>
                <w:szCs w:val="22"/>
              </w:rPr>
              <w:t>:</w:t>
            </w:r>
          </w:p>
          <w:p w14:paraId="55E88352" w14:textId="6396DA8B" w:rsidR="00F844B1" w:rsidRDefault="00F844B1" w:rsidP="00F844B1">
            <w:pPr>
              <w:pStyle w:val="ListParagraph"/>
              <w:numPr>
                <w:ilvl w:val="0"/>
                <w:numId w:val="97"/>
              </w:numPr>
            </w:pPr>
            <w:r>
              <w:t xml:space="preserve">A1 and A2: </w:t>
            </w:r>
            <w:r w:rsidR="00E438A6">
              <w:t>T</w:t>
            </w:r>
            <w:r w:rsidRPr="003D2067">
              <w:t>he number of key analytical domains a sample case is in that are both (</w:t>
            </w:r>
            <w:r>
              <w:t>i</w:t>
            </w:r>
            <w:r w:rsidRPr="003D2067">
              <w:t>) below the target number of completes and</w:t>
            </w:r>
            <w:r>
              <w:t xml:space="preserve">(A1)/or(A2) </w:t>
            </w:r>
            <w:r w:rsidRPr="003D2067">
              <w:t>(</w:t>
            </w:r>
            <w:r>
              <w:t>ii</w:t>
            </w:r>
            <w:r w:rsidRPr="003D2067">
              <w:t xml:space="preserve">) below average response rate </w:t>
            </w:r>
          </w:p>
          <w:p w14:paraId="355AD41E" w14:textId="421BF0E8" w:rsidR="001533BD" w:rsidRDefault="00F844B1" w:rsidP="00F844B1">
            <w:pPr>
              <w:pStyle w:val="ListParagraph"/>
              <w:numPr>
                <w:ilvl w:val="0"/>
                <w:numId w:val="97"/>
              </w:numPr>
            </w:pPr>
            <w:r>
              <w:t xml:space="preserve">B: </w:t>
            </w:r>
            <w:r w:rsidR="00E438A6">
              <w:t>E</w:t>
            </w:r>
            <w:r w:rsidRPr="00F844B1">
              <w:t>stimated cooperation propensity score</w:t>
            </w:r>
            <w:r>
              <w:t xml:space="preserve"> </w:t>
            </w:r>
            <w:r w:rsidRPr="00F844B1">
              <w:t xml:space="preserve">based on the subset of located cases as of end of the </w:t>
            </w:r>
            <w:r w:rsidR="00E438A6">
              <w:t>i</w:t>
            </w:r>
            <w:r>
              <w:t>nterim</w:t>
            </w:r>
            <w:r w:rsidRPr="00F844B1">
              <w:t xml:space="preserve"> phase</w:t>
            </w:r>
          </w:p>
          <w:p w14:paraId="65A3E370" w14:textId="22D20561" w:rsidR="003864B3" w:rsidRPr="00F844B1" w:rsidRDefault="003864B3" w:rsidP="00E438A6">
            <w:pPr>
              <w:pStyle w:val="ListParagraph"/>
              <w:numPr>
                <w:ilvl w:val="0"/>
                <w:numId w:val="97"/>
              </w:numPr>
            </w:pPr>
            <w:r>
              <w:t xml:space="preserve">C: </w:t>
            </w:r>
            <w:r w:rsidR="00E438A6">
              <w:t>N</w:t>
            </w:r>
            <w:r>
              <w:t>umber of contacts received</w:t>
            </w:r>
          </w:p>
        </w:tc>
        <w:tc>
          <w:tcPr>
            <w:tcW w:w="4140" w:type="dxa"/>
          </w:tcPr>
          <w:p w14:paraId="235CD738" w14:textId="4531D1C0" w:rsidR="00856CBE" w:rsidRDefault="00F844B1" w:rsidP="00F622C5">
            <w:pPr>
              <w:rPr>
                <w:sz w:val="22"/>
                <w:szCs w:val="22"/>
              </w:rPr>
            </w:pPr>
            <w:r>
              <w:rPr>
                <w:sz w:val="22"/>
                <w:szCs w:val="22"/>
              </w:rPr>
              <w:t>High priority:</w:t>
            </w:r>
            <w:r w:rsidR="003864B3">
              <w:rPr>
                <w:sz w:val="22"/>
                <w:szCs w:val="22"/>
              </w:rPr>
              <w:t xml:space="preserve"> A1 ≥2 or (A1=1 and A2 ≥15)</w:t>
            </w:r>
          </w:p>
          <w:p w14:paraId="4C638280" w14:textId="77777777" w:rsidR="003864B3" w:rsidRDefault="003864B3" w:rsidP="00F622C5">
            <w:pPr>
              <w:rPr>
                <w:sz w:val="22"/>
                <w:szCs w:val="22"/>
              </w:rPr>
            </w:pPr>
          </w:p>
          <w:p w14:paraId="20925500" w14:textId="30017D24" w:rsidR="003864B3" w:rsidRDefault="003864B3" w:rsidP="003864B3">
            <w:pPr>
              <w:rPr>
                <w:sz w:val="22"/>
                <w:szCs w:val="22"/>
              </w:rPr>
            </w:pPr>
            <w:r>
              <w:rPr>
                <w:sz w:val="22"/>
                <w:szCs w:val="22"/>
              </w:rPr>
              <w:t xml:space="preserve">Locating priority order: </w:t>
            </w:r>
            <w:r w:rsidR="00903CDF">
              <w:rPr>
                <w:sz w:val="22"/>
                <w:szCs w:val="22"/>
              </w:rPr>
              <w:t>S</w:t>
            </w:r>
            <w:r>
              <w:rPr>
                <w:sz w:val="22"/>
                <w:szCs w:val="22"/>
              </w:rPr>
              <w:t>orting by A1 and A2 (from high to low) and then by B (from high to low)</w:t>
            </w:r>
          </w:p>
          <w:p w14:paraId="28D39514" w14:textId="77777777" w:rsidR="003864B3" w:rsidRDefault="003864B3" w:rsidP="003864B3">
            <w:pPr>
              <w:rPr>
                <w:sz w:val="22"/>
                <w:szCs w:val="22"/>
              </w:rPr>
            </w:pPr>
          </w:p>
          <w:p w14:paraId="580ADCF5" w14:textId="7ADAFA7B" w:rsidR="003864B3" w:rsidRDefault="003864B3" w:rsidP="003864B3">
            <w:pPr>
              <w:rPr>
                <w:sz w:val="22"/>
                <w:szCs w:val="22"/>
              </w:rPr>
            </w:pPr>
            <w:r>
              <w:rPr>
                <w:sz w:val="22"/>
                <w:szCs w:val="22"/>
              </w:rPr>
              <w:t xml:space="preserve">Data collection priority order (CATI prompting order): </w:t>
            </w:r>
            <w:r w:rsidR="00903CDF">
              <w:rPr>
                <w:sz w:val="22"/>
                <w:szCs w:val="22"/>
              </w:rPr>
              <w:t>S</w:t>
            </w:r>
            <w:r>
              <w:rPr>
                <w:sz w:val="22"/>
                <w:szCs w:val="22"/>
              </w:rPr>
              <w:t>ort by A1 and A2 (from high to low) and then by C (from low to high)</w:t>
            </w:r>
          </w:p>
          <w:p w14:paraId="22C87456" w14:textId="77777777" w:rsidR="003864B3" w:rsidRDefault="003864B3" w:rsidP="00F622C5">
            <w:pPr>
              <w:rPr>
                <w:sz w:val="22"/>
                <w:szCs w:val="22"/>
              </w:rPr>
            </w:pPr>
          </w:p>
          <w:p w14:paraId="26FC5683" w14:textId="5A2E561C" w:rsidR="003864B3" w:rsidRDefault="003864B3" w:rsidP="00F622C5">
            <w:pPr>
              <w:rPr>
                <w:sz w:val="22"/>
              </w:rPr>
            </w:pPr>
            <w:r>
              <w:rPr>
                <w:sz w:val="22"/>
                <w:szCs w:val="22"/>
              </w:rPr>
              <w:t xml:space="preserve">Note: In 2017, about 70% of pending cases assigned to the high priority treatment. </w:t>
            </w:r>
            <w:r>
              <w:rPr>
                <w:sz w:val="22"/>
              </w:rPr>
              <w:t>High priority nonrespondents who are found to be residing in the U.S. will be offered a $30 incentive</w:t>
            </w:r>
            <w:r w:rsidR="00903CDF">
              <w:rPr>
                <w:sz w:val="22"/>
              </w:rPr>
              <w:t xml:space="preserve"> (as indicated in Figure 3)</w:t>
            </w:r>
          </w:p>
          <w:p w14:paraId="5B592CA2" w14:textId="00E9DE28" w:rsidR="00903CDF" w:rsidRDefault="00903CDF" w:rsidP="00F622C5">
            <w:pPr>
              <w:rPr>
                <w:sz w:val="22"/>
                <w:szCs w:val="22"/>
              </w:rPr>
            </w:pPr>
          </w:p>
        </w:tc>
      </w:tr>
      <w:tr w:rsidR="00856CBE" w14:paraId="1C366021" w14:textId="77777777" w:rsidTr="008212F0">
        <w:trPr>
          <w:cantSplit/>
        </w:trPr>
        <w:tc>
          <w:tcPr>
            <w:tcW w:w="1435" w:type="dxa"/>
          </w:tcPr>
          <w:p w14:paraId="50A15359" w14:textId="4C1DA1DD" w:rsidR="00856CBE" w:rsidRDefault="00460E97" w:rsidP="008B55FD">
            <w:pPr>
              <w:rPr>
                <w:sz w:val="22"/>
                <w:szCs w:val="22"/>
              </w:rPr>
            </w:pPr>
            <w:r>
              <w:rPr>
                <w:sz w:val="22"/>
                <w:szCs w:val="22"/>
              </w:rPr>
              <w:t>Last-chance</w:t>
            </w:r>
            <w:r w:rsidR="003864B3">
              <w:rPr>
                <w:sz w:val="22"/>
                <w:szCs w:val="22"/>
              </w:rPr>
              <w:t xml:space="preserve"> </w:t>
            </w:r>
          </w:p>
          <w:p w14:paraId="2E6E3039" w14:textId="77777777" w:rsidR="00A10DD3" w:rsidRDefault="00A10DD3" w:rsidP="008B55FD">
            <w:pPr>
              <w:rPr>
                <w:sz w:val="22"/>
                <w:szCs w:val="22"/>
              </w:rPr>
            </w:pPr>
          </w:p>
          <w:p w14:paraId="543CD525" w14:textId="7FC2406B" w:rsidR="00A10DD3" w:rsidRDefault="00A10DD3" w:rsidP="00A10DD3">
            <w:pPr>
              <w:rPr>
                <w:sz w:val="22"/>
                <w:szCs w:val="22"/>
              </w:rPr>
            </w:pPr>
            <w:r>
              <w:rPr>
                <w:sz w:val="22"/>
                <w:szCs w:val="22"/>
              </w:rPr>
              <w:t xml:space="preserve">(Approximately </w:t>
            </w:r>
            <w:r w:rsidR="00E72811">
              <w:rPr>
                <w:sz w:val="22"/>
                <w:szCs w:val="22"/>
              </w:rPr>
              <w:t>35</w:t>
            </w:r>
            <w:r>
              <w:rPr>
                <w:sz w:val="22"/>
                <w:szCs w:val="22"/>
              </w:rPr>
              <w:t>% of original sample cases remain nonrespondents; Phase lasts 6-7 weeks)</w:t>
            </w:r>
          </w:p>
          <w:p w14:paraId="5D7EBCFD" w14:textId="58076302" w:rsidR="00A10DD3" w:rsidRDefault="00A10DD3" w:rsidP="008B55FD">
            <w:pPr>
              <w:rPr>
                <w:sz w:val="22"/>
                <w:szCs w:val="22"/>
              </w:rPr>
            </w:pPr>
          </w:p>
        </w:tc>
        <w:tc>
          <w:tcPr>
            <w:tcW w:w="4050" w:type="dxa"/>
          </w:tcPr>
          <w:p w14:paraId="466ED2E8" w14:textId="76A054C4" w:rsidR="003864B3" w:rsidRDefault="001533BD" w:rsidP="00F622C5">
            <w:pPr>
              <w:rPr>
                <w:sz w:val="22"/>
                <w:szCs w:val="22"/>
              </w:rPr>
            </w:pPr>
            <w:r w:rsidRPr="001533BD">
              <w:rPr>
                <w:i/>
                <w:sz w:val="22"/>
                <w:szCs w:val="22"/>
              </w:rPr>
              <w:t>La</w:t>
            </w:r>
            <w:r>
              <w:rPr>
                <w:i/>
                <w:sz w:val="22"/>
                <w:szCs w:val="22"/>
              </w:rPr>
              <w:t>st</w:t>
            </w:r>
            <w:r w:rsidRPr="001533BD">
              <w:rPr>
                <w:i/>
                <w:sz w:val="22"/>
                <w:szCs w:val="22"/>
              </w:rPr>
              <w:t>-</w:t>
            </w:r>
            <w:r w:rsidR="00903CDF">
              <w:rPr>
                <w:i/>
                <w:sz w:val="22"/>
                <w:szCs w:val="22"/>
              </w:rPr>
              <w:t>chance</w:t>
            </w:r>
            <w:r w:rsidRPr="001533BD">
              <w:rPr>
                <w:i/>
                <w:sz w:val="22"/>
                <w:szCs w:val="22"/>
              </w:rPr>
              <w:t xml:space="preserve"> phase priority </w:t>
            </w:r>
            <w:r w:rsidR="00903CDF">
              <w:rPr>
                <w:sz w:val="22"/>
                <w:szCs w:val="22"/>
              </w:rPr>
              <w:t xml:space="preserve">determined </w:t>
            </w:r>
            <w:r w:rsidR="003864B3">
              <w:rPr>
                <w:sz w:val="22"/>
                <w:szCs w:val="22"/>
              </w:rPr>
              <w:t>using</w:t>
            </w:r>
            <w:r w:rsidR="00903CDF">
              <w:rPr>
                <w:sz w:val="22"/>
                <w:szCs w:val="22"/>
              </w:rPr>
              <w:t>:</w:t>
            </w:r>
          </w:p>
          <w:p w14:paraId="37284AB5" w14:textId="27D78B28" w:rsidR="003864B3" w:rsidRDefault="003864B3" w:rsidP="003864B3">
            <w:pPr>
              <w:pStyle w:val="ListParagraph"/>
              <w:numPr>
                <w:ilvl w:val="0"/>
                <w:numId w:val="97"/>
              </w:numPr>
            </w:pPr>
            <w:r>
              <w:t xml:space="preserve">A1 and A2: </w:t>
            </w:r>
            <w:r w:rsidR="00903CDF">
              <w:t>T</w:t>
            </w:r>
            <w:r w:rsidRPr="003D2067">
              <w:t>he number of key analytical domains a sample case is in that are (</w:t>
            </w:r>
            <w:r>
              <w:t>i</w:t>
            </w:r>
            <w:r w:rsidRPr="003D2067">
              <w:t>) below the target number of completes</w:t>
            </w:r>
            <w:r w:rsidR="00A10DD3">
              <w:t xml:space="preserve"> </w:t>
            </w:r>
            <w:r w:rsidR="004134AB">
              <w:t>(A1) or</w:t>
            </w:r>
            <w:r w:rsidRPr="003D2067">
              <w:t xml:space="preserve"> (</w:t>
            </w:r>
            <w:r>
              <w:t>ii</w:t>
            </w:r>
            <w:r w:rsidRPr="003D2067">
              <w:t>) below average response rate</w:t>
            </w:r>
            <w:r w:rsidR="004134AB">
              <w:t>(A2)</w:t>
            </w:r>
            <w:r w:rsidRPr="003D2067">
              <w:t xml:space="preserve"> </w:t>
            </w:r>
          </w:p>
          <w:p w14:paraId="4F52FAE3" w14:textId="7DC8AC87" w:rsidR="00903CDF" w:rsidRDefault="003864B3" w:rsidP="00F622C5">
            <w:pPr>
              <w:pStyle w:val="ListParagraph"/>
              <w:numPr>
                <w:ilvl w:val="0"/>
                <w:numId w:val="97"/>
              </w:numPr>
            </w:pPr>
            <w:r>
              <w:t xml:space="preserve">B: </w:t>
            </w:r>
            <w:r w:rsidR="00903CDF">
              <w:t>E</w:t>
            </w:r>
            <w:r w:rsidRPr="00F844B1">
              <w:t>stimated cooperation propensity score</w:t>
            </w:r>
            <w:r>
              <w:t xml:space="preserve"> </w:t>
            </w:r>
            <w:r w:rsidRPr="00F844B1">
              <w:t xml:space="preserve">based on the subset of located cases as of end of the </w:t>
            </w:r>
            <w:r w:rsidR="00903CDF">
              <w:t>late-stage</w:t>
            </w:r>
            <w:r w:rsidRPr="00F844B1">
              <w:t xml:space="preserve"> phase</w:t>
            </w:r>
          </w:p>
          <w:p w14:paraId="622516F1" w14:textId="21F093F3" w:rsidR="00856CBE" w:rsidRPr="00903CDF" w:rsidRDefault="00903CDF" w:rsidP="00F622C5">
            <w:pPr>
              <w:pStyle w:val="ListParagraph"/>
              <w:numPr>
                <w:ilvl w:val="0"/>
                <w:numId w:val="97"/>
              </w:numPr>
            </w:pPr>
            <w:r>
              <w:t>C: N</w:t>
            </w:r>
            <w:r w:rsidR="003864B3" w:rsidRPr="00903CDF">
              <w:t>umber of contacts received</w:t>
            </w:r>
          </w:p>
        </w:tc>
        <w:tc>
          <w:tcPr>
            <w:tcW w:w="4140" w:type="dxa"/>
          </w:tcPr>
          <w:p w14:paraId="760A35FA" w14:textId="58674293" w:rsidR="003864B3" w:rsidRDefault="003864B3" w:rsidP="003864B3">
            <w:pPr>
              <w:rPr>
                <w:sz w:val="22"/>
                <w:szCs w:val="22"/>
              </w:rPr>
            </w:pPr>
            <w:r>
              <w:rPr>
                <w:sz w:val="22"/>
                <w:szCs w:val="22"/>
              </w:rPr>
              <w:t xml:space="preserve">High priority: A1 ≥ </w:t>
            </w:r>
            <w:r w:rsidR="004134AB">
              <w:rPr>
                <w:sz w:val="22"/>
                <w:szCs w:val="22"/>
              </w:rPr>
              <w:t xml:space="preserve">3 </w:t>
            </w:r>
            <w:r>
              <w:rPr>
                <w:sz w:val="22"/>
                <w:szCs w:val="22"/>
              </w:rPr>
              <w:t>or (A1=</w:t>
            </w:r>
            <w:r w:rsidR="004134AB">
              <w:rPr>
                <w:sz w:val="22"/>
                <w:szCs w:val="22"/>
              </w:rPr>
              <w:t>2</w:t>
            </w:r>
            <w:r>
              <w:rPr>
                <w:sz w:val="22"/>
                <w:szCs w:val="22"/>
              </w:rPr>
              <w:t xml:space="preserve"> and A2 ≥1</w:t>
            </w:r>
            <w:r w:rsidR="004134AB">
              <w:rPr>
                <w:sz w:val="22"/>
                <w:szCs w:val="22"/>
              </w:rPr>
              <w:t>1</w:t>
            </w:r>
            <w:r>
              <w:rPr>
                <w:sz w:val="22"/>
                <w:szCs w:val="22"/>
              </w:rPr>
              <w:t>)</w:t>
            </w:r>
          </w:p>
          <w:p w14:paraId="00C5B315" w14:textId="77777777" w:rsidR="003864B3" w:rsidRDefault="003864B3" w:rsidP="003864B3">
            <w:pPr>
              <w:rPr>
                <w:sz w:val="22"/>
                <w:szCs w:val="22"/>
              </w:rPr>
            </w:pPr>
          </w:p>
          <w:p w14:paraId="3B73D876" w14:textId="72E26EB1" w:rsidR="003864B3" w:rsidRDefault="003864B3" w:rsidP="003864B3">
            <w:pPr>
              <w:rPr>
                <w:sz w:val="22"/>
                <w:szCs w:val="22"/>
              </w:rPr>
            </w:pPr>
            <w:r>
              <w:rPr>
                <w:sz w:val="22"/>
                <w:szCs w:val="22"/>
              </w:rPr>
              <w:t xml:space="preserve">Locating priority order: </w:t>
            </w:r>
            <w:r w:rsidR="00903CDF">
              <w:rPr>
                <w:sz w:val="22"/>
                <w:szCs w:val="22"/>
              </w:rPr>
              <w:t>S</w:t>
            </w:r>
            <w:r>
              <w:rPr>
                <w:sz w:val="22"/>
                <w:szCs w:val="22"/>
              </w:rPr>
              <w:t>orting by A1 and A2 (from high to low) and then by B (from high to low)</w:t>
            </w:r>
          </w:p>
          <w:p w14:paraId="66440AAC" w14:textId="77777777" w:rsidR="003864B3" w:rsidRDefault="003864B3" w:rsidP="003864B3">
            <w:pPr>
              <w:rPr>
                <w:sz w:val="22"/>
                <w:szCs w:val="22"/>
              </w:rPr>
            </w:pPr>
          </w:p>
          <w:p w14:paraId="5B5A4BB0" w14:textId="482D294C" w:rsidR="003864B3" w:rsidRDefault="003864B3" w:rsidP="003864B3">
            <w:pPr>
              <w:rPr>
                <w:sz w:val="22"/>
                <w:szCs w:val="22"/>
              </w:rPr>
            </w:pPr>
            <w:r>
              <w:rPr>
                <w:sz w:val="22"/>
                <w:szCs w:val="22"/>
              </w:rPr>
              <w:t xml:space="preserve">Data collection priority order (CATI prompting order): </w:t>
            </w:r>
            <w:r w:rsidR="00903CDF">
              <w:rPr>
                <w:sz w:val="22"/>
                <w:szCs w:val="22"/>
              </w:rPr>
              <w:t>S</w:t>
            </w:r>
            <w:r>
              <w:rPr>
                <w:sz w:val="22"/>
                <w:szCs w:val="22"/>
              </w:rPr>
              <w:t>ort by A1 and A2 (from high to low) and then by C (from low to high)</w:t>
            </w:r>
          </w:p>
          <w:p w14:paraId="32168BA9" w14:textId="77777777" w:rsidR="003864B3" w:rsidRDefault="003864B3" w:rsidP="003864B3">
            <w:pPr>
              <w:rPr>
                <w:sz w:val="22"/>
                <w:szCs w:val="22"/>
              </w:rPr>
            </w:pPr>
          </w:p>
          <w:p w14:paraId="28384A7B" w14:textId="128E27AE" w:rsidR="003864B3" w:rsidRDefault="003864B3" w:rsidP="003864B3">
            <w:pPr>
              <w:rPr>
                <w:sz w:val="22"/>
                <w:szCs w:val="22"/>
              </w:rPr>
            </w:pPr>
            <w:r>
              <w:rPr>
                <w:sz w:val="22"/>
                <w:szCs w:val="22"/>
              </w:rPr>
              <w:t>Note: In 2017, about 70% of pending cases assigned to the high priority treatment.</w:t>
            </w:r>
            <w:r w:rsidR="004134AB">
              <w:rPr>
                <w:sz w:val="22"/>
                <w:szCs w:val="22"/>
              </w:rPr>
              <w:t xml:space="preserve"> </w:t>
            </w:r>
            <w:r w:rsidR="004134AB">
              <w:rPr>
                <w:sz w:val="22"/>
              </w:rPr>
              <w:t>Located cases may be contacted using Priority mail and may be offered a “Critical Item Only” CATI or web form</w:t>
            </w:r>
          </w:p>
          <w:p w14:paraId="43EDFE02" w14:textId="0796333C" w:rsidR="00903CDF" w:rsidRDefault="00903CDF" w:rsidP="003864B3">
            <w:pPr>
              <w:rPr>
                <w:sz w:val="22"/>
                <w:szCs w:val="22"/>
              </w:rPr>
            </w:pPr>
          </w:p>
        </w:tc>
      </w:tr>
    </w:tbl>
    <w:p w14:paraId="5BF9B5D0" w14:textId="77777777" w:rsidR="00856CBE" w:rsidRDefault="00856CBE">
      <w:pPr>
        <w:rPr>
          <w:sz w:val="22"/>
        </w:rPr>
      </w:pPr>
    </w:p>
    <w:p w14:paraId="52E20E28" w14:textId="7BBF5CA9" w:rsidR="00E57346" w:rsidRDefault="00E57346">
      <w:pPr>
        <w:rPr>
          <w:sz w:val="22"/>
        </w:rPr>
        <w:sectPr w:rsidR="00E57346" w:rsidSect="00BD4E2D">
          <w:footerReference w:type="default" r:id="rId21"/>
          <w:pgSz w:w="12240" w:h="15840" w:code="1"/>
          <w:pgMar w:top="1440" w:right="1440" w:bottom="1440" w:left="1440" w:header="720" w:footer="720" w:gutter="0"/>
          <w:pgNumType w:start="19"/>
          <w:cols w:space="720"/>
          <w:docGrid w:linePitch="360"/>
        </w:sectPr>
      </w:pPr>
      <w:r>
        <w:rPr>
          <w:sz w:val="22"/>
        </w:rPr>
        <w:t>Note: The parameters in Table 3 were projected based on the 2017 cycle.</w:t>
      </w:r>
    </w:p>
    <w:p w14:paraId="1C0E30E4" w14:textId="4037822B" w:rsidR="00CC7598" w:rsidRDefault="00C3359B" w:rsidP="00980631">
      <w:pPr>
        <w:spacing w:after="120"/>
        <w:rPr>
          <w:rFonts w:eastAsiaTheme="minorEastAsia"/>
          <w:b/>
          <w:sz w:val="22"/>
        </w:rPr>
      </w:pPr>
      <w:r w:rsidRPr="00C3359B">
        <w:rPr>
          <w:rFonts w:eastAsiaTheme="minorEastAsia"/>
          <w:noProof/>
        </w:rPr>
        <w:drawing>
          <wp:anchor distT="0" distB="0" distL="114300" distR="114300" simplePos="0" relativeHeight="251658240" behindDoc="0" locked="0" layoutInCell="1" allowOverlap="1" wp14:anchorId="03E847A7" wp14:editId="56551D62">
            <wp:simplePos x="0" y="0"/>
            <wp:positionH relativeFrom="column">
              <wp:posOffset>0</wp:posOffset>
            </wp:positionH>
            <wp:positionV relativeFrom="paragraph">
              <wp:posOffset>210820</wp:posOffset>
            </wp:positionV>
            <wp:extent cx="7962900" cy="6150598"/>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62900" cy="6150598"/>
                    </a:xfrm>
                    <a:prstGeom prst="rect">
                      <a:avLst/>
                    </a:prstGeom>
                    <a:noFill/>
                    <a:ln>
                      <a:noFill/>
                    </a:ln>
                  </pic:spPr>
                </pic:pic>
              </a:graphicData>
            </a:graphic>
          </wp:anchor>
        </w:drawing>
      </w:r>
      <w:r w:rsidR="00980631" w:rsidRPr="00980631">
        <w:rPr>
          <w:rFonts w:eastAsiaTheme="minorEastAsia"/>
          <w:b/>
          <w:sz w:val="22"/>
        </w:rPr>
        <w:t xml:space="preserve">Figure 3: </w:t>
      </w:r>
      <w:r w:rsidR="00A81065">
        <w:rPr>
          <w:rFonts w:eastAsiaTheme="minorEastAsia"/>
          <w:b/>
          <w:sz w:val="22"/>
        </w:rPr>
        <w:t>201</w:t>
      </w:r>
      <w:r w:rsidR="009B0743">
        <w:rPr>
          <w:rFonts w:eastAsiaTheme="minorEastAsia"/>
          <w:b/>
          <w:sz w:val="22"/>
        </w:rPr>
        <w:t>9</w:t>
      </w:r>
      <w:r w:rsidR="00A81065">
        <w:rPr>
          <w:rFonts w:eastAsiaTheme="minorEastAsia"/>
          <w:b/>
          <w:sz w:val="22"/>
        </w:rPr>
        <w:t xml:space="preserve"> SDR </w:t>
      </w:r>
      <w:r w:rsidR="00980631" w:rsidRPr="00980631">
        <w:rPr>
          <w:rFonts w:eastAsiaTheme="minorEastAsia"/>
          <w:b/>
          <w:sz w:val="22"/>
        </w:rPr>
        <w:t>Data Collection and Adaptive Design Overview</w:t>
      </w:r>
    </w:p>
    <w:p w14:paraId="6F3B35F4" w14:textId="65558C12" w:rsidR="00272000" w:rsidRDefault="00272000" w:rsidP="00980631">
      <w:pPr>
        <w:spacing w:after="120"/>
        <w:rPr>
          <w:rFonts w:eastAsiaTheme="minorEastAsia"/>
          <w:b/>
          <w:sz w:val="22"/>
        </w:rPr>
      </w:pPr>
    </w:p>
    <w:p w14:paraId="5EC82546" w14:textId="4A2914D1" w:rsidR="00B17E87" w:rsidRDefault="00B17E87">
      <w:pPr>
        <w:rPr>
          <w:rFonts w:eastAsiaTheme="minorEastAsia"/>
          <w:sz w:val="22"/>
        </w:rPr>
      </w:pPr>
      <w:r>
        <w:rPr>
          <w:rFonts w:eastAsiaTheme="minorEastAsia"/>
          <w:sz w:val="22"/>
        </w:rPr>
        <w:br w:type="page"/>
      </w:r>
    </w:p>
    <w:p w14:paraId="25106F78" w14:textId="77777777" w:rsidR="00980631" w:rsidRPr="00980631" w:rsidRDefault="00980631" w:rsidP="00980631">
      <w:pPr>
        <w:spacing w:after="120"/>
        <w:rPr>
          <w:rFonts w:eastAsiaTheme="minorEastAsia"/>
          <w:sz w:val="22"/>
        </w:rPr>
        <w:sectPr w:rsidR="00980631" w:rsidRPr="00980631" w:rsidSect="003E3DE7">
          <w:pgSz w:w="15840" w:h="12240" w:orient="landscape" w:code="1"/>
          <w:pgMar w:top="720" w:right="1440" w:bottom="1440" w:left="1440" w:header="720" w:footer="720" w:gutter="0"/>
          <w:cols w:space="720"/>
          <w:docGrid w:linePitch="360"/>
        </w:sectPr>
      </w:pPr>
    </w:p>
    <w:p w14:paraId="13BD7766" w14:textId="464E1E19" w:rsidR="00B3167C" w:rsidRPr="007806F0" w:rsidRDefault="0090671D" w:rsidP="000A00F6">
      <w:pPr>
        <w:pStyle w:val="Heading2"/>
        <w:spacing w:before="0" w:after="280"/>
        <w:ind w:left="547" w:hanging="547"/>
        <w:rPr>
          <w:i w:val="0"/>
        </w:rPr>
      </w:pPr>
      <w:bookmarkStart w:id="17" w:name="_Toc475701073"/>
      <w:r>
        <w:rPr>
          <w:i w:val="0"/>
        </w:rPr>
        <w:t>5</w:t>
      </w:r>
      <w:r w:rsidR="00B3167C">
        <w:rPr>
          <w:i w:val="0"/>
        </w:rPr>
        <w:t>.</w:t>
      </w:r>
      <w:r w:rsidR="00B3167C">
        <w:rPr>
          <w:i w:val="0"/>
        </w:rPr>
        <w:tab/>
        <w:t>CONTACTS FOR STATISTICAL ASPECTS OF DATA COLLECTION</w:t>
      </w:r>
      <w:bookmarkEnd w:id="17"/>
    </w:p>
    <w:p w14:paraId="48FD23CA" w14:textId="77777777" w:rsidR="00B3167C" w:rsidRPr="003F762A" w:rsidRDefault="00B3167C" w:rsidP="00B3167C">
      <w:pPr>
        <w:pStyle w:val="CommentText"/>
        <w:rPr>
          <w:rFonts w:eastAsia="Calibri"/>
          <w:color w:val="000000" w:themeColor="text1"/>
          <w:sz w:val="22"/>
          <w:szCs w:val="22"/>
          <w:lang w:eastAsia="zh-CN"/>
        </w:rPr>
      </w:pPr>
    </w:p>
    <w:p w14:paraId="3252D0E7" w14:textId="2CC2EFD2" w:rsidR="00B3167C" w:rsidRPr="003F762A" w:rsidRDefault="009B0743" w:rsidP="00B3167C">
      <w:pPr>
        <w:pStyle w:val="CommentText"/>
        <w:rPr>
          <w:color w:val="000000" w:themeColor="text1"/>
          <w:sz w:val="22"/>
          <w:szCs w:val="22"/>
        </w:rPr>
      </w:pPr>
      <w:r>
        <w:rPr>
          <w:rFonts w:eastAsia="Calibri"/>
          <w:color w:val="000000" w:themeColor="text1"/>
          <w:sz w:val="22"/>
          <w:szCs w:val="22"/>
          <w:lang w:eastAsia="zh-CN"/>
        </w:rPr>
        <w:t>The</w:t>
      </w:r>
      <w:r w:rsidR="00B3167C" w:rsidRPr="003F762A">
        <w:rPr>
          <w:rFonts w:eastAsia="Calibri"/>
          <w:color w:val="000000" w:themeColor="text1"/>
          <w:sz w:val="22"/>
          <w:szCs w:val="22"/>
          <w:lang w:eastAsia="zh-CN"/>
        </w:rPr>
        <w:t xml:space="preserve"> NCSES contacts for statistical aspects of </w:t>
      </w:r>
      <w:r>
        <w:rPr>
          <w:rFonts w:eastAsia="Calibri"/>
          <w:color w:val="000000" w:themeColor="text1"/>
          <w:sz w:val="22"/>
          <w:szCs w:val="22"/>
          <w:lang w:eastAsia="zh-CN"/>
        </w:rPr>
        <w:t xml:space="preserve">the SDR </w:t>
      </w:r>
      <w:r w:rsidR="00B3167C" w:rsidRPr="003F762A">
        <w:rPr>
          <w:rFonts w:eastAsia="Calibri"/>
          <w:color w:val="000000" w:themeColor="text1"/>
          <w:sz w:val="22"/>
          <w:szCs w:val="22"/>
          <w:lang w:eastAsia="zh-CN"/>
        </w:rPr>
        <w:t>data collection are Samson Adeshiyan, NCSES Chief Statistician (703-292-7769</w:t>
      </w:r>
      <w:r w:rsidR="00B3167C">
        <w:rPr>
          <w:rFonts w:eastAsia="Calibri"/>
          <w:color w:val="000000" w:themeColor="text1"/>
          <w:sz w:val="22"/>
          <w:szCs w:val="22"/>
          <w:lang w:eastAsia="zh-CN"/>
        </w:rPr>
        <w:t>)</w:t>
      </w:r>
      <w:r w:rsidR="00B3167C" w:rsidRPr="003F762A">
        <w:rPr>
          <w:rFonts w:eastAsia="Calibri"/>
          <w:color w:val="000000" w:themeColor="text1"/>
          <w:sz w:val="22"/>
          <w:szCs w:val="22"/>
          <w:lang w:eastAsia="zh-CN"/>
        </w:rPr>
        <w:t xml:space="preserve">, </w:t>
      </w:r>
      <w:r w:rsidR="00B3167C" w:rsidRPr="003F762A">
        <w:rPr>
          <w:rFonts w:eastAsia="Calibri"/>
          <w:color w:val="000000" w:themeColor="text1"/>
          <w:sz w:val="22"/>
          <w:szCs w:val="22"/>
        </w:rPr>
        <w:t xml:space="preserve">Daniel Foley, SDR Project Officer </w:t>
      </w:r>
      <w:r w:rsidR="00B3167C" w:rsidRPr="003F762A">
        <w:rPr>
          <w:color w:val="000000" w:themeColor="text1"/>
          <w:sz w:val="22"/>
          <w:szCs w:val="22"/>
        </w:rPr>
        <w:t xml:space="preserve">(703-292-7811) and Wan-Ying Chang, NCSES Mathematical Statistician </w:t>
      </w:r>
      <w:r>
        <w:rPr>
          <w:color w:val="000000" w:themeColor="text1"/>
          <w:sz w:val="22"/>
          <w:szCs w:val="22"/>
        </w:rPr>
        <w:t xml:space="preserve">and the lead SDR sampling statistician </w:t>
      </w:r>
      <w:r w:rsidR="00B3167C" w:rsidRPr="003F762A">
        <w:rPr>
          <w:color w:val="000000" w:themeColor="text1"/>
          <w:sz w:val="22"/>
          <w:szCs w:val="22"/>
        </w:rPr>
        <w:t>(703-292-2310).</w:t>
      </w:r>
    </w:p>
    <w:p w14:paraId="37114814" w14:textId="77777777" w:rsidR="00B3167C" w:rsidRDefault="00B3167C" w:rsidP="00C344DB">
      <w:pPr>
        <w:rPr>
          <w:sz w:val="22"/>
        </w:rPr>
      </w:pPr>
    </w:p>
    <w:p w14:paraId="1BC6845B" w14:textId="77777777" w:rsidR="00B3167C" w:rsidRDefault="00B3167C" w:rsidP="00C344DB">
      <w:pPr>
        <w:rPr>
          <w:sz w:val="22"/>
        </w:rPr>
      </w:pPr>
    </w:p>
    <w:p w14:paraId="43B9A3A8" w14:textId="7CEB2E55" w:rsidR="00B64C19" w:rsidRPr="003F762A" w:rsidRDefault="00B64C19" w:rsidP="005C6B83">
      <w:pPr>
        <w:rPr>
          <w:color w:val="000000" w:themeColor="text1"/>
          <w:sz w:val="22"/>
          <w:szCs w:val="22"/>
        </w:rPr>
      </w:pPr>
    </w:p>
    <w:sectPr w:rsidR="00B64C19" w:rsidRPr="003F762A" w:rsidSect="003E3DE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E2223" w14:textId="77777777" w:rsidR="00711511" w:rsidRDefault="00711511">
      <w:r>
        <w:separator/>
      </w:r>
    </w:p>
  </w:endnote>
  <w:endnote w:type="continuationSeparator" w:id="0">
    <w:p w14:paraId="3ED5A873"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014943"/>
      <w:docPartObj>
        <w:docPartGallery w:val="Page Numbers (Bottom of Page)"/>
        <w:docPartUnique/>
      </w:docPartObj>
    </w:sdtPr>
    <w:sdtEndPr>
      <w:rPr>
        <w:noProof/>
      </w:rPr>
    </w:sdtEndPr>
    <w:sdtContent>
      <w:p w14:paraId="517B66A3" w14:textId="2F8E1DAA" w:rsidR="00326E5A" w:rsidRDefault="00326E5A">
        <w:pPr>
          <w:pStyle w:val="Footer"/>
          <w:jc w:val="center"/>
        </w:pPr>
        <w:r>
          <w:fldChar w:fldCharType="begin"/>
        </w:r>
        <w:r>
          <w:instrText xml:space="preserve"> PAGE   \* MERGEFORMAT </w:instrText>
        </w:r>
        <w:r>
          <w:fldChar w:fldCharType="separate"/>
        </w:r>
        <w:r w:rsidR="00B47D06">
          <w:rPr>
            <w:noProof/>
          </w:rPr>
          <w:t>19</w:t>
        </w:r>
        <w:r>
          <w:rPr>
            <w:noProof/>
          </w:rPr>
          <w:fldChar w:fldCharType="end"/>
        </w:r>
      </w:p>
    </w:sdtContent>
  </w:sdt>
  <w:p w14:paraId="5D589576" w14:textId="5D338E1E" w:rsidR="005F62E3" w:rsidRPr="00326E5A" w:rsidRDefault="005F62E3" w:rsidP="00326E5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6A3EF" w14:textId="77777777" w:rsidR="00711511" w:rsidRDefault="00711511">
      <w:r>
        <w:separator/>
      </w:r>
    </w:p>
  </w:footnote>
  <w:footnote w:type="continuationSeparator" w:id="0">
    <w:p w14:paraId="1339552A" w14:textId="77777777" w:rsidR="00711511" w:rsidRDefault="00711511">
      <w:r>
        <w:continuationSeparator/>
      </w:r>
    </w:p>
  </w:footnote>
  <w:footnote w:id="1">
    <w:p w14:paraId="7ABD5C44" w14:textId="77777777" w:rsidR="005F62E3" w:rsidRDefault="005F62E3" w:rsidP="00046B7E">
      <w:pPr>
        <w:pStyle w:val="FootnoteText"/>
      </w:pPr>
      <w:r w:rsidRPr="0056012C">
        <w:rPr>
          <w:rStyle w:val="FootnoteReference"/>
        </w:rPr>
        <w:footnoteRef/>
      </w:r>
      <w:r w:rsidRPr="0056012C">
        <w:t xml:space="preserve"> </w:t>
      </w:r>
      <w:r w:rsidRPr="0056012C">
        <w:rPr>
          <w:rFonts w:eastAsia="Calibri"/>
          <w:lang w:bidi="en-US"/>
        </w:rPr>
        <w:t>Accurint</w:t>
      </w:r>
      <w:r w:rsidRPr="0056012C">
        <w:rPr>
          <w:rFonts w:eastAsia="Calibri"/>
          <w:vertAlign w:val="superscript"/>
          <w:lang w:bidi="en-US"/>
        </w:rPr>
        <w:t>®</w:t>
      </w:r>
      <w:r w:rsidRPr="0056012C">
        <w:rPr>
          <w:rFonts w:eastAsia="Calibri"/>
          <w:lang w:bidi="en-US"/>
        </w:rPr>
        <w:t xml:space="preserve"> is a widely accepted locate-and-research tool available to government, law enforcement, and commercial customers</w:t>
      </w:r>
      <w:r>
        <w:rPr>
          <w:rFonts w:eastAsia="Calibri"/>
          <w:lang w:bidi="en-US"/>
        </w:rPr>
        <w:t xml:space="preserve">. </w:t>
      </w:r>
      <w:r w:rsidRPr="0056012C">
        <w:rPr>
          <w:rFonts w:eastAsia="Calibri"/>
          <w:lang w:bidi="en-US"/>
        </w:rPr>
        <w:t>Address searches can be run in batch or individually, and the query does not leave a trace in the credit record of the sample person being located</w:t>
      </w:r>
      <w:r>
        <w:rPr>
          <w:rFonts w:eastAsia="Calibri"/>
          <w:lang w:bidi="en-US"/>
        </w:rPr>
        <w:t xml:space="preserve">. </w:t>
      </w:r>
      <w:r w:rsidRPr="0056012C">
        <w:rPr>
          <w:rFonts w:eastAsia="Calibri"/>
          <w:lang w:bidi="en-US"/>
        </w:rPr>
        <w:t>In addition to updated address and telephone number information, Accurint</w:t>
      </w:r>
      <w:r w:rsidRPr="0056012C">
        <w:rPr>
          <w:rFonts w:eastAsia="Calibri"/>
          <w:vertAlign w:val="superscript"/>
          <w:lang w:bidi="en-US"/>
        </w:rPr>
        <w:t>®</w:t>
      </w:r>
      <w:r w:rsidRPr="0056012C">
        <w:rPr>
          <w:rFonts w:eastAsia="Calibri"/>
          <w:lang w:bidi="en-US"/>
        </w:rPr>
        <w:t xml:space="preserve"> returns deceased status updates.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14D3CC"/>
    <w:lvl w:ilvl="0">
      <w:start w:val="1"/>
      <w:numFmt w:val="decimal"/>
      <w:lvlText w:val="%1."/>
      <w:lvlJc w:val="left"/>
      <w:pPr>
        <w:tabs>
          <w:tab w:val="num" w:pos="1800"/>
        </w:tabs>
        <w:ind w:left="1800" w:hanging="360"/>
      </w:pPr>
    </w:lvl>
  </w:abstractNum>
  <w:abstractNum w:abstractNumId="1">
    <w:nsid w:val="FFFFFF7D"/>
    <w:multiLevelType w:val="singleLevel"/>
    <w:tmpl w:val="42DA2798"/>
    <w:lvl w:ilvl="0">
      <w:start w:val="1"/>
      <w:numFmt w:val="decimal"/>
      <w:lvlText w:val="%1."/>
      <w:lvlJc w:val="left"/>
      <w:pPr>
        <w:tabs>
          <w:tab w:val="num" w:pos="1440"/>
        </w:tabs>
        <w:ind w:left="1440" w:hanging="360"/>
      </w:pPr>
    </w:lvl>
  </w:abstractNum>
  <w:abstractNum w:abstractNumId="2">
    <w:nsid w:val="FFFFFF7E"/>
    <w:multiLevelType w:val="singleLevel"/>
    <w:tmpl w:val="44886C8C"/>
    <w:lvl w:ilvl="0">
      <w:start w:val="1"/>
      <w:numFmt w:val="decimal"/>
      <w:lvlText w:val="%1."/>
      <w:lvlJc w:val="left"/>
      <w:pPr>
        <w:tabs>
          <w:tab w:val="num" w:pos="1080"/>
        </w:tabs>
        <w:ind w:left="1080" w:hanging="360"/>
      </w:pPr>
    </w:lvl>
  </w:abstractNum>
  <w:abstractNum w:abstractNumId="3">
    <w:nsid w:val="FFFFFF7F"/>
    <w:multiLevelType w:val="singleLevel"/>
    <w:tmpl w:val="9D52D210"/>
    <w:lvl w:ilvl="0">
      <w:start w:val="1"/>
      <w:numFmt w:val="decimal"/>
      <w:lvlText w:val="%1."/>
      <w:lvlJc w:val="left"/>
      <w:pPr>
        <w:tabs>
          <w:tab w:val="num" w:pos="720"/>
        </w:tabs>
        <w:ind w:left="720" w:hanging="360"/>
      </w:pPr>
    </w:lvl>
  </w:abstractNum>
  <w:abstractNum w:abstractNumId="4">
    <w:nsid w:val="FFFFFF80"/>
    <w:multiLevelType w:val="singleLevel"/>
    <w:tmpl w:val="100AB0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4108B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B6F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0C75E4"/>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7C18A1"/>
    <w:multiLevelType w:val="hybridMultilevel"/>
    <w:tmpl w:val="20A6F4B8"/>
    <w:lvl w:ilvl="0" w:tplc="294A535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2077C61"/>
    <w:multiLevelType w:val="hybridMultilevel"/>
    <w:tmpl w:val="BF187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952443"/>
    <w:multiLevelType w:val="hybridMultilevel"/>
    <w:tmpl w:val="BDF010D4"/>
    <w:lvl w:ilvl="0" w:tplc="0CCEA10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4166005"/>
    <w:multiLevelType w:val="hybridMultilevel"/>
    <w:tmpl w:val="D8F4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4A4C97"/>
    <w:multiLevelType w:val="hybridMultilevel"/>
    <w:tmpl w:val="9BA6D61E"/>
    <w:lvl w:ilvl="0" w:tplc="EF089354">
      <w:start w:val="1"/>
      <w:numFmt w:val="decimal"/>
      <w:lvlText w:val="%1."/>
      <w:lvlJc w:val="left"/>
      <w:pPr>
        <w:ind w:left="720" w:hanging="360"/>
      </w:pPr>
      <w:rPr>
        <w:b/>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EE3779"/>
    <w:multiLevelType w:val="hybridMultilevel"/>
    <w:tmpl w:val="D624A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7AE52D1"/>
    <w:multiLevelType w:val="hybridMultilevel"/>
    <w:tmpl w:val="A120F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8">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0A4534C2"/>
    <w:multiLevelType w:val="hybridMultilevel"/>
    <w:tmpl w:val="1B30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1C54C4"/>
    <w:multiLevelType w:val="hybridMultilevel"/>
    <w:tmpl w:val="3FFADA34"/>
    <w:lvl w:ilvl="0" w:tplc="C57257C4">
      <w:start w:val="1"/>
      <w:numFmt w:val="bullet"/>
      <w:lvlText w:val=""/>
      <w:lvlJc w:val="left"/>
      <w:pPr>
        <w:ind w:left="360" w:hanging="360"/>
      </w:pPr>
      <w:rPr>
        <w:rFonts w:ascii="Wingdings" w:hAnsi="Wingdings" w:hint="default"/>
        <w:color w:val="F796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B562579"/>
    <w:multiLevelType w:val="hybridMultilevel"/>
    <w:tmpl w:val="05249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C525816"/>
    <w:multiLevelType w:val="hybridMultilevel"/>
    <w:tmpl w:val="FEC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E4F2290"/>
    <w:multiLevelType w:val="multilevel"/>
    <w:tmpl w:val="087A99D8"/>
    <w:lvl w:ilvl="0">
      <w:start w:val="1"/>
      <w:numFmt w:val="decimal"/>
      <w:pStyle w:val="NORCListNumber1"/>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123D7093"/>
    <w:multiLevelType w:val="multilevel"/>
    <w:tmpl w:val="E8B2762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756C7A"/>
    <w:multiLevelType w:val="hybridMultilevel"/>
    <w:tmpl w:val="77347A9C"/>
    <w:lvl w:ilvl="0" w:tplc="4350B816">
      <w:start w:val="1"/>
      <w:numFmt w:val="decimal"/>
      <w:lvlText w:val="%1."/>
      <w:lvlJc w:val="left"/>
      <w:pPr>
        <w:tabs>
          <w:tab w:val="num" w:pos="360"/>
        </w:tabs>
        <w:ind w:left="360" w:hanging="360"/>
      </w:pPr>
      <w:rPr>
        <w:b/>
        <w:color w:val="F79646" w:themeColor="accent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9FF060D"/>
    <w:multiLevelType w:val="hybridMultilevel"/>
    <w:tmpl w:val="18F01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20432E"/>
    <w:multiLevelType w:val="hybridMultilevel"/>
    <w:tmpl w:val="0320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AE1BE8"/>
    <w:multiLevelType w:val="hybridMultilevel"/>
    <w:tmpl w:val="907C7282"/>
    <w:lvl w:ilvl="0" w:tplc="FC82B70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2BE0231"/>
    <w:multiLevelType w:val="hybridMultilevel"/>
    <w:tmpl w:val="5784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B76AFA"/>
    <w:multiLevelType w:val="hybridMultilevel"/>
    <w:tmpl w:val="2858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8463C3"/>
    <w:multiLevelType w:val="hybridMultilevel"/>
    <w:tmpl w:val="FD401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C33F51"/>
    <w:multiLevelType w:val="hybridMultilevel"/>
    <w:tmpl w:val="465A46A6"/>
    <w:lvl w:ilvl="0" w:tplc="5CF0EADA">
      <w:start w:val="1"/>
      <w:numFmt w:val="decimal"/>
      <w:lvlText w:val="%1."/>
      <w:lvlJc w:val="left"/>
      <w:pPr>
        <w:ind w:left="2960" w:hanging="52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4">
    <w:nsid w:val="27774D55"/>
    <w:multiLevelType w:val="hybridMultilevel"/>
    <w:tmpl w:val="D726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36">
    <w:nsid w:val="2A3A3383"/>
    <w:multiLevelType w:val="hybridMultilevel"/>
    <w:tmpl w:val="D772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B161BF2"/>
    <w:multiLevelType w:val="hybridMultilevel"/>
    <w:tmpl w:val="C4EE80CA"/>
    <w:lvl w:ilvl="0" w:tplc="5282CE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850896"/>
    <w:multiLevelType w:val="hybridMultilevel"/>
    <w:tmpl w:val="42449A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1F1162D"/>
    <w:multiLevelType w:val="hybridMultilevel"/>
    <w:tmpl w:val="CE5AF438"/>
    <w:lvl w:ilvl="0" w:tplc="EFEA7B24">
      <w:numFmt w:val="bullet"/>
      <w:lvlText w:val="-"/>
      <w:lvlJc w:val="left"/>
      <w:pPr>
        <w:ind w:left="360" w:hanging="360"/>
      </w:pPr>
      <w:rPr>
        <w:rFonts w:ascii="Calibri" w:eastAsiaTheme="minorHAnsi" w:hAnsi="Calibri" w:cs="Times New Roman" w:hint="default"/>
        <w:b/>
      </w:rPr>
    </w:lvl>
    <w:lvl w:ilvl="1" w:tplc="EFEA7B24">
      <w:numFmt w:val="bullet"/>
      <w:lvlText w:val="-"/>
      <w:lvlJc w:val="left"/>
      <w:pPr>
        <w:ind w:left="1080" w:hanging="360"/>
      </w:pPr>
      <w:rPr>
        <w:rFonts w:ascii="Calibri" w:eastAsiaTheme="minorHAnsi" w:hAnsi="Calibri"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60D428C"/>
    <w:multiLevelType w:val="hybridMultilevel"/>
    <w:tmpl w:val="F4D0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396921"/>
    <w:multiLevelType w:val="hybridMultilevel"/>
    <w:tmpl w:val="D3BC94C0"/>
    <w:lvl w:ilvl="0" w:tplc="EFEA7B24">
      <w:numFmt w:val="bullet"/>
      <w:lvlText w:val="-"/>
      <w:lvlJc w:val="left"/>
      <w:pPr>
        <w:ind w:left="360" w:hanging="360"/>
      </w:pPr>
      <w:rPr>
        <w:rFonts w:ascii="Calibri" w:eastAsiaTheme="minorHAnsi" w:hAnsi="Calibri"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73813A4"/>
    <w:multiLevelType w:val="hybridMultilevel"/>
    <w:tmpl w:val="77EE5BB4"/>
    <w:lvl w:ilvl="0" w:tplc="EFFAF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7E20CA3"/>
    <w:multiLevelType w:val="hybridMultilevel"/>
    <w:tmpl w:val="97CA8EDA"/>
    <w:lvl w:ilvl="0" w:tplc="792C1964">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8706C3A"/>
    <w:multiLevelType w:val="hybridMultilevel"/>
    <w:tmpl w:val="555CFF82"/>
    <w:lvl w:ilvl="0" w:tplc="8084E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7F1F48"/>
    <w:multiLevelType w:val="hybridMultilevel"/>
    <w:tmpl w:val="A634910E"/>
    <w:lvl w:ilvl="0" w:tplc="9D4297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8F0017B"/>
    <w:multiLevelType w:val="hybridMultilevel"/>
    <w:tmpl w:val="BFF6C41E"/>
    <w:lvl w:ilvl="0" w:tplc="C1DC95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BE17771"/>
    <w:multiLevelType w:val="hybridMultilevel"/>
    <w:tmpl w:val="819A8DB4"/>
    <w:lvl w:ilvl="0" w:tplc="36AE03DC">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3F0452"/>
    <w:multiLevelType w:val="multilevel"/>
    <w:tmpl w:val="86D04CDE"/>
    <w:numStyleLink w:val="bullet1Garamond"/>
  </w:abstractNum>
  <w:abstractNum w:abstractNumId="49">
    <w:nsid w:val="3D6B6B0B"/>
    <w:multiLevelType w:val="hybridMultilevel"/>
    <w:tmpl w:val="B69E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0FD593B"/>
    <w:multiLevelType w:val="hybridMultilevel"/>
    <w:tmpl w:val="02408D7A"/>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b w:val="0"/>
        <w:color w:val="auto"/>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22D6E97"/>
    <w:multiLevelType w:val="hybridMultilevel"/>
    <w:tmpl w:val="C4B2828C"/>
    <w:lvl w:ilvl="0" w:tplc="ADBEFD6E">
      <w:start w:val="1"/>
      <w:numFmt w:val="bullet"/>
      <w:lvlText w:val=""/>
      <w:lvlJc w:val="left"/>
      <w:pPr>
        <w:tabs>
          <w:tab w:val="num" w:pos="720"/>
        </w:tabs>
        <w:ind w:left="720" w:hanging="360"/>
      </w:pPr>
      <w:rPr>
        <w:rFonts w:ascii="Wingdings" w:hAnsi="Wingdings" w:hint="default"/>
      </w:rPr>
    </w:lvl>
    <w:lvl w:ilvl="1" w:tplc="EAECE24A" w:tentative="1">
      <w:start w:val="1"/>
      <w:numFmt w:val="bullet"/>
      <w:lvlText w:val=""/>
      <w:lvlJc w:val="left"/>
      <w:pPr>
        <w:tabs>
          <w:tab w:val="num" w:pos="1440"/>
        </w:tabs>
        <w:ind w:left="1440" w:hanging="360"/>
      </w:pPr>
      <w:rPr>
        <w:rFonts w:ascii="Wingdings" w:hAnsi="Wingdings" w:hint="default"/>
      </w:rPr>
    </w:lvl>
    <w:lvl w:ilvl="2" w:tplc="D1F40968" w:tentative="1">
      <w:start w:val="1"/>
      <w:numFmt w:val="bullet"/>
      <w:lvlText w:val=""/>
      <w:lvlJc w:val="left"/>
      <w:pPr>
        <w:tabs>
          <w:tab w:val="num" w:pos="2160"/>
        </w:tabs>
        <w:ind w:left="2160" w:hanging="360"/>
      </w:pPr>
      <w:rPr>
        <w:rFonts w:ascii="Wingdings" w:hAnsi="Wingdings" w:hint="default"/>
      </w:rPr>
    </w:lvl>
    <w:lvl w:ilvl="3" w:tplc="2C5C44DE" w:tentative="1">
      <w:start w:val="1"/>
      <w:numFmt w:val="bullet"/>
      <w:lvlText w:val=""/>
      <w:lvlJc w:val="left"/>
      <w:pPr>
        <w:tabs>
          <w:tab w:val="num" w:pos="2880"/>
        </w:tabs>
        <w:ind w:left="2880" w:hanging="360"/>
      </w:pPr>
      <w:rPr>
        <w:rFonts w:ascii="Wingdings" w:hAnsi="Wingdings" w:hint="default"/>
      </w:rPr>
    </w:lvl>
    <w:lvl w:ilvl="4" w:tplc="693C9E2E" w:tentative="1">
      <w:start w:val="1"/>
      <w:numFmt w:val="bullet"/>
      <w:lvlText w:val=""/>
      <w:lvlJc w:val="left"/>
      <w:pPr>
        <w:tabs>
          <w:tab w:val="num" w:pos="3600"/>
        </w:tabs>
        <w:ind w:left="3600" w:hanging="360"/>
      </w:pPr>
      <w:rPr>
        <w:rFonts w:ascii="Wingdings" w:hAnsi="Wingdings" w:hint="default"/>
      </w:rPr>
    </w:lvl>
    <w:lvl w:ilvl="5" w:tplc="D75EDD54" w:tentative="1">
      <w:start w:val="1"/>
      <w:numFmt w:val="bullet"/>
      <w:lvlText w:val=""/>
      <w:lvlJc w:val="left"/>
      <w:pPr>
        <w:tabs>
          <w:tab w:val="num" w:pos="4320"/>
        </w:tabs>
        <w:ind w:left="4320" w:hanging="360"/>
      </w:pPr>
      <w:rPr>
        <w:rFonts w:ascii="Wingdings" w:hAnsi="Wingdings" w:hint="default"/>
      </w:rPr>
    </w:lvl>
    <w:lvl w:ilvl="6" w:tplc="77C44076" w:tentative="1">
      <w:start w:val="1"/>
      <w:numFmt w:val="bullet"/>
      <w:lvlText w:val=""/>
      <w:lvlJc w:val="left"/>
      <w:pPr>
        <w:tabs>
          <w:tab w:val="num" w:pos="5040"/>
        </w:tabs>
        <w:ind w:left="5040" w:hanging="360"/>
      </w:pPr>
      <w:rPr>
        <w:rFonts w:ascii="Wingdings" w:hAnsi="Wingdings" w:hint="default"/>
      </w:rPr>
    </w:lvl>
    <w:lvl w:ilvl="7" w:tplc="57ACD784" w:tentative="1">
      <w:start w:val="1"/>
      <w:numFmt w:val="bullet"/>
      <w:lvlText w:val=""/>
      <w:lvlJc w:val="left"/>
      <w:pPr>
        <w:tabs>
          <w:tab w:val="num" w:pos="5760"/>
        </w:tabs>
        <w:ind w:left="5760" w:hanging="360"/>
      </w:pPr>
      <w:rPr>
        <w:rFonts w:ascii="Wingdings" w:hAnsi="Wingdings" w:hint="default"/>
      </w:rPr>
    </w:lvl>
    <w:lvl w:ilvl="8" w:tplc="A636F176" w:tentative="1">
      <w:start w:val="1"/>
      <w:numFmt w:val="bullet"/>
      <w:lvlText w:val=""/>
      <w:lvlJc w:val="left"/>
      <w:pPr>
        <w:tabs>
          <w:tab w:val="num" w:pos="6480"/>
        </w:tabs>
        <w:ind w:left="6480" w:hanging="360"/>
      </w:pPr>
      <w:rPr>
        <w:rFonts w:ascii="Wingdings" w:hAnsi="Wingdings" w:hint="default"/>
      </w:rPr>
    </w:lvl>
  </w:abstractNum>
  <w:abstractNum w:abstractNumId="53">
    <w:nsid w:val="45C30D56"/>
    <w:multiLevelType w:val="hybridMultilevel"/>
    <w:tmpl w:val="AAA4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55">
    <w:nsid w:val="49B67DF7"/>
    <w:multiLevelType w:val="hybridMultilevel"/>
    <w:tmpl w:val="0AE2C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455D59"/>
    <w:multiLevelType w:val="hybridMultilevel"/>
    <w:tmpl w:val="D9A2A0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FD5B8D"/>
    <w:multiLevelType w:val="hybridMultilevel"/>
    <w:tmpl w:val="D13ED79E"/>
    <w:lvl w:ilvl="0" w:tplc="64324B22">
      <w:start w:val="1"/>
      <w:numFmt w:val="bullet"/>
      <w:lvlText w:val="•"/>
      <w:lvlJc w:val="left"/>
      <w:pPr>
        <w:tabs>
          <w:tab w:val="num" w:pos="720"/>
        </w:tabs>
        <w:ind w:left="720" w:hanging="360"/>
      </w:pPr>
      <w:rPr>
        <w:rFonts w:ascii="Arial" w:hAnsi="Arial" w:hint="default"/>
      </w:rPr>
    </w:lvl>
    <w:lvl w:ilvl="1" w:tplc="E022318E" w:tentative="1">
      <w:start w:val="1"/>
      <w:numFmt w:val="bullet"/>
      <w:lvlText w:val="•"/>
      <w:lvlJc w:val="left"/>
      <w:pPr>
        <w:tabs>
          <w:tab w:val="num" w:pos="1440"/>
        </w:tabs>
        <w:ind w:left="1440" w:hanging="360"/>
      </w:pPr>
      <w:rPr>
        <w:rFonts w:ascii="Arial" w:hAnsi="Arial" w:hint="default"/>
      </w:rPr>
    </w:lvl>
    <w:lvl w:ilvl="2" w:tplc="8A60F4BE" w:tentative="1">
      <w:start w:val="1"/>
      <w:numFmt w:val="bullet"/>
      <w:lvlText w:val="•"/>
      <w:lvlJc w:val="left"/>
      <w:pPr>
        <w:tabs>
          <w:tab w:val="num" w:pos="2160"/>
        </w:tabs>
        <w:ind w:left="2160" w:hanging="360"/>
      </w:pPr>
      <w:rPr>
        <w:rFonts w:ascii="Arial" w:hAnsi="Arial" w:hint="default"/>
      </w:rPr>
    </w:lvl>
    <w:lvl w:ilvl="3" w:tplc="9FCCFE8E" w:tentative="1">
      <w:start w:val="1"/>
      <w:numFmt w:val="bullet"/>
      <w:lvlText w:val="•"/>
      <w:lvlJc w:val="left"/>
      <w:pPr>
        <w:tabs>
          <w:tab w:val="num" w:pos="2880"/>
        </w:tabs>
        <w:ind w:left="2880" w:hanging="360"/>
      </w:pPr>
      <w:rPr>
        <w:rFonts w:ascii="Arial" w:hAnsi="Arial" w:hint="default"/>
      </w:rPr>
    </w:lvl>
    <w:lvl w:ilvl="4" w:tplc="51A23C68" w:tentative="1">
      <w:start w:val="1"/>
      <w:numFmt w:val="bullet"/>
      <w:lvlText w:val="•"/>
      <w:lvlJc w:val="left"/>
      <w:pPr>
        <w:tabs>
          <w:tab w:val="num" w:pos="3600"/>
        </w:tabs>
        <w:ind w:left="3600" w:hanging="360"/>
      </w:pPr>
      <w:rPr>
        <w:rFonts w:ascii="Arial" w:hAnsi="Arial" w:hint="default"/>
      </w:rPr>
    </w:lvl>
    <w:lvl w:ilvl="5" w:tplc="E6700E86" w:tentative="1">
      <w:start w:val="1"/>
      <w:numFmt w:val="bullet"/>
      <w:lvlText w:val="•"/>
      <w:lvlJc w:val="left"/>
      <w:pPr>
        <w:tabs>
          <w:tab w:val="num" w:pos="4320"/>
        </w:tabs>
        <w:ind w:left="4320" w:hanging="360"/>
      </w:pPr>
      <w:rPr>
        <w:rFonts w:ascii="Arial" w:hAnsi="Arial" w:hint="default"/>
      </w:rPr>
    </w:lvl>
    <w:lvl w:ilvl="6" w:tplc="8244D8EE" w:tentative="1">
      <w:start w:val="1"/>
      <w:numFmt w:val="bullet"/>
      <w:lvlText w:val="•"/>
      <w:lvlJc w:val="left"/>
      <w:pPr>
        <w:tabs>
          <w:tab w:val="num" w:pos="5040"/>
        </w:tabs>
        <w:ind w:left="5040" w:hanging="360"/>
      </w:pPr>
      <w:rPr>
        <w:rFonts w:ascii="Arial" w:hAnsi="Arial" w:hint="default"/>
      </w:rPr>
    </w:lvl>
    <w:lvl w:ilvl="7" w:tplc="A412DBAC" w:tentative="1">
      <w:start w:val="1"/>
      <w:numFmt w:val="bullet"/>
      <w:lvlText w:val="•"/>
      <w:lvlJc w:val="left"/>
      <w:pPr>
        <w:tabs>
          <w:tab w:val="num" w:pos="5760"/>
        </w:tabs>
        <w:ind w:left="5760" w:hanging="360"/>
      </w:pPr>
      <w:rPr>
        <w:rFonts w:ascii="Arial" w:hAnsi="Arial" w:hint="default"/>
      </w:rPr>
    </w:lvl>
    <w:lvl w:ilvl="8" w:tplc="105A8BF0" w:tentative="1">
      <w:start w:val="1"/>
      <w:numFmt w:val="bullet"/>
      <w:lvlText w:val="•"/>
      <w:lvlJc w:val="left"/>
      <w:pPr>
        <w:tabs>
          <w:tab w:val="num" w:pos="6480"/>
        </w:tabs>
        <w:ind w:left="6480" w:hanging="360"/>
      </w:pPr>
      <w:rPr>
        <w:rFonts w:ascii="Arial" w:hAnsi="Arial" w:hint="default"/>
      </w:rPr>
    </w:lvl>
  </w:abstractNum>
  <w:abstractNum w:abstractNumId="58">
    <w:nsid w:val="507446CE"/>
    <w:multiLevelType w:val="hybridMultilevel"/>
    <w:tmpl w:val="3294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20546F2"/>
    <w:multiLevelType w:val="hybridMultilevel"/>
    <w:tmpl w:val="06265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4F03DD4"/>
    <w:multiLevelType w:val="hybridMultilevel"/>
    <w:tmpl w:val="3A82FC40"/>
    <w:lvl w:ilvl="0" w:tplc="E8C80242">
      <w:start w:val="1"/>
      <w:numFmt w:val="bullet"/>
      <w:lvlText w:val=""/>
      <w:lvlJc w:val="left"/>
      <w:pPr>
        <w:ind w:left="1080" w:hanging="360"/>
      </w:pPr>
      <w:rPr>
        <w:rFonts w:ascii="Symbol" w:hAnsi="Symbol" w:hint="default"/>
        <w:color w:val="BFB5A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62">
    <w:nsid w:val="571916D6"/>
    <w:multiLevelType w:val="hybridMultilevel"/>
    <w:tmpl w:val="5F34B442"/>
    <w:lvl w:ilvl="0" w:tplc="C27215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01D77"/>
    <w:multiLevelType w:val="hybridMultilevel"/>
    <w:tmpl w:val="1040EB46"/>
    <w:lvl w:ilvl="0" w:tplc="0409000F">
      <w:start w:val="1"/>
      <w:numFmt w:val="decimal"/>
      <w:lvlText w:val="%1."/>
      <w:lvlJc w:val="left"/>
      <w:pPr>
        <w:ind w:left="360" w:hanging="360"/>
      </w:pPr>
      <w:rPr>
        <w:rFonts w:hint="default"/>
      </w:rPr>
    </w:lvl>
    <w:lvl w:ilvl="1" w:tplc="CDE453D4">
      <w:start w:val="1"/>
      <w:numFmt w:val="lowerLetter"/>
      <w:lvlText w:val="%2."/>
      <w:lvlJc w:val="left"/>
      <w:pPr>
        <w:ind w:left="1080" w:hanging="360"/>
      </w:pPr>
      <w:rPr>
        <w:rFonts w:hint="default"/>
        <w:b w:val="0"/>
        <w:color w:val="auto"/>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8921DB1"/>
    <w:multiLevelType w:val="hybridMultilevel"/>
    <w:tmpl w:val="4A4A6A5A"/>
    <w:lvl w:ilvl="0" w:tplc="C33C9124">
      <w:start w:val="1"/>
      <w:numFmt w:val="bullet"/>
      <w:pStyle w:val="Style1"/>
      <w:lvlText w:val=""/>
      <w:lvlJc w:val="left"/>
      <w:pPr>
        <w:tabs>
          <w:tab w:val="num" w:pos="1080"/>
        </w:tabs>
        <w:ind w:left="1080" w:hanging="360"/>
      </w:pPr>
      <w:rPr>
        <w:rFonts w:ascii="Wingdings" w:hAnsi="Wingdings" w:hint="default"/>
      </w:rPr>
    </w:lvl>
    <w:lvl w:ilvl="1" w:tplc="C29A309C">
      <w:start w:val="1"/>
      <w:numFmt w:val="bullet"/>
      <w:lvlText w:val="o"/>
      <w:lvlJc w:val="left"/>
      <w:pPr>
        <w:tabs>
          <w:tab w:val="num" w:pos="1800"/>
        </w:tabs>
        <w:ind w:left="1800" w:hanging="360"/>
      </w:pPr>
      <w:rPr>
        <w:rFonts w:ascii="Courier New" w:hAnsi="Courier New" w:cs="Courier New" w:hint="default"/>
      </w:rPr>
    </w:lvl>
    <w:lvl w:ilvl="2" w:tplc="E22C4CEE">
      <w:start w:val="1"/>
      <w:numFmt w:val="bullet"/>
      <w:pStyle w:val="ListBullet3"/>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5B186378"/>
    <w:multiLevelType w:val="hybridMultilevel"/>
    <w:tmpl w:val="F80A4FEE"/>
    <w:lvl w:ilvl="0" w:tplc="CDE453D4">
      <w:start w:val="1"/>
      <w:numFmt w:val="lowerLetter"/>
      <w:lvlText w:val="%1."/>
      <w:lvlJc w:val="left"/>
      <w:pPr>
        <w:ind w:left="1080" w:hanging="360"/>
      </w:pPr>
      <w:rPr>
        <w:rFonts w:hint="default"/>
        <w:b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B87180D"/>
    <w:multiLevelType w:val="hybridMultilevel"/>
    <w:tmpl w:val="D0D29A1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68">
    <w:nsid w:val="5C7408CD"/>
    <w:multiLevelType w:val="multilevel"/>
    <w:tmpl w:val="97BA50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abstractNum w:abstractNumId="70">
    <w:nsid w:val="5F580D5D"/>
    <w:multiLevelType w:val="hybridMultilevel"/>
    <w:tmpl w:val="448C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FCB3FB5"/>
    <w:multiLevelType w:val="hybridMultilevel"/>
    <w:tmpl w:val="9DA2CE8C"/>
    <w:lvl w:ilvl="0" w:tplc="7D383D4C">
      <w:start w:val="1"/>
      <w:numFmt w:val="bullet"/>
      <w:lvlText w:val=""/>
      <w:lvlJc w:val="left"/>
      <w:pPr>
        <w:tabs>
          <w:tab w:val="num" w:pos="1080"/>
        </w:tabs>
        <w:ind w:left="1080" w:hanging="360"/>
      </w:pPr>
      <w:rPr>
        <w:rFonts w:ascii="Wingdings" w:hAnsi="Wingdings" w:hint="default"/>
      </w:rPr>
    </w:lvl>
    <w:lvl w:ilvl="1" w:tplc="D95C4FE0" w:tentative="1">
      <w:start w:val="1"/>
      <w:numFmt w:val="bullet"/>
      <w:lvlText w:val=""/>
      <w:lvlJc w:val="left"/>
      <w:pPr>
        <w:tabs>
          <w:tab w:val="num" w:pos="1800"/>
        </w:tabs>
        <w:ind w:left="1800" w:hanging="360"/>
      </w:pPr>
      <w:rPr>
        <w:rFonts w:ascii="Wingdings" w:hAnsi="Wingdings" w:hint="default"/>
      </w:rPr>
    </w:lvl>
    <w:lvl w:ilvl="2" w:tplc="DE66684C" w:tentative="1">
      <w:start w:val="1"/>
      <w:numFmt w:val="bullet"/>
      <w:lvlText w:val=""/>
      <w:lvlJc w:val="left"/>
      <w:pPr>
        <w:tabs>
          <w:tab w:val="num" w:pos="2520"/>
        </w:tabs>
        <w:ind w:left="2520" w:hanging="360"/>
      </w:pPr>
      <w:rPr>
        <w:rFonts w:ascii="Wingdings" w:hAnsi="Wingdings" w:hint="default"/>
      </w:rPr>
    </w:lvl>
    <w:lvl w:ilvl="3" w:tplc="CAFCC844" w:tentative="1">
      <w:start w:val="1"/>
      <w:numFmt w:val="bullet"/>
      <w:lvlText w:val=""/>
      <w:lvlJc w:val="left"/>
      <w:pPr>
        <w:tabs>
          <w:tab w:val="num" w:pos="3240"/>
        </w:tabs>
        <w:ind w:left="3240" w:hanging="360"/>
      </w:pPr>
      <w:rPr>
        <w:rFonts w:ascii="Wingdings" w:hAnsi="Wingdings" w:hint="default"/>
      </w:rPr>
    </w:lvl>
    <w:lvl w:ilvl="4" w:tplc="5282B12C" w:tentative="1">
      <w:start w:val="1"/>
      <w:numFmt w:val="bullet"/>
      <w:lvlText w:val=""/>
      <w:lvlJc w:val="left"/>
      <w:pPr>
        <w:tabs>
          <w:tab w:val="num" w:pos="3960"/>
        </w:tabs>
        <w:ind w:left="3960" w:hanging="360"/>
      </w:pPr>
      <w:rPr>
        <w:rFonts w:ascii="Wingdings" w:hAnsi="Wingdings" w:hint="default"/>
      </w:rPr>
    </w:lvl>
    <w:lvl w:ilvl="5" w:tplc="7550F914" w:tentative="1">
      <w:start w:val="1"/>
      <w:numFmt w:val="bullet"/>
      <w:lvlText w:val=""/>
      <w:lvlJc w:val="left"/>
      <w:pPr>
        <w:tabs>
          <w:tab w:val="num" w:pos="4680"/>
        </w:tabs>
        <w:ind w:left="4680" w:hanging="360"/>
      </w:pPr>
      <w:rPr>
        <w:rFonts w:ascii="Wingdings" w:hAnsi="Wingdings" w:hint="default"/>
      </w:rPr>
    </w:lvl>
    <w:lvl w:ilvl="6" w:tplc="20B64804" w:tentative="1">
      <w:start w:val="1"/>
      <w:numFmt w:val="bullet"/>
      <w:lvlText w:val=""/>
      <w:lvlJc w:val="left"/>
      <w:pPr>
        <w:tabs>
          <w:tab w:val="num" w:pos="5400"/>
        </w:tabs>
        <w:ind w:left="5400" w:hanging="360"/>
      </w:pPr>
      <w:rPr>
        <w:rFonts w:ascii="Wingdings" w:hAnsi="Wingdings" w:hint="default"/>
      </w:rPr>
    </w:lvl>
    <w:lvl w:ilvl="7" w:tplc="4454DD22" w:tentative="1">
      <w:start w:val="1"/>
      <w:numFmt w:val="bullet"/>
      <w:lvlText w:val=""/>
      <w:lvlJc w:val="left"/>
      <w:pPr>
        <w:tabs>
          <w:tab w:val="num" w:pos="6120"/>
        </w:tabs>
        <w:ind w:left="6120" w:hanging="360"/>
      </w:pPr>
      <w:rPr>
        <w:rFonts w:ascii="Wingdings" w:hAnsi="Wingdings" w:hint="default"/>
      </w:rPr>
    </w:lvl>
    <w:lvl w:ilvl="8" w:tplc="E80CC262" w:tentative="1">
      <w:start w:val="1"/>
      <w:numFmt w:val="bullet"/>
      <w:lvlText w:val=""/>
      <w:lvlJc w:val="left"/>
      <w:pPr>
        <w:tabs>
          <w:tab w:val="num" w:pos="6840"/>
        </w:tabs>
        <w:ind w:left="6840" w:hanging="360"/>
      </w:pPr>
      <w:rPr>
        <w:rFonts w:ascii="Wingdings" w:hAnsi="Wingdings" w:hint="default"/>
      </w:rPr>
    </w:lvl>
  </w:abstractNum>
  <w:abstractNum w:abstractNumId="72">
    <w:nsid w:val="6021169E"/>
    <w:multiLevelType w:val="hybridMultilevel"/>
    <w:tmpl w:val="E2B6E7C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38B0E91"/>
    <w:multiLevelType w:val="hybridMultilevel"/>
    <w:tmpl w:val="7124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E261A3"/>
    <w:multiLevelType w:val="hybridMultilevel"/>
    <w:tmpl w:val="D6145F36"/>
    <w:lvl w:ilvl="0" w:tplc="C33C9124">
      <w:start w:val="1"/>
      <w:numFmt w:val="bullet"/>
      <w:lvlText w:val=""/>
      <w:lvlJc w:val="left"/>
      <w:pPr>
        <w:tabs>
          <w:tab w:val="num" w:pos="720"/>
        </w:tabs>
        <w:ind w:left="720" w:hanging="360"/>
      </w:pPr>
      <w:rPr>
        <w:rFonts w:ascii="Wingdings" w:hAnsi="Wingdings" w:hint="default"/>
      </w:rPr>
    </w:lvl>
    <w:lvl w:ilvl="1" w:tplc="8EF03104">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6533C0D"/>
    <w:multiLevelType w:val="hybridMultilevel"/>
    <w:tmpl w:val="1B1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8D0960"/>
    <w:multiLevelType w:val="hybridMultilevel"/>
    <w:tmpl w:val="9402856E"/>
    <w:lvl w:ilvl="0" w:tplc="294A535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AF6336B"/>
    <w:multiLevelType w:val="hybridMultilevel"/>
    <w:tmpl w:val="EDEC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A60798"/>
    <w:multiLevelType w:val="hybridMultilevel"/>
    <w:tmpl w:val="1EBC9178"/>
    <w:lvl w:ilvl="0" w:tplc="ED2EC69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00D66B3"/>
    <w:multiLevelType w:val="hybridMultilevel"/>
    <w:tmpl w:val="744AA61A"/>
    <w:lvl w:ilvl="0" w:tplc="D3F29F1C">
      <w:start w:val="1"/>
      <w:numFmt w:val="bullet"/>
      <w:lvlText w:val=""/>
      <w:lvlJc w:val="left"/>
      <w:pPr>
        <w:ind w:left="360" w:hanging="360"/>
      </w:pPr>
      <w:rPr>
        <w:rFonts w:ascii="Wingdings" w:hAnsi="Wingdings" w:hint="default"/>
        <w:color w:val="F3901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71B21AF4"/>
    <w:multiLevelType w:val="hybridMultilevel"/>
    <w:tmpl w:val="E284A450"/>
    <w:lvl w:ilvl="0" w:tplc="97681E1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2846B4"/>
    <w:multiLevelType w:val="hybridMultilevel"/>
    <w:tmpl w:val="161EF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9347A6"/>
    <w:multiLevelType w:val="hybridMultilevel"/>
    <w:tmpl w:val="ED661158"/>
    <w:lvl w:ilvl="0" w:tplc="9D4297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5004B1A"/>
    <w:multiLevelType w:val="hybridMultilevel"/>
    <w:tmpl w:val="F32A1F86"/>
    <w:lvl w:ilvl="0" w:tplc="C33C9124">
      <w:start w:val="1"/>
      <w:numFmt w:val="bullet"/>
      <w:lvlText w:val=""/>
      <w:lvlJc w:val="left"/>
      <w:pPr>
        <w:tabs>
          <w:tab w:val="num" w:pos="720"/>
        </w:tabs>
        <w:ind w:left="720" w:hanging="360"/>
      </w:pPr>
      <w:rPr>
        <w:rFonts w:ascii="Wingdings" w:hAnsi="Wingdings" w:hint="default"/>
      </w:rPr>
    </w:lvl>
    <w:lvl w:ilvl="1" w:tplc="8EF03104">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76D559B"/>
    <w:multiLevelType w:val="hybridMultilevel"/>
    <w:tmpl w:val="DCD2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7824586A"/>
    <w:multiLevelType w:val="hybridMultilevel"/>
    <w:tmpl w:val="0F241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8302EDD"/>
    <w:multiLevelType w:val="hybridMultilevel"/>
    <w:tmpl w:val="349CB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B483E35"/>
    <w:multiLevelType w:val="hybridMultilevel"/>
    <w:tmpl w:val="50F4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AF439E"/>
    <w:multiLevelType w:val="hybridMultilevel"/>
    <w:tmpl w:val="73D29EF8"/>
    <w:lvl w:ilvl="0" w:tplc="28CA3EC6">
      <w:start w:val="1"/>
      <w:numFmt w:val="bullet"/>
      <w:lvlText w:val="•"/>
      <w:lvlJc w:val="left"/>
      <w:pPr>
        <w:tabs>
          <w:tab w:val="num" w:pos="720"/>
        </w:tabs>
        <w:ind w:left="720" w:hanging="360"/>
      </w:pPr>
      <w:rPr>
        <w:rFonts w:ascii="Arial" w:hAnsi="Arial" w:hint="default"/>
      </w:rPr>
    </w:lvl>
    <w:lvl w:ilvl="1" w:tplc="8BF24D84" w:tentative="1">
      <w:start w:val="1"/>
      <w:numFmt w:val="bullet"/>
      <w:lvlText w:val="•"/>
      <w:lvlJc w:val="left"/>
      <w:pPr>
        <w:tabs>
          <w:tab w:val="num" w:pos="1440"/>
        </w:tabs>
        <w:ind w:left="1440" w:hanging="360"/>
      </w:pPr>
      <w:rPr>
        <w:rFonts w:ascii="Arial" w:hAnsi="Arial" w:hint="default"/>
      </w:rPr>
    </w:lvl>
    <w:lvl w:ilvl="2" w:tplc="0EF4F66E" w:tentative="1">
      <w:start w:val="1"/>
      <w:numFmt w:val="bullet"/>
      <w:lvlText w:val="•"/>
      <w:lvlJc w:val="left"/>
      <w:pPr>
        <w:tabs>
          <w:tab w:val="num" w:pos="2160"/>
        </w:tabs>
        <w:ind w:left="2160" w:hanging="360"/>
      </w:pPr>
      <w:rPr>
        <w:rFonts w:ascii="Arial" w:hAnsi="Arial" w:hint="default"/>
      </w:rPr>
    </w:lvl>
    <w:lvl w:ilvl="3" w:tplc="5A1C7A20" w:tentative="1">
      <w:start w:val="1"/>
      <w:numFmt w:val="bullet"/>
      <w:lvlText w:val="•"/>
      <w:lvlJc w:val="left"/>
      <w:pPr>
        <w:tabs>
          <w:tab w:val="num" w:pos="2880"/>
        </w:tabs>
        <w:ind w:left="2880" w:hanging="360"/>
      </w:pPr>
      <w:rPr>
        <w:rFonts w:ascii="Arial" w:hAnsi="Arial" w:hint="default"/>
      </w:rPr>
    </w:lvl>
    <w:lvl w:ilvl="4" w:tplc="9E64CDDE" w:tentative="1">
      <w:start w:val="1"/>
      <w:numFmt w:val="bullet"/>
      <w:lvlText w:val="•"/>
      <w:lvlJc w:val="left"/>
      <w:pPr>
        <w:tabs>
          <w:tab w:val="num" w:pos="3600"/>
        </w:tabs>
        <w:ind w:left="3600" w:hanging="360"/>
      </w:pPr>
      <w:rPr>
        <w:rFonts w:ascii="Arial" w:hAnsi="Arial" w:hint="default"/>
      </w:rPr>
    </w:lvl>
    <w:lvl w:ilvl="5" w:tplc="760C1050" w:tentative="1">
      <w:start w:val="1"/>
      <w:numFmt w:val="bullet"/>
      <w:lvlText w:val="•"/>
      <w:lvlJc w:val="left"/>
      <w:pPr>
        <w:tabs>
          <w:tab w:val="num" w:pos="4320"/>
        </w:tabs>
        <w:ind w:left="4320" w:hanging="360"/>
      </w:pPr>
      <w:rPr>
        <w:rFonts w:ascii="Arial" w:hAnsi="Arial" w:hint="default"/>
      </w:rPr>
    </w:lvl>
    <w:lvl w:ilvl="6" w:tplc="3D94DF84" w:tentative="1">
      <w:start w:val="1"/>
      <w:numFmt w:val="bullet"/>
      <w:lvlText w:val="•"/>
      <w:lvlJc w:val="left"/>
      <w:pPr>
        <w:tabs>
          <w:tab w:val="num" w:pos="5040"/>
        </w:tabs>
        <w:ind w:left="5040" w:hanging="360"/>
      </w:pPr>
      <w:rPr>
        <w:rFonts w:ascii="Arial" w:hAnsi="Arial" w:hint="default"/>
      </w:rPr>
    </w:lvl>
    <w:lvl w:ilvl="7" w:tplc="7CB0DDA8" w:tentative="1">
      <w:start w:val="1"/>
      <w:numFmt w:val="bullet"/>
      <w:lvlText w:val="•"/>
      <w:lvlJc w:val="left"/>
      <w:pPr>
        <w:tabs>
          <w:tab w:val="num" w:pos="5760"/>
        </w:tabs>
        <w:ind w:left="5760" w:hanging="360"/>
      </w:pPr>
      <w:rPr>
        <w:rFonts w:ascii="Arial" w:hAnsi="Arial" w:hint="default"/>
      </w:rPr>
    </w:lvl>
    <w:lvl w:ilvl="8" w:tplc="0DA00408" w:tentative="1">
      <w:start w:val="1"/>
      <w:numFmt w:val="bullet"/>
      <w:lvlText w:val="•"/>
      <w:lvlJc w:val="left"/>
      <w:pPr>
        <w:tabs>
          <w:tab w:val="num" w:pos="6480"/>
        </w:tabs>
        <w:ind w:left="6480" w:hanging="360"/>
      </w:pPr>
      <w:rPr>
        <w:rFonts w:ascii="Arial" w:hAnsi="Arial" w:hint="default"/>
      </w:rPr>
    </w:lvl>
  </w:abstractNum>
  <w:abstractNum w:abstractNumId="90">
    <w:nsid w:val="7DBB5233"/>
    <w:multiLevelType w:val="hybridMultilevel"/>
    <w:tmpl w:val="080ABBEC"/>
    <w:lvl w:ilvl="0" w:tplc="0409000F">
      <w:start w:val="1"/>
      <w:numFmt w:val="decimal"/>
      <w:lvlText w:val="%1."/>
      <w:lvlJc w:val="left"/>
      <w:pPr>
        <w:ind w:left="720" w:hanging="360"/>
      </w:pPr>
    </w:lvl>
    <w:lvl w:ilvl="1" w:tplc="EEA49B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F21725C"/>
    <w:multiLevelType w:val="hybridMultilevel"/>
    <w:tmpl w:val="844CE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F9671BF"/>
    <w:multiLevelType w:val="hybridMultilevel"/>
    <w:tmpl w:val="0590AC1E"/>
    <w:lvl w:ilvl="0" w:tplc="E8C80242">
      <w:start w:val="1"/>
      <w:numFmt w:val="bullet"/>
      <w:lvlText w:val=""/>
      <w:lvlJc w:val="left"/>
      <w:pPr>
        <w:ind w:left="1080" w:hanging="360"/>
      </w:pPr>
      <w:rPr>
        <w:rFonts w:ascii="Symbol" w:hAnsi="Symbol" w:hint="default"/>
        <w:color w:val="BFB5A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17"/>
  </w:num>
  <w:num w:numId="3">
    <w:abstractNumId w:val="8"/>
  </w:num>
  <w:num w:numId="4">
    <w:abstractNumId w:val="16"/>
  </w:num>
  <w:num w:numId="5">
    <w:abstractNumId w:val="35"/>
  </w:num>
  <w:num w:numId="6">
    <w:abstractNumId w:val="48"/>
  </w:num>
  <w:num w:numId="7">
    <w:abstractNumId w:val="67"/>
  </w:num>
  <w:num w:numId="8">
    <w:abstractNumId w:val="87"/>
  </w:num>
  <w:num w:numId="9">
    <w:abstractNumId w:val="64"/>
  </w:num>
  <w:num w:numId="10">
    <w:abstractNumId w:val="53"/>
  </w:num>
  <w:num w:numId="11">
    <w:abstractNumId w:val="70"/>
  </w:num>
  <w:num w:numId="12">
    <w:abstractNumId w:val="61"/>
  </w:num>
  <w:num w:numId="13">
    <w:abstractNumId w:val="7"/>
  </w:num>
  <w:num w:numId="14">
    <w:abstractNumId w:val="25"/>
  </w:num>
  <w:num w:numId="15">
    <w:abstractNumId w:val="76"/>
  </w:num>
  <w:num w:numId="16">
    <w:abstractNumId w:val="9"/>
  </w:num>
  <w:num w:numId="17">
    <w:abstractNumId w:val="13"/>
  </w:num>
  <w:num w:numId="18">
    <w:abstractNumId w:val="59"/>
  </w:num>
  <w:num w:numId="19">
    <w:abstractNumId w:val="29"/>
  </w:num>
  <w:num w:numId="20">
    <w:abstractNumId w:val="69"/>
  </w:num>
  <w:num w:numId="21">
    <w:abstractNumId w:val="54"/>
  </w:num>
  <w:num w:numId="22">
    <w:abstractNumId w:val="20"/>
  </w:num>
  <w:num w:numId="23">
    <w:abstractNumId w:val="79"/>
  </w:num>
  <w:num w:numId="24">
    <w:abstractNumId w:val="44"/>
  </w:num>
  <w:num w:numId="25">
    <w:abstractNumId w:val="42"/>
  </w:num>
  <w:num w:numId="26">
    <w:abstractNumId w:val="43"/>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47"/>
  </w:num>
  <w:num w:numId="35">
    <w:abstractNumId w:val="30"/>
  </w:num>
  <w:num w:numId="36">
    <w:abstractNumId w:val="81"/>
  </w:num>
  <w:num w:numId="37">
    <w:abstractNumId w:val="91"/>
  </w:num>
  <w:num w:numId="38">
    <w:abstractNumId w:val="46"/>
  </w:num>
  <w:num w:numId="39">
    <w:abstractNumId w:val="26"/>
  </w:num>
  <w:num w:numId="40">
    <w:abstractNumId w:val="82"/>
  </w:num>
  <w:num w:numId="41">
    <w:abstractNumId w:val="45"/>
  </w:num>
  <w:num w:numId="42">
    <w:abstractNumId w:val="47"/>
    <w:lvlOverride w:ilvl="0">
      <w:startOverride w:val="1"/>
    </w:lvlOverride>
  </w:num>
  <w:num w:numId="43">
    <w:abstractNumId w:val="65"/>
  </w:num>
  <w:num w:numId="44">
    <w:abstractNumId w:val="40"/>
  </w:num>
  <w:num w:numId="45">
    <w:abstractNumId w:val="34"/>
  </w:num>
  <w:num w:numId="46">
    <w:abstractNumId w:val="84"/>
  </w:num>
  <w:num w:numId="47">
    <w:abstractNumId w:val="62"/>
  </w:num>
  <w:num w:numId="48">
    <w:abstractNumId w:val="33"/>
  </w:num>
  <w:num w:numId="49">
    <w:abstractNumId w:val="11"/>
  </w:num>
  <w:num w:numId="50">
    <w:abstractNumId w:val="92"/>
  </w:num>
  <w:num w:numId="51">
    <w:abstractNumId w:val="60"/>
  </w:num>
  <w:num w:numId="52">
    <w:abstractNumId w:val="37"/>
  </w:num>
  <w:num w:numId="53">
    <w:abstractNumId w:val="19"/>
  </w:num>
  <w:num w:numId="54">
    <w:abstractNumId w:val="80"/>
  </w:num>
  <w:num w:numId="55">
    <w:abstractNumId w:val="10"/>
  </w:num>
  <w:num w:numId="56">
    <w:abstractNumId w:val="22"/>
  </w:num>
  <w:num w:numId="57">
    <w:abstractNumId w:val="18"/>
  </w:num>
  <w:num w:numId="58">
    <w:abstractNumId w:val="27"/>
  </w:num>
  <w:num w:numId="59">
    <w:abstractNumId w:val="88"/>
  </w:num>
  <w:num w:numId="60">
    <w:abstractNumId w:val="85"/>
  </w:num>
  <w:num w:numId="61">
    <w:abstractNumId w:val="49"/>
  </w:num>
  <w:num w:numId="62">
    <w:abstractNumId w:val="58"/>
  </w:num>
  <w:num w:numId="63">
    <w:abstractNumId w:val="28"/>
  </w:num>
  <w:num w:numId="64">
    <w:abstractNumId w:val="78"/>
  </w:num>
  <w:num w:numId="65">
    <w:abstractNumId w:val="55"/>
  </w:num>
  <w:num w:numId="66">
    <w:abstractNumId w:val="74"/>
  </w:num>
  <w:num w:numId="67">
    <w:abstractNumId w:val="21"/>
  </w:num>
  <w:num w:numId="68">
    <w:abstractNumId w:val="86"/>
  </w:num>
  <w:num w:numId="69">
    <w:abstractNumId w:val="32"/>
  </w:num>
  <w:num w:numId="70">
    <w:abstractNumId w:val="66"/>
  </w:num>
  <w:num w:numId="71">
    <w:abstractNumId w:val="12"/>
  </w:num>
  <w:num w:numId="72">
    <w:abstractNumId w:val="89"/>
  </w:num>
  <w:num w:numId="73">
    <w:abstractNumId w:val="57"/>
  </w:num>
  <w:num w:numId="74">
    <w:abstractNumId w:val="73"/>
  </w:num>
  <w:num w:numId="75">
    <w:abstractNumId w:val="31"/>
  </w:num>
  <w:num w:numId="76">
    <w:abstractNumId w:val="90"/>
  </w:num>
  <w:num w:numId="77">
    <w:abstractNumId w:val="63"/>
  </w:num>
  <w:num w:numId="78">
    <w:abstractNumId w:val="51"/>
  </w:num>
  <w:num w:numId="79">
    <w:abstractNumId w:val="56"/>
  </w:num>
  <w:num w:numId="80">
    <w:abstractNumId w:val="83"/>
  </w:num>
  <w:num w:numId="81">
    <w:abstractNumId w:val="72"/>
  </w:num>
  <w:num w:numId="82">
    <w:abstractNumId w:val="68"/>
  </w:num>
  <w:num w:numId="83">
    <w:abstractNumId w:val="24"/>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5"/>
  </w:num>
  <w:num w:numId="86">
    <w:abstractNumId w:val="52"/>
  </w:num>
  <w:num w:numId="87">
    <w:abstractNumId w:val="77"/>
  </w:num>
  <w:num w:numId="88">
    <w:abstractNumId w:val="38"/>
  </w:num>
  <w:num w:numId="89">
    <w:abstractNumId w:val="71"/>
  </w:num>
  <w:num w:numId="90">
    <w:abstractNumId w:val="14"/>
  </w:num>
  <w:num w:numId="91">
    <w:abstractNumId w:val="15"/>
  </w:num>
  <w:num w:numId="92">
    <w:abstractNumId w:val="36"/>
  </w:num>
  <w:num w:numId="93">
    <w:abstractNumId w:val="75"/>
  </w:num>
  <w:num w:numId="94">
    <w:abstractNumId w:val="23"/>
  </w:num>
  <w:num w:numId="95">
    <w:abstractNumId w:val="23"/>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num>
  <w:num w:numId="97">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B7"/>
    <w:rsid w:val="000020AF"/>
    <w:rsid w:val="00002CBF"/>
    <w:rsid w:val="00002E59"/>
    <w:rsid w:val="00003F2C"/>
    <w:rsid w:val="0000488A"/>
    <w:rsid w:val="00005BA6"/>
    <w:rsid w:val="000065D5"/>
    <w:rsid w:val="00010126"/>
    <w:rsid w:val="0001338D"/>
    <w:rsid w:val="00015408"/>
    <w:rsid w:val="000161A2"/>
    <w:rsid w:val="000162A6"/>
    <w:rsid w:val="000164CA"/>
    <w:rsid w:val="00016DAE"/>
    <w:rsid w:val="00020881"/>
    <w:rsid w:val="00020B36"/>
    <w:rsid w:val="00020EB0"/>
    <w:rsid w:val="000211EB"/>
    <w:rsid w:val="0002151C"/>
    <w:rsid w:val="000219FA"/>
    <w:rsid w:val="00022084"/>
    <w:rsid w:val="0002216B"/>
    <w:rsid w:val="00023BD6"/>
    <w:rsid w:val="00023DE9"/>
    <w:rsid w:val="0002512D"/>
    <w:rsid w:val="00025A0F"/>
    <w:rsid w:val="000268D7"/>
    <w:rsid w:val="00027F11"/>
    <w:rsid w:val="00030C20"/>
    <w:rsid w:val="00030D23"/>
    <w:rsid w:val="000314D1"/>
    <w:rsid w:val="000328EE"/>
    <w:rsid w:val="00032D41"/>
    <w:rsid w:val="00032E20"/>
    <w:rsid w:val="00034C5A"/>
    <w:rsid w:val="00034F19"/>
    <w:rsid w:val="00035502"/>
    <w:rsid w:val="0003582B"/>
    <w:rsid w:val="000359E7"/>
    <w:rsid w:val="00035C56"/>
    <w:rsid w:val="0003662C"/>
    <w:rsid w:val="0004260E"/>
    <w:rsid w:val="000429DF"/>
    <w:rsid w:val="00043D10"/>
    <w:rsid w:val="00044BEE"/>
    <w:rsid w:val="00045042"/>
    <w:rsid w:val="000450CF"/>
    <w:rsid w:val="00045427"/>
    <w:rsid w:val="00046B7E"/>
    <w:rsid w:val="000514D3"/>
    <w:rsid w:val="0005318C"/>
    <w:rsid w:val="00054589"/>
    <w:rsid w:val="00054EEE"/>
    <w:rsid w:val="00055047"/>
    <w:rsid w:val="0005553B"/>
    <w:rsid w:val="00055904"/>
    <w:rsid w:val="000576DD"/>
    <w:rsid w:val="00057B62"/>
    <w:rsid w:val="00060181"/>
    <w:rsid w:val="000631D8"/>
    <w:rsid w:val="00063C54"/>
    <w:rsid w:val="000645E7"/>
    <w:rsid w:val="0006491B"/>
    <w:rsid w:val="00065544"/>
    <w:rsid w:val="00065CB5"/>
    <w:rsid w:val="0006723F"/>
    <w:rsid w:val="000718A1"/>
    <w:rsid w:val="00072A32"/>
    <w:rsid w:val="00072A47"/>
    <w:rsid w:val="00073E9A"/>
    <w:rsid w:val="00074BA7"/>
    <w:rsid w:val="00074BB0"/>
    <w:rsid w:val="00075A6F"/>
    <w:rsid w:val="00080134"/>
    <w:rsid w:val="0008182B"/>
    <w:rsid w:val="00081C59"/>
    <w:rsid w:val="00082C44"/>
    <w:rsid w:val="00082FF8"/>
    <w:rsid w:val="000833C9"/>
    <w:rsid w:val="000834D1"/>
    <w:rsid w:val="00083C0D"/>
    <w:rsid w:val="00083C70"/>
    <w:rsid w:val="00084552"/>
    <w:rsid w:val="00084E5B"/>
    <w:rsid w:val="000859C8"/>
    <w:rsid w:val="000859F6"/>
    <w:rsid w:val="00085B51"/>
    <w:rsid w:val="0008638B"/>
    <w:rsid w:val="00086D6C"/>
    <w:rsid w:val="000878B9"/>
    <w:rsid w:val="00087BE4"/>
    <w:rsid w:val="00087E14"/>
    <w:rsid w:val="000902E2"/>
    <w:rsid w:val="00090BD3"/>
    <w:rsid w:val="00093D9D"/>
    <w:rsid w:val="00094D22"/>
    <w:rsid w:val="0009514D"/>
    <w:rsid w:val="000A00F6"/>
    <w:rsid w:val="000A0ECA"/>
    <w:rsid w:val="000A284D"/>
    <w:rsid w:val="000A42E0"/>
    <w:rsid w:val="000A4B03"/>
    <w:rsid w:val="000A4DF1"/>
    <w:rsid w:val="000A5579"/>
    <w:rsid w:val="000A6379"/>
    <w:rsid w:val="000A6689"/>
    <w:rsid w:val="000A68AC"/>
    <w:rsid w:val="000A698F"/>
    <w:rsid w:val="000A7070"/>
    <w:rsid w:val="000B0186"/>
    <w:rsid w:val="000B0425"/>
    <w:rsid w:val="000B2157"/>
    <w:rsid w:val="000B27CC"/>
    <w:rsid w:val="000B2E44"/>
    <w:rsid w:val="000B62B8"/>
    <w:rsid w:val="000B7114"/>
    <w:rsid w:val="000B7270"/>
    <w:rsid w:val="000C0D4E"/>
    <w:rsid w:val="000C0D99"/>
    <w:rsid w:val="000C0FDD"/>
    <w:rsid w:val="000C4E40"/>
    <w:rsid w:val="000C53A8"/>
    <w:rsid w:val="000C638F"/>
    <w:rsid w:val="000C6C59"/>
    <w:rsid w:val="000C711B"/>
    <w:rsid w:val="000C71E5"/>
    <w:rsid w:val="000D1044"/>
    <w:rsid w:val="000D13BB"/>
    <w:rsid w:val="000D1A1E"/>
    <w:rsid w:val="000D291C"/>
    <w:rsid w:val="000D2994"/>
    <w:rsid w:val="000D317A"/>
    <w:rsid w:val="000D370C"/>
    <w:rsid w:val="000D46DD"/>
    <w:rsid w:val="000D4E7F"/>
    <w:rsid w:val="000D5E04"/>
    <w:rsid w:val="000D608F"/>
    <w:rsid w:val="000D67FA"/>
    <w:rsid w:val="000D68F8"/>
    <w:rsid w:val="000D77AA"/>
    <w:rsid w:val="000E02B7"/>
    <w:rsid w:val="000E0EB4"/>
    <w:rsid w:val="000E12D2"/>
    <w:rsid w:val="000E1582"/>
    <w:rsid w:val="000E1C77"/>
    <w:rsid w:val="000E3D45"/>
    <w:rsid w:val="000E4026"/>
    <w:rsid w:val="000E48CE"/>
    <w:rsid w:val="000E49F0"/>
    <w:rsid w:val="000E71B6"/>
    <w:rsid w:val="000F0782"/>
    <w:rsid w:val="000F0E60"/>
    <w:rsid w:val="000F1E38"/>
    <w:rsid w:val="000F4524"/>
    <w:rsid w:val="000F471B"/>
    <w:rsid w:val="000F5167"/>
    <w:rsid w:val="000F69EF"/>
    <w:rsid w:val="000F72B9"/>
    <w:rsid w:val="000F7FFA"/>
    <w:rsid w:val="001002C4"/>
    <w:rsid w:val="00100D9C"/>
    <w:rsid w:val="001010EF"/>
    <w:rsid w:val="00101261"/>
    <w:rsid w:val="001019DE"/>
    <w:rsid w:val="00101A1D"/>
    <w:rsid w:val="00101BD2"/>
    <w:rsid w:val="00102607"/>
    <w:rsid w:val="001030C9"/>
    <w:rsid w:val="00103E1F"/>
    <w:rsid w:val="00104BF6"/>
    <w:rsid w:val="00105206"/>
    <w:rsid w:val="00105310"/>
    <w:rsid w:val="00105F07"/>
    <w:rsid w:val="0010642A"/>
    <w:rsid w:val="00106640"/>
    <w:rsid w:val="0010678D"/>
    <w:rsid w:val="00106F18"/>
    <w:rsid w:val="00106FFA"/>
    <w:rsid w:val="001071C5"/>
    <w:rsid w:val="00107A74"/>
    <w:rsid w:val="001102BC"/>
    <w:rsid w:val="001114C0"/>
    <w:rsid w:val="00111A73"/>
    <w:rsid w:val="00111E5D"/>
    <w:rsid w:val="00113C98"/>
    <w:rsid w:val="00113EBC"/>
    <w:rsid w:val="00115BA9"/>
    <w:rsid w:val="0011792A"/>
    <w:rsid w:val="00120218"/>
    <w:rsid w:val="00121D0A"/>
    <w:rsid w:val="00122015"/>
    <w:rsid w:val="001221D6"/>
    <w:rsid w:val="00123FF6"/>
    <w:rsid w:val="0012513C"/>
    <w:rsid w:val="00125A55"/>
    <w:rsid w:val="00125EEB"/>
    <w:rsid w:val="00126908"/>
    <w:rsid w:val="00126CD6"/>
    <w:rsid w:val="0013021B"/>
    <w:rsid w:val="00130A5E"/>
    <w:rsid w:val="00130B27"/>
    <w:rsid w:val="00130EFF"/>
    <w:rsid w:val="0013114E"/>
    <w:rsid w:val="001314E9"/>
    <w:rsid w:val="00131CFA"/>
    <w:rsid w:val="001324B6"/>
    <w:rsid w:val="00132A3F"/>
    <w:rsid w:val="00133CCC"/>
    <w:rsid w:val="0013548E"/>
    <w:rsid w:val="00135B18"/>
    <w:rsid w:val="00135BEC"/>
    <w:rsid w:val="00136319"/>
    <w:rsid w:val="0014049C"/>
    <w:rsid w:val="00140F5F"/>
    <w:rsid w:val="00141B1A"/>
    <w:rsid w:val="0014262E"/>
    <w:rsid w:val="00143644"/>
    <w:rsid w:val="00144664"/>
    <w:rsid w:val="00146087"/>
    <w:rsid w:val="001463A9"/>
    <w:rsid w:val="00146426"/>
    <w:rsid w:val="0014735B"/>
    <w:rsid w:val="001502C2"/>
    <w:rsid w:val="00150896"/>
    <w:rsid w:val="00152A2D"/>
    <w:rsid w:val="001533BD"/>
    <w:rsid w:val="001533CE"/>
    <w:rsid w:val="001536CE"/>
    <w:rsid w:val="001546B4"/>
    <w:rsid w:val="00155D82"/>
    <w:rsid w:val="00156090"/>
    <w:rsid w:val="0015633E"/>
    <w:rsid w:val="00157BF5"/>
    <w:rsid w:val="001609B0"/>
    <w:rsid w:val="00160C87"/>
    <w:rsid w:val="001614A6"/>
    <w:rsid w:val="001615B6"/>
    <w:rsid w:val="00161605"/>
    <w:rsid w:val="00162B79"/>
    <w:rsid w:val="00163113"/>
    <w:rsid w:val="00163325"/>
    <w:rsid w:val="0016413D"/>
    <w:rsid w:val="00164F11"/>
    <w:rsid w:val="00165560"/>
    <w:rsid w:val="001657BB"/>
    <w:rsid w:val="00165A2E"/>
    <w:rsid w:val="00165FBD"/>
    <w:rsid w:val="0016600C"/>
    <w:rsid w:val="001700C8"/>
    <w:rsid w:val="001701E9"/>
    <w:rsid w:val="00171FDB"/>
    <w:rsid w:val="001746BF"/>
    <w:rsid w:val="001749F9"/>
    <w:rsid w:val="0017587B"/>
    <w:rsid w:val="001759E6"/>
    <w:rsid w:val="0017695D"/>
    <w:rsid w:val="001777DA"/>
    <w:rsid w:val="00177BEE"/>
    <w:rsid w:val="00180985"/>
    <w:rsid w:val="00182E65"/>
    <w:rsid w:val="001836F7"/>
    <w:rsid w:val="00183BE1"/>
    <w:rsid w:val="00184988"/>
    <w:rsid w:val="00184CBB"/>
    <w:rsid w:val="001861AF"/>
    <w:rsid w:val="001863B8"/>
    <w:rsid w:val="0018690E"/>
    <w:rsid w:val="001872A4"/>
    <w:rsid w:val="001903E3"/>
    <w:rsid w:val="0019098D"/>
    <w:rsid w:val="00190C7D"/>
    <w:rsid w:val="00191B1A"/>
    <w:rsid w:val="00191C97"/>
    <w:rsid w:val="00191EE9"/>
    <w:rsid w:val="001921CB"/>
    <w:rsid w:val="001921D6"/>
    <w:rsid w:val="00193A11"/>
    <w:rsid w:val="00194540"/>
    <w:rsid w:val="001946DC"/>
    <w:rsid w:val="00194AA8"/>
    <w:rsid w:val="00194FF9"/>
    <w:rsid w:val="0019573E"/>
    <w:rsid w:val="00197A78"/>
    <w:rsid w:val="001A082D"/>
    <w:rsid w:val="001A0E77"/>
    <w:rsid w:val="001A4AAB"/>
    <w:rsid w:val="001A4CA4"/>
    <w:rsid w:val="001A5AC9"/>
    <w:rsid w:val="001A61E9"/>
    <w:rsid w:val="001A64FF"/>
    <w:rsid w:val="001A6CE4"/>
    <w:rsid w:val="001A7601"/>
    <w:rsid w:val="001A7BBF"/>
    <w:rsid w:val="001B043D"/>
    <w:rsid w:val="001B16B4"/>
    <w:rsid w:val="001B3561"/>
    <w:rsid w:val="001B391A"/>
    <w:rsid w:val="001B4B2A"/>
    <w:rsid w:val="001B54DF"/>
    <w:rsid w:val="001B5E94"/>
    <w:rsid w:val="001B6177"/>
    <w:rsid w:val="001B67A2"/>
    <w:rsid w:val="001B776F"/>
    <w:rsid w:val="001C09AA"/>
    <w:rsid w:val="001C0A9D"/>
    <w:rsid w:val="001C2D68"/>
    <w:rsid w:val="001C476C"/>
    <w:rsid w:val="001C5577"/>
    <w:rsid w:val="001C5EA3"/>
    <w:rsid w:val="001C6366"/>
    <w:rsid w:val="001C6E99"/>
    <w:rsid w:val="001D4D75"/>
    <w:rsid w:val="001D539E"/>
    <w:rsid w:val="001D640B"/>
    <w:rsid w:val="001D73B1"/>
    <w:rsid w:val="001D7738"/>
    <w:rsid w:val="001E1E28"/>
    <w:rsid w:val="001E20E1"/>
    <w:rsid w:val="001E2A5E"/>
    <w:rsid w:val="001E2F13"/>
    <w:rsid w:val="001E33AC"/>
    <w:rsid w:val="001E4792"/>
    <w:rsid w:val="001E4AB1"/>
    <w:rsid w:val="001F02F6"/>
    <w:rsid w:val="001F1697"/>
    <w:rsid w:val="001F179A"/>
    <w:rsid w:val="001F1EFC"/>
    <w:rsid w:val="001F21DC"/>
    <w:rsid w:val="001F2EDE"/>
    <w:rsid w:val="001F307C"/>
    <w:rsid w:val="001F32B8"/>
    <w:rsid w:val="001F3C9B"/>
    <w:rsid w:val="001F3FBC"/>
    <w:rsid w:val="001F5103"/>
    <w:rsid w:val="001F5F67"/>
    <w:rsid w:val="001F6E5A"/>
    <w:rsid w:val="001F7052"/>
    <w:rsid w:val="00200EF7"/>
    <w:rsid w:val="00201BA6"/>
    <w:rsid w:val="00202160"/>
    <w:rsid w:val="00202FCB"/>
    <w:rsid w:val="00203B50"/>
    <w:rsid w:val="00203C97"/>
    <w:rsid w:val="00203EDA"/>
    <w:rsid w:val="002041B0"/>
    <w:rsid w:val="002045ED"/>
    <w:rsid w:val="002049B4"/>
    <w:rsid w:val="00206904"/>
    <w:rsid w:val="0020785A"/>
    <w:rsid w:val="00210E2F"/>
    <w:rsid w:val="002119A9"/>
    <w:rsid w:val="002122C8"/>
    <w:rsid w:val="00212A05"/>
    <w:rsid w:val="0021427E"/>
    <w:rsid w:val="00214529"/>
    <w:rsid w:val="0021677C"/>
    <w:rsid w:val="00217517"/>
    <w:rsid w:val="00220451"/>
    <w:rsid w:val="00220EF7"/>
    <w:rsid w:val="00220F90"/>
    <w:rsid w:val="00222D20"/>
    <w:rsid w:val="002235CA"/>
    <w:rsid w:val="00225223"/>
    <w:rsid w:val="00225F5F"/>
    <w:rsid w:val="002261EC"/>
    <w:rsid w:val="0022641A"/>
    <w:rsid w:val="002270C9"/>
    <w:rsid w:val="002270DF"/>
    <w:rsid w:val="002305AB"/>
    <w:rsid w:val="00231716"/>
    <w:rsid w:val="002330A4"/>
    <w:rsid w:val="00233349"/>
    <w:rsid w:val="00235D62"/>
    <w:rsid w:val="002373A5"/>
    <w:rsid w:val="00237A5D"/>
    <w:rsid w:val="002402A0"/>
    <w:rsid w:val="0024092A"/>
    <w:rsid w:val="00242376"/>
    <w:rsid w:val="00242586"/>
    <w:rsid w:val="00242616"/>
    <w:rsid w:val="00244337"/>
    <w:rsid w:val="00244A11"/>
    <w:rsid w:val="002463BE"/>
    <w:rsid w:val="00246B9B"/>
    <w:rsid w:val="00251041"/>
    <w:rsid w:val="0025239D"/>
    <w:rsid w:val="00252446"/>
    <w:rsid w:val="00253DB6"/>
    <w:rsid w:val="002540BC"/>
    <w:rsid w:val="00254228"/>
    <w:rsid w:val="00257E36"/>
    <w:rsid w:val="00261F75"/>
    <w:rsid w:val="00262BCD"/>
    <w:rsid w:val="002652C6"/>
    <w:rsid w:val="00266268"/>
    <w:rsid w:val="00266288"/>
    <w:rsid w:val="00272000"/>
    <w:rsid w:val="00272A45"/>
    <w:rsid w:val="00273253"/>
    <w:rsid w:val="00273B00"/>
    <w:rsid w:val="0027443A"/>
    <w:rsid w:val="00275321"/>
    <w:rsid w:val="00276EB7"/>
    <w:rsid w:val="002779AA"/>
    <w:rsid w:val="002804FE"/>
    <w:rsid w:val="00281A6A"/>
    <w:rsid w:val="0028271A"/>
    <w:rsid w:val="00283310"/>
    <w:rsid w:val="00283328"/>
    <w:rsid w:val="00284F96"/>
    <w:rsid w:val="00285565"/>
    <w:rsid w:val="002855E9"/>
    <w:rsid w:val="00286628"/>
    <w:rsid w:val="002874D9"/>
    <w:rsid w:val="002874F1"/>
    <w:rsid w:val="002875B2"/>
    <w:rsid w:val="002879DD"/>
    <w:rsid w:val="0029010A"/>
    <w:rsid w:val="00290623"/>
    <w:rsid w:val="00290FB0"/>
    <w:rsid w:val="002916CD"/>
    <w:rsid w:val="00292BEF"/>
    <w:rsid w:val="0029365F"/>
    <w:rsid w:val="00293A72"/>
    <w:rsid w:val="0029582D"/>
    <w:rsid w:val="0029622B"/>
    <w:rsid w:val="00296EC4"/>
    <w:rsid w:val="002970B8"/>
    <w:rsid w:val="002A0D98"/>
    <w:rsid w:val="002A0F40"/>
    <w:rsid w:val="002A16A0"/>
    <w:rsid w:val="002A1BDB"/>
    <w:rsid w:val="002A1D84"/>
    <w:rsid w:val="002A22FF"/>
    <w:rsid w:val="002A3BA6"/>
    <w:rsid w:val="002A44BC"/>
    <w:rsid w:val="002A49EC"/>
    <w:rsid w:val="002A5439"/>
    <w:rsid w:val="002A6548"/>
    <w:rsid w:val="002A6EF4"/>
    <w:rsid w:val="002A6F00"/>
    <w:rsid w:val="002B10FA"/>
    <w:rsid w:val="002B1980"/>
    <w:rsid w:val="002B1EA2"/>
    <w:rsid w:val="002B20E8"/>
    <w:rsid w:val="002B2FE4"/>
    <w:rsid w:val="002B33D4"/>
    <w:rsid w:val="002B3603"/>
    <w:rsid w:val="002B3DD2"/>
    <w:rsid w:val="002B4BB1"/>
    <w:rsid w:val="002B646E"/>
    <w:rsid w:val="002B6AA7"/>
    <w:rsid w:val="002B6DBC"/>
    <w:rsid w:val="002B773F"/>
    <w:rsid w:val="002C0B99"/>
    <w:rsid w:val="002C1D1B"/>
    <w:rsid w:val="002C1D2C"/>
    <w:rsid w:val="002C208B"/>
    <w:rsid w:val="002C341E"/>
    <w:rsid w:val="002C36ED"/>
    <w:rsid w:val="002C3AE1"/>
    <w:rsid w:val="002C5452"/>
    <w:rsid w:val="002C7E5A"/>
    <w:rsid w:val="002D0557"/>
    <w:rsid w:val="002D0DE8"/>
    <w:rsid w:val="002D1C56"/>
    <w:rsid w:val="002D2B11"/>
    <w:rsid w:val="002D3BA3"/>
    <w:rsid w:val="002D4269"/>
    <w:rsid w:val="002D4310"/>
    <w:rsid w:val="002D471A"/>
    <w:rsid w:val="002D4FE1"/>
    <w:rsid w:val="002D502A"/>
    <w:rsid w:val="002D60FD"/>
    <w:rsid w:val="002E09DB"/>
    <w:rsid w:val="002E0B19"/>
    <w:rsid w:val="002E1514"/>
    <w:rsid w:val="002E1FB7"/>
    <w:rsid w:val="002E2521"/>
    <w:rsid w:val="002E2EC6"/>
    <w:rsid w:val="002E445D"/>
    <w:rsid w:val="002E44D8"/>
    <w:rsid w:val="002E5FE0"/>
    <w:rsid w:val="002E6320"/>
    <w:rsid w:val="002E6A59"/>
    <w:rsid w:val="002E7A0A"/>
    <w:rsid w:val="002F0230"/>
    <w:rsid w:val="002F1A3E"/>
    <w:rsid w:val="002F2222"/>
    <w:rsid w:val="002F3BFF"/>
    <w:rsid w:val="002F433B"/>
    <w:rsid w:val="002F438A"/>
    <w:rsid w:val="002F4C4E"/>
    <w:rsid w:val="002F5D2A"/>
    <w:rsid w:val="002F5D9B"/>
    <w:rsid w:val="002F5F11"/>
    <w:rsid w:val="002F60F4"/>
    <w:rsid w:val="002F73B9"/>
    <w:rsid w:val="002F7BF9"/>
    <w:rsid w:val="003004CF"/>
    <w:rsid w:val="003008FE"/>
    <w:rsid w:val="00300C96"/>
    <w:rsid w:val="00302155"/>
    <w:rsid w:val="003036E6"/>
    <w:rsid w:val="00304272"/>
    <w:rsid w:val="00306171"/>
    <w:rsid w:val="003061B7"/>
    <w:rsid w:val="00307608"/>
    <w:rsid w:val="00310144"/>
    <w:rsid w:val="00310743"/>
    <w:rsid w:val="003107C0"/>
    <w:rsid w:val="00310945"/>
    <w:rsid w:val="00311154"/>
    <w:rsid w:val="00311F9F"/>
    <w:rsid w:val="003131D9"/>
    <w:rsid w:val="003149DF"/>
    <w:rsid w:val="00314E56"/>
    <w:rsid w:val="00315222"/>
    <w:rsid w:val="00315A08"/>
    <w:rsid w:val="00315E38"/>
    <w:rsid w:val="00317D7D"/>
    <w:rsid w:val="00320686"/>
    <w:rsid w:val="00321317"/>
    <w:rsid w:val="00321FEC"/>
    <w:rsid w:val="00322230"/>
    <w:rsid w:val="003228BB"/>
    <w:rsid w:val="00322E2B"/>
    <w:rsid w:val="003264D1"/>
    <w:rsid w:val="00326E5A"/>
    <w:rsid w:val="003279F1"/>
    <w:rsid w:val="00327DE5"/>
    <w:rsid w:val="00327E4E"/>
    <w:rsid w:val="00331E12"/>
    <w:rsid w:val="0033242A"/>
    <w:rsid w:val="00332D1E"/>
    <w:rsid w:val="0033354D"/>
    <w:rsid w:val="0033442B"/>
    <w:rsid w:val="003348B4"/>
    <w:rsid w:val="003356D4"/>
    <w:rsid w:val="00336B49"/>
    <w:rsid w:val="00337855"/>
    <w:rsid w:val="00337A7F"/>
    <w:rsid w:val="00337D9D"/>
    <w:rsid w:val="0034014B"/>
    <w:rsid w:val="00340541"/>
    <w:rsid w:val="0034221A"/>
    <w:rsid w:val="003426AC"/>
    <w:rsid w:val="00342740"/>
    <w:rsid w:val="00342E04"/>
    <w:rsid w:val="00343899"/>
    <w:rsid w:val="0034429C"/>
    <w:rsid w:val="00345C84"/>
    <w:rsid w:val="00345DBF"/>
    <w:rsid w:val="003468D7"/>
    <w:rsid w:val="00346CAB"/>
    <w:rsid w:val="00347381"/>
    <w:rsid w:val="0034748C"/>
    <w:rsid w:val="00350FB0"/>
    <w:rsid w:val="0035142C"/>
    <w:rsid w:val="00352CD3"/>
    <w:rsid w:val="00352E1D"/>
    <w:rsid w:val="00353294"/>
    <w:rsid w:val="003532B8"/>
    <w:rsid w:val="00354688"/>
    <w:rsid w:val="003547C5"/>
    <w:rsid w:val="00355512"/>
    <w:rsid w:val="00355558"/>
    <w:rsid w:val="00355A41"/>
    <w:rsid w:val="00355EEB"/>
    <w:rsid w:val="00356B47"/>
    <w:rsid w:val="00356D1E"/>
    <w:rsid w:val="00356DA6"/>
    <w:rsid w:val="003570A4"/>
    <w:rsid w:val="003575A6"/>
    <w:rsid w:val="00357CCD"/>
    <w:rsid w:val="00361687"/>
    <w:rsid w:val="003617C0"/>
    <w:rsid w:val="0036196F"/>
    <w:rsid w:val="00364070"/>
    <w:rsid w:val="0036519D"/>
    <w:rsid w:val="003658E5"/>
    <w:rsid w:val="00365A2F"/>
    <w:rsid w:val="00366DC1"/>
    <w:rsid w:val="00367989"/>
    <w:rsid w:val="00367C99"/>
    <w:rsid w:val="003709D2"/>
    <w:rsid w:val="003711A9"/>
    <w:rsid w:val="00371F61"/>
    <w:rsid w:val="003721A6"/>
    <w:rsid w:val="00372213"/>
    <w:rsid w:val="003727AD"/>
    <w:rsid w:val="00373C96"/>
    <w:rsid w:val="00373EC0"/>
    <w:rsid w:val="00374209"/>
    <w:rsid w:val="0037434B"/>
    <w:rsid w:val="003746B7"/>
    <w:rsid w:val="00374C66"/>
    <w:rsid w:val="00375A55"/>
    <w:rsid w:val="00377317"/>
    <w:rsid w:val="00377852"/>
    <w:rsid w:val="00377B1D"/>
    <w:rsid w:val="0038069B"/>
    <w:rsid w:val="00380B79"/>
    <w:rsid w:val="0038224D"/>
    <w:rsid w:val="00383643"/>
    <w:rsid w:val="00384386"/>
    <w:rsid w:val="00384545"/>
    <w:rsid w:val="00385C62"/>
    <w:rsid w:val="00386474"/>
    <w:rsid w:val="003864B3"/>
    <w:rsid w:val="003902B6"/>
    <w:rsid w:val="00392F08"/>
    <w:rsid w:val="00395B40"/>
    <w:rsid w:val="00396411"/>
    <w:rsid w:val="003966D7"/>
    <w:rsid w:val="00396EB4"/>
    <w:rsid w:val="003974D0"/>
    <w:rsid w:val="00397607"/>
    <w:rsid w:val="003A159F"/>
    <w:rsid w:val="003A17D8"/>
    <w:rsid w:val="003A2611"/>
    <w:rsid w:val="003A27FB"/>
    <w:rsid w:val="003A31BD"/>
    <w:rsid w:val="003A422A"/>
    <w:rsid w:val="003A5C66"/>
    <w:rsid w:val="003A661F"/>
    <w:rsid w:val="003B0704"/>
    <w:rsid w:val="003B0E9F"/>
    <w:rsid w:val="003B0ECA"/>
    <w:rsid w:val="003B0FE6"/>
    <w:rsid w:val="003B1C79"/>
    <w:rsid w:val="003B1DC9"/>
    <w:rsid w:val="003B1EC2"/>
    <w:rsid w:val="003B2C2E"/>
    <w:rsid w:val="003B38E3"/>
    <w:rsid w:val="003B429A"/>
    <w:rsid w:val="003B598D"/>
    <w:rsid w:val="003B5C79"/>
    <w:rsid w:val="003B5D3E"/>
    <w:rsid w:val="003B62C1"/>
    <w:rsid w:val="003B6424"/>
    <w:rsid w:val="003B65E9"/>
    <w:rsid w:val="003B6A7A"/>
    <w:rsid w:val="003B76E3"/>
    <w:rsid w:val="003B77A6"/>
    <w:rsid w:val="003C00A4"/>
    <w:rsid w:val="003C0213"/>
    <w:rsid w:val="003C1DE3"/>
    <w:rsid w:val="003C1F64"/>
    <w:rsid w:val="003C2013"/>
    <w:rsid w:val="003C2AA0"/>
    <w:rsid w:val="003C4997"/>
    <w:rsid w:val="003C59F3"/>
    <w:rsid w:val="003C6DEB"/>
    <w:rsid w:val="003C712B"/>
    <w:rsid w:val="003C7C0D"/>
    <w:rsid w:val="003D0170"/>
    <w:rsid w:val="003D076C"/>
    <w:rsid w:val="003D0D42"/>
    <w:rsid w:val="003D2067"/>
    <w:rsid w:val="003D42C8"/>
    <w:rsid w:val="003D4391"/>
    <w:rsid w:val="003D468E"/>
    <w:rsid w:val="003D5685"/>
    <w:rsid w:val="003D5C8F"/>
    <w:rsid w:val="003D7690"/>
    <w:rsid w:val="003E33F0"/>
    <w:rsid w:val="003E3563"/>
    <w:rsid w:val="003E3DE7"/>
    <w:rsid w:val="003E70FE"/>
    <w:rsid w:val="003E730D"/>
    <w:rsid w:val="003E7A4F"/>
    <w:rsid w:val="003F05AF"/>
    <w:rsid w:val="003F0B49"/>
    <w:rsid w:val="003F129F"/>
    <w:rsid w:val="003F1BFE"/>
    <w:rsid w:val="003F3835"/>
    <w:rsid w:val="003F38B8"/>
    <w:rsid w:val="003F3B96"/>
    <w:rsid w:val="003F590A"/>
    <w:rsid w:val="003F65CE"/>
    <w:rsid w:val="003F6CAD"/>
    <w:rsid w:val="003F762A"/>
    <w:rsid w:val="003F7AFB"/>
    <w:rsid w:val="003F7B05"/>
    <w:rsid w:val="00400787"/>
    <w:rsid w:val="00402D33"/>
    <w:rsid w:val="004039AB"/>
    <w:rsid w:val="00404C5F"/>
    <w:rsid w:val="004052AD"/>
    <w:rsid w:val="00405DBB"/>
    <w:rsid w:val="004063D6"/>
    <w:rsid w:val="00406FDC"/>
    <w:rsid w:val="004073F6"/>
    <w:rsid w:val="00407814"/>
    <w:rsid w:val="00407A6F"/>
    <w:rsid w:val="00407E12"/>
    <w:rsid w:val="00410407"/>
    <w:rsid w:val="0041113C"/>
    <w:rsid w:val="00411274"/>
    <w:rsid w:val="004116BB"/>
    <w:rsid w:val="004118D8"/>
    <w:rsid w:val="00411B38"/>
    <w:rsid w:val="0041274E"/>
    <w:rsid w:val="004134AB"/>
    <w:rsid w:val="004141FC"/>
    <w:rsid w:val="00416117"/>
    <w:rsid w:val="00416FCF"/>
    <w:rsid w:val="00417BD3"/>
    <w:rsid w:val="00420C59"/>
    <w:rsid w:val="00421D36"/>
    <w:rsid w:val="00421D9B"/>
    <w:rsid w:val="00421EDD"/>
    <w:rsid w:val="00422C81"/>
    <w:rsid w:val="00425B18"/>
    <w:rsid w:val="00425D99"/>
    <w:rsid w:val="00426181"/>
    <w:rsid w:val="004271C9"/>
    <w:rsid w:val="0042750D"/>
    <w:rsid w:val="00430161"/>
    <w:rsid w:val="00430FBA"/>
    <w:rsid w:val="004324AC"/>
    <w:rsid w:val="0043254A"/>
    <w:rsid w:val="00432E35"/>
    <w:rsid w:val="00434404"/>
    <w:rsid w:val="00434959"/>
    <w:rsid w:val="00435689"/>
    <w:rsid w:val="0043614C"/>
    <w:rsid w:val="00436930"/>
    <w:rsid w:val="00437391"/>
    <w:rsid w:val="00441E04"/>
    <w:rsid w:val="00441F74"/>
    <w:rsid w:val="00442CE5"/>
    <w:rsid w:val="0044301A"/>
    <w:rsid w:val="00444759"/>
    <w:rsid w:val="00447AD5"/>
    <w:rsid w:val="004500E3"/>
    <w:rsid w:val="00450839"/>
    <w:rsid w:val="00451516"/>
    <w:rsid w:val="004520B2"/>
    <w:rsid w:val="00452785"/>
    <w:rsid w:val="004546F2"/>
    <w:rsid w:val="004551F7"/>
    <w:rsid w:val="00455C89"/>
    <w:rsid w:val="00455D64"/>
    <w:rsid w:val="00455DC9"/>
    <w:rsid w:val="00456E60"/>
    <w:rsid w:val="00457363"/>
    <w:rsid w:val="00460E97"/>
    <w:rsid w:val="004614FB"/>
    <w:rsid w:val="0046589F"/>
    <w:rsid w:val="0046724E"/>
    <w:rsid w:val="004708C1"/>
    <w:rsid w:val="00470B9F"/>
    <w:rsid w:val="00472929"/>
    <w:rsid w:val="0047329F"/>
    <w:rsid w:val="004737F5"/>
    <w:rsid w:val="00474606"/>
    <w:rsid w:val="0047682F"/>
    <w:rsid w:val="004774BF"/>
    <w:rsid w:val="0047774B"/>
    <w:rsid w:val="00477968"/>
    <w:rsid w:val="00477C85"/>
    <w:rsid w:val="00481FE5"/>
    <w:rsid w:val="00482A5E"/>
    <w:rsid w:val="00482F9F"/>
    <w:rsid w:val="00483298"/>
    <w:rsid w:val="0048373D"/>
    <w:rsid w:val="00486983"/>
    <w:rsid w:val="00486C8C"/>
    <w:rsid w:val="004873A0"/>
    <w:rsid w:val="00487E58"/>
    <w:rsid w:val="00491819"/>
    <w:rsid w:val="004931DE"/>
    <w:rsid w:val="0049380C"/>
    <w:rsid w:val="00494AFB"/>
    <w:rsid w:val="00495B5C"/>
    <w:rsid w:val="00496677"/>
    <w:rsid w:val="00496A06"/>
    <w:rsid w:val="004973D1"/>
    <w:rsid w:val="004977EE"/>
    <w:rsid w:val="004A00A3"/>
    <w:rsid w:val="004A036A"/>
    <w:rsid w:val="004A2163"/>
    <w:rsid w:val="004A23F8"/>
    <w:rsid w:val="004A3160"/>
    <w:rsid w:val="004A37E9"/>
    <w:rsid w:val="004A5547"/>
    <w:rsid w:val="004A79B4"/>
    <w:rsid w:val="004A7E49"/>
    <w:rsid w:val="004A7F91"/>
    <w:rsid w:val="004B034A"/>
    <w:rsid w:val="004B2988"/>
    <w:rsid w:val="004B2AA0"/>
    <w:rsid w:val="004B36E8"/>
    <w:rsid w:val="004B494B"/>
    <w:rsid w:val="004B4C4C"/>
    <w:rsid w:val="004B5A01"/>
    <w:rsid w:val="004B626F"/>
    <w:rsid w:val="004B690A"/>
    <w:rsid w:val="004C013B"/>
    <w:rsid w:val="004C01BE"/>
    <w:rsid w:val="004C0C3A"/>
    <w:rsid w:val="004C14A1"/>
    <w:rsid w:val="004C315B"/>
    <w:rsid w:val="004C3B5C"/>
    <w:rsid w:val="004C3D8F"/>
    <w:rsid w:val="004C4687"/>
    <w:rsid w:val="004C4C4A"/>
    <w:rsid w:val="004C5C1E"/>
    <w:rsid w:val="004C6CBB"/>
    <w:rsid w:val="004C6D67"/>
    <w:rsid w:val="004D03E6"/>
    <w:rsid w:val="004D04E4"/>
    <w:rsid w:val="004D1931"/>
    <w:rsid w:val="004D1B1B"/>
    <w:rsid w:val="004D2D5A"/>
    <w:rsid w:val="004D2F9E"/>
    <w:rsid w:val="004D317B"/>
    <w:rsid w:val="004D3D56"/>
    <w:rsid w:val="004D68F6"/>
    <w:rsid w:val="004D7BB8"/>
    <w:rsid w:val="004E01E6"/>
    <w:rsid w:val="004E038F"/>
    <w:rsid w:val="004E09CF"/>
    <w:rsid w:val="004E0EBA"/>
    <w:rsid w:val="004E10C0"/>
    <w:rsid w:val="004E164D"/>
    <w:rsid w:val="004E19F2"/>
    <w:rsid w:val="004E1B09"/>
    <w:rsid w:val="004E1BF7"/>
    <w:rsid w:val="004E2065"/>
    <w:rsid w:val="004E25B0"/>
    <w:rsid w:val="004E2A30"/>
    <w:rsid w:val="004E4AE9"/>
    <w:rsid w:val="004E5425"/>
    <w:rsid w:val="004E76D7"/>
    <w:rsid w:val="004F1B23"/>
    <w:rsid w:val="004F2CF3"/>
    <w:rsid w:val="004F3496"/>
    <w:rsid w:val="004F42FA"/>
    <w:rsid w:val="004F499D"/>
    <w:rsid w:val="004F4D5D"/>
    <w:rsid w:val="004F4DC6"/>
    <w:rsid w:val="004F62B1"/>
    <w:rsid w:val="004F6802"/>
    <w:rsid w:val="004F6B05"/>
    <w:rsid w:val="004F7CB5"/>
    <w:rsid w:val="005014F6"/>
    <w:rsid w:val="005018CB"/>
    <w:rsid w:val="00501B47"/>
    <w:rsid w:val="00502490"/>
    <w:rsid w:val="00502601"/>
    <w:rsid w:val="0050273B"/>
    <w:rsid w:val="00503287"/>
    <w:rsid w:val="00503AE0"/>
    <w:rsid w:val="00503B18"/>
    <w:rsid w:val="005040CB"/>
    <w:rsid w:val="00504FC5"/>
    <w:rsid w:val="005069D8"/>
    <w:rsid w:val="00510A77"/>
    <w:rsid w:val="00512F50"/>
    <w:rsid w:val="00513371"/>
    <w:rsid w:val="005142C5"/>
    <w:rsid w:val="0051585B"/>
    <w:rsid w:val="0051593C"/>
    <w:rsid w:val="00515A60"/>
    <w:rsid w:val="0051602C"/>
    <w:rsid w:val="0051614F"/>
    <w:rsid w:val="005165AE"/>
    <w:rsid w:val="00516D99"/>
    <w:rsid w:val="00517C6B"/>
    <w:rsid w:val="005200C2"/>
    <w:rsid w:val="00520298"/>
    <w:rsid w:val="00520FCF"/>
    <w:rsid w:val="00521D86"/>
    <w:rsid w:val="00522125"/>
    <w:rsid w:val="00522F39"/>
    <w:rsid w:val="00523C12"/>
    <w:rsid w:val="00524104"/>
    <w:rsid w:val="00524D7C"/>
    <w:rsid w:val="00527BE6"/>
    <w:rsid w:val="00527D69"/>
    <w:rsid w:val="00530098"/>
    <w:rsid w:val="0053068D"/>
    <w:rsid w:val="005308CC"/>
    <w:rsid w:val="0053096D"/>
    <w:rsid w:val="00530CF8"/>
    <w:rsid w:val="00530E11"/>
    <w:rsid w:val="005312ED"/>
    <w:rsid w:val="00531AB4"/>
    <w:rsid w:val="00532A10"/>
    <w:rsid w:val="00532A36"/>
    <w:rsid w:val="005356C9"/>
    <w:rsid w:val="0053612D"/>
    <w:rsid w:val="00536596"/>
    <w:rsid w:val="00537B56"/>
    <w:rsid w:val="005400EF"/>
    <w:rsid w:val="00540919"/>
    <w:rsid w:val="00541DF6"/>
    <w:rsid w:val="00542850"/>
    <w:rsid w:val="00542D72"/>
    <w:rsid w:val="00543109"/>
    <w:rsid w:val="00543851"/>
    <w:rsid w:val="0054454B"/>
    <w:rsid w:val="00544F04"/>
    <w:rsid w:val="00545173"/>
    <w:rsid w:val="00545FC6"/>
    <w:rsid w:val="00546B52"/>
    <w:rsid w:val="00550374"/>
    <w:rsid w:val="0055220E"/>
    <w:rsid w:val="00552E06"/>
    <w:rsid w:val="005530CF"/>
    <w:rsid w:val="00553FCE"/>
    <w:rsid w:val="0055464E"/>
    <w:rsid w:val="0055497D"/>
    <w:rsid w:val="0055539F"/>
    <w:rsid w:val="005555BB"/>
    <w:rsid w:val="005565F7"/>
    <w:rsid w:val="005566E2"/>
    <w:rsid w:val="00556F01"/>
    <w:rsid w:val="00557F6A"/>
    <w:rsid w:val="00560A21"/>
    <w:rsid w:val="00560CF2"/>
    <w:rsid w:val="00561689"/>
    <w:rsid w:val="00561873"/>
    <w:rsid w:val="00561E70"/>
    <w:rsid w:val="00562083"/>
    <w:rsid w:val="00562D93"/>
    <w:rsid w:val="00562E4F"/>
    <w:rsid w:val="00562FC4"/>
    <w:rsid w:val="005647F6"/>
    <w:rsid w:val="005655D0"/>
    <w:rsid w:val="00566449"/>
    <w:rsid w:val="00566617"/>
    <w:rsid w:val="00567FE5"/>
    <w:rsid w:val="005703FE"/>
    <w:rsid w:val="005706DF"/>
    <w:rsid w:val="00571169"/>
    <w:rsid w:val="005721CA"/>
    <w:rsid w:val="0057255E"/>
    <w:rsid w:val="005744B0"/>
    <w:rsid w:val="0057468A"/>
    <w:rsid w:val="00574BD4"/>
    <w:rsid w:val="005750DD"/>
    <w:rsid w:val="00580CAB"/>
    <w:rsid w:val="00581F41"/>
    <w:rsid w:val="00583114"/>
    <w:rsid w:val="005836EA"/>
    <w:rsid w:val="00583FEA"/>
    <w:rsid w:val="00585E32"/>
    <w:rsid w:val="0058643F"/>
    <w:rsid w:val="005913E9"/>
    <w:rsid w:val="00592688"/>
    <w:rsid w:val="00592805"/>
    <w:rsid w:val="005928A6"/>
    <w:rsid w:val="00592E5C"/>
    <w:rsid w:val="00593714"/>
    <w:rsid w:val="00596891"/>
    <w:rsid w:val="00596DDC"/>
    <w:rsid w:val="00597427"/>
    <w:rsid w:val="00597461"/>
    <w:rsid w:val="005978BE"/>
    <w:rsid w:val="005A05D0"/>
    <w:rsid w:val="005A1A5F"/>
    <w:rsid w:val="005A414D"/>
    <w:rsid w:val="005A4AE6"/>
    <w:rsid w:val="005A4AF1"/>
    <w:rsid w:val="005A59D1"/>
    <w:rsid w:val="005A651A"/>
    <w:rsid w:val="005A6CDC"/>
    <w:rsid w:val="005A6EC8"/>
    <w:rsid w:val="005A7A9D"/>
    <w:rsid w:val="005B185D"/>
    <w:rsid w:val="005B1DE2"/>
    <w:rsid w:val="005B23AF"/>
    <w:rsid w:val="005B2439"/>
    <w:rsid w:val="005B2F58"/>
    <w:rsid w:val="005B3A31"/>
    <w:rsid w:val="005B4E13"/>
    <w:rsid w:val="005B6B1E"/>
    <w:rsid w:val="005C025C"/>
    <w:rsid w:val="005C0704"/>
    <w:rsid w:val="005C086D"/>
    <w:rsid w:val="005C0F05"/>
    <w:rsid w:val="005C192B"/>
    <w:rsid w:val="005C21A0"/>
    <w:rsid w:val="005C3D64"/>
    <w:rsid w:val="005C4079"/>
    <w:rsid w:val="005C5F67"/>
    <w:rsid w:val="005C654D"/>
    <w:rsid w:val="005C6B83"/>
    <w:rsid w:val="005C7194"/>
    <w:rsid w:val="005D118A"/>
    <w:rsid w:val="005D1278"/>
    <w:rsid w:val="005D1906"/>
    <w:rsid w:val="005D1BB0"/>
    <w:rsid w:val="005D1F3E"/>
    <w:rsid w:val="005D20E5"/>
    <w:rsid w:val="005D3459"/>
    <w:rsid w:val="005D46DD"/>
    <w:rsid w:val="005D4B30"/>
    <w:rsid w:val="005D56B7"/>
    <w:rsid w:val="005D5DDE"/>
    <w:rsid w:val="005D7CFA"/>
    <w:rsid w:val="005E065E"/>
    <w:rsid w:val="005E0E6B"/>
    <w:rsid w:val="005E1C5C"/>
    <w:rsid w:val="005E20C1"/>
    <w:rsid w:val="005E2BEC"/>
    <w:rsid w:val="005E2EDE"/>
    <w:rsid w:val="005E5068"/>
    <w:rsid w:val="005E5787"/>
    <w:rsid w:val="005E6001"/>
    <w:rsid w:val="005E682F"/>
    <w:rsid w:val="005E6C04"/>
    <w:rsid w:val="005E6C35"/>
    <w:rsid w:val="005E6D2A"/>
    <w:rsid w:val="005E7457"/>
    <w:rsid w:val="005F0417"/>
    <w:rsid w:val="005F0B22"/>
    <w:rsid w:val="005F1C2C"/>
    <w:rsid w:val="005F2047"/>
    <w:rsid w:val="005F450A"/>
    <w:rsid w:val="005F4997"/>
    <w:rsid w:val="005F5C8C"/>
    <w:rsid w:val="005F605B"/>
    <w:rsid w:val="005F62E3"/>
    <w:rsid w:val="005F67C1"/>
    <w:rsid w:val="005F7260"/>
    <w:rsid w:val="005F77A1"/>
    <w:rsid w:val="0060002E"/>
    <w:rsid w:val="0060021C"/>
    <w:rsid w:val="00601BED"/>
    <w:rsid w:val="00601C17"/>
    <w:rsid w:val="00601DCC"/>
    <w:rsid w:val="00604D84"/>
    <w:rsid w:val="00606C64"/>
    <w:rsid w:val="006079E7"/>
    <w:rsid w:val="00607E83"/>
    <w:rsid w:val="00610421"/>
    <w:rsid w:val="006107B9"/>
    <w:rsid w:val="006110A4"/>
    <w:rsid w:val="00612BD8"/>
    <w:rsid w:val="0061343F"/>
    <w:rsid w:val="0061511D"/>
    <w:rsid w:val="0061644B"/>
    <w:rsid w:val="00620D2E"/>
    <w:rsid w:val="00620DFA"/>
    <w:rsid w:val="00621962"/>
    <w:rsid w:val="00621E22"/>
    <w:rsid w:val="006223AC"/>
    <w:rsid w:val="006233E4"/>
    <w:rsid w:val="006235D7"/>
    <w:rsid w:val="00623935"/>
    <w:rsid w:val="006249CC"/>
    <w:rsid w:val="00630553"/>
    <w:rsid w:val="00631699"/>
    <w:rsid w:val="00632243"/>
    <w:rsid w:val="006322EF"/>
    <w:rsid w:val="00632F5B"/>
    <w:rsid w:val="006339CA"/>
    <w:rsid w:val="00634332"/>
    <w:rsid w:val="00634C69"/>
    <w:rsid w:val="0063500A"/>
    <w:rsid w:val="00635BBC"/>
    <w:rsid w:val="006362F4"/>
    <w:rsid w:val="00636A83"/>
    <w:rsid w:val="00637C83"/>
    <w:rsid w:val="00641437"/>
    <w:rsid w:val="00643DCE"/>
    <w:rsid w:val="006443B3"/>
    <w:rsid w:val="0064464F"/>
    <w:rsid w:val="00645550"/>
    <w:rsid w:val="006455FC"/>
    <w:rsid w:val="00646FED"/>
    <w:rsid w:val="006474BE"/>
    <w:rsid w:val="006501D4"/>
    <w:rsid w:val="00650BCE"/>
    <w:rsid w:val="0065102A"/>
    <w:rsid w:val="0065288A"/>
    <w:rsid w:val="00652F8C"/>
    <w:rsid w:val="006539E9"/>
    <w:rsid w:val="006540C0"/>
    <w:rsid w:val="0065410C"/>
    <w:rsid w:val="00654C76"/>
    <w:rsid w:val="00655643"/>
    <w:rsid w:val="006559F4"/>
    <w:rsid w:val="006560BC"/>
    <w:rsid w:val="00657DC0"/>
    <w:rsid w:val="00661257"/>
    <w:rsid w:val="00661707"/>
    <w:rsid w:val="006623C7"/>
    <w:rsid w:val="00663DAE"/>
    <w:rsid w:val="006641C0"/>
    <w:rsid w:val="006647C4"/>
    <w:rsid w:val="0066545E"/>
    <w:rsid w:val="006715FB"/>
    <w:rsid w:val="006716BC"/>
    <w:rsid w:val="00672229"/>
    <w:rsid w:val="00672916"/>
    <w:rsid w:val="00672A0F"/>
    <w:rsid w:val="0067325E"/>
    <w:rsid w:val="00673D4F"/>
    <w:rsid w:val="00674785"/>
    <w:rsid w:val="0067492E"/>
    <w:rsid w:val="0067517A"/>
    <w:rsid w:val="0067582D"/>
    <w:rsid w:val="006766A5"/>
    <w:rsid w:val="00677C64"/>
    <w:rsid w:val="00677EAB"/>
    <w:rsid w:val="00680B74"/>
    <w:rsid w:val="00681B95"/>
    <w:rsid w:val="00681EF6"/>
    <w:rsid w:val="00682260"/>
    <w:rsid w:val="00682C7E"/>
    <w:rsid w:val="006834DF"/>
    <w:rsid w:val="0068500A"/>
    <w:rsid w:val="0068532A"/>
    <w:rsid w:val="0068704F"/>
    <w:rsid w:val="00687090"/>
    <w:rsid w:val="00687CC3"/>
    <w:rsid w:val="00690694"/>
    <w:rsid w:val="00691E4F"/>
    <w:rsid w:val="00692849"/>
    <w:rsid w:val="00692C91"/>
    <w:rsid w:val="0069333B"/>
    <w:rsid w:val="00694859"/>
    <w:rsid w:val="00695A8A"/>
    <w:rsid w:val="00697546"/>
    <w:rsid w:val="006A0CF6"/>
    <w:rsid w:val="006A0FC0"/>
    <w:rsid w:val="006A2CF4"/>
    <w:rsid w:val="006A5C42"/>
    <w:rsid w:val="006A723A"/>
    <w:rsid w:val="006B0035"/>
    <w:rsid w:val="006B3265"/>
    <w:rsid w:val="006B334C"/>
    <w:rsid w:val="006B3D73"/>
    <w:rsid w:val="006B5519"/>
    <w:rsid w:val="006B6049"/>
    <w:rsid w:val="006B6F27"/>
    <w:rsid w:val="006B7DA2"/>
    <w:rsid w:val="006C100F"/>
    <w:rsid w:val="006C19E9"/>
    <w:rsid w:val="006C1D75"/>
    <w:rsid w:val="006C330C"/>
    <w:rsid w:val="006C3811"/>
    <w:rsid w:val="006C520F"/>
    <w:rsid w:val="006C567B"/>
    <w:rsid w:val="006C5888"/>
    <w:rsid w:val="006C6A15"/>
    <w:rsid w:val="006C6DBC"/>
    <w:rsid w:val="006C7BA2"/>
    <w:rsid w:val="006D0492"/>
    <w:rsid w:val="006D17A5"/>
    <w:rsid w:val="006D1824"/>
    <w:rsid w:val="006D2AAB"/>
    <w:rsid w:val="006D4BE2"/>
    <w:rsid w:val="006D4E64"/>
    <w:rsid w:val="006D6971"/>
    <w:rsid w:val="006D6FE1"/>
    <w:rsid w:val="006D73B0"/>
    <w:rsid w:val="006D74E8"/>
    <w:rsid w:val="006E0445"/>
    <w:rsid w:val="006E10B6"/>
    <w:rsid w:val="006E20D4"/>
    <w:rsid w:val="006E278D"/>
    <w:rsid w:val="006E27BC"/>
    <w:rsid w:val="006E2A2E"/>
    <w:rsid w:val="006E3872"/>
    <w:rsid w:val="006E4173"/>
    <w:rsid w:val="006E41E5"/>
    <w:rsid w:val="006E5177"/>
    <w:rsid w:val="006E5A8A"/>
    <w:rsid w:val="006E61D3"/>
    <w:rsid w:val="006E61E0"/>
    <w:rsid w:val="006E684A"/>
    <w:rsid w:val="006E6D74"/>
    <w:rsid w:val="006E6F06"/>
    <w:rsid w:val="006E7820"/>
    <w:rsid w:val="006F092A"/>
    <w:rsid w:val="006F0DF0"/>
    <w:rsid w:val="006F0FE4"/>
    <w:rsid w:val="006F18E5"/>
    <w:rsid w:val="006F458A"/>
    <w:rsid w:val="00701503"/>
    <w:rsid w:val="00701844"/>
    <w:rsid w:val="0070187C"/>
    <w:rsid w:val="00701B6E"/>
    <w:rsid w:val="007021CF"/>
    <w:rsid w:val="00702BFD"/>
    <w:rsid w:val="007062FB"/>
    <w:rsid w:val="00706F49"/>
    <w:rsid w:val="00707F37"/>
    <w:rsid w:val="00710E8C"/>
    <w:rsid w:val="00711357"/>
    <w:rsid w:val="00711511"/>
    <w:rsid w:val="00711EEE"/>
    <w:rsid w:val="00712EED"/>
    <w:rsid w:val="00713C66"/>
    <w:rsid w:val="00714A1D"/>
    <w:rsid w:val="00714BE8"/>
    <w:rsid w:val="0071692A"/>
    <w:rsid w:val="00720125"/>
    <w:rsid w:val="00720C04"/>
    <w:rsid w:val="00720F2D"/>
    <w:rsid w:val="00721068"/>
    <w:rsid w:val="00722052"/>
    <w:rsid w:val="007244B8"/>
    <w:rsid w:val="00725918"/>
    <w:rsid w:val="0072729C"/>
    <w:rsid w:val="007307F4"/>
    <w:rsid w:val="00730D67"/>
    <w:rsid w:val="00730ED7"/>
    <w:rsid w:val="00731226"/>
    <w:rsid w:val="00731BA4"/>
    <w:rsid w:val="0073257C"/>
    <w:rsid w:val="00733046"/>
    <w:rsid w:val="0073376B"/>
    <w:rsid w:val="0073413B"/>
    <w:rsid w:val="00734242"/>
    <w:rsid w:val="00735924"/>
    <w:rsid w:val="007362B2"/>
    <w:rsid w:val="007365BB"/>
    <w:rsid w:val="00736B85"/>
    <w:rsid w:val="0073758C"/>
    <w:rsid w:val="00737CDD"/>
    <w:rsid w:val="007404D9"/>
    <w:rsid w:val="0074171E"/>
    <w:rsid w:val="007419C6"/>
    <w:rsid w:val="00742C7A"/>
    <w:rsid w:val="007433B6"/>
    <w:rsid w:val="00744C69"/>
    <w:rsid w:val="00746288"/>
    <w:rsid w:val="007465FE"/>
    <w:rsid w:val="00746CAA"/>
    <w:rsid w:val="00747BC4"/>
    <w:rsid w:val="007504F4"/>
    <w:rsid w:val="00750EC8"/>
    <w:rsid w:val="007514BF"/>
    <w:rsid w:val="00752297"/>
    <w:rsid w:val="0075278A"/>
    <w:rsid w:val="0075363E"/>
    <w:rsid w:val="00754AE2"/>
    <w:rsid w:val="00754E12"/>
    <w:rsid w:val="00755407"/>
    <w:rsid w:val="00755475"/>
    <w:rsid w:val="00755735"/>
    <w:rsid w:val="00756698"/>
    <w:rsid w:val="00757D85"/>
    <w:rsid w:val="00760AE7"/>
    <w:rsid w:val="00761DE6"/>
    <w:rsid w:val="007621DF"/>
    <w:rsid w:val="00764082"/>
    <w:rsid w:val="0077005D"/>
    <w:rsid w:val="0077018B"/>
    <w:rsid w:val="007704F7"/>
    <w:rsid w:val="007708DC"/>
    <w:rsid w:val="00777B7B"/>
    <w:rsid w:val="00777D9A"/>
    <w:rsid w:val="0078043A"/>
    <w:rsid w:val="007806F0"/>
    <w:rsid w:val="0078089D"/>
    <w:rsid w:val="00783EB7"/>
    <w:rsid w:val="00784487"/>
    <w:rsid w:val="0078455A"/>
    <w:rsid w:val="007846BE"/>
    <w:rsid w:val="00784D57"/>
    <w:rsid w:val="00784FF9"/>
    <w:rsid w:val="007858C5"/>
    <w:rsid w:val="00785A34"/>
    <w:rsid w:val="007864AC"/>
    <w:rsid w:val="0078710F"/>
    <w:rsid w:val="007874CC"/>
    <w:rsid w:val="00787836"/>
    <w:rsid w:val="00787D77"/>
    <w:rsid w:val="00790A7D"/>
    <w:rsid w:val="00790AA7"/>
    <w:rsid w:val="007936F2"/>
    <w:rsid w:val="00793EB3"/>
    <w:rsid w:val="00794126"/>
    <w:rsid w:val="0079525B"/>
    <w:rsid w:val="0079540B"/>
    <w:rsid w:val="00795AEB"/>
    <w:rsid w:val="00796E7B"/>
    <w:rsid w:val="00797692"/>
    <w:rsid w:val="00797BD3"/>
    <w:rsid w:val="007A053A"/>
    <w:rsid w:val="007A1C9C"/>
    <w:rsid w:val="007A42EE"/>
    <w:rsid w:val="007A5279"/>
    <w:rsid w:val="007A5DC3"/>
    <w:rsid w:val="007A5E51"/>
    <w:rsid w:val="007A665F"/>
    <w:rsid w:val="007A7AB6"/>
    <w:rsid w:val="007B0009"/>
    <w:rsid w:val="007B0CD7"/>
    <w:rsid w:val="007B1CC1"/>
    <w:rsid w:val="007B1F24"/>
    <w:rsid w:val="007B2107"/>
    <w:rsid w:val="007B21F9"/>
    <w:rsid w:val="007B2D43"/>
    <w:rsid w:val="007B3385"/>
    <w:rsid w:val="007B3BD7"/>
    <w:rsid w:val="007B420A"/>
    <w:rsid w:val="007B4DA7"/>
    <w:rsid w:val="007B500B"/>
    <w:rsid w:val="007B5036"/>
    <w:rsid w:val="007B5757"/>
    <w:rsid w:val="007B7546"/>
    <w:rsid w:val="007C1BA9"/>
    <w:rsid w:val="007C2A28"/>
    <w:rsid w:val="007C384D"/>
    <w:rsid w:val="007C4428"/>
    <w:rsid w:val="007C5EB5"/>
    <w:rsid w:val="007C657B"/>
    <w:rsid w:val="007C666A"/>
    <w:rsid w:val="007C7E29"/>
    <w:rsid w:val="007D1A1C"/>
    <w:rsid w:val="007D2E39"/>
    <w:rsid w:val="007D3CF3"/>
    <w:rsid w:val="007D3D67"/>
    <w:rsid w:val="007D6525"/>
    <w:rsid w:val="007D6C27"/>
    <w:rsid w:val="007D71E8"/>
    <w:rsid w:val="007D735A"/>
    <w:rsid w:val="007E02A9"/>
    <w:rsid w:val="007E0FE9"/>
    <w:rsid w:val="007E1FDA"/>
    <w:rsid w:val="007E258F"/>
    <w:rsid w:val="007E2986"/>
    <w:rsid w:val="007E42ED"/>
    <w:rsid w:val="007E43FA"/>
    <w:rsid w:val="007E453E"/>
    <w:rsid w:val="007E45AC"/>
    <w:rsid w:val="007E4DA0"/>
    <w:rsid w:val="007E56F1"/>
    <w:rsid w:val="007E597B"/>
    <w:rsid w:val="007E60BB"/>
    <w:rsid w:val="007E7716"/>
    <w:rsid w:val="007F0942"/>
    <w:rsid w:val="007F0ED8"/>
    <w:rsid w:val="007F1BF6"/>
    <w:rsid w:val="007F1CF2"/>
    <w:rsid w:val="007F225F"/>
    <w:rsid w:val="007F2F4C"/>
    <w:rsid w:val="007F3E8C"/>
    <w:rsid w:val="007F53ED"/>
    <w:rsid w:val="007F5617"/>
    <w:rsid w:val="007F5E54"/>
    <w:rsid w:val="007F69CB"/>
    <w:rsid w:val="007F6A65"/>
    <w:rsid w:val="007F726D"/>
    <w:rsid w:val="007F7799"/>
    <w:rsid w:val="007F7E48"/>
    <w:rsid w:val="00800090"/>
    <w:rsid w:val="0080032A"/>
    <w:rsid w:val="0080086D"/>
    <w:rsid w:val="00801228"/>
    <w:rsid w:val="00803E9A"/>
    <w:rsid w:val="00804A26"/>
    <w:rsid w:val="00805823"/>
    <w:rsid w:val="00806407"/>
    <w:rsid w:val="008069C8"/>
    <w:rsid w:val="00811DA3"/>
    <w:rsid w:val="00812A47"/>
    <w:rsid w:val="00813113"/>
    <w:rsid w:val="00813166"/>
    <w:rsid w:val="00813B9E"/>
    <w:rsid w:val="0081424F"/>
    <w:rsid w:val="008160CB"/>
    <w:rsid w:val="00816501"/>
    <w:rsid w:val="00816E5D"/>
    <w:rsid w:val="00817727"/>
    <w:rsid w:val="00820459"/>
    <w:rsid w:val="008207D3"/>
    <w:rsid w:val="008212F0"/>
    <w:rsid w:val="00821545"/>
    <w:rsid w:val="008219DA"/>
    <w:rsid w:val="00821E22"/>
    <w:rsid w:val="00822F91"/>
    <w:rsid w:val="008230A6"/>
    <w:rsid w:val="00824386"/>
    <w:rsid w:val="00824AF0"/>
    <w:rsid w:val="00824DF1"/>
    <w:rsid w:val="008253A6"/>
    <w:rsid w:val="00825449"/>
    <w:rsid w:val="00825583"/>
    <w:rsid w:val="0082671B"/>
    <w:rsid w:val="00827168"/>
    <w:rsid w:val="008277E2"/>
    <w:rsid w:val="00830A0E"/>
    <w:rsid w:val="00831081"/>
    <w:rsid w:val="008323B1"/>
    <w:rsid w:val="00832B05"/>
    <w:rsid w:val="008337A6"/>
    <w:rsid w:val="00834251"/>
    <w:rsid w:val="0083511C"/>
    <w:rsid w:val="00835894"/>
    <w:rsid w:val="00840278"/>
    <w:rsid w:val="00840F17"/>
    <w:rsid w:val="008411B6"/>
    <w:rsid w:val="00842CC0"/>
    <w:rsid w:val="00843F4B"/>
    <w:rsid w:val="00844E4A"/>
    <w:rsid w:val="00845190"/>
    <w:rsid w:val="008454F0"/>
    <w:rsid w:val="00846FAC"/>
    <w:rsid w:val="00847477"/>
    <w:rsid w:val="008479F2"/>
    <w:rsid w:val="0085004B"/>
    <w:rsid w:val="00852FD0"/>
    <w:rsid w:val="008541DD"/>
    <w:rsid w:val="00854501"/>
    <w:rsid w:val="0085482E"/>
    <w:rsid w:val="00854BA9"/>
    <w:rsid w:val="00854BED"/>
    <w:rsid w:val="00855451"/>
    <w:rsid w:val="00856CBE"/>
    <w:rsid w:val="00857B8C"/>
    <w:rsid w:val="0086209E"/>
    <w:rsid w:val="00863202"/>
    <w:rsid w:val="00865904"/>
    <w:rsid w:val="008673FB"/>
    <w:rsid w:val="00867704"/>
    <w:rsid w:val="00867BF7"/>
    <w:rsid w:val="00870796"/>
    <w:rsid w:val="00870AE3"/>
    <w:rsid w:val="00871990"/>
    <w:rsid w:val="0087206B"/>
    <w:rsid w:val="00873108"/>
    <w:rsid w:val="0087340C"/>
    <w:rsid w:val="00873686"/>
    <w:rsid w:val="00873B32"/>
    <w:rsid w:val="008755CD"/>
    <w:rsid w:val="0087669C"/>
    <w:rsid w:val="00877C0D"/>
    <w:rsid w:val="008805D7"/>
    <w:rsid w:val="00881DFE"/>
    <w:rsid w:val="008824D2"/>
    <w:rsid w:val="00883193"/>
    <w:rsid w:val="00883703"/>
    <w:rsid w:val="00885126"/>
    <w:rsid w:val="00885442"/>
    <w:rsid w:val="00885718"/>
    <w:rsid w:val="00885E93"/>
    <w:rsid w:val="0088614E"/>
    <w:rsid w:val="00887BD1"/>
    <w:rsid w:val="0089023D"/>
    <w:rsid w:val="008905CE"/>
    <w:rsid w:val="00890FE0"/>
    <w:rsid w:val="0089113F"/>
    <w:rsid w:val="00891411"/>
    <w:rsid w:val="00891E7F"/>
    <w:rsid w:val="00892866"/>
    <w:rsid w:val="0089348E"/>
    <w:rsid w:val="008956B5"/>
    <w:rsid w:val="00895E8E"/>
    <w:rsid w:val="00896119"/>
    <w:rsid w:val="008972FF"/>
    <w:rsid w:val="008A029B"/>
    <w:rsid w:val="008A17D8"/>
    <w:rsid w:val="008A1C8B"/>
    <w:rsid w:val="008A1CD8"/>
    <w:rsid w:val="008A1F33"/>
    <w:rsid w:val="008A2425"/>
    <w:rsid w:val="008A2F1A"/>
    <w:rsid w:val="008A31E1"/>
    <w:rsid w:val="008A3AE1"/>
    <w:rsid w:val="008A4998"/>
    <w:rsid w:val="008A5691"/>
    <w:rsid w:val="008A5C33"/>
    <w:rsid w:val="008A5D25"/>
    <w:rsid w:val="008B0260"/>
    <w:rsid w:val="008B0BF5"/>
    <w:rsid w:val="008B13B6"/>
    <w:rsid w:val="008B19A5"/>
    <w:rsid w:val="008B3548"/>
    <w:rsid w:val="008B3A59"/>
    <w:rsid w:val="008B4171"/>
    <w:rsid w:val="008B4CBF"/>
    <w:rsid w:val="008B4E56"/>
    <w:rsid w:val="008B66CB"/>
    <w:rsid w:val="008B721D"/>
    <w:rsid w:val="008B792C"/>
    <w:rsid w:val="008C0296"/>
    <w:rsid w:val="008C24E0"/>
    <w:rsid w:val="008C27A4"/>
    <w:rsid w:val="008C304E"/>
    <w:rsid w:val="008C39E3"/>
    <w:rsid w:val="008C578F"/>
    <w:rsid w:val="008C586E"/>
    <w:rsid w:val="008C6BBD"/>
    <w:rsid w:val="008C6F21"/>
    <w:rsid w:val="008D0CB9"/>
    <w:rsid w:val="008D2D7D"/>
    <w:rsid w:val="008D5059"/>
    <w:rsid w:val="008D521D"/>
    <w:rsid w:val="008D5366"/>
    <w:rsid w:val="008D5C49"/>
    <w:rsid w:val="008D671A"/>
    <w:rsid w:val="008D6AD3"/>
    <w:rsid w:val="008D6F4D"/>
    <w:rsid w:val="008D7A4F"/>
    <w:rsid w:val="008D7E63"/>
    <w:rsid w:val="008E0013"/>
    <w:rsid w:val="008E026F"/>
    <w:rsid w:val="008E1025"/>
    <w:rsid w:val="008E1AA8"/>
    <w:rsid w:val="008E23F2"/>
    <w:rsid w:val="008E31F6"/>
    <w:rsid w:val="008E3FF3"/>
    <w:rsid w:val="008E445B"/>
    <w:rsid w:val="008E4DB5"/>
    <w:rsid w:val="008E5877"/>
    <w:rsid w:val="008E6421"/>
    <w:rsid w:val="008E64A8"/>
    <w:rsid w:val="008E7AA2"/>
    <w:rsid w:val="008E7CFD"/>
    <w:rsid w:val="008F01E3"/>
    <w:rsid w:val="008F0479"/>
    <w:rsid w:val="008F09F9"/>
    <w:rsid w:val="008F0A5C"/>
    <w:rsid w:val="008F160E"/>
    <w:rsid w:val="008F24E2"/>
    <w:rsid w:val="008F2691"/>
    <w:rsid w:val="008F28BE"/>
    <w:rsid w:val="008F2D56"/>
    <w:rsid w:val="008F32AA"/>
    <w:rsid w:val="008F4BD1"/>
    <w:rsid w:val="008F508A"/>
    <w:rsid w:val="008F7202"/>
    <w:rsid w:val="008F725E"/>
    <w:rsid w:val="008F77D3"/>
    <w:rsid w:val="00900BA5"/>
    <w:rsid w:val="009010CF"/>
    <w:rsid w:val="009011CD"/>
    <w:rsid w:val="009018E7"/>
    <w:rsid w:val="00901A9F"/>
    <w:rsid w:val="00901B18"/>
    <w:rsid w:val="00901CC7"/>
    <w:rsid w:val="00902270"/>
    <w:rsid w:val="00902B07"/>
    <w:rsid w:val="00902F05"/>
    <w:rsid w:val="0090302C"/>
    <w:rsid w:val="0090329E"/>
    <w:rsid w:val="00903370"/>
    <w:rsid w:val="00903CDF"/>
    <w:rsid w:val="0090504D"/>
    <w:rsid w:val="009055AD"/>
    <w:rsid w:val="00905678"/>
    <w:rsid w:val="00905807"/>
    <w:rsid w:val="0090671D"/>
    <w:rsid w:val="00906FA7"/>
    <w:rsid w:val="00910129"/>
    <w:rsid w:val="00911645"/>
    <w:rsid w:val="009118DF"/>
    <w:rsid w:val="00911FC1"/>
    <w:rsid w:val="00912401"/>
    <w:rsid w:val="009126B9"/>
    <w:rsid w:val="009137CC"/>
    <w:rsid w:val="00913A38"/>
    <w:rsid w:val="009143E5"/>
    <w:rsid w:val="00914851"/>
    <w:rsid w:val="009149F2"/>
    <w:rsid w:val="009152EE"/>
    <w:rsid w:val="009157F4"/>
    <w:rsid w:val="00916648"/>
    <w:rsid w:val="00917826"/>
    <w:rsid w:val="009205AE"/>
    <w:rsid w:val="00920B61"/>
    <w:rsid w:val="0092120C"/>
    <w:rsid w:val="00922525"/>
    <w:rsid w:val="00923E6E"/>
    <w:rsid w:val="0092512C"/>
    <w:rsid w:val="009255EF"/>
    <w:rsid w:val="00925DAD"/>
    <w:rsid w:val="009274B3"/>
    <w:rsid w:val="00927A6F"/>
    <w:rsid w:val="009302AC"/>
    <w:rsid w:val="00930DA4"/>
    <w:rsid w:val="00931FD0"/>
    <w:rsid w:val="00932D43"/>
    <w:rsid w:val="00932F13"/>
    <w:rsid w:val="00934118"/>
    <w:rsid w:val="009345BF"/>
    <w:rsid w:val="00934800"/>
    <w:rsid w:val="0093581A"/>
    <w:rsid w:val="00937196"/>
    <w:rsid w:val="0093786D"/>
    <w:rsid w:val="00937CD7"/>
    <w:rsid w:val="00937DCB"/>
    <w:rsid w:val="00940474"/>
    <w:rsid w:val="009410A3"/>
    <w:rsid w:val="00942213"/>
    <w:rsid w:val="009426C8"/>
    <w:rsid w:val="009433DF"/>
    <w:rsid w:val="00943810"/>
    <w:rsid w:val="00943B43"/>
    <w:rsid w:val="00946285"/>
    <w:rsid w:val="00946FFC"/>
    <w:rsid w:val="009479E8"/>
    <w:rsid w:val="00947A88"/>
    <w:rsid w:val="00950703"/>
    <w:rsid w:val="00951AD3"/>
    <w:rsid w:val="00951BAA"/>
    <w:rsid w:val="00951C96"/>
    <w:rsid w:val="0095261A"/>
    <w:rsid w:val="009537D1"/>
    <w:rsid w:val="00954B1A"/>
    <w:rsid w:val="00954D55"/>
    <w:rsid w:val="009550C3"/>
    <w:rsid w:val="00955760"/>
    <w:rsid w:val="00955FAA"/>
    <w:rsid w:val="009568A0"/>
    <w:rsid w:val="00960252"/>
    <w:rsid w:val="00960F6C"/>
    <w:rsid w:val="00961CE0"/>
    <w:rsid w:val="00962A93"/>
    <w:rsid w:val="00964BB7"/>
    <w:rsid w:val="00965B43"/>
    <w:rsid w:val="009672B8"/>
    <w:rsid w:val="00967E61"/>
    <w:rsid w:val="00971795"/>
    <w:rsid w:val="00971936"/>
    <w:rsid w:val="00972DC5"/>
    <w:rsid w:val="00974B12"/>
    <w:rsid w:val="00976412"/>
    <w:rsid w:val="00976F02"/>
    <w:rsid w:val="009801AE"/>
    <w:rsid w:val="00980631"/>
    <w:rsid w:val="00980C2D"/>
    <w:rsid w:val="009815FA"/>
    <w:rsid w:val="0098215F"/>
    <w:rsid w:val="009830D0"/>
    <w:rsid w:val="009835A4"/>
    <w:rsid w:val="00983CDD"/>
    <w:rsid w:val="009841CB"/>
    <w:rsid w:val="00984DE3"/>
    <w:rsid w:val="00985D1C"/>
    <w:rsid w:val="009874B5"/>
    <w:rsid w:val="00990602"/>
    <w:rsid w:val="009915E4"/>
    <w:rsid w:val="00991765"/>
    <w:rsid w:val="00992B03"/>
    <w:rsid w:val="00995A09"/>
    <w:rsid w:val="00996F15"/>
    <w:rsid w:val="009A0650"/>
    <w:rsid w:val="009A0ED4"/>
    <w:rsid w:val="009A14F5"/>
    <w:rsid w:val="009A1C3B"/>
    <w:rsid w:val="009A3664"/>
    <w:rsid w:val="009A3C53"/>
    <w:rsid w:val="009A47D9"/>
    <w:rsid w:val="009A494E"/>
    <w:rsid w:val="009A4A62"/>
    <w:rsid w:val="009A5E49"/>
    <w:rsid w:val="009A7F94"/>
    <w:rsid w:val="009B0743"/>
    <w:rsid w:val="009B0F83"/>
    <w:rsid w:val="009B16BF"/>
    <w:rsid w:val="009B2252"/>
    <w:rsid w:val="009B3C0B"/>
    <w:rsid w:val="009B4AC8"/>
    <w:rsid w:val="009B5921"/>
    <w:rsid w:val="009B60A7"/>
    <w:rsid w:val="009B64BC"/>
    <w:rsid w:val="009B64C1"/>
    <w:rsid w:val="009C0597"/>
    <w:rsid w:val="009C09EB"/>
    <w:rsid w:val="009C2306"/>
    <w:rsid w:val="009C308F"/>
    <w:rsid w:val="009C4537"/>
    <w:rsid w:val="009C4AE4"/>
    <w:rsid w:val="009C5964"/>
    <w:rsid w:val="009C64F0"/>
    <w:rsid w:val="009D0C3C"/>
    <w:rsid w:val="009D0F0C"/>
    <w:rsid w:val="009D1B3F"/>
    <w:rsid w:val="009D2D0E"/>
    <w:rsid w:val="009D3292"/>
    <w:rsid w:val="009D372F"/>
    <w:rsid w:val="009D4F3F"/>
    <w:rsid w:val="009D549E"/>
    <w:rsid w:val="009D7542"/>
    <w:rsid w:val="009E046B"/>
    <w:rsid w:val="009E125A"/>
    <w:rsid w:val="009E1624"/>
    <w:rsid w:val="009E243B"/>
    <w:rsid w:val="009E4F9A"/>
    <w:rsid w:val="009E657D"/>
    <w:rsid w:val="009E71EC"/>
    <w:rsid w:val="009E7925"/>
    <w:rsid w:val="009E7F17"/>
    <w:rsid w:val="009F0979"/>
    <w:rsid w:val="009F11A4"/>
    <w:rsid w:val="009F15AB"/>
    <w:rsid w:val="009F1DD3"/>
    <w:rsid w:val="009F35CE"/>
    <w:rsid w:val="009F464F"/>
    <w:rsid w:val="009F53AD"/>
    <w:rsid w:val="009F5DBA"/>
    <w:rsid w:val="009F5E43"/>
    <w:rsid w:val="009F61ED"/>
    <w:rsid w:val="009F7B8A"/>
    <w:rsid w:val="009F7BFA"/>
    <w:rsid w:val="00A00996"/>
    <w:rsid w:val="00A00D5C"/>
    <w:rsid w:val="00A01F3E"/>
    <w:rsid w:val="00A0234E"/>
    <w:rsid w:val="00A0234F"/>
    <w:rsid w:val="00A03D3D"/>
    <w:rsid w:val="00A04C9D"/>
    <w:rsid w:val="00A04D0A"/>
    <w:rsid w:val="00A05A9E"/>
    <w:rsid w:val="00A10DD3"/>
    <w:rsid w:val="00A1113C"/>
    <w:rsid w:val="00A112BE"/>
    <w:rsid w:val="00A11D6A"/>
    <w:rsid w:val="00A133E2"/>
    <w:rsid w:val="00A137A9"/>
    <w:rsid w:val="00A13AA6"/>
    <w:rsid w:val="00A13E9B"/>
    <w:rsid w:val="00A14CD9"/>
    <w:rsid w:val="00A15791"/>
    <w:rsid w:val="00A1616C"/>
    <w:rsid w:val="00A16545"/>
    <w:rsid w:val="00A166AA"/>
    <w:rsid w:val="00A17502"/>
    <w:rsid w:val="00A17E0A"/>
    <w:rsid w:val="00A20931"/>
    <w:rsid w:val="00A2094F"/>
    <w:rsid w:val="00A21A46"/>
    <w:rsid w:val="00A21F0E"/>
    <w:rsid w:val="00A220B3"/>
    <w:rsid w:val="00A2271D"/>
    <w:rsid w:val="00A23303"/>
    <w:rsid w:val="00A23E51"/>
    <w:rsid w:val="00A2539C"/>
    <w:rsid w:val="00A254AA"/>
    <w:rsid w:val="00A25BFF"/>
    <w:rsid w:val="00A2625F"/>
    <w:rsid w:val="00A267C4"/>
    <w:rsid w:val="00A26D31"/>
    <w:rsid w:val="00A30797"/>
    <w:rsid w:val="00A318E9"/>
    <w:rsid w:val="00A31B2C"/>
    <w:rsid w:val="00A34A7C"/>
    <w:rsid w:val="00A34AB4"/>
    <w:rsid w:val="00A34EA8"/>
    <w:rsid w:val="00A35BE5"/>
    <w:rsid w:val="00A35F4B"/>
    <w:rsid w:val="00A362BC"/>
    <w:rsid w:val="00A36D0F"/>
    <w:rsid w:val="00A3705D"/>
    <w:rsid w:val="00A377D8"/>
    <w:rsid w:val="00A40F90"/>
    <w:rsid w:val="00A4125A"/>
    <w:rsid w:val="00A41A5B"/>
    <w:rsid w:val="00A42493"/>
    <w:rsid w:val="00A440F5"/>
    <w:rsid w:val="00A44CC8"/>
    <w:rsid w:val="00A46CCA"/>
    <w:rsid w:val="00A46D47"/>
    <w:rsid w:val="00A47194"/>
    <w:rsid w:val="00A514E7"/>
    <w:rsid w:val="00A5184E"/>
    <w:rsid w:val="00A52D01"/>
    <w:rsid w:val="00A53E2F"/>
    <w:rsid w:val="00A550ED"/>
    <w:rsid w:val="00A5546F"/>
    <w:rsid w:val="00A56552"/>
    <w:rsid w:val="00A56E3D"/>
    <w:rsid w:val="00A57398"/>
    <w:rsid w:val="00A60375"/>
    <w:rsid w:val="00A6195D"/>
    <w:rsid w:val="00A62DBA"/>
    <w:rsid w:val="00A6320D"/>
    <w:rsid w:val="00A63F01"/>
    <w:rsid w:val="00A64B4F"/>
    <w:rsid w:val="00A65030"/>
    <w:rsid w:val="00A6691D"/>
    <w:rsid w:val="00A66E6B"/>
    <w:rsid w:val="00A673EA"/>
    <w:rsid w:val="00A674B0"/>
    <w:rsid w:val="00A6796A"/>
    <w:rsid w:val="00A70B15"/>
    <w:rsid w:val="00A70E39"/>
    <w:rsid w:val="00A71E42"/>
    <w:rsid w:val="00A728B1"/>
    <w:rsid w:val="00A73AED"/>
    <w:rsid w:val="00A74975"/>
    <w:rsid w:val="00A76D4C"/>
    <w:rsid w:val="00A77D72"/>
    <w:rsid w:val="00A8101F"/>
    <w:rsid w:val="00A81065"/>
    <w:rsid w:val="00A81FF5"/>
    <w:rsid w:val="00A83C7F"/>
    <w:rsid w:val="00A83F9A"/>
    <w:rsid w:val="00A85195"/>
    <w:rsid w:val="00A86916"/>
    <w:rsid w:val="00A879EC"/>
    <w:rsid w:val="00A911A5"/>
    <w:rsid w:val="00A91379"/>
    <w:rsid w:val="00A92322"/>
    <w:rsid w:val="00A929CF"/>
    <w:rsid w:val="00A92D6C"/>
    <w:rsid w:val="00A934EF"/>
    <w:rsid w:val="00A937F5"/>
    <w:rsid w:val="00A954A9"/>
    <w:rsid w:val="00A95EEC"/>
    <w:rsid w:val="00A96D1C"/>
    <w:rsid w:val="00A97B88"/>
    <w:rsid w:val="00AA002A"/>
    <w:rsid w:val="00AA048F"/>
    <w:rsid w:val="00AA15CA"/>
    <w:rsid w:val="00AA175D"/>
    <w:rsid w:val="00AA3902"/>
    <w:rsid w:val="00AA3F50"/>
    <w:rsid w:val="00AA4CA5"/>
    <w:rsid w:val="00AA6953"/>
    <w:rsid w:val="00AB1DAD"/>
    <w:rsid w:val="00AB314C"/>
    <w:rsid w:val="00AB46AA"/>
    <w:rsid w:val="00AB53E3"/>
    <w:rsid w:val="00AB57F4"/>
    <w:rsid w:val="00AB5F19"/>
    <w:rsid w:val="00AB61DE"/>
    <w:rsid w:val="00AB6268"/>
    <w:rsid w:val="00AB6899"/>
    <w:rsid w:val="00AB6B96"/>
    <w:rsid w:val="00AC06BC"/>
    <w:rsid w:val="00AC1DB0"/>
    <w:rsid w:val="00AC2355"/>
    <w:rsid w:val="00AC2C00"/>
    <w:rsid w:val="00AC4648"/>
    <w:rsid w:val="00AC4740"/>
    <w:rsid w:val="00AC6027"/>
    <w:rsid w:val="00AC744F"/>
    <w:rsid w:val="00AD03C3"/>
    <w:rsid w:val="00AD0D93"/>
    <w:rsid w:val="00AD27A2"/>
    <w:rsid w:val="00AD2C22"/>
    <w:rsid w:val="00AD45F3"/>
    <w:rsid w:val="00AD640A"/>
    <w:rsid w:val="00AD6979"/>
    <w:rsid w:val="00AE21E8"/>
    <w:rsid w:val="00AE2A62"/>
    <w:rsid w:val="00AE2B08"/>
    <w:rsid w:val="00AE31C3"/>
    <w:rsid w:val="00AE33FC"/>
    <w:rsid w:val="00AE35EA"/>
    <w:rsid w:val="00AE3A2C"/>
    <w:rsid w:val="00AE4CD6"/>
    <w:rsid w:val="00AE57E1"/>
    <w:rsid w:val="00AE5C70"/>
    <w:rsid w:val="00AE687B"/>
    <w:rsid w:val="00AE7374"/>
    <w:rsid w:val="00AF001A"/>
    <w:rsid w:val="00AF0D17"/>
    <w:rsid w:val="00AF120C"/>
    <w:rsid w:val="00AF3D6A"/>
    <w:rsid w:val="00AF49AF"/>
    <w:rsid w:val="00AF4E54"/>
    <w:rsid w:val="00AF551D"/>
    <w:rsid w:val="00AF5B02"/>
    <w:rsid w:val="00AF68D4"/>
    <w:rsid w:val="00AF7AB6"/>
    <w:rsid w:val="00AF7DB3"/>
    <w:rsid w:val="00B000E2"/>
    <w:rsid w:val="00B00827"/>
    <w:rsid w:val="00B00A13"/>
    <w:rsid w:val="00B00CFA"/>
    <w:rsid w:val="00B01BB4"/>
    <w:rsid w:val="00B01BC4"/>
    <w:rsid w:val="00B03F58"/>
    <w:rsid w:val="00B04029"/>
    <w:rsid w:val="00B055E3"/>
    <w:rsid w:val="00B05AC8"/>
    <w:rsid w:val="00B11E2A"/>
    <w:rsid w:val="00B14514"/>
    <w:rsid w:val="00B167C3"/>
    <w:rsid w:val="00B16C6A"/>
    <w:rsid w:val="00B17CE3"/>
    <w:rsid w:val="00B17E87"/>
    <w:rsid w:val="00B205D4"/>
    <w:rsid w:val="00B21E3C"/>
    <w:rsid w:val="00B22D3A"/>
    <w:rsid w:val="00B22DA8"/>
    <w:rsid w:val="00B23A4D"/>
    <w:rsid w:val="00B249C3"/>
    <w:rsid w:val="00B269CE"/>
    <w:rsid w:val="00B27459"/>
    <w:rsid w:val="00B30797"/>
    <w:rsid w:val="00B30D4E"/>
    <w:rsid w:val="00B30FF9"/>
    <w:rsid w:val="00B3167C"/>
    <w:rsid w:val="00B316BE"/>
    <w:rsid w:val="00B32254"/>
    <w:rsid w:val="00B32E30"/>
    <w:rsid w:val="00B34765"/>
    <w:rsid w:val="00B357FF"/>
    <w:rsid w:val="00B36669"/>
    <w:rsid w:val="00B373EC"/>
    <w:rsid w:val="00B37F19"/>
    <w:rsid w:val="00B4143B"/>
    <w:rsid w:val="00B42CC2"/>
    <w:rsid w:val="00B42FCE"/>
    <w:rsid w:val="00B4460B"/>
    <w:rsid w:val="00B45866"/>
    <w:rsid w:val="00B45B2E"/>
    <w:rsid w:val="00B47D06"/>
    <w:rsid w:val="00B50E83"/>
    <w:rsid w:val="00B52A37"/>
    <w:rsid w:val="00B53145"/>
    <w:rsid w:val="00B53B44"/>
    <w:rsid w:val="00B542A0"/>
    <w:rsid w:val="00B542BB"/>
    <w:rsid w:val="00B544D7"/>
    <w:rsid w:val="00B5549A"/>
    <w:rsid w:val="00B559E5"/>
    <w:rsid w:val="00B55C16"/>
    <w:rsid w:val="00B56F40"/>
    <w:rsid w:val="00B57328"/>
    <w:rsid w:val="00B6043C"/>
    <w:rsid w:val="00B612CC"/>
    <w:rsid w:val="00B61A1C"/>
    <w:rsid w:val="00B62AEB"/>
    <w:rsid w:val="00B62EF5"/>
    <w:rsid w:val="00B634DD"/>
    <w:rsid w:val="00B63E30"/>
    <w:rsid w:val="00B64C19"/>
    <w:rsid w:val="00B64FFD"/>
    <w:rsid w:val="00B67470"/>
    <w:rsid w:val="00B67C17"/>
    <w:rsid w:val="00B67CC0"/>
    <w:rsid w:val="00B7167A"/>
    <w:rsid w:val="00B71994"/>
    <w:rsid w:val="00B71C6B"/>
    <w:rsid w:val="00B71F82"/>
    <w:rsid w:val="00B720ED"/>
    <w:rsid w:val="00B73FCA"/>
    <w:rsid w:val="00B75948"/>
    <w:rsid w:val="00B75F31"/>
    <w:rsid w:val="00B76418"/>
    <w:rsid w:val="00B77829"/>
    <w:rsid w:val="00B8142A"/>
    <w:rsid w:val="00B81A59"/>
    <w:rsid w:val="00B82346"/>
    <w:rsid w:val="00B825D3"/>
    <w:rsid w:val="00B83029"/>
    <w:rsid w:val="00B84DDF"/>
    <w:rsid w:val="00B868BC"/>
    <w:rsid w:val="00B870A0"/>
    <w:rsid w:val="00B93034"/>
    <w:rsid w:val="00B932F4"/>
    <w:rsid w:val="00B9335D"/>
    <w:rsid w:val="00B933D9"/>
    <w:rsid w:val="00B93AEC"/>
    <w:rsid w:val="00B940FC"/>
    <w:rsid w:val="00B944DA"/>
    <w:rsid w:val="00B94AB2"/>
    <w:rsid w:val="00B970FF"/>
    <w:rsid w:val="00BA1C5B"/>
    <w:rsid w:val="00BA1D3B"/>
    <w:rsid w:val="00BA2140"/>
    <w:rsid w:val="00BA2E5C"/>
    <w:rsid w:val="00BA2E9A"/>
    <w:rsid w:val="00BA4EDD"/>
    <w:rsid w:val="00BA608E"/>
    <w:rsid w:val="00BA68A6"/>
    <w:rsid w:val="00BA6A8A"/>
    <w:rsid w:val="00BA6B0A"/>
    <w:rsid w:val="00BA750A"/>
    <w:rsid w:val="00BA7A70"/>
    <w:rsid w:val="00BB0501"/>
    <w:rsid w:val="00BB0B49"/>
    <w:rsid w:val="00BB1AE5"/>
    <w:rsid w:val="00BB22BD"/>
    <w:rsid w:val="00BB32A0"/>
    <w:rsid w:val="00BB3AC4"/>
    <w:rsid w:val="00BB430B"/>
    <w:rsid w:val="00BB5855"/>
    <w:rsid w:val="00BB6987"/>
    <w:rsid w:val="00BB6C1A"/>
    <w:rsid w:val="00BB7895"/>
    <w:rsid w:val="00BB7BFE"/>
    <w:rsid w:val="00BC012B"/>
    <w:rsid w:val="00BC091D"/>
    <w:rsid w:val="00BC0B51"/>
    <w:rsid w:val="00BC2C0E"/>
    <w:rsid w:val="00BC32DD"/>
    <w:rsid w:val="00BC403B"/>
    <w:rsid w:val="00BC451E"/>
    <w:rsid w:val="00BC4BB8"/>
    <w:rsid w:val="00BC4F43"/>
    <w:rsid w:val="00BC5057"/>
    <w:rsid w:val="00BC5A7A"/>
    <w:rsid w:val="00BC5C34"/>
    <w:rsid w:val="00BC6CB2"/>
    <w:rsid w:val="00BC7C5A"/>
    <w:rsid w:val="00BD0B21"/>
    <w:rsid w:val="00BD0C60"/>
    <w:rsid w:val="00BD0FD0"/>
    <w:rsid w:val="00BD4E2D"/>
    <w:rsid w:val="00BD533A"/>
    <w:rsid w:val="00BD757D"/>
    <w:rsid w:val="00BE061F"/>
    <w:rsid w:val="00BE09A8"/>
    <w:rsid w:val="00BE0DBF"/>
    <w:rsid w:val="00BE17EE"/>
    <w:rsid w:val="00BE4CAA"/>
    <w:rsid w:val="00BE5301"/>
    <w:rsid w:val="00BE77AD"/>
    <w:rsid w:val="00BF05B5"/>
    <w:rsid w:val="00BF0AB5"/>
    <w:rsid w:val="00BF15D3"/>
    <w:rsid w:val="00BF1600"/>
    <w:rsid w:val="00BF17C2"/>
    <w:rsid w:val="00BF2256"/>
    <w:rsid w:val="00BF24B9"/>
    <w:rsid w:val="00BF32B8"/>
    <w:rsid w:val="00BF3EAC"/>
    <w:rsid w:val="00BF5241"/>
    <w:rsid w:val="00BF6F11"/>
    <w:rsid w:val="00C00D36"/>
    <w:rsid w:val="00C02D69"/>
    <w:rsid w:val="00C02E38"/>
    <w:rsid w:val="00C03078"/>
    <w:rsid w:val="00C04E49"/>
    <w:rsid w:val="00C05418"/>
    <w:rsid w:val="00C06074"/>
    <w:rsid w:val="00C07B67"/>
    <w:rsid w:val="00C07E57"/>
    <w:rsid w:val="00C113F0"/>
    <w:rsid w:val="00C11A38"/>
    <w:rsid w:val="00C11EEA"/>
    <w:rsid w:val="00C12F60"/>
    <w:rsid w:val="00C130DA"/>
    <w:rsid w:val="00C133B2"/>
    <w:rsid w:val="00C136B2"/>
    <w:rsid w:val="00C13CBF"/>
    <w:rsid w:val="00C14142"/>
    <w:rsid w:val="00C14592"/>
    <w:rsid w:val="00C147A3"/>
    <w:rsid w:val="00C14DE8"/>
    <w:rsid w:val="00C14E93"/>
    <w:rsid w:val="00C150AD"/>
    <w:rsid w:val="00C16097"/>
    <w:rsid w:val="00C16439"/>
    <w:rsid w:val="00C17BA4"/>
    <w:rsid w:val="00C24B8D"/>
    <w:rsid w:val="00C25543"/>
    <w:rsid w:val="00C263B7"/>
    <w:rsid w:val="00C27AB5"/>
    <w:rsid w:val="00C27E44"/>
    <w:rsid w:val="00C27EC4"/>
    <w:rsid w:val="00C302E5"/>
    <w:rsid w:val="00C30B68"/>
    <w:rsid w:val="00C3342C"/>
    <w:rsid w:val="00C3359B"/>
    <w:rsid w:val="00C33C91"/>
    <w:rsid w:val="00C344DB"/>
    <w:rsid w:val="00C345B6"/>
    <w:rsid w:val="00C349CF"/>
    <w:rsid w:val="00C34F33"/>
    <w:rsid w:val="00C3518F"/>
    <w:rsid w:val="00C40AD4"/>
    <w:rsid w:val="00C40E28"/>
    <w:rsid w:val="00C418D0"/>
    <w:rsid w:val="00C41C11"/>
    <w:rsid w:val="00C41EFA"/>
    <w:rsid w:val="00C42335"/>
    <w:rsid w:val="00C435DD"/>
    <w:rsid w:val="00C4467A"/>
    <w:rsid w:val="00C44DB2"/>
    <w:rsid w:val="00C4514C"/>
    <w:rsid w:val="00C463C0"/>
    <w:rsid w:val="00C4766D"/>
    <w:rsid w:val="00C47697"/>
    <w:rsid w:val="00C47C27"/>
    <w:rsid w:val="00C5054C"/>
    <w:rsid w:val="00C507F1"/>
    <w:rsid w:val="00C511EB"/>
    <w:rsid w:val="00C515E5"/>
    <w:rsid w:val="00C515F0"/>
    <w:rsid w:val="00C520D7"/>
    <w:rsid w:val="00C521DB"/>
    <w:rsid w:val="00C52E8A"/>
    <w:rsid w:val="00C5554A"/>
    <w:rsid w:val="00C55901"/>
    <w:rsid w:val="00C55D2E"/>
    <w:rsid w:val="00C55D6F"/>
    <w:rsid w:val="00C5759E"/>
    <w:rsid w:val="00C63339"/>
    <w:rsid w:val="00C66033"/>
    <w:rsid w:val="00C660F6"/>
    <w:rsid w:val="00C6721C"/>
    <w:rsid w:val="00C70672"/>
    <w:rsid w:val="00C70946"/>
    <w:rsid w:val="00C726C9"/>
    <w:rsid w:val="00C739C7"/>
    <w:rsid w:val="00C73EC4"/>
    <w:rsid w:val="00C7483C"/>
    <w:rsid w:val="00C75B05"/>
    <w:rsid w:val="00C76A1B"/>
    <w:rsid w:val="00C76D27"/>
    <w:rsid w:val="00C803E4"/>
    <w:rsid w:val="00C8051B"/>
    <w:rsid w:val="00C833DA"/>
    <w:rsid w:val="00C83609"/>
    <w:rsid w:val="00C848FB"/>
    <w:rsid w:val="00C8571D"/>
    <w:rsid w:val="00C85E5B"/>
    <w:rsid w:val="00C86049"/>
    <w:rsid w:val="00C875BE"/>
    <w:rsid w:val="00C91B11"/>
    <w:rsid w:val="00C92CEA"/>
    <w:rsid w:val="00C94AF3"/>
    <w:rsid w:val="00C95B6B"/>
    <w:rsid w:val="00C95F51"/>
    <w:rsid w:val="00C9642E"/>
    <w:rsid w:val="00C96C42"/>
    <w:rsid w:val="00C97D52"/>
    <w:rsid w:val="00CA0255"/>
    <w:rsid w:val="00CA2838"/>
    <w:rsid w:val="00CA2A9E"/>
    <w:rsid w:val="00CA4AE9"/>
    <w:rsid w:val="00CA6302"/>
    <w:rsid w:val="00CA67EA"/>
    <w:rsid w:val="00CA7AAF"/>
    <w:rsid w:val="00CB19FA"/>
    <w:rsid w:val="00CB22F9"/>
    <w:rsid w:val="00CB2BE2"/>
    <w:rsid w:val="00CB63B7"/>
    <w:rsid w:val="00CB642C"/>
    <w:rsid w:val="00CB77F8"/>
    <w:rsid w:val="00CC0048"/>
    <w:rsid w:val="00CC04BA"/>
    <w:rsid w:val="00CC0B28"/>
    <w:rsid w:val="00CC10F2"/>
    <w:rsid w:val="00CC1201"/>
    <w:rsid w:val="00CC35E6"/>
    <w:rsid w:val="00CC37AD"/>
    <w:rsid w:val="00CC5244"/>
    <w:rsid w:val="00CC5A38"/>
    <w:rsid w:val="00CC7598"/>
    <w:rsid w:val="00CD0B9A"/>
    <w:rsid w:val="00CD2205"/>
    <w:rsid w:val="00CD2FE9"/>
    <w:rsid w:val="00CD3078"/>
    <w:rsid w:val="00CD3EDC"/>
    <w:rsid w:val="00CD5333"/>
    <w:rsid w:val="00CD702B"/>
    <w:rsid w:val="00CD7B48"/>
    <w:rsid w:val="00CE0444"/>
    <w:rsid w:val="00CE10CE"/>
    <w:rsid w:val="00CE1B7D"/>
    <w:rsid w:val="00CE25C1"/>
    <w:rsid w:val="00CE2E8F"/>
    <w:rsid w:val="00CE3BCA"/>
    <w:rsid w:val="00CE4428"/>
    <w:rsid w:val="00CE4494"/>
    <w:rsid w:val="00CE4B5E"/>
    <w:rsid w:val="00CE4C54"/>
    <w:rsid w:val="00CE616E"/>
    <w:rsid w:val="00CE6C0A"/>
    <w:rsid w:val="00CE6EEF"/>
    <w:rsid w:val="00CE7797"/>
    <w:rsid w:val="00CF0C98"/>
    <w:rsid w:val="00CF291D"/>
    <w:rsid w:val="00CF33A2"/>
    <w:rsid w:val="00CF3B03"/>
    <w:rsid w:val="00CF3C0A"/>
    <w:rsid w:val="00CF3F14"/>
    <w:rsid w:val="00CF5168"/>
    <w:rsid w:val="00D01915"/>
    <w:rsid w:val="00D02093"/>
    <w:rsid w:val="00D0276C"/>
    <w:rsid w:val="00D02D14"/>
    <w:rsid w:val="00D02E6B"/>
    <w:rsid w:val="00D03362"/>
    <w:rsid w:val="00D038C3"/>
    <w:rsid w:val="00D03A06"/>
    <w:rsid w:val="00D0411F"/>
    <w:rsid w:val="00D05B71"/>
    <w:rsid w:val="00D05F6E"/>
    <w:rsid w:val="00D06E7B"/>
    <w:rsid w:val="00D07689"/>
    <w:rsid w:val="00D07850"/>
    <w:rsid w:val="00D07AB2"/>
    <w:rsid w:val="00D07FF1"/>
    <w:rsid w:val="00D21758"/>
    <w:rsid w:val="00D222E4"/>
    <w:rsid w:val="00D22C1F"/>
    <w:rsid w:val="00D22F67"/>
    <w:rsid w:val="00D263AD"/>
    <w:rsid w:val="00D26669"/>
    <w:rsid w:val="00D26802"/>
    <w:rsid w:val="00D273AE"/>
    <w:rsid w:val="00D27A7A"/>
    <w:rsid w:val="00D27FD9"/>
    <w:rsid w:val="00D30710"/>
    <w:rsid w:val="00D3318A"/>
    <w:rsid w:val="00D3342A"/>
    <w:rsid w:val="00D3659F"/>
    <w:rsid w:val="00D368E1"/>
    <w:rsid w:val="00D405D8"/>
    <w:rsid w:val="00D41207"/>
    <w:rsid w:val="00D4293F"/>
    <w:rsid w:val="00D44BCD"/>
    <w:rsid w:val="00D44EDC"/>
    <w:rsid w:val="00D453AC"/>
    <w:rsid w:val="00D454F2"/>
    <w:rsid w:val="00D458FD"/>
    <w:rsid w:val="00D45CBC"/>
    <w:rsid w:val="00D462C8"/>
    <w:rsid w:val="00D463BF"/>
    <w:rsid w:val="00D4678C"/>
    <w:rsid w:val="00D47243"/>
    <w:rsid w:val="00D51627"/>
    <w:rsid w:val="00D51AF8"/>
    <w:rsid w:val="00D51CEB"/>
    <w:rsid w:val="00D529AD"/>
    <w:rsid w:val="00D530D9"/>
    <w:rsid w:val="00D539AE"/>
    <w:rsid w:val="00D53ABC"/>
    <w:rsid w:val="00D54109"/>
    <w:rsid w:val="00D55079"/>
    <w:rsid w:val="00D57D35"/>
    <w:rsid w:val="00D57E89"/>
    <w:rsid w:val="00D650B0"/>
    <w:rsid w:val="00D65839"/>
    <w:rsid w:val="00D66157"/>
    <w:rsid w:val="00D66440"/>
    <w:rsid w:val="00D66DB2"/>
    <w:rsid w:val="00D700A9"/>
    <w:rsid w:val="00D701D0"/>
    <w:rsid w:val="00D72269"/>
    <w:rsid w:val="00D72481"/>
    <w:rsid w:val="00D73629"/>
    <w:rsid w:val="00D73AFE"/>
    <w:rsid w:val="00D77655"/>
    <w:rsid w:val="00D8209E"/>
    <w:rsid w:val="00D82D87"/>
    <w:rsid w:val="00D82E7D"/>
    <w:rsid w:val="00D836E0"/>
    <w:rsid w:val="00D84929"/>
    <w:rsid w:val="00D87135"/>
    <w:rsid w:val="00D876D4"/>
    <w:rsid w:val="00D87879"/>
    <w:rsid w:val="00D87E5E"/>
    <w:rsid w:val="00D90AAD"/>
    <w:rsid w:val="00D91D7B"/>
    <w:rsid w:val="00D924A4"/>
    <w:rsid w:val="00D94975"/>
    <w:rsid w:val="00D94D4D"/>
    <w:rsid w:val="00D95609"/>
    <w:rsid w:val="00D95C57"/>
    <w:rsid w:val="00D9776C"/>
    <w:rsid w:val="00DA077D"/>
    <w:rsid w:val="00DA18AB"/>
    <w:rsid w:val="00DA1D07"/>
    <w:rsid w:val="00DA3586"/>
    <w:rsid w:val="00DA3F25"/>
    <w:rsid w:val="00DA3FEB"/>
    <w:rsid w:val="00DA5525"/>
    <w:rsid w:val="00DA5640"/>
    <w:rsid w:val="00DA68C1"/>
    <w:rsid w:val="00DA6D4F"/>
    <w:rsid w:val="00DA768C"/>
    <w:rsid w:val="00DB0D84"/>
    <w:rsid w:val="00DB1BD6"/>
    <w:rsid w:val="00DB2A03"/>
    <w:rsid w:val="00DB403A"/>
    <w:rsid w:val="00DB4382"/>
    <w:rsid w:val="00DB4960"/>
    <w:rsid w:val="00DB5E8C"/>
    <w:rsid w:val="00DB6255"/>
    <w:rsid w:val="00DB6C0F"/>
    <w:rsid w:val="00DB7296"/>
    <w:rsid w:val="00DB7531"/>
    <w:rsid w:val="00DC0F45"/>
    <w:rsid w:val="00DC206A"/>
    <w:rsid w:val="00DC2937"/>
    <w:rsid w:val="00DC39C2"/>
    <w:rsid w:val="00DC4DC3"/>
    <w:rsid w:val="00DC6088"/>
    <w:rsid w:val="00DC7579"/>
    <w:rsid w:val="00DD0486"/>
    <w:rsid w:val="00DD0C0D"/>
    <w:rsid w:val="00DD207F"/>
    <w:rsid w:val="00DD2F70"/>
    <w:rsid w:val="00DD5333"/>
    <w:rsid w:val="00DD53F2"/>
    <w:rsid w:val="00DD5913"/>
    <w:rsid w:val="00DE08D1"/>
    <w:rsid w:val="00DE09B0"/>
    <w:rsid w:val="00DE0F72"/>
    <w:rsid w:val="00DE1BB8"/>
    <w:rsid w:val="00DE1F43"/>
    <w:rsid w:val="00DE2005"/>
    <w:rsid w:val="00DE278F"/>
    <w:rsid w:val="00DE3965"/>
    <w:rsid w:val="00DE44DA"/>
    <w:rsid w:val="00DE4619"/>
    <w:rsid w:val="00DE6171"/>
    <w:rsid w:val="00DE625C"/>
    <w:rsid w:val="00DE7B8C"/>
    <w:rsid w:val="00DF0630"/>
    <w:rsid w:val="00DF0EA7"/>
    <w:rsid w:val="00DF32D0"/>
    <w:rsid w:val="00DF37B1"/>
    <w:rsid w:val="00DF382B"/>
    <w:rsid w:val="00DF3F54"/>
    <w:rsid w:val="00DF554E"/>
    <w:rsid w:val="00DF637C"/>
    <w:rsid w:val="00DF6D09"/>
    <w:rsid w:val="00DF7170"/>
    <w:rsid w:val="00DF7252"/>
    <w:rsid w:val="00DF75A6"/>
    <w:rsid w:val="00DF7C72"/>
    <w:rsid w:val="00DF7C8E"/>
    <w:rsid w:val="00E00E79"/>
    <w:rsid w:val="00E011E8"/>
    <w:rsid w:val="00E03180"/>
    <w:rsid w:val="00E03A17"/>
    <w:rsid w:val="00E053C4"/>
    <w:rsid w:val="00E064DF"/>
    <w:rsid w:val="00E0738E"/>
    <w:rsid w:val="00E07BE9"/>
    <w:rsid w:val="00E108D9"/>
    <w:rsid w:val="00E10983"/>
    <w:rsid w:val="00E10C81"/>
    <w:rsid w:val="00E10F30"/>
    <w:rsid w:val="00E116C1"/>
    <w:rsid w:val="00E117D9"/>
    <w:rsid w:val="00E11A77"/>
    <w:rsid w:val="00E12784"/>
    <w:rsid w:val="00E132C9"/>
    <w:rsid w:val="00E13A42"/>
    <w:rsid w:val="00E14375"/>
    <w:rsid w:val="00E165BC"/>
    <w:rsid w:val="00E20D77"/>
    <w:rsid w:val="00E21333"/>
    <w:rsid w:val="00E2158C"/>
    <w:rsid w:val="00E232D8"/>
    <w:rsid w:val="00E2593C"/>
    <w:rsid w:val="00E25C09"/>
    <w:rsid w:val="00E26057"/>
    <w:rsid w:val="00E26663"/>
    <w:rsid w:val="00E27AE0"/>
    <w:rsid w:val="00E300AA"/>
    <w:rsid w:val="00E30D3E"/>
    <w:rsid w:val="00E3120D"/>
    <w:rsid w:val="00E315A7"/>
    <w:rsid w:val="00E325F4"/>
    <w:rsid w:val="00E32EAD"/>
    <w:rsid w:val="00E331D6"/>
    <w:rsid w:val="00E335EC"/>
    <w:rsid w:val="00E34129"/>
    <w:rsid w:val="00E34288"/>
    <w:rsid w:val="00E34E9A"/>
    <w:rsid w:val="00E362DE"/>
    <w:rsid w:val="00E36803"/>
    <w:rsid w:val="00E36FC5"/>
    <w:rsid w:val="00E37127"/>
    <w:rsid w:val="00E373F9"/>
    <w:rsid w:val="00E37462"/>
    <w:rsid w:val="00E37B30"/>
    <w:rsid w:val="00E4035D"/>
    <w:rsid w:val="00E41B72"/>
    <w:rsid w:val="00E42888"/>
    <w:rsid w:val="00E430E0"/>
    <w:rsid w:val="00E438A6"/>
    <w:rsid w:val="00E43CC2"/>
    <w:rsid w:val="00E4418D"/>
    <w:rsid w:val="00E44586"/>
    <w:rsid w:val="00E467E7"/>
    <w:rsid w:val="00E50829"/>
    <w:rsid w:val="00E50977"/>
    <w:rsid w:val="00E51E10"/>
    <w:rsid w:val="00E51F21"/>
    <w:rsid w:val="00E52491"/>
    <w:rsid w:val="00E5335A"/>
    <w:rsid w:val="00E53B56"/>
    <w:rsid w:val="00E54B38"/>
    <w:rsid w:val="00E54F8F"/>
    <w:rsid w:val="00E553E6"/>
    <w:rsid w:val="00E5631D"/>
    <w:rsid w:val="00E56D51"/>
    <w:rsid w:val="00E57346"/>
    <w:rsid w:val="00E616D1"/>
    <w:rsid w:val="00E61989"/>
    <w:rsid w:val="00E62114"/>
    <w:rsid w:val="00E629EF"/>
    <w:rsid w:val="00E630BD"/>
    <w:rsid w:val="00E6325A"/>
    <w:rsid w:val="00E63EE6"/>
    <w:rsid w:val="00E64872"/>
    <w:rsid w:val="00E65178"/>
    <w:rsid w:val="00E65908"/>
    <w:rsid w:val="00E720B3"/>
    <w:rsid w:val="00E72332"/>
    <w:rsid w:val="00E727B7"/>
    <w:rsid w:val="00E72811"/>
    <w:rsid w:val="00E7284D"/>
    <w:rsid w:val="00E7304A"/>
    <w:rsid w:val="00E736E1"/>
    <w:rsid w:val="00E741D9"/>
    <w:rsid w:val="00E741E4"/>
    <w:rsid w:val="00E74A7E"/>
    <w:rsid w:val="00E74DF4"/>
    <w:rsid w:val="00E75F7E"/>
    <w:rsid w:val="00E7643C"/>
    <w:rsid w:val="00E765C2"/>
    <w:rsid w:val="00E77B37"/>
    <w:rsid w:val="00E80332"/>
    <w:rsid w:val="00E809DB"/>
    <w:rsid w:val="00E81E2D"/>
    <w:rsid w:val="00E8294C"/>
    <w:rsid w:val="00E83E26"/>
    <w:rsid w:val="00E8422F"/>
    <w:rsid w:val="00E84C0E"/>
    <w:rsid w:val="00E84F7E"/>
    <w:rsid w:val="00E9098A"/>
    <w:rsid w:val="00E90DCB"/>
    <w:rsid w:val="00E9183B"/>
    <w:rsid w:val="00E91C66"/>
    <w:rsid w:val="00E929E7"/>
    <w:rsid w:val="00E93325"/>
    <w:rsid w:val="00E9354D"/>
    <w:rsid w:val="00E93AEF"/>
    <w:rsid w:val="00E93F67"/>
    <w:rsid w:val="00E94226"/>
    <w:rsid w:val="00E95553"/>
    <w:rsid w:val="00E9663F"/>
    <w:rsid w:val="00E96F3A"/>
    <w:rsid w:val="00E97621"/>
    <w:rsid w:val="00E97851"/>
    <w:rsid w:val="00E979C2"/>
    <w:rsid w:val="00EA00D4"/>
    <w:rsid w:val="00EA116B"/>
    <w:rsid w:val="00EA1625"/>
    <w:rsid w:val="00EA2B32"/>
    <w:rsid w:val="00EA354E"/>
    <w:rsid w:val="00EA3BDC"/>
    <w:rsid w:val="00EA48B6"/>
    <w:rsid w:val="00EA5B41"/>
    <w:rsid w:val="00EA5C5A"/>
    <w:rsid w:val="00EB06DA"/>
    <w:rsid w:val="00EB07C3"/>
    <w:rsid w:val="00EB0E19"/>
    <w:rsid w:val="00EB2B02"/>
    <w:rsid w:val="00EB3173"/>
    <w:rsid w:val="00EB3652"/>
    <w:rsid w:val="00EB4B1E"/>
    <w:rsid w:val="00EB4E3B"/>
    <w:rsid w:val="00EB54DB"/>
    <w:rsid w:val="00EB5671"/>
    <w:rsid w:val="00EB6627"/>
    <w:rsid w:val="00EB6D51"/>
    <w:rsid w:val="00EB77D2"/>
    <w:rsid w:val="00EC12B8"/>
    <w:rsid w:val="00EC1B9B"/>
    <w:rsid w:val="00EC35BC"/>
    <w:rsid w:val="00EC51A1"/>
    <w:rsid w:val="00EC51CD"/>
    <w:rsid w:val="00EC5BE8"/>
    <w:rsid w:val="00EC5D14"/>
    <w:rsid w:val="00EC60FF"/>
    <w:rsid w:val="00EC707A"/>
    <w:rsid w:val="00ED1662"/>
    <w:rsid w:val="00ED2ED0"/>
    <w:rsid w:val="00ED3E8E"/>
    <w:rsid w:val="00ED4164"/>
    <w:rsid w:val="00ED4B7B"/>
    <w:rsid w:val="00ED4BD3"/>
    <w:rsid w:val="00ED4E56"/>
    <w:rsid w:val="00ED6453"/>
    <w:rsid w:val="00ED656D"/>
    <w:rsid w:val="00ED698E"/>
    <w:rsid w:val="00EE07C3"/>
    <w:rsid w:val="00EE085C"/>
    <w:rsid w:val="00EE292A"/>
    <w:rsid w:val="00EE2AFB"/>
    <w:rsid w:val="00EE37FA"/>
    <w:rsid w:val="00EE3D64"/>
    <w:rsid w:val="00EE3DAC"/>
    <w:rsid w:val="00EE6DCA"/>
    <w:rsid w:val="00EE781B"/>
    <w:rsid w:val="00EE79EF"/>
    <w:rsid w:val="00EE7E8A"/>
    <w:rsid w:val="00EF0749"/>
    <w:rsid w:val="00EF264A"/>
    <w:rsid w:val="00EF2C1B"/>
    <w:rsid w:val="00EF4265"/>
    <w:rsid w:val="00EF4ADC"/>
    <w:rsid w:val="00EF60CB"/>
    <w:rsid w:val="00EF706F"/>
    <w:rsid w:val="00EF74E7"/>
    <w:rsid w:val="00EF7DFF"/>
    <w:rsid w:val="00F010BC"/>
    <w:rsid w:val="00F02B3B"/>
    <w:rsid w:val="00F03223"/>
    <w:rsid w:val="00F03A80"/>
    <w:rsid w:val="00F04495"/>
    <w:rsid w:val="00F044BA"/>
    <w:rsid w:val="00F0460A"/>
    <w:rsid w:val="00F0460B"/>
    <w:rsid w:val="00F04A9F"/>
    <w:rsid w:val="00F05BC9"/>
    <w:rsid w:val="00F065AD"/>
    <w:rsid w:val="00F06895"/>
    <w:rsid w:val="00F0702F"/>
    <w:rsid w:val="00F10F44"/>
    <w:rsid w:val="00F110F2"/>
    <w:rsid w:val="00F11F6D"/>
    <w:rsid w:val="00F12897"/>
    <w:rsid w:val="00F1310D"/>
    <w:rsid w:val="00F1348F"/>
    <w:rsid w:val="00F136C3"/>
    <w:rsid w:val="00F13921"/>
    <w:rsid w:val="00F14555"/>
    <w:rsid w:val="00F15DEF"/>
    <w:rsid w:val="00F167BB"/>
    <w:rsid w:val="00F16AB2"/>
    <w:rsid w:val="00F21F12"/>
    <w:rsid w:val="00F22975"/>
    <w:rsid w:val="00F22F2B"/>
    <w:rsid w:val="00F23B53"/>
    <w:rsid w:val="00F24273"/>
    <w:rsid w:val="00F25482"/>
    <w:rsid w:val="00F254A5"/>
    <w:rsid w:val="00F25856"/>
    <w:rsid w:val="00F25B7A"/>
    <w:rsid w:val="00F25D47"/>
    <w:rsid w:val="00F26930"/>
    <w:rsid w:val="00F26C7D"/>
    <w:rsid w:val="00F2793E"/>
    <w:rsid w:val="00F27A58"/>
    <w:rsid w:val="00F30DA0"/>
    <w:rsid w:val="00F310AE"/>
    <w:rsid w:val="00F32B9A"/>
    <w:rsid w:val="00F33468"/>
    <w:rsid w:val="00F334B5"/>
    <w:rsid w:val="00F34096"/>
    <w:rsid w:val="00F342CC"/>
    <w:rsid w:val="00F34A3C"/>
    <w:rsid w:val="00F35B45"/>
    <w:rsid w:val="00F360AA"/>
    <w:rsid w:val="00F37546"/>
    <w:rsid w:val="00F402B5"/>
    <w:rsid w:val="00F40308"/>
    <w:rsid w:val="00F4161B"/>
    <w:rsid w:val="00F427FD"/>
    <w:rsid w:val="00F428C4"/>
    <w:rsid w:val="00F429AD"/>
    <w:rsid w:val="00F42E00"/>
    <w:rsid w:val="00F42E37"/>
    <w:rsid w:val="00F44EC8"/>
    <w:rsid w:val="00F45287"/>
    <w:rsid w:val="00F453C3"/>
    <w:rsid w:val="00F453EC"/>
    <w:rsid w:val="00F46AA1"/>
    <w:rsid w:val="00F503C8"/>
    <w:rsid w:val="00F5306B"/>
    <w:rsid w:val="00F53273"/>
    <w:rsid w:val="00F53614"/>
    <w:rsid w:val="00F53B5C"/>
    <w:rsid w:val="00F54966"/>
    <w:rsid w:val="00F55FC9"/>
    <w:rsid w:val="00F609CE"/>
    <w:rsid w:val="00F61840"/>
    <w:rsid w:val="00F61DD2"/>
    <w:rsid w:val="00F622C5"/>
    <w:rsid w:val="00F626FB"/>
    <w:rsid w:val="00F6367C"/>
    <w:rsid w:val="00F63D26"/>
    <w:rsid w:val="00F64E2A"/>
    <w:rsid w:val="00F65268"/>
    <w:rsid w:val="00F65752"/>
    <w:rsid w:val="00F6607F"/>
    <w:rsid w:val="00F66B2B"/>
    <w:rsid w:val="00F70C79"/>
    <w:rsid w:val="00F710ED"/>
    <w:rsid w:val="00F713D0"/>
    <w:rsid w:val="00F73146"/>
    <w:rsid w:val="00F73FE7"/>
    <w:rsid w:val="00F74886"/>
    <w:rsid w:val="00F752EF"/>
    <w:rsid w:val="00F77356"/>
    <w:rsid w:val="00F77AA2"/>
    <w:rsid w:val="00F77DFE"/>
    <w:rsid w:val="00F800C0"/>
    <w:rsid w:val="00F804FC"/>
    <w:rsid w:val="00F8185A"/>
    <w:rsid w:val="00F82301"/>
    <w:rsid w:val="00F831D9"/>
    <w:rsid w:val="00F83214"/>
    <w:rsid w:val="00F83D29"/>
    <w:rsid w:val="00F844B1"/>
    <w:rsid w:val="00F85387"/>
    <w:rsid w:val="00F86CDE"/>
    <w:rsid w:val="00F8735B"/>
    <w:rsid w:val="00F87867"/>
    <w:rsid w:val="00F87A25"/>
    <w:rsid w:val="00F905AD"/>
    <w:rsid w:val="00F9072B"/>
    <w:rsid w:val="00F934B8"/>
    <w:rsid w:val="00F9405F"/>
    <w:rsid w:val="00F95290"/>
    <w:rsid w:val="00F9550E"/>
    <w:rsid w:val="00F95759"/>
    <w:rsid w:val="00F959CE"/>
    <w:rsid w:val="00F96BCC"/>
    <w:rsid w:val="00FA1CA7"/>
    <w:rsid w:val="00FA23E0"/>
    <w:rsid w:val="00FA289C"/>
    <w:rsid w:val="00FA35EE"/>
    <w:rsid w:val="00FA37FF"/>
    <w:rsid w:val="00FA6583"/>
    <w:rsid w:val="00FB0F25"/>
    <w:rsid w:val="00FB238C"/>
    <w:rsid w:val="00FB27FF"/>
    <w:rsid w:val="00FB3EB4"/>
    <w:rsid w:val="00FB40BB"/>
    <w:rsid w:val="00FB5A54"/>
    <w:rsid w:val="00FB5A7C"/>
    <w:rsid w:val="00FB60A5"/>
    <w:rsid w:val="00FB60E8"/>
    <w:rsid w:val="00FB6A3E"/>
    <w:rsid w:val="00FB6C6A"/>
    <w:rsid w:val="00FC08A2"/>
    <w:rsid w:val="00FC3666"/>
    <w:rsid w:val="00FC43D8"/>
    <w:rsid w:val="00FC52F1"/>
    <w:rsid w:val="00FD1418"/>
    <w:rsid w:val="00FD1CD0"/>
    <w:rsid w:val="00FD3074"/>
    <w:rsid w:val="00FD338C"/>
    <w:rsid w:val="00FD385B"/>
    <w:rsid w:val="00FD3AF6"/>
    <w:rsid w:val="00FD4250"/>
    <w:rsid w:val="00FD50E9"/>
    <w:rsid w:val="00FD776A"/>
    <w:rsid w:val="00FD7A49"/>
    <w:rsid w:val="00FE248F"/>
    <w:rsid w:val="00FE492B"/>
    <w:rsid w:val="00FE5673"/>
    <w:rsid w:val="00FE654F"/>
    <w:rsid w:val="00FE70D3"/>
    <w:rsid w:val="00FE77B6"/>
    <w:rsid w:val="00FF0081"/>
    <w:rsid w:val="00FF060B"/>
    <w:rsid w:val="00FF0A06"/>
    <w:rsid w:val="00FF1750"/>
    <w:rsid w:val="00FF5A3D"/>
    <w:rsid w:val="00FF6923"/>
    <w:rsid w:val="00FF6F59"/>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A17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A4"/>
    <w:rPr>
      <w:rFonts w:eastAsia="Times New Roman"/>
      <w:sz w:val="24"/>
      <w:szCs w:val="24"/>
      <w:lang w:eastAsia="en-US"/>
    </w:rPr>
  </w:style>
  <w:style w:type="paragraph" w:styleId="Heading1">
    <w:name w:val="heading 1"/>
    <w:basedOn w:val="Normal"/>
    <w:next w:val="Normal"/>
    <w:link w:val="Heading1Char"/>
    <w:qFormat/>
    <w:rsid w:val="00B64C19"/>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D57E89"/>
    <w:pPr>
      <w:keepNext/>
      <w:spacing w:before="120" w:after="240"/>
      <w:outlineLvl w:val="1"/>
    </w:pPr>
    <w:rPr>
      <w:b/>
      <w:i/>
    </w:rPr>
  </w:style>
  <w:style w:type="paragraph" w:styleId="Heading3">
    <w:name w:val="heading 3"/>
    <w:basedOn w:val="Heading2"/>
    <w:next w:val="Normal"/>
    <w:link w:val="Heading3Char"/>
    <w:qFormat/>
    <w:rsid w:val="00DA18AB"/>
    <w:pPr>
      <w:spacing w:before="0" w:after="120"/>
      <w:outlineLvl w:val="2"/>
    </w:pPr>
    <w:rPr>
      <w:sz w:val="22"/>
    </w:rPr>
  </w:style>
  <w:style w:type="paragraph" w:styleId="Heading4">
    <w:name w:val="heading 4"/>
    <w:basedOn w:val="Heading2"/>
    <w:next w:val="Normal"/>
    <w:link w:val="Heading4Char"/>
    <w:qFormat/>
    <w:rsid w:val="00CC5244"/>
    <w:pPr>
      <w:outlineLvl w:val="3"/>
    </w:pPr>
  </w:style>
  <w:style w:type="paragraph" w:styleId="Heading5">
    <w:name w:val="heading 5"/>
    <w:basedOn w:val="Normal"/>
    <w:next w:val="Normal"/>
    <w:link w:val="Heading5Char"/>
    <w:qFormat/>
    <w:rsid w:val="00BA68A6"/>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BA68A6"/>
    <w:pPr>
      <w:spacing w:before="240" w:after="60"/>
      <w:ind w:left="1440"/>
      <w:outlineLvl w:val="5"/>
    </w:pPr>
    <w:rPr>
      <w:b/>
      <w:bCs/>
      <w:sz w:val="22"/>
      <w:szCs w:val="22"/>
    </w:rPr>
  </w:style>
  <w:style w:type="paragraph" w:styleId="Heading7">
    <w:name w:val="heading 7"/>
    <w:basedOn w:val="Normal"/>
    <w:next w:val="Normal"/>
    <w:link w:val="Heading7Char"/>
    <w:qFormat/>
    <w:rsid w:val="00BA68A6"/>
    <w:pPr>
      <w:keepNext/>
      <w:tabs>
        <w:tab w:val="left" w:pos="2520"/>
      </w:tabs>
      <w:outlineLvl w:val="6"/>
    </w:pPr>
    <w:rPr>
      <w:i/>
      <w:iCs/>
      <w:szCs w:val="20"/>
    </w:rPr>
  </w:style>
  <w:style w:type="paragraph" w:styleId="Heading8">
    <w:name w:val="heading 8"/>
    <w:basedOn w:val="Normal"/>
    <w:next w:val="Normal"/>
    <w:link w:val="Heading8Char"/>
    <w:unhideWhenUsed/>
    <w:qFormat/>
    <w:rsid w:val="00BA68A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A68A6"/>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C19"/>
    <w:rPr>
      <w:rFonts w:ascii="Times" w:eastAsia="Times New Roman" w:hAnsi="Times" w:cs="Arial"/>
      <w:b/>
      <w:bCs/>
      <w:kern w:val="32"/>
      <w:sz w:val="24"/>
      <w:szCs w:val="32"/>
      <w:lang w:eastAsia="en-US"/>
    </w:rPr>
  </w:style>
  <w:style w:type="character" w:customStyle="1" w:styleId="Heading2Char">
    <w:name w:val="Heading 2 Char"/>
    <w:link w:val="Heading2"/>
    <w:rsid w:val="00D57E89"/>
    <w:rPr>
      <w:rFonts w:eastAsia="Times New Roman"/>
      <w:b/>
      <w:i/>
      <w:sz w:val="24"/>
      <w:szCs w:val="24"/>
      <w:lang w:eastAsia="en-US"/>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nhideWhenUsed/>
    <w:rsid w:val="00AC2C00"/>
    <w:rPr>
      <w:b/>
      <w:bCs/>
    </w:rPr>
  </w:style>
  <w:style w:type="character" w:customStyle="1" w:styleId="CommentSubjectChar">
    <w:name w:val="Comment Subject Char"/>
    <w:link w:val="CommentSubject"/>
    <w:rsid w:val="00AC2C00"/>
    <w:rPr>
      <w:rFonts w:eastAsia="Times New Roman"/>
      <w:b/>
      <w:bCs/>
    </w:rPr>
  </w:style>
  <w:style w:type="paragraph" w:styleId="BalloonText">
    <w:name w:val="Balloon Text"/>
    <w:basedOn w:val="Normal"/>
    <w:link w:val="BalloonTextChar"/>
    <w:semiHidden/>
    <w:unhideWhenUsed/>
    <w:rsid w:val="00AC2C00"/>
    <w:rPr>
      <w:rFonts w:ascii="Tahoma" w:hAnsi="Tahoma" w:cs="Tahoma"/>
      <w:sz w:val="16"/>
      <w:szCs w:val="16"/>
    </w:rPr>
  </w:style>
  <w:style w:type="character" w:customStyle="1" w:styleId="BalloonTextChar">
    <w:name w:val="Balloon Text Char"/>
    <w:link w:val="BalloonText"/>
    <w:semiHidden/>
    <w:rsid w:val="00AC2C00"/>
    <w:rPr>
      <w:rFonts w:ascii="Tahoma" w:eastAsia="Times New Roman" w:hAnsi="Tahoma" w:cs="Tahoma"/>
      <w:sz w:val="16"/>
      <w:szCs w:val="16"/>
    </w:rPr>
  </w:style>
  <w:style w:type="paragraph" w:customStyle="1" w:styleId="BulletLAST">
    <w:name w:val="Bullet (LAST)"/>
    <w:next w:val="Normal"/>
    <w:rsid w:val="003B0FE6"/>
    <w:pPr>
      <w:numPr>
        <w:numId w:val="1"/>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link w:val="HeaderChar"/>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9830D0"/>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A166AA"/>
    <w:pPr>
      <w:tabs>
        <w:tab w:val="left" w:pos="720"/>
        <w:tab w:val="right" w:leader="dot" w:pos="9350"/>
      </w:tabs>
      <w:spacing w:after="40"/>
      <w:ind w:left="720" w:hanging="475"/>
    </w:pPr>
  </w:style>
  <w:style w:type="character" w:customStyle="1" w:styleId="Heading3Char">
    <w:name w:val="Heading 3 Char"/>
    <w:link w:val="Heading3"/>
    <w:rsid w:val="00DA18AB"/>
    <w:rPr>
      <w:rFonts w:eastAsia="Times New Roman"/>
      <w:b/>
      <w:i/>
      <w:sz w:val="22"/>
      <w:szCs w:val="24"/>
      <w:lang w:eastAsia="en-US"/>
    </w:rPr>
  </w:style>
  <w:style w:type="character" w:customStyle="1" w:styleId="Heading4Char">
    <w:name w:val="Heading 4 Char"/>
    <w:link w:val="Heading4"/>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unhideWhenUsed/>
    <w:rsid w:val="00BD0B21"/>
    <w:rPr>
      <w:sz w:val="20"/>
      <w:szCs w:val="20"/>
    </w:rPr>
  </w:style>
  <w:style w:type="character" w:customStyle="1" w:styleId="FootnoteTextChar">
    <w:name w:val="Footnote Text Char"/>
    <w:link w:val="FootnoteText"/>
    <w:uiPriority w:val="99"/>
    <w:rsid w:val="00BD0B21"/>
    <w:rPr>
      <w:rFonts w:eastAsia="Times New Roman"/>
      <w:lang w:eastAsia="en-US"/>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3E730D"/>
    <w:pPr>
      <w:numPr>
        <w:numId w:val="34"/>
      </w:numPr>
      <w:spacing w:before="120"/>
    </w:pPr>
    <w:rPr>
      <w:sz w:val="22"/>
      <w:szCs w:val="22"/>
    </w:r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Heading5Char">
    <w:name w:val="Heading 5 Char"/>
    <w:basedOn w:val="DefaultParagraphFont"/>
    <w:link w:val="Heading5"/>
    <w:rsid w:val="00BA68A6"/>
    <w:rPr>
      <w:rFonts w:ascii="CG Times" w:eastAsia="Times New Roman" w:hAnsi="CG Times"/>
      <w:b/>
      <w:bCs/>
      <w:i/>
      <w:iCs/>
      <w:sz w:val="26"/>
      <w:szCs w:val="26"/>
      <w:lang w:eastAsia="en-US"/>
    </w:rPr>
  </w:style>
  <w:style w:type="character" w:customStyle="1" w:styleId="Heading6Char">
    <w:name w:val="Heading 6 Char"/>
    <w:basedOn w:val="DefaultParagraphFont"/>
    <w:link w:val="Heading6"/>
    <w:rsid w:val="00BA68A6"/>
    <w:rPr>
      <w:rFonts w:eastAsia="Times New Roman"/>
      <w:b/>
      <w:bCs/>
      <w:sz w:val="22"/>
      <w:szCs w:val="22"/>
      <w:lang w:eastAsia="en-US"/>
    </w:rPr>
  </w:style>
  <w:style w:type="character" w:customStyle="1" w:styleId="Heading7Char">
    <w:name w:val="Heading 7 Char"/>
    <w:basedOn w:val="DefaultParagraphFont"/>
    <w:link w:val="Heading7"/>
    <w:rsid w:val="00BA68A6"/>
    <w:rPr>
      <w:rFonts w:eastAsia="Times New Roman"/>
      <w:i/>
      <w:iCs/>
      <w:sz w:val="24"/>
      <w:lang w:eastAsia="en-US"/>
    </w:rPr>
  </w:style>
  <w:style w:type="character" w:customStyle="1" w:styleId="Heading8Char">
    <w:name w:val="Heading 8 Char"/>
    <w:basedOn w:val="DefaultParagraphFont"/>
    <w:link w:val="Heading8"/>
    <w:rsid w:val="00BA68A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BA68A6"/>
    <w:rPr>
      <w:rFonts w:eastAsia="Times New Roman"/>
      <w:b/>
      <w:bCs/>
      <w:i/>
      <w:iCs/>
      <w:sz w:val="24"/>
      <w:lang w:eastAsia="en-US"/>
    </w:rPr>
  </w:style>
  <w:style w:type="paragraph" w:customStyle="1" w:styleId="NORCFootnote">
    <w:name w:val="NORC Footnote"/>
    <w:basedOn w:val="Normal"/>
    <w:qFormat/>
    <w:rsid w:val="00BA68A6"/>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character" w:customStyle="1" w:styleId="HeaderChar">
    <w:name w:val="Header Char"/>
    <w:basedOn w:val="DefaultParagraphFont"/>
    <w:link w:val="Header"/>
    <w:rsid w:val="00BA68A6"/>
    <w:rPr>
      <w:rFonts w:eastAsia="Times New Roman"/>
      <w:sz w:val="24"/>
      <w:szCs w:val="24"/>
      <w:lang w:eastAsia="en-US"/>
    </w:rPr>
  </w:style>
  <w:style w:type="paragraph" w:customStyle="1" w:styleId="NORCCoverTitle">
    <w:name w:val="NORC Cover Title"/>
    <w:qFormat/>
    <w:rsid w:val="00BA68A6"/>
    <w:pPr>
      <w:spacing w:line="360" w:lineRule="auto"/>
    </w:pPr>
    <w:rPr>
      <w:rFonts w:eastAsia="Times New Roman"/>
      <w:sz w:val="56"/>
      <w:szCs w:val="24"/>
      <w:lang w:eastAsia="en-US"/>
    </w:rPr>
  </w:style>
  <w:style w:type="character" w:customStyle="1" w:styleId="NORCHeading4Inline">
    <w:name w:val="NORC Heading 4 Inline"/>
    <w:basedOn w:val="DefaultParagraphFont"/>
    <w:uiPriority w:val="1"/>
    <w:qFormat/>
    <w:rsid w:val="00BA68A6"/>
    <w:rPr>
      <w:rFonts w:ascii="Arial" w:hAnsi="Arial"/>
      <w:b/>
      <w:color w:val="F3901D"/>
      <w:sz w:val="20"/>
    </w:rPr>
  </w:style>
  <w:style w:type="paragraph" w:styleId="ListBullet">
    <w:name w:val="List Bullet"/>
    <w:basedOn w:val="Normal"/>
    <w:unhideWhenUsed/>
    <w:rsid w:val="00902F05"/>
    <w:pPr>
      <w:numPr>
        <w:numId w:val="3"/>
      </w:numPr>
      <w:spacing w:before="120"/>
    </w:pPr>
    <w:rPr>
      <w:rFonts w:eastAsiaTheme="minorEastAsia"/>
      <w:spacing w:val="-2"/>
      <w:sz w:val="22"/>
      <w:szCs w:val="22"/>
    </w:rPr>
  </w:style>
  <w:style w:type="numbering" w:customStyle="1" w:styleId="bullet1Garamond">
    <w:name w:val="bullet 1 Garamond"/>
    <w:basedOn w:val="NoList"/>
    <w:rsid w:val="00BA68A6"/>
    <w:pPr>
      <w:numPr>
        <w:numId w:val="4"/>
      </w:numPr>
    </w:pPr>
  </w:style>
  <w:style w:type="paragraph" w:customStyle="1" w:styleId="NORCBullet1TimesNewRomanSquare">
    <w:name w:val="NORC Bullet 1 (Times New Roman Square)"/>
    <w:qFormat/>
    <w:rsid w:val="00BA68A6"/>
    <w:pPr>
      <w:numPr>
        <w:numId w:val="6"/>
      </w:numPr>
      <w:spacing w:line="360" w:lineRule="auto"/>
    </w:pPr>
    <w:rPr>
      <w:rFonts w:eastAsia="Times New Roman"/>
      <w:sz w:val="22"/>
      <w:lang w:eastAsia="en-US"/>
    </w:rPr>
  </w:style>
  <w:style w:type="paragraph" w:customStyle="1" w:styleId="NORCBullet1TextTimesNewRoman">
    <w:name w:val="NORC Bullet 1 Text (Times New Roman)"/>
    <w:next w:val="Normal"/>
    <w:qFormat/>
    <w:rsid w:val="00BA68A6"/>
    <w:pPr>
      <w:spacing w:after="120" w:line="360" w:lineRule="auto"/>
      <w:ind w:left="720"/>
    </w:pPr>
    <w:rPr>
      <w:rFonts w:eastAsia="Times New Roman"/>
      <w:sz w:val="22"/>
      <w:lang w:eastAsia="en-US"/>
    </w:rPr>
  </w:style>
  <w:style w:type="paragraph" w:customStyle="1" w:styleId="NORCBullet2TimesNewRomanTriangle">
    <w:name w:val="NORC Bullet 2 (Times New Roman Triangle)"/>
    <w:qFormat/>
    <w:rsid w:val="00BA68A6"/>
    <w:pPr>
      <w:numPr>
        <w:numId w:val="5"/>
      </w:numPr>
      <w:spacing w:line="360" w:lineRule="auto"/>
    </w:pPr>
    <w:rPr>
      <w:rFonts w:eastAsia="Times New Roman"/>
      <w:sz w:val="22"/>
      <w:lang w:eastAsia="en-US"/>
    </w:rPr>
  </w:style>
  <w:style w:type="paragraph" w:customStyle="1" w:styleId="NORCBullet2TextTimesNewRoman">
    <w:name w:val="NORC Bullet 2 Text (Times New Roman)"/>
    <w:next w:val="Normal"/>
    <w:qFormat/>
    <w:rsid w:val="00BA68A6"/>
    <w:pPr>
      <w:spacing w:after="120" w:line="360" w:lineRule="auto"/>
      <w:ind w:left="720" w:firstLine="360"/>
    </w:pPr>
    <w:rPr>
      <w:rFonts w:eastAsia="Times New Roman"/>
      <w:sz w:val="22"/>
      <w:lang w:eastAsia="en-US"/>
    </w:rPr>
  </w:style>
  <w:style w:type="paragraph" w:customStyle="1" w:styleId="NORCBullet3TimesNewRomanRound">
    <w:name w:val="NORC Bullet 3 (Times New Roman Round)"/>
    <w:qFormat/>
    <w:rsid w:val="00BA68A6"/>
    <w:pPr>
      <w:numPr>
        <w:numId w:val="8"/>
      </w:numPr>
      <w:spacing w:line="360" w:lineRule="auto"/>
    </w:pPr>
    <w:rPr>
      <w:rFonts w:eastAsia="Times New Roman"/>
      <w:sz w:val="22"/>
      <w:lang w:eastAsia="en-US"/>
    </w:rPr>
  </w:style>
  <w:style w:type="paragraph" w:customStyle="1" w:styleId="NORCBullet1ArialSquare">
    <w:name w:val="NORC Bullet 1 (Arial Square)"/>
    <w:basedOn w:val="NORCBullet1TimesNewRomanSquare"/>
    <w:qFormat/>
    <w:rsid w:val="00BA68A6"/>
    <w:rPr>
      <w:rFonts w:ascii="Arial" w:hAnsi="Arial"/>
    </w:rPr>
  </w:style>
  <w:style w:type="paragraph" w:customStyle="1" w:styleId="NORCBullet1TextArial">
    <w:name w:val="NORC Bullet 1 Text (Arial)"/>
    <w:basedOn w:val="NORCBullet1TextTimesNewRoman"/>
    <w:qFormat/>
    <w:rsid w:val="00BA68A6"/>
    <w:rPr>
      <w:rFonts w:ascii="Arial" w:hAnsi="Arial"/>
    </w:rPr>
  </w:style>
  <w:style w:type="paragraph" w:customStyle="1" w:styleId="NORCBullet2ArialTriangle">
    <w:name w:val="NORC Bullet 2 (Arial Triangle)"/>
    <w:basedOn w:val="NORCBullet2TimesNewRomanTriangle"/>
    <w:qFormat/>
    <w:rsid w:val="00BA68A6"/>
    <w:rPr>
      <w:rFonts w:ascii="Arial" w:hAnsi="Arial"/>
    </w:rPr>
  </w:style>
  <w:style w:type="paragraph" w:customStyle="1" w:styleId="NORCBullet2TextArial">
    <w:name w:val="NORC Bullet 2 Text (Arial)"/>
    <w:basedOn w:val="NORCBullet2TextTimesNewRoman"/>
    <w:qFormat/>
    <w:rsid w:val="00BA68A6"/>
    <w:rPr>
      <w:rFonts w:ascii="Arial" w:hAnsi="Arial"/>
    </w:rPr>
  </w:style>
  <w:style w:type="paragraph" w:customStyle="1" w:styleId="NORCBullet3ArialRound">
    <w:name w:val="NORC Bullet 3 (Arial Round)"/>
    <w:basedOn w:val="NORCBullet3TimesNewRomanRound"/>
    <w:qFormat/>
    <w:rsid w:val="00BA68A6"/>
    <w:pPr>
      <w:numPr>
        <w:numId w:val="7"/>
      </w:numPr>
    </w:pPr>
    <w:rPr>
      <w:rFonts w:ascii="Arial" w:hAnsi="Arial"/>
    </w:rPr>
  </w:style>
  <w:style w:type="character" w:styleId="HTMLAcronym">
    <w:name w:val="HTML Acronym"/>
    <w:basedOn w:val="DefaultParagraphFont"/>
    <w:uiPriority w:val="99"/>
    <w:unhideWhenUsed/>
    <w:rsid w:val="00BA68A6"/>
  </w:style>
  <w:style w:type="paragraph" w:customStyle="1" w:styleId="ExhibitCaption">
    <w:name w:val="Exhibit Caption"/>
    <w:qFormat/>
    <w:rsid w:val="00BA68A6"/>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sz w:val="24"/>
      <w:szCs w:val="24"/>
      <w:lang w:eastAsia="en-US"/>
    </w:rPr>
  </w:style>
  <w:style w:type="paragraph" w:styleId="Title">
    <w:name w:val="Title"/>
    <w:basedOn w:val="Normal"/>
    <w:next w:val="Normal"/>
    <w:link w:val="TitleChar"/>
    <w:qFormat/>
    <w:rsid w:val="00AC2355"/>
    <w:pPr>
      <w:jc w:val="center"/>
    </w:pPr>
    <w:rPr>
      <w:b/>
      <w:sz w:val="56"/>
      <w:szCs w:val="56"/>
    </w:rPr>
  </w:style>
  <w:style w:type="character" w:customStyle="1" w:styleId="TitleChar">
    <w:name w:val="Title Char"/>
    <w:basedOn w:val="DefaultParagraphFont"/>
    <w:link w:val="Title"/>
    <w:rsid w:val="00AC2355"/>
    <w:rPr>
      <w:rFonts w:eastAsia="Times New Roman"/>
      <w:b/>
      <w:sz w:val="56"/>
      <w:szCs w:val="56"/>
      <w:lang w:eastAsia="en-US"/>
    </w:rPr>
  </w:style>
  <w:style w:type="paragraph" w:styleId="TableofFigures">
    <w:name w:val="table of figures"/>
    <w:basedOn w:val="Normal"/>
    <w:next w:val="Normal"/>
    <w:uiPriority w:val="99"/>
    <w:unhideWhenUsed/>
    <w:rsid w:val="00BA68A6"/>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BA68A6"/>
    <w:pPr>
      <w:numPr>
        <w:numId w:val="0"/>
      </w:numPr>
      <w:ind w:left="1440"/>
    </w:pPr>
  </w:style>
  <w:style w:type="paragraph" w:customStyle="1" w:styleId="NORCBullet3TextArial">
    <w:name w:val="NORC Bullet 3 Text (Arial)"/>
    <w:basedOn w:val="NORCBullet3ArialRound"/>
    <w:qFormat/>
    <w:rsid w:val="00BA68A6"/>
    <w:pPr>
      <w:numPr>
        <w:numId w:val="0"/>
      </w:numPr>
      <w:ind w:left="1440"/>
    </w:pPr>
  </w:style>
  <w:style w:type="paragraph" w:customStyle="1" w:styleId="NORCCoverVolume">
    <w:name w:val="NORC Cover Volume"/>
    <w:next w:val="Title"/>
    <w:qFormat/>
    <w:rsid w:val="00BA68A6"/>
    <w:pPr>
      <w:spacing w:after="800"/>
    </w:pPr>
    <w:rPr>
      <w:rFonts w:ascii="Arial" w:eastAsia="Times New Roman" w:hAnsi="Arial"/>
      <w:b/>
      <w:caps/>
      <w:color w:val="FFFFFF"/>
      <w:spacing w:val="94"/>
      <w:sz w:val="36"/>
      <w:szCs w:val="24"/>
      <w:lang w:eastAsia="en-US"/>
    </w:rPr>
  </w:style>
  <w:style w:type="paragraph" w:customStyle="1" w:styleId="NORCCoverAddressInformation">
    <w:name w:val="NORC Cover Address Information"/>
    <w:qFormat/>
    <w:rsid w:val="00BA68A6"/>
    <w:pPr>
      <w:autoSpaceDE w:val="0"/>
      <w:autoSpaceDN w:val="0"/>
      <w:adjustRightInd w:val="0"/>
      <w:spacing w:after="60"/>
      <w:textAlignment w:val="center"/>
    </w:pPr>
    <w:rPr>
      <w:rFonts w:eastAsia="Times New Roman" w:cs="AGaramond-Regular"/>
      <w:color w:val="000000"/>
      <w:sz w:val="24"/>
      <w:szCs w:val="22"/>
      <w:lang w:eastAsia="en-US" w:bidi="en-US"/>
    </w:rPr>
  </w:style>
  <w:style w:type="paragraph" w:customStyle="1" w:styleId="NORCPresentedto">
    <w:name w:val="NORC Presented to"/>
    <w:qFormat/>
    <w:rsid w:val="00BA68A6"/>
    <w:pPr>
      <w:widowControl w:val="0"/>
      <w:autoSpaceDE w:val="0"/>
      <w:autoSpaceDN w:val="0"/>
      <w:adjustRightInd w:val="0"/>
      <w:spacing w:after="60"/>
      <w:textAlignment w:val="center"/>
    </w:pPr>
    <w:rPr>
      <w:rFonts w:ascii="Arial" w:eastAsia="Times New Roman" w:hAnsi="Arial" w:cs="ArialMT"/>
      <w:caps/>
      <w:color w:val="FFFFFF"/>
      <w:spacing w:val="10"/>
      <w:sz w:val="24"/>
      <w:szCs w:val="24"/>
      <w:lang w:eastAsia="en-US" w:bidi="en-US"/>
    </w:rPr>
  </w:style>
  <w:style w:type="paragraph" w:customStyle="1" w:styleId="NORCCoverDate">
    <w:name w:val="NORC Cover Date"/>
    <w:qFormat/>
    <w:rsid w:val="00BA68A6"/>
    <w:pPr>
      <w:spacing w:after="60"/>
    </w:pPr>
    <w:rPr>
      <w:rFonts w:ascii="Arial" w:eastAsia="Times New Roman" w:hAnsi="Arial" w:cs="ArialMT"/>
      <w:caps/>
      <w:color w:val="000000"/>
      <w:spacing w:val="10"/>
      <w:sz w:val="22"/>
      <w:szCs w:val="24"/>
      <w:lang w:eastAsia="en-US" w:bidi="en-US"/>
    </w:rPr>
  </w:style>
  <w:style w:type="character" w:customStyle="1" w:styleId="ExhibitLabelOrange">
    <w:name w:val="Exhibit Label Orange"/>
    <w:basedOn w:val="DefaultParagraphFont"/>
    <w:uiPriority w:val="1"/>
    <w:qFormat/>
    <w:rsid w:val="00BA68A6"/>
    <w:rPr>
      <w:b/>
      <w:color w:val="F3901D"/>
    </w:rPr>
  </w:style>
  <w:style w:type="paragraph" w:customStyle="1" w:styleId="TableHeader1">
    <w:name w:val="Table Header 1"/>
    <w:basedOn w:val="Normal"/>
    <w:qFormat/>
    <w:rsid w:val="00BA68A6"/>
    <w:pPr>
      <w:jc w:val="center"/>
    </w:pPr>
    <w:rPr>
      <w:rFonts w:ascii="Arial" w:eastAsiaTheme="minorEastAsia" w:hAnsi="Arial" w:cs="Arial"/>
      <w:b/>
      <w:sz w:val="22"/>
      <w:szCs w:val="22"/>
    </w:rPr>
  </w:style>
  <w:style w:type="paragraph" w:customStyle="1" w:styleId="TableHeader2">
    <w:name w:val="Table Header 2"/>
    <w:basedOn w:val="Normal"/>
    <w:qFormat/>
    <w:rsid w:val="00BA68A6"/>
    <w:rPr>
      <w:rFonts w:ascii="Arial" w:eastAsiaTheme="minorEastAsia" w:hAnsi="Arial" w:cs="Arial"/>
      <w:b/>
      <w:sz w:val="18"/>
      <w:szCs w:val="18"/>
    </w:rPr>
  </w:style>
  <w:style w:type="paragraph" w:customStyle="1" w:styleId="TableBodyCopy">
    <w:name w:val="Table Body Copy"/>
    <w:basedOn w:val="Normal"/>
    <w:qFormat/>
    <w:rsid w:val="00BA68A6"/>
    <w:pPr>
      <w:jc w:val="center"/>
    </w:pPr>
    <w:rPr>
      <w:rFonts w:ascii="Arial" w:eastAsiaTheme="minorEastAsia" w:hAnsi="Arial" w:cs="Arial"/>
      <w:sz w:val="18"/>
      <w:szCs w:val="18"/>
    </w:rPr>
  </w:style>
  <w:style w:type="paragraph" w:customStyle="1" w:styleId="NORCExhibitCaption">
    <w:name w:val="NORC Exhibit Caption"/>
    <w:basedOn w:val="ExhibitCaption"/>
    <w:qFormat/>
    <w:rsid w:val="00BA68A6"/>
  </w:style>
  <w:style w:type="paragraph" w:customStyle="1" w:styleId="NORCTableSubheadCenterArialBold">
    <w:name w:val="NORC Table Subhead Center  (Arial Bold)"/>
    <w:rsid w:val="00BA68A6"/>
    <w:pPr>
      <w:keepNext/>
      <w:spacing w:before="80" w:after="80"/>
      <w:jc w:val="center"/>
    </w:pPr>
    <w:rPr>
      <w:rFonts w:ascii="Arial" w:eastAsia="Times New Roman" w:hAnsi="Arial"/>
      <w:b/>
      <w:color w:val="000000"/>
      <w:lang w:eastAsia="en-US"/>
    </w:rPr>
  </w:style>
  <w:style w:type="paragraph" w:customStyle="1" w:styleId="NORCTableBodyLeftArial10pt">
    <w:name w:val="NORC Table Body Left (Arial 10pt)"/>
    <w:rsid w:val="00BA68A6"/>
    <w:pPr>
      <w:spacing w:before="40" w:after="40"/>
    </w:pPr>
    <w:rPr>
      <w:rFonts w:ascii="Arial" w:eastAsia="Times New Roman" w:hAnsi="Arial"/>
      <w:color w:val="000000"/>
      <w:lang w:eastAsia="en-US"/>
    </w:rPr>
  </w:style>
  <w:style w:type="character" w:customStyle="1" w:styleId="NORCExhibitCaptionOrangeOnly">
    <w:name w:val="NORC Exhibit Caption Orange Only"/>
    <w:basedOn w:val="DefaultParagraphFont"/>
    <w:qFormat/>
    <w:rsid w:val="00BA68A6"/>
    <w:rPr>
      <w:rFonts w:ascii="Arial" w:hAnsi="Arial"/>
      <w:b/>
      <w:color w:val="F3901D"/>
      <w:sz w:val="24"/>
    </w:rPr>
  </w:style>
  <w:style w:type="paragraph" w:customStyle="1" w:styleId="NORCTableBody">
    <w:name w:val="NORC Table Body"/>
    <w:basedOn w:val="Normal"/>
    <w:qFormat/>
    <w:rsid w:val="00BA68A6"/>
    <w:pPr>
      <w:spacing w:before="40" w:after="40"/>
      <w:jc w:val="center"/>
    </w:pPr>
    <w:rPr>
      <w:rFonts w:ascii="Arial" w:eastAsiaTheme="minorEastAsia" w:hAnsi="Arial"/>
      <w:sz w:val="20"/>
    </w:rPr>
  </w:style>
  <w:style w:type="paragraph" w:customStyle="1" w:styleId="NORCTableHeader1">
    <w:name w:val="NORC Table Header 1"/>
    <w:basedOn w:val="Normal"/>
    <w:qFormat/>
    <w:rsid w:val="00BA68A6"/>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BA68A6"/>
    <w:rPr>
      <w:rFonts w:ascii="Arial Narrow" w:hAnsi="Arial Narrow"/>
      <w:b/>
      <w:smallCaps/>
    </w:rPr>
  </w:style>
  <w:style w:type="paragraph" w:styleId="List">
    <w:name w:val="List"/>
    <w:basedOn w:val="Normal"/>
    <w:rsid w:val="00BA68A6"/>
    <w:pPr>
      <w:spacing w:after="240"/>
      <w:ind w:left="360" w:hanging="360"/>
    </w:pPr>
    <w:rPr>
      <w:rFonts w:ascii="Garamond" w:hAnsi="Garamond"/>
    </w:rPr>
  </w:style>
  <w:style w:type="character" w:styleId="Strong">
    <w:name w:val="Strong"/>
    <w:basedOn w:val="DefaultParagraphFont"/>
    <w:qFormat/>
    <w:rsid w:val="00BA68A6"/>
    <w:rPr>
      <w:b/>
      <w:bCs/>
    </w:rPr>
  </w:style>
  <w:style w:type="paragraph" w:customStyle="1" w:styleId="Style1">
    <w:name w:val="Style1"/>
    <w:basedOn w:val="Normal"/>
    <w:rsid w:val="00BA68A6"/>
    <w:pPr>
      <w:numPr>
        <w:numId w:val="9"/>
      </w:numPr>
    </w:pPr>
    <w:rPr>
      <w:rFonts w:ascii="Garamond" w:hAnsi="Garamond"/>
    </w:rPr>
  </w:style>
  <w:style w:type="paragraph" w:customStyle="1" w:styleId="NormalArial">
    <w:name w:val="Normal + Arial"/>
    <w:aliases w:val="Bold"/>
    <w:basedOn w:val="BodyText"/>
    <w:rsid w:val="00BA68A6"/>
    <w:pPr>
      <w:spacing w:after="160" w:line="276" w:lineRule="auto"/>
    </w:pPr>
    <w:rPr>
      <w:rFonts w:ascii="Garamond" w:hAnsi="Garamond"/>
      <w:color w:val="auto"/>
      <w:szCs w:val="24"/>
    </w:rPr>
  </w:style>
  <w:style w:type="paragraph" w:customStyle="1" w:styleId="NormalTNR">
    <w:name w:val="Normal TNR"/>
    <w:basedOn w:val="Normal"/>
    <w:link w:val="NormalTNRChar"/>
    <w:qFormat/>
    <w:rsid w:val="00BA68A6"/>
    <w:rPr>
      <w:rFonts w:eastAsiaTheme="minorHAnsi"/>
    </w:rPr>
  </w:style>
  <w:style w:type="character" w:customStyle="1" w:styleId="NormalTNRChar">
    <w:name w:val="Normal TNR Char"/>
    <w:basedOn w:val="DefaultParagraphFont"/>
    <w:link w:val="NormalTNR"/>
    <w:rsid w:val="00BA68A6"/>
    <w:rPr>
      <w:rFonts w:eastAsiaTheme="minorHAnsi"/>
      <w:sz w:val="24"/>
      <w:szCs w:val="24"/>
      <w:lang w:eastAsia="en-US"/>
    </w:rPr>
  </w:style>
  <w:style w:type="paragraph" w:customStyle="1" w:styleId="NORCProposoalBody12ptGaramond">
    <w:name w:val="NORC Proposoal Body 12pt Garamond"/>
    <w:basedOn w:val="Normal"/>
    <w:qFormat/>
    <w:rsid w:val="00BA68A6"/>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BA68A6"/>
    <w:pPr>
      <w:tabs>
        <w:tab w:val="left" w:pos="144"/>
      </w:tabs>
      <w:spacing w:before="20" w:after="20"/>
    </w:pPr>
    <w:rPr>
      <w:rFonts w:ascii="Arial" w:eastAsia="Times New Roman" w:hAnsi="Arial"/>
      <w:color w:val="000000"/>
      <w:sz w:val="17"/>
      <w:lang w:eastAsia="en-US"/>
    </w:rPr>
  </w:style>
  <w:style w:type="paragraph" w:customStyle="1" w:styleId="NORCProposalBody10potGaramond">
    <w:name w:val="NORC Proposal Body 10pot Garamond"/>
    <w:basedOn w:val="Normal"/>
    <w:qFormat/>
    <w:rsid w:val="00BA68A6"/>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BA68A6"/>
    <w:rPr>
      <w:rFonts w:ascii="Arial" w:hAnsi="Arial"/>
      <w:b/>
      <w:color w:val="72A492"/>
      <w:sz w:val="20"/>
    </w:rPr>
  </w:style>
  <w:style w:type="paragraph" w:styleId="BodyText2">
    <w:name w:val="Body Text 2"/>
    <w:basedOn w:val="Normal"/>
    <w:link w:val="BodyText2Char"/>
    <w:rsid w:val="00BA68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BA68A6"/>
    <w:rPr>
      <w:rFonts w:eastAsia="Times New Roman"/>
      <w:sz w:val="24"/>
      <w:lang w:eastAsia="en-US"/>
    </w:rPr>
  </w:style>
  <w:style w:type="character" w:customStyle="1" w:styleId="PlainTextChar">
    <w:name w:val="Plain Text Char"/>
    <w:basedOn w:val="DefaultParagraphFont"/>
    <w:link w:val="PlainText"/>
    <w:uiPriority w:val="99"/>
    <w:rsid w:val="00BA68A6"/>
    <w:rPr>
      <w:rFonts w:ascii="Consolas" w:hAnsi="Consolas"/>
      <w:sz w:val="21"/>
      <w:szCs w:val="21"/>
      <w:lang w:eastAsia="en-US"/>
    </w:rPr>
  </w:style>
  <w:style w:type="paragraph" w:customStyle="1" w:styleId="qry">
    <w:name w:val="qry"/>
    <w:basedOn w:val="Normal"/>
    <w:rsid w:val="00BA68A6"/>
    <w:pPr>
      <w:spacing w:before="100" w:beforeAutospacing="1" w:after="100" w:afterAutospacing="1"/>
    </w:pPr>
    <w:rPr>
      <w:b/>
      <w:bCs/>
    </w:rPr>
  </w:style>
  <w:style w:type="paragraph" w:customStyle="1" w:styleId="ans">
    <w:name w:val="ans"/>
    <w:basedOn w:val="Normal"/>
    <w:rsid w:val="00BA68A6"/>
    <w:pPr>
      <w:spacing w:before="100" w:beforeAutospacing="1" w:after="100" w:afterAutospacing="1"/>
    </w:pPr>
  </w:style>
  <w:style w:type="paragraph" w:customStyle="1" w:styleId="Explanation">
    <w:name w:val="Explanation"/>
    <w:basedOn w:val="Normal"/>
    <w:rsid w:val="00BA68A6"/>
    <w:pPr>
      <w:widowControl w:val="0"/>
      <w:ind w:left="720"/>
    </w:pPr>
    <w:rPr>
      <w:snapToGrid w:val="0"/>
      <w:sz w:val="22"/>
      <w:szCs w:val="20"/>
    </w:rPr>
  </w:style>
  <w:style w:type="paragraph" w:styleId="NormalWeb">
    <w:name w:val="Normal (Web)"/>
    <w:basedOn w:val="Normal"/>
    <w:rsid w:val="00BA68A6"/>
    <w:pPr>
      <w:spacing w:before="100" w:beforeAutospacing="1" w:after="100" w:afterAutospacing="1"/>
    </w:pPr>
  </w:style>
  <w:style w:type="paragraph" w:styleId="IntenseQuote">
    <w:name w:val="Intense Quote"/>
    <w:basedOn w:val="Normal"/>
    <w:next w:val="Normal"/>
    <w:link w:val="IntenseQuoteChar"/>
    <w:uiPriority w:val="30"/>
    <w:qFormat/>
    <w:rsid w:val="00BA68A6"/>
    <w:pPr>
      <w:pBdr>
        <w:bottom w:val="single" w:sz="4" w:space="4" w:color="4F81BD" w:themeColor="accent1"/>
      </w:pBdr>
      <w:spacing w:before="200" w:after="280"/>
      <w:ind w:left="936" w:right="936"/>
    </w:pPr>
    <w:rPr>
      <w:rFonts w:ascii="Garamond" w:hAnsi="Garamond"/>
      <w:b/>
      <w:bCs/>
      <w:i/>
      <w:iCs/>
      <w:color w:val="4F81BD" w:themeColor="accent1"/>
    </w:rPr>
  </w:style>
  <w:style w:type="character" w:customStyle="1" w:styleId="IntenseQuoteChar">
    <w:name w:val="Intense Quote Char"/>
    <w:basedOn w:val="DefaultParagraphFont"/>
    <w:link w:val="IntenseQuote"/>
    <w:uiPriority w:val="30"/>
    <w:rsid w:val="00BA68A6"/>
    <w:rPr>
      <w:rFonts w:ascii="Garamond" w:eastAsia="Times New Roman" w:hAnsi="Garamond"/>
      <w:b/>
      <w:bCs/>
      <w:i/>
      <w:iCs/>
      <w:color w:val="4F81BD" w:themeColor="accent1"/>
      <w:sz w:val="24"/>
      <w:szCs w:val="24"/>
      <w:lang w:eastAsia="en-US"/>
    </w:rPr>
  </w:style>
  <w:style w:type="character" w:styleId="IntenseEmphasis">
    <w:name w:val="Intense Emphasis"/>
    <w:basedOn w:val="DefaultParagraphFont"/>
    <w:uiPriority w:val="21"/>
    <w:qFormat/>
    <w:rsid w:val="00BA68A6"/>
    <w:rPr>
      <w:b/>
      <w:bCs/>
      <w:i/>
      <w:iCs/>
      <w:color w:val="4F81BD" w:themeColor="accent1"/>
    </w:rPr>
  </w:style>
  <w:style w:type="paragraph" w:styleId="Subtitle">
    <w:name w:val="Subtitle"/>
    <w:basedOn w:val="Normal"/>
    <w:next w:val="Normal"/>
    <w:link w:val="SubtitleChar"/>
    <w:qFormat/>
    <w:rsid w:val="00BA6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8A6"/>
    <w:rPr>
      <w:rFonts w:asciiTheme="majorHAnsi" w:eastAsiaTheme="majorEastAsia" w:hAnsiTheme="majorHAnsi" w:cstheme="majorBidi"/>
      <w:i/>
      <w:iCs/>
      <w:color w:val="4F81BD" w:themeColor="accent1"/>
      <w:spacing w:val="15"/>
      <w:sz w:val="24"/>
      <w:szCs w:val="24"/>
      <w:lang w:eastAsia="en-US"/>
    </w:rPr>
  </w:style>
  <w:style w:type="paragraph" w:styleId="TOC8">
    <w:name w:val="toc 8"/>
    <w:basedOn w:val="Normal"/>
    <w:next w:val="Normal"/>
    <w:semiHidden/>
    <w:rsid w:val="00BA68A6"/>
    <w:pPr>
      <w:tabs>
        <w:tab w:val="right" w:pos="9360"/>
      </w:tabs>
      <w:ind w:left="720" w:hanging="720"/>
    </w:pPr>
    <w:rPr>
      <w:rFonts w:ascii="CG Times" w:hAnsi="CG Times"/>
      <w:szCs w:val="20"/>
    </w:rPr>
  </w:style>
  <w:style w:type="paragraph" w:styleId="TOC7">
    <w:name w:val="toc 7"/>
    <w:basedOn w:val="Normal"/>
    <w:next w:val="Normal"/>
    <w:semiHidden/>
    <w:rsid w:val="00BA68A6"/>
    <w:pPr>
      <w:ind w:left="720" w:hanging="720"/>
    </w:pPr>
    <w:rPr>
      <w:rFonts w:ascii="CG Times" w:hAnsi="CG Times"/>
      <w:szCs w:val="20"/>
    </w:rPr>
  </w:style>
  <w:style w:type="paragraph" w:styleId="TOC6">
    <w:name w:val="toc 6"/>
    <w:basedOn w:val="Normal"/>
    <w:next w:val="Normal"/>
    <w:semiHidden/>
    <w:rsid w:val="00BA68A6"/>
    <w:pPr>
      <w:tabs>
        <w:tab w:val="right" w:pos="9360"/>
      </w:tabs>
      <w:ind w:left="720" w:hanging="720"/>
    </w:pPr>
    <w:rPr>
      <w:rFonts w:ascii="CG Times" w:hAnsi="CG Times"/>
      <w:szCs w:val="20"/>
    </w:rPr>
  </w:style>
  <w:style w:type="paragraph" w:styleId="TOC5">
    <w:name w:val="toc 5"/>
    <w:basedOn w:val="Normal"/>
    <w:next w:val="Normal"/>
    <w:semiHidden/>
    <w:rsid w:val="00BA68A6"/>
    <w:pPr>
      <w:tabs>
        <w:tab w:val="right" w:leader="dot" w:pos="9360"/>
      </w:tabs>
      <w:ind w:left="3600" w:right="720" w:hanging="720"/>
    </w:pPr>
    <w:rPr>
      <w:rFonts w:ascii="CG Times" w:hAnsi="CG Times"/>
      <w:szCs w:val="20"/>
    </w:rPr>
  </w:style>
  <w:style w:type="paragraph" w:styleId="TOC4">
    <w:name w:val="toc 4"/>
    <w:basedOn w:val="Normal"/>
    <w:next w:val="Normal"/>
    <w:semiHidden/>
    <w:rsid w:val="00BA68A6"/>
    <w:pPr>
      <w:tabs>
        <w:tab w:val="right" w:leader="dot" w:pos="9360"/>
      </w:tabs>
      <w:ind w:left="2880" w:right="720" w:hanging="720"/>
    </w:pPr>
    <w:rPr>
      <w:rFonts w:ascii="CG Times" w:hAnsi="CG Times"/>
      <w:szCs w:val="20"/>
    </w:rPr>
  </w:style>
  <w:style w:type="paragraph" w:styleId="Index2">
    <w:name w:val="index 2"/>
    <w:basedOn w:val="Normal"/>
    <w:next w:val="Normal"/>
    <w:semiHidden/>
    <w:rsid w:val="00BA68A6"/>
    <w:pPr>
      <w:tabs>
        <w:tab w:val="right" w:leader="dot" w:pos="9360"/>
      </w:tabs>
      <w:ind w:left="1440" w:right="720" w:hanging="720"/>
    </w:pPr>
    <w:rPr>
      <w:rFonts w:ascii="CG Times" w:hAnsi="CG Times"/>
      <w:szCs w:val="20"/>
    </w:rPr>
  </w:style>
  <w:style w:type="paragraph" w:styleId="Index1">
    <w:name w:val="index 1"/>
    <w:basedOn w:val="Normal"/>
    <w:next w:val="Normal"/>
    <w:semiHidden/>
    <w:rsid w:val="00BA68A6"/>
    <w:pPr>
      <w:tabs>
        <w:tab w:val="right" w:leader="dot" w:pos="9360"/>
      </w:tabs>
      <w:ind w:left="1440" w:right="720" w:hanging="1440"/>
    </w:pPr>
    <w:rPr>
      <w:rFonts w:ascii="CG Times" w:hAnsi="CG Times"/>
      <w:szCs w:val="20"/>
    </w:rPr>
  </w:style>
  <w:style w:type="paragraph" w:customStyle="1" w:styleId="EndnoteText1">
    <w:name w:val="Endnote Text1"/>
    <w:basedOn w:val="Normal"/>
    <w:rsid w:val="00BA68A6"/>
    <w:pPr>
      <w:ind w:left="1440"/>
    </w:pPr>
    <w:rPr>
      <w:rFonts w:ascii="CG Times" w:hAnsi="CG Times"/>
      <w:szCs w:val="20"/>
    </w:rPr>
  </w:style>
  <w:style w:type="paragraph" w:customStyle="1" w:styleId="TOC91">
    <w:name w:val="TOC 91"/>
    <w:basedOn w:val="Normal"/>
    <w:next w:val="Normal"/>
    <w:rsid w:val="00BA68A6"/>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BA68A6"/>
    <w:pPr>
      <w:tabs>
        <w:tab w:val="right" w:pos="9360"/>
      </w:tabs>
      <w:ind w:left="1440"/>
    </w:pPr>
    <w:rPr>
      <w:rFonts w:ascii="CG Times" w:hAnsi="CG Times"/>
      <w:szCs w:val="20"/>
    </w:rPr>
  </w:style>
  <w:style w:type="paragraph" w:customStyle="1" w:styleId="Caption1">
    <w:name w:val="Caption1"/>
    <w:basedOn w:val="Normal"/>
    <w:next w:val="Normal"/>
    <w:rsid w:val="00BA68A6"/>
    <w:pPr>
      <w:ind w:left="1440"/>
    </w:pPr>
    <w:rPr>
      <w:rFonts w:ascii="CG Times" w:hAnsi="CG Times"/>
      <w:szCs w:val="20"/>
    </w:rPr>
  </w:style>
  <w:style w:type="paragraph" w:customStyle="1" w:styleId="P1-StandPara">
    <w:name w:val="P1-Stand Para"/>
    <w:uiPriority w:val="99"/>
    <w:rsid w:val="00BA68A6"/>
    <w:pPr>
      <w:spacing w:line="360" w:lineRule="atLeast"/>
      <w:ind w:firstLine="1152"/>
      <w:jc w:val="both"/>
    </w:pPr>
    <w:rPr>
      <w:rFonts w:eastAsia="Times New Roman"/>
      <w:sz w:val="22"/>
      <w:lang w:eastAsia="en-US"/>
    </w:rPr>
  </w:style>
  <w:style w:type="paragraph" w:styleId="BodyTextIndent">
    <w:name w:val="Body Text Indent"/>
    <w:basedOn w:val="Normal"/>
    <w:link w:val="BodyTextIndentChar"/>
    <w:semiHidden/>
    <w:rsid w:val="00BA68A6"/>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BA68A6"/>
    <w:rPr>
      <w:rFonts w:ascii="CG Times" w:eastAsia="Times New Roman" w:hAnsi="CG Times"/>
      <w:sz w:val="24"/>
      <w:lang w:eastAsia="en-US"/>
    </w:rPr>
  </w:style>
  <w:style w:type="paragraph" w:styleId="BodyTextIndent2">
    <w:name w:val="Body Text Indent 2"/>
    <w:basedOn w:val="Normal"/>
    <w:link w:val="BodyTextIndent2Char"/>
    <w:semiHidden/>
    <w:rsid w:val="00BA68A6"/>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BA68A6"/>
    <w:rPr>
      <w:rFonts w:ascii="CG Times" w:eastAsia="Times New Roman" w:hAnsi="CG Times"/>
      <w:sz w:val="24"/>
      <w:lang w:eastAsia="en-US"/>
    </w:rPr>
  </w:style>
  <w:style w:type="paragraph" w:styleId="BodyTextIndent3">
    <w:name w:val="Body Text Indent 3"/>
    <w:basedOn w:val="Normal"/>
    <w:link w:val="BodyTextIndent3Char"/>
    <w:semiHidden/>
    <w:rsid w:val="00BA68A6"/>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BA68A6"/>
    <w:rPr>
      <w:rFonts w:ascii="CG Times" w:eastAsia="Times New Roman" w:hAnsi="CG Times"/>
      <w:sz w:val="24"/>
      <w:lang w:eastAsia="en-US"/>
    </w:rPr>
  </w:style>
  <w:style w:type="paragraph" w:styleId="ListNumber">
    <w:name w:val="List Number"/>
    <w:basedOn w:val="List"/>
    <w:semiHidden/>
    <w:rsid w:val="00BA68A6"/>
    <w:pPr>
      <w:numPr>
        <w:numId w:val="12"/>
      </w:numPr>
      <w:spacing w:line="240" w:lineRule="atLeast"/>
      <w:jc w:val="both"/>
    </w:pPr>
    <w:rPr>
      <w:rFonts w:ascii="Arial" w:hAnsi="Arial"/>
      <w:spacing w:val="-5"/>
      <w:sz w:val="20"/>
      <w:szCs w:val="20"/>
    </w:rPr>
  </w:style>
  <w:style w:type="paragraph" w:styleId="TOC9">
    <w:name w:val="toc 9"/>
    <w:basedOn w:val="Normal"/>
    <w:next w:val="Normal"/>
    <w:autoRedefine/>
    <w:semiHidden/>
    <w:rsid w:val="00BA68A6"/>
    <w:pPr>
      <w:ind w:left="1920"/>
    </w:pPr>
    <w:rPr>
      <w:rFonts w:ascii="CG Times" w:hAnsi="CG Times"/>
      <w:szCs w:val="20"/>
    </w:rPr>
  </w:style>
  <w:style w:type="paragraph" w:styleId="ListBullet2">
    <w:name w:val="List Bullet 2"/>
    <w:basedOn w:val="Normal"/>
    <w:autoRedefine/>
    <w:semiHidden/>
    <w:rsid w:val="00191EE9"/>
    <w:pPr>
      <w:ind w:firstLine="360"/>
    </w:pPr>
    <w:rPr>
      <w:rFonts w:eastAsia="Calibri"/>
      <w:sz w:val="22"/>
      <w:szCs w:val="22"/>
    </w:rPr>
  </w:style>
  <w:style w:type="paragraph" w:styleId="ListContinue">
    <w:name w:val="List Continue"/>
    <w:basedOn w:val="Normal"/>
    <w:semiHidden/>
    <w:rsid w:val="00BA68A6"/>
    <w:pPr>
      <w:spacing w:after="120"/>
      <w:ind w:left="360"/>
    </w:pPr>
    <w:rPr>
      <w:rFonts w:ascii="CG Times" w:hAnsi="CG Times"/>
      <w:szCs w:val="20"/>
    </w:rPr>
  </w:style>
  <w:style w:type="paragraph" w:styleId="ListContinue2">
    <w:name w:val="List Continue 2"/>
    <w:basedOn w:val="Normal"/>
    <w:rsid w:val="00BA68A6"/>
    <w:pPr>
      <w:spacing w:after="120"/>
      <w:ind w:left="720"/>
    </w:pPr>
    <w:rPr>
      <w:rFonts w:ascii="CG Times" w:hAnsi="CG Times"/>
      <w:szCs w:val="20"/>
    </w:rPr>
  </w:style>
  <w:style w:type="paragraph" w:customStyle="1" w:styleId="InsideAddress">
    <w:name w:val="Inside Address"/>
    <w:basedOn w:val="Normal"/>
    <w:rsid w:val="00BA68A6"/>
    <w:pPr>
      <w:ind w:left="1440"/>
    </w:pPr>
    <w:rPr>
      <w:rFonts w:ascii="CG Times" w:hAnsi="CG Times"/>
      <w:szCs w:val="20"/>
    </w:rPr>
  </w:style>
  <w:style w:type="paragraph" w:customStyle="1" w:styleId="NormalSS">
    <w:name w:val="NormalSS"/>
    <w:basedOn w:val="Normal"/>
    <w:qFormat/>
    <w:rsid w:val="00BA68A6"/>
    <w:pPr>
      <w:tabs>
        <w:tab w:val="left" w:pos="432"/>
      </w:tabs>
      <w:ind w:firstLine="432"/>
      <w:jc w:val="both"/>
    </w:pPr>
    <w:rPr>
      <w:szCs w:val="20"/>
    </w:rPr>
  </w:style>
  <w:style w:type="paragraph" w:customStyle="1" w:styleId="MarkforTable">
    <w:name w:val="Mark for Table"/>
    <w:next w:val="Normal"/>
    <w:rsid w:val="00BA68A6"/>
    <w:pPr>
      <w:spacing w:line="480" w:lineRule="auto"/>
      <w:jc w:val="center"/>
    </w:pPr>
    <w:rPr>
      <w:rFonts w:eastAsia="Times New Roman"/>
      <w:caps/>
      <w:sz w:val="24"/>
      <w:lang w:eastAsia="en-US"/>
    </w:rPr>
  </w:style>
  <w:style w:type="paragraph" w:customStyle="1" w:styleId="Quicka">
    <w:name w:val="Quick a."/>
    <w:basedOn w:val="Normal"/>
    <w:rsid w:val="00BA68A6"/>
    <w:pPr>
      <w:widowControl w:val="0"/>
    </w:pPr>
    <w:rPr>
      <w:snapToGrid w:val="0"/>
      <w:szCs w:val="20"/>
    </w:rPr>
  </w:style>
  <w:style w:type="paragraph" w:styleId="BodyText3">
    <w:name w:val="Body Text 3"/>
    <w:basedOn w:val="Normal"/>
    <w:link w:val="BodyText3Char"/>
    <w:semiHidden/>
    <w:rsid w:val="00BA68A6"/>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BA68A6"/>
    <w:rPr>
      <w:rFonts w:ascii="Arial" w:eastAsia="Times New Roman" w:hAnsi="Arial" w:cs="Arial"/>
      <w:sz w:val="72"/>
      <w:szCs w:val="22"/>
      <w:lang w:eastAsia="en-US"/>
    </w:rPr>
  </w:style>
  <w:style w:type="paragraph" w:customStyle="1" w:styleId="SL-FlLftSgl">
    <w:name w:val="SL-Fl Lft Sgl"/>
    <w:rsid w:val="00BA68A6"/>
    <w:pPr>
      <w:spacing w:line="240" w:lineRule="atLeast"/>
      <w:jc w:val="both"/>
    </w:pPr>
    <w:rPr>
      <w:rFonts w:ascii="Arial" w:eastAsia="Times New Roman" w:hAnsi="Arial"/>
      <w:sz w:val="18"/>
      <w:lang w:eastAsia="en-US"/>
    </w:rPr>
  </w:style>
  <w:style w:type="paragraph" w:styleId="DocumentMap">
    <w:name w:val="Document Map"/>
    <w:basedOn w:val="Normal"/>
    <w:link w:val="DocumentMapChar"/>
    <w:semiHidden/>
    <w:rsid w:val="00BA68A6"/>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BA68A6"/>
    <w:rPr>
      <w:rFonts w:ascii="Tahoma" w:eastAsia="Times New Roman" w:hAnsi="Tahoma" w:cs="Tahoma"/>
      <w:sz w:val="24"/>
      <w:shd w:val="clear" w:color="auto" w:fill="000080"/>
      <w:lang w:eastAsia="en-US"/>
    </w:rPr>
  </w:style>
  <w:style w:type="character" w:customStyle="1" w:styleId="pageheadline1">
    <w:name w:val="pageheadline1"/>
    <w:basedOn w:val="DefaultParagraphFont"/>
    <w:rsid w:val="00BA68A6"/>
    <w:rPr>
      <w:rFonts w:ascii="Verdana" w:hAnsi="Verdana" w:hint="default"/>
      <w:b/>
      <w:bCs/>
      <w:color w:val="000000"/>
      <w:w w:val="0"/>
      <w:sz w:val="36"/>
      <w:szCs w:val="36"/>
    </w:rPr>
  </w:style>
  <w:style w:type="paragraph" w:customStyle="1" w:styleId="Bullet">
    <w:name w:val="Bullet"/>
    <w:rsid w:val="00BA68A6"/>
    <w:pPr>
      <w:spacing w:after="180"/>
      <w:ind w:left="720" w:right="360" w:hanging="288"/>
      <w:jc w:val="both"/>
    </w:pPr>
    <w:rPr>
      <w:rFonts w:eastAsia="Times New Roman"/>
      <w:sz w:val="24"/>
      <w:lang w:eastAsia="en-US"/>
    </w:rPr>
  </w:style>
  <w:style w:type="paragraph" w:customStyle="1" w:styleId="bodytext0">
    <w:name w:val="bodytext"/>
    <w:basedOn w:val="Normal"/>
    <w:rsid w:val="00BA68A6"/>
    <w:pPr>
      <w:spacing w:before="100" w:beforeAutospacing="1" w:after="100" w:afterAutospacing="1"/>
    </w:pPr>
    <w:rPr>
      <w:rFonts w:ascii="Verdana" w:hAnsi="Verdana"/>
      <w:color w:val="000000"/>
      <w:sz w:val="18"/>
      <w:szCs w:val="18"/>
    </w:rPr>
  </w:style>
  <w:style w:type="paragraph" w:customStyle="1" w:styleId="chkbox">
    <w:name w:val="chkbox"/>
    <w:basedOn w:val="Normal"/>
    <w:rsid w:val="00BA68A6"/>
    <w:pPr>
      <w:spacing w:before="167" w:after="100" w:afterAutospacing="1"/>
    </w:pPr>
    <w:rPr>
      <w:rFonts w:ascii="Arial Unicode MS" w:eastAsia="Arial Unicode MS" w:hAnsi="Arial Unicode MS"/>
    </w:rPr>
  </w:style>
  <w:style w:type="paragraph" w:customStyle="1" w:styleId="EndnoteText2">
    <w:name w:val="Endnote Text2"/>
    <w:basedOn w:val="Normal"/>
    <w:rsid w:val="00BA68A6"/>
    <w:pPr>
      <w:ind w:left="1440"/>
    </w:pPr>
    <w:rPr>
      <w:rFonts w:ascii="CG Times" w:hAnsi="CG Times"/>
      <w:szCs w:val="20"/>
    </w:rPr>
  </w:style>
  <w:style w:type="paragraph" w:customStyle="1" w:styleId="TOC92">
    <w:name w:val="TOC 92"/>
    <w:basedOn w:val="Normal"/>
    <w:next w:val="Normal"/>
    <w:rsid w:val="00BA68A6"/>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BA68A6"/>
    <w:pPr>
      <w:tabs>
        <w:tab w:val="right" w:pos="9360"/>
      </w:tabs>
      <w:ind w:left="1440"/>
    </w:pPr>
    <w:rPr>
      <w:rFonts w:ascii="CG Times" w:hAnsi="CG Times"/>
      <w:szCs w:val="20"/>
    </w:rPr>
  </w:style>
  <w:style w:type="paragraph" w:customStyle="1" w:styleId="Caption2">
    <w:name w:val="Caption2"/>
    <w:basedOn w:val="Normal"/>
    <w:next w:val="Normal"/>
    <w:rsid w:val="00BA68A6"/>
    <w:pPr>
      <w:ind w:left="1440"/>
    </w:pPr>
    <w:rPr>
      <w:rFonts w:ascii="CG Times" w:hAnsi="CG Times"/>
      <w:szCs w:val="20"/>
    </w:rPr>
  </w:style>
  <w:style w:type="paragraph" w:customStyle="1" w:styleId="QuestionHead1">
    <w:name w:val="QuestionHead1"/>
    <w:basedOn w:val="PlainText"/>
    <w:rsid w:val="00BA68A6"/>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BA68A6"/>
    <w:pPr>
      <w:ind w:firstLine="0"/>
    </w:pPr>
    <w:rPr>
      <w:b w:val="0"/>
      <w:bCs w:val="0"/>
      <w:i/>
      <w:iCs/>
    </w:rPr>
  </w:style>
  <w:style w:type="paragraph" w:customStyle="1" w:styleId="NumberedBox1">
    <w:name w:val="Numbered Box1"/>
    <w:basedOn w:val="Normal"/>
    <w:rsid w:val="00BA68A6"/>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BA68A6"/>
    <w:pPr>
      <w:ind w:left="1440"/>
    </w:pPr>
    <w:rPr>
      <w:rFonts w:ascii="CG Times" w:hAnsi="CG Times"/>
      <w:szCs w:val="20"/>
    </w:rPr>
  </w:style>
  <w:style w:type="paragraph" w:customStyle="1" w:styleId="TOC93">
    <w:name w:val="TOC 93"/>
    <w:basedOn w:val="Normal"/>
    <w:next w:val="Normal"/>
    <w:rsid w:val="00BA68A6"/>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BA68A6"/>
    <w:pPr>
      <w:tabs>
        <w:tab w:val="right" w:pos="9360"/>
      </w:tabs>
      <w:ind w:left="1440"/>
    </w:pPr>
    <w:rPr>
      <w:rFonts w:ascii="CG Times" w:hAnsi="CG Times"/>
      <w:szCs w:val="20"/>
    </w:rPr>
  </w:style>
  <w:style w:type="paragraph" w:customStyle="1" w:styleId="Caption3">
    <w:name w:val="Caption3"/>
    <w:basedOn w:val="Normal"/>
    <w:next w:val="Normal"/>
    <w:rsid w:val="00BA68A6"/>
    <w:pPr>
      <w:ind w:left="1440"/>
    </w:pPr>
    <w:rPr>
      <w:rFonts w:ascii="CG Times" w:hAnsi="CG Times"/>
      <w:szCs w:val="20"/>
    </w:rPr>
  </w:style>
  <w:style w:type="paragraph" w:customStyle="1" w:styleId="Body1">
    <w:name w:val="Body 1"/>
    <w:rsid w:val="00BA68A6"/>
    <w:pPr>
      <w:ind w:left="1440"/>
      <w:outlineLvl w:val="0"/>
    </w:pPr>
    <w:rPr>
      <w:rFonts w:ascii="Helvetica" w:eastAsia="Arial Unicode MS" w:hAnsi="Helvetica"/>
      <w:color w:val="000000"/>
      <w:sz w:val="24"/>
      <w:u w:color="000000"/>
      <w:lang w:eastAsia="en-US"/>
    </w:rPr>
  </w:style>
  <w:style w:type="paragraph" w:customStyle="1" w:styleId="citable">
    <w:name w:val="citable"/>
    <w:basedOn w:val="Normal"/>
    <w:uiPriority w:val="99"/>
    <w:rsid w:val="00BA68A6"/>
    <w:pPr>
      <w:spacing w:before="100" w:beforeAutospacing="1" w:after="100" w:afterAutospacing="1"/>
    </w:pPr>
  </w:style>
  <w:style w:type="paragraph" w:customStyle="1" w:styleId="SU-FlLftUndln">
    <w:name w:val="SU-Fl Lft Undln"/>
    <w:uiPriority w:val="99"/>
    <w:rsid w:val="00BA68A6"/>
    <w:pPr>
      <w:keepNext/>
      <w:spacing w:line="240" w:lineRule="exact"/>
    </w:pPr>
    <w:rPr>
      <w:rFonts w:eastAsia="Times New Roman"/>
      <w:sz w:val="22"/>
      <w:u w:val="single"/>
      <w:lang w:eastAsia="en-US"/>
    </w:rPr>
  </w:style>
  <w:style w:type="character" w:styleId="Emphasis">
    <w:name w:val="Emphasis"/>
    <w:uiPriority w:val="20"/>
    <w:qFormat/>
    <w:rsid w:val="00755475"/>
    <w:rPr>
      <w:sz w:val="22"/>
      <w:szCs w:val="22"/>
      <w:u w:val="single" w:color="000000"/>
    </w:rPr>
  </w:style>
  <w:style w:type="paragraph" w:styleId="ListNumber2">
    <w:name w:val="List Number 2"/>
    <w:basedOn w:val="BodyText"/>
    <w:uiPriority w:val="99"/>
    <w:unhideWhenUsed/>
    <w:rsid w:val="00421D36"/>
    <w:pPr>
      <w:spacing w:before="120"/>
      <w:ind w:left="1440" w:hanging="720"/>
    </w:pPr>
    <w:rPr>
      <w:sz w:val="22"/>
      <w:szCs w:val="22"/>
    </w:rPr>
  </w:style>
  <w:style w:type="paragraph" w:styleId="Quote">
    <w:name w:val="Quote"/>
    <w:basedOn w:val="Normal"/>
    <w:next w:val="Normal"/>
    <w:link w:val="QuoteChar"/>
    <w:uiPriority w:val="29"/>
    <w:qFormat/>
    <w:rsid w:val="00E36FC5"/>
    <w:pPr>
      <w:spacing w:before="120"/>
      <w:ind w:left="720" w:right="720"/>
    </w:pPr>
    <w:rPr>
      <w:sz w:val="22"/>
      <w:szCs w:val="22"/>
    </w:rPr>
  </w:style>
  <w:style w:type="character" w:customStyle="1" w:styleId="QuoteChar">
    <w:name w:val="Quote Char"/>
    <w:basedOn w:val="DefaultParagraphFont"/>
    <w:link w:val="Quote"/>
    <w:uiPriority w:val="29"/>
    <w:rsid w:val="00E36FC5"/>
    <w:rPr>
      <w:rFonts w:eastAsia="Times New Roman"/>
      <w:sz w:val="22"/>
      <w:szCs w:val="22"/>
      <w:lang w:eastAsia="en-US"/>
    </w:rPr>
  </w:style>
  <w:style w:type="paragraph" w:styleId="ListBullet3">
    <w:name w:val="List Bullet 3"/>
    <w:basedOn w:val="ListParagraph"/>
    <w:uiPriority w:val="99"/>
    <w:unhideWhenUsed/>
    <w:rsid w:val="00F73146"/>
    <w:pPr>
      <w:numPr>
        <w:ilvl w:val="2"/>
        <w:numId w:val="9"/>
      </w:numPr>
    </w:pPr>
    <w:rPr>
      <w:spacing w:val="2"/>
    </w:rPr>
  </w:style>
  <w:style w:type="paragraph" w:styleId="ListBullet4">
    <w:name w:val="List Bullet 4"/>
    <w:basedOn w:val="ListBullet"/>
    <w:uiPriority w:val="99"/>
    <w:unhideWhenUsed/>
    <w:rsid w:val="005E5787"/>
    <w:pPr>
      <w:spacing w:before="0"/>
    </w:pPr>
  </w:style>
  <w:style w:type="paragraph" w:styleId="NoSpacing">
    <w:name w:val="No Spacing"/>
    <w:uiPriority w:val="1"/>
    <w:qFormat/>
    <w:rsid w:val="000A4DF1"/>
    <w:rPr>
      <w:rFonts w:asciiTheme="minorHAnsi" w:eastAsiaTheme="minorHAnsi" w:hAnsiTheme="minorHAnsi" w:cstheme="minorBidi"/>
      <w:sz w:val="22"/>
      <w:szCs w:val="22"/>
      <w:lang w:eastAsia="en-US"/>
    </w:rPr>
  </w:style>
  <w:style w:type="character" w:customStyle="1" w:styleId="MemoBody">
    <w:name w:val="Memo Body"/>
    <w:basedOn w:val="DefaultParagraphFont"/>
    <w:rsid w:val="00DA3FEB"/>
    <w:rPr>
      <w:rFonts w:ascii="Times New Roman" w:hAnsi="Times New Roman"/>
      <w:sz w:val="24"/>
    </w:rPr>
  </w:style>
  <w:style w:type="paragraph" w:customStyle="1" w:styleId="Body">
    <w:name w:val="Body"/>
    <w:basedOn w:val="Normal"/>
    <w:qFormat/>
    <w:rsid w:val="00CB22F9"/>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4E10C0"/>
  </w:style>
  <w:style w:type="character" w:customStyle="1" w:styleId="bodytextChar0">
    <w:name w:val="body text Char"/>
    <w:basedOn w:val="DefaultParagraphFont"/>
    <w:link w:val="BodyText1"/>
    <w:rsid w:val="000A5579"/>
    <w:rPr>
      <w:sz w:val="24"/>
    </w:rPr>
  </w:style>
  <w:style w:type="paragraph" w:customStyle="1" w:styleId="BodyText1">
    <w:name w:val="Body Text1"/>
    <w:basedOn w:val="Normal"/>
    <w:link w:val="bodytextChar0"/>
    <w:rsid w:val="000A5579"/>
    <w:pPr>
      <w:spacing w:after="120" w:line="360" w:lineRule="auto"/>
      <w:ind w:firstLine="720"/>
    </w:pPr>
    <w:rPr>
      <w:rFonts w:eastAsia="Calibri"/>
      <w:szCs w:val="20"/>
      <w:lang w:eastAsia="zh-CN"/>
    </w:rPr>
  </w:style>
  <w:style w:type="paragraph" w:customStyle="1" w:styleId="EndNoteBibliography">
    <w:name w:val="EndNote Bibliography"/>
    <w:basedOn w:val="Normal"/>
    <w:link w:val="EndNoteBibliographyChar"/>
    <w:rsid w:val="009152E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152EE"/>
    <w:rPr>
      <w:rFonts w:ascii="Calibri" w:eastAsiaTheme="minorHAnsi" w:hAnsi="Calibri" w:cs="Calibri"/>
      <w:noProof/>
      <w:sz w:val="22"/>
      <w:szCs w:val="22"/>
      <w:lang w:eastAsia="en-US"/>
    </w:rPr>
  </w:style>
  <w:style w:type="character" w:customStyle="1" w:styleId="UnresolvedMention">
    <w:name w:val="Unresolved Mention"/>
    <w:basedOn w:val="DefaultParagraphFont"/>
    <w:uiPriority w:val="99"/>
    <w:semiHidden/>
    <w:unhideWhenUsed/>
    <w:rsid w:val="008E0013"/>
    <w:rPr>
      <w:color w:val="808080"/>
      <w:shd w:val="clear" w:color="auto" w:fill="E6E6E6"/>
    </w:rPr>
  </w:style>
  <w:style w:type="paragraph" w:customStyle="1" w:styleId="NORCListNumber1">
    <w:name w:val="NORC List Number 1"/>
    <w:basedOn w:val="Normal"/>
    <w:qFormat/>
    <w:rsid w:val="00B17E87"/>
    <w:pPr>
      <w:numPr>
        <w:numId w:val="94"/>
      </w:numPr>
      <w:tabs>
        <w:tab w:val="left" w:pos="-1440"/>
      </w:tabs>
      <w:spacing w:after="60" w:line="360" w:lineRule="auto"/>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A4"/>
    <w:rPr>
      <w:rFonts w:eastAsia="Times New Roman"/>
      <w:sz w:val="24"/>
      <w:szCs w:val="24"/>
      <w:lang w:eastAsia="en-US"/>
    </w:rPr>
  </w:style>
  <w:style w:type="paragraph" w:styleId="Heading1">
    <w:name w:val="heading 1"/>
    <w:basedOn w:val="Normal"/>
    <w:next w:val="Normal"/>
    <w:link w:val="Heading1Char"/>
    <w:qFormat/>
    <w:rsid w:val="00B64C19"/>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D57E89"/>
    <w:pPr>
      <w:keepNext/>
      <w:spacing w:before="120" w:after="240"/>
      <w:outlineLvl w:val="1"/>
    </w:pPr>
    <w:rPr>
      <w:b/>
      <w:i/>
    </w:rPr>
  </w:style>
  <w:style w:type="paragraph" w:styleId="Heading3">
    <w:name w:val="heading 3"/>
    <w:basedOn w:val="Heading2"/>
    <w:next w:val="Normal"/>
    <w:link w:val="Heading3Char"/>
    <w:qFormat/>
    <w:rsid w:val="00DA18AB"/>
    <w:pPr>
      <w:spacing w:before="0" w:after="120"/>
      <w:outlineLvl w:val="2"/>
    </w:pPr>
    <w:rPr>
      <w:sz w:val="22"/>
    </w:rPr>
  </w:style>
  <w:style w:type="paragraph" w:styleId="Heading4">
    <w:name w:val="heading 4"/>
    <w:basedOn w:val="Heading2"/>
    <w:next w:val="Normal"/>
    <w:link w:val="Heading4Char"/>
    <w:qFormat/>
    <w:rsid w:val="00CC5244"/>
    <w:pPr>
      <w:outlineLvl w:val="3"/>
    </w:pPr>
  </w:style>
  <w:style w:type="paragraph" w:styleId="Heading5">
    <w:name w:val="heading 5"/>
    <w:basedOn w:val="Normal"/>
    <w:next w:val="Normal"/>
    <w:link w:val="Heading5Char"/>
    <w:qFormat/>
    <w:rsid w:val="00BA68A6"/>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BA68A6"/>
    <w:pPr>
      <w:spacing w:before="240" w:after="60"/>
      <w:ind w:left="1440"/>
      <w:outlineLvl w:val="5"/>
    </w:pPr>
    <w:rPr>
      <w:b/>
      <w:bCs/>
      <w:sz w:val="22"/>
      <w:szCs w:val="22"/>
    </w:rPr>
  </w:style>
  <w:style w:type="paragraph" w:styleId="Heading7">
    <w:name w:val="heading 7"/>
    <w:basedOn w:val="Normal"/>
    <w:next w:val="Normal"/>
    <w:link w:val="Heading7Char"/>
    <w:qFormat/>
    <w:rsid w:val="00BA68A6"/>
    <w:pPr>
      <w:keepNext/>
      <w:tabs>
        <w:tab w:val="left" w:pos="2520"/>
      </w:tabs>
      <w:outlineLvl w:val="6"/>
    </w:pPr>
    <w:rPr>
      <w:i/>
      <w:iCs/>
      <w:szCs w:val="20"/>
    </w:rPr>
  </w:style>
  <w:style w:type="paragraph" w:styleId="Heading8">
    <w:name w:val="heading 8"/>
    <w:basedOn w:val="Normal"/>
    <w:next w:val="Normal"/>
    <w:link w:val="Heading8Char"/>
    <w:unhideWhenUsed/>
    <w:qFormat/>
    <w:rsid w:val="00BA68A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A68A6"/>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C19"/>
    <w:rPr>
      <w:rFonts w:ascii="Times" w:eastAsia="Times New Roman" w:hAnsi="Times" w:cs="Arial"/>
      <w:b/>
      <w:bCs/>
      <w:kern w:val="32"/>
      <w:sz w:val="24"/>
      <w:szCs w:val="32"/>
      <w:lang w:eastAsia="en-US"/>
    </w:rPr>
  </w:style>
  <w:style w:type="character" w:customStyle="1" w:styleId="Heading2Char">
    <w:name w:val="Heading 2 Char"/>
    <w:link w:val="Heading2"/>
    <w:rsid w:val="00D57E89"/>
    <w:rPr>
      <w:rFonts w:eastAsia="Times New Roman"/>
      <w:b/>
      <w:i/>
      <w:sz w:val="24"/>
      <w:szCs w:val="24"/>
      <w:lang w:eastAsia="en-US"/>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nhideWhenUsed/>
    <w:rsid w:val="00AC2C00"/>
    <w:rPr>
      <w:b/>
      <w:bCs/>
    </w:rPr>
  </w:style>
  <w:style w:type="character" w:customStyle="1" w:styleId="CommentSubjectChar">
    <w:name w:val="Comment Subject Char"/>
    <w:link w:val="CommentSubject"/>
    <w:rsid w:val="00AC2C00"/>
    <w:rPr>
      <w:rFonts w:eastAsia="Times New Roman"/>
      <w:b/>
      <w:bCs/>
    </w:rPr>
  </w:style>
  <w:style w:type="paragraph" w:styleId="BalloonText">
    <w:name w:val="Balloon Text"/>
    <w:basedOn w:val="Normal"/>
    <w:link w:val="BalloonTextChar"/>
    <w:semiHidden/>
    <w:unhideWhenUsed/>
    <w:rsid w:val="00AC2C00"/>
    <w:rPr>
      <w:rFonts w:ascii="Tahoma" w:hAnsi="Tahoma" w:cs="Tahoma"/>
      <w:sz w:val="16"/>
      <w:szCs w:val="16"/>
    </w:rPr>
  </w:style>
  <w:style w:type="character" w:customStyle="1" w:styleId="BalloonTextChar">
    <w:name w:val="Balloon Text Char"/>
    <w:link w:val="BalloonText"/>
    <w:semiHidden/>
    <w:rsid w:val="00AC2C00"/>
    <w:rPr>
      <w:rFonts w:ascii="Tahoma" w:eastAsia="Times New Roman" w:hAnsi="Tahoma" w:cs="Tahoma"/>
      <w:sz w:val="16"/>
      <w:szCs w:val="16"/>
    </w:rPr>
  </w:style>
  <w:style w:type="paragraph" w:customStyle="1" w:styleId="BulletLAST">
    <w:name w:val="Bullet (LAST)"/>
    <w:next w:val="Normal"/>
    <w:rsid w:val="003B0FE6"/>
    <w:pPr>
      <w:numPr>
        <w:numId w:val="1"/>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link w:val="HeaderChar"/>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9830D0"/>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A166AA"/>
    <w:pPr>
      <w:tabs>
        <w:tab w:val="left" w:pos="720"/>
        <w:tab w:val="right" w:leader="dot" w:pos="9350"/>
      </w:tabs>
      <w:spacing w:after="40"/>
      <w:ind w:left="720" w:hanging="475"/>
    </w:pPr>
  </w:style>
  <w:style w:type="character" w:customStyle="1" w:styleId="Heading3Char">
    <w:name w:val="Heading 3 Char"/>
    <w:link w:val="Heading3"/>
    <w:rsid w:val="00DA18AB"/>
    <w:rPr>
      <w:rFonts w:eastAsia="Times New Roman"/>
      <w:b/>
      <w:i/>
      <w:sz w:val="22"/>
      <w:szCs w:val="24"/>
      <w:lang w:eastAsia="en-US"/>
    </w:rPr>
  </w:style>
  <w:style w:type="character" w:customStyle="1" w:styleId="Heading4Char">
    <w:name w:val="Heading 4 Char"/>
    <w:link w:val="Heading4"/>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unhideWhenUsed/>
    <w:rsid w:val="00BD0B21"/>
    <w:rPr>
      <w:sz w:val="20"/>
      <w:szCs w:val="20"/>
    </w:rPr>
  </w:style>
  <w:style w:type="character" w:customStyle="1" w:styleId="FootnoteTextChar">
    <w:name w:val="Footnote Text Char"/>
    <w:link w:val="FootnoteText"/>
    <w:uiPriority w:val="99"/>
    <w:rsid w:val="00BD0B21"/>
    <w:rPr>
      <w:rFonts w:eastAsia="Times New Roman"/>
      <w:lang w:eastAsia="en-US"/>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3E730D"/>
    <w:pPr>
      <w:numPr>
        <w:numId w:val="34"/>
      </w:numPr>
      <w:spacing w:before="120"/>
    </w:pPr>
    <w:rPr>
      <w:sz w:val="22"/>
      <w:szCs w:val="22"/>
    </w:r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Heading5Char">
    <w:name w:val="Heading 5 Char"/>
    <w:basedOn w:val="DefaultParagraphFont"/>
    <w:link w:val="Heading5"/>
    <w:rsid w:val="00BA68A6"/>
    <w:rPr>
      <w:rFonts w:ascii="CG Times" w:eastAsia="Times New Roman" w:hAnsi="CG Times"/>
      <w:b/>
      <w:bCs/>
      <w:i/>
      <w:iCs/>
      <w:sz w:val="26"/>
      <w:szCs w:val="26"/>
      <w:lang w:eastAsia="en-US"/>
    </w:rPr>
  </w:style>
  <w:style w:type="character" w:customStyle="1" w:styleId="Heading6Char">
    <w:name w:val="Heading 6 Char"/>
    <w:basedOn w:val="DefaultParagraphFont"/>
    <w:link w:val="Heading6"/>
    <w:rsid w:val="00BA68A6"/>
    <w:rPr>
      <w:rFonts w:eastAsia="Times New Roman"/>
      <w:b/>
      <w:bCs/>
      <w:sz w:val="22"/>
      <w:szCs w:val="22"/>
      <w:lang w:eastAsia="en-US"/>
    </w:rPr>
  </w:style>
  <w:style w:type="character" w:customStyle="1" w:styleId="Heading7Char">
    <w:name w:val="Heading 7 Char"/>
    <w:basedOn w:val="DefaultParagraphFont"/>
    <w:link w:val="Heading7"/>
    <w:rsid w:val="00BA68A6"/>
    <w:rPr>
      <w:rFonts w:eastAsia="Times New Roman"/>
      <w:i/>
      <w:iCs/>
      <w:sz w:val="24"/>
      <w:lang w:eastAsia="en-US"/>
    </w:rPr>
  </w:style>
  <w:style w:type="character" w:customStyle="1" w:styleId="Heading8Char">
    <w:name w:val="Heading 8 Char"/>
    <w:basedOn w:val="DefaultParagraphFont"/>
    <w:link w:val="Heading8"/>
    <w:rsid w:val="00BA68A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BA68A6"/>
    <w:rPr>
      <w:rFonts w:eastAsia="Times New Roman"/>
      <w:b/>
      <w:bCs/>
      <w:i/>
      <w:iCs/>
      <w:sz w:val="24"/>
      <w:lang w:eastAsia="en-US"/>
    </w:rPr>
  </w:style>
  <w:style w:type="paragraph" w:customStyle="1" w:styleId="NORCFootnote">
    <w:name w:val="NORC Footnote"/>
    <w:basedOn w:val="Normal"/>
    <w:qFormat/>
    <w:rsid w:val="00BA68A6"/>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character" w:customStyle="1" w:styleId="HeaderChar">
    <w:name w:val="Header Char"/>
    <w:basedOn w:val="DefaultParagraphFont"/>
    <w:link w:val="Header"/>
    <w:rsid w:val="00BA68A6"/>
    <w:rPr>
      <w:rFonts w:eastAsia="Times New Roman"/>
      <w:sz w:val="24"/>
      <w:szCs w:val="24"/>
      <w:lang w:eastAsia="en-US"/>
    </w:rPr>
  </w:style>
  <w:style w:type="paragraph" w:customStyle="1" w:styleId="NORCCoverTitle">
    <w:name w:val="NORC Cover Title"/>
    <w:qFormat/>
    <w:rsid w:val="00BA68A6"/>
    <w:pPr>
      <w:spacing w:line="360" w:lineRule="auto"/>
    </w:pPr>
    <w:rPr>
      <w:rFonts w:eastAsia="Times New Roman"/>
      <w:sz w:val="56"/>
      <w:szCs w:val="24"/>
      <w:lang w:eastAsia="en-US"/>
    </w:rPr>
  </w:style>
  <w:style w:type="character" w:customStyle="1" w:styleId="NORCHeading4Inline">
    <w:name w:val="NORC Heading 4 Inline"/>
    <w:basedOn w:val="DefaultParagraphFont"/>
    <w:uiPriority w:val="1"/>
    <w:qFormat/>
    <w:rsid w:val="00BA68A6"/>
    <w:rPr>
      <w:rFonts w:ascii="Arial" w:hAnsi="Arial"/>
      <w:b/>
      <w:color w:val="F3901D"/>
      <w:sz w:val="20"/>
    </w:rPr>
  </w:style>
  <w:style w:type="paragraph" w:styleId="ListBullet">
    <w:name w:val="List Bullet"/>
    <w:basedOn w:val="Normal"/>
    <w:unhideWhenUsed/>
    <w:rsid w:val="00902F05"/>
    <w:pPr>
      <w:numPr>
        <w:numId w:val="3"/>
      </w:numPr>
      <w:spacing w:before="120"/>
    </w:pPr>
    <w:rPr>
      <w:rFonts w:eastAsiaTheme="minorEastAsia"/>
      <w:spacing w:val="-2"/>
      <w:sz w:val="22"/>
      <w:szCs w:val="22"/>
    </w:rPr>
  </w:style>
  <w:style w:type="numbering" w:customStyle="1" w:styleId="bullet1Garamond">
    <w:name w:val="bullet 1 Garamond"/>
    <w:basedOn w:val="NoList"/>
    <w:rsid w:val="00BA68A6"/>
    <w:pPr>
      <w:numPr>
        <w:numId w:val="4"/>
      </w:numPr>
    </w:pPr>
  </w:style>
  <w:style w:type="paragraph" w:customStyle="1" w:styleId="NORCBullet1TimesNewRomanSquare">
    <w:name w:val="NORC Bullet 1 (Times New Roman Square)"/>
    <w:qFormat/>
    <w:rsid w:val="00BA68A6"/>
    <w:pPr>
      <w:numPr>
        <w:numId w:val="6"/>
      </w:numPr>
      <w:spacing w:line="360" w:lineRule="auto"/>
    </w:pPr>
    <w:rPr>
      <w:rFonts w:eastAsia="Times New Roman"/>
      <w:sz w:val="22"/>
      <w:lang w:eastAsia="en-US"/>
    </w:rPr>
  </w:style>
  <w:style w:type="paragraph" w:customStyle="1" w:styleId="NORCBullet1TextTimesNewRoman">
    <w:name w:val="NORC Bullet 1 Text (Times New Roman)"/>
    <w:next w:val="Normal"/>
    <w:qFormat/>
    <w:rsid w:val="00BA68A6"/>
    <w:pPr>
      <w:spacing w:after="120" w:line="360" w:lineRule="auto"/>
      <w:ind w:left="720"/>
    </w:pPr>
    <w:rPr>
      <w:rFonts w:eastAsia="Times New Roman"/>
      <w:sz w:val="22"/>
      <w:lang w:eastAsia="en-US"/>
    </w:rPr>
  </w:style>
  <w:style w:type="paragraph" w:customStyle="1" w:styleId="NORCBullet2TimesNewRomanTriangle">
    <w:name w:val="NORC Bullet 2 (Times New Roman Triangle)"/>
    <w:qFormat/>
    <w:rsid w:val="00BA68A6"/>
    <w:pPr>
      <w:numPr>
        <w:numId w:val="5"/>
      </w:numPr>
      <w:spacing w:line="360" w:lineRule="auto"/>
    </w:pPr>
    <w:rPr>
      <w:rFonts w:eastAsia="Times New Roman"/>
      <w:sz w:val="22"/>
      <w:lang w:eastAsia="en-US"/>
    </w:rPr>
  </w:style>
  <w:style w:type="paragraph" w:customStyle="1" w:styleId="NORCBullet2TextTimesNewRoman">
    <w:name w:val="NORC Bullet 2 Text (Times New Roman)"/>
    <w:next w:val="Normal"/>
    <w:qFormat/>
    <w:rsid w:val="00BA68A6"/>
    <w:pPr>
      <w:spacing w:after="120" w:line="360" w:lineRule="auto"/>
      <w:ind w:left="720" w:firstLine="360"/>
    </w:pPr>
    <w:rPr>
      <w:rFonts w:eastAsia="Times New Roman"/>
      <w:sz w:val="22"/>
      <w:lang w:eastAsia="en-US"/>
    </w:rPr>
  </w:style>
  <w:style w:type="paragraph" w:customStyle="1" w:styleId="NORCBullet3TimesNewRomanRound">
    <w:name w:val="NORC Bullet 3 (Times New Roman Round)"/>
    <w:qFormat/>
    <w:rsid w:val="00BA68A6"/>
    <w:pPr>
      <w:numPr>
        <w:numId w:val="8"/>
      </w:numPr>
      <w:spacing w:line="360" w:lineRule="auto"/>
    </w:pPr>
    <w:rPr>
      <w:rFonts w:eastAsia="Times New Roman"/>
      <w:sz w:val="22"/>
      <w:lang w:eastAsia="en-US"/>
    </w:rPr>
  </w:style>
  <w:style w:type="paragraph" w:customStyle="1" w:styleId="NORCBullet1ArialSquare">
    <w:name w:val="NORC Bullet 1 (Arial Square)"/>
    <w:basedOn w:val="NORCBullet1TimesNewRomanSquare"/>
    <w:qFormat/>
    <w:rsid w:val="00BA68A6"/>
    <w:rPr>
      <w:rFonts w:ascii="Arial" w:hAnsi="Arial"/>
    </w:rPr>
  </w:style>
  <w:style w:type="paragraph" w:customStyle="1" w:styleId="NORCBullet1TextArial">
    <w:name w:val="NORC Bullet 1 Text (Arial)"/>
    <w:basedOn w:val="NORCBullet1TextTimesNewRoman"/>
    <w:qFormat/>
    <w:rsid w:val="00BA68A6"/>
    <w:rPr>
      <w:rFonts w:ascii="Arial" w:hAnsi="Arial"/>
    </w:rPr>
  </w:style>
  <w:style w:type="paragraph" w:customStyle="1" w:styleId="NORCBullet2ArialTriangle">
    <w:name w:val="NORC Bullet 2 (Arial Triangle)"/>
    <w:basedOn w:val="NORCBullet2TimesNewRomanTriangle"/>
    <w:qFormat/>
    <w:rsid w:val="00BA68A6"/>
    <w:rPr>
      <w:rFonts w:ascii="Arial" w:hAnsi="Arial"/>
    </w:rPr>
  </w:style>
  <w:style w:type="paragraph" w:customStyle="1" w:styleId="NORCBullet2TextArial">
    <w:name w:val="NORC Bullet 2 Text (Arial)"/>
    <w:basedOn w:val="NORCBullet2TextTimesNewRoman"/>
    <w:qFormat/>
    <w:rsid w:val="00BA68A6"/>
    <w:rPr>
      <w:rFonts w:ascii="Arial" w:hAnsi="Arial"/>
    </w:rPr>
  </w:style>
  <w:style w:type="paragraph" w:customStyle="1" w:styleId="NORCBullet3ArialRound">
    <w:name w:val="NORC Bullet 3 (Arial Round)"/>
    <w:basedOn w:val="NORCBullet3TimesNewRomanRound"/>
    <w:qFormat/>
    <w:rsid w:val="00BA68A6"/>
    <w:pPr>
      <w:numPr>
        <w:numId w:val="7"/>
      </w:numPr>
    </w:pPr>
    <w:rPr>
      <w:rFonts w:ascii="Arial" w:hAnsi="Arial"/>
    </w:rPr>
  </w:style>
  <w:style w:type="character" w:styleId="HTMLAcronym">
    <w:name w:val="HTML Acronym"/>
    <w:basedOn w:val="DefaultParagraphFont"/>
    <w:uiPriority w:val="99"/>
    <w:unhideWhenUsed/>
    <w:rsid w:val="00BA68A6"/>
  </w:style>
  <w:style w:type="paragraph" w:customStyle="1" w:styleId="ExhibitCaption">
    <w:name w:val="Exhibit Caption"/>
    <w:qFormat/>
    <w:rsid w:val="00BA68A6"/>
    <w:pPr>
      <w:keepNext/>
      <w:pBdr>
        <w:top w:val="single" w:sz="4" w:space="5" w:color="BFB6AC"/>
        <w:bottom w:val="single" w:sz="4" w:space="3" w:color="BFB6AC"/>
      </w:pBdr>
      <w:tabs>
        <w:tab w:val="left" w:pos="1224"/>
      </w:tabs>
      <w:spacing w:after="240"/>
    </w:pPr>
    <w:rPr>
      <w:rFonts w:ascii="Arial" w:eastAsia="Times New Roman" w:hAnsi="Arial" w:cs="Arial"/>
      <w:color w:val="000000" w:themeColor="text1"/>
      <w:sz w:val="24"/>
      <w:szCs w:val="24"/>
      <w:lang w:eastAsia="en-US"/>
    </w:rPr>
  </w:style>
  <w:style w:type="paragraph" w:styleId="Title">
    <w:name w:val="Title"/>
    <w:basedOn w:val="Normal"/>
    <w:next w:val="Normal"/>
    <w:link w:val="TitleChar"/>
    <w:qFormat/>
    <w:rsid w:val="00AC2355"/>
    <w:pPr>
      <w:jc w:val="center"/>
    </w:pPr>
    <w:rPr>
      <w:b/>
      <w:sz w:val="56"/>
      <w:szCs w:val="56"/>
    </w:rPr>
  </w:style>
  <w:style w:type="character" w:customStyle="1" w:styleId="TitleChar">
    <w:name w:val="Title Char"/>
    <w:basedOn w:val="DefaultParagraphFont"/>
    <w:link w:val="Title"/>
    <w:rsid w:val="00AC2355"/>
    <w:rPr>
      <w:rFonts w:eastAsia="Times New Roman"/>
      <w:b/>
      <w:sz w:val="56"/>
      <w:szCs w:val="56"/>
      <w:lang w:eastAsia="en-US"/>
    </w:rPr>
  </w:style>
  <w:style w:type="paragraph" w:styleId="TableofFigures">
    <w:name w:val="table of figures"/>
    <w:basedOn w:val="Normal"/>
    <w:next w:val="Normal"/>
    <w:uiPriority w:val="99"/>
    <w:unhideWhenUsed/>
    <w:rsid w:val="00BA68A6"/>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BA68A6"/>
    <w:pPr>
      <w:numPr>
        <w:numId w:val="0"/>
      </w:numPr>
      <w:ind w:left="1440"/>
    </w:pPr>
  </w:style>
  <w:style w:type="paragraph" w:customStyle="1" w:styleId="NORCBullet3TextArial">
    <w:name w:val="NORC Bullet 3 Text (Arial)"/>
    <w:basedOn w:val="NORCBullet3ArialRound"/>
    <w:qFormat/>
    <w:rsid w:val="00BA68A6"/>
    <w:pPr>
      <w:numPr>
        <w:numId w:val="0"/>
      </w:numPr>
      <w:ind w:left="1440"/>
    </w:pPr>
  </w:style>
  <w:style w:type="paragraph" w:customStyle="1" w:styleId="NORCCoverVolume">
    <w:name w:val="NORC Cover Volume"/>
    <w:next w:val="Title"/>
    <w:qFormat/>
    <w:rsid w:val="00BA68A6"/>
    <w:pPr>
      <w:spacing w:after="800"/>
    </w:pPr>
    <w:rPr>
      <w:rFonts w:ascii="Arial" w:eastAsia="Times New Roman" w:hAnsi="Arial"/>
      <w:b/>
      <w:caps/>
      <w:color w:val="FFFFFF"/>
      <w:spacing w:val="94"/>
      <w:sz w:val="36"/>
      <w:szCs w:val="24"/>
      <w:lang w:eastAsia="en-US"/>
    </w:rPr>
  </w:style>
  <w:style w:type="paragraph" w:customStyle="1" w:styleId="NORCCoverAddressInformation">
    <w:name w:val="NORC Cover Address Information"/>
    <w:qFormat/>
    <w:rsid w:val="00BA68A6"/>
    <w:pPr>
      <w:autoSpaceDE w:val="0"/>
      <w:autoSpaceDN w:val="0"/>
      <w:adjustRightInd w:val="0"/>
      <w:spacing w:after="60"/>
      <w:textAlignment w:val="center"/>
    </w:pPr>
    <w:rPr>
      <w:rFonts w:eastAsia="Times New Roman" w:cs="AGaramond-Regular"/>
      <w:color w:val="000000"/>
      <w:sz w:val="24"/>
      <w:szCs w:val="22"/>
      <w:lang w:eastAsia="en-US" w:bidi="en-US"/>
    </w:rPr>
  </w:style>
  <w:style w:type="paragraph" w:customStyle="1" w:styleId="NORCPresentedto">
    <w:name w:val="NORC Presented to"/>
    <w:qFormat/>
    <w:rsid w:val="00BA68A6"/>
    <w:pPr>
      <w:widowControl w:val="0"/>
      <w:autoSpaceDE w:val="0"/>
      <w:autoSpaceDN w:val="0"/>
      <w:adjustRightInd w:val="0"/>
      <w:spacing w:after="60"/>
      <w:textAlignment w:val="center"/>
    </w:pPr>
    <w:rPr>
      <w:rFonts w:ascii="Arial" w:eastAsia="Times New Roman" w:hAnsi="Arial" w:cs="ArialMT"/>
      <w:caps/>
      <w:color w:val="FFFFFF"/>
      <w:spacing w:val="10"/>
      <w:sz w:val="24"/>
      <w:szCs w:val="24"/>
      <w:lang w:eastAsia="en-US" w:bidi="en-US"/>
    </w:rPr>
  </w:style>
  <w:style w:type="paragraph" w:customStyle="1" w:styleId="NORCCoverDate">
    <w:name w:val="NORC Cover Date"/>
    <w:qFormat/>
    <w:rsid w:val="00BA68A6"/>
    <w:pPr>
      <w:spacing w:after="60"/>
    </w:pPr>
    <w:rPr>
      <w:rFonts w:ascii="Arial" w:eastAsia="Times New Roman" w:hAnsi="Arial" w:cs="ArialMT"/>
      <w:caps/>
      <w:color w:val="000000"/>
      <w:spacing w:val="10"/>
      <w:sz w:val="22"/>
      <w:szCs w:val="24"/>
      <w:lang w:eastAsia="en-US" w:bidi="en-US"/>
    </w:rPr>
  </w:style>
  <w:style w:type="character" w:customStyle="1" w:styleId="ExhibitLabelOrange">
    <w:name w:val="Exhibit Label Orange"/>
    <w:basedOn w:val="DefaultParagraphFont"/>
    <w:uiPriority w:val="1"/>
    <w:qFormat/>
    <w:rsid w:val="00BA68A6"/>
    <w:rPr>
      <w:b/>
      <w:color w:val="F3901D"/>
    </w:rPr>
  </w:style>
  <w:style w:type="paragraph" w:customStyle="1" w:styleId="TableHeader1">
    <w:name w:val="Table Header 1"/>
    <w:basedOn w:val="Normal"/>
    <w:qFormat/>
    <w:rsid w:val="00BA68A6"/>
    <w:pPr>
      <w:jc w:val="center"/>
    </w:pPr>
    <w:rPr>
      <w:rFonts w:ascii="Arial" w:eastAsiaTheme="minorEastAsia" w:hAnsi="Arial" w:cs="Arial"/>
      <w:b/>
      <w:sz w:val="22"/>
      <w:szCs w:val="22"/>
    </w:rPr>
  </w:style>
  <w:style w:type="paragraph" w:customStyle="1" w:styleId="TableHeader2">
    <w:name w:val="Table Header 2"/>
    <w:basedOn w:val="Normal"/>
    <w:qFormat/>
    <w:rsid w:val="00BA68A6"/>
    <w:rPr>
      <w:rFonts w:ascii="Arial" w:eastAsiaTheme="minorEastAsia" w:hAnsi="Arial" w:cs="Arial"/>
      <w:b/>
      <w:sz w:val="18"/>
      <w:szCs w:val="18"/>
    </w:rPr>
  </w:style>
  <w:style w:type="paragraph" w:customStyle="1" w:styleId="TableBodyCopy">
    <w:name w:val="Table Body Copy"/>
    <w:basedOn w:val="Normal"/>
    <w:qFormat/>
    <w:rsid w:val="00BA68A6"/>
    <w:pPr>
      <w:jc w:val="center"/>
    </w:pPr>
    <w:rPr>
      <w:rFonts w:ascii="Arial" w:eastAsiaTheme="minorEastAsia" w:hAnsi="Arial" w:cs="Arial"/>
      <w:sz w:val="18"/>
      <w:szCs w:val="18"/>
    </w:rPr>
  </w:style>
  <w:style w:type="paragraph" w:customStyle="1" w:styleId="NORCExhibitCaption">
    <w:name w:val="NORC Exhibit Caption"/>
    <w:basedOn w:val="ExhibitCaption"/>
    <w:qFormat/>
    <w:rsid w:val="00BA68A6"/>
  </w:style>
  <w:style w:type="paragraph" w:customStyle="1" w:styleId="NORCTableSubheadCenterArialBold">
    <w:name w:val="NORC Table Subhead Center  (Arial Bold)"/>
    <w:rsid w:val="00BA68A6"/>
    <w:pPr>
      <w:keepNext/>
      <w:spacing w:before="80" w:after="80"/>
      <w:jc w:val="center"/>
    </w:pPr>
    <w:rPr>
      <w:rFonts w:ascii="Arial" w:eastAsia="Times New Roman" w:hAnsi="Arial"/>
      <w:b/>
      <w:color w:val="000000"/>
      <w:lang w:eastAsia="en-US"/>
    </w:rPr>
  </w:style>
  <w:style w:type="paragraph" w:customStyle="1" w:styleId="NORCTableBodyLeftArial10pt">
    <w:name w:val="NORC Table Body Left (Arial 10pt)"/>
    <w:rsid w:val="00BA68A6"/>
    <w:pPr>
      <w:spacing w:before="40" w:after="40"/>
    </w:pPr>
    <w:rPr>
      <w:rFonts w:ascii="Arial" w:eastAsia="Times New Roman" w:hAnsi="Arial"/>
      <w:color w:val="000000"/>
      <w:lang w:eastAsia="en-US"/>
    </w:rPr>
  </w:style>
  <w:style w:type="character" w:customStyle="1" w:styleId="NORCExhibitCaptionOrangeOnly">
    <w:name w:val="NORC Exhibit Caption Orange Only"/>
    <w:basedOn w:val="DefaultParagraphFont"/>
    <w:qFormat/>
    <w:rsid w:val="00BA68A6"/>
    <w:rPr>
      <w:rFonts w:ascii="Arial" w:hAnsi="Arial"/>
      <w:b/>
      <w:color w:val="F3901D"/>
      <w:sz w:val="24"/>
    </w:rPr>
  </w:style>
  <w:style w:type="paragraph" w:customStyle="1" w:styleId="NORCTableBody">
    <w:name w:val="NORC Table Body"/>
    <w:basedOn w:val="Normal"/>
    <w:qFormat/>
    <w:rsid w:val="00BA68A6"/>
    <w:pPr>
      <w:spacing w:before="40" w:after="40"/>
      <w:jc w:val="center"/>
    </w:pPr>
    <w:rPr>
      <w:rFonts w:ascii="Arial" w:eastAsiaTheme="minorEastAsia" w:hAnsi="Arial"/>
      <w:sz w:val="20"/>
    </w:rPr>
  </w:style>
  <w:style w:type="paragraph" w:customStyle="1" w:styleId="NORCTableHeader1">
    <w:name w:val="NORC Table Header 1"/>
    <w:basedOn w:val="Normal"/>
    <w:qFormat/>
    <w:rsid w:val="00BA68A6"/>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BA68A6"/>
    <w:rPr>
      <w:rFonts w:ascii="Arial Narrow" w:hAnsi="Arial Narrow"/>
      <w:b/>
      <w:smallCaps/>
    </w:rPr>
  </w:style>
  <w:style w:type="paragraph" w:styleId="List">
    <w:name w:val="List"/>
    <w:basedOn w:val="Normal"/>
    <w:rsid w:val="00BA68A6"/>
    <w:pPr>
      <w:spacing w:after="240"/>
      <w:ind w:left="360" w:hanging="360"/>
    </w:pPr>
    <w:rPr>
      <w:rFonts w:ascii="Garamond" w:hAnsi="Garamond"/>
    </w:rPr>
  </w:style>
  <w:style w:type="character" w:styleId="Strong">
    <w:name w:val="Strong"/>
    <w:basedOn w:val="DefaultParagraphFont"/>
    <w:qFormat/>
    <w:rsid w:val="00BA68A6"/>
    <w:rPr>
      <w:b/>
      <w:bCs/>
    </w:rPr>
  </w:style>
  <w:style w:type="paragraph" w:customStyle="1" w:styleId="Style1">
    <w:name w:val="Style1"/>
    <w:basedOn w:val="Normal"/>
    <w:rsid w:val="00BA68A6"/>
    <w:pPr>
      <w:numPr>
        <w:numId w:val="9"/>
      </w:numPr>
    </w:pPr>
    <w:rPr>
      <w:rFonts w:ascii="Garamond" w:hAnsi="Garamond"/>
    </w:rPr>
  </w:style>
  <w:style w:type="paragraph" w:customStyle="1" w:styleId="NormalArial">
    <w:name w:val="Normal + Arial"/>
    <w:aliases w:val="Bold"/>
    <w:basedOn w:val="BodyText"/>
    <w:rsid w:val="00BA68A6"/>
    <w:pPr>
      <w:spacing w:after="160" w:line="276" w:lineRule="auto"/>
    </w:pPr>
    <w:rPr>
      <w:rFonts w:ascii="Garamond" w:hAnsi="Garamond"/>
      <w:color w:val="auto"/>
      <w:szCs w:val="24"/>
    </w:rPr>
  </w:style>
  <w:style w:type="paragraph" w:customStyle="1" w:styleId="NormalTNR">
    <w:name w:val="Normal TNR"/>
    <w:basedOn w:val="Normal"/>
    <w:link w:val="NormalTNRChar"/>
    <w:qFormat/>
    <w:rsid w:val="00BA68A6"/>
    <w:rPr>
      <w:rFonts w:eastAsiaTheme="minorHAnsi"/>
    </w:rPr>
  </w:style>
  <w:style w:type="character" w:customStyle="1" w:styleId="NormalTNRChar">
    <w:name w:val="Normal TNR Char"/>
    <w:basedOn w:val="DefaultParagraphFont"/>
    <w:link w:val="NormalTNR"/>
    <w:rsid w:val="00BA68A6"/>
    <w:rPr>
      <w:rFonts w:eastAsiaTheme="minorHAnsi"/>
      <w:sz w:val="24"/>
      <w:szCs w:val="24"/>
      <w:lang w:eastAsia="en-US"/>
    </w:rPr>
  </w:style>
  <w:style w:type="paragraph" w:customStyle="1" w:styleId="NORCProposoalBody12ptGaramond">
    <w:name w:val="NORC Proposoal Body 12pt Garamond"/>
    <w:basedOn w:val="Normal"/>
    <w:qFormat/>
    <w:rsid w:val="00BA68A6"/>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BA68A6"/>
    <w:pPr>
      <w:tabs>
        <w:tab w:val="left" w:pos="144"/>
      </w:tabs>
      <w:spacing w:before="20" w:after="20"/>
    </w:pPr>
    <w:rPr>
      <w:rFonts w:ascii="Arial" w:eastAsia="Times New Roman" w:hAnsi="Arial"/>
      <w:color w:val="000000"/>
      <w:sz w:val="17"/>
      <w:lang w:eastAsia="en-US"/>
    </w:rPr>
  </w:style>
  <w:style w:type="paragraph" w:customStyle="1" w:styleId="NORCProposalBody10potGaramond">
    <w:name w:val="NORC Proposal Body 10pot Garamond"/>
    <w:basedOn w:val="Normal"/>
    <w:qFormat/>
    <w:rsid w:val="00BA68A6"/>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BA68A6"/>
    <w:rPr>
      <w:rFonts w:ascii="Arial" w:hAnsi="Arial"/>
      <w:b/>
      <w:color w:val="72A492"/>
      <w:sz w:val="20"/>
    </w:rPr>
  </w:style>
  <w:style w:type="paragraph" w:styleId="BodyText2">
    <w:name w:val="Body Text 2"/>
    <w:basedOn w:val="Normal"/>
    <w:link w:val="BodyText2Char"/>
    <w:rsid w:val="00BA68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BA68A6"/>
    <w:rPr>
      <w:rFonts w:eastAsia="Times New Roman"/>
      <w:sz w:val="24"/>
      <w:lang w:eastAsia="en-US"/>
    </w:rPr>
  </w:style>
  <w:style w:type="character" w:customStyle="1" w:styleId="PlainTextChar">
    <w:name w:val="Plain Text Char"/>
    <w:basedOn w:val="DefaultParagraphFont"/>
    <w:link w:val="PlainText"/>
    <w:uiPriority w:val="99"/>
    <w:rsid w:val="00BA68A6"/>
    <w:rPr>
      <w:rFonts w:ascii="Consolas" w:hAnsi="Consolas"/>
      <w:sz w:val="21"/>
      <w:szCs w:val="21"/>
      <w:lang w:eastAsia="en-US"/>
    </w:rPr>
  </w:style>
  <w:style w:type="paragraph" w:customStyle="1" w:styleId="qry">
    <w:name w:val="qry"/>
    <w:basedOn w:val="Normal"/>
    <w:rsid w:val="00BA68A6"/>
    <w:pPr>
      <w:spacing w:before="100" w:beforeAutospacing="1" w:after="100" w:afterAutospacing="1"/>
    </w:pPr>
    <w:rPr>
      <w:b/>
      <w:bCs/>
    </w:rPr>
  </w:style>
  <w:style w:type="paragraph" w:customStyle="1" w:styleId="ans">
    <w:name w:val="ans"/>
    <w:basedOn w:val="Normal"/>
    <w:rsid w:val="00BA68A6"/>
    <w:pPr>
      <w:spacing w:before="100" w:beforeAutospacing="1" w:after="100" w:afterAutospacing="1"/>
    </w:pPr>
  </w:style>
  <w:style w:type="paragraph" w:customStyle="1" w:styleId="Explanation">
    <w:name w:val="Explanation"/>
    <w:basedOn w:val="Normal"/>
    <w:rsid w:val="00BA68A6"/>
    <w:pPr>
      <w:widowControl w:val="0"/>
      <w:ind w:left="720"/>
    </w:pPr>
    <w:rPr>
      <w:snapToGrid w:val="0"/>
      <w:sz w:val="22"/>
      <w:szCs w:val="20"/>
    </w:rPr>
  </w:style>
  <w:style w:type="paragraph" w:styleId="NormalWeb">
    <w:name w:val="Normal (Web)"/>
    <w:basedOn w:val="Normal"/>
    <w:rsid w:val="00BA68A6"/>
    <w:pPr>
      <w:spacing w:before="100" w:beforeAutospacing="1" w:after="100" w:afterAutospacing="1"/>
    </w:pPr>
  </w:style>
  <w:style w:type="paragraph" w:styleId="IntenseQuote">
    <w:name w:val="Intense Quote"/>
    <w:basedOn w:val="Normal"/>
    <w:next w:val="Normal"/>
    <w:link w:val="IntenseQuoteChar"/>
    <w:uiPriority w:val="30"/>
    <w:qFormat/>
    <w:rsid w:val="00BA68A6"/>
    <w:pPr>
      <w:pBdr>
        <w:bottom w:val="single" w:sz="4" w:space="4" w:color="4F81BD" w:themeColor="accent1"/>
      </w:pBdr>
      <w:spacing w:before="200" w:after="280"/>
      <w:ind w:left="936" w:right="936"/>
    </w:pPr>
    <w:rPr>
      <w:rFonts w:ascii="Garamond" w:hAnsi="Garamond"/>
      <w:b/>
      <w:bCs/>
      <w:i/>
      <w:iCs/>
      <w:color w:val="4F81BD" w:themeColor="accent1"/>
    </w:rPr>
  </w:style>
  <w:style w:type="character" w:customStyle="1" w:styleId="IntenseQuoteChar">
    <w:name w:val="Intense Quote Char"/>
    <w:basedOn w:val="DefaultParagraphFont"/>
    <w:link w:val="IntenseQuote"/>
    <w:uiPriority w:val="30"/>
    <w:rsid w:val="00BA68A6"/>
    <w:rPr>
      <w:rFonts w:ascii="Garamond" w:eastAsia="Times New Roman" w:hAnsi="Garamond"/>
      <w:b/>
      <w:bCs/>
      <w:i/>
      <w:iCs/>
      <w:color w:val="4F81BD" w:themeColor="accent1"/>
      <w:sz w:val="24"/>
      <w:szCs w:val="24"/>
      <w:lang w:eastAsia="en-US"/>
    </w:rPr>
  </w:style>
  <w:style w:type="character" w:styleId="IntenseEmphasis">
    <w:name w:val="Intense Emphasis"/>
    <w:basedOn w:val="DefaultParagraphFont"/>
    <w:uiPriority w:val="21"/>
    <w:qFormat/>
    <w:rsid w:val="00BA68A6"/>
    <w:rPr>
      <w:b/>
      <w:bCs/>
      <w:i/>
      <w:iCs/>
      <w:color w:val="4F81BD" w:themeColor="accent1"/>
    </w:rPr>
  </w:style>
  <w:style w:type="paragraph" w:styleId="Subtitle">
    <w:name w:val="Subtitle"/>
    <w:basedOn w:val="Normal"/>
    <w:next w:val="Normal"/>
    <w:link w:val="SubtitleChar"/>
    <w:qFormat/>
    <w:rsid w:val="00BA6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8A6"/>
    <w:rPr>
      <w:rFonts w:asciiTheme="majorHAnsi" w:eastAsiaTheme="majorEastAsia" w:hAnsiTheme="majorHAnsi" w:cstheme="majorBidi"/>
      <w:i/>
      <w:iCs/>
      <w:color w:val="4F81BD" w:themeColor="accent1"/>
      <w:spacing w:val="15"/>
      <w:sz w:val="24"/>
      <w:szCs w:val="24"/>
      <w:lang w:eastAsia="en-US"/>
    </w:rPr>
  </w:style>
  <w:style w:type="paragraph" w:styleId="TOC8">
    <w:name w:val="toc 8"/>
    <w:basedOn w:val="Normal"/>
    <w:next w:val="Normal"/>
    <w:semiHidden/>
    <w:rsid w:val="00BA68A6"/>
    <w:pPr>
      <w:tabs>
        <w:tab w:val="right" w:pos="9360"/>
      </w:tabs>
      <w:ind w:left="720" w:hanging="720"/>
    </w:pPr>
    <w:rPr>
      <w:rFonts w:ascii="CG Times" w:hAnsi="CG Times"/>
      <w:szCs w:val="20"/>
    </w:rPr>
  </w:style>
  <w:style w:type="paragraph" w:styleId="TOC7">
    <w:name w:val="toc 7"/>
    <w:basedOn w:val="Normal"/>
    <w:next w:val="Normal"/>
    <w:semiHidden/>
    <w:rsid w:val="00BA68A6"/>
    <w:pPr>
      <w:ind w:left="720" w:hanging="720"/>
    </w:pPr>
    <w:rPr>
      <w:rFonts w:ascii="CG Times" w:hAnsi="CG Times"/>
      <w:szCs w:val="20"/>
    </w:rPr>
  </w:style>
  <w:style w:type="paragraph" w:styleId="TOC6">
    <w:name w:val="toc 6"/>
    <w:basedOn w:val="Normal"/>
    <w:next w:val="Normal"/>
    <w:semiHidden/>
    <w:rsid w:val="00BA68A6"/>
    <w:pPr>
      <w:tabs>
        <w:tab w:val="right" w:pos="9360"/>
      </w:tabs>
      <w:ind w:left="720" w:hanging="720"/>
    </w:pPr>
    <w:rPr>
      <w:rFonts w:ascii="CG Times" w:hAnsi="CG Times"/>
      <w:szCs w:val="20"/>
    </w:rPr>
  </w:style>
  <w:style w:type="paragraph" w:styleId="TOC5">
    <w:name w:val="toc 5"/>
    <w:basedOn w:val="Normal"/>
    <w:next w:val="Normal"/>
    <w:semiHidden/>
    <w:rsid w:val="00BA68A6"/>
    <w:pPr>
      <w:tabs>
        <w:tab w:val="right" w:leader="dot" w:pos="9360"/>
      </w:tabs>
      <w:ind w:left="3600" w:right="720" w:hanging="720"/>
    </w:pPr>
    <w:rPr>
      <w:rFonts w:ascii="CG Times" w:hAnsi="CG Times"/>
      <w:szCs w:val="20"/>
    </w:rPr>
  </w:style>
  <w:style w:type="paragraph" w:styleId="TOC4">
    <w:name w:val="toc 4"/>
    <w:basedOn w:val="Normal"/>
    <w:next w:val="Normal"/>
    <w:semiHidden/>
    <w:rsid w:val="00BA68A6"/>
    <w:pPr>
      <w:tabs>
        <w:tab w:val="right" w:leader="dot" w:pos="9360"/>
      </w:tabs>
      <w:ind w:left="2880" w:right="720" w:hanging="720"/>
    </w:pPr>
    <w:rPr>
      <w:rFonts w:ascii="CG Times" w:hAnsi="CG Times"/>
      <w:szCs w:val="20"/>
    </w:rPr>
  </w:style>
  <w:style w:type="paragraph" w:styleId="Index2">
    <w:name w:val="index 2"/>
    <w:basedOn w:val="Normal"/>
    <w:next w:val="Normal"/>
    <w:semiHidden/>
    <w:rsid w:val="00BA68A6"/>
    <w:pPr>
      <w:tabs>
        <w:tab w:val="right" w:leader="dot" w:pos="9360"/>
      </w:tabs>
      <w:ind w:left="1440" w:right="720" w:hanging="720"/>
    </w:pPr>
    <w:rPr>
      <w:rFonts w:ascii="CG Times" w:hAnsi="CG Times"/>
      <w:szCs w:val="20"/>
    </w:rPr>
  </w:style>
  <w:style w:type="paragraph" w:styleId="Index1">
    <w:name w:val="index 1"/>
    <w:basedOn w:val="Normal"/>
    <w:next w:val="Normal"/>
    <w:semiHidden/>
    <w:rsid w:val="00BA68A6"/>
    <w:pPr>
      <w:tabs>
        <w:tab w:val="right" w:leader="dot" w:pos="9360"/>
      </w:tabs>
      <w:ind w:left="1440" w:right="720" w:hanging="1440"/>
    </w:pPr>
    <w:rPr>
      <w:rFonts w:ascii="CG Times" w:hAnsi="CG Times"/>
      <w:szCs w:val="20"/>
    </w:rPr>
  </w:style>
  <w:style w:type="paragraph" w:customStyle="1" w:styleId="EndnoteText1">
    <w:name w:val="Endnote Text1"/>
    <w:basedOn w:val="Normal"/>
    <w:rsid w:val="00BA68A6"/>
    <w:pPr>
      <w:ind w:left="1440"/>
    </w:pPr>
    <w:rPr>
      <w:rFonts w:ascii="CG Times" w:hAnsi="CG Times"/>
      <w:szCs w:val="20"/>
    </w:rPr>
  </w:style>
  <w:style w:type="paragraph" w:customStyle="1" w:styleId="TOC91">
    <w:name w:val="TOC 91"/>
    <w:basedOn w:val="Normal"/>
    <w:next w:val="Normal"/>
    <w:rsid w:val="00BA68A6"/>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BA68A6"/>
    <w:pPr>
      <w:tabs>
        <w:tab w:val="right" w:pos="9360"/>
      </w:tabs>
      <w:ind w:left="1440"/>
    </w:pPr>
    <w:rPr>
      <w:rFonts w:ascii="CG Times" w:hAnsi="CG Times"/>
      <w:szCs w:val="20"/>
    </w:rPr>
  </w:style>
  <w:style w:type="paragraph" w:customStyle="1" w:styleId="Caption1">
    <w:name w:val="Caption1"/>
    <w:basedOn w:val="Normal"/>
    <w:next w:val="Normal"/>
    <w:rsid w:val="00BA68A6"/>
    <w:pPr>
      <w:ind w:left="1440"/>
    </w:pPr>
    <w:rPr>
      <w:rFonts w:ascii="CG Times" w:hAnsi="CG Times"/>
      <w:szCs w:val="20"/>
    </w:rPr>
  </w:style>
  <w:style w:type="paragraph" w:customStyle="1" w:styleId="P1-StandPara">
    <w:name w:val="P1-Stand Para"/>
    <w:uiPriority w:val="99"/>
    <w:rsid w:val="00BA68A6"/>
    <w:pPr>
      <w:spacing w:line="360" w:lineRule="atLeast"/>
      <w:ind w:firstLine="1152"/>
      <w:jc w:val="both"/>
    </w:pPr>
    <w:rPr>
      <w:rFonts w:eastAsia="Times New Roman"/>
      <w:sz w:val="22"/>
      <w:lang w:eastAsia="en-US"/>
    </w:rPr>
  </w:style>
  <w:style w:type="paragraph" w:styleId="BodyTextIndent">
    <w:name w:val="Body Text Indent"/>
    <w:basedOn w:val="Normal"/>
    <w:link w:val="BodyTextIndentChar"/>
    <w:semiHidden/>
    <w:rsid w:val="00BA68A6"/>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BA68A6"/>
    <w:rPr>
      <w:rFonts w:ascii="CG Times" w:eastAsia="Times New Roman" w:hAnsi="CG Times"/>
      <w:sz w:val="24"/>
      <w:lang w:eastAsia="en-US"/>
    </w:rPr>
  </w:style>
  <w:style w:type="paragraph" w:styleId="BodyTextIndent2">
    <w:name w:val="Body Text Indent 2"/>
    <w:basedOn w:val="Normal"/>
    <w:link w:val="BodyTextIndent2Char"/>
    <w:semiHidden/>
    <w:rsid w:val="00BA68A6"/>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BA68A6"/>
    <w:rPr>
      <w:rFonts w:ascii="CG Times" w:eastAsia="Times New Roman" w:hAnsi="CG Times"/>
      <w:sz w:val="24"/>
      <w:lang w:eastAsia="en-US"/>
    </w:rPr>
  </w:style>
  <w:style w:type="paragraph" w:styleId="BodyTextIndent3">
    <w:name w:val="Body Text Indent 3"/>
    <w:basedOn w:val="Normal"/>
    <w:link w:val="BodyTextIndent3Char"/>
    <w:semiHidden/>
    <w:rsid w:val="00BA68A6"/>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BA68A6"/>
    <w:rPr>
      <w:rFonts w:ascii="CG Times" w:eastAsia="Times New Roman" w:hAnsi="CG Times"/>
      <w:sz w:val="24"/>
      <w:lang w:eastAsia="en-US"/>
    </w:rPr>
  </w:style>
  <w:style w:type="paragraph" w:styleId="ListNumber">
    <w:name w:val="List Number"/>
    <w:basedOn w:val="List"/>
    <w:semiHidden/>
    <w:rsid w:val="00BA68A6"/>
    <w:pPr>
      <w:numPr>
        <w:numId w:val="12"/>
      </w:numPr>
      <w:spacing w:line="240" w:lineRule="atLeast"/>
      <w:jc w:val="both"/>
    </w:pPr>
    <w:rPr>
      <w:rFonts w:ascii="Arial" w:hAnsi="Arial"/>
      <w:spacing w:val="-5"/>
      <w:sz w:val="20"/>
      <w:szCs w:val="20"/>
    </w:rPr>
  </w:style>
  <w:style w:type="paragraph" w:styleId="TOC9">
    <w:name w:val="toc 9"/>
    <w:basedOn w:val="Normal"/>
    <w:next w:val="Normal"/>
    <w:autoRedefine/>
    <w:semiHidden/>
    <w:rsid w:val="00BA68A6"/>
    <w:pPr>
      <w:ind w:left="1920"/>
    </w:pPr>
    <w:rPr>
      <w:rFonts w:ascii="CG Times" w:hAnsi="CG Times"/>
      <w:szCs w:val="20"/>
    </w:rPr>
  </w:style>
  <w:style w:type="paragraph" w:styleId="ListBullet2">
    <w:name w:val="List Bullet 2"/>
    <w:basedOn w:val="Normal"/>
    <w:autoRedefine/>
    <w:semiHidden/>
    <w:rsid w:val="00191EE9"/>
    <w:pPr>
      <w:ind w:firstLine="360"/>
    </w:pPr>
    <w:rPr>
      <w:rFonts w:eastAsia="Calibri"/>
      <w:sz w:val="22"/>
      <w:szCs w:val="22"/>
    </w:rPr>
  </w:style>
  <w:style w:type="paragraph" w:styleId="ListContinue">
    <w:name w:val="List Continue"/>
    <w:basedOn w:val="Normal"/>
    <w:semiHidden/>
    <w:rsid w:val="00BA68A6"/>
    <w:pPr>
      <w:spacing w:after="120"/>
      <w:ind w:left="360"/>
    </w:pPr>
    <w:rPr>
      <w:rFonts w:ascii="CG Times" w:hAnsi="CG Times"/>
      <w:szCs w:val="20"/>
    </w:rPr>
  </w:style>
  <w:style w:type="paragraph" w:styleId="ListContinue2">
    <w:name w:val="List Continue 2"/>
    <w:basedOn w:val="Normal"/>
    <w:rsid w:val="00BA68A6"/>
    <w:pPr>
      <w:spacing w:after="120"/>
      <w:ind w:left="720"/>
    </w:pPr>
    <w:rPr>
      <w:rFonts w:ascii="CG Times" w:hAnsi="CG Times"/>
      <w:szCs w:val="20"/>
    </w:rPr>
  </w:style>
  <w:style w:type="paragraph" w:customStyle="1" w:styleId="InsideAddress">
    <w:name w:val="Inside Address"/>
    <w:basedOn w:val="Normal"/>
    <w:rsid w:val="00BA68A6"/>
    <w:pPr>
      <w:ind w:left="1440"/>
    </w:pPr>
    <w:rPr>
      <w:rFonts w:ascii="CG Times" w:hAnsi="CG Times"/>
      <w:szCs w:val="20"/>
    </w:rPr>
  </w:style>
  <w:style w:type="paragraph" w:customStyle="1" w:styleId="NormalSS">
    <w:name w:val="NormalSS"/>
    <w:basedOn w:val="Normal"/>
    <w:qFormat/>
    <w:rsid w:val="00BA68A6"/>
    <w:pPr>
      <w:tabs>
        <w:tab w:val="left" w:pos="432"/>
      </w:tabs>
      <w:ind w:firstLine="432"/>
      <w:jc w:val="both"/>
    </w:pPr>
    <w:rPr>
      <w:szCs w:val="20"/>
    </w:rPr>
  </w:style>
  <w:style w:type="paragraph" w:customStyle="1" w:styleId="MarkforTable">
    <w:name w:val="Mark for Table"/>
    <w:next w:val="Normal"/>
    <w:rsid w:val="00BA68A6"/>
    <w:pPr>
      <w:spacing w:line="480" w:lineRule="auto"/>
      <w:jc w:val="center"/>
    </w:pPr>
    <w:rPr>
      <w:rFonts w:eastAsia="Times New Roman"/>
      <w:caps/>
      <w:sz w:val="24"/>
      <w:lang w:eastAsia="en-US"/>
    </w:rPr>
  </w:style>
  <w:style w:type="paragraph" w:customStyle="1" w:styleId="Quicka">
    <w:name w:val="Quick a."/>
    <w:basedOn w:val="Normal"/>
    <w:rsid w:val="00BA68A6"/>
    <w:pPr>
      <w:widowControl w:val="0"/>
    </w:pPr>
    <w:rPr>
      <w:snapToGrid w:val="0"/>
      <w:szCs w:val="20"/>
    </w:rPr>
  </w:style>
  <w:style w:type="paragraph" w:styleId="BodyText3">
    <w:name w:val="Body Text 3"/>
    <w:basedOn w:val="Normal"/>
    <w:link w:val="BodyText3Char"/>
    <w:semiHidden/>
    <w:rsid w:val="00BA68A6"/>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BA68A6"/>
    <w:rPr>
      <w:rFonts w:ascii="Arial" w:eastAsia="Times New Roman" w:hAnsi="Arial" w:cs="Arial"/>
      <w:sz w:val="72"/>
      <w:szCs w:val="22"/>
      <w:lang w:eastAsia="en-US"/>
    </w:rPr>
  </w:style>
  <w:style w:type="paragraph" w:customStyle="1" w:styleId="SL-FlLftSgl">
    <w:name w:val="SL-Fl Lft Sgl"/>
    <w:rsid w:val="00BA68A6"/>
    <w:pPr>
      <w:spacing w:line="240" w:lineRule="atLeast"/>
      <w:jc w:val="both"/>
    </w:pPr>
    <w:rPr>
      <w:rFonts w:ascii="Arial" w:eastAsia="Times New Roman" w:hAnsi="Arial"/>
      <w:sz w:val="18"/>
      <w:lang w:eastAsia="en-US"/>
    </w:rPr>
  </w:style>
  <w:style w:type="paragraph" w:styleId="DocumentMap">
    <w:name w:val="Document Map"/>
    <w:basedOn w:val="Normal"/>
    <w:link w:val="DocumentMapChar"/>
    <w:semiHidden/>
    <w:rsid w:val="00BA68A6"/>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BA68A6"/>
    <w:rPr>
      <w:rFonts w:ascii="Tahoma" w:eastAsia="Times New Roman" w:hAnsi="Tahoma" w:cs="Tahoma"/>
      <w:sz w:val="24"/>
      <w:shd w:val="clear" w:color="auto" w:fill="000080"/>
      <w:lang w:eastAsia="en-US"/>
    </w:rPr>
  </w:style>
  <w:style w:type="character" w:customStyle="1" w:styleId="pageheadline1">
    <w:name w:val="pageheadline1"/>
    <w:basedOn w:val="DefaultParagraphFont"/>
    <w:rsid w:val="00BA68A6"/>
    <w:rPr>
      <w:rFonts w:ascii="Verdana" w:hAnsi="Verdana" w:hint="default"/>
      <w:b/>
      <w:bCs/>
      <w:color w:val="000000"/>
      <w:w w:val="0"/>
      <w:sz w:val="36"/>
      <w:szCs w:val="36"/>
    </w:rPr>
  </w:style>
  <w:style w:type="paragraph" w:customStyle="1" w:styleId="Bullet">
    <w:name w:val="Bullet"/>
    <w:rsid w:val="00BA68A6"/>
    <w:pPr>
      <w:spacing w:after="180"/>
      <w:ind w:left="720" w:right="360" w:hanging="288"/>
      <w:jc w:val="both"/>
    </w:pPr>
    <w:rPr>
      <w:rFonts w:eastAsia="Times New Roman"/>
      <w:sz w:val="24"/>
      <w:lang w:eastAsia="en-US"/>
    </w:rPr>
  </w:style>
  <w:style w:type="paragraph" w:customStyle="1" w:styleId="bodytext0">
    <w:name w:val="bodytext"/>
    <w:basedOn w:val="Normal"/>
    <w:rsid w:val="00BA68A6"/>
    <w:pPr>
      <w:spacing w:before="100" w:beforeAutospacing="1" w:after="100" w:afterAutospacing="1"/>
    </w:pPr>
    <w:rPr>
      <w:rFonts w:ascii="Verdana" w:hAnsi="Verdana"/>
      <w:color w:val="000000"/>
      <w:sz w:val="18"/>
      <w:szCs w:val="18"/>
    </w:rPr>
  </w:style>
  <w:style w:type="paragraph" w:customStyle="1" w:styleId="chkbox">
    <w:name w:val="chkbox"/>
    <w:basedOn w:val="Normal"/>
    <w:rsid w:val="00BA68A6"/>
    <w:pPr>
      <w:spacing w:before="167" w:after="100" w:afterAutospacing="1"/>
    </w:pPr>
    <w:rPr>
      <w:rFonts w:ascii="Arial Unicode MS" w:eastAsia="Arial Unicode MS" w:hAnsi="Arial Unicode MS"/>
    </w:rPr>
  </w:style>
  <w:style w:type="paragraph" w:customStyle="1" w:styleId="EndnoteText2">
    <w:name w:val="Endnote Text2"/>
    <w:basedOn w:val="Normal"/>
    <w:rsid w:val="00BA68A6"/>
    <w:pPr>
      <w:ind w:left="1440"/>
    </w:pPr>
    <w:rPr>
      <w:rFonts w:ascii="CG Times" w:hAnsi="CG Times"/>
      <w:szCs w:val="20"/>
    </w:rPr>
  </w:style>
  <w:style w:type="paragraph" w:customStyle="1" w:styleId="TOC92">
    <w:name w:val="TOC 92"/>
    <w:basedOn w:val="Normal"/>
    <w:next w:val="Normal"/>
    <w:rsid w:val="00BA68A6"/>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BA68A6"/>
    <w:pPr>
      <w:tabs>
        <w:tab w:val="right" w:pos="9360"/>
      </w:tabs>
      <w:ind w:left="1440"/>
    </w:pPr>
    <w:rPr>
      <w:rFonts w:ascii="CG Times" w:hAnsi="CG Times"/>
      <w:szCs w:val="20"/>
    </w:rPr>
  </w:style>
  <w:style w:type="paragraph" w:customStyle="1" w:styleId="Caption2">
    <w:name w:val="Caption2"/>
    <w:basedOn w:val="Normal"/>
    <w:next w:val="Normal"/>
    <w:rsid w:val="00BA68A6"/>
    <w:pPr>
      <w:ind w:left="1440"/>
    </w:pPr>
    <w:rPr>
      <w:rFonts w:ascii="CG Times" w:hAnsi="CG Times"/>
      <w:szCs w:val="20"/>
    </w:rPr>
  </w:style>
  <w:style w:type="paragraph" w:customStyle="1" w:styleId="QuestionHead1">
    <w:name w:val="QuestionHead1"/>
    <w:basedOn w:val="PlainText"/>
    <w:rsid w:val="00BA68A6"/>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BA68A6"/>
    <w:pPr>
      <w:ind w:firstLine="0"/>
    </w:pPr>
    <w:rPr>
      <w:b w:val="0"/>
      <w:bCs w:val="0"/>
      <w:i/>
      <w:iCs/>
    </w:rPr>
  </w:style>
  <w:style w:type="paragraph" w:customStyle="1" w:styleId="NumberedBox1">
    <w:name w:val="Numbered Box1"/>
    <w:basedOn w:val="Normal"/>
    <w:rsid w:val="00BA68A6"/>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BA68A6"/>
    <w:pPr>
      <w:ind w:left="1440"/>
    </w:pPr>
    <w:rPr>
      <w:rFonts w:ascii="CG Times" w:hAnsi="CG Times"/>
      <w:szCs w:val="20"/>
    </w:rPr>
  </w:style>
  <w:style w:type="paragraph" w:customStyle="1" w:styleId="TOC93">
    <w:name w:val="TOC 93"/>
    <w:basedOn w:val="Normal"/>
    <w:next w:val="Normal"/>
    <w:rsid w:val="00BA68A6"/>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BA68A6"/>
    <w:pPr>
      <w:tabs>
        <w:tab w:val="right" w:pos="9360"/>
      </w:tabs>
      <w:ind w:left="1440"/>
    </w:pPr>
    <w:rPr>
      <w:rFonts w:ascii="CG Times" w:hAnsi="CG Times"/>
      <w:szCs w:val="20"/>
    </w:rPr>
  </w:style>
  <w:style w:type="paragraph" w:customStyle="1" w:styleId="Caption3">
    <w:name w:val="Caption3"/>
    <w:basedOn w:val="Normal"/>
    <w:next w:val="Normal"/>
    <w:rsid w:val="00BA68A6"/>
    <w:pPr>
      <w:ind w:left="1440"/>
    </w:pPr>
    <w:rPr>
      <w:rFonts w:ascii="CG Times" w:hAnsi="CG Times"/>
      <w:szCs w:val="20"/>
    </w:rPr>
  </w:style>
  <w:style w:type="paragraph" w:customStyle="1" w:styleId="Body1">
    <w:name w:val="Body 1"/>
    <w:rsid w:val="00BA68A6"/>
    <w:pPr>
      <w:ind w:left="1440"/>
      <w:outlineLvl w:val="0"/>
    </w:pPr>
    <w:rPr>
      <w:rFonts w:ascii="Helvetica" w:eastAsia="Arial Unicode MS" w:hAnsi="Helvetica"/>
      <w:color w:val="000000"/>
      <w:sz w:val="24"/>
      <w:u w:color="000000"/>
      <w:lang w:eastAsia="en-US"/>
    </w:rPr>
  </w:style>
  <w:style w:type="paragraph" w:customStyle="1" w:styleId="citable">
    <w:name w:val="citable"/>
    <w:basedOn w:val="Normal"/>
    <w:uiPriority w:val="99"/>
    <w:rsid w:val="00BA68A6"/>
    <w:pPr>
      <w:spacing w:before="100" w:beforeAutospacing="1" w:after="100" w:afterAutospacing="1"/>
    </w:pPr>
  </w:style>
  <w:style w:type="paragraph" w:customStyle="1" w:styleId="SU-FlLftUndln">
    <w:name w:val="SU-Fl Lft Undln"/>
    <w:uiPriority w:val="99"/>
    <w:rsid w:val="00BA68A6"/>
    <w:pPr>
      <w:keepNext/>
      <w:spacing w:line="240" w:lineRule="exact"/>
    </w:pPr>
    <w:rPr>
      <w:rFonts w:eastAsia="Times New Roman"/>
      <w:sz w:val="22"/>
      <w:u w:val="single"/>
      <w:lang w:eastAsia="en-US"/>
    </w:rPr>
  </w:style>
  <w:style w:type="character" w:styleId="Emphasis">
    <w:name w:val="Emphasis"/>
    <w:uiPriority w:val="20"/>
    <w:qFormat/>
    <w:rsid w:val="00755475"/>
    <w:rPr>
      <w:sz w:val="22"/>
      <w:szCs w:val="22"/>
      <w:u w:val="single" w:color="000000"/>
    </w:rPr>
  </w:style>
  <w:style w:type="paragraph" w:styleId="ListNumber2">
    <w:name w:val="List Number 2"/>
    <w:basedOn w:val="BodyText"/>
    <w:uiPriority w:val="99"/>
    <w:unhideWhenUsed/>
    <w:rsid w:val="00421D36"/>
    <w:pPr>
      <w:spacing w:before="120"/>
      <w:ind w:left="1440" w:hanging="720"/>
    </w:pPr>
    <w:rPr>
      <w:sz w:val="22"/>
      <w:szCs w:val="22"/>
    </w:rPr>
  </w:style>
  <w:style w:type="paragraph" w:styleId="Quote">
    <w:name w:val="Quote"/>
    <w:basedOn w:val="Normal"/>
    <w:next w:val="Normal"/>
    <w:link w:val="QuoteChar"/>
    <w:uiPriority w:val="29"/>
    <w:qFormat/>
    <w:rsid w:val="00E36FC5"/>
    <w:pPr>
      <w:spacing w:before="120"/>
      <w:ind w:left="720" w:right="720"/>
    </w:pPr>
    <w:rPr>
      <w:sz w:val="22"/>
      <w:szCs w:val="22"/>
    </w:rPr>
  </w:style>
  <w:style w:type="character" w:customStyle="1" w:styleId="QuoteChar">
    <w:name w:val="Quote Char"/>
    <w:basedOn w:val="DefaultParagraphFont"/>
    <w:link w:val="Quote"/>
    <w:uiPriority w:val="29"/>
    <w:rsid w:val="00E36FC5"/>
    <w:rPr>
      <w:rFonts w:eastAsia="Times New Roman"/>
      <w:sz w:val="22"/>
      <w:szCs w:val="22"/>
      <w:lang w:eastAsia="en-US"/>
    </w:rPr>
  </w:style>
  <w:style w:type="paragraph" w:styleId="ListBullet3">
    <w:name w:val="List Bullet 3"/>
    <w:basedOn w:val="ListParagraph"/>
    <w:uiPriority w:val="99"/>
    <w:unhideWhenUsed/>
    <w:rsid w:val="00F73146"/>
    <w:pPr>
      <w:numPr>
        <w:ilvl w:val="2"/>
        <w:numId w:val="9"/>
      </w:numPr>
    </w:pPr>
    <w:rPr>
      <w:spacing w:val="2"/>
    </w:rPr>
  </w:style>
  <w:style w:type="paragraph" w:styleId="ListBullet4">
    <w:name w:val="List Bullet 4"/>
    <w:basedOn w:val="ListBullet"/>
    <w:uiPriority w:val="99"/>
    <w:unhideWhenUsed/>
    <w:rsid w:val="005E5787"/>
    <w:pPr>
      <w:spacing w:before="0"/>
    </w:pPr>
  </w:style>
  <w:style w:type="paragraph" w:styleId="NoSpacing">
    <w:name w:val="No Spacing"/>
    <w:uiPriority w:val="1"/>
    <w:qFormat/>
    <w:rsid w:val="000A4DF1"/>
    <w:rPr>
      <w:rFonts w:asciiTheme="minorHAnsi" w:eastAsiaTheme="minorHAnsi" w:hAnsiTheme="minorHAnsi" w:cstheme="minorBidi"/>
      <w:sz w:val="22"/>
      <w:szCs w:val="22"/>
      <w:lang w:eastAsia="en-US"/>
    </w:rPr>
  </w:style>
  <w:style w:type="character" w:customStyle="1" w:styleId="MemoBody">
    <w:name w:val="Memo Body"/>
    <w:basedOn w:val="DefaultParagraphFont"/>
    <w:rsid w:val="00DA3FEB"/>
    <w:rPr>
      <w:rFonts w:ascii="Times New Roman" w:hAnsi="Times New Roman"/>
      <w:sz w:val="24"/>
    </w:rPr>
  </w:style>
  <w:style w:type="paragraph" w:customStyle="1" w:styleId="Body">
    <w:name w:val="Body"/>
    <w:basedOn w:val="Normal"/>
    <w:qFormat/>
    <w:rsid w:val="00CB22F9"/>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4E10C0"/>
  </w:style>
  <w:style w:type="character" w:customStyle="1" w:styleId="bodytextChar0">
    <w:name w:val="body text Char"/>
    <w:basedOn w:val="DefaultParagraphFont"/>
    <w:link w:val="BodyText1"/>
    <w:rsid w:val="000A5579"/>
    <w:rPr>
      <w:sz w:val="24"/>
    </w:rPr>
  </w:style>
  <w:style w:type="paragraph" w:customStyle="1" w:styleId="BodyText1">
    <w:name w:val="Body Text1"/>
    <w:basedOn w:val="Normal"/>
    <w:link w:val="bodytextChar0"/>
    <w:rsid w:val="000A5579"/>
    <w:pPr>
      <w:spacing w:after="120" w:line="360" w:lineRule="auto"/>
      <w:ind w:firstLine="720"/>
    </w:pPr>
    <w:rPr>
      <w:rFonts w:eastAsia="Calibri"/>
      <w:szCs w:val="20"/>
      <w:lang w:eastAsia="zh-CN"/>
    </w:rPr>
  </w:style>
  <w:style w:type="paragraph" w:customStyle="1" w:styleId="EndNoteBibliography">
    <w:name w:val="EndNote Bibliography"/>
    <w:basedOn w:val="Normal"/>
    <w:link w:val="EndNoteBibliographyChar"/>
    <w:rsid w:val="009152E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152EE"/>
    <w:rPr>
      <w:rFonts w:ascii="Calibri" w:eastAsiaTheme="minorHAnsi" w:hAnsi="Calibri" w:cs="Calibri"/>
      <w:noProof/>
      <w:sz w:val="22"/>
      <w:szCs w:val="22"/>
      <w:lang w:eastAsia="en-US"/>
    </w:rPr>
  </w:style>
  <w:style w:type="character" w:customStyle="1" w:styleId="UnresolvedMention">
    <w:name w:val="Unresolved Mention"/>
    <w:basedOn w:val="DefaultParagraphFont"/>
    <w:uiPriority w:val="99"/>
    <w:semiHidden/>
    <w:unhideWhenUsed/>
    <w:rsid w:val="008E0013"/>
    <w:rPr>
      <w:color w:val="808080"/>
      <w:shd w:val="clear" w:color="auto" w:fill="E6E6E6"/>
    </w:rPr>
  </w:style>
  <w:style w:type="paragraph" w:customStyle="1" w:styleId="NORCListNumber1">
    <w:name w:val="NORC List Number 1"/>
    <w:basedOn w:val="Normal"/>
    <w:qFormat/>
    <w:rsid w:val="00B17E87"/>
    <w:pPr>
      <w:numPr>
        <w:numId w:val="94"/>
      </w:numPr>
      <w:tabs>
        <w:tab w:val="left" w:pos="-1440"/>
      </w:tabs>
      <w:spacing w:after="60" w:line="36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44357">
      <w:bodyDiv w:val="1"/>
      <w:marLeft w:val="0"/>
      <w:marRight w:val="0"/>
      <w:marTop w:val="0"/>
      <w:marBottom w:val="0"/>
      <w:divBdr>
        <w:top w:val="none" w:sz="0" w:space="0" w:color="auto"/>
        <w:left w:val="none" w:sz="0" w:space="0" w:color="auto"/>
        <w:bottom w:val="none" w:sz="0" w:space="0" w:color="auto"/>
        <w:right w:val="none" w:sz="0" w:space="0" w:color="auto"/>
      </w:divBdr>
    </w:div>
    <w:div w:id="303899084">
      <w:bodyDiv w:val="1"/>
      <w:marLeft w:val="0"/>
      <w:marRight w:val="0"/>
      <w:marTop w:val="0"/>
      <w:marBottom w:val="0"/>
      <w:divBdr>
        <w:top w:val="none" w:sz="0" w:space="0" w:color="auto"/>
        <w:left w:val="none" w:sz="0" w:space="0" w:color="auto"/>
        <w:bottom w:val="none" w:sz="0" w:space="0" w:color="auto"/>
        <w:right w:val="none" w:sz="0" w:space="0" w:color="auto"/>
      </w:divBdr>
    </w:div>
    <w:div w:id="304045438">
      <w:bodyDiv w:val="1"/>
      <w:marLeft w:val="0"/>
      <w:marRight w:val="0"/>
      <w:marTop w:val="0"/>
      <w:marBottom w:val="0"/>
      <w:divBdr>
        <w:top w:val="none" w:sz="0" w:space="0" w:color="auto"/>
        <w:left w:val="none" w:sz="0" w:space="0" w:color="auto"/>
        <w:bottom w:val="none" w:sz="0" w:space="0" w:color="auto"/>
        <w:right w:val="none" w:sz="0" w:space="0" w:color="auto"/>
      </w:divBdr>
    </w:div>
    <w:div w:id="313724470">
      <w:bodyDiv w:val="1"/>
      <w:marLeft w:val="0"/>
      <w:marRight w:val="0"/>
      <w:marTop w:val="0"/>
      <w:marBottom w:val="0"/>
      <w:divBdr>
        <w:top w:val="none" w:sz="0" w:space="0" w:color="auto"/>
        <w:left w:val="none" w:sz="0" w:space="0" w:color="auto"/>
        <w:bottom w:val="none" w:sz="0" w:space="0" w:color="auto"/>
        <w:right w:val="none" w:sz="0" w:space="0" w:color="auto"/>
      </w:divBdr>
    </w:div>
    <w:div w:id="377123585">
      <w:bodyDiv w:val="1"/>
      <w:marLeft w:val="0"/>
      <w:marRight w:val="0"/>
      <w:marTop w:val="0"/>
      <w:marBottom w:val="0"/>
      <w:divBdr>
        <w:top w:val="none" w:sz="0" w:space="0" w:color="auto"/>
        <w:left w:val="none" w:sz="0" w:space="0" w:color="auto"/>
        <w:bottom w:val="none" w:sz="0" w:space="0" w:color="auto"/>
        <w:right w:val="none" w:sz="0" w:space="0" w:color="auto"/>
      </w:divBdr>
    </w:div>
    <w:div w:id="413668614">
      <w:bodyDiv w:val="1"/>
      <w:marLeft w:val="0"/>
      <w:marRight w:val="0"/>
      <w:marTop w:val="0"/>
      <w:marBottom w:val="0"/>
      <w:divBdr>
        <w:top w:val="none" w:sz="0" w:space="0" w:color="auto"/>
        <w:left w:val="none" w:sz="0" w:space="0" w:color="auto"/>
        <w:bottom w:val="none" w:sz="0" w:space="0" w:color="auto"/>
        <w:right w:val="none" w:sz="0" w:space="0" w:color="auto"/>
      </w:divBdr>
    </w:div>
    <w:div w:id="960647129">
      <w:bodyDiv w:val="1"/>
      <w:marLeft w:val="0"/>
      <w:marRight w:val="0"/>
      <w:marTop w:val="0"/>
      <w:marBottom w:val="0"/>
      <w:divBdr>
        <w:top w:val="none" w:sz="0" w:space="0" w:color="auto"/>
        <w:left w:val="none" w:sz="0" w:space="0" w:color="auto"/>
        <w:bottom w:val="none" w:sz="0" w:space="0" w:color="auto"/>
        <w:right w:val="none" w:sz="0" w:space="0" w:color="auto"/>
      </w:divBdr>
      <w:divsChild>
        <w:div w:id="81069455">
          <w:marLeft w:val="288"/>
          <w:marRight w:val="0"/>
          <w:marTop w:val="106"/>
          <w:marBottom w:val="120"/>
          <w:divBdr>
            <w:top w:val="none" w:sz="0" w:space="0" w:color="auto"/>
            <w:left w:val="none" w:sz="0" w:space="0" w:color="auto"/>
            <w:bottom w:val="none" w:sz="0" w:space="0" w:color="auto"/>
            <w:right w:val="none" w:sz="0" w:space="0" w:color="auto"/>
          </w:divBdr>
        </w:div>
        <w:div w:id="494222573">
          <w:marLeft w:val="288"/>
          <w:marRight w:val="0"/>
          <w:marTop w:val="106"/>
          <w:marBottom w:val="120"/>
          <w:divBdr>
            <w:top w:val="none" w:sz="0" w:space="0" w:color="auto"/>
            <w:left w:val="none" w:sz="0" w:space="0" w:color="auto"/>
            <w:bottom w:val="none" w:sz="0" w:space="0" w:color="auto"/>
            <w:right w:val="none" w:sz="0" w:space="0" w:color="auto"/>
          </w:divBdr>
        </w:div>
        <w:div w:id="1638531845">
          <w:marLeft w:val="288"/>
          <w:marRight w:val="0"/>
          <w:marTop w:val="106"/>
          <w:marBottom w:val="120"/>
          <w:divBdr>
            <w:top w:val="none" w:sz="0" w:space="0" w:color="auto"/>
            <w:left w:val="none" w:sz="0" w:space="0" w:color="auto"/>
            <w:bottom w:val="none" w:sz="0" w:space="0" w:color="auto"/>
            <w:right w:val="none" w:sz="0" w:space="0" w:color="auto"/>
          </w:divBdr>
        </w:div>
        <w:div w:id="2017346456">
          <w:marLeft w:val="288"/>
          <w:marRight w:val="0"/>
          <w:marTop w:val="106"/>
          <w:marBottom w:val="120"/>
          <w:divBdr>
            <w:top w:val="none" w:sz="0" w:space="0" w:color="auto"/>
            <w:left w:val="none" w:sz="0" w:space="0" w:color="auto"/>
            <w:bottom w:val="none" w:sz="0" w:space="0" w:color="auto"/>
            <w:right w:val="none" w:sz="0" w:space="0" w:color="auto"/>
          </w:divBdr>
        </w:div>
      </w:divsChild>
    </w:div>
    <w:div w:id="969435128">
      <w:bodyDiv w:val="1"/>
      <w:marLeft w:val="0"/>
      <w:marRight w:val="0"/>
      <w:marTop w:val="0"/>
      <w:marBottom w:val="0"/>
      <w:divBdr>
        <w:top w:val="none" w:sz="0" w:space="0" w:color="auto"/>
        <w:left w:val="none" w:sz="0" w:space="0" w:color="auto"/>
        <w:bottom w:val="none" w:sz="0" w:space="0" w:color="auto"/>
        <w:right w:val="none" w:sz="0" w:space="0" w:color="auto"/>
      </w:divBdr>
    </w:div>
    <w:div w:id="997920567">
      <w:bodyDiv w:val="1"/>
      <w:marLeft w:val="0"/>
      <w:marRight w:val="0"/>
      <w:marTop w:val="0"/>
      <w:marBottom w:val="0"/>
      <w:divBdr>
        <w:top w:val="none" w:sz="0" w:space="0" w:color="auto"/>
        <w:left w:val="none" w:sz="0" w:space="0" w:color="auto"/>
        <w:bottom w:val="none" w:sz="0" w:space="0" w:color="auto"/>
        <w:right w:val="none" w:sz="0" w:space="0" w:color="auto"/>
      </w:divBdr>
      <w:divsChild>
        <w:div w:id="341126214">
          <w:marLeft w:val="547"/>
          <w:marRight w:val="0"/>
          <w:marTop w:val="240"/>
          <w:marBottom w:val="240"/>
          <w:divBdr>
            <w:top w:val="none" w:sz="0" w:space="0" w:color="auto"/>
            <w:left w:val="none" w:sz="0" w:space="0" w:color="auto"/>
            <w:bottom w:val="none" w:sz="0" w:space="0" w:color="auto"/>
            <w:right w:val="none" w:sz="0" w:space="0" w:color="auto"/>
          </w:divBdr>
        </w:div>
        <w:div w:id="353924996">
          <w:marLeft w:val="547"/>
          <w:marRight w:val="0"/>
          <w:marTop w:val="240"/>
          <w:marBottom w:val="240"/>
          <w:divBdr>
            <w:top w:val="none" w:sz="0" w:space="0" w:color="auto"/>
            <w:left w:val="none" w:sz="0" w:space="0" w:color="auto"/>
            <w:bottom w:val="none" w:sz="0" w:space="0" w:color="auto"/>
            <w:right w:val="none" w:sz="0" w:space="0" w:color="auto"/>
          </w:divBdr>
        </w:div>
        <w:div w:id="1167747317">
          <w:marLeft w:val="547"/>
          <w:marRight w:val="0"/>
          <w:marTop w:val="240"/>
          <w:marBottom w:val="240"/>
          <w:divBdr>
            <w:top w:val="none" w:sz="0" w:space="0" w:color="auto"/>
            <w:left w:val="none" w:sz="0" w:space="0" w:color="auto"/>
            <w:bottom w:val="none" w:sz="0" w:space="0" w:color="auto"/>
            <w:right w:val="none" w:sz="0" w:space="0" w:color="auto"/>
          </w:divBdr>
        </w:div>
        <w:div w:id="1699162073">
          <w:marLeft w:val="547"/>
          <w:marRight w:val="0"/>
          <w:marTop w:val="240"/>
          <w:marBottom w:val="240"/>
          <w:divBdr>
            <w:top w:val="none" w:sz="0" w:space="0" w:color="auto"/>
            <w:left w:val="none" w:sz="0" w:space="0" w:color="auto"/>
            <w:bottom w:val="none" w:sz="0" w:space="0" w:color="auto"/>
            <w:right w:val="none" w:sz="0" w:space="0" w:color="auto"/>
          </w:divBdr>
        </w:div>
      </w:divsChild>
    </w:div>
    <w:div w:id="1135022143">
      <w:bodyDiv w:val="1"/>
      <w:marLeft w:val="0"/>
      <w:marRight w:val="0"/>
      <w:marTop w:val="0"/>
      <w:marBottom w:val="0"/>
      <w:divBdr>
        <w:top w:val="none" w:sz="0" w:space="0" w:color="auto"/>
        <w:left w:val="none" w:sz="0" w:space="0" w:color="auto"/>
        <w:bottom w:val="none" w:sz="0" w:space="0" w:color="auto"/>
        <w:right w:val="none" w:sz="0" w:space="0" w:color="auto"/>
      </w:divBdr>
    </w:div>
    <w:div w:id="1139223389">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340544205">
      <w:bodyDiv w:val="1"/>
      <w:marLeft w:val="0"/>
      <w:marRight w:val="0"/>
      <w:marTop w:val="0"/>
      <w:marBottom w:val="0"/>
      <w:divBdr>
        <w:top w:val="none" w:sz="0" w:space="0" w:color="auto"/>
        <w:left w:val="none" w:sz="0" w:space="0" w:color="auto"/>
        <w:bottom w:val="none" w:sz="0" w:space="0" w:color="auto"/>
        <w:right w:val="none" w:sz="0" w:space="0" w:color="auto"/>
      </w:divBdr>
    </w:div>
    <w:div w:id="1345980702">
      <w:bodyDiv w:val="1"/>
      <w:marLeft w:val="0"/>
      <w:marRight w:val="0"/>
      <w:marTop w:val="0"/>
      <w:marBottom w:val="0"/>
      <w:divBdr>
        <w:top w:val="none" w:sz="0" w:space="0" w:color="auto"/>
        <w:left w:val="none" w:sz="0" w:space="0" w:color="auto"/>
        <w:bottom w:val="none" w:sz="0" w:space="0" w:color="auto"/>
        <w:right w:val="none" w:sz="0" w:space="0" w:color="auto"/>
      </w:divBdr>
    </w:div>
    <w:div w:id="1516843666">
      <w:bodyDiv w:val="1"/>
      <w:marLeft w:val="0"/>
      <w:marRight w:val="0"/>
      <w:marTop w:val="0"/>
      <w:marBottom w:val="0"/>
      <w:divBdr>
        <w:top w:val="none" w:sz="0" w:space="0" w:color="auto"/>
        <w:left w:val="none" w:sz="0" w:space="0" w:color="auto"/>
        <w:bottom w:val="none" w:sz="0" w:space="0" w:color="auto"/>
        <w:right w:val="none" w:sz="0" w:space="0" w:color="auto"/>
      </w:divBdr>
      <w:divsChild>
        <w:div w:id="1315338191">
          <w:marLeft w:val="288"/>
          <w:marRight w:val="0"/>
          <w:marTop w:val="110"/>
          <w:marBottom w:val="120"/>
          <w:divBdr>
            <w:top w:val="none" w:sz="0" w:space="0" w:color="auto"/>
            <w:left w:val="none" w:sz="0" w:space="0" w:color="auto"/>
            <w:bottom w:val="none" w:sz="0" w:space="0" w:color="auto"/>
            <w:right w:val="none" w:sz="0" w:space="0" w:color="auto"/>
          </w:divBdr>
        </w:div>
      </w:divsChild>
    </w:div>
    <w:div w:id="1543128038">
      <w:bodyDiv w:val="1"/>
      <w:marLeft w:val="0"/>
      <w:marRight w:val="0"/>
      <w:marTop w:val="0"/>
      <w:marBottom w:val="0"/>
      <w:divBdr>
        <w:top w:val="none" w:sz="0" w:space="0" w:color="auto"/>
        <w:left w:val="none" w:sz="0" w:space="0" w:color="auto"/>
        <w:bottom w:val="none" w:sz="0" w:space="0" w:color="auto"/>
        <w:right w:val="none" w:sz="0" w:space="0" w:color="auto"/>
      </w:divBdr>
    </w:div>
    <w:div w:id="1797287014">
      <w:bodyDiv w:val="1"/>
      <w:marLeft w:val="0"/>
      <w:marRight w:val="0"/>
      <w:marTop w:val="0"/>
      <w:marBottom w:val="0"/>
      <w:divBdr>
        <w:top w:val="none" w:sz="0" w:space="0" w:color="auto"/>
        <w:left w:val="none" w:sz="0" w:space="0" w:color="auto"/>
        <w:bottom w:val="none" w:sz="0" w:space="0" w:color="auto"/>
        <w:right w:val="none" w:sz="0" w:space="0" w:color="auto"/>
      </w:divBdr>
    </w:div>
    <w:div w:id="1957247363">
      <w:bodyDiv w:val="1"/>
      <w:marLeft w:val="0"/>
      <w:marRight w:val="0"/>
      <w:marTop w:val="0"/>
      <w:marBottom w:val="0"/>
      <w:divBdr>
        <w:top w:val="none" w:sz="0" w:space="0" w:color="auto"/>
        <w:left w:val="none" w:sz="0" w:space="0" w:color="auto"/>
        <w:bottom w:val="none" w:sz="0" w:space="0" w:color="auto"/>
        <w:right w:val="none" w:sz="0" w:space="0" w:color="auto"/>
      </w:divBdr>
    </w:div>
    <w:div w:id="1989894029">
      <w:bodyDiv w:val="1"/>
      <w:marLeft w:val="0"/>
      <w:marRight w:val="0"/>
      <w:marTop w:val="0"/>
      <w:marBottom w:val="0"/>
      <w:divBdr>
        <w:top w:val="none" w:sz="0" w:space="0" w:color="auto"/>
        <w:left w:val="none" w:sz="0" w:space="0" w:color="auto"/>
        <w:bottom w:val="none" w:sz="0" w:space="0" w:color="auto"/>
        <w:right w:val="none" w:sz="0" w:space="0" w:color="auto"/>
      </w:divBdr>
    </w:div>
    <w:div w:id="2004698901">
      <w:bodyDiv w:val="1"/>
      <w:marLeft w:val="0"/>
      <w:marRight w:val="0"/>
      <w:marTop w:val="0"/>
      <w:marBottom w:val="0"/>
      <w:divBdr>
        <w:top w:val="none" w:sz="0" w:space="0" w:color="auto"/>
        <w:left w:val="none" w:sz="0" w:space="0" w:color="auto"/>
        <w:bottom w:val="none" w:sz="0" w:space="0" w:color="auto"/>
        <w:right w:val="none" w:sz="0" w:space="0" w:color="auto"/>
      </w:divBdr>
    </w:div>
    <w:div w:id="2061905169">
      <w:bodyDiv w:val="1"/>
      <w:marLeft w:val="0"/>
      <w:marRight w:val="0"/>
      <w:marTop w:val="0"/>
      <w:marBottom w:val="0"/>
      <w:divBdr>
        <w:top w:val="none" w:sz="0" w:space="0" w:color="auto"/>
        <w:left w:val="none" w:sz="0" w:space="0" w:color="auto"/>
        <w:bottom w:val="none" w:sz="0" w:space="0" w:color="auto"/>
        <w:right w:val="none" w:sz="0" w:space="0" w:color="auto"/>
      </w:divBdr>
    </w:div>
    <w:div w:id="2074690597">
      <w:bodyDiv w:val="1"/>
      <w:marLeft w:val="0"/>
      <w:marRight w:val="0"/>
      <w:marTop w:val="0"/>
      <w:marBottom w:val="0"/>
      <w:divBdr>
        <w:top w:val="none" w:sz="0" w:space="0" w:color="auto"/>
        <w:left w:val="none" w:sz="0" w:space="0" w:color="auto"/>
        <w:bottom w:val="none" w:sz="0" w:space="0" w:color="auto"/>
        <w:right w:val="none" w:sz="0" w:space="0" w:color="auto"/>
      </w:divBdr>
    </w:div>
    <w:div w:id="20828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cid:image002.png@01D4EFBE.26F238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eading xmlns="eee2a9cf-1e9c-4118-864b-8aa4af970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213AB3211C474A8AD7EFCA8078E427" ma:contentTypeVersion="1" ma:contentTypeDescription="Create a new document." ma:contentTypeScope="" ma:versionID="3b0b049931d9974346b63f89f3d9116e">
  <xsd:schema xmlns:xsd="http://www.w3.org/2001/XMLSchema" xmlns:xs="http://www.w3.org/2001/XMLSchema" xmlns:p="http://schemas.microsoft.com/office/2006/metadata/properties" xmlns:ns2="eee2a9cf-1e9c-4118-864b-8aa4af970bea" targetNamespace="http://schemas.microsoft.com/office/2006/metadata/properties" ma:root="true" ma:fieldsID="5356f0fffe38c39e6854686f4e5b7bfc" ns2:_="">
    <xsd:import namespace="eee2a9cf-1e9c-4118-864b-8aa4af970bea"/>
    <xsd:element name="properties">
      <xsd:complexType>
        <xsd:sequence>
          <xsd:element name="documentManagement">
            <xsd:complexType>
              <xsd:all>
                <xsd:element ref="ns2:He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2a9cf-1e9c-4118-864b-8aa4af970bea" elementFormDefault="qualified">
    <xsd:import namespace="http://schemas.microsoft.com/office/2006/documentManagement/types"/>
    <xsd:import namespace="http://schemas.microsoft.com/office/infopath/2007/PartnerControls"/>
    <xsd:element name="Heading" ma:index="8" nillable="true" ma:displayName="Heading" ma:internalName="Heading"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0680-2499-4415-BBEA-74CF47323C3C}">
  <ds:schemaRefs>
    <ds:schemaRef ds:uri="http://schemas.microsoft.com/sharepoint/v3/contenttype/forms"/>
  </ds:schemaRefs>
</ds:datastoreItem>
</file>

<file path=customXml/itemProps2.xml><?xml version="1.0" encoding="utf-8"?>
<ds:datastoreItem xmlns:ds="http://schemas.openxmlformats.org/officeDocument/2006/customXml" ds:itemID="{55A11AEE-7FAF-489F-8880-BA430F54C4E4}">
  <ds:schemaRefs>
    <ds:schemaRef ds:uri="eee2a9cf-1e9c-4118-864b-8aa4af970bea"/>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73E34F-9E0C-4077-831A-661E9FE42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2a9cf-1e9c-4118-864b-8aa4af970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02C90-57CC-4CA9-BACF-AA8BF553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6768</Words>
  <Characters>38583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45261</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SYSTEM</cp:lastModifiedBy>
  <cp:revision>2</cp:revision>
  <cp:lastPrinted>2019-06-24T17:21:00Z</cp:lastPrinted>
  <dcterms:created xsi:type="dcterms:W3CDTF">2019-08-28T18:10:00Z</dcterms:created>
  <dcterms:modified xsi:type="dcterms:W3CDTF">2019-08-28T18:10:00Z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0x01010041213AB3211C474A8AD7EFCA8078E427</vt:lpwstr>
  </property>
</Properties>
</file>