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8754A" w14:textId="77777777" w:rsidR="008E3995" w:rsidRPr="008E3995" w:rsidRDefault="008E3995" w:rsidP="008E3995">
      <w:pPr>
        <w:pStyle w:val="Title"/>
        <w:ind w:firstLine="0"/>
        <w:rPr>
          <w:b w:val="0"/>
          <w:bCs/>
          <w:sz w:val="36"/>
        </w:rPr>
      </w:pPr>
      <w:bookmarkStart w:id="0" w:name="_GoBack"/>
      <w:bookmarkEnd w:id="0"/>
      <w:r w:rsidRPr="008E3995">
        <w:rPr>
          <w:b w:val="0"/>
          <w:bCs/>
          <w:sz w:val="36"/>
        </w:rPr>
        <w:t>SUPPORTING STATEMENT</w:t>
      </w:r>
    </w:p>
    <w:p w14:paraId="282850C1" w14:textId="77777777" w:rsidR="008E3995" w:rsidRPr="008E3995" w:rsidRDefault="008E3995" w:rsidP="008E3995">
      <w:pPr>
        <w:pStyle w:val="Title"/>
        <w:ind w:firstLine="0"/>
        <w:rPr>
          <w:b w:val="0"/>
          <w:bCs/>
          <w:sz w:val="36"/>
        </w:rPr>
      </w:pPr>
      <w:r w:rsidRPr="009A443D">
        <w:rPr>
          <w:b w:val="0"/>
          <w:bCs/>
          <w:sz w:val="36"/>
        </w:rPr>
        <w:t>for</w:t>
      </w:r>
    </w:p>
    <w:p w14:paraId="2DAED0C9" w14:textId="5E1F71D7" w:rsidR="008E3995" w:rsidRDefault="008E3995" w:rsidP="00F274BA">
      <w:pPr>
        <w:pStyle w:val="Title"/>
        <w:ind w:firstLine="0"/>
        <w:rPr>
          <w:b w:val="0"/>
          <w:bCs/>
          <w:sz w:val="36"/>
        </w:rPr>
      </w:pPr>
      <w:r w:rsidRPr="008E3995">
        <w:rPr>
          <w:b w:val="0"/>
          <w:bCs/>
          <w:sz w:val="36"/>
        </w:rPr>
        <w:t xml:space="preserve">FY </w:t>
      </w:r>
      <w:r w:rsidR="007D288A" w:rsidRPr="008E3995">
        <w:rPr>
          <w:b w:val="0"/>
          <w:bCs/>
          <w:sz w:val="36"/>
        </w:rPr>
        <w:t>20</w:t>
      </w:r>
      <w:r w:rsidR="007D288A">
        <w:rPr>
          <w:b w:val="0"/>
          <w:bCs/>
          <w:sz w:val="36"/>
        </w:rPr>
        <w:t>1</w:t>
      </w:r>
      <w:r w:rsidR="00A76574">
        <w:rPr>
          <w:b w:val="0"/>
          <w:bCs/>
          <w:sz w:val="36"/>
        </w:rPr>
        <w:t>9</w:t>
      </w:r>
      <w:r w:rsidR="007D288A">
        <w:rPr>
          <w:b w:val="0"/>
          <w:bCs/>
          <w:sz w:val="36"/>
        </w:rPr>
        <w:t xml:space="preserve"> </w:t>
      </w:r>
      <w:r w:rsidR="00D53CF8">
        <w:rPr>
          <w:b w:val="0"/>
          <w:bCs/>
          <w:sz w:val="36"/>
        </w:rPr>
        <w:t xml:space="preserve">and FY </w:t>
      </w:r>
      <w:r w:rsidR="007D288A">
        <w:rPr>
          <w:b w:val="0"/>
          <w:bCs/>
          <w:sz w:val="36"/>
        </w:rPr>
        <w:t>20</w:t>
      </w:r>
      <w:r w:rsidR="00A76574">
        <w:rPr>
          <w:b w:val="0"/>
          <w:bCs/>
          <w:sz w:val="36"/>
        </w:rPr>
        <w:t>21</w:t>
      </w:r>
      <w:r w:rsidR="007D288A" w:rsidRPr="008E3995">
        <w:rPr>
          <w:b w:val="0"/>
          <w:bCs/>
          <w:sz w:val="36"/>
        </w:rPr>
        <w:t xml:space="preserve"> </w:t>
      </w:r>
      <w:r w:rsidRPr="008E3995">
        <w:rPr>
          <w:b w:val="0"/>
          <w:bCs/>
          <w:sz w:val="36"/>
        </w:rPr>
        <w:t>Science and Engineering Research Facilities</w:t>
      </w:r>
    </w:p>
    <w:p w14:paraId="268C6C3D" w14:textId="77777777" w:rsidR="00417275" w:rsidRDefault="00417275" w:rsidP="00F274BA">
      <w:pPr>
        <w:pStyle w:val="Title"/>
        <w:ind w:firstLine="0"/>
        <w:rPr>
          <w:b w:val="0"/>
          <w:bCs/>
          <w:sz w:val="36"/>
        </w:rPr>
      </w:pPr>
    </w:p>
    <w:p w14:paraId="742122FE" w14:textId="77777777" w:rsidR="00417275" w:rsidRPr="00F274BA" w:rsidRDefault="00417275" w:rsidP="00F274BA">
      <w:pPr>
        <w:pStyle w:val="Title"/>
        <w:ind w:firstLine="0"/>
        <w:rPr>
          <w:b w:val="0"/>
          <w:bCs/>
          <w:sz w:val="36"/>
        </w:rPr>
      </w:pPr>
      <w:r>
        <w:rPr>
          <w:b w:val="0"/>
          <w:bCs/>
          <w:sz w:val="36"/>
        </w:rPr>
        <w:t>3145-0101</w:t>
      </w:r>
    </w:p>
    <w:p w14:paraId="36486B60" w14:textId="77777777" w:rsidR="008E3995" w:rsidRDefault="008E3995">
      <w:pPr>
        <w:pStyle w:val="C1-CtrBoldHd"/>
        <w:spacing w:line="360" w:lineRule="auto"/>
      </w:pPr>
    </w:p>
    <w:p w14:paraId="134C1A85" w14:textId="77777777" w:rsidR="008E3995" w:rsidRDefault="008E3995">
      <w:pPr>
        <w:pStyle w:val="C1-CtrBoldHd"/>
        <w:spacing w:line="360" w:lineRule="auto"/>
      </w:pPr>
    </w:p>
    <w:p w14:paraId="69A20F38" w14:textId="77777777" w:rsidR="008E3995" w:rsidRDefault="008E3995">
      <w:pPr>
        <w:pStyle w:val="C1-CtrBoldHd"/>
        <w:spacing w:line="360" w:lineRule="auto"/>
      </w:pPr>
    </w:p>
    <w:p w14:paraId="092ECC4F" w14:textId="77777777" w:rsidR="008E3995" w:rsidRDefault="008E3995">
      <w:pPr>
        <w:pStyle w:val="C1-CtrBoldHd"/>
        <w:spacing w:line="360" w:lineRule="auto"/>
      </w:pPr>
    </w:p>
    <w:p w14:paraId="6360BAEE" w14:textId="77777777" w:rsidR="008E3995" w:rsidRDefault="008E3995">
      <w:pPr>
        <w:pStyle w:val="C1-CtrBoldHd"/>
        <w:spacing w:line="360" w:lineRule="auto"/>
      </w:pPr>
    </w:p>
    <w:p w14:paraId="10F01A33" w14:textId="77777777" w:rsidR="008E3995" w:rsidRDefault="008E3995" w:rsidP="00501335">
      <w:pPr>
        <w:pStyle w:val="C1-CtrBoldHd"/>
        <w:spacing w:line="360" w:lineRule="auto"/>
        <w:jc w:val="both"/>
      </w:pPr>
    </w:p>
    <w:p w14:paraId="6629D2EB" w14:textId="77777777" w:rsidR="00221D90" w:rsidRDefault="00501335">
      <w:pPr>
        <w:pStyle w:val="C1-CtrBoldHd"/>
        <w:spacing w:line="360" w:lineRule="auto"/>
        <w:rPr>
          <w:b w:val="0"/>
          <w:bCs/>
        </w:rPr>
      </w:pPr>
      <w:r>
        <w:br w:type="page"/>
      </w:r>
      <w:r w:rsidR="00221D90">
        <w:lastRenderedPageBreak/>
        <w:t>Part A:  Justification</w:t>
      </w:r>
    </w:p>
    <w:p w14:paraId="65411DA5" w14:textId="77777777" w:rsidR="00221D90" w:rsidRDefault="00221D90">
      <w:pPr>
        <w:pStyle w:val="Heading1"/>
        <w:spacing w:line="360" w:lineRule="auto"/>
        <w:jc w:val="left"/>
      </w:pPr>
      <w:r>
        <w:t>A.1.</w:t>
      </w:r>
      <w:r>
        <w:tab/>
        <w:t>Circumstances Necessitating Collection of Information</w:t>
      </w:r>
    </w:p>
    <w:p w14:paraId="4D93E9F8" w14:textId="77777777" w:rsidR="0046316C" w:rsidRDefault="0046316C" w:rsidP="004F6EF3">
      <w:pPr>
        <w:spacing w:line="360" w:lineRule="auto"/>
        <w:ind w:firstLine="720"/>
        <w:jc w:val="left"/>
      </w:pPr>
      <w:r>
        <w:t>The National Science Foundation Act of 1950, as amended by Title 42, United States Code, Section 1862, required the Foundation to:</w:t>
      </w:r>
    </w:p>
    <w:p w14:paraId="3E83B60C" w14:textId="6AF283E7" w:rsidR="0046316C" w:rsidRDefault="0046316C" w:rsidP="0046316C">
      <w:pPr>
        <w:spacing w:before="120" w:line="240" w:lineRule="auto"/>
        <w:ind w:left="1170" w:right="720"/>
        <w:jc w:val="left"/>
      </w:pPr>
      <w:r>
        <w:t xml:space="preserve">…“provide a central clearinghouse for the collection, interpretation, and analysis of data on scientific and engineering </w:t>
      </w:r>
      <w:r w:rsidR="008A0F52">
        <w:t xml:space="preserve">resources </w:t>
      </w:r>
      <w:r>
        <w:t>and to provide a source of information for policy formulation by other agencies of the Federal Government...”  (Attachment A – NSF Act of 1950 and America COMPETES Reauthorization Act of 2010.)</w:t>
      </w:r>
    </w:p>
    <w:p w14:paraId="569B13BE" w14:textId="77777777" w:rsidR="0046316C" w:rsidRDefault="0046316C" w:rsidP="00226D25">
      <w:pPr>
        <w:spacing w:line="360" w:lineRule="auto"/>
        <w:jc w:val="left"/>
      </w:pPr>
    </w:p>
    <w:p w14:paraId="0E1B3DC1" w14:textId="382DD238" w:rsidR="00955386" w:rsidRPr="00F01DFE" w:rsidRDefault="00221D90" w:rsidP="004F6EF3">
      <w:pPr>
        <w:spacing w:line="360" w:lineRule="auto"/>
        <w:ind w:firstLine="720"/>
        <w:jc w:val="left"/>
        <w:rPr>
          <w:szCs w:val="22"/>
        </w:rPr>
      </w:pPr>
      <w:r>
        <w:t xml:space="preserve">The Survey of Science and Engineering Research Facilities </w:t>
      </w:r>
      <w:r w:rsidR="00A844CD">
        <w:t xml:space="preserve">(Facilities survey) </w:t>
      </w:r>
      <w:r w:rsidR="00775583">
        <w:t xml:space="preserve">conducted by the </w:t>
      </w:r>
      <w:r w:rsidR="00790517">
        <w:t xml:space="preserve">National Center for Science and Engineering Statistics (NCSES) within the </w:t>
      </w:r>
      <w:r w:rsidR="00775583">
        <w:t xml:space="preserve">National Science Foundation (NSF) </w:t>
      </w:r>
      <w:r>
        <w:t xml:space="preserve">is a </w:t>
      </w:r>
      <w:r w:rsidR="005B506F">
        <w:t>c</w:t>
      </w:r>
      <w:r>
        <w:t>ongressionally mandated biennial survey that has been conducted since 1986</w:t>
      </w:r>
      <w:r w:rsidRPr="00F01DFE">
        <w:rPr>
          <w:szCs w:val="22"/>
        </w:rPr>
        <w:t xml:space="preserve">. </w:t>
      </w:r>
      <w:r w:rsidR="00955386" w:rsidRPr="00F01DFE">
        <w:rPr>
          <w:szCs w:val="22"/>
        </w:rPr>
        <w:t>The Facilities</w:t>
      </w:r>
      <w:r w:rsidR="00226D25" w:rsidRPr="00F01DFE">
        <w:rPr>
          <w:szCs w:val="22"/>
        </w:rPr>
        <w:t xml:space="preserve"> survey c</w:t>
      </w:r>
      <w:r w:rsidR="00955386" w:rsidRPr="00F01DFE">
        <w:rPr>
          <w:szCs w:val="22"/>
        </w:rPr>
        <w:t>ollects data on “bricks and mortar” research facilities</w:t>
      </w:r>
      <w:r w:rsidR="001E37F7" w:rsidRPr="00F01DFE">
        <w:rPr>
          <w:szCs w:val="22"/>
        </w:rPr>
        <w:t xml:space="preserve">, including </w:t>
      </w:r>
      <w:r w:rsidR="00C26E20">
        <w:rPr>
          <w:szCs w:val="22"/>
        </w:rPr>
        <w:t>total research space by field, condition of research space, and expenses for construction, repairs and renovation</w:t>
      </w:r>
      <w:r w:rsidR="0046316C">
        <w:rPr>
          <w:szCs w:val="22"/>
        </w:rPr>
        <w:t xml:space="preserve"> of research space</w:t>
      </w:r>
      <w:r w:rsidR="00C26E20">
        <w:rPr>
          <w:szCs w:val="22"/>
        </w:rPr>
        <w:t>.</w:t>
      </w:r>
      <w:r w:rsidR="0046316C">
        <w:rPr>
          <w:szCs w:val="22"/>
        </w:rPr>
        <w:t xml:space="preserve"> </w:t>
      </w:r>
    </w:p>
    <w:p w14:paraId="461CBD6D" w14:textId="77777777" w:rsidR="00221D90" w:rsidRDefault="00221D90">
      <w:pPr>
        <w:pStyle w:val="P1-StandPara"/>
        <w:spacing w:line="360" w:lineRule="auto"/>
        <w:ind w:firstLine="0"/>
        <w:jc w:val="left"/>
      </w:pPr>
    </w:p>
    <w:p w14:paraId="579BCDCC" w14:textId="77777777" w:rsidR="00221D90" w:rsidRDefault="00221D90">
      <w:pPr>
        <w:pStyle w:val="P1-StandPara"/>
        <w:spacing w:line="360" w:lineRule="auto"/>
        <w:ind w:firstLine="720"/>
        <w:jc w:val="left"/>
        <w:rPr>
          <w:b/>
          <w:i/>
          <w:iCs/>
        </w:rPr>
      </w:pPr>
      <w:r>
        <w:rPr>
          <w:b/>
          <w:i/>
          <w:iCs/>
        </w:rPr>
        <w:t>Background</w:t>
      </w:r>
    </w:p>
    <w:p w14:paraId="0F32E4BA" w14:textId="77777777" w:rsidR="00221D90" w:rsidRDefault="00221D90">
      <w:pPr>
        <w:spacing w:line="360" w:lineRule="auto"/>
        <w:jc w:val="left"/>
      </w:pPr>
    </w:p>
    <w:p w14:paraId="2E7D7057" w14:textId="64EBD308" w:rsidR="00221D90" w:rsidRDefault="00221D90">
      <w:pPr>
        <w:spacing w:line="360" w:lineRule="auto"/>
        <w:ind w:firstLine="720"/>
        <w:jc w:val="left"/>
      </w:pPr>
      <w:r>
        <w:t>Academic research facilities in the fields of science and engineering (S&amp;E) are an important national resource. Extensive hearings were held during the 99</w:t>
      </w:r>
      <w:r>
        <w:rPr>
          <w:vertAlign w:val="superscript"/>
        </w:rPr>
        <w:t>th</w:t>
      </w:r>
      <w:r>
        <w:t xml:space="preserve"> Congress in the House and Senate committees on science and technology to examine the research facilities needs of universities and colleges. Both committees found “sufficient evidence to suggest the presence of a serious and growing problem…” and expressed concern that the Federal government did not have in place an ongoing analytical system to document the current status of and needs for research facilities by major field of science and engineering.  </w:t>
      </w:r>
    </w:p>
    <w:p w14:paraId="1D4B78FF" w14:textId="77777777" w:rsidR="00221D90" w:rsidRDefault="00221D90">
      <w:pPr>
        <w:spacing w:line="360" w:lineRule="auto"/>
        <w:jc w:val="left"/>
      </w:pPr>
    </w:p>
    <w:p w14:paraId="736D9BBC" w14:textId="6859BE34" w:rsidR="00221D90" w:rsidRDefault="00221D90">
      <w:pPr>
        <w:spacing w:line="360" w:lineRule="auto"/>
        <w:ind w:firstLine="720"/>
        <w:jc w:val="left"/>
      </w:pPr>
      <w:r>
        <w:t>In recognition of the need for objective information about research facilities, Congress directed NSF, in the Authorization Act of November 22, 1985 (P.L. 99-159, Section 108</w:t>
      </w:r>
      <w:r w:rsidR="00F2526B">
        <w:t>) as follows:</w:t>
      </w:r>
    </w:p>
    <w:p w14:paraId="4EFC77FA" w14:textId="77777777" w:rsidR="00221D90" w:rsidRDefault="00221D90">
      <w:pPr>
        <w:pStyle w:val="P1-StandPara"/>
        <w:spacing w:line="360" w:lineRule="auto"/>
        <w:jc w:val="left"/>
      </w:pPr>
    </w:p>
    <w:p w14:paraId="46939540" w14:textId="38629156" w:rsidR="00221D90" w:rsidRDefault="00221D90">
      <w:pPr>
        <w:pStyle w:val="P1-StandPara"/>
        <w:spacing w:line="240" w:lineRule="auto"/>
        <w:ind w:left="1152" w:firstLine="0"/>
        <w:jc w:val="left"/>
      </w:pPr>
      <w:r>
        <w:t xml:space="preserve">The National Science Foundation is authorized to design, establish, and maintain a data collection and analysis capability in the Foundation for the purpose of identifying and assessing the research facilities needs of universities. The needs of universities, by field of science and engineering, for construction and modernization of research laboratories, including fixed equipment and major research equipment, shall be documented. University expenditures for the construction and modernization of research facilities, the sources of funds, and other appropriate data shall be collected and analyzed. The Foundation, in conjunction with other appropriate Federal agencies, shall conduct the necessary survey every 2 years and report the results to the Congress.  </w:t>
      </w:r>
    </w:p>
    <w:p w14:paraId="26D19384" w14:textId="77777777" w:rsidR="00221D90" w:rsidRDefault="00221D90">
      <w:pPr>
        <w:pStyle w:val="P1-StandPara"/>
        <w:spacing w:line="360" w:lineRule="auto"/>
        <w:ind w:left="1152" w:firstLine="0"/>
        <w:jc w:val="left"/>
      </w:pPr>
    </w:p>
    <w:p w14:paraId="5114EB92" w14:textId="361D4F18" w:rsidR="003A2473" w:rsidRDefault="003A2473" w:rsidP="003A2473">
      <w:pPr>
        <w:spacing w:line="360" w:lineRule="auto"/>
        <w:ind w:firstLine="720"/>
      </w:pPr>
      <w:r>
        <w:t xml:space="preserve">In response to this directive, </w:t>
      </w:r>
      <w:r w:rsidR="002E0FFD">
        <w:t>NCSES</w:t>
      </w:r>
      <w:r>
        <w:t xml:space="preserve"> has conducted </w:t>
      </w:r>
      <w:r w:rsidR="00A76574">
        <w:t>seven</w:t>
      </w:r>
      <w:r w:rsidR="001E37F7">
        <w:t xml:space="preserve">teen </w:t>
      </w:r>
      <w:r>
        <w:t>surveys</w:t>
      </w:r>
      <w:r w:rsidR="000B48E8">
        <w:t xml:space="preserve">, generally </w:t>
      </w:r>
      <w:r w:rsidR="000B48E8" w:rsidRPr="000B48E8">
        <w:t>on a biennial basis</w:t>
      </w:r>
      <w:r w:rsidRPr="000B48E8">
        <w:t>.</w:t>
      </w:r>
      <w:r>
        <w:t xml:space="preserve"> The National Institutes of Health (NIH) cosponsored the surveys with </w:t>
      </w:r>
      <w:r w:rsidR="002E0FFD">
        <w:t>NCSES</w:t>
      </w:r>
      <w:r>
        <w:t xml:space="preserve"> beginning with the initial survey</w:t>
      </w:r>
      <w:r w:rsidR="001E37F7">
        <w:t xml:space="preserve"> and ending with the 2009 survey</w:t>
      </w:r>
      <w:r>
        <w:t>. At the request of NIH, the survey also collected data from nonprofit, biomedical research organizations and hospitals that receive</w:t>
      </w:r>
      <w:r w:rsidR="00226D25">
        <w:t>d</w:t>
      </w:r>
      <w:r>
        <w:t xml:space="preserve"> NIH research funds.</w:t>
      </w:r>
    </w:p>
    <w:p w14:paraId="2A9E17DB" w14:textId="77777777" w:rsidR="00221D90" w:rsidRDefault="00221D90" w:rsidP="00625771">
      <w:pPr>
        <w:pStyle w:val="BodyTextIndent3"/>
        <w:tabs>
          <w:tab w:val="clear" w:pos="1008"/>
          <w:tab w:val="clear" w:pos="3330"/>
          <w:tab w:val="clear" w:pos="3744"/>
          <w:tab w:val="clear" w:pos="4752"/>
          <w:tab w:val="clear" w:pos="5760"/>
          <w:tab w:val="clear" w:pos="6768"/>
          <w:tab w:val="clear" w:pos="7776"/>
          <w:tab w:val="clear" w:pos="8784"/>
        </w:tabs>
        <w:spacing w:line="360" w:lineRule="auto"/>
        <w:ind w:firstLine="0"/>
        <w:jc w:val="both"/>
      </w:pPr>
    </w:p>
    <w:p w14:paraId="01E017D6" w14:textId="55DD7AAC" w:rsidR="00221D90" w:rsidRDefault="00221D90" w:rsidP="000C7DEE">
      <w:pPr>
        <w:spacing w:line="360" w:lineRule="auto"/>
        <w:ind w:firstLine="720"/>
        <w:jc w:val="left"/>
      </w:pPr>
      <w:r>
        <w:t xml:space="preserve">Since 1986, </w:t>
      </w:r>
      <w:r w:rsidR="002E0FFD">
        <w:t>NCSES</w:t>
      </w:r>
      <w:r>
        <w:t xml:space="preserve"> has modified the survey several times with the goals of improving data quality and reducing respondent burden. The original survey was limited </w:t>
      </w:r>
      <w:r w:rsidR="00B25C53">
        <w:t xml:space="preserve">to a small set of prescribed questions sent to a sample of institutions </w:t>
      </w:r>
      <w:r>
        <w:t xml:space="preserve">using </w:t>
      </w:r>
      <w:r w:rsidR="002E0FFD">
        <w:t>NCSES</w:t>
      </w:r>
      <w:r>
        <w:t xml:space="preserve">’s Quick Response Survey questionnaire capability in order to meet the Congressional timeframes.  </w:t>
      </w:r>
      <w:r w:rsidR="000C7DEE">
        <w:t>D</w:t>
      </w:r>
      <w:r>
        <w:t xml:space="preserve">ata collection was </w:t>
      </w:r>
      <w:r w:rsidR="000C7DEE">
        <w:t xml:space="preserve">subsequently </w:t>
      </w:r>
      <w:r>
        <w:t xml:space="preserve">expanded to a census of institutions in order to make the data more useful to Federal and State agencies and to the higher education community.  </w:t>
      </w:r>
    </w:p>
    <w:p w14:paraId="2CE2A32D" w14:textId="77777777" w:rsidR="00221D90" w:rsidRDefault="00221D90">
      <w:pPr>
        <w:spacing w:line="360" w:lineRule="auto"/>
        <w:ind w:firstLine="720"/>
        <w:jc w:val="left"/>
      </w:pPr>
    </w:p>
    <w:p w14:paraId="06336D96" w14:textId="77777777" w:rsidR="00AC3BCE" w:rsidRDefault="00983F77" w:rsidP="00B10647">
      <w:pPr>
        <w:spacing w:line="360" w:lineRule="auto"/>
        <w:jc w:val="left"/>
        <w:rPr>
          <w:szCs w:val="22"/>
        </w:rPr>
      </w:pPr>
      <w:r>
        <w:t xml:space="preserve">NCSES undertook a major review of the survey prior to the FY 2003 data collection. This included improving the research space questionnaire and adding a second questionnaire </w:t>
      </w:r>
      <w:r w:rsidR="000B29A7">
        <w:t>addressing</w:t>
      </w:r>
      <w:r w:rsidR="008F7E83" w:rsidRPr="00E30955">
        <w:rPr>
          <w:szCs w:val="22"/>
        </w:rPr>
        <w:t xml:space="preserve"> the growing use of computing and networking resources (cyberinfrastructure) in conducting research</w:t>
      </w:r>
      <w:r>
        <w:rPr>
          <w:szCs w:val="22"/>
        </w:rPr>
        <w:t xml:space="preserve">. </w:t>
      </w:r>
      <w:r w:rsidR="009D3573">
        <w:rPr>
          <w:szCs w:val="22"/>
        </w:rPr>
        <w:t xml:space="preserve"> </w:t>
      </w:r>
      <w:r w:rsidR="00483B73" w:rsidRPr="003830E6">
        <w:rPr>
          <w:szCs w:val="22"/>
        </w:rPr>
        <w:t xml:space="preserve">NCSES continually reviewed the </w:t>
      </w:r>
      <w:r w:rsidR="00483B73">
        <w:rPr>
          <w:szCs w:val="22"/>
        </w:rPr>
        <w:t xml:space="preserve">second </w:t>
      </w:r>
      <w:r w:rsidR="00483B73" w:rsidRPr="003830E6">
        <w:rPr>
          <w:szCs w:val="22"/>
        </w:rPr>
        <w:t xml:space="preserve">questionnaire in an attempt to stay current with the rapidly changing developments in academic R&amp;D cyberinfrastructure. </w:t>
      </w:r>
    </w:p>
    <w:p w14:paraId="5880E9C4" w14:textId="77777777" w:rsidR="00AC3BCE" w:rsidRDefault="00AC3BCE" w:rsidP="00B10647">
      <w:pPr>
        <w:spacing w:line="360" w:lineRule="auto"/>
        <w:jc w:val="left"/>
        <w:rPr>
          <w:szCs w:val="22"/>
        </w:rPr>
      </w:pPr>
    </w:p>
    <w:p w14:paraId="33FAF340" w14:textId="4933B234" w:rsidR="003830E6" w:rsidRDefault="003830E6" w:rsidP="00B10647">
      <w:pPr>
        <w:spacing w:line="360" w:lineRule="auto"/>
        <w:jc w:val="left"/>
        <w:rPr>
          <w:szCs w:val="22"/>
        </w:rPr>
      </w:pPr>
      <w:r w:rsidRPr="003830E6">
        <w:rPr>
          <w:szCs w:val="22"/>
        </w:rPr>
        <w:t>Despite these efforts, NCSES believe</w:t>
      </w:r>
      <w:r w:rsidR="006F57DF">
        <w:rPr>
          <w:szCs w:val="22"/>
        </w:rPr>
        <w:t>d</w:t>
      </w:r>
      <w:r w:rsidRPr="003830E6">
        <w:rPr>
          <w:szCs w:val="22"/>
        </w:rPr>
        <w:t xml:space="preserve"> that the </w:t>
      </w:r>
      <w:r w:rsidR="00CC207B">
        <w:rPr>
          <w:szCs w:val="22"/>
        </w:rPr>
        <w:t>cyberinfrastructure questionnaire</w:t>
      </w:r>
      <w:r w:rsidR="00CC207B" w:rsidRPr="003830E6">
        <w:rPr>
          <w:szCs w:val="22"/>
        </w:rPr>
        <w:t xml:space="preserve"> </w:t>
      </w:r>
      <w:r w:rsidRPr="003830E6">
        <w:rPr>
          <w:szCs w:val="22"/>
        </w:rPr>
        <w:t>provide</w:t>
      </w:r>
      <w:r w:rsidR="00095D9E">
        <w:rPr>
          <w:szCs w:val="22"/>
        </w:rPr>
        <w:t>d</w:t>
      </w:r>
      <w:r w:rsidRPr="003830E6">
        <w:rPr>
          <w:szCs w:val="22"/>
        </w:rPr>
        <w:t xml:space="preserve"> little utility to policymakers and researchers. A 2013 review of the survey by the NSF Division of Advanced Cyberinfrastructure (ACI) provided feedback on shortcomings and potential changes to improve the survey. The assessment indicated that the “information is not useful for program planning at NSF and is probably not very useful to campuses either.” Anecdotal evidence </w:t>
      </w:r>
      <w:r w:rsidR="007308DE">
        <w:rPr>
          <w:szCs w:val="22"/>
        </w:rPr>
        <w:t>solicited</w:t>
      </w:r>
      <w:r w:rsidRPr="003830E6">
        <w:rPr>
          <w:szCs w:val="22"/>
        </w:rPr>
        <w:t xml:space="preserve"> through several </w:t>
      </w:r>
      <w:r w:rsidR="007308DE">
        <w:rPr>
          <w:szCs w:val="22"/>
        </w:rPr>
        <w:t xml:space="preserve">interviews and meetings with groups of field experts </w:t>
      </w:r>
      <w:r w:rsidR="000C75F4">
        <w:rPr>
          <w:szCs w:val="22"/>
        </w:rPr>
        <w:t>indicated</w:t>
      </w:r>
      <w:r w:rsidR="000C75F4" w:rsidRPr="003830E6">
        <w:rPr>
          <w:szCs w:val="22"/>
        </w:rPr>
        <w:t xml:space="preserve"> </w:t>
      </w:r>
      <w:r w:rsidRPr="003830E6">
        <w:rPr>
          <w:szCs w:val="22"/>
        </w:rPr>
        <w:t xml:space="preserve">that these data are rarely used by those who are aware of this survey. </w:t>
      </w:r>
      <w:r w:rsidR="007308DE">
        <w:rPr>
          <w:szCs w:val="22"/>
        </w:rPr>
        <w:t xml:space="preserve">This view was substantiated by analysis of low web traffic to the relevant data files on the </w:t>
      </w:r>
      <w:r w:rsidR="004A699A">
        <w:rPr>
          <w:szCs w:val="22"/>
        </w:rPr>
        <w:t xml:space="preserve">NCSES </w:t>
      </w:r>
      <w:r w:rsidR="007308DE">
        <w:rPr>
          <w:szCs w:val="22"/>
        </w:rPr>
        <w:t xml:space="preserve">website. </w:t>
      </w:r>
      <w:r w:rsidRPr="003830E6">
        <w:rPr>
          <w:szCs w:val="22"/>
        </w:rPr>
        <w:t xml:space="preserve">Further inquiries revealed that many </w:t>
      </w:r>
      <w:r w:rsidR="00C95884">
        <w:rPr>
          <w:szCs w:val="22"/>
        </w:rPr>
        <w:t xml:space="preserve">potential data users </w:t>
      </w:r>
      <w:r w:rsidRPr="003830E6">
        <w:rPr>
          <w:szCs w:val="22"/>
        </w:rPr>
        <w:t>believe</w:t>
      </w:r>
      <w:r w:rsidR="00906582">
        <w:rPr>
          <w:szCs w:val="22"/>
        </w:rPr>
        <w:t>d</w:t>
      </w:r>
      <w:r w:rsidRPr="003830E6">
        <w:rPr>
          <w:szCs w:val="22"/>
        </w:rPr>
        <w:t xml:space="preserve"> the data would be difficult to incorporate into their decision making processes.</w:t>
      </w:r>
      <w:r w:rsidR="008B6C6D">
        <w:rPr>
          <w:szCs w:val="22"/>
        </w:rPr>
        <w:t xml:space="preserve"> </w:t>
      </w:r>
      <w:r w:rsidR="004F6253">
        <w:rPr>
          <w:szCs w:val="22"/>
        </w:rPr>
        <w:t xml:space="preserve">Consequently, the questionnaire on computing and networking capacity was </w:t>
      </w:r>
      <w:r w:rsidR="00F66433">
        <w:rPr>
          <w:szCs w:val="22"/>
        </w:rPr>
        <w:t>discontinued starting with the FY 2015</w:t>
      </w:r>
      <w:r w:rsidR="00425823">
        <w:rPr>
          <w:szCs w:val="22"/>
        </w:rPr>
        <w:t xml:space="preserve"> survey. </w:t>
      </w:r>
    </w:p>
    <w:p w14:paraId="65C0A8F6" w14:textId="61926766" w:rsidR="003830E6" w:rsidRDefault="003830E6" w:rsidP="00F01DFE">
      <w:pPr>
        <w:spacing w:line="360" w:lineRule="auto"/>
        <w:ind w:firstLine="720"/>
        <w:jc w:val="left"/>
        <w:rPr>
          <w:szCs w:val="22"/>
        </w:rPr>
      </w:pPr>
    </w:p>
    <w:p w14:paraId="4E3B1846" w14:textId="77777777" w:rsidR="0085019F" w:rsidRDefault="0085019F" w:rsidP="00F01DFE">
      <w:pPr>
        <w:spacing w:line="360" w:lineRule="auto"/>
        <w:ind w:firstLine="720"/>
        <w:jc w:val="left"/>
        <w:rPr>
          <w:szCs w:val="22"/>
        </w:rPr>
      </w:pPr>
    </w:p>
    <w:p w14:paraId="00032D67" w14:textId="6A58D6F1" w:rsidR="005644CE" w:rsidRDefault="0085019F" w:rsidP="00F01DFE">
      <w:pPr>
        <w:spacing w:line="360" w:lineRule="auto"/>
        <w:ind w:firstLine="720"/>
        <w:jc w:val="left"/>
        <w:rPr>
          <w:szCs w:val="22"/>
        </w:rPr>
      </w:pPr>
      <w:r>
        <w:rPr>
          <w:szCs w:val="22"/>
        </w:rPr>
        <w:t xml:space="preserve">NCSES conducted a review </w:t>
      </w:r>
      <w:r w:rsidR="003B5E0C">
        <w:rPr>
          <w:szCs w:val="22"/>
        </w:rPr>
        <w:t xml:space="preserve">from 2010 to 2015 </w:t>
      </w:r>
      <w:r>
        <w:rPr>
          <w:szCs w:val="22"/>
        </w:rPr>
        <w:t>of the S&amp;E fields used in its portfolio of surveys to ensure consistency and comparability across national academic surveys.</w:t>
      </w:r>
      <w:r w:rsidR="002A5943">
        <w:rPr>
          <w:szCs w:val="22"/>
        </w:rPr>
        <w:t xml:space="preserve"> The review resulted in a modi</w:t>
      </w:r>
      <w:r w:rsidR="006E5FF4">
        <w:rPr>
          <w:szCs w:val="22"/>
        </w:rPr>
        <w:t xml:space="preserve">fied taxonomy of S&amp;E discipline that </w:t>
      </w:r>
      <w:r w:rsidR="002A5943">
        <w:rPr>
          <w:szCs w:val="22"/>
        </w:rPr>
        <w:t>reassign</w:t>
      </w:r>
      <w:r w:rsidR="006E5FF4">
        <w:rPr>
          <w:szCs w:val="22"/>
        </w:rPr>
        <w:t>ed</w:t>
      </w:r>
      <w:r w:rsidR="002A5943">
        <w:rPr>
          <w:szCs w:val="22"/>
        </w:rPr>
        <w:t xml:space="preserve"> </w:t>
      </w:r>
      <w:r w:rsidR="006E5FF4">
        <w:rPr>
          <w:szCs w:val="22"/>
        </w:rPr>
        <w:t xml:space="preserve">a number of </w:t>
      </w:r>
      <w:r w:rsidR="002A5943">
        <w:rPr>
          <w:szCs w:val="22"/>
        </w:rPr>
        <w:t>subfields and relabel</w:t>
      </w:r>
      <w:r w:rsidR="006E5FF4">
        <w:rPr>
          <w:szCs w:val="22"/>
        </w:rPr>
        <w:t>ed</w:t>
      </w:r>
      <w:r w:rsidR="002A5943">
        <w:rPr>
          <w:szCs w:val="22"/>
        </w:rPr>
        <w:t xml:space="preserve"> some field names. These changes </w:t>
      </w:r>
      <w:r w:rsidR="006F57DF">
        <w:rPr>
          <w:szCs w:val="22"/>
        </w:rPr>
        <w:t>were thereafter</w:t>
      </w:r>
      <w:r w:rsidR="002A5943">
        <w:rPr>
          <w:szCs w:val="22"/>
        </w:rPr>
        <w:t xml:space="preserve"> employed by all NCSES academic surveys, including the Facilities survey.</w:t>
      </w:r>
      <w:r w:rsidR="003B5E0C">
        <w:rPr>
          <w:szCs w:val="22"/>
        </w:rPr>
        <w:t xml:space="preserve"> </w:t>
      </w:r>
    </w:p>
    <w:p w14:paraId="0C003657" w14:textId="77777777" w:rsidR="005644CE" w:rsidRDefault="005644CE" w:rsidP="00F01DFE">
      <w:pPr>
        <w:spacing w:line="360" w:lineRule="auto"/>
        <w:ind w:firstLine="720"/>
        <w:jc w:val="left"/>
        <w:rPr>
          <w:szCs w:val="22"/>
        </w:rPr>
      </w:pPr>
    </w:p>
    <w:p w14:paraId="004A53DA" w14:textId="1742653C" w:rsidR="00F75D49" w:rsidRPr="003830E6" w:rsidRDefault="00F75D49" w:rsidP="00906582">
      <w:pPr>
        <w:spacing w:line="360" w:lineRule="auto"/>
        <w:ind w:firstLine="720"/>
        <w:jc w:val="left"/>
        <w:rPr>
          <w:szCs w:val="22"/>
        </w:rPr>
      </w:pPr>
      <w:r>
        <w:t>NCSES</w:t>
      </w:r>
      <w:r w:rsidR="00CE2CCD">
        <w:t xml:space="preserve"> </w:t>
      </w:r>
      <w:r>
        <w:t xml:space="preserve">revised the FY 2017 survey and data collection materials based on a </w:t>
      </w:r>
      <w:r w:rsidRPr="00AD3918">
        <w:t xml:space="preserve">methodological </w:t>
      </w:r>
      <w:r>
        <w:t>review of several items. These include</w:t>
      </w:r>
      <w:r w:rsidR="006F57DF">
        <w:t>d</w:t>
      </w:r>
      <w:r>
        <w:t xml:space="preserve"> a new question on shared research space, changes to the definition of start date for new construction, and changes to the instructions for completion costs. </w:t>
      </w:r>
      <w:r w:rsidR="00A73CDC">
        <w:t>NCSES</w:t>
      </w:r>
      <w:r>
        <w:t xml:space="preserve"> also revised </w:t>
      </w:r>
      <w:r w:rsidR="006F57DF">
        <w:t xml:space="preserve">the </w:t>
      </w:r>
      <w:r>
        <w:t xml:space="preserve">definition of research in order to better align </w:t>
      </w:r>
      <w:r w:rsidR="005C3D1E">
        <w:t xml:space="preserve">the definition across </w:t>
      </w:r>
      <w:r w:rsidR="00A73CDC">
        <w:t>NCSES</w:t>
      </w:r>
      <w:r>
        <w:t xml:space="preserve"> surveys</w:t>
      </w:r>
      <w:r w:rsidR="005A0847">
        <w:t>.</w:t>
      </w:r>
      <w:r w:rsidR="006F57DF">
        <w:t xml:space="preserve"> No substantive changes have been made to the FY 2019 survey</w:t>
      </w:r>
      <w:r w:rsidR="002772ED">
        <w:t xml:space="preserve"> and minimal changes are expected for the FY 2021 survey</w:t>
      </w:r>
      <w:r w:rsidR="000C75F4">
        <w:t>.</w:t>
      </w:r>
    </w:p>
    <w:p w14:paraId="5DEAB01C" w14:textId="77777777" w:rsidR="00906582" w:rsidRDefault="00906582" w:rsidP="005306B4">
      <w:pPr>
        <w:pStyle w:val="P1-StandPara"/>
        <w:spacing w:line="360" w:lineRule="auto"/>
        <w:ind w:firstLine="0"/>
        <w:jc w:val="left"/>
      </w:pPr>
    </w:p>
    <w:p w14:paraId="59FC5677" w14:textId="5B0DF3EB" w:rsidR="00221D90" w:rsidRDefault="00221D90">
      <w:pPr>
        <w:pStyle w:val="Heading9"/>
        <w:rPr>
          <w:i/>
          <w:iCs/>
        </w:rPr>
      </w:pPr>
      <w:r>
        <w:rPr>
          <w:i/>
          <w:iCs/>
        </w:rPr>
        <w:t>General survey description</w:t>
      </w:r>
    </w:p>
    <w:p w14:paraId="408DF948" w14:textId="77777777" w:rsidR="00221D90" w:rsidRDefault="00221D90" w:rsidP="009D3573">
      <w:pPr>
        <w:pStyle w:val="P1-StandPara"/>
        <w:spacing w:line="360" w:lineRule="auto"/>
        <w:ind w:firstLine="0"/>
        <w:jc w:val="left"/>
      </w:pPr>
    </w:p>
    <w:p w14:paraId="21A12822" w14:textId="20ADC3A4" w:rsidR="00221D90" w:rsidRDefault="00F22B91" w:rsidP="009D3573">
      <w:pPr>
        <w:spacing w:line="360" w:lineRule="auto"/>
        <w:ind w:firstLine="720"/>
        <w:jc w:val="left"/>
      </w:pPr>
      <w:r>
        <w:t xml:space="preserve">NCSES now requests approval to conduct the next </w:t>
      </w:r>
      <w:r w:rsidR="002E6F20">
        <w:t xml:space="preserve">two </w:t>
      </w:r>
      <w:r>
        <w:t xml:space="preserve">cycles of the </w:t>
      </w:r>
      <w:r w:rsidR="00FB6D2B">
        <w:t>Facilities survey for</w:t>
      </w:r>
      <w:r>
        <w:t xml:space="preserve"> fiscal years </w:t>
      </w:r>
      <w:r w:rsidR="00072032">
        <w:t>20</w:t>
      </w:r>
      <w:r w:rsidR="00C47FB7">
        <w:t>19</w:t>
      </w:r>
      <w:r w:rsidR="00072032">
        <w:t xml:space="preserve"> </w:t>
      </w:r>
      <w:r>
        <w:t xml:space="preserve">and </w:t>
      </w:r>
      <w:r w:rsidR="00072032">
        <w:t>20</w:t>
      </w:r>
      <w:r w:rsidR="00C47FB7">
        <w:t>21</w:t>
      </w:r>
      <w:r>
        <w:t xml:space="preserve">. </w:t>
      </w:r>
      <w:r w:rsidR="00221D90">
        <w:t>The following is a broad overview of the survey.</w:t>
      </w:r>
      <w:r w:rsidR="00CC22B1">
        <w:t xml:space="preserve"> The complete questionnaire can be found in Attachment </w:t>
      </w:r>
      <w:r w:rsidR="00C47FB7">
        <w:t>B</w:t>
      </w:r>
      <w:r w:rsidR="00CC22B1">
        <w:t>.</w:t>
      </w:r>
    </w:p>
    <w:p w14:paraId="3E7BA7FE" w14:textId="77777777" w:rsidR="00441192" w:rsidRDefault="00441192" w:rsidP="009D3573">
      <w:pPr>
        <w:spacing w:line="360" w:lineRule="auto"/>
        <w:ind w:firstLine="720"/>
        <w:jc w:val="left"/>
      </w:pPr>
    </w:p>
    <w:p w14:paraId="28E89471" w14:textId="7434119E" w:rsidR="00441192" w:rsidRDefault="00441192" w:rsidP="009D3573">
      <w:pPr>
        <w:spacing w:line="360" w:lineRule="auto"/>
        <w:ind w:firstLine="720"/>
        <w:jc w:val="left"/>
      </w:pPr>
      <w:r>
        <w:t xml:space="preserve">Contact information is </w:t>
      </w:r>
      <w:r w:rsidR="00CC207B">
        <w:t xml:space="preserve">not collected on the questionnaire. Rather, it is </w:t>
      </w:r>
      <w:r>
        <w:t xml:space="preserve">collected through the president’s office of each eligible institution. Greater detail is provided in section B2 under Survey Procedures. </w:t>
      </w:r>
    </w:p>
    <w:p w14:paraId="3E8D662F" w14:textId="77777777" w:rsidR="001E5E51" w:rsidRDefault="001E5E51" w:rsidP="001E5E51">
      <w:pPr>
        <w:pStyle w:val="P1-StandPara"/>
        <w:spacing w:line="360" w:lineRule="auto"/>
        <w:ind w:firstLine="0"/>
        <w:jc w:val="left"/>
      </w:pPr>
    </w:p>
    <w:p w14:paraId="19D7ACFD" w14:textId="243FAEB6" w:rsidR="006F57DF" w:rsidRDefault="009B29D4" w:rsidP="009B29D4">
      <w:pPr>
        <w:pStyle w:val="P1-StandPara"/>
        <w:spacing w:line="360" w:lineRule="auto"/>
        <w:ind w:firstLine="720"/>
        <w:jc w:val="left"/>
      </w:pPr>
      <w:r>
        <w:t xml:space="preserve">Questions 1 through 5 request data on the amount </w:t>
      </w:r>
      <w:r w:rsidR="005C3D1E">
        <w:t xml:space="preserve">and types </w:t>
      </w:r>
      <w:r>
        <w:t>of space used for science and engineering research. The questions request specific information about institutional research facilities (e.g., how much research space is located in medical schools) because different kinds of space have different costs and requirements for preparing and using the space.</w:t>
      </w:r>
    </w:p>
    <w:p w14:paraId="2832406C" w14:textId="71CF506F" w:rsidR="009B29D4" w:rsidRDefault="009B29D4" w:rsidP="005306B4">
      <w:pPr>
        <w:pStyle w:val="P1-StandPara"/>
        <w:spacing w:line="360" w:lineRule="auto"/>
        <w:ind w:firstLine="720"/>
        <w:jc w:val="left"/>
      </w:pPr>
    </w:p>
    <w:p w14:paraId="6E056415" w14:textId="37087E5E" w:rsidR="00DF476B" w:rsidRDefault="00DF476B" w:rsidP="009B29D4">
      <w:pPr>
        <w:pStyle w:val="P1-StandPara"/>
        <w:spacing w:line="360" w:lineRule="auto"/>
        <w:ind w:firstLine="720"/>
        <w:jc w:val="left"/>
      </w:pPr>
      <w:r>
        <w:t>Question 6, added in FY</w:t>
      </w:r>
      <w:r w:rsidR="006F57DF">
        <w:t xml:space="preserve"> </w:t>
      </w:r>
      <w:r>
        <w:t xml:space="preserve">2017, asks about shared research space and whether space </w:t>
      </w:r>
      <w:r w:rsidR="006F57DF">
        <w:t xml:space="preserve">reported </w:t>
      </w:r>
      <w:r>
        <w:t xml:space="preserve">in Question 2 is shared with any other field(s) or used for purposes other than research. </w:t>
      </w:r>
    </w:p>
    <w:p w14:paraId="2ADE282F" w14:textId="77777777" w:rsidR="00221D90" w:rsidRDefault="00221D90" w:rsidP="005B6BCA">
      <w:pPr>
        <w:pStyle w:val="P1-StandPara"/>
        <w:spacing w:line="360" w:lineRule="auto"/>
        <w:ind w:firstLine="0"/>
        <w:jc w:val="left"/>
      </w:pPr>
    </w:p>
    <w:p w14:paraId="27B85F5A" w14:textId="74C6B6C9" w:rsidR="00221D90" w:rsidRDefault="00221D90">
      <w:pPr>
        <w:pStyle w:val="P1-StandPara"/>
        <w:spacing w:line="360" w:lineRule="auto"/>
        <w:ind w:firstLine="720"/>
        <w:jc w:val="left"/>
      </w:pPr>
      <w:r>
        <w:t xml:space="preserve">Question </w:t>
      </w:r>
      <w:r w:rsidR="00C47FB7">
        <w:t>7</w:t>
      </w:r>
      <w:r>
        <w:t xml:space="preserve"> ask</w:t>
      </w:r>
      <w:r w:rsidR="005B6BCA">
        <w:t>s</w:t>
      </w:r>
      <w:r>
        <w:t xml:space="preserve"> about the condition of the research facilities because of a recurring concern about aging resea</w:t>
      </w:r>
      <w:r w:rsidR="00793290">
        <w:t xml:space="preserve">rch infrastructure in the U.S. </w:t>
      </w:r>
      <w:r>
        <w:t>Also, t</w:t>
      </w:r>
      <w:r w:rsidR="005B6BCA">
        <w:t xml:space="preserve">his </w:t>
      </w:r>
      <w:r>
        <w:t>question may provide data on whether existing research space is appropriate for the rapidly changing needs of scientific research.</w:t>
      </w:r>
      <w:r w:rsidR="00793290">
        <w:t xml:space="preserve">  </w:t>
      </w:r>
    </w:p>
    <w:p w14:paraId="672ED616" w14:textId="77777777" w:rsidR="00221D90" w:rsidRDefault="00221D90">
      <w:pPr>
        <w:pStyle w:val="P1-StandPara"/>
        <w:spacing w:line="360" w:lineRule="auto"/>
        <w:jc w:val="left"/>
      </w:pPr>
    </w:p>
    <w:p w14:paraId="0AD7F465" w14:textId="544773AD" w:rsidR="00221D90" w:rsidRDefault="00221D90">
      <w:pPr>
        <w:pStyle w:val="P1-StandPara"/>
        <w:spacing w:line="360" w:lineRule="auto"/>
        <w:ind w:firstLine="720"/>
        <w:jc w:val="left"/>
      </w:pPr>
      <w:r>
        <w:t xml:space="preserve">Questions </w:t>
      </w:r>
      <w:r w:rsidR="00C47FB7">
        <w:t>8</w:t>
      </w:r>
      <w:r>
        <w:t xml:space="preserve"> and </w:t>
      </w:r>
      <w:r w:rsidR="00C47FB7">
        <w:t>9</w:t>
      </w:r>
      <w:r>
        <w:t xml:space="preserve"> ask about the costs of repairs and renovations in the</w:t>
      </w:r>
      <w:r w:rsidR="008C6906">
        <w:t xml:space="preserve"> current and immediately previous </w:t>
      </w:r>
      <w:r>
        <w:t xml:space="preserve">fiscal year. </w:t>
      </w:r>
      <w:r w:rsidR="000A2CEA">
        <w:t>Similar to</w:t>
      </w:r>
      <w:r>
        <w:t xml:space="preserve"> </w:t>
      </w:r>
      <w:r w:rsidR="005B6BCA">
        <w:t>Q</w:t>
      </w:r>
      <w:r>
        <w:t xml:space="preserve">uestion </w:t>
      </w:r>
      <w:r w:rsidR="00C47FB7">
        <w:t>7</w:t>
      </w:r>
      <w:r>
        <w:t xml:space="preserve">, these </w:t>
      </w:r>
      <w:r w:rsidR="008C6906">
        <w:t xml:space="preserve">questions </w:t>
      </w:r>
      <w:r>
        <w:t>also relate to the issues of a potentially aging infrastructure and the changing needs of science, but from a financial perspective.</w:t>
      </w:r>
    </w:p>
    <w:p w14:paraId="19C77779" w14:textId="77777777" w:rsidR="00221D90" w:rsidRDefault="00221D90">
      <w:pPr>
        <w:pStyle w:val="P1-StandPara"/>
        <w:spacing w:line="360" w:lineRule="auto"/>
        <w:jc w:val="left"/>
      </w:pPr>
    </w:p>
    <w:p w14:paraId="143F19F4" w14:textId="542DA3DD" w:rsidR="00221D90" w:rsidRDefault="00221D90">
      <w:pPr>
        <w:pStyle w:val="P1-StandPara"/>
        <w:spacing w:line="360" w:lineRule="auto"/>
        <w:ind w:firstLine="720"/>
        <w:jc w:val="left"/>
      </w:pPr>
      <w:r>
        <w:t xml:space="preserve">Question </w:t>
      </w:r>
      <w:r w:rsidR="00C47FB7">
        <w:t>10</w:t>
      </w:r>
      <w:r>
        <w:t xml:space="preserve"> and an accompanying project worksheet ask about new construction in the </w:t>
      </w:r>
      <w:r w:rsidR="008C6906">
        <w:t xml:space="preserve">current and immediately </w:t>
      </w:r>
      <w:r>
        <w:t>previous fiscal year. New</w:t>
      </w:r>
      <w:r w:rsidR="00793290">
        <w:t xml:space="preserve"> construction allows institutions</w:t>
      </w:r>
      <w:r>
        <w:t xml:space="preserve"> to increase the total amount of research space, to replace inadequate facilities, and to adjust to the changing needs</w:t>
      </w:r>
      <w:r w:rsidR="00793290">
        <w:t xml:space="preserve"> of science. The worksheet requests information on</w:t>
      </w:r>
      <w:r>
        <w:t xml:space="preserve"> individual projects </w:t>
      </w:r>
      <w:r w:rsidR="00793290">
        <w:t xml:space="preserve">such as </w:t>
      </w:r>
      <w:r>
        <w:t>costs per s</w:t>
      </w:r>
      <w:r w:rsidR="000A2CEA">
        <w:t>quare feet of new construction.</w:t>
      </w:r>
    </w:p>
    <w:p w14:paraId="53D35392" w14:textId="77777777" w:rsidR="000A2CEA" w:rsidRDefault="000A2CEA">
      <w:pPr>
        <w:pStyle w:val="P1-StandPara"/>
        <w:spacing w:line="360" w:lineRule="auto"/>
        <w:ind w:firstLine="720"/>
        <w:jc w:val="left"/>
      </w:pPr>
    </w:p>
    <w:p w14:paraId="6D39EF23" w14:textId="36EE2BB3" w:rsidR="00221D90" w:rsidRDefault="00221D90">
      <w:pPr>
        <w:pStyle w:val="P1-StandPara"/>
        <w:spacing w:line="360" w:lineRule="auto"/>
        <w:ind w:firstLine="720"/>
        <w:jc w:val="left"/>
      </w:pPr>
      <w:r>
        <w:t>Question 1</w:t>
      </w:r>
      <w:r w:rsidR="005C3D1E">
        <w:t>1</w:t>
      </w:r>
      <w:r>
        <w:t xml:space="preserve"> asks about the sources of project funding for repairs/renovations and new constru</w:t>
      </w:r>
      <w:r w:rsidR="0053415D">
        <w:t xml:space="preserve">ction to determine the roles </w:t>
      </w:r>
      <w:r>
        <w:t xml:space="preserve">various sectors </w:t>
      </w:r>
      <w:r w:rsidR="0053415D">
        <w:t xml:space="preserve">play </w:t>
      </w:r>
      <w:r>
        <w:t xml:space="preserve">in funding research facilities.  </w:t>
      </w:r>
    </w:p>
    <w:p w14:paraId="62980F85" w14:textId="77777777" w:rsidR="00221D90" w:rsidRDefault="00221D90">
      <w:pPr>
        <w:pStyle w:val="P1-StandPara"/>
        <w:spacing w:line="360" w:lineRule="auto"/>
        <w:jc w:val="left"/>
      </w:pPr>
    </w:p>
    <w:p w14:paraId="7E983A41" w14:textId="171F5C5C" w:rsidR="00221D90" w:rsidRDefault="00221D90">
      <w:pPr>
        <w:pStyle w:val="P1-StandPara"/>
        <w:spacing w:line="360" w:lineRule="auto"/>
        <w:ind w:firstLine="720"/>
        <w:jc w:val="left"/>
      </w:pPr>
      <w:r>
        <w:t xml:space="preserve">Questions </w:t>
      </w:r>
      <w:r w:rsidR="00C47FB7">
        <w:t>12</w:t>
      </w:r>
      <w:r w:rsidR="00793290">
        <w:t xml:space="preserve"> through </w:t>
      </w:r>
      <w:r>
        <w:t>1</w:t>
      </w:r>
      <w:r w:rsidR="00C47FB7">
        <w:t>5</w:t>
      </w:r>
      <w:r>
        <w:t xml:space="preserve"> ask about</w:t>
      </w:r>
      <w:r w:rsidR="00793290">
        <w:t xml:space="preserve"> planned new construction and</w:t>
      </w:r>
      <w:r>
        <w:t xml:space="preserve"> planned repairs and renovations over the next two fiscal years. These provide data on the extent to which institutions are addressing their </w:t>
      </w:r>
      <w:r w:rsidR="00793290">
        <w:t xml:space="preserve">research </w:t>
      </w:r>
      <w:r>
        <w:t xml:space="preserve">space needs. </w:t>
      </w:r>
    </w:p>
    <w:p w14:paraId="30FFC0C2" w14:textId="77777777" w:rsidR="00221D90" w:rsidRDefault="00221D90">
      <w:pPr>
        <w:pStyle w:val="P1-StandPara"/>
        <w:spacing w:line="360" w:lineRule="auto"/>
        <w:jc w:val="left"/>
      </w:pPr>
    </w:p>
    <w:p w14:paraId="5E9290BE" w14:textId="543D572D" w:rsidR="00221D90" w:rsidRDefault="00221D90">
      <w:pPr>
        <w:pStyle w:val="P1-StandPara"/>
        <w:spacing w:line="360" w:lineRule="auto"/>
        <w:ind w:firstLine="720"/>
        <w:jc w:val="left"/>
      </w:pPr>
      <w:r>
        <w:t>Questions</w:t>
      </w:r>
      <w:r w:rsidR="000A2CEA">
        <w:t xml:space="preserve"> </w:t>
      </w:r>
      <w:r w:rsidR="0053415D">
        <w:t>1</w:t>
      </w:r>
      <w:r w:rsidR="00C47FB7">
        <w:t>6</w:t>
      </w:r>
      <w:r>
        <w:t xml:space="preserve"> through </w:t>
      </w:r>
      <w:r w:rsidR="0053415D">
        <w:t>1</w:t>
      </w:r>
      <w:r w:rsidR="00C47FB7">
        <w:t>9</w:t>
      </w:r>
      <w:r>
        <w:t xml:space="preserve"> ask about deferred repairs/renovation and new construction. These provide another measure of institutions’ anticipated need for space, while also examining the ability of institutions to meet their needs.</w:t>
      </w:r>
    </w:p>
    <w:p w14:paraId="089807C3" w14:textId="77777777" w:rsidR="00382E5C" w:rsidRDefault="00382E5C">
      <w:pPr>
        <w:pStyle w:val="P1-StandPara"/>
        <w:spacing w:line="360" w:lineRule="auto"/>
        <w:ind w:firstLine="720"/>
        <w:jc w:val="left"/>
      </w:pPr>
    </w:p>
    <w:p w14:paraId="4CD0FD73" w14:textId="2FBF0EC4" w:rsidR="00382E5C" w:rsidRDefault="00382E5C" w:rsidP="00382E5C">
      <w:pPr>
        <w:pStyle w:val="P1-StandPara"/>
        <w:spacing w:line="360" w:lineRule="auto"/>
        <w:ind w:firstLine="720"/>
        <w:jc w:val="left"/>
      </w:pPr>
      <w:r>
        <w:t xml:space="preserve">Question </w:t>
      </w:r>
      <w:r w:rsidR="00C47FB7">
        <w:t>20</w:t>
      </w:r>
      <w:r>
        <w:t xml:space="preserve"> is an open field where participants can comment on the questionnaire. </w:t>
      </w:r>
    </w:p>
    <w:p w14:paraId="37C7A0B1" w14:textId="77777777" w:rsidR="005B6BCA" w:rsidRDefault="005B6BCA">
      <w:pPr>
        <w:pStyle w:val="P1-StandPara"/>
        <w:spacing w:line="360" w:lineRule="auto"/>
        <w:ind w:firstLine="720"/>
        <w:jc w:val="left"/>
      </w:pPr>
    </w:p>
    <w:p w14:paraId="02EB9D2A" w14:textId="77777777" w:rsidR="00221D90" w:rsidRDefault="00221D90">
      <w:pPr>
        <w:pStyle w:val="Heading1"/>
        <w:spacing w:line="360" w:lineRule="auto"/>
        <w:jc w:val="left"/>
      </w:pPr>
      <w:r>
        <w:t>A.2.</w:t>
      </w:r>
      <w:r>
        <w:tab/>
        <w:t>Purposes and Use of the Data</w:t>
      </w:r>
    </w:p>
    <w:p w14:paraId="23F910BA" w14:textId="26E14DB9" w:rsidR="00180D7E" w:rsidRDefault="00221D90" w:rsidP="00456DD9">
      <w:pPr>
        <w:pStyle w:val="P1-StandPara"/>
        <w:spacing w:line="360" w:lineRule="auto"/>
        <w:ind w:firstLine="720"/>
        <w:jc w:val="left"/>
      </w:pPr>
      <w:r>
        <w:t xml:space="preserve">Data from this survey serve several audiences. </w:t>
      </w:r>
      <w:r w:rsidR="00FB6D2B">
        <w:t>At the national level</w:t>
      </w:r>
      <w:r w:rsidR="00CC22B1">
        <w:t>,</w:t>
      </w:r>
      <w:r w:rsidR="00FB6D2B">
        <w:t xml:space="preserve"> t</w:t>
      </w:r>
      <w:r>
        <w:t xml:space="preserve">he data provide Congress </w:t>
      </w:r>
      <w:r w:rsidR="004D6D12">
        <w:t xml:space="preserve">and federal agencies </w:t>
      </w:r>
      <w:r>
        <w:t>with a broad, quantitative picture of the inventory and condition of existing S&amp;E research space at research-performing academic institutions. The survey also provides data on the current and future capital expenditures for research facilities by universities</w:t>
      </w:r>
      <w:r w:rsidR="00763A76">
        <w:t xml:space="preserve"> and</w:t>
      </w:r>
      <w:r>
        <w:t xml:space="preserve"> colleges; sources of funding for research facilities at these institutions</w:t>
      </w:r>
      <w:r w:rsidR="00441192">
        <w:t xml:space="preserve"> and</w:t>
      </w:r>
      <w:r>
        <w:t>; plans for future repair/renovation and new construction of science and engine</w:t>
      </w:r>
      <w:r w:rsidR="009A443D">
        <w:t>ering research facilities</w:t>
      </w:r>
      <w:r>
        <w:t xml:space="preserve">.  </w:t>
      </w:r>
      <w:r w:rsidR="000257E6">
        <w:t xml:space="preserve">Congress </w:t>
      </w:r>
      <w:r w:rsidR="00ED4338">
        <w:t>uses the</w:t>
      </w:r>
      <w:r w:rsidR="000257E6">
        <w:t xml:space="preserve"> F</w:t>
      </w:r>
      <w:r w:rsidR="004D6D12">
        <w:t xml:space="preserve">acilities </w:t>
      </w:r>
      <w:r w:rsidR="000257E6">
        <w:t xml:space="preserve">survey </w:t>
      </w:r>
      <w:r w:rsidR="004D6D12">
        <w:t xml:space="preserve">data to </w:t>
      </w:r>
      <w:r w:rsidR="00180D7E">
        <w:t xml:space="preserve">assist them in estimating </w:t>
      </w:r>
      <w:r w:rsidR="000257E6">
        <w:t xml:space="preserve">appropriations and programmatic decisions.  </w:t>
      </w:r>
    </w:p>
    <w:p w14:paraId="25037974" w14:textId="77777777" w:rsidR="00221D90" w:rsidRDefault="00221D90">
      <w:pPr>
        <w:pStyle w:val="P1-StandPara"/>
        <w:spacing w:line="360" w:lineRule="auto"/>
        <w:jc w:val="left"/>
      </w:pPr>
    </w:p>
    <w:p w14:paraId="001633E6" w14:textId="395E743D" w:rsidR="00221D90" w:rsidRDefault="00FB6D2B" w:rsidP="00763A76">
      <w:pPr>
        <w:spacing w:line="360" w:lineRule="auto"/>
        <w:ind w:firstLine="720"/>
        <w:jc w:val="left"/>
      </w:pPr>
      <w:r>
        <w:t>At the state and local level</w:t>
      </w:r>
      <w:r w:rsidR="00221D90">
        <w:t xml:space="preserve">, </w:t>
      </w:r>
      <w:r w:rsidR="00763A76">
        <w:t>s</w:t>
      </w:r>
      <w:r w:rsidR="00221D90">
        <w:t xml:space="preserve">tate legislatures, </w:t>
      </w:r>
      <w:r w:rsidR="00763A76">
        <w:t>s</w:t>
      </w:r>
      <w:r w:rsidR="00221D90">
        <w:t>tate agencies</w:t>
      </w:r>
      <w:r w:rsidR="00763A76">
        <w:t>,</w:t>
      </w:r>
      <w:r w:rsidR="00221D90">
        <w:t xml:space="preserve"> and </w:t>
      </w:r>
      <w:r w:rsidR="00763A76">
        <w:t xml:space="preserve">individual </w:t>
      </w:r>
      <w:r w:rsidR="00221D90">
        <w:t>universities and colleges use the data to</w:t>
      </w:r>
      <w:r w:rsidR="00002517">
        <w:t xml:space="preserve"> assist them in making budgetary</w:t>
      </w:r>
      <w:r w:rsidR="00221D90">
        <w:t xml:space="preserve"> decisions and in planning future activities. Private sector architectural, engineering, and construction firms use the data for several purposes including forecasting the demand for their products and services.</w:t>
      </w:r>
      <w:r w:rsidR="00763A76">
        <w:t xml:space="preserve"> </w:t>
      </w:r>
      <w:r w:rsidR="00221D90">
        <w:t xml:space="preserve">Finally, professional associations such as </w:t>
      </w:r>
      <w:r w:rsidR="007E1B10">
        <w:t xml:space="preserve">the Federation of American Societies for Experimental Biology </w:t>
      </w:r>
      <w:r w:rsidR="00221D90">
        <w:t xml:space="preserve">use the data to assist them in assessing needs </w:t>
      </w:r>
      <w:r w:rsidR="00763A76">
        <w:t xml:space="preserve">related to </w:t>
      </w:r>
      <w:r w:rsidR="00221D90">
        <w:t xml:space="preserve">their </w:t>
      </w:r>
      <w:r w:rsidR="00763A76">
        <w:t xml:space="preserve">associated </w:t>
      </w:r>
      <w:r w:rsidR="00221D90">
        <w:t>fields of science.</w:t>
      </w:r>
    </w:p>
    <w:p w14:paraId="6ED1B912" w14:textId="77777777" w:rsidR="00221D90" w:rsidRDefault="00221D90">
      <w:pPr>
        <w:spacing w:line="360" w:lineRule="auto"/>
        <w:jc w:val="left"/>
      </w:pPr>
    </w:p>
    <w:p w14:paraId="7EB5E26B" w14:textId="4E8D1DF9" w:rsidR="00221D90" w:rsidRPr="009F7FD4" w:rsidRDefault="00FB4D8D">
      <w:pPr>
        <w:pStyle w:val="P1-StandPara"/>
        <w:spacing w:line="360" w:lineRule="auto"/>
        <w:ind w:firstLine="720"/>
        <w:jc w:val="left"/>
        <w:rPr>
          <w:szCs w:val="22"/>
        </w:rPr>
      </w:pPr>
      <w:r>
        <w:t xml:space="preserve">Data are publicly available through an InfoBrief and detailed statistical tables on the </w:t>
      </w:r>
      <w:r w:rsidR="004A699A">
        <w:t xml:space="preserve">NCSES </w:t>
      </w:r>
      <w:r>
        <w:t xml:space="preserve">website at </w:t>
      </w:r>
      <w:hyperlink r:id="rId9" w:history="1">
        <w:r w:rsidRPr="00EC3DA2">
          <w:rPr>
            <w:rStyle w:val="Hyperlink"/>
          </w:rPr>
          <w:t>http://nsf.gov/statistics/srvyfacilities/</w:t>
        </w:r>
      </w:hyperlink>
      <w:r>
        <w:t xml:space="preserve">. Users can run custom data reports from the Facilities survey and other NCSES surveys through the Integrated Science and Engineering Resources Data </w:t>
      </w:r>
      <w:r w:rsidRPr="009F7FD4">
        <w:rPr>
          <w:szCs w:val="22"/>
        </w:rPr>
        <w:t xml:space="preserve">System at </w:t>
      </w:r>
      <w:hyperlink r:id="rId10" w:tgtFrame="_blank" w:history="1">
        <w:r w:rsidR="00241C98" w:rsidRPr="00A33C7C">
          <w:rPr>
            <w:rStyle w:val="Hyperlink"/>
            <w:szCs w:val="22"/>
          </w:rPr>
          <w:t>https://ncsesdata.nsf.gov/ids</w:t>
        </w:r>
      </w:hyperlink>
      <w:r w:rsidR="00241C98" w:rsidRPr="00A33C7C">
        <w:rPr>
          <w:color w:val="000000"/>
          <w:szCs w:val="22"/>
        </w:rPr>
        <w:t>.</w:t>
      </w:r>
      <w:r w:rsidRPr="009F7FD4">
        <w:rPr>
          <w:szCs w:val="22"/>
        </w:rPr>
        <w:t xml:space="preserve">  </w:t>
      </w:r>
    </w:p>
    <w:p w14:paraId="22BC2CAB" w14:textId="77777777" w:rsidR="00300E87" w:rsidRDefault="00300E87">
      <w:pPr>
        <w:pStyle w:val="P1-StandPara"/>
        <w:spacing w:line="360" w:lineRule="auto"/>
        <w:ind w:firstLine="720"/>
        <w:jc w:val="left"/>
      </w:pPr>
    </w:p>
    <w:p w14:paraId="280A5119" w14:textId="77777777" w:rsidR="00221D90" w:rsidRDefault="00221D90">
      <w:pPr>
        <w:pStyle w:val="Heading1"/>
        <w:spacing w:line="360" w:lineRule="auto"/>
        <w:jc w:val="left"/>
      </w:pPr>
      <w:r>
        <w:t>A.3.</w:t>
      </w:r>
      <w:r>
        <w:tab/>
        <w:t>Use of Improved Information Technology</w:t>
      </w:r>
    </w:p>
    <w:p w14:paraId="2ED5EFAB" w14:textId="4058BFF3" w:rsidR="00221D90" w:rsidRDefault="00221D90">
      <w:pPr>
        <w:pStyle w:val="P1-StandPara"/>
        <w:spacing w:line="360" w:lineRule="auto"/>
        <w:ind w:firstLine="720"/>
        <w:jc w:val="left"/>
      </w:pPr>
      <w:r>
        <w:t xml:space="preserve">The survey is a mixed mode survey:  respondents have the option of completing a </w:t>
      </w:r>
      <w:r w:rsidR="005A55F4">
        <w:t>printable PDF version</w:t>
      </w:r>
      <w:r>
        <w:t xml:space="preserve"> or a </w:t>
      </w:r>
      <w:r w:rsidR="00CA031A">
        <w:t xml:space="preserve">web </w:t>
      </w:r>
      <w:r>
        <w:t>version. The large majority of institutions (</w:t>
      </w:r>
      <w:r w:rsidR="000C0521">
        <w:t>99</w:t>
      </w:r>
      <w:r w:rsidR="000A2CEA">
        <w:t xml:space="preserve">% in FY </w:t>
      </w:r>
      <w:r w:rsidR="000C0521">
        <w:t>201</w:t>
      </w:r>
      <w:r w:rsidR="00241C98">
        <w:t>7</w:t>
      </w:r>
      <w:r w:rsidR="000C0521">
        <w:t xml:space="preserve"> </w:t>
      </w:r>
      <w:r>
        <w:t>cycle) respond to the survey via the web.</w:t>
      </w:r>
    </w:p>
    <w:p w14:paraId="605846D0" w14:textId="77777777" w:rsidR="00221D90" w:rsidRDefault="00221D90">
      <w:pPr>
        <w:pStyle w:val="P1-StandPara"/>
        <w:spacing w:line="360" w:lineRule="auto"/>
        <w:jc w:val="left"/>
      </w:pPr>
    </w:p>
    <w:p w14:paraId="35A195A5" w14:textId="22A06F0A" w:rsidR="00221D90" w:rsidRDefault="00221D90">
      <w:pPr>
        <w:pStyle w:val="P1-StandPara"/>
        <w:spacing w:line="360" w:lineRule="auto"/>
        <w:ind w:firstLine="720"/>
        <w:jc w:val="left"/>
      </w:pPr>
      <w:r>
        <w:t>The web version</w:t>
      </w:r>
      <w:r w:rsidR="00230529">
        <w:t xml:space="preserve"> of the survey is a .NET application</w:t>
      </w:r>
      <w:r w:rsidR="00CC22B1">
        <w:t xml:space="preserve"> with </w:t>
      </w:r>
      <w:r>
        <w:t xml:space="preserve">a real-time monitoring system, which allows </w:t>
      </w:r>
      <w:r w:rsidR="00FB6D2B">
        <w:t>NCSES</w:t>
      </w:r>
      <w:r>
        <w:t xml:space="preserve"> to monitor data, response status, and comments from respondents. From the perspective of the respondents, the web version is more convenient and simplifies the survey (e.g., by automating skip patterns, and automatically calculating totals). N</w:t>
      </w:r>
      <w:r w:rsidR="00FB6D2B">
        <w:t>CSES</w:t>
      </w:r>
      <w:r>
        <w:t xml:space="preserve"> also benefits from use of the web version by receiving improved data quality. Data quality is improved using several techniques such as </w:t>
      </w:r>
      <w:r w:rsidR="00230529">
        <w:t xml:space="preserve">data checks, </w:t>
      </w:r>
      <w:r>
        <w:t>skip pattern checks</w:t>
      </w:r>
      <w:r w:rsidR="00230529">
        <w:t>,</w:t>
      </w:r>
      <w:r>
        <w:t xml:space="preserve"> and consis</w:t>
      </w:r>
      <w:r w:rsidR="00230529">
        <w:t xml:space="preserve">tency checks. For example, data checks are used to calculate totals and inform respondents if </w:t>
      </w:r>
      <w:r w:rsidR="00CC22B1">
        <w:t xml:space="preserve">percentages </w:t>
      </w:r>
      <w:r w:rsidR="00230529">
        <w:t xml:space="preserve">do not add to 100. </w:t>
      </w:r>
      <w:r>
        <w:t xml:space="preserve">For inconsistent data, respondents will receive messages while completing their survey if their responses do not appear consistent with their responses to other </w:t>
      </w:r>
      <w:r w:rsidR="002A4581">
        <w:t xml:space="preserve">relevant </w:t>
      </w:r>
      <w:r>
        <w:t xml:space="preserve">questions.     </w:t>
      </w:r>
    </w:p>
    <w:p w14:paraId="12F6ACFE" w14:textId="77777777" w:rsidR="00221D90" w:rsidRDefault="00221D90">
      <w:pPr>
        <w:pStyle w:val="P1-StandPara"/>
        <w:spacing w:line="360" w:lineRule="auto"/>
        <w:jc w:val="left"/>
      </w:pPr>
    </w:p>
    <w:p w14:paraId="1C573BC8" w14:textId="77777777" w:rsidR="00221D90" w:rsidRDefault="00221D90">
      <w:pPr>
        <w:pStyle w:val="Heading1"/>
        <w:spacing w:line="360" w:lineRule="auto"/>
        <w:jc w:val="left"/>
      </w:pPr>
      <w:r>
        <w:t>A.4.</w:t>
      </w:r>
      <w:r>
        <w:tab/>
        <w:t>Efforts to Identify Duplication</w:t>
      </w:r>
    </w:p>
    <w:p w14:paraId="599D2146" w14:textId="290A297E" w:rsidR="00221D90" w:rsidRDefault="00C26E20">
      <w:pPr>
        <w:pStyle w:val="P1-StandPara"/>
        <w:spacing w:line="360" w:lineRule="auto"/>
        <w:ind w:firstLine="720"/>
        <w:jc w:val="left"/>
      </w:pPr>
      <w:r>
        <w:t>NCSES</w:t>
      </w:r>
      <w:r w:rsidR="00154C69">
        <w:t xml:space="preserve"> monitors the</w:t>
      </w:r>
      <w:r w:rsidR="00B06C4E">
        <w:t xml:space="preserve"> availability and release of hi</w:t>
      </w:r>
      <w:r w:rsidR="00154C69">
        <w:t>g</w:t>
      </w:r>
      <w:r w:rsidR="00B06C4E">
        <w:t>h</w:t>
      </w:r>
      <w:r w:rsidR="00154C69">
        <w:t>er education facilities data</w:t>
      </w:r>
      <w:r w:rsidR="00B06C4E">
        <w:t xml:space="preserve">. While some sources provide data on </w:t>
      </w:r>
      <w:r w:rsidR="007050D9">
        <w:t xml:space="preserve">amount of </w:t>
      </w:r>
      <w:r w:rsidR="00B06C4E">
        <w:t>construction or costs o</w:t>
      </w:r>
      <w:r w:rsidR="007050D9">
        <w:t>f</w:t>
      </w:r>
      <w:r w:rsidR="00B06C4E">
        <w:t xml:space="preserve"> construction, no</w:t>
      </w:r>
      <w:r w:rsidR="00154C69">
        <w:t xml:space="preserve"> </w:t>
      </w:r>
      <w:r w:rsidR="007050D9">
        <w:t>organization provides data</w:t>
      </w:r>
      <w:r w:rsidR="00154C69">
        <w:t xml:space="preserve"> on </w:t>
      </w:r>
      <w:r w:rsidR="00CA031A">
        <w:t xml:space="preserve">higher education </w:t>
      </w:r>
      <w:r w:rsidR="00154C69">
        <w:t>research</w:t>
      </w:r>
      <w:r w:rsidR="00B06C4E">
        <w:t xml:space="preserve"> facilities</w:t>
      </w:r>
      <w:r w:rsidR="00154C69">
        <w:t>,</w:t>
      </w:r>
      <w:r w:rsidR="00B06C4E">
        <w:t xml:space="preserve"> individual</w:t>
      </w:r>
      <w:r w:rsidR="00154C69">
        <w:t xml:space="preserve"> fields of science</w:t>
      </w:r>
      <w:r w:rsidR="00B06C4E">
        <w:t>,</w:t>
      </w:r>
      <w:r w:rsidR="00154C69">
        <w:t xml:space="preserve"> or </w:t>
      </w:r>
      <w:r w:rsidR="00221D90">
        <w:t xml:space="preserve">science and engineering </w:t>
      </w:r>
      <w:r w:rsidR="00154C69">
        <w:t>in the aggregate</w:t>
      </w:r>
      <w:r w:rsidR="00B06C4E">
        <w:t>. For example, a</w:t>
      </w:r>
      <w:r w:rsidR="00221D90">
        <w:t xml:space="preserve">t the national level, data on the book value of higher education physical plant assets is collected periodically on the </w:t>
      </w:r>
      <w:r w:rsidR="00CC22B1">
        <w:t>National Center for Education Statistics</w:t>
      </w:r>
      <w:r w:rsidR="00563E2C">
        <w:t>’</w:t>
      </w:r>
      <w:r w:rsidR="00221D90">
        <w:t xml:space="preserve"> Integrated Postsecondary Education Data System. However, these data are only collected in t</w:t>
      </w:r>
      <w:r w:rsidR="00FB6D2B">
        <w:t>he aggregate for an institution;</w:t>
      </w:r>
      <w:r w:rsidR="00221D90">
        <w:t xml:space="preserve"> the data are not available for research space, and the data are not available by S&amp;E field.  The Facilities </w:t>
      </w:r>
      <w:r w:rsidR="0035565F">
        <w:t xml:space="preserve">survey </w:t>
      </w:r>
      <w:r w:rsidR="00221D90">
        <w:t>is the only survey to collect data from research-performing higher education institutions on research space and fields of S&amp;E.  The data do not duplicate statistical data from any other sources.</w:t>
      </w:r>
    </w:p>
    <w:p w14:paraId="6A22DF9A" w14:textId="2C2F53BF" w:rsidR="00FB6D2B" w:rsidRDefault="00ED7674">
      <w:pPr>
        <w:pStyle w:val="P1-StandPara"/>
        <w:spacing w:line="360" w:lineRule="auto"/>
        <w:ind w:firstLine="720"/>
        <w:jc w:val="left"/>
      </w:pPr>
      <w:r>
        <w:t xml:space="preserve">  </w:t>
      </w:r>
    </w:p>
    <w:p w14:paraId="4449FF96" w14:textId="77777777" w:rsidR="00221D90" w:rsidRDefault="00221D90">
      <w:pPr>
        <w:pStyle w:val="Heading1"/>
        <w:spacing w:line="360" w:lineRule="auto"/>
        <w:jc w:val="left"/>
      </w:pPr>
      <w:r>
        <w:t>A.5.</w:t>
      </w:r>
      <w:r>
        <w:tab/>
        <w:t>Collection of Data from Small Businesses</w:t>
      </w:r>
    </w:p>
    <w:p w14:paraId="65DEE3B3" w14:textId="77777777" w:rsidR="00221D90" w:rsidRDefault="00221D90">
      <w:pPr>
        <w:pStyle w:val="P1-StandPara"/>
        <w:spacing w:line="360" w:lineRule="auto"/>
        <w:ind w:firstLine="720"/>
        <w:jc w:val="left"/>
      </w:pPr>
      <w:r>
        <w:t>Data are not collected from small business.</w:t>
      </w:r>
    </w:p>
    <w:p w14:paraId="32D22B6F" w14:textId="77777777" w:rsidR="00221D90" w:rsidRDefault="00221D90">
      <w:pPr>
        <w:pStyle w:val="P1-StandPara"/>
        <w:spacing w:line="360" w:lineRule="auto"/>
        <w:jc w:val="left"/>
      </w:pPr>
    </w:p>
    <w:p w14:paraId="43D92042" w14:textId="77777777" w:rsidR="00221D90" w:rsidRDefault="00221D90">
      <w:pPr>
        <w:pStyle w:val="Heading1"/>
        <w:spacing w:line="360" w:lineRule="auto"/>
        <w:jc w:val="left"/>
      </w:pPr>
      <w:r>
        <w:t>A.6.</w:t>
      </w:r>
      <w:r>
        <w:tab/>
        <w:t>Consequences of Less Frequent Data Collection</w:t>
      </w:r>
    </w:p>
    <w:p w14:paraId="7BB76322" w14:textId="04D1891E" w:rsidR="00221D90" w:rsidRDefault="00221D90">
      <w:pPr>
        <w:pStyle w:val="P1-StandPara"/>
        <w:spacing w:line="360" w:lineRule="auto"/>
        <w:ind w:firstLine="720"/>
        <w:jc w:val="left"/>
      </w:pPr>
      <w:r>
        <w:t xml:space="preserve">The Congressional mandate requires that data collection occur every two years, which ensures that the data are current. This also lessens burden when compared with an annual survey. Conducting the survey less frequently </w:t>
      </w:r>
      <w:r w:rsidR="00EC1E24">
        <w:t xml:space="preserve">could </w:t>
      </w:r>
      <w:r>
        <w:t xml:space="preserve">adversely affect the relevance of the data both for policymakers and </w:t>
      </w:r>
      <w:r w:rsidR="004B6193">
        <w:t xml:space="preserve">other data </w:t>
      </w:r>
      <w:r>
        <w:t xml:space="preserve">users. </w:t>
      </w:r>
      <w:r w:rsidR="004B6193">
        <w:t>NCSES</w:t>
      </w:r>
      <w:r w:rsidR="006A1334">
        <w:t xml:space="preserve"> has</w:t>
      </w:r>
      <w:r>
        <w:t xml:space="preserve"> consulted with numerous individual institutions </w:t>
      </w:r>
      <w:r w:rsidR="004B6193">
        <w:t xml:space="preserve">on the periodicity of data collection </w:t>
      </w:r>
      <w:r>
        <w:t>(see section A.8. on public comment and consultations outside the agency)</w:t>
      </w:r>
      <w:r w:rsidR="004B6193">
        <w:t xml:space="preserve">. These institutions believe that more frequent data collection would not benefit the data-user community due to the relatively slow processes of space management (construction, repairs and renovations). It would only result in greater </w:t>
      </w:r>
      <w:r w:rsidR="0019578B">
        <w:t>burden on the institutions.</w:t>
      </w:r>
    </w:p>
    <w:p w14:paraId="4563036A" w14:textId="77777777" w:rsidR="00221D90" w:rsidRDefault="00221D90">
      <w:pPr>
        <w:pStyle w:val="P1-StandPara"/>
        <w:spacing w:line="360" w:lineRule="auto"/>
        <w:jc w:val="left"/>
      </w:pPr>
    </w:p>
    <w:p w14:paraId="0286E14A" w14:textId="77777777" w:rsidR="00221D90" w:rsidRDefault="00221D90">
      <w:pPr>
        <w:pStyle w:val="Heading1"/>
        <w:spacing w:line="360" w:lineRule="auto"/>
        <w:jc w:val="left"/>
      </w:pPr>
      <w:r>
        <w:t>A.7.</w:t>
      </w:r>
      <w:r>
        <w:tab/>
        <w:t>Special Circumstances</w:t>
      </w:r>
    </w:p>
    <w:p w14:paraId="0B7D76F4" w14:textId="77777777" w:rsidR="00221D90" w:rsidRDefault="00221D90">
      <w:pPr>
        <w:pStyle w:val="P1-StandPara"/>
        <w:spacing w:line="360" w:lineRule="auto"/>
        <w:ind w:firstLine="720"/>
        <w:jc w:val="left"/>
      </w:pPr>
      <w:r>
        <w:t>No special circumstances.</w:t>
      </w:r>
    </w:p>
    <w:p w14:paraId="6749226B" w14:textId="77777777" w:rsidR="00221D90" w:rsidRDefault="00221D90">
      <w:pPr>
        <w:pStyle w:val="P1-StandPara"/>
        <w:spacing w:line="360" w:lineRule="auto"/>
        <w:jc w:val="left"/>
      </w:pPr>
    </w:p>
    <w:p w14:paraId="7BBA410B" w14:textId="77777777" w:rsidR="00221D90" w:rsidRDefault="00221D90">
      <w:pPr>
        <w:pStyle w:val="Heading1"/>
        <w:spacing w:line="360" w:lineRule="auto"/>
        <w:jc w:val="left"/>
      </w:pPr>
      <w:r>
        <w:t>A.8.</w:t>
      </w:r>
      <w:r>
        <w:tab/>
        <w:t>Public Comment and Consultations Outside the Agency</w:t>
      </w:r>
    </w:p>
    <w:p w14:paraId="41D4B23E" w14:textId="4EF5C2B8" w:rsidR="004D1B4F" w:rsidRDefault="00E37F02">
      <w:pPr>
        <w:pStyle w:val="P1-StandPara"/>
        <w:spacing w:line="360" w:lineRule="auto"/>
        <w:ind w:firstLine="720"/>
        <w:jc w:val="left"/>
      </w:pPr>
      <w:r w:rsidRPr="006D505E">
        <w:t xml:space="preserve">In preparation for the FY 2017 survey cycle, </w:t>
      </w:r>
      <w:r w:rsidR="0057340D">
        <w:t>sixteen</w:t>
      </w:r>
      <w:r>
        <w:t xml:space="preserve"> </w:t>
      </w:r>
      <w:r w:rsidRPr="006D505E">
        <w:t xml:space="preserve">universities </w:t>
      </w:r>
      <w:r>
        <w:t xml:space="preserve">were contacted </w:t>
      </w:r>
      <w:r w:rsidRPr="006D505E">
        <w:t>to</w:t>
      </w:r>
      <w:r>
        <w:t xml:space="preserve"> get their feedback on </w:t>
      </w:r>
      <w:r w:rsidRPr="006D505E">
        <w:t>revisions to the research definition, the definition of the project start date for new construction, and the definition of completion costs for new construction. The interviews also collected feedback on</w:t>
      </w:r>
      <w:r>
        <w:t xml:space="preserve"> the </w:t>
      </w:r>
      <w:r w:rsidRPr="006D505E">
        <w:t>new question about shared research space</w:t>
      </w:r>
      <w:r w:rsidR="00576FFE">
        <w:t xml:space="preserve">. </w:t>
      </w:r>
      <w:r w:rsidRPr="006D505E">
        <w:t xml:space="preserve">The purpose of this investigation was to learn whether the proposed revisions and additions had the desired effect </w:t>
      </w:r>
      <w:r w:rsidR="00C2190A">
        <w:t xml:space="preserve">and </w:t>
      </w:r>
      <w:r w:rsidRPr="006D505E">
        <w:t>collected the desired data without introducing new problems or undue burden for the respondents</w:t>
      </w:r>
      <w:r>
        <w:t xml:space="preserve">.  No major concerns were identified. </w:t>
      </w:r>
      <w:r w:rsidR="00C2190A">
        <w:t xml:space="preserve">Participants </w:t>
      </w:r>
      <w:r>
        <w:t xml:space="preserve">generally felt that the revisions to the definitions were helpful and the new question about the shared research space was </w:t>
      </w:r>
      <w:r w:rsidR="00D97006">
        <w:t>not difficult to complete</w:t>
      </w:r>
      <w:r>
        <w:t xml:space="preserve">. </w:t>
      </w:r>
    </w:p>
    <w:p w14:paraId="5C90CF26" w14:textId="77777777" w:rsidR="00C2190A" w:rsidRDefault="00C2190A">
      <w:pPr>
        <w:pStyle w:val="P1-StandPara"/>
        <w:spacing w:line="360" w:lineRule="auto"/>
        <w:ind w:firstLine="720"/>
        <w:jc w:val="left"/>
      </w:pPr>
    </w:p>
    <w:p w14:paraId="491AC4EA" w14:textId="013981E3" w:rsidR="0057340D" w:rsidRDefault="0057340D">
      <w:pPr>
        <w:pStyle w:val="P1-StandPara"/>
        <w:spacing w:line="360" w:lineRule="auto"/>
        <w:ind w:firstLine="720"/>
        <w:jc w:val="left"/>
      </w:pPr>
      <w:r>
        <w:t xml:space="preserve">Additionally, </w:t>
      </w:r>
      <w:r w:rsidR="00933428">
        <w:t>prior to the FY 2017 survey cycle, eight institutions were contacted in an effort to better understand the reporting of deferred cost by universities through gaining insights into the process used by</w:t>
      </w:r>
      <w:r w:rsidR="00C2190A">
        <w:t>,</w:t>
      </w:r>
      <w:r w:rsidR="00933428">
        <w:t xml:space="preserve"> and data available to</w:t>
      </w:r>
      <w:r w:rsidR="00C2190A">
        <w:t>,</w:t>
      </w:r>
      <w:r w:rsidR="00933428">
        <w:t xml:space="preserve"> respondents. The goal was to learn whether a change needed to be made to the survey instrument or instructions related to the deferred cost questions. As a result, no changes were made to the deferred </w:t>
      </w:r>
      <w:r w:rsidR="003A376F">
        <w:t>cost questions as most respondents in this investigation agreed that the question</w:t>
      </w:r>
      <w:r w:rsidR="00C2190A">
        <w:t>s</w:t>
      </w:r>
      <w:r w:rsidR="003A376F">
        <w:t xml:space="preserve"> w</w:t>
      </w:r>
      <w:r w:rsidR="00C2190A">
        <w:t>ere</w:t>
      </w:r>
      <w:r w:rsidR="003A376F">
        <w:t xml:space="preserve"> clear and easy to understand</w:t>
      </w:r>
      <w:r w:rsidR="00C2190A">
        <w:t>,</w:t>
      </w:r>
      <w:r w:rsidR="003A376F">
        <w:t xml:space="preserve"> and </w:t>
      </w:r>
      <w:r w:rsidR="00C2190A">
        <w:t xml:space="preserve">that </w:t>
      </w:r>
      <w:r w:rsidR="003A376F">
        <w:t>the ability of institutions to report on th</w:t>
      </w:r>
      <w:r w:rsidR="00C2190A">
        <w:t>ese</w:t>
      </w:r>
      <w:r w:rsidR="003A376F">
        <w:t xml:space="preserve"> question</w:t>
      </w:r>
      <w:r w:rsidR="00C2190A">
        <w:t>s</w:t>
      </w:r>
      <w:r w:rsidR="003A376F">
        <w:t xml:space="preserve"> </w:t>
      </w:r>
      <w:r w:rsidR="00C2190A">
        <w:t>wa</w:t>
      </w:r>
      <w:r w:rsidR="003A376F">
        <w:t xml:space="preserve">s directly related to how data </w:t>
      </w:r>
      <w:r w:rsidR="00C2190A">
        <w:t xml:space="preserve">were </w:t>
      </w:r>
      <w:r w:rsidR="003A376F">
        <w:t xml:space="preserve">maintained and kept at their respective institutions. </w:t>
      </w:r>
    </w:p>
    <w:p w14:paraId="45094A67" w14:textId="77777777" w:rsidR="00F413CA" w:rsidRDefault="00F413CA">
      <w:pPr>
        <w:pStyle w:val="P1-StandPara"/>
        <w:spacing w:line="360" w:lineRule="auto"/>
        <w:ind w:firstLine="720"/>
        <w:jc w:val="left"/>
      </w:pPr>
    </w:p>
    <w:p w14:paraId="1078306E" w14:textId="77CDD4A0" w:rsidR="00F413CA" w:rsidRPr="00221D90" w:rsidRDefault="009B140B">
      <w:pPr>
        <w:pStyle w:val="P1-StandPara"/>
        <w:spacing w:line="360" w:lineRule="auto"/>
        <w:ind w:firstLine="720"/>
        <w:jc w:val="left"/>
      </w:pPr>
      <w:r>
        <w:t xml:space="preserve">NCSES </w:t>
      </w:r>
      <w:r w:rsidR="00CC207B">
        <w:t xml:space="preserve">published </w:t>
      </w:r>
      <w:r>
        <w:t>a</w:t>
      </w:r>
      <w:r w:rsidR="00F413CA">
        <w:t xml:space="preserve"> 60-day Federal Register </w:t>
      </w:r>
      <w:r w:rsidR="00F413CA" w:rsidRPr="002772ED">
        <w:t xml:space="preserve">Notice </w:t>
      </w:r>
      <w:r w:rsidR="000C37E3" w:rsidRPr="002772ED">
        <w:rPr>
          <w:szCs w:val="22"/>
        </w:rPr>
        <w:t>(</w:t>
      </w:r>
      <w:r w:rsidR="000C75F4" w:rsidRPr="002772ED">
        <w:rPr>
          <w:szCs w:val="22"/>
        </w:rPr>
        <w:t>84 FR 9840</w:t>
      </w:r>
      <w:r w:rsidR="000C37E3" w:rsidRPr="002772ED">
        <w:rPr>
          <w:szCs w:val="22"/>
        </w:rPr>
        <w:t xml:space="preserve">) </w:t>
      </w:r>
      <w:r w:rsidRPr="002772ED">
        <w:t>on</w:t>
      </w:r>
      <w:r w:rsidR="00F413CA" w:rsidRPr="002772ED">
        <w:t xml:space="preserve"> </w:t>
      </w:r>
      <w:r w:rsidR="000C75F4" w:rsidRPr="002772ED">
        <w:t>March 18</w:t>
      </w:r>
      <w:r w:rsidRPr="002772ED">
        <w:t xml:space="preserve">, </w:t>
      </w:r>
      <w:r w:rsidR="00485631" w:rsidRPr="002772ED">
        <w:t>2019</w:t>
      </w:r>
      <w:r w:rsidR="00485631">
        <w:t xml:space="preserve"> </w:t>
      </w:r>
      <w:r w:rsidR="00F413CA">
        <w:t xml:space="preserve">to solicit public feedback on the reinstatement and approval of data collection for the Facilities Survey </w:t>
      </w:r>
      <w:r w:rsidR="000C37E3">
        <w:rPr>
          <w:szCs w:val="22"/>
        </w:rPr>
        <w:t xml:space="preserve">(Attachment </w:t>
      </w:r>
      <w:r w:rsidR="00576FFE">
        <w:rPr>
          <w:szCs w:val="22"/>
        </w:rPr>
        <w:t>C</w:t>
      </w:r>
      <w:r w:rsidR="00DF1242">
        <w:rPr>
          <w:szCs w:val="22"/>
        </w:rPr>
        <w:t>)</w:t>
      </w:r>
      <w:r w:rsidR="000C37E3">
        <w:rPr>
          <w:szCs w:val="22"/>
        </w:rPr>
        <w:t xml:space="preserve">. </w:t>
      </w:r>
      <w:r w:rsidR="000C37E3" w:rsidRPr="002F655C">
        <w:t>No comments were received.</w:t>
      </w:r>
      <w:r w:rsidR="000C37E3">
        <w:t xml:space="preserve"> </w:t>
      </w:r>
    </w:p>
    <w:p w14:paraId="65B09567" w14:textId="77777777" w:rsidR="00B35FDD" w:rsidRDefault="00B35FDD" w:rsidP="00B35FDD">
      <w:pPr>
        <w:pStyle w:val="P1-StandPara"/>
        <w:spacing w:line="360" w:lineRule="auto"/>
        <w:ind w:left="1440" w:firstLine="0"/>
        <w:jc w:val="left"/>
      </w:pPr>
    </w:p>
    <w:p w14:paraId="426083F5" w14:textId="77777777" w:rsidR="00221D90" w:rsidRDefault="00221D90">
      <w:pPr>
        <w:pStyle w:val="Heading1"/>
        <w:spacing w:line="360" w:lineRule="auto"/>
        <w:jc w:val="left"/>
      </w:pPr>
      <w:r>
        <w:t>A.9.</w:t>
      </w:r>
      <w:r>
        <w:tab/>
        <w:t>Payments or Gifts to Respondents</w:t>
      </w:r>
    </w:p>
    <w:p w14:paraId="0BB32B4B" w14:textId="77777777" w:rsidR="00221D90" w:rsidRDefault="00221D90">
      <w:pPr>
        <w:pStyle w:val="P1-StandPara"/>
        <w:spacing w:line="360" w:lineRule="auto"/>
        <w:ind w:firstLine="720"/>
        <w:jc w:val="left"/>
      </w:pPr>
      <w:r>
        <w:t>Respondents will not be paid or receive gifts.</w:t>
      </w:r>
    </w:p>
    <w:p w14:paraId="73909530" w14:textId="77777777" w:rsidR="00221D90" w:rsidRDefault="00221D90">
      <w:pPr>
        <w:pStyle w:val="P1-StandPara"/>
        <w:spacing w:line="360" w:lineRule="auto"/>
        <w:jc w:val="left"/>
      </w:pPr>
    </w:p>
    <w:p w14:paraId="0CB85471" w14:textId="77777777" w:rsidR="00221D90" w:rsidRDefault="00221D90">
      <w:pPr>
        <w:pStyle w:val="Heading1"/>
        <w:spacing w:line="360" w:lineRule="auto"/>
        <w:jc w:val="left"/>
      </w:pPr>
      <w:r>
        <w:t>A.10.</w:t>
      </w:r>
      <w:r>
        <w:tab/>
        <w:t>Assurance of Confidentiality</w:t>
      </w:r>
    </w:p>
    <w:p w14:paraId="6D67BD47" w14:textId="5BB99C64" w:rsidR="005D0E18" w:rsidRDefault="00221D90" w:rsidP="001F04EA">
      <w:pPr>
        <w:pStyle w:val="P1-StandPara"/>
        <w:ind w:firstLine="720"/>
      </w:pPr>
      <w:r>
        <w:t>Data on individuals are not collected. Based on the idea that the data should be available to all interested parties and that making the in</w:t>
      </w:r>
      <w:r w:rsidR="004A3403">
        <w:t>stitutional</w:t>
      </w:r>
      <w:r>
        <w:t xml:space="preserve"> level data more accessible will provide institutions with a reason to respond to the survey, </w:t>
      </w:r>
      <w:r w:rsidR="00C26E20">
        <w:t>NCSES</w:t>
      </w:r>
      <w:r>
        <w:t xml:space="preserve"> </w:t>
      </w:r>
      <w:r w:rsidR="005D0E18">
        <w:t xml:space="preserve">makes </w:t>
      </w:r>
      <w:r>
        <w:t xml:space="preserve">the data publicly available </w:t>
      </w:r>
      <w:r w:rsidR="002E6F20">
        <w:t xml:space="preserve">at </w:t>
      </w:r>
      <w:r w:rsidR="001F04EA">
        <w:t>the institution level</w:t>
      </w:r>
      <w:r>
        <w:t xml:space="preserve"> with a few key exceptions (see section A.11 on sensitive questions)</w:t>
      </w:r>
      <w:r w:rsidR="005D0E18">
        <w:t>.</w:t>
      </w:r>
      <w:r>
        <w:t xml:space="preserve"> Institutions </w:t>
      </w:r>
      <w:r w:rsidR="005578F7">
        <w:t>a</w:t>
      </w:r>
      <w:r>
        <w:t>re cl</w:t>
      </w:r>
      <w:r w:rsidR="005578F7">
        <w:t xml:space="preserve">early informed of </w:t>
      </w:r>
      <w:r w:rsidR="00C26E20">
        <w:t>NCSES</w:t>
      </w:r>
      <w:r w:rsidR="001D5249">
        <w:t>’s</w:t>
      </w:r>
      <w:r w:rsidR="0057751C">
        <w:t xml:space="preserve"> </w:t>
      </w:r>
      <w:r w:rsidR="001D5249">
        <w:t>confidential</w:t>
      </w:r>
      <w:r w:rsidR="0054044F">
        <w:t>ity</w:t>
      </w:r>
      <w:r>
        <w:t xml:space="preserve"> policy</w:t>
      </w:r>
      <w:r w:rsidR="005578F7">
        <w:t xml:space="preserve"> </w:t>
      </w:r>
      <w:r w:rsidR="0057751C">
        <w:t xml:space="preserve">at the front of the survey </w:t>
      </w:r>
      <w:r w:rsidR="005578F7">
        <w:t xml:space="preserve">and the </w:t>
      </w:r>
      <w:r w:rsidR="001D5249">
        <w:t>confidentiality</w:t>
      </w:r>
      <w:r w:rsidR="0057751C">
        <w:t xml:space="preserve"> of specific questions</w:t>
      </w:r>
      <w:r w:rsidR="0054044F">
        <w:t>.</w:t>
      </w:r>
      <w:r w:rsidR="005578F7">
        <w:t xml:space="preserve"> </w:t>
      </w:r>
      <w:r w:rsidR="005D0E18">
        <w:t xml:space="preserve">Institutions </w:t>
      </w:r>
      <w:r w:rsidR="00384283">
        <w:t>are</w:t>
      </w:r>
      <w:r w:rsidR="005D0E18">
        <w:t xml:space="preserve"> informed of the plans for public release of institution-</w:t>
      </w:r>
      <w:r w:rsidR="00384283">
        <w:t>level data before they complete</w:t>
      </w:r>
      <w:r w:rsidR="005D0E18">
        <w:t xml:space="preserve"> the survey. This information </w:t>
      </w:r>
      <w:r w:rsidR="00384283">
        <w:t>is</w:t>
      </w:r>
      <w:r w:rsidR="005D0E18">
        <w:t xml:space="preserve"> included in the questionnaire. In addition, institutions </w:t>
      </w:r>
      <w:r w:rsidR="00384283">
        <w:t>are</w:t>
      </w:r>
      <w:r w:rsidR="005D0E18">
        <w:t xml:space="preserve"> informed that the survey </w:t>
      </w:r>
      <w:r w:rsidR="00384283">
        <w:t>is</w:t>
      </w:r>
      <w:r w:rsidR="005D0E18">
        <w:t xml:space="preserve"> voluntary and they c</w:t>
      </w:r>
      <w:r w:rsidR="00384283">
        <w:t>an</w:t>
      </w:r>
      <w:r w:rsidR="005D0E18">
        <w:t xml:space="preserve"> decline to answer any or all questions. </w:t>
      </w:r>
    </w:p>
    <w:p w14:paraId="20F0E790" w14:textId="32FD8124" w:rsidR="00221D90" w:rsidRDefault="005578F7">
      <w:pPr>
        <w:pStyle w:val="P1-StandPara"/>
        <w:spacing w:line="360" w:lineRule="auto"/>
        <w:ind w:firstLine="720"/>
        <w:jc w:val="left"/>
      </w:pPr>
      <w:r>
        <w:t xml:space="preserve"> </w:t>
      </w:r>
    </w:p>
    <w:p w14:paraId="206003F5" w14:textId="77777777" w:rsidR="00221D90" w:rsidRDefault="00221D90">
      <w:pPr>
        <w:pStyle w:val="Heading1"/>
        <w:spacing w:line="360" w:lineRule="auto"/>
        <w:jc w:val="left"/>
        <w:rPr>
          <w:lang w:val="fr-FR"/>
        </w:rPr>
      </w:pPr>
      <w:r>
        <w:rPr>
          <w:lang w:val="fr-FR"/>
        </w:rPr>
        <w:t>A.11.</w:t>
      </w:r>
      <w:r>
        <w:rPr>
          <w:lang w:val="fr-FR"/>
        </w:rPr>
        <w:tab/>
        <w:t>Sensitive Questions</w:t>
      </w:r>
    </w:p>
    <w:p w14:paraId="1E84A0E1" w14:textId="21F2D902" w:rsidR="00A808A4" w:rsidRDefault="00221D90">
      <w:pPr>
        <w:pStyle w:val="P1-StandPara"/>
        <w:spacing w:line="360" w:lineRule="auto"/>
        <w:ind w:firstLine="720"/>
        <w:jc w:val="left"/>
      </w:pPr>
      <w:r>
        <w:t xml:space="preserve">While </w:t>
      </w:r>
      <w:r w:rsidR="00C26E20">
        <w:t>NCSES</w:t>
      </w:r>
      <w:r>
        <w:t xml:space="preserve"> decided to make </w:t>
      </w:r>
      <w:r w:rsidR="00911102">
        <w:t>the</w:t>
      </w:r>
      <w:r w:rsidR="003B32C9">
        <w:t xml:space="preserve"> large</w:t>
      </w:r>
      <w:r w:rsidR="00911102">
        <w:t xml:space="preserve"> majority</w:t>
      </w:r>
      <w:r>
        <w:t xml:space="preserve"> of the survey data publicly available, </w:t>
      </w:r>
      <w:r w:rsidR="000A7B2B">
        <w:t xml:space="preserve">three </w:t>
      </w:r>
      <w:r>
        <w:t xml:space="preserve">survey items </w:t>
      </w:r>
      <w:r w:rsidR="006A526D">
        <w:t xml:space="preserve">are deemed </w:t>
      </w:r>
      <w:r>
        <w:t xml:space="preserve">particularly sensitive. The </w:t>
      </w:r>
      <w:r w:rsidR="000A7B2B">
        <w:t xml:space="preserve">public </w:t>
      </w:r>
      <w:r>
        <w:t xml:space="preserve">release of data on those questions could make institutions less inclined to respond to the survey. Also, during pretests of the </w:t>
      </w:r>
      <w:r w:rsidR="006A526D">
        <w:t xml:space="preserve">2001 survey </w:t>
      </w:r>
      <w:r>
        <w:t>redesign</w:t>
      </w:r>
      <w:r w:rsidR="006A526D">
        <w:t>,</w:t>
      </w:r>
      <w:r>
        <w:t xml:space="preserve"> respondents expressed concern about the confidentiality of </w:t>
      </w:r>
      <w:r w:rsidR="009B140B">
        <w:t>the</w:t>
      </w:r>
      <w:r>
        <w:t xml:space="preserve"> following survey items: condition of research space (question </w:t>
      </w:r>
      <w:r w:rsidR="00C2190A">
        <w:t>7</w:t>
      </w:r>
      <w:r>
        <w:t>)</w:t>
      </w:r>
      <w:r w:rsidR="00DF356A">
        <w:t>,</w:t>
      </w:r>
      <w:r>
        <w:t xml:space="preserve"> and </w:t>
      </w:r>
      <w:r w:rsidR="003B32C9">
        <w:t xml:space="preserve">the </w:t>
      </w:r>
      <w:r w:rsidR="00DF356A">
        <w:t xml:space="preserve">presence and </w:t>
      </w:r>
      <w:r>
        <w:t>amount of research animal space (</w:t>
      </w:r>
      <w:r w:rsidR="003B32C9">
        <w:t>question</w:t>
      </w:r>
      <w:r w:rsidR="00BE526C">
        <w:t>s</w:t>
      </w:r>
      <w:r w:rsidR="003B32C9">
        <w:t xml:space="preserve"> </w:t>
      </w:r>
      <w:r w:rsidR="00DF356A">
        <w:t xml:space="preserve">1i, </w:t>
      </w:r>
      <w:r w:rsidR="003B32C9">
        <w:t>3</w:t>
      </w:r>
      <w:r w:rsidR="00DF356A">
        <w:t>,</w:t>
      </w:r>
      <w:r w:rsidR="003B32C9">
        <w:t xml:space="preserve"> and </w:t>
      </w:r>
      <w:r w:rsidR="009F7FD4">
        <w:t>10</w:t>
      </w:r>
      <w:r w:rsidR="003B32C9">
        <w:t>f</w:t>
      </w:r>
      <w:r>
        <w:t xml:space="preserve">). </w:t>
      </w:r>
      <w:r w:rsidR="002330A3">
        <w:t xml:space="preserve">Publicly reporting the condition of research space might motivate institutions to overstate their facilities’ condition as a way to recruit researchers or gain research funding. Animal research space has always been a sensitive area due to public concerns of animal treatment. </w:t>
      </w:r>
      <w:r w:rsidR="00CC207B">
        <w:t>Based on the 2001 pretest and the 2014</w:t>
      </w:r>
      <w:r w:rsidR="00DF356A">
        <w:t>–</w:t>
      </w:r>
      <w:r w:rsidR="00CC207B">
        <w:t xml:space="preserve">15 interviews, NCSES believes these data points might not be responded to correctly, if at all, if they were published on the institutional level. Therefore, data on these fields are only published at the national level. </w:t>
      </w:r>
    </w:p>
    <w:p w14:paraId="56341FF6" w14:textId="6D73431C" w:rsidR="00580378" w:rsidRDefault="00152B76" w:rsidP="00E005C8">
      <w:pPr>
        <w:pStyle w:val="P1-StandPara"/>
        <w:spacing w:line="360" w:lineRule="auto"/>
        <w:ind w:firstLine="0"/>
        <w:jc w:val="left"/>
      </w:pPr>
      <w:r>
        <w:tab/>
      </w:r>
    </w:p>
    <w:p w14:paraId="28BB00BA" w14:textId="77777777" w:rsidR="00221D90" w:rsidRDefault="00221D90">
      <w:pPr>
        <w:pStyle w:val="Heading1"/>
        <w:spacing w:line="360" w:lineRule="auto"/>
        <w:jc w:val="left"/>
      </w:pPr>
      <w:r>
        <w:t>A.12.</w:t>
      </w:r>
      <w:r>
        <w:tab/>
        <w:t>Estimated Response Burden</w:t>
      </w:r>
    </w:p>
    <w:p w14:paraId="2917A9AD" w14:textId="77777777" w:rsidR="00221D90" w:rsidRDefault="00221D90">
      <w:pPr>
        <w:pStyle w:val="Heading9"/>
        <w:rPr>
          <w:i/>
          <w:iCs/>
        </w:rPr>
      </w:pPr>
      <w:r>
        <w:rPr>
          <w:i/>
          <w:iCs/>
        </w:rPr>
        <w:t>Burden hours</w:t>
      </w:r>
    </w:p>
    <w:p w14:paraId="0BD51DFA" w14:textId="77777777" w:rsidR="00221D90" w:rsidRDefault="00221D90">
      <w:pPr>
        <w:spacing w:line="360" w:lineRule="auto"/>
        <w:ind w:firstLine="720"/>
        <w:jc w:val="left"/>
      </w:pPr>
    </w:p>
    <w:p w14:paraId="09EBC848" w14:textId="4F277C60" w:rsidR="00221D90" w:rsidRDefault="00221D90">
      <w:pPr>
        <w:spacing w:line="360" w:lineRule="auto"/>
        <w:ind w:firstLine="720"/>
        <w:jc w:val="left"/>
      </w:pPr>
      <w:r>
        <w:t xml:space="preserve">The Facilities survey is a biennial survey of approximately </w:t>
      </w:r>
      <w:r w:rsidR="00384BFB">
        <w:t>600</w:t>
      </w:r>
      <w:r w:rsidR="00152AF8">
        <w:t xml:space="preserve"> </w:t>
      </w:r>
      <w:r w:rsidR="00580378">
        <w:t>academic institutions</w:t>
      </w:r>
      <w:r>
        <w:t xml:space="preserve">. </w:t>
      </w:r>
      <w:r w:rsidR="005673A9">
        <w:t>T</w:t>
      </w:r>
      <w:r>
        <w:t>he burden for any particular institution will be affected by two major factors</w:t>
      </w:r>
      <w:r w:rsidR="00384BFB">
        <w:t xml:space="preserve">: </w:t>
      </w:r>
      <w:r>
        <w:t>the size of the institution (in terms of number of S&amp;E departments and/or the number and size of research facilities) and the status of the institution's computerized central records system. Previous surveys showed that many institutions</w:t>
      </w:r>
      <w:r w:rsidR="00911102">
        <w:t>, as part of their compliance</w:t>
      </w:r>
      <w:r>
        <w:t xml:space="preserve"> with OMB Circular A-21</w:t>
      </w:r>
      <w:r w:rsidR="00CC41BA">
        <w:t xml:space="preserve"> and </w:t>
      </w:r>
      <w:r w:rsidR="00422D48">
        <w:t>2 CFR 220</w:t>
      </w:r>
      <w:r w:rsidR="00911102">
        <w:t>,</w:t>
      </w:r>
      <w:r>
        <w:t xml:space="preserve"> have created centralized da</w:t>
      </w:r>
      <w:r w:rsidR="000C352F">
        <w:t>tabases, including a measure</w:t>
      </w:r>
      <w:r>
        <w:t xml:space="preserve"> of space devoted to research.</w:t>
      </w:r>
    </w:p>
    <w:p w14:paraId="356F1812" w14:textId="77777777" w:rsidR="00221D90" w:rsidRDefault="00221D90">
      <w:pPr>
        <w:spacing w:line="360" w:lineRule="auto"/>
        <w:ind w:firstLine="720"/>
        <w:jc w:val="left"/>
      </w:pPr>
    </w:p>
    <w:p w14:paraId="01FB40EF" w14:textId="79C1FEEA" w:rsidR="00221D90" w:rsidRDefault="00221D90" w:rsidP="00216021">
      <w:pPr>
        <w:spacing w:line="360" w:lineRule="auto"/>
        <w:ind w:firstLine="720"/>
        <w:jc w:val="left"/>
      </w:pPr>
      <w:r>
        <w:t xml:space="preserve">Because of these factors, the completion time varies among institutions. </w:t>
      </w:r>
      <w:r w:rsidR="00384BFB">
        <w:t xml:space="preserve">A question on survey completion time was added to the FY 2013 questionnaire. </w:t>
      </w:r>
      <w:r w:rsidR="005A0838">
        <w:t>T</w:t>
      </w:r>
      <w:r>
        <w:t xml:space="preserve">he </w:t>
      </w:r>
      <w:r w:rsidR="001068C0">
        <w:t xml:space="preserve">average </w:t>
      </w:r>
      <w:r>
        <w:t xml:space="preserve">time to complete the research space </w:t>
      </w:r>
      <w:r w:rsidR="00384BFB">
        <w:t>questionnaire</w:t>
      </w:r>
      <w:r w:rsidR="00F108D7">
        <w:t xml:space="preserve"> </w:t>
      </w:r>
      <w:r w:rsidR="001068C0">
        <w:t>was</w:t>
      </w:r>
      <w:r>
        <w:t xml:space="preserve"> </w:t>
      </w:r>
      <w:r w:rsidR="000077FE">
        <w:t xml:space="preserve">19 </w:t>
      </w:r>
      <w:r w:rsidR="005A0838">
        <w:t>h</w:t>
      </w:r>
      <w:r>
        <w:t xml:space="preserve">ours. </w:t>
      </w:r>
      <w:r w:rsidR="001068C0">
        <w:t xml:space="preserve">The survey typically has </w:t>
      </w:r>
      <w:r>
        <w:t xml:space="preserve">a </w:t>
      </w:r>
      <w:r w:rsidR="00152AF8">
        <w:t>98</w:t>
      </w:r>
      <w:r>
        <w:t>% response rate</w:t>
      </w:r>
      <w:r w:rsidR="00D30881">
        <w:t xml:space="preserve"> (based on the FY </w:t>
      </w:r>
      <w:r w:rsidR="00152AF8">
        <w:t>201</w:t>
      </w:r>
      <w:r w:rsidR="003E60DE">
        <w:t>5</w:t>
      </w:r>
      <w:r w:rsidR="00152AF8">
        <w:t xml:space="preserve"> </w:t>
      </w:r>
      <w:r w:rsidR="00DF356A" w:rsidRPr="00DF356A">
        <w:t>–</w:t>
      </w:r>
      <w:r w:rsidR="00152AF8">
        <w:t xml:space="preserve"> 201</w:t>
      </w:r>
      <w:r w:rsidR="003E60DE">
        <w:t>7</w:t>
      </w:r>
      <w:r w:rsidR="00152AF8">
        <w:t xml:space="preserve"> </w:t>
      </w:r>
      <w:r w:rsidR="00D30881">
        <w:t>response rate</w:t>
      </w:r>
      <w:r w:rsidR="00152AF8">
        <w:t>s</w:t>
      </w:r>
      <w:r w:rsidR="00D30881">
        <w:t>)</w:t>
      </w:r>
      <w:r w:rsidR="001068C0">
        <w:t xml:space="preserve">. The </w:t>
      </w:r>
      <w:r>
        <w:t xml:space="preserve">estimated </w:t>
      </w:r>
      <w:r w:rsidR="005A0838">
        <w:t xml:space="preserve">total </w:t>
      </w:r>
      <w:r>
        <w:t xml:space="preserve">burden </w:t>
      </w:r>
      <w:r w:rsidR="001068C0">
        <w:t xml:space="preserve">for FY 2019 is </w:t>
      </w:r>
      <w:r w:rsidR="000077FE">
        <w:t>11,</w:t>
      </w:r>
      <w:r w:rsidR="001068C0">
        <w:t xml:space="preserve">400 </w:t>
      </w:r>
      <w:r>
        <w:t>hours</w:t>
      </w:r>
      <w:r w:rsidR="001068C0">
        <w:t xml:space="preserve">, with </w:t>
      </w:r>
      <w:r>
        <w:t xml:space="preserve">a similar burden </w:t>
      </w:r>
      <w:r w:rsidR="00902384">
        <w:t xml:space="preserve">estimated for </w:t>
      </w:r>
      <w:r>
        <w:t xml:space="preserve">FY </w:t>
      </w:r>
      <w:r w:rsidR="00152AF8">
        <w:t>20</w:t>
      </w:r>
      <w:r w:rsidR="009F7FD4">
        <w:t>21</w:t>
      </w:r>
      <w:r>
        <w:t xml:space="preserve"> </w:t>
      </w:r>
      <w:r w:rsidR="00920005">
        <w:t>(</w:t>
      </w:r>
      <w:r w:rsidR="002C4905">
        <w:t xml:space="preserve">600 </w:t>
      </w:r>
      <w:r w:rsidR="00911102">
        <w:t>i</w:t>
      </w:r>
      <w:r w:rsidR="00BE526C">
        <w:t xml:space="preserve">nstitutions x </w:t>
      </w:r>
      <w:r w:rsidR="000077FE">
        <w:t xml:space="preserve">19 </w:t>
      </w:r>
      <w:r w:rsidR="00BE526C">
        <w:t>h</w:t>
      </w:r>
      <w:r>
        <w:t xml:space="preserve">ours </w:t>
      </w:r>
      <w:r w:rsidR="002C4905">
        <w:t xml:space="preserve">x 2 data collection cycles </w:t>
      </w:r>
      <w:r>
        <w:t xml:space="preserve">= </w:t>
      </w:r>
      <w:r w:rsidR="000077FE">
        <w:t>22,</w:t>
      </w:r>
      <w:r w:rsidR="001068C0">
        <w:t xml:space="preserve">800 </w:t>
      </w:r>
      <w:r w:rsidR="005B02BB">
        <w:t>total burden hours over the total clearance period.</w:t>
      </w:r>
      <w:r w:rsidR="00920005">
        <w:t>).</w:t>
      </w:r>
    </w:p>
    <w:p w14:paraId="1EF6D4DD" w14:textId="77777777" w:rsidR="00D30881" w:rsidRDefault="00D30881" w:rsidP="00216021">
      <w:pPr>
        <w:spacing w:line="360" w:lineRule="auto"/>
        <w:ind w:firstLine="720"/>
        <w:jc w:val="left"/>
      </w:pPr>
    </w:p>
    <w:p w14:paraId="7E50D310" w14:textId="77777777" w:rsidR="00221D90" w:rsidRDefault="00221D90">
      <w:pPr>
        <w:pStyle w:val="Heading9"/>
        <w:rPr>
          <w:i/>
          <w:iCs/>
        </w:rPr>
      </w:pPr>
      <w:r>
        <w:rPr>
          <w:i/>
          <w:iCs/>
        </w:rPr>
        <w:t>Costs to responding institutions</w:t>
      </w:r>
    </w:p>
    <w:p w14:paraId="7DBE072B" w14:textId="77777777" w:rsidR="00221D90" w:rsidRDefault="00221D90">
      <w:pPr>
        <w:spacing w:line="360" w:lineRule="auto"/>
        <w:jc w:val="left"/>
      </w:pPr>
      <w:r>
        <w:tab/>
      </w:r>
    </w:p>
    <w:p w14:paraId="7E25EE49" w14:textId="0CC8D81B" w:rsidR="00221D90" w:rsidRDefault="00221D90">
      <w:pPr>
        <w:spacing w:line="360" w:lineRule="auto"/>
        <w:ind w:firstLine="720"/>
        <w:jc w:val="left"/>
      </w:pPr>
      <w:r>
        <w:t xml:space="preserve">Costs that will be incurred by responding institutions involve the completion time of the survey and the time of an institutional coordinator associated with managing the distribution of survey forms and transmittal to the contractor. The institutional coordinator makes the initial contacts with the </w:t>
      </w:r>
      <w:r w:rsidR="00D30881">
        <w:t>relevant individual offices</w:t>
      </w:r>
      <w:r>
        <w:t xml:space="preserve"> at the institution informing them of the survey, distributes the forms, follows up on the return of the forms or data to the coordinator’s office, and transmits the forms or data to the contractor.</w:t>
      </w:r>
    </w:p>
    <w:p w14:paraId="1033557E" w14:textId="77777777" w:rsidR="00221D90" w:rsidRDefault="00221D90">
      <w:pPr>
        <w:spacing w:line="360" w:lineRule="auto"/>
        <w:jc w:val="left"/>
      </w:pPr>
    </w:p>
    <w:p w14:paraId="1C6376B4" w14:textId="5A9199FF" w:rsidR="00221D90" w:rsidRDefault="00FA726D">
      <w:pPr>
        <w:spacing w:line="360" w:lineRule="auto"/>
        <w:ind w:firstLine="720"/>
        <w:jc w:val="left"/>
      </w:pPr>
      <w:r>
        <w:t>At an estimated cost of $</w:t>
      </w:r>
      <w:r w:rsidR="00CE2BF6">
        <w:t>3</w:t>
      </w:r>
      <w:r w:rsidR="00490017">
        <w:t>9</w:t>
      </w:r>
      <w:r w:rsidR="00CE2BF6">
        <w:t xml:space="preserve"> </w:t>
      </w:r>
      <w:r w:rsidR="00221D90">
        <w:t>an hour for institution staff</w:t>
      </w:r>
      <w:r w:rsidR="00CE2BF6">
        <w:t xml:space="preserve"> </w:t>
      </w:r>
      <w:r w:rsidR="00CE2BF6" w:rsidRPr="00CE2BF6">
        <w:rPr>
          <w:szCs w:val="22"/>
        </w:rPr>
        <w:t xml:space="preserve">(based on </w:t>
      </w:r>
      <w:r w:rsidR="00DF356A">
        <w:rPr>
          <w:szCs w:val="22"/>
        </w:rPr>
        <w:t xml:space="preserve">an average across categories of </w:t>
      </w:r>
      <w:r w:rsidR="00CE2BF6" w:rsidRPr="00CE2BF6">
        <w:rPr>
          <w:szCs w:val="22"/>
        </w:rPr>
        <w:t>the Bureau of Labor Statistics May 201</w:t>
      </w:r>
      <w:r w:rsidR="00490017">
        <w:rPr>
          <w:szCs w:val="22"/>
        </w:rPr>
        <w:t>7</w:t>
      </w:r>
      <w:r w:rsidR="00CE2BF6" w:rsidRPr="00CE2BF6">
        <w:rPr>
          <w:szCs w:val="22"/>
        </w:rPr>
        <w:t xml:space="preserve"> average hourly wages for </w:t>
      </w:r>
      <w:r w:rsidR="00CE2BF6">
        <w:rPr>
          <w:szCs w:val="22"/>
        </w:rPr>
        <w:t>“Administrative Services Managers,” “Budget Analysts</w:t>
      </w:r>
      <w:r w:rsidR="00DF356A">
        <w:rPr>
          <w:szCs w:val="22"/>
        </w:rPr>
        <w:t>,</w:t>
      </w:r>
      <w:r w:rsidR="00CE2BF6">
        <w:rPr>
          <w:szCs w:val="22"/>
        </w:rPr>
        <w:t xml:space="preserve">” and </w:t>
      </w:r>
      <w:r w:rsidR="00CE2BF6" w:rsidRPr="00CE2BF6">
        <w:rPr>
          <w:szCs w:val="22"/>
        </w:rPr>
        <w:t>“Financial Analysts” within NAICS 611300 - Colleges, Universities, and Professional Schools)</w:t>
      </w:r>
      <w:r w:rsidR="00221D90">
        <w:t>, the average cost to each academic institution is $</w:t>
      </w:r>
      <w:r w:rsidR="00490017">
        <w:t>741</w:t>
      </w:r>
      <w:r w:rsidR="002E6F20">
        <w:t xml:space="preserve"> </w:t>
      </w:r>
      <w:r w:rsidR="00221D90">
        <w:t xml:space="preserve">for FY </w:t>
      </w:r>
      <w:r w:rsidR="00E96CFA">
        <w:t>201</w:t>
      </w:r>
      <w:r w:rsidR="00D46ACE">
        <w:t>9</w:t>
      </w:r>
      <w:r w:rsidR="00E96CFA">
        <w:t xml:space="preserve"> </w:t>
      </w:r>
      <w:r w:rsidR="00D30881">
        <w:t xml:space="preserve">and a similar cost for FY </w:t>
      </w:r>
      <w:r w:rsidR="00E96CFA">
        <w:t>20</w:t>
      </w:r>
      <w:r w:rsidR="00D46ACE">
        <w:t>21</w:t>
      </w:r>
      <w:r w:rsidR="00221D90">
        <w:t>.</w:t>
      </w:r>
      <w:r w:rsidR="00D30881">
        <w:t xml:space="preserve"> </w:t>
      </w:r>
      <w:r w:rsidR="001068C0">
        <w:t>T</w:t>
      </w:r>
      <w:r w:rsidR="00221D90">
        <w:t>he total</w:t>
      </w:r>
      <w:r w:rsidR="00D30881">
        <w:t xml:space="preserve"> respondent costs for the FY </w:t>
      </w:r>
      <w:r w:rsidR="00E96CFA">
        <w:t>201</w:t>
      </w:r>
      <w:r w:rsidR="00A75E44">
        <w:t>9</w:t>
      </w:r>
      <w:r w:rsidR="00E96CFA">
        <w:t xml:space="preserve"> </w:t>
      </w:r>
      <w:r w:rsidR="00221D90">
        <w:t>survey are estimated to be</w:t>
      </w:r>
      <w:r w:rsidR="005159C3">
        <w:t xml:space="preserve"> $</w:t>
      </w:r>
      <w:r w:rsidR="001068C0">
        <w:t>444,600</w:t>
      </w:r>
      <w:r w:rsidR="005159C3">
        <w:t xml:space="preserve"> (</w:t>
      </w:r>
      <w:r w:rsidR="00920005">
        <w:t xml:space="preserve">600 </w:t>
      </w:r>
      <w:r w:rsidR="005159C3">
        <w:t>institutions x $</w:t>
      </w:r>
      <w:r w:rsidR="00490017">
        <w:t>741</w:t>
      </w:r>
      <w:r w:rsidR="00920005">
        <w:t>)</w:t>
      </w:r>
      <w:r w:rsidR="00F56E14">
        <w:t>.</w:t>
      </w:r>
    </w:p>
    <w:p w14:paraId="2ECD8626" w14:textId="77777777" w:rsidR="00221D90" w:rsidRDefault="00221D90">
      <w:pPr>
        <w:spacing w:line="360" w:lineRule="auto"/>
        <w:ind w:firstLine="720"/>
        <w:jc w:val="left"/>
      </w:pPr>
    </w:p>
    <w:p w14:paraId="1DA02078" w14:textId="7AFCFB3A" w:rsidR="00221D90" w:rsidRDefault="00221D90">
      <w:pPr>
        <w:spacing w:line="360" w:lineRule="auto"/>
        <w:jc w:val="left"/>
      </w:pPr>
      <w:r>
        <w:tab/>
        <w:t xml:space="preserve">These costs are expected to be similar for the FY </w:t>
      </w:r>
      <w:r w:rsidR="00E96CFA">
        <w:t>20</w:t>
      </w:r>
      <w:r w:rsidR="00D46ACE">
        <w:t>21</w:t>
      </w:r>
      <w:r w:rsidR="00E96CFA">
        <w:t xml:space="preserve"> </w:t>
      </w:r>
      <w:r>
        <w:t>cycle of the survey.</w:t>
      </w:r>
    </w:p>
    <w:p w14:paraId="230A6C12" w14:textId="77777777" w:rsidR="00221D90" w:rsidRDefault="00221D90">
      <w:pPr>
        <w:pStyle w:val="P1-StandPara"/>
        <w:spacing w:line="360" w:lineRule="auto"/>
        <w:jc w:val="left"/>
      </w:pPr>
    </w:p>
    <w:p w14:paraId="61E0A529" w14:textId="77777777" w:rsidR="00221D90" w:rsidRDefault="00221D90">
      <w:pPr>
        <w:pStyle w:val="Heading1"/>
        <w:spacing w:line="360" w:lineRule="auto"/>
        <w:jc w:val="left"/>
      </w:pPr>
      <w:r>
        <w:t>A.13.</w:t>
      </w:r>
      <w:r>
        <w:tab/>
        <w:t>Annualized Cost to Respondents</w:t>
      </w:r>
    </w:p>
    <w:p w14:paraId="022CFFB3" w14:textId="0C38631B" w:rsidR="00221D90" w:rsidRDefault="00221D90">
      <w:pPr>
        <w:pStyle w:val="P1-StandPara"/>
        <w:spacing w:line="360" w:lineRule="auto"/>
        <w:ind w:firstLine="720"/>
        <w:jc w:val="left"/>
      </w:pPr>
      <w:r>
        <w:t xml:space="preserve">There are no capital or startup costs </w:t>
      </w:r>
      <w:r w:rsidR="00D40E1B">
        <w:t xml:space="preserve">for </w:t>
      </w:r>
      <w:r>
        <w:t xml:space="preserve">the respondents </w:t>
      </w:r>
      <w:r w:rsidR="00D40E1B">
        <w:t xml:space="preserve">of </w:t>
      </w:r>
      <w:r>
        <w:t xml:space="preserve">the Facilities survey. </w:t>
      </w:r>
    </w:p>
    <w:p w14:paraId="135A156D" w14:textId="77777777" w:rsidR="00221D90" w:rsidRDefault="00221D90">
      <w:pPr>
        <w:pStyle w:val="P1-StandPara"/>
        <w:spacing w:line="360" w:lineRule="auto"/>
        <w:jc w:val="left"/>
      </w:pPr>
    </w:p>
    <w:p w14:paraId="01F4AE33" w14:textId="77777777" w:rsidR="00221D90" w:rsidRDefault="00221D90">
      <w:pPr>
        <w:pStyle w:val="Heading1"/>
        <w:spacing w:line="360" w:lineRule="auto"/>
        <w:jc w:val="left"/>
      </w:pPr>
      <w:r>
        <w:t>A.14.</w:t>
      </w:r>
      <w:r>
        <w:tab/>
        <w:t>Annualized Cost to the Federal Government</w:t>
      </w:r>
    </w:p>
    <w:p w14:paraId="04FBDF0A" w14:textId="3EA2FD4F" w:rsidR="00221D90" w:rsidRDefault="00221D90" w:rsidP="00D40E1B">
      <w:pPr>
        <w:spacing w:line="360" w:lineRule="auto"/>
        <w:ind w:firstLine="720"/>
        <w:jc w:val="left"/>
        <w:rPr>
          <w:b/>
        </w:rPr>
      </w:pPr>
      <w:r>
        <w:t xml:space="preserve">The estimated total cost of the FY </w:t>
      </w:r>
      <w:r w:rsidR="001E6345">
        <w:t>201</w:t>
      </w:r>
      <w:r w:rsidR="00D46ACE">
        <w:t>9</w:t>
      </w:r>
      <w:r w:rsidR="001E6345">
        <w:t xml:space="preserve"> </w:t>
      </w:r>
      <w:r>
        <w:t xml:space="preserve">Facilities survey to the Federal Government is </w:t>
      </w:r>
      <w:r w:rsidR="00765F89">
        <w:t>approximately $1,</w:t>
      </w:r>
      <w:r w:rsidR="00B25950">
        <w:t>740</w:t>
      </w:r>
      <w:r w:rsidR="00765F89">
        <w:t>,000 over a period of 24 months, for an annualized cost of $8</w:t>
      </w:r>
      <w:r w:rsidR="00B25950">
        <w:t>7</w:t>
      </w:r>
      <w:r w:rsidR="00765F89">
        <w:t xml:space="preserve">0,000. The estimate includes labor costs </w:t>
      </w:r>
      <w:r w:rsidR="00077B44">
        <w:t>of $</w:t>
      </w:r>
      <w:r w:rsidR="00C239AE">
        <w:t>295</w:t>
      </w:r>
      <w:r w:rsidR="00077B44">
        <w:t xml:space="preserve">,000 </w:t>
      </w:r>
      <w:r w:rsidR="00765F89">
        <w:t xml:space="preserve">for NCSES staff </w:t>
      </w:r>
      <w:r w:rsidR="00D40E1B">
        <w:t>[</w:t>
      </w:r>
      <w:r w:rsidR="00765F89">
        <w:t>project manager</w:t>
      </w:r>
      <w:r w:rsidR="00077B44">
        <w:t xml:space="preserve"> (full time)</w:t>
      </w:r>
      <w:r w:rsidR="00765F89">
        <w:t xml:space="preserve">, </w:t>
      </w:r>
      <w:r w:rsidR="00077B44">
        <w:t>NCSES management, and statistical support</w:t>
      </w:r>
      <w:r w:rsidR="00D40E1B">
        <w:t>]</w:t>
      </w:r>
      <w:r w:rsidR="00077B44">
        <w:t xml:space="preserve"> and the </w:t>
      </w:r>
      <w:r w:rsidR="0051348F">
        <w:t>survey management</w:t>
      </w:r>
      <w:r w:rsidR="00077B44">
        <w:t xml:space="preserve"> contractual cost of $1,</w:t>
      </w:r>
      <w:r w:rsidR="00106C54">
        <w:t>445</w:t>
      </w:r>
      <w:r w:rsidR="00077B44">
        <w:t xml:space="preserve">,000. </w:t>
      </w:r>
    </w:p>
    <w:p w14:paraId="4DA83103" w14:textId="77777777" w:rsidR="00221D90" w:rsidRDefault="00221D90">
      <w:pPr>
        <w:pStyle w:val="P1-StandPara"/>
        <w:spacing w:line="360" w:lineRule="auto"/>
        <w:jc w:val="left"/>
      </w:pPr>
    </w:p>
    <w:p w14:paraId="1F09944C" w14:textId="0DDC8D2E" w:rsidR="00221D90" w:rsidRDefault="00221D90">
      <w:pPr>
        <w:pStyle w:val="P1-StandPara"/>
        <w:spacing w:line="360" w:lineRule="auto"/>
        <w:ind w:firstLine="720"/>
        <w:jc w:val="left"/>
      </w:pPr>
      <w:r>
        <w:t>The contract will include all direct and indirect costs of data collection, analysis, reporting, and the production of public and proprietary data sets</w:t>
      </w:r>
      <w:r w:rsidR="00FA726D">
        <w:t>. These costs are expec</w:t>
      </w:r>
      <w:r w:rsidR="00093C0E">
        <w:t xml:space="preserve">ted to be similar for the FY </w:t>
      </w:r>
      <w:r w:rsidR="001E6345">
        <w:t>20</w:t>
      </w:r>
      <w:r w:rsidR="00C02A78">
        <w:t>21</w:t>
      </w:r>
      <w:r w:rsidR="001E6345">
        <w:t xml:space="preserve"> </w:t>
      </w:r>
      <w:r w:rsidR="00FA726D">
        <w:t>survey cycle.</w:t>
      </w:r>
    </w:p>
    <w:p w14:paraId="4D8ADC5C" w14:textId="1F832D68" w:rsidR="00221D90" w:rsidRDefault="00221D90">
      <w:pPr>
        <w:pStyle w:val="P1-StandPara"/>
        <w:spacing w:line="360" w:lineRule="auto"/>
        <w:jc w:val="left"/>
      </w:pPr>
    </w:p>
    <w:p w14:paraId="63348A77" w14:textId="77777777" w:rsidR="00221D90" w:rsidRDefault="00221D90">
      <w:pPr>
        <w:pStyle w:val="Heading1"/>
        <w:spacing w:line="360" w:lineRule="auto"/>
        <w:jc w:val="left"/>
      </w:pPr>
      <w:r>
        <w:t>A.15.</w:t>
      </w:r>
      <w:r>
        <w:tab/>
        <w:t>Reasons for Program Changes</w:t>
      </w:r>
    </w:p>
    <w:p w14:paraId="71B0D749" w14:textId="77777777" w:rsidR="00221D90" w:rsidRDefault="00221D90">
      <w:pPr>
        <w:pStyle w:val="P1-StandPara"/>
        <w:spacing w:line="360" w:lineRule="auto"/>
        <w:ind w:firstLine="720"/>
        <w:jc w:val="left"/>
      </w:pPr>
      <w:r>
        <w:t>No program changes.</w:t>
      </w:r>
    </w:p>
    <w:p w14:paraId="2840067B" w14:textId="77777777" w:rsidR="00221D90" w:rsidRDefault="00221D90">
      <w:pPr>
        <w:pStyle w:val="P1-StandPara"/>
        <w:spacing w:line="360" w:lineRule="auto"/>
        <w:jc w:val="left"/>
      </w:pPr>
    </w:p>
    <w:p w14:paraId="3B455302" w14:textId="77777777" w:rsidR="00221D90" w:rsidRDefault="00221D90">
      <w:pPr>
        <w:pStyle w:val="Heading1"/>
        <w:spacing w:line="360" w:lineRule="auto"/>
        <w:jc w:val="left"/>
      </w:pPr>
      <w:r>
        <w:t>A.16.</w:t>
      </w:r>
      <w:r>
        <w:tab/>
        <w:t>Publication Plans and Project Schedule</w:t>
      </w:r>
    </w:p>
    <w:p w14:paraId="6D8E41A6" w14:textId="2B704D3D" w:rsidR="00221D90" w:rsidRDefault="00221D90">
      <w:pPr>
        <w:spacing w:line="360" w:lineRule="auto"/>
        <w:ind w:firstLine="720"/>
        <w:jc w:val="left"/>
      </w:pPr>
      <w:r>
        <w:t xml:space="preserve">The FY </w:t>
      </w:r>
      <w:r w:rsidR="00E96CFA">
        <w:t>201</w:t>
      </w:r>
      <w:r w:rsidR="00D46ACE">
        <w:t>9</w:t>
      </w:r>
      <w:r w:rsidR="00E96CFA">
        <w:t xml:space="preserve"> </w:t>
      </w:r>
      <w:r>
        <w:t xml:space="preserve">survey </w:t>
      </w:r>
      <w:r w:rsidR="00310DE0">
        <w:t>implementation</w:t>
      </w:r>
      <w:r>
        <w:t xml:space="preserve"> is </w:t>
      </w:r>
      <w:r w:rsidR="00CD6AED">
        <w:t xml:space="preserve">scheduled </w:t>
      </w:r>
      <w:r>
        <w:t xml:space="preserve">to begin in </w:t>
      </w:r>
      <w:r w:rsidR="00895B35">
        <w:t>October</w:t>
      </w:r>
      <w:r>
        <w:t xml:space="preserve"> of </w:t>
      </w:r>
      <w:r w:rsidR="00E96CFA">
        <w:t>201</w:t>
      </w:r>
      <w:r w:rsidR="00D46ACE">
        <w:t>9</w:t>
      </w:r>
      <w:r>
        <w:t>. Data collec</w:t>
      </w:r>
      <w:r w:rsidR="00310DE0">
        <w:t>tion will take place over a six</w:t>
      </w:r>
      <w:r>
        <w:t>-month period in order to provide insti</w:t>
      </w:r>
      <w:r w:rsidR="004E0525">
        <w:t>tutions adequate time to identify</w:t>
      </w:r>
      <w:r>
        <w:t xml:space="preserve"> a coordinator and to gather the appropriate records and data. Data collection is expected to end </w:t>
      </w:r>
      <w:r w:rsidR="00D40E1B">
        <w:t xml:space="preserve">in </w:t>
      </w:r>
      <w:r>
        <w:t xml:space="preserve">the </w:t>
      </w:r>
      <w:r w:rsidR="00895B35">
        <w:t>spring</w:t>
      </w:r>
      <w:r w:rsidR="004E0525">
        <w:t xml:space="preserve"> of </w:t>
      </w:r>
      <w:r w:rsidR="00E96CFA">
        <w:t>20</w:t>
      </w:r>
      <w:r w:rsidR="00D46ACE">
        <w:t>20</w:t>
      </w:r>
      <w:r>
        <w:t>. Th</w:t>
      </w:r>
      <w:r w:rsidR="004E0525">
        <w:t xml:space="preserve">e data collection for the FY </w:t>
      </w:r>
      <w:r w:rsidR="00E96CFA">
        <w:t>20</w:t>
      </w:r>
      <w:r w:rsidR="00D46ACE">
        <w:t>21</w:t>
      </w:r>
      <w:r w:rsidR="00E96CFA">
        <w:t xml:space="preserve"> </w:t>
      </w:r>
      <w:r w:rsidR="004E0525">
        <w:t>cycle will begin in October</w:t>
      </w:r>
      <w:r>
        <w:t xml:space="preserve"> of </w:t>
      </w:r>
      <w:r w:rsidR="00E96CFA">
        <w:t>20</w:t>
      </w:r>
      <w:r w:rsidR="00D46ACE">
        <w:t>21</w:t>
      </w:r>
      <w:r w:rsidR="00E96CFA">
        <w:t xml:space="preserve"> </w:t>
      </w:r>
      <w:r>
        <w:t xml:space="preserve">and will end in the </w:t>
      </w:r>
      <w:r w:rsidR="00895B35">
        <w:t>spring</w:t>
      </w:r>
      <w:r w:rsidR="004E0525">
        <w:t xml:space="preserve"> of </w:t>
      </w:r>
      <w:r w:rsidR="00E96CFA">
        <w:t>20</w:t>
      </w:r>
      <w:r w:rsidR="00D46ACE">
        <w:t>22</w:t>
      </w:r>
      <w:r>
        <w:t>.</w:t>
      </w:r>
    </w:p>
    <w:p w14:paraId="057979EA" w14:textId="77777777" w:rsidR="00221D90" w:rsidRDefault="00221D90">
      <w:pPr>
        <w:spacing w:line="360" w:lineRule="auto"/>
        <w:jc w:val="left"/>
      </w:pPr>
    </w:p>
    <w:p w14:paraId="2046BC2F" w14:textId="2BE1B857" w:rsidR="00221D90" w:rsidRDefault="00221D90">
      <w:pPr>
        <w:spacing w:line="360" w:lineRule="auto"/>
        <w:ind w:firstLine="720"/>
        <w:jc w:val="left"/>
      </w:pPr>
      <w:r>
        <w:t xml:space="preserve">The contractor will submit draft data tabulations within </w:t>
      </w:r>
      <w:r w:rsidR="00B876EC">
        <w:t>three</w:t>
      </w:r>
      <w:r>
        <w:t xml:space="preserve"> months following </w:t>
      </w:r>
      <w:r w:rsidR="00B07970">
        <w:t xml:space="preserve">completion of </w:t>
      </w:r>
      <w:r>
        <w:t xml:space="preserve">data collection. These will be reviewed and revised as needed by </w:t>
      </w:r>
      <w:r w:rsidR="00C26E20">
        <w:t>NCSES</w:t>
      </w:r>
      <w:r>
        <w:t xml:space="preserve"> before production of final data tabulations. </w:t>
      </w:r>
      <w:r w:rsidR="00C26E20">
        <w:t>NCSES</w:t>
      </w:r>
      <w:r>
        <w:t xml:space="preserve"> will be responsible for </w:t>
      </w:r>
      <w:r w:rsidR="00895B35">
        <w:t>electronic</w:t>
      </w:r>
      <w:r>
        <w:t xml:space="preserve"> dissemination of the tables to NSF offices, participating academic institutions, professional associations, and others who may request information about the survey.</w:t>
      </w:r>
    </w:p>
    <w:p w14:paraId="54AE1710" w14:textId="77777777" w:rsidR="00221D90" w:rsidRDefault="00221D90">
      <w:pPr>
        <w:spacing w:line="360" w:lineRule="auto"/>
        <w:jc w:val="left"/>
      </w:pPr>
    </w:p>
    <w:p w14:paraId="35B79F4C" w14:textId="57A9B5A8" w:rsidR="00221D90" w:rsidRDefault="00221D90">
      <w:pPr>
        <w:spacing w:line="360" w:lineRule="auto"/>
        <w:ind w:firstLine="720"/>
        <w:jc w:val="left"/>
      </w:pPr>
      <w:r>
        <w:t>The contractor will also pro</w:t>
      </w:r>
      <w:r w:rsidR="00895B35">
        <w:t xml:space="preserve">vide a </w:t>
      </w:r>
      <w:r>
        <w:t xml:space="preserve">public use data file that </w:t>
      </w:r>
      <w:r w:rsidR="00CD6AED">
        <w:t xml:space="preserve">will be </w:t>
      </w:r>
      <w:r>
        <w:t>a</w:t>
      </w:r>
      <w:r w:rsidR="008A3D94">
        <w:t xml:space="preserve">ccessible via the </w:t>
      </w:r>
      <w:r w:rsidR="00B876EC">
        <w:t xml:space="preserve">NSF website </w:t>
      </w:r>
      <w:r>
        <w:t>and include</w:t>
      </w:r>
      <w:r w:rsidR="008A3D94">
        <w:t>s</w:t>
      </w:r>
      <w:r>
        <w:t xml:space="preserve"> electronic data files for use on personal computers. The data files, including documentation, will contain institutional dat</w:t>
      </w:r>
      <w:r w:rsidR="005D5255">
        <w:t xml:space="preserve">a and will be delivered within </w:t>
      </w:r>
      <w:r w:rsidR="00B876EC">
        <w:t>3</w:t>
      </w:r>
      <w:r>
        <w:t xml:space="preserve"> months of data collection. In addition, the contractor will provide a methodology report detailing all survey activities, materials, and procedures.</w:t>
      </w:r>
    </w:p>
    <w:p w14:paraId="60670252" w14:textId="77777777" w:rsidR="00221D90" w:rsidRDefault="00221D90">
      <w:pPr>
        <w:spacing w:line="360" w:lineRule="auto"/>
        <w:ind w:firstLine="720"/>
        <w:jc w:val="left"/>
      </w:pPr>
    </w:p>
    <w:p w14:paraId="6AD0EA37" w14:textId="7DB3E46C" w:rsidR="00221D90" w:rsidRDefault="00C26E20">
      <w:pPr>
        <w:pStyle w:val="P1-StandPara"/>
        <w:spacing w:line="360" w:lineRule="auto"/>
        <w:ind w:firstLine="720"/>
        <w:jc w:val="left"/>
      </w:pPr>
      <w:r>
        <w:t>NCSES</w:t>
      </w:r>
      <w:r w:rsidR="00014438">
        <w:t xml:space="preserve"> </w:t>
      </w:r>
      <w:r w:rsidR="00221D90">
        <w:t xml:space="preserve">produced </w:t>
      </w:r>
      <w:r w:rsidR="00014438">
        <w:t xml:space="preserve">an </w:t>
      </w:r>
      <w:r w:rsidR="00895B35">
        <w:t>Infobrief</w:t>
      </w:r>
      <w:r w:rsidR="00443215">
        <w:t xml:space="preserve"> on the results of the FY </w:t>
      </w:r>
      <w:r w:rsidR="00E96CFA">
        <w:t>201</w:t>
      </w:r>
      <w:r w:rsidR="004A11EF">
        <w:t>7</w:t>
      </w:r>
      <w:r w:rsidR="00E96CFA">
        <w:t xml:space="preserve"> </w:t>
      </w:r>
      <w:r w:rsidR="00221D90">
        <w:t xml:space="preserve">survey </w:t>
      </w:r>
      <w:r w:rsidR="00014438">
        <w:t>in March</w:t>
      </w:r>
      <w:r w:rsidR="00A75E44">
        <w:t xml:space="preserve"> </w:t>
      </w:r>
      <w:r w:rsidR="00443215">
        <w:t xml:space="preserve">of </w:t>
      </w:r>
      <w:r w:rsidR="00E96CFA">
        <w:t>20</w:t>
      </w:r>
      <w:r w:rsidR="00A75E44">
        <w:t>1</w:t>
      </w:r>
      <w:r w:rsidR="004A11EF">
        <w:t>9</w:t>
      </w:r>
      <w:r w:rsidR="00221D90">
        <w:t xml:space="preserve">. The </w:t>
      </w:r>
      <w:r w:rsidR="00895B35">
        <w:t>Infobrief</w:t>
      </w:r>
      <w:r w:rsidR="00221D90">
        <w:t xml:space="preserve"> include</w:t>
      </w:r>
      <w:r w:rsidR="00014438">
        <w:t>s</w:t>
      </w:r>
      <w:r w:rsidR="00895B35">
        <w:t xml:space="preserve"> </w:t>
      </w:r>
      <w:r w:rsidR="00221D90">
        <w:t>a presentation of major findings</w:t>
      </w:r>
      <w:r w:rsidR="00895B35">
        <w:t>,</w:t>
      </w:r>
      <w:r w:rsidR="00221D90">
        <w:t xml:space="preserve"> charts and graphs relevant to the </w:t>
      </w:r>
      <w:r w:rsidR="00895B35">
        <w:t xml:space="preserve">survey, and </w:t>
      </w:r>
      <w:r w:rsidR="00221D90">
        <w:t xml:space="preserve">relevant statistical tables. </w:t>
      </w:r>
      <w:r w:rsidR="00895B35">
        <w:t>It also refer</w:t>
      </w:r>
      <w:r w:rsidR="00014438">
        <w:t>s</w:t>
      </w:r>
      <w:r w:rsidR="00895B35">
        <w:t xml:space="preserve"> the reader to additional information about survey limitations and other technical information.</w:t>
      </w:r>
    </w:p>
    <w:p w14:paraId="6BB6256E" w14:textId="77777777" w:rsidR="00221D90" w:rsidRDefault="00221D90">
      <w:pPr>
        <w:spacing w:line="360" w:lineRule="auto"/>
        <w:ind w:firstLine="720"/>
        <w:jc w:val="left"/>
      </w:pPr>
    </w:p>
    <w:p w14:paraId="45C6EB11" w14:textId="65B1438A" w:rsidR="00221D90" w:rsidRDefault="00C26E20">
      <w:pPr>
        <w:spacing w:line="360" w:lineRule="auto"/>
        <w:ind w:firstLine="720"/>
        <w:jc w:val="left"/>
      </w:pPr>
      <w:r>
        <w:t>NCSES</w:t>
      </w:r>
      <w:r w:rsidR="00221D90">
        <w:t xml:space="preserve"> anticipates a </w:t>
      </w:r>
      <w:r w:rsidR="00B01F7F">
        <w:t xml:space="preserve">similar schedule for the FY </w:t>
      </w:r>
      <w:r w:rsidR="00E96CFA">
        <w:t>20</w:t>
      </w:r>
      <w:r w:rsidR="00D46ACE">
        <w:t>19</w:t>
      </w:r>
      <w:r w:rsidR="00E96CFA">
        <w:t xml:space="preserve"> </w:t>
      </w:r>
      <w:r w:rsidR="00AC4F27">
        <w:t>and FY 20</w:t>
      </w:r>
      <w:r w:rsidR="00D46ACE">
        <w:t>21</w:t>
      </w:r>
      <w:r w:rsidR="00AC4F27">
        <w:t xml:space="preserve"> survey </w:t>
      </w:r>
      <w:r w:rsidR="00221D90">
        <w:t>cycle</w:t>
      </w:r>
      <w:r w:rsidR="00AC4F27">
        <w:t>s</w:t>
      </w:r>
      <w:r w:rsidR="00221D90">
        <w:t>.</w:t>
      </w:r>
    </w:p>
    <w:p w14:paraId="7B34B99F" w14:textId="77777777" w:rsidR="00221D90" w:rsidRDefault="00221D90">
      <w:pPr>
        <w:pStyle w:val="P1-StandPara"/>
        <w:spacing w:line="360" w:lineRule="auto"/>
        <w:ind w:firstLine="0"/>
        <w:jc w:val="left"/>
      </w:pPr>
    </w:p>
    <w:p w14:paraId="30C20FC9" w14:textId="77777777" w:rsidR="00221D90" w:rsidRDefault="00221D90">
      <w:pPr>
        <w:pStyle w:val="Heading1"/>
        <w:spacing w:line="360" w:lineRule="auto"/>
        <w:jc w:val="left"/>
      </w:pPr>
      <w:r>
        <w:t>A.17.</w:t>
      </w:r>
      <w:r>
        <w:tab/>
        <w:t>Approval for Not Displaying the Expiration Date for OMB Approval</w:t>
      </w:r>
    </w:p>
    <w:p w14:paraId="1FE451C9" w14:textId="77777777" w:rsidR="00221D90" w:rsidRDefault="00221D90">
      <w:pPr>
        <w:pStyle w:val="P1-StandPara"/>
        <w:spacing w:line="360" w:lineRule="auto"/>
        <w:ind w:firstLine="720"/>
        <w:jc w:val="left"/>
      </w:pPr>
      <w:r>
        <w:t>Approval not requested.</w:t>
      </w:r>
    </w:p>
    <w:p w14:paraId="1522559A" w14:textId="77777777" w:rsidR="00221D90" w:rsidRDefault="00221D90">
      <w:pPr>
        <w:pStyle w:val="P1-StandPara"/>
        <w:spacing w:line="360" w:lineRule="auto"/>
        <w:jc w:val="left"/>
      </w:pPr>
    </w:p>
    <w:p w14:paraId="613AB6A8" w14:textId="77777777" w:rsidR="00221D90" w:rsidRDefault="00221D90">
      <w:pPr>
        <w:pStyle w:val="Heading1"/>
        <w:spacing w:line="360" w:lineRule="auto"/>
        <w:jc w:val="left"/>
      </w:pPr>
      <w:r>
        <w:t>A.18.</w:t>
      </w:r>
      <w:r>
        <w:tab/>
        <w:t>Exceptions to the Certification Statement</w:t>
      </w:r>
    </w:p>
    <w:p w14:paraId="638E6C3C" w14:textId="575FAC2E" w:rsidR="00221D90" w:rsidRDefault="00221D90" w:rsidP="00C659D9">
      <w:pPr>
        <w:pStyle w:val="P1-StandPara"/>
        <w:spacing w:line="360" w:lineRule="auto"/>
        <w:ind w:firstLine="720"/>
        <w:jc w:val="left"/>
      </w:pPr>
      <w:r>
        <w:t>There are no expectations.</w:t>
      </w:r>
    </w:p>
    <w:sectPr w:rsidR="00221D90" w:rsidSect="004C2260">
      <w:headerReference w:type="default" r:id="rId11"/>
      <w:footerReference w:type="even" r:id="rId12"/>
      <w:footerReference w:type="default" r:id="rId13"/>
      <w:type w:val="continuous"/>
      <w:pgSz w:w="12240" w:h="15840"/>
      <w:pgMar w:top="1440" w:right="1254"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8F1FB" w14:textId="77777777" w:rsidR="00820271" w:rsidRDefault="00820271">
      <w:r>
        <w:separator/>
      </w:r>
    </w:p>
  </w:endnote>
  <w:endnote w:type="continuationSeparator" w:id="0">
    <w:p w14:paraId="185AC64B" w14:textId="77777777" w:rsidR="00820271" w:rsidRDefault="00820271">
      <w:r>
        <w:continuationSeparator/>
      </w:r>
    </w:p>
  </w:endnote>
  <w:endnote w:type="continuationNotice" w:id="1">
    <w:p w14:paraId="600D786F" w14:textId="77777777" w:rsidR="00820271" w:rsidRDefault="008202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87291" w14:textId="77777777" w:rsidR="00A23741" w:rsidRDefault="00A23741" w:rsidP="004C22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A01A3C" w14:textId="77777777" w:rsidR="00A23741" w:rsidRDefault="00A237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EC201" w14:textId="358C9ADF" w:rsidR="00A23741" w:rsidRDefault="00A23741" w:rsidP="004C22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06B4">
      <w:rPr>
        <w:rStyle w:val="PageNumber"/>
        <w:noProof/>
      </w:rPr>
      <w:t>13</w:t>
    </w:r>
    <w:r>
      <w:rPr>
        <w:rStyle w:val="PageNumber"/>
      </w:rPr>
      <w:fldChar w:fldCharType="end"/>
    </w:r>
  </w:p>
  <w:p w14:paraId="1885890A" w14:textId="77777777" w:rsidR="00A23741" w:rsidRDefault="00A23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6B3BA" w14:textId="77777777" w:rsidR="00820271" w:rsidRDefault="00820271">
      <w:r>
        <w:separator/>
      </w:r>
    </w:p>
  </w:footnote>
  <w:footnote w:type="continuationSeparator" w:id="0">
    <w:p w14:paraId="266882F0" w14:textId="77777777" w:rsidR="00820271" w:rsidRDefault="00820271">
      <w:r>
        <w:continuationSeparator/>
      </w:r>
    </w:p>
  </w:footnote>
  <w:footnote w:type="continuationNotice" w:id="1">
    <w:p w14:paraId="06961737" w14:textId="77777777" w:rsidR="00820271" w:rsidRDefault="0082027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2B1AB" w14:textId="77777777" w:rsidR="004F06A4" w:rsidRDefault="004F0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3D4A"/>
    <w:multiLevelType w:val="hybridMultilevel"/>
    <w:tmpl w:val="0C84838C"/>
    <w:lvl w:ilvl="0" w:tplc="A8EE3108">
      <w:start w:val="1"/>
      <w:numFmt w:val="bullet"/>
      <w:lvlText w:val=""/>
      <w:lvlJc w:val="left"/>
      <w:pPr>
        <w:tabs>
          <w:tab w:val="num" w:pos="-72"/>
        </w:tabs>
        <w:ind w:left="1656" w:hanging="576"/>
      </w:pPr>
      <w:rPr>
        <w:rFonts w:ascii="Wingdings" w:hAnsi="Wingdings" w:hint="default"/>
        <w:sz w:val="16"/>
      </w:rPr>
    </w:lvl>
    <w:lvl w:ilvl="1" w:tplc="1BF605A6">
      <w:start w:val="1"/>
      <w:numFmt w:val="decimal"/>
      <w:lvlText w:val="%2."/>
      <w:lvlJc w:val="left"/>
      <w:pPr>
        <w:tabs>
          <w:tab w:val="num" w:pos="1440"/>
        </w:tabs>
        <w:ind w:left="1440" w:hanging="360"/>
      </w:pPr>
      <w:rPr>
        <w:rFonts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16"/>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47638F"/>
    <w:multiLevelType w:val="hybridMultilevel"/>
    <w:tmpl w:val="8242B5C8"/>
    <w:lvl w:ilvl="0" w:tplc="04090001">
      <w:start w:val="1"/>
      <w:numFmt w:val="bullet"/>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nsid w:val="32C332FF"/>
    <w:multiLevelType w:val="hybridMultilevel"/>
    <w:tmpl w:val="2A242E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8DC0016"/>
    <w:multiLevelType w:val="hybridMultilevel"/>
    <w:tmpl w:val="D4AC70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04D3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C7D1DC7"/>
    <w:multiLevelType w:val="hybridMultilevel"/>
    <w:tmpl w:val="085054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C6"/>
    <w:rsid w:val="00002517"/>
    <w:rsid w:val="000077FE"/>
    <w:rsid w:val="00014438"/>
    <w:rsid w:val="0002166F"/>
    <w:rsid w:val="000257E6"/>
    <w:rsid w:val="00032662"/>
    <w:rsid w:val="00043366"/>
    <w:rsid w:val="000469EF"/>
    <w:rsid w:val="0006214B"/>
    <w:rsid w:val="00072032"/>
    <w:rsid w:val="00072578"/>
    <w:rsid w:val="00075500"/>
    <w:rsid w:val="00077B44"/>
    <w:rsid w:val="00080D4D"/>
    <w:rsid w:val="00093C0E"/>
    <w:rsid w:val="00094086"/>
    <w:rsid w:val="00095D9E"/>
    <w:rsid w:val="000A2CEA"/>
    <w:rsid w:val="000A30BA"/>
    <w:rsid w:val="000A6851"/>
    <w:rsid w:val="000A6882"/>
    <w:rsid w:val="000A7B2B"/>
    <w:rsid w:val="000B29A7"/>
    <w:rsid w:val="000B48E8"/>
    <w:rsid w:val="000B4CD2"/>
    <w:rsid w:val="000B7BC5"/>
    <w:rsid w:val="000C0521"/>
    <w:rsid w:val="000C0D41"/>
    <w:rsid w:val="000C352F"/>
    <w:rsid w:val="000C37E3"/>
    <w:rsid w:val="000C75F4"/>
    <w:rsid w:val="000C7DEE"/>
    <w:rsid w:val="000D1977"/>
    <w:rsid w:val="000D5061"/>
    <w:rsid w:val="000E1BFC"/>
    <w:rsid w:val="000F403E"/>
    <w:rsid w:val="000F4059"/>
    <w:rsid w:val="00101E9D"/>
    <w:rsid w:val="001068C0"/>
    <w:rsid w:val="00106C54"/>
    <w:rsid w:val="00110E4B"/>
    <w:rsid w:val="00122F48"/>
    <w:rsid w:val="00123E1F"/>
    <w:rsid w:val="00133DB1"/>
    <w:rsid w:val="00141F02"/>
    <w:rsid w:val="001465E3"/>
    <w:rsid w:val="00152AF8"/>
    <w:rsid w:val="00152B76"/>
    <w:rsid w:val="00153AB1"/>
    <w:rsid w:val="00154C69"/>
    <w:rsid w:val="00157BC3"/>
    <w:rsid w:val="00160434"/>
    <w:rsid w:val="001727D6"/>
    <w:rsid w:val="001808C0"/>
    <w:rsid w:val="00180D7E"/>
    <w:rsid w:val="00184C6D"/>
    <w:rsid w:val="00184FD6"/>
    <w:rsid w:val="0019578B"/>
    <w:rsid w:val="001A4D32"/>
    <w:rsid w:val="001B7070"/>
    <w:rsid w:val="001C71F8"/>
    <w:rsid w:val="001C78FA"/>
    <w:rsid w:val="001D5249"/>
    <w:rsid w:val="001E2070"/>
    <w:rsid w:val="001E2175"/>
    <w:rsid w:val="001E37F7"/>
    <w:rsid w:val="001E5E51"/>
    <w:rsid w:val="001E6345"/>
    <w:rsid w:val="001F04EA"/>
    <w:rsid w:val="001F1187"/>
    <w:rsid w:val="001F3C34"/>
    <w:rsid w:val="0020025A"/>
    <w:rsid w:val="00206611"/>
    <w:rsid w:val="00216021"/>
    <w:rsid w:val="00220BDE"/>
    <w:rsid w:val="00221D90"/>
    <w:rsid w:val="00226D25"/>
    <w:rsid w:val="00230529"/>
    <w:rsid w:val="002330A3"/>
    <w:rsid w:val="00241C98"/>
    <w:rsid w:val="00267D1C"/>
    <w:rsid w:val="002772ED"/>
    <w:rsid w:val="00282E6C"/>
    <w:rsid w:val="00284486"/>
    <w:rsid w:val="00287D67"/>
    <w:rsid w:val="00292029"/>
    <w:rsid w:val="00292513"/>
    <w:rsid w:val="002972EB"/>
    <w:rsid w:val="002A2F67"/>
    <w:rsid w:val="002A4581"/>
    <w:rsid w:val="002A5943"/>
    <w:rsid w:val="002B1FA4"/>
    <w:rsid w:val="002C08E4"/>
    <w:rsid w:val="002C4905"/>
    <w:rsid w:val="002E0FFD"/>
    <w:rsid w:val="002E6F20"/>
    <w:rsid w:val="002E7989"/>
    <w:rsid w:val="002E7E11"/>
    <w:rsid w:val="002F1347"/>
    <w:rsid w:val="002F33D4"/>
    <w:rsid w:val="002F655C"/>
    <w:rsid w:val="002F734A"/>
    <w:rsid w:val="00300E87"/>
    <w:rsid w:val="00310DE0"/>
    <w:rsid w:val="003155B1"/>
    <w:rsid w:val="003172B6"/>
    <w:rsid w:val="0031746E"/>
    <w:rsid w:val="00320E63"/>
    <w:rsid w:val="0033160C"/>
    <w:rsid w:val="00340651"/>
    <w:rsid w:val="00341952"/>
    <w:rsid w:val="0035565F"/>
    <w:rsid w:val="003775E9"/>
    <w:rsid w:val="00382E5C"/>
    <w:rsid w:val="003830E6"/>
    <w:rsid w:val="003838EF"/>
    <w:rsid w:val="00384283"/>
    <w:rsid w:val="00384BFB"/>
    <w:rsid w:val="003A2473"/>
    <w:rsid w:val="003A35AD"/>
    <w:rsid w:val="003A376F"/>
    <w:rsid w:val="003A6FE3"/>
    <w:rsid w:val="003B173F"/>
    <w:rsid w:val="003B32C9"/>
    <w:rsid w:val="003B34BE"/>
    <w:rsid w:val="003B5E0C"/>
    <w:rsid w:val="003C3B1C"/>
    <w:rsid w:val="003D2BBB"/>
    <w:rsid w:val="003D543B"/>
    <w:rsid w:val="003D763A"/>
    <w:rsid w:val="003E60DE"/>
    <w:rsid w:val="003F369B"/>
    <w:rsid w:val="00407995"/>
    <w:rsid w:val="00416659"/>
    <w:rsid w:val="00417275"/>
    <w:rsid w:val="004210B0"/>
    <w:rsid w:val="004220BF"/>
    <w:rsid w:val="004223CB"/>
    <w:rsid w:val="00422D48"/>
    <w:rsid w:val="004235C4"/>
    <w:rsid w:val="00425823"/>
    <w:rsid w:val="00432274"/>
    <w:rsid w:val="00441192"/>
    <w:rsid w:val="00443215"/>
    <w:rsid w:val="004513FD"/>
    <w:rsid w:val="00456DD9"/>
    <w:rsid w:val="00460B40"/>
    <w:rsid w:val="0046316C"/>
    <w:rsid w:val="00470CB1"/>
    <w:rsid w:val="00476A42"/>
    <w:rsid w:val="00483B73"/>
    <w:rsid w:val="00485631"/>
    <w:rsid w:val="00490017"/>
    <w:rsid w:val="004A0672"/>
    <w:rsid w:val="004A084E"/>
    <w:rsid w:val="004A11EF"/>
    <w:rsid w:val="004A3403"/>
    <w:rsid w:val="004A699A"/>
    <w:rsid w:val="004B0B09"/>
    <w:rsid w:val="004B6193"/>
    <w:rsid w:val="004C2260"/>
    <w:rsid w:val="004D0738"/>
    <w:rsid w:val="004D1B4F"/>
    <w:rsid w:val="004D6D12"/>
    <w:rsid w:val="004E009F"/>
    <w:rsid w:val="004E0525"/>
    <w:rsid w:val="004F06A4"/>
    <w:rsid w:val="004F6253"/>
    <w:rsid w:val="004F6EF3"/>
    <w:rsid w:val="00501335"/>
    <w:rsid w:val="005113A7"/>
    <w:rsid w:val="00512728"/>
    <w:rsid w:val="0051348F"/>
    <w:rsid w:val="005156B0"/>
    <w:rsid w:val="005159C3"/>
    <w:rsid w:val="00526A0E"/>
    <w:rsid w:val="005306B4"/>
    <w:rsid w:val="005330C6"/>
    <w:rsid w:val="0053415D"/>
    <w:rsid w:val="0054044F"/>
    <w:rsid w:val="00551559"/>
    <w:rsid w:val="005578F7"/>
    <w:rsid w:val="00563E2C"/>
    <w:rsid w:val="005644CE"/>
    <w:rsid w:val="005673A9"/>
    <w:rsid w:val="0057340D"/>
    <w:rsid w:val="00576FFE"/>
    <w:rsid w:val="0057751C"/>
    <w:rsid w:val="00580378"/>
    <w:rsid w:val="00581D07"/>
    <w:rsid w:val="00595D84"/>
    <w:rsid w:val="005A0838"/>
    <w:rsid w:val="005A0847"/>
    <w:rsid w:val="005A55F4"/>
    <w:rsid w:val="005A7157"/>
    <w:rsid w:val="005B02BB"/>
    <w:rsid w:val="005B0FFA"/>
    <w:rsid w:val="005B506F"/>
    <w:rsid w:val="005B6106"/>
    <w:rsid w:val="005B6BCA"/>
    <w:rsid w:val="005C3D1E"/>
    <w:rsid w:val="005D0E18"/>
    <w:rsid w:val="005D1D16"/>
    <w:rsid w:val="005D3802"/>
    <w:rsid w:val="005D5255"/>
    <w:rsid w:val="005D5E0C"/>
    <w:rsid w:val="005E1C9D"/>
    <w:rsid w:val="005E4376"/>
    <w:rsid w:val="005E5CD8"/>
    <w:rsid w:val="005F0150"/>
    <w:rsid w:val="005F3AD1"/>
    <w:rsid w:val="005F7F9F"/>
    <w:rsid w:val="006013BF"/>
    <w:rsid w:val="00606EFD"/>
    <w:rsid w:val="00615FDB"/>
    <w:rsid w:val="00624D76"/>
    <w:rsid w:val="00625771"/>
    <w:rsid w:val="00631D68"/>
    <w:rsid w:val="006352F1"/>
    <w:rsid w:val="0066142A"/>
    <w:rsid w:val="00690B0B"/>
    <w:rsid w:val="00690D22"/>
    <w:rsid w:val="00691065"/>
    <w:rsid w:val="00695844"/>
    <w:rsid w:val="006A09BF"/>
    <w:rsid w:val="006A1334"/>
    <w:rsid w:val="006A242F"/>
    <w:rsid w:val="006A526D"/>
    <w:rsid w:val="006C212A"/>
    <w:rsid w:val="006C316A"/>
    <w:rsid w:val="006C634C"/>
    <w:rsid w:val="006D495B"/>
    <w:rsid w:val="006E5DBB"/>
    <w:rsid w:val="006E5FF4"/>
    <w:rsid w:val="006F1F3F"/>
    <w:rsid w:val="006F3C15"/>
    <w:rsid w:val="006F57DF"/>
    <w:rsid w:val="007050D9"/>
    <w:rsid w:val="00713804"/>
    <w:rsid w:val="00713E25"/>
    <w:rsid w:val="007242C4"/>
    <w:rsid w:val="0073084F"/>
    <w:rsid w:val="007308DE"/>
    <w:rsid w:val="0074575A"/>
    <w:rsid w:val="0076014C"/>
    <w:rsid w:val="00761C0A"/>
    <w:rsid w:val="00763A76"/>
    <w:rsid w:val="00765F89"/>
    <w:rsid w:val="00766570"/>
    <w:rsid w:val="007743B1"/>
    <w:rsid w:val="00774B4F"/>
    <w:rsid w:val="00775583"/>
    <w:rsid w:val="007761E7"/>
    <w:rsid w:val="007822B7"/>
    <w:rsid w:val="00787F4D"/>
    <w:rsid w:val="00790517"/>
    <w:rsid w:val="00793290"/>
    <w:rsid w:val="007B0C95"/>
    <w:rsid w:val="007D288A"/>
    <w:rsid w:val="007D608E"/>
    <w:rsid w:val="007D7F0A"/>
    <w:rsid w:val="007E1B10"/>
    <w:rsid w:val="007F71E5"/>
    <w:rsid w:val="0081613D"/>
    <w:rsid w:val="00816ED1"/>
    <w:rsid w:val="00820271"/>
    <w:rsid w:val="00831783"/>
    <w:rsid w:val="0083535E"/>
    <w:rsid w:val="00844A97"/>
    <w:rsid w:val="008453CE"/>
    <w:rsid w:val="0085019F"/>
    <w:rsid w:val="0085303F"/>
    <w:rsid w:val="00862D63"/>
    <w:rsid w:val="008640C9"/>
    <w:rsid w:val="0087409B"/>
    <w:rsid w:val="00876A33"/>
    <w:rsid w:val="008775FD"/>
    <w:rsid w:val="00880128"/>
    <w:rsid w:val="00895B35"/>
    <w:rsid w:val="008A0F52"/>
    <w:rsid w:val="008A3D94"/>
    <w:rsid w:val="008A734F"/>
    <w:rsid w:val="008B6C6D"/>
    <w:rsid w:val="008C00D1"/>
    <w:rsid w:val="008C2C1A"/>
    <w:rsid w:val="008C65CF"/>
    <w:rsid w:val="008C6906"/>
    <w:rsid w:val="008E3995"/>
    <w:rsid w:val="008F7E83"/>
    <w:rsid w:val="00902384"/>
    <w:rsid w:val="00906582"/>
    <w:rsid w:val="00911102"/>
    <w:rsid w:val="00920005"/>
    <w:rsid w:val="00933428"/>
    <w:rsid w:val="00941EA3"/>
    <w:rsid w:val="00942339"/>
    <w:rsid w:val="0094529E"/>
    <w:rsid w:val="0094645C"/>
    <w:rsid w:val="0094697B"/>
    <w:rsid w:val="00955386"/>
    <w:rsid w:val="00964B89"/>
    <w:rsid w:val="00964CF3"/>
    <w:rsid w:val="00972B16"/>
    <w:rsid w:val="00983F77"/>
    <w:rsid w:val="0098417E"/>
    <w:rsid w:val="009841E6"/>
    <w:rsid w:val="009872BD"/>
    <w:rsid w:val="00987A05"/>
    <w:rsid w:val="00991767"/>
    <w:rsid w:val="00992D58"/>
    <w:rsid w:val="00993595"/>
    <w:rsid w:val="00996B8D"/>
    <w:rsid w:val="00997645"/>
    <w:rsid w:val="009A443D"/>
    <w:rsid w:val="009A5ABE"/>
    <w:rsid w:val="009A5FF3"/>
    <w:rsid w:val="009B140B"/>
    <w:rsid w:val="009B29D4"/>
    <w:rsid w:val="009B4BB2"/>
    <w:rsid w:val="009B70CD"/>
    <w:rsid w:val="009D0694"/>
    <w:rsid w:val="009D1313"/>
    <w:rsid w:val="009D27A7"/>
    <w:rsid w:val="009D3573"/>
    <w:rsid w:val="009D5915"/>
    <w:rsid w:val="009E3634"/>
    <w:rsid w:val="009E74E1"/>
    <w:rsid w:val="009F0E2C"/>
    <w:rsid w:val="009F7FD4"/>
    <w:rsid w:val="00A050E9"/>
    <w:rsid w:val="00A204AB"/>
    <w:rsid w:val="00A23741"/>
    <w:rsid w:val="00A26363"/>
    <w:rsid w:val="00A30D2F"/>
    <w:rsid w:val="00A33C7C"/>
    <w:rsid w:val="00A379C4"/>
    <w:rsid w:val="00A6313D"/>
    <w:rsid w:val="00A73137"/>
    <w:rsid w:val="00A73CDC"/>
    <w:rsid w:val="00A74635"/>
    <w:rsid w:val="00A75E44"/>
    <w:rsid w:val="00A76574"/>
    <w:rsid w:val="00A808A4"/>
    <w:rsid w:val="00A82880"/>
    <w:rsid w:val="00A844CD"/>
    <w:rsid w:val="00A85651"/>
    <w:rsid w:val="00A8648A"/>
    <w:rsid w:val="00A96732"/>
    <w:rsid w:val="00AC133C"/>
    <w:rsid w:val="00AC3BCE"/>
    <w:rsid w:val="00AC4F27"/>
    <w:rsid w:val="00AD1032"/>
    <w:rsid w:val="00AE5334"/>
    <w:rsid w:val="00AF6CE0"/>
    <w:rsid w:val="00AF7792"/>
    <w:rsid w:val="00B01F7F"/>
    <w:rsid w:val="00B04A1B"/>
    <w:rsid w:val="00B06C4E"/>
    <w:rsid w:val="00B06D32"/>
    <w:rsid w:val="00B07970"/>
    <w:rsid w:val="00B10647"/>
    <w:rsid w:val="00B25950"/>
    <w:rsid w:val="00B25C53"/>
    <w:rsid w:val="00B35FDD"/>
    <w:rsid w:val="00B37128"/>
    <w:rsid w:val="00B475D1"/>
    <w:rsid w:val="00B50F61"/>
    <w:rsid w:val="00B51414"/>
    <w:rsid w:val="00B532A0"/>
    <w:rsid w:val="00B613E5"/>
    <w:rsid w:val="00B62B4B"/>
    <w:rsid w:val="00B64586"/>
    <w:rsid w:val="00B64D94"/>
    <w:rsid w:val="00B77AD6"/>
    <w:rsid w:val="00B83883"/>
    <w:rsid w:val="00B876EC"/>
    <w:rsid w:val="00B91CD1"/>
    <w:rsid w:val="00BB0F9E"/>
    <w:rsid w:val="00BC1BAE"/>
    <w:rsid w:val="00BC427F"/>
    <w:rsid w:val="00BD3F42"/>
    <w:rsid w:val="00BE526C"/>
    <w:rsid w:val="00BE55CC"/>
    <w:rsid w:val="00BF7BE7"/>
    <w:rsid w:val="00C02A78"/>
    <w:rsid w:val="00C12332"/>
    <w:rsid w:val="00C2190A"/>
    <w:rsid w:val="00C239AE"/>
    <w:rsid w:val="00C26E20"/>
    <w:rsid w:val="00C31A2F"/>
    <w:rsid w:val="00C4180B"/>
    <w:rsid w:val="00C462D2"/>
    <w:rsid w:val="00C47FB7"/>
    <w:rsid w:val="00C50642"/>
    <w:rsid w:val="00C5343E"/>
    <w:rsid w:val="00C604E8"/>
    <w:rsid w:val="00C659D9"/>
    <w:rsid w:val="00C72529"/>
    <w:rsid w:val="00C8376E"/>
    <w:rsid w:val="00C95884"/>
    <w:rsid w:val="00CA031A"/>
    <w:rsid w:val="00CC0133"/>
    <w:rsid w:val="00CC207B"/>
    <w:rsid w:val="00CC22B1"/>
    <w:rsid w:val="00CC3A0C"/>
    <w:rsid w:val="00CC41BA"/>
    <w:rsid w:val="00CD3857"/>
    <w:rsid w:val="00CD6AED"/>
    <w:rsid w:val="00CD7FD5"/>
    <w:rsid w:val="00CE2BF6"/>
    <w:rsid w:val="00CE2CCD"/>
    <w:rsid w:val="00CF0D1A"/>
    <w:rsid w:val="00D009DF"/>
    <w:rsid w:val="00D26A84"/>
    <w:rsid w:val="00D30881"/>
    <w:rsid w:val="00D40E1B"/>
    <w:rsid w:val="00D46864"/>
    <w:rsid w:val="00D46ACE"/>
    <w:rsid w:val="00D53CF8"/>
    <w:rsid w:val="00D61F06"/>
    <w:rsid w:val="00D70E1D"/>
    <w:rsid w:val="00D80489"/>
    <w:rsid w:val="00D8647D"/>
    <w:rsid w:val="00D93772"/>
    <w:rsid w:val="00D97006"/>
    <w:rsid w:val="00DA029F"/>
    <w:rsid w:val="00DB6729"/>
    <w:rsid w:val="00DC305A"/>
    <w:rsid w:val="00DD3787"/>
    <w:rsid w:val="00DD56A8"/>
    <w:rsid w:val="00DE5675"/>
    <w:rsid w:val="00DE7806"/>
    <w:rsid w:val="00DF1242"/>
    <w:rsid w:val="00DF356A"/>
    <w:rsid w:val="00DF476B"/>
    <w:rsid w:val="00E005C8"/>
    <w:rsid w:val="00E01567"/>
    <w:rsid w:val="00E10370"/>
    <w:rsid w:val="00E14641"/>
    <w:rsid w:val="00E15258"/>
    <w:rsid w:val="00E3036C"/>
    <w:rsid w:val="00E35869"/>
    <w:rsid w:val="00E37F02"/>
    <w:rsid w:val="00E54AD3"/>
    <w:rsid w:val="00E559CC"/>
    <w:rsid w:val="00E56F50"/>
    <w:rsid w:val="00E63E40"/>
    <w:rsid w:val="00E9465C"/>
    <w:rsid w:val="00E96CFA"/>
    <w:rsid w:val="00EA4B54"/>
    <w:rsid w:val="00EC1E24"/>
    <w:rsid w:val="00ED197B"/>
    <w:rsid w:val="00ED4338"/>
    <w:rsid w:val="00ED7674"/>
    <w:rsid w:val="00EE7FB1"/>
    <w:rsid w:val="00EF217E"/>
    <w:rsid w:val="00EF6DAC"/>
    <w:rsid w:val="00F00270"/>
    <w:rsid w:val="00F01DFE"/>
    <w:rsid w:val="00F05F5C"/>
    <w:rsid w:val="00F108D7"/>
    <w:rsid w:val="00F20B11"/>
    <w:rsid w:val="00F22B91"/>
    <w:rsid w:val="00F23929"/>
    <w:rsid w:val="00F2526B"/>
    <w:rsid w:val="00F274BA"/>
    <w:rsid w:val="00F413CA"/>
    <w:rsid w:val="00F41D6F"/>
    <w:rsid w:val="00F56E14"/>
    <w:rsid w:val="00F57017"/>
    <w:rsid w:val="00F66433"/>
    <w:rsid w:val="00F74245"/>
    <w:rsid w:val="00F75D49"/>
    <w:rsid w:val="00F80307"/>
    <w:rsid w:val="00F9487A"/>
    <w:rsid w:val="00F96D99"/>
    <w:rsid w:val="00FA47D3"/>
    <w:rsid w:val="00FA726D"/>
    <w:rsid w:val="00FB4D8D"/>
    <w:rsid w:val="00FB6D2B"/>
    <w:rsid w:val="00FC1FFE"/>
    <w:rsid w:val="00FD4E9E"/>
    <w:rsid w:val="00FD7865"/>
    <w:rsid w:val="00FF0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6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Normal"/>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Normal"/>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Normal"/>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keepLines/>
      <w:ind w:left="80"/>
      <w:outlineLvl w:val="7"/>
    </w:pPr>
    <w:rPr>
      <w:i/>
      <w:color w:val="000000"/>
      <w:sz w:val="20"/>
    </w:rPr>
  </w:style>
  <w:style w:type="paragraph" w:styleId="Heading9">
    <w:name w:val="heading 9"/>
    <w:basedOn w:val="Normal"/>
    <w:next w:val="Normal"/>
    <w:qFormat/>
    <w:pPr>
      <w:keepNext/>
      <w:spacing w:line="360" w:lineRule="auto"/>
      <w:ind w:firstLine="720"/>
      <w:jc w:val="lef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uiPriority w:val="99"/>
    <w:pPr>
      <w:tabs>
        <w:tab w:val="left" w:pos="1200"/>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tabs>
        <w:tab w:val="left" w:pos="1728"/>
      </w:tabs>
      <w:spacing w:after="240"/>
      <w:ind w:left="1728" w:hanging="576"/>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uiPriority w:val="99"/>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character" w:styleId="FootnoteReference">
    <w:name w:val="footnote reference"/>
    <w:basedOn w:val="DefaultParagraphFont"/>
    <w:uiPriority w:val="99"/>
    <w:semiHidden/>
    <w:rPr>
      <w:vertAlign w:val="superscript"/>
    </w:rPr>
  </w:style>
  <w:style w:type="paragraph" w:styleId="BodyText">
    <w:name w:val="Body Text"/>
    <w:basedOn w:val="Normal"/>
    <w:pPr>
      <w:jc w:val="left"/>
    </w:pPr>
  </w:style>
  <w:style w:type="paragraph" w:styleId="BodyText2">
    <w:name w:val="Body Text 2"/>
    <w:basedOn w:val="Normal"/>
    <w:pPr>
      <w:spacing w:before="120"/>
      <w:jc w:val="left"/>
    </w:pPr>
    <w:rPr>
      <w:snapToGrid w:val="0"/>
      <w:color w:val="000000"/>
    </w:rPr>
  </w:style>
  <w:style w:type="paragraph" w:styleId="BodyText3">
    <w:name w:val="Body Text 3"/>
    <w:basedOn w:val="Normal"/>
    <w:pPr>
      <w:spacing w:before="120"/>
      <w:jc w:val="left"/>
    </w:pPr>
    <w:rPr>
      <w:snapToGrid w:val="0"/>
      <w:color w:val="000000"/>
      <w:sz w:val="20"/>
    </w:rPr>
  </w:style>
  <w:style w:type="character" w:customStyle="1" w:styleId="ALT-uunderlining">
    <w:name w:val="ALT-u underlining"/>
    <w:rPr>
      <w:rFonts w:ascii="Times" w:hAnsi="Times"/>
      <w:sz w:val="22"/>
      <w:u w:val="single"/>
    </w:rPr>
  </w:style>
  <w:style w:type="paragraph" w:customStyle="1" w:styleId="memo-regpara">
    <w:name w:val="memo-reg para"/>
    <w:basedOn w:val="Normal"/>
    <w:pPr>
      <w:tabs>
        <w:tab w:val="left" w:pos="1440"/>
      </w:tabs>
      <w:spacing w:line="240" w:lineRule="auto"/>
      <w:jc w:val="left"/>
    </w:pPr>
    <w:rPr>
      <w:rFonts w:ascii="Times" w:hAnsi="Times"/>
      <w:sz w:val="24"/>
    </w:rPr>
  </w:style>
  <w:style w:type="paragraph" w:customStyle="1" w:styleId="report-tablehead">
    <w:name w:val="report-table head"/>
    <w:basedOn w:val="report-contparagraph"/>
    <w:pPr>
      <w:tabs>
        <w:tab w:val="clear" w:pos="1440"/>
      </w:tabs>
      <w:ind w:left="1080" w:hanging="1080"/>
    </w:pPr>
  </w:style>
  <w:style w:type="paragraph" w:customStyle="1" w:styleId="report-contparagraph">
    <w:name w:val="report-cont paragraph"/>
    <w:basedOn w:val="memo-regpara"/>
    <w:pPr>
      <w:tabs>
        <w:tab w:val="center" w:pos="4320"/>
        <w:tab w:val="center" w:pos="792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C1">
    <w:name w:val="C1"/>
    <w:pPr>
      <w:keepLines/>
      <w:spacing w:line="240" w:lineRule="atLeast"/>
      <w:jc w:val="center"/>
    </w:pPr>
    <w:rPr>
      <w:rFonts w:ascii="Times" w:hAnsi="Times"/>
      <w:b/>
      <w:sz w:val="24"/>
    </w:rPr>
  </w:style>
  <w:style w:type="paragraph" w:styleId="BlockText">
    <w:name w:val="Block Text"/>
    <w:basedOn w:val="Normal"/>
    <w:pPr>
      <w:ind w:left="630" w:right="720" w:hanging="180"/>
    </w:pPr>
    <w:rPr>
      <w:color w:val="000000"/>
    </w:rPr>
  </w:style>
  <w:style w:type="character" w:styleId="Strong">
    <w:name w:val="Strong"/>
    <w:basedOn w:val="DefaultParagraphFont"/>
    <w:qFormat/>
    <w:rPr>
      <w:b/>
    </w:rPr>
  </w:style>
  <w:style w:type="paragraph" w:styleId="EndnoteText">
    <w:name w:val="endnote text"/>
    <w:basedOn w:val="Normal"/>
    <w:semiHidden/>
    <w:rPr>
      <w:sz w:val="20"/>
    </w:rPr>
  </w:style>
  <w:style w:type="paragraph" w:styleId="BodyTextIndent3">
    <w:name w:val="Body Text Indent 3"/>
    <w:basedOn w:val="Normal"/>
    <w:pPr>
      <w:tabs>
        <w:tab w:val="left" w:pos="1008"/>
        <w:tab w:val="left" w:leader="dot" w:pos="3330"/>
        <w:tab w:val="center" w:pos="3744"/>
        <w:tab w:val="center" w:pos="4752"/>
        <w:tab w:val="center" w:pos="5760"/>
        <w:tab w:val="center" w:pos="6768"/>
        <w:tab w:val="center" w:pos="7776"/>
        <w:tab w:val="center" w:pos="8784"/>
      </w:tabs>
      <w:ind w:firstLine="720"/>
      <w:jc w:val="left"/>
    </w:pPr>
  </w:style>
  <w:style w:type="character" w:styleId="Hyperlink">
    <w:name w:val="Hyperlink"/>
    <w:basedOn w:val="DefaultParagraphFont"/>
    <w:rPr>
      <w:color w:val="0000FF"/>
      <w:u w:val="single"/>
    </w:rPr>
  </w:style>
  <w:style w:type="paragraph" w:styleId="TOC6">
    <w:name w:val="toc 6"/>
    <w:basedOn w:val="Normal"/>
    <w:next w:val="Normal"/>
    <w:autoRedefine/>
    <w:semiHidden/>
    <w:pPr>
      <w:spacing w:line="240" w:lineRule="auto"/>
      <w:ind w:left="1200"/>
      <w:jc w:val="left"/>
    </w:pPr>
    <w:rPr>
      <w:sz w:val="18"/>
    </w:rPr>
  </w:style>
  <w:style w:type="paragraph" w:styleId="BodyTextIndent">
    <w:name w:val="Body Text Indent"/>
    <w:basedOn w:val="Normal"/>
    <w:pPr>
      <w:spacing w:line="240" w:lineRule="auto"/>
      <w:ind w:left="720"/>
      <w:jc w:val="left"/>
    </w:pPr>
    <w:rPr>
      <w:sz w:val="20"/>
    </w:rPr>
  </w:style>
  <w:style w:type="paragraph" w:styleId="CommentText">
    <w:name w:val="annotation text"/>
    <w:basedOn w:val="Normal"/>
    <w:link w:val="CommentTextChar"/>
    <w:semiHidden/>
    <w:pPr>
      <w:spacing w:line="240" w:lineRule="auto"/>
      <w:jc w:val="left"/>
    </w:pPr>
    <w:rPr>
      <w:sz w:val="20"/>
    </w:rPr>
  </w:style>
  <w:style w:type="paragraph" w:styleId="BodyTextIndent2">
    <w:name w:val="Body Text Indent 2"/>
    <w:basedOn w:val="Normal"/>
    <w:pPr>
      <w:spacing w:line="360" w:lineRule="auto"/>
      <w:ind w:left="1440"/>
      <w:jc w:val="left"/>
    </w:pPr>
  </w:style>
  <w:style w:type="paragraph" w:styleId="Title">
    <w:name w:val="Title"/>
    <w:basedOn w:val="Normal"/>
    <w:qFormat/>
    <w:rsid w:val="008E3995"/>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center"/>
    </w:pPr>
    <w:rPr>
      <w:b/>
      <w:sz w:val="24"/>
    </w:rPr>
  </w:style>
  <w:style w:type="character" w:customStyle="1" w:styleId="field">
    <w:name w:val="field"/>
    <w:basedOn w:val="DefaultParagraphFont"/>
    <w:rsid w:val="00FD7865"/>
  </w:style>
  <w:style w:type="character" w:customStyle="1" w:styleId="key">
    <w:name w:val="key"/>
    <w:basedOn w:val="DefaultParagraphFont"/>
    <w:rsid w:val="00FD7865"/>
  </w:style>
  <w:style w:type="character" w:customStyle="1" w:styleId="value">
    <w:name w:val="value"/>
    <w:basedOn w:val="DefaultParagraphFont"/>
    <w:rsid w:val="00FD7865"/>
  </w:style>
  <w:style w:type="paragraph" w:styleId="NormalWeb">
    <w:name w:val="Normal (Web)"/>
    <w:basedOn w:val="Normal"/>
    <w:uiPriority w:val="99"/>
    <w:unhideWhenUsed/>
    <w:rsid w:val="001465E3"/>
    <w:pPr>
      <w:spacing w:before="100" w:beforeAutospacing="1" w:after="100" w:afterAutospacing="1" w:line="240" w:lineRule="auto"/>
      <w:jc w:val="left"/>
    </w:pPr>
    <w:rPr>
      <w:sz w:val="24"/>
      <w:szCs w:val="24"/>
    </w:rPr>
  </w:style>
  <w:style w:type="character" w:styleId="CommentReference">
    <w:name w:val="annotation reference"/>
    <w:basedOn w:val="DefaultParagraphFont"/>
    <w:rsid w:val="00072032"/>
    <w:rPr>
      <w:sz w:val="16"/>
      <w:szCs w:val="16"/>
    </w:rPr>
  </w:style>
  <w:style w:type="paragraph" w:styleId="CommentSubject">
    <w:name w:val="annotation subject"/>
    <w:basedOn w:val="CommentText"/>
    <w:next w:val="CommentText"/>
    <w:link w:val="CommentSubjectChar"/>
    <w:rsid w:val="00072032"/>
    <w:pPr>
      <w:jc w:val="both"/>
    </w:pPr>
    <w:rPr>
      <w:b/>
      <w:bCs/>
    </w:rPr>
  </w:style>
  <w:style w:type="character" w:customStyle="1" w:styleId="CommentTextChar">
    <w:name w:val="Comment Text Char"/>
    <w:basedOn w:val="DefaultParagraphFont"/>
    <w:link w:val="CommentText"/>
    <w:semiHidden/>
    <w:rsid w:val="00072032"/>
  </w:style>
  <w:style w:type="character" w:customStyle="1" w:styleId="CommentSubjectChar">
    <w:name w:val="Comment Subject Char"/>
    <w:basedOn w:val="CommentTextChar"/>
    <w:link w:val="CommentSubject"/>
    <w:rsid w:val="00072032"/>
    <w:rPr>
      <w:b/>
      <w:bCs/>
    </w:rPr>
  </w:style>
  <w:style w:type="paragraph" w:styleId="BalloonText">
    <w:name w:val="Balloon Text"/>
    <w:basedOn w:val="Normal"/>
    <w:link w:val="BalloonTextChar"/>
    <w:rsid w:val="000720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72032"/>
    <w:rPr>
      <w:rFonts w:ascii="Tahoma" w:hAnsi="Tahoma" w:cs="Tahoma"/>
      <w:sz w:val="16"/>
      <w:szCs w:val="16"/>
    </w:rPr>
  </w:style>
  <w:style w:type="character" w:customStyle="1" w:styleId="FootnoteTextChar">
    <w:name w:val="Footnote Text Char"/>
    <w:aliases w:val="F1 Char"/>
    <w:basedOn w:val="DefaultParagraphFont"/>
    <w:link w:val="FootnoteText"/>
    <w:uiPriority w:val="99"/>
    <w:semiHidden/>
    <w:rsid w:val="003830E6"/>
    <w:rPr>
      <w:sz w:val="16"/>
    </w:rPr>
  </w:style>
  <w:style w:type="character" w:customStyle="1" w:styleId="L1-FlLSp12Char">
    <w:name w:val="L1-FlL Sp&amp;1/2 Char"/>
    <w:basedOn w:val="DefaultParagraphFont"/>
    <w:link w:val="L1-FlLSp12"/>
    <w:uiPriority w:val="99"/>
    <w:rsid w:val="00A85651"/>
    <w:rPr>
      <w:sz w:val="22"/>
    </w:rPr>
  </w:style>
  <w:style w:type="character" w:styleId="FollowedHyperlink">
    <w:name w:val="FollowedHyperlink"/>
    <w:basedOn w:val="DefaultParagraphFont"/>
    <w:semiHidden/>
    <w:unhideWhenUsed/>
    <w:rsid w:val="00241C98"/>
    <w:rPr>
      <w:color w:val="800080" w:themeColor="followedHyperlink"/>
      <w:u w:val="single"/>
    </w:rPr>
  </w:style>
  <w:style w:type="paragraph" w:styleId="Revision">
    <w:name w:val="Revision"/>
    <w:hidden/>
    <w:uiPriority w:val="99"/>
    <w:semiHidden/>
    <w:rsid w:val="006C316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Normal"/>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Normal"/>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Normal"/>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keepLines/>
      <w:ind w:left="80"/>
      <w:outlineLvl w:val="7"/>
    </w:pPr>
    <w:rPr>
      <w:i/>
      <w:color w:val="000000"/>
      <w:sz w:val="20"/>
    </w:rPr>
  </w:style>
  <w:style w:type="paragraph" w:styleId="Heading9">
    <w:name w:val="heading 9"/>
    <w:basedOn w:val="Normal"/>
    <w:next w:val="Normal"/>
    <w:qFormat/>
    <w:pPr>
      <w:keepNext/>
      <w:spacing w:line="360" w:lineRule="auto"/>
      <w:ind w:firstLine="720"/>
      <w:jc w:val="lef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uiPriority w:val="99"/>
    <w:pPr>
      <w:tabs>
        <w:tab w:val="left" w:pos="1200"/>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tabs>
        <w:tab w:val="left" w:pos="1728"/>
      </w:tabs>
      <w:spacing w:after="240"/>
      <w:ind w:left="1728" w:hanging="576"/>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uiPriority w:val="99"/>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character" w:styleId="FootnoteReference">
    <w:name w:val="footnote reference"/>
    <w:basedOn w:val="DefaultParagraphFont"/>
    <w:uiPriority w:val="99"/>
    <w:semiHidden/>
    <w:rPr>
      <w:vertAlign w:val="superscript"/>
    </w:rPr>
  </w:style>
  <w:style w:type="paragraph" w:styleId="BodyText">
    <w:name w:val="Body Text"/>
    <w:basedOn w:val="Normal"/>
    <w:pPr>
      <w:jc w:val="left"/>
    </w:pPr>
  </w:style>
  <w:style w:type="paragraph" w:styleId="BodyText2">
    <w:name w:val="Body Text 2"/>
    <w:basedOn w:val="Normal"/>
    <w:pPr>
      <w:spacing w:before="120"/>
      <w:jc w:val="left"/>
    </w:pPr>
    <w:rPr>
      <w:snapToGrid w:val="0"/>
      <w:color w:val="000000"/>
    </w:rPr>
  </w:style>
  <w:style w:type="paragraph" w:styleId="BodyText3">
    <w:name w:val="Body Text 3"/>
    <w:basedOn w:val="Normal"/>
    <w:pPr>
      <w:spacing w:before="120"/>
      <w:jc w:val="left"/>
    </w:pPr>
    <w:rPr>
      <w:snapToGrid w:val="0"/>
      <w:color w:val="000000"/>
      <w:sz w:val="20"/>
    </w:rPr>
  </w:style>
  <w:style w:type="character" w:customStyle="1" w:styleId="ALT-uunderlining">
    <w:name w:val="ALT-u underlining"/>
    <w:rPr>
      <w:rFonts w:ascii="Times" w:hAnsi="Times"/>
      <w:sz w:val="22"/>
      <w:u w:val="single"/>
    </w:rPr>
  </w:style>
  <w:style w:type="paragraph" w:customStyle="1" w:styleId="memo-regpara">
    <w:name w:val="memo-reg para"/>
    <w:basedOn w:val="Normal"/>
    <w:pPr>
      <w:tabs>
        <w:tab w:val="left" w:pos="1440"/>
      </w:tabs>
      <w:spacing w:line="240" w:lineRule="auto"/>
      <w:jc w:val="left"/>
    </w:pPr>
    <w:rPr>
      <w:rFonts w:ascii="Times" w:hAnsi="Times"/>
      <w:sz w:val="24"/>
    </w:rPr>
  </w:style>
  <w:style w:type="paragraph" w:customStyle="1" w:styleId="report-tablehead">
    <w:name w:val="report-table head"/>
    <w:basedOn w:val="report-contparagraph"/>
    <w:pPr>
      <w:tabs>
        <w:tab w:val="clear" w:pos="1440"/>
      </w:tabs>
      <w:ind w:left="1080" w:hanging="1080"/>
    </w:pPr>
  </w:style>
  <w:style w:type="paragraph" w:customStyle="1" w:styleId="report-contparagraph">
    <w:name w:val="report-cont paragraph"/>
    <w:basedOn w:val="memo-regpara"/>
    <w:pPr>
      <w:tabs>
        <w:tab w:val="center" w:pos="4320"/>
        <w:tab w:val="center" w:pos="792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C1">
    <w:name w:val="C1"/>
    <w:pPr>
      <w:keepLines/>
      <w:spacing w:line="240" w:lineRule="atLeast"/>
      <w:jc w:val="center"/>
    </w:pPr>
    <w:rPr>
      <w:rFonts w:ascii="Times" w:hAnsi="Times"/>
      <w:b/>
      <w:sz w:val="24"/>
    </w:rPr>
  </w:style>
  <w:style w:type="paragraph" w:styleId="BlockText">
    <w:name w:val="Block Text"/>
    <w:basedOn w:val="Normal"/>
    <w:pPr>
      <w:ind w:left="630" w:right="720" w:hanging="180"/>
    </w:pPr>
    <w:rPr>
      <w:color w:val="000000"/>
    </w:rPr>
  </w:style>
  <w:style w:type="character" w:styleId="Strong">
    <w:name w:val="Strong"/>
    <w:basedOn w:val="DefaultParagraphFont"/>
    <w:qFormat/>
    <w:rPr>
      <w:b/>
    </w:rPr>
  </w:style>
  <w:style w:type="paragraph" w:styleId="EndnoteText">
    <w:name w:val="endnote text"/>
    <w:basedOn w:val="Normal"/>
    <w:semiHidden/>
    <w:rPr>
      <w:sz w:val="20"/>
    </w:rPr>
  </w:style>
  <w:style w:type="paragraph" w:styleId="BodyTextIndent3">
    <w:name w:val="Body Text Indent 3"/>
    <w:basedOn w:val="Normal"/>
    <w:pPr>
      <w:tabs>
        <w:tab w:val="left" w:pos="1008"/>
        <w:tab w:val="left" w:leader="dot" w:pos="3330"/>
        <w:tab w:val="center" w:pos="3744"/>
        <w:tab w:val="center" w:pos="4752"/>
        <w:tab w:val="center" w:pos="5760"/>
        <w:tab w:val="center" w:pos="6768"/>
        <w:tab w:val="center" w:pos="7776"/>
        <w:tab w:val="center" w:pos="8784"/>
      </w:tabs>
      <w:ind w:firstLine="720"/>
      <w:jc w:val="left"/>
    </w:pPr>
  </w:style>
  <w:style w:type="character" w:styleId="Hyperlink">
    <w:name w:val="Hyperlink"/>
    <w:basedOn w:val="DefaultParagraphFont"/>
    <w:rPr>
      <w:color w:val="0000FF"/>
      <w:u w:val="single"/>
    </w:rPr>
  </w:style>
  <w:style w:type="paragraph" w:styleId="TOC6">
    <w:name w:val="toc 6"/>
    <w:basedOn w:val="Normal"/>
    <w:next w:val="Normal"/>
    <w:autoRedefine/>
    <w:semiHidden/>
    <w:pPr>
      <w:spacing w:line="240" w:lineRule="auto"/>
      <w:ind w:left="1200"/>
      <w:jc w:val="left"/>
    </w:pPr>
    <w:rPr>
      <w:sz w:val="18"/>
    </w:rPr>
  </w:style>
  <w:style w:type="paragraph" w:styleId="BodyTextIndent">
    <w:name w:val="Body Text Indent"/>
    <w:basedOn w:val="Normal"/>
    <w:pPr>
      <w:spacing w:line="240" w:lineRule="auto"/>
      <w:ind w:left="720"/>
      <w:jc w:val="left"/>
    </w:pPr>
    <w:rPr>
      <w:sz w:val="20"/>
    </w:rPr>
  </w:style>
  <w:style w:type="paragraph" w:styleId="CommentText">
    <w:name w:val="annotation text"/>
    <w:basedOn w:val="Normal"/>
    <w:link w:val="CommentTextChar"/>
    <w:semiHidden/>
    <w:pPr>
      <w:spacing w:line="240" w:lineRule="auto"/>
      <w:jc w:val="left"/>
    </w:pPr>
    <w:rPr>
      <w:sz w:val="20"/>
    </w:rPr>
  </w:style>
  <w:style w:type="paragraph" w:styleId="BodyTextIndent2">
    <w:name w:val="Body Text Indent 2"/>
    <w:basedOn w:val="Normal"/>
    <w:pPr>
      <w:spacing w:line="360" w:lineRule="auto"/>
      <w:ind w:left="1440"/>
      <w:jc w:val="left"/>
    </w:pPr>
  </w:style>
  <w:style w:type="paragraph" w:styleId="Title">
    <w:name w:val="Title"/>
    <w:basedOn w:val="Normal"/>
    <w:qFormat/>
    <w:rsid w:val="008E3995"/>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center"/>
    </w:pPr>
    <w:rPr>
      <w:b/>
      <w:sz w:val="24"/>
    </w:rPr>
  </w:style>
  <w:style w:type="character" w:customStyle="1" w:styleId="field">
    <w:name w:val="field"/>
    <w:basedOn w:val="DefaultParagraphFont"/>
    <w:rsid w:val="00FD7865"/>
  </w:style>
  <w:style w:type="character" w:customStyle="1" w:styleId="key">
    <w:name w:val="key"/>
    <w:basedOn w:val="DefaultParagraphFont"/>
    <w:rsid w:val="00FD7865"/>
  </w:style>
  <w:style w:type="character" w:customStyle="1" w:styleId="value">
    <w:name w:val="value"/>
    <w:basedOn w:val="DefaultParagraphFont"/>
    <w:rsid w:val="00FD7865"/>
  </w:style>
  <w:style w:type="paragraph" w:styleId="NormalWeb">
    <w:name w:val="Normal (Web)"/>
    <w:basedOn w:val="Normal"/>
    <w:uiPriority w:val="99"/>
    <w:unhideWhenUsed/>
    <w:rsid w:val="001465E3"/>
    <w:pPr>
      <w:spacing w:before="100" w:beforeAutospacing="1" w:after="100" w:afterAutospacing="1" w:line="240" w:lineRule="auto"/>
      <w:jc w:val="left"/>
    </w:pPr>
    <w:rPr>
      <w:sz w:val="24"/>
      <w:szCs w:val="24"/>
    </w:rPr>
  </w:style>
  <w:style w:type="character" w:styleId="CommentReference">
    <w:name w:val="annotation reference"/>
    <w:basedOn w:val="DefaultParagraphFont"/>
    <w:rsid w:val="00072032"/>
    <w:rPr>
      <w:sz w:val="16"/>
      <w:szCs w:val="16"/>
    </w:rPr>
  </w:style>
  <w:style w:type="paragraph" w:styleId="CommentSubject">
    <w:name w:val="annotation subject"/>
    <w:basedOn w:val="CommentText"/>
    <w:next w:val="CommentText"/>
    <w:link w:val="CommentSubjectChar"/>
    <w:rsid w:val="00072032"/>
    <w:pPr>
      <w:jc w:val="both"/>
    </w:pPr>
    <w:rPr>
      <w:b/>
      <w:bCs/>
    </w:rPr>
  </w:style>
  <w:style w:type="character" w:customStyle="1" w:styleId="CommentTextChar">
    <w:name w:val="Comment Text Char"/>
    <w:basedOn w:val="DefaultParagraphFont"/>
    <w:link w:val="CommentText"/>
    <w:semiHidden/>
    <w:rsid w:val="00072032"/>
  </w:style>
  <w:style w:type="character" w:customStyle="1" w:styleId="CommentSubjectChar">
    <w:name w:val="Comment Subject Char"/>
    <w:basedOn w:val="CommentTextChar"/>
    <w:link w:val="CommentSubject"/>
    <w:rsid w:val="00072032"/>
    <w:rPr>
      <w:b/>
      <w:bCs/>
    </w:rPr>
  </w:style>
  <w:style w:type="paragraph" w:styleId="BalloonText">
    <w:name w:val="Balloon Text"/>
    <w:basedOn w:val="Normal"/>
    <w:link w:val="BalloonTextChar"/>
    <w:rsid w:val="000720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72032"/>
    <w:rPr>
      <w:rFonts w:ascii="Tahoma" w:hAnsi="Tahoma" w:cs="Tahoma"/>
      <w:sz w:val="16"/>
      <w:szCs w:val="16"/>
    </w:rPr>
  </w:style>
  <w:style w:type="character" w:customStyle="1" w:styleId="FootnoteTextChar">
    <w:name w:val="Footnote Text Char"/>
    <w:aliases w:val="F1 Char"/>
    <w:basedOn w:val="DefaultParagraphFont"/>
    <w:link w:val="FootnoteText"/>
    <w:uiPriority w:val="99"/>
    <w:semiHidden/>
    <w:rsid w:val="003830E6"/>
    <w:rPr>
      <w:sz w:val="16"/>
    </w:rPr>
  </w:style>
  <w:style w:type="character" w:customStyle="1" w:styleId="L1-FlLSp12Char">
    <w:name w:val="L1-FlL Sp&amp;1/2 Char"/>
    <w:basedOn w:val="DefaultParagraphFont"/>
    <w:link w:val="L1-FlLSp12"/>
    <w:uiPriority w:val="99"/>
    <w:rsid w:val="00A85651"/>
    <w:rPr>
      <w:sz w:val="22"/>
    </w:rPr>
  </w:style>
  <w:style w:type="character" w:styleId="FollowedHyperlink">
    <w:name w:val="FollowedHyperlink"/>
    <w:basedOn w:val="DefaultParagraphFont"/>
    <w:semiHidden/>
    <w:unhideWhenUsed/>
    <w:rsid w:val="00241C98"/>
    <w:rPr>
      <w:color w:val="800080" w:themeColor="followedHyperlink"/>
      <w:u w:val="single"/>
    </w:rPr>
  </w:style>
  <w:style w:type="paragraph" w:styleId="Revision">
    <w:name w:val="Revision"/>
    <w:hidden/>
    <w:uiPriority w:val="99"/>
    <w:semiHidden/>
    <w:rsid w:val="006C31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0636">
      <w:bodyDiv w:val="1"/>
      <w:marLeft w:val="0"/>
      <w:marRight w:val="0"/>
      <w:marTop w:val="0"/>
      <w:marBottom w:val="0"/>
      <w:divBdr>
        <w:top w:val="none" w:sz="0" w:space="0" w:color="auto"/>
        <w:left w:val="none" w:sz="0" w:space="0" w:color="auto"/>
        <w:bottom w:val="none" w:sz="0" w:space="0" w:color="auto"/>
        <w:right w:val="none" w:sz="0" w:space="0" w:color="auto"/>
      </w:divBdr>
      <w:divsChild>
        <w:div w:id="1061707206">
          <w:marLeft w:val="0"/>
          <w:marRight w:val="0"/>
          <w:marTop w:val="0"/>
          <w:marBottom w:val="0"/>
          <w:divBdr>
            <w:top w:val="none" w:sz="0" w:space="0" w:color="auto"/>
            <w:left w:val="none" w:sz="0" w:space="0" w:color="auto"/>
            <w:bottom w:val="none" w:sz="0" w:space="0" w:color="auto"/>
            <w:right w:val="none" w:sz="0" w:space="0" w:color="auto"/>
          </w:divBdr>
          <w:divsChild>
            <w:div w:id="16583846">
              <w:marLeft w:val="0"/>
              <w:marRight w:val="0"/>
              <w:marTop w:val="0"/>
              <w:marBottom w:val="0"/>
              <w:divBdr>
                <w:top w:val="none" w:sz="0" w:space="0" w:color="auto"/>
                <w:left w:val="none" w:sz="0" w:space="0" w:color="auto"/>
                <w:bottom w:val="none" w:sz="0" w:space="0" w:color="auto"/>
                <w:right w:val="none" w:sz="0" w:space="0" w:color="auto"/>
              </w:divBdr>
              <w:divsChild>
                <w:div w:id="1325090798">
                  <w:marLeft w:val="0"/>
                  <w:marRight w:val="0"/>
                  <w:marTop w:val="0"/>
                  <w:marBottom w:val="0"/>
                  <w:divBdr>
                    <w:top w:val="none" w:sz="0" w:space="0" w:color="auto"/>
                    <w:left w:val="none" w:sz="0" w:space="0" w:color="auto"/>
                    <w:bottom w:val="none" w:sz="0" w:space="0" w:color="auto"/>
                    <w:right w:val="none" w:sz="0" w:space="0" w:color="auto"/>
                  </w:divBdr>
                  <w:divsChild>
                    <w:div w:id="1224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05166">
      <w:bodyDiv w:val="1"/>
      <w:marLeft w:val="0"/>
      <w:marRight w:val="0"/>
      <w:marTop w:val="0"/>
      <w:marBottom w:val="0"/>
      <w:divBdr>
        <w:top w:val="none" w:sz="0" w:space="0" w:color="auto"/>
        <w:left w:val="none" w:sz="0" w:space="0" w:color="auto"/>
        <w:bottom w:val="none" w:sz="0" w:space="0" w:color="auto"/>
        <w:right w:val="none" w:sz="0" w:space="0" w:color="auto"/>
      </w:divBdr>
    </w:div>
    <w:div w:id="1359306876">
      <w:bodyDiv w:val="1"/>
      <w:marLeft w:val="0"/>
      <w:marRight w:val="0"/>
      <w:marTop w:val="0"/>
      <w:marBottom w:val="0"/>
      <w:divBdr>
        <w:top w:val="none" w:sz="0" w:space="0" w:color="auto"/>
        <w:left w:val="none" w:sz="0" w:space="0" w:color="auto"/>
        <w:bottom w:val="none" w:sz="0" w:space="0" w:color="auto"/>
        <w:right w:val="none" w:sz="0" w:space="0" w:color="auto"/>
      </w:divBdr>
    </w:div>
    <w:div w:id="1650867598">
      <w:bodyDiv w:val="1"/>
      <w:marLeft w:val="0"/>
      <w:marRight w:val="0"/>
      <w:marTop w:val="0"/>
      <w:marBottom w:val="0"/>
      <w:divBdr>
        <w:top w:val="none" w:sz="0" w:space="0" w:color="auto"/>
        <w:left w:val="none" w:sz="0" w:space="0" w:color="auto"/>
        <w:bottom w:val="none" w:sz="0" w:space="0" w:color="auto"/>
        <w:right w:val="none" w:sz="0" w:space="0" w:color="auto"/>
      </w:divBdr>
    </w:div>
    <w:div w:id="19598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csesdata.nsf.gov/ids/?utm_source=WebCaspar&amp;utm_medium=WebCaspar&amp;utm_campaign=WebCaspar" TargetMode="External"/><Relationship Id="rId4" Type="http://schemas.microsoft.com/office/2007/relationships/stylesWithEffects" Target="stylesWithEffects.xml"/><Relationship Id="rId9" Type="http://schemas.openxmlformats.org/officeDocument/2006/relationships/hyperlink" Target="http://nsf.gov/statistics/srvyfacil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D2202-A0B4-4734-A12B-CAE879A9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3334</Words>
  <Characters>19008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PART A:  JUSTIFICATION</vt:lpstr>
    </vt:vector>
  </TitlesOfParts>
  <Company>Westat, Inc.</Company>
  <LinksUpToDate>false</LinksUpToDate>
  <CharactersWithSpaces>22298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JUSTIFICATION</dc:title>
  <dc:creator>Westat</dc:creator>
  <cp:lastModifiedBy>SYSTEM</cp:lastModifiedBy>
  <cp:revision>2</cp:revision>
  <cp:lastPrinted>2019-05-22T13:29:00Z</cp:lastPrinted>
  <dcterms:created xsi:type="dcterms:W3CDTF">2019-07-15T22:01:00Z</dcterms:created>
  <dcterms:modified xsi:type="dcterms:W3CDTF">2019-07-15T22:01:00Z</dcterms:modified>
</cp:coreProperties>
</file>