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8589899" w14:textId="717E83FD" w:rsidR="00E213F5" w:rsidRPr="002A64F1" w:rsidRDefault="00E213F5" w:rsidP="00BE7776">
      <w:pPr>
        <w:widowControl w:val="0"/>
        <w:tabs>
          <w:tab w:val="center" w:pos="4680"/>
        </w:tabs>
        <w:spacing w:line="240" w:lineRule="auto"/>
        <w:jc w:val="center"/>
      </w:pPr>
      <w:r w:rsidRPr="002A64F1">
        <w:fldChar w:fldCharType="begin"/>
      </w:r>
      <w:r w:rsidRPr="002A64F1">
        <w:instrText xml:space="preserve"> SEQ CHAPTER \h \r 1</w:instrText>
      </w:r>
      <w:r w:rsidRPr="002A64F1">
        <w:fldChar w:fldCharType="end"/>
      </w:r>
      <w:r w:rsidR="00C058FF">
        <w:t>FINAL</w:t>
      </w:r>
      <w:r w:rsidRPr="002A64F1">
        <w:t xml:space="preserve"> SUPPORTING STATEMENT</w:t>
      </w:r>
    </w:p>
    <w:p w14:paraId="29E303A8" w14:textId="5DFA6E5F" w:rsidR="00E213F5" w:rsidRDefault="00E213F5" w:rsidP="00BE7776">
      <w:pPr>
        <w:widowControl w:val="0"/>
        <w:tabs>
          <w:tab w:val="center" w:pos="4680"/>
        </w:tabs>
        <w:spacing w:line="240" w:lineRule="auto"/>
        <w:jc w:val="center"/>
      </w:pPr>
      <w:r w:rsidRPr="002A64F1">
        <w:t>FOR</w:t>
      </w:r>
      <w:r w:rsidR="00302D73">
        <w:t xml:space="preserve"> THE NUCLEAR ENERGY INNOVATION AND MODERNIZATION ACT</w:t>
      </w:r>
    </w:p>
    <w:p w14:paraId="2F2FF5EE" w14:textId="6B691437" w:rsidR="00302D73" w:rsidRDefault="00302D73" w:rsidP="00BE7776">
      <w:pPr>
        <w:widowControl w:val="0"/>
        <w:tabs>
          <w:tab w:val="center" w:pos="4680"/>
        </w:tabs>
        <w:spacing w:line="240" w:lineRule="auto"/>
        <w:jc w:val="center"/>
      </w:pPr>
      <w:r>
        <w:t>LOCAL COMMUNITY ADVISORY BOARD QUESTIONNAIRE</w:t>
      </w:r>
    </w:p>
    <w:p w14:paraId="3AF0B6F1" w14:textId="77777777" w:rsidR="00BE7776" w:rsidRPr="002A64F1" w:rsidRDefault="00BE7776" w:rsidP="00BE7776">
      <w:pPr>
        <w:widowControl w:val="0"/>
        <w:tabs>
          <w:tab w:val="center" w:pos="4680"/>
        </w:tabs>
        <w:spacing w:line="240" w:lineRule="auto"/>
        <w:jc w:val="center"/>
      </w:pPr>
    </w:p>
    <w:p w14:paraId="364973EA" w14:textId="564F7ABC" w:rsidR="00BE7776" w:rsidRPr="002A64F1" w:rsidRDefault="000D048D" w:rsidP="00BE7776">
      <w:pPr>
        <w:widowControl w:val="0"/>
        <w:tabs>
          <w:tab w:val="center" w:pos="4680"/>
        </w:tabs>
        <w:spacing w:line="240" w:lineRule="auto"/>
        <w:jc w:val="center"/>
      </w:pPr>
      <w:r>
        <w:t>NEW</w:t>
      </w:r>
    </w:p>
    <w:p w14:paraId="05100C91" w14:textId="77777777" w:rsidR="00E213F5" w:rsidRPr="002A64F1" w:rsidRDefault="00E213F5" w:rsidP="00BE7776">
      <w:pPr>
        <w:widowControl w:val="0"/>
        <w:spacing w:line="240" w:lineRule="auto"/>
        <w:jc w:val="center"/>
      </w:pPr>
    </w:p>
    <w:p w14:paraId="53BEC38F" w14:textId="77777777" w:rsidR="00E213F5" w:rsidRPr="002A64F1" w:rsidRDefault="00E213F5" w:rsidP="00BE7776">
      <w:pPr>
        <w:widowControl w:val="0"/>
        <w:tabs>
          <w:tab w:val="center" w:pos="4680"/>
        </w:tabs>
        <w:spacing w:line="240" w:lineRule="auto"/>
        <w:jc w:val="center"/>
      </w:pPr>
      <w:r w:rsidRPr="002A64F1">
        <w:t>(3150-XXXX)</w:t>
      </w:r>
    </w:p>
    <w:p w14:paraId="56BF1484" w14:textId="41EA76A0" w:rsidR="00E213F5" w:rsidRPr="002A64F1" w:rsidRDefault="00E213F5" w:rsidP="00BE7776">
      <w:pPr>
        <w:widowControl w:val="0"/>
        <w:spacing w:line="240" w:lineRule="auto"/>
      </w:pPr>
    </w:p>
    <w:p w14:paraId="7B830110" w14:textId="1DD9818E" w:rsidR="00E213F5" w:rsidRDefault="00BE7776" w:rsidP="00BE7776">
      <w:pPr>
        <w:widowControl w:val="0"/>
        <w:spacing w:line="240" w:lineRule="auto"/>
      </w:pPr>
      <w:r>
        <w:rPr>
          <w:u w:val="single"/>
        </w:rPr>
        <w:t>Description of the Information Collection</w:t>
      </w:r>
    </w:p>
    <w:p w14:paraId="6FE7AA5F" w14:textId="77777777" w:rsidR="00D068C7" w:rsidRDefault="00D068C7" w:rsidP="00BE7776">
      <w:pPr>
        <w:widowControl w:val="0"/>
        <w:spacing w:line="240" w:lineRule="auto"/>
      </w:pPr>
    </w:p>
    <w:p w14:paraId="6BCCBF57" w14:textId="6C02C06B" w:rsidR="00E213F5" w:rsidRDefault="00C761CB" w:rsidP="001C5C8D">
      <w:pPr>
        <w:spacing w:line="240" w:lineRule="auto"/>
      </w:pPr>
      <w:r>
        <w:t xml:space="preserve">The U.S. Nuclear Regulatory Commission (NRC) is undertaking activities as directed by </w:t>
      </w:r>
      <w:r w:rsidR="00290086">
        <w:t xml:space="preserve">Section 108 of </w:t>
      </w:r>
      <w:r>
        <w:t>the Nuclear Energy Innovation and Modernization Act (NEIMA) to develop a report identifying best practices for establishment and operation of local community advisory boards</w:t>
      </w:r>
      <w:r w:rsidR="001C5C8D">
        <w:t xml:space="preserve"> (CABs)</w:t>
      </w:r>
      <w:r>
        <w:t xml:space="preserve">.  As part of developing the report, the NRC plans to host a minimum of ten public meetings to discuss </w:t>
      </w:r>
      <w:r>
        <w:rPr>
          <w:lang w:eastAsia="ja-JP"/>
        </w:rPr>
        <w:t>best practices and lessons learned associated with community advisory boards at decommissioning nuclear power reactors</w:t>
      </w:r>
      <w:r w:rsidR="00290086">
        <w:rPr>
          <w:lang w:eastAsia="ja-JP"/>
        </w:rPr>
        <w:t xml:space="preserve">.  In addition to these public meetings, the NRC has developed a questionnaire to collect information regarding the areas identified in NEIMA with respect to the creation and operation of CABs.  These topics </w:t>
      </w:r>
      <w:r w:rsidR="00290086">
        <w:t>w</w:t>
      </w:r>
      <w:r w:rsidR="00290086" w:rsidRPr="001C5C8D">
        <w:t>ill include a description of the type of topics that might be brought before a community advisory board; how the board’s input could inform the decision-making process for various decommissioning stakeholders; how the board might interact with other State and Federal agencies to promote dialogue between the licensee and impacted stakeholders; and how the board could offer opportunities for public engagement throughout the decommissioning process.  The NRC will issue a report to Congress in June 2020 identifying CAB best practices in accordance with NEIMA.</w:t>
      </w:r>
    </w:p>
    <w:p w14:paraId="409CBD03" w14:textId="580BE48B" w:rsidR="00E43D24" w:rsidRDefault="00E43D24" w:rsidP="001C5C8D">
      <w:pPr>
        <w:spacing w:line="240" w:lineRule="auto"/>
      </w:pPr>
    </w:p>
    <w:p w14:paraId="5B4B9B23" w14:textId="7E8B641B" w:rsidR="00E43D24" w:rsidRPr="001C5C8D" w:rsidRDefault="00E43D24" w:rsidP="001C5C8D">
      <w:pPr>
        <w:spacing w:line="240" w:lineRule="auto"/>
        <w:rPr>
          <w:lang w:eastAsia="ja-JP"/>
        </w:rPr>
      </w:pPr>
      <w:r w:rsidRPr="001C5C8D">
        <w:t xml:space="preserve">Respondents will be the existing </w:t>
      </w:r>
      <w:r>
        <w:t xml:space="preserve">CABs </w:t>
      </w:r>
      <w:r w:rsidRPr="001C5C8D">
        <w:t>in the vicinity of power reactors undergoing decommissioning, similar established stakeholder groups</w:t>
      </w:r>
      <w:r>
        <w:t>, or local government organizations</w:t>
      </w:r>
      <w:r w:rsidRPr="001C5C8D">
        <w:t xml:space="preserve">.  </w:t>
      </w:r>
      <w:r>
        <w:t>One response per group is anticipated.</w:t>
      </w:r>
    </w:p>
    <w:p w14:paraId="452FF768" w14:textId="77777777" w:rsidR="00C761CB" w:rsidRPr="001C5C8D" w:rsidRDefault="00C761CB" w:rsidP="001C5C8D">
      <w:pPr>
        <w:spacing w:line="240" w:lineRule="auto"/>
      </w:pPr>
    </w:p>
    <w:p w14:paraId="10C88466" w14:textId="77777777" w:rsidR="00E213F5" w:rsidRPr="001C5C8D" w:rsidRDefault="00E213F5" w:rsidP="001C5C8D">
      <w:pPr>
        <w:widowControl w:val="0"/>
        <w:numPr>
          <w:ilvl w:val="0"/>
          <w:numId w:val="1"/>
        </w:numPr>
        <w:spacing w:line="240" w:lineRule="auto"/>
      </w:pPr>
      <w:r w:rsidRPr="001C5C8D">
        <w:t>JUSTIFICATION</w:t>
      </w:r>
    </w:p>
    <w:p w14:paraId="778BF22D" w14:textId="77777777" w:rsidR="00E213F5" w:rsidRPr="001C5C8D" w:rsidRDefault="00E213F5" w:rsidP="001C5C8D">
      <w:pPr>
        <w:widowControl w:val="0"/>
        <w:spacing w:line="240" w:lineRule="auto"/>
        <w:ind w:left="360"/>
      </w:pPr>
    </w:p>
    <w:p w14:paraId="4ED6A03B" w14:textId="627051A1" w:rsidR="00E213F5" w:rsidRPr="001C5C8D" w:rsidRDefault="00E213F5" w:rsidP="001C5C8D">
      <w:pPr>
        <w:widowControl w:val="0"/>
        <w:numPr>
          <w:ilvl w:val="0"/>
          <w:numId w:val="2"/>
        </w:numPr>
        <w:spacing w:line="240" w:lineRule="auto"/>
        <w:rPr>
          <w:u w:val="single"/>
        </w:rPr>
      </w:pPr>
      <w:r w:rsidRPr="001C5C8D">
        <w:rPr>
          <w:u w:val="single"/>
        </w:rPr>
        <w:t>Need For the Collection of Information</w:t>
      </w:r>
    </w:p>
    <w:p w14:paraId="1ACDE941" w14:textId="77777777" w:rsidR="00E213F5" w:rsidRPr="001C5C8D" w:rsidRDefault="00E213F5" w:rsidP="001C5C8D">
      <w:pPr>
        <w:widowControl w:val="0"/>
        <w:spacing w:line="240" w:lineRule="auto"/>
        <w:rPr>
          <w:u w:val="single"/>
        </w:rPr>
      </w:pPr>
    </w:p>
    <w:p w14:paraId="07753DEB" w14:textId="1B483440" w:rsidR="00C847D5" w:rsidRDefault="00C761CB" w:rsidP="00AE0122">
      <w:pPr>
        <w:widowControl w:val="0"/>
        <w:spacing w:line="240" w:lineRule="auto"/>
        <w:ind w:left="1080"/>
      </w:pPr>
      <w:r w:rsidRPr="001C5C8D">
        <w:t xml:space="preserve">The NRC is planning to coordinate activities in accordance with Section 108 of NEIMA to collect information on the use </w:t>
      </w:r>
      <w:r w:rsidR="00516990" w:rsidRPr="001C5C8D">
        <w:t>of CABs</w:t>
      </w:r>
      <w:r w:rsidRPr="001C5C8D">
        <w:t xml:space="preserve"> during decommissioning activities and issue a best practices report.</w:t>
      </w:r>
      <w:r w:rsidR="00516990" w:rsidRPr="001C5C8D">
        <w:t xml:space="preserve">  </w:t>
      </w:r>
      <w:r w:rsidR="00E43D24" w:rsidRPr="00AE0122">
        <w:t xml:space="preserve">The information is needed in order for the staff to comply with requirements in NIEMA to submit a best practices report on CABs to Congress.  </w:t>
      </w:r>
      <w:r w:rsidR="00C847D5">
        <w:t>Section 108 of NEIMA states:</w:t>
      </w:r>
    </w:p>
    <w:p w14:paraId="1D55D299" w14:textId="57AADE12" w:rsidR="00C847D5" w:rsidRDefault="00C847D5" w:rsidP="001C5C8D">
      <w:pPr>
        <w:pStyle w:val="ListParagraph"/>
        <w:widowControl w:val="0"/>
        <w:spacing w:line="240" w:lineRule="auto"/>
        <w:ind w:left="1080"/>
      </w:pPr>
      <w:r>
        <w:t xml:space="preserve"> </w:t>
      </w:r>
    </w:p>
    <w:p w14:paraId="0FC32A08" w14:textId="3A16057C" w:rsidR="00C847D5" w:rsidRDefault="00C847D5" w:rsidP="00AE0122">
      <w:pPr>
        <w:pStyle w:val="ListParagraph"/>
        <w:widowControl w:val="0"/>
        <w:spacing w:line="240" w:lineRule="auto"/>
        <w:ind w:left="1800"/>
      </w:pPr>
      <w:r>
        <w:t>BEST PRACTICES REPORT.—Not later than 18 months after the date of enactment of this Act, the Commission shall submit to Congress, and make publicly available, a report identifying best practices with respect to the establishment and operation of a local community advisory board to foster communication and information exchange between a licensee planning for and involved in decommissioning activities and members of the community that decommissioning activities may affect, including lessons learned from any such board in existence before the date of enactment of this Act.</w:t>
      </w:r>
    </w:p>
    <w:p w14:paraId="18981E79" w14:textId="77777777" w:rsidR="00C847D5" w:rsidRDefault="00C847D5" w:rsidP="00C847D5">
      <w:pPr>
        <w:pStyle w:val="ListParagraph"/>
        <w:widowControl w:val="0"/>
        <w:spacing w:line="240" w:lineRule="auto"/>
        <w:ind w:left="1440"/>
      </w:pPr>
    </w:p>
    <w:p w14:paraId="4D302FCD" w14:textId="77777777" w:rsidR="00C847D5" w:rsidRDefault="00C847D5" w:rsidP="00C847D5">
      <w:pPr>
        <w:pStyle w:val="ListParagraph"/>
        <w:widowControl w:val="0"/>
        <w:spacing w:line="240" w:lineRule="auto"/>
        <w:ind w:left="1440"/>
      </w:pPr>
      <w:r>
        <w:t>(b) CONTENTS.—The report described in subsection (a) shall include—</w:t>
      </w:r>
    </w:p>
    <w:p w14:paraId="4CA69C78" w14:textId="77777777" w:rsidR="00C847D5" w:rsidRDefault="00C847D5" w:rsidP="00C847D5">
      <w:pPr>
        <w:pStyle w:val="ListParagraph"/>
        <w:widowControl w:val="0"/>
        <w:spacing w:line="240" w:lineRule="auto"/>
        <w:ind w:left="2160"/>
      </w:pPr>
      <w:r>
        <w:t>(1) a description of—</w:t>
      </w:r>
    </w:p>
    <w:p w14:paraId="2ECD8EFF" w14:textId="77777777" w:rsidR="00C847D5" w:rsidRDefault="00C847D5" w:rsidP="00C847D5">
      <w:pPr>
        <w:pStyle w:val="ListParagraph"/>
        <w:widowControl w:val="0"/>
        <w:spacing w:line="240" w:lineRule="auto"/>
        <w:ind w:left="2880"/>
      </w:pPr>
      <w:r>
        <w:lastRenderedPageBreak/>
        <w:t>(A) the topics that could be brought before a local community advisory board;</w:t>
      </w:r>
    </w:p>
    <w:p w14:paraId="1EF39997" w14:textId="0F568022" w:rsidR="00C847D5" w:rsidRDefault="00C847D5" w:rsidP="00C847D5">
      <w:pPr>
        <w:pStyle w:val="ListParagraph"/>
        <w:widowControl w:val="0"/>
        <w:spacing w:line="240" w:lineRule="auto"/>
        <w:ind w:left="2880"/>
      </w:pPr>
      <w:r>
        <w:t>(B) how such a board’s input could be used to inform the decision-making processes of stakeholders for various decommissioning activities;</w:t>
      </w:r>
    </w:p>
    <w:p w14:paraId="0257FE3E" w14:textId="7A4FCB48" w:rsidR="00C847D5" w:rsidRDefault="00C847D5" w:rsidP="00C847D5">
      <w:pPr>
        <w:pStyle w:val="ListParagraph"/>
        <w:widowControl w:val="0"/>
        <w:spacing w:line="240" w:lineRule="auto"/>
        <w:ind w:left="2880"/>
      </w:pPr>
      <w:r>
        <w:t>(C) what interactions such a board could have with the Commission and other Federal regulatory bodies to support the board members’ overall understanding of the decommissioning process and promote dialogue between the affected stakeholders and the licensee involved in decommissioning activities; and</w:t>
      </w:r>
    </w:p>
    <w:p w14:paraId="04C12F79" w14:textId="095359B0" w:rsidR="00C847D5" w:rsidRDefault="00C847D5" w:rsidP="00C847D5">
      <w:pPr>
        <w:pStyle w:val="ListParagraph"/>
        <w:widowControl w:val="0"/>
        <w:spacing w:line="240" w:lineRule="auto"/>
        <w:ind w:left="2880"/>
      </w:pPr>
      <w:r>
        <w:t>(D) how such a board could offer opportunities for public engagement throughout all phases of the decommissioning process;</w:t>
      </w:r>
    </w:p>
    <w:p w14:paraId="0246E91D" w14:textId="77777777" w:rsidR="00C847D5" w:rsidRDefault="00C847D5" w:rsidP="00C847D5">
      <w:pPr>
        <w:pStyle w:val="ListParagraph"/>
        <w:widowControl w:val="0"/>
        <w:spacing w:line="240" w:lineRule="auto"/>
        <w:ind w:left="2160"/>
      </w:pPr>
      <w:r>
        <w:t>(2) a discussion of the composition of a local community advisory board; and</w:t>
      </w:r>
    </w:p>
    <w:p w14:paraId="7569B1D3" w14:textId="77777777" w:rsidR="00C847D5" w:rsidRDefault="00C847D5" w:rsidP="00C847D5">
      <w:pPr>
        <w:pStyle w:val="ListParagraph"/>
        <w:widowControl w:val="0"/>
        <w:spacing w:line="240" w:lineRule="auto"/>
        <w:ind w:left="2160"/>
      </w:pPr>
      <w:r>
        <w:t>(3) best practices relating to the establishment and operation of a local community advisory board, including—</w:t>
      </w:r>
    </w:p>
    <w:p w14:paraId="72D7D45B" w14:textId="77777777" w:rsidR="00C847D5" w:rsidRDefault="00C847D5" w:rsidP="00C847D5">
      <w:pPr>
        <w:pStyle w:val="ListParagraph"/>
        <w:widowControl w:val="0"/>
        <w:spacing w:line="240" w:lineRule="auto"/>
        <w:ind w:left="2880"/>
      </w:pPr>
      <w:r>
        <w:t>(A) the time of establishment of such a board;</w:t>
      </w:r>
    </w:p>
    <w:p w14:paraId="5CFA95E0" w14:textId="77777777" w:rsidR="00C847D5" w:rsidRDefault="00C847D5" w:rsidP="00C847D5">
      <w:pPr>
        <w:pStyle w:val="ListParagraph"/>
        <w:widowControl w:val="0"/>
        <w:spacing w:line="240" w:lineRule="auto"/>
        <w:ind w:left="2880"/>
      </w:pPr>
      <w:r>
        <w:t>(B) the frequency of meetings of such a board;</w:t>
      </w:r>
    </w:p>
    <w:p w14:paraId="1454A518" w14:textId="77777777" w:rsidR="00C847D5" w:rsidRDefault="00C847D5" w:rsidP="00C847D5">
      <w:pPr>
        <w:pStyle w:val="ListParagraph"/>
        <w:widowControl w:val="0"/>
        <w:spacing w:line="240" w:lineRule="auto"/>
        <w:ind w:left="2880"/>
      </w:pPr>
      <w:r>
        <w:t>(C) the selection of board members;</w:t>
      </w:r>
    </w:p>
    <w:p w14:paraId="0E4E40B8" w14:textId="77777777" w:rsidR="00C847D5" w:rsidRDefault="00C847D5" w:rsidP="00C847D5">
      <w:pPr>
        <w:pStyle w:val="ListParagraph"/>
        <w:widowControl w:val="0"/>
        <w:spacing w:line="240" w:lineRule="auto"/>
        <w:ind w:left="2880"/>
      </w:pPr>
      <w:r>
        <w:t>(D) the term of board members;</w:t>
      </w:r>
    </w:p>
    <w:p w14:paraId="6B1592C1" w14:textId="77777777" w:rsidR="00C847D5" w:rsidRDefault="00C847D5" w:rsidP="00C847D5">
      <w:pPr>
        <w:pStyle w:val="ListParagraph"/>
        <w:widowControl w:val="0"/>
        <w:spacing w:line="240" w:lineRule="auto"/>
        <w:ind w:left="2880"/>
      </w:pPr>
      <w:r>
        <w:t>(E) the responsibility for logistics required to support such a board’s meetings and other routine activities; and</w:t>
      </w:r>
    </w:p>
    <w:p w14:paraId="35ABF3FE" w14:textId="77777777" w:rsidR="00C847D5" w:rsidRDefault="00C847D5" w:rsidP="00C847D5">
      <w:pPr>
        <w:pStyle w:val="ListParagraph"/>
        <w:widowControl w:val="0"/>
        <w:spacing w:line="240" w:lineRule="auto"/>
        <w:ind w:left="2880"/>
      </w:pPr>
      <w:r>
        <w:t>(F) any other best practices relating to such a local community advisory board that are identified by the Commission.</w:t>
      </w:r>
    </w:p>
    <w:p w14:paraId="007D080F" w14:textId="78832CB7" w:rsidR="00C847D5" w:rsidRDefault="00C847D5" w:rsidP="00C847D5">
      <w:pPr>
        <w:pStyle w:val="ListParagraph"/>
        <w:widowControl w:val="0"/>
        <w:spacing w:line="240" w:lineRule="auto"/>
        <w:ind w:left="1440"/>
      </w:pPr>
      <w:r>
        <w:t>(c) CONSULTATION.—In developing the report described under subsection (a), the Commission shall consult with any host State, any community within the emergency planning zone of an applicable nuclear power reactor, and any existing local community advisory board.</w:t>
      </w:r>
    </w:p>
    <w:p w14:paraId="5BF25AB0" w14:textId="3719BC34" w:rsidR="00E43D24" w:rsidRPr="001C5C8D" w:rsidRDefault="00E43D24" w:rsidP="001C5C8D">
      <w:pPr>
        <w:widowControl w:val="0"/>
        <w:spacing w:line="240" w:lineRule="auto"/>
        <w:rPr>
          <w:u w:val="single"/>
        </w:rPr>
      </w:pPr>
    </w:p>
    <w:p w14:paraId="0BC742DB" w14:textId="7BD58B48" w:rsidR="00E213F5" w:rsidRPr="001C5C8D" w:rsidRDefault="00E213F5" w:rsidP="001C5C8D">
      <w:pPr>
        <w:widowControl w:val="0"/>
        <w:numPr>
          <w:ilvl w:val="0"/>
          <w:numId w:val="2"/>
        </w:numPr>
        <w:spacing w:line="240" w:lineRule="auto"/>
        <w:rPr>
          <w:u w:val="single"/>
        </w:rPr>
      </w:pPr>
      <w:r w:rsidRPr="001C5C8D">
        <w:rPr>
          <w:u w:val="single"/>
        </w:rPr>
        <w:t>Agency Use</w:t>
      </w:r>
      <w:r w:rsidR="00E41C7D" w:rsidRPr="001C5C8D">
        <w:rPr>
          <w:u w:val="single"/>
        </w:rPr>
        <w:t xml:space="preserve"> and Practical Utility of</w:t>
      </w:r>
      <w:r w:rsidRPr="001C5C8D">
        <w:rPr>
          <w:u w:val="single"/>
        </w:rPr>
        <w:t xml:space="preserve"> Information</w:t>
      </w:r>
    </w:p>
    <w:p w14:paraId="765C88EC" w14:textId="77777777" w:rsidR="00E213F5" w:rsidRPr="001C5C8D" w:rsidRDefault="00E213F5" w:rsidP="001C5C8D">
      <w:pPr>
        <w:widowControl w:val="0"/>
        <w:spacing w:line="240" w:lineRule="auto"/>
        <w:rPr>
          <w:u w:val="single"/>
        </w:rPr>
      </w:pPr>
    </w:p>
    <w:p w14:paraId="5F4389A8" w14:textId="6EF54E10" w:rsidR="00E213F5" w:rsidRPr="001C5C8D" w:rsidRDefault="00516990" w:rsidP="001C5C8D">
      <w:pPr>
        <w:widowControl w:val="0"/>
        <w:spacing w:line="240" w:lineRule="auto"/>
        <w:ind w:left="1080"/>
      </w:pPr>
      <w:r w:rsidRPr="001C5C8D">
        <w:t xml:space="preserve">The NRC will evaluate responses to the questionnaire and use the information to gain insights related to the formation and operation of CABs.  In accordance with NEIMA, the NRC will use this information to develop a report identifying CAB best practices.  </w:t>
      </w:r>
    </w:p>
    <w:p w14:paraId="709EBA2B" w14:textId="77777777" w:rsidR="00DC71A2" w:rsidRPr="001C5C8D" w:rsidRDefault="00DC71A2" w:rsidP="001C5C8D">
      <w:pPr>
        <w:widowControl w:val="0"/>
        <w:spacing w:line="240" w:lineRule="auto"/>
        <w:rPr>
          <w:u w:val="single"/>
        </w:rPr>
      </w:pPr>
    </w:p>
    <w:p w14:paraId="3D04D948" w14:textId="77777777" w:rsidR="00E213F5" w:rsidRPr="001C5C8D" w:rsidRDefault="00E213F5" w:rsidP="001C5C8D">
      <w:pPr>
        <w:widowControl w:val="0"/>
        <w:numPr>
          <w:ilvl w:val="0"/>
          <w:numId w:val="2"/>
        </w:numPr>
        <w:spacing w:line="240" w:lineRule="auto"/>
      </w:pPr>
      <w:r w:rsidRPr="001C5C8D">
        <w:rPr>
          <w:u w:val="single"/>
        </w:rPr>
        <w:t>Reduction of Burden Through Information Technology</w:t>
      </w:r>
      <w:r w:rsidRPr="001C5C8D">
        <w:t xml:space="preserve">  </w:t>
      </w:r>
    </w:p>
    <w:p w14:paraId="0DF684A2" w14:textId="77777777" w:rsidR="006A4326" w:rsidRPr="001C5C8D" w:rsidRDefault="006A4326" w:rsidP="001C5C8D">
      <w:pPr>
        <w:widowControl w:val="0"/>
        <w:spacing w:line="240" w:lineRule="auto"/>
      </w:pPr>
    </w:p>
    <w:p w14:paraId="4F749224" w14:textId="4C9664CE" w:rsidR="00B61114" w:rsidRPr="001C5C8D" w:rsidRDefault="00E213F5" w:rsidP="00C058FF">
      <w:pPr>
        <w:widowControl w:val="0"/>
        <w:spacing w:line="240" w:lineRule="auto"/>
        <w:ind w:left="1080"/>
      </w:pPr>
      <w:r w:rsidRPr="001C5C8D">
        <w:t xml:space="preserve">There are no legal obstacles to reducing the burden associated with this information collection. </w:t>
      </w:r>
      <w:r w:rsidR="00B22561" w:rsidRPr="001C5C8D">
        <w:t xml:space="preserve"> </w:t>
      </w:r>
      <w:r w:rsidRPr="001C5C8D">
        <w:t xml:space="preserve">The NRC encourages respondents to use information technology when it would be beneficial to them.  </w:t>
      </w:r>
      <w:r w:rsidR="003133EA" w:rsidRPr="001C5C8D">
        <w:t xml:space="preserve">The NRC has issued </w:t>
      </w:r>
      <w:hyperlink r:id="rId13" w:history="1">
        <w:r w:rsidR="0003118D" w:rsidRPr="001C5C8D">
          <w:rPr>
            <w:rStyle w:val="Hyperlink"/>
            <w:i/>
          </w:rPr>
          <w:t>Guidance for Electronic Submissions to the NRC</w:t>
        </w:r>
      </w:hyperlink>
      <w:r w:rsidR="006F1623" w:rsidRPr="001C5C8D">
        <w:t xml:space="preserve"> </w:t>
      </w:r>
      <w:r w:rsidR="003133EA" w:rsidRPr="001C5C8D">
        <w:t>which provides direction for the electronic transmission and submittal of documents to the NRC.</w:t>
      </w:r>
      <w:r w:rsidR="006F1623" w:rsidRPr="001C5C8D">
        <w:t xml:space="preserve">  Electronic transmission and submittal of documents can be accomplished via the following avenues: the Electronic Information Exchange (EIE) process, which is available from the NRC's “Electronic Submittals” Web page, by Optical Storage Media (OSM) (e.g. CD-ROM, DVD), by facsimile or by e-mail</w:t>
      </w:r>
      <w:r w:rsidR="00D84BA0" w:rsidRPr="001C5C8D">
        <w:t xml:space="preserve">.  </w:t>
      </w:r>
      <w:r w:rsidR="00F52B85" w:rsidRPr="001C5C8D">
        <w:t xml:space="preserve">Additionally, respondents are able to submit the requested information using fillable-fillable forms and/or computer-readable formatted forms.  </w:t>
      </w:r>
      <w:r w:rsidR="00D84BA0" w:rsidRPr="001C5C8D">
        <w:t xml:space="preserve">It is estimated that approximately </w:t>
      </w:r>
      <w:r w:rsidR="00F52B85" w:rsidRPr="001C5C8D">
        <w:t>100</w:t>
      </w:r>
      <w:r w:rsidR="00E2539C" w:rsidRPr="001C5C8D">
        <w:t>%</w:t>
      </w:r>
      <w:r w:rsidR="00E2539C" w:rsidRPr="001C5C8D">
        <w:rPr>
          <w:b/>
        </w:rPr>
        <w:t xml:space="preserve"> </w:t>
      </w:r>
      <w:r w:rsidR="00E2539C" w:rsidRPr="001C5C8D">
        <w:t>of</w:t>
      </w:r>
      <w:r w:rsidR="00D84BA0" w:rsidRPr="001C5C8D">
        <w:t xml:space="preserve"> the potential responses are filed electronically.</w:t>
      </w:r>
    </w:p>
    <w:p w14:paraId="75EDC6B6" w14:textId="77777777" w:rsidR="00E213F5" w:rsidRPr="001C5C8D" w:rsidRDefault="00E213F5" w:rsidP="00C058FF">
      <w:pPr>
        <w:widowControl w:val="0"/>
        <w:spacing w:line="240" w:lineRule="auto"/>
      </w:pPr>
    </w:p>
    <w:p w14:paraId="3DED3BAA" w14:textId="77777777" w:rsidR="00E213F5" w:rsidRPr="001C5C8D" w:rsidRDefault="00E213F5" w:rsidP="00C058FF">
      <w:pPr>
        <w:widowControl w:val="0"/>
        <w:numPr>
          <w:ilvl w:val="0"/>
          <w:numId w:val="2"/>
        </w:numPr>
        <w:spacing w:line="240" w:lineRule="auto"/>
        <w:rPr>
          <w:u w:val="single"/>
        </w:rPr>
      </w:pPr>
      <w:r w:rsidRPr="001C5C8D">
        <w:rPr>
          <w:u w:val="single"/>
        </w:rPr>
        <w:t>Effort to Identify Duplication and Use Similar Information</w:t>
      </w:r>
    </w:p>
    <w:p w14:paraId="5116B2DC" w14:textId="77777777" w:rsidR="00E213F5" w:rsidRPr="001C5C8D" w:rsidRDefault="00E213F5" w:rsidP="00C058FF">
      <w:pPr>
        <w:widowControl w:val="0"/>
        <w:spacing w:line="240" w:lineRule="auto"/>
        <w:rPr>
          <w:u w:val="single"/>
        </w:rPr>
      </w:pPr>
    </w:p>
    <w:p w14:paraId="6ED89469" w14:textId="2D1BF7F0" w:rsidR="00E213F5" w:rsidRPr="001C5C8D" w:rsidRDefault="00E213F5" w:rsidP="00C058FF">
      <w:pPr>
        <w:widowControl w:val="0"/>
        <w:spacing w:line="240" w:lineRule="auto"/>
        <w:ind w:left="1080"/>
      </w:pPr>
      <w:r w:rsidRPr="001C5C8D">
        <w:t>No sources of similar information are available.  There is no duplication of requirements</w:t>
      </w:r>
      <w:r w:rsidR="00421ED6" w:rsidRPr="001C5C8D">
        <w:t>.</w:t>
      </w:r>
    </w:p>
    <w:p w14:paraId="05C26EF8" w14:textId="77777777" w:rsidR="00E213F5" w:rsidRPr="001C5C8D" w:rsidRDefault="00E213F5" w:rsidP="00C058FF">
      <w:pPr>
        <w:widowControl w:val="0"/>
        <w:spacing w:line="240" w:lineRule="auto"/>
        <w:rPr>
          <w:u w:val="single"/>
        </w:rPr>
      </w:pPr>
    </w:p>
    <w:p w14:paraId="0F27C616" w14:textId="77777777" w:rsidR="00E213F5" w:rsidRPr="001C5C8D" w:rsidRDefault="00E213F5" w:rsidP="00C058FF">
      <w:pPr>
        <w:widowControl w:val="0"/>
        <w:numPr>
          <w:ilvl w:val="0"/>
          <w:numId w:val="2"/>
        </w:numPr>
        <w:spacing w:line="240" w:lineRule="auto"/>
      </w:pPr>
      <w:r w:rsidRPr="001C5C8D">
        <w:rPr>
          <w:u w:val="single"/>
        </w:rPr>
        <w:t>Effort to Reduce Small Business Burden</w:t>
      </w:r>
    </w:p>
    <w:p w14:paraId="7E85856A" w14:textId="77777777" w:rsidR="005504EC" w:rsidRPr="001C5C8D" w:rsidRDefault="005504EC" w:rsidP="00C058FF">
      <w:pPr>
        <w:widowControl w:val="0"/>
        <w:spacing w:line="240" w:lineRule="auto"/>
        <w:rPr>
          <w:u w:val="single"/>
        </w:rPr>
      </w:pPr>
    </w:p>
    <w:p w14:paraId="635C2B04" w14:textId="194731BD" w:rsidR="005504EC" w:rsidRPr="001C5C8D" w:rsidRDefault="00F52B85" w:rsidP="00C058FF">
      <w:pPr>
        <w:widowControl w:val="0"/>
        <w:spacing w:line="240" w:lineRule="auto"/>
        <w:ind w:left="360" w:firstLine="720"/>
      </w:pPr>
      <w:r w:rsidRPr="001C5C8D">
        <w:t>Not applicable.</w:t>
      </w:r>
    </w:p>
    <w:p w14:paraId="4DB80030" w14:textId="77777777" w:rsidR="00E213F5" w:rsidRPr="001C5C8D" w:rsidRDefault="00E213F5" w:rsidP="00C058FF">
      <w:pPr>
        <w:widowControl w:val="0"/>
        <w:spacing w:line="240" w:lineRule="auto"/>
      </w:pPr>
    </w:p>
    <w:p w14:paraId="26EC08F5" w14:textId="77777777" w:rsidR="00E213F5" w:rsidRPr="001C5C8D" w:rsidRDefault="00E213F5" w:rsidP="00C058FF">
      <w:pPr>
        <w:widowControl w:val="0"/>
        <w:numPr>
          <w:ilvl w:val="0"/>
          <w:numId w:val="2"/>
        </w:numPr>
        <w:spacing w:line="240" w:lineRule="auto"/>
      </w:pPr>
      <w:r w:rsidRPr="001C5C8D">
        <w:rPr>
          <w:u w:val="single"/>
        </w:rPr>
        <w:t>Consequences to Federal Program or Policy Activities if the Collection Is Not Conducted or Is Conducted Less Frequently</w:t>
      </w:r>
    </w:p>
    <w:p w14:paraId="48205879" w14:textId="77777777" w:rsidR="00E213F5" w:rsidRPr="001C5C8D" w:rsidRDefault="00E213F5" w:rsidP="00C058FF">
      <w:pPr>
        <w:widowControl w:val="0"/>
        <w:spacing w:line="240" w:lineRule="auto"/>
      </w:pPr>
    </w:p>
    <w:p w14:paraId="5BAEFA21" w14:textId="2E7A6CFE" w:rsidR="00516990" w:rsidRPr="001C5C8D" w:rsidRDefault="00516990" w:rsidP="00C058FF">
      <w:pPr>
        <w:widowControl w:val="0"/>
        <w:spacing w:line="240" w:lineRule="auto"/>
        <w:ind w:left="1080"/>
        <w:rPr>
          <w:u w:val="single"/>
        </w:rPr>
      </w:pPr>
      <w:r w:rsidRPr="001C5C8D">
        <w:t>The information collection is proposed as one-time effort.  The NRC staff has determined that the best way to obtain feedback regarding the formation and operation of CABs is through direct feedback from CABs and stakeholders through the questionnaire.</w:t>
      </w:r>
      <w:r w:rsidR="00B22561" w:rsidRPr="001C5C8D">
        <w:t xml:space="preserve">  </w:t>
      </w:r>
      <w:r w:rsidR="00D24EA8" w:rsidRPr="001C5C8D">
        <w:t>The consequences of not collecting this information from CABs and stakeholder</w:t>
      </w:r>
      <w:r w:rsidR="001C5C8D" w:rsidRPr="001C5C8D">
        <w:t>s could potentially impact the assessment of best practices and the understanding of community-specific or site</w:t>
      </w:r>
      <w:r w:rsidR="001C5C8D">
        <w:t>-specific factors that contribute to the formation and operation of CABs</w:t>
      </w:r>
      <w:r w:rsidR="00EE72F3">
        <w:t>; therefore, the NRC staff would not be complying with NEIMA if this activity is not completed</w:t>
      </w:r>
      <w:r w:rsidR="007F0F4F">
        <w:t>.</w:t>
      </w:r>
    </w:p>
    <w:p w14:paraId="3AE035B4" w14:textId="77777777" w:rsidR="00E213F5" w:rsidRPr="001C5C8D" w:rsidRDefault="00E213F5" w:rsidP="00C058FF">
      <w:pPr>
        <w:widowControl w:val="0"/>
        <w:spacing w:line="240" w:lineRule="auto"/>
      </w:pPr>
    </w:p>
    <w:p w14:paraId="46790039" w14:textId="77777777" w:rsidR="00E213F5" w:rsidRPr="001C5C8D" w:rsidRDefault="00E213F5" w:rsidP="00C058FF">
      <w:pPr>
        <w:widowControl w:val="0"/>
        <w:numPr>
          <w:ilvl w:val="0"/>
          <w:numId w:val="2"/>
        </w:numPr>
        <w:spacing w:line="240" w:lineRule="auto"/>
        <w:rPr>
          <w:u w:val="single"/>
        </w:rPr>
      </w:pPr>
      <w:r w:rsidRPr="001C5C8D">
        <w:rPr>
          <w:u w:val="single"/>
        </w:rPr>
        <w:t>Circumstances Which Justify Variation from OMB Guidelines</w:t>
      </w:r>
    </w:p>
    <w:p w14:paraId="36DDBC8F" w14:textId="77777777" w:rsidR="005976AE" w:rsidRPr="001C5C8D" w:rsidRDefault="005976AE" w:rsidP="00C058FF">
      <w:pPr>
        <w:widowControl w:val="0"/>
        <w:spacing w:line="240" w:lineRule="auto"/>
        <w:rPr>
          <w:u w:val="single"/>
        </w:rPr>
      </w:pPr>
    </w:p>
    <w:p w14:paraId="3432C373" w14:textId="499DBBFE" w:rsidR="00133D37" w:rsidRPr="001C5C8D" w:rsidRDefault="00C761CB" w:rsidP="00C058FF">
      <w:pPr>
        <w:widowControl w:val="0"/>
        <w:spacing w:line="240" w:lineRule="auto"/>
        <w:ind w:left="1080"/>
      </w:pPr>
      <w:r w:rsidRPr="001C5C8D">
        <w:t>Not applicable.</w:t>
      </w:r>
    </w:p>
    <w:p w14:paraId="4E62129D" w14:textId="77777777" w:rsidR="00E213F5" w:rsidRPr="001C5C8D" w:rsidRDefault="00E213F5" w:rsidP="00C058FF">
      <w:pPr>
        <w:widowControl w:val="0"/>
        <w:spacing w:line="240" w:lineRule="auto"/>
        <w:rPr>
          <w:u w:val="single"/>
        </w:rPr>
      </w:pPr>
    </w:p>
    <w:p w14:paraId="2370F059" w14:textId="77777777" w:rsidR="00E213F5" w:rsidRPr="001C5C8D" w:rsidRDefault="00E213F5" w:rsidP="00C058FF">
      <w:pPr>
        <w:numPr>
          <w:ilvl w:val="0"/>
          <w:numId w:val="2"/>
        </w:numPr>
        <w:spacing w:line="240" w:lineRule="auto"/>
      </w:pPr>
      <w:r w:rsidRPr="001C5C8D">
        <w:rPr>
          <w:u w:val="single"/>
        </w:rPr>
        <w:t>Consultations Outside the NRC</w:t>
      </w:r>
    </w:p>
    <w:p w14:paraId="3EC13B9B" w14:textId="77777777" w:rsidR="00E213F5" w:rsidRPr="001C5C8D" w:rsidRDefault="00E213F5" w:rsidP="00C058FF">
      <w:pPr>
        <w:spacing w:line="240" w:lineRule="auto"/>
        <w:rPr>
          <w:u w:val="single"/>
        </w:rPr>
      </w:pPr>
    </w:p>
    <w:p w14:paraId="082A7A3D" w14:textId="1CB2C8D1" w:rsidR="004325E2" w:rsidRPr="001C5C8D" w:rsidRDefault="00C058FF" w:rsidP="00C058FF">
      <w:pPr>
        <w:spacing w:line="240" w:lineRule="auto"/>
        <w:ind w:left="1080"/>
      </w:pPr>
      <w:r>
        <w:rPr>
          <w:rFonts w:eastAsia="Times New Roman"/>
        </w:rPr>
        <w:t xml:space="preserve">Opportunity for public comment on the information collection requirements for this clearance package was published In the </w:t>
      </w:r>
      <w:r>
        <w:rPr>
          <w:rFonts w:eastAsia="Times New Roman"/>
          <w:i/>
          <w:iCs/>
        </w:rPr>
        <w:t>Federal Register</w:t>
      </w:r>
      <w:r>
        <w:rPr>
          <w:rFonts w:eastAsia="Times New Roman"/>
        </w:rPr>
        <w:t xml:space="preserve"> on April 19, 2019 (84 FR 16547</w:t>
      </w:r>
      <w:r>
        <w:rPr>
          <w:rFonts w:ascii="Helvetica" w:eastAsia="Times New Roman" w:hAnsi="Helvetica" w:cs="Times New Roman"/>
          <w:color w:val="333333"/>
        </w:rPr>
        <w:t xml:space="preserve">).  </w:t>
      </w:r>
      <w:r>
        <w:rPr>
          <w:rFonts w:eastAsia="Times New Roman"/>
        </w:rPr>
        <w:t>As part of the consultation process, the NRC staff contacted four potential respondents via email, including the chairs of two existing community advisory boards at sites undergoing decommissioning and two licensees for sites undergoing decommissioning at which no advisory boards are currently in existence.  No comments were received i</w:t>
      </w:r>
      <w:r w:rsidR="00AA21BA">
        <w:rPr>
          <w:rFonts w:eastAsia="Times New Roman"/>
        </w:rPr>
        <w:t>n response</w:t>
      </w:r>
      <w:r>
        <w:rPr>
          <w:rFonts w:eastAsia="Times New Roman"/>
        </w:rPr>
        <w:t xml:space="preserve"> to these consultations.</w:t>
      </w:r>
    </w:p>
    <w:p w14:paraId="790C9071" w14:textId="2070CB16" w:rsidR="00090240" w:rsidRPr="001C5C8D" w:rsidRDefault="00090240" w:rsidP="00C058FF">
      <w:pPr>
        <w:spacing w:line="240" w:lineRule="auto"/>
      </w:pPr>
    </w:p>
    <w:p w14:paraId="2DE19983" w14:textId="77777777" w:rsidR="00E213F5" w:rsidRPr="001C5C8D" w:rsidRDefault="00E213F5" w:rsidP="00C058FF">
      <w:pPr>
        <w:numPr>
          <w:ilvl w:val="0"/>
          <w:numId w:val="2"/>
        </w:numPr>
        <w:spacing w:line="240" w:lineRule="auto"/>
      </w:pPr>
      <w:r w:rsidRPr="001C5C8D">
        <w:rPr>
          <w:u w:val="single"/>
        </w:rPr>
        <w:t>Payment or Gift to Respondents</w:t>
      </w:r>
    </w:p>
    <w:p w14:paraId="42CAFA8D" w14:textId="77777777" w:rsidR="00E213F5" w:rsidRPr="001C5C8D" w:rsidRDefault="00E213F5" w:rsidP="00C058FF">
      <w:pPr>
        <w:spacing w:line="240" w:lineRule="auto"/>
      </w:pPr>
    </w:p>
    <w:p w14:paraId="78A8BDF1" w14:textId="14789CD4" w:rsidR="00644FAB" w:rsidRPr="001C5C8D" w:rsidRDefault="00C761CB" w:rsidP="00C058FF">
      <w:pPr>
        <w:spacing w:line="240" w:lineRule="auto"/>
        <w:ind w:left="1080"/>
      </w:pPr>
      <w:r w:rsidRPr="001C5C8D">
        <w:rPr>
          <w:iCs/>
        </w:rPr>
        <w:t>Not applicable.</w:t>
      </w:r>
    </w:p>
    <w:p w14:paraId="36958028" w14:textId="77777777" w:rsidR="00DC71A2" w:rsidRPr="001C5C8D" w:rsidRDefault="00DC71A2" w:rsidP="00C058FF">
      <w:pPr>
        <w:spacing w:line="240" w:lineRule="auto"/>
      </w:pPr>
    </w:p>
    <w:p w14:paraId="3899029E" w14:textId="77777777" w:rsidR="00E213F5" w:rsidRPr="001C5C8D" w:rsidRDefault="00E213F5" w:rsidP="00C058FF">
      <w:pPr>
        <w:numPr>
          <w:ilvl w:val="0"/>
          <w:numId w:val="2"/>
        </w:numPr>
        <w:spacing w:line="240" w:lineRule="auto"/>
      </w:pPr>
      <w:r w:rsidRPr="001C5C8D">
        <w:rPr>
          <w:u w:val="single"/>
        </w:rPr>
        <w:t>Confidentiality of Information</w:t>
      </w:r>
    </w:p>
    <w:p w14:paraId="610632A0" w14:textId="77777777" w:rsidR="00E213F5" w:rsidRPr="001C5C8D" w:rsidRDefault="00E213F5" w:rsidP="00C058FF">
      <w:pPr>
        <w:spacing w:line="240" w:lineRule="auto"/>
        <w:rPr>
          <w:u w:val="single"/>
        </w:rPr>
      </w:pPr>
    </w:p>
    <w:p w14:paraId="4C4B0F9E" w14:textId="51108825" w:rsidR="00E213F5" w:rsidRPr="001C5C8D" w:rsidRDefault="00E213F5" w:rsidP="00C058FF">
      <w:pPr>
        <w:widowControl w:val="0"/>
        <w:spacing w:line="240" w:lineRule="auto"/>
        <w:ind w:left="1080"/>
      </w:pPr>
      <w:bookmarkStart w:id="1" w:name="_Hlk13731858"/>
      <w:r w:rsidRPr="001C5C8D">
        <w:t>Confidential and proprietary information is protected in accordance with NRC regulations at 10 CFR 9.17(a) and 10 CFR 2.390(b).</w:t>
      </w:r>
      <w:r w:rsidR="00C761CB" w:rsidRPr="001C5C8D">
        <w:t xml:space="preserve">  </w:t>
      </w:r>
      <w:r w:rsidRPr="001C5C8D">
        <w:t>However, no information normally considered confidential or proprietary is requested.</w:t>
      </w:r>
      <w:r w:rsidR="00160195">
        <w:t xml:space="preserve">  The online questionnaire provides a link to NRC’s Privacy Policy at </w:t>
      </w:r>
      <w:hyperlink r:id="rId14" w:history="1">
        <w:r w:rsidR="00160195">
          <w:rPr>
            <w:rStyle w:val="Hyperlink"/>
          </w:rPr>
          <w:t>https://www.nrc.gov/site-help/privacy.html</w:t>
        </w:r>
      </w:hyperlink>
      <w:r w:rsidR="00160195">
        <w:t>.  No Personally Identifiable Information is collected, therefore no Privacy Act System of Records is required for this collection.</w:t>
      </w:r>
    </w:p>
    <w:bookmarkEnd w:id="1"/>
    <w:p w14:paraId="689A02F9" w14:textId="2EAE8601" w:rsidR="00536C58" w:rsidRDefault="00536C58">
      <w:pPr>
        <w:spacing w:after="200"/>
      </w:pPr>
      <w:r>
        <w:br w:type="page"/>
      </w:r>
    </w:p>
    <w:p w14:paraId="7770F2AE" w14:textId="77777777" w:rsidR="00E213F5" w:rsidRPr="001C5C8D" w:rsidRDefault="00E213F5" w:rsidP="00C058FF">
      <w:pPr>
        <w:numPr>
          <w:ilvl w:val="0"/>
          <w:numId w:val="2"/>
        </w:numPr>
        <w:spacing w:line="240" w:lineRule="auto"/>
      </w:pPr>
      <w:r w:rsidRPr="001C5C8D">
        <w:rPr>
          <w:u w:val="single"/>
        </w:rPr>
        <w:t>Justification for Sensitive Questions</w:t>
      </w:r>
    </w:p>
    <w:p w14:paraId="431AF073" w14:textId="77777777" w:rsidR="00E213F5" w:rsidRPr="001C5C8D" w:rsidRDefault="00E213F5" w:rsidP="00C058FF">
      <w:pPr>
        <w:spacing w:line="240" w:lineRule="auto"/>
        <w:rPr>
          <w:u w:val="single"/>
        </w:rPr>
      </w:pPr>
    </w:p>
    <w:p w14:paraId="29E9A8A9" w14:textId="6915E597" w:rsidR="00D3133A" w:rsidRPr="001C5C8D" w:rsidRDefault="00D3133A" w:rsidP="00C058FF">
      <w:pPr>
        <w:spacing w:line="240" w:lineRule="auto"/>
        <w:ind w:left="1080"/>
      </w:pPr>
      <w:r w:rsidRPr="001C5C8D">
        <w:t>Not Applicable</w:t>
      </w:r>
      <w:r w:rsidR="00C761CB" w:rsidRPr="001C5C8D">
        <w:t>.</w:t>
      </w:r>
    </w:p>
    <w:p w14:paraId="42F5DA9B" w14:textId="77777777" w:rsidR="00E213F5" w:rsidRPr="001C5C8D" w:rsidRDefault="00E213F5" w:rsidP="00C058FF">
      <w:pPr>
        <w:spacing w:line="240" w:lineRule="auto"/>
      </w:pPr>
    </w:p>
    <w:p w14:paraId="34079F86" w14:textId="77777777" w:rsidR="00E213F5" w:rsidRPr="001C5C8D" w:rsidRDefault="00E213F5" w:rsidP="00C058FF">
      <w:pPr>
        <w:numPr>
          <w:ilvl w:val="0"/>
          <w:numId w:val="2"/>
        </w:numPr>
        <w:spacing w:line="240" w:lineRule="auto"/>
      </w:pPr>
      <w:r w:rsidRPr="001C5C8D">
        <w:rPr>
          <w:u w:val="single"/>
        </w:rPr>
        <w:t>Estimated Burden and Burden Hour Cost</w:t>
      </w:r>
    </w:p>
    <w:p w14:paraId="237FAD8D" w14:textId="77777777" w:rsidR="00E213F5" w:rsidRPr="001C5C8D" w:rsidRDefault="00E213F5" w:rsidP="00C058FF">
      <w:pPr>
        <w:spacing w:line="240" w:lineRule="auto"/>
        <w:rPr>
          <w:u w:val="single"/>
        </w:rPr>
      </w:pPr>
    </w:p>
    <w:p w14:paraId="672E9FBE" w14:textId="39A26075" w:rsidR="0088194D" w:rsidRDefault="00C058FF" w:rsidP="00C058FF">
      <w:pPr>
        <w:spacing w:line="240" w:lineRule="auto"/>
        <w:ind w:left="1080"/>
      </w:pPr>
      <w:r>
        <w:t>There are currently 22</w:t>
      </w:r>
      <w:r w:rsidR="00D94F6D" w:rsidRPr="001C5C8D">
        <w:t xml:space="preserve"> power</w:t>
      </w:r>
      <w:r w:rsidR="00DC0F78" w:rsidRPr="001C5C8D">
        <w:t xml:space="preserve"> reactor</w:t>
      </w:r>
      <w:r w:rsidR="00D94F6D" w:rsidRPr="001C5C8D">
        <w:t xml:space="preserve">s </w:t>
      </w:r>
      <w:r>
        <w:t>undergoing decommissioning at 19</w:t>
      </w:r>
      <w:r w:rsidR="00D94F6D" w:rsidRPr="001C5C8D">
        <w:t xml:space="preserve"> different sites in the United States.  The NR</w:t>
      </w:r>
      <w:r>
        <w:t>C is aware of existing CABs at seven</w:t>
      </w:r>
      <w:r w:rsidR="00D94F6D" w:rsidRPr="001C5C8D">
        <w:t xml:space="preserve"> of these locations</w:t>
      </w:r>
      <w:r w:rsidR="00D24EA8" w:rsidRPr="001C5C8D">
        <w:t xml:space="preserve">.  </w:t>
      </w:r>
      <w:r w:rsidR="0088194D" w:rsidRPr="0088194D">
        <w:t xml:space="preserve">There are two sets of questions contained in the questionnaire, and </w:t>
      </w:r>
      <w:r w:rsidR="0088194D">
        <w:t>each</w:t>
      </w:r>
      <w:r w:rsidR="0088194D" w:rsidRPr="0088194D">
        <w:t xml:space="preserve"> respondent will be asked to respond to the set of questions most appropriate for their current scenario.  One set of questions is applicable to sites where a CAB has been established, and the second set of questions is applicable to sites where a </w:t>
      </w:r>
      <w:r w:rsidR="0088194D">
        <w:t>CAB has not been established.</w:t>
      </w:r>
    </w:p>
    <w:p w14:paraId="57C2A87E" w14:textId="386F1A41" w:rsidR="0088194D" w:rsidRDefault="0088194D" w:rsidP="00C058FF">
      <w:pPr>
        <w:spacing w:line="240" w:lineRule="auto"/>
        <w:ind w:left="1080"/>
      </w:pPr>
    </w:p>
    <w:p w14:paraId="72899935" w14:textId="5FC4CBDD" w:rsidR="0088194D" w:rsidRDefault="00EB7524" w:rsidP="00C058FF">
      <w:pPr>
        <w:spacing w:line="240" w:lineRule="auto"/>
        <w:ind w:left="1080"/>
      </w:pPr>
      <w:r w:rsidRPr="005034F1">
        <w:rPr>
          <w:i/>
        </w:rPr>
        <w:t>Sites whe</w:t>
      </w:r>
      <w:r w:rsidR="005D78D1" w:rsidRPr="005034F1">
        <w:rPr>
          <w:i/>
        </w:rPr>
        <w:t>re a CAB has been established:</w:t>
      </w:r>
      <w:r w:rsidR="005D78D1">
        <w:t xml:space="preserve"> </w:t>
      </w:r>
      <w:r w:rsidR="0088194D">
        <w:t xml:space="preserve">The NRC staff expects the </w:t>
      </w:r>
      <w:r w:rsidR="00C058FF">
        <w:t>7</w:t>
      </w:r>
      <w:r w:rsidR="0088194D">
        <w:t xml:space="preserve"> existing CABs to respond to the set of questions applicable to sites where a CAB has been established.  The expected response rate for existing CABs is 100%, </w:t>
      </w:r>
      <w:r w:rsidR="0088194D" w:rsidRPr="001C5C8D">
        <w:t xml:space="preserve">based upon </w:t>
      </w:r>
      <w:r w:rsidR="0088194D">
        <w:t xml:space="preserve">the high level of </w:t>
      </w:r>
      <w:r w:rsidR="0088194D" w:rsidRPr="001C5C8D">
        <w:t>publi</w:t>
      </w:r>
      <w:r w:rsidR="0088194D">
        <w:t>c interest and engagement at nearby</w:t>
      </w:r>
      <w:r w:rsidR="0088194D" w:rsidRPr="001C5C8D">
        <w:t xml:space="preserve"> power reactor sites</w:t>
      </w:r>
      <w:r w:rsidR="0088194D">
        <w:t xml:space="preserve">.  </w:t>
      </w:r>
      <w:r w:rsidR="0088194D" w:rsidRPr="001C5C8D">
        <w:t xml:space="preserve">The NRC staff estimates that of the </w:t>
      </w:r>
      <w:r w:rsidR="00C058FF">
        <w:t>7</w:t>
      </w:r>
      <w:r w:rsidR="0088194D">
        <w:t xml:space="preserve"> </w:t>
      </w:r>
      <w:r w:rsidR="0088194D" w:rsidRPr="001C5C8D">
        <w:t xml:space="preserve">groups contacted, </w:t>
      </w:r>
      <w:r w:rsidR="00C058FF">
        <w:t>7</w:t>
      </w:r>
      <w:r w:rsidR="0088194D" w:rsidRPr="001C5C8D">
        <w:t xml:space="preserve"> groups will respond to the questionnaire and that the questionnaire w</w:t>
      </w:r>
      <w:r w:rsidR="0088194D">
        <w:t>ill take 1</w:t>
      </w:r>
      <w:r w:rsidR="005D78D1">
        <w:t>4</w:t>
      </w:r>
      <w:r w:rsidR="0088194D">
        <w:t xml:space="preserve"> hours to complete.  The total burden for </w:t>
      </w:r>
      <w:r w:rsidR="005D78D1">
        <w:t>sites where a</w:t>
      </w:r>
      <w:r>
        <w:t xml:space="preserve"> CAB</w:t>
      </w:r>
      <w:r w:rsidR="005D78D1">
        <w:t xml:space="preserve"> has been established</w:t>
      </w:r>
      <w:r w:rsidR="0088194D">
        <w:t xml:space="preserve"> is therefore estimated to be </w:t>
      </w:r>
      <w:r w:rsidR="008774EC">
        <w:t>98</w:t>
      </w:r>
      <w:r w:rsidR="0088194D">
        <w:t xml:space="preserve"> hours (</w:t>
      </w:r>
      <w:r w:rsidR="00C058FF">
        <w:t>7</w:t>
      </w:r>
      <w:r w:rsidR="0088194D">
        <w:t xml:space="preserve"> groups x 1</w:t>
      </w:r>
      <w:r w:rsidR="005D78D1">
        <w:t>4</w:t>
      </w:r>
      <w:r w:rsidR="0088194D">
        <w:t xml:space="preserve"> hrs = </w:t>
      </w:r>
      <w:r w:rsidR="00C058FF">
        <w:t>98</w:t>
      </w:r>
      <w:r w:rsidR="0088194D">
        <w:t xml:space="preserve"> hours).</w:t>
      </w:r>
    </w:p>
    <w:p w14:paraId="7A2640C9" w14:textId="04D4BF3A" w:rsidR="0088194D" w:rsidRDefault="0088194D" w:rsidP="00C058FF">
      <w:pPr>
        <w:spacing w:line="240" w:lineRule="auto"/>
        <w:ind w:left="1080"/>
      </w:pPr>
    </w:p>
    <w:p w14:paraId="4CBDCA10" w14:textId="3E44B4CE" w:rsidR="0088194D" w:rsidRDefault="005D78D1" w:rsidP="00C058FF">
      <w:pPr>
        <w:spacing w:line="240" w:lineRule="auto"/>
        <w:ind w:left="1080"/>
      </w:pPr>
      <w:r w:rsidRPr="005034F1">
        <w:rPr>
          <w:i/>
        </w:rPr>
        <w:t>Sites where a CAB has not been established:</w:t>
      </w:r>
      <w:r>
        <w:t xml:space="preserve"> </w:t>
      </w:r>
      <w:r w:rsidR="0088194D">
        <w:t xml:space="preserve">The second group of respondents represents the remaining 12 </w:t>
      </w:r>
      <w:r w:rsidR="0088194D" w:rsidRPr="00AE0122">
        <w:t xml:space="preserve">locations where power reactors are currently undergoing decommissioning in the United States.  </w:t>
      </w:r>
      <w:r w:rsidR="00144701" w:rsidRPr="00AE0122">
        <w:t xml:space="preserve">At sites where established stakeholder groups regularly interact with NRC staff, each group will be notified of the availability of the questionnaire and given an opportunity to provide a response.  At sites where stakeholder groups are not established or known to the NRC staff, the questionnaire will be provided to local government officials (such as a town council.)  </w:t>
      </w:r>
      <w:r w:rsidR="005034F1">
        <w:t xml:space="preserve"> </w:t>
      </w:r>
      <w:r w:rsidR="0088194D" w:rsidRPr="00AE0122">
        <w:t xml:space="preserve">The NRC staff expects each </w:t>
      </w:r>
      <w:r w:rsidR="0088194D">
        <w:t xml:space="preserve">respondent in this group to provide responses to the </w:t>
      </w:r>
      <w:r w:rsidR="0088194D" w:rsidRPr="0088194D">
        <w:t xml:space="preserve">set of questions applicable to sites where a </w:t>
      </w:r>
      <w:r w:rsidR="0088194D">
        <w:t xml:space="preserve">CAB has not been established.  </w:t>
      </w:r>
      <w:bookmarkStart w:id="2" w:name="_Hlk5884211"/>
      <w:r w:rsidR="0088194D">
        <w:t xml:space="preserve">The expected response rate for this group of respondents is approximately </w:t>
      </w:r>
      <w:r w:rsidR="00EB7524">
        <w:t>67</w:t>
      </w:r>
      <w:r w:rsidR="0088194D">
        <w:t>%</w:t>
      </w:r>
      <w:r w:rsidR="00C64583">
        <w:t>.</w:t>
      </w:r>
      <w:r w:rsidR="008774EC">
        <w:t xml:space="preserve">  </w:t>
      </w:r>
      <w:r w:rsidR="00C64583">
        <w:t>This response rate is estimated based on the level of public interest and engagement shown at nearby power reactor sites during previous NRC-sponsored activities, such as public meetings</w:t>
      </w:r>
      <w:r w:rsidR="0088194D">
        <w:t xml:space="preserve">. </w:t>
      </w:r>
      <w:bookmarkEnd w:id="2"/>
      <w:r w:rsidR="0088194D">
        <w:t xml:space="preserve"> The NRC staff estimates that of the 12 groups contacted, 8 groups will respond to the questionnaire and that it will take approximately 8 hours to complete.  The total burden for </w:t>
      </w:r>
      <w:r w:rsidR="00EB7524">
        <w:t>sites where a CAB has not been established</w:t>
      </w:r>
      <w:r w:rsidR="0088194D">
        <w:t xml:space="preserve"> is therefore estimated to be 64 hours (8 groups x 8 hrs = 64 hours).</w:t>
      </w:r>
    </w:p>
    <w:p w14:paraId="37F9CE33" w14:textId="77777777" w:rsidR="0088194D" w:rsidRDefault="0088194D" w:rsidP="00C058FF">
      <w:pPr>
        <w:spacing w:line="240" w:lineRule="auto"/>
        <w:ind w:left="1080"/>
      </w:pPr>
      <w:r>
        <w:t xml:space="preserve"> </w:t>
      </w:r>
    </w:p>
    <w:p w14:paraId="4279CD80" w14:textId="2E8ED5E3" w:rsidR="00754AA2" w:rsidRDefault="0059312D" w:rsidP="00C058FF">
      <w:pPr>
        <w:spacing w:line="240" w:lineRule="auto"/>
        <w:ind w:left="1080"/>
      </w:pPr>
      <w:bookmarkStart w:id="3" w:name="_Hlk5720817"/>
      <w:r w:rsidRPr="001C5C8D">
        <w:t xml:space="preserve">The total burden is therefore estimated to be </w:t>
      </w:r>
      <w:r w:rsidR="00EB7524">
        <w:t>1</w:t>
      </w:r>
      <w:r w:rsidR="00C058FF">
        <w:t>62</w:t>
      </w:r>
      <w:r w:rsidRPr="001C5C8D">
        <w:t xml:space="preserve"> hours (</w:t>
      </w:r>
      <w:r w:rsidR="00C058FF">
        <w:t>98 hours for the 7</w:t>
      </w:r>
      <w:r w:rsidR="004E348D">
        <w:t xml:space="preserve"> sites with established</w:t>
      </w:r>
      <w:r w:rsidR="00EB7524">
        <w:t xml:space="preserve"> CABs + 64 hours for sites where a CAB has not been established</w:t>
      </w:r>
      <w:r w:rsidRPr="001C5C8D">
        <w:t>)</w:t>
      </w:r>
      <w:r w:rsidR="00F1101C">
        <w:t xml:space="preserve"> at a cost of $</w:t>
      </w:r>
      <w:r w:rsidR="00C058FF">
        <w:t>44,550</w:t>
      </w:r>
      <w:r w:rsidR="00F1101C">
        <w:t xml:space="preserve"> (1</w:t>
      </w:r>
      <w:r w:rsidR="00C058FF">
        <w:t>62</w:t>
      </w:r>
      <w:r w:rsidR="00F1101C">
        <w:t xml:space="preserve"> hours x $275/hr)</w:t>
      </w:r>
      <w:r w:rsidR="005034F1">
        <w:t>.</w:t>
      </w:r>
      <w:r w:rsidR="00F1101C">
        <w:t xml:space="preserve">  The annualized burden is estimated </w:t>
      </w:r>
      <w:r w:rsidR="00C058FF">
        <w:t>to be approximately 54 hours (162</w:t>
      </w:r>
      <w:r w:rsidR="00F1101C">
        <w:t xml:space="preserve"> hours / 3 years) at a cost of $</w:t>
      </w:r>
      <w:r w:rsidR="00C058FF">
        <w:t>14,850</w:t>
      </w:r>
      <w:r w:rsidR="00F1101C">
        <w:t>.</w:t>
      </w:r>
      <w:bookmarkEnd w:id="3"/>
    </w:p>
    <w:p w14:paraId="15E4D54C" w14:textId="06D782E1" w:rsidR="00F1101C" w:rsidRDefault="00F1101C" w:rsidP="00C058FF">
      <w:pPr>
        <w:spacing w:line="240" w:lineRule="auto"/>
        <w:ind w:left="1080"/>
      </w:pPr>
    </w:p>
    <w:p w14:paraId="2B42E13B" w14:textId="77777777" w:rsidR="00F1101C" w:rsidRDefault="00F1101C" w:rsidP="00C058FF">
      <w:pPr>
        <w:pStyle w:val="paragraph"/>
        <w:ind w:left="1159"/>
        <w:textAlignment w:val="baseline"/>
      </w:pPr>
      <w:r>
        <w:rPr>
          <w:rStyle w:val="normaltextrun1"/>
          <w:rFonts w:ascii="Arial" w:hAnsi="Arial" w:cs="Arial"/>
          <w:sz w:val="22"/>
          <w:szCs w:val="22"/>
        </w:rPr>
        <w:t>The $275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2018 (83 FR 29622, June 25, 2018).</w:t>
      </w:r>
      <w:r>
        <w:rPr>
          <w:rStyle w:val="eop"/>
          <w:rFonts w:ascii="Arial" w:hAnsi="Arial" w:cs="Arial"/>
          <w:sz w:val="22"/>
          <w:szCs w:val="22"/>
        </w:rPr>
        <w:t> </w:t>
      </w:r>
    </w:p>
    <w:p w14:paraId="0BABEF67" w14:textId="77777777" w:rsidR="0059312D" w:rsidRPr="001C5C8D" w:rsidRDefault="0059312D" w:rsidP="001C5C8D">
      <w:pPr>
        <w:spacing w:line="240" w:lineRule="auto"/>
        <w:ind w:left="1080"/>
        <w:rPr>
          <w:i/>
        </w:rPr>
      </w:pPr>
    </w:p>
    <w:p w14:paraId="282E0074" w14:textId="77777777" w:rsidR="00E213F5" w:rsidRPr="001C5C8D" w:rsidRDefault="00E213F5" w:rsidP="001C5C8D">
      <w:pPr>
        <w:pStyle w:val="Level1"/>
        <w:widowControl/>
        <w:numPr>
          <w:ilvl w:val="0"/>
          <w:numId w:val="2"/>
        </w:numPr>
        <w:rPr>
          <w:rFonts w:ascii="Arial" w:hAnsi="Arial" w:cs="Arial"/>
          <w:sz w:val="22"/>
        </w:rPr>
      </w:pPr>
      <w:r w:rsidRPr="001C5C8D">
        <w:rPr>
          <w:rFonts w:ascii="Arial" w:hAnsi="Arial" w:cs="Arial"/>
          <w:sz w:val="22"/>
          <w:u w:val="single"/>
        </w:rPr>
        <w:t>Estimate of Other Additional Costs</w:t>
      </w:r>
    </w:p>
    <w:p w14:paraId="07D428BA" w14:textId="77777777" w:rsidR="00E213F5" w:rsidRPr="001C5C8D" w:rsidRDefault="00E213F5" w:rsidP="001C5C8D">
      <w:pPr>
        <w:pStyle w:val="Level1"/>
        <w:widowControl/>
        <w:rPr>
          <w:rFonts w:ascii="Arial" w:hAnsi="Arial" w:cs="Arial"/>
          <w:sz w:val="22"/>
        </w:rPr>
      </w:pPr>
    </w:p>
    <w:p w14:paraId="14C65A40" w14:textId="146C1A5F" w:rsidR="00AF4AEB" w:rsidRDefault="00AF4AEB" w:rsidP="001C5C8D">
      <w:pPr>
        <w:pStyle w:val="Level1"/>
        <w:widowControl/>
        <w:ind w:left="1080"/>
        <w:rPr>
          <w:rFonts w:ascii="Arial" w:hAnsi="Arial" w:cs="Arial"/>
          <w:sz w:val="22"/>
        </w:rPr>
      </w:pPr>
      <w:r w:rsidRPr="001C5C8D">
        <w:rPr>
          <w:rFonts w:ascii="Arial" w:hAnsi="Arial" w:cs="Arial"/>
          <w:sz w:val="22"/>
        </w:rPr>
        <w:t>There are no additional costs.</w:t>
      </w:r>
    </w:p>
    <w:p w14:paraId="123C79BE" w14:textId="77777777" w:rsidR="00C058FF" w:rsidRDefault="00C058FF" w:rsidP="001C5C8D">
      <w:pPr>
        <w:pStyle w:val="Level1"/>
        <w:widowControl/>
        <w:ind w:left="1080"/>
        <w:rPr>
          <w:rFonts w:ascii="Arial" w:hAnsi="Arial" w:cs="Arial"/>
          <w:sz w:val="22"/>
        </w:rPr>
      </w:pPr>
    </w:p>
    <w:p w14:paraId="3072FB65" w14:textId="77777777" w:rsidR="00E213F5" w:rsidRPr="001C5C8D" w:rsidRDefault="00E213F5" w:rsidP="001C5C8D">
      <w:pPr>
        <w:pStyle w:val="Level1"/>
        <w:widowControl/>
        <w:numPr>
          <w:ilvl w:val="0"/>
          <w:numId w:val="2"/>
        </w:numPr>
        <w:rPr>
          <w:rFonts w:ascii="Arial" w:hAnsi="Arial" w:cs="Arial"/>
          <w:sz w:val="22"/>
        </w:rPr>
      </w:pPr>
      <w:r w:rsidRPr="001C5C8D">
        <w:rPr>
          <w:rFonts w:ascii="Arial" w:hAnsi="Arial" w:cs="Arial"/>
          <w:sz w:val="22"/>
          <w:u w:val="single"/>
        </w:rPr>
        <w:t>Estimated Annualized Cost to the Federal Government</w:t>
      </w:r>
    </w:p>
    <w:p w14:paraId="46230DC9" w14:textId="77777777" w:rsidR="00E213F5" w:rsidRPr="001C5C8D" w:rsidRDefault="00E213F5" w:rsidP="001C5C8D">
      <w:pPr>
        <w:pStyle w:val="Level1"/>
        <w:widowControl/>
        <w:rPr>
          <w:rFonts w:ascii="Arial" w:hAnsi="Arial" w:cs="Arial"/>
          <w:sz w:val="22"/>
          <w:u w:val="single"/>
        </w:rPr>
      </w:pPr>
    </w:p>
    <w:p w14:paraId="7DDAEC0F" w14:textId="3D437FF8" w:rsidR="00E213F5" w:rsidRPr="001C5C8D" w:rsidRDefault="0059312D" w:rsidP="001C5C8D">
      <w:pPr>
        <w:pStyle w:val="Level1"/>
        <w:widowControl/>
        <w:ind w:left="1080"/>
        <w:rPr>
          <w:rFonts w:ascii="Arial" w:hAnsi="Arial" w:cs="Arial"/>
          <w:sz w:val="22"/>
          <w:szCs w:val="22"/>
        </w:rPr>
      </w:pPr>
      <w:r w:rsidRPr="001C5C8D">
        <w:rPr>
          <w:rFonts w:ascii="Arial" w:hAnsi="Arial" w:cs="Arial"/>
          <w:sz w:val="22"/>
          <w:szCs w:val="22"/>
        </w:rPr>
        <w:t>The staff estimates that the survey will require 100 hours of NRC professional staff time at a cost of $27</w:t>
      </w:r>
      <w:r w:rsidR="00D24EA8" w:rsidRPr="001C5C8D">
        <w:rPr>
          <w:rFonts w:ascii="Arial" w:hAnsi="Arial" w:cs="Arial"/>
          <w:sz w:val="22"/>
          <w:szCs w:val="22"/>
        </w:rPr>
        <w:t>5</w:t>
      </w:r>
      <w:r w:rsidRPr="001C5C8D">
        <w:rPr>
          <w:rFonts w:ascii="Arial" w:hAnsi="Arial" w:cs="Arial"/>
          <w:sz w:val="22"/>
          <w:szCs w:val="22"/>
        </w:rPr>
        <w:t>/hr, for a total of $27,</w:t>
      </w:r>
      <w:r w:rsidR="00D24EA8" w:rsidRPr="001C5C8D">
        <w:rPr>
          <w:rFonts w:ascii="Arial" w:hAnsi="Arial" w:cs="Arial"/>
          <w:sz w:val="22"/>
          <w:szCs w:val="22"/>
        </w:rPr>
        <w:t>5</w:t>
      </w:r>
      <w:r w:rsidRPr="001C5C8D">
        <w:rPr>
          <w:rFonts w:ascii="Arial" w:hAnsi="Arial" w:cs="Arial"/>
          <w:sz w:val="22"/>
          <w:szCs w:val="22"/>
        </w:rPr>
        <w:t>00 (100 hrs x $27</w:t>
      </w:r>
      <w:r w:rsidR="00D24EA8" w:rsidRPr="001C5C8D">
        <w:rPr>
          <w:rFonts w:ascii="Arial" w:hAnsi="Arial" w:cs="Arial"/>
          <w:sz w:val="22"/>
          <w:szCs w:val="22"/>
        </w:rPr>
        <w:t>5</w:t>
      </w:r>
      <w:r w:rsidR="00C00DD8" w:rsidRPr="001C5C8D">
        <w:rPr>
          <w:rFonts w:ascii="Arial" w:hAnsi="Arial" w:cs="Arial"/>
          <w:sz w:val="22"/>
          <w:szCs w:val="22"/>
        </w:rPr>
        <w:t xml:space="preserve">/hr).  </w:t>
      </w:r>
      <w:r w:rsidRPr="001C5C8D">
        <w:rPr>
          <w:rFonts w:ascii="Arial" w:hAnsi="Arial" w:cs="Arial"/>
          <w:sz w:val="22"/>
          <w:szCs w:val="22"/>
        </w:rPr>
        <w:t>The total cost to the Federal Government is estimated to be $27,</w:t>
      </w:r>
      <w:r w:rsidR="00F1101C" w:rsidRPr="001C5C8D">
        <w:rPr>
          <w:rFonts w:ascii="Arial" w:hAnsi="Arial" w:cs="Arial"/>
          <w:sz w:val="22"/>
          <w:szCs w:val="22"/>
        </w:rPr>
        <w:t>5</w:t>
      </w:r>
      <w:r w:rsidR="00F1101C">
        <w:rPr>
          <w:rFonts w:ascii="Arial" w:hAnsi="Arial" w:cs="Arial"/>
          <w:sz w:val="22"/>
          <w:szCs w:val="22"/>
        </w:rPr>
        <w:t>00</w:t>
      </w:r>
      <w:r w:rsidR="00F1101C" w:rsidRPr="001C5C8D">
        <w:rPr>
          <w:rFonts w:ascii="Arial" w:hAnsi="Arial" w:cs="Arial"/>
          <w:sz w:val="22"/>
          <w:szCs w:val="22"/>
        </w:rPr>
        <w:t xml:space="preserve"> </w:t>
      </w:r>
      <w:r w:rsidRPr="001C5C8D">
        <w:rPr>
          <w:rFonts w:ascii="Arial" w:hAnsi="Arial" w:cs="Arial"/>
          <w:sz w:val="22"/>
          <w:szCs w:val="22"/>
        </w:rPr>
        <w:t xml:space="preserve">to conduct the survey one time during the clearance period.  </w:t>
      </w:r>
      <w:r w:rsidR="00F1101C">
        <w:rPr>
          <w:rFonts w:ascii="Arial" w:hAnsi="Arial" w:cs="Arial"/>
          <w:sz w:val="22"/>
          <w:szCs w:val="22"/>
        </w:rPr>
        <w:t>Annualized, the cost is estimated to be $9,167 ($27,500/ 3 years).</w:t>
      </w:r>
    </w:p>
    <w:p w14:paraId="4854E95B" w14:textId="77777777" w:rsidR="0059312D" w:rsidRPr="001C5C8D" w:rsidRDefault="0059312D" w:rsidP="001C5C8D">
      <w:pPr>
        <w:pStyle w:val="Level1"/>
        <w:widowControl/>
        <w:ind w:left="1080"/>
        <w:rPr>
          <w:rFonts w:ascii="Arial" w:hAnsi="Arial" w:cs="Arial"/>
          <w:sz w:val="22"/>
          <w:szCs w:val="22"/>
        </w:rPr>
      </w:pPr>
    </w:p>
    <w:p w14:paraId="529EF4C2" w14:textId="77777777" w:rsidR="00E213F5" w:rsidRPr="001C5C8D" w:rsidRDefault="00E213F5" w:rsidP="001C5C8D">
      <w:pPr>
        <w:widowControl w:val="0"/>
        <w:numPr>
          <w:ilvl w:val="0"/>
          <w:numId w:val="2"/>
        </w:numPr>
        <w:spacing w:line="240" w:lineRule="auto"/>
        <w:rPr>
          <w:u w:val="single"/>
        </w:rPr>
      </w:pPr>
      <w:r w:rsidRPr="001C5C8D">
        <w:rPr>
          <w:u w:val="single"/>
        </w:rPr>
        <w:t>Reasons for Change in Burden or Cost</w:t>
      </w:r>
    </w:p>
    <w:p w14:paraId="37209350" w14:textId="77777777" w:rsidR="00E213F5" w:rsidRPr="001C5C8D" w:rsidRDefault="00E213F5" w:rsidP="001C5C8D">
      <w:pPr>
        <w:widowControl w:val="0"/>
        <w:spacing w:line="240" w:lineRule="auto"/>
        <w:rPr>
          <w:u w:val="single"/>
        </w:rPr>
      </w:pPr>
    </w:p>
    <w:p w14:paraId="77C03FEC" w14:textId="2D70A500" w:rsidR="00E213F5" w:rsidRPr="001C5C8D" w:rsidRDefault="00C761CB" w:rsidP="001C5C8D">
      <w:pPr>
        <w:widowControl w:val="0"/>
        <w:spacing w:line="240" w:lineRule="auto"/>
        <w:ind w:left="1080"/>
      </w:pPr>
      <w:r w:rsidRPr="001C5C8D">
        <w:t>This is a new program</w:t>
      </w:r>
      <w:r w:rsidR="00EE72F3">
        <w:t xml:space="preserve"> to comply </w:t>
      </w:r>
      <w:r w:rsidR="00EE72F3" w:rsidRPr="001C5C8D">
        <w:t>with Section 108 of NEIMA to collect information on the use of CABs during decommissioning activities and issue a best practices report</w:t>
      </w:r>
      <w:r w:rsidR="00EE72F3">
        <w:t xml:space="preserve"> to Congress</w:t>
      </w:r>
      <w:r w:rsidR="00F1101C">
        <w:t>, which will take</w:t>
      </w:r>
      <w:r w:rsidR="00C058FF">
        <w:t xml:space="preserve"> 162</w:t>
      </w:r>
      <w:r w:rsidR="00F1101C" w:rsidRPr="00F1101C">
        <w:t xml:space="preserve"> hours</w:t>
      </w:r>
      <w:r w:rsidR="008C56C3">
        <w:t xml:space="preserve"> for 15</w:t>
      </w:r>
      <w:r w:rsidR="00F1101C">
        <w:t xml:space="preserve"> respondents, or approximately 5</w:t>
      </w:r>
      <w:r w:rsidR="00C058FF">
        <w:t>4</w:t>
      </w:r>
      <w:r w:rsidR="00F1101C">
        <w:t xml:space="preserve"> hours annually over the course of the clearance period.  </w:t>
      </w:r>
      <w:r w:rsidR="00C847D5">
        <w:t>This information collection is a one-time effort.</w:t>
      </w:r>
    </w:p>
    <w:p w14:paraId="2561351A" w14:textId="77777777" w:rsidR="00E213F5" w:rsidRPr="001C5C8D" w:rsidRDefault="00E213F5" w:rsidP="001C5C8D">
      <w:pPr>
        <w:widowControl w:val="0"/>
        <w:spacing w:line="240" w:lineRule="auto"/>
        <w:rPr>
          <w:u w:val="single"/>
        </w:rPr>
      </w:pPr>
    </w:p>
    <w:p w14:paraId="1D3EDD5F" w14:textId="77777777" w:rsidR="00E213F5" w:rsidRPr="001C5C8D" w:rsidRDefault="00E213F5" w:rsidP="001C5C8D">
      <w:pPr>
        <w:pStyle w:val="Level1"/>
        <w:numPr>
          <w:ilvl w:val="0"/>
          <w:numId w:val="2"/>
        </w:numPr>
        <w:rPr>
          <w:rFonts w:ascii="Arial" w:hAnsi="Arial" w:cs="Arial"/>
          <w:sz w:val="22"/>
        </w:rPr>
      </w:pPr>
      <w:r w:rsidRPr="001C5C8D">
        <w:rPr>
          <w:rFonts w:ascii="Arial" w:hAnsi="Arial" w:cs="Arial"/>
          <w:sz w:val="22"/>
          <w:u w:val="single"/>
        </w:rPr>
        <w:t>Publication for Statistical Use</w:t>
      </w:r>
    </w:p>
    <w:p w14:paraId="0FBF3E76" w14:textId="77777777" w:rsidR="00E213F5" w:rsidRPr="001C5C8D" w:rsidRDefault="00E213F5" w:rsidP="001C5C8D">
      <w:pPr>
        <w:pStyle w:val="Level1"/>
        <w:rPr>
          <w:rFonts w:ascii="Arial" w:hAnsi="Arial" w:cs="Arial"/>
          <w:sz w:val="22"/>
        </w:rPr>
      </w:pPr>
    </w:p>
    <w:p w14:paraId="36CBEA24" w14:textId="4157513C" w:rsidR="00E213F5" w:rsidRPr="001C5C8D" w:rsidRDefault="0059312D" w:rsidP="001C5C8D">
      <w:pPr>
        <w:pStyle w:val="Level1"/>
        <w:ind w:left="1080"/>
        <w:rPr>
          <w:rFonts w:ascii="Arial" w:hAnsi="Arial" w:cs="Arial"/>
          <w:sz w:val="22"/>
        </w:rPr>
      </w:pPr>
      <w:r w:rsidRPr="001C5C8D">
        <w:rPr>
          <w:rFonts w:ascii="Arial" w:hAnsi="Arial" w:cs="Arial"/>
          <w:sz w:val="22"/>
        </w:rPr>
        <w:t>Not applicable.</w:t>
      </w:r>
    </w:p>
    <w:p w14:paraId="47E24689" w14:textId="77777777" w:rsidR="00E213F5" w:rsidRPr="001C5C8D" w:rsidRDefault="00E213F5" w:rsidP="001C5C8D">
      <w:pPr>
        <w:pStyle w:val="Level1"/>
        <w:rPr>
          <w:rFonts w:ascii="Arial" w:hAnsi="Arial" w:cs="Arial"/>
          <w:sz w:val="22"/>
        </w:rPr>
      </w:pPr>
    </w:p>
    <w:p w14:paraId="4EB8DF58" w14:textId="77777777" w:rsidR="00E213F5" w:rsidRPr="001C5C8D" w:rsidRDefault="00E213F5" w:rsidP="001C5C8D">
      <w:pPr>
        <w:pStyle w:val="Level1"/>
        <w:numPr>
          <w:ilvl w:val="0"/>
          <w:numId w:val="2"/>
        </w:numPr>
        <w:rPr>
          <w:rFonts w:ascii="Arial" w:hAnsi="Arial" w:cs="Arial"/>
          <w:sz w:val="22"/>
        </w:rPr>
      </w:pPr>
      <w:r w:rsidRPr="001C5C8D">
        <w:rPr>
          <w:rFonts w:ascii="Arial" w:hAnsi="Arial" w:cs="Arial"/>
          <w:sz w:val="22"/>
          <w:u w:val="single"/>
        </w:rPr>
        <w:t>Reason for Not Displaying the Expiration Date</w:t>
      </w:r>
    </w:p>
    <w:p w14:paraId="255D0A30" w14:textId="77777777" w:rsidR="00E213F5" w:rsidRPr="001C5C8D" w:rsidRDefault="00E213F5" w:rsidP="001C5C8D">
      <w:pPr>
        <w:pStyle w:val="Level1"/>
        <w:rPr>
          <w:rFonts w:ascii="Arial" w:hAnsi="Arial" w:cs="Arial"/>
          <w:i/>
          <w:sz w:val="22"/>
        </w:rPr>
      </w:pPr>
    </w:p>
    <w:p w14:paraId="7D5C9765" w14:textId="4E189135" w:rsidR="00E213F5" w:rsidRPr="001C5C8D" w:rsidRDefault="0059312D" w:rsidP="001C5C8D">
      <w:pPr>
        <w:pStyle w:val="Level1"/>
        <w:ind w:left="1080"/>
        <w:rPr>
          <w:rFonts w:ascii="Arial" w:hAnsi="Arial" w:cs="Arial"/>
          <w:sz w:val="22"/>
        </w:rPr>
      </w:pPr>
      <w:r w:rsidRPr="001C5C8D">
        <w:rPr>
          <w:rFonts w:ascii="Arial" w:hAnsi="Arial" w:cs="Arial"/>
          <w:sz w:val="22"/>
        </w:rPr>
        <w:t>The expiration date will be displayed.</w:t>
      </w:r>
    </w:p>
    <w:p w14:paraId="6428F43A" w14:textId="77777777" w:rsidR="00E213F5" w:rsidRPr="001C5C8D" w:rsidRDefault="00E213F5" w:rsidP="001C5C8D">
      <w:pPr>
        <w:pStyle w:val="Level1"/>
        <w:rPr>
          <w:rFonts w:ascii="Arial" w:hAnsi="Arial" w:cs="Arial"/>
          <w:sz w:val="22"/>
        </w:rPr>
      </w:pPr>
    </w:p>
    <w:p w14:paraId="122E3CB3" w14:textId="77777777" w:rsidR="00E213F5" w:rsidRPr="001C5C8D" w:rsidRDefault="00E213F5" w:rsidP="001C5C8D">
      <w:pPr>
        <w:pStyle w:val="Level1"/>
        <w:numPr>
          <w:ilvl w:val="0"/>
          <w:numId w:val="2"/>
        </w:numPr>
        <w:rPr>
          <w:rFonts w:ascii="Arial" w:hAnsi="Arial" w:cs="Arial"/>
          <w:sz w:val="22"/>
        </w:rPr>
      </w:pPr>
      <w:r w:rsidRPr="001C5C8D">
        <w:rPr>
          <w:rFonts w:ascii="Arial" w:hAnsi="Arial" w:cs="Arial"/>
          <w:sz w:val="22"/>
          <w:u w:val="single"/>
        </w:rPr>
        <w:t>Exceptions to the Certification Statement</w:t>
      </w:r>
    </w:p>
    <w:p w14:paraId="12DB5A86" w14:textId="77777777" w:rsidR="00E213F5" w:rsidRPr="001C5C8D" w:rsidRDefault="00E213F5" w:rsidP="001C5C8D">
      <w:pPr>
        <w:pStyle w:val="Level1"/>
        <w:rPr>
          <w:rFonts w:ascii="Arial" w:hAnsi="Arial" w:cs="Arial"/>
          <w:sz w:val="22"/>
          <w:u w:val="single"/>
        </w:rPr>
      </w:pPr>
    </w:p>
    <w:p w14:paraId="042C82B4" w14:textId="6742ABC6" w:rsidR="00E213F5" w:rsidRDefault="00290086" w:rsidP="001C5C8D">
      <w:pPr>
        <w:pStyle w:val="Level1"/>
        <w:ind w:left="1080"/>
        <w:rPr>
          <w:rFonts w:ascii="Arial" w:hAnsi="Arial" w:cs="Arial"/>
          <w:sz w:val="22"/>
        </w:rPr>
      </w:pPr>
      <w:r w:rsidRPr="001C5C8D">
        <w:rPr>
          <w:rFonts w:ascii="Arial" w:hAnsi="Arial" w:cs="Arial"/>
          <w:sz w:val="22"/>
        </w:rPr>
        <w:t>Not applicable.</w:t>
      </w:r>
    </w:p>
    <w:p w14:paraId="2A137E24" w14:textId="77777777" w:rsidR="00C847D5" w:rsidRPr="001C5C8D" w:rsidRDefault="00C847D5" w:rsidP="001C5C8D">
      <w:pPr>
        <w:pStyle w:val="Level1"/>
        <w:ind w:left="1080"/>
        <w:rPr>
          <w:rFonts w:ascii="Arial" w:hAnsi="Arial" w:cs="Arial"/>
          <w:sz w:val="22"/>
        </w:rPr>
      </w:pPr>
    </w:p>
    <w:p w14:paraId="36A019E5" w14:textId="0AF4A104" w:rsidR="00F1101C" w:rsidRDefault="00F1101C">
      <w:pPr>
        <w:spacing w:after="200"/>
      </w:pPr>
    </w:p>
    <w:sectPr w:rsidR="00F110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0E768" w14:textId="77777777" w:rsidR="007D51D9" w:rsidRDefault="007D51D9" w:rsidP="00C00DD8">
      <w:pPr>
        <w:spacing w:line="240" w:lineRule="auto"/>
      </w:pPr>
      <w:r>
        <w:separator/>
      </w:r>
    </w:p>
  </w:endnote>
  <w:endnote w:type="continuationSeparator" w:id="0">
    <w:p w14:paraId="5F9B6A1D" w14:textId="77777777" w:rsidR="007D51D9" w:rsidRDefault="007D51D9" w:rsidP="00C00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a Lisa Recut">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F1B8C" w14:textId="77777777" w:rsidR="007D51D9" w:rsidRDefault="007D51D9" w:rsidP="00C00DD8">
      <w:pPr>
        <w:spacing w:line="240" w:lineRule="auto"/>
      </w:pPr>
      <w:r>
        <w:separator/>
      </w:r>
    </w:p>
  </w:footnote>
  <w:footnote w:type="continuationSeparator" w:id="0">
    <w:p w14:paraId="737CD992" w14:textId="77777777" w:rsidR="007D51D9" w:rsidRDefault="007D51D9" w:rsidP="00C00D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862"/>
    <w:multiLevelType w:val="hybridMultilevel"/>
    <w:tmpl w:val="A35A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B5C4A"/>
    <w:multiLevelType w:val="hybridMultilevel"/>
    <w:tmpl w:val="370C1556"/>
    <w:lvl w:ilvl="0" w:tplc="56F21D06">
      <w:start w:val="1"/>
      <w:numFmt w:val="decimal"/>
      <w:lvlText w:val="%1."/>
      <w:lvlJc w:val="left"/>
      <w:pPr>
        <w:ind w:left="1200" w:hanging="60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3">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56C10"/>
    <w:multiLevelType w:val="hybridMultilevel"/>
    <w:tmpl w:val="7B5AA3A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nsid w:val="3FB95795"/>
    <w:multiLevelType w:val="hybridMultilevel"/>
    <w:tmpl w:val="EA126798"/>
    <w:lvl w:ilvl="0" w:tplc="7346E8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C44105"/>
    <w:multiLevelType w:val="hybridMultilevel"/>
    <w:tmpl w:val="D4BA835E"/>
    <w:lvl w:ilvl="0" w:tplc="36129B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
  </w:num>
  <w:num w:numId="3">
    <w:abstractNumId w:val="4"/>
  </w:num>
  <w:num w:numId="4">
    <w:abstractNumId w:val="3"/>
  </w:num>
  <w:num w:numId="5">
    <w:abstractNumId w:val="0"/>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F5"/>
    <w:rsid w:val="000009A6"/>
    <w:rsid w:val="0003118D"/>
    <w:rsid w:val="00074F84"/>
    <w:rsid w:val="00090240"/>
    <w:rsid w:val="000B6087"/>
    <w:rsid w:val="000D048D"/>
    <w:rsid w:val="000D7D09"/>
    <w:rsid w:val="00106315"/>
    <w:rsid w:val="00126D00"/>
    <w:rsid w:val="00133D37"/>
    <w:rsid w:val="00144701"/>
    <w:rsid w:val="00145233"/>
    <w:rsid w:val="00160195"/>
    <w:rsid w:val="00162CF3"/>
    <w:rsid w:val="0017587E"/>
    <w:rsid w:val="001A4D83"/>
    <w:rsid w:val="001B6F13"/>
    <w:rsid w:val="001C5C8D"/>
    <w:rsid w:val="002267B1"/>
    <w:rsid w:val="0024722C"/>
    <w:rsid w:val="0026096A"/>
    <w:rsid w:val="00290086"/>
    <w:rsid w:val="00295A26"/>
    <w:rsid w:val="002F66CC"/>
    <w:rsid w:val="003016C7"/>
    <w:rsid w:val="00302D73"/>
    <w:rsid w:val="003133EA"/>
    <w:rsid w:val="003F5C35"/>
    <w:rsid w:val="00421ED6"/>
    <w:rsid w:val="004325E2"/>
    <w:rsid w:val="0044640B"/>
    <w:rsid w:val="004A1FBF"/>
    <w:rsid w:val="004A479B"/>
    <w:rsid w:val="004A67A8"/>
    <w:rsid w:val="004C2099"/>
    <w:rsid w:val="004E348D"/>
    <w:rsid w:val="005034F1"/>
    <w:rsid w:val="00516990"/>
    <w:rsid w:val="005241B4"/>
    <w:rsid w:val="00536C58"/>
    <w:rsid w:val="00537A1D"/>
    <w:rsid w:val="00544837"/>
    <w:rsid w:val="005504EC"/>
    <w:rsid w:val="00564ECB"/>
    <w:rsid w:val="0059312D"/>
    <w:rsid w:val="005976AE"/>
    <w:rsid w:val="005D78D1"/>
    <w:rsid w:val="005E638D"/>
    <w:rsid w:val="006035A8"/>
    <w:rsid w:val="00611F46"/>
    <w:rsid w:val="006302C5"/>
    <w:rsid w:val="00644FAB"/>
    <w:rsid w:val="0066690B"/>
    <w:rsid w:val="00670F22"/>
    <w:rsid w:val="00690B76"/>
    <w:rsid w:val="006A4326"/>
    <w:rsid w:val="006C00E1"/>
    <w:rsid w:val="006D22F4"/>
    <w:rsid w:val="006D3156"/>
    <w:rsid w:val="006F1623"/>
    <w:rsid w:val="00736F30"/>
    <w:rsid w:val="007546F8"/>
    <w:rsid w:val="00754AA2"/>
    <w:rsid w:val="0076338F"/>
    <w:rsid w:val="0079320A"/>
    <w:rsid w:val="007B2B5E"/>
    <w:rsid w:val="007B2C21"/>
    <w:rsid w:val="007D51D9"/>
    <w:rsid w:val="007E2780"/>
    <w:rsid w:val="007E7D0F"/>
    <w:rsid w:val="007F0F4F"/>
    <w:rsid w:val="008774EC"/>
    <w:rsid w:val="0088194D"/>
    <w:rsid w:val="008A4659"/>
    <w:rsid w:val="008C56C3"/>
    <w:rsid w:val="008C60C2"/>
    <w:rsid w:val="009011A4"/>
    <w:rsid w:val="00916849"/>
    <w:rsid w:val="009246E0"/>
    <w:rsid w:val="009323AF"/>
    <w:rsid w:val="009B60BD"/>
    <w:rsid w:val="00AA21BA"/>
    <w:rsid w:val="00AA25CA"/>
    <w:rsid w:val="00AC2ADA"/>
    <w:rsid w:val="00AE0122"/>
    <w:rsid w:val="00AF4AEB"/>
    <w:rsid w:val="00B05373"/>
    <w:rsid w:val="00B22561"/>
    <w:rsid w:val="00B33E02"/>
    <w:rsid w:val="00B422C1"/>
    <w:rsid w:val="00B61114"/>
    <w:rsid w:val="00B85AC4"/>
    <w:rsid w:val="00BB2B36"/>
    <w:rsid w:val="00BC6482"/>
    <w:rsid w:val="00BE7776"/>
    <w:rsid w:val="00C00DD8"/>
    <w:rsid w:val="00C058FF"/>
    <w:rsid w:val="00C2067B"/>
    <w:rsid w:val="00C64583"/>
    <w:rsid w:val="00C67BAF"/>
    <w:rsid w:val="00C761CB"/>
    <w:rsid w:val="00C847D5"/>
    <w:rsid w:val="00CB03EE"/>
    <w:rsid w:val="00CD4322"/>
    <w:rsid w:val="00CE5C25"/>
    <w:rsid w:val="00D068C7"/>
    <w:rsid w:val="00D149A0"/>
    <w:rsid w:val="00D2490B"/>
    <w:rsid w:val="00D24BC0"/>
    <w:rsid w:val="00D24EA8"/>
    <w:rsid w:val="00D3133A"/>
    <w:rsid w:val="00D573B7"/>
    <w:rsid w:val="00D57FC2"/>
    <w:rsid w:val="00D84BA0"/>
    <w:rsid w:val="00D92C0A"/>
    <w:rsid w:val="00D94F6D"/>
    <w:rsid w:val="00DC0F78"/>
    <w:rsid w:val="00DC71A2"/>
    <w:rsid w:val="00DD0A3F"/>
    <w:rsid w:val="00E06B55"/>
    <w:rsid w:val="00E1793C"/>
    <w:rsid w:val="00E213F5"/>
    <w:rsid w:val="00E2539C"/>
    <w:rsid w:val="00E41C7D"/>
    <w:rsid w:val="00E43D24"/>
    <w:rsid w:val="00E85F17"/>
    <w:rsid w:val="00EA61EB"/>
    <w:rsid w:val="00EB09C9"/>
    <w:rsid w:val="00EB7524"/>
    <w:rsid w:val="00EE72F3"/>
    <w:rsid w:val="00F05A21"/>
    <w:rsid w:val="00F1101C"/>
    <w:rsid w:val="00F41F5B"/>
    <w:rsid w:val="00F46CC8"/>
    <w:rsid w:val="00F52B85"/>
    <w:rsid w:val="00F540AA"/>
    <w:rsid w:val="00F56F04"/>
    <w:rsid w:val="00F81A39"/>
    <w:rsid w:val="00F8228C"/>
    <w:rsid w:val="00F94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semiHidden/>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semiHidden/>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FootnoteText">
    <w:name w:val="footnote text"/>
    <w:basedOn w:val="Normal"/>
    <w:link w:val="FootnoteTextChar"/>
    <w:uiPriority w:val="99"/>
    <w:semiHidden/>
    <w:unhideWhenUsed/>
    <w:rsid w:val="00C00DD8"/>
    <w:pPr>
      <w:widowControl w:val="0"/>
      <w:autoSpaceDE w:val="0"/>
      <w:autoSpaceDN w:val="0"/>
      <w:adjustRightInd w:val="0"/>
      <w:spacing w:line="240" w:lineRule="auto"/>
    </w:pPr>
    <w:rPr>
      <w:rFonts w:ascii="Mona Lisa Recut" w:eastAsia="Times New Roman" w:hAnsi="Mona Lisa Recut" w:cs="Times New Roman"/>
      <w:sz w:val="20"/>
      <w:szCs w:val="20"/>
    </w:rPr>
  </w:style>
  <w:style w:type="character" w:customStyle="1" w:styleId="FootnoteTextChar">
    <w:name w:val="Footnote Text Char"/>
    <w:basedOn w:val="DefaultParagraphFont"/>
    <w:link w:val="FootnoteText"/>
    <w:uiPriority w:val="99"/>
    <w:semiHidden/>
    <w:rsid w:val="00C00DD8"/>
    <w:rPr>
      <w:rFonts w:ascii="Mona Lisa Recut" w:eastAsia="Times New Roman" w:hAnsi="Mona Lisa Recut" w:cs="Times New Roman"/>
      <w:sz w:val="20"/>
      <w:szCs w:val="20"/>
    </w:rPr>
  </w:style>
  <w:style w:type="character" w:styleId="FootnoteReference">
    <w:name w:val="footnote reference"/>
    <w:basedOn w:val="DefaultParagraphFont"/>
    <w:uiPriority w:val="99"/>
    <w:semiHidden/>
    <w:unhideWhenUsed/>
    <w:rsid w:val="00C00DD8"/>
    <w:rPr>
      <w:vertAlign w:val="superscript"/>
    </w:rPr>
  </w:style>
  <w:style w:type="paragraph" w:styleId="BodyText">
    <w:name w:val="Body Text"/>
    <w:basedOn w:val="Normal"/>
    <w:link w:val="BodyTextChar"/>
    <w:uiPriority w:val="1"/>
    <w:qFormat/>
    <w:rsid w:val="00F1101C"/>
    <w:pPr>
      <w:widowControl w:val="0"/>
      <w:autoSpaceDE w:val="0"/>
      <w:autoSpaceDN w:val="0"/>
      <w:adjustRightInd w:val="0"/>
      <w:spacing w:line="240" w:lineRule="auto"/>
      <w:ind w:left="1160"/>
    </w:pPr>
    <w:rPr>
      <w:rFonts w:eastAsiaTheme="minorEastAsia"/>
    </w:rPr>
  </w:style>
  <w:style w:type="character" w:customStyle="1" w:styleId="BodyTextChar">
    <w:name w:val="Body Text Char"/>
    <w:basedOn w:val="DefaultParagraphFont"/>
    <w:link w:val="BodyText"/>
    <w:uiPriority w:val="1"/>
    <w:rsid w:val="00F1101C"/>
    <w:rPr>
      <w:rFonts w:ascii="Arial" w:eastAsiaTheme="minorEastAsia" w:hAnsi="Arial" w:cs="Arial"/>
    </w:rPr>
  </w:style>
  <w:style w:type="paragraph" w:customStyle="1" w:styleId="paragraph">
    <w:name w:val="paragraph"/>
    <w:basedOn w:val="Normal"/>
    <w:rsid w:val="00F1101C"/>
    <w:pPr>
      <w:spacing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F1101C"/>
  </w:style>
  <w:style w:type="character" w:customStyle="1" w:styleId="eop">
    <w:name w:val="eop"/>
    <w:basedOn w:val="DefaultParagraphFont"/>
    <w:rsid w:val="00F11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semiHidden/>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semiHidden/>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FootnoteText">
    <w:name w:val="footnote text"/>
    <w:basedOn w:val="Normal"/>
    <w:link w:val="FootnoteTextChar"/>
    <w:uiPriority w:val="99"/>
    <w:semiHidden/>
    <w:unhideWhenUsed/>
    <w:rsid w:val="00C00DD8"/>
    <w:pPr>
      <w:widowControl w:val="0"/>
      <w:autoSpaceDE w:val="0"/>
      <w:autoSpaceDN w:val="0"/>
      <w:adjustRightInd w:val="0"/>
      <w:spacing w:line="240" w:lineRule="auto"/>
    </w:pPr>
    <w:rPr>
      <w:rFonts w:ascii="Mona Lisa Recut" w:eastAsia="Times New Roman" w:hAnsi="Mona Lisa Recut" w:cs="Times New Roman"/>
      <w:sz w:val="20"/>
      <w:szCs w:val="20"/>
    </w:rPr>
  </w:style>
  <w:style w:type="character" w:customStyle="1" w:styleId="FootnoteTextChar">
    <w:name w:val="Footnote Text Char"/>
    <w:basedOn w:val="DefaultParagraphFont"/>
    <w:link w:val="FootnoteText"/>
    <w:uiPriority w:val="99"/>
    <w:semiHidden/>
    <w:rsid w:val="00C00DD8"/>
    <w:rPr>
      <w:rFonts w:ascii="Mona Lisa Recut" w:eastAsia="Times New Roman" w:hAnsi="Mona Lisa Recut" w:cs="Times New Roman"/>
      <w:sz w:val="20"/>
      <w:szCs w:val="20"/>
    </w:rPr>
  </w:style>
  <w:style w:type="character" w:styleId="FootnoteReference">
    <w:name w:val="footnote reference"/>
    <w:basedOn w:val="DefaultParagraphFont"/>
    <w:uiPriority w:val="99"/>
    <w:semiHidden/>
    <w:unhideWhenUsed/>
    <w:rsid w:val="00C00DD8"/>
    <w:rPr>
      <w:vertAlign w:val="superscript"/>
    </w:rPr>
  </w:style>
  <w:style w:type="paragraph" w:styleId="BodyText">
    <w:name w:val="Body Text"/>
    <w:basedOn w:val="Normal"/>
    <w:link w:val="BodyTextChar"/>
    <w:uiPriority w:val="1"/>
    <w:qFormat/>
    <w:rsid w:val="00F1101C"/>
    <w:pPr>
      <w:widowControl w:val="0"/>
      <w:autoSpaceDE w:val="0"/>
      <w:autoSpaceDN w:val="0"/>
      <w:adjustRightInd w:val="0"/>
      <w:spacing w:line="240" w:lineRule="auto"/>
      <w:ind w:left="1160"/>
    </w:pPr>
    <w:rPr>
      <w:rFonts w:eastAsiaTheme="minorEastAsia"/>
    </w:rPr>
  </w:style>
  <w:style w:type="character" w:customStyle="1" w:styleId="BodyTextChar">
    <w:name w:val="Body Text Char"/>
    <w:basedOn w:val="DefaultParagraphFont"/>
    <w:link w:val="BodyText"/>
    <w:uiPriority w:val="1"/>
    <w:rsid w:val="00F1101C"/>
    <w:rPr>
      <w:rFonts w:ascii="Arial" w:eastAsiaTheme="minorEastAsia" w:hAnsi="Arial" w:cs="Arial"/>
    </w:rPr>
  </w:style>
  <w:style w:type="paragraph" w:customStyle="1" w:styleId="paragraph">
    <w:name w:val="paragraph"/>
    <w:basedOn w:val="Normal"/>
    <w:rsid w:val="00F1101C"/>
    <w:pPr>
      <w:spacing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F1101C"/>
  </w:style>
  <w:style w:type="character" w:customStyle="1" w:styleId="eop">
    <w:name w:val="eop"/>
    <w:basedOn w:val="DefaultParagraphFont"/>
    <w:rsid w:val="00F11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98284">
      <w:bodyDiv w:val="1"/>
      <w:marLeft w:val="0"/>
      <w:marRight w:val="0"/>
      <w:marTop w:val="0"/>
      <w:marBottom w:val="0"/>
      <w:divBdr>
        <w:top w:val="none" w:sz="0" w:space="0" w:color="auto"/>
        <w:left w:val="none" w:sz="0" w:space="0" w:color="auto"/>
        <w:bottom w:val="none" w:sz="0" w:space="0" w:color="auto"/>
        <w:right w:val="none" w:sz="0" w:space="0" w:color="auto"/>
      </w:divBdr>
    </w:div>
    <w:div w:id="247007449">
      <w:bodyDiv w:val="1"/>
      <w:marLeft w:val="0"/>
      <w:marRight w:val="0"/>
      <w:marTop w:val="0"/>
      <w:marBottom w:val="0"/>
      <w:divBdr>
        <w:top w:val="none" w:sz="0" w:space="0" w:color="auto"/>
        <w:left w:val="none" w:sz="0" w:space="0" w:color="auto"/>
        <w:bottom w:val="none" w:sz="0" w:space="0" w:color="auto"/>
        <w:right w:val="none" w:sz="0" w:space="0" w:color="auto"/>
      </w:divBdr>
    </w:div>
    <w:div w:id="323432315">
      <w:bodyDiv w:val="1"/>
      <w:marLeft w:val="0"/>
      <w:marRight w:val="0"/>
      <w:marTop w:val="0"/>
      <w:marBottom w:val="0"/>
      <w:divBdr>
        <w:top w:val="none" w:sz="0" w:space="0" w:color="auto"/>
        <w:left w:val="none" w:sz="0" w:space="0" w:color="auto"/>
        <w:bottom w:val="none" w:sz="0" w:space="0" w:color="auto"/>
        <w:right w:val="none" w:sz="0" w:space="0" w:color="auto"/>
      </w:divBdr>
    </w:div>
    <w:div w:id="595678829">
      <w:bodyDiv w:val="1"/>
      <w:marLeft w:val="0"/>
      <w:marRight w:val="0"/>
      <w:marTop w:val="0"/>
      <w:marBottom w:val="0"/>
      <w:divBdr>
        <w:top w:val="none" w:sz="0" w:space="0" w:color="auto"/>
        <w:left w:val="none" w:sz="0" w:space="0" w:color="auto"/>
        <w:bottom w:val="none" w:sz="0" w:space="0" w:color="auto"/>
        <w:right w:val="none" w:sz="0" w:space="0" w:color="auto"/>
      </w:divBdr>
    </w:div>
    <w:div w:id="1094478629">
      <w:bodyDiv w:val="1"/>
      <w:marLeft w:val="0"/>
      <w:marRight w:val="0"/>
      <w:marTop w:val="0"/>
      <w:marBottom w:val="0"/>
      <w:divBdr>
        <w:top w:val="none" w:sz="0" w:space="0" w:color="auto"/>
        <w:left w:val="none" w:sz="0" w:space="0" w:color="auto"/>
        <w:bottom w:val="none" w:sz="0" w:space="0" w:color="auto"/>
        <w:right w:val="none" w:sz="0" w:space="0" w:color="auto"/>
      </w:divBdr>
    </w:div>
    <w:div w:id="1214001320">
      <w:bodyDiv w:val="1"/>
      <w:marLeft w:val="0"/>
      <w:marRight w:val="0"/>
      <w:marTop w:val="0"/>
      <w:marBottom w:val="0"/>
      <w:divBdr>
        <w:top w:val="none" w:sz="0" w:space="0" w:color="auto"/>
        <w:left w:val="none" w:sz="0" w:space="0" w:color="auto"/>
        <w:bottom w:val="none" w:sz="0" w:space="0" w:color="auto"/>
        <w:right w:val="none" w:sz="0" w:space="0" w:color="auto"/>
      </w:divBdr>
    </w:div>
    <w:div w:id="1305351547">
      <w:bodyDiv w:val="1"/>
      <w:marLeft w:val="0"/>
      <w:marRight w:val="0"/>
      <w:marTop w:val="0"/>
      <w:marBottom w:val="0"/>
      <w:divBdr>
        <w:top w:val="none" w:sz="0" w:space="0" w:color="auto"/>
        <w:left w:val="none" w:sz="0" w:space="0" w:color="auto"/>
        <w:bottom w:val="none" w:sz="0" w:space="0" w:color="auto"/>
        <w:right w:val="none" w:sz="0" w:space="0" w:color="auto"/>
      </w:divBdr>
    </w:div>
    <w:div w:id="2048480527">
      <w:bodyDiv w:val="1"/>
      <w:marLeft w:val="0"/>
      <w:marRight w:val="0"/>
      <w:marTop w:val="0"/>
      <w:marBottom w:val="0"/>
      <w:divBdr>
        <w:top w:val="none" w:sz="0" w:space="0" w:color="auto"/>
        <w:left w:val="none" w:sz="0" w:space="0" w:color="auto"/>
        <w:bottom w:val="none" w:sz="0" w:space="0" w:color="auto"/>
        <w:right w:val="none" w:sz="0" w:space="0" w:color="auto"/>
      </w:divBdr>
    </w:div>
    <w:div w:id="208945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rc.gov/site-help/electronic-sub-ref-mat.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rc.gov/site-help/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B6F22989693040A0FD428C16D11D8D" ma:contentTypeVersion="4" ma:contentTypeDescription="Create a new document." ma:contentTypeScope="" ma:versionID="b099ea8c66884d0fe83fd7ce7c579cfc">
  <xsd:schema xmlns:xsd="http://www.w3.org/2001/XMLSchema" xmlns:xs="http://www.w3.org/2001/XMLSchema" xmlns:p="http://schemas.microsoft.com/office/2006/metadata/properties" xmlns:ns2="1b5472cd-acd4-40a2-847f-9f330b2894d1" targetNamespace="http://schemas.microsoft.com/office/2006/metadata/properties" ma:root="true" ma:fieldsID="0daea76d85ad32a098186c8c94aaee6f" ns2:_="">
    <xsd:import namespace="1b5472cd-acd4-40a2-847f-9f330b2894d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72cd-acd4-40a2-847f-9f330b2894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b5472cd-acd4-40a2-847f-9f330b2894d1">WF3D534FWZTE-2140536802-130</_dlc_DocId>
    <_dlc_DocIdUrl xmlns="1b5472cd-acd4-40a2-847f-9f330b2894d1">
      <Url>http://fusion.nrc.gov/OCIO/team/GEMS/ISB/ICT/_layouts/DocIdRedir.aspx?ID=WF3D534FWZTE-2140536802-130</Url>
      <Description>WF3D534FWZTE-2140536802-130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38C1-0C71-4D18-B48C-A0046D049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72cd-acd4-40a2-847f-9f330b289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D8D11-D95F-4FB7-A665-E6814B47B747}">
  <ds:schemaRefs>
    <ds:schemaRef ds:uri="http://schemas.microsoft.com/sharepoint/v3/contenttype/forms"/>
  </ds:schemaRefs>
</ds:datastoreItem>
</file>

<file path=customXml/itemProps3.xml><?xml version="1.0" encoding="utf-8"?>
<ds:datastoreItem xmlns:ds="http://schemas.openxmlformats.org/officeDocument/2006/customXml" ds:itemID="{81C31AAC-DB76-44C9-8988-6EE3823A1035}">
  <ds:schemaRefs>
    <ds:schemaRef ds:uri="http://schemas.microsoft.com/office/2006/metadata/properties"/>
    <ds:schemaRef ds:uri="http://schemas.microsoft.com/office/infopath/2007/PartnerControls"/>
    <ds:schemaRef ds:uri="1b5472cd-acd4-40a2-847f-9f330b2894d1"/>
  </ds:schemaRefs>
</ds:datastoreItem>
</file>

<file path=customXml/itemProps4.xml><?xml version="1.0" encoding="utf-8"?>
<ds:datastoreItem xmlns:ds="http://schemas.openxmlformats.org/officeDocument/2006/customXml" ds:itemID="{6A1C4967-3FBA-4005-BD44-0374ACF261E2}">
  <ds:schemaRefs>
    <ds:schemaRef ds:uri="http://schemas.microsoft.com/sharepoint/events"/>
  </ds:schemaRefs>
</ds:datastoreItem>
</file>

<file path=customXml/itemProps5.xml><?xml version="1.0" encoding="utf-8"?>
<ds:datastoreItem xmlns:ds="http://schemas.openxmlformats.org/officeDocument/2006/customXml" ds:itemID="{2BA96F92-A213-4668-95F1-CDC18857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Benney, Kristen</dc:creator>
  <cp:lastModifiedBy>SYSTEM</cp:lastModifiedBy>
  <cp:revision>2</cp:revision>
  <cp:lastPrinted>2019-04-02T18:50:00Z</cp:lastPrinted>
  <dcterms:created xsi:type="dcterms:W3CDTF">2019-07-11T15:05:00Z</dcterms:created>
  <dcterms:modified xsi:type="dcterms:W3CDTF">2019-07-11T15:05:00Z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0x010100EAB6F22989693040A0FD428C16D11D8D</vt:lpwstr>
  </property>
  <property fmtid="{D5CDD505-2E9C-101B-9397-08002B2CF9AE}" pid="3" name="_dlc_DocIdItemGuid">
    <vt:lpwstr>c0b3548b-1425-469e-9c93-ad8085e4a47c</vt:lpwstr>
  </property>
</Properties>
</file>