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6C" w:rsidRPr="0091016C" w:rsidRDefault="0091016C" w:rsidP="0091016C">
      <w:pPr>
        <w:shd w:val="clear" w:color="auto" w:fill="FFFFFF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91016C" w:rsidRPr="0091016C" w:rsidRDefault="0091016C" w:rsidP="0091016C">
      <w:pPr>
        <w:shd w:val="clear" w:color="auto" w:fill="FFFFFF"/>
        <w:rPr>
          <w:rFonts w:cs="Arial"/>
          <w:b/>
          <w:sz w:val="28"/>
          <w:szCs w:val="28"/>
        </w:rPr>
      </w:pPr>
      <w:hyperlink r:id="rId4" w:tooltip="TITLE 18 - CRIMES AND CRIMINAL PROCEDURE" w:history="1">
        <w:r w:rsidRPr="0091016C">
          <w:rPr>
            <w:rFonts w:cs="Arial"/>
            <w:b/>
            <w:sz w:val="28"/>
            <w:szCs w:val="28"/>
          </w:rPr>
          <w:t>TITLE 18</w:t>
        </w:r>
      </w:hyperlink>
      <w:r w:rsidRPr="0091016C">
        <w:rPr>
          <w:rFonts w:cs="Arial"/>
          <w:b/>
          <w:sz w:val="28"/>
          <w:szCs w:val="28"/>
        </w:rPr>
        <w:t xml:space="preserve"> &gt; </w:t>
      </w:r>
      <w:hyperlink r:id="rId5" w:tooltip="PART I - CRIMES" w:history="1">
        <w:r w:rsidRPr="0091016C">
          <w:rPr>
            <w:rFonts w:cs="Arial"/>
            <w:b/>
            <w:sz w:val="28"/>
            <w:szCs w:val="28"/>
          </w:rPr>
          <w:t>PART I</w:t>
        </w:r>
      </w:hyperlink>
      <w:r w:rsidRPr="0091016C">
        <w:rPr>
          <w:rFonts w:cs="Arial"/>
          <w:b/>
          <w:sz w:val="28"/>
          <w:szCs w:val="28"/>
        </w:rPr>
        <w:t xml:space="preserve"> &gt; </w:t>
      </w:r>
      <w:hyperlink r:id="rId6" w:tooltip="CHAPTER 93 - PUBLIC OFFICERS AND EMPLOYEES" w:history="1">
        <w:r w:rsidRPr="0091016C">
          <w:rPr>
            <w:rFonts w:cs="Arial"/>
            <w:b/>
            <w:sz w:val="28"/>
            <w:szCs w:val="28"/>
          </w:rPr>
          <w:t>CHAPTER 93</w:t>
        </w:r>
      </w:hyperlink>
      <w:r w:rsidRPr="0091016C">
        <w:rPr>
          <w:rFonts w:cs="Arial"/>
          <w:b/>
          <w:sz w:val="28"/>
          <w:szCs w:val="28"/>
        </w:rPr>
        <w:t xml:space="preserve"> &gt; § </w:t>
      </w:r>
      <w:r w:rsidRPr="0091016C">
        <w:rPr>
          <w:rFonts w:cs="Arial"/>
          <w:b/>
          <w:bCs/>
          <w:sz w:val="28"/>
          <w:szCs w:val="28"/>
        </w:rPr>
        <w:t>1905</w:t>
      </w:r>
    </w:p>
    <w:p w:rsidR="0091016C" w:rsidRPr="0091016C" w:rsidRDefault="0091016C" w:rsidP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RDefault="0091016C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>rivate 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="006A278D" w:rsidRPr="006A278D" w:rsidRDefault="006A278D" w:rsidP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/>
    <w:sectPr w:rsidR="006A278D" w:rsidRPr="006A2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8D"/>
    <w:rsid w:val="004A324B"/>
    <w:rsid w:val="004F1C9E"/>
    <w:rsid w:val="006A278D"/>
    <w:rsid w:val="0091016C"/>
    <w:rsid w:val="009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5DEF-B9A9-4F94-9106-AA85105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32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03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4643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478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9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up_01_18_10_I_20_93.html" TargetMode="External"/><Relationship Id="rId5" Type="http://schemas.openxmlformats.org/officeDocument/2006/relationships/hyperlink" Target="http://www.law.cornell.edu/uscode/html/uscode18/usc_sup_01_18_10_I.html" TargetMode="External"/><Relationship Id="rId4" Type="http://schemas.openxmlformats.org/officeDocument/2006/relationships/hyperlink" Target="http://www.law.cornell.edu/uscode/html/uscode18/usc_sup_01_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BF777842.dotm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1827</CharactersWithSpaces>
  <SharedDoc>false</SharedDoc>
  <HLinks>
    <vt:vector size="18" baseType="variant"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http://www.law.cornell.edu/uscode/html/uscode18/usc_sup_01_18_10_I_20_93.html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http://www.law.cornell.edu/uscode/html/uscode18/usc_sup_01_18_10_I.html</vt:lpwstr>
      </vt:variant>
      <vt:variant>
        <vt:lpwstr/>
      </vt:variant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http://www.law.cornell.edu/uscode/html/uscode18/usc_sup_01_18.html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HancDa</dc:creator>
  <cp:keywords/>
  <dc:description/>
  <cp:lastModifiedBy>Hancock, David - NASS</cp:lastModifiedBy>
  <cp:revision>2</cp:revision>
  <dcterms:created xsi:type="dcterms:W3CDTF">2018-05-10T13:03:00Z</dcterms:created>
  <dcterms:modified xsi:type="dcterms:W3CDTF">2018-05-10T13:03:00Z</dcterms:modified>
</cp:coreProperties>
</file>