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bookmarkStart w:name="_GoBack" w:id="0"/>
      <w:bookmarkEnd w:id="0"/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>The Agriculture Improvement Act of 2018, section 4005, paragraphs (a</w:t>
      </w: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)(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>2) and (a)(5).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(2) </w:t>
      </w: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in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subparagraph (B)—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(A) </w:t>
      </w: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in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the matter preceding clause (</w:t>
      </w:r>
      <w:proofErr w:type="spellStart"/>
      <w:r w:rsidRPr="00A40983">
        <w:rPr>
          <w:rFonts w:ascii="Times New Roman" w:hAnsi="Times New Roman" w:eastAsia="Times New Roman" w:cs="Times New Roman"/>
          <w:sz w:val="24"/>
          <w:szCs w:val="24"/>
        </w:rPr>
        <w:t>i</w:t>
      </w:r>
      <w:proofErr w:type="spellEnd"/>
      <w:r w:rsidRPr="00A40983">
        <w:rPr>
          <w:rFonts w:ascii="Times New Roman" w:hAnsi="Times New Roman" w:eastAsia="Times New Roman" w:cs="Times New Roman"/>
          <w:sz w:val="24"/>
          <w:szCs w:val="24"/>
        </w:rPr>
        <w:t>), by inserting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‘‘case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management services such as comprehensive intake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assessments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>, individualized service plans, progress monitoring,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or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coordination with service providers and’’ after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>‘‘contains’’,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>(5)…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>(O) REFERRAL OF CERTAIN INDIVIDUALS.—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>(</w:t>
      </w:r>
      <w:proofErr w:type="spellStart"/>
      <w:r w:rsidRPr="00A40983">
        <w:rPr>
          <w:rFonts w:ascii="Times New Roman" w:hAnsi="Times New Roman" w:eastAsia="Times New Roman" w:cs="Times New Roman"/>
          <w:sz w:val="24"/>
          <w:szCs w:val="24"/>
        </w:rPr>
        <w:t>i</w:t>
      </w:r>
      <w:proofErr w:type="spellEnd"/>
      <w:r w:rsidRPr="00A40983">
        <w:rPr>
          <w:rFonts w:ascii="Times New Roman" w:hAnsi="Times New Roman" w:eastAsia="Times New Roman" w:cs="Times New Roman"/>
          <w:sz w:val="24"/>
          <w:szCs w:val="24"/>
        </w:rPr>
        <w:t>) IN GENERAL.—In accordance with such regulations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as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may be issued by the Secretary, with respect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to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any individual who is not eligible for an exemption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under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paragraph (2) and who is determined by the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operator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of an employment and training program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component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to be ill-suited to participate in that employment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and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training program component, the State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agency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shall—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>(I) refer the individual to an appropriate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employment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and training program component;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(II) </w:t>
      </w: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refer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the individual to an appropriate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workforce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partnership, if available;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(III) </w:t>
      </w: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reassess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the physical and mental fitness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of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the individual under paragraph (1)(A); or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(IV) </w:t>
      </w: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to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the maximum extent practicable,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coordinate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with other Federal, State, or local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workforce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or assistance programs to identify work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opportunities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or assistance for the individual.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>(ii) PROCESS.—</w:t>
      </w: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In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carrying out clause (</w:t>
      </w:r>
      <w:proofErr w:type="spellStart"/>
      <w:r w:rsidRPr="00A40983">
        <w:rPr>
          <w:rFonts w:ascii="Times New Roman" w:hAnsi="Times New Roman" w:eastAsia="Times New Roman" w:cs="Times New Roman"/>
          <w:sz w:val="24"/>
          <w:szCs w:val="24"/>
        </w:rPr>
        <w:t>i</w:t>
      </w:r>
      <w:proofErr w:type="spellEnd"/>
      <w:r w:rsidRPr="00A40983">
        <w:rPr>
          <w:rFonts w:ascii="Times New Roman" w:hAnsi="Times New Roman" w:eastAsia="Times New Roman" w:cs="Times New Roman"/>
          <w:sz w:val="24"/>
          <w:szCs w:val="24"/>
        </w:rPr>
        <w:t>), the State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agency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shall ensure that an individual undergoing and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complying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with the process established under that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clause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shall not be found to have refused without good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cause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to participate in an employment and training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program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>The Food and Nutrition Act of 2008, section 4, paragraph (c)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A40983" w:rsidR="00A40983" w:rsidP="00A40983" w:rsidRDefault="00A4098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eastAsia="Times New Roman" w:cs="NewCenturySchlbk-Roman"/>
          <w:sz w:val="20"/>
          <w:szCs w:val="20"/>
        </w:rPr>
      </w:pPr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>(c) The Secretary shall issue such regulations consistent with</w:t>
      </w:r>
    </w:p>
    <w:p w:rsidRPr="00A40983" w:rsidR="00A40983" w:rsidP="00A40983" w:rsidRDefault="00A4098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eastAsia="Times New Roman" w:cs="NewCenturySchlbk-Roman"/>
          <w:sz w:val="20"/>
          <w:szCs w:val="20"/>
        </w:rPr>
      </w:pPr>
      <w:proofErr w:type="gramStart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>this</w:t>
      </w:r>
      <w:proofErr w:type="gramEnd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 xml:space="preserve"> Act as the Secretary deems necessary or appropriate for the</w:t>
      </w:r>
    </w:p>
    <w:p w:rsidRPr="00A40983" w:rsidR="00A40983" w:rsidP="00A40983" w:rsidRDefault="00A4098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eastAsia="Times New Roman" w:cs="NewCenturySchlbk-Roman"/>
          <w:sz w:val="20"/>
          <w:szCs w:val="20"/>
        </w:rPr>
      </w:pPr>
      <w:proofErr w:type="gramStart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>effective</w:t>
      </w:r>
      <w:proofErr w:type="gramEnd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 xml:space="preserve"> and efficient administration of the supplemental nutrition</w:t>
      </w:r>
    </w:p>
    <w:p w:rsidRPr="00A40983" w:rsidR="00A40983" w:rsidP="00A40983" w:rsidRDefault="00A4098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eastAsia="Times New Roman" w:cs="NewCenturySchlbk-Roman"/>
          <w:sz w:val="20"/>
          <w:szCs w:val="20"/>
        </w:rPr>
      </w:pPr>
      <w:proofErr w:type="gramStart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>assistance</w:t>
      </w:r>
      <w:proofErr w:type="gramEnd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 xml:space="preserve"> program and shall promulgate all such regulations in accordance</w:t>
      </w:r>
    </w:p>
    <w:p w:rsidRPr="00A40983" w:rsidR="00A40983" w:rsidP="00A40983" w:rsidRDefault="00A4098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eastAsia="Times New Roman" w:cs="NewCenturySchlbk-Roman"/>
          <w:sz w:val="20"/>
          <w:szCs w:val="20"/>
        </w:rPr>
      </w:pPr>
      <w:proofErr w:type="gramStart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lastRenderedPageBreak/>
        <w:t>with</w:t>
      </w:r>
      <w:proofErr w:type="gramEnd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 xml:space="preserve"> the procedures set forth in section 553 of title 5 of</w:t>
      </w:r>
    </w:p>
    <w:p w:rsidRPr="00A40983" w:rsidR="00A40983" w:rsidP="00A40983" w:rsidRDefault="00A4098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eastAsia="Times New Roman" w:cs="NewCenturySchlbk-Roman"/>
          <w:sz w:val="20"/>
          <w:szCs w:val="20"/>
        </w:rPr>
      </w:pPr>
      <w:proofErr w:type="gramStart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>the</w:t>
      </w:r>
      <w:proofErr w:type="gramEnd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 xml:space="preserve"> United States Code. In addition, prior to issuing any regulation,</w:t>
      </w:r>
    </w:p>
    <w:p w:rsidRPr="00A40983" w:rsidR="00A40983" w:rsidP="00A40983" w:rsidRDefault="00A4098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eastAsia="Times New Roman" w:cs="NewCenturySchlbk-Roman"/>
          <w:sz w:val="20"/>
          <w:szCs w:val="20"/>
        </w:rPr>
      </w:pPr>
      <w:proofErr w:type="gramStart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>the</w:t>
      </w:r>
      <w:proofErr w:type="gramEnd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 xml:space="preserve"> Secretary shall provide the Committee on Agriculture of</w:t>
      </w:r>
    </w:p>
    <w:p w:rsidRPr="00A40983" w:rsidR="00A40983" w:rsidP="00A40983" w:rsidRDefault="00A4098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eastAsia="Times New Roman" w:cs="NewCenturySchlbk-Roman"/>
          <w:sz w:val="20"/>
          <w:szCs w:val="20"/>
        </w:rPr>
      </w:pPr>
      <w:proofErr w:type="gramStart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>the</w:t>
      </w:r>
      <w:proofErr w:type="gramEnd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 xml:space="preserve"> House of Representatives and the Committee on Agriculture,</w:t>
      </w:r>
    </w:p>
    <w:p w:rsidRPr="00A40983" w:rsidR="00A40983" w:rsidP="00A40983" w:rsidRDefault="00A4098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eastAsia="Times New Roman" w:cs="NewCenturySchlbk-Roman"/>
          <w:sz w:val="20"/>
          <w:szCs w:val="20"/>
        </w:rPr>
      </w:pPr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>Nutrition, and Forestry of the Senate a copy of the regulation with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>a</w:t>
      </w:r>
      <w:proofErr w:type="gramEnd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 xml:space="preserve"> detailed statement justifying it.</w:t>
      </w:r>
    </w:p>
    <w:p w:rsidR="008046E7" w:rsidRDefault="00413A54"/>
    <w:sectPr w:rsidR="008046E7" w:rsidSect="002568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40" w:right="1440" w:bottom="1440" w:left="1440" w:header="144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983" w:rsidRDefault="00A40983" w:rsidP="00A40983">
      <w:pPr>
        <w:spacing w:after="0" w:line="240" w:lineRule="auto"/>
      </w:pPr>
      <w:r>
        <w:separator/>
      </w:r>
    </w:p>
  </w:endnote>
  <w:endnote w:type="continuationSeparator" w:id="0">
    <w:p w:rsidR="00A40983" w:rsidRDefault="00A40983" w:rsidP="00A4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983" w:rsidRDefault="00A40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05794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1443C3" w:rsidRPr="002568E6" w:rsidRDefault="00A40983">
        <w:pPr>
          <w:pStyle w:val="Footer"/>
          <w:jc w:val="center"/>
          <w:rPr>
            <w:rFonts w:ascii="Times New Roman" w:hAnsi="Times New Roman"/>
          </w:rPr>
        </w:pPr>
        <w:r w:rsidRPr="002568E6">
          <w:rPr>
            <w:rFonts w:ascii="Times New Roman" w:hAnsi="Times New Roman"/>
          </w:rPr>
          <w:fldChar w:fldCharType="begin"/>
        </w:r>
        <w:r w:rsidRPr="002568E6">
          <w:rPr>
            <w:rFonts w:ascii="Times New Roman" w:hAnsi="Times New Roman"/>
          </w:rPr>
          <w:instrText xml:space="preserve"> PAGE   \* MERGEFORMAT </w:instrText>
        </w:r>
        <w:r w:rsidRPr="002568E6">
          <w:rPr>
            <w:rFonts w:ascii="Times New Roman" w:hAnsi="Times New Roman"/>
          </w:rPr>
          <w:fldChar w:fldCharType="separate"/>
        </w:r>
        <w:r w:rsidR="00413A54">
          <w:rPr>
            <w:rFonts w:ascii="Times New Roman" w:hAnsi="Times New Roman"/>
            <w:noProof/>
          </w:rPr>
          <w:t>2</w:t>
        </w:r>
        <w:r w:rsidRPr="002568E6">
          <w:rPr>
            <w:rFonts w:ascii="Times New Roman" w:hAnsi="Times New Roman"/>
            <w:noProof/>
          </w:rPr>
          <w:fldChar w:fldCharType="end"/>
        </w:r>
      </w:p>
    </w:sdtContent>
  </w:sdt>
  <w:p w:rsidR="001443C3" w:rsidRDefault="00413A54"/>
  <w:p w:rsidR="001443C3" w:rsidRDefault="00413A5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983" w:rsidRDefault="00A40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983" w:rsidRDefault="00A40983" w:rsidP="00A40983">
      <w:pPr>
        <w:spacing w:after="0" w:line="240" w:lineRule="auto"/>
      </w:pPr>
      <w:r>
        <w:separator/>
      </w:r>
    </w:p>
  </w:footnote>
  <w:footnote w:type="continuationSeparator" w:id="0">
    <w:p w:rsidR="00A40983" w:rsidRDefault="00A40983" w:rsidP="00A40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983" w:rsidRDefault="00A40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983" w:rsidRDefault="00A409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983" w:rsidRPr="00A40983" w:rsidRDefault="00A40983" w:rsidP="00A40983">
    <w:pPr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Times New Roman" w:hAnsi="Arial" w:cs="Arial"/>
        <w:b/>
      </w:rPr>
    </w:pPr>
    <w:r w:rsidRPr="00A40983">
      <w:rPr>
        <w:rFonts w:ascii="Arial" w:eastAsia="Times New Roman" w:hAnsi="Arial" w:cs="Arial"/>
        <w:b/>
      </w:rPr>
      <w:t>Appendix 1: AUTHORITY for RIN-0584-AE68 Employment and Training Opportunities Proposed Rule</w:t>
    </w:r>
  </w:p>
  <w:p w:rsidR="00A40983" w:rsidRDefault="00A409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83"/>
    <w:rsid w:val="00413A54"/>
    <w:rsid w:val="00575979"/>
    <w:rsid w:val="00646EB2"/>
    <w:rsid w:val="00A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C51DA-E1CD-4D4F-AE9E-1101D4BC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40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983"/>
  </w:style>
  <w:style w:type="paragraph" w:styleId="Header">
    <w:name w:val="header"/>
    <w:basedOn w:val="Normal"/>
    <w:link w:val="HeaderChar"/>
    <w:uiPriority w:val="99"/>
    <w:unhideWhenUsed/>
    <w:rsid w:val="00A40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Gantner, Leigh - FNS</dc:creator>
  <cp:keywords/>
  <dc:description/>
  <cp:lastModifiedBy>FNS</cp:lastModifiedBy>
  <cp:revision>2</cp:revision>
  <dcterms:created xsi:type="dcterms:W3CDTF">2020-02-25T16:10:00Z</dcterms:created>
  <dcterms:modified xsi:type="dcterms:W3CDTF">2020-02-25T16:10:00Z</dcterms:modified>
</cp:coreProperties>
</file>