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6E8B2" w14:textId="7A2C833D" w:rsidR="00546361" w:rsidRPr="00E01F29" w:rsidRDefault="0004181D" w:rsidP="00F8201D">
      <w:pPr>
        <w:pStyle w:val="DocTitle-IPR"/>
        <w:spacing w:after="1320"/>
      </w:pPr>
      <w:bookmarkStart w:id="0" w:name="_GoBack"/>
      <w:bookmarkEnd w:id="0"/>
      <w:r>
        <w:t xml:space="preserve">Appendix </w:t>
      </w:r>
      <w:r w:rsidR="005D430E">
        <w:t>N</w:t>
      </w:r>
      <w:r w:rsidR="00546361" w:rsidRPr="00546361">
        <w:t>.</w:t>
      </w:r>
      <w:r w:rsidR="005602D3">
        <w:t>2</w:t>
      </w:r>
      <w:r w:rsidR="00A84F33">
        <w:br/>
      </w:r>
      <w:r w:rsidR="005602D3">
        <w:t xml:space="preserve">FNS Response to </w:t>
      </w:r>
      <w:r w:rsidR="001D5F57">
        <w:t>NASS Comments on OMB Package</w:t>
      </w:r>
    </w:p>
    <w:p w14:paraId="22AD0653" w14:textId="09CACDEE" w:rsidR="004B0107" w:rsidRPr="00362AD4" w:rsidRDefault="004B0107">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rPr>
          <w:rFonts w:ascii="Arial" w:hAnsi="Arial" w:cs="Arial"/>
          <w:b/>
          <w:noProof/>
          <w:sz w:val="27"/>
          <w:szCs w:val="27"/>
        </w:rPr>
        <w:sectPr w:rsidR="004B0107" w:rsidRPr="00362AD4" w:rsidSect="00546361">
          <w:endnotePr>
            <w:numFmt w:val="decimal"/>
          </w:endnotePr>
          <w:pgSz w:w="12240" w:h="15840" w:code="1"/>
          <w:pgMar w:top="1440" w:right="1440" w:bottom="1440" w:left="1440" w:header="864" w:footer="720" w:gutter="0"/>
          <w:cols w:space="720"/>
          <w:noEndnote/>
        </w:sectPr>
      </w:pPr>
    </w:p>
    <w:p w14:paraId="1D3948ED" w14:textId="51CFC672" w:rsidR="00AD321F" w:rsidRDefault="00AD321F" w:rsidP="00C15257">
      <w:pPr>
        <w:pStyle w:val="Body11ptCalibri-IPR"/>
        <w:spacing w:after="0" w:line="360" w:lineRule="auto"/>
        <w:ind w:firstLine="0"/>
        <w:jc w:val="center"/>
        <w:rPr>
          <w:rFonts w:ascii="Times New Roman" w:hAnsi="Times New Roman"/>
          <w:b/>
          <w:noProof/>
          <w:sz w:val="30"/>
          <w:szCs w:val="30"/>
        </w:rPr>
      </w:pPr>
      <w:r w:rsidRPr="00C15257">
        <w:rPr>
          <w:rFonts w:ascii="Times New Roman" w:hAnsi="Times New Roman"/>
          <w:b/>
          <w:noProof/>
          <w:sz w:val="30"/>
          <w:szCs w:val="30"/>
        </w:rPr>
        <w:lastRenderedPageBreak/>
        <w:t>WIC Participant and Program Characteristics Study 2020 and 2022</w:t>
      </w:r>
    </w:p>
    <w:p w14:paraId="421154AA" w14:textId="77777777" w:rsidR="00C15257" w:rsidRDefault="00C15257" w:rsidP="00C15257">
      <w:pPr>
        <w:spacing w:line="360" w:lineRule="auto"/>
        <w:jc w:val="center"/>
        <w:rPr>
          <w:b/>
          <w:szCs w:val="24"/>
        </w:rPr>
      </w:pPr>
      <w:r>
        <w:rPr>
          <w:b/>
          <w:szCs w:val="24"/>
        </w:rPr>
        <w:t>OMB control number 0584-0609</w:t>
      </w:r>
    </w:p>
    <w:p w14:paraId="39AF7740" w14:textId="782A94A2" w:rsidR="00AD321F" w:rsidRPr="00C15257" w:rsidRDefault="00AD321F" w:rsidP="00C15257">
      <w:pPr>
        <w:pStyle w:val="Body11ptCalibri-IPR"/>
        <w:spacing w:line="360" w:lineRule="auto"/>
        <w:ind w:firstLine="0"/>
        <w:jc w:val="center"/>
        <w:rPr>
          <w:rFonts w:ascii="Times New Roman" w:hAnsi="Times New Roman"/>
          <w:b/>
          <w:noProof/>
          <w:sz w:val="24"/>
        </w:rPr>
      </w:pPr>
      <w:r w:rsidRPr="00C15257">
        <w:rPr>
          <w:rFonts w:ascii="Times New Roman" w:hAnsi="Times New Roman"/>
          <w:b/>
          <w:noProof/>
          <w:sz w:val="24"/>
        </w:rPr>
        <w:t>Review conducted by Anna Potter Clifford at FNS.</w:t>
      </w:r>
    </w:p>
    <w:p w14:paraId="1FFF9C51" w14:textId="0C54C07F" w:rsidR="00C20516" w:rsidRDefault="00AD321F" w:rsidP="00D9714B">
      <w:pPr>
        <w:pStyle w:val="Footer"/>
        <w:tabs>
          <w:tab w:val="clear" w:pos="4320"/>
          <w:tab w:val="clear" w:pos="8640"/>
          <w:tab w:val="right" w:pos="9270"/>
        </w:tabs>
        <w:spacing w:after="120"/>
        <w:jc w:val="both"/>
        <w:rPr>
          <w:rFonts w:ascii="Tahoma" w:hAnsi="Tahoma" w:cs="Tahoma"/>
          <w:b/>
          <w:noProof/>
          <w:szCs w:val="24"/>
          <w:u w:val="single"/>
        </w:rPr>
      </w:pPr>
      <w:r w:rsidRPr="00AD321F">
        <w:rPr>
          <w:rFonts w:ascii="Tahoma" w:hAnsi="Tahoma" w:cs="Tahoma"/>
          <w:b/>
          <w:noProof/>
          <w:szCs w:val="24"/>
          <w:u w:val="single"/>
        </w:rPr>
        <w:t>Part A</w:t>
      </w:r>
      <w:r w:rsidR="00C20516" w:rsidRPr="00AD321F">
        <w:rPr>
          <w:rFonts w:ascii="Tahoma" w:hAnsi="Tahoma" w:cs="Tahoma"/>
          <w:b/>
          <w:noProof/>
          <w:szCs w:val="24"/>
          <w:u w:val="single"/>
        </w:rPr>
        <w:tab/>
      </w:r>
    </w:p>
    <w:p w14:paraId="2A697A6A" w14:textId="668505D0" w:rsidR="00AD321F" w:rsidRDefault="00C73FB8" w:rsidP="00C73FB8">
      <w:pPr>
        <w:pStyle w:val="Body11ptCalibri-IPR"/>
        <w:ind w:firstLine="0"/>
        <w:rPr>
          <w:noProof/>
        </w:rPr>
      </w:pPr>
      <w:r>
        <w:rPr>
          <w:noProof/>
        </w:rPr>
        <w:t xml:space="preserve">The NASS reviewer requested </w:t>
      </w:r>
      <w:r w:rsidR="000F1D2B">
        <w:rPr>
          <w:noProof/>
        </w:rPr>
        <w:t>changes in two sections of OMB Package Part A. In response,</w:t>
      </w:r>
      <w:r>
        <w:rPr>
          <w:noProof/>
        </w:rPr>
        <w:t xml:space="preserve"> FNS expanded sections A.1 and A.2 to provided more detail about the </w:t>
      </w:r>
      <w:r w:rsidR="000F1D2B">
        <w:rPr>
          <w:noProof/>
        </w:rPr>
        <w:t xml:space="preserve">circumstances that make the data collection necessary, how data is collected, and the history of the data collection and how requirements have changed over time. FNS also further explained that the specific data elements to be collected can be found in the </w:t>
      </w:r>
      <w:r w:rsidR="000F1D2B">
        <w:rPr>
          <w:i/>
          <w:iCs/>
          <w:noProof/>
        </w:rPr>
        <w:t>Guidance</w:t>
      </w:r>
      <w:r w:rsidR="00531EC5">
        <w:rPr>
          <w:i/>
          <w:iCs/>
          <w:noProof/>
        </w:rPr>
        <w:t xml:space="preserve"> to </w:t>
      </w:r>
      <w:r w:rsidR="00AB65E4">
        <w:rPr>
          <w:i/>
          <w:iCs/>
          <w:noProof/>
        </w:rPr>
        <w:t xml:space="preserve">WIC </w:t>
      </w:r>
      <w:r w:rsidR="00531EC5">
        <w:rPr>
          <w:i/>
          <w:iCs/>
          <w:noProof/>
        </w:rPr>
        <w:t xml:space="preserve">State Agencies </w:t>
      </w:r>
      <w:r w:rsidR="00AB65E4">
        <w:rPr>
          <w:i/>
          <w:iCs/>
          <w:noProof/>
        </w:rPr>
        <w:t xml:space="preserve">Providing Participant </w:t>
      </w:r>
      <w:r w:rsidR="00531EC5">
        <w:rPr>
          <w:i/>
          <w:iCs/>
          <w:noProof/>
        </w:rPr>
        <w:t>Data</w:t>
      </w:r>
      <w:r w:rsidR="000F1D2B">
        <w:rPr>
          <w:i/>
          <w:iCs/>
          <w:noProof/>
        </w:rPr>
        <w:t xml:space="preserve">, </w:t>
      </w:r>
      <w:r w:rsidR="000F1D2B">
        <w:rPr>
          <w:noProof/>
        </w:rPr>
        <w:t xml:space="preserve">included in the OMB package as </w:t>
      </w:r>
      <w:r w:rsidR="00531EC5">
        <w:rPr>
          <w:noProof/>
        </w:rPr>
        <w:t>a</w:t>
      </w:r>
      <w:r w:rsidR="000F1D2B">
        <w:rPr>
          <w:noProof/>
        </w:rPr>
        <w:t>ppendix D. FNS also modified section A.16 to include more detail about data cleaning procedures</w:t>
      </w:r>
      <w:r w:rsidR="00217BB6">
        <w:rPr>
          <w:noProof/>
        </w:rPr>
        <w:t>. Specifically, we provided a high-level summary of the four</w:t>
      </w:r>
      <w:r w:rsidR="00531EC5">
        <w:rPr>
          <w:noProof/>
        </w:rPr>
        <w:t xml:space="preserve"> </w:t>
      </w:r>
      <w:r w:rsidR="00217BB6">
        <w:rPr>
          <w:noProof/>
        </w:rPr>
        <w:t xml:space="preserve">phases of the data cleaning plan </w:t>
      </w:r>
      <w:r w:rsidR="00240ACD" w:rsidRPr="00217BB6">
        <w:rPr>
          <w:noProof/>
        </w:rPr>
        <w:t>in section A.</w:t>
      </w:r>
      <w:r w:rsidR="00240ACD" w:rsidRPr="00B13536">
        <w:rPr>
          <w:noProof/>
        </w:rPr>
        <w:t>16</w:t>
      </w:r>
      <w:r w:rsidR="00217BB6" w:rsidRPr="00B13536">
        <w:rPr>
          <w:noProof/>
        </w:rPr>
        <w:t xml:space="preserve"> and </w:t>
      </w:r>
      <w:r w:rsidR="00240ACD" w:rsidRPr="00B13536">
        <w:rPr>
          <w:noProof/>
        </w:rPr>
        <w:t xml:space="preserve">included </w:t>
      </w:r>
      <w:r w:rsidR="00531EC5">
        <w:rPr>
          <w:noProof/>
        </w:rPr>
        <w:t xml:space="preserve">an exerpt from the </w:t>
      </w:r>
      <w:r w:rsidR="00240ACD" w:rsidRPr="00B13536">
        <w:rPr>
          <w:noProof/>
        </w:rPr>
        <w:t>WIC PC</w:t>
      </w:r>
      <w:r w:rsidR="00531EC5">
        <w:rPr>
          <w:noProof/>
        </w:rPr>
        <w:t>2018 Final</w:t>
      </w:r>
      <w:r w:rsidR="00240ACD" w:rsidRPr="00B13536">
        <w:rPr>
          <w:noProof/>
        </w:rPr>
        <w:t xml:space="preserve"> Data Cleaning Plan </w:t>
      </w:r>
      <w:r w:rsidR="00B13536" w:rsidRPr="00B13536">
        <w:rPr>
          <w:noProof/>
        </w:rPr>
        <w:t xml:space="preserve">as </w:t>
      </w:r>
      <w:r w:rsidR="00531EC5">
        <w:rPr>
          <w:noProof/>
        </w:rPr>
        <w:t>a</w:t>
      </w:r>
      <w:r w:rsidR="00240ACD" w:rsidRPr="00B13536">
        <w:rPr>
          <w:noProof/>
        </w:rPr>
        <w:t xml:space="preserve">ppendix </w:t>
      </w:r>
      <w:r w:rsidR="0096158C">
        <w:rPr>
          <w:noProof/>
        </w:rPr>
        <w:t>O</w:t>
      </w:r>
      <w:r w:rsidR="00240ACD" w:rsidRPr="00B13536">
        <w:rPr>
          <w:noProof/>
        </w:rPr>
        <w:t>.</w:t>
      </w:r>
      <w:r w:rsidR="00240ACD">
        <w:rPr>
          <w:noProof/>
        </w:rPr>
        <w:t xml:space="preserve"> </w:t>
      </w:r>
    </w:p>
    <w:p w14:paraId="5F6FDF6E" w14:textId="39A502B8" w:rsidR="00C73FB8" w:rsidRDefault="00C73FB8" w:rsidP="00C73FB8">
      <w:pPr>
        <w:pStyle w:val="Footer"/>
        <w:tabs>
          <w:tab w:val="clear" w:pos="4320"/>
          <w:tab w:val="clear" w:pos="8640"/>
          <w:tab w:val="right" w:pos="9270"/>
        </w:tabs>
        <w:spacing w:after="120"/>
        <w:jc w:val="both"/>
        <w:rPr>
          <w:rFonts w:ascii="Tahoma" w:hAnsi="Tahoma" w:cs="Tahoma"/>
          <w:b/>
          <w:noProof/>
          <w:szCs w:val="24"/>
          <w:u w:val="single"/>
        </w:rPr>
      </w:pPr>
      <w:r w:rsidRPr="00AD321F">
        <w:rPr>
          <w:rFonts w:ascii="Tahoma" w:hAnsi="Tahoma" w:cs="Tahoma"/>
          <w:b/>
          <w:noProof/>
          <w:szCs w:val="24"/>
          <w:u w:val="single"/>
        </w:rPr>
        <w:t xml:space="preserve">Part </w:t>
      </w:r>
      <w:r>
        <w:rPr>
          <w:rFonts w:ascii="Tahoma" w:hAnsi="Tahoma" w:cs="Tahoma"/>
          <w:b/>
          <w:noProof/>
          <w:szCs w:val="24"/>
          <w:u w:val="single"/>
        </w:rPr>
        <w:t>B</w:t>
      </w:r>
      <w:r w:rsidRPr="00AD321F">
        <w:rPr>
          <w:rFonts w:ascii="Tahoma" w:hAnsi="Tahoma" w:cs="Tahoma"/>
          <w:b/>
          <w:noProof/>
          <w:szCs w:val="24"/>
          <w:u w:val="single"/>
        </w:rPr>
        <w:tab/>
      </w:r>
    </w:p>
    <w:p w14:paraId="7DF1B3BA" w14:textId="56EB9784" w:rsidR="00C73FB8" w:rsidRDefault="000F1D2B" w:rsidP="00C73FB8">
      <w:pPr>
        <w:pStyle w:val="Body11ptCalibri-IPR"/>
        <w:ind w:firstLine="0"/>
        <w:rPr>
          <w:noProof/>
        </w:rPr>
      </w:pPr>
      <w:r>
        <w:rPr>
          <w:noProof/>
        </w:rPr>
        <w:t xml:space="preserve">The NASS reviewer asked four questions about OMB Package Part B: </w:t>
      </w:r>
    </w:p>
    <w:p w14:paraId="08746247" w14:textId="7178CAE2" w:rsidR="000F1D2B" w:rsidRPr="00C15257" w:rsidRDefault="000F1D2B" w:rsidP="000F1D2B">
      <w:pPr>
        <w:pStyle w:val="Body11ptCalibri-IPR"/>
        <w:numPr>
          <w:ilvl w:val="0"/>
          <w:numId w:val="1"/>
        </w:numPr>
        <w:rPr>
          <w:b/>
          <w:bCs/>
          <w:noProof/>
        </w:rPr>
      </w:pPr>
      <w:r w:rsidRPr="00C15257">
        <w:rPr>
          <w:b/>
          <w:bCs/>
          <w:noProof/>
        </w:rPr>
        <w:t xml:space="preserve">It is anticipated that data on 100 percent of WIC participants from each WIC SA will be received, was this the case for previous studies? </w:t>
      </w:r>
    </w:p>
    <w:p w14:paraId="420C251B" w14:textId="76959666" w:rsidR="000F1D2B" w:rsidRDefault="000F1D2B" w:rsidP="000F1D2B">
      <w:pPr>
        <w:pStyle w:val="Body11ptCalibri-IPR"/>
        <w:ind w:left="720" w:firstLine="0"/>
        <w:rPr>
          <w:noProof/>
        </w:rPr>
      </w:pPr>
      <w:r w:rsidRPr="00467A6B">
        <w:rPr>
          <w:noProof/>
          <w:u w:val="single"/>
        </w:rPr>
        <w:t>FNS response</w:t>
      </w:r>
      <w:r>
        <w:rPr>
          <w:noProof/>
        </w:rPr>
        <w:t xml:space="preserve">: </w:t>
      </w:r>
      <w:r w:rsidR="00C2331F">
        <w:rPr>
          <w:noProof/>
        </w:rPr>
        <w:t xml:space="preserve">We have revised our response to B.3 to reflect one instance where a State agency could not provide data on 100 percent of participants. </w:t>
      </w:r>
      <w:r w:rsidR="008B426E">
        <w:rPr>
          <w:noProof/>
        </w:rPr>
        <w:t xml:space="preserve"> </w:t>
      </w:r>
      <w:r w:rsidR="00467A6B">
        <w:rPr>
          <w:noProof/>
        </w:rPr>
        <w:t xml:space="preserve"> </w:t>
      </w:r>
    </w:p>
    <w:p w14:paraId="1739F378" w14:textId="45C6F035" w:rsidR="000F1D2B" w:rsidRPr="00C15257" w:rsidRDefault="000F1D2B" w:rsidP="000F1D2B">
      <w:pPr>
        <w:pStyle w:val="Body11ptCalibri-IPR"/>
        <w:numPr>
          <w:ilvl w:val="0"/>
          <w:numId w:val="1"/>
        </w:numPr>
        <w:rPr>
          <w:b/>
          <w:bCs/>
          <w:noProof/>
        </w:rPr>
      </w:pPr>
      <w:r w:rsidRPr="00C15257">
        <w:rPr>
          <w:b/>
          <w:bCs/>
          <w:noProof/>
        </w:rPr>
        <w:t xml:space="preserve">Has the alternative sampling strategy ever been used in previous studies? </w:t>
      </w:r>
    </w:p>
    <w:p w14:paraId="40115A2B" w14:textId="538AA5F4" w:rsidR="000F1D2B" w:rsidRDefault="000F1D2B" w:rsidP="000F1D2B">
      <w:pPr>
        <w:pStyle w:val="Body11ptCalibri-IPR"/>
        <w:ind w:left="720" w:firstLine="0"/>
        <w:rPr>
          <w:noProof/>
        </w:rPr>
      </w:pPr>
      <w:r w:rsidRPr="00467A6B">
        <w:rPr>
          <w:noProof/>
          <w:u w:val="single"/>
        </w:rPr>
        <w:t>FNS response</w:t>
      </w:r>
      <w:r>
        <w:rPr>
          <w:noProof/>
        </w:rPr>
        <w:t xml:space="preserve">: </w:t>
      </w:r>
      <w:r w:rsidR="00467A6B">
        <w:rPr>
          <w:noProof/>
        </w:rPr>
        <w:t>FNS has not had to use the alternative sampling strategy</w:t>
      </w:r>
      <w:r w:rsidR="008B426E">
        <w:rPr>
          <w:noProof/>
        </w:rPr>
        <w:t xml:space="preserve">; we </w:t>
      </w:r>
      <w:r w:rsidR="00467A6B">
        <w:rPr>
          <w:noProof/>
        </w:rPr>
        <w:t>explained</w:t>
      </w:r>
      <w:r w:rsidR="008B426E">
        <w:rPr>
          <w:noProof/>
        </w:rPr>
        <w:t xml:space="preserve"> this</w:t>
      </w:r>
      <w:r w:rsidR="00467A6B">
        <w:rPr>
          <w:noProof/>
        </w:rPr>
        <w:t xml:space="preserve"> at the beginning of OMB Package Part A in the section titled, Terms of Clearance. </w:t>
      </w:r>
    </w:p>
    <w:p w14:paraId="16E0799F" w14:textId="74BCEF5F" w:rsidR="000F1D2B" w:rsidRPr="00C15257" w:rsidRDefault="000F1D2B" w:rsidP="000F1D2B">
      <w:pPr>
        <w:pStyle w:val="Body11ptCalibri-IPR"/>
        <w:numPr>
          <w:ilvl w:val="0"/>
          <w:numId w:val="1"/>
        </w:numPr>
        <w:rPr>
          <w:b/>
          <w:bCs/>
          <w:noProof/>
        </w:rPr>
      </w:pPr>
      <w:r w:rsidRPr="00C15257">
        <w:rPr>
          <w:b/>
          <w:bCs/>
          <w:noProof/>
        </w:rPr>
        <w:t xml:space="preserve">Even if you receive a 100% response rate on this survey, is it possible have missing items for some records? </w:t>
      </w:r>
    </w:p>
    <w:p w14:paraId="5286D5F0" w14:textId="090D5E08" w:rsidR="007A4A04" w:rsidRDefault="000F1D2B" w:rsidP="000F1D2B">
      <w:pPr>
        <w:pStyle w:val="Body11ptCalibri-IPR"/>
        <w:ind w:left="720" w:firstLine="0"/>
        <w:rPr>
          <w:noProof/>
        </w:rPr>
      </w:pPr>
      <w:r w:rsidRPr="00467A6B">
        <w:rPr>
          <w:noProof/>
          <w:u w:val="single"/>
        </w:rPr>
        <w:t>FNS response</w:t>
      </w:r>
      <w:r>
        <w:rPr>
          <w:noProof/>
        </w:rPr>
        <w:t xml:space="preserve">: </w:t>
      </w:r>
      <w:r w:rsidR="00B13536">
        <w:rPr>
          <w:noProof/>
        </w:rPr>
        <w:t xml:space="preserve">Yes, it is possible to have missing items for some records. </w:t>
      </w:r>
      <w:r w:rsidR="007A4A04">
        <w:rPr>
          <w:noProof/>
        </w:rPr>
        <w:t xml:space="preserve">However, FNS has procedures in place to handle missing data </w:t>
      </w:r>
      <w:r w:rsidR="00B13536">
        <w:rPr>
          <w:noProof/>
        </w:rPr>
        <w:t>(see appendix P</w:t>
      </w:r>
      <w:r w:rsidR="009375C7">
        <w:rPr>
          <w:noProof/>
        </w:rPr>
        <w:t xml:space="preserve">. </w:t>
      </w:r>
      <w:r w:rsidR="009375C7">
        <w:t>Excerpt from WIC PC</w:t>
      </w:r>
      <w:r w:rsidR="008B426E">
        <w:t>2018 Final</w:t>
      </w:r>
      <w:r w:rsidR="009375C7">
        <w:t xml:space="preserve"> Data Cleaning Plan</w:t>
      </w:r>
      <w:r w:rsidR="00B13536">
        <w:rPr>
          <w:noProof/>
        </w:rPr>
        <w:t>).</w:t>
      </w:r>
      <w:r w:rsidR="007A4A04">
        <w:rPr>
          <w:noProof/>
        </w:rPr>
        <w:t xml:space="preserve"> </w:t>
      </w:r>
    </w:p>
    <w:p w14:paraId="5907493E" w14:textId="481F3887" w:rsidR="000F1D2B" w:rsidRPr="00C15257" w:rsidRDefault="000F1D2B" w:rsidP="000F1D2B">
      <w:pPr>
        <w:pStyle w:val="Body11ptCalibri-IPR"/>
        <w:numPr>
          <w:ilvl w:val="0"/>
          <w:numId w:val="1"/>
        </w:numPr>
        <w:rPr>
          <w:b/>
          <w:bCs/>
          <w:noProof/>
        </w:rPr>
      </w:pPr>
      <w:r w:rsidRPr="00C15257">
        <w:rPr>
          <w:b/>
          <w:bCs/>
          <w:noProof/>
        </w:rPr>
        <w:t>How will missing data be handled?</w:t>
      </w:r>
    </w:p>
    <w:p w14:paraId="70C86097" w14:textId="6C70851D" w:rsidR="000F1D2B" w:rsidRPr="00AD321F" w:rsidRDefault="000F1D2B" w:rsidP="000F1D2B">
      <w:pPr>
        <w:pStyle w:val="Body11ptCalibri-IPR"/>
        <w:ind w:left="720" w:firstLine="0"/>
        <w:rPr>
          <w:noProof/>
        </w:rPr>
      </w:pPr>
      <w:r w:rsidRPr="00467A6B">
        <w:rPr>
          <w:noProof/>
          <w:u w:val="single"/>
        </w:rPr>
        <w:t>FNS response</w:t>
      </w:r>
      <w:r>
        <w:rPr>
          <w:noProof/>
        </w:rPr>
        <w:t xml:space="preserve">: </w:t>
      </w:r>
      <w:r w:rsidR="00C15257">
        <w:rPr>
          <w:noProof/>
        </w:rPr>
        <w:t xml:space="preserve">When </w:t>
      </w:r>
      <w:r w:rsidR="008B426E">
        <w:rPr>
          <w:noProof/>
        </w:rPr>
        <w:t>WIC SAs</w:t>
      </w:r>
      <w:r w:rsidR="009375C7">
        <w:rPr>
          <w:noProof/>
        </w:rPr>
        <w:t xml:space="preserve"> submit data files with </w:t>
      </w:r>
      <w:r w:rsidR="00766AD3">
        <w:rPr>
          <w:noProof/>
        </w:rPr>
        <w:t xml:space="preserve">missing </w:t>
      </w:r>
      <w:r w:rsidR="009375C7">
        <w:rPr>
          <w:noProof/>
        </w:rPr>
        <w:t xml:space="preserve">data elements, FNS makes every </w:t>
      </w:r>
      <w:r w:rsidR="007A4A04">
        <w:rPr>
          <w:noProof/>
        </w:rPr>
        <w:t>every effort</w:t>
      </w:r>
      <w:r w:rsidR="009375C7">
        <w:rPr>
          <w:noProof/>
        </w:rPr>
        <w:t xml:space="preserve"> to obtain the missing information from the </w:t>
      </w:r>
      <w:r w:rsidR="002F1C2B">
        <w:rPr>
          <w:noProof/>
        </w:rPr>
        <w:t xml:space="preserve">SA </w:t>
      </w:r>
      <w:r w:rsidR="00766AD3">
        <w:rPr>
          <w:noProof/>
        </w:rPr>
        <w:t xml:space="preserve">(see processes described in </w:t>
      </w:r>
      <w:r w:rsidR="004048D4">
        <w:rPr>
          <w:noProof/>
        </w:rPr>
        <w:t>section A.12</w:t>
      </w:r>
      <w:r w:rsidR="00766AD3">
        <w:rPr>
          <w:noProof/>
        </w:rPr>
        <w:t>)</w:t>
      </w:r>
      <w:r w:rsidR="004048D4">
        <w:rPr>
          <w:noProof/>
        </w:rPr>
        <w:t xml:space="preserve">. </w:t>
      </w:r>
      <w:r w:rsidR="00766AD3">
        <w:rPr>
          <w:noProof/>
        </w:rPr>
        <w:t xml:space="preserve">If a </w:t>
      </w:r>
      <w:r w:rsidR="002F1C2B">
        <w:rPr>
          <w:noProof/>
        </w:rPr>
        <w:t>WIC SA</w:t>
      </w:r>
      <w:r w:rsidR="00766AD3">
        <w:rPr>
          <w:noProof/>
        </w:rPr>
        <w:t xml:space="preserve"> still cannot produce data for certain items, </w:t>
      </w:r>
      <w:r w:rsidR="002F1C2B">
        <w:rPr>
          <w:noProof/>
        </w:rPr>
        <w:t>those items</w:t>
      </w:r>
      <w:r w:rsidR="007A4A04">
        <w:rPr>
          <w:noProof/>
        </w:rPr>
        <w:t xml:space="preserve"> may be excluded from reporting. </w:t>
      </w:r>
      <w:r w:rsidR="002F1C2B">
        <w:rPr>
          <w:noProof/>
        </w:rPr>
        <w:t xml:space="preserve">Generally, </w:t>
      </w:r>
      <w:r w:rsidR="004048D4">
        <w:rPr>
          <w:noProof/>
        </w:rPr>
        <w:t xml:space="preserve">excluded data elements are described in </w:t>
      </w:r>
      <w:r w:rsidR="007A4A04">
        <w:rPr>
          <w:noProof/>
        </w:rPr>
        <w:t>footnote</w:t>
      </w:r>
      <w:r w:rsidR="00245F45">
        <w:rPr>
          <w:noProof/>
        </w:rPr>
        <w:t xml:space="preserve">s </w:t>
      </w:r>
      <w:r w:rsidR="00ED5656">
        <w:rPr>
          <w:noProof/>
        </w:rPr>
        <w:t xml:space="preserve">to </w:t>
      </w:r>
      <w:r w:rsidR="00245F45">
        <w:rPr>
          <w:noProof/>
        </w:rPr>
        <w:t xml:space="preserve">tables </w:t>
      </w:r>
      <w:r w:rsidR="00ED5656">
        <w:rPr>
          <w:noProof/>
        </w:rPr>
        <w:t>and/</w:t>
      </w:r>
      <w:r w:rsidR="00245F45">
        <w:rPr>
          <w:noProof/>
        </w:rPr>
        <w:t xml:space="preserve">or figures </w:t>
      </w:r>
      <w:r w:rsidR="002F1C2B">
        <w:rPr>
          <w:noProof/>
        </w:rPr>
        <w:t>in the final report</w:t>
      </w:r>
      <w:r w:rsidR="00245F45">
        <w:rPr>
          <w:noProof/>
        </w:rPr>
        <w:t>.</w:t>
      </w:r>
      <w:r w:rsidR="00766AD3">
        <w:rPr>
          <w:noProof/>
        </w:rPr>
        <w:t xml:space="preserve"> </w:t>
      </w:r>
      <w:r w:rsidR="00ED5656">
        <w:rPr>
          <w:noProof/>
        </w:rPr>
        <w:t xml:space="preserve">For more information on how missing data are handled, see </w:t>
      </w:r>
      <w:r w:rsidR="002F1C2B">
        <w:rPr>
          <w:noProof/>
        </w:rPr>
        <w:t>a</w:t>
      </w:r>
      <w:r w:rsidR="00ED5656">
        <w:rPr>
          <w:noProof/>
        </w:rPr>
        <w:t>ppendix P.</w:t>
      </w:r>
    </w:p>
    <w:sectPr w:rsidR="000F1D2B" w:rsidRPr="00AD321F" w:rsidSect="00362AD4">
      <w:headerReference w:type="default" r:id="rId8"/>
      <w:footerReference w:type="default" r:id="rId9"/>
      <w:endnotePr>
        <w:numFmt w:val="decimal"/>
      </w:endnotePr>
      <w:pgSz w:w="12240" w:h="15840"/>
      <w:pgMar w:top="1440" w:right="1440" w:bottom="1440" w:left="1440" w:header="864"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D1716" w14:textId="77777777" w:rsidR="00143FBE" w:rsidRDefault="00143FBE">
      <w:r>
        <w:separator/>
      </w:r>
    </w:p>
  </w:endnote>
  <w:endnote w:type="continuationSeparator" w:id="0">
    <w:p w14:paraId="7FBBA7C8" w14:textId="77777777" w:rsidR="00143FBE" w:rsidRDefault="00143FBE">
      <w:r>
        <w:continuationSeparator/>
      </w:r>
    </w:p>
  </w:endnote>
  <w:endnote w:type="continuationNotice" w:id="1">
    <w:p w14:paraId="47B106E0" w14:textId="77777777" w:rsidR="00143FBE" w:rsidRDefault="00143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889B0" w14:textId="53C6323B" w:rsidR="00362AD4" w:rsidRPr="00050662" w:rsidRDefault="009671AC" w:rsidP="00FE2205">
    <w:pPr>
      <w:pBdr>
        <w:top w:val="single" w:sz="8" w:space="1" w:color="B12732"/>
      </w:pBdr>
      <w:tabs>
        <w:tab w:val="right" w:pos="9360"/>
      </w:tabs>
      <w:rPr>
        <w:sz w:val="20"/>
      </w:rPr>
    </w:pPr>
    <w:r>
      <w:rPr>
        <w:rStyle w:val="FooterTitle-IPRChar"/>
        <w:rFonts w:eastAsia="Calibri"/>
        <w:sz w:val="20"/>
      </w:rPr>
      <w:t>W</w:t>
    </w:r>
    <w:r w:rsidR="00ED1514">
      <w:rPr>
        <w:rStyle w:val="FooterTitle-IPRChar"/>
        <w:rFonts w:eastAsia="Calibri"/>
        <w:sz w:val="20"/>
      </w:rPr>
      <w:t xml:space="preserve">IC Participant and Program Characteristics </w:t>
    </w:r>
    <w:r w:rsidR="00CA64DC">
      <w:rPr>
        <w:rStyle w:val="FooterTitle-IPRChar"/>
        <w:rFonts w:eastAsia="Calibri"/>
        <w:sz w:val="20"/>
      </w:rPr>
      <w:t xml:space="preserve">Study </w:t>
    </w:r>
    <w:r w:rsidR="00ED1514">
      <w:rPr>
        <w:rStyle w:val="FooterTitle-IPRChar"/>
        <w:rFonts w:eastAsia="Calibri"/>
        <w:sz w:val="20"/>
      </w:rPr>
      <w:t xml:space="preserve">2020 and 2022, Appendix </w:t>
    </w:r>
    <w:r w:rsidR="005D430E">
      <w:rPr>
        <w:rStyle w:val="FooterTitle-IPRChar"/>
        <w:rFonts w:eastAsia="Calibri"/>
        <w:sz w:val="20"/>
      </w:rPr>
      <w:t>N</w:t>
    </w:r>
    <w:r w:rsidR="001D5F57">
      <w:rPr>
        <w:rStyle w:val="FooterTitle-IPRChar"/>
        <w:rFonts w:eastAsia="Calibri"/>
        <w:sz w:val="20"/>
      </w:rPr>
      <w:t>.</w:t>
    </w:r>
    <w:r w:rsidR="005602D3">
      <w:rPr>
        <w:rStyle w:val="FooterTitle-IPRChar"/>
        <w:rFonts w:eastAsia="Calibri"/>
        <w:sz w:val="20"/>
      </w:rPr>
      <w:t>2</w:t>
    </w:r>
    <w:r w:rsidR="009F0D53">
      <w:rPr>
        <w:rStyle w:val="FooterTitle-IPRChar"/>
        <w:rFonts w:eastAsia="Calibri"/>
        <w:sz w:val="20"/>
      </w:rPr>
      <w:t>.</w:t>
    </w:r>
    <w:r w:rsidR="005602D3">
      <w:rPr>
        <w:rStyle w:val="FooterTitle-IPRChar"/>
        <w:rFonts w:eastAsia="Calibri"/>
        <w:sz w:val="20"/>
      </w:rPr>
      <w:t>FNS Response to</w:t>
    </w:r>
    <w:r w:rsidR="009F0D53">
      <w:rPr>
        <w:rStyle w:val="FooterTitle-IPRChar"/>
        <w:rFonts w:eastAsia="Calibri"/>
        <w:sz w:val="20"/>
      </w:rPr>
      <w:t xml:space="preserve"> </w:t>
    </w:r>
    <w:r w:rsidR="001D5F57">
      <w:rPr>
        <w:rStyle w:val="FooterTitle-IPRChar"/>
        <w:rFonts w:eastAsia="Calibri"/>
        <w:sz w:val="20"/>
      </w:rPr>
      <w:t>NASS Comments on OMB Package</w:t>
    </w:r>
    <w:r w:rsidR="00546361" w:rsidRPr="00050662">
      <w:rPr>
        <w:rStyle w:val="FooterTitle-IPRChar"/>
        <w:rFonts w:eastAsia="Calibri"/>
        <w:sz w:val="20"/>
      </w:rPr>
      <w:tab/>
    </w:r>
    <w:r w:rsidR="00546361" w:rsidRPr="00050662">
      <w:rPr>
        <w:rStyle w:val="FooterTitle-IPRChar"/>
        <w:rFonts w:eastAsia="Calibri"/>
        <w:sz w:val="20"/>
      </w:rPr>
      <w:fldChar w:fldCharType="begin"/>
    </w:r>
    <w:r w:rsidR="00546361" w:rsidRPr="00050662">
      <w:rPr>
        <w:rStyle w:val="FooterTitle-IPRChar"/>
        <w:rFonts w:eastAsia="Calibri"/>
        <w:sz w:val="20"/>
      </w:rPr>
      <w:instrText xml:space="preserve"> PAGE   \* MERGEFORMAT </w:instrText>
    </w:r>
    <w:r w:rsidR="00546361" w:rsidRPr="00050662">
      <w:rPr>
        <w:rStyle w:val="FooterTitle-IPRChar"/>
        <w:rFonts w:eastAsia="Calibri"/>
        <w:sz w:val="20"/>
      </w:rPr>
      <w:fldChar w:fldCharType="separate"/>
    </w:r>
    <w:r w:rsidR="00A22D06">
      <w:rPr>
        <w:rStyle w:val="FooterTitle-IPRChar"/>
        <w:rFonts w:eastAsia="Calibri"/>
        <w:noProof/>
        <w:sz w:val="20"/>
      </w:rPr>
      <w:t>1</w:t>
    </w:r>
    <w:r w:rsidR="00546361" w:rsidRPr="00050662">
      <w:rPr>
        <w:rStyle w:val="FooterTitle-IPRChar"/>
        <w:rFonts w:eastAsia="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D5762" w14:textId="77777777" w:rsidR="00143FBE" w:rsidRDefault="00143FBE">
      <w:r>
        <w:separator/>
      </w:r>
    </w:p>
  </w:footnote>
  <w:footnote w:type="continuationSeparator" w:id="0">
    <w:p w14:paraId="73AE7541" w14:textId="77777777" w:rsidR="00143FBE" w:rsidRDefault="00143FBE">
      <w:r>
        <w:continuationSeparator/>
      </w:r>
    </w:p>
  </w:footnote>
  <w:footnote w:type="continuationNotice" w:id="1">
    <w:p w14:paraId="3B7EE4C7" w14:textId="77777777" w:rsidR="00143FBE" w:rsidRDefault="00143F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40876" w14:textId="77777777" w:rsidR="00F16B4D" w:rsidRPr="00546361" w:rsidRDefault="00F16B4D" w:rsidP="00546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C3CF5"/>
    <w:multiLevelType w:val="hybridMultilevel"/>
    <w:tmpl w:val="946C8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56"/>
    <w:rsid w:val="00015ED1"/>
    <w:rsid w:val="00016689"/>
    <w:rsid w:val="00020C35"/>
    <w:rsid w:val="00033F75"/>
    <w:rsid w:val="0004181D"/>
    <w:rsid w:val="00050662"/>
    <w:rsid w:val="00060998"/>
    <w:rsid w:val="00062D1C"/>
    <w:rsid w:val="0006635E"/>
    <w:rsid w:val="00066514"/>
    <w:rsid w:val="00082C51"/>
    <w:rsid w:val="00091AF9"/>
    <w:rsid w:val="000E3C31"/>
    <w:rsid w:val="000F03BB"/>
    <w:rsid w:val="000F1D2B"/>
    <w:rsid w:val="000F548A"/>
    <w:rsid w:val="00115188"/>
    <w:rsid w:val="00143FBE"/>
    <w:rsid w:val="001761E2"/>
    <w:rsid w:val="00183648"/>
    <w:rsid w:val="00193D2E"/>
    <w:rsid w:val="001A461A"/>
    <w:rsid w:val="001B0067"/>
    <w:rsid w:val="001C1D2D"/>
    <w:rsid w:val="001C2501"/>
    <w:rsid w:val="001D5F57"/>
    <w:rsid w:val="001D75B8"/>
    <w:rsid w:val="002013B2"/>
    <w:rsid w:val="00210C65"/>
    <w:rsid w:val="00217BB6"/>
    <w:rsid w:val="00240ACD"/>
    <w:rsid w:val="00245F45"/>
    <w:rsid w:val="00281B88"/>
    <w:rsid w:val="00281D2C"/>
    <w:rsid w:val="00292C11"/>
    <w:rsid w:val="002B1656"/>
    <w:rsid w:val="002B7CA5"/>
    <w:rsid w:val="002F1C2B"/>
    <w:rsid w:val="002F448F"/>
    <w:rsid w:val="00353520"/>
    <w:rsid w:val="00362AD4"/>
    <w:rsid w:val="003D6040"/>
    <w:rsid w:val="004048D4"/>
    <w:rsid w:val="004454FF"/>
    <w:rsid w:val="004470E6"/>
    <w:rsid w:val="00467A6B"/>
    <w:rsid w:val="00492BEF"/>
    <w:rsid w:val="004B0107"/>
    <w:rsid w:val="004B7C48"/>
    <w:rsid w:val="004E4788"/>
    <w:rsid w:val="00504A5D"/>
    <w:rsid w:val="0051269A"/>
    <w:rsid w:val="00531EC5"/>
    <w:rsid w:val="00536AC4"/>
    <w:rsid w:val="00546361"/>
    <w:rsid w:val="005602D3"/>
    <w:rsid w:val="005A1563"/>
    <w:rsid w:val="005D2694"/>
    <w:rsid w:val="005D430E"/>
    <w:rsid w:val="005D5FE0"/>
    <w:rsid w:val="005F7777"/>
    <w:rsid w:val="0061599B"/>
    <w:rsid w:val="00624D5A"/>
    <w:rsid w:val="006427DC"/>
    <w:rsid w:val="00696EDB"/>
    <w:rsid w:val="006B1947"/>
    <w:rsid w:val="006D3317"/>
    <w:rsid w:val="007221E4"/>
    <w:rsid w:val="00745687"/>
    <w:rsid w:val="00766AD3"/>
    <w:rsid w:val="00766C87"/>
    <w:rsid w:val="007718D0"/>
    <w:rsid w:val="00797C95"/>
    <w:rsid w:val="007A4A04"/>
    <w:rsid w:val="007D26AB"/>
    <w:rsid w:val="008249EA"/>
    <w:rsid w:val="00842786"/>
    <w:rsid w:val="0086074C"/>
    <w:rsid w:val="00880335"/>
    <w:rsid w:val="008A0C96"/>
    <w:rsid w:val="008B426E"/>
    <w:rsid w:val="008C3455"/>
    <w:rsid w:val="008F51C4"/>
    <w:rsid w:val="008F5BD0"/>
    <w:rsid w:val="009375C7"/>
    <w:rsid w:val="0096158C"/>
    <w:rsid w:val="00966F72"/>
    <w:rsid w:val="009671AC"/>
    <w:rsid w:val="009C2131"/>
    <w:rsid w:val="009F0D53"/>
    <w:rsid w:val="00A148FB"/>
    <w:rsid w:val="00A22D06"/>
    <w:rsid w:val="00A84F33"/>
    <w:rsid w:val="00AB420B"/>
    <w:rsid w:val="00AB65E4"/>
    <w:rsid w:val="00AD321F"/>
    <w:rsid w:val="00B108E0"/>
    <w:rsid w:val="00B13536"/>
    <w:rsid w:val="00B73555"/>
    <w:rsid w:val="00B818A9"/>
    <w:rsid w:val="00BB73FF"/>
    <w:rsid w:val="00BD5384"/>
    <w:rsid w:val="00C11AE2"/>
    <w:rsid w:val="00C140A2"/>
    <w:rsid w:val="00C15257"/>
    <w:rsid w:val="00C20516"/>
    <w:rsid w:val="00C2331F"/>
    <w:rsid w:val="00C73FB8"/>
    <w:rsid w:val="00C86472"/>
    <w:rsid w:val="00C86AD1"/>
    <w:rsid w:val="00CA64DC"/>
    <w:rsid w:val="00CC76E0"/>
    <w:rsid w:val="00CE3741"/>
    <w:rsid w:val="00D11DF3"/>
    <w:rsid w:val="00D66E51"/>
    <w:rsid w:val="00D85D31"/>
    <w:rsid w:val="00D9714B"/>
    <w:rsid w:val="00DC598C"/>
    <w:rsid w:val="00DF1FF4"/>
    <w:rsid w:val="00E04810"/>
    <w:rsid w:val="00E04AA2"/>
    <w:rsid w:val="00E419F2"/>
    <w:rsid w:val="00E44299"/>
    <w:rsid w:val="00E724AD"/>
    <w:rsid w:val="00EB18EF"/>
    <w:rsid w:val="00EC074B"/>
    <w:rsid w:val="00ED1514"/>
    <w:rsid w:val="00ED5656"/>
    <w:rsid w:val="00F01786"/>
    <w:rsid w:val="00F10383"/>
    <w:rsid w:val="00F16B4D"/>
    <w:rsid w:val="00F21875"/>
    <w:rsid w:val="00F51BF9"/>
    <w:rsid w:val="00F56890"/>
    <w:rsid w:val="00F8201D"/>
    <w:rsid w:val="00FC2BB8"/>
    <w:rsid w:val="00FC48F2"/>
    <w:rsid w:val="00FE2205"/>
    <w:rsid w:val="00FE599C"/>
    <w:rsid w:val="00FF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8D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CONFIDENTIALITY PLEDGE</vt:lpstr>
    </vt:vector>
  </TitlesOfParts>
  <Company>Mathematica Policy Research</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creator>Julius Clark</dc:creator>
  <cp:lastModifiedBy>SYSTEM</cp:lastModifiedBy>
  <cp:revision>2</cp:revision>
  <cp:lastPrinted>2001-08-01T14:22:00Z</cp:lastPrinted>
  <dcterms:created xsi:type="dcterms:W3CDTF">2019-08-29T18:15:00Z</dcterms:created>
  <dcterms:modified xsi:type="dcterms:W3CDTF">2019-08-29T18:15:00Z</dcterms:modified>
</cp:coreProperties>
</file>