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574D47" w:rsidRPr="00E83613">
        <w:rPr>
          <w:rFonts w:ascii="Arial" w:hAnsi="Arial"/>
          <w:sz w:val="18"/>
          <w:szCs w:val="18"/>
          <w:highlight w:val="yellow"/>
        </w:rPr>
        <w:t>xx</w:t>
      </w:r>
      <w:r w:rsidR="00574D47">
        <w:rPr>
          <w:rFonts w:ascii="Arial" w:hAnsi="Arial"/>
          <w:sz w:val="18"/>
          <w:szCs w:val="18"/>
          <w:highlight w:val="yellow"/>
        </w:rPr>
        <w:t>/x</w:t>
      </w:r>
      <w:r w:rsidR="00574D47"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5A1F6E" w:rsidRPr="00861C40" w:rsidRDefault="00BE7D4D"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Aggregate nonwhiting abandonment </w:t>
            </w:r>
            <w:r w:rsidR="00A71EDE">
              <w:rPr>
                <w:rFonts w:ascii="Franklin Gothic Heavy" w:hAnsi="Franklin Gothic Heavy"/>
                <w:b/>
                <w:smallCaps/>
                <w:sz w:val="32"/>
                <w:szCs w:val="32"/>
              </w:rPr>
              <w:t>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7F6BA4"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6" o:title="noaalogo"/>
                </v:shape>
              </w:pict>
            </w:r>
          </w:p>
          <w:p w:rsidR="00311512" w:rsidRPr="00E2660E" w:rsidRDefault="0085174B" w:rsidP="00311512">
            <w:pPr>
              <w:rPr>
                <w:rFonts w:ascii="Arial" w:hAnsi="Arial"/>
                <w:b/>
                <w:sz w:val="16"/>
                <w:szCs w:val="16"/>
              </w:rPr>
            </w:pPr>
            <w:r>
              <w:rPr>
                <w:rFonts w:ascii="Arial" w:hAnsi="Arial"/>
                <w:b/>
                <w:sz w:val="16"/>
                <w:szCs w:val="16"/>
              </w:rPr>
              <w:t xml:space="preserve">    </w:t>
            </w:r>
            <w:r w:rsidR="00311512" w:rsidRPr="00E2660E">
              <w:rPr>
                <w:rFonts w:ascii="Arial" w:hAnsi="Arial"/>
                <w:b/>
                <w:sz w:val="16"/>
                <w:szCs w:val="16"/>
              </w:rPr>
              <w:t>UNITED STATES DEPARTMENT OF COMMERCE</w:t>
            </w:r>
          </w:p>
          <w:p w:rsidR="00311512" w:rsidRPr="00E2660E" w:rsidRDefault="00311512" w:rsidP="00311512">
            <w:pPr>
              <w:ind w:left="162"/>
              <w:rPr>
                <w:rFonts w:ascii="Arial" w:hAnsi="Arial"/>
                <w:b/>
                <w:sz w:val="16"/>
                <w:szCs w:val="16"/>
              </w:rPr>
            </w:pPr>
            <w:r w:rsidRPr="00E2660E">
              <w:rPr>
                <w:rFonts w:ascii="Arial" w:hAnsi="Arial"/>
                <w:b/>
                <w:sz w:val="16"/>
                <w:szCs w:val="16"/>
              </w:rPr>
              <w:t>National Oceanic and Atmospheric Administration</w:t>
            </w:r>
          </w:p>
          <w:p w:rsidR="00311512" w:rsidRDefault="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RDefault="00311512"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RDefault="00311512" w:rsidP="00311512">
            <w:pPr>
              <w:ind w:left="162"/>
              <w:rPr>
                <w:rFonts w:ascii="Arial" w:hAnsi="Arial"/>
                <w:sz w:val="16"/>
                <w:szCs w:val="16"/>
              </w:rPr>
            </w:pPr>
            <w:r w:rsidRPr="00E2660E">
              <w:rPr>
                <w:rFonts w:ascii="Arial" w:hAnsi="Arial"/>
                <w:sz w:val="16"/>
                <w:szCs w:val="16"/>
              </w:rPr>
              <w:t>7600 Sand Point Way NE, Bldg. 1</w:t>
            </w:r>
          </w:p>
          <w:p w:rsidR="00311512" w:rsidRPr="00E2660E" w:rsidRDefault="00311512" w:rsidP="00311512">
            <w:pPr>
              <w:ind w:left="162"/>
              <w:rPr>
                <w:rFonts w:ascii="Arial" w:hAnsi="Arial"/>
                <w:sz w:val="16"/>
                <w:szCs w:val="16"/>
              </w:rPr>
            </w:pPr>
            <w:r w:rsidRPr="00E2660E">
              <w:rPr>
                <w:rFonts w:ascii="Arial" w:hAnsi="Arial"/>
                <w:sz w:val="16"/>
                <w:szCs w:val="16"/>
              </w:rPr>
              <w:t>Seattle, WA 98115-0070</w:t>
            </w:r>
          </w:p>
          <w:p w:rsidR="00311512" w:rsidRPr="00E2660E" w:rsidRDefault="00311512" w:rsidP="00311512">
            <w:pPr>
              <w:ind w:left="162"/>
              <w:rPr>
                <w:rFonts w:ascii="Arial" w:hAnsi="Arial"/>
                <w:sz w:val="16"/>
                <w:szCs w:val="16"/>
              </w:rPr>
            </w:pPr>
          </w:p>
          <w:p w:rsidR="005A1F6E" w:rsidRDefault="00311512"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w:t>
      </w:r>
      <w:r w:rsidR="00BE7D4D">
        <w:rPr>
          <w:rFonts w:ascii="Arial" w:hAnsi="Arial" w:cs="Arial"/>
          <w:sz w:val="20"/>
        </w:rPr>
        <w:t>by November 1</w:t>
      </w:r>
      <w:r w:rsidR="00EC2798">
        <w:rPr>
          <w:rFonts w:ascii="Arial" w:hAnsi="Arial" w:cs="Arial"/>
          <w:sz w:val="20"/>
        </w:rPr>
        <w:t>5</w:t>
      </w:r>
      <w:r w:rsidR="00BE7D4D">
        <w:rPr>
          <w:rFonts w:ascii="Arial" w:hAnsi="Arial" w:cs="Arial"/>
          <w:sz w:val="20"/>
        </w:rPr>
        <w:t xml:space="preserve">, 2015 </w:t>
      </w:r>
      <w:r>
        <w:rPr>
          <w:rFonts w:ascii="Arial" w:hAnsi="Arial" w:cs="Arial"/>
          <w:sz w:val="20"/>
        </w:rPr>
        <w:t xml:space="preserve">to </w:t>
      </w:r>
      <w:r w:rsidR="00EA431E">
        <w:rPr>
          <w:rFonts w:ascii="Arial" w:hAnsi="Arial" w:cs="Arial"/>
          <w:sz w:val="20"/>
        </w:rPr>
        <w:t>voluntarily abandon non</w:t>
      </w:r>
      <w:r w:rsidR="00BE7D4D">
        <w:rPr>
          <w:rFonts w:ascii="Arial" w:hAnsi="Arial" w:cs="Arial"/>
          <w:sz w:val="20"/>
        </w:rPr>
        <w:t>whiting QS to NMFS</w:t>
      </w:r>
      <w:r w:rsidR="0094477A">
        <w:rPr>
          <w:rFonts w:ascii="Arial" w:hAnsi="Arial" w:cs="Arial"/>
          <w:sz w:val="20"/>
        </w:rPr>
        <w:t xml:space="preserve">.  </w:t>
      </w:r>
      <w:r w:rsidR="00BE7D4D">
        <w:rPr>
          <w:rFonts w:ascii="Arial" w:hAnsi="Arial" w:cs="Arial"/>
          <w:sz w:val="20"/>
        </w:rPr>
        <w:t>This form may only be submitted by QS permit owners wh</w:t>
      </w:r>
      <w:r w:rsidR="00EA431E">
        <w:rPr>
          <w:rFonts w:ascii="Arial" w:hAnsi="Arial" w:cs="Arial"/>
          <w:sz w:val="20"/>
        </w:rPr>
        <w:t>o exceed the aggregate non</w:t>
      </w:r>
      <w:r w:rsidR="00BE7D4D">
        <w:rPr>
          <w:rFonts w:ascii="Arial" w:hAnsi="Arial" w:cs="Arial"/>
          <w:sz w:val="20"/>
        </w:rPr>
        <w:t xml:space="preserve">whiting control limit. </w:t>
      </w:r>
      <w:r>
        <w:rPr>
          <w:rFonts w:ascii="Arial" w:hAnsi="Arial" w:cs="Arial"/>
          <w:sz w:val="20"/>
        </w:rPr>
        <w:t xml:space="preserve">To complete the request, </w:t>
      </w:r>
      <w:r w:rsidR="00BE7D4D">
        <w:rPr>
          <w:rFonts w:ascii="Arial" w:hAnsi="Arial" w:cs="Arial"/>
          <w:sz w:val="20"/>
        </w:rPr>
        <w:t>please provide all of the information in the boxes below</w:t>
      </w:r>
      <w:r>
        <w:rPr>
          <w:rFonts w:ascii="Arial" w:hAnsi="Arial" w:cs="Arial"/>
          <w:sz w:val="20"/>
        </w:rPr>
        <w:t>.</w:t>
      </w:r>
      <w:r w:rsidR="001F0ECA">
        <w:rPr>
          <w:rFonts w:ascii="Arial" w:hAnsi="Arial" w:cs="Arial"/>
          <w:sz w:val="20"/>
        </w:rPr>
        <w:t xml:space="preserve"> If you own multiple QS permits for which you wish to abandon QS, please complete a separate form for each QS permit. For species you do not wish to abandon, write 0% in the QS Percentage to Abandon column. Note: only 28 of the 30 IFQ species are shown, since Pacific whiting and Pacific halibut are not part of the aggregate </w:t>
      </w:r>
      <w:r w:rsidR="00EA431E">
        <w:rPr>
          <w:rFonts w:ascii="Arial" w:hAnsi="Arial" w:cs="Arial"/>
          <w:sz w:val="20"/>
        </w:rPr>
        <w:t>non</w:t>
      </w:r>
      <w:r w:rsidR="001F0ECA">
        <w:rPr>
          <w:rFonts w:ascii="Arial" w:hAnsi="Arial" w:cs="Arial"/>
          <w:sz w:val="20"/>
        </w:rPr>
        <w:t xml:space="preserve">whiting control limit calculation. </w:t>
      </w:r>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1396"/>
        <w:gridCol w:w="2665"/>
        <w:gridCol w:w="3555"/>
        <w:gridCol w:w="2666"/>
      </w:tblGrid>
      <w:tr w:rsidR="001F0ECA" w:rsidTr="001F0ECA">
        <w:trPr>
          <w:gridBefore w:val="1"/>
          <w:wBefore w:w="2665" w:type="dxa"/>
          <w:cantSplit/>
          <w:trHeight w:val="508"/>
          <w:jc w:val="center"/>
        </w:trPr>
        <w:tc>
          <w:tcPr>
            <w:tcW w:w="406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Number</w:t>
            </w:r>
          </w:p>
        </w:tc>
        <w:tc>
          <w:tcPr>
            <w:tcW w:w="622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Owner (as listed on QS permit)</w:t>
            </w:r>
          </w:p>
        </w:tc>
      </w:tr>
      <w:tr w:rsidR="00BE7D4D" w:rsidTr="001F0ECA">
        <w:trPr>
          <w:gridBefore w:val="1"/>
          <w:wBefore w:w="2665" w:type="dxa"/>
          <w:cantSplit/>
          <w:trHeight w:val="796"/>
          <w:jc w:val="center"/>
        </w:trPr>
        <w:tc>
          <w:tcPr>
            <w:tcW w:w="4061" w:type="dxa"/>
            <w:gridSpan w:val="2"/>
          </w:tcPr>
          <w:p w:rsidR="00BE7D4D" w:rsidRPr="002C218F"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E7D4D"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c>
          <w:tcPr>
            <w:tcW w:w="6221" w:type="dxa"/>
            <w:gridSpan w:val="2"/>
          </w:tcPr>
          <w:p w:rsidR="00BE7D4D"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p w:rsidR="00BE7D4D" w:rsidRPr="00EE20BC"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r>
      <w:tr w:rsidR="00BE7D4D" w:rsidTr="00073D82">
        <w:trPr>
          <w:gridAfter w:val="1"/>
          <w:wAfter w:w="2666" w:type="dxa"/>
          <w:cantSplit/>
          <w:trHeight w:hRule="exact" w:val="455"/>
          <w:jc w:val="center"/>
        </w:trPr>
        <w:tc>
          <w:tcPr>
            <w:tcW w:w="4061" w:type="dxa"/>
            <w:gridSpan w:val="2"/>
            <w:shd w:val="clear" w:color="auto" w:fill="BFBFBF" w:themeFill="background1" w:themeFillShade="BF"/>
            <w:vAlign w:val="center"/>
          </w:tcPr>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IFQ Species</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tc>
        <w:tc>
          <w:tcPr>
            <w:tcW w:w="6220" w:type="dxa"/>
            <w:gridSpan w:val="2"/>
            <w:shd w:val="clear" w:color="auto" w:fill="BFBFBF" w:themeFill="background1" w:themeFillShade="BF"/>
            <w:vAlign w:val="center"/>
          </w:tcPr>
          <w:p w:rsidR="00BE7D4D" w:rsidRPr="001F0ECA" w:rsidRDefault="00E14C13"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 xml:space="preserve">QS </w:t>
            </w:r>
            <w:r w:rsidR="00BE7D4D" w:rsidRPr="001F0ECA">
              <w:rPr>
                <w:rFonts w:ascii="Arial" w:hAnsi="Arial"/>
                <w:b/>
                <w:szCs w:val="24"/>
              </w:rPr>
              <w:t>Percentage to Abandon</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Arrowtooth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Bocaccio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Canary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Chilipepper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Cowcod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Darkblotched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Dover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English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Longspine thornyheads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Other flatfish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cod</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ocean perch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Petrale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lastRenderedPageBreak/>
              <w:t>Sablefish North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Sablefish South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Shortspine thornyheads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Shortspine thornyheads South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Splitnose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Starry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Widow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Yelloweye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Yellowtail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bl>
    <w:p w:rsidR="00050888" w:rsidRPr="001F0ECA"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1F0ECA">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t>
      </w:r>
      <w:r w:rsidR="00BE7D4D">
        <w:rPr>
          <w:rFonts w:ascii="Arial" w:hAnsi="Arial" w:cs="Arial"/>
          <w:b/>
          <w:sz w:val="20"/>
        </w:rPr>
        <w:t>to NMFS postmarked no later than November 1</w:t>
      </w:r>
      <w:r w:rsidR="00EC2798">
        <w:rPr>
          <w:rFonts w:ascii="Arial" w:hAnsi="Arial" w:cs="Arial"/>
          <w:b/>
          <w:sz w:val="20"/>
        </w:rPr>
        <w:t>5</w:t>
      </w:r>
      <w:r w:rsidR="00BE7D4D">
        <w:rPr>
          <w:rFonts w:ascii="Arial" w:hAnsi="Arial" w:cs="Arial"/>
          <w:b/>
          <w:sz w:val="20"/>
        </w:rPr>
        <w:t>, 2015</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E7D4D">
        <w:rPr>
          <w:rFonts w:ascii="Arial" w:hAnsi="Arial" w:cs="Arial"/>
          <w:sz w:val="20"/>
        </w:rPr>
        <w:t xml:space="preserve">QS Permit Owner or </w:t>
      </w:r>
      <w:r w:rsidR="001937A6">
        <w:rPr>
          <w:rFonts w:ascii="Arial" w:hAnsi="Arial" w:cs="Arial"/>
          <w:sz w:val="20"/>
        </w:rPr>
        <w:t>Authorized Representative</w:t>
      </w:r>
      <w:r w:rsidR="00BE7D4D">
        <w:rPr>
          <w:rFonts w:ascii="Arial" w:hAnsi="Arial" w:cs="Arial"/>
          <w:sz w:val="20"/>
        </w:rPr>
        <w:tab/>
      </w:r>
      <w:r w:rsidRPr="00BC1316">
        <w:rPr>
          <w:rFonts w:ascii="Arial" w:hAnsi="Arial" w:cs="Arial"/>
          <w:sz w:val="20"/>
        </w:rPr>
        <w:t>T</w:t>
      </w:r>
      <w:r w:rsidR="00BE7D4D">
        <w:rPr>
          <w:rFonts w:ascii="Arial" w:hAnsi="Arial" w:cs="Arial"/>
          <w:sz w:val="20"/>
        </w:rPr>
        <w:t>itle (If corporate officer)</w:t>
      </w:r>
      <w:r w:rsidR="00BE7D4D">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r w:rsidR="00085785">
        <w:rPr>
          <w:rFonts w:ascii="Arial" w:hAnsi="Arial" w:cs="Arial"/>
          <w:sz w:val="20"/>
        </w:rPr>
        <w:t>______________________________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 xml:space="preserve">Printed Name of </w:t>
      </w:r>
      <w:r w:rsidR="00085785">
        <w:rPr>
          <w:rFonts w:ascii="Arial" w:hAnsi="Arial" w:cs="Arial"/>
          <w:sz w:val="20"/>
        </w:rPr>
        <w:t>QS Permit Owner or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 xml:space="preserve">described above is confidential under section 402(b) of the Magnuson-Stevens Act and under NOAA Administrative Order 216-100, Protection of Confidential Fisheries Statistics. </w:t>
      </w:r>
      <w:r w:rsidR="00073D82">
        <w:rPr>
          <w:rFonts w:ascii="Arial" w:hAnsi="Arial" w:cs="Arial"/>
          <w:sz w:val="14"/>
          <w:szCs w:val="14"/>
        </w:rPr>
        <w:t>Information on QS percentages abandoned</w:t>
      </w:r>
      <w:r w:rsidR="00110F7C" w:rsidRPr="00062F74">
        <w:rPr>
          <w:rFonts w:ascii="Arial" w:hAnsi="Arial" w:cs="Arial"/>
          <w:sz w:val="14"/>
          <w:szCs w:val="14"/>
        </w:rPr>
        <w:t xml:space="preserve"> </w:t>
      </w:r>
      <w:r w:rsidR="00073D82" w:rsidRPr="00062F74">
        <w:rPr>
          <w:rFonts w:ascii="Arial" w:hAnsi="Arial" w:cs="Arial"/>
          <w:sz w:val="14"/>
          <w:szCs w:val="14"/>
        </w:rPr>
        <w:t>is</w:t>
      </w:r>
      <w:r w:rsidR="00110F7C" w:rsidRPr="00062F74">
        <w:rPr>
          <w:rFonts w:ascii="Arial" w:hAnsi="Arial" w:cs="Arial"/>
          <w:sz w:val="14"/>
          <w:szCs w:val="14"/>
        </w:rPr>
        <w:t xml:space="preserve"> not released to the public. The information collected is part of a Privacy Act System of Records, COMMERCE/NOAA #19, Permits and Registrations for United States Federally Regulated Fisheries. </w:t>
      </w:r>
      <w:r w:rsidR="007F6BA4" w:rsidRPr="007F6BA4">
        <w:rPr>
          <w:rFonts w:ascii="Arial" w:hAnsi="Arial" w:cs="Arial"/>
          <w:sz w:val="14"/>
          <w:szCs w:val="14"/>
        </w:rPr>
        <w:t>An amended notice was published in the Federal Register on August 7, 2015 (80 FR 47457) and became effective on September 15, 2015 (80 FR 55327).</w:t>
      </w:r>
      <w:bookmarkStart w:id="0" w:name="_GoBack"/>
      <w:bookmarkEnd w:id="0"/>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w:t>
      </w:r>
      <w:r w:rsidR="00085785">
        <w:rPr>
          <w:rFonts w:ascii="Arial" w:hAnsi="Arial" w:cs="Arial"/>
          <w:sz w:val="14"/>
          <w:szCs w:val="14"/>
        </w:rPr>
        <w:t>16</w:t>
      </w:r>
      <w:r w:rsidR="00110F7C" w:rsidRPr="00062F74">
        <w:rPr>
          <w:rFonts w:ascii="Arial" w:hAnsi="Arial" w:cs="Arial"/>
          <w:sz w:val="14"/>
          <w:szCs w:val="14"/>
        </w:rPr>
        <w:t xml:space="preserve">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00110F7C" w:rsidRP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1F0ECA">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3D82"/>
    <w:rsid w:val="000757C7"/>
    <w:rsid w:val="00085785"/>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0ECA"/>
    <w:rsid w:val="001F6367"/>
    <w:rsid w:val="002123B7"/>
    <w:rsid w:val="00290CC7"/>
    <w:rsid w:val="002940AF"/>
    <w:rsid w:val="0029515D"/>
    <w:rsid w:val="002A5108"/>
    <w:rsid w:val="002C218F"/>
    <w:rsid w:val="002D28AF"/>
    <w:rsid w:val="00311512"/>
    <w:rsid w:val="00313815"/>
    <w:rsid w:val="0033205B"/>
    <w:rsid w:val="003859E7"/>
    <w:rsid w:val="00386670"/>
    <w:rsid w:val="003E5A15"/>
    <w:rsid w:val="00400E5A"/>
    <w:rsid w:val="00405A58"/>
    <w:rsid w:val="00423169"/>
    <w:rsid w:val="00427C8A"/>
    <w:rsid w:val="00432CCB"/>
    <w:rsid w:val="00454DAC"/>
    <w:rsid w:val="004646C4"/>
    <w:rsid w:val="004B1E99"/>
    <w:rsid w:val="004C0D0E"/>
    <w:rsid w:val="004D6CE1"/>
    <w:rsid w:val="004F5DAD"/>
    <w:rsid w:val="00574D47"/>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BA4"/>
    <w:rsid w:val="007F6CDD"/>
    <w:rsid w:val="00827906"/>
    <w:rsid w:val="0085174B"/>
    <w:rsid w:val="00861C40"/>
    <w:rsid w:val="00862C4F"/>
    <w:rsid w:val="00881D32"/>
    <w:rsid w:val="008848EE"/>
    <w:rsid w:val="008A728F"/>
    <w:rsid w:val="008C3A9E"/>
    <w:rsid w:val="009266B5"/>
    <w:rsid w:val="009433D7"/>
    <w:rsid w:val="0094477A"/>
    <w:rsid w:val="009460C4"/>
    <w:rsid w:val="009679BE"/>
    <w:rsid w:val="009B6F73"/>
    <w:rsid w:val="00A54B91"/>
    <w:rsid w:val="00A71EDE"/>
    <w:rsid w:val="00A73CFD"/>
    <w:rsid w:val="00A946F4"/>
    <w:rsid w:val="00AA31CA"/>
    <w:rsid w:val="00AC1095"/>
    <w:rsid w:val="00AC4137"/>
    <w:rsid w:val="00B06FCA"/>
    <w:rsid w:val="00B5295D"/>
    <w:rsid w:val="00B64A87"/>
    <w:rsid w:val="00B75017"/>
    <w:rsid w:val="00B76554"/>
    <w:rsid w:val="00B94408"/>
    <w:rsid w:val="00BA3620"/>
    <w:rsid w:val="00BC1316"/>
    <w:rsid w:val="00BC2375"/>
    <w:rsid w:val="00BC244F"/>
    <w:rsid w:val="00BD5B44"/>
    <w:rsid w:val="00BE7D4D"/>
    <w:rsid w:val="00C11D7B"/>
    <w:rsid w:val="00C31CB4"/>
    <w:rsid w:val="00C6658A"/>
    <w:rsid w:val="00CA0995"/>
    <w:rsid w:val="00CA2434"/>
    <w:rsid w:val="00CB4705"/>
    <w:rsid w:val="00CC4AA2"/>
    <w:rsid w:val="00D02BEF"/>
    <w:rsid w:val="00D16610"/>
    <w:rsid w:val="00D6419B"/>
    <w:rsid w:val="00D6643D"/>
    <w:rsid w:val="00DE3C41"/>
    <w:rsid w:val="00E10332"/>
    <w:rsid w:val="00E14C13"/>
    <w:rsid w:val="00E4255E"/>
    <w:rsid w:val="00E52940"/>
    <w:rsid w:val="00E56ED2"/>
    <w:rsid w:val="00E60BF2"/>
    <w:rsid w:val="00EA431E"/>
    <w:rsid w:val="00EA7CE8"/>
    <w:rsid w:val="00EC279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F703E093-704E-4D76-93A9-14A35475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Sarah.Towne</cp:lastModifiedBy>
  <cp:revision>4</cp:revision>
  <cp:lastPrinted>2013-05-22T17:34:00Z</cp:lastPrinted>
  <dcterms:created xsi:type="dcterms:W3CDTF">2015-11-02T21:19:00Z</dcterms:created>
  <dcterms:modified xsi:type="dcterms:W3CDTF">2016-08-12T22:02:00Z</dcterms:modified>
</cp:coreProperties>
</file>