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78CBE" w14:textId="77777777" w:rsidR="005F7F25" w:rsidRDefault="005F7F25" w:rsidP="005F7F25">
      <w:pPr>
        <w:pStyle w:val="NoSpacing"/>
        <w:jc w:val="center"/>
        <w:rPr>
          <w:rFonts w:cs="Arial"/>
        </w:rPr>
      </w:pPr>
      <w:bookmarkStart w:id="0" w:name="_GoBack"/>
      <w:bookmarkEnd w:id="0"/>
      <w:r>
        <w:rPr>
          <w:rFonts w:cs="Arial"/>
          <w:b/>
        </w:rPr>
        <w:t>JUSTIFICATION FOR NONMATERIAL/NONSUBSTANTIVE CHANGE</w:t>
      </w:r>
    </w:p>
    <w:p w14:paraId="66C78CBF" w14:textId="77777777" w:rsidR="005F7F25" w:rsidRDefault="005F7F25" w:rsidP="005F7F25">
      <w:pPr>
        <w:pStyle w:val="NoSpacing"/>
        <w:jc w:val="center"/>
        <w:rPr>
          <w:rFonts w:cs="Arial"/>
          <w:b/>
        </w:rPr>
      </w:pPr>
      <w:r>
        <w:rPr>
          <w:rFonts w:cs="Arial"/>
          <w:b/>
        </w:rPr>
        <w:t>Rules for Patent Maintenance Fees</w:t>
      </w:r>
    </w:p>
    <w:p w14:paraId="66C78CC0" w14:textId="77777777" w:rsidR="005F7F25" w:rsidRDefault="005F7F25" w:rsidP="005F7F25">
      <w:pPr>
        <w:pStyle w:val="NoSpacing"/>
        <w:jc w:val="center"/>
        <w:rPr>
          <w:rFonts w:cs="Arial"/>
          <w:b/>
        </w:rPr>
      </w:pPr>
      <w:r>
        <w:rPr>
          <w:rFonts w:cs="Arial"/>
          <w:b/>
        </w:rPr>
        <w:t>OMB Control Number 0651-0016</w:t>
      </w:r>
    </w:p>
    <w:p w14:paraId="66C78CC1" w14:textId="77777777" w:rsidR="00E2061E" w:rsidRDefault="00E2061E" w:rsidP="005F7F25">
      <w:pPr>
        <w:pStyle w:val="NoSpacing"/>
        <w:rPr>
          <w:b/>
        </w:rPr>
      </w:pPr>
    </w:p>
    <w:p w14:paraId="66C78CC2" w14:textId="77777777" w:rsidR="005F7F25" w:rsidRPr="000E42BC" w:rsidRDefault="005F7F25" w:rsidP="005F7F25">
      <w:pPr>
        <w:pStyle w:val="NoSpacing"/>
        <w:jc w:val="both"/>
        <w:rPr>
          <w:rFonts w:cs="Arial"/>
        </w:rPr>
      </w:pPr>
      <w:r w:rsidRPr="000E42BC">
        <w:rPr>
          <w:rFonts w:cs="Arial"/>
          <w:u w:val="single"/>
        </w:rPr>
        <w:t>Background</w:t>
      </w:r>
    </w:p>
    <w:p w14:paraId="66C78CC3" w14:textId="77777777" w:rsidR="005F7F25" w:rsidRPr="000E42BC" w:rsidRDefault="005F7F25" w:rsidP="005F7F25">
      <w:pPr>
        <w:pStyle w:val="NoSpacing"/>
        <w:jc w:val="both"/>
        <w:rPr>
          <w:rFonts w:cs="Arial"/>
        </w:rPr>
      </w:pPr>
    </w:p>
    <w:p w14:paraId="66C78CC4" w14:textId="77777777" w:rsidR="005F7F25" w:rsidRPr="000E42BC" w:rsidRDefault="005F7F25" w:rsidP="005F7F25">
      <w:pPr>
        <w:pStyle w:val="NoSpacing"/>
        <w:jc w:val="both"/>
        <w:rPr>
          <w:rFonts w:cs="Arial"/>
        </w:rPr>
      </w:pPr>
      <w:r w:rsidRPr="000E42BC">
        <w:rPr>
          <w:rFonts w:cs="Arial"/>
        </w:rPr>
        <w:t>The United States Patent and Trademark Office (USPTO) administers the Leahy-Smith America Invents Act (AIA),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the patent and trademark processes. Section 10 authorities also includes flexibility to set individual fees in a way that furthers key policies factors, while taking into account the cost of the respective services.</w:t>
      </w:r>
    </w:p>
    <w:p w14:paraId="66C78CC5" w14:textId="77777777" w:rsidR="005F7F25" w:rsidRPr="000E42BC" w:rsidRDefault="005F7F25" w:rsidP="005F7F25">
      <w:pPr>
        <w:pStyle w:val="NoSpacing"/>
        <w:jc w:val="both"/>
        <w:rPr>
          <w:rFonts w:cs="Arial"/>
        </w:rPr>
      </w:pPr>
    </w:p>
    <w:p w14:paraId="66C78CC6" w14:textId="77777777" w:rsidR="005F7F25" w:rsidRPr="000E42BC" w:rsidRDefault="005F7F25" w:rsidP="005F7F25">
      <w:pPr>
        <w:pStyle w:val="NoSpacing"/>
        <w:jc w:val="both"/>
        <w:rPr>
          <w:rFonts w:cs="Arial"/>
        </w:rPr>
      </w:pPr>
      <w:r w:rsidRPr="000E42BC">
        <w:rPr>
          <w:rFonts w:cs="Arial"/>
        </w:rPr>
        <w:t>This request is to update the fees attached to collection 0651-00</w:t>
      </w:r>
      <w:r>
        <w:rPr>
          <w:rFonts w:cs="Arial"/>
        </w:rPr>
        <w:t>16</w:t>
      </w:r>
      <w:r w:rsidRPr="000E42BC">
        <w:rPr>
          <w:rFonts w:cs="Arial"/>
        </w:rPr>
        <w:t xml:space="preserve"> (</w:t>
      </w:r>
      <w:r>
        <w:rPr>
          <w:rFonts w:cs="Arial"/>
        </w:rPr>
        <w:t>Rules for Patent Maintenance Fees</w:t>
      </w:r>
      <w:r w:rsidRPr="000E42BC">
        <w:rPr>
          <w:rFonts w:cs="Arial"/>
        </w:rPr>
        <w:t xml:space="preserve">) that are affected by the rulemaking NPRM </w:t>
      </w:r>
      <w:r w:rsidRPr="000E42BC">
        <w:rPr>
          <w:rFonts w:cs="Arial"/>
          <w:b/>
        </w:rPr>
        <w:t>Rulemaking Number</w:t>
      </w:r>
      <w:r w:rsidRPr="000E42BC">
        <w:rPr>
          <w:rFonts w:cs="Arial"/>
        </w:rPr>
        <w:t xml:space="preserve">. There </w:t>
      </w:r>
      <w:r w:rsidR="001E7BBE">
        <w:rPr>
          <w:rFonts w:cs="Arial"/>
        </w:rPr>
        <w:t>are seven fees</w:t>
      </w:r>
      <w:r w:rsidRPr="000E42BC">
        <w:rPr>
          <w:rFonts w:cs="Arial"/>
        </w:rPr>
        <w:t xml:space="preserve"> being adjusted as a result of the 2019 Patent Biennial Fee Review.</w:t>
      </w:r>
    </w:p>
    <w:p w14:paraId="66C78CC7" w14:textId="77777777" w:rsidR="005F7F25" w:rsidRDefault="005F7F25" w:rsidP="005F7F25">
      <w:pPr>
        <w:pStyle w:val="NoSpacing"/>
        <w:rPr>
          <w:b/>
        </w:rPr>
      </w:pPr>
    </w:p>
    <w:p w14:paraId="66C78CC8" w14:textId="77777777" w:rsidR="005F7F25" w:rsidRPr="000E42BC" w:rsidRDefault="005F7F25" w:rsidP="005F7F25">
      <w:pPr>
        <w:pStyle w:val="NoSpacing"/>
        <w:jc w:val="both"/>
        <w:rPr>
          <w:b/>
          <w:sz w:val="20"/>
        </w:rPr>
      </w:pPr>
      <w:r w:rsidRPr="000E42BC">
        <w:rPr>
          <w:rFonts w:cs="Arial"/>
          <w:b/>
        </w:rPr>
        <w:t>Table 1: Increases in Fee Amounts</w:t>
      </w:r>
    </w:p>
    <w:tbl>
      <w:tblPr>
        <w:tblStyle w:val="TableGrid"/>
        <w:tblW w:w="0" w:type="auto"/>
        <w:tblLook w:val="04A0" w:firstRow="1" w:lastRow="0" w:firstColumn="1" w:lastColumn="0" w:noHBand="0" w:noVBand="1"/>
      </w:tblPr>
      <w:tblGrid>
        <w:gridCol w:w="625"/>
        <w:gridCol w:w="4140"/>
        <w:gridCol w:w="1440"/>
        <w:gridCol w:w="1530"/>
        <w:gridCol w:w="1615"/>
      </w:tblGrid>
      <w:tr w:rsidR="00480708" w:rsidRPr="00480708" w14:paraId="66C78CD0" w14:textId="77777777" w:rsidTr="00480708">
        <w:tc>
          <w:tcPr>
            <w:tcW w:w="625" w:type="dxa"/>
            <w:vAlign w:val="center"/>
          </w:tcPr>
          <w:p w14:paraId="66C78CC9" w14:textId="77777777" w:rsidR="00480708" w:rsidRDefault="00480708" w:rsidP="00480708">
            <w:pPr>
              <w:pStyle w:val="NoSpacing"/>
              <w:jc w:val="center"/>
              <w:rPr>
                <w:b/>
              </w:rPr>
            </w:pPr>
          </w:p>
          <w:p w14:paraId="66C78CCA" w14:textId="77777777" w:rsidR="00480708" w:rsidRDefault="00480708" w:rsidP="00480708">
            <w:pPr>
              <w:pStyle w:val="NoSpacing"/>
              <w:jc w:val="center"/>
              <w:rPr>
                <w:b/>
              </w:rPr>
            </w:pPr>
            <w:r>
              <w:rPr>
                <w:b/>
              </w:rPr>
              <w:t>IC #</w:t>
            </w:r>
          </w:p>
          <w:p w14:paraId="66C78CCB" w14:textId="77777777" w:rsidR="00480708" w:rsidRPr="00480708" w:rsidRDefault="00480708" w:rsidP="00480708">
            <w:pPr>
              <w:pStyle w:val="NoSpacing"/>
              <w:jc w:val="center"/>
              <w:rPr>
                <w:b/>
              </w:rPr>
            </w:pPr>
          </w:p>
        </w:tc>
        <w:tc>
          <w:tcPr>
            <w:tcW w:w="4140" w:type="dxa"/>
            <w:vAlign w:val="center"/>
          </w:tcPr>
          <w:p w14:paraId="66C78CCC" w14:textId="77777777" w:rsidR="00480708" w:rsidRPr="00480708" w:rsidRDefault="00480708" w:rsidP="00480708">
            <w:pPr>
              <w:pStyle w:val="NoSpacing"/>
              <w:jc w:val="center"/>
              <w:rPr>
                <w:b/>
              </w:rPr>
            </w:pPr>
            <w:r>
              <w:rPr>
                <w:b/>
              </w:rPr>
              <w:t>Item</w:t>
            </w:r>
          </w:p>
        </w:tc>
        <w:tc>
          <w:tcPr>
            <w:tcW w:w="1440" w:type="dxa"/>
            <w:vAlign w:val="center"/>
          </w:tcPr>
          <w:p w14:paraId="66C78CCD" w14:textId="77777777" w:rsidR="00480708" w:rsidRPr="00480708" w:rsidRDefault="00480708" w:rsidP="00480708">
            <w:pPr>
              <w:pStyle w:val="NoSpacing"/>
              <w:jc w:val="center"/>
              <w:rPr>
                <w:b/>
              </w:rPr>
            </w:pPr>
            <w:r>
              <w:rPr>
                <w:b/>
              </w:rPr>
              <w:t>Current Fee Amount</w:t>
            </w:r>
          </w:p>
        </w:tc>
        <w:tc>
          <w:tcPr>
            <w:tcW w:w="1530" w:type="dxa"/>
            <w:vAlign w:val="center"/>
          </w:tcPr>
          <w:p w14:paraId="66C78CCE" w14:textId="77777777" w:rsidR="00480708" w:rsidRPr="00480708" w:rsidRDefault="00480708" w:rsidP="00480708">
            <w:pPr>
              <w:pStyle w:val="NoSpacing"/>
              <w:jc w:val="center"/>
              <w:rPr>
                <w:b/>
              </w:rPr>
            </w:pPr>
            <w:r>
              <w:rPr>
                <w:b/>
              </w:rPr>
              <w:t>Proposed Fee Amount</w:t>
            </w:r>
          </w:p>
        </w:tc>
        <w:tc>
          <w:tcPr>
            <w:tcW w:w="1615" w:type="dxa"/>
            <w:vAlign w:val="center"/>
          </w:tcPr>
          <w:p w14:paraId="66C78CCF" w14:textId="77777777" w:rsidR="00480708" w:rsidRPr="00480708" w:rsidRDefault="00480708" w:rsidP="00480708">
            <w:pPr>
              <w:pStyle w:val="NoSpacing"/>
              <w:jc w:val="center"/>
              <w:rPr>
                <w:b/>
              </w:rPr>
            </w:pPr>
            <w:r>
              <w:rPr>
                <w:b/>
              </w:rPr>
              <w:t>Change in Fee Amount</w:t>
            </w:r>
          </w:p>
        </w:tc>
      </w:tr>
      <w:tr w:rsidR="00480708" w:rsidRPr="00480708" w14:paraId="66C78CD6" w14:textId="77777777" w:rsidTr="00480708">
        <w:tc>
          <w:tcPr>
            <w:tcW w:w="625" w:type="dxa"/>
            <w:vAlign w:val="center"/>
          </w:tcPr>
          <w:p w14:paraId="66C78CD1" w14:textId="77777777" w:rsidR="00480708" w:rsidRPr="00480708" w:rsidRDefault="00480708" w:rsidP="00480708">
            <w:pPr>
              <w:pStyle w:val="NoSpacing"/>
              <w:jc w:val="center"/>
            </w:pPr>
            <w:r>
              <w:t>1</w:t>
            </w:r>
          </w:p>
        </w:tc>
        <w:tc>
          <w:tcPr>
            <w:tcW w:w="4140" w:type="dxa"/>
            <w:vAlign w:val="center"/>
          </w:tcPr>
          <w:p w14:paraId="66C78CD2" w14:textId="77777777" w:rsidR="00480708" w:rsidRPr="00480708" w:rsidRDefault="00480708" w:rsidP="00480708">
            <w:pPr>
              <w:pStyle w:val="NoSpacing"/>
            </w:pPr>
            <w:r w:rsidRPr="00480708">
              <w:t>For Maintaining an Original or Any Reissue Patent, Due at 3.5 Years</w:t>
            </w:r>
            <w:r>
              <w:t xml:space="preserve"> (large entity)</w:t>
            </w:r>
          </w:p>
        </w:tc>
        <w:tc>
          <w:tcPr>
            <w:tcW w:w="1440" w:type="dxa"/>
            <w:vAlign w:val="center"/>
          </w:tcPr>
          <w:p w14:paraId="66C78CD3" w14:textId="77777777" w:rsidR="00480708" w:rsidRPr="00480708" w:rsidRDefault="00480708" w:rsidP="00480708">
            <w:pPr>
              <w:pStyle w:val="NoSpacing"/>
              <w:jc w:val="center"/>
            </w:pPr>
            <w:r>
              <w:t>$1,600</w:t>
            </w:r>
          </w:p>
        </w:tc>
        <w:tc>
          <w:tcPr>
            <w:tcW w:w="1530" w:type="dxa"/>
            <w:vAlign w:val="center"/>
          </w:tcPr>
          <w:p w14:paraId="66C78CD4" w14:textId="77777777" w:rsidR="00480708" w:rsidRPr="00480708" w:rsidRDefault="00480708" w:rsidP="00480708">
            <w:pPr>
              <w:pStyle w:val="NoSpacing"/>
              <w:jc w:val="center"/>
            </w:pPr>
            <w:r>
              <w:t>$2,000</w:t>
            </w:r>
          </w:p>
        </w:tc>
        <w:tc>
          <w:tcPr>
            <w:tcW w:w="1615" w:type="dxa"/>
            <w:vAlign w:val="center"/>
          </w:tcPr>
          <w:p w14:paraId="66C78CD5" w14:textId="77777777" w:rsidR="00480708" w:rsidRPr="00480708" w:rsidRDefault="00480708" w:rsidP="00480708">
            <w:pPr>
              <w:pStyle w:val="NoSpacing"/>
              <w:jc w:val="center"/>
            </w:pPr>
            <w:r>
              <w:t>$400</w:t>
            </w:r>
          </w:p>
        </w:tc>
      </w:tr>
      <w:tr w:rsidR="00480708" w:rsidRPr="00480708" w14:paraId="66C78CDC" w14:textId="77777777" w:rsidTr="00480708">
        <w:tc>
          <w:tcPr>
            <w:tcW w:w="625" w:type="dxa"/>
            <w:vAlign w:val="center"/>
          </w:tcPr>
          <w:p w14:paraId="66C78CD7" w14:textId="77777777" w:rsidR="00480708" w:rsidRDefault="00480708" w:rsidP="00480708">
            <w:pPr>
              <w:jc w:val="center"/>
            </w:pPr>
            <w:r w:rsidRPr="008B1304">
              <w:t>1</w:t>
            </w:r>
          </w:p>
        </w:tc>
        <w:tc>
          <w:tcPr>
            <w:tcW w:w="4140" w:type="dxa"/>
            <w:vAlign w:val="center"/>
          </w:tcPr>
          <w:p w14:paraId="66C78CD8" w14:textId="77777777" w:rsidR="00480708" w:rsidRPr="00480708" w:rsidRDefault="00480708" w:rsidP="00480708">
            <w:pPr>
              <w:pStyle w:val="NoSpacing"/>
            </w:pPr>
            <w:r w:rsidRPr="00480708">
              <w:t>For Maintaining an Original or Any Reissue Patent, Due at 3.5 Years</w:t>
            </w:r>
            <w:r>
              <w:t xml:space="preserve"> (small entity)</w:t>
            </w:r>
          </w:p>
        </w:tc>
        <w:tc>
          <w:tcPr>
            <w:tcW w:w="1440" w:type="dxa"/>
            <w:vAlign w:val="center"/>
          </w:tcPr>
          <w:p w14:paraId="66C78CD9" w14:textId="77777777" w:rsidR="00480708" w:rsidRPr="00480708" w:rsidRDefault="00480708" w:rsidP="00480708">
            <w:pPr>
              <w:pStyle w:val="NoSpacing"/>
              <w:jc w:val="center"/>
            </w:pPr>
            <w:r>
              <w:t>$800</w:t>
            </w:r>
          </w:p>
        </w:tc>
        <w:tc>
          <w:tcPr>
            <w:tcW w:w="1530" w:type="dxa"/>
            <w:vAlign w:val="center"/>
          </w:tcPr>
          <w:p w14:paraId="66C78CDA" w14:textId="77777777" w:rsidR="00480708" w:rsidRPr="00480708" w:rsidRDefault="00480708" w:rsidP="00480708">
            <w:pPr>
              <w:pStyle w:val="NoSpacing"/>
              <w:jc w:val="center"/>
            </w:pPr>
            <w:r>
              <w:t>$1,000</w:t>
            </w:r>
          </w:p>
        </w:tc>
        <w:tc>
          <w:tcPr>
            <w:tcW w:w="1615" w:type="dxa"/>
            <w:vAlign w:val="center"/>
          </w:tcPr>
          <w:p w14:paraId="66C78CDB" w14:textId="77777777" w:rsidR="00480708" w:rsidRPr="00480708" w:rsidRDefault="00480708" w:rsidP="00480708">
            <w:pPr>
              <w:pStyle w:val="NoSpacing"/>
              <w:jc w:val="center"/>
            </w:pPr>
            <w:r>
              <w:t>$200</w:t>
            </w:r>
          </w:p>
        </w:tc>
      </w:tr>
      <w:tr w:rsidR="00480708" w:rsidRPr="00480708" w14:paraId="66C78CE2" w14:textId="77777777" w:rsidTr="00480708">
        <w:tc>
          <w:tcPr>
            <w:tcW w:w="625" w:type="dxa"/>
            <w:vAlign w:val="center"/>
          </w:tcPr>
          <w:p w14:paraId="66C78CDD" w14:textId="77777777" w:rsidR="00480708" w:rsidRDefault="00480708" w:rsidP="00480708">
            <w:pPr>
              <w:jc w:val="center"/>
            </w:pPr>
            <w:r w:rsidRPr="008B1304">
              <w:t>1</w:t>
            </w:r>
          </w:p>
        </w:tc>
        <w:tc>
          <w:tcPr>
            <w:tcW w:w="4140" w:type="dxa"/>
            <w:vAlign w:val="center"/>
          </w:tcPr>
          <w:p w14:paraId="66C78CDE" w14:textId="77777777" w:rsidR="00480708" w:rsidRPr="00480708" w:rsidRDefault="00480708" w:rsidP="00480708">
            <w:pPr>
              <w:pStyle w:val="NoSpacing"/>
            </w:pPr>
            <w:r w:rsidRPr="00480708">
              <w:t>For Maintaining an Original or Any Reissue Patent, Due at 3.5 Years</w:t>
            </w:r>
            <w:r>
              <w:t xml:space="preserve"> (micro entity)</w:t>
            </w:r>
          </w:p>
        </w:tc>
        <w:tc>
          <w:tcPr>
            <w:tcW w:w="1440" w:type="dxa"/>
            <w:vAlign w:val="center"/>
          </w:tcPr>
          <w:p w14:paraId="66C78CDF" w14:textId="77777777" w:rsidR="00480708" w:rsidRPr="00480708" w:rsidRDefault="00480708" w:rsidP="00480708">
            <w:pPr>
              <w:pStyle w:val="NoSpacing"/>
              <w:jc w:val="center"/>
            </w:pPr>
            <w:r>
              <w:t>$400</w:t>
            </w:r>
          </w:p>
        </w:tc>
        <w:tc>
          <w:tcPr>
            <w:tcW w:w="1530" w:type="dxa"/>
            <w:vAlign w:val="center"/>
          </w:tcPr>
          <w:p w14:paraId="66C78CE0" w14:textId="77777777" w:rsidR="00480708" w:rsidRPr="00480708" w:rsidRDefault="00480708" w:rsidP="00480708">
            <w:pPr>
              <w:pStyle w:val="NoSpacing"/>
              <w:jc w:val="center"/>
            </w:pPr>
            <w:r>
              <w:t>$500</w:t>
            </w:r>
          </w:p>
        </w:tc>
        <w:tc>
          <w:tcPr>
            <w:tcW w:w="1615" w:type="dxa"/>
            <w:vAlign w:val="center"/>
          </w:tcPr>
          <w:p w14:paraId="66C78CE1" w14:textId="77777777" w:rsidR="00480708" w:rsidRPr="00480708" w:rsidRDefault="00480708" w:rsidP="00480708">
            <w:pPr>
              <w:pStyle w:val="NoSpacing"/>
              <w:jc w:val="center"/>
            </w:pPr>
            <w:r>
              <w:t>$100</w:t>
            </w:r>
          </w:p>
        </w:tc>
      </w:tr>
      <w:tr w:rsidR="00480708" w:rsidRPr="00480708" w14:paraId="66C78CE8" w14:textId="77777777" w:rsidTr="00480708">
        <w:tc>
          <w:tcPr>
            <w:tcW w:w="625" w:type="dxa"/>
            <w:vAlign w:val="center"/>
          </w:tcPr>
          <w:p w14:paraId="66C78CE3" w14:textId="77777777" w:rsidR="00480708" w:rsidRDefault="00480708" w:rsidP="00480708">
            <w:pPr>
              <w:jc w:val="center"/>
            </w:pPr>
            <w:r w:rsidRPr="008B1304">
              <w:t>1</w:t>
            </w:r>
          </w:p>
        </w:tc>
        <w:tc>
          <w:tcPr>
            <w:tcW w:w="4140" w:type="dxa"/>
            <w:vAlign w:val="center"/>
          </w:tcPr>
          <w:p w14:paraId="66C78CE4" w14:textId="77777777" w:rsidR="00480708" w:rsidRPr="00480708" w:rsidRDefault="00480708" w:rsidP="00480708">
            <w:pPr>
              <w:pStyle w:val="NoSpacing"/>
            </w:pPr>
            <w:r w:rsidRPr="00480708">
              <w:t>For Maintaining an Original or Any Reissue Patent, Due at 7.5 Years</w:t>
            </w:r>
            <w:r>
              <w:t xml:space="preserve"> (large entity)</w:t>
            </w:r>
          </w:p>
        </w:tc>
        <w:tc>
          <w:tcPr>
            <w:tcW w:w="1440" w:type="dxa"/>
            <w:vAlign w:val="center"/>
          </w:tcPr>
          <w:p w14:paraId="66C78CE5" w14:textId="77777777" w:rsidR="00480708" w:rsidRPr="00480708" w:rsidRDefault="00480708" w:rsidP="00480708">
            <w:pPr>
              <w:pStyle w:val="NoSpacing"/>
              <w:jc w:val="center"/>
            </w:pPr>
            <w:r>
              <w:t>$3,600</w:t>
            </w:r>
          </w:p>
        </w:tc>
        <w:tc>
          <w:tcPr>
            <w:tcW w:w="1530" w:type="dxa"/>
            <w:vAlign w:val="center"/>
          </w:tcPr>
          <w:p w14:paraId="66C78CE6" w14:textId="77777777" w:rsidR="00480708" w:rsidRPr="00480708" w:rsidRDefault="00480708" w:rsidP="00480708">
            <w:pPr>
              <w:pStyle w:val="NoSpacing"/>
              <w:jc w:val="center"/>
            </w:pPr>
            <w:r>
              <w:t>$3,760</w:t>
            </w:r>
          </w:p>
        </w:tc>
        <w:tc>
          <w:tcPr>
            <w:tcW w:w="1615" w:type="dxa"/>
            <w:vAlign w:val="center"/>
          </w:tcPr>
          <w:p w14:paraId="66C78CE7" w14:textId="77777777" w:rsidR="00480708" w:rsidRPr="00480708" w:rsidRDefault="00480708" w:rsidP="00480708">
            <w:pPr>
              <w:pStyle w:val="NoSpacing"/>
              <w:jc w:val="center"/>
            </w:pPr>
            <w:r>
              <w:t>$160</w:t>
            </w:r>
          </w:p>
        </w:tc>
      </w:tr>
      <w:tr w:rsidR="00480708" w:rsidRPr="00480708" w14:paraId="66C78CEE" w14:textId="77777777" w:rsidTr="00480708">
        <w:tc>
          <w:tcPr>
            <w:tcW w:w="625" w:type="dxa"/>
            <w:vAlign w:val="center"/>
          </w:tcPr>
          <w:p w14:paraId="66C78CE9" w14:textId="77777777" w:rsidR="00480708" w:rsidRDefault="00480708" w:rsidP="00480708">
            <w:pPr>
              <w:jc w:val="center"/>
            </w:pPr>
            <w:r w:rsidRPr="008B1304">
              <w:t>1</w:t>
            </w:r>
          </w:p>
        </w:tc>
        <w:tc>
          <w:tcPr>
            <w:tcW w:w="4140" w:type="dxa"/>
            <w:vAlign w:val="center"/>
          </w:tcPr>
          <w:p w14:paraId="66C78CEA" w14:textId="77777777" w:rsidR="00480708" w:rsidRPr="00480708" w:rsidRDefault="00480708" w:rsidP="00480708">
            <w:pPr>
              <w:pStyle w:val="NoSpacing"/>
            </w:pPr>
            <w:r w:rsidRPr="00480708">
              <w:t>For Maintaining an Original or Any Reissue Patent, Due at 7.5 Years</w:t>
            </w:r>
            <w:r>
              <w:t xml:space="preserve"> (small entity)</w:t>
            </w:r>
          </w:p>
        </w:tc>
        <w:tc>
          <w:tcPr>
            <w:tcW w:w="1440" w:type="dxa"/>
            <w:vAlign w:val="center"/>
          </w:tcPr>
          <w:p w14:paraId="66C78CEB" w14:textId="77777777" w:rsidR="00480708" w:rsidRPr="00480708" w:rsidRDefault="00480708" w:rsidP="00480708">
            <w:pPr>
              <w:pStyle w:val="NoSpacing"/>
              <w:jc w:val="center"/>
            </w:pPr>
            <w:r>
              <w:t>$1,800</w:t>
            </w:r>
          </w:p>
        </w:tc>
        <w:tc>
          <w:tcPr>
            <w:tcW w:w="1530" w:type="dxa"/>
            <w:vAlign w:val="center"/>
          </w:tcPr>
          <w:p w14:paraId="66C78CEC" w14:textId="77777777" w:rsidR="00480708" w:rsidRPr="00480708" w:rsidRDefault="00480708" w:rsidP="00480708">
            <w:pPr>
              <w:pStyle w:val="NoSpacing"/>
              <w:jc w:val="center"/>
            </w:pPr>
            <w:r>
              <w:t>$1,880</w:t>
            </w:r>
          </w:p>
        </w:tc>
        <w:tc>
          <w:tcPr>
            <w:tcW w:w="1615" w:type="dxa"/>
            <w:vAlign w:val="center"/>
          </w:tcPr>
          <w:p w14:paraId="66C78CED" w14:textId="77777777" w:rsidR="00480708" w:rsidRPr="00480708" w:rsidRDefault="00480708" w:rsidP="00480708">
            <w:pPr>
              <w:pStyle w:val="NoSpacing"/>
              <w:jc w:val="center"/>
            </w:pPr>
            <w:r>
              <w:t>$80</w:t>
            </w:r>
          </w:p>
        </w:tc>
      </w:tr>
      <w:tr w:rsidR="00480708" w:rsidRPr="00480708" w14:paraId="66C78CF4" w14:textId="77777777" w:rsidTr="00480708">
        <w:tc>
          <w:tcPr>
            <w:tcW w:w="625" w:type="dxa"/>
            <w:vAlign w:val="center"/>
          </w:tcPr>
          <w:p w14:paraId="66C78CEF" w14:textId="77777777" w:rsidR="00480708" w:rsidRDefault="00480708" w:rsidP="00480708">
            <w:pPr>
              <w:jc w:val="center"/>
            </w:pPr>
            <w:r w:rsidRPr="008B1304">
              <w:t>1</w:t>
            </w:r>
          </w:p>
        </w:tc>
        <w:tc>
          <w:tcPr>
            <w:tcW w:w="4140" w:type="dxa"/>
            <w:vAlign w:val="center"/>
          </w:tcPr>
          <w:p w14:paraId="66C78CF0" w14:textId="77777777" w:rsidR="00480708" w:rsidRPr="00480708" w:rsidRDefault="00480708" w:rsidP="00480708">
            <w:pPr>
              <w:pStyle w:val="NoSpacing"/>
            </w:pPr>
            <w:r w:rsidRPr="00480708">
              <w:t>For Maintaining an Original or Any Reissue Patent, Due at 7.5 Years</w:t>
            </w:r>
            <w:r>
              <w:t xml:space="preserve"> (micro entity)</w:t>
            </w:r>
          </w:p>
        </w:tc>
        <w:tc>
          <w:tcPr>
            <w:tcW w:w="1440" w:type="dxa"/>
            <w:vAlign w:val="center"/>
          </w:tcPr>
          <w:p w14:paraId="66C78CF1" w14:textId="77777777" w:rsidR="00480708" w:rsidRPr="00480708" w:rsidRDefault="00480708" w:rsidP="00480708">
            <w:pPr>
              <w:pStyle w:val="NoSpacing"/>
              <w:jc w:val="center"/>
            </w:pPr>
            <w:r>
              <w:t>$900</w:t>
            </w:r>
          </w:p>
        </w:tc>
        <w:tc>
          <w:tcPr>
            <w:tcW w:w="1530" w:type="dxa"/>
            <w:vAlign w:val="center"/>
          </w:tcPr>
          <w:p w14:paraId="66C78CF2" w14:textId="77777777" w:rsidR="00480708" w:rsidRPr="00480708" w:rsidRDefault="00480708" w:rsidP="00480708">
            <w:pPr>
              <w:pStyle w:val="NoSpacing"/>
              <w:jc w:val="center"/>
            </w:pPr>
            <w:r>
              <w:t>$940</w:t>
            </w:r>
          </w:p>
        </w:tc>
        <w:tc>
          <w:tcPr>
            <w:tcW w:w="1615" w:type="dxa"/>
            <w:vAlign w:val="center"/>
          </w:tcPr>
          <w:p w14:paraId="66C78CF3" w14:textId="77777777" w:rsidR="00480708" w:rsidRPr="00480708" w:rsidRDefault="00480708" w:rsidP="00480708">
            <w:pPr>
              <w:pStyle w:val="NoSpacing"/>
              <w:jc w:val="center"/>
            </w:pPr>
            <w:r>
              <w:t>$40</w:t>
            </w:r>
          </w:p>
        </w:tc>
      </w:tr>
      <w:tr w:rsidR="00480708" w:rsidRPr="00480708" w14:paraId="66C78CFA" w14:textId="77777777" w:rsidTr="00480708">
        <w:tc>
          <w:tcPr>
            <w:tcW w:w="625" w:type="dxa"/>
            <w:vAlign w:val="center"/>
          </w:tcPr>
          <w:p w14:paraId="66C78CF5" w14:textId="77777777" w:rsidR="00480708" w:rsidRDefault="00480708" w:rsidP="00480708">
            <w:pPr>
              <w:jc w:val="center"/>
            </w:pPr>
            <w:r w:rsidRPr="008B1304">
              <w:t>1</w:t>
            </w:r>
          </w:p>
        </w:tc>
        <w:tc>
          <w:tcPr>
            <w:tcW w:w="4140" w:type="dxa"/>
            <w:vAlign w:val="center"/>
          </w:tcPr>
          <w:p w14:paraId="66C78CF6" w14:textId="77777777" w:rsidR="00480708" w:rsidRPr="00480708" w:rsidRDefault="00480708" w:rsidP="00480708">
            <w:pPr>
              <w:pStyle w:val="NoSpacing"/>
            </w:pPr>
            <w:r w:rsidRPr="00480708">
              <w:t>For Maintaining an Original or Any Reissue Patent, Due at 11.5 Years</w:t>
            </w:r>
            <w:r>
              <w:t xml:space="preserve"> (large entity)</w:t>
            </w:r>
          </w:p>
        </w:tc>
        <w:tc>
          <w:tcPr>
            <w:tcW w:w="1440" w:type="dxa"/>
            <w:vAlign w:val="center"/>
          </w:tcPr>
          <w:p w14:paraId="66C78CF7" w14:textId="77777777" w:rsidR="00480708" w:rsidRPr="00480708" w:rsidRDefault="00480708" w:rsidP="00480708">
            <w:pPr>
              <w:pStyle w:val="NoSpacing"/>
              <w:jc w:val="center"/>
            </w:pPr>
            <w:r>
              <w:t>$7,400</w:t>
            </w:r>
          </w:p>
        </w:tc>
        <w:tc>
          <w:tcPr>
            <w:tcW w:w="1530" w:type="dxa"/>
            <w:vAlign w:val="center"/>
          </w:tcPr>
          <w:p w14:paraId="66C78CF8" w14:textId="77777777" w:rsidR="00480708" w:rsidRPr="00480708" w:rsidRDefault="00480708" w:rsidP="00480708">
            <w:pPr>
              <w:pStyle w:val="NoSpacing"/>
              <w:jc w:val="center"/>
            </w:pPr>
            <w:r>
              <w:t>$7,700</w:t>
            </w:r>
          </w:p>
        </w:tc>
        <w:tc>
          <w:tcPr>
            <w:tcW w:w="1615" w:type="dxa"/>
            <w:vAlign w:val="center"/>
          </w:tcPr>
          <w:p w14:paraId="66C78CF9" w14:textId="77777777" w:rsidR="00480708" w:rsidRPr="00480708" w:rsidRDefault="00480708" w:rsidP="00480708">
            <w:pPr>
              <w:pStyle w:val="NoSpacing"/>
              <w:jc w:val="center"/>
            </w:pPr>
            <w:r>
              <w:t>$300</w:t>
            </w:r>
          </w:p>
        </w:tc>
      </w:tr>
      <w:tr w:rsidR="00480708" w:rsidRPr="00480708" w14:paraId="66C78D00" w14:textId="77777777" w:rsidTr="00480708">
        <w:tc>
          <w:tcPr>
            <w:tcW w:w="625" w:type="dxa"/>
            <w:vAlign w:val="center"/>
          </w:tcPr>
          <w:p w14:paraId="66C78CFB" w14:textId="77777777" w:rsidR="00480708" w:rsidRDefault="00480708" w:rsidP="00480708">
            <w:pPr>
              <w:jc w:val="center"/>
            </w:pPr>
            <w:r w:rsidRPr="008B1304">
              <w:t>1</w:t>
            </w:r>
          </w:p>
        </w:tc>
        <w:tc>
          <w:tcPr>
            <w:tcW w:w="4140" w:type="dxa"/>
            <w:vAlign w:val="center"/>
          </w:tcPr>
          <w:p w14:paraId="66C78CFC" w14:textId="77777777" w:rsidR="00480708" w:rsidRPr="00480708" w:rsidRDefault="00480708" w:rsidP="00480708">
            <w:pPr>
              <w:pStyle w:val="NoSpacing"/>
            </w:pPr>
            <w:r w:rsidRPr="00480708">
              <w:t>For Maintaining an Original or Any Reissue Patent, Due at 11.5 Years</w:t>
            </w:r>
            <w:r>
              <w:t xml:space="preserve"> (small entity)</w:t>
            </w:r>
          </w:p>
        </w:tc>
        <w:tc>
          <w:tcPr>
            <w:tcW w:w="1440" w:type="dxa"/>
            <w:vAlign w:val="center"/>
          </w:tcPr>
          <w:p w14:paraId="66C78CFD" w14:textId="77777777" w:rsidR="00480708" w:rsidRPr="00480708" w:rsidRDefault="00480708" w:rsidP="00480708">
            <w:pPr>
              <w:pStyle w:val="NoSpacing"/>
              <w:jc w:val="center"/>
            </w:pPr>
            <w:r>
              <w:t>$3,700</w:t>
            </w:r>
          </w:p>
        </w:tc>
        <w:tc>
          <w:tcPr>
            <w:tcW w:w="1530" w:type="dxa"/>
            <w:vAlign w:val="center"/>
          </w:tcPr>
          <w:p w14:paraId="66C78CFE" w14:textId="77777777" w:rsidR="00480708" w:rsidRPr="00480708" w:rsidRDefault="00480708" w:rsidP="00480708">
            <w:pPr>
              <w:pStyle w:val="NoSpacing"/>
              <w:jc w:val="center"/>
            </w:pPr>
            <w:r>
              <w:t>$3,850</w:t>
            </w:r>
          </w:p>
        </w:tc>
        <w:tc>
          <w:tcPr>
            <w:tcW w:w="1615" w:type="dxa"/>
            <w:vAlign w:val="center"/>
          </w:tcPr>
          <w:p w14:paraId="66C78CFF" w14:textId="77777777" w:rsidR="00480708" w:rsidRPr="00480708" w:rsidRDefault="00480708" w:rsidP="00480708">
            <w:pPr>
              <w:pStyle w:val="NoSpacing"/>
              <w:jc w:val="center"/>
            </w:pPr>
            <w:r>
              <w:t>$150</w:t>
            </w:r>
          </w:p>
        </w:tc>
      </w:tr>
      <w:tr w:rsidR="00480708" w:rsidRPr="00480708" w14:paraId="66C78D06" w14:textId="77777777" w:rsidTr="00480708">
        <w:tc>
          <w:tcPr>
            <w:tcW w:w="625" w:type="dxa"/>
            <w:vAlign w:val="center"/>
          </w:tcPr>
          <w:p w14:paraId="66C78D01" w14:textId="77777777" w:rsidR="00480708" w:rsidRDefault="00480708" w:rsidP="00480708">
            <w:pPr>
              <w:jc w:val="center"/>
            </w:pPr>
            <w:r w:rsidRPr="008B1304">
              <w:t>1</w:t>
            </w:r>
          </w:p>
        </w:tc>
        <w:tc>
          <w:tcPr>
            <w:tcW w:w="4140" w:type="dxa"/>
            <w:vAlign w:val="center"/>
          </w:tcPr>
          <w:p w14:paraId="66C78D02" w14:textId="77777777" w:rsidR="00480708" w:rsidRPr="00480708" w:rsidRDefault="00480708" w:rsidP="00480708">
            <w:pPr>
              <w:pStyle w:val="NoSpacing"/>
            </w:pPr>
            <w:r w:rsidRPr="00480708">
              <w:t>For Maintaining an Original or Any Reissue Patent, Due at 11.5 Years</w:t>
            </w:r>
            <w:r>
              <w:t xml:space="preserve"> (micro entity)</w:t>
            </w:r>
          </w:p>
        </w:tc>
        <w:tc>
          <w:tcPr>
            <w:tcW w:w="1440" w:type="dxa"/>
            <w:vAlign w:val="center"/>
          </w:tcPr>
          <w:p w14:paraId="66C78D03" w14:textId="77777777" w:rsidR="00480708" w:rsidRPr="00480708" w:rsidRDefault="00480708" w:rsidP="00480708">
            <w:pPr>
              <w:pStyle w:val="NoSpacing"/>
              <w:jc w:val="center"/>
            </w:pPr>
            <w:r>
              <w:t>$1,850</w:t>
            </w:r>
          </w:p>
        </w:tc>
        <w:tc>
          <w:tcPr>
            <w:tcW w:w="1530" w:type="dxa"/>
            <w:vAlign w:val="center"/>
          </w:tcPr>
          <w:p w14:paraId="66C78D04" w14:textId="77777777" w:rsidR="00480708" w:rsidRPr="00480708" w:rsidRDefault="00480708" w:rsidP="00480708">
            <w:pPr>
              <w:pStyle w:val="NoSpacing"/>
              <w:jc w:val="center"/>
            </w:pPr>
            <w:r>
              <w:t>$1,925</w:t>
            </w:r>
          </w:p>
        </w:tc>
        <w:tc>
          <w:tcPr>
            <w:tcW w:w="1615" w:type="dxa"/>
            <w:vAlign w:val="center"/>
          </w:tcPr>
          <w:p w14:paraId="66C78D05" w14:textId="77777777" w:rsidR="00480708" w:rsidRPr="00480708" w:rsidRDefault="00480708" w:rsidP="00480708">
            <w:pPr>
              <w:pStyle w:val="NoSpacing"/>
              <w:jc w:val="center"/>
            </w:pPr>
            <w:r>
              <w:t>$75</w:t>
            </w:r>
          </w:p>
        </w:tc>
      </w:tr>
      <w:tr w:rsidR="00480708" w:rsidRPr="00480708" w14:paraId="66C78D0C" w14:textId="77777777" w:rsidTr="00480708">
        <w:tc>
          <w:tcPr>
            <w:tcW w:w="625" w:type="dxa"/>
            <w:vAlign w:val="center"/>
          </w:tcPr>
          <w:p w14:paraId="66C78D07" w14:textId="77777777" w:rsidR="00480708" w:rsidRDefault="00480708" w:rsidP="00480708">
            <w:pPr>
              <w:jc w:val="center"/>
            </w:pPr>
            <w:r w:rsidRPr="008B1304">
              <w:t>1</w:t>
            </w:r>
          </w:p>
        </w:tc>
        <w:tc>
          <w:tcPr>
            <w:tcW w:w="4140" w:type="dxa"/>
            <w:vAlign w:val="center"/>
          </w:tcPr>
          <w:p w14:paraId="66C78D08" w14:textId="77777777" w:rsidR="00480708" w:rsidRPr="00480708" w:rsidRDefault="00480708" w:rsidP="00480708">
            <w:pPr>
              <w:pStyle w:val="NoSpacing"/>
            </w:pPr>
            <w:r w:rsidRPr="00480708">
              <w:t>Surcharge – 3.5 year – Late Payment Within 6 Months</w:t>
            </w:r>
            <w:r>
              <w:t xml:space="preserve"> (large entity)</w:t>
            </w:r>
          </w:p>
        </w:tc>
        <w:tc>
          <w:tcPr>
            <w:tcW w:w="1440" w:type="dxa"/>
            <w:vAlign w:val="center"/>
          </w:tcPr>
          <w:p w14:paraId="66C78D09" w14:textId="77777777" w:rsidR="00480708" w:rsidRPr="00480708" w:rsidRDefault="00480708" w:rsidP="00480708">
            <w:pPr>
              <w:pStyle w:val="NoSpacing"/>
              <w:jc w:val="center"/>
            </w:pPr>
            <w:r>
              <w:t>$160</w:t>
            </w:r>
          </w:p>
        </w:tc>
        <w:tc>
          <w:tcPr>
            <w:tcW w:w="1530" w:type="dxa"/>
            <w:vAlign w:val="center"/>
          </w:tcPr>
          <w:p w14:paraId="66C78D0A" w14:textId="4040A472" w:rsidR="00480708" w:rsidRPr="00480708" w:rsidRDefault="00480708" w:rsidP="00855B0D">
            <w:pPr>
              <w:pStyle w:val="NoSpacing"/>
              <w:jc w:val="center"/>
            </w:pPr>
            <w:r>
              <w:t>$</w:t>
            </w:r>
            <w:r w:rsidR="00855B0D">
              <w:t>500</w:t>
            </w:r>
          </w:p>
        </w:tc>
        <w:tc>
          <w:tcPr>
            <w:tcW w:w="1615" w:type="dxa"/>
            <w:vAlign w:val="center"/>
          </w:tcPr>
          <w:p w14:paraId="66C78D0B" w14:textId="0AF173BF" w:rsidR="00480708" w:rsidRPr="00480708" w:rsidRDefault="00480708" w:rsidP="00BA554D">
            <w:pPr>
              <w:pStyle w:val="NoSpacing"/>
              <w:jc w:val="center"/>
            </w:pPr>
            <w:r>
              <w:t>$</w:t>
            </w:r>
            <w:r w:rsidR="00BA554D" w:rsidRPr="00BA554D">
              <w:t>340</w:t>
            </w:r>
          </w:p>
        </w:tc>
      </w:tr>
      <w:tr w:rsidR="00480708" w:rsidRPr="00480708" w14:paraId="66C78D12" w14:textId="77777777" w:rsidTr="00480708">
        <w:tc>
          <w:tcPr>
            <w:tcW w:w="625" w:type="dxa"/>
            <w:vAlign w:val="center"/>
          </w:tcPr>
          <w:p w14:paraId="66C78D0D" w14:textId="77777777" w:rsidR="00480708" w:rsidRDefault="00480708" w:rsidP="00480708">
            <w:pPr>
              <w:jc w:val="center"/>
            </w:pPr>
            <w:r w:rsidRPr="008B1304">
              <w:t>1</w:t>
            </w:r>
          </w:p>
        </w:tc>
        <w:tc>
          <w:tcPr>
            <w:tcW w:w="4140" w:type="dxa"/>
            <w:vAlign w:val="center"/>
          </w:tcPr>
          <w:p w14:paraId="66C78D0E" w14:textId="77777777" w:rsidR="00480708" w:rsidRPr="00480708" w:rsidRDefault="00480708" w:rsidP="00480708">
            <w:pPr>
              <w:pStyle w:val="NoSpacing"/>
            </w:pPr>
            <w:r w:rsidRPr="00480708">
              <w:t>Surcharge – 3.5 year – Late Payment Within 6 Months</w:t>
            </w:r>
            <w:r>
              <w:t xml:space="preserve"> (small entity)</w:t>
            </w:r>
          </w:p>
        </w:tc>
        <w:tc>
          <w:tcPr>
            <w:tcW w:w="1440" w:type="dxa"/>
            <w:vAlign w:val="center"/>
          </w:tcPr>
          <w:p w14:paraId="66C78D0F" w14:textId="77777777" w:rsidR="00480708" w:rsidRPr="00480708" w:rsidRDefault="00480708" w:rsidP="00480708">
            <w:pPr>
              <w:pStyle w:val="NoSpacing"/>
              <w:jc w:val="center"/>
            </w:pPr>
            <w:r>
              <w:t>$80</w:t>
            </w:r>
          </w:p>
        </w:tc>
        <w:tc>
          <w:tcPr>
            <w:tcW w:w="1530" w:type="dxa"/>
            <w:vAlign w:val="center"/>
          </w:tcPr>
          <w:p w14:paraId="66C78D10" w14:textId="6BF2210E" w:rsidR="00480708" w:rsidRPr="00480708" w:rsidRDefault="00480708" w:rsidP="00855B0D">
            <w:pPr>
              <w:pStyle w:val="NoSpacing"/>
              <w:jc w:val="center"/>
            </w:pPr>
            <w:r>
              <w:t>$</w:t>
            </w:r>
            <w:r w:rsidR="00855B0D">
              <w:t>250</w:t>
            </w:r>
          </w:p>
        </w:tc>
        <w:tc>
          <w:tcPr>
            <w:tcW w:w="1615" w:type="dxa"/>
            <w:vAlign w:val="center"/>
          </w:tcPr>
          <w:p w14:paraId="66C78D11" w14:textId="42EAF88B" w:rsidR="00480708" w:rsidRPr="00480708" w:rsidRDefault="00480708" w:rsidP="00BA554D">
            <w:pPr>
              <w:pStyle w:val="NoSpacing"/>
              <w:jc w:val="center"/>
            </w:pPr>
            <w:r>
              <w:t>$</w:t>
            </w:r>
            <w:r w:rsidR="00BA554D" w:rsidRPr="00BA554D">
              <w:t>170</w:t>
            </w:r>
          </w:p>
        </w:tc>
      </w:tr>
      <w:tr w:rsidR="00480708" w:rsidRPr="00480708" w14:paraId="66C78D18" w14:textId="77777777" w:rsidTr="00480708">
        <w:tc>
          <w:tcPr>
            <w:tcW w:w="625" w:type="dxa"/>
            <w:vAlign w:val="center"/>
          </w:tcPr>
          <w:p w14:paraId="66C78D13" w14:textId="77777777" w:rsidR="00480708" w:rsidRDefault="00480708" w:rsidP="00480708">
            <w:pPr>
              <w:jc w:val="center"/>
            </w:pPr>
            <w:r w:rsidRPr="008B1304">
              <w:t>1</w:t>
            </w:r>
          </w:p>
        </w:tc>
        <w:tc>
          <w:tcPr>
            <w:tcW w:w="4140" w:type="dxa"/>
            <w:vAlign w:val="center"/>
          </w:tcPr>
          <w:p w14:paraId="66C78D14" w14:textId="77777777" w:rsidR="00480708" w:rsidRPr="00480708" w:rsidRDefault="00480708" w:rsidP="00480708">
            <w:pPr>
              <w:pStyle w:val="NoSpacing"/>
            </w:pPr>
            <w:r w:rsidRPr="00480708">
              <w:t>Surcharge – 3.5 year – Late Payment Within 6 Months</w:t>
            </w:r>
            <w:r>
              <w:t xml:space="preserve"> (micro entity)</w:t>
            </w:r>
          </w:p>
        </w:tc>
        <w:tc>
          <w:tcPr>
            <w:tcW w:w="1440" w:type="dxa"/>
            <w:vAlign w:val="center"/>
          </w:tcPr>
          <w:p w14:paraId="66C78D15" w14:textId="77777777" w:rsidR="00480708" w:rsidRPr="00480708" w:rsidRDefault="00480708" w:rsidP="00480708">
            <w:pPr>
              <w:pStyle w:val="NoSpacing"/>
              <w:jc w:val="center"/>
            </w:pPr>
            <w:r>
              <w:t>$40</w:t>
            </w:r>
          </w:p>
        </w:tc>
        <w:tc>
          <w:tcPr>
            <w:tcW w:w="1530" w:type="dxa"/>
            <w:vAlign w:val="center"/>
          </w:tcPr>
          <w:p w14:paraId="66C78D16" w14:textId="4B4DBA0C" w:rsidR="00480708" w:rsidRPr="00480708" w:rsidRDefault="00480708" w:rsidP="00855B0D">
            <w:pPr>
              <w:pStyle w:val="NoSpacing"/>
              <w:jc w:val="center"/>
            </w:pPr>
            <w:r>
              <w:t>$</w:t>
            </w:r>
            <w:r w:rsidR="00855B0D">
              <w:t>125</w:t>
            </w:r>
          </w:p>
        </w:tc>
        <w:tc>
          <w:tcPr>
            <w:tcW w:w="1615" w:type="dxa"/>
            <w:vAlign w:val="center"/>
          </w:tcPr>
          <w:p w14:paraId="66C78D17" w14:textId="7FE7381F" w:rsidR="00480708" w:rsidRPr="00480708" w:rsidRDefault="00480708" w:rsidP="00BA554D">
            <w:pPr>
              <w:pStyle w:val="NoSpacing"/>
              <w:jc w:val="center"/>
            </w:pPr>
            <w:r>
              <w:t>$</w:t>
            </w:r>
            <w:r w:rsidR="00BA554D" w:rsidRPr="00BA554D">
              <w:t>85</w:t>
            </w:r>
          </w:p>
        </w:tc>
      </w:tr>
      <w:tr w:rsidR="00480708" w:rsidRPr="00480708" w14:paraId="66C78D1E" w14:textId="77777777" w:rsidTr="00480708">
        <w:tc>
          <w:tcPr>
            <w:tcW w:w="625" w:type="dxa"/>
            <w:vAlign w:val="center"/>
          </w:tcPr>
          <w:p w14:paraId="66C78D19" w14:textId="77777777" w:rsidR="00480708" w:rsidRDefault="00480708" w:rsidP="00480708">
            <w:pPr>
              <w:jc w:val="center"/>
            </w:pPr>
            <w:r w:rsidRPr="008B1304">
              <w:t>1</w:t>
            </w:r>
          </w:p>
        </w:tc>
        <w:tc>
          <w:tcPr>
            <w:tcW w:w="4140" w:type="dxa"/>
            <w:vAlign w:val="center"/>
          </w:tcPr>
          <w:p w14:paraId="66C78D1A" w14:textId="77777777" w:rsidR="00480708" w:rsidRPr="00480708" w:rsidRDefault="00480708" w:rsidP="00480708">
            <w:pPr>
              <w:pStyle w:val="NoSpacing"/>
            </w:pPr>
            <w:r w:rsidRPr="00480708">
              <w:t>Surcharge –7.5 year – Late Payment Within 6 Months</w:t>
            </w:r>
            <w:r>
              <w:t xml:space="preserve"> (large entity)</w:t>
            </w:r>
          </w:p>
        </w:tc>
        <w:tc>
          <w:tcPr>
            <w:tcW w:w="1440" w:type="dxa"/>
            <w:vAlign w:val="center"/>
          </w:tcPr>
          <w:p w14:paraId="66C78D1B" w14:textId="77777777" w:rsidR="00480708" w:rsidRPr="00480708" w:rsidRDefault="00480708" w:rsidP="00480708">
            <w:pPr>
              <w:pStyle w:val="NoSpacing"/>
              <w:jc w:val="center"/>
            </w:pPr>
            <w:r>
              <w:t>$160</w:t>
            </w:r>
          </w:p>
        </w:tc>
        <w:tc>
          <w:tcPr>
            <w:tcW w:w="1530" w:type="dxa"/>
            <w:vAlign w:val="center"/>
          </w:tcPr>
          <w:p w14:paraId="66C78D1C" w14:textId="6460EE54" w:rsidR="00480708" w:rsidRPr="00480708" w:rsidRDefault="00480708" w:rsidP="00855B0D">
            <w:pPr>
              <w:pStyle w:val="NoSpacing"/>
              <w:jc w:val="center"/>
            </w:pPr>
            <w:r>
              <w:t>$</w:t>
            </w:r>
            <w:r w:rsidR="00855B0D">
              <w:t>500</w:t>
            </w:r>
          </w:p>
        </w:tc>
        <w:tc>
          <w:tcPr>
            <w:tcW w:w="1615" w:type="dxa"/>
            <w:vAlign w:val="center"/>
          </w:tcPr>
          <w:p w14:paraId="66C78D1D" w14:textId="75A3EA19" w:rsidR="00480708" w:rsidRPr="00480708" w:rsidRDefault="00480708" w:rsidP="00BA554D">
            <w:pPr>
              <w:pStyle w:val="NoSpacing"/>
              <w:jc w:val="center"/>
            </w:pPr>
            <w:r>
              <w:t>$</w:t>
            </w:r>
            <w:r w:rsidR="00BA554D" w:rsidRPr="00BA554D">
              <w:t>340</w:t>
            </w:r>
          </w:p>
        </w:tc>
      </w:tr>
      <w:tr w:rsidR="00480708" w:rsidRPr="00480708" w14:paraId="66C78D24" w14:textId="77777777" w:rsidTr="00480708">
        <w:tc>
          <w:tcPr>
            <w:tcW w:w="625" w:type="dxa"/>
            <w:vAlign w:val="center"/>
          </w:tcPr>
          <w:p w14:paraId="66C78D1F" w14:textId="77777777" w:rsidR="00480708" w:rsidRDefault="00480708" w:rsidP="00480708">
            <w:pPr>
              <w:jc w:val="center"/>
            </w:pPr>
            <w:r w:rsidRPr="008B1304">
              <w:lastRenderedPageBreak/>
              <w:t>1</w:t>
            </w:r>
          </w:p>
        </w:tc>
        <w:tc>
          <w:tcPr>
            <w:tcW w:w="4140" w:type="dxa"/>
            <w:vAlign w:val="center"/>
          </w:tcPr>
          <w:p w14:paraId="66C78D20" w14:textId="77777777" w:rsidR="00480708" w:rsidRPr="00480708" w:rsidRDefault="00480708" w:rsidP="00480708">
            <w:pPr>
              <w:pStyle w:val="NoSpacing"/>
            </w:pPr>
            <w:r w:rsidRPr="00480708">
              <w:t>Surcharge –7.5 year – Late Payment Within 6 Months</w:t>
            </w:r>
            <w:r>
              <w:t xml:space="preserve"> (small entity)</w:t>
            </w:r>
          </w:p>
        </w:tc>
        <w:tc>
          <w:tcPr>
            <w:tcW w:w="1440" w:type="dxa"/>
            <w:vAlign w:val="center"/>
          </w:tcPr>
          <w:p w14:paraId="66C78D21" w14:textId="77777777" w:rsidR="00480708" w:rsidRPr="00480708" w:rsidRDefault="00480708" w:rsidP="00480708">
            <w:pPr>
              <w:pStyle w:val="NoSpacing"/>
              <w:jc w:val="center"/>
            </w:pPr>
            <w:r>
              <w:t>$80</w:t>
            </w:r>
          </w:p>
        </w:tc>
        <w:tc>
          <w:tcPr>
            <w:tcW w:w="1530" w:type="dxa"/>
            <w:vAlign w:val="center"/>
          </w:tcPr>
          <w:p w14:paraId="66C78D22" w14:textId="2C58BC44" w:rsidR="00480708" w:rsidRPr="00480708" w:rsidRDefault="00480708" w:rsidP="00855B0D">
            <w:pPr>
              <w:pStyle w:val="NoSpacing"/>
              <w:jc w:val="center"/>
            </w:pPr>
            <w:r>
              <w:t>$</w:t>
            </w:r>
            <w:r w:rsidR="00855B0D">
              <w:t>250</w:t>
            </w:r>
          </w:p>
        </w:tc>
        <w:tc>
          <w:tcPr>
            <w:tcW w:w="1615" w:type="dxa"/>
            <w:vAlign w:val="center"/>
          </w:tcPr>
          <w:p w14:paraId="66C78D23" w14:textId="633B47DB" w:rsidR="00480708" w:rsidRPr="00480708" w:rsidRDefault="00480708" w:rsidP="00BA554D">
            <w:pPr>
              <w:pStyle w:val="NoSpacing"/>
              <w:jc w:val="center"/>
            </w:pPr>
            <w:r>
              <w:t>$</w:t>
            </w:r>
            <w:r w:rsidR="00BA554D" w:rsidRPr="00BA554D">
              <w:t>170</w:t>
            </w:r>
          </w:p>
        </w:tc>
      </w:tr>
      <w:tr w:rsidR="00480708" w:rsidRPr="00480708" w14:paraId="66C78D2A" w14:textId="77777777" w:rsidTr="00480708">
        <w:tc>
          <w:tcPr>
            <w:tcW w:w="625" w:type="dxa"/>
            <w:vAlign w:val="center"/>
          </w:tcPr>
          <w:p w14:paraId="66C78D25" w14:textId="77777777" w:rsidR="00480708" w:rsidRDefault="00480708" w:rsidP="00480708">
            <w:pPr>
              <w:jc w:val="center"/>
            </w:pPr>
            <w:r w:rsidRPr="008B1304">
              <w:t>1</w:t>
            </w:r>
          </w:p>
        </w:tc>
        <w:tc>
          <w:tcPr>
            <w:tcW w:w="4140" w:type="dxa"/>
            <w:vAlign w:val="center"/>
          </w:tcPr>
          <w:p w14:paraId="66C78D26" w14:textId="77777777" w:rsidR="00480708" w:rsidRPr="00480708" w:rsidRDefault="00480708" w:rsidP="00480708">
            <w:pPr>
              <w:pStyle w:val="NoSpacing"/>
            </w:pPr>
            <w:r w:rsidRPr="00480708">
              <w:t>Surcharge –7.5 year – Late Payment Within 6 Months</w:t>
            </w:r>
            <w:r>
              <w:t xml:space="preserve"> (micro entity) </w:t>
            </w:r>
          </w:p>
        </w:tc>
        <w:tc>
          <w:tcPr>
            <w:tcW w:w="1440" w:type="dxa"/>
            <w:vAlign w:val="center"/>
          </w:tcPr>
          <w:p w14:paraId="66C78D27" w14:textId="77777777" w:rsidR="00480708" w:rsidRPr="00480708" w:rsidRDefault="00480708" w:rsidP="00480708">
            <w:pPr>
              <w:pStyle w:val="NoSpacing"/>
              <w:jc w:val="center"/>
            </w:pPr>
            <w:r>
              <w:t>$40</w:t>
            </w:r>
          </w:p>
        </w:tc>
        <w:tc>
          <w:tcPr>
            <w:tcW w:w="1530" w:type="dxa"/>
            <w:vAlign w:val="center"/>
          </w:tcPr>
          <w:p w14:paraId="66C78D28" w14:textId="74407D83" w:rsidR="00480708" w:rsidRPr="00480708" w:rsidRDefault="00480708" w:rsidP="00855B0D">
            <w:pPr>
              <w:pStyle w:val="NoSpacing"/>
              <w:jc w:val="center"/>
            </w:pPr>
            <w:r>
              <w:t>$</w:t>
            </w:r>
            <w:r w:rsidR="00855B0D">
              <w:t>125</w:t>
            </w:r>
          </w:p>
        </w:tc>
        <w:tc>
          <w:tcPr>
            <w:tcW w:w="1615" w:type="dxa"/>
            <w:vAlign w:val="center"/>
          </w:tcPr>
          <w:p w14:paraId="66C78D29" w14:textId="691C0C70" w:rsidR="00480708" w:rsidRPr="00480708" w:rsidRDefault="00480708" w:rsidP="00BA554D">
            <w:pPr>
              <w:pStyle w:val="NoSpacing"/>
              <w:jc w:val="center"/>
            </w:pPr>
            <w:r>
              <w:t>$</w:t>
            </w:r>
            <w:r w:rsidR="00BA554D">
              <w:t>85</w:t>
            </w:r>
          </w:p>
        </w:tc>
      </w:tr>
      <w:tr w:rsidR="00480708" w:rsidRPr="00480708" w14:paraId="66C78D30" w14:textId="77777777" w:rsidTr="00480708">
        <w:tc>
          <w:tcPr>
            <w:tcW w:w="625" w:type="dxa"/>
            <w:vAlign w:val="center"/>
          </w:tcPr>
          <w:p w14:paraId="66C78D2B" w14:textId="77777777" w:rsidR="00480708" w:rsidRDefault="00480708" w:rsidP="00480708">
            <w:pPr>
              <w:jc w:val="center"/>
            </w:pPr>
            <w:r w:rsidRPr="008B1304">
              <w:t>1</w:t>
            </w:r>
          </w:p>
        </w:tc>
        <w:tc>
          <w:tcPr>
            <w:tcW w:w="4140" w:type="dxa"/>
            <w:vAlign w:val="center"/>
          </w:tcPr>
          <w:p w14:paraId="66C78D2C" w14:textId="77777777" w:rsidR="00480708" w:rsidRPr="00480708" w:rsidRDefault="00480708" w:rsidP="00480708">
            <w:pPr>
              <w:pStyle w:val="NoSpacing"/>
            </w:pPr>
            <w:r w:rsidRPr="00480708">
              <w:t>Surcharge – 11.5 year – Late Payment Within 6 Months</w:t>
            </w:r>
            <w:r>
              <w:t xml:space="preserve"> (large entity)</w:t>
            </w:r>
          </w:p>
        </w:tc>
        <w:tc>
          <w:tcPr>
            <w:tcW w:w="1440" w:type="dxa"/>
            <w:vAlign w:val="center"/>
          </w:tcPr>
          <w:p w14:paraId="66C78D2D" w14:textId="77777777" w:rsidR="00480708" w:rsidRPr="00480708" w:rsidRDefault="00480708" w:rsidP="00480708">
            <w:pPr>
              <w:pStyle w:val="NoSpacing"/>
              <w:jc w:val="center"/>
            </w:pPr>
            <w:r>
              <w:t>$160</w:t>
            </w:r>
          </w:p>
        </w:tc>
        <w:tc>
          <w:tcPr>
            <w:tcW w:w="1530" w:type="dxa"/>
            <w:vAlign w:val="center"/>
          </w:tcPr>
          <w:p w14:paraId="66C78D2E" w14:textId="74161CA5" w:rsidR="00480708" w:rsidRPr="00480708" w:rsidRDefault="00480708" w:rsidP="00855B0D">
            <w:pPr>
              <w:pStyle w:val="NoSpacing"/>
              <w:jc w:val="center"/>
            </w:pPr>
            <w:r>
              <w:t>$</w:t>
            </w:r>
            <w:r w:rsidR="00855B0D">
              <w:t>500</w:t>
            </w:r>
          </w:p>
        </w:tc>
        <w:tc>
          <w:tcPr>
            <w:tcW w:w="1615" w:type="dxa"/>
            <w:vAlign w:val="center"/>
          </w:tcPr>
          <w:p w14:paraId="66C78D2F" w14:textId="0F55DEBB" w:rsidR="00480708" w:rsidRPr="00480708" w:rsidRDefault="00480708" w:rsidP="00BA554D">
            <w:pPr>
              <w:pStyle w:val="NoSpacing"/>
              <w:jc w:val="center"/>
            </w:pPr>
            <w:r>
              <w:t>$</w:t>
            </w:r>
            <w:r w:rsidR="00BA554D" w:rsidRPr="00BA554D">
              <w:t>340</w:t>
            </w:r>
          </w:p>
        </w:tc>
      </w:tr>
      <w:tr w:rsidR="00480708" w:rsidRPr="00480708" w14:paraId="66C78D36" w14:textId="77777777" w:rsidTr="00480708">
        <w:tc>
          <w:tcPr>
            <w:tcW w:w="625" w:type="dxa"/>
            <w:vAlign w:val="center"/>
          </w:tcPr>
          <w:p w14:paraId="66C78D31" w14:textId="77777777" w:rsidR="00480708" w:rsidRDefault="00480708" w:rsidP="00480708">
            <w:pPr>
              <w:jc w:val="center"/>
            </w:pPr>
            <w:r w:rsidRPr="008B1304">
              <w:t>1</w:t>
            </w:r>
          </w:p>
        </w:tc>
        <w:tc>
          <w:tcPr>
            <w:tcW w:w="4140" w:type="dxa"/>
            <w:vAlign w:val="center"/>
          </w:tcPr>
          <w:p w14:paraId="66C78D32" w14:textId="77777777" w:rsidR="00480708" w:rsidRPr="00480708" w:rsidRDefault="00480708" w:rsidP="00480708">
            <w:pPr>
              <w:pStyle w:val="NoSpacing"/>
            </w:pPr>
            <w:r w:rsidRPr="00480708">
              <w:t>Surcharge – 11.5 year – Late Payment Within 6 Months</w:t>
            </w:r>
            <w:r>
              <w:t xml:space="preserve"> (small entity)</w:t>
            </w:r>
          </w:p>
        </w:tc>
        <w:tc>
          <w:tcPr>
            <w:tcW w:w="1440" w:type="dxa"/>
            <w:vAlign w:val="center"/>
          </w:tcPr>
          <w:p w14:paraId="66C78D33" w14:textId="77777777" w:rsidR="00480708" w:rsidRPr="00480708" w:rsidRDefault="00480708" w:rsidP="00480708">
            <w:pPr>
              <w:pStyle w:val="NoSpacing"/>
              <w:jc w:val="center"/>
            </w:pPr>
            <w:r>
              <w:t>$80</w:t>
            </w:r>
          </w:p>
        </w:tc>
        <w:tc>
          <w:tcPr>
            <w:tcW w:w="1530" w:type="dxa"/>
            <w:vAlign w:val="center"/>
          </w:tcPr>
          <w:p w14:paraId="66C78D34" w14:textId="6C4E57EA" w:rsidR="00480708" w:rsidRPr="00480708" w:rsidRDefault="00480708" w:rsidP="00855B0D">
            <w:pPr>
              <w:pStyle w:val="NoSpacing"/>
              <w:jc w:val="center"/>
            </w:pPr>
            <w:r>
              <w:t>$</w:t>
            </w:r>
            <w:r w:rsidR="00855B0D">
              <w:t>250</w:t>
            </w:r>
          </w:p>
        </w:tc>
        <w:tc>
          <w:tcPr>
            <w:tcW w:w="1615" w:type="dxa"/>
            <w:vAlign w:val="center"/>
          </w:tcPr>
          <w:p w14:paraId="66C78D35" w14:textId="148F9DC0" w:rsidR="00480708" w:rsidRPr="00480708" w:rsidRDefault="00480708" w:rsidP="00BA554D">
            <w:pPr>
              <w:pStyle w:val="NoSpacing"/>
              <w:jc w:val="center"/>
            </w:pPr>
            <w:r>
              <w:t>$</w:t>
            </w:r>
            <w:r w:rsidR="00BA554D" w:rsidRPr="00BA554D">
              <w:t>170</w:t>
            </w:r>
          </w:p>
        </w:tc>
      </w:tr>
      <w:tr w:rsidR="00480708" w:rsidRPr="00480708" w14:paraId="66C78D3C" w14:textId="77777777" w:rsidTr="00480708">
        <w:tc>
          <w:tcPr>
            <w:tcW w:w="625" w:type="dxa"/>
            <w:vAlign w:val="center"/>
          </w:tcPr>
          <w:p w14:paraId="66C78D37" w14:textId="77777777" w:rsidR="00480708" w:rsidRDefault="00480708" w:rsidP="00480708">
            <w:pPr>
              <w:jc w:val="center"/>
            </w:pPr>
            <w:r w:rsidRPr="008B1304">
              <w:t>1</w:t>
            </w:r>
          </w:p>
        </w:tc>
        <w:tc>
          <w:tcPr>
            <w:tcW w:w="4140" w:type="dxa"/>
            <w:vAlign w:val="center"/>
          </w:tcPr>
          <w:p w14:paraId="66C78D38" w14:textId="77777777" w:rsidR="00480708" w:rsidRPr="00480708" w:rsidRDefault="00480708" w:rsidP="00480708">
            <w:pPr>
              <w:pStyle w:val="NoSpacing"/>
            </w:pPr>
            <w:r w:rsidRPr="00480708">
              <w:t>Surcharge – 11.5 year – Late Payment Within 6 Months</w:t>
            </w:r>
            <w:r>
              <w:t xml:space="preserve"> (micro entity)</w:t>
            </w:r>
          </w:p>
        </w:tc>
        <w:tc>
          <w:tcPr>
            <w:tcW w:w="1440" w:type="dxa"/>
            <w:vAlign w:val="center"/>
          </w:tcPr>
          <w:p w14:paraId="66C78D39" w14:textId="77777777" w:rsidR="00480708" w:rsidRPr="00480708" w:rsidRDefault="00480708" w:rsidP="00480708">
            <w:pPr>
              <w:pStyle w:val="NoSpacing"/>
              <w:jc w:val="center"/>
            </w:pPr>
            <w:r>
              <w:t>$40</w:t>
            </w:r>
          </w:p>
        </w:tc>
        <w:tc>
          <w:tcPr>
            <w:tcW w:w="1530" w:type="dxa"/>
            <w:vAlign w:val="center"/>
          </w:tcPr>
          <w:p w14:paraId="66C78D3A" w14:textId="64A39E66" w:rsidR="00480708" w:rsidRPr="00480708" w:rsidRDefault="00480708" w:rsidP="00855B0D">
            <w:pPr>
              <w:pStyle w:val="NoSpacing"/>
              <w:jc w:val="center"/>
            </w:pPr>
            <w:r>
              <w:t>$</w:t>
            </w:r>
            <w:r w:rsidR="00855B0D">
              <w:t>125</w:t>
            </w:r>
          </w:p>
        </w:tc>
        <w:tc>
          <w:tcPr>
            <w:tcW w:w="1615" w:type="dxa"/>
            <w:vAlign w:val="center"/>
          </w:tcPr>
          <w:p w14:paraId="66C78D3B" w14:textId="74008C1D" w:rsidR="00480708" w:rsidRPr="00480708" w:rsidRDefault="00480708" w:rsidP="00BA554D">
            <w:pPr>
              <w:pStyle w:val="NoSpacing"/>
              <w:jc w:val="center"/>
            </w:pPr>
            <w:r>
              <w:t>$</w:t>
            </w:r>
            <w:r w:rsidR="00BA554D" w:rsidRPr="00BA554D">
              <w:t>85</w:t>
            </w:r>
          </w:p>
        </w:tc>
      </w:tr>
      <w:tr w:rsidR="00480708" w:rsidRPr="00480708" w14:paraId="66C78D42" w14:textId="77777777" w:rsidTr="00480708">
        <w:tc>
          <w:tcPr>
            <w:tcW w:w="625" w:type="dxa"/>
            <w:vAlign w:val="center"/>
          </w:tcPr>
          <w:p w14:paraId="66C78D3D" w14:textId="77777777" w:rsidR="00480708" w:rsidRPr="00480708" w:rsidRDefault="00480708" w:rsidP="00480708">
            <w:pPr>
              <w:pStyle w:val="NoSpacing"/>
              <w:jc w:val="center"/>
            </w:pPr>
            <w:r>
              <w:t>3</w:t>
            </w:r>
          </w:p>
        </w:tc>
        <w:tc>
          <w:tcPr>
            <w:tcW w:w="4140" w:type="dxa"/>
            <w:vAlign w:val="center"/>
          </w:tcPr>
          <w:p w14:paraId="66C78D3E" w14:textId="77777777" w:rsidR="00480708" w:rsidRPr="00480708" w:rsidRDefault="00480708" w:rsidP="00480708">
            <w:pPr>
              <w:pStyle w:val="NoSpacing"/>
            </w:pPr>
            <w:r w:rsidRPr="00480708">
              <w:t>Petition for the Delayed Payment of the Fee for Maintaining a Patent in Force</w:t>
            </w:r>
            <w:r>
              <w:t xml:space="preserve"> (large entity)</w:t>
            </w:r>
          </w:p>
        </w:tc>
        <w:tc>
          <w:tcPr>
            <w:tcW w:w="1440" w:type="dxa"/>
            <w:vAlign w:val="center"/>
          </w:tcPr>
          <w:p w14:paraId="66C78D3F" w14:textId="77777777" w:rsidR="00480708" w:rsidRPr="00480708" w:rsidRDefault="00480708" w:rsidP="00480708">
            <w:pPr>
              <w:pStyle w:val="NoSpacing"/>
              <w:jc w:val="center"/>
            </w:pPr>
            <w:r>
              <w:t>$2,000</w:t>
            </w:r>
          </w:p>
        </w:tc>
        <w:tc>
          <w:tcPr>
            <w:tcW w:w="1530" w:type="dxa"/>
            <w:vAlign w:val="center"/>
          </w:tcPr>
          <w:p w14:paraId="66C78D40" w14:textId="77777777" w:rsidR="00480708" w:rsidRPr="00480708" w:rsidRDefault="00480708" w:rsidP="00480708">
            <w:pPr>
              <w:pStyle w:val="NoSpacing"/>
              <w:jc w:val="center"/>
            </w:pPr>
            <w:r>
              <w:t>$2,100</w:t>
            </w:r>
          </w:p>
        </w:tc>
        <w:tc>
          <w:tcPr>
            <w:tcW w:w="1615" w:type="dxa"/>
            <w:vAlign w:val="center"/>
          </w:tcPr>
          <w:p w14:paraId="66C78D41" w14:textId="77777777" w:rsidR="00480708" w:rsidRPr="00480708" w:rsidRDefault="00480708" w:rsidP="00480708">
            <w:pPr>
              <w:pStyle w:val="NoSpacing"/>
              <w:jc w:val="center"/>
            </w:pPr>
            <w:r>
              <w:t>$100</w:t>
            </w:r>
          </w:p>
        </w:tc>
      </w:tr>
      <w:tr w:rsidR="00480708" w:rsidRPr="00480708" w14:paraId="66C78D48" w14:textId="77777777" w:rsidTr="00480708">
        <w:tc>
          <w:tcPr>
            <w:tcW w:w="625" w:type="dxa"/>
            <w:vAlign w:val="center"/>
          </w:tcPr>
          <w:p w14:paraId="66C78D43" w14:textId="77777777" w:rsidR="00480708" w:rsidRPr="00480708" w:rsidRDefault="00480708" w:rsidP="00480708">
            <w:pPr>
              <w:pStyle w:val="NoSpacing"/>
              <w:jc w:val="center"/>
            </w:pPr>
            <w:r>
              <w:t>3</w:t>
            </w:r>
          </w:p>
        </w:tc>
        <w:tc>
          <w:tcPr>
            <w:tcW w:w="4140" w:type="dxa"/>
            <w:vAlign w:val="center"/>
          </w:tcPr>
          <w:p w14:paraId="66C78D44" w14:textId="77777777" w:rsidR="00480708" w:rsidRPr="00480708" w:rsidRDefault="00480708" w:rsidP="00480708">
            <w:pPr>
              <w:pStyle w:val="NoSpacing"/>
            </w:pPr>
            <w:r w:rsidRPr="00480708">
              <w:t>Petition for the Delayed Payment of the Fee for Maintaining a Patent in Force</w:t>
            </w:r>
            <w:r>
              <w:t xml:space="preserve"> (small entity)</w:t>
            </w:r>
          </w:p>
        </w:tc>
        <w:tc>
          <w:tcPr>
            <w:tcW w:w="1440" w:type="dxa"/>
            <w:vAlign w:val="center"/>
          </w:tcPr>
          <w:p w14:paraId="66C78D45" w14:textId="77777777" w:rsidR="00480708" w:rsidRPr="00480708" w:rsidRDefault="00480708" w:rsidP="00480708">
            <w:pPr>
              <w:pStyle w:val="NoSpacing"/>
              <w:jc w:val="center"/>
            </w:pPr>
            <w:r>
              <w:t>$1,000</w:t>
            </w:r>
          </w:p>
        </w:tc>
        <w:tc>
          <w:tcPr>
            <w:tcW w:w="1530" w:type="dxa"/>
            <w:vAlign w:val="center"/>
          </w:tcPr>
          <w:p w14:paraId="66C78D46" w14:textId="77777777" w:rsidR="00480708" w:rsidRPr="00480708" w:rsidRDefault="00480708" w:rsidP="00480708">
            <w:pPr>
              <w:pStyle w:val="NoSpacing"/>
              <w:jc w:val="center"/>
            </w:pPr>
            <w:r>
              <w:t>$1,050</w:t>
            </w:r>
          </w:p>
        </w:tc>
        <w:tc>
          <w:tcPr>
            <w:tcW w:w="1615" w:type="dxa"/>
            <w:vAlign w:val="center"/>
          </w:tcPr>
          <w:p w14:paraId="66C78D47" w14:textId="77777777" w:rsidR="00480708" w:rsidRPr="00480708" w:rsidRDefault="00480708" w:rsidP="00480708">
            <w:pPr>
              <w:pStyle w:val="NoSpacing"/>
              <w:jc w:val="center"/>
            </w:pPr>
            <w:r>
              <w:t>$50</w:t>
            </w:r>
          </w:p>
        </w:tc>
      </w:tr>
      <w:tr w:rsidR="00480708" w:rsidRPr="00480708" w14:paraId="66C78D4E" w14:textId="77777777" w:rsidTr="00480708">
        <w:tc>
          <w:tcPr>
            <w:tcW w:w="625" w:type="dxa"/>
            <w:vAlign w:val="center"/>
          </w:tcPr>
          <w:p w14:paraId="66C78D49" w14:textId="77777777" w:rsidR="00480708" w:rsidRPr="00480708" w:rsidRDefault="00480708" w:rsidP="00480708">
            <w:pPr>
              <w:pStyle w:val="NoSpacing"/>
              <w:jc w:val="center"/>
            </w:pPr>
            <w:r>
              <w:t>3</w:t>
            </w:r>
          </w:p>
        </w:tc>
        <w:tc>
          <w:tcPr>
            <w:tcW w:w="4140" w:type="dxa"/>
            <w:vAlign w:val="center"/>
          </w:tcPr>
          <w:p w14:paraId="66C78D4A" w14:textId="77777777" w:rsidR="00480708" w:rsidRPr="00480708" w:rsidRDefault="00480708" w:rsidP="00480708">
            <w:pPr>
              <w:pStyle w:val="NoSpacing"/>
            </w:pPr>
            <w:r w:rsidRPr="00480708">
              <w:t>Petition for the Delayed Payment of the Fee for Maintaining a Patent in Force</w:t>
            </w:r>
            <w:r>
              <w:t xml:space="preserve"> (micro entity)</w:t>
            </w:r>
          </w:p>
        </w:tc>
        <w:tc>
          <w:tcPr>
            <w:tcW w:w="1440" w:type="dxa"/>
            <w:vAlign w:val="center"/>
          </w:tcPr>
          <w:p w14:paraId="66C78D4B" w14:textId="77777777" w:rsidR="00480708" w:rsidRPr="00480708" w:rsidRDefault="00480708" w:rsidP="00480708">
            <w:pPr>
              <w:pStyle w:val="NoSpacing"/>
              <w:jc w:val="center"/>
            </w:pPr>
            <w:r>
              <w:t>$500</w:t>
            </w:r>
          </w:p>
        </w:tc>
        <w:tc>
          <w:tcPr>
            <w:tcW w:w="1530" w:type="dxa"/>
            <w:vAlign w:val="center"/>
          </w:tcPr>
          <w:p w14:paraId="66C78D4C" w14:textId="77777777" w:rsidR="00480708" w:rsidRPr="00480708" w:rsidRDefault="00480708" w:rsidP="00480708">
            <w:pPr>
              <w:pStyle w:val="NoSpacing"/>
              <w:jc w:val="center"/>
            </w:pPr>
            <w:r>
              <w:t>$525</w:t>
            </w:r>
          </w:p>
        </w:tc>
        <w:tc>
          <w:tcPr>
            <w:tcW w:w="1615" w:type="dxa"/>
            <w:vAlign w:val="center"/>
          </w:tcPr>
          <w:p w14:paraId="66C78D4D" w14:textId="77777777" w:rsidR="00480708" w:rsidRPr="00480708" w:rsidRDefault="00480708" w:rsidP="00480708">
            <w:pPr>
              <w:pStyle w:val="NoSpacing"/>
              <w:jc w:val="center"/>
            </w:pPr>
            <w:r>
              <w:t>$25</w:t>
            </w:r>
          </w:p>
        </w:tc>
      </w:tr>
    </w:tbl>
    <w:p w14:paraId="66C78D4F" w14:textId="77777777" w:rsidR="00480708" w:rsidRDefault="00480708" w:rsidP="005F7F25">
      <w:pPr>
        <w:pStyle w:val="NoSpacing"/>
      </w:pPr>
    </w:p>
    <w:p w14:paraId="66C78D50" w14:textId="77777777" w:rsidR="00480708" w:rsidRDefault="00480708" w:rsidP="005F7F25">
      <w:pPr>
        <w:pStyle w:val="NoSpacing"/>
      </w:pPr>
      <w:r>
        <w:rPr>
          <w:b/>
        </w:rPr>
        <w:t>Table 2: Proposed Burden Change</w:t>
      </w:r>
    </w:p>
    <w:tbl>
      <w:tblPr>
        <w:tblStyle w:val="TableGrid"/>
        <w:tblW w:w="0" w:type="auto"/>
        <w:tblLayout w:type="fixed"/>
        <w:tblLook w:val="04A0" w:firstRow="1" w:lastRow="0" w:firstColumn="1" w:lastColumn="0" w:noHBand="0" w:noVBand="1"/>
      </w:tblPr>
      <w:tblGrid>
        <w:gridCol w:w="528"/>
        <w:gridCol w:w="3008"/>
        <w:gridCol w:w="1279"/>
        <w:gridCol w:w="1355"/>
        <w:gridCol w:w="3180"/>
      </w:tblGrid>
      <w:tr w:rsidR="00480708" w:rsidRPr="00480708" w14:paraId="66C78D58" w14:textId="77777777" w:rsidTr="00F777CC">
        <w:tc>
          <w:tcPr>
            <w:tcW w:w="528" w:type="dxa"/>
            <w:vAlign w:val="center"/>
          </w:tcPr>
          <w:p w14:paraId="66C78D51" w14:textId="77777777" w:rsidR="00480708" w:rsidRPr="00480708" w:rsidRDefault="00480708" w:rsidP="00480708">
            <w:pPr>
              <w:pStyle w:val="NoSpacing"/>
              <w:jc w:val="center"/>
              <w:rPr>
                <w:b/>
              </w:rPr>
            </w:pPr>
          </w:p>
          <w:p w14:paraId="66C78D52" w14:textId="77777777" w:rsidR="00480708" w:rsidRPr="00480708" w:rsidRDefault="00480708" w:rsidP="00480708">
            <w:pPr>
              <w:pStyle w:val="NoSpacing"/>
              <w:jc w:val="center"/>
              <w:rPr>
                <w:b/>
              </w:rPr>
            </w:pPr>
            <w:r w:rsidRPr="00480708">
              <w:rPr>
                <w:b/>
              </w:rPr>
              <w:t>IC #</w:t>
            </w:r>
          </w:p>
          <w:p w14:paraId="66C78D53" w14:textId="77777777" w:rsidR="00480708" w:rsidRPr="00480708" w:rsidRDefault="00480708" w:rsidP="00480708">
            <w:pPr>
              <w:pStyle w:val="NoSpacing"/>
              <w:jc w:val="center"/>
              <w:rPr>
                <w:b/>
              </w:rPr>
            </w:pPr>
          </w:p>
        </w:tc>
        <w:tc>
          <w:tcPr>
            <w:tcW w:w="3008" w:type="dxa"/>
            <w:vAlign w:val="center"/>
          </w:tcPr>
          <w:p w14:paraId="66C78D54" w14:textId="77777777" w:rsidR="00480708" w:rsidRPr="00480708" w:rsidRDefault="00480708" w:rsidP="00480708">
            <w:pPr>
              <w:pStyle w:val="NoSpacing"/>
              <w:jc w:val="center"/>
              <w:rPr>
                <w:b/>
              </w:rPr>
            </w:pPr>
            <w:r w:rsidRPr="00480708">
              <w:rPr>
                <w:b/>
              </w:rPr>
              <w:t>Item</w:t>
            </w:r>
          </w:p>
        </w:tc>
        <w:tc>
          <w:tcPr>
            <w:tcW w:w="1279" w:type="dxa"/>
            <w:vAlign w:val="center"/>
          </w:tcPr>
          <w:p w14:paraId="66C78D55" w14:textId="77777777" w:rsidR="00480708" w:rsidRPr="00480708" w:rsidRDefault="00480708" w:rsidP="00480708">
            <w:pPr>
              <w:pStyle w:val="NoSpacing"/>
              <w:jc w:val="center"/>
              <w:rPr>
                <w:b/>
              </w:rPr>
            </w:pPr>
            <w:r w:rsidRPr="00480708">
              <w:rPr>
                <w:b/>
              </w:rPr>
              <w:t>Responses</w:t>
            </w:r>
          </w:p>
        </w:tc>
        <w:tc>
          <w:tcPr>
            <w:tcW w:w="1355" w:type="dxa"/>
            <w:vAlign w:val="center"/>
          </w:tcPr>
          <w:p w14:paraId="66C78D56" w14:textId="77777777" w:rsidR="00480708" w:rsidRPr="00480708" w:rsidRDefault="00480708" w:rsidP="00480708">
            <w:pPr>
              <w:pStyle w:val="NoSpacing"/>
              <w:jc w:val="center"/>
              <w:rPr>
                <w:b/>
              </w:rPr>
            </w:pPr>
            <w:r w:rsidRPr="00480708">
              <w:rPr>
                <w:b/>
              </w:rPr>
              <w:t>Proposed Fee</w:t>
            </w:r>
          </w:p>
        </w:tc>
        <w:tc>
          <w:tcPr>
            <w:tcW w:w="3180" w:type="dxa"/>
            <w:vAlign w:val="center"/>
          </w:tcPr>
          <w:p w14:paraId="66C78D57" w14:textId="77777777" w:rsidR="00480708" w:rsidRPr="00480708" w:rsidRDefault="00480708" w:rsidP="00480708">
            <w:pPr>
              <w:pStyle w:val="NoSpacing"/>
              <w:jc w:val="center"/>
              <w:rPr>
                <w:b/>
              </w:rPr>
            </w:pPr>
            <w:r w:rsidRPr="00480708">
              <w:rPr>
                <w:b/>
              </w:rPr>
              <w:t>Proposed Cost</w:t>
            </w:r>
          </w:p>
        </w:tc>
      </w:tr>
      <w:tr w:rsidR="00480708" w:rsidRPr="00480708" w14:paraId="66C78D5E" w14:textId="77777777" w:rsidTr="00F777CC">
        <w:tc>
          <w:tcPr>
            <w:tcW w:w="528" w:type="dxa"/>
            <w:vAlign w:val="center"/>
          </w:tcPr>
          <w:p w14:paraId="66C78D59" w14:textId="77777777" w:rsidR="00480708" w:rsidRPr="00480708" w:rsidRDefault="00480708" w:rsidP="00480708">
            <w:pPr>
              <w:pStyle w:val="NoSpacing"/>
              <w:jc w:val="center"/>
            </w:pPr>
            <w:r w:rsidRPr="00480708">
              <w:t>1</w:t>
            </w:r>
          </w:p>
        </w:tc>
        <w:tc>
          <w:tcPr>
            <w:tcW w:w="3008" w:type="dxa"/>
            <w:vAlign w:val="center"/>
          </w:tcPr>
          <w:p w14:paraId="66C78D5A" w14:textId="77777777" w:rsidR="00480708" w:rsidRPr="00480708" w:rsidRDefault="00480708" w:rsidP="00480708">
            <w:pPr>
              <w:pStyle w:val="NoSpacing"/>
            </w:pPr>
            <w:r w:rsidRPr="00480708">
              <w:t>For Maintaining an Original or Any Reissue Patent, Due at 3.5 Years (large entity)</w:t>
            </w:r>
          </w:p>
        </w:tc>
        <w:tc>
          <w:tcPr>
            <w:tcW w:w="1279" w:type="dxa"/>
            <w:vAlign w:val="center"/>
          </w:tcPr>
          <w:p w14:paraId="66C78D5B" w14:textId="218AB968" w:rsidR="00480708" w:rsidRPr="00480708" w:rsidRDefault="00E0588D" w:rsidP="00E0588D">
            <w:pPr>
              <w:pStyle w:val="NoSpacing"/>
              <w:jc w:val="right"/>
            </w:pPr>
            <w:r w:rsidRPr="00480708">
              <w:t>18</w:t>
            </w:r>
            <w:r>
              <w:t>8</w:t>
            </w:r>
            <w:r w:rsidR="00480708" w:rsidRPr="00480708">
              <w:t>,800</w:t>
            </w:r>
          </w:p>
        </w:tc>
        <w:tc>
          <w:tcPr>
            <w:tcW w:w="1355" w:type="dxa"/>
            <w:vAlign w:val="center"/>
          </w:tcPr>
          <w:p w14:paraId="66C78D5C" w14:textId="77777777" w:rsidR="00480708" w:rsidRPr="00480708" w:rsidRDefault="00480708" w:rsidP="00480708">
            <w:pPr>
              <w:pStyle w:val="NoSpacing"/>
              <w:jc w:val="right"/>
            </w:pPr>
            <w:r w:rsidRPr="00480708">
              <w:t>$2,000</w:t>
            </w:r>
          </w:p>
        </w:tc>
        <w:tc>
          <w:tcPr>
            <w:tcW w:w="3180" w:type="dxa"/>
            <w:vAlign w:val="center"/>
          </w:tcPr>
          <w:p w14:paraId="66C78D5D" w14:textId="0A65AA05" w:rsidR="00480708" w:rsidRPr="00480708" w:rsidRDefault="00DE0D57" w:rsidP="00480708">
            <w:pPr>
              <w:pStyle w:val="NoSpacing"/>
              <w:jc w:val="right"/>
            </w:pPr>
            <w:r>
              <w:t>$</w:t>
            </w:r>
            <w:r w:rsidR="00E0588D" w:rsidRPr="00E0588D">
              <w:t>377,600,000</w:t>
            </w:r>
          </w:p>
        </w:tc>
      </w:tr>
      <w:tr w:rsidR="00480708" w:rsidRPr="00480708" w14:paraId="66C78D64" w14:textId="77777777" w:rsidTr="00F777CC">
        <w:tc>
          <w:tcPr>
            <w:tcW w:w="528" w:type="dxa"/>
            <w:vAlign w:val="center"/>
          </w:tcPr>
          <w:p w14:paraId="66C78D5F" w14:textId="77777777" w:rsidR="00480708" w:rsidRPr="00480708" w:rsidRDefault="00480708" w:rsidP="00480708">
            <w:pPr>
              <w:jc w:val="center"/>
            </w:pPr>
            <w:r w:rsidRPr="00480708">
              <w:t>1</w:t>
            </w:r>
          </w:p>
        </w:tc>
        <w:tc>
          <w:tcPr>
            <w:tcW w:w="3008" w:type="dxa"/>
            <w:vAlign w:val="center"/>
          </w:tcPr>
          <w:p w14:paraId="66C78D60" w14:textId="77777777" w:rsidR="00480708" w:rsidRPr="00480708" w:rsidRDefault="00480708" w:rsidP="00480708">
            <w:pPr>
              <w:pStyle w:val="NoSpacing"/>
            </w:pPr>
            <w:r w:rsidRPr="00480708">
              <w:t>For Maintaining an Original or Any Reissue Patent, Due at 3.5 Years (small entity)</w:t>
            </w:r>
          </w:p>
        </w:tc>
        <w:tc>
          <w:tcPr>
            <w:tcW w:w="1279" w:type="dxa"/>
            <w:vAlign w:val="center"/>
          </w:tcPr>
          <w:p w14:paraId="66C78D61" w14:textId="77777777" w:rsidR="00480708" w:rsidRPr="00480708" w:rsidRDefault="00480708" w:rsidP="00480708">
            <w:pPr>
              <w:pStyle w:val="NoSpacing"/>
              <w:jc w:val="right"/>
            </w:pPr>
            <w:r w:rsidRPr="00480708">
              <w:t>40,800</w:t>
            </w:r>
          </w:p>
        </w:tc>
        <w:tc>
          <w:tcPr>
            <w:tcW w:w="1355" w:type="dxa"/>
            <w:vAlign w:val="center"/>
          </w:tcPr>
          <w:p w14:paraId="66C78D62" w14:textId="77777777" w:rsidR="00480708" w:rsidRPr="00480708" w:rsidRDefault="00480708" w:rsidP="00480708">
            <w:pPr>
              <w:pStyle w:val="NoSpacing"/>
              <w:jc w:val="right"/>
            </w:pPr>
            <w:r w:rsidRPr="00480708">
              <w:t>$1,000</w:t>
            </w:r>
          </w:p>
        </w:tc>
        <w:tc>
          <w:tcPr>
            <w:tcW w:w="3180" w:type="dxa"/>
            <w:vAlign w:val="center"/>
          </w:tcPr>
          <w:p w14:paraId="66C78D63" w14:textId="77777777" w:rsidR="00480708" w:rsidRPr="00480708" w:rsidRDefault="00DE0D57" w:rsidP="00480708">
            <w:pPr>
              <w:pStyle w:val="NoSpacing"/>
              <w:jc w:val="right"/>
            </w:pPr>
            <w:r>
              <w:t>$40,800,000.00</w:t>
            </w:r>
          </w:p>
        </w:tc>
      </w:tr>
      <w:tr w:rsidR="00480708" w:rsidRPr="00480708" w14:paraId="66C78D6A" w14:textId="77777777" w:rsidTr="00F777CC">
        <w:tc>
          <w:tcPr>
            <w:tcW w:w="528" w:type="dxa"/>
            <w:vAlign w:val="center"/>
          </w:tcPr>
          <w:p w14:paraId="66C78D65" w14:textId="77777777" w:rsidR="00480708" w:rsidRPr="00480708" w:rsidRDefault="00480708" w:rsidP="00480708">
            <w:pPr>
              <w:jc w:val="center"/>
            </w:pPr>
            <w:r w:rsidRPr="00480708">
              <w:t>1</w:t>
            </w:r>
          </w:p>
        </w:tc>
        <w:tc>
          <w:tcPr>
            <w:tcW w:w="3008" w:type="dxa"/>
            <w:vAlign w:val="center"/>
          </w:tcPr>
          <w:p w14:paraId="66C78D66" w14:textId="77777777" w:rsidR="00480708" w:rsidRPr="00480708" w:rsidRDefault="00480708" w:rsidP="00480708">
            <w:pPr>
              <w:pStyle w:val="NoSpacing"/>
            </w:pPr>
            <w:r w:rsidRPr="00480708">
              <w:t>For Maintaining an Original or Any Reissue Patent, Due at 3.5 Years (micro entity)</w:t>
            </w:r>
          </w:p>
        </w:tc>
        <w:tc>
          <w:tcPr>
            <w:tcW w:w="1279" w:type="dxa"/>
            <w:vAlign w:val="center"/>
          </w:tcPr>
          <w:p w14:paraId="66C78D67" w14:textId="77777777" w:rsidR="00480708" w:rsidRPr="00480708" w:rsidRDefault="00480708" w:rsidP="00480708">
            <w:pPr>
              <w:pStyle w:val="NoSpacing"/>
              <w:jc w:val="right"/>
            </w:pPr>
            <w:r w:rsidRPr="00480708">
              <w:t>2,600</w:t>
            </w:r>
          </w:p>
        </w:tc>
        <w:tc>
          <w:tcPr>
            <w:tcW w:w="1355" w:type="dxa"/>
            <w:vAlign w:val="center"/>
          </w:tcPr>
          <w:p w14:paraId="66C78D68" w14:textId="77777777" w:rsidR="00480708" w:rsidRPr="00480708" w:rsidRDefault="00480708" w:rsidP="00480708">
            <w:pPr>
              <w:pStyle w:val="NoSpacing"/>
              <w:jc w:val="right"/>
            </w:pPr>
            <w:r w:rsidRPr="00480708">
              <w:t>$500</w:t>
            </w:r>
          </w:p>
        </w:tc>
        <w:tc>
          <w:tcPr>
            <w:tcW w:w="3180" w:type="dxa"/>
            <w:vAlign w:val="center"/>
          </w:tcPr>
          <w:p w14:paraId="66C78D69" w14:textId="77777777" w:rsidR="00480708" w:rsidRPr="00480708" w:rsidRDefault="00DE0D57" w:rsidP="00480708">
            <w:pPr>
              <w:pStyle w:val="NoSpacing"/>
              <w:jc w:val="right"/>
            </w:pPr>
            <w:r>
              <w:t>$1,300,000.00</w:t>
            </w:r>
          </w:p>
        </w:tc>
      </w:tr>
      <w:tr w:rsidR="00480708" w:rsidRPr="00480708" w14:paraId="66C78D70" w14:textId="77777777" w:rsidTr="00F777CC">
        <w:tc>
          <w:tcPr>
            <w:tcW w:w="528" w:type="dxa"/>
            <w:vAlign w:val="center"/>
          </w:tcPr>
          <w:p w14:paraId="66C78D6B" w14:textId="77777777" w:rsidR="00480708" w:rsidRPr="00480708" w:rsidRDefault="00480708" w:rsidP="00480708">
            <w:pPr>
              <w:jc w:val="center"/>
            </w:pPr>
            <w:r w:rsidRPr="00480708">
              <w:t>1</w:t>
            </w:r>
          </w:p>
        </w:tc>
        <w:tc>
          <w:tcPr>
            <w:tcW w:w="3008" w:type="dxa"/>
            <w:vAlign w:val="center"/>
          </w:tcPr>
          <w:p w14:paraId="66C78D6C" w14:textId="77777777" w:rsidR="00480708" w:rsidRPr="00480708" w:rsidRDefault="00480708" w:rsidP="00480708">
            <w:pPr>
              <w:pStyle w:val="NoSpacing"/>
            </w:pPr>
            <w:r w:rsidRPr="00480708">
              <w:t>For Maintaining an Original or Any Reissue Patent, Due at 7.5 Years (large entity)</w:t>
            </w:r>
          </w:p>
        </w:tc>
        <w:tc>
          <w:tcPr>
            <w:tcW w:w="1279" w:type="dxa"/>
            <w:vAlign w:val="center"/>
          </w:tcPr>
          <w:p w14:paraId="66C78D6D" w14:textId="77777777" w:rsidR="00480708" w:rsidRPr="00480708" w:rsidRDefault="00480708" w:rsidP="00480708">
            <w:pPr>
              <w:pStyle w:val="NoSpacing"/>
              <w:jc w:val="right"/>
            </w:pPr>
            <w:r w:rsidRPr="00480708">
              <w:t>96,000</w:t>
            </w:r>
          </w:p>
        </w:tc>
        <w:tc>
          <w:tcPr>
            <w:tcW w:w="1355" w:type="dxa"/>
            <w:vAlign w:val="center"/>
          </w:tcPr>
          <w:p w14:paraId="66C78D6E" w14:textId="77777777" w:rsidR="00480708" w:rsidRPr="00480708" w:rsidRDefault="00480708" w:rsidP="00480708">
            <w:pPr>
              <w:pStyle w:val="NoSpacing"/>
              <w:jc w:val="right"/>
            </w:pPr>
            <w:r w:rsidRPr="00480708">
              <w:t>$3,760</w:t>
            </w:r>
          </w:p>
        </w:tc>
        <w:tc>
          <w:tcPr>
            <w:tcW w:w="3180" w:type="dxa"/>
            <w:vAlign w:val="center"/>
          </w:tcPr>
          <w:p w14:paraId="66C78D6F" w14:textId="77777777" w:rsidR="00480708" w:rsidRPr="00480708" w:rsidRDefault="00DE0D57" w:rsidP="00480708">
            <w:pPr>
              <w:pStyle w:val="NoSpacing"/>
              <w:jc w:val="right"/>
            </w:pPr>
            <w:r>
              <w:t>$360,960,000.00</w:t>
            </w:r>
          </w:p>
        </w:tc>
      </w:tr>
      <w:tr w:rsidR="00480708" w:rsidRPr="00480708" w14:paraId="66C78D76" w14:textId="77777777" w:rsidTr="00F777CC">
        <w:tc>
          <w:tcPr>
            <w:tcW w:w="528" w:type="dxa"/>
            <w:vAlign w:val="center"/>
          </w:tcPr>
          <w:p w14:paraId="66C78D71" w14:textId="77777777" w:rsidR="00480708" w:rsidRPr="00480708" w:rsidRDefault="00480708" w:rsidP="00480708">
            <w:pPr>
              <w:jc w:val="center"/>
            </w:pPr>
            <w:r w:rsidRPr="00480708">
              <w:t>1</w:t>
            </w:r>
          </w:p>
        </w:tc>
        <w:tc>
          <w:tcPr>
            <w:tcW w:w="3008" w:type="dxa"/>
            <w:vAlign w:val="center"/>
          </w:tcPr>
          <w:p w14:paraId="66C78D72" w14:textId="77777777" w:rsidR="00480708" w:rsidRPr="00480708" w:rsidRDefault="00480708" w:rsidP="00480708">
            <w:pPr>
              <w:pStyle w:val="NoSpacing"/>
            </w:pPr>
            <w:r w:rsidRPr="00480708">
              <w:t>For Maintaining an Original or Any Reissue Patent, Due at 7.5 Years (small entity)</w:t>
            </w:r>
          </w:p>
        </w:tc>
        <w:tc>
          <w:tcPr>
            <w:tcW w:w="1279" w:type="dxa"/>
            <w:vAlign w:val="center"/>
          </w:tcPr>
          <w:p w14:paraId="66C78D73" w14:textId="77777777" w:rsidR="00480708" w:rsidRPr="00480708" w:rsidRDefault="00480708" w:rsidP="00480708">
            <w:pPr>
              <w:pStyle w:val="NoSpacing"/>
              <w:jc w:val="right"/>
            </w:pPr>
            <w:r w:rsidRPr="00480708">
              <w:t>16,200</w:t>
            </w:r>
          </w:p>
        </w:tc>
        <w:tc>
          <w:tcPr>
            <w:tcW w:w="1355" w:type="dxa"/>
            <w:vAlign w:val="center"/>
          </w:tcPr>
          <w:p w14:paraId="66C78D74" w14:textId="77777777" w:rsidR="00480708" w:rsidRPr="00480708" w:rsidRDefault="00480708" w:rsidP="00480708">
            <w:pPr>
              <w:pStyle w:val="NoSpacing"/>
              <w:jc w:val="right"/>
            </w:pPr>
            <w:r w:rsidRPr="00480708">
              <w:t>$1,880</w:t>
            </w:r>
          </w:p>
        </w:tc>
        <w:tc>
          <w:tcPr>
            <w:tcW w:w="3180" w:type="dxa"/>
            <w:vAlign w:val="center"/>
          </w:tcPr>
          <w:p w14:paraId="66C78D75" w14:textId="77777777" w:rsidR="00480708" w:rsidRPr="00480708" w:rsidRDefault="00DE0D57" w:rsidP="00480708">
            <w:pPr>
              <w:pStyle w:val="NoSpacing"/>
              <w:jc w:val="right"/>
            </w:pPr>
            <w:r>
              <w:t>$30,456,000.000</w:t>
            </w:r>
          </w:p>
        </w:tc>
      </w:tr>
      <w:tr w:rsidR="00480708" w:rsidRPr="00480708" w14:paraId="66C78D7C" w14:textId="77777777" w:rsidTr="00F777CC">
        <w:tc>
          <w:tcPr>
            <w:tcW w:w="528" w:type="dxa"/>
            <w:vAlign w:val="center"/>
          </w:tcPr>
          <w:p w14:paraId="66C78D77" w14:textId="77777777" w:rsidR="00480708" w:rsidRPr="00480708" w:rsidRDefault="00480708" w:rsidP="00480708">
            <w:pPr>
              <w:jc w:val="center"/>
            </w:pPr>
            <w:r w:rsidRPr="00480708">
              <w:t>1</w:t>
            </w:r>
          </w:p>
        </w:tc>
        <w:tc>
          <w:tcPr>
            <w:tcW w:w="3008" w:type="dxa"/>
            <w:vAlign w:val="center"/>
          </w:tcPr>
          <w:p w14:paraId="66C78D78" w14:textId="77777777" w:rsidR="00480708" w:rsidRPr="00480708" w:rsidRDefault="00480708" w:rsidP="00480708">
            <w:pPr>
              <w:pStyle w:val="NoSpacing"/>
            </w:pPr>
            <w:r w:rsidRPr="00480708">
              <w:t>For Maintaining an Original or Any Reissue Patent, Due at 7.5 Years (micro entity)</w:t>
            </w:r>
          </w:p>
        </w:tc>
        <w:tc>
          <w:tcPr>
            <w:tcW w:w="1279" w:type="dxa"/>
            <w:vAlign w:val="center"/>
          </w:tcPr>
          <w:p w14:paraId="66C78D79" w14:textId="77777777" w:rsidR="00480708" w:rsidRPr="00480708" w:rsidRDefault="00480708" w:rsidP="00480708">
            <w:pPr>
              <w:pStyle w:val="NoSpacing"/>
              <w:jc w:val="right"/>
            </w:pPr>
            <w:r w:rsidRPr="00480708">
              <w:t>900</w:t>
            </w:r>
          </w:p>
        </w:tc>
        <w:tc>
          <w:tcPr>
            <w:tcW w:w="1355" w:type="dxa"/>
            <w:vAlign w:val="center"/>
          </w:tcPr>
          <w:p w14:paraId="66C78D7A" w14:textId="77777777" w:rsidR="00480708" w:rsidRPr="00480708" w:rsidRDefault="00480708" w:rsidP="00480708">
            <w:pPr>
              <w:pStyle w:val="NoSpacing"/>
              <w:jc w:val="right"/>
            </w:pPr>
            <w:r w:rsidRPr="00480708">
              <w:t>$940</w:t>
            </w:r>
          </w:p>
        </w:tc>
        <w:tc>
          <w:tcPr>
            <w:tcW w:w="3180" w:type="dxa"/>
            <w:vAlign w:val="center"/>
          </w:tcPr>
          <w:p w14:paraId="66C78D7B" w14:textId="77777777" w:rsidR="00480708" w:rsidRPr="00480708" w:rsidRDefault="00DE0D57" w:rsidP="00480708">
            <w:pPr>
              <w:pStyle w:val="NoSpacing"/>
              <w:jc w:val="right"/>
            </w:pPr>
            <w:r>
              <w:t>$846,000.00</w:t>
            </w:r>
          </w:p>
        </w:tc>
      </w:tr>
      <w:tr w:rsidR="00480708" w:rsidRPr="00480708" w14:paraId="66C78D82" w14:textId="77777777" w:rsidTr="00F777CC">
        <w:tc>
          <w:tcPr>
            <w:tcW w:w="528" w:type="dxa"/>
            <w:vAlign w:val="center"/>
          </w:tcPr>
          <w:p w14:paraId="66C78D7D" w14:textId="77777777" w:rsidR="00480708" w:rsidRPr="00480708" w:rsidRDefault="00480708" w:rsidP="00480708">
            <w:pPr>
              <w:jc w:val="center"/>
            </w:pPr>
            <w:r w:rsidRPr="00480708">
              <w:t>1</w:t>
            </w:r>
          </w:p>
        </w:tc>
        <w:tc>
          <w:tcPr>
            <w:tcW w:w="3008" w:type="dxa"/>
            <w:vAlign w:val="center"/>
          </w:tcPr>
          <w:p w14:paraId="66C78D7E" w14:textId="77777777" w:rsidR="00480708" w:rsidRPr="00480708" w:rsidRDefault="00480708" w:rsidP="00480708">
            <w:pPr>
              <w:pStyle w:val="NoSpacing"/>
            </w:pPr>
            <w:r w:rsidRPr="00480708">
              <w:t>For Maintaining an Original or Any Reissue Patent, Due at 11.5 Years (large entity)</w:t>
            </w:r>
          </w:p>
        </w:tc>
        <w:tc>
          <w:tcPr>
            <w:tcW w:w="1279" w:type="dxa"/>
            <w:vAlign w:val="center"/>
          </w:tcPr>
          <w:p w14:paraId="66C78D7F" w14:textId="77777777" w:rsidR="00480708" w:rsidRPr="00480708" w:rsidRDefault="00480708" w:rsidP="00480708">
            <w:pPr>
              <w:pStyle w:val="NoSpacing"/>
              <w:jc w:val="right"/>
            </w:pPr>
            <w:r w:rsidRPr="00480708">
              <w:t>61,700</w:t>
            </w:r>
          </w:p>
        </w:tc>
        <w:tc>
          <w:tcPr>
            <w:tcW w:w="1355" w:type="dxa"/>
            <w:vAlign w:val="center"/>
          </w:tcPr>
          <w:p w14:paraId="66C78D80" w14:textId="77777777" w:rsidR="00480708" w:rsidRPr="00480708" w:rsidRDefault="00480708" w:rsidP="00480708">
            <w:pPr>
              <w:pStyle w:val="NoSpacing"/>
              <w:jc w:val="right"/>
            </w:pPr>
            <w:r w:rsidRPr="00480708">
              <w:t>$7,700</w:t>
            </w:r>
          </w:p>
        </w:tc>
        <w:tc>
          <w:tcPr>
            <w:tcW w:w="3180" w:type="dxa"/>
            <w:vAlign w:val="center"/>
          </w:tcPr>
          <w:p w14:paraId="66C78D81" w14:textId="77777777" w:rsidR="00480708" w:rsidRPr="00480708" w:rsidRDefault="00DE0D57" w:rsidP="00480708">
            <w:pPr>
              <w:pStyle w:val="NoSpacing"/>
              <w:jc w:val="right"/>
            </w:pPr>
            <w:r>
              <w:t>$475,090,000.00</w:t>
            </w:r>
          </w:p>
        </w:tc>
      </w:tr>
      <w:tr w:rsidR="00480708" w:rsidRPr="00480708" w14:paraId="66C78D88" w14:textId="77777777" w:rsidTr="00F777CC">
        <w:tc>
          <w:tcPr>
            <w:tcW w:w="528" w:type="dxa"/>
            <w:vAlign w:val="center"/>
          </w:tcPr>
          <w:p w14:paraId="66C78D83" w14:textId="77777777" w:rsidR="00480708" w:rsidRPr="00480708" w:rsidRDefault="00480708" w:rsidP="00480708">
            <w:pPr>
              <w:jc w:val="center"/>
            </w:pPr>
            <w:r w:rsidRPr="00480708">
              <w:t>1</w:t>
            </w:r>
          </w:p>
        </w:tc>
        <w:tc>
          <w:tcPr>
            <w:tcW w:w="3008" w:type="dxa"/>
            <w:vAlign w:val="center"/>
          </w:tcPr>
          <w:p w14:paraId="66C78D84" w14:textId="77777777" w:rsidR="00480708" w:rsidRPr="00480708" w:rsidRDefault="00480708" w:rsidP="00480708">
            <w:pPr>
              <w:pStyle w:val="NoSpacing"/>
            </w:pPr>
            <w:r w:rsidRPr="00480708">
              <w:t>For Maintaining an Original or Any Reissue Patent, Due at 11.5 Years (small entity)</w:t>
            </w:r>
          </w:p>
        </w:tc>
        <w:tc>
          <w:tcPr>
            <w:tcW w:w="1279" w:type="dxa"/>
            <w:vAlign w:val="center"/>
          </w:tcPr>
          <w:p w14:paraId="66C78D85" w14:textId="77777777" w:rsidR="00480708" w:rsidRPr="00480708" w:rsidRDefault="00480708" w:rsidP="00480708">
            <w:pPr>
              <w:pStyle w:val="NoSpacing"/>
              <w:jc w:val="right"/>
            </w:pPr>
            <w:r w:rsidRPr="00480708">
              <w:t>9,800</w:t>
            </w:r>
          </w:p>
        </w:tc>
        <w:tc>
          <w:tcPr>
            <w:tcW w:w="1355" w:type="dxa"/>
            <w:vAlign w:val="center"/>
          </w:tcPr>
          <w:p w14:paraId="66C78D86" w14:textId="77777777" w:rsidR="00480708" w:rsidRPr="00480708" w:rsidRDefault="00480708" w:rsidP="00480708">
            <w:pPr>
              <w:pStyle w:val="NoSpacing"/>
              <w:jc w:val="right"/>
            </w:pPr>
            <w:r w:rsidRPr="00480708">
              <w:t>$3,850</w:t>
            </w:r>
          </w:p>
        </w:tc>
        <w:tc>
          <w:tcPr>
            <w:tcW w:w="3180" w:type="dxa"/>
            <w:vAlign w:val="center"/>
          </w:tcPr>
          <w:p w14:paraId="66C78D87" w14:textId="77777777" w:rsidR="00480708" w:rsidRPr="00480708" w:rsidRDefault="00DE0D57" w:rsidP="00480708">
            <w:pPr>
              <w:pStyle w:val="NoSpacing"/>
              <w:jc w:val="right"/>
            </w:pPr>
            <w:r>
              <w:t>$37,730,000.00</w:t>
            </w:r>
          </w:p>
        </w:tc>
      </w:tr>
      <w:tr w:rsidR="00480708" w:rsidRPr="00480708" w14:paraId="66C78D8E" w14:textId="77777777" w:rsidTr="00F777CC">
        <w:tc>
          <w:tcPr>
            <w:tcW w:w="528" w:type="dxa"/>
            <w:vAlign w:val="center"/>
          </w:tcPr>
          <w:p w14:paraId="66C78D89" w14:textId="77777777" w:rsidR="00480708" w:rsidRPr="00480708" w:rsidRDefault="00480708" w:rsidP="00480708">
            <w:pPr>
              <w:jc w:val="center"/>
            </w:pPr>
            <w:r w:rsidRPr="00480708">
              <w:t>1</w:t>
            </w:r>
          </w:p>
        </w:tc>
        <w:tc>
          <w:tcPr>
            <w:tcW w:w="3008" w:type="dxa"/>
            <w:vAlign w:val="center"/>
          </w:tcPr>
          <w:p w14:paraId="66C78D8A" w14:textId="77777777" w:rsidR="00480708" w:rsidRPr="00480708" w:rsidRDefault="00480708" w:rsidP="00480708">
            <w:pPr>
              <w:pStyle w:val="NoSpacing"/>
            </w:pPr>
            <w:r w:rsidRPr="00480708">
              <w:t>For Maintaining an Original or Any Reissue Patent, Due at 11.5 Years (micro entity)</w:t>
            </w:r>
          </w:p>
        </w:tc>
        <w:tc>
          <w:tcPr>
            <w:tcW w:w="1279" w:type="dxa"/>
            <w:vAlign w:val="center"/>
          </w:tcPr>
          <w:p w14:paraId="66C78D8B" w14:textId="77777777" w:rsidR="00480708" w:rsidRPr="00480708" w:rsidRDefault="00480708" w:rsidP="00480708">
            <w:pPr>
              <w:pStyle w:val="NoSpacing"/>
              <w:jc w:val="right"/>
            </w:pPr>
            <w:r w:rsidRPr="00480708">
              <w:t>500</w:t>
            </w:r>
          </w:p>
        </w:tc>
        <w:tc>
          <w:tcPr>
            <w:tcW w:w="1355" w:type="dxa"/>
            <w:vAlign w:val="center"/>
          </w:tcPr>
          <w:p w14:paraId="66C78D8C" w14:textId="77777777" w:rsidR="00480708" w:rsidRPr="00480708" w:rsidRDefault="00480708" w:rsidP="00480708">
            <w:pPr>
              <w:pStyle w:val="NoSpacing"/>
              <w:jc w:val="right"/>
            </w:pPr>
            <w:r w:rsidRPr="00480708">
              <w:t>$1,925</w:t>
            </w:r>
          </w:p>
        </w:tc>
        <w:tc>
          <w:tcPr>
            <w:tcW w:w="3180" w:type="dxa"/>
            <w:vAlign w:val="center"/>
          </w:tcPr>
          <w:p w14:paraId="66C78D8D" w14:textId="77777777" w:rsidR="00480708" w:rsidRPr="00480708" w:rsidRDefault="00DE0D57" w:rsidP="00480708">
            <w:pPr>
              <w:pStyle w:val="NoSpacing"/>
              <w:jc w:val="right"/>
            </w:pPr>
            <w:r>
              <w:t>$962,500.00</w:t>
            </w:r>
          </w:p>
        </w:tc>
      </w:tr>
      <w:tr w:rsidR="00480708" w:rsidRPr="00480708" w14:paraId="66C78D94" w14:textId="77777777" w:rsidTr="00F777CC">
        <w:tc>
          <w:tcPr>
            <w:tcW w:w="528" w:type="dxa"/>
            <w:vAlign w:val="center"/>
          </w:tcPr>
          <w:p w14:paraId="66C78D8F" w14:textId="77777777" w:rsidR="00480708" w:rsidRPr="00480708" w:rsidRDefault="00480708" w:rsidP="00480708">
            <w:pPr>
              <w:jc w:val="center"/>
            </w:pPr>
            <w:r w:rsidRPr="00480708">
              <w:t>1</w:t>
            </w:r>
          </w:p>
        </w:tc>
        <w:tc>
          <w:tcPr>
            <w:tcW w:w="3008" w:type="dxa"/>
            <w:vAlign w:val="center"/>
          </w:tcPr>
          <w:p w14:paraId="66C78D90" w14:textId="77777777" w:rsidR="00480708" w:rsidRPr="00480708" w:rsidRDefault="00480708" w:rsidP="00480708">
            <w:pPr>
              <w:pStyle w:val="NoSpacing"/>
            </w:pPr>
            <w:r w:rsidRPr="00480708">
              <w:t>Surcharge – 3.5 year – Late Payment Within 6 Months (large entity)</w:t>
            </w:r>
          </w:p>
        </w:tc>
        <w:tc>
          <w:tcPr>
            <w:tcW w:w="1279" w:type="dxa"/>
            <w:vAlign w:val="center"/>
          </w:tcPr>
          <w:p w14:paraId="66C78D91" w14:textId="77777777" w:rsidR="00480708" w:rsidRPr="00480708" w:rsidRDefault="00480708" w:rsidP="00480708">
            <w:pPr>
              <w:pStyle w:val="NoSpacing"/>
              <w:jc w:val="right"/>
            </w:pPr>
            <w:r w:rsidRPr="00480708">
              <w:t>3,500</w:t>
            </w:r>
          </w:p>
        </w:tc>
        <w:tc>
          <w:tcPr>
            <w:tcW w:w="1355" w:type="dxa"/>
            <w:vAlign w:val="center"/>
          </w:tcPr>
          <w:p w14:paraId="66C78D92" w14:textId="540C254D" w:rsidR="00480708" w:rsidRPr="00480708" w:rsidRDefault="00480708" w:rsidP="00BA554D">
            <w:pPr>
              <w:pStyle w:val="NoSpacing"/>
              <w:jc w:val="right"/>
            </w:pPr>
            <w:r w:rsidRPr="00480708">
              <w:t>$</w:t>
            </w:r>
            <w:r w:rsidR="00BA554D">
              <w:t>500</w:t>
            </w:r>
          </w:p>
        </w:tc>
        <w:tc>
          <w:tcPr>
            <w:tcW w:w="3180" w:type="dxa"/>
            <w:vAlign w:val="center"/>
          </w:tcPr>
          <w:p w14:paraId="66C78D93" w14:textId="70FFE30C" w:rsidR="00480708" w:rsidRPr="00480708" w:rsidRDefault="00DE0D57" w:rsidP="00480708">
            <w:pPr>
              <w:pStyle w:val="NoSpacing"/>
              <w:jc w:val="right"/>
            </w:pPr>
            <w:r>
              <w:t>$</w:t>
            </w:r>
            <w:r w:rsidR="00BA554D" w:rsidRPr="00BA554D">
              <w:t>1,750,000</w:t>
            </w:r>
          </w:p>
        </w:tc>
      </w:tr>
      <w:tr w:rsidR="00480708" w:rsidRPr="00480708" w14:paraId="66C78D9A" w14:textId="77777777" w:rsidTr="00F777CC">
        <w:tc>
          <w:tcPr>
            <w:tcW w:w="528" w:type="dxa"/>
            <w:vAlign w:val="center"/>
          </w:tcPr>
          <w:p w14:paraId="66C78D95" w14:textId="77777777" w:rsidR="00480708" w:rsidRPr="00480708" w:rsidRDefault="00480708" w:rsidP="00480708">
            <w:pPr>
              <w:jc w:val="center"/>
            </w:pPr>
            <w:r w:rsidRPr="00480708">
              <w:t>1</w:t>
            </w:r>
          </w:p>
        </w:tc>
        <w:tc>
          <w:tcPr>
            <w:tcW w:w="3008" w:type="dxa"/>
            <w:vAlign w:val="center"/>
          </w:tcPr>
          <w:p w14:paraId="66C78D96" w14:textId="77777777" w:rsidR="00480708" w:rsidRPr="00480708" w:rsidRDefault="00480708" w:rsidP="00480708">
            <w:pPr>
              <w:pStyle w:val="NoSpacing"/>
            </w:pPr>
            <w:r w:rsidRPr="00480708">
              <w:t>Surcharge – 3.5 year – Late Payment Within 6 Months (small entity)</w:t>
            </w:r>
          </w:p>
        </w:tc>
        <w:tc>
          <w:tcPr>
            <w:tcW w:w="1279" w:type="dxa"/>
            <w:vAlign w:val="center"/>
          </w:tcPr>
          <w:p w14:paraId="66C78D97" w14:textId="77777777" w:rsidR="00480708" w:rsidRPr="00480708" w:rsidRDefault="00480708" w:rsidP="00480708">
            <w:pPr>
              <w:pStyle w:val="NoSpacing"/>
              <w:jc w:val="right"/>
            </w:pPr>
            <w:r w:rsidRPr="00480708">
              <w:t>6,200</w:t>
            </w:r>
          </w:p>
        </w:tc>
        <w:tc>
          <w:tcPr>
            <w:tcW w:w="1355" w:type="dxa"/>
            <w:vAlign w:val="center"/>
          </w:tcPr>
          <w:p w14:paraId="66C78D98" w14:textId="23B628AA" w:rsidR="00480708" w:rsidRPr="00480708" w:rsidRDefault="00480708" w:rsidP="00BA554D">
            <w:pPr>
              <w:pStyle w:val="NoSpacing"/>
              <w:jc w:val="right"/>
            </w:pPr>
            <w:r w:rsidRPr="00480708">
              <w:t>$</w:t>
            </w:r>
            <w:r w:rsidR="00BA554D">
              <w:t>250</w:t>
            </w:r>
          </w:p>
        </w:tc>
        <w:tc>
          <w:tcPr>
            <w:tcW w:w="3180" w:type="dxa"/>
            <w:vAlign w:val="center"/>
          </w:tcPr>
          <w:p w14:paraId="66C78D99" w14:textId="1E42CB6A" w:rsidR="00480708" w:rsidRPr="00480708" w:rsidRDefault="00DE0D57" w:rsidP="00480708">
            <w:pPr>
              <w:pStyle w:val="NoSpacing"/>
              <w:jc w:val="right"/>
            </w:pPr>
            <w:r>
              <w:t>$</w:t>
            </w:r>
            <w:r w:rsidR="00BA554D" w:rsidRPr="00BA554D">
              <w:t>1,550,000</w:t>
            </w:r>
          </w:p>
        </w:tc>
      </w:tr>
      <w:tr w:rsidR="00480708" w:rsidRPr="00480708" w14:paraId="66C78DA0" w14:textId="77777777" w:rsidTr="00F777CC">
        <w:tc>
          <w:tcPr>
            <w:tcW w:w="528" w:type="dxa"/>
            <w:vAlign w:val="center"/>
          </w:tcPr>
          <w:p w14:paraId="66C78D9B" w14:textId="77777777" w:rsidR="00480708" w:rsidRPr="00480708" w:rsidRDefault="00480708" w:rsidP="00480708">
            <w:pPr>
              <w:jc w:val="center"/>
            </w:pPr>
            <w:r w:rsidRPr="00480708">
              <w:t>1</w:t>
            </w:r>
          </w:p>
        </w:tc>
        <w:tc>
          <w:tcPr>
            <w:tcW w:w="3008" w:type="dxa"/>
            <w:vAlign w:val="center"/>
          </w:tcPr>
          <w:p w14:paraId="66C78D9C" w14:textId="77777777" w:rsidR="00480708" w:rsidRPr="00480708" w:rsidRDefault="00480708" w:rsidP="00480708">
            <w:pPr>
              <w:pStyle w:val="NoSpacing"/>
            </w:pPr>
            <w:r w:rsidRPr="00480708">
              <w:t>Surcharge – 3.5 year – Late Payment Within 6 Months (micro entity)</w:t>
            </w:r>
          </w:p>
        </w:tc>
        <w:tc>
          <w:tcPr>
            <w:tcW w:w="1279" w:type="dxa"/>
            <w:vAlign w:val="center"/>
          </w:tcPr>
          <w:p w14:paraId="66C78D9D" w14:textId="77777777" w:rsidR="00480708" w:rsidRPr="00480708" w:rsidRDefault="00480708" w:rsidP="00480708">
            <w:pPr>
              <w:pStyle w:val="NoSpacing"/>
              <w:jc w:val="right"/>
            </w:pPr>
            <w:r w:rsidRPr="00480708">
              <w:t>700</w:t>
            </w:r>
          </w:p>
        </w:tc>
        <w:tc>
          <w:tcPr>
            <w:tcW w:w="1355" w:type="dxa"/>
            <w:vAlign w:val="center"/>
          </w:tcPr>
          <w:p w14:paraId="66C78D9E" w14:textId="03826A31" w:rsidR="00480708" w:rsidRPr="00480708" w:rsidRDefault="00480708" w:rsidP="00BA554D">
            <w:pPr>
              <w:pStyle w:val="NoSpacing"/>
              <w:jc w:val="right"/>
            </w:pPr>
            <w:r w:rsidRPr="00480708">
              <w:t>$</w:t>
            </w:r>
            <w:r w:rsidR="00BA554D">
              <w:t>125</w:t>
            </w:r>
          </w:p>
        </w:tc>
        <w:tc>
          <w:tcPr>
            <w:tcW w:w="3180" w:type="dxa"/>
            <w:vAlign w:val="center"/>
          </w:tcPr>
          <w:p w14:paraId="66C78D9F" w14:textId="3D30949F" w:rsidR="00480708" w:rsidRPr="00480708" w:rsidRDefault="00DE0D57" w:rsidP="00480708">
            <w:pPr>
              <w:pStyle w:val="NoSpacing"/>
              <w:jc w:val="right"/>
            </w:pPr>
            <w:r>
              <w:t>$</w:t>
            </w:r>
            <w:r w:rsidR="00BA554D" w:rsidRPr="00BA554D">
              <w:t>87,500</w:t>
            </w:r>
          </w:p>
        </w:tc>
      </w:tr>
      <w:tr w:rsidR="00480708" w:rsidRPr="00480708" w14:paraId="66C78DA6" w14:textId="77777777" w:rsidTr="00F777CC">
        <w:tc>
          <w:tcPr>
            <w:tcW w:w="528" w:type="dxa"/>
            <w:vAlign w:val="center"/>
          </w:tcPr>
          <w:p w14:paraId="66C78DA1" w14:textId="77777777" w:rsidR="00480708" w:rsidRPr="00480708" w:rsidRDefault="00480708" w:rsidP="00480708">
            <w:pPr>
              <w:jc w:val="center"/>
            </w:pPr>
            <w:r w:rsidRPr="00480708">
              <w:t>1</w:t>
            </w:r>
          </w:p>
        </w:tc>
        <w:tc>
          <w:tcPr>
            <w:tcW w:w="3008" w:type="dxa"/>
            <w:vAlign w:val="center"/>
          </w:tcPr>
          <w:p w14:paraId="66C78DA2" w14:textId="77777777" w:rsidR="00480708" w:rsidRPr="00480708" w:rsidRDefault="00480708" w:rsidP="00480708">
            <w:pPr>
              <w:pStyle w:val="NoSpacing"/>
            </w:pPr>
            <w:r w:rsidRPr="00480708">
              <w:t>Surcharge –7.5 year – Late Payment Within 6 Months (large entity)</w:t>
            </w:r>
          </w:p>
        </w:tc>
        <w:tc>
          <w:tcPr>
            <w:tcW w:w="1279" w:type="dxa"/>
            <w:vAlign w:val="center"/>
          </w:tcPr>
          <w:p w14:paraId="66C78DA3" w14:textId="77777777" w:rsidR="00480708" w:rsidRPr="00480708" w:rsidRDefault="00480708" w:rsidP="00480708">
            <w:pPr>
              <w:pStyle w:val="NoSpacing"/>
              <w:jc w:val="right"/>
            </w:pPr>
            <w:r w:rsidRPr="00480708">
              <w:t>2,000</w:t>
            </w:r>
          </w:p>
        </w:tc>
        <w:tc>
          <w:tcPr>
            <w:tcW w:w="1355" w:type="dxa"/>
            <w:vAlign w:val="center"/>
          </w:tcPr>
          <w:p w14:paraId="66C78DA4" w14:textId="0BC261CB" w:rsidR="00480708" w:rsidRPr="00480708" w:rsidRDefault="00480708" w:rsidP="00BA554D">
            <w:pPr>
              <w:pStyle w:val="NoSpacing"/>
              <w:jc w:val="right"/>
            </w:pPr>
            <w:r w:rsidRPr="00480708">
              <w:t>$</w:t>
            </w:r>
            <w:r w:rsidR="00BA554D">
              <w:t>500</w:t>
            </w:r>
          </w:p>
        </w:tc>
        <w:tc>
          <w:tcPr>
            <w:tcW w:w="3180" w:type="dxa"/>
            <w:vAlign w:val="center"/>
          </w:tcPr>
          <w:p w14:paraId="66C78DA5" w14:textId="3B2E6DE8" w:rsidR="00480708" w:rsidRPr="00480708" w:rsidRDefault="00DE0D57" w:rsidP="00480708">
            <w:pPr>
              <w:pStyle w:val="NoSpacing"/>
              <w:jc w:val="right"/>
            </w:pPr>
            <w:r>
              <w:t>$</w:t>
            </w:r>
            <w:r w:rsidR="00BA554D" w:rsidRPr="00BA554D">
              <w:t>1,000,000</w:t>
            </w:r>
          </w:p>
        </w:tc>
      </w:tr>
      <w:tr w:rsidR="00480708" w:rsidRPr="00480708" w14:paraId="66C78DAC" w14:textId="77777777" w:rsidTr="00F777CC">
        <w:tc>
          <w:tcPr>
            <w:tcW w:w="528" w:type="dxa"/>
            <w:vAlign w:val="center"/>
          </w:tcPr>
          <w:p w14:paraId="66C78DA7" w14:textId="77777777" w:rsidR="00480708" w:rsidRPr="00480708" w:rsidRDefault="00480708" w:rsidP="00480708">
            <w:pPr>
              <w:jc w:val="center"/>
            </w:pPr>
            <w:r w:rsidRPr="00480708">
              <w:t>1</w:t>
            </w:r>
          </w:p>
        </w:tc>
        <w:tc>
          <w:tcPr>
            <w:tcW w:w="3008" w:type="dxa"/>
            <w:vAlign w:val="center"/>
          </w:tcPr>
          <w:p w14:paraId="66C78DA8" w14:textId="77777777" w:rsidR="00480708" w:rsidRPr="00480708" w:rsidRDefault="00480708" w:rsidP="00480708">
            <w:pPr>
              <w:pStyle w:val="NoSpacing"/>
            </w:pPr>
            <w:r w:rsidRPr="00480708">
              <w:t>Surcharge –7.5 year – Late Payment Within 6 Months (small entity)</w:t>
            </w:r>
          </w:p>
        </w:tc>
        <w:tc>
          <w:tcPr>
            <w:tcW w:w="1279" w:type="dxa"/>
            <w:vAlign w:val="center"/>
          </w:tcPr>
          <w:p w14:paraId="66C78DA9" w14:textId="77777777" w:rsidR="00480708" w:rsidRPr="00480708" w:rsidRDefault="00480708" w:rsidP="00480708">
            <w:pPr>
              <w:pStyle w:val="NoSpacing"/>
              <w:jc w:val="right"/>
            </w:pPr>
            <w:r w:rsidRPr="00480708">
              <w:t>2,500</w:t>
            </w:r>
          </w:p>
        </w:tc>
        <w:tc>
          <w:tcPr>
            <w:tcW w:w="1355" w:type="dxa"/>
            <w:vAlign w:val="center"/>
          </w:tcPr>
          <w:p w14:paraId="66C78DAA" w14:textId="7F3B29DB" w:rsidR="00480708" w:rsidRPr="00480708" w:rsidRDefault="00480708" w:rsidP="00BA554D">
            <w:pPr>
              <w:pStyle w:val="NoSpacing"/>
              <w:jc w:val="right"/>
            </w:pPr>
            <w:r w:rsidRPr="00480708">
              <w:t>$</w:t>
            </w:r>
            <w:r w:rsidR="00BA554D">
              <w:t>250</w:t>
            </w:r>
          </w:p>
        </w:tc>
        <w:tc>
          <w:tcPr>
            <w:tcW w:w="3180" w:type="dxa"/>
            <w:vAlign w:val="center"/>
          </w:tcPr>
          <w:p w14:paraId="66C78DAB" w14:textId="1BC1A8D4" w:rsidR="00480708" w:rsidRPr="00480708" w:rsidRDefault="00DE0D57" w:rsidP="00480708">
            <w:pPr>
              <w:pStyle w:val="NoSpacing"/>
              <w:jc w:val="right"/>
            </w:pPr>
            <w:r>
              <w:t>$</w:t>
            </w:r>
            <w:r w:rsidR="00BA554D" w:rsidRPr="00BA554D">
              <w:t>625,000</w:t>
            </w:r>
          </w:p>
        </w:tc>
      </w:tr>
      <w:tr w:rsidR="00480708" w:rsidRPr="00480708" w14:paraId="66C78DB2" w14:textId="77777777" w:rsidTr="00F777CC">
        <w:tc>
          <w:tcPr>
            <w:tcW w:w="528" w:type="dxa"/>
            <w:vAlign w:val="center"/>
          </w:tcPr>
          <w:p w14:paraId="66C78DAD" w14:textId="77777777" w:rsidR="00480708" w:rsidRPr="00480708" w:rsidRDefault="00480708" w:rsidP="00480708">
            <w:pPr>
              <w:jc w:val="center"/>
            </w:pPr>
            <w:r w:rsidRPr="00480708">
              <w:t>1</w:t>
            </w:r>
          </w:p>
        </w:tc>
        <w:tc>
          <w:tcPr>
            <w:tcW w:w="3008" w:type="dxa"/>
            <w:vAlign w:val="center"/>
          </w:tcPr>
          <w:p w14:paraId="66C78DAE" w14:textId="77777777" w:rsidR="00480708" w:rsidRPr="00480708" w:rsidRDefault="00480708" w:rsidP="00480708">
            <w:pPr>
              <w:pStyle w:val="NoSpacing"/>
            </w:pPr>
            <w:r w:rsidRPr="00480708">
              <w:t xml:space="preserve">Surcharge –7.5 year – Late Payment Within 6 Months (micro entity) </w:t>
            </w:r>
          </w:p>
        </w:tc>
        <w:tc>
          <w:tcPr>
            <w:tcW w:w="1279" w:type="dxa"/>
            <w:vAlign w:val="center"/>
          </w:tcPr>
          <w:p w14:paraId="66C78DAF" w14:textId="77777777" w:rsidR="00480708" w:rsidRPr="00480708" w:rsidRDefault="00480708" w:rsidP="00480708">
            <w:pPr>
              <w:pStyle w:val="NoSpacing"/>
              <w:jc w:val="right"/>
            </w:pPr>
            <w:r w:rsidRPr="00480708">
              <w:t>300</w:t>
            </w:r>
          </w:p>
        </w:tc>
        <w:tc>
          <w:tcPr>
            <w:tcW w:w="1355" w:type="dxa"/>
            <w:vAlign w:val="center"/>
          </w:tcPr>
          <w:p w14:paraId="66C78DB0" w14:textId="6F7680A3" w:rsidR="00480708" w:rsidRPr="00480708" w:rsidRDefault="00480708" w:rsidP="00BA554D">
            <w:pPr>
              <w:pStyle w:val="NoSpacing"/>
              <w:jc w:val="right"/>
            </w:pPr>
            <w:r w:rsidRPr="00480708">
              <w:t>$</w:t>
            </w:r>
            <w:r w:rsidR="00BA554D">
              <w:t>125</w:t>
            </w:r>
          </w:p>
        </w:tc>
        <w:tc>
          <w:tcPr>
            <w:tcW w:w="3180" w:type="dxa"/>
            <w:vAlign w:val="center"/>
          </w:tcPr>
          <w:p w14:paraId="66C78DB1" w14:textId="3031F330" w:rsidR="00480708" w:rsidRPr="00480708" w:rsidRDefault="00DE0D57" w:rsidP="00480708">
            <w:pPr>
              <w:pStyle w:val="NoSpacing"/>
              <w:jc w:val="right"/>
            </w:pPr>
            <w:r>
              <w:t>$</w:t>
            </w:r>
            <w:r w:rsidR="00BA554D" w:rsidRPr="00BA554D">
              <w:t>37,500</w:t>
            </w:r>
          </w:p>
        </w:tc>
      </w:tr>
      <w:tr w:rsidR="00480708" w:rsidRPr="00480708" w14:paraId="66C78DB8" w14:textId="77777777" w:rsidTr="00F777CC">
        <w:tc>
          <w:tcPr>
            <w:tcW w:w="528" w:type="dxa"/>
            <w:vAlign w:val="center"/>
          </w:tcPr>
          <w:p w14:paraId="66C78DB3" w14:textId="77777777" w:rsidR="00480708" w:rsidRPr="00480708" w:rsidRDefault="00480708" w:rsidP="00480708">
            <w:pPr>
              <w:jc w:val="center"/>
            </w:pPr>
            <w:r w:rsidRPr="00480708">
              <w:t>1</w:t>
            </w:r>
          </w:p>
        </w:tc>
        <w:tc>
          <w:tcPr>
            <w:tcW w:w="3008" w:type="dxa"/>
            <w:vAlign w:val="center"/>
          </w:tcPr>
          <w:p w14:paraId="66C78DB4" w14:textId="77777777" w:rsidR="00480708" w:rsidRPr="00480708" w:rsidRDefault="00480708" w:rsidP="00480708">
            <w:pPr>
              <w:pStyle w:val="NoSpacing"/>
            </w:pPr>
            <w:r w:rsidRPr="00480708">
              <w:t>Surcharge – 11.5 year – Late Payment Within 6 Months (large entity)</w:t>
            </w:r>
          </w:p>
        </w:tc>
        <w:tc>
          <w:tcPr>
            <w:tcW w:w="1279" w:type="dxa"/>
            <w:vAlign w:val="center"/>
          </w:tcPr>
          <w:p w14:paraId="66C78DB5" w14:textId="77777777" w:rsidR="00480708" w:rsidRPr="00480708" w:rsidRDefault="00480708" w:rsidP="00480708">
            <w:pPr>
              <w:pStyle w:val="NoSpacing"/>
              <w:jc w:val="right"/>
            </w:pPr>
            <w:r w:rsidRPr="00480708">
              <w:t>2,200</w:t>
            </w:r>
          </w:p>
        </w:tc>
        <w:tc>
          <w:tcPr>
            <w:tcW w:w="1355" w:type="dxa"/>
            <w:vAlign w:val="center"/>
          </w:tcPr>
          <w:p w14:paraId="66C78DB6" w14:textId="074B4997" w:rsidR="00480708" w:rsidRPr="00480708" w:rsidRDefault="00480708" w:rsidP="00BA554D">
            <w:pPr>
              <w:pStyle w:val="NoSpacing"/>
              <w:jc w:val="right"/>
            </w:pPr>
            <w:r w:rsidRPr="00480708">
              <w:t>$</w:t>
            </w:r>
            <w:r w:rsidR="00BA554D">
              <w:t>500</w:t>
            </w:r>
          </w:p>
        </w:tc>
        <w:tc>
          <w:tcPr>
            <w:tcW w:w="3180" w:type="dxa"/>
            <w:vAlign w:val="center"/>
          </w:tcPr>
          <w:p w14:paraId="66C78DB7" w14:textId="6E52CE77" w:rsidR="00480708" w:rsidRPr="00480708" w:rsidRDefault="00DE0D57" w:rsidP="00480708">
            <w:pPr>
              <w:pStyle w:val="NoSpacing"/>
              <w:jc w:val="right"/>
            </w:pPr>
            <w:r>
              <w:t>$</w:t>
            </w:r>
            <w:r w:rsidR="00333D94" w:rsidRPr="00333D94">
              <w:t>1,100,000</w:t>
            </w:r>
          </w:p>
        </w:tc>
      </w:tr>
      <w:tr w:rsidR="00480708" w:rsidRPr="00480708" w14:paraId="66C78DBE" w14:textId="77777777" w:rsidTr="00F777CC">
        <w:tc>
          <w:tcPr>
            <w:tcW w:w="528" w:type="dxa"/>
            <w:vAlign w:val="center"/>
          </w:tcPr>
          <w:p w14:paraId="66C78DB9" w14:textId="77777777" w:rsidR="00480708" w:rsidRPr="00480708" w:rsidRDefault="00480708" w:rsidP="00480708">
            <w:pPr>
              <w:jc w:val="center"/>
            </w:pPr>
            <w:r w:rsidRPr="00480708">
              <w:t>1</w:t>
            </w:r>
          </w:p>
        </w:tc>
        <w:tc>
          <w:tcPr>
            <w:tcW w:w="3008" w:type="dxa"/>
            <w:vAlign w:val="center"/>
          </w:tcPr>
          <w:p w14:paraId="66C78DBA" w14:textId="77777777" w:rsidR="00480708" w:rsidRPr="00480708" w:rsidRDefault="00480708" w:rsidP="00480708">
            <w:pPr>
              <w:pStyle w:val="NoSpacing"/>
            </w:pPr>
            <w:r w:rsidRPr="00480708">
              <w:t>Surcharge – 11.5 year – Late Payment Within 6 Months (small entity)</w:t>
            </w:r>
          </w:p>
        </w:tc>
        <w:tc>
          <w:tcPr>
            <w:tcW w:w="1279" w:type="dxa"/>
            <w:vAlign w:val="center"/>
          </w:tcPr>
          <w:p w14:paraId="66C78DBB" w14:textId="77777777" w:rsidR="00480708" w:rsidRPr="00480708" w:rsidRDefault="00480708" w:rsidP="00480708">
            <w:pPr>
              <w:pStyle w:val="NoSpacing"/>
              <w:jc w:val="right"/>
            </w:pPr>
            <w:r w:rsidRPr="00480708">
              <w:t>1,700</w:t>
            </w:r>
          </w:p>
        </w:tc>
        <w:tc>
          <w:tcPr>
            <w:tcW w:w="1355" w:type="dxa"/>
            <w:vAlign w:val="center"/>
          </w:tcPr>
          <w:p w14:paraId="66C78DBC" w14:textId="79C7964D" w:rsidR="00480708" w:rsidRPr="00480708" w:rsidRDefault="00480708" w:rsidP="00BA554D">
            <w:pPr>
              <w:pStyle w:val="NoSpacing"/>
              <w:jc w:val="right"/>
            </w:pPr>
            <w:r w:rsidRPr="00480708">
              <w:t>$</w:t>
            </w:r>
            <w:r w:rsidR="00BA554D">
              <w:t>250</w:t>
            </w:r>
          </w:p>
        </w:tc>
        <w:tc>
          <w:tcPr>
            <w:tcW w:w="3180" w:type="dxa"/>
            <w:vAlign w:val="center"/>
          </w:tcPr>
          <w:p w14:paraId="66C78DBD" w14:textId="78DDF78A" w:rsidR="00480708" w:rsidRPr="00480708" w:rsidRDefault="00DE0D57" w:rsidP="00480708">
            <w:pPr>
              <w:pStyle w:val="NoSpacing"/>
              <w:jc w:val="right"/>
            </w:pPr>
            <w:r>
              <w:t>$</w:t>
            </w:r>
            <w:r w:rsidR="00333D94" w:rsidRPr="00333D94">
              <w:t>425,000</w:t>
            </w:r>
          </w:p>
        </w:tc>
      </w:tr>
      <w:tr w:rsidR="00480708" w:rsidRPr="00480708" w14:paraId="66C78DC4" w14:textId="77777777" w:rsidTr="00F777CC">
        <w:tc>
          <w:tcPr>
            <w:tcW w:w="528" w:type="dxa"/>
            <w:vAlign w:val="center"/>
          </w:tcPr>
          <w:p w14:paraId="66C78DBF" w14:textId="77777777" w:rsidR="00480708" w:rsidRPr="00480708" w:rsidRDefault="00480708" w:rsidP="00480708">
            <w:pPr>
              <w:jc w:val="center"/>
            </w:pPr>
            <w:r w:rsidRPr="00480708">
              <w:t>1</w:t>
            </w:r>
          </w:p>
        </w:tc>
        <w:tc>
          <w:tcPr>
            <w:tcW w:w="3008" w:type="dxa"/>
            <w:vAlign w:val="center"/>
          </w:tcPr>
          <w:p w14:paraId="66C78DC0" w14:textId="77777777" w:rsidR="00480708" w:rsidRPr="00480708" w:rsidRDefault="00480708" w:rsidP="00480708">
            <w:pPr>
              <w:pStyle w:val="NoSpacing"/>
            </w:pPr>
            <w:r w:rsidRPr="00480708">
              <w:t>Surcharge – 11.5 year – Late Payment Within 6 Months (micro entity)</w:t>
            </w:r>
          </w:p>
        </w:tc>
        <w:tc>
          <w:tcPr>
            <w:tcW w:w="1279" w:type="dxa"/>
            <w:vAlign w:val="center"/>
          </w:tcPr>
          <w:p w14:paraId="66C78DC1" w14:textId="77777777" w:rsidR="00480708" w:rsidRPr="00480708" w:rsidRDefault="00480708" w:rsidP="00480708">
            <w:pPr>
              <w:pStyle w:val="NoSpacing"/>
              <w:jc w:val="right"/>
            </w:pPr>
            <w:r w:rsidRPr="00480708">
              <w:t>200</w:t>
            </w:r>
          </w:p>
        </w:tc>
        <w:tc>
          <w:tcPr>
            <w:tcW w:w="1355" w:type="dxa"/>
            <w:vAlign w:val="center"/>
          </w:tcPr>
          <w:p w14:paraId="66C78DC2" w14:textId="766E54CD" w:rsidR="00480708" w:rsidRPr="00480708" w:rsidRDefault="00480708" w:rsidP="00BA554D">
            <w:pPr>
              <w:pStyle w:val="NoSpacing"/>
              <w:jc w:val="right"/>
            </w:pPr>
            <w:r w:rsidRPr="00480708">
              <w:t>$</w:t>
            </w:r>
            <w:r w:rsidR="00BA554D">
              <w:t>125</w:t>
            </w:r>
          </w:p>
        </w:tc>
        <w:tc>
          <w:tcPr>
            <w:tcW w:w="3180" w:type="dxa"/>
            <w:vAlign w:val="center"/>
          </w:tcPr>
          <w:p w14:paraId="66C78DC3" w14:textId="01B83D6E" w:rsidR="00480708" w:rsidRPr="00480708" w:rsidRDefault="00DE0D57" w:rsidP="00480708">
            <w:pPr>
              <w:pStyle w:val="NoSpacing"/>
              <w:jc w:val="right"/>
            </w:pPr>
            <w:r>
              <w:t>$</w:t>
            </w:r>
            <w:r w:rsidR="00333D94" w:rsidRPr="00333D94">
              <w:t>25,000</w:t>
            </w:r>
          </w:p>
        </w:tc>
      </w:tr>
      <w:tr w:rsidR="00480708" w:rsidRPr="00480708" w14:paraId="66C78DCA" w14:textId="77777777" w:rsidTr="00F777CC">
        <w:tc>
          <w:tcPr>
            <w:tcW w:w="528" w:type="dxa"/>
            <w:vAlign w:val="center"/>
          </w:tcPr>
          <w:p w14:paraId="66C78DC5" w14:textId="77777777" w:rsidR="00480708" w:rsidRPr="00480708" w:rsidRDefault="00480708" w:rsidP="00480708">
            <w:pPr>
              <w:pStyle w:val="NoSpacing"/>
              <w:jc w:val="center"/>
            </w:pPr>
            <w:r w:rsidRPr="00480708">
              <w:t>3</w:t>
            </w:r>
          </w:p>
        </w:tc>
        <w:tc>
          <w:tcPr>
            <w:tcW w:w="3008" w:type="dxa"/>
            <w:vAlign w:val="center"/>
          </w:tcPr>
          <w:p w14:paraId="66C78DC6" w14:textId="77777777" w:rsidR="00480708" w:rsidRPr="00480708" w:rsidRDefault="00480708" w:rsidP="00480708">
            <w:pPr>
              <w:pStyle w:val="NoSpacing"/>
            </w:pPr>
            <w:r w:rsidRPr="00480708">
              <w:t>Petition for the Delayed Payment of the Fee for Maintaining a Patent in Force (large entity)</w:t>
            </w:r>
          </w:p>
        </w:tc>
        <w:tc>
          <w:tcPr>
            <w:tcW w:w="1279" w:type="dxa"/>
            <w:vAlign w:val="center"/>
          </w:tcPr>
          <w:p w14:paraId="66C78DC7" w14:textId="61F7902A" w:rsidR="00480708" w:rsidRPr="00480708" w:rsidRDefault="00E0588D" w:rsidP="00480708">
            <w:pPr>
              <w:pStyle w:val="NoSpacing"/>
              <w:jc w:val="right"/>
            </w:pPr>
            <w:r>
              <w:t>500</w:t>
            </w:r>
          </w:p>
        </w:tc>
        <w:tc>
          <w:tcPr>
            <w:tcW w:w="1355" w:type="dxa"/>
            <w:vAlign w:val="center"/>
          </w:tcPr>
          <w:p w14:paraId="66C78DC8" w14:textId="77777777" w:rsidR="00480708" w:rsidRPr="00480708" w:rsidRDefault="00480708" w:rsidP="00480708">
            <w:pPr>
              <w:pStyle w:val="NoSpacing"/>
              <w:jc w:val="right"/>
            </w:pPr>
            <w:r w:rsidRPr="00480708">
              <w:t>$2,100</w:t>
            </w:r>
          </w:p>
        </w:tc>
        <w:tc>
          <w:tcPr>
            <w:tcW w:w="3180" w:type="dxa"/>
            <w:vAlign w:val="center"/>
          </w:tcPr>
          <w:p w14:paraId="66C78DC9" w14:textId="71627CBD" w:rsidR="00480708" w:rsidRPr="00480708" w:rsidRDefault="00DE0D57" w:rsidP="00480708">
            <w:pPr>
              <w:pStyle w:val="NoSpacing"/>
              <w:jc w:val="right"/>
            </w:pPr>
            <w:r>
              <w:t>$</w:t>
            </w:r>
            <w:r w:rsidR="00E0588D" w:rsidRPr="00E0588D">
              <w:t>1,050,000</w:t>
            </w:r>
          </w:p>
        </w:tc>
      </w:tr>
      <w:tr w:rsidR="00480708" w:rsidRPr="00480708" w14:paraId="66C78DD0" w14:textId="77777777" w:rsidTr="00F777CC">
        <w:tc>
          <w:tcPr>
            <w:tcW w:w="528" w:type="dxa"/>
            <w:vAlign w:val="center"/>
          </w:tcPr>
          <w:p w14:paraId="66C78DCB" w14:textId="77777777" w:rsidR="00480708" w:rsidRPr="00480708" w:rsidRDefault="00480708" w:rsidP="00480708">
            <w:pPr>
              <w:pStyle w:val="NoSpacing"/>
              <w:jc w:val="center"/>
            </w:pPr>
            <w:r w:rsidRPr="00480708">
              <w:t>3</w:t>
            </w:r>
          </w:p>
        </w:tc>
        <w:tc>
          <w:tcPr>
            <w:tcW w:w="3008" w:type="dxa"/>
            <w:vAlign w:val="center"/>
          </w:tcPr>
          <w:p w14:paraId="66C78DCC" w14:textId="77777777" w:rsidR="00480708" w:rsidRPr="00480708" w:rsidRDefault="00480708" w:rsidP="00480708">
            <w:pPr>
              <w:pStyle w:val="NoSpacing"/>
            </w:pPr>
            <w:r w:rsidRPr="00480708">
              <w:t>Petition for the Delayed Payment of the Fee for Maintaining a Patent in Force (small entity)</w:t>
            </w:r>
          </w:p>
        </w:tc>
        <w:tc>
          <w:tcPr>
            <w:tcW w:w="1279" w:type="dxa"/>
            <w:vAlign w:val="center"/>
          </w:tcPr>
          <w:p w14:paraId="66C78DCD" w14:textId="77777777" w:rsidR="00480708" w:rsidRPr="00480708" w:rsidRDefault="00480708" w:rsidP="00480708">
            <w:pPr>
              <w:pStyle w:val="NoSpacing"/>
              <w:jc w:val="right"/>
            </w:pPr>
            <w:r w:rsidRPr="00480708">
              <w:t>1,200</w:t>
            </w:r>
          </w:p>
        </w:tc>
        <w:tc>
          <w:tcPr>
            <w:tcW w:w="1355" w:type="dxa"/>
            <w:vAlign w:val="center"/>
          </w:tcPr>
          <w:p w14:paraId="66C78DCE" w14:textId="77777777" w:rsidR="00480708" w:rsidRPr="00480708" w:rsidRDefault="00480708" w:rsidP="00480708">
            <w:pPr>
              <w:pStyle w:val="NoSpacing"/>
              <w:jc w:val="right"/>
            </w:pPr>
            <w:r w:rsidRPr="00480708">
              <w:t>$1,050</w:t>
            </w:r>
          </w:p>
        </w:tc>
        <w:tc>
          <w:tcPr>
            <w:tcW w:w="3180" w:type="dxa"/>
            <w:vAlign w:val="center"/>
          </w:tcPr>
          <w:p w14:paraId="66C78DCF" w14:textId="77777777" w:rsidR="00480708" w:rsidRPr="00480708" w:rsidRDefault="00DE0D57" w:rsidP="00480708">
            <w:pPr>
              <w:pStyle w:val="NoSpacing"/>
              <w:jc w:val="right"/>
            </w:pPr>
            <w:r>
              <w:t>$1,260,000.00</w:t>
            </w:r>
          </w:p>
        </w:tc>
      </w:tr>
      <w:tr w:rsidR="00480708" w:rsidRPr="00480708" w14:paraId="66C78DD6" w14:textId="77777777" w:rsidTr="00F777CC">
        <w:tc>
          <w:tcPr>
            <w:tcW w:w="528" w:type="dxa"/>
            <w:vAlign w:val="center"/>
          </w:tcPr>
          <w:p w14:paraId="66C78DD1" w14:textId="77777777" w:rsidR="00480708" w:rsidRPr="00480708" w:rsidRDefault="00480708" w:rsidP="00480708">
            <w:pPr>
              <w:pStyle w:val="NoSpacing"/>
              <w:jc w:val="center"/>
            </w:pPr>
            <w:r w:rsidRPr="00480708">
              <w:t>3</w:t>
            </w:r>
          </w:p>
        </w:tc>
        <w:tc>
          <w:tcPr>
            <w:tcW w:w="3008" w:type="dxa"/>
            <w:vAlign w:val="center"/>
          </w:tcPr>
          <w:p w14:paraId="66C78DD2" w14:textId="77777777" w:rsidR="00480708" w:rsidRPr="00480708" w:rsidRDefault="00480708" w:rsidP="00480708">
            <w:pPr>
              <w:pStyle w:val="NoSpacing"/>
            </w:pPr>
            <w:r w:rsidRPr="00480708">
              <w:t>Petition for the Delayed Payment of the Fee for Maintaining a Patent in Force (micro entity)</w:t>
            </w:r>
          </w:p>
        </w:tc>
        <w:tc>
          <w:tcPr>
            <w:tcW w:w="1279" w:type="dxa"/>
            <w:vAlign w:val="center"/>
          </w:tcPr>
          <w:p w14:paraId="66C78DD3" w14:textId="77777777" w:rsidR="00480708" w:rsidRPr="00480708" w:rsidRDefault="00480708" w:rsidP="00480708">
            <w:pPr>
              <w:pStyle w:val="NoSpacing"/>
              <w:jc w:val="right"/>
            </w:pPr>
            <w:r w:rsidRPr="00480708">
              <w:t>100</w:t>
            </w:r>
          </w:p>
        </w:tc>
        <w:tc>
          <w:tcPr>
            <w:tcW w:w="1355" w:type="dxa"/>
            <w:vAlign w:val="center"/>
          </w:tcPr>
          <w:p w14:paraId="66C78DD4" w14:textId="77777777" w:rsidR="00480708" w:rsidRPr="00480708" w:rsidRDefault="00480708" w:rsidP="00480708">
            <w:pPr>
              <w:pStyle w:val="NoSpacing"/>
              <w:jc w:val="right"/>
            </w:pPr>
            <w:r w:rsidRPr="00480708">
              <w:t>$525</w:t>
            </w:r>
          </w:p>
        </w:tc>
        <w:tc>
          <w:tcPr>
            <w:tcW w:w="3180" w:type="dxa"/>
            <w:vAlign w:val="center"/>
          </w:tcPr>
          <w:p w14:paraId="66C78DD5" w14:textId="77777777" w:rsidR="00480708" w:rsidRPr="00480708" w:rsidRDefault="00DE0D57" w:rsidP="00480708">
            <w:pPr>
              <w:pStyle w:val="NoSpacing"/>
              <w:jc w:val="right"/>
            </w:pPr>
            <w:r>
              <w:t>$52,500.00</w:t>
            </w:r>
          </w:p>
        </w:tc>
      </w:tr>
      <w:tr w:rsidR="00480708" w:rsidRPr="00480708" w14:paraId="66C78DDC" w14:textId="77777777" w:rsidTr="00F777CC">
        <w:tc>
          <w:tcPr>
            <w:tcW w:w="528" w:type="dxa"/>
          </w:tcPr>
          <w:p w14:paraId="66C78DD7" w14:textId="77777777" w:rsidR="00480708" w:rsidRPr="00480708" w:rsidRDefault="00480708" w:rsidP="00480708">
            <w:pPr>
              <w:pStyle w:val="NoSpacing"/>
              <w:rPr>
                <w:b/>
              </w:rPr>
            </w:pPr>
          </w:p>
        </w:tc>
        <w:tc>
          <w:tcPr>
            <w:tcW w:w="3008" w:type="dxa"/>
            <w:vAlign w:val="center"/>
          </w:tcPr>
          <w:p w14:paraId="66C78DD8" w14:textId="77777777" w:rsidR="00480708" w:rsidRPr="00480708" w:rsidRDefault="00480708" w:rsidP="00480708">
            <w:pPr>
              <w:pStyle w:val="NoSpacing"/>
              <w:rPr>
                <w:b/>
              </w:rPr>
            </w:pPr>
            <w:r w:rsidRPr="00480708">
              <w:rPr>
                <w:b/>
              </w:rPr>
              <w:t>Totals</w:t>
            </w:r>
          </w:p>
        </w:tc>
        <w:tc>
          <w:tcPr>
            <w:tcW w:w="1279" w:type="dxa"/>
            <w:vAlign w:val="center"/>
          </w:tcPr>
          <w:p w14:paraId="66C78DD9" w14:textId="6A58448F" w:rsidR="00480708" w:rsidRPr="00480708" w:rsidRDefault="00E0588D" w:rsidP="00480708">
            <w:pPr>
              <w:pStyle w:val="NoSpacing"/>
              <w:jc w:val="right"/>
              <w:rPr>
                <w:b/>
              </w:rPr>
            </w:pPr>
            <w:r>
              <w:rPr>
                <w:b/>
              </w:rPr>
              <w:t>438,400</w:t>
            </w:r>
          </w:p>
        </w:tc>
        <w:tc>
          <w:tcPr>
            <w:tcW w:w="1355" w:type="dxa"/>
            <w:vAlign w:val="center"/>
          </w:tcPr>
          <w:p w14:paraId="66C78DDA" w14:textId="77777777" w:rsidR="00480708" w:rsidRPr="00480708" w:rsidRDefault="00480708" w:rsidP="00480708">
            <w:pPr>
              <w:pStyle w:val="NoSpacing"/>
              <w:jc w:val="right"/>
              <w:rPr>
                <w:b/>
              </w:rPr>
            </w:pPr>
          </w:p>
        </w:tc>
        <w:tc>
          <w:tcPr>
            <w:tcW w:w="3180" w:type="dxa"/>
            <w:vAlign w:val="center"/>
          </w:tcPr>
          <w:p w14:paraId="66C78DDB" w14:textId="574B2359" w:rsidR="00480708" w:rsidRPr="00480708" w:rsidRDefault="00DE0D57" w:rsidP="00E0588D">
            <w:pPr>
              <w:pStyle w:val="NoSpacing"/>
              <w:jc w:val="right"/>
              <w:rPr>
                <w:b/>
              </w:rPr>
            </w:pPr>
            <w:r>
              <w:rPr>
                <w:b/>
              </w:rPr>
              <w:t>$</w:t>
            </w:r>
            <w:r w:rsidR="00E0588D">
              <w:rPr>
                <w:b/>
              </w:rPr>
              <w:t>1,334,707,000</w:t>
            </w:r>
          </w:p>
        </w:tc>
      </w:tr>
    </w:tbl>
    <w:p w14:paraId="66C78DDD" w14:textId="77777777" w:rsidR="00480708" w:rsidRDefault="00480708" w:rsidP="005F7F25">
      <w:pPr>
        <w:pStyle w:val="NoSpacing"/>
      </w:pPr>
    </w:p>
    <w:p w14:paraId="66C78DDE" w14:textId="77777777" w:rsidR="00DE0D57" w:rsidRDefault="00DE0D57" w:rsidP="005F7F25">
      <w:pPr>
        <w:pStyle w:val="NoSpacing"/>
      </w:pPr>
      <w:r>
        <w:rPr>
          <w:b/>
        </w:rPr>
        <w:t>Table 3: Changes in Burden</w:t>
      </w:r>
    </w:p>
    <w:tbl>
      <w:tblPr>
        <w:tblStyle w:val="TableGrid"/>
        <w:tblW w:w="0" w:type="auto"/>
        <w:tblLayout w:type="fixed"/>
        <w:tblLook w:val="04A0" w:firstRow="1" w:lastRow="0" w:firstColumn="1" w:lastColumn="0" w:noHBand="0" w:noVBand="1"/>
      </w:tblPr>
      <w:tblGrid>
        <w:gridCol w:w="417"/>
        <w:gridCol w:w="1539"/>
        <w:gridCol w:w="1895"/>
        <w:gridCol w:w="2804"/>
        <w:gridCol w:w="2695"/>
      </w:tblGrid>
      <w:tr w:rsidR="00E0588D" w14:paraId="66C78DE6" w14:textId="77777777" w:rsidTr="00064FC8">
        <w:tc>
          <w:tcPr>
            <w:tcW w:w="417" w:type="dxa"/>
            <w:vAlign w:val="center"/>
          </w:tcPr>
          <w:p w14:paraId="66C78DDF" w14:textId="77777777" w:rsidR="00DE0D57" w:rsidRDefault="00DE0D57" w:rsidP="00DE0D57">
            <w:pPr>
              <w:pStyle w:val="NoSpacing"/>
              <w:jc w:val="center"/>
              <w:rPr>
                <w:b/>
              </w:rPr>
            </w:pPr>
          </w:p>
          <w:p w14:paraId="66C78DE0" w14:textId="77777777" w:rsidR="00DE0D57" w:rsidRDefault="00DE0D57" w:rsidP="00DE0D57">
            <w:pPr>
              <w:pStyle w:val="NoSpacing"/>
              <w:jc w:val="center"/>
              <w:rPr>
                <w:b/>
              </w:rPr>
            </w:pPr>
            <w:r>
              <w:rPr>
                <w:b/>
              </w:rPr>
              <w:t>IC #</w:t>
            </w:r>
          </w:p>
          <w:p w14:paraId="66C78DE1" w14:textId="77777777" w:rsidR="00DE0D57" w:rsidRPr="00DE0D57" w:rsidRDefault="00DE0D57" w:rsidP="00DE0D57">
            <w:pPr>
              <w:pStyle w:val="NoSpacing"/>
              <w:jc w:val="center"/>
              <w:rPr>
                <w:b/>
              </w:rPr>
            </w:pPr>
          </w:p>
        </w:tc>
        <w:tc>
          <w:tcPr>
            <w:tcW w:w="1539" w:type="dxa"/>
            <w:vAlign w:val="center"/>
          </w:tcPr>
          <w:p w14:paraId="66C78DE2" w14:textId="77777777" w:rsidR="00DE0D57" w:rsidRPr="00DE0D57" w:rsidRDefault="00DE0D57" w:rsidP="00DE0D57">
            <w:pPr>
              <w:pStyle w:val="NoSpacing"/>
              <w:jc w:val="center"/>
              <w:rPr>
                <w:b/>
              </w:rPr>
            </w:pPr>
            <w:r>
              <w:rPr>
                <w:b/>
              </w:rPr>
              <w:t>Item</w:t>
            </w:r>
          </w:p>
        </w:tc>
        <w:tc>
          <w:tcPr>
            <w:tcW w:w="1895" w:type="dxa"/>
            <w:vAlign w:val="center"/>
          </w:tcPr>
          <w:p w14:paraId="66C78DE3" w14:textId="77777777" w:rsidR="00DE0D57" w:rsidRPr="00DE0D57" w:rsidRDefault="00DE0D57" w:rsidP="00DE0D57">
            <w:pPr>
              <w:pStyle w:val="NoSpacing"/>
              <w:jc w:val="center"/>
              <w:rPr>
                <w:b/>
              </w:rPr>
            </w:pPr>
            <w:r>
              <w:rPr>
                <w:b/>
              </w:rPr>
              <w:t>Current Fee Cost</w:t>
            </w:r>
          </w:p>
        </w:tc>
        <w:tc>
          <w:tcPr>
            <w:tcW w:w="2804" w:type="dxa"/>
            <w:vAlign w:val="center"/>
          </w:tcPr>
          <w:p w14:paraId="66C78DE4" w14:textId="77777777" w:rsidR="00DE0D57" w:rsidRPr="00DE0D57" w:rsidRDefault="00DE0D57" w:rsidP="00DE0D57">
            <w:pPr>
              <w:pStyle w:val="NoSpacing"/>
              <w:jc w:val="center"/>
              <w:rPr>
                <w:b/>
              </w:rPr>
            </w:pPr>
            <w:r>
              <w:rPr>
                <w:b/>
              </w:rPr>
              <w:t>Proposed Fee Cost</w:t>
            </w:r>
          </w:p>
        </w:tc>
        <w:tc>
          <w:tcPr>
            <w:tcW w:w="2695" w:type="dxa"/>
            <w:vAlign w:val="center"/>
          </w:tcPr>
          <w:p w14:paraId="66C78DE5" w14:textId="77777777" w:rsidR="00DE0D57" w:rsidRPr="00DE0D57" w:rsidRDefault="00DE0D57" w:rsidP="00DE0D57">
            <w:pPr>
              <w:pStyle w:val="NoSpacing"/>
              <w:jc w:val="center"/>
              <w:rPr>
                <w:b/>
              </w:rPr>
            </w:pPr>
            <w:r>
              <w:rPr>
                <w:b/>
              </w:rPr>
              <w:t>Change in Fee Cost</w:t>
            </w:r>
          </w:p>
        </w:tc>
      </w:tr>
      <w:tr w:rsidR="00E0588D" w14:paraId="66C78DEC" w14:textId="77777777" w:rsidTr="00064FC8">
        <w:tc>
          <w:tcPr>
            <w:tcW w:w="417" w:type="dxa"/>
            <w:vAlign w:val="center"/>
          </w:tcPr>
          <w:p w14:paraId="66C78DE7" w14:textId="77777777" w:rsidR="00DE0D57" w:rsidRPr="00480708" w:rsidRDefault="00DE0D57" w:rsidP="00DE0D57">
            <w:pPr>
              <w:pStyle w:val="NoSpacing"/>
              <w:jc w:val="center"/>
            </w:pPr>
            <w:r w:rsidRPr="00480708">
              <w:t>1</w:t>
            </w:r>
          </w:p>
        </w:tc>
        <w:tc>
          <w:tcPr>
            <w:tcW w:w="1539" w:type="dxa"/>
            <w:vAlign w:val="center"/>
          </w:tcPr>
          <w:p w14:paraId="66C78DE8" w14:textId="77777777" w:rsidR="00DE0D57" w:rsidRPr="00480708" w:rsidRDefault="00DE0D57" w:rsidP="00DE0D57">
            <w:pPr>
              <w:pStyle w:val="NoSpacing"/>
            </w:pPr>
            <w:r w:rsidRPr="00480708">
              <w:t>For Maintaining an Original or Any Reissue Patent, Due at 3.5 Years (large entity)</w:t>
            </w:r>
          </w:p>
        </w:tc>
        <w:tc>
          <w:tcPr>
            <w:tcW w:w="1895" w:type="dxa"/>
            <w:vAlign w:val="center"/>
          </w:tcPr>
          <w:p w14:paraId="66C78DE9" w14:textId="251320F8" w:rsidR="00DE0D57" w:rsidRDefault="001E7BBE" w:rsidP="00DE0D57">
            <w:pPr>
              <w:pStyle w:val="NoSpacing"/>
              <w:jc w:val="right"/>
            </w:pPr>
            <w:r>
              <w:t>$302,080,000.00</w:t>
            </w:r>
          </w:p>
        </w:tc>
        <w:tc>
          <w:tcPr>
            <w:tcW w:w="2804" w:type="dxa"/>
            <w:vAlign w:val="center"/>
          </w:tcPr>
          <w:p w14:paraId="66C78DEA" w14:textId="329FA798" w:rsidR="00DE0D57" w:rsidRPr="00480708" w:rsidRDefault="00DE0D57" w:rsidP="00DE0D57">
            <w:pPr>
              <w:pStyle w:val="NoSpacing"/>
              <w:jc w:val="right"/>
            </w:pPr>
            <w:r>
              <w:t>$</w:t>
            </w:r>
            <w:r w:rsidR="00E0588D" w:rsidRPr="00E0588D">
              <w:t>377,600,000</w:t>
            </w:r>
          </w:p>
        </w:tc>
        <w:tc>
          <w:tcPr>
            <w:tcW w:w="2695" w:type="dxa"/>
            <w:vAlign w:val="center"/>
          </w:tcPr>
          <w:p w14:paraId="66C78DEB" w14:textId="31ED507B" w:rsidR="00DE0D57" w:rsidRDefault="001E7BBE" w:rsidP="00DE0D57">
            <w:pPr>
              <w:pStyle w:val="NoSpacing"/>
              <w:jc w:val="right"/>
            </w:pPr>
            <w:r>
              <w:t>$</w:t>
            </w:r>
            <w:r w:rsidR="00E0588D" w:rsidRPr="00E0588D">
              <w:t>75,520,000</w:t>
            </w:r>
          </w:p>
        </w:tc>
      </w:tr>
      <w:tr w:rsidR="00E0588D" w14:paraId="66C78DF2" w14:textId="77777777" w:rsidTr="00064FC8">
        <w:tc>
          <w:tcPr>
            <w:tcW w:w="417" w:type="dxa"/>
            <w:vAlign w:val="center"/>
          </w:tcPr>
          <w:p w14:paraId="66C78DED" w14:textId="77777777" w:rsidR="00DE0D57" w:rsidRPr="00480708" w:rsidRDefault="00DE0D57" w:rsidP="00DE0D57">
            <w:pPr>
              <w:jc w:val="center"/>
            </w:pPr>
            <w:r w:rsidRPr="00480708">
              <w:t>1</w:t>
            </w:r>
          </w:p>
        </w:tc>
        <w:tc>
          <w:tcPr>
            <w:tcW w:w="1539" w:type="dxa"/>
            <w:vAlign w:val="center"/>
          </w:tcPr>
          <w:p w14:paraId="66C78DEE" w14:textId="77777777" w:rsidR="00DE0D57" w:rsidRPr="00480708" w:rsidRDefault="00DE0D57" w:rsidP="00DE0D57">
            <w:pPr>
              <w:pStyle w:val="NoSpacing"/>
            </w:pPr>
            <w:r w:rsidRPr="00480708">
              <w:t>For Maintaining an Original or Any Reissue Patent, Due at 3.5 Years (small entity)</w:t>
            </w:r>
          </w:p>
        </w:tc>
        <w:tc>
          <w:tcPr>
            <w:tcW w:w="1895" w:type="dxa"/>
            <w:vAlign w:val="center"/>
          </w:tcPr>
          <w:p w14:paraId="66C78DEF" w14:textId="77777777" w:rsidR="00DE0D57" w:rsidRDefault="001E7BBE" w:rsidP="00DE0D57">
            <w:pPr>
              <w:pStyle w:val="NoSpacing"/>
              <w:jc w:val="right"/>
            </w:pPr>
            <w:r>
              <w:t>$32,640,000.00</w:t>
            </w:r>
          </w:p>
        </w:tc>
        <w:tc>
          <w:tcPr>
            <w:tcW w:w="2804" w:type="dxa"/>
            <w:vAlign w:val="center"/>
          </w:tcPr>
          <w:p w14:paraId="66C78DF0" w14:textId="77777777" w:rsidR="00DE0D57" w:rsidRPr="00480708" w:rsidRDefault="00DE0D57" w:rsidP="00DE0D57">
            <w:pPr>
              <w:pStyle w:val="NoSpacing"/>
              <w:jc w:val="right"/>
            </w:pPr>
            <w:r>
              <w:t>$40,800,000.00</w:t>
            </w:r>
          </w:p>
        </w:tc>
        <w:tc>
          <w:tcPr>
            <w:tcW w:w="2695" w:type="dxa"/>
            <w:vAlign w:val="center"/>
          </w:tcPr>
          <w:p w14:paraId="66C78DF1" w14:textId="77777777" w:rsidR="00DE0D57" w:rsidRDefault="001E7BBE" w:rsidP="00DE0D57">
            <w:pPr>
              <w:pStyle w:val="NoSpacing"/>
              <w:jc w:val="right"/>
            </w:pPr>
            <w:r>
              <w:t>$8,160,000.00</w:t>
            </w:r>
          </w:p>
        </w:tc>
      </w:tr>
      <w:tr w:rsidR="00E0588D" w14:paraId="66C78DF8" w14:textId="77777777" w:rsidTr="00064FC8">
        <w:tc>
          <w:tcPr>
            <w:tcW w:w="417" w:type="dxa"/>
            <w:vAlign w:val="center"/>
          </w:tcPr>
          <w:p w14:paraId="66C78DF3" w14:textId="77777777" w:rsidR="00DE0D57" w:rsidRPr="00480708" w:rsidRDefault="00DE0D57" w:rsidP="00DE0D57">
            <w:pPr>
              <w:jc w:val="center"/>
            </w:pPr>
            <w:r w:rsidRPr="00480708">
              <w:t>1</w:t>
            </w:r>
          </w:p>
        </w:tc>
        <w:tc>
          <w:tcPr>
            <w:tcW w:w="1539" w:type="dxa"/>
            <w:vAlign w:val="center"/>
          </w:tcPr>
          <w:p w14:paraId="66C78DF4" w14:textId="77777777" w:rsidR="00DE0D57" w:rsidRPr="00480708" w:rsidRDefault="00DE0D57" w:rsidP="00DE0D57">
            <w:pPr>
              <w:pStyle w:val="NoSpacing"/>
            </w:pPr>
            <w:r w:rsidRPr="00480708">
              <w:t>For Maintaining an Original or Any Reissue Patent, Due at 3.5 Years (micro entity)</w:t>
            </w:r>
          </w:p>
        </w:tc>
        <w:tc>
          <w:tcPr>
            <w:tcW w:w="1895" w:type="dxa"/>
            <w:vAlign w:val="center"/>
          </w:tcPr>
          <w:p w14:paraId="66C78DF5" w14:textId="77777777" w:rsidR="00DE0D57" w:rsidRDefault="001E7BBE" w:rsidP="00DE0D57">
            <w:pPr>
              <w:pStyle w:val="NoSpacing"/>
              <w:jc w:val="right"/>
            </w:pPr>
            <w:r>
              <w:t>$1,040,000.00</w:t>
            </w:r>
          </w:p>
        </w:tc>
        <w:tc>
          <w:tcPr>
            <w:tcW w:w="2804" w:type="dxa"/>
            <w:vAlign w:val="center"/>
          </w:tcPr>
          <w:p w14:paraId="66C78DF6" w14:textId="77777777" w:rsidR="00DE0D57" w:rsidRPr="00480708" w:rsidRDefault="00DE0D57" w:rsidP="00DE0D57">
            <w:pPr>
              <w:pStyle w:val="NoSpacing"/>
              <w:jc w:val="right"/>
            </w:pPr>
            <w:r>
              <w:t>$1,300,000.00</w:t>
            </w:r>
          </w:p>
        </w:tc>
        <w:tc>
          <w:tcPr>
            <w:tcW w:w="2695" w:type="dxa"/>
            <w:vAlign w:val="center"/>
          </w:tcPr>
          <w:p w14:paraId="66C78DF7" w14:textId="77777777" w:rsidR="00DE0D57" w:rsidRPr="001E7BBE" w:rsidRDefault="001E7BBE" w:rsidP="00DE0D57">
            <w:pPr>
              <w:pStyle w:val="NoSpacing"/>
              <w:jc w:val="right"/>
              <w:rPr>
                <w:b/>
              </w:rPr>
            </w:pPr>
            <w:r>
              <w:t>$260,000.00</w:t>
            </w:r>
          </w:p>
        </w:tc>
      </w:tr>
      <w:tr w:rsidR="00E0588D" w14:paraId="66C78DFE" w14:textId="77777777" w:rsidTr="00064FC8">
        <w:tc>
          <w:tcPr>
            <w:tcW w:w="417" w:type="dxa"/>
            <w:vAlign w:val="center"/>
          </w:tcPr>
          <w:p w14:paraId="66C78DF9" w14:textId="77777777" w:rsidR="001E7BBE" w:rsidRPr="00480708" w:rsidRDefault="001E7BBE" w:rsidP="001E7BBE">
            <w:pPr>
              <w:jc w:val="center"/>
            </w:pPr>
            <w:r w:rsidRPr="00480708">
              <w:t>1</w:t>
            </w:r>
          </w:p>
        </w:tc>
        <w:tc>
          <w:tcPr>
            <w:tcW w:w="1539" w:type="dxa"/>
            <w:vAlign w:val="center"/>
          </w:tcPr>
          <w:p w14:paraId="66C78DFA" w14:textId="77777777" w:rsidR="001E7BBE" w:rsidRPr="00480708" w:rsidRDefault="001E7BBE" w:rsidP="001E7BBE">
            <w:pPr>
              <w:pStyle w:val="NoSpacing"/>
            </w:pPr>
            <w:r w:rsidRPr="00480708">
              <w:t>For Maintaining an Original or Any Reissue Patent, Due at 7.5 Years (large entity)</w:t>
            </w:r>
          </w:p>
        </w:tc>
        <w:tc>
          <w:tcPr>
            <w:tcW w:w="1895" w:type="dxa"/>
            <w:vAlign w:val="center"/>
          </w:tcPr>
          <w:p w14:paraId="66C78DFB" w14:textId="77777777" w:rsidR="001E7BBE" w:rsidRPr="001E7BBE" w:rsidRDefault="001E7BBE" w:rsidP="001E7BBE">
            <w:pPr>
              <w:jc w:val="right"/>
              <w:rPr>
                <w:rFonts w:ascii="Calibri" w:hAnsi="Calibri"/>
                <w:color w:val="000000"/>
              </w:rPr>
            </w:pPr>
            <w:r>
              <w:rPr>
                <w:rFonts w:ascii="Calibri" w:hAnsi="Calibri"/>
                <w:color w:val="000000"/>
              </w:rPr>
              <w:t>$345,600,000.00</w:t>
            </w:r>
          </w:p>
        </w:tc>
        <w:tc>
          <w:tcPr>
            <w:tcW w:w="2804" w:type="dxa"/>
            <w:vAlign w:val="center"/>
          </w:tcPr>
          <w:p w14:paraId="66C78DFC" w14:textId="77777777" w:rsidR="001E7BBE" w:rsidRPr="00480708" w:rsidRDefault="001E7BBE" w:rsidP="001E7BBE">
            <w:pPr>
              <w:pStyle w:val="NoSpacing"/>
              <w:jc w:val="right"/>
            </w:pPr>
            <w:r>
              <w:t>$360,960,000.00</w:t>
            </w:r>
          </w:p>
        </w:tc>
        <w:tc>
          <w:tcPr>
            <w:tcW w:w="2695" w:type="dxa"/>
            <w:vAlign w:val="center"/>
          </w:tcPr>
          <w:p w14:paraId="66C78DFD" w14:textId="77777777" w:rsidR="001E7BBE" w:rsidRDefault="001E7BBE" w:rsidP="001E7BBE">
            <w:pPr>
              <w:jc w:val="right"/>
              <w:rPr>
                <w:rFonts w:ascii="Calibri" w:hAnsi="Calibri"/>
                <w:color w:val="000000"/>
              </w:rPr>
            </w:pPr>
            <w:r>
              <w:rPr>
                <w:rFonts w:ascii="Calibri" w:hAnsi="Calibri"/>
                <w:color w:val="000000"/>
              </w:rPr>
              <w:t>$15,360,000.00</w:t>
            </w:r>
          </w:p>
        </w:tc>
      </w:tr>
      <w:tr w:rsidR="00E0588D" w14:paraId="66C78E04" w14:textId="77777777" w:rsidTr="00064FC8">
        <w:tc>
          <w:tcPr>
            <w:tcW w:w="417" w:type="dxa"/>
            <w:vAlign w:val="center"/>
          </w:tcPr>
          <w:p w14:paraId="66C78DFF" w14:textId="77777777" w:rsidR="001E7BBE" w:rsidRPr="00480708" w:rsidRDefault="001E7BBE" w:rsidP="001E7BBE">
            <w:pPr>
              <w:jc w:val="center"/>
            </w:pPr>
            <w:r w:rsidRPr="00480708">
              <w:t>1</w:t>
            </w:r>
          </w:p>
        </w:tc>
        <w:tc>
          <w:tcPr>
            <w:tcW w:w="1539" w:type="dxa"/>
            <w:vAlign w:val="center"/>
          </w:tcPr>
          <w:p w14:paraId="66C78E00" w14:textId="77777777" w:rsidR="001E7BBE" w:rsidRPr="00480708" w:rsidRDefault="001E7BBE" w:rsidP="001E7BBE">
            <w:pPr>
              <w:pStyle w:val="NoSpacing"/>
            </w:pPr>
            <w:r w:rsidRPr="00480708">
              <w:t>For Maintaining an Original or Any Reissue Patent, Due at 7.5 Years (small entity)</w:t>
            </w:r>
          </w:p>
        </w:tc>
        <w:tc>
          <w:tcPr>
            <w:tcW w:w="1895" w:type="dxa"/>
            <w:vAlign w:val="center"/>
          </w:tcPr>
          <w:p w14:paraId="66C78E01" w14:textId="77777777" w:rsidR="001E7BBE" w:rsidRDefault="001E7BBE" w:rsidP="001E7BBE">
            <w:pPr>
              <w:jc w:val="right"/>
              <w:rPr>
                <w:rFonts w:ascii="Calibri" w:hAnsi="Calibri"/>
                <w:color w:val="000000"/>
              </w:rPr>
            </w:pPr>
            <w:r>
              <w:rPr>
                <w:rFonts w:ascii="Calibri" w:hAnsi="Calibri"/>
                <w:color w:val="000000"/>
              </w:rPr>
              <w:t>$29,160,000.00</w:t>
            </w:r>
          </w:p>
        </w:tc>
        <w:tc>
          <w:tcPr>
            <w:tcW w:w="2804" w:type="dxa"/>
            <w:vAlign w:val="center"/>
          </w:tcPr>
          <w:p w14:paraId="66C78E02" w14:textId="77777777" w:rsidR="001E7BBE" w:rsidRPr="00480708" w:rsidRDefault="001E7BBE" w:rsidP="001E7BBE">
            <w:pPr>
              <w:pStyle w:val="NoSpacing"/>
              <w:jc w:val="right"/>
            </w:pPr>
            <w:r>
              <w:t>$30,456,000.000</w:t>
            </w:r>
          </w:p>
        </w:tc>
        <w:tc>
          <w:tcPr>
            <w:tcW w:w="2695" w:type="dxa"/>
            <w:vAlign w:val="center"/>
          </w:tcPr>
          <w:p w14:paraId="66C78E03" w14:textId="77777777" w:rsidR="001E7BBE" w:rsidRDefault="001E7BBE" w:rsidP="001E7BBE">
            <w:pPr>
              <w:jc w:val="right"/>
              <w:rPr>
                <w:rFonts w:ascii="Calibri" w:hAnsi="Calibri"/>
                <w:color w:val="000000"/>
              </w:rPr>
            </w:pPr>
            <w:r>
              <w:rPr>
                <w:rFonts w:ascii="Calibri" w:hAnsi="Calibri"/>
                <w:color w:val="000000"/>
              </w:rPr>
              <w:t>$1,296,000.00</w:t>
            </w:r>
          </w:p>
        </w:tc>
      </w:tr>
      <w:tr w:rsidR="00E0588D" w14:paraId="66C78E0A" w14:textId="77777777" w:rsidTr="00064FC8">
        <w:tc>
          <w:tcPr>
            <w:tcW w:w="417" w:type="dxa"/>
            <w:vAlign w:val="center"/>
          </w:tcPr>
          <w:p w14:paraId="66C78E05" w14:textId="77777777" w:rsidR="001E7BBE" w:rsidRPr="00480708" w:rsidRDefault="001E7BBE" w:rsidP="001E7BBE">
            <w:pPr>
              <w:jc w:val="center"/>
            </w:pPr>
            <w:r w:rsidRPr="00480708">
              <w:t>1</w:t>
            </w:r>
          </w:p>
        </w:tc>
        <w:tc>
          <w:tcPr>
            <w:tcW w:w="1539" w:type="dxa"/>
            <w:vAlign w:val="center"/>
          </w:tcPr>
          <w:p w14:paraId="66C78E06" w14:textId="77777777" w:rsidR="001E7BBE" w:rsidRPr="00480708" w:rsidRDefault="001E7BBE" w:rsidP="001E7BBE">
            <w:pPr>
              <w:pStyle w:val="NoSpacing"/>
            </w:pPr>
            <w:r w:rsidRPr="00480708">
              <w:t>For Maintaining an Original or Any Reissue Patent, Due at 7.5 Years (micro entity)</w:t>
            </w:r>
          </w:p>
        </w:tc>
        <w:tc>
          <w:tcPr>
            <w:tcW w:w="1895" w:type="dxa"/>
            <w:vAlign w:val="center"/>
          </w:tcPr>
          <w:p w14:paraId="66C78E07" w14:textId="77777777" w:rsidR="001E7BBE" w:rsidRDefault="001E7BBE" w:rsidP="001E7BBE">
            <w:pPr>
              <w:jc w:val="right"/>
              <w:rPr>
                <w:rFonts w:ascii="Calibri" w:hAnsi="Calibri"/>
                <w:color w:val="000000"/>
              </w:rPr>
            </w:pPr>
            <w:r>
              <w:rPr>
                <w:rFonts w:ascii="Calibri" w:hAnsi="Calibri"/>
                <w:color w:val="000000"/>
              </w:rPr>
              <w:t>$810,000.00</w:t>
            </w:r>
          </w:p>
        </w:tc>
        <w:tc>
          <w:tcPr>
            <w:tcW w:w="2804" w:type="dxa"/>
            <w:vAlign w:val="center"/>
          </w:tcPr>
          <w:p w14:paraId="66C78E08" w14:textId="77777777" w:rsidR="001E7BBE" w:rsidRPr="00480708" w:rsidRDefault="001E7BBE" w:rsidP="001E7BBE">
            <w:pPr>
              <w:pStyle w:val="NoSpacing"/>
              <w:jc w:val="right"/>
            </w:pPr>
            <w:r>
              <w:t>$846,000.00</w:t>
            </w:r>
          </w:p>
        </w:tc>
        <w:tc>
          <w:tcPr>
            <w:tcW w:w="2695" w:type="dxa"/>
            <w:vAlign w:val="center"/>
          </w:tcPr>
          <w:p w14:paraId="66C78E09" w14:textId="77777777" w:rsidR="001E7BBE" w:rsidRDefault="001E7BBE" w:rsidP="001E7BBE">
            <w:pPr>
              <w:jc w:val="right"/>
              <w:rPr>
                <w:rFonts w:ascii="Calibri" w:hAnsi="Calibri"/>
                <w:color w:val="000000"/>
              </w:rPr>
            </w:pPr>
            <w:r>
              <w:rPr>
                <w:rFonts w:ascii="Calibri" w:hAnsi="Calibri"/>
                <w:color w:val="000000"/>
              </w:rPr>
              <w:t>$36,000.00</w:t>
            </w:r>
          </w:p>
        </w:tc>
      </w:tr>
      <w:tr w:rsidR="00E0588D" w14:paraId="66C78E10" w14:textId="77777777" w:rsidTr="00064FC8">
        <w:tc>
          <w:tcPr>
            <w:tcW w:w="417" w:type="dxa"/>
            <w:vAlign w:val="center"/>
          </w:tcPr>
          <w:p w14:paraId="66C78E0B" w14:textId="77777777" w:rsidR="001E7BBE" w:rsidRPr="00480708" w:rsidRDefault="001E7BBE" w:rsidP="001E7BBE">
            <w:pPr>
              <w:jc w:val="center"/>
            </w:pPr>
            <w:r w:rsidRPr="00480708">
              <w:t>1</w:t>
            </w:r>
          </w:p>
        </w:tc>
        <w:tc>
          <w:tcPr>
            <w:tcW w:w="1539" w:type="dxa"/>
            <w:vAlign w:val="center"/>
          </w:tcPr>
          <w:p w14:paraId="66C78E0C" w14:textId="77777777" w:rsidR="001E7BBE" w:rsidRPr="00480708" w:rsidRDefault="001E7BBE" w:rsidP="001E7BBE">
            <w:pPr>
              <w:pStyle w:val="NoSpacing"/>
            </w:pPr>
            <w:r w:rsidRPr="00480708">
              <w:t>For Maintaining an Original or Any Reissue Patent, Due at 11.5 Years (large entity)</w:t>
            </w:r>
          </w:p>
        </w:tc>
        <w:tc>
          <w:tcPr>
            <w:tcW w:w="1895" w:type="dxa"/>
            <w:vAlign w:val="center"/>
          </w:tcPr>
          <w:p w14:paraId="66C78E0D" w14:textId="77777777" w:rsidR="001E7BBE" w:rsidRDefault="001E7BBE" w:rsidP="001E7BBE">
            <w:pPr>
              <w:jc w:val="right"/>
              <w:rPr>
                <w:rFonts w:ascii="Calibri" w:hAnsi="Calibri"/>
                <w:color w:val="000000"/>
              </w:rPr>
            </w:pPr>
            <w:r>
              <w:rPr>
                <w:rFonts w:ascii="Calibri" w:hAnsi="Calibri"/>
                <w:color w:val="000000"/>
              </w:rPr>
              <w:t>$456,580,000.00</w:t>
            </w:r>
          </w:p>
        </w:tc>
        <w:tc>
          <w:tcPr>
            <w:tcW w:w="2804" w:type="dxa"/>
            <w:vAlign w:val="center"/>
          </w:tcPr>
          <w:p w14:paraId="66C78E0E" w14:textId="77777777" w:rsidR="001E7BBE" w:rsidRPr="00480708" w:rsidRDefault="001E7BBE" w:rsidP="001E7BBE">
            <w:pPr>
              <w:pStyle w:val="NoSpacing"/>
              <w:jc w:val="right"/>
            </w:pPr>
            <w:r>
              <w:t>$475,090,000.00</w:t>
            </w:r>
          </w:p>
        </w:tc>
        <w:tc>
          <w:tcPr>
            <w:tcW w:w="2695" w:type="dxa"/>
            <w:vAlign w:val="center"/>
          </w:tcPr>
          <w:p w14:paraId="66C78E0F" w14:textId="77777777" w:rsidR="001E7BBE" w:rsidRDefault="001E7BBE" w:rsidP="001E7BBE">
            <w:pPr>
              <w:jc w:val="right"/>
              <w:rPr>
                <w:rFonts w:ascii="Calibri" w:hAnsi="Calibri"/>
                <w:color w:val="000000"/>
              </w:rPr>
            </w:pPr>
            <w:r>
              <w:rPr>
                <w:rFonts w:ascii="Calibri" w:hAnsi="Calibri"/>
                <w:color w:val="000000"/>
              </w:rPr>
              <w:t>$18,510,000.00</w:t>
            </w:r>
          </w:p>
        </w:tc>
      </w:tr>
      <w:tr w:rsidR="00E0588D" w14:paraId="66C78E16" w14:textId="77777777" w:rsidTr="00064FC8">
        <w:tc>
          <w:tcPr>
            <w:tcW w:w="417" w:type="dxa"/>
            <w:vAlign w:val="center"/>
          </w:tcPr>
          <w:p w14:paraId="66C78E11" w14:textId="77777777" w:rsidR="001E7BBE" w:rsidRPr="00480708" w:rsidRDefault="001E7BBE" w:rsidP="001E7BBE">
            <w:pPr>
              <w:jc w:val="center"/>
            </w:pPr>
            <w:r w:rsidRPr="00480708">
              <w:t>1</w:t>
            </w:r>
          </w:p>
        </w:tc>
        <w:tc>
          <w:tcPr>
            <w:tcW w:w="1539" w:type="dxa"/>
            <w:vAlign w:val="center"/>
          </w:tcPr>
          <w:p w14:paraId="66C78E12" w14:textId="77777777" w:rsidR="001E7BBE" w:rsidRPr="00480708" w:rsidRDefault="001E7BBE" w:rsidP="001E7BBE">
            <w:pPr>
              <w:pStyle w:val="NoSpacing"/>
            </w:pPr>
            <w:r w:rsidRPr="00480708">
              <w:t>For Maintaining an Original or Any Reissue Patent, Due at 11.5 Years (small entity)</w:t>
            </w:r>
          </w:p>
        </w:tc>
        <w:tc>
          <w:tcPr>
            <w:tcW w:w="1895" w:type="dxa"/>
            <w:vAlign w:val="center"/>
          </w:tcPr>
          <w:p w14:paraId="66C78E13" w14:textId="77777777" w:rsidR="001E7BBE" w:rsidRDefault="001E7BBE" w:rsidP="001E7BBE">
            <w:pPr>
              <w:jc w:val="right"/>
              <w:rPr>
                <w:rFonts w:ascii="Calibri" w:hAnsi="Calibri"/>
                <w:color w:val="000000"/>
              </w:rPr>
            </w:pPr>
            <w:r>
              <w:rPr>
                <w:rFonts w:ascii="Calibri" w:hAnsi="Calibri"/>
                <w:color w:val="000000"/>
              </w:rPr>
              <w:t>$36,260,000.00</w:t>
            </w:r>
          </w:p>
        </w:tc>
        <w:tc>
          <w:tcPr>
            <w:tcW w:w="2804" w:type="dxa"/>
            <w:vAlign w:val="center"/>
          </w:tcPr>
          <w:p w14:paraId="66C78E14" w14:textId="77777777" w:rsidR="001E7BBE" w:rsidRPr="00480708" w:rsidRDefault="001E7BBE" w:rsidP="001E7BBE">
            <w:pPr>
              <w:pStyle w:val="NoSpacing"/>
              <w:jc w:val="right"/>
            </w:pPr>
            <w:r>
              <w:t>$37,730,000.00</w:t>
            </w:r>
          </w:p>
        </w:tc>
        <w:tc>
          <w:tcPr>
            <w:tcW w:w="2695" w:type="dxa"/>
            <w:vAlign w:val="center"/>
          </w:tcPr>
          <w:p w14:paraId="66C78E15" w14:textId="77777777" w:rsidR="001E7BBE" w:rsidRDefault="001E7BBE" w:rsidP="001E7BBE">
            <w:pPr>
              <w:jc w:val="right"/>
              <w:rPr>
                <w:rFonts w:ascii="Calibri" w:hAnsi="Calibri"/>
                <w:color w:val="000000"/>
              </w:rPr>
            </w:pPr>
            <w:r>
              <w:rPr>
                <w:rFonts w:ascii="Calibri" w:hAnsi="Calibri"/>
                <w:color w:val="000000"/>
              </w:rPr>
              <w:t>$1,470,000.00</w:t>
            </w:r>
          </w:p>
        </w:tc>
      </w:tr>
      <w:tr w:rsidR="00E0588D" w14:paraId="66C78E1C" w14:textId="77777777" w:rsidTr="00064FC8">
        <w:tc>
          <w:tcPr>
            <w:tcW w:w="417" w:type="dxa"/>
            <w:vAlign w:val="center"/>
          </w:tcPr>
          <w:p w14:paraId="66C78E17" w14:textId="77777777" w:rsidR="001E7BBE" w:rsidRPr="00480708" w:rsidRDefault="001E7BBE" w:rsidP="001E7BBE">
            <w:pPr>
              <w:jc w:val="center"/>
            </w:pPr>
            <w:r w:rsidRPr="00480708">
              <w:t>1</w:t>
            </w:r>
          </w:p>
        </w:tc>
        <w:tc>
          <w:tcPr>
            <w:tcW w:w="1539" w:type="dxa"/>
            <w:vAlign w:val="center"/>
          </w:tcPr>
          <w:p w14:paraId="66C78E18" w14:textId="77777777" w:rsidR="001E7BBE" w:rsidRPr="00480708" w:rsidRDefault="001E7BBE" w:rsidP="001E7BBE">
            <w:pPr>
              <w:pStyle w:val="NoSpacing"/>
            </w:pPr>
            <w:r w:rsidRPr="00480708">
              <w:t>For Maintaining an Original or Any Reissue Patent, Due at 11.5 Years (micro entity)</w:t>
            </w:r>
          </w:p>
        </w:tc>
        <w:tc>
          <w:tcPr>
            <w:tcW w:w="1895" w:type="dxa"/>
            <w:vAlign w:val="center"/>
          </w:tcPr>
          <w:p w14:paraId="66C78E19" w14:textId="77777777" w:rsidR="001E7BBE" w:rsidRDefault="001E7BBE" w:rsidP="001E7BBE">
            <w:pPr>
              <w:jc w:val="right"/>
              <w:rPr>
                <w:rFonts w:ascii="Calibri" w:hAnsi="Calibri"/>
                <w:color w:val="000000"/>
              </w:rPr>
            </w:pPr>
            <w:r>
              <w:rPr>
                <w:rFonts w:ascii="Calibri" w:hAnsi="Calibri"/>
                <w:color w:val="000000"/>
              </w:rPr>
              <w:t>$925,000.00</w:t>
            </w:r>
          </w:p>
        </w:tc>
        <w:tc>
          <w:tcPr>
            <w:tcW w:w="2804" w:type="dxa"/>
            <w:vAlign w:val="center"/>
          </w:tcPr>
          <w:p w14:paraId="66C78E1A" w14:textId="77777777" w:rsidR="001E7BBE" w:rsidRPr="00480708" w:rsidRDefault="001E7BBE" w:rsidP="001E7BBE">
            <w:pPr>
              <w:pStyle w:val="NoSpacing"/>
              <w:jc w:val="right"/>
            </w:pPr>
            <w:r>
              <w:t>$962,500.00</w:t>
            </w:r>
          </w:p>
        </w:tc>
        <w:tc>
          <w:tcPr>
            <w:tcW w:w="2695" w:type="dxa"/>
            <w:vAlign w:val="center"/>
          </w:tcPr>
          <w:p w14:paraId="66C78E1B" w14:textId="77777777" w:rsidR="001E7BBE" w:rsidRDefault="001E7BBE" w:rsidP="001E7BBE">
            <w:pPr>
              <w:jc w:val="right"/>
              <w:rPr>
                <w:rFonts w:ascii="Calibri" w:hAnsi="Calibri"/>
                <w:color w:val="000000"/>
              </w:rPr>
            </w:pPr>
            <w:r>
              <w:rPr>
                <w:rFonts w:ascii="Calibri" w:hAnsi="Calibri"/>
                <w:color w:val="000000"/>
              </w:rPr>
              <w:t>$37,500.00</w:t>
            </w:r>
          </w:p>
        </w:tc>
      </w:tr>
      <w:tr w:rsidR="00E0588D" w14:paraId="66C78E22" w14:textId="77777777" w:rsidTr="00064FC8">
        <w:tc>
          <w:tcPr>
            <w:tcW w:w="417" w:type="dxa"/>
            <w:vAlign w:val="center"/>
          </w:tcPr>
          <w:p w14:paraId="66C78E1D" w14:textId="77777777" w:rsidR="001E7BBE" w:rsidRPr="00480708" w:rsidRDefault="001E7BBE" w:rsidP="001E7BBE">
            <w:pPr>
              <w:jc w:val="center"/>
            </w:pPr>
            <w:r w:rsidRPr="00480708">
              <w:t>1</w:t>
            </w:r>
          </w:p>
        </w:tc>
        <w:tc>
          <w:tcPr>
            <w:tcW w:w="1539" w:type="dxa"/>
            <w:vAlign w:val="center"/>
          </w:tcPr>
          <w:p w14:paraId="66C78E1E" w14:textId="77777777" w:rsidR="001E7BBE" w:rsidRPr="00480708" w:rsidRDefault="001E7BBE" w:rsidP="001E7BBE">
            <w:pPr>
              <w:pStyle w:val="NoSpacing"/>
            </w:pPr>
            <w:r w:rsidRPr="00480708">
              <w:t>Surcharge – 3.5 year – Late Payment Within 6 Months (large entity)</w:t>
            </w:r>
          </w:p>
        </w:tc>
        <w:tc>
          <w:tcPr>
            <w:tcW w:w="1895" w:type="dxa"/>
            <w:vAlign w:val="center"/>
          </w:tcPr>
          <w:p w14:paraId="66C78E1F" w14:textId="77777777" w:rsidR="001E7BBE" w:rsidRDefault="001E7BBE" w:rsidP="001E7BBE">
            <w:pPr>
              <w:jc w:val="right"/>
              <w:rPr>
                <w:rFonts w:ascii="Calibri" w:hAnsi="Calibri"/>
                <w:color w:val="000000"/>
              </w:rPr>
            </w:pPr>
            <w:r>
              <w:rPr>
                <w:rFonts w:ascii="Calibri" w:hAnsi="Calibri"/>
                <w:color w:val="000000"/>
              </w:rPr>
              <w:t>$560,000.00</w:t>
            </w:r>
          </w:p>
        </w:tc>
        <w:tc>
          <w:tcPr>
            <w:tcW w:w="2804" w:type="dxa"/>
            <w:vAlign w:val="center"/>
          </w:tcPr>
          <w:p w14:paraId="66C78E20" w14:textId="154EA521" w:rsidR="001E7BBE" w:rsidRPr="00480708" w:rsidRDefault="001E7BBE" w:rsidP="001E7BBE">
            <w:pPr>
              <w:pStyle w:val="NoSpacing"/>
              <w:jc w:val="right"/>
            </w:pPr>
            <w:r>
              <w:t>$</w:t>
            </w:r>
            <w:r w:rsidR="00F42F8B" w:rsidRPr="00BA554D">
              <w:t>1,750,000</w:t>
            </w:r>
          </w:p>
        </w:tc>
        <w:tc>
          <w:tcPr>
            <w:tcW w:w="2695" w:type="dxa"/>
            <w:vAlign w:val="center"/>
          </w:tcPr>
          <w:p w14:paraId="66C78E21" w14:textId="05219E1C" w:rsidR="001E7BBE" w:rsidRDefault="001E7BBE" w:rsidP="00F42F8B">
            <w:pPr>
              <w:jc w:val="right"/>
              <w:rPr>
                <w:rFonts w:ascii="Calibri" w:hAnsi="Calibri"/>
                <w:color w:val="000000"/>
              </w:rPr>
            </w:pPr>
            <w:r>
              <w:rPr>
                <w:rFonts w:ascii="Calibri" w:hAnsi="Calibri"/>
                <w:color w:val="000000"/>
              </w:rPr>
              <w:t>$</w:t>
            </w:r>
            <w:r w:rsidR="00A642F5" w:rsidRPr="00A642F5">
              <w:rPr>
                <w:rFonts w:ascii="Calibri" w:hAnsi="Calibri"/>
                <w:color w:val="000000"/>
              </w:rPr>
              <w:t>1,190,000</w:t>
            </w:r>
          </w:p>
        </w:tc>
      </w:tr>
      <w:tr w:rsidR="00E0588D" w14:paraId="66C78E28" w14:textId="77777777" w:rsidTr="00064FC8">
        <w:tc>
          <w:tcPr>
            <w:tcW w:w="417" w:type="dxa"/>
            <w:vAlign w:val="center"/>
          </w:tcPr>
          <w:p w14:paraId="66C78E23" w14:textId="77777777" w:rsidR="001E7BBE" w:rsidRPr="00480708" w:rsidRDefault="001E7BBE" w:rsidP="001E7BBE">
            <w:pPr>
              <w:jc w:val="center"/>
            </w:pPr>
            <w:r w:rsidRPr="00480708">
              <w:t>1</w:t>
            </w:r>
          </w:p>
        </w:tc>
        <w:tc>
          <w:tcPr>
            <w:tcW w:w="1539" w:type="dxa"/>
            <w:vAlign w:val="center"/>
          </w:tcPr>
          <w:p w14:paraId="66C78E24" w14:textId="77777777" w:rsidR="001E7BBE" w:rsidRPr="00480708" w:rsidRDefault="001E7BBE" w:rsidP="001E7BBE">
            <w:pPr>
              <w:pStyle w:val="NoSpacing"/>
            </w:pPr>
            <w:r w:rsidRPr="00480708">
              <w:t>Surcharge – 3.5 year – Late Payment Within 6 Months (small entity)</w:t>
            </w:r>
          </w:p>
        </w:tc>
        <w:tc>
          <w:tcPr>
            <w:tcW w:w="1895" w:type="dxa"/>
            <w:vAlign w:val="center"/>
          </w:tcPr>
          <w:p w14:paraId="66C78E25" w14:textId="77777777" w:rsidR="001E7BBE" w:rsidRDefault="001E7BBE" w:rsidP="001E7BBE">
            <w:pPr>
              <w:jc w:val="right"/>
              <w:rPr>
                <w:rFonts w:ascii="Calibri" w:hAnsi="Calibri"/>
                <w:color w:val="000000"/>
              </w:rPr>
            </w:pPr>
            <w:r>
              <w:rPr>
                <w:rFonts w:ascii="Calibri" w:hAnsi="Calibri"/>
                <w:color w:val="000000"/>
              </w:rPr>
              <w:t>$496,000.00</w:t>
            </w:r>
          </w:p>
        </w:tc>
        <w:tc>
          <w:tcPr>
            <w:tcW w:w="2804" w:type="dxa"/>
            <w:vAlign w:val="center"/>
          </w:tcPr>
          <w:p w14:paraId="66C78E26" w14:textId="75BB57B5" w:rsidR="001E7BBE" w:rsidRPr="00480708" w:rsidRDefault="001E7BBE" w:rsidP="001E7BBE">
            <w:pPr>
              <w:pStyle w:val="NoSpacing"/>
              <w:jc w:val="right"/>
            </w:pPr>
            <w:r>
              <w:t>$</w:t>
            </w:r>
            <w:r w:rsidR="00F42F8B" w:rsidRPr="00BA554D">
              <w:t>1,550,000</w:t>
            </w:r>
          </w:p>
        </w:tc>
        <w:tc>
          <w:tcPr>
            <w:tcW w:w="2695" w:type="dxa"/>
            <w:vAlign w:val="center"/>
          </w:tcPr>
          <w:p w14:paraId="66C78E27" w14:textId="2F20BC28" w:rsidR="001E7BBE" w:rsidRDefault="001E7BBE" w:rsidP="001E7BBE">
            <w:pPr>
              <w:jc w:val="right"/>
              <w:rPr>
                <w:rFonts w:ascii="Calibri" w:hAnsi="Calibri"/>
                <w:color w:val="000000"/>
              </w:rPr>
            </w:pPr>
            <w:r>
              <w:rPr>
                <w:rFonts w:ascii="Calibri" w:hAnsi="Calibri"/>
                <w:color w:val="000000"/>
              </w:rPr>
              <w:t>$</w:t>
            </w:r>
            <w:r w:rsidR="00A642F5" w:rsidRPr="00A642F5">
              <w:rPr>
                <w:rFonts w:ascii="Calibri" w:hAnsi="Calibri"/>
                <w:color w:val="000000"/>
              </w:rPr>
              <w:t>1,054,000</w:t>
            </w:r>
          </w:p>
        </w:tc>
      </w:tr>
      <w:tr w:rsidR="00E0588D" w14:paraId="66C78E2E" w14:textId="77777777" w:rsidTr="00064FC8">
        <w:tc>
          <w:tcPr>
            <w:tcW w:w="417" w:type="dxa"/>
            <w:vAlign w:val="center"/>
          </w:tcPr>
          <w:p w14:paraId="66C78E29" w14:textId="77777777" w:rsidR="001E7BBE" w:rsidRPr="00480708" w:rsidRDefault="001E7BBE" w:rsidP="001E7BBE">
            <w:pPr>
              <w:jc w:val="center"/>
            </w:pPr>
            <w:r w:rsidRPr="00480708">
              <w:t>1</w:t>
            </w:r>
          </w:p>
        </w:tc>
        <w:tc>
          <w:tcPr>
            <w:tcW w:w="1539" w:type="dxa"/>
            <w:vAlign w:val="center"/>
          </w:tcPr>
          <w:p w14:paraId="66C78E2A" w14:textId="77777777" w:rsidR="001E7BBE" w:rsidRPr="00480708" w:rsidRDefault="001E7BBE" w:rsidP="001E7BBE">
            <w:pPr>
              <w:pStyle w:val="NoSpacing"/>
            </w:pPr>
            <w:r w:rsidRPr="00480708">
              <w:t>Surcharge – 3.5 year – Late Payment Within 6 Months (micro entity)</w:t>
            </w:r>
          </w:p>
        </w:tc>
        <w:tc>
          <w:tcPr>
            <w:tcW w:w="1895" w:type="dxa"/>
            <w:vAlign w:val="center"/>
          </w:tcPr>
          <w:p w14:paraId="66C78E2B" w14:textId="77777777" w:rsidR="001E7BBE" w:rsidRDefault="001E7BBE" w:rsidP="001E7BBE">
            <w:pPr>
              <w:jc w:val="right"/>
              <w:rPr>
                <w:rFonts w:ascii="Calibri" w:hAnsi="Calibri"/>
                <w:color w:val="000000"/>
              </w:rPr>
            </w:pPr>
            <w:r>
              <w:rPr>
                <w:rFonts w:ascii="Calibri" w:hAnsi="Calibri"/>
                <w:color w:val="000000"/>
              </w:rPr>
              <w:t>$28,000.00</w:t>
            </w:r>
          </w:p>
        </w:tc>
        <w:tc>
          <w:tcPr>
            <w:tcW w:w="2804" w:type="dxa"/>
            <w:vAlign w:val="center"/>
          </w:tcPr>
          <w:p w14:paraId="66C78E2C" w14:textId="15DF18AF" w:rsidR="001E7BBE" w:rsidRPr="00480708" w:rsidRDefault="001E7BBE" w:rsidP="001E7BBE">
            <w:pPr>
              <w:pStyle w:val="NoSpacing"/>
              <w:jc w:val="right"/>
            </w:pPr>
            <w:r>
              <w:t>$</w:t>
            </w:r>
            <w:r w:rsidR="00F42F8B" w:rsidRPr="00BA554D">
              <w:t>87,500</w:t>
            </w:r>
          </w:p>
        </w:tc>
        <w:tc>
          <w:tcPr>
            <w:tcW w:w="2695" w:type="dxa"/>
            <w:vAlign w:val="center"/>
          </w:tcPr>
          <w:p w14:paraId="66C78E2D" w14:textId="2AC2B65C" w:rsidR="001E7BBE" w:rsidRDefault="001E7BBE" w:rsidP="001E7BBE">
            <w:pPr>
              <w:jc w:val="right"/>
              <w:rPr>
                <w:rFonts w:ascii="Calibri" w:hAnsi="Calibri"/>
                <w:color w:val="000000"/>
              </w:rPr>
            </w:pPr>
            <w:r>
              <w:rPr>
                <w:rFonts w:ascii="Calibri" w:hAnsi="Calibri"/>
                <w:color w:val="000000"/>
              </w:rPr>
              <w:t>$</w:t>
            </w:r>
            <w:r w:rsidR="00A642F5" w:rsidRPr="00A642F5">
              <w:rPr>
                <w:rFonts w:ascii="Calibri" w:hAnsi="Calibri"/>
                <w:color w:val="000000"/>
              </w:rPr>
              <w:t>59,500</w:t>
            </w:r>
          </w:p>
        </w:tc>
      </w:tr>
      <w:tr w:rsidR="00E0588D" w14:paraId="66C78E34" w14:textId="77777777" w:rsidTr="00064FC8">
        <w:tc>
          <w:tcPr>
            <w:tcW w:w="417" w:type="dxa"/>
            <w:vAlign w:val="center"/>
          </w:tcPr>
          <w:p w14:paraId="66C78E2F" w14:textId="77777777" w:rsidR="001E7BBE" w:rsidRPr="00480708" w:rsidRDefault="001E7BBE" w:rsidP="001E7BBE">
            <w:pPr>
              <w:jc w:val="center"/>
            </w:pPr>
            <w:r w:rsidRPr="00480708">
              <w:t>1</w:t>
            </w:r>
          </w:p>
        </w:tc>
        <w:tc>
          <w:tcPr>
            <w:tcW w:w="1539" w:type="dxa"/>
            <w:vAlign w:val="center"/>
          </w:tcPr>
          <w:p w14:paraId="66C78E30" w14:textId="77777777" w:rsidR="001E7BBE" w:rsidRPr="00480708" w:rsidRDefault="001E7BBE" w:rsidP="001E7BBE">
            <w:pPr>
              <w:pStyle w:val="NoSpacing"/>
            </w:pPr>
            <w:r w:rsidRPr="00480708">
              <w:t>Surcharge –7.5 year – Late Payment Within 6 Months (large entity)</w:t>
            </w:r>
          </w:p>
        </w:tc>
        <w:tc>
          <w:tcPr>
            <w:tcW w:w="1895" w:type="dxa"/>
            <w:vAlign w:val="center"/>
          </w:tcPr>
          <w:p w14:paraId="66C78E31" w14:textId="77777777" w:rsidR="001E7BBE" w:rsidRDefault="001E7BBE" w:rsidP="001E7BBE">
            <w:pPr>
              <w:jc w:val="right"/>
              <w:rPr>
                <w:rFonts w:ascii="Calibri" w:hAnsi="Calibri"/>
                <w:color w:val="000000"/>
              </w:rPr>
            </w:pPr>
            <w:r>
              <w:rPr>
                <w:rFonts w:ascii="Calibri" w:hAnsi="Calibri"/>
                <w:color w:val="000000"/>
              </w:rPr>
              <w:t>$320,000.00</w:t>
            </w:r>
          </w:p>
        </w:tc>
        <w:tc>
          <w:tcPr>
            <w:tcW w:w="2804" w:type="dxa"/>
            <w:vAlign w:val="center"/>
          </w:tcPr>
          <w:p w14:paraId="66C78E32" w14:textId="0ADAB786" w:rsidR="001E7BBE" w:rsidRPr="00480708" w:rsidRDefault="001E7BBE" w:rsidP="001E7BBE">
            <w:pPr>
              <w:pStyle w:val="NoSpacing"/>
              <w:jc w:val="right"/>
            </w:pPr>
            <w:r>
              <w:t>$</w:t>
            </w:r>
            <w:r w:rsidR="00F42F8B" w:rsidRPr="00BA554D">
              <w:t>1,000,000</w:t>
            </w:r>
          </w:p>
        </w:tc>
        <w:tc>
          <w:tcPr>
            <w:tcW w:w="2695" w:type="dxa"/>
            <w:vAlign w:val="center"/>
          </w:tcPr>
          <w:p w14:paraId="66C78E33" w14:textId="03BF49D4" w:rsidR="001E7BBE" w:rsidRDefault="001E7BBE" w:rsidP="001E7BBE">
            <w:pPr>
              <w:jc w:val="right"/>
              <w:rPr>
                <w:rFonts w:ascii="Calibri" w:hAnsi="Calibri"/>
                <w:color w:val="000000"/>
              </w:rPr>
            </w:pPr>
            <w:r>
              <w:rPr>
                <w:rFonts w:ascii="Calibri" w:hAnsi="Calibri"/>
                <w:color w:val="000000"/>
              </w:rPr>
              <w:t>$</w:t>
            </w:r>
            <w:r w:rsidR="00A642F5" w:rsidRPr="00A642F5">
              <w:rPr>
                <w:rFonts w:ascii="Calibri" w:hAnsi="Calibri"/>
                <w:color w:val="000000"/>
              </w:rPr>
              <w:t>680,000</w:t>
            </w:r>
          </w:p>
        </w:tc>
      </w:tr>
      <w:tr w:rsidR="00E0588D" w14:paraId="66C78E3A" w14:textId="77777777" w:rsidTr="00064FC8">
        <w:tc>
          <w:tcPr>
            <w:tcW w:w="417" w:type="dxa"/>
            <w:vAlign w:val="center"/>
          </w:tcPr>
          <w:p w14:paraId="66C78E35" w14:textId="77777777" w:rsidR="001E7BBE" w:rsidRPr="00480708" w:rsidRDefault="001E7BBE" w:rsidP="001E7BBE">
            <w:pPr>
              <w:jc w:val="center"/>
            </w:pPr>
            <w:r w:rsidRPr="00480708">
              <w:t>1</w:t>
            </w:r>
          </w:p>
        </w:tc>
        <w:tc>
          <w:tcPr>
            <w:tcW w:w="1539" w:type="dxa"/>
            <w:vAlign w:val="center"/>
          </w:tcPr>
          <w:p w14:paraId="66C78E36" w14:textId="77777777" w:rsidR="001E7BBE" w:rsidRPr="00480708" w:rsidRDefault="001E7BBE" w:rsidP="001E7BBE">
            <w:pPr>
              <w:pStyle w:val="NoSpacing"/>
            </w:pPr>
            <w:r w:rsidRPr="00480708">
              <w:t>Surcharge –7.5 year – Late Payment Within 6 Months (small entity)</w:t>
            </w:r>
          </w:p>
        </w:tc>
        <w:tc>
          <w:tcPr>
            <w:tcW w:w="1895" w:type="dxa"/>
            <w:vAlign w:val="center"/>
          </w:tcPr>
          <w:p w14:paraId="66C78E37" w14:textId="77777777" w:rsidR="001E7BBE" w:rsidRDefault="001E7BBE" w:rsidP="001E7BBE">
            <w:pPr>
              <w:jc w:val="right"/>
              <w:rPr>
                <w:rFonts w:ascii="Calibri" w:hAnsi="Calibri"/>
                <w:color w:val="000000"/>
              </w:rPr>
            </w:pPr>
            <w:r>
              <w:rPr>
                <w:rFonts w:ascii="Calibri" w:hAnsi="Calibri"/>
                <w:color w:val="000000"/>
              </w:rPr>
              <w:t>$200,000.00</w:t>
            </w:r>
          </w:p>
        </w:tc>
        <w:tc>
          <w:tcPr>
            <w:tcW w:w="2804" w:type="dxa"/>
            <w:vAlign w:val="center"/>
          </w:tcPr>
          <w:p w14:paraId="66C78E38" w14:textId="5C7FFBB1" w:rsidR="001E7BBE" w:rsidRPr="00480708" w:rsidRDefault="001E7BBE" w:rsidP="001E7BBE">
            <w:pPr>
              <w:pStyle w:val="NoSpacing"/>
              <w:jc w:val="right"/>
            </w:pPr>
            <w:r>
              <w:t>$</w:t>
            </w:r>
            <w:r w:rsidR="00F42F8B" w:rsidRPr="00BA554D">
              <w:t>625,000</w:t>
            </w:r>
          </w:p>
        </w:tc>
        <w:tc>
          <w:tcPr>
            <w:tcW w:w="2695" w:type="dxa"/>
            <w:vAlign w:val="center"/>
          </w:tcPr>
          <w:p w14:paraId="66C78E39" w14:textId="34E79F8D" w:rsidR="001E7BBE" w:rsidRDefault="001E7BBE" w:rsidP="001E7BBE">
            <w:pPr>
              <w:jc w:val="right"/>
              <w:rPr>
                <w:rFonts w:ascii="Calibri" w:hAnsi="Calibri"/>
                <w:color w:val="000000"/>
              </w:rPr>
            </w:pPr>
            <w:r>
              <w:rPr>
                <w:rFonts w:ascii="Calibri" w:hAnsi="Calibri"/>
                <w:color w:val="000000"/>
              </w:rPr>
              <w:t>$</w:t>
            </w:r>
            <w:r w:rsidR="00A642F5" w:rsidRPr="00A642F5">
              <w:rPr>
                <w:rFonts w:ascii="Calibri" w:hAnsi="Calibri"/>
                <w:color w:val="000000"/>
              </w:rPr>
              <w:t>425,000</w:t>
            </w:r>
          </w:p>
        </w:tc>
      </w:tr>
      <w:tr w:rsidR="00E0588D" w14:paraId="66C78E40" w14:textId="77777777" w:rsidTr="00064FC8">
        <w:tc>
          <w:tcPr>
            <w:tcW w:w="417" w:type="dxa"/>
            <w:vAlign w:val="center"/>
          </w:tcPr>
          <w:p w14:paraId="66C78E3B" w14:textId="77777777" w:rsidR="001E7BBE" w:rsidRPr="00480708" w:rsidRDefault="001E7BBE" w:rsidP="001E7BBE">
            <w:pPr>
              <w:jc w:val="center"/>
            </w:pPr>
            <w:r w:rsidRPr="00480708">
              <w:t>1</w:t>
            </w:r>
          </w:p>
        </w:tc>
        <w:tc>
          <w:tcPr>
            <w:tcW w:w="1539" w:type="dxa"/>
            <w:vAlign w:val="center"/>
          </w:tcPr>
          <w:p w14:paraId="66C78E3C" w14:textId="77777777" w:rsidR="001E7BBE" w:rsidRPr="00480708" w:rsidRDefault="001E7BBE" w:rsidP="001E7BBE">
            <w:pPr>
              <w:pStyle w:val="NoSpacing"/>
            </w:pPr>
            <w:r w:rsidRPr="00480708">
              <w:t xml:space="preserve">Surcharge –7.5 year – Late Payment Within 6 Months (micro entity) </w:t>
            </w:r>
          </w:p>
        </w:tc>
        <w:tc>
          <w:tcPr>
            <w:tcW w:w="1895" w:type="dxa"/>
            <w:vAlign w:val="center"/>
          </w:tcPr>
          <w:p w14:paraId="66C78E3D" w14:textId="77777777" w:rsidR="001E7BBE" w:rsidRDefault="001E7BBE" w:rsidP="001E7BBE">
            <w:pPr>
              <w:jc w:val="right"/>
              <w:rPr>
                <w:rFonts w:ascii="Calibri" w:hAnsi="Calibri"/>
                <w:color w:val="000000"/>
              </w:rPr>
            </w:pPr>
            <w:r>
              <w:rPr>
                <w:rFonts w:ascii="Calibri" w:hAnsi="Calibri"/>
                <w:color w:val="000000"/>
              </w:rPr>
              <w:t>$12,000.00</w:t>
            </w:r>
          </w:p>
        </w:tc>
        <w:tc>
          <w:tcPr>
            <w:tcW w:w="2804" w:type="dxa"/>
            <w:vAlign w:val="center"/>
          </w:tcPr>
          <w:p w14:paraId="66C78E3E" w14:textId="34E0AD6E" w:rsidR="001E7BBE" w:rsidRPr="00480708" w:rsidRDefault="001E7BBE" w:rsidP="001E7BBE">
            <w:pPr>
              <w:pStyle w:val="NoSpacing"/>
              <w:jc w:val="right"/>
            </w:pPr>
            <w:r>
              <w:t>$</w:t>
            </w:r>
            <w:r w:rsidR="00F42F8B" w:rsidRPr="00BA554D">
              <w:t>37,500</w:t>
            </w:r>
          </w:p>
        </w:tc>
        <w:tc>
          <w:tcPr>
            <w:tcW w:w="2695" w:type="dxa"/>
            <w:vAlign w:val="center"/>
          </w:tcPr>
          <w:p w14:paraId="66C78E3F" w14:textId="2A6A1A32" w:rsidR="001E7BBE" w:rsidRDefault="001E7BBE" w:rsidP="001E7BBE">
            <w:pPr>
              <w:jc w:val="right"/>
              <w:rPr>
                <w:rFonts w:ascii="Calibri" w:hAnsi="Calibri"/>
                <w:color w:val="000000"/>
              </w:rPr>
            </w:pPr>
            <w:r>
              <w:rPr>
                <w:rFonts w:ascii="Calibri" w:hAnsi="Calibri"/>
                <w:color w:val="000000"/>
              </w:rPr>
              <w:t>$</w:t>
            </w:r>
            <w:r w:rsidR="00A642F5" w:rsidRPr="00A642F5">
              <w:rPr>
                <w:rFonts w:ascii="Calibri" w:hAnsi="Calibri"/>
                <w:color w:val="000000"/>
              </w:rPr>
              <w:t>25,500</w:t>
            </w:r>
          </w:p>
        </w:tc>
      </w:tr>
      <w:tr w:rsidR="00E0588D" w14:paraId="66C78E46" w14:textId="77777777" w:rsidTr="00064FC8">
        <w:tc>
          <w:tcPr>
            <w:tcW w:w="417" w:type="dxa"/>
            <w:vAlign w:val="center"/>
          </w:tcPr>
          <w:p w14:paraId="66C78E41" w14:textId="77777777" w:rsidR="001E7BBE" w:rsidRPr="00480708" w:rsidRDefault="001E7BBE" w:rsidP="001E7BBE">
            <w:pPr>
              <w:jc w:val="center"/>
            </w:pPr>
            <w:r w:rsidRPr="00480708">
              <w:t>1</w:t>
            </w:r>
          </w:p>
        </w:tc>
        <w:tc>
          <w:tcPr>
            <w:tcW w:w="1539" w:type="dxa"/>
            <w:vAlign w:val="center"/>
          </w:tcPr>
          <w:p w14:paraId="66C78E42" w14:textId="77777777" w:rsidR="001E7BBE" w:rsidRPr="00480708" w:rsidRDefault="001E7BBE" w:rsidP="001E7BBE">
            <w:pPr>
              <w:pStyle w:val="NoSpacing"/>
            </w:pPr>
            <w:r w:rsidRPr="00480708">
              <w:t>Surcharge – 11.5 year – Late Payment Within 6 Months (large entity)</w:t>
            </w:r>
          </w:p>
        </w:tc>
        <w:tc>
          <w:tcPr>
            <w:tcW w:w="1895" w:type="dxa"/>
            <w:vAlign w:val="center"/>
          </w:tcPr>
          <w:p w14:paraId="66C78E43" w14:textId="77777777" w:rsidR="001E7BBE" w:rsidRDefault="001E7BBE" w:rsidP="001E7BBE">
            <w:pPr>
              <w:jc w:val="right"/>
              <w:rPr>
                <w:rFonts w:ascii="Calibri" w:hAnsi="Calibri"/>
                <w:color w:val="000000"/>
              </w:rPr>
            </w:pPr>
            <w:r>
              <w:rPr>
                <w:rFonts w:ascii="Calibri" w:hAnsi="Calibri"/>
                <w:color w:val="000000"/>
              </w:rPr>
              <w:t>$352,000.00</w:t>
            </w:r>
          </w:p>
        </w:tc>
        <w:tc>
          <w:tcPr>
            <w:tcW w:w="2804" w:type="dxa"/>
            <w:vAlign w:val="center"/>
          </w:tcPr>
          <w:p w14:paraId="66C78E44" w14:textId="437BC3B6" w:rsidR="001E7BBE" w:rsidRPr="00480708" w:rsidRDefault="001E7BBE" w:rsidP="001E7BBE">
            <w:pPr>
              <w:pStyle w:val="NoSpacing"/>
              <w:jc w:val="right"/>
            </w:pPr>
            <w:r>
              <w:t>$</w:t>
            </w:r>
            <w:r w:rsidR="00F42F8B" w:rsidRPr="00333D94">
              <w:t>1,100,000</w:t>
            </w:r>
          </w:p>
        </w:tc>
        <w:tc>
          <w:tcPr>
            <w:tcW w:w="2695" w:type="dxa"/>
            <w:vAlign w:val="center"/>
          </w:tcPr>
          <w:p w14:paraId="66C78E45" w14:textId="7E0FE4E5" w:rsidR="001E7BBE" w:rsidRDefault="001E7BBE" w:rsidP="001E7BBE">
            <w:pPr>
              <w:jc w:val="right"/>
              <w:rPr>
                <w:rFonts w:ascii="Calibri" w:hAnsi="Calibri"/>
                <w:color w:val="000000"/>
              </w:rPr>
            </w:pPr>
            <w:r>
              <w:rPr>
                <w:rFonts w:ascii="Calibri" w:hAnsi="Calibri"/>
                <w:color w:val="000000"/>
              </w:rPr>
              <w:t>$</w:t>
            </w:r>
            <w:r w:rsidR="00A642F5" w:rsidRPr="00A642F5">
              <w:rPr>
                <w:rFonts w:ascii="Calibri" w:hAnsi="Calibri"/>
                <w:color w:val="000000"/>
              </w:rPr>
              <w:t>748,000</w:t>
            </w:r>
          </w:p>
        </w:tc>
      </w:tr>
      <w:tr w:rsidR="00E0588D" w14:paraId="66C78E4C" w14:textId="77777777" w:rsidTr="00064FC8">
        <w:tc>
          <w:tcPr>
            <w:tcW w:w="417" w:type="dxa"/>
            <w:vAlign w:val="center"/>
          </w:tcPr>
          <w:p w14:paraId="66C78E47" w14:textId="77777777" w:rsidR="001E7BBE" w:rsidRPr="00480708" w:rsidRDefault="001E7BBE" w:rsidP="001E7BBE">
            <w:pPr>
              <w:jc w:val="center"/>
            </w:pPr>
            <w:r w:rsidRPr="00480708">
              <w:t>1</w:t>
            </w:r>
          </w:p>
        </w:tc>
        <w:tc>
          <w:tcPr>
            <w:tcW w:w="1539" w:type="dxa"/>
            <w:vAlign w:val="center"/>
          </w:tcPr>
          <w:p w14:paraId="66C78E48" w14:textId="77777777" w:rsidR="001E7BBE" w:rsidRPr="00480708" w:rsidRDefault="001E7BBE" w:rsidP="001E7BBE">
            <w:pPr>
              <w:pStyle w:val="NoSpacing"/>
            </w:pPr>
            <w:r w:rsidRPr="00480708">
              <w:t>Surcharge – 11.5 year – Late Payment Within 6 Months (small entity)</w:t>
            </w:r>
          </w:p>
        </w:tc>
        <w:tc>
          <w:tcPr>
            <w:tcW w:w="1895" w:type="dxa"/>
            <w:vAlign w:val="center"/>
          </w:tcPr>
          <w:p w14:paraId="66C78E49" w14:textId="77777777" w:rsidR="001E7BBE" w:rsidRDefault="001E7BBE" w:rsidP="001E7BBE">
            <w:pPr>
              <w:jc w:val="right"/>
              <w:rPr>
                <w:rFonts w:ascii="Calibri" w:hAnsi="Calibri"/>
                <w:color w:val="000000"/>
              </w:rPr>
            </w:pPr>
            <w:r>
              <w:rPr>
                <w:rFonts w:ascii="Calibri" w:hAnsi="Calibri"/>
                <w:color w:val="000000"/>
              </w:rPr>
              <w:t>$136,000.00</w:t>
            </w:r>
          </w:p>
        </w:tc>
        <w:tc>
          <w:tcPr>
            <w:tcW w:w="2804" w:type="dxa"/>
            <w:vAlign w:val="center"/>
          </w:tcPr>
          <w:p w14:paraId="66C78E4A" w14:textId="42CD25D8" w:rsidR="001E7BBE" w:rsidRPr="00480708" w:rsidRDefault="001E7BBE" w:rsidP="001E7BBE">
            <w:pPr>
              <w:pStyle w:val="NoSpacing"/>
              <w:jc w:val="right"/>
            </w:pPr>
            <w:r>
              <w:t>$</w:t>
            </w:r>
            <w:r w:rsidR="00F42F8B" w:rsidRPr="00333D94">
              <w:t>425,000</w:t>
            </w:r>
          </w:p>
        </w:tc>
        <w:tc>
          <w:tcPr>
            <w:tcW w:w="2695" w:type="dxa"/>
            <w:vAlign w:val="center"/>
          </w:tcPr>
          <w:p w14:paraId="66C78E4B" w14:textId="5331A4A9" w:rsidR="001E7BBE" w:rsidRDefault="001E7BBE" w:rsidP="001E7BBE">
            <w:pPr>
              <w:jc w:val="right"/>
              <w:rPr>
                <w:rFonts w:ascii="Calibri" w:hAnsi="Calibri"/>
                <w:color w:val="000000"/>
              </w:rPr>
            </w:pPr>
            <w:r>
              <w:rPr>
                <w:rFonts w:ascii="Calibri" w:hAnsi="Calibri"/>
                <w:color w:val="000000"/>
              </w:rPr>
              <w:t>$</w:t>
            </w:r>
            <w:r w:rsidR="00A642F5" w:rsidRPr="00A642F5">
              <w:rPr>
                <w:rFonts w:ascii="Calibri" w:hAnsi="Calibri"/>
                <w:color w:val="000000"/>
              </w:rPr>
              <w:t>289,000</w:t>
            </w:r>
          </w:p>
        </w:tc>
      </w:tr>
      <w:tr w:rsidR="00E0588D" w14:paraId="66C78E52" w14:textId="77777777" w:rsidTr="00064FC8">
        <w:tc>
          <w:tcPr>
            <w:tcW w:w="417" w:type="dxa"/>
            <w:vAlign w:val="center"/>
          </w:tcPr>
          <w:p w14:paraId="66C78E4D" w14:textId="77777777" w:rsidR="001E7BBE" w:rsidRPr="00480708" w:rsidRDefault="001E7BBE" w:rsidP="001E7BBE">
            <w:pPr>
              <w:jc w:val="center"/>
            </w:pPr>
            <w:r w:rsidRPr="00480708">
              <w:t>1</w:t>
            </w:r>
          </w:p>
        </w:tc>
        <w:tc>
          <w:tcPr>
            <w:tcW w:w="1539" w:type="dxa"/>
            <w:vAlign w:val="center"/>
          </w:tcPr>
          <w:p w14:paraId="66C78E4E" w14:textId="77777777" w:rsidR="001E7BBE" w:rsidRPr="00480708" w:rsidRDefault="001E7BBE" w:rsidP="001E7BBE">
            <w:pPr>
              <w:pStyle w:val="NoSpacing"/>
            </w:pPr>
            <w:r w:rsidRPr="00480708">
              <w:t>Surcharge – 11.5 year – Late Payment Within 6 Months (micro entity)</w:t>
            </w:r>
          </w:p>
        </w:tc>
        <w:tc>
          <w:tcPr>
            <w:tcW w:w="1895" w:type="dxa"/>
            <w:vAlign w:val="center"/>
          </w:tcPr>
          <w:p w14:paraId="66C78E4F" w14:textId="77777777" w:rsidR="001E7BBE" w:rsidRDefault="001E7BBE" w:rsidP="001E7BBE">
            <w:pPr>
              <w:jc w:val="right"/>
              <w:rPr>
                <w:rFonts w:ascii="Calibri" w:hAnsi="Calibri"/>
                <w:color w:val="000000"/>
              </w:rPr>
            </w:pPr>
            <w:r>
              <w:rPr>
                <w:rFonts w:ascii="Calibri" w:hAnsi="Calibri"/>
                <w:color w:val="000000"/>
              </w:rPr>
              <w:t>$8,000.00</w:t>
            </w:r>
          </w:p>
        </w:tc>
        <w:tc>
          <w:tcPr>
            <w:tcW w:w="2804" w:type="dxa"/>
            <w:vAlign w:val="center"/>
          </w:tcPr>
          <w:p w14:paraId="66C78E50" w14:textId="3286D564" w:rsidR="001E7BBE" w:rsidRPr="00480708" w:rsidRDefault="001E7BBE" w:rsidP="001E7BBE">
            <w:pPr>
              <w:pStyle w:val="NoSpacing"/>
              <w:jc w:val="right"/>
            </w:pPr>
            <w:r>
              <w:t>$</w:t>
            </w:r>
            <w:r w:rsidR="00F42F8B" w:rsidRPr="00333D94">
              <w:t>25,000</w:t>
            </w:r>
          </w:p>
        </w:tc>
        <w:tc>
          <w:tcPr>
            <w:tcW w:w="2695" w:type="dxa"/>
            <w:vAlign w:val="center"/>
          </w:tcPr>
          <w:p w14:paraId="66C78E51" w14:textId="79B529AD" w:rsidR="001E7BBE" w:rsidRDefault="001E7BBE" w:rsidP="001E7BBE">
            <w:pPr>
              <w:jc w:val="right"/>
              <w:rPr>
                <w:rFonts w:ascii="Calibri" w:hAnsi="Calibri"/>
                <w:color w:val="000000"/>
              </w:rPr>
            </w:pPr>
            <w:r>
              <w:rPr>
                <w:rFonts w:ascii="Calibri" w:hAnsi="Calibri"/>
                <w:color w:val="000000"/>
              </w:rPr>
              <w:t>$</w:t>
            </w:r>
            <w:r w:rsidR="00A642F5" w:rsidRPr="00A642F5">
              <w:rPr>
                <w:rFonts w:ascii="Calibri" w:hAnsi="Calibri"/>
                <w:color w:val="000000"/>
              </w:rPr>
              <w:t>17,000</w:t>
            </w:r>
          </w:p>
        </w:tc>
      </w:tr>
      <w:tr w:rsidR="00E0588D" w14:paraId="66C78E58" w14:textId="77777777" w:rsidTr="00064FC8">
        <w:tc>
          <w:tcPr>
            <w:tcW w:w="417" w:type="dxa"/>
            <w:vAlign w:val="center"/>
          </w:tcPr>
          <w:p w14:paraId="66C78E53" w14:textId="77777777" w:rsidR="001E7BBE" w:rsidRPr="00480708" w:rsidRDefault="001E7BBE" w:rsidP="001E7BBE">
            <w:pPr>
              <w:pStyle w:val="NoSpacing"/>
              <w:jc w:val="center"/>
            </w:pPr>
            <w:r w:rsidRPr="00480708">
              <w:t>3</w:t>
            </w:r>
          </w:p>
        </w:tc>
        <w:tc>
          <w:tcPr>
            <w:tcW w:w="1539" w:type="dxa"/>
            <w:vAlign w:val="center"/>
          </w:tcPr>
          <w:p w14:paraId="66C78E54" w14:textId="77777777" w:rsidR="001E7BBE" w:rsidRPr="00480708" w:rsidRDefault="001E7BBE" w:rsidP="001E7BBE">
            <w:pPr>
              <w:pStyle w:val="NoSpacing"/>
            </w:pPr>
            <w:r w:rsidRPr="00480708">
              <w:t>Petition for the Delayed Payment of the Fee for Maintaining a Patent in Force (large entity)</w:t>
            </w:r>
          </w:p>
        </w:tc>
        <w:tc>
          <w:tcPr>
            <w:tcW w:w="1895" w:type="dxa"/>
            <w:vAlign w:val="center"/>
          </w:tcPr>
          <w:p w14:paraId="66C78E55" w14:textId="66CE8EFB" w:rsidR="001E7BBE" w:rsidRDefault="001E7BBE" w:rsidP="001E7BBE">
            <w:pPr>
              <w:jc w:val="right"/>
              <w:rPr>
                <w:rFonts w:ascii="Calibri" w:hAnsi="Calibri"/>
                <w:color w:val="000000"/>
              </w:rPr>
            </w:pPr>
            <w:r>
              <w:rPr>
                <w:rFonts w:ascii="Calibri" w:hAnsi="Calibri"/>
                <w:color w:val="000000"/>
              </w:rPr>
              <w:t>$1,000,000.00</w:t>
            </w:r>
          </w:p>
        </w:tc>
        <w:tc>
          <w:tcPr>
            <w:tcW w:w="2804" w:type="dxa"/>
            <w:vAlign w:val="center"/>
          </w:tcPr>
          <w:p w14:paraId="66C78E56" w14:textId="78E9D8F9" w:rsidR="001E7BBE" w:rsidRPr="00480708" w:rsidRDefault="001E7BBE" w:rsidP="00E0588D">
            <w:pPr>
              <w:pStyle w:val="NoSpacing"/>
              <w:jc w:val="right"/>
            </w:pPr>
            <w:r>
              <w:t>$</w:t>
            </w:r>
            <w:r w:rsidR="00E0588D">
              <w:t>1,050,000.000</w:t>
            </w:r>
          </w:p>
        </w:tc>
        <w:tc>
          <w:tcPr>
            <w:tcW w:w="2695" w:type="dxa"/>
            <w:vAlign w:val="center"/>
          </w:tcPr>
          <w:p w14:paraId="66C78E57" w14:textId="30208FFD" w:rsidR="001E7BBE" w:rsidRDefault="001E7BBE" w:rsidP="00E0588D">
            <w:pPr>
              <w:jc w:val="right"/>
              <w:rPr>
                <w:rFonts w:ascii="Calibri" w:hAnsi="Calibri"/>
                <w:color w:val="000000"/>
              </w:rPr>
            </w:pPr>
            <w:r>
              <w:rPr>
                <w:rFonts w:ascii="Calibri" w:hAnsi="Calibri"/>
                <w:color w:val="000000"/>
              </w:rPr>
              <w:t>$</w:t>
            </w:r>
            <w:r w:rsidR="00E0588D">
              <w:rPr>
                <w:rFonts w:ascii="Calibri" w:hAnsi="Calibri"/>
                <w:color w:val="000000"/>
              </w:rPr>
              <w:t>50,000.000</w:t>
            </w:r>
          </w:p>
        </w:tc>
      </w:tr>
      <w:tr w:rsidR="00E0588D" w14:paraId="66C78E5E" w14:textId="77777777" w:rsidTr="00064FC8">
        <w:tc>
          <w:tcPr>
            <w:tcW w:w="417" w:type="dxa"/>
            <w:vAlign w:val="center"/>
          </w:tcPr>
          <w:p w14:paraId="66C78E59" w14:textId="77777777" w:rsidR="001E7BBE" w:rsidRPr="00480708" w:rsidRDefault="001E7BBE" w:rsidP="001E7BBE">
            <w:pPr>
              <w:pStyle w:val="NoSpacing"/>
              <w:jc w:val="center"/>
            </w:pPr>
            <w:r w:rsidRPr="00480708">
              <w:t>3</w:t>
            </w:r>
          </w:p>
        </w:tc>
        <w:tc>
          <w:tcPr>
            <w:tcW w:w="1539" w:type="dxa"/>
            <w:vAlign w:val="center"/>
          </w:tcPr>
          <w:p w14:paraId="66C78E5A" w14:textId="77777777" w:rsidR="001E7BBE" w:rsidRPr="00480708" w:rsidRDefault="001E7BBE" w:rsidP="001E7BBE">
            <w:pPr>
              <w:pStyle w:val="NoSpacing"/>
            </w:pPr>
            <w:r w:rsidRPr="00480708">
              <w:t>Petition for the Delayed Payment of the Fee for Maintaining a Patent in Force (small entity)</w:t>
            </w:r>
          </w:p>
        </w:tc>
        <w:tc>
          <w:tcPr>
            <w:tcW w:w="1895" w:type="dxa"/>
            <w:vAlign w:val="center"/>
          </w:tcPr>
          <w:p w14:paraId="66C78E5B" w14:textId="77777777" w:rsidR="001E7BBE" w:rsidRDefault="001E7BBE" w:rsidP="001E7BBE">
            <w:pPr>
              <w:jc w:val="right"/>
              <w:rPr>
                <w:rFonts w:ascii="Calibri" w:hAnsi="Calibri"/>
                <w:color w:val="000000"/>
              </w:rPr>
            </w:pPr>
            <w:r>
              <w:rPr>
                <w:rFonts w:ascii="Calibri" w:hAnsi="Calibri"/>
                <w:color w:val="000000"/>
              </w:rPr>
              <w:t>$1,200,000.00</w:t>
            </w:r>
          </w:p>
        </w:tc>
        <w:tc>
          <w:tcPr>
            <w:tcW w:w="2804" w:type="dxa"/>
            <w:vAlign w:val="center"/>
          </w:tcPr>
          <w:p w14:paraId="66C78E5C" w14:textId="77777777" w:rsidR="001E7BBE" w:rsidRPr="00480708" w:rsidRDefault="001E7BBE" w:rsidP="001E7BBE">
            <w:pPr>
              <w:pStyle w:val="NoSpacing"/>
              <w:jc w:val="right"/>
            </w:pPr>
            <w:r>
              <w:t>$1,260,000.00</w:t>
            </w:r>
          </w:p>
        </w:tc>
        <w:tc>
          <w:tcPr>
            <w:tcW w:w="2695" w:type="dxa"/>
            <w:vAlign w:val="center"/>
          </w:tcPr>
          <w:p w14:paraId="66C78E5D" w14:textId="77777777" w:rsidR="001E7BBE" w:rsidRDefault="001E7BBE" w:rsidP="001E7BBE">
            <w:pPr>
              <w:jc w:val="right"/>
              <w:rPr>
                <w:rFonts w:ascii="Calibri" w:hAnsi="Calibri"/>
                <w:color w:val="000000"/>
              </w:rPr>
            </w:pPr>
            <w:r>
              <w:rPr>
                <w:rFonts w:ascii="Calibri" w:hAnsi="Calibri"/>
                <w:color w:val="000000"/>
              </w:rPr>
              <w:t>$60,000.00</w:t>
            </w:r>
          </w:p>
        </w:tc>
      </w:tr>
      <w:tr w:rsidR="00E0588D" w14:paraId="66C78E64" w14:textId="77777777" w:rsidTr="00064FC8">
        <w:tc>
          <w:tcPr>
            <w:tcW w:w="417" w:type="dxa"/>
            <w:vAlign w:val="center"/>
          </w:tcPr>
          <w:p w14:paraId="66C78E5F" w14:textId="77777777" w:rsidR="001E7BBE" w:rsidRPr="00480708" w:rsidRDefault="001E7BBE" w:rsidP="001E7BBE">
            <w:pPr>
              <w:pStyle w:val="NoSpacing"/>
              <w:jc w:val="center"/>
            </w:pPr>
            <w:r w:rsidRPr="00480708">
              <w:t>3</w:t>
            </w:r>
          </w:p>
        </w:tc>
        <w:tc>
          <w:tcPr>
            <w:tcW w:w="1539" w:type="dxa"/>
            <w:vAlign w:val="center"/>
          </w:tcPr>
          <w:p w14:paraId="66C78E60" w14:textId="77777777" w:rsidR="001E7BBE" w:rsidRPr="00480708" w:rsidRDefault="001E7BBE" w:rsidP="001E7BBE">
            <w:pPr>
              <w:pStyle w:val="NoSpacing"/>
            </w:pPr>
            <w:r w:rsidRPr="00480708">
              <w:t>Petition for the Delayed Payment of the Fee for Maintaining a Patent in Force (micro entity)</w:t>
            </w:r>
          </w:p>
        </w:tc>
        <w:tc>
          <w:tcPr>
            <w:tcW w:w="1895" w:type="dxa"/>
            <w:vAlign w:val="center"/>
          </w:tcPr>
          <w:p w14:paraId="66C78E61" w14:textId="77777777" w:rsidR="001E7BBE" w:rsidRDefault="001E7BBE" w:rsidP="001E7BBE">
            <w:pPr>
              <w:jc w:val="right"/>
              <w:rPr>
                <w:rFonts w:ascii="Calibri" w:hAnsi="Calibri"/>
                <w:color w:val="000000"/>
              </w:rPr>
            </w:pPr>
            <w:r>
              <w:rPr>
                <w:rFonts w:ascii="Calibri" w:hAnsi="Calibri"/>
                <w:color w:val="000000"/>
              </w:rPr>
              <w:t>$50,000.00</w:t>
            </w:r>
          </w:p>
        </w:tc>
        <w:tc>
          <w:tcPr>
            <w:tcW w:w="2804" w:type="dxa"/>
            <w:vAlign w:val="center"/>
          </w:tcPr>
          <w:p w14:paraId="66C78E62" w14:textId="77777777" w:rsidR="001E7BBE" w:rsidRPr="00480708" w:rsidRDefault="001E7BBE" w:rsidP="001E7BBE">
            <w:pPr>
              <w:pStyle w:val="NoSpacing"/>
              <w:jc w:val="right"/>
            </w:pPr>
            <w:r>
              <w:t>$52,500.00</w:t>
            </w:r>
          </w:p>
        </w:tc>
        <w:tc>
          <w:tcPr>
            <w:tcW w:w="2695" w:type="dxa"/>
            <w:vAlign w:val="center"/>
          </w:tcPr>
          <w:p w14:paraId="66C78E63" w14:textId="77777777" w:rsidR="001E7BBE" w:rsidRDefault="001E7BBE" w:rsidP="001E7BBE">
            <w:pPr>
              <w:jc w:val="right"/>
              <w:rPr>
                <w:rFonts w:ascii="Calibri" w:hAnsi="Calibri"/>
                <w:color w:val="000000"/>
              </w:rPr>
            </w:pPr>
            <w:r>
              <w:rPr>
                <w:rFonts w:ascii="Calibri" w:hAnsi="Calibri"/>
                <w:color w:val="000000"/>
              </w:rPr>
              <w:t>$2,500.00</w:t>
            </w:r>
          </w:p>
        </w:tc>
      </w:tr>
      <w:tr w:rsidR="00E0588D" w14:paraId="66C78E6A" w14:textId="77777777" w:rsidTr="00064FC8">
        <w:tc>
          <w:tcPr>
            <w:tcW w:w="417" w:type="dxa"/>
            <w:vAlign w:val="center"/>
          </w:tcPr>
          <w:p w14:paraId="66C78E65" w14:textId="77777777" w:rsidR="00DE0D57" w:rsidRPr="00DE0D57" w:rsidRDefault="00DE0D57" w:rsidP="00DE0D57">
            <w:pPr>
              <w:pStyle w:val="NoSpacing"/>
              <w:jc w:val="center"/>
              <w:rPr>
                <w:b/>
              </w:rPr>
            </w:pPr>
          </w:p>
        </w:tc>
        <w:tc>
          <w:tcPr>
            <w:tcW w:w="1539" w:type="dxa"/>
            <w:vAlign w:val="center"/>
          </w:tcPr>
          <w:p w14:paraId="66C78E66" w14:textId="77777777" w:rsidR="00DE0D57" w:rsidRPr="00DE0D57" w:rsidRDefault="00DE0D57" w:rsidP="00DE0D57">
            <w:pPr>
              <w:pStyle w:val="NoSpacing"/>
              <w:rPr>
                <w:b/>
              </w:rPr>
            </w:pPr>
            <w:r>
              <w:rPr>
                <w:b/>
              </w:rPr>
              <w:t>Totals</w:t>
            </w:r>
          </w:p>
        </w:tc>
        <w:tc>
          <w:tcPr>
            <w:tcW w:w="1895" w:type="dxa"/>
            <w:vAlign w:val="center"/>
          </w:tcPr>
          <w:p w14:paraId="66C78E67" w14:textId="08549417" w:rsidR="00DE0D57" w:rsidRPr="00DE0D57" w:rsidRDefault="001E7BBE" w:rsidP="00B90495">
            <w:pPr>
              <w:pStyle w:val="NoSpacing"/>
              <w:jc w:val="right"/>
              <w:rPr>
                <w:b/>
              </w:rPr>
            </w:pPr>
            <w:r>
              <w:rPr>
                <w:b/>
              </w:rPr>
              <w:t>$1,209,457,000.00</w:t>
            </w:r>
          </w:p>
        </w:tc>
        <w:tc>
          <w:tcPr>
            <w:tcW w:w="2804" w:type="dxa"/>
            <w:vAlign w:val="center"/>
          </w:tcPr>
          <w:p w14:paraId="66C78E68" w14:textId="00CE1A27" w:rsidR="00DE0D57" w:rsidRPr="00480708" w:rsidRDefault="00DE0D57" w:rsidP="00E0588D">
            <w:pPr>
              <w:pStyle w:val="NoSpacing"/>
              <w:jc w:val="right"/>
              <w:rPr>
                <w:b/>
              </w:rPr>
            </w:pPr>
            <w:r>
              <w:rPr>
                <w:b/>
              </w:rPr>
              <w:t>$</w:t>
            </w:r>
            <w:r w:rsidR="00064FC8">
              <w:rPr>
                <w:b/>
              </w:rPr>
              <w:t>1,334,707,000</w:t>
            </w:r>
          </w:p>
        </w:tc>
        <w:tc>
          <w:tcPr>
            <w:tcW w:w="2695" w:type="dxa"/>
            <w:vAlign w:val="center"/>
          </w:tcPr>
          <w:p w14:paraId="66C78E69" w14:textId="7DCDFE51" w:rsidR="00DE0D57" w:rsidRPr="00DE0D57" w:rsidRDefault="001E7BBE" w:rsidP="00064FC8">
            <w:pPr>
              <w:pStyle w:val="NoSpacing"/>
              <w:jc w:val="right"/>
              <w:rPr>
                <w:b/>
              </w:rPr>
            </w:pPr>
            <w:r>
              <w:rPr>
                <w:b/>
              </w:rPr>
              <w:t>$</w:t>
            </w:r>
            <w:r w:rsidR="00064FC8">
              <w:rPr>
                <w:b/>
              </w:rPr>
              <w:t>125,250,000.000</w:t>
            </w:r>
          </w:p>
        </w:tc>
      </w:tr>
    </w:tbl>
    <w:p w14:paraId="66C78E6B" w14:textId="77777777" w:rsidR="00DE0D57" w:rsidRDefault="00DE0D57" w:rsidP="005F7F25">
      <w:pPr>
        <w:pStyle w:val="NoSpacing"/>
      </w:pPr>
    </w:p>
    <w:p w14:paraId="66C78E6C" w14:textId="77777777" w:rsidR="001E7BBE" w:rsidRDefault="001E7BBE" w:rsidP="005F7F25">
      <w:pPr>
        <w:pStyle w:val="NoSpacing"/>
      </w:pPr>
      <w:r>
        <w:rPr>
          <w:u w:val="single"/>
        </w:rPr>
        <w:t>Summary of Changes</w:t>
      </w:r>
    </w:p>
    <w:p w14:paraId="66C78E6D" w14:textId="77777777" w:rsidR="001E7BBE" w:rsidRDefault="001E7BBE" w:rsidP="005F7F25">
      <w:pPr>
        <w:pStyle w:val="NoSpacing"/>
      </w:pPr>
    </w:p>
    <w:p w14:paraId="66C78E6E" w14:textId="72D5C7B7" w:rsidR="001E7BBE" w:rsidRDefault="001E7BBE" w:rsidP="005F7F25">
      <w:pPr>
        <w:pStyle w:val="NoSpacing"/>
      </w:pPr>
      <w:r>
        <w:t xml:space="preserve">The Patent Fee Review results in seven fees being updated and an increase of </w:t>
      </w:r>
      <w:r w:rsidR="00064FC8">
        <w:t xml:space="preserve">$125,250,000.00 </w:t>
      </w:r>
      <w:r>
        <w:t>in non-hourly costs to collection 0651-0016.</w:t>
      </w:r>
    </w:p>
    <w:p w14:paraId="66C78E6F" w14:textId="77777777" w:rsidR="001E7BBE" w:rsidRDefault="001E7BBE" w:rsidP="005F7F25">
      <w:pPr>
        <w:pStyle w:val="NoSpacing"/>
      </w:pPr>
    </w:p>
    <w:p w14:paraId="66C78E70" w14:textId="77777777" w:rsidR="001E7BBE" w:rsidRDefault="00D70043" w:rsidP="005F7F25">
      <w:pPr>
        <w:pStyle w:val="NoSpacing"/>
      </w:pPr>
      <w:r>
        <w:rPr>
          <w:u w:val="single"/>
        </w:rPr>
        <w:t>Changes in Burden</w:t>
      </w:r>
    </w:p>
    <w:p w14:paraId="66C78E71" w14:textId="77777777" w:rsidR="001E7BBE" w:rsidRDefault="001E7BBE" w:rsidP="005F7F25">
      <w:pPr>
        <w:pStyle w:val="NoSpacing"/>
      </w:pPr>
    </w:p>
    <w:tbl>
      <w:tblPr>
        <w:tblStyle w:val="TableGrid"/>
        <w:tblW w:w="0" w:type="auto"/>
        <w:tblLook w:val="04A0" w:firstRow="1" w:lastRow="0" w:firstColumn="1" w:lastColumn="0" w:noHBand="0" w:noVBand="1"/>
      </w:tblPr>
      <w:tblGrid>
        <w:gridCol w:w="2337"/>
        <w:gridCol w:w="2337"/>
        <w:gridCol w:w="2338"/>
        <w:gridCol w:w="2338"/>
      </w:tblGrid>
      <w:tr w:rsidR="00F31A6B" w14:paraId="66C78E76" w14:textId="77777777" w:rsidTr="00F31A6B">
        <w:tc>
          <w:tcPr>
            <w:tcW w:w="2337" w:type="dxa"/>
            <w:vAlign w:val="center"/>
          </w:tcPr>
          <w:p w14:paraId="66C78E72" w14:textId="77777777" w:rsidR="00F31A6B" w:rsidRPr="00F31A6B" w:rsidRDefault="00F31A6B" w:rsidP="00F31A6B">
            <w:pPr>
              <w:pStyle w:val="NoSpacing"/>
              <w:jc w:val="center"/>
              <w:rPr>
                <w:b/>
              </w:rPr>
            </w:pPr>
            <w:r>
              <w:rPr>
                <w:b/>
              </w:rPr>
              <w:t>Burden Type</w:t>
            </w:r>
          </w:p>
        </w:tc>
        <w:tc>
          <w:tcPr>
            <w:tcW w:w="2337" w:type="dxa"/>
            <w:vAlign w:val="center"/>
          </w:tcPr>
          <w:p w14:paraId="66C78E73" w14:textId="77777777" w:rsidR="00F31A6B" w:rsidRPr="00F31A6B" w:rsidRDefault="00F31A6B" w:rsidP="00F31A6B">
            <w:pPr>
              <w:pStyle w:val="NoSpacing"/>
              <w:jc w:val="center"/>
              <w:rPr>
                <w:b/>
              </w:rPr>
            </w:pPr>
            <w:r>
              <w:rPr>
                <w:b/>
              </w:rPr>
              <w:t>Current Amount</w:t>
            </w:r>
          </w:p>
        </w:tc>
        <w:tc>
          <w:tcPr>
            <w:tcW w:w="2338" w:type="dxa"/>
            <w:vAlign w:val="center"/>
          </w:tcPr>
          <w:p w14:paraId="66C78E74" w14:textId="364C51EF" w:rsidR="00F31A6B" w:rsidRPr="00F31A6B" w:rsidRDefault="000140C9" w:rsidP="00F31A6B">
            <w:pPr>
              <w:pStyle w:val="NoSpacing"/>
              <w:jc w:val="center"/>
              <w:rPr>
                <w:b/>
              </w:rPr>
            </w:pPr>
            <w:r>
              <w:rPr>
                <w:b/>
              </w:rPr>
              <w:t>Proposed Change</w:t>
            </w:r>
          </w:p>
        </w:tc>
        <w:tc>
          <w:tcPr>
            <w:tcW w:w="2338" w:type="dxa"/>
            <w:vAlign w:val="center"/>
          </w:tcPr>
          <w:p w14:paraId="66C78E75" w14:textId="1B2AE491" w:rsidR="00F31A6B" w:rsidRPr="00F31A6B" w:rsidRDefault="000140C9" w:rsidP="00F31A6B">
            <w:pPr>
              <w:pStyle w:val="NoSpacing"/>
              <w:jc w:val="center"/>
              <w:rPr>
                <w:b/>
              </w:rPr>
            </w:pPr>
            <w:r>
              <w:rPr>
                <w:b/>
              </w:rPr>
              <w:t>New Estimate</w:t>
            </w:r>
          </w:p>
        </w:tc>
      </w:tr>
      <w:tr w:rsidR="00F31A6B" w14:paraId="66C78E7B" w14:textId="77777777" w:rsidTr="00F31A6B">
        <w:tc>
          <w:tcPr>
            <w:tcW w:w="2337" w:type="dxa"/>
            <w:vAlign w:val="center"/>
          </w:tcPr>
          <w:p w14:paraId="66C78E77" w14:textId="77777777" w:rsidR="00F31A6B" w:rsidRDefault="00F31A6B" w:rsidP="00F31A6B">
            <w:pPr>
              <w:pStyle w:val="NoSpacing"/>
            </w:pPr>
            <w:r>
              <w:t>Non-Hourly Costs</w:t>
            </w:r>
          </w:p>
        </w:tc>
        <w:tc>
          <w:tcPr>
            <w:tcW w:w="2337" w:type="dxa"/>
            <w:vAlign w:val="center"/>
          </w:tcPr>
          <w:p w14:paraId="66C78E78" w14:textId="0D2F15F0" w:rsidR="00F31A6B" w:rsidRDefault="00F31A6B" w:rsidP="00555576">
            <w:pPr>
              <w:pStyle w:val="NoSpacing"/>
              <w:jc w:val="right"/>
            </w:pPr>
            <w:r>
              <w:t>$</w:t>
            </w:r>
            <w:r w:rsidR="000140C9">
              <w:t>1,209,457,</w:t>
            </w:r>
            <w:r w:rsidR="00555576">
              <w:t>960</w:t>
            </w:r>
          </w:p>
        </w:tc>
        <w:tc>
          <w:tcPr>
            <w:tcW w:w="2338" w:type="dxa"/>
            <w:vAlign w:val="center"/>
          </w:tcPr>
          <w:p w14:paraId="66C78E79" w14:textId="26B90347" w:rsidR="00F31A6B" w:rsidRDefault="000140C9" w:rsidP="00064FC8">
            <w:pPr>
              <w:pStyle w:val="NoSpacing"/>
              <w:jc w:val="right"/>
            </w:pPr>
            <w:r>
              <w:t>$</w:t>
            </w:r>
            <w:r w:rsidR="00064FC8">
              <w:t>125,250,000.00</w:t>
            </w:r>
          </w:p>
        </w:tc>
        <w:tc>
          <w:tcPr>
            <w:tcW w:w="2338" w:type="dxa"/>
            <w:vAlign w:val="center"/>
          </w:tcPr>
          <w:p w14:paraId="66C78E7A" w14:textId="1597E719" w:rsidR="00F31A6B" w:rsidRDefault="00F31A6B" w:rsidP="000140C9">
            <w:pPr>
              <w:pStyle w:val="NoSpacing"/>
              <w:jc w:val="right"/>
            </w:pPr>
            <w:r>
              <w:t>$</w:t>
            </w:r>
            <w:r w:rsidR="00555576">
              <w:t>1,334,707,957</w:t>
            </w:r>
          </w:p>
        </w:tc>
      </w:tr>
    </w:tbl>
    <w:p w14:paraId="66C78E7C" w14:textId="77777777" w:rsidR="001E7BBE" w:rsidRDefault="001E7BBE" w:rsidP="005F7F25">
      <w:pPr>
        <w:pStyle w:val="NoSpacing"/>
      </w:pPr>
    </w:p>
    <w:p w14:paraId="66C78E7D" w14:textId="77777777" w:rsidR="00D70043" w:rsidRDefault="00D70043" w:rsidP="00D70043">
      <w:pPr>
        <w:pStyle w:val="NoSpacing"/>
      </w:pPr>
      <w:r>
        <w:t>0651-0016’s revised total burden is as follows:</w:t>
      </w:r>
    </w:p>
    <w:p w14:paraId="66C78E7E" w14:textId="77777777" w:rsidR="00D70043" w:rsidRDefault="00D70043" w:rsidP="00D70043">
      <w:pPr>
        <w:pStyle w:val="NoSpacing"/>
      </w:pPr>
    </w:p>
    <w:p w14:paraId="66C78E7F" w14:textId="27FA51F1" w:rsidR="00D70043" w:rsidRPr="001E7BBE" w:rsidRDefault="00D70043" w:rsidP="00064FC8">
      <w:pPr>
        <w:pStyle w:val="NoSpacing"/>
        <w:numPr>
          <w:ilvl w:val="0"/>
          <w:numId w:val="2"/>
        </w:numPr>
      </w:pPr>
      <w:r>
        <w:t>$</w:t>
      </w:r>
      <w:r w:rsidR="00064FC8" w:rsidRPr="00064FC8">
        <w:t>1,334,707,959.5</w:t>
      </w:r>
      <w:r>
        <w:t>in annual (non-hourly) costs</w:t>
      </w:r>
    </w:p>
    <w:sectPr w:rsidR="00D70043" w:rsidRPr="001E7B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0021D"/>
    <w:multiLevelType w:val="hybridMultilevel"/>
    <w:tmpl w:val="74764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4649B5"/>
    <w:multiLevelType w:val="hybridMultilevel"/>
    <w:tmpl w:val="B5EA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F25"/>
    <w:rsid w:val="000140C9"/>
    <w:rsid w:val="00064FC8"/>
    <w:rsid w:val="000A57D1"/>
    <w:rsid w:val="00136744"/>
    <w:rsid w:val="001E7BBE"/>
    <w:rsid w:val="00333D94"/>
    <w:rsid w:val="00416D90"/>
    <w:rsid w:val="00480708"/>
    <w:rsid w:val="00486B15"/>
    <w:rsid w:val="00501E71"/>
    <w:rsid w:val="00555576"/>
    <w:rsid w:val="005F7F25"/>
    <w:rsid w:val="006B43B4"/>
    <w:rsid w:val="006D6FFE"/>
    <w:rsid w:val="00855B0D"/>
    <w:rsid w:val="00A642F5"/>
    <w:rsid w:val="00AD0D86"/>
    <w:rsid w:val="00B46486"/>
    <w:rsid w:val="00B90495"/>
    <w:rsid w:val="00BA554D"/>
    <w:rsid w:val="00D70043"/>
    <w:rsid w:val="00DE0D57"/>
    <w:rsid w:val="00E0588D"/>
    <w:rsid w:val="00E2061E"/>
    <w:rsid w:val="00F3027F"/>
    <w:rsid w:val="00F31A6B"/>
    <w:rsid w:val="00F42F8B"/>
    <w:rsid w:val="00F77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8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7F25"/>
    <w:pPr>
      <w:spacing w:after="0" w:line="240" w:lineRule="auto"/>
    </w:pPr>
  </w:style>
  <w:style w:type="table" w:styleId="TableGrid">
    <w:name w:val="Table Grid"/>
    <w:basedOn w:val="TableNormal"/>
    <w:uiPriority w:val="39"/>
    <w:rsid w:val="005F7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B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B0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7F25"/>
    <w:pPr>
      <w:spacing w:after="0" w:line="240" w:lineRule="auto"/>
    </w:pPr>
  </w:style>
  <w:style w:type="table" w:styleId="TableGrid">
    <w:name w:val="Table Grid"/>
    <w:basedOn w:val="TableNormal"/>
    <w:uiPriority w:val="39"/>
    <w:rsid w:val="005F7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B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B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417769">
      <w:bodyDiv w:val="1"/>
      <w:marLeft w:val="0"/>
      <w:marRight w:val="0"/>
      <w:marTop w:val="0"/>
      <w:marBottom w:val="0"/>
      <w:divBdr>
        <w:top w:val="none" w:sz="0" w:space="0" w:color="auto"/>
        <w:left w:val="none" w:sz="0" w:space="0" w:color="auto"/>
        <w:bottom w:val="none" w:sz="0" w:space="0" w:color="auto"/>
        <w:right w:val="none" w:sz="0" w:space="0" w:color="auto"/>
      </w:divBdr>
    </w:div>
    <w:div w:id="1018199647">
      <w:bodyDiv w:val="1"/>
      <w:marLeft w:val="0"/>
      <w:marRight w:val="0"/>
      <w:marTop w:val="0"/>
      <w:marBottom w:val="0"/>
      <w:divBdr>
        <w:top w:val="none" w:sz="0" w:space="0" w:color="auto"/>
        <w:left w:val="none" w:sz="0" w:space="0" w:color="auto"/>
        <w:bottom w:val="none" w:sz="0" w:space="0" w:color="auto"/>
        <w:right w:val="none" w:sz="0" w:space="0" w:color="auto"/>
      </w:divBdr>
    </w:div>
    <w:div w:id="210876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2019</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A449F-5EBC-4BAB-BA85-115F1DD1C6AD}">
  <ds:schemaRefs>
    <ds:schemaRef ds:uri="http://schemas.microsoft.com/sharepoint/v3/contenttype/forms"/>
  </ds:schemaRefs>
</ds:datastoreItem>
</file>

<file path=customXml/itemProps2.xml><?xml version="1.0" encoding="utf-8"?>
<ds:datastoreItem xmlns:ds="http://schemas.openxmlformats.org/officeDocument/2006/customXml" ds:itemID="{6E912BB7-0E44-4CA6-A8F1-132F04E3E68B}">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3.xml><?xml version="1.0" encoding="utf-8"?>
<ds:datastoreItem xmlns:ds="http://schemas.openxmlformats.org/officeDocument/2006/customXml" ds:itemID="{78B2BF3A-6595-4CFF-A57C-E52C237F2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8A4D56-72FA-4F13-AD10-53C891337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1261</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8433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Sarah (AMBIT)</dc:creator>
  <cp:keywords/>
  <dc:description/>
  <cp:lastModifiedBy>SYSTEM</cp:lastModifiedBy>
  <cp:revision>2</cp:revision>
  <dcterms:created xsi:type="dcterms:W3CDTF">2019-09-06T21:23:00Z</dcterms:created>
  <dcterms:modified xsi:type="dcterms:W3CDTF">2019-09-06T21:23:00Z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