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945A6" w14:textId="77777777" w:rsidR="00FB1032" w:rsidRDefault="00FB1032" w:rsidP="00FB1032">
      <w:bookmarkStart w:id="0" w:name="_GoBack"/>
      <w:bookmarkEnd w:id="0"/>
    </w:p>
    <w:p w14:paraId="63C1FD47" w14:textId="25D87F89" w:rsidR="009C0B6F" w:rsidRDefault="009C0B6F" w:rsidP="00A5534B">
      <w:pPr>
        <w:jc w:val="center"/>
      </w:pPr>
      <w:r>
        <w:t>United States Food and Drug Administration</w:t>
      </w:r>
    </w:p>
    <w:p w14:paraId="241E6E20" w14:textId="77777777" w:rsidR="009C0B6F" w:rsidRDefault="009C0B6F" w:rsidP="00A5534B">
      <w:pPr>
        <w:jc w:val="center"/>
      </w:pPr>
    </w:p>
    <w:p w14:paraId="3E739997" w14:textId="77777777" w:rsidR="00A5534B" w:rsidRDefault="00A5534B" w:rsidP="00A5534B">
      <w:pPr>
        <w:jc w:val="center"/>
      </w:pPr>
      <w:r>
        <w:t>Generic Clearance for Quick Turnaround Testing of Communication Effectiveness</w:t>
      </w:r>
    </w:p>
    <w:p w14:paraId="73D81922" w14:textId="77777777" w:rsidR="00A5534B" w:rsidRDefault="00A5534B" w:rsidP="00A5534B">
      <w:pPr>
        <w:jc w:val="center"/>
      </w:pPr>
    </w:p>
    <w:p w14:paraId="4449210A" w14:textId="77777777" w:rsidR="00A5534B" w:rsidRDefault="00A5534B" w:rsidP="00A5534B">
      <w:pPr>
        <w:jc w:val="center"/>
      </w:pPr>
      <w:r>
        <w:t>OMB Control No. 0910-NEW</w:t>
      </w:r>
    </w:p>
    <w:p w14:paraId="448567DB" w14:textId="77777777" w:rsidR="00A5534B" w:rsidRDefault="00A5534B" w:rsidP="00A5534B">
      <w:pPr>
        <w:jc w:val="center"/>
      </w:pPr>
    </w:p>
    <w:p w14:paraId="473A2301" w14:textId="6FA67393" w:rsidR="00810FF1" w:rsidRPr="00A5534B" w:rsidRDefault="00A5534B" w:rsidP="00A5534B">
      <w:pPr>
        <w:rPr>
          <w:b/>
        </w:rPr>
      </w:pPr>
      <w:r>
        <w:t>SUPPORTING STATEMENT</w:t>
      </w:r>
      <w:r w:rsidR="009C0B6F">
        <w:t xml:space="preserve">  </w:t>
      </w:r>
      <w:r w:rsidRPr="00A5534B">
        <w:rPr>
          <w:b/>
        </w:rPr>
        <w:t>Part A: Justification</w:t>
      </w:r>
    </w:p>
    <w:p w14:paraId="4244527E"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521D7F9E" w14:textId="77777777" w:rsidR="00A5534B" w:rsidRDefault="00A5534B" w:rsidP="00A5534B">
      <w:pPr>
        <w:ind w:left="720"/>
      </w:pPr>
      <w:r>
        <w:t>S</w:t>
      </w:r>
      <w:r w:rsidRPr="00986B61">
        <w:t>ection 505 of the Federal Food, Drug, and Cosmetic Act (</w:t>
      </w:r>
      <w:r>
        <w:t>FD&amp;C Act</w:t>
      </w:r>
      <w:r w:rsidRPr="008F3462">
        <w:t>, or the act</w:t>
      </w:r>
      <w:r w:rsidRPr="00986B61">
        <w:t xml:space="preserve">) (21 U.S.C. 355) provides that FDA may take appropriate action to protect the public health when necessary. </w:t>
      </w:r>
      <w:r>
        <w:t xml:space="preserve"> </w:t>
      </w:r>
      <w:r w:rsidRPr="00986B61">
        <w:t xml:space="preserve">Further, </w:t>
      </w:r>
      <w:r>
        <w:t xml:space="preserve">the FD&amp;C Act </w:t>
      </w:r>
      <w:r w:rsidRPr="00986B61">
        <w:t xml:space="preserve">also authorizes FDA to conduct educational and public information programs (21 U.S.C. Section 393(d)(2)(D)). </w:t>
      </w:r>
      <w:r>
        <w:t xml:space="preserve"> Moreover, Section 1003</w:t>
      </w:r>
      <w:r w:rsidRPr="0068512D">
        <w:t>(d)</w:t>
      </w:r>
      <w:r>
        <w:t xml:space="preserve"> </w:t>
      </w:r>
      <w:r w:rsidRPr="0068512D">
        <w:t xml:space="preserve">(2) of the </w:t>
      </w:r>
      <w:r>
        <w:t>FD&amp;C</w:t>
      </w:r>
      <w:r w:rsidRPr="0068512D">
        <w:t xml:space="preserve"> Act (21 U.S.C. 393(d)(2))</w:t>
      </w:r>
      <w:r>
        <w:t xml:space="preserve"> authorizes the FDA to conduct food research and educational and public information programs relating to the safety of the nation’s food supply. </w:t>
      </w:r>
    </w:p>
    <w:p w14:paraId="50B5B40D" w14:textId="77777777" w:rsidR="00A5534B" w:rsidRDefault="00A5534B" w:rsidP="00A5534B">
      <w:pPr>
        <w:ind w:left="720"/>
      </w:pPr>
    </w:p>
    <w:p w14:paraId="65C946E3" w14:textId="77777777" w:rsidR="00A5534B" w:rsidRDefault="00A5534B" w:rsidP="00A5534B">
      <w:pPr>
        <w:ind w:left="720"/>
      </w:pPr>
      <w:r w:rsidRPr="008833FE">
        <w:t xml:space="preserve">The Food and Drug Administration (FDA) </w:t>
      </w:r>
      <w:r>
        <w:t>sometimes</w:t>
      </w:r>
      <w:r w:rsidRPr="008833FE">
        <w:t xml:space="preserve"> needs to communicate with U</w:t>
      </w:r>
      <w:r w:rsidR="009C0B6F">
        <w:t>.</w:t>
      </w:r>
      <w:r w:rsidRPr="008833FE">
        <w:t>S</w:t>
      </w:r>
      <w:r w:rsidR="009C0B6F">
        <w:t>.</w:t>
      </w:r>
      <w:r w:rsidRPr="008833FE">
        <w:t xml:space="preserve"> consumers </w:t>
      </w:r>
      <w:r>
        <w:t xml:space="preserve">and other stakeholders </w:t>
      </w:r>
      <w:r w:rsidRPr="008833FE">
        <w:t xml:space="preserve">about issues of immediate and important public health significance such as when there is a foodborne illness outbreak, food recall, or other situation requiring </w:t>
      </w:r>
      <w:r>
        <w:t xml:space="preserve">expedited </w:t>
      </w:r>
      <w:r w:rsidRPr="008833FE">
        <w:t>FDA food,</w:t>
      </w:r>
      <w:r>
        <w:t xml:space="preserve"> dietary supplement, cosmetics, or animal food or feed </w:t>
      </w:r>
      <w:r w:rsidRPr="008833FE">
        <w:t>communications.</w:t>
      </w:r>
      <w:r>
        <w:t xml:space="preserve"> </w:t>
      </w:r>
      <w:r w:rsidRPr="008833FE">
        <w:t xml:space="preserve"> So that FDA may better protect the public health, the agency needs quick turn-around information collected from consumers </w:t>
      </w:r>
      <w:r>
        <w:t xml:space="preserve">and other stakeholders </w:t>
      </w:r>
      <w:r w:rsidRPr="008833FE">
        <w:t xml:space="preserve">to help ensure its messaging has </w:t>
      </w:r>
      <w:r>
        <w:t xml:space="preserve">reached the target audience, has </w:t>
      </w:r>
      <w:r w:rsidRPr="008833FE">
        <w:t xml:space="preserve">been </w:t>
      </w:r>
      <w:r>
        <w:t xml:space="preserve">understood </w:t>
      </w:r>
      <w:r w:rsidRPr="008833FE">
        <w:t>and, if needed, to update its communications during these events.</w:t>
      </w:r>
    </w:p>
    <w:p w14:paraId="75B16F71" w14:textId="77777777" w:rsidR="00A5534B" w:rsidRDefault="00A5534B" w:rsidP="00A5534B">
      <w:pPr>
        <w:ind w:left="720"/>
      </w:pPr>
    </w:p>
    <w:p w14:paraId="330D415B" w14:textId="77777777" w:rsidR="00A5534B" w:rsidRPr="00986B61" w:rsidRDefault="00A5534B" w:rsidP="00A5534B">
      <w:pPr>
        <w:ind w:left="720"/>
      </w:pPr>
      <w:r>
        <w:t>FDA</w:t>
      </w:r>
      <w:r w:rsidRPr="00986B61">
        <w:t xml:space="preserve"> is requesti</w:t>
      </w:r>
      <w:r>
        <w:t xml:space="preserve">ng approval of this new generic, quick-turnaround clearance </w:t>
      </w:r>
      <w:r w:rsidRPr="00986B61">
        <w:t>for collecting</w:t>
      </w:r>
      <w:r>
        <w:t xml:space="preserve"> quantitative</w:t>
      </w:r>
      <w:r w:rsidRPr="00986B61">
        <w:t xml:space="preserve"> </w:t>
      </w:r>
      <w:r>
        <w:t xml:space="preserve">and qualitative </w:t>
      </w:r>
      <w:r w:rsidRPr="00986B61">
        <w:t xml:space="preserve">information (i.e., </w:t>
      </w:r>
      <w:r>
        <w:t>surveys, focus groups, and in-depth interviews)</w:t>
      </w:r>
      <w:r w:rsidRPr="00986B61">
        <w:t xml:space="preserve"> </w:t>
      </w:r>
      <w:r>
        <w:t xml:space="preserve">to test communications or educational messages when there is an urgent public health need.  </w:t>
      </w:r>
      <w:r w:rsidRPr="005E5681">
        <w:t xml:space="preserve">FDA </w:t>
      </w:r>
      <w:r>
        <w:t>uses</w:t>
      </w:r>
      <w:r w:rsidRPr="005E5681">
        <w:t xml:space="preserve"> a variety of media messages and materials t</w:t>
      </w:r>
      <w:r>
        <w:t xml:space="preserve">o inform and educate the public.  </w:t>
      </w:r>
      <w:r w:rsidRPr="005E5681">
        <w:t xml:space="preserve">Communicating effectively about </w:t>
      </w:r>
      <w:r>
        <w:t>these topics</w:t>
      </w:r>
      <w:r w:rsidRPr="005E5681">
        <w:t xml:space="preserve"> </w:t>
      </w:r>
      <w:r>
        <w:t xml:space="preserve">oftentimes </w:t>
      </w:r>
      <w:r w:rsidRPr="005E5681">
        <w:t>involves conveying complex concepts.</w:t>
      </w:r>
      <w:r>
        <w:t xml:space="preserve"> </w:t>
      </w:r>
      <w:r w:rsidRPr="005E5681">
        <w:t xml:space="preserve"> </w:t>
      </w:r>
      <w:r>
        <w:t>It is imperative for FDA to ensure that messaging is received and understood by the target audience.</w:t>
      </w:r>
    </w:p>
    <w:p w14:paraId="1E910AEA" w14:textId="77777777" w:rsidR="00A5534B" w:rsidRPr="0082223D" w:rsidRDefault="00A5534B" w:rsidP="00A5534B">
      <w:pPr>
        <w:numPr>
          <w:ilvl w:val="12"/>
          <w:numId w:val="0"/>
        </w:numPr>
        <w:ind w:left="720"/>
        <w:rPr>
          <w:highlight w:val="yellow"/>
        </w:rPr>
      </w:pPr>
    </w:p>
    <w:p w14:paraId="3D5C7818" w14:textId="77777777" w:rsidR="00A5534B" w:rsidRPr="00326C6F" w:rsidRDefault="00A5534B" w:rsidP="00A5534B">
      <w:pPr>
        <w:numPr>
          <w:ilvl w:val="12"/>
          <w:numId w:val="0"/>
        </w:numPr>
        <w:ind w:left="720"/>
      </w:pPr>
      <w:r w:rsidRPr="00326C6F">
        <w:t>FDA will submit individual collections under this generic</w:t>
      </w:r>
      <w:r>
        <w:t>, quick-turnaround</w:t>
      </w:r>
      <w:r w:rsidRPr="00326C6F">
        <w:t xml:space="preserve"> clearance to OMB.  </w:t>
      </w:r>
      <w:r>
        <w:t>I</w:t>
      </w:r>
      <w:r w:rsidRPr="00326C6F">
        <w:t xml:space="preserve">ndividual collections will </w:t>
      </w:r>
      <w:r>
        <w:t>have been cleared</w:t>
      </w:r>
      <w:r w:rsidRPr="00326C6F">
        <w:t xml:space="preserve"> by senior leadership in the Center for </w:t>
      </w:r>
      <w:r>
        <w:t>Food Safety and Applied Nutrition</w:t>
      </w:r>
      <w:r w:rsidRPr="00326C6F">
        <w:t xml:space="preserve">, </w:t>
      </w:r>
      <w:r>
        <w:t xml:space="preserve">FDA </w:t>
      </w:r>
      <w:r w:rsidRPr="00326C6F">
        <w:t xml:space="preserve">Paperwork Reduction Act </w:t>
      </w:r>
      <w:r>
        <w:t>(PRA) s</w:t>
      </w:r>
      <w:r w:rsidRPr="00326C6F">
        <w:t>pecialists</w:t>
      </w:r>
      <w:r>
        <w:t>, and an Institutional Review Board</w:t>
      </w:r>
      <w:r w:rsidRPr="00326C6F">
        <w:t>.  FDA will prepare a report during the OMB collection renewal summarizing the number of hours used, as well as the nature and results of the activities completed under this clearance.</w:t>
      </w:r>
    </w:p>
    <w:p w14:paraId="1F77F654" w14:textId="1BCA94ED" w:rsidR="00670BE2" w:rsidRDefault="00670BE2" w:rsidP="00A5534B">
      <w:pPr>
        <w:ind w:left="720"/>
      </w:pPr>
    </w:p>
    <w:p w14:paraId="45BFFCB3" w14:textId="714E2622" w:rsidR="00EB3908" w:rsidRDefault="00EB3908" w:rsidP="00A5534B">
      <w:pPr>
        <w:ind w:left="720"/>
      </w:pPr>
    </w:p>
    <w:p w14:paraId="5E19CEA6" w14:textId="77777777" w:rsidR="00EB3908" w:rsidRPr="00415E23" w:rsidRDefault="00EB3908" w:rsidP="00A5534B">
      <w:pPr>
        <w:ind w:left="720"/>
      </w:pPr>
    </w:p>
    <w:p w14:paraId="084DBBAD" w14:textId="296B2942" w:rsidR="008B30AB" w:rsidRPr="002746DB" w:rsidRDefault="00EB7538" w:rsidP="008B30AB">
      <w:pPr>
        <w:numPr>
          <w:ilvl w:val="0"/>
          <w:numId w:val="1"/>
        </w:numPr>
        <w:spacing w:before="100" w:beforeAutospacing="1" w:after="100" w:afterAutospacing="1"/>
        <w:rPr>
          <w:u w:val="single"/>
        </w:rPr>
      </w:pPr>
      <w:r w:rsidRPr="002746DB">
        <w:rPr>
          <w:u w:val="single"/>
        </w:rPr>
        <w:lastRenderedPageBreak/>
        <w:t xml:space="preserve">Purpose and Use of the Information Collection </w:t>
      </w:r>
    </w:p>
    <w:p w14:paraId="292591A6" w14:textId="77777777" w:rsidR="00A5534B" w:rsidRPr="00A5534B" w:rsidRDefault="00A5534B" w:rsidP="00A5534B">
      <w:pPr>
        <w:ind w:left="720"/>
        <w:rPr>
          <w:lang w:bidi="he-IL"/>
        </w:rPr>
      </w:pPr>
      <w:r w:rsidRPr="00A5534B">
        <w:rPr>
          <w:lang w:bidi="he-IL"/>
        </w:rPr>
        <w:t>FDA plans to use the data collected under this generic clearance to test consumer or other stakeholder reaction to communications, advisories, and other educational messages under development or review when there are urgent public health matters requiring the dissemination of FDA communications. The tests will allow FDA to better understand consumers’ responses, including behavior, knowledge, beliefs, perceptions and attitudes to topics and concepts included in the communications. The data will not be directly used for the purposes of making regulatory or other policy decisions.</w:t>
      </w:r>
    </w:p>
    <w:p w14:paraId="215150D1" w14:textId="77777777" w:rsidR="00A5534B" w:rsidRPr="00A5534B" w:rsidRDefault="00A5534B" w:rsidP="00A5534B">
      <w:pPr>
        <w:numPr>
          <w:ilvl w:val="12"/>
          <w:numId w:val="0"/>
        </w:numPr>
        <w:autoSpaceDE w:val="0"/>
        <w:autoSpaceDN w:val="0"/>
        <w:adjustRightInd w:val="0"/>
        <w:ind w:left="720"/>
        <w:rPr>
          <w:lang w:bidi="he-IL"/>
        </w:rPr>
      </w:pPr>
    </w:p>
    <w:p w14:paraId="47962EA7" w14:textId="77777777" w:rsidR="00A5534B" w:rsidRPr="00A5534B" w:rsidRDefault="00A5534B" w:rsidP="00A5534B">
      <w:pPr>
        <w:numPr>
          <w:ilvl w:val="12"/>
          <w:numId w:val="0"/>
        </w:numPr>
        <w:autoSpaceDE w:val="0"/>
        <w:autoSpaceDN w:val="0"/>
        <w:adjustRightInd w:val="0"/>
        <w:ind w:left="720"/>
        <w:rPr>
          <w:lang w:bidi="he-IL"/>
        </w:rPr>
      </w:pPr>
      <w:r w:rsidRPr="00A5534B">
        <w:rPr>
          <w:lang w:bidi="he-IL"/>
        </w:rPr>
        <w:t xml:space="preserve">FDA will only submit a collection for approval under this generic clearance if it meets the following conditions:   </w:t>
      </w:r>
    </w:p>
    <w:p w14:paraId="67889681" w14:textId="77777777" w:rsidR="00A5534B" w:rsidRPr="00A5534B" w:rsidRDefault="00A5534B" w:rsidP="00A5534B">
      <w:pPr>
        <w:numPr>
          <w:ilvl w:val="0"/>
          <w:numId w:val="42"/>
        </w:numPr>
        <w:autoSpaceDE w:val="0"/>
        <w:autoSpaceDN w:val="0"/>
        <w:adjustRightInd w:val="0"/>
        <w:spacing w:before="100" w:beforeAutospacing="1" w:after="100" w:afterAutospacing="1" w:line="276" w:lineRule="auto"/>
        <w:ind w:left="1440"/>
        <w:contextualSpacing/>
        <w:rPr>
          <w:lang w:bidi="he-IL"/>
        </w:rPr>
      </w:pPr>
      <w:r w:rsidRPr="00A5534B">
        <w:rPr>
          <w:lang w:bidi="he-IL"/>
        </w:rPr>
        <w:t>The collections are voluntary;</w:t>
      </w:r>
    </w:p>
    <w:p w14:paraId="7E02CAE5" w14:textId="77777777" w:rsidR="00A5534B" w:rsidRPr="00A5534B" w:rsidRDefault="00A5534B" w:rsidP="00A5534B">
      <w:pPr>
        <w:numPr>
          <w:ilvl w:val="0"/>
          <w:numId w:val="42"/>
        </w:numPr>
        <w:autoSpaceDE w:val="0"/>
        <w:autoSpaceDN w:val="0"/>
        <w:adjustRightInd w:val="0"/>
        <w:spacing w:before="100" w:beforeAutospacing="1" w:after="100" w:afterAutospacing="1" w:line="276" w:lineRule="auto"/>
        <w:ind w:left="1440"/>
        <w:contextualSpacing/>
        <w:rPr>
          <w:lang w:bidi="he-IL"/>
        </w:rPr>
      </w:pPr>
      <w:r w:rsidRPr="00A5534B">
        <w:rPr>
          <w:lang w:bidi="he-IL"/>
        </w:rPr>
        <w:t>The collections are low burden for participants (based on considerations of total burden hours, total number of participants, or burden hours per respondent) and are low cost for both the participants and the Federal Government;</w:t>
      </w:r>
    </w:p>
    <w:p w14:paraId="4C2EB2F2" w14:textId="77777777" w:rsidR="00A5534B" w:rsidRPr="00A5534B" w:rsidRDefault="00A5534B" w:rsidP="00A5534B">
      <w:pPr>
        <w:numPr>
          <w:ilvl w:val="0"/>
          <w:numId w:val="42"/>
        </w:numPr>
        <w:autoSpaceDE w:val="0"/>
        <w:autoSpaceDN w:val="0"/>
        <w:adjustRightInd w:val="0"/>
        <w:spacing w:before="100" w:beforeAutospacing="1" w:after="100" w:afterAutospacing="1" w:line="276" w:lineRule="auto"/>
        <w:ind w:left="1440"/>
        <w:contextualSpacing/>
        <w:rPr>
          <w:lang w:bidi="he-IL"/>
        </w:rPr>
      </w:pPr>
      <w:r w:rsidRPr="00A5534B">
        <w:rPr>
          <w:lang w:bidi="he-IL"/>
        </w:rPr>
        <w:t>The collections are noncontroversial;</w:t>
      </w:r>
      <w:r w:rsidRPr="00A5534B" w:rsidDel="004E3487">
        <w:rPr>
          <w:lang w:bidi="he-IL"/>
        </w:rPr>
        <w:t xml:space="preserve"> </w:t>
      </w:r>
    </w:p>
    <w:p w14:paraId="3693BC37" w14:textId="56C5091B" w:rsidR="00A5534B" w:rsidRPr="00A5534B" w:rsidRDefault="00A5534B" w:rsidP="00A5534B">
      <w:pPr>
        <w:numPr>
          <w:ilvl w:val="0"/>
          <w:numId w:val="42"/>
        </w:numPr>
        <w:autoSpaceDE w:val="0"/>
        <w:autoSpaceDN w:val="0"/>
        <w:adjustRightInd w:val="0"/>
        <w:spacing w:before="100" w:beforeAutospacing="1" w:after="100" w:afterAutospacing="1" w:line="276" w:lineRule="auto"/>
        <w:ind w:left="1440"/>
        <w:contextualSpacing/>
        <w:rPr>
          <w:lang w:bidi="he-IL"/>
        </w:rPr>
      </w:pPr>
      <w:r w:rsidRPr="00A5534B">
        <w:rPr>
          <w:lang w:bidi="he-IL"/>
        </w:rPr>
        <w:t xml:space="preserve">Personally identifiable information (PII) is collected </w:t>
      </w:r>
      <w:r w:rsidR="00F75B40">
        <w:rPr>
          <w:lang w:bidi="he-IL"/>
        </w:rPr>
        <w:t xml:space="preserve">by the contractor for their benefit </w:t>
      </w:r>
      <w:r w:rsidRPr="00A5534B">
        <w:rPr>
          <w:lang w:bidi="he-IL"/>
        </w:rPr>
        <w:t>only to the extent necessary, is not shared with FDA, and is not retained; and</w:t>
      </w:r>
    </w:p>
    <w:p w14:paraId="5CA85CB3" w14:textId="77777777" w:rsidR="00A5534B" w:rsidRPr="00A5534B" w:rsidRDefault="00A5534B" w:rsidP="00A5534B">
      <w:pPr>
        <w:numPr>
          <w:ilvl w:val="0"/>
          <w:numId w:val="43"/>
        </w:numPr>
        <w:autoSpaceDE w:val="0"/>
        <w:autoSpaceDN w:val="0"/>
        <w:adjustRightInd w:val="0"/>
        <w:ind w:left="1440"/>
        <w:contextualSpacing/>
        <w:rPr>
          <w:lang w:bidi="he-IL"/>
        </w:rPr>
      </w:pPr>
      <w:r w:rsidRPr="00A5534B">
        <w:rPr>
          <w:lang w:bidi="he-IL"/>
        </w:rPr>
        <w:t>Information gathered will not be used for substantially informing influential policy decisions.</w:t>
      </w:r>
      <w:r w:rsidRPr="00A5534B">
        <w:rPr>
          <w:vertAlign w:val="superscript"/>
          <w:lang w:bidi="he-IL"/>
        </w:rPr>
        <w:footnoteReference w:id="1"/>
      </w:r>
    </w:p>
    <w:p w14:paraId="41F92D3F" w14:textId="77777777" w:rsidR="00A5534B" w:rsidRPr="00A5534B" w:rsidRDefault="00A5534B" w:rsidP="00A5534B">
      <w:pPr>
        <w:ind w:left="720"/>
        <w:contextualSpacing/>
        <w:rPr>
          <w:lang w:bidi="he-IL"/>
        </w:rPr>
      </w:pPr>
    </w:p>
    <w:p w14:paraId="0F49AB26" w14:textId="77777777" w:rsidR="00A5534B" w:rsidRPr="00A5534B" w:rsidRDefault="00A5534B" w:rsidP="00A5534B">
      <w:pPr>
        <w:ind w:left="720"/>
        <w:rPr>
          <w:lang w:bidi="he-IL"/>
        </w:rPr>
      </w:pPr>
      <w:r w:rsidRPr="00A5534B">
        <w:rPr>
          <w:lang w:bidi="he-IL"/>
        </w:rPr>
        <w:t xml:space="preserve">If these conditions are not met, FDA will submit an information collection request to OMB for approval through the normal PRA process.  </w:t>
      </w:r>
    </w:p>
    <w:p w14:paraId="18377B71" w14:textId="77777777" w:rsidR="00A5534B" w:rsidRPr="00A5534B" w:rsidRDefault="00A5534B" w:rsidP="00A5534B">
      <w:pPr>
        <w:spacing w:before="100" w:beforeAutospacing="1" w:after="100" w:afterAutospacing="1"/>
        <w:ind w:left="720"/>
        <w:rPr>
          <w:lang w:bidi="he-IL"/>
        </w:rPr>
      </w:pPr>
      <w:r w:rsidRPr="00A5534B">
        <w:rPr>
          <w:lang w:bidi="he-IL"/>
        </w:rPr>
        <w:t xml:space="preserve">To obtain approval for a collection that meets the conditions of this generic clearance, an abbreviated supporting statement will be submitted to OMB along with supporting documentation (e.g., a copy of the survey, focus group or interview guide, and stimuli).  </w:t>
      </w:r>
    </w:p>
    <w:p w14:paraId="2629F7EF" w14:textId="6F5689C3" w:rsidR="00EB3908" w:rsidRDefault="00A5534B">
      <w:pPr>
        <w:spacing w:after="240"/>
        <w:ind w:left="720"/>
        <w:rPr>
          <w:i/>
        </w:rPr>
      </w:pPr>
      <w:r w:rsidRPr="00A5534B">
        <w:rPr>
          <w:lang w:bidi="he-IL"/>
        </w:rPr>
        <w:t xml:space="preserve">Respondents to this collection of information </w:t>
      </w:r>
      <w:r w:rsidRPr="00A5534B">
        <w:rPr>
          <w:color w:val="000000"/>
          <w:lang w:bidi="he-IL"/>
        </w:rPr>
        <w:t xml:space="preserve">include a wide range of consumers and other FDA stakeholders such as producers and manufacturers who are regulated under </w:t>
      </w:r>
      <w:r w:rsidRPr="00221AD1">
        <w:rPr>
          <w:color w:val="000000"/>
          <w:lang w:bidi="he-IL"/>
        </w:rPr>
        <w:t xml:space="preserve">FDA-regulated </w:t>
      </w:r>
      <w:r w:rsidR="00221AD1" w:rsidRPr="00221AD1">
        <w:t>food and cosmetic products, dietary supplements, and animal food and feed.</w:t>
      </w:r>
    </w:p>
    <w:p w14:paraId="1B57C24F"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10C61915" w14:textId="77777777" w:rsidR="009C0B6F" w:rsidRDefault="009C0B6F" w:rsidP="00221AD1">
      <w:pPr>
        <w:pStyle w:val="ListParagraph"/>
        <w:numPr>
          <w:ilvl w:val="1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ABCFFF1" w14:textId="6EF9BEF4" w:rsidR="00221AD1" w:rsidRPr="00221AD1" w:rsidRDefault="00221AD1" w:rsidP="00221AD1">
      <w:pPr>
        <w:pStyle w:val="ListParagraph"/>
        <w:numPr>
          <w:ilvl w:val="1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21AD1">
        <w:rPr>
          <w:color w:val="000000"/>
        </w:rPr>
        <w:t xml:space="preserve">FDA will </w:t>
      </w:r>
      <w:r w:rsidR="00416547" w:rsidRPr="00221AD1">
        <w:rPr>
          <w:color w:val="000000"/>
        </w:rPr>
        <w:t>use Web</w:t>
      </w:r>
      <w:r w:rsidRPr="0087269D">
        <w:rPr>
          <w:color w:val="000000"/>
        </w:rPr>
        <w:t>-based</w:t>
      </w:r>
      <w:r w:rsidRPr="00221AD1">
        <w:rPr>
          <w:color w:val="000000"/>
        </w:rPr>
        <w:t xml:space="preserve"> data collection methods when </w:t>
      </w:r>
      <w:r w:rsidR="00416547" w:rsidRPr="00221AD1">
        <w:rPr>
          <w:color w:val="000000"/>
        </w:rPr>
        <w:t>collecting survey</w:t>
      </w:r>
      <w:r w:rsidR="00A73889">
        <w:rPr>
          <w:color w:val="000000"/>
        </w:rPr>
        <w:t xml:space="preserve"> data</w:t>
      </w:r>
      <w:r w:rsidRPr="00221AD1">
        <w:rPr>
          <w:color w:val="000000"/>
        </w:rPr>
        <w:t xml:space="preserve"> and</w:t>
      </w:r>
      <w:r w:rsidR="00792DC6">
        <w:rPr>
          <w:color w:val="000000"/>
        </w:rPr>
        <w:t>, wherever possible,</w:t>
      </w:r>
      <w:r w:rsidRPr="00221AD1">
        <w:rPr>
          <w:color w:val="000000"/>
        </w:rPr>
        <w:t xml:space="preserve"> in-depth interviews under this generic clearance.  Using computer-assisted information technology to transmit data collection instruments and/or collect responses will continue to reduce the burden on participants as they will be able to access </w:t>
      </w:r>
      <w:r w:rsidRPr="00221AD1">
        <w:rPr>
          <w:color w:val="000000"/>
        </w:rPr>
        <w:lastRenderedPageBreak/>
        <w:t xml:space="preserve">and respond to data collection requests at a time and place that is convenient to them, eliminating the need to travel for survey, focus group, or interview administration.  </w:t>
      </w:r>
    </w:p>
    <w:p w14:paraId="5FB374B3" w14:textId="77777777" w:rsidR="00221AD1" w:rsidRPr="00221AD1" w:rsidRDefault="00221AD1" w:rsidP="00221AD1">
      <w:pPr>
        <w:pStyle w:val="ListParagraph"/>
        <w:numPr>
          <w:ilvl w:val="1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290E10E" w14:textId="77777777" w:rsidR="00221AD1" w:rsidRPr="00221AD1" w:rsidRDefault="00221AD1" w:rsidP="00EB2ECE">
      <w:pPr>
        <w:pStyle w:val="ListParagraph"/>
        <w:tabs>
          <w:tab w:val="left" w:pos="0"/>
        </w:tabs>
        <w:rPr>
          <w:color w:val="000000"/>
        </w:rPr>
      </w:pPr>
      <w:r w:rsidRPr="00221AD1">
        <w:rPr>
          <w:color w:val="000000"/>
        </w:rPr>
        <w:t>Web-based data collections are an especially convenient option for eliciting feedback on visual stimuli.  With Web-based surveys, participants complete an on-line survey and then submit the data electronically over the Internet.  Closed-ended questions (e.g., multiple-choice items, Likert scales) will be employed whenever possible. Web-based focus groups and in-depth interviews take advantage of the medium for conversation-based data collection. Similar to the advantages of web-based survey data collections, conducting web-based focus groups and in-depth interviews can reduce the burden on the respondent by allowing them to participate at a location convenient to them, increase sample diversity, and reduce cost to the government by allowing participation from across the U.S. and territories without incurring travel costs.</w:t>
      </w:r>
    </w:p>
    <w:p w14:paraId="0B168A64" w14:textId="77777777" w:rsidR="00221AD1" w:rsidRPr="00221AD1" w:rsidRDefault="00221AD1" w:rsidP="00221AD1">
      <w:pPr>
        <w:pStyle w:val="ListParagraph"/>
        <w:numPr>
          <w:ilvl w:val="1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AC7C990" w14:textId="77777777" w:rsidR="00221AD1" w:rsidRPr="00221AD1" w:rsidRDefault="00221AD1" w:rsidP="00221AD1">
      <w:pPr>
        <w:pStyle w:val="ListParagraph"/>
        <w:numPr>
          <w:ilvl w:val="1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1AD1">
        <w:rPr>
          <w:color w:val="000000"/>
        </w:rPr>
        <w:t>FDA believes that 100% of the quantitative information collections and 25% of the qualitative information collections will be completed electronically.</w:t>
      </w:r>
    </w:p>
    <w:p w14:paraId="5D8C82BA" w14:textId="77777777" w:rsidR="00221AD1" w:rsidRDefault="00221AD1" w:rsidP="00221AD1">
      <w:pPr>
        <w:pStyle w:val="ListParagraph"/>
        <w:numPr>
          <w:ilvl w:val="1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7FFA00"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32A6C970" w14:textId="732B6F3D" w:rsidR="002746DB" w:rsidRDefault="00EB2ECE" w:rsidP="00EB2ECE">
      <w:pPr>
        <w:ind w:left="720"/>
      </w:pPr>
      <w:r w:rsidRPr="005E5681">
        <w:t xml:space="preserve">As new </w:t>
      </w:r>
      <w:r>
        <w:t xml:space="preserve">situations arise requiring quick-turnaround testing of FDA messaging, communications, advisories, or education because of a situation of urgent public health need, </w:t>
      </w:r>
      <w:r w:rsidRPr="005E5681">
        <w:t xml:space="preserve">FDA </w:t>
      </w:r>
      <w:r>
        <w:t xml:space="preserve">will </w:t>
      </w:r>
      <w:r w:rsidRPr="005E5681">
        <w:t xml:space="preserve">review </w:t>
      </w:r>
      <w:r>
        <w:t xml:space="preserve">existing reports of research on </w:t>
      </w:r>
      <w:r w:rsidRPr="005E5681">
        <w:t>messages and materials</w:t>
      </w:r>
      <w:r>
        <w:t xml:space="preserve"> to ensure that no </w:t>
      </w:r>
      <w:r w:rsidRPr="009943A6">
        <w:t xml:space="preserve">data </w:t>
      </w:r>
      <w:r>
        <w:t xml:space="preserve">on the extant matter </w:t>
      </w:r>
      <w:r w:rsidRPr="009943A6">
        <w:t>are</w:t>
      </w:r>
      <w:r>
        <w:t xml:space="preserve"> being,</w:t>
      </w:r>
      <w:r w:rsidRPr="009943A6">
        <w:t xml:space="preserve"> </w:t>
      </w:r>
      <w:r>
        <w:t xml:space="preserve">or have been, gathered </w:t>
      </w:r>
      <w:r w:rsidRPr="009943A6">
        <w:t>by FDA</w:t>
      </w:r>
      <w:r>
        <w:t xml:space="preserve">.  Given that the need for communications feedback will be urgent and that the information collection will be based solely on current FDA communications, </w:t>
      </w:r>
      <w:r w:rsidRPr="005E5681">
        <w:t xml:space="preserve">FDA </w:t>
      </w:r>
      <w:r>
        <w:t xml:space="preserve">does not expect that </w:t>
      </w:r>
      <w:r w:rsidRPr="005E5681">
        <w:t>outside experts</w:t>
      </w:r>
      <w:r>
        <w:t xml:space="preserve"> will have collected the data that FDA needs. </w:t>
      </w:r>
      <w:r w:rsidRPr="005E5681">
        <w:t xml:space="preserve"> </w:t>
      </w:r>
      <w:r>
        <w:t xml:space="preserve">However, </w:t>
      </w:r>
      <w:r w:rsidRPr="00326C6F">
        <w:t xml:space="preserve">FDA will work with other HHS </w:t>
      </w:r>
      <w:r w:rsidR="005E489B">
        <w:t xml:space="preserve">operation divisions and other </w:t>
      </w:r>
      <w:r w:rsidRPr="00326C6F">
        <w:t xml:space="preserve">agencies responsible for communicating about </w:t>
      </w:r>
      <w:r w:rsidRPr="008F3462">
        <w:t>FDA-regulated food and cosmetic products, dietary supplements, and animal food and feed</w:t>
      </w:r>
      <w:r w:rsidRPr="00326C6F">
        <w:t xml:space="preserve"> with the public</w:t>
      </w:r>
      <w:r>
        <w:t xml:space="preserve"> to ensure</w:t>
      </w:r>
      <w:r w:rsidRPr="009943A6">
        <w:t xml:space="preserve"> that duplicative</w:t>
      </w:r>
      <w:r>
        <w:t xml:space="preserve"> data are</w:t>
      </w:r>
      <w:r w:rsidRPr="009943A6">
        <w:t xml:space="preserve"> not being gathered</w:t>
      </w:r>
      <w:r>
        <w:t xml:space="preserve"> by them </w:t>
      </w:r>
      <w:r w:rsidRPr="009943A6">
        <w:t xml:space="preserve">or are available from other sources </w:t>
      </w:r>
      <w:r>
        <w:t>known to FDA.</w:t>
      </w:r>
    </w:p>
    <w:p w14:paraId="438A95D8"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6ADD7BCC" w14:textId="65EFEE75" w:rsidR="00EB3908" w:rsidRDefault="00EB2ECE">
      <w:pPr>
        <w:pStyle w:val="ListParagraph"/>
        <w:spacing w:before="100" w:beforeAutospacing="1" w:after="100" w:afterAutospacing="1"/>
      </w:pPr>
      <w:r w:rsidRPr="000F7E22">
        <w:t xml:space="preserve">Small businesses, or other small entities, may be involved in efforts related to collections of information approved under this clearance. </w:t>
      </w:r>
      <w:r>
        <w:t xml:space="preserve"> </w:t>
      </w:r>
      <w:r w:rsidRPr="000F7E22">
        <w:t>However, FDA will minimize the effect and burden on them by sampling appropriately.</w:t>
      </w:r>
    </w:p>
    <w:p w14:paraId="333022AD"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58AF0962" w14:textId="77777777" w:rsidR="00CD77C3" w:rsidRDefault="00EB2ECE" w:rsidP="00EB2ECE">
      <w:pPr>
        <w:spacing w:before="100" w:beforeAutospacing="1" w:after="100" w:afterAutospacing="1"/>
        <w:ind w:left="720"/>
      </w:pPr>
      <w:r>
        <w:t>During a public-health related event where FDA needs to communicate with consumers and other stakeholders the messaging oftentimes covers complex topics or is asking for an immediate public behavioral response (e.g., requests to discard contaminated items or to report adverse events).  Without</w:t>
      </w:r>
      <w:r w:rsidRPr="005E5681">
        <w:t xml:space="preserve"> testing</w:t>
      </w:r>
      <w:r>
        <w:t xml:space="preserve"> and data collections</w:t>
      </w:r>
      <w:r w:rsidRPr="005E5681">
        <w:t xml:space="preserve">, FDA cannot fully ensure that </w:t>
      </w:r>
      <w:r>
        <w:t xml:space="preserve">these </w:t>
      </w:r>
      <w:r w:rsidRPr="005E5681">
        <w:t xml:space="preserve">messages </w:t>
      </w:r>
      <w:r>
        <w:t xml:space="preserve">and materials have reached the target audience, are understood by them, and </w:t>
      </w:r>
      <w:r w:rsidRPr="005E5681">
        <w:t>are serving their intended purpose</w:t>
      </w:r>
      <w:r>
        <w:t xml:space="preserve"> – frequently seeking an immediate behavioral reaction (e.g., discarding the food).</w:t>
      </w:r>
    </w:p>
    <w:p w14:paraId="4E07D9D4"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1E3C8311" w14:textId="77777777" w:rsidR="008108FA" w:rsidRDefault="00EB2ECE" w:rsidP="00EB2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Studies under this collection rely</w:t>
      </w:r>
      <w:r w:rsidRPr="00355B8B">
        <w:t xml:space="preserve"> on quantitative </w:t>
      </w:r>
      <w:r>
        <w:t xml:space="preserve">and qualitative </w:t>
      </w:r>
      <w:r w:rsidRPr="00355B8B">
        <w:t xml:space="preserve">methods and use convenience samples rather than probability samples. </w:t>
      </w:r>
      <w:r>
        <w:t xml:space="preserve"> Therefore, the studies</w:t>
      </w:r>
      <w:r w:rsidRPr="00355B8B">
        <w:t xml:space="preserve"> are not intended to yield results that are statistically projectable, nationally representative, or precise estimates of population parameters.</w:t>
      </w:r>
      <w:r>
        <w:t xml:space="preserve"> </w:t>
      </w:r>
    </w:p>
    <w:p w14:paraId="127CEFFB"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0C17A7FE" w14:textId="152B052F" w:rsidR="00892400" w:rsidRDefault="00705086" w:rsidP="00EB2ECE">
      <w:pPr>
        <w:ind w:left="720"/>
      </w:pPr>
      <w:r w:rsidRPr="00EB2ECE">
        <w:t xml:space="preserve">In accordance with 5 CFR 1320.8(d), FDA published a 60 day notice for public comment in the FEDERAL REGISTER of </w:t>
      </w:r>
      <w:r w:rsidR="009C0B6F">
        <w:t>4</w:t>
      </w:r>
      <w:r w:rsidRPr="00EB2ECE">
        <w:t>/</w:t>
      </w:r>
      <w:r w:rsidR="009C0B6F">
        <w:t>2</w:t>
      </w:r>
      <w:r w:rsidRPr="00EB2ECE">
        <w:t>/</w:t>
      </w:r>
      <w:r w:rsidR="009C0B6F">
        <w:t>2019</w:t>
      </w:r>
      <w:r w:rsidRPr="00EB2ECE">
        <w:t xml:space="preserve"> (</w:t>
      </w:r>
      <w:r w:rsidR="009C0B6F">
        <w:t xml:space="preserve">84 </w:t>
      </w:r>
      <w:r w:rsidRPr="00EB2ECE">
        <w:t xml:space="preserve">FR </w:t>
      </w:r>
      <w:r w:rsidR="009C0B6F">
        <w:t>12617</w:t>
      </w:r>
      <w:r w:rsidRPr="00EB2ECE">
        <w:t>).  No comments were received.</w:t>
      </w:r>
    </w:p>
    <w:p w14:paraId="029462C4"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50722891" w14:textId="38D98078" w:rsidR="00AA4A7F" w:rsidRDefault="00EB2ECE" w:rsidP="00731CAB">
      <w:pPr>
        <w:ind w:left="720"/>
        <w:jc w:val="both"/>
      </w:pPr>
      <w:r w:rsidRPr="00EB2ECE">
        <w:t>Gifts or payments offered to respondents as a token of the Agency’s appreciation will be limited mainly to the cognitive interviews as FDA expects to use proprietary web-based panels that have their own methods for retaining participants</w:t>
      </w:r>
      <w:r w:rsidR="00A73889">
        <w:t xml:space="preserve"> for surveys</w:t>
      </w:r>
      <w:r w:rsidRPr="00EB2ECE">
        <w:t>.  In the case of qualitative collections other than the cognitive interviews, instances for offering a small incentive will be addressed on a case-by-case basis (depending on the information collection design).  FDA will provide a rationale in the justification memo for any studies tha</w:t>
      </w:r>
      <w:r>
        <w:t>t propose to offer incentives.</w:t>
      </w:r>
    </w:p>
    <w:p w14:paraId="6761131E"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12275BEA" w14:textId="2E729C10" w:rsidR="00686CBD" w:rsidRDefault="00686CBD" w:rsidP="00686CBD">
      <w:pPr>
        <w:ind w:left="720"/>
        <w:jc w:val="both"/>
      </w:pPr>
      <w:r>
        <w:t>I</w:t>
      </w:r>
      <w:r w:rsidRPr="00914969">
        <w:t xml:space="preserve">nformation provided by participants will be kept </w:t>
      </w:r>
      <w:r w:rsidR="00C061CD">
        <w:t xml:space="preserve">secure </w:t>
      </w:r>
      <w:r w:rsidRPr="00914969">
        <w:t>to the extent allowable by law.  Information about privacy will be communicated to participants by means of introductory letters, explanatory texts on the cover pages of questionnaires, scripts read prior to interviews, and consent forms.  Participants also will be advised of the following: the nature of the activity; the purpose and use of the data coll</w:t>
      </w:r>
      <w:r>
        <w:t>ected; FDA sponsorship</w:t>
      </w:r>
      <w:r w:rsidRPr="00914969">
        <w:t>; and that participation is always voluntary.  Because participation is voluntary, participants will be assured that there will be no penalties if they do not want to participate in the information collection as a whole or any part of the data collection.</w:t>
      </w:r>
    </w:p>
    <w:p w14:paraId="0AFDD6B6" w14:textId="77777777" w:rsidR="00686CBD" w:rsidRDefault="00686CBD" w:rsidP="00686CBD">
      <w:pPr>
        <w:ind w:left="720"/>
        <w:jc w:val="both"/>
      </w:pPr>
    </w:p>
    <w:p w14:paraId="4722A828" w14:textId="29F41210" w:rsidR="00686CBD" w:rsidRDefault="00763F02" w:rsidP="00686CBD">
      <w:pPr>
        <w:pStyle w:val="BodyText1"/>
        <w:ind w:left="720" w:firstLine="0"/>
      </w:pPr>
      <w:r w:rsidRPr="00CA1F12">
        <w:t>Before data are collected, FDA researchers will obtain either an exemption or a full approval for all research from FDA’s In</w:t>
      </w:r>
      <w:r w:rsidR="00C061CD">
        <w:t>stitutional</w:t>
      </w:r>
      <w:r w:rsidRPr="00CA1F12">
        <w:t xml:space="preserve"> Review Board (IRB</w:t>
      </w:r>
      <w:r w:rsidR="00416547" w:rsidRPr="00CA1F12">
        <w:t>)</w:t>
      </w:r>
      <w:r w:rsidR="00416547">
        <w:t>.  Contractors</w:t>
      </w:r>
      <w:r w:rsidR="00686CBD">
        <w:t xml:space="preserve"> are required to sign a pledge of privacy that reinforces privacy requirements of the study and states that any procedural violation that jeopardizes a respondent’s privacy will be grounds for immediate termination and possible legal action.  </w:t>
      </w:r>
    </w:p>
    <w:p w14:paraId="1799EE89" w14:textId="77777777" w:rsidR="00686CBD" w:rsidRDefault="00686CBD" w:rsidP="005F6191">
      <w:pPr>
        <w:pStyle w:val="BodyText1"/>
        <w:spacing w:after="0"/>
        <w:ind w:left="720" w:firstLine="0"/>
      </w:pPr>
      <w:r>
        <w:t xml:space="preserve">All data will be maintained in a manner that is consistent with the Department of Health and Human Services ADP Systems Security Policy as described in DHHS ADP Systems Manual, Part 6, chapters 6-30 and 6-35.  Data will also be maintained consistent with the FDA Privacy Act System of Records #09-10-0009 (Special Studies and Surveys on FDA Regulated Products). </w:t>
      </w:r>
    </w:p>
    <w:p w14:paraId="0760B5BF" w14:textId="712F14CA" w:rsidR="002E53A5" w:rsidRDefault="002E53A5" w:rsidP="005F6191">
      <w:pPr>
        <w:ind w:left="720"/>
      </w:pPr>
    </w:p>
    <w:p w14:paraId="551D0BC7" w14:textId="4C4C136B" w:rsidR="004D13A2" w:rsidRDefault="005F6191" w:rsidP="005F6191">
      <w:pPr>
        <w:ind w:left="720"/>
      </w:pPr>
      <w:r>
        <w:t>This ICR does not request any personally identifiable information nor does it include a form that requires a Privacy Act Statement under section 5 U.S.C. §552a(e)(3)).</w:t>
      </w:r>
    </w:p>
    <w:p w14:paraId="23D3FEB8"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16DF90AB" w14:textId="77777777" w:rsidR="004C6979" w:rsidRPr="0065391B" w:rsidRDefault="0065391B" w:rsidP="0065391B">
      <w:pPr>
        <w:ind w:left="720"/>
        <w:rPr>
          <w:b/>
          <w:u w:val="single"/>
        </w:rPr>
      </w:pPr>
      <w:r>
        <w:t>There are no expectations that the individual projects will contain sensitive questions but if they do, FDA will include a justification for them in the individual submission.</w:t>
      </w:r>
    </w:p>
    <w:p w14:paraId="19BDAFF6"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1D1440EB" w14:textId="77777777"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14:paraId="2D0B34F7" w14:textId="77777777" w:rsidR="004C6979" w:rsidRDefault="004C6979" w:rsidP="0065391B">
      <w:pPr>
        <w:ind w:left="720"/>
      </w:pPr>
    </w:p>
    <w:p w14:paraId="21FBA70C" w14:textId="77777777" w:rsidR="0065391B" w:rsidRPr="0065391B" w:rsidRDefault="0065391B" w:rsidP="006539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r w:rsidRPr="0065391B">
        <w:rPr>
          <w:lang w:bidi="he-IL"/>
        </w:rPr>
        <w:t xml:space="preserve">Table 1 provides an estimate of anticipated burden levels that may be incurred during a 3-year period. </w:t>
      </w:r>
    </w:p>
    <w:p w14:paraId="4E443D7E" w14:textId="77777777" w:rsidR="0065391B" w:rsidRPr="0065391B" w:rsidRDefault="0065391B" w:rsidP="006539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p>
    <w:p w14:paraId="2AF7E537" w14:textId="5A04F341" w:rsidR="0065391B" w:rsidRPr="0065391B" w:rsidRDefault="0065391B" w:rsidP="006539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
          <w:lang w:bidi="he-IL"/>
        </w:rPr>
      </w:pPr>
      <w:r w:rsidRPr="0065391B">
        <w:rPr>
          <w:lang w:bidi="he-IL"/>
        </w:rPr>
        <w:t>Table 1.--Estimated Reporting Burden</w:t>
      </w:r>
      <w:r w:rsidR="00F40113" w:rsidRPr="00416547">
        <w:rPr>
          <w:vertAlign w:val="superscript"/>
          <w:lang w:bidi="he-IL"/>
        </w:rPr>
        <w:t>1</w:t>
      </w:r>
    </w:p>
    <w:p w14:paraId="091685D6" w14:textId="77777777" w:rsidR="0065391B" w:rsidRPr="0065391B" w:rsidRDefault="0065391B" w:rsidP="0065391B">
      <w:r w:rsidRPr="0065391B">
        <w:rPr>
          <w:sz w:val="20"/>
          <w:szCs w:val="20"/>
          <w:vertAlign w:val="superscript"/>
        </w:rPr>
        <w:t>1</w:t>
      </w:r>
      <w:r w:rsidRPr="0065391B">
        <w:rPr>
          <w:sz w:val="20"/>
          <w:szCs w:val="20"/>
        </w:rPr>
        <w:t>There are no capital costs or operating and maintenance costs associated with this collection of information.</w:t>
      </w:r>
      <w:r w:rsidRPr="0065391B">
        <w:t xml:space="preserve"> </w:t>
      </w:r>
    </w:p>
    <w:p w14:paraId="4019189E" w14:textId="6EC4393F" w:rsidR="0065391B" w:rsidRDefault="0065391B" w:rsidP="0065391B">
      <w:pPr>
        <w:autoSpaceDN w:val="0"/>
        <w:rPr>
          <w:b/>
          <w:u w:val="single"/>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50"/>
        <w:gridCol w:w="1350"/>
        <w:gridCol w:w="1350"/>
        <w:gridCol w:w="1556"/>
        <w:gridCol w:w="1116"/>
      </w:tblGrid>
      <w:tr w:rsidR="00475C55" w:rsidRPr="00475C55" w14:paraId="7C65CCD7" w14:textId="77777777" w:rsidTr="009D3FF5">
        <w:trPr>
          <w:trHeight w:val="782"/>
        </w:trPr>
        <w:tc>
          <w:tcPr>
            <w:tcW w:w="2628" w:type="dxa"/>
            <w:tcBorders>
              <w:top w:val="single" w:sz="4" w:space="0" w:color="auto"/>
              <w:left w:val="single" w:sz="4" w:space="0" w:color="auto"/>
              <w:bottom w:val="single" w:sz="4" w:space="0" w:color="auto"/>
              <w:right w:val="single" w:sz="4" w:space="0" w:color="auto"/>
            </w:tcBorders>
          </w:tcPr>
          <w:p w14:paraId="69CFBEFD" w14:textId="77777777" w:rsidR="00475C55" w:rsidRPr="00475C55" w:rsidRDefault="00475C55" w:rsidP="00475C5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sz w:val="20"/>
                <w:szCs w:val="20"/>
              </w:rPr>
            </w:pPr>
            <w:r w:rsidRPr="00475C55">
              <w:rPr>
                <w:sz w:val="20"/>
                <w:szCs w:val="20"/>
              </w:rPr>
              <w:t>Survey Type</w:t>
            </w:r>
          </w:p>
        </w:tc>
        <w:tc>
          <w:tcPr>
            <w:tcW w:w="1350" w:type="dxa"/>
            <w:tcBorders>
              <w:top w:val="single" w:sz="4" w:space="0" w:color="auto"/>
              <w:left w:val="single" w:sz="4" w:space="0" w:color="auto"/>
              <w:bottom w:val="single" w:sz="4" w:space="0" w:color="auto"/>
              <w:right w:val="single" w:sz="4" w:space="0" w:color="auto"/>
            </w:tcBorders>
            <w:hideMark/>
          </w:tcPr>
          <w:p w14:paraId="61DED416" w14:textId="77777777" w:rsidR="00475C55" w:rsidRPr="00475C55" w:rsidRDefault="00475C55" w:rsidP="00475C5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strike/>
                <w:sz w:val="20"/>
                <w:szCs w:val="20"/>
              </w:rPr>
            </w:pPr>
            <w:r w:rsidRPr="00475C55">
              <w:rPr>
                <w:sz w:val="20"/>
                <w:szCs w:val="20"/>
              </w:rPr>
              <w:t>No. of Respondents</w:t>
            </w:r>
          </w:p>
        </w:tc>
        <w:tc>
          <w:tcPr>
            <w:tcW w:w="1350" w:type="dxa"/>
            <w:tcBorders>
              <w:top w:val="single" w:sz="4" w:space="0" w:color="auto"/>
              <w:left w:val="single" w:sz="4" w:space="0" w:color="auto"/>
              <w:bottom w:val="single" w:sz="4" w:space="0" w:color="auto"/>
              <w:right w:val="single" w:sz="4" w:space="0" w:color="auto"/>
            </w:tcBorders>
            <w:hideMark/>
          </w:tcPr>
          <w:p w14:paraId="3C7B4A93" w14:textId="77777777" w:rsidR="00475C55" w:rsidRPr="00475C55" w:rsidRDefault="00475C55" w:rsidP="00475C5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sz w:val="20"/>
                <w:szCs w:val="20"/>
              </w:rPr>
            </w:pPr>
            <w:r w:rsidRPr="00475C55">
              <w:rPr>
                <w:bCs/>
                <w:sz w:val="20"/>
                <w:szCs w:val="20"/>
              </w:rPr>
              <w:t>No.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14:paraId="60E8C989" w14:textId="77777777" w:rsidR="00475C55" w:rsidRPr="00475C55" w:rsidRDefault="00475C55" w:rsidP="00475C5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sz w:val="20"/>
                <w:szCs w:val="20"/>
              </w:rPr>
            </w:pPr>
            <w:r w:rsidRPr="00475C55">
              <w:rPr>
                <w:bCs/>
                <w:sz w:val="20"/>
                <w:szCs w:val="20"/>
              </w:rPr>
              <w:t>Total Annual Responses</w:t>
            </w:r>
          </w:p>
        </w:tc>
        <w:tc>
          <w:tcPr>
            <w:tcW w:w="1556" w:type="dxa"/>
            <w:tcBorders>
              <w:top w:val="single" w:sz="4" w:space="0" w:color="auto"/>
              <w:left w:val="single" w:sz="4" w:space="0" w:color="auto"/>
              <w:bottom w:val="single" w:sz="4" w:space="0" w:color="auto"/>
              <w:right w:val="single" w:sz="4" w:space="0" w:color="auto"/>
            </w:tcBorders>
            <w:hideMark/>
          </w:tcPr>
          <w:p w14:paraId="5D886855" w14:textId="77777777" w:rsidR="00475C55" w:rsidRPr="00475C55" w:rsidRDefault="00475C55" w:rsidP="00475C5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sz w:val="20"/>
                <w:szCs w:val="20"/>
              </w:rPr>
            </w:pPr>
            <w:r w:rsidRPr="00475C55">
              <w:rPr>
                <w:bCs/>
                <w:sz w:val="20"/>
                <w:szCs w:val="20"/>
              </w:rPr>
              <w:t>Average Burden per Response</w:t>
            </w:r>
          </w:p>
        </w:tc>
        <w:tc>
          <w:tcPr>
            <w:tcW w:w="1116" w:type="dxa"/>
            <w:tcBorders>
              <w:top w:val="single" w:sz="4" w:space="0" w:color="auto"/>
              <w:left w:val="single" w:sz="4" w:space="0" w:color="auto"/>
              <w:bottom w:val="single" w:sz="4" w:space="0" w:color="auto"/>
              <w:right w:val="single" w:sz="4" w:space="0" w:color="auto"/>
            </w:tcBorders>
            <w:hideMark/>
          </w:tcPr>
          <w:p w14:paraId="55175D5E" w14:textId="77777777" w:rsidR="00475C55" w:rsidRPr="00475C55" w:rsidRDefault="00475C55" w:rsidP="00475C55">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sz w:val="20"/>
                <w:szCs w:val="20"/>
              </w:rPr>
            </w:pPr>
            <w:r w:rsidRPr="00475C55">
              <w:rPr>
                <w:sz w:val="20"/>
                <w:szCs w:val="20"/>
              </w:rPr>
              <w:t>Total Hours</w:t>
            </w:r>
          </w:p>
        </w:tc>
      </w:tr>
      <w:tr w:rsidR="00475C55" w:rsidRPr="00475C55" w14:paraId="27998452"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tcPr>
          <w:p w14:paraId="6870514F"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In-depth Interviews, Cognitive Interviews Screener</w:t>
            </w:r>
          </w:p>
        </w:tc>
        <w:tc>
          <w:tcPr>
            <w:tcW w:w="1350" w:type="dxa"/>
            <w:tcBorders>
              <w:top w:val="single" w:sz="4" w:space="0" w:color="auto"/>
              <w:left w:val="single" w:sz="4" w:space="0" w:color="auto"/>
              <w:bottom w:val="single" w:sz="4" w:space="0" w:color="auto"/>
              <w:right w:val="single" w:sz="4" w:space="0" w:color="auto"/>
            </w:tcBorders>
          </w:tcPr>
          <w:p w14:paraId="37EC319F" w14:textId="693F2337"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45</w:t>
            </w:r>
          </w:p>
        </w:tc>
        <w:tc>
          <w:tcPr>
            <w:tcW w:w="1350" w:type="dxa"/>
            <w:tcBorders>
              <w:top w:val="single" w:sz="4" w:space="0" w:color="auto"/>
              <w:left w:val="single" w:sz="4" w:space="0" w:color="auto"/>
              <w:bottom w:val="single" w:sz="4" w:space="0" w:color="auto"/>
              <w:right w:val="single" w:sz="4" w:space="0" w:color="auto"/>
            </w:tcBorders>
          </w:tcPr>
          <w:p w14:paraId="7B386624"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3DB37AEC" w14:textId="1E4056C5"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45</w:t>
            </w:r>
          </w:p>
        </w:tc>
        <w:tc>
          <w:tcPr>
            <w:tcW w:w="1556" w:type="dxa"/>
            <w:tcBorders>
              <w:top w:val="single" w:sz="4" w:space="0" w:color="auto"/>
              <w:left w:val="single" w:sz="4" w:space="0" w:color="auto"/>
              <w:bottom w:val="single" w:sz="4" w:space="0" w:color="auto"/>
              <w:right w:val="single" w:sz="4" w:space="0" w:color="auto"/>
            </w:tcBorders>
          </w:tcPr>
          <w:p w14:paraId="297F95B7" w14:textId="77777777" w:rsidR="00475C55" w:rsidRPr="00475C55" w:rsidRDefault="00475C55" w:rsidP="00475C55">
            <w:pPr>
              <w:contextualSpacing/>
              <w:jc w:val="right"/>
              <w:rPr>
                <w:sz w:val="20"/>
                <w:szCs w:val="20"/>
              </w:rPr>
            </w:pPr>
            <w:r w:rsidRPr="00475C55">
              <w:rPr>
                <w:sz w:val="20"/>
                <w:szCs w:val="20"/>
              </w:rPr>
              <w:t>0.083</w:t>
            </w:r>
          </w:p>
          <w:p w14:paraId="1E9F4920" w14:textId="77777777" w:rsidR="00475C55" w:rsidRPr="00475C55" w:rsidRDefault="00475C55" w:rsidP="00475C55">
            <w:pPr>
              <w:contextualSpacing/>
              <w:jc w:val="right"/>
              <w:rPr>
                <w:sz w:val="20"/>
                <w:szCs w:val="20"/>
              </w:rPr>
            </w:pPr>
            <w:r w:rsidRPr="00475C55">
              <w:rPr>
                <w:sz w:val="20"/>
                <w:szCs w:val="20"/>
              </w:rPr>
              <w:t>(5 minutes)</w:t>
            </w:r>
          </w:p>
        </w:tc>
        <w:tc>
          <w:tcPr>
            <w:tcW w:w="1116" w:type="dxa"/>
            <w:tcBorders>
              <w:top w:val="single" w:sz="4" w:space="0" w:color="auto"/>
              <w:left w:val="single" w:sz="4" w:space="0" w:color="auto"/>
              <w:bottom w:val="single" w:sz="4" w:space="0" w:color="auto"/>
              <w:right w:val="single" w:sz="4" w:space="0" w:color="auto"/>
            </w:tcBorders>
          </w:tcPr>
          <w:p w14:paraId="5FC51A94" w14:textId="2C99BC18"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4</w:t>
            </w:r>
          </w:p>
        </w:tc>
      </w:tr>
      <w:tr w:rsidR="00475C55" w:rsidRPr="00475C55" w14:paraId="04527400"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tcPr>
          <w:p w14:paraId="47760E7D"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 xml:space="preserve">In-depth Interviews, Cognitive Interviews </w:t>
            </w:r>
          </w:p>
        </w:tc>
        <w:tc>
          <w:tcPr>
            <w:tcW w:w="1350" w:type="dxa"/>
            <w:tcBorders>
              <w:top w:val="single" w:sz="4" w:space="0" w:color="auto"/>
              <w:left w:val="single" w:sz="4" w:space="0" w:color="auto"/>
              <w:bottom w:val="single" w:sz="4" w:space="0" w:color="auto"/>
              <w:right w:val="single" w:sz="4" w:space="0" w:color="auto"/>
            </w:tcBorders>
          </w:tcPr>
          <w:p w14:paraId="17169CF1" w14:textId="1B7AF166"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tcPr>
          <w:p w14:paraId="598F809F"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71464101" w14:textId="42085980"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9</w:t>
            </w:r>
          </w:p>
        </w:tc>
        <w:tc>
          <w:tcPr>
            <w:tcW w:w="1556" w:type="dxa"/>
            <w:tcBorders>
              <w:top w:val="single" w:sz="4" w:space="0" w:color="auto"/>
              <w:left w:val="single" w:sz="4" w:space="0" w:color="auto"/>
              <w:bottom w:val="single" w:sz="4" w:space="0" w:color="auto"/>
              <w:right w:val="single" w:sz="4" w:space="0" w:color="auto"/>
            </w:tcBorders>
          </w:tcPr>
          <w:p w14:paraId="2F38BD20" w14:textId="77777777" w:rsidR="00475C55" w:rsidRPr="00475C55" w:rsidRDefault="00475C55" w:rsidP="00475C55">
            <w:pPr>
              <w:contextualSpacing/>
              <w:jc w:val="right"/>
              <w:rPr>
                <w:strike/>
                <w:sz w:val="20"/>
                <w:szCs w:val="20"/>
              </w:rPr>
            </w:pPr>
            <w:r w:rsidRPr="00475C55">
              <w:rPr>
                <w:sz w:val="20"/>
                <w:szCs w:val="20"/>
              </w:rPr>
              <w:t>1</w:t>
            </w:r>
          </w:p>
        </w:tc>
        <w:tc>
          <w:tcPr>
            <w:tcW w:w="1116" w:type="dxa"/>
            <w:tcBorders>
              <w:top w:val="single" w:sz="4" w:space="0" w:color="auto"/>
              <w:left w:val="single" w:sz="4" w:space="0" w:color="auto"/>
              <w:bottom w:val="single" w:sz="4" w:space="0" w:color="auto"/>
              <w:right w:val="single" w:sz="4" w:space="0" w:color="auto"/>
            </w:tcBorders>
          </w:tcPr>
          <w:p w14:paraId="2EBC2E8C" w14:textId="2129B907"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9</w:t>
            </w:r>
          </w:p>
        </w:tc>
      </w:tr>
      <w:tr w:rsidR="00475C55" w:rsidRPr="00475C55" w14:paraId="48888B26"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tcPr>
          <w:p w14:paraId="6A38CDE2"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In-depth Interviews Screener</w:t>
            </w:r>
          </w:p>
        </w:tc>
        <w:tc>
          <w:tcPr>
            <w:tcW w:w="1350" w:type="dxa"/>
            <w:tcBorders>
              <w:top w:val="single" w:sz="4" w:space="0" w:color="auto"/>
              <w:left w:val="single" w:sz="4" w:space="0" w:color="auto"/>
              <w:bottom w:val="single" w:sz="4" w:space="0" w:color="auto"/>
              <w:right w:val="single" w:sz="4" w:space="0" w:color="auto"/>
            </w:tcBorders>
          </w:tcPr>
          <w:p w14:paraId="203F458C" w14:textId="5526FF68"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900</w:t>
            </w:r>
          </w:p>
        </w:tc>
        <w:tc>
          <w:tcPr>
            <w:tcW w:w="1350" w:type="dxa"/>
            <w:tcBorders>
              <w:top w:val="single" w:sz="4" w:space="0" w:color="auto"/>
              <w:left w:val="single" w:sz="4" w:space="0" w:color="auto"/>
              <w:bottom w:val="single" w:sz="4" w:space="0" w:color="auto"/>
              <w:right w:val="single" w:sz="4" w:space="0" w:color="auto"/>
            </w:tcBorders>
          </w:tcPr>
          <w:p w14:paraId="365BDBA9"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7D06A707" w14:textId="774D0D84"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900</w:t>
            </w:r>
          </w:p>
        </w:tc>
        <w:tc>
          <w:tcPr>
            <w:tcW w:w="1556" w:type="dxa"/>
            <w:tcBorders>
              <w:top w:val="single" w:sz="4" w:space="0" w:color="auto"/>
              <w:left w:val="single" w:sz="4" w:space="0" w:color="auto"/>
              <w:bottom w:val="single" w:sz="4" w:space="0" w:color="auto"/>
              <w:right w:val="single" w:sz="4" w:space="0" w:color="auto"/>
            </w:tcBorders>
          </w:tcPr>
          <w:p w14:paraId="0342A012" w14:textId="77777777" w:rsidR="00475C55" w:rsidRPr="00475C55" w:rsidRDefault="00475C55" w:rsidP="00475C55">
            <w:pPr>
              <w:contextualSpacing/>
              <w:jc w:val="right"/>
              <w:rPr>
                <w:sz w:val="20"/>
                <w:szCs w:val="20"/>
              </w:rPr>
            </w:pPr>
            <w:r w:rsidRPr="00475C55">
              <w:rPr>
                <w:sz w:val="20"/>
                <w:szCs w:val="20"/>
              </w:rPr>
              <w:t>0.083</w:t>
            </w:r>
          </w:p>
          <w:p w14:paraId="2E039500" w14:textId="77777777" w:rsidR="00475C55" w:rsidRPr="00475C55" w:rsidRDefault="00475C55" w:rsidP="00475C55">
            <w:pPr>
              <w:contextualSpacing/>
              <w:jc w:val="right"/>
              <w:rPr>
                <w:sz w:val="20"/>
                <w:szCs w:val="20"/>
              </w:rPr>
            </w:pPr>
            <w:r w:rsidRPr="00475C55">
              <w:rPr>
                <w:sz w:val="20"/>
                <w:szCs w:val="20"/>
              </w:rPr>
              <w:t>(5 minutes)</w:t>
            </w:r>
          </w:p>
        </w:tc>
        <w:tc>
          <w:tcPr>
            <w:tcW w:w="1116" w:type="dxa"/>
            <w:tcBorders>
              <w:top w:val="single" w:sz="4" w:space="0" w:color="auto"/>
              <w:left w:val="single" w:sz="4" w:space="0" w:color="auto"/>
              <w:bottom w:val="single" w:sz="4" w:space="0" w:color="auto"/>
              <w:right w:val="single" w:sz="4" w:space="0" w:color="auto"/>
            </w:tcBorders>
          </w:tcPr>
          <w:p w14:paraId="5A77FF43" w14:textId="656E97FD"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75</w:t>
            </w:r>
          </w:p>
        </w:tc>
      </w:tr>
      <w:tr w:rsidR="00475C55" w:rsidRPr="00475C55" w14:paraId="6E1C22F9"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tcPr>
          <w:p w14:paraId="394F1A87"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 xml:space="preserve">In-depth Interviews </w:t>
            </w:r>
          </w:p>
        </w:tc>
        <w:tc>
          <w:tcPr>
            <w:tcW w:w="1350" w:type="dxa"/>
            <w:tcBorders>
              <w:top w:val="single" w:sz="4" w:space="0" w:color="auto"/>
              <w:left w:val="single" w:sz="4" w:space="0" w:color="auto"/>
              <w:bottom w:val="single" w:sz="4" w:space="0" w:color="auto"/>
              <w:right w:val="single" w:sz="4" w:space="0" w:color="auto"/>
            </w:tcBorders>
          </w:tcPr>
          <w:p w14:paraId="2AB99233" w14:textId="5F20F113"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180</w:t>
            </w:r>
          </w:p>
        </w:tc>
        <w:tc>
          <w:tcPr>
            <w:tcW w:w="1350" w:type="dxa"/>
            <w:tcBorders>
              <w:top w:val="single" w:sz="4" w:space="0" w:color="auto"/>
              <w:left w:val="single" w:sz="4" w:space="0" w:color="auto"/>
              <w:bottom w:val="single" w:sz="4" w:space="0" w:color="auto"/>
              <w:right w:val="single" w:sz="4" w:space="0" w:color="auto"/>
            </w:tcBorders>
          </w:tcPr>
          <w:p w14:paraId="2C2A6A3F"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723AC3CE" w14:textId="45369833"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180</w:t>
            </w:r>
          </w:p>
        </w:tc>
        <w:tc>
          <w:tcPr>
            <w:tcW w:w="1556" w:type="dxa"/>
            <w:tcBorders>
              <w:top w:val="single" w:sz="4" w:space="0" w:color="auto"/>
              <w:left w:val="single" w:sz="4" w:space="0" w:color="auto"/>
              <w:bottom w:val="single" w:sz="4" w:space="0" w:color="auto"/>
              <w:right w:val="single" w:sz="4" w:space="0" w:color="auto"/>
            </w:tcBorders>
          </w:tcPr>
          <w:p w14:paraId="5376BCA2" w14:textId="77777777" w:rsidR="00475C55" w:rsidRPr="00475C55" w:rsidRDefault="00475C55" w:rsidP="00475C55">
            <w:pPr>
              <w:contextualSpacing/>
              <w:jc w:val="right"/>
              <w:rPr>
                <w:strike/>
                <w:sz w:val="20"/>
                <w:szCs w:val="20"/>
              </w:rPr>
            </w:pPr>
            <w:r w:rsidRPr="00475C55">
              <w:rPr>
                <w:sz w:val="20"/>
                <w:szCs w:val="20"/>
              </w:rPr>
              <w:t>1</w:t>
            </w:r>
          </w:p>
        </w:tc>
        <w:tc>
          <w:tcPr>
            <w:tcW w:w="1116" w:type="dxa"/>
            <w:tcBorders>
              <w:top w:val="single" w:sz="4" w:space="0" w:color="auto"/>
              <w:left w:val="single" w:sz="4" w:space="0" w:color="auto"/>
              <w:bottom w:val="single" w:sz="4" w:space="0" w:color="auto"/>
              <w:right w:val="single" w:sz="4" w:space="0" w:color="auto"/>
            </w:tcBorders>
          </w:tcPr>
          <w:p w14:paraId="0D2F6401" w14:textId="1A6EEDBA"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180</w:t>
            </w:r>
          </w:p>
        </w:tc>
      </w:tr>
      <w:tr w:rsidR="00475C55" w:rsidRPr="00475C55" w14:paraId="1EF2E850"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hideMark/>
          </w:tcPr>
          <w:p w14:paraId="48769588"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Survey Cognitive Interviews Screener</w:t>
            </w:r>
          </w:p>
        </w:tc>
        <w:tc>
          <w:tcPr>
            <w:tcW w:w="1350" w:type="dxa"/>
            <w:tcBorders>
              <w:top w:val="single" w:sz="4" w:space="0" w:color="auto"/>
              <w:left w:val="single" w:sz="4" w:space="0" w:color="auto"/>
              <w:bottom w:val="single" w:sz="4" w:space="0" w:color="auto"/>
              <w:right w:val="single" w:sz="4" w:space="0" w:color="auto"/>
            </w:tcBorders>
            <w:hideMark/>
          </w:tcPr>
          <w:p w14:paraId="08534B9D" w14:textId="48D25DBB"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45</w:t>
            </w:r>
          </w:p>
        </w:tc>
        <w:tc>
          <w:tcPr>
            <w:tcW w:w="1350" w:type="dxa"/>
            <w:tcBorders>
              <w:top w:val="single" w:sz="4" w:space="0" w:color="auto"/>
              <w:left w:val="single" w:sz="4" w:space="0" w:color="auto"/>
              <w:bottom w:val="single" w:sz="4" w:space="0" w:color="auto"/>
              <w:right w:val="single" w:sz="4" w:space="0" w:color="auto"/>
            </w:tcBorders>
            <w:hideMark/>
          </w:tcPr>
          <w:p w14:paraId="7E888B44"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5753A99C" w14:textId="5592B05E"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45</w:t>
            </w:r>
          </w:p>
        </w:tc>
        <w:tc>
          <w:tcPr>
            <w:tcW w:w="1556" w:type="dxa"/>
            <w:tcBorders>
              <w:top w:val="single" w:sz="4" w:space="0" w:color="auto"/>
              <w:left w:val="single" w:sz="4" w:space="0" w:color="auto"/>
              <w:bottom w:val="single" w:sz="4" w:space="0" w:color="auto"/>
              <w:right w:val="single" w:sz="4" w:space="0" w:color="auto"/>
            </w:tcBorders>
            <w:hideMark/>
          </w:tcPr>
          <w:p w14:paraId="3F9EB3E4" w14:textId="77777777" w:rsidR="00475C55" w:rsidRPr="00475C55" w:rsidRDefault="00475C55" w:rsidP="00475C55">
            <w:pPr>
              <w:contextualSpacing/>
              <w:jc w:val="right"/>
              <w:rPr>
                <w:sz w:val="20"/>
                <w:szCs w:val="20"/>
              </w:rPr>
            </w:pPr>
            <w:r w:rsidRPr="00475C55">
              <w:rPr>
                <w:sz w:val="20"/>
                <w:szCs w:val="20"/>
              </w:rPr>
              <w:t>0.083</w:t>
            </w:r>
          </w:p>
          <w:p w14:paraId="46681316"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(5 minutes)</w:t>
            </w:r>
          </w:p>
        </w:tc>
        <w:tc>
          <w:tcPr>
            <w:tcW w:w="1116" w:type="dxa"/>
            <w:tcBorders>
              <w:top w:val="single" w:sz="4" w:space="0" w:color="auto"/>
              <w:left w:val="single" w:sz="4" w:space="0" w:color="auto"/>
              <w:bottom w:val="single" w:sz="4" w:space="0" w:color="auto"/>
              <w:right w:val="single" w:sz="4" w:space="0" w:color="auto"/>
            </w:tcBorders>
            <w:hideMark/>
          </w:tcPr>
          <w:p w14:paraId="21B103FE" w14:textId="3ED6E6FD"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4</w:t>
            </w:r>
          </w:p>
        </w:tc>
      </w:tr>
      <w:tr w:rsidR="00475C55" w:rsidRPr="00475C55" w14:paraId="0772B952"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hideMark/>
          </w:tcPr>
          <w:p w14:paraId="67C71203"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Survey Cognitive Interviews</w:t>
            </w:r>
          </w:p>
        </w:tc>
        <w:tc>
          <w:tcPr>
            <w:tcW w:w="1350" w:type="dxa"/>
            <w:tcBorders>
              <w:top w:val="single" w:sz="4" w:space="0" w:color="auto"/>
              <w:left w:val="single" w:sz="4" w:space="0" w:color="auto"/>
              <w:bottom w:val="single" w:sz="4" w:space="0" w:color="auto"/>
              <w:right w:val="single" w:sz="4" w:space="0" w:color="auto"/>
            </w:tcBorders>
            <w:hideMark/>
          </w:tcPr>
          <w:p w14:paraId="5B0AEBD5" w14:textId="1DECC63C"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hideMark/>
          </w:tcPr>
          <w:p w14:paraId="4D06360D"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02546B3D" w14:textId="34287183"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9</w:t>
            </w:r>
          </w:p>
        </w:tc>
        <w:tc>
          <w:tcPr>
            <w:tcW w:w="1556" w:type="dxa"/>
            <w:tcBorders>
              <w:top w:val="single" w:sz="4" w:space="0" w:color="auto"/>
              <w:left w:val="single" w:sz="4" w:space="0" w:color="auto"/>
              <w:bottom w:val="single" w:sz="4" w:space="0" w:color="auto"/>
              <w:right w:val="single" w:sz="4" w:space="0" w:color="auto"/>
            </w:tcBorders>
            <w:hideMark/>
          </w:tcPr>
          <w:p w14:paraId="7BA2C6D1" w14:textId="77777777" w:rsidR="00475C55" w:rsidRPr="00475C55" w:rsidRDefault="00475C55" w:rsidP="00475C55">
            <w:pPr>
              <w:contextualSpacing/>
              <w:jc w:val="right"/>
              <w:rPr>
                <w:strike/>
                <w:sz w:val="20"/>
                <w:szCs w:val="20"/>
              </w:rPr>
            </w:pPr>
            <w:r w:rsidRPr="00475C55">
              <w:rPr>
                <w:sz w:val="20"/>
                <w:szCs w:val="20"/>
              </w:rPr>
              <w:t>1</w:t>
            </w:r>
          </w:p>
        </w:tc>
        <w:tc>
          <w:tcPr>
            <w:tcW w:w="1116" w:type="dxa"/>
            <w:tcBorders>
              <w:top w:val="single" w:sz="4" w:space="0" w:color="auto"/>
              <w:left w:val="single" w:sz="4" w:space="0" w:color="auto"/>
              <w:bottom w:val="single" w:sz="4" w:space="0" w:color="auto"/>
              <w:right w:val="single" w:sz="4" w:space="0" w:color="auto"/>
            </w:tcBorders>
            <w:hideMark/>
          </w:tcPr>
          <w:p w14:paraId="2EB240F5" w14:textId="65E0FB10"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9</w:t>
            </w:r>
          </w:p>
        </w:tc>
      </w:tr>
      <w:tr w:rsidR="00475C55" w:rsidRPr="00475C55" w14:paraId="5E9C7FC0"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hideMark/>
          </w:tcPr>
          <w:p w14:paraId="573C28BF"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 xml:space="preserve">Pretest survey screener </w:t>
            </w:r>
          </w:p>
        </w:tc>
        <w:tc>
          <w:tcPr>
            <w:tcW w:w="1350" w:type="dxa"/>
            <w:tcBorders>
              <w:top w:val="single" w:sz="4" w:space="0" w:color="auto"/>
              <w:left w:val="single" w:sz="4" w:space="0" w:color="auto"/>
              <w:bottom w:val="single" w:sz="4" w:space="0" w:color="auto"/>
              <w:right w:val="single" w:sz="4" w:space="0" w:color="auto"/>
            </w:tcBorders>
            <w:hideMark/>
          </w:tcPr>
          <w:p w14:paraId="39F41CCD" w14:textId="6FD327C5"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750</w:t>
            </w:r>
          </w:p>
        </w:tc>
        <w:tc>
          <w:tcPr>
            <w:tcW w:w="1350" w:type="dxa"/>
            <w:tcBorders>
              <w:top w:val="single" w:sz="4" w:space="0" w:color="auto"/>
              <w:left w:val="single" w:sz="4" w:space="0" w:color="auto"/>
              <w:bottom w:val="single" w:sz="4" w:space="0" w:color="auto"/>
              <w:right w:val="single" w:sz="4" w:space="0" w:color="auto"/>
            </w:tcBorders>
            <w:hideMark/>
          </w:tcPr>
          <w:p w14:paraId="6501B026"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0CCF8D2E" w14:textId="39F967B6"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750</w:t>
            </w:r>
          </w:p>
        </w:tc>
        <w:tc>
          <w:tcPr>
            <w:tcW w:w="1556" w:type="dxa"/>
            <w:tcBorders>
              <w:top w:val="single" w:sz="4" w:space="0" w:color="auto"/>
              <w:left w:val="single" w:sz="4" w:space="0" w:color="auto"/>
              <w:bottom w:val="single" w:sz="4" w:space="0" w:color="auto"/>
              <w:right w:val="single" w:sz="4" w:space="0" w:color="auto"/>
            </w:tcBorders>
            <w:hideMark/>
          </w:tcPr>
          <w:p w14:paraId="1167DC5B" w14:textId="77777777" w:rsidR="00475C55" w:rsidRPr="00475C55" w:rsidRDefault="00475C55" w:rsidP="00475C55">
            <w:pPr>
              <w:contextualSpacing/>
              <w:jc w:val="right"/>
              <w:rPr>
                <w:sz w:val="20"/>
                <w:szCs w:val="20"/>
              </w:rPr>
            </w:pPr>
            <w:r w:rsidRPr="00475C55">
              <w:rPr>
                <w:sz w:val="20"/>
                <w:szCs w:val="20"/>
              </w:rPr>
              <w:t>0.083</w:t>
            </w:r>
          </w:p>
          <w:p w14:paraId="587D3CD7"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(5 minutes)</w:t>
            </w:r>
          </w:p>
        </w:tc>
        <w:tc>
          <w:tcPr>
            <w:tcW w:w="1116" w:type="dxa"/>
            <w:tcBorders>
              <w:top w:val="single" w:sz="4" w:space="0" w:color="auto"/>
              <w:left w:val="single" w:sz="4" w:space="0" w:color="auto"/>
              <w:bottom w:val="single" w:sz="4" w:space="0" w:color="auto"/>
              <w:right w:val="single" w:sz="4" w:space="0" w:color="auto"/>
            </w:tcBorders>
            <w:hideMark/>
          </w:tcPr>
          <w:p w14:paraId="5793DD45" w14:textId="6E50B7EE"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trike/>
                <w:sz w:val="20"/>
                <w:szCs w:val="20"/>
              </w:rPr>
            </w:pPr>
            <w:r>
              <w:rPr>
                <w:sz w:val="20"/>
                <w:szCs w:val="20"/>
              </w:rPr>
              <w:t>62.25</w:t>
            </w:r>
          </w:p>
        </w:tc>
      </w:tr>
      <w:tr w:rsidR="00475C55" w:rsidRPr="00475C55" w14:paraId="5B45338F"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hideMark/>
          </w:tcPr>
          <w:p w14:paraId="34DDC0DE"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 xml:space="preserve">Pretest survey </w:t>
            </w:r>
          </w:p>
        </w:tc>
        <w:tc>
          <w:tcPr>
            <w:tcW w:w="1350" w:type="dxa"/>
            <w:tcBorders>
              <w:top w:val="single" w:sz="4" w:space="0" w:color="auto"/>
              <w:left w:val="single" w:sz="4" w:space="0" w:color="auto"/>
              <w:bottom w:val="single" w:sz="4" w:space="0" w:color="auto"/>
              <w:right w:val="single" w:sz="4" w:space="0" w:color="auto"/>
            </w:tcBorders>
            <w:hideMark/>
          </w:tcPr>
          <w:p w14:paraId="3A3CCF81" w14:textId="56EE5F7F"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150</w:t>
            </w:r>
          </w:p>
        </w:tc>
        <w:tc>
          <w:tcPr>
            <w:tcW w:w="1350" w:type="dxa"/>
            <w:tcBorders>
              <w:top w:val="single" w:sz="4" w:space="0" w:color="auto"/>
              <w:left w:val="single" w:sz="4" w:space="0" w:color="auto"/>
              <w:bottom w:val="single" w:sz="4" w:space="0" w:color="auto"/>
              <w:right w:val="single" w:sz="4" w:space="0" w:color="auto"/>
            </w:tcBorders>
            <w:hideMark/>
          </w:tcPr>
          <w:p w14:paraId="49F14CF2"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4921CBE3" w14:textId="01EFF38C"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150</w:t>
            </w:r>
          </w:p>
        </w:tc>
        <w:tc>
          <w:tcPr>
            <w:tcW w:w="1556" w:type="dxa"/>
            <w:tcBorders>
              <w:top w:val="single" w:sz="4" w:space="0" w:color="auto"/>
              <w:left w:val="single" w:sz="4" w:space="0" w:color="auto"/>
              <w:bottom w:val="single" w:sz="4" w:space="0" w:color="auto"/>
              <w:right w:val="single" w:sz="4" w:space="0" w:color="auto"/>
            </w:tcBorders>
            <w:hideMark/>
          </w:tcPr>
          <w:p w14:paraId="3097937D"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0.25</w:t>
            </w:r>
          </w:p>
          <w:p w14:paraId="4201FBF3"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(15 minutes)</w:t>
            </w:r>
          </w:p>
        </w:tc>
        <w:tc>
          <w:tcPr>
            <w:tcW w:w="1116" w:type="dxa"/>
            <w:tcBorders>
              <w:top w:val="single" w:sz="4" w:space="0" w:color="auto"/>
              <w:left w:val="single" w:sz="4" w:space="0" w:color="auto"/>
              <w:bottom w:val="single" w:sz="4" w:space="0" w:color="auto"/>
              <w:right w:val="single" w:sz="4" w:space="0" w:color="auto"/>
            </w:tcBorders>
            <w:hideMark/>
          </w:tcPr>
          <w:p w14:paraId="612B7570" w14:textId="0F818BB4"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38</w:t>
            </w:r>
          </w:p>
        </w:tc>
      </w:tr>
      <w:tr w:rsidR="00475C55" w:rsidRPr="00475C55" w14:paraId="79FEEA42"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hideMark/>
          </w:tcPr>
          <w:p w14:paraId="08D7E80B"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Self-Administered Surveys--Study Screener</w:t>
            </w:r>
          </w:p>
        </w:tc>
        <w:tc>
          <w:tcPr>
            <w:tcW w:w="1350" w:type="dxa"/>
            <w:tcBorders>
              <w:top w:val="single" w:sz="4" w:space="0" w:color="auto"/>
              <w:left w:val="single" w:sz="4" w:space="0" w:color="auto"/>
              <w:bottom w:val="single" w:sz="4" w:space="0" w:color="auto"/>
              <w:right w:val="single" w:sz="4" w:space="0" w:color="auto"/>
            </w:tcBorders>
            <w:hideMark/>
          </w:tcPr>
          <w:p w14:paraId="5DEDA178" w14:textId="16F42A2E"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75,000</w:t>
            </w:r>
          </w:p>
        </w:tc>
        <w:tc>
          <w:tcPr>
            <w:tcW w:w="1350" w:type="dxa"/>
            <w:tcBorders>
              <w:top w:val="single" w:sz="4" w:space="0" w:color="auto"/>
              <w:left w:val="single" w:sz="4" w:space="0" w:color="auto"/>
              <w:bottom w:val="single" w:sz="4" w:space="0" w:color="auto"/>
              <w:right w:val="single" w:sz="4" w:space="0" w:color="auto"/>
            </w:tcBorders>
            <w:hideMark/>
          </w:tcPr>
          <w:p w14:paraId="005870A2"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5BE5A9E0" w14:textId="6842D2C0"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75,000</w:t>
            </w:r>
          </w:p>
        </w:tc>
        <w:tc>
          <w:tcPr>
            <w:tcW w:w="1556" w:type="dxa"/>
            <w:tcBorders>
              <w:top w:val="single" w:sz="4" w:space="0" w:color="auto"/>
              <w:left w:val="single" w:sz="4" w:space="0" w:color="auto"/>
              <w:bottom w:val="single" w:sz="4" w:space="0" w:color="auto"/>
              <w:right w:val="single" w:sz="4" w:space="0" w:color="auto"/>
            </w:tcBorders>
            <w:hideMark/>
          </w:tcPr>
          <w:p w14:paraId="14B2EAF8" w14:textId="77777777" w:rsidR="00475C55" w:rsidRPr="00475C55" w:rsidRDefault="00475C55" w:rsidP="00475C55">
            <w:pPr>
              <w:contextualSpacing/>
              <w:jc w:val="right"/>
              <w:rPr>
                <w:sz w:val="20"/>
                <w:szCs w:val="20"/>
              </w:rPr>
            </w:pPr>
            <w:r w:rsidRPr="00475C55">
              <w:rPr>
                <w:sz w:val="20"/>
                <w:szCs w:val="20"/>
              </w:rPr>
              <w:t>0.083</w:t>
            </w:r>
          </w:p>
          <w:p w14:paraId="2EECDFDF"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(5 minutes)</w:t>
            </w:r>
          </w:p>
        </w:tc>
        <w:tc>
          <w:tcPr>
            <w:tcW w:w="1116" w:type="dxa"/>
            <w:tcBorders>
              <w:top w:val="single" w:sz="4" w:space="0" w:color="auto"/>
              <w:left w:val="single" w:sz="4" w:space="0" w:color="auto"/>
              <w:bottom w:val="single" w:sz="4" w:space="0" w:color="auto"/>
              <w:right w:val="single" w:sz="4" w:space="0" w:color="auto"/>
            </w:tcBorders>
            <w:hideMark/>
          </w:tcPr>
          <w:p w14:paraId="6FE68811" w14:textId="1D80F324"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6,225</w:t>
            </w:r>
          </w:p>
        </w:tc>
      </w:tr>
      <w:tr w:rsidR="00475C55" w:rsidRPr="00475C55" w14:paraId="29A68D9E"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hideMark/>
          </w:tcPr>
          <w:p w14:paraId="436DF05F"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Self-Administered Surveys</w:t>
            </w:r>
          </w:p>
        </w:tc>
        <w:tc>
          <w:tcPr>
            <w:tcW w:w="1350" w:type="dxa"/>
            <w:tcBorders>
              <w:top w:val="single" w:sz="4" w:space="0" w:color="auto"/>
              <w:left w:val="single" w:sz="4" w:space="0" w:color="auto"/>
              <w:bottom w:val="single" w:sz="4" w:space="0" w:color="auto"/>
              <w:right w:val="single" w:sz="4" w:space="0" w:color="auto"/>
            </w:tcBorders>
            <w:hideMark/>
          </w:tcPr>
          <w:p w14:paraId="6BAB32DE" w14:textId="29B2A05F"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15,000</w:t>
            </w:r>
          </w:p>
        </w:tc>
        <w:tc>
          <w:tcPr>
            <w:tcW w:w="1350" w:type="dxa"/>
            <w:tcBorders>
              <w:top w:val="single" w:sz="4" w:space="0" w:color="auto"/>
              <w:left w:val="single" w:sz="4" w:space="0" w:color="auto"/>
              <w:bottom w:val="single" w:sz="4" w:space="0" w:color="auto"/>
              <w:right w:val="single" w:sz="4" w:space="0" w:color="auto"/>
            </w:tcBorders>
            <w:hideMark/>
          </w:tcPr>
          <w:p w14:paraId="21CB5DFE"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11E1B01E" w14:textId="2944FEA5"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15,000</w:t>
            </w:r>
          </w:p>
        </w:tc>
        <w:tc>
          <w:tcPr>
            <w:tcW w:w="1556" w:type="dxa"/>
            <w:tcBorders>
              <w:top w:val="single" w:sz="4" w:space="0" w:color="auto"/>
              <w:left w:val="single" w:sz="4" w:space="0" w:color="auto"/>
              <w:bottom w:val="single" w:sz="4" w:space="0" w:color="auto"/>
              <w:right w:val="single" w:sz="4" w:space="0" w:color="auto"/>
            </w:tcBorders>
            <w:hideMark/>
          </w:tcPr>
          <w:p w14:paraId="1A2E3662"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0.25</w:t>
            </w:r>
          </w:p>
          <w:p w14:paraId="79E90C03"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(15 minutes)</w:t>
            </w:r>
          </w:p>
        </w:tc>
        <w:tc>
          <w:tcPr>
            <w:tcW w:w="1116" w:type="dxa"/>
            <w:tcBorders>
              <w:top w:val="single" w:sz="4" w:space="0" w:color="auto"/>
              <w:left w:val="single" w:sz="4" w:space="0" w:color="auto"/>
              <w:bottom w:val="single" w:sz="4" w:space="0" w:color="auto"/>
              <w:right w:val="single" w:sz="4" w:space="0" w:color="auto"/>
            </w:tcBorders>
            <w:hideMark/>
          </w:tcPr>
          <w:p w14:paraId="7C7EDB0D" w14:textId="728A21C7"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3,750</w:t>
            </w:r>
          </w:p>
        </w:tc>
      </w:tr>
      <w:tr w:rsidR="00475C55" w:rsidRPr="00475C55" w14:paraId="303FADAC" w14:textId="77777777" w:rsidTr="005F6191">
        <w:trPr>
          <w:trHeight w:val="61"/>
        </w:trPr>
        <w:tc>
          <w:tcPr>
            <w:tcW w:w="2628" w:type="dxa"/>
            <w:tcBorders>
              <w:top w:val="single" w:sz="4" w:space="0" w:color="auto"/>
              <w:left w:val="single" w:sz="4" w:space="0" w:color="auto"/>
              <w:bottom w:val="single" w:sz="4" w:space="0" w:color="auto"/>
              <w:right w:val="single" w:sz="4" w:space="0" w:color="auto"/>
            </w:tcBorders>
          </w:tcPr>
          <w:p w14:paraId="75939EAB"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Focus Group/Small Group, Cognitive Groups Screener</w:t>
            </w:r>
          </w:p>
        </w:tc>
        <w:tc>
          <w:tcPr>
            <w:tcW w:w="1350" w:type="dxa"/>
            <w:tcBorders>
              <w:top w:val="single" w:sz="4" w:space="0" w:color="auto"/>
              <w:left w:val="single" w:sz="4" w:space="0" w:color="auto"/>
              <w:bottom w:val="single" w:sz="4" w:space="0" w:color="auto"/>
              <w:right w:val="single" w:sz="4" w:space="0" w:color="auto"/>
            </w:tcBorders>
          </w:tcPr>
          <w:p w14:paraId="3B3AEFC5" w14:textId="337077EA"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180</w:t>
            </w:r>
          </w:p>
        </w:tc>
        <w:tc>
          <w:tcPr>
            <w:tcW w:w="1350" w:type="dxa"/>
            <w:tcBorders>
              <w:top w:val="single" w:sz="4" w:space="0" w:color="auto"/>
              <w:left w:val="single" w:sz="4" w:space="0" w:color="auto"/>
              <w:bottom w:val="single" w:sz="4" w:space="0" w:color="auto"/>
              <w:right w:val="single" w:sz="4" w:space="0" w:color="auto"/>
            </w:tcBorders>
          </w:tcPr>
          <w:p w14:paraId="5F0D36E6"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190009B2" w14:textId="5AF58513"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180</w:t>
            </w:r>
          </w:p>
        </w:tc>
        <w:tc>
          <w:tcPr>
            <w:tcW w:w="1556" w:type="dxa"/>
            <w:tcBorders>
              <w:top w:val="single" w:sz="4" w:space="0" w:color="auto"/>
              <w:left w:val="single" w:sz="4" w:space="0" w:color="auto"/>
              <w:bottom w:val="single" w:sz="4" w:space="0" w:color="auto"/>
              <w:right w:val="single" w:sz="4" w:space="0" w:color="auto"/>
            </w:tcBorders>
          </w:tcPr>
          <w:p w14:paraId="3180B9F9"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0.083</w:t>
            </w:r>
          </w:p>
          <w:p w14:paraId="326B43CC"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(5 minutes)</w:t>
            </w:r>
          </w:p>
        </w:tc>
        <w:tc>
          <w:tcPr>
            <w:tcW w:w="1116" w:type="dxa"/>
            <w:tcBorders>
              <w:top w:val="single" w:sz="4" w:space="0" w:color="auto"/>
              <w:left w:val="single" w:sz="4" w:space="0" w:color="auto"/>
              <w:bottom w:val="single" w:sz="4" w:space="0" w:color="auto"/>
              <w:right w:val="single" w:sz="4" w:space="0" w:color="auto"/>
            </w:tcBorders>
          </w:tcPr>
          <w:p w14:paraId="5814C7BE" w14:textId="4F65E831"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15</w:t>
            </w:r>
          </w:p>
        </w:tc>
      </w:tr>
      <w:tr w:rsidR="00475C55" w:rsidRPr="00475C55" w14:paraId="1AEC55A6" w14:textId="77777777" w:rsidTr="005F6191">
        <w:trPr>
          <w:trHeight w:val="485"/>
        </w:trPr>
        <w:tc>
          <w:tcPr>
            <w:tcW w:w="2628" w:type="dxa"/>
            <w:tcBorders>
              <w:top w:val="single" w:sz="4" w:space="0" w:color="auto"/>
              <w:left w:val="single" w:sz="4" w:space="0" w:color="auto"/>
              <w:bottom w:val="single" w:sz="4" w:space="0" w:color="auto"/>
              <w:right w:val="single" w:sz="4" w:space="0" w:color="auto"/>
            </w:tcBorders>
          </w:tcPr>
          <w:p w14:paraId="15F67DAC"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Focus Group/Small Group, Cognitive Groups</w:t>
            </w:r>
          </w:p>
        </w:tc>
        <w:tc>
          <w:tcPr>
            <w:tcW w:w="1350" w:type="dxa"/>
            <w:tcBorders>
              <w:top w:val="single" w:sz="4" w:space="0" w:color="auto"/>
              <w:left w:val="single" w:sz="4" w:space="0" w:color="auto"/>
              <w:bottom w:val="single" w:sz="4" w:space="0" w:color="auto"/>
              <w:right w:val="single" w:sz="4" w:space="0" w:color="auto"/>
            </w:tcBorders>
          </w:tcPr>
          <w:p w14:paraId="2C3FEF53" w14:textId="00EC673B"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60</w:t>
            </w:r>
          </w:p>
        </w:tc>
        <w:tc>
          <w:tcPr>
            <w:tcW w:w="1350" w:type="dxa"/>
            <w:tcBorders>
              <w:top w:val="single" w:sz="4" w:space="0" w:color="auto"/>
              <w:left w:val="single" w:sz="4" w:space="0" w:color="auto"/>
              <w:bottom w:val="single" w:sz="4" w:space="0" w:color="auto"/>
              <w:right w:val="single" w:sz="4" w:space="0" w:color="auto"/>
            </w:tcBorders>
          </w:tcPr>
          <w:p w14:paraId="2BCD13B4"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tcPr>
          <w:p w14:paraId="75799DFB" w14:textId="4DE25B2B"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color w:val="000000"/>
                <w:sz w:val="20"/>
                <w:szCs w:val="20"/>
              </w:rPr>
              <w:t>60</w:t>
            </w:r>
          </w:p>
        </w:tc>
        <w:tc>
          <w:tcPr>
            <w:tcW w:w="1556" w:type="dxa"/>
            <w:tcBorders>
              <w:top w:val="single" w:sz="4" w:space="0" w:color="auto"/>
              <w:left w:val="single" w:sz="4" w:space="0" w:color="auto"/>
              <w:bottom w:val="single" w:sz="4" w:space="0" w:color="auto"/>
              <w:right w:val="single" w:sz="4" w:space="0" w:color="auto"/>
            </w:tcBorders>
          </w:tcPr>
          <w:p w14:paraId="55AE8BDC"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 xml:space="preserve">1.5 </w:t>
            </w:r>
          </w:p>
          <w:p w14:paraId="2438637F"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(90 minutes)</w:t>
            </w:r>
          </w:p>
        </w:tc>
        <w:tc>
          <w:tcPr>
            <w:tcW w:w="1116" w:type="dxa"/>
            <w:tcBorders>
              <w:top w:val="single" w:sz="4" w:space="0" w:color="auto"/>
              <w:left w:val="single" w:sz="4" w:space="0" w:color="auto"/>
              <w:bottom w:val="single" w:sz="4" w:space="0" w:color="auto"/>
              <w:right w:val="single" w:sz="4" w:space="0" w:color="auto"/>
            </w:tcBorders>
          </w:tcPr>
          <w:p w14:paraId="224DBA2F" w14:textId="67296853"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90</w:t>
            </w:r>
          </w:p>
        </w:tc>
      </w:tr>
      <w:tr w:rsidR="00475C55" w:rsidRPr="00475C55" w14:paraId="192ACE8C" w14:textId="77777777" w:rsidTr="005F6191">
        <w:trPr>
          <w:trHeight w:val="512"/>
        </w:trPr>
        <w:tc>
          <w:tcPr>
            <w:tcW w:w="2628" w:type="dxa"/>
            <w:tcBorders>
              <w:top w:val="single" w:sz="4" w:space="0" w:color="auto"/>
              <w:left w:val="single" w:sz="4" w:space="0" w:color="auto"/>
              <w:bottom w:val="single" w:sz="4" w:space="0" w:color="auto"/>
              <w:right w:val="single" w:sz="4" w:space="0" w:color="auto"/>
            </w:tcBorders>
            <w:hideMark/>
          </w:tcPr>
          <w:p w14:paraId="779E7A19"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Focus Group/Small Group Participant Screening</w:t>
            </w:r>
          </w:p>
        </w:tc>
        <w:tc>
          <w:tcPr>
            <w:tcW w:w="1350" w:type="dxa"/>
            <w:tcBorders>
              <w:top w:val="single" w:sz="4" w:space="0" w:color="auto"/>
              <w:left w:val="single" w:sz="4" w:space="0" w:color="auto"/>
              <w:bottom w:val="single" w:sz="4" w:space="0" w:color="auto"/>
              <w:right w:val="single" w:sz="4" w:space="0" w:color="auto"/>
            </w:tcBorders>
            <w:hideMark/>
          </w:tcPr>
          <w:p w14:paraId="15BF0526" w14:textId="72800DB5"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Pr>
                <w:color w:val="000000"/>
                <w:sz w:val="20"/>
                <w:szCs w:val="20"/>
              </w:rPr>
              <w:t>720</w:t>
            </w:r>
          </w:p>
        </w:tc>
        <w:tc>
          <w:tcPr>
            <w:tcW w:w="1350" w:type="dxa"/>
            <w:tcBorders>
              <w:top w:val="single" w:sz="4" w:space="0" w:color="auto"/>
              <w:left w:val="single" w:sz="4" w:space="0" w:color="auto"/>
              <w:bottom w:val="single" w:sz="4" w:space="0" w:color="auto"/>
              <w:right w:val="single" w:sz="4" w:space="0" w:color="auto"/>
            </w:tcBorders>
            <w:hideMark/>
          </w:tcPr>
          <w:p w14:paraId="5C354437"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0286E1C7" w14:textId="030931E9"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Pr>
                <w:color w:val="000000"/>
                <w:sz w:val="20"/>
                <w:szCs w:val="20"/>
              </w:rPr>
              <w:t>720</w:t>
            </w:r>
          </w:p>
        </w:tc>
        <w:tc>
          <w:tcPr>
            <w:tcW w:w="1556" w:type="dxa"/>
            <w:tcBorders>
              <w:top w:val="single" w:sz="4" w:space="0" w:color="auto"/>
              <w:left w:val="single" w:sz="4" w:space="0" w:color="auto"/>
              <w:bottom w:val="single" w:sz="4" w:space="0" w:color="auto"/>
              <w:right w:val="single" w:sz="4" w:space="0" w:color="auto"/>
            </w:tcBorders>
            <w:hideMark/>
          </w:tcPr>
          <w:p w14:paraId="0B904312"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 xml:space="preserve">0.083 </w:t>
            </w:r>
          </w:p>
          <w:p w14:paraId="3869D0B9"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475C55">
              <w:rPr>
                <w:sz w:val="20"/>
                <w:szCs w:val="20"/>
              </w:rPr>
              <w:t>(5 minutes)</w:t>
            </w:r>
          </w:p>
        </w:tc>
        <w:tc>
          <w:tcPr>
            <w:tcW w:w="1116" w:type="dxa"/>
            <w:tcBorders>
              <w:top w:val="single" w:sz="4" w:space="0" w:color="auto"/>
              <w:left w:val="single" w:sz="4" w:space="0" w:color="auto"/>
              <w:bottom w:val="single" w:sz="4" w:space="0" w:color="auto"/>
              <w:right w:val="single" w:sz="4" w:space="0" w:color="auto"/>
            </w:tcBorders>
            <w:hideMark/>
          </w:tcPr>
          <w:p w14:paraId="4E79291B" w14:textId="4B5FF724"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Pr>
                <w:sz w:val="20"/>
                <w:szCs w:val="20"/>
              </w:rPr>
              <w:t>60</w:t>
            </w:r>
          </w:p>
        </w:tc>
      </w:tr>
      <w:tr w:rsidR="00475C55" w:rsidRPr="00475C55" w14:paraId="3A11C83E" w14:textId="77777777" w:rsidTr="005F6191">
        <w:trPr>
          <w:trHeight w:val="377"/>
        </w:trPr>
        <w:tc>
          <w:tcPr>
            <w:tcW w:w="2628" w:type="dxa"/>
            <w:tcBorders>
              <w:top w:val="single" w:sz="4" w:space="0" w:color="auto"/>
              <w:left w:val="single" w:sz="4" w:space="0" w:color="auto"/>
              <w:bottom w:val="single" w:sz="4" w:space="0" w:color="auto"/>
              <w:right w:val="single" w:sz="4" w:space="0" w:color="auto"/>
            </w:tcBorders>
            <w:hideMark/>
          </w:tcPr>
          <w:p w14:paraId="1A428D41"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lang w:bidi="he-IL"/>
              </w:rPr>
            </w:pPr>
            <w:r w:rsidRPr="00475C55">
              <w:rPr>
                <w:sz w:val="20"/>
                <w:szCs w:val="20"/>
              </w:rPr>
              <w:t>Focus Group/Small Group Discussion</w:t>
            </w:r>
          </w:p>
        </w:tc>
        <w:tc>
          <w:tcPr>
            <w:tcW w:w="1350" w:type="dxa"/>
            <w:tcBorders>
              <w:top w:val="single" w:sz="4" w:space="0" w:color="auto"/>
              <w:left w:val="single" w:sz="4" w:space="0" w:color="auto"/>
              <w:bottom w:val="single" w:sz="4" w:space="0" w:color="auto"/>
              <w:right w:val="single" w:sz="4" w:space="0" w:color="auto"/>
            </w:tcBorders>
            <w:hideMark/>
          </w:tcPr>
          <w:p w14:paraId="0631B987" w14:textId="4E8A4160"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Pr>
                <w:color w:val="000000"/>
                <w:sz w:val="20"/>
                <w:szCs w:val="20"/>
              </w:rPr>
              <w:t>240</w:t>
            </w:r>
          </w:p>
        </w:tc>
        <w:tc>
          <w:tcPr>
            <w:tcW w:w="1350" w:type="dxa"/>
            <w:tcBorders>
              <w:top w:val="single" w:sz="4" w:space="0" w:color="auto"/>
              <w:left w:val="single" w:sz="4" w:space="0" w:color="auto"/>
              <w:bottom w:val="single" w:sz="4" w:space="0" w:color="auto"/>
              <w:right w:val="single" w:sz="4" w:space="0" w:color="auto"/>
            </w:tcBorders>
            <w:hideMark/>
          </w:tcPr>
          <w:p w14:paraId="3CA72B63"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sidRPr="00475C55">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14:paraId="74384968" w14:textId="4FEB6732"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Pr>
                <w:color w:val="000000"/>
                <w:sz w:val="20"/>
                <w:szCs w:val="20"/>
              </w:rPr>
              <w:t>240</w:t>
            </w:r>
          </w:p>
        </w:tc>
        <w:tc>
          <w:tcPr>
            <w:tcW w:w="1556" w:type="dxa"/>
            <w:tcBorders>
              <w:top w:val="single" w:sz="4" w:space="0" w:color="auto"/>
              <w:left w:val="single" w:sz="4" w:space="0" w:color="auto"/>
              <w:bottom w:val="single" w:sz="4" w:space="0" w:color="auto"/>
              <w:right w:val="single" w:sz="4" w:space="0" w:color="auto"/>
            </w:tcBorders>
            <w:hideMark/>
          </w:tcPr>
          <w:p w14:paraId="2E650FD2"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1.5</w:t>
            </w:r>
          </w:p>
          <w:p w14:paraId="761CBAA3"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sidRPr="00475C55">
              <w:rPr>
                <w:sz w:val="20"/>
                <w:szCs w:val="20"/>
              </w:rPr>
              <w:t>(90 minutes)</w:t>
            </w:r>
          </w:p>
        </w:tc>
        <w:tc>
          <w:tcPr>
            <w:tcW w:w="1116" w:type="dxa"/>
            <w:tcBorders>
              <w:top w:val="single" w:sz="4" w:space="0" w:color="auto"/>
              <w:left w:val="single" w:sz="4" w:space="0" w:color="auto"/>
              <w:bottom w:val="single" w:sz="4" w:space="0" w:color="auto"/>
              <w:right w:val="single" w:sz="4" w:space="0" w:color="auto"/>
            </w:tcBorders>
            <w:hideMark/>
          </w:tcPr>
          <w:p w14:paraId="4730E6C4" w14:textId="06484758"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lang w:bidi="he-IL"/>
              </w:rPr>
            </w:pPr>
            <w:r>
              <w:rPr>
                <w:sz w:val="20"/>
                <w:szCs w:val="20"/>
              </w:rPr>
              <w:t>360</w:t>
            </w:r>
          </w:p>
        </w:tc>
      </w:tr>
      <w:tr w:rsidR="00475C55" w:rsidRPr="00475C55" w14:paraId="22DCBA10" w14:textId="77777777" w:rsidTr="009D3FF5">
        <w:trPr>
          <w:trHeight w:val="278"/>
        </w:trPr>
        <w:tc>
          <w:tcPr>
            <w:tcW w:w="8234" w:type="dxa"/>
            <w:gridSpan w:val="5"/>
            <w:tcBorders>
              <w:top w:val="single" w:sz="4" w:space="0" w:color="auto"/>
              <w:left w:val="single" w:sz="4" w:space="0" w:color="auto"/>
              <w:bottom w:val="single" w:sz="4" w:space="0" w:color="auto"/>
              <w:right w:val="single" w:sz="4" w:space="0" w:color="auto"/>
            </w:tcBorders>
            <w:vAlign w:val="center"/>
            <w:hideMark/>
          </w:tcPr>
          <w:p w14:paraId="573BC099" w14:textId="77777777" w:rsidR="00475C55" w:rsidRPr="00475C55" w:rsidRDefault="00475C55"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0"/>
                <w:szCs w:val="20"/>
              </w:rPr>
            </w:pPr>
            <w:r w:rsidRPr="00475C55">
              <w:rPr>
                <w:sz w:val="20"/>
                <w:szCs w:val="20"/>
              </w:rPr>
              <w:t>Total</w:t>
            </w:r>
          </w:p>
        </w:tc>
        <w:tc>
          <w:tcPr>
            <w:tcW w:w="1116" w:type="dxa"/>
            <w:tcBorders>
              <w:top w:val="single" w:sz="4" w:space="0" w:color="auto"/>
              <w:left w:val="single" w:sz="4" w:space="0" w:color="auto"/>
              <w:bottom w:val="single" w:sz="4" w:space="0" w:color="auto"/>
              <w:right w:val="single" w:sz="4" w:space="0" w:color="auto"/>
            </w:tcBorders>
          </w:tcPr>
          <w:p w14:paraId="2A5891C3" w14:textId="14DA1089" w:rsidR="00475C55" w:rsidRPr="00475C55" w:rsidRDefault="005F6191" w:rsidP="00475C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sz w:val="20"/>
                <w:szCs w:val="20"/>
              </w:rPr>
            </w:pPr>
            <w:r>
              <w:rPr>
                <w:sz w:val="20"/>
                <w:szCs w:val="20"/>
              </w:rPr>
              <w:t>10,881.25</w:t>
            </w:r>
          </w:p>
        </w:tc>
      </w:tr>
    </w:tbl>
    <w:p w14:paraId="463491F2" w14:textId="77777777" w:rsidR="00475C55" w:rsidRPr="0065391B" w:rsidRDefault="00475C55" w:rsidP="0065391B">
      <w:pPr>
        <w:autoSpaceDN w:val="0"/>
        <w:rPr>
          <w:b/>
          <w:u w:val="single"/>
          <w:lang w:bidi="he-IL"/>
        </w:rPr>
      </w:pPr>
    </w:p>
    <w:p w14:paraId="1DD22FE1" w14:textId="7170413B" w:rsidR="003740BC" w:rsidRDefault="00A260F7" w:rsidP="00A260F7">
      <w:pPr>
        <w:pStyle w:val="BodyText2"/>
        <w:ind w:left="720"/>
      </w:pPr>
      <w:r>
        <w:t xml:space="preserve">The total estimated annual burden is </w:t>
      </w:r>
      <w:r w:rsidR="00475C55">
        <w:t>1</w:t>
      </w:r>
      <w:r w:rsidR="005F6191">
        <w:t>0</w:t>
      </w:r>
      <w:r w:rsidR="00475C55">
        <w:t>,</w:t>
      </w:r>
      <w:r w:rsidR="005F6191">
        <w:t>881.25</w:t>
      </w:r>
      <w:r>
        <w:t xml:space="preserve"> hours.  Current estimates are based on both historical numbers of participants from past projects as well as estimated for projects to be conducted in the next 3 years.  The number of </w:t>
      </w:r>
      <w:r w:rsidR="008F0698">
        <w:t>respondents</w:t>
      </w:r>
      <w:r>
        <w:t xml:space="preserve"> to be included in each new individual survey will vary, depending on the nature of the compliance efforts and the target audience.</w:t>
      </w:r>
    </w:p>
    <w:p w14:paraId="23839359" w14:textId="77777777" w:rsidR="00A260F7" w:rsidRDefault="00A260F7" w:rsidP="00A260F7">
      <w:pPr>
        <w:pStyle w:val="BodyText2"/>
        <w:ind w:left="720"/>
      </w:pPr>
    </w:p>
    <w:p w14:paraId="09B87130" w14:textId="77777777" w:rsidR="00A93ED9" w:rsidRDefault="00A93ED9" w:rsidP="00A260F7">
      <w:pPr>
        <w:pStyle w:val="BodyText2"/>
        <w:ind w:left="720"/>
      </w:pPr>
      <w:r w:rsidRPr="00C75CBF">
        <w:t xml:space="preserve">12b. </w:t>
      </w:r>
      <w:r w:rsidR="00411D11" w:rsidRPr="00C75CBF">
        <w:rPr>
          <w:u w:val="single"/>
        </w:rPr>
        <w:t>Annualized Cost Burden Estimate</w:t>
      </w:r>
    </w:p>
    <w:p w14:paraId="03DAE63A" w14:textId="77777777" w:rsidR="00A93ED9" w:rsidRDefault="00A93ED9" w:rsidP="001D495A">
      <w:pPr>
        <w:pStyle w:val="BodyText2"/>
        <w:ind w:left="720"/>
      </w:pPr>
    </w:p>
    <w:p w14:paraId="7FBF03DA" w14:textId="3B09C90F" w:rsidR="00A260F7" w:rsidRPr="00A260F7" w:rsidRDefault="00A260F7" w:rsidP="00A260F7">
      <w:pPr>
        <w:autoSpaceDE w:val="0"/>
        <w:autoSpaceDN w:val="0"/>
        <w:adjustRightInd w:val="0"/>
        <w:ind w:left="720"/>
        <w:rPr>
          <w:lang w:bidi="he-IL"/>
        </w:rPr>
      </w:pPr>
      <w:r w:rsidRPr="00A260F7">
        <w:rPr>
          <w:lang w:bidi="he-IL"/>
        </w:rPr>
        <w:t>The general public will complete the majority of data collections. The average hourly compensation for this group is $24.34</w:t>
      </w:r>
      <w:r w:rsidRPr="00A260F7">
        <w:rPr>
          <w:vertAlign w:val="superscript"/>
          <w:lang w:bidi="he-IL"/>
        </w:rPr>
        <w:footnoteReference w:id="2"/>
      </w:r>
      <w:r w:rsidRPr="00A260F7">
        <w:rPr>
          <w:vertAlign w:val="superscript"/>
          <w:lang w:bidi="he-IL"/>
        </w:rPr>
        <w:t xml:space="preserve"> </w:t>
      </w:r>
      <w:r w:rsidRPr="00A260F7">
        <w:rPr>
          <w:lang w:bidi="he-IL"/>
        </w:rPr>
        <w:t xml:space="preserve"> </w:t>
      </w:r>
      <w:r>
        <w:rPr>
          <w:lang w:bidi="he-IL"/>
        </w:rPr>
        <w:t xml:space="preserve"> </w:t>
      </w:r>
      <w:r w:rsidR="005F6191">
        <w:rPr>
          <w:lang w:bidi="he-IL"/>
        </w:rPr>
        <w:t xml:space="preserve">To account for any overhead for this wage rate, we have doubled it to $48.68 to determine the cost to the potential respondents.  </w:t>
      </w:r>
      <w:r w:rsidRPr="00A260F7">
        <w:rPr>
          <w:lang w:bidi="he-IL"/>
        </w:rPr>
        <w:t xml:space="preserve">The estimated annualized cost for the general public in this information collection for </w:t>
      </w:r>
      <w:r w:rsidR="009D3FF5">
        <w:rPr>
          <w:lang w:bidi="he-IL"/>
        </w:rPr>
        <w:t>1</w:t>
      </w:r>
      <w:r w:rsidR="005F6191">
        <w:rPr>
          <w:lang w:bidi="he-IL"/>
        </w:rPr>
        <w:t>0</w:t>
      </w:r>
      <w:r w:rsidR="009D3FF5">
        <w:rPr>
          <w:lang w:bidi="he-IL"/>
        </w:rPr>
        <w:t>,</w:t>
      </w:r>
      <w:r w:rsidR="005F6191">
        <w:rPr>
          <w:lang w:bidi="he-IL"/>
        </w:rPr>
        <w:t xml:space="preserve">881.25 </w:t>
      </w:r>
      <w:r w:rsidRPr="00A260F7">
        <w:rPr>
          <w:lang w:bidi="he-IL"/>
        </w:rPr>
        <w:t>hours of reporting time is $</w:t>
      </w:r>
      <w:r w:rsidR="00056C88">
        <w:rPr>
          <w:lang w:bidi="he-IL"/>
        </w:rPr>
        <w:t>529</w:t>
      </w:r>
      <w:r w:rsidR="005F6191">
        <w:rPr>
          <w:lang w:bidi="he-IL"/>
        </w:rPr>
        <w:t>,</w:t>
      </w:r>
      <w:r w:rsidR="00056C88">
        <w:rPr>
          <w:lang w:bidi="he-IL"/>
        </w:rPr>
        <w:t>699</w:t>
      </w:r>
      <w:r w:rsidR="009D3FF5">
        <w:rPr>
          <w:lang w:bidi="he-IL"/>
        </w:rPr>
        <w:t>.</w:t>
      </w:r>
      <w:r w:rsidR="00056C88">
        <w:rPr>
          <w:lang w:bidi="he-IL"/>
        </w:rPr>
        <w:t>25</w:t>
      </w:r>
      <w:r w:rsidRPr="00A260F7">
        <w:rPr>
          <w:lang w:bidi="he-IL"/>
        </w:rPr>
        <w:t xml:space="preserve">.  The number of </w:t>
      </w:r>
      <w:r w:rsidR="008F0698">
        <w:rPr>
          <w:lang w:bidi="he-IL"/>
        </w:rPr>
        <w:t>respondents</w:t>
      </w:r>
      <w:r w:rsidRPr="00A260F7">
        <w:rPr>
          <w:lang w:bidi="he-IL"/>
        </w:rPr>
        <w:t xml:space="preserve"> and length of response was determined on the basis of FDA’s prior experience with communications testing and an estimate of the communication needs of the Center for Food Safety and Applied Nutrition. </w:t>
      </w:r>
      <w:r w:rsidR="00F727AD">
        <w:rPr>
          <w:lang w:bidi="he-IL"/>
        </w:rPr>
        <w:t xml:space="preserve"> </w:t>
      </w:r>
      <w:r w:rsidRPr="00A260F7">
        <w:rPr>
          <w:lang w:bidi="he-IL"/>
        </w:rPr>
        <w:t>The actual numbers will vary depending upon the topic of interest.</w:t>
      </w:r>
    </w:p>
    <w:p w14:paraId="5E03B8A8" w14:textId="77777777" w:rsidR="00A260F7" w:rsidRPr="00A260F7" w:rsidRDefault="00A260F7" w:rsidP="00A260F7">
      <w:pPr>
        <w:autoSpaceDN w:val="0"/>
        <w:rPr>
          <w:lang w:bidi="he-IL"/>
        </w:rPr>
      </w:pPr>
    </w:p>
    <w:p w14:paraId="4FCFE59D" w14:textId="77777777" w:rsidR="00A260F7" w:rsidRPr="00A260F7" w:rsidRDefault="00A260F7" w:rsidP="00A260F7">
      <w:pPr>
        <w:autoSpaceDE w:val="0"/>
        <w:autoSpaceDN w:val="0"/>
        <w:adjustRightInd w:val="0"/>
        <w:rPr>
          <w:lang w:bidi="he-IL"/>
        </w:rPr>
      </w:pPr>
    </w:p>
    <w:p w14:paraId="75A8970B" w14:textId="77777777" w:rsidR="00A260F7" w:rsidRPr="00A260F7" w:rsidRDefault="00A260F7" w:rsidP="00A260F7">
      <w:pPr>
        <w:autoSpaceDE w:val="0"/>
        <w:autoSpaceDN w:val="0"/>
        <w:adjustRightInd w:val="0"/>
        <w:rPr>
          <w:lang w:bidi="he-IL"/>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1209"/>
        <w:gridCol w:w="1064"/>
        <w:gridCol w:w="1800"/>
      </w:tblGrid>
      <w:tr w:rsidR="00F727AD" w:rsidRPr="00A260F7" w14:paraId="19FC0048" w14:textId="77777777" w:rsidTr="009D3FF5">
        <w:trPr>
          <w:trHeight w:val="1056"/>
        </w:trPr>
        <w:tc>
          <w:tcPr>
            <w:tcW w:w="9198" w:type="dxa"/>
            <w:gridSpan w:val="4"/>
            <w:tcBorders>
              <w:top w:val="single" w:sz="4" w:space="0" w:color="auto"/>
              <w:left w:val="single" w:sz="4" w:space="0" w:color="auto"/>
              <w:bottom w:val="single" w:sz="4" w:space="0" w:color="auto"/>
              <w:right w:val="single" w:sz="4" w:space="0" w:color="auto"/>
            </w:tcBorders>
            <w:vAlign w:val="center"/>
          </w:tcPr>
          <w:p w14:paraId="5FB7671F" w14:textId="77777777" w:rsidR="00F727AD" w:rsidRPr="00A260F7" w:rsidRDefault="00F727AD" w:rsidP="00A260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2"/>
                <w:szCs w:val="22"/>
                <w:lang w:bidi="he-IL"/>
              </w:rPr>
            </w:pPr>
            <w:r>
              <w:rPr>
                <w:b/>
                <w:bCs/>
                <w:sz w:val="22"/>
                <w:szCs w:val="22"/>
                <w:lang w:bidi="he-IL"/>
              </w:rPr>
              <w:t>Table 2: Annual Cost Burden Estimate</w:t>
            </w:r>
          </w:p>
        </w:tc>
      </w:tr>
      <w:tr w:rsidR="00A260F7" w:rsidRPr="00A260F7" w14:paraId="47AE8D46" w14:textId="77777777" w:rsidTr="00416547">
        <w:trPr>
          <w:trHeight w:val="1056"/>
        </w:trPr>
        <w:tc>
          <w:tcPr>
            <w:tcW w:w="5125" w:type="dxa"/>
            <w:tcBorders>
              <w:top w:val="single" w:sz="4" w:space="0" w:color="auto"/>
              <w:left w:val="single" w:sz="4" w:space="0" w:color="auto"/>
              <w:bottom w:val="single" w:sz="4" w:space="0" w:color="auto"/>
              <w:right w:val="single" w:sz="4" w:space="0" w:color="auto"/>
            </w:tcBorders>
            <w:vAlign w:val="center"/>
          </w:tcPr>
          <w:p w14:paraId="73A392D5" w14:textId="77777777" w:rsidR="00A260F7" w:rsidRPr="00A260F7" w:rsidRDefault="00A260F7" w:rsidP="00A260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 w:val="22"/>
                <w:szCs w:val="22"/>
                <w:lang w:bidi="he-IL"/>
              </w:rPr>
            </w:pPr>
            <w:r w:rsidRPr="00A260F7">
              <w:rPr>
                <w:b/>
                <w:sz w:val="22"/>
                <w:szCs w:val="22"/>
                <w:lang w:bidi="he-IL"/>
              </w:rPr>
              <w:t>Survey Type</w:t>
            </w:r>
          </w:p>
        </w:tc>
        <w:tc>
          <w:tcPr>
            <w:tcW w:w="1209" w:type="dxa"/>
            <w:tcBorders>
              <w:top w:val="single" w:sz="4" w:space="0" w:color="auto"/>
              <w:left w:val="single" w:sz="4" w:space="0" w:color="auto"/>
              <w:bottom w:val="single" w:sz="4" w:space="0" w:color="auto"/>
              <w:right w:val="single" w:sz="4" w:space="0" w:color="auto"/>
            </w:tcBorders>
            <w:vAlign w:val="center"/>
          </w:tcPr>
          <w:p w14:paraId="6544FCEC" w14:textId="77777777" w:rsidR="00A260F7" w:rsidRPr="00A260F7" w:rsidRDefault="00A260F7" w:rsidP="00A260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 w:val="22"/>
                <w:szCs w:val="22"/>
                <w:lang w:bidi="he-IL"/>
              </w:rPr>
            </w:pPr>
            <w:r w:rsidRPr="00A260F7">
              <w:rPr>
                <w:b/>
                <w:sz w:val="22"/>
                <w:szCs w:val="22"/>
                <w:lang w:bidi="he-IL"/>
              </w:rPr>
              <w:t>Total Burden Hours</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2A7DA34" w14:textId="77777777" w:rsidR="00A260F7" w:rsidRPr="00A260F7" w:rsidRDefault="00A260F7" w:rsidP="00A260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 w:val="22"/>
                <w:szCs w:val="22"/>
                <w:lang w:bidi="he-IL"/>
              </w:rPr>
            </w:pPr>
            <w:r w:rsidRPr="00A260F7">
              <w:rPr>
                <w:b/>
                <w:sz w:val="22"/>
                <w:szCs w:val="22"/>
                <w:lang w:bidi="he-IL"/>
              </w:rPr>
              <w:t>Average Rate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6AC905" w14:textId="77777777" w:rsidR="00A260F7" w:rsidRPr="00A260F7" w:rsidRDefault="00A260F7" w:rsidP="00A260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2"/>
                <w:szCs w:val="22"/>
                <w:lang w:bidi="he-IL"/>
              </w:rPr>
            </w:pPr>
            <w:r w:rsidRPr="00A260F7">
              <w:rPr>
                <w:b/>
                <w:bCs/>
                <w:sz w:val="22"/>
                <w:szCs w:val="22"/>
                <w:lang w:bidi="he-IL"/>
              </w:rPr>
              <w:t>Total Respondent Cost</w:t>
            </w:r>
          </w:p>
        </w:tc>
      </w:tr>
      <w:tr w:rsidR="0047786C" w:rsidRPr="00A260F7" w14:paraId="580B943E"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0E6E82B6"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In-depth Interviews, Cognitive Interviews Screener</w:t>
            </w:r>
          </w:p>
        </w:tc>
        <w:tc>
          <w:tcPr>
            <w:tcW w:w="1209" w:type="dxa"/>
            <w:tcBorders>
              <w:top w:val="single" w:sz="4" w:space="0" w:color="auto"/>
              <w:left w:val="single" w:sz="4" w:space="0" w:color="auto"/>
              <w:bottom w:val="single" w:sz="4" w:space="0" w:color="auto"/>
              <w:right w:val="single" w:sz="4" w:space="0" w:color="auto"/>
            </w:tcBorders>
          </w:tcPr>
          <w:p w14:paraId="40993026" w14:textId="5DFB2E67"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4</w:t>
            </w:r>
          </w:p>
        </w:tc>
        <w:tc>
          <w:tcPr>
            <w:tcW w:w="1064" w:type="dxa"/>
            <w:tcBorders>
              <w:top w:val="single" w:sz="4" w:space="0" w:color="auto"/>
              <w:left w:val="single" w:sz="4" w:space="0" w:color="auto"/>
              <w:bottom w:val="single" w:sz="4" w:space="0" w:color="auto"/>
              <w:right w:val="single" w:sz="4" w:space="0" w:color="auto"/>
            </w:tcBorders>
          </w:tcPr>
          <w:p w14:paraId="4FD8E5D7" w14:textId="119701A0"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A260F7">
              <w:rPr>
                <w:lang w:bidi="he-IL"/>
              </w:rPr>
              <w:t>$</w:t>
            </w:r>
            <w:r w:rsid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4EF6403F" w14:textId="5C0EE1D1"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194.72</w:t>
            </w:r>
          </w:p>
        </w:tc>
      </w:tr>
      <w:tr w:rsidR="0047786C" w:rsidRPr="00A260F7" w14:paraId="49132C51"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4F42E2D1"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 xml:space="preserve">In-depth Interviews, Cognitive Interviews </w:t>
            </w:r>
          </w:p>
        </w:tc>
        <w:tc>
          <w:tcPr>
            <w:tcW w:w="1209" w:type="dxa"/>
            <w:tcBorders>
              <w:top w:val="single" w:sz="4" w:space="0" w:color="auto"/>
              <w:left w:val="single" w:sz="4" w:space="0" w:color="auto"/>
              <w:bottom w:val="single" w:sz="4" w:space="0" w:color="auto"/>
              <w:right w:val="single" w:sz="4" w:space="0" w:color="auto"/>
            </w:tcBorders>
          </w:tcPr>
          <w:p w14:paraId="54045307" w14:textId="4EC4CF3F"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9</w:t>
            </w:r>
          </w:p>
        </w:tc>
        <w:tc>
          <w:tcPr>
            <w:tcW w:w="1064" w:type="dxa"/>
            <w:tcBorders>
              <w:top w:val="single" w:sz="4" w:space="0" w:color="auto"/>
              <w:left w:val="single" w:sz="4" w:space="0" w:color="auto"/>
              <w:bottom w:val="single" w:sz="4" w:space="0" w:color="auto"/>
              <w:right w:val="single" w:sz="4" w:space="0" w:color="auto"/>
            </w:tcBorders>
          </w:tcPr>
          <w:p w14:paraId="44F20AFC" w14:textId="275AF1FC"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149C3E6A" w14:textId="47B736C8"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438.12</w:t>
            </w:r>
          </w:p>
        </w:tc>
      </w:tr>
      <w:tr w:rsidR="0047786C" w:rsidRPr="00A260F7" w14:paraId="233D50CC"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7F980806"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In-depth Interviews Screener</w:t>
            </w:r>
          </w:p>
        </w:tc>
        <w:tc>
          <w:tcPr>
            <w:tcW w:w="1209" w:type="dxa"/>
            <w:tcBorders>
              <w:top w:val="single" w:sz="4" w:space="0" w:color="auto"/>
              <w:left w:val="single" w:sz="4" w:space="0" w:color="auto"/>
              <w:bottom w:val="single" w:sz="4" w:space="0" w:color="auto"/>
              <w:right w:val="single" w:sz="4" w:space="0" w:color="auto"/>
            </w:tcBorders>
          </w:tcPr>
          <w:p w14:paraId="0678BDE7" w14:textId="3EADEE35"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75</w:t>
            </w:r>
          </w:p>
        </w:tc>
        <w:tc>
          <w:tcPr>
            <w:tcW w:w="1064" w:type="dxa"/>
            <w:tcBorders>
              <w:top w:val="single" w:sz="4" w:space="0" w:color="auto"/>
              <w:left w:val="single" w:sz="4" w:space="0" w:color="auto"/>
              <w:bottom w:val="single" w:sz="4" w:space="0" w:color="auto"/>
              <w:right w:val="single" w:sz="4" w:space="0" w:color="auto"/>
            </w:tcBorders>
          </w:tcPr>
          <w:p w14:paraId="6119F3CC" w14:textId="6B72D6D7"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3BAAD1BF" w14:textId="4040E79B"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3,651.00</w:t>
            </w:r>
          </w:p>
        </w:tc>
      </w:tr>
      <w:tr w:rsidR="0047786C" w:rsidRPr="00A260F7" w14:paraId="6AE58DBE"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025175BC"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 xml:space="preserve">In-depth Interviews </w:t>
            </w:r>
          </w:p>
        </w:tc>
        <w:tc>
          <w:tcPr>
            <w:tcW w:w="1209" w:type="dxa"/>
            <w:tcBorders>
              <w:top w:val="single" w:sz="4" w:space="0" w:color="auto"/>
              <w:left w:val="single" w:sz="4" w:space="0" w:color="auto"/>
              <w:bottom w:val="single" w:sz="4" w:space="0" w:color="auto"/>
              <w:right w:val="single" w:sz="4" w:space="0" w:color="auto"/>
            </w:tcBorders>
          </w:tcPr>
          <w:p w14:paraId="0A1E55B0" w14:textId="5835B0F3"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180</w:t>
            </w:r>
          </w:p>
        </w:tc>
        <w:tc>
          <w:tcPr>
            <w:tcW w:w="1064" w:type="dxa"/>
            <w:tcBorders>
              <w:top w:val="single" w:sz="4" w:space="0" w:color="auto"/>
              <w:left w:val="single" w:sz="4" w:space="0" w:color="auto"/>
              <w:bottom w:val="single" w:sz="4" w:space="0" w:color="auto"/>
              <w:right w:val="single" w:sz="4" w:space="0" w:color="auto"/>
            </w:tcBorders>
          </w:tcPr>
          <w:p w14:paraId="48C9F0BE" w14:textId="5170EE6D"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06259584" w14:textId="3151D522"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8,762.40</w:t>
            </w:r>
          </w:p>
        </w:tc>
      </w:tr>
      <w:tr w:rsidR="0047786C" w:rsidRPr="00A260F7" w14:paraId="4BDFF595"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hideMark/>
          </w:tcPr>
          <w:p w14:paraId="037B92FC"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Survey Cognitive Interviews Screener</w:t>
            </w:r>
          </w:p>
        </w:tc>
        <w:tc>
          <w:tcPr>
            <w:tcW w:w="1209" w:type="dxa"/>
            <w:tcBorders>
              <w:top w:val="single" w:sz="4" w:space="0" w:color="auto"/>
              <w:left w:val="single" w:sz="4" w:space="0" w:color="auto"/>
              <w:bottom w:val="single" w:sz="4" w:space="0" w:color="auto"/>
              <w:right w:val="single" w:sz="4" w:space="0" w:color="auto"/>
            </w:tcBorders>
          </w:tcPr>
          <w:p w14:paraId="36C282D2" w14:textId="347D244B"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4</w:t>
            </w:r>
          </w:p>
        </w:tc>
        <w:tc>
          <w:tcPr>
            <w:tcW w:w="1064" w:type="dxa"/>
            <w:tcBorders>
              <w:top w:val="single" w:sz="4" w:space="0" w:color="auto"/>
              <w:left w:val="single" w:sz="4" w:space="0" w:color="auto"/>
              <w:bottom w:val="single" w:sz="4" w:space="0" w:color="auto"/>
              <w:right w:val="single" w:sz="4" w:space="0" w:color="auto"/>
            </w:tcBorders>
            <w:hideMark/>
          </w:tcPr>
          <w:p w14:paraId="5F2191BF" w14:textId="14A06264"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5E135F6" w14:textId="3B0D83FC"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194.72</w:t>
            </w:r>
          </w:p>
        </w:tc>
      </w:tr>
      <w:tr w:rsidR="0047786C" w:rsidRPr="00A260F7" w14:paraId="59068458"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hideMark/>
          </w:tcPr>
          <w:p w14:paraId="69DD3F73"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Survey Cognitive Interviews</w:t>
            </w:r>
          </w:p>
        </w:tc>
        <w:tc>
          <w:tcPr>
            <w:tcW w:w="1209" w:type="dxa"/>
            <w:tcBorders>
              <w:top w:val="single" w:sz="4" w:space="0" w:color="auto"/>
              <w:left w:val="single" w:sz="4" w:space="0" w:color="auto"/>
              <w:bottom w:val="single" w:sz="4" w:space="0" w:color="auto"/>
              <w:right w:val="single" w:sz="4" w:space="0" w:color="auto"/>
            </w:tcBorders>
          </w:tcPr>
          <w:p w14:paraId="67D81550" w14:textId="0DB83BC0"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9</w:t>
            </w:r>
          </w:p>
        </w:tc>
        <w:tc>
          <w:tcPr>
            <w:tcW w:w="1064" w:type="dxa"/>
            <w:tcBorders>
              <w:top w:val="single" w:sz="4" w:space="0" w:color="auto"/>
              <w:left w:val="single" w:sz="4" w:space="0" w:color="auto"/>
              <w:bottom w:val="single" w:sz="4" w:space="0" w:color="auto"/>
              <w:right w:val="single" w:sz="4" w:space="0" w:color="auto"/>
            </w:tcBorders>
            <w:hideMark/>
          </w:tcPr>
          <w:p w14:paraId="67B68589" w14:textId="5F3D080B"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02DD30D" w14:textId="28F18F9D"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438.12</w:t>
            </w:r>
          </w:p>
        </w:tc>
      </w:tr>
      <w:tr w:rsidR="0047786C" w:rsidRPr="00A260F7" w14:paraId="7A8D3C5C"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hideMark/>
          </w:tcPr>
          <w:p w14:paraId="6A101003"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 xml:space="preserve">Pre-test survey screener </w:t>
            </w:r>
          </w:p>
        </w:tc>
        <w:tc>
          <w:tcPr>
            <w:tcW w:w="1209" w:type="dxa"/>
            <w:tcBorders>
              <w:top w:val="single" w:sz="4" w:space="0" w:color="auto"/>
              <w:left w:val="single" w:sz="4" w:space="0" w:color="auto"/>
              <w:bottom w:val="single" w:sz="4" w:space="0" w:color="auto"/>
              <w:right w:val="single" w:sz="4" w:space="0" w:color="auto"/>
            </w:tcBorders>
          </w:tcPr>
          <w:p w14:paraId="05434073" w14:textId="60C8D907"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62.25</w:t>
            </w:r>
          </w:p>
        </w:tc>
        <w:tc>
          <w:tcPr>
            <w:tcW w:w="1064" w:type="dxa"/>
            <w:tcBorders>
              <w:top w:val="single" w:sz="4" w:space="0" w:color="auto"/>
              <w:left w:val="single" w:sz="4" w:space="0" w:color="auto"/>
              <w:bottom w:val="single" w:sz="4" w:space="0" w:color="auto"/>
              <w:right w:val="single" w:sz="4" w:space="0" w:color="auto"/>
            </w:tcBorders>
            <w:hideMark/>
          </w:tcPr>
          <w:p w14:paraId="000C2AD6" w14:textId="3DA916C8"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DD409EA" w14:textId="50571A90"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3,030.33</w:t>
            </w:r>
          </w:p>
        </w:tc>
      </w:tr>
      <w:tr w:rsidR="0047786C" w:rsidRPr="00A260F7" w14:paraId="214F5E60"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hideMark/>
          </w:tcPr>
          <w:p w14:paraId="175181B2"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 xml:space="preserve">Pre-test survey </w:t>
            </w:r>
          </w:p>
        </w:tc>
        <w:tc>
          <w:tcPr>
            <w:tcW w:w="1209" w:type="dxa"/>
            <w:tcBorders>
              <w:top w:val="single" w:sz="4" w:space="0" w:color="auto"/>
              <w:left w:val="single" w:sz="4" w:space="0" w:color="auto"/>
              <w:bottom w:val="single" w:sz="4" w:space="0" w:color="auto"/>
              <w:right w:val="single" w:sz="4" w:space="0" w:color="auto"/>
            </w:tcBorders>
          </w:tcPr>
          <w:p w14:paraId="2CE94F46" w14:textId="2C14F034"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38</w:t>
            </w:r>
          </w:p>
        </w:tc>
        <w:tc>
          <w:tcPr>
            <w:tcW w:w="1064" w:type="dxa"/>
            <w:tcBorders>
              <w:top w:val="single" w:sz="4" w:space="0" w:color="auto"/>
              <w:left w:val="single" w:sz="4" w:space="0" w:color="auto"/>
              <w:bottom w:val="single" w:sz="4" w:space="0" w:color="auto"/>
              <w:right w:val="single" w:sz="4" w:space="0" w:color="auto"/>
            </w:tcBorders>
            <w:hideMark/>
          </w:tcPr>
          <w:p w14:paraId="0D930075" w14:textId="6B76C905"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B853BAE" w14:textId="420C3B46"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1,849.84</w:t>
            </w:r>
          </w:p>
        </w:tc>
      </w:tr>
      <w:tr w:rsidR="0047786C" w:rsidRPr="00A260F7" w14:paraId="1DA5D324"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hideMark/>
          </w:tcPr>
          <w:p w14:paraId="7CE44C62"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Self-administered surveys -  Study Screener</w:t>
            </w:r>
          </w:p>
        </w:tc>
        <w:tc>
          <w:tcPr>
            <w:tcW w:w="1209" w:type="dxa"/>
            <w:tcBorders>
              <w:top w:val="single" w:sz="4" w:space="0" w:color="auto"/>
              <w:left w:val="single" w:sz="4" w:space="0" w:color="auto"/>
              <w:bottom w:val="single" w:sz="4" w:space="0" w:color="auto"/>
              <w:right w:val="single" w:sz="4" w:space="0" w:color="auto"/>
            </w:tcBorders>
          </w:tcPr>
          <w:p w14:paraId="5D533EB1" w14:textId="02BC7B0E" w:rsidR="0047786C" w:rsidRPr="00416547" w:rsidRDefault="00544E8D" w:rsidP="004165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right"/>
              <w:rPr>
                <w:lang w:bidi="he-IL"/>
              </w:rPr>
            </w:pPr>
            <w:r>
              <w:t>6</w:t>
            </w:r>
            <w:r w:rsidR="0047786C" w:rsidRPr="00416547">
              <w:t>,</w:t>
            </w:r>
            <w:r>
              <w:t>225</w:t>
            </w:r>
          </w:p>
        </w:tc>
        <w:tc>
          <w:tcPr>
            <w:tcW w:w="1064" w:type="dxa"/>
            <w:tcBorders>
              <w:top w:val="single" w:sz="4" w:space="0" w:color="auto"/>
              <w:left w:val="single" w:sz="4" w:space="0" w:color="auto"/>
              <w:bottom w:val="single" w:sz="4" w:space="0" w:color="auto"/>
              <w:right w:val="single" w:sz="4" w:space="0" w:color="auto"/>
            </w:tcBorders>
            <w:hideMark/>
          </w:tcPr>
          <w:p w14:paraId="5D98E623" w14:textId="131C9F8F"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tcPr>
          <w:p w14:paraId="4DC1C4C0" w14:textId="66775521" w:rsidR="0047786C" w:rsidRPr="0047786C"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303,033.00</w:t>
            </w:r>
          </w:p>
        </w:tc>
      </w:tr>
      <w:tr w:rsidR="0047786C" w:rsidRPr="00A260F7" w14:paraId="7AC6943F"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hideMark/>
          </w:tcPr>
          <w:p w14:paraId="7DA1DA4D"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Self-Administered Surveys</w:t>
            </w:r>
          </w:p>
        </w:tc>
        <w:tc>
          <w:tcPr>
            <w:tcW w:w="1209" w:type="dxa"/>
            <w:tcBorders>
              <w:top w:val="single" w:sz="4" w:space="0" w:color="auto"/>
              <w:left w:val="single" w:sz="4" w:space="0" w:color="auto"/>
              <w:bottom w:val="single" w:sz="4" w:space="0" w:color="auto"/>
              <w:right w:val="single" w:sz="4" w:space="0" w:color="auto"/>
            </w:tcBorders>
          </w:tcPr>
          <w:p w14:paraId="4540AE17" w14:textId="34E29928"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3,750</w:t>
            </w:r>
          </w:p>
        </w:tc>
        <w:tc>
          <w:tcPr>
            <w:tcW w:w="1064" w:type="dxa"/>
            <w:tcBorders>
              <w:top w:val="single" w:sz="4" w:space="0" w:color="auto"/>
              <w:left w:val="single" w:sz="4" w:space="0" w:color="auto"/>
              <w:bottom w:val="single" w:sz="4" w:space="0" w:color="auto"/>
              <w:right w:val="single" w:sz="4" w:space="0" w:color="auto"/>
            </w:tcBorders>
            <w:hideMark/>
          </w:tcPr>
          <w:p w14:paraId="5D637468" w14:textId="681E5B69"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4B75A1A2" w14:textId="498D59D9" w:rsidR="0047786C" w:rsidRPr="0047786C" w:rsidRDefault="00056C88"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182,550.00</w:t>
            </w:r>
          </w:p>
        </w:tc>
      </w:tr>
      <w:tr w:rsidR="0047786C" w:rsidRPr="00A260F7" w14:paraId="6002FFA8"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2F323145"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Focus Group/Small Group, Cognitive Groups Screener</w:t>
            </w:r>
          </w:p>
        </w:tc>
        <w:tc>
          <w:tcPr>
            <w:tcW w:w="1209" w:type="dxa"/>
            <w:tcBorders>
              <w:top w:val="single" w:sz="4" w:space="0" w:color="auto"/>
              <w:left w:val="single" w:sz="4" w:space="0" w:color="auto"/>
              <w:bottom w:val="single" w:sz="4" w:space="0" w:color="auto"/>
              <w:right w:val="single" w:sz="4" w:space="0" w:color="auto"/>
            </w:tcBorders>
          </w:tcPr>
          <w:p w14:paraId="3398EBA0" w14:textId="28F76D58"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15</w:t>
            </w:r>
          </w:p>
        </w:tc>
        <w:tc>
          <w:tcPr>
            <w:tcW w:w="1064" w:type="dxa"/>
            <w:tcBorders>
              <w:top w:val="single" w:sz="4" w:space="0" w:color="auto"/>
              <w:left w:val="single" w:sz="4" w:space="0" w:color="auto"/>
              <w:bottom w:val="single" w:sz="4" w:space="0" w:color="auto"/>
              <w:right w:val="single" w:sz="4" w:space="0" w:color="auto"/>
            </w:tcBorders>
          </w:tcPr>
          <w:p w14:paraId="0C941E83" w14:textId="29A895DF"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296342B6" w14:textId="5A4021E4" w:rsidR="0047786C" w:rsidRPr="0047786C" w:rsidRDefault="00056C88"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730.20</w:t>
            </w:r>
          </w:p>
        </w:tc>
      </w:tr>
      <w:tr w:rsidR="0047786C" w:rsidRPr="00A260F7" w14:paraId="792AE062"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6E16AB11"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Focus Group/Small Group, Cognitive Groups</w:t>
            </w:r>
          </w:p>
        </w:tc>
        <w:tc>
          <w:tcPr>
            <w:tcW w:w="1209" w:type="dxa"/>
            <w:tcBorders>
              <w:top w:val="single" w:sz="4" w:space="0" w:color="auto"/>
              <w:left w:val="single" w:sz="4" w:space="0" w:color="auto"/>
              <w:bottom w:val="single" w:sz="4" w:space="0" w:color="auto"/>
              <w:right w:val="single" w:sz="4" w:space="0" w:color="auto"/>
            </w:tcBorders>
          </w:tcPr>
          <w:p w14:paraId="76AD9F9D" w14:textId="7572061B"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90</w:t>
            </w:r>
          </w:p>
        </w:tc>
        <w:tc>
          <w:tcPr>
            <w:tcW w:w="1064" w:type="dxa"/>
            <w:tcBorders>
              <w:top w:val="single" w:sz="4" w:space="0" w:color="auto"/>
              <w:left w:val="single" w:sz="4" w:space="0" w:color="auto"/>
              <w:bottom w:val="single" w:sz="4" w:space="0" w:color="auto"/>
              <w:right w:val="single" w:sz="4" w:space="0" w:color="auto"/>
            </w:tcBorders>
          </w:tcPr>
          <w:p w14:paraId="7DD12E5C" w14:textId="7A42C1C0"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5CEC8804" w14:textId="1608C3FF" w:rsidR="0047786C" w:rsidRPr="0047786C" w:rsidRDefault="00056C88"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4,381.20</w:t>
            </w:r>
          </w:p>
        </w:tc>
      </w:tr>
      <w:tr w:rsidR="0047786C" w:rsidRPr="00A260F7" w14:paraId="4B19BD3E"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7CEF151F"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Focus Group/Small Group Participant Screening</w:t>
            </w:r>
          </w:p>
        </w:tc>
        <w:tc>
          <w:tcPr>
            <w:tcW w:w="1209" w:type="dxa"/>
            <w:tcBorders>
              <w:top w:val="single" w:sz="4" w:space="0" w:color="auto"/>
              <w:left w:val="single" w:sz="4" w:space="0" w:color="auto"/>
              <w:bottom w:val="single" w:sz="4" w:space="0" w:color="auto"/>
              <w:right w:val="single" w:sz="4" w:space="0" w:color="auto"/>
            </w:tcBorders>
          </w:tcPr>
          <w:p w14:paraId="7B0A3A79" w14:textId="45B40440"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60</w:t>
            </w:r>
          </w:p>
        </w:tc>
        <w:tc>
          <w:tcPr>
            <w:tcW w:w="1064" w:type="dxa"/>
            <w:tcBorders>
              <w:top w:val="single" w:sz="4" w:space="0" w:color="auto"/>
              <w:left w:val="single" w:sz="4" w:space="0" w:color="auto"/>
              <w:bottom w:val="single" w:sz="4" w:space="0" w:color="auto"/>
              <w:right w:val="single" w:sz="4" w:space="0" w:color="auto"/>
            </w:tcBorders>
          </w:tcPr>
          <w:p w14:paraId="527229AB" w14:textId="022C8A31"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00B56CC0" w14:textId="2A0BDCE1" w:rsidR="0047786C" w:rsidRPr="0047786C" w:rsidRDefault="00056C88"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2,920.80</w:t>
            </w:r>
          </w:p>
        </w:tc>
      </w:tr>
      <w:tr w:rsidR="0047786C" w:rsidRPr="00A260F7" w14:paraId="680539B6"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357DD5E8"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A260F7">
              <w:rPr>
                <w:sz w:val="22"/>
                <w:szCs w:val="22"/>
                <w:lang w:bidi="he-IL"/>
              </w:rPr>
              <w:t>Focus Group/Small Group Discussion</w:t>
            </w:r>
          </w:p>
        </w:tc>
        <w:tc>
          <w:tcPr>
            <w:tcW w:w="1209" w:type="dxa"/>
            <w:tcBorders>
              <w:top w:val="single" w:sz="4" w:space="0" w:color="auto"/>
              <w:left w:val="single" w:sz="4" w:space="0" w:color="auto"/>
              <w:bottom w:val="single" w:sz="4" w:space="0" w:color="auto"/>
              <w:right w:val="single" w:sz="4" w:space="0" w:color="auto"/>
            </w:tcBorders>
          </w:tcPr>
          <w:p w14:paraId="3783F72E" w14:textId="091083C2"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360</w:t>
            </w:r>
          </w:p>
        </w:tc>
        <w:tc>
          <w:tcPr>
            <w:tcW w:w="1064" w:type="dxa"/>
            <w:tcBorders>
              <w:top w:val="single" w:sz="4" w:space="0" w:color="auto"/>
              <w:left w:val="single" w:sz="4" w:space="0" w:color="auto"/>
              <w:bottom w:val="single" w:sz="4" w:space="0" w:color="auto"/>
              <w:right w:val="single" w:sz="4" w:space="0" w:color="auto"/>
            </w:tcBorders>
          </w:tcPr>
          <w:p w14:paraId="5CAE67A4" w14:textId="77219218"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vAlign w:val="bottom"/>
          </w:tcPr>
          <w:p w14:paraId="29CAE6CE" w14:textId="556391E3" w:rsidR="0047786C" w:rsidRPr="0047786C" w:rsidRDefault="00056C88"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color w:val="000000"/>
                <w:sz w:val="22"/>
                <w:szCs w:val="22"/>
              </w:rPr>
              <w:t>17,524.80</w:t>
            </w:r>
          </w:p>
        </w:tc>
      </w:tr>
      <w:tr w:rsidR="0047786C" w:rsidRPr="00A260F7" w14:paraId="13A31839" w14:textId="77777777" w:rsidTr="00416547">
        <w:trPr>
          <w:trHeight w:val="61"/>
        </w:trPr>
        <w:tc>
          <w:tcPr>
            <w:tcW w:w="5125" w:type="dxa"/>
            <w:tcBorders>
              <w:top w:val="single" w:sz="4" w:space="0" w:color="auto"/>
              <w:left w:val="single" w:sz="4" w:space="0" w:color="auto"/>
              <w:bottom w:val="single" w:sz="4" w:space="0" w:color="auto"/>
              <w:right w:val="single" w:sz="4" w:space="0" w:color="auto"/>
            </w:tcBorders>
          </w:tcPr>
          <w:p w14:paraId="2B83E2E5" w14:textId="77777777" w:rsidR="0047786C" w:rsidRPr="00A260F7" w:rsidRDefault="0047786C"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Pr>
                <w:sz w:val="22"/>
                <w:szCs w:val="22"/>
                <w:lang w:bidi="he-IL"/>
              </w:rPr>
              <w:t>Total</w:t>
            </w:r>
          </w:p>
        </w:tc>
        <w:tc>
          <w:tcPr>
            <w:tcW w:w="1209" w:type="dxa"/>
            <w:tcBorders>
              <w:top w:val="single" w:sz="4" w:space="0" w:color="auto"/>
              <w:left w:val="single" w:sz="4" w:space="0" w:color="auto"/>
              <w:bottom w:val="single" w:sz="4" w:space="0" w:color="auto"/>
              <w:right w:val="single" w:sz="4" w:space="0" w:color="auto"/>
            </w:tcBorders>
          </w:tcPr>
          <w:p w14:paraId="7DA4349E" w14:textId="0EF8326A" w:rsidR="0047786C" w:rsidRPr="0041654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t>10,881.25</w:t>
            </w:r>
          </w:p>
        </w:tc>
        <w:tc>
          <w:tcPr>
            <w:tcW w:w="1064" w:type="dxa"/>
            <w:tcBorders>
              <w:top w:val="single" w:sz="4" w:space="0" w:color="auto"/>
              <w:left w:val="single" w:sz="4" w:space="0" w:color="auto"/>
              <w:bottom w:val="single" w:sz="4" w:space="0" w:color="auto"/>
              <w:right w:val="single" w:sz="4" w:space="0" w:color="auto"/>
            </w:tcBorders>
          </w:tcPr>
          <w:p w14:paraId="1F8391E7" w14:textId="17B5661A" w:rsidR="0047786C" w:rsidRPr="00A260F7" w:rsidRDefault="00544E8D" w:rsidP="004778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lang w:bidi="he-IL"/>
              </w:rPr>
            </w:pPr>
            <w:r w:rsidRPr="00544E8D">
              <w:rPr>
                <w:lang w:bidi="he-IL"/>
              </w:rPr>
              <w:t>$48.68</w:t>
            </w:r>
          </w:p>
        </w:tc>
        <w:tc>
          <w:tcPr>
            <w:tcW w:w="1800" w:type="dxa"/>
            <w:tcBorders>
              <w:top w:val="single" w:sz="4" w:space="0" w:color="auto"/>
              <w:left w:val="single" w:sz="4" w:space="0" w:color="auto"/>
              <w:bottom w:val="single" w:sz="4" w:space="0" w:color="auto"/>
              <w:right w:val="single" w:sz="4" w:space="0" w:color="auto"/>
            </w:tcBorders>
          </w:tcPr>
          <w:p w14:paraId="1581122D" w14:textId="70BF46AC" w:rsidR="0047786C" w:rsidRPr="00A260F7" w:rsidRDefault="004E5E2C" w:rsidP="00416547">
            <w:pPr>
              <w:jc w:val="right"/>
              <w:rPr>
                <w:sz w:val="22"/>
                <w:szCs w:val="22"/>
                <w:lang w:bidi="he-IL"/>
              </w:rPr>
            </w:pPr>
            <w:r w:rsidRPr="004E5E2C">
              <w:rPr>
                <w:color w:val="000000"/>
              </w:rPr>
              <w:t>$</w:t>
            </w:r>
            <w:r w:rsidR="00544E8D">
              <w:rPr>
                <w:color w:val="000000"/>
              </w:rPr>
              <w:t>529</w:t>
            </w:r>
            <w:r w:rsidRPr="004E5E2C">
              <w:rPr>
                <w:color w:val="000000"/>
              </w:rPr>
              <w:t>,</w:t>
            </w:r>
            <w:r w:rsidR="00544E8D">
              <w:rPr>
                <w:color w:val="000000"/>
              </w:rPr>
              <w:t>699</w:t>
            </w:r>
            <w:r w:rsidRPr="004E5E2C">
              <w:rPr>
                <w:color w:val="000000"/>
              </w:rPr>
              <w:t>.</w:t>
            </w:r>
            <w:r w:rsidR="00544E8D">
              <w:rPr>
                <w:color w:val="000000"/>
              </w:rPr>
              <w:t>25</w:t>
            </w:r>
          </w:p>
        </w:tc>
      </w:tr>
    </w:tbl>
    <w:p w14:paraId="72E50E4F" w14:textId="77777777" w:rsidR="003740BC" w:rsidRDefault="003740BC" w:rsidP="00F727AD">
      <w:pPr>
        <w:pStyle w:val="BodyText2"/>
      </w:pPr>
    </w:p>
    <w:p w14:paraId="5862D11A"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61FCBB91" w14:textId="77777777" w:rsidR="00350523" w:rsidRDefault="00350523" w:rsidP="00711460">
      <w:pPr>
        <w:pStyle w:val="ListParagraph"/>
        <w:spacing w:before="100" w:beforeAutospacing="1" w:after="100" w:afterAutospacing="1"/>
      </w:pPr>
      <w:r>
        <w:t>There are no capital, start-up, operating or maintenance costs associated with this information collection.</w:t>
      </w:r>
    </w:p>
    <w:p w14:paraId="37B4A3CF"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27FD18E3" w14:textId="77777777" w:rsidR="00711460" w:rsidRDefault="00711460" w:rsidP="0071146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Costs will include contractor expenses for designing and conducting information collection activities, specifically, drawing samples, training interviewers, collecting and analyzing information, and reporting findings.  Contractor expenses will vary from $40,000 to $110,000 depending on the size of the study.  Therefore, in a given year, it is anticipated that approximately $900,000 in contractor expenses will be expended to fund at least two large scale studies and eight smaller scale studies.</w:t>
      </w:r>
    </w:p>
    <w:p w14:paraId="33B08A64" w14:textId="77777777" w:rsidR="00711460" w:rsidRDefault="00711460" w:rsidP="0071146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6B9F493" w14:textId="09192434" w:rsidR="00711460" w:rsidRDefault="00711460" w:rsidP="00711460">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In addition, government staff costs may be incurred for monitoring by the government Project Officer and Senior Analyst, projected to be about 25 percent of an FTE’s time per year (522 hours).  Given an FDA personnel cost for a GS-13, Step 1 is $</w:t>
      </w:r>
      <w:r w:rsidR="008E1D4C">
        <w:t>47.52</w:t>
      </w:r>
      <w:r>
        <w:t xml:space="preserve"> per hour</w:t>
      </w:r>
      <w:r w:rsidR="008E1D4C">
        <w:t xml:space="preserve"> for 2019</w:t>
      </w:r>
      <w:r>
        <w:t>, and doubling this to $</w:t>
      </w:r>
      <w:r w:rsidR="008E1D4C">
        <w:t>95.04</w:t>
      </w:r>
      <w:r>
        <w:t xml:space="preserve"> an hour to account for overhead, $</w:t>
      </w:r>
      <w:r w:rsidR="008E1D4C">
        <w:t>49,610.85</w:t>
      </w:r>
      <w:r>
        <w:t xml:space="preserve"> would be spent annually on government staff salaries.</w:t>
      </w:r>
    </w:p>
    <w:p w14:paraId="76E8617F" w14:textId="77777777" w:rsidR="00711460" w:rsidRDefault="00711460" w:rsidP="007114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BF14AE2" w14:textId="74DEB57D" w:rsidR="00A70426" w:rsidRDefault="00711460" w:rsidP="007114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total estimated annual cost to the government for this collection of information is $9</w:t>
      </w:r>
      <w:r w:rsidR="007F3C82">
        <w:t>4</w:t>
      </w:r>
      <w:r>
        <w:t>9,</w:t>
      </w:r>
      <w:r w:rsidR="007F3C82">
        <w:t xml:space="preserve">610.88 </w:t>
      </w:r>
      <w:r>
        <w:t>(which is equal to the total of contractor expenses ($900,000) plus FDA government staff salary cost ($</w:t>
      </w:r>
      <w:r w:rsidR="007F3C82">
        <w:t>4</w:t>
      </w:r>
      <w:r>
        <w:t>9,</w:t>
      </w:r>
      <w:r w:rsidR="007F3C82">
        <w:t>610.88</w:t>
      </w:r>
      <w:r>
        <w:t>)).</w:t>
      </w:r>
    </w:p>
    <w:p w14:paraId="02D2A2C9"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65BBB4F6" w14:textId="77777777" w:rsidR="003C4EBB" w:rsidRDefault="00711460" w:rsidP="00711460">
      <w:pPr>
        <w:ind w:left="720"/>
      </w:pPr>
      <w:r>
        <w:t>This is a new collection of information.</w:t>
      </w:r>
    </w:p>
    <w:p w14:paraId="6D1A2732"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1F5E943D" w14:textId="77777777" w:rsidR="00B41789" w:rsidRDefault="00B41789" w:rsidP="00711460">
      <w:pPr>
        <w:ind w:left="720"/>
      </w:pPr>
      <w:r w:rsidRPr="00B41789">
        <w:t>FDA will display the OMB expiration date as required by 5 CFR 1320.5.</w:t>
      </w:r>
    </w:p>
    <w:p w14:paraId="0A69B15E" w14:textId="77777777" w:rsidR="00711460" w:rsidRDefault="00711460" w:rsidP="00711460">
      <w:pPr>
        <w:ind w:left="720"/>
      </w:pPr>
    </w:p>
    <w:p w14:paraId="13C62863" w14:textId="77777777" w:rsidR="00711460" w:rsidRPr="00711460" w:rsidRDefault="00711460" w:rsidP="0071146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r w:rsidRPr="00711460">
        <w:rPr>
          <w:lang w:bidi="he-IL"/>
        </w:rPr>
        <w:t>The process for conducting quantitative research includes the following steps:  first, the problem is identified and then testing objectives are discussed, next the analytic questions to be addressed are determined.  The procedures, instruments and data analysis plan will have been previously identified as the goal of these data collections is to use a bank of survey questions that have been pre-tested wherein just the subject of the urgent data collection need, the product, and the pathogen – if relevant – are inserted at the appropriate places in the questions. For the qualitative research, previously developed focus group moderator and interview guides will be adapted to current needs.</w:t>
      </w:r>
    </w:p>
    <w:p w14:paraId="34080B26" w14:textId="77777777" w:rsidR="00711460" w:rsidRPr="00711460" w:rsidRDefault="00711460" w:rsidP="0071146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p>
    <w:p w14:paraId="33A07896" w14:textId="77777777" w:rsidR="00711460" w:rsidRPr="00711460" w:rsidRDefault="00711460" w:rsidP="0071146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r w:rsidRPr="00711460">
        <w:rPr>
          <w:lang w:bidi="he-IL"/>
        </w:rPr>
        <w:t>Analytic techniques for the survey will mainly comprise descriptive statistics, including percentages, cross-tabulations, and averages — presented along with demographic descriptions of study participants.  Information collected from study participants may be subjected to subgroup analyses to uncover potential differences among key groups (defined by gender, age, race/ethnicity, etc.).  Inferential statistical analyses may also be conducted using cross-tabulation procedures with categorical variables (e.g., chi-square) and between-group procedures with continuous variables (e.g., ANOVA and t-tests).  Parametric statistical tests will be used in the case of sufficient sample sizes, normal distributions, and continuous or interval data; nonparametric procedures will be used otherwise. All analyses will be done in the context of understanding the limitations of the data with respect to their not representing population parameters.</w:t>
      </w:r>
    </w:p>
    <w:p w14:paraId="2E3EECC8" w14:textId="77777777" w:rsidR="00711460" w:rsidRPr="00711460" w:rsidRDefault="00711460" w:rsidP="0071146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firstLine="720"/>
        <w:rPr>
          <w:lang w:bidi="he-IL"/>
        </w:rPr>
      </w:pPr>
    </w:p>
    <w:p w14:paraId="3F0E89C6" w14:textId="77777777" w:rsidR="00711460" w:rsidRPr="00711460" w:rsidRDefault="00711460" w:rsidP="00711460">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r w:rsidRPr="00711460">
        <w:rPr>
          <w:lang w:bidi="he-IL"/>
        </w:rPr>
        <w:t xml:space="preserve">While the primary purpose of quantitative research is to provide information to FDA, FDA may make the results available to a variety of health educators at Government agencies, voluntary organizations, health professional organizations, and medical institutions.  In addition, FDA may present the findings of its work at professional association meetings, including those of the American Public Health Association.  Some results may be published in professional journals such as the </w:t>
      </w:r>
      <w:r w:rsidRPr="00711460">
        <w:rPr>
          <w:i/>
          <w:lang w:bidi="he-IL"/>
        </w:rPr>
        <w:t>Journal of Public Policy and Marketing</w:t>
      </w:r>
      <w:r w:rsidRPr="00711460">
        <w:rPr>
          <w:lang w:bidi="he-IL"/>
        </w:rPr>
        <w:t>.  In any findings presented at professional association meetings or in professional journals, FDA will state the limitations of the data by recognizing its nonrepresentative nature.</w:t>
      </w:r>
    </w:p>
    <w:p w14:paraId="2BC857F5" w14:textId="77777777" w:rsidR="00711460" w:rsidRPr="00711460" w:rsidRDefault="00711460" w:rsidP="007114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firstLine="720"/>
        <w:rPr>
          <w:lang w:bidi="he-IL"/>
        </w:rPr>
      </w:pPr>
    </w:p>
    <w:p w14:paraId="3FE3227A" w14:textId="77777777" w:rsidR="00711460" w:rsidRPr="00711460" w:rsidRDefault="00711460" w:rsidP="007114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r w:rsidRPr="00711460">
        <w:rPr>
          <w:lang w:bidi="he-IL"/>
        </w:rPr>
        <w:t>The specifics of each study are not known.  Because the materials will have been pre-developed, the data collection period should vary only by review and scheduling contingencies. Otherwise the typical survey is expected to conclude 3 days from notification of OMB clearance. A schedule for a typical data collection after identification of the need to collect data is shown below:</w:t>
      </w:r>
    </w:p>
    <w:p w14:paraId="07AE7F4F" w14:textId="77777777" w:rsidR="00711460" w:rsidRPr="00711460" w:rsidRDefault="00711460" w:rsidP="007114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bidi="he-IL"/>
        </w:rPr>
      </w:pPr>
    </w:p>
    <w:p w14:paraId="4C56BD22" w14:textId="77777777" w:rsidR="00711460" w:rsidRPr="00711460" w:rsidRDefault="00711460" w:rsidP="00653CDC">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720" w:right="-180"/>
        <w:rPr>
          <w:lang w:bidi="he-IL"/>
        </w:rPr>
      </w:pPr>
      <w:r w:rsidRPr="00711460">
        <w:rPr>
          <w:lang w:bidi="he-IL"/>
        </w:rPr>
        <w:tab/>
        <w:t>Adapt quick-turnaround pre-tested survey, or focus group/interview guide</w:t>
      </w:r>
      <w:r w:rsidRPr="00711460">
        <w:rPr>
          <w:lang w:bidi="he-IL"/>
        </w:rPr>
        <w:tab/>
        <w:t>2 days</w:t>
      </w:r>
    </w:p>
    <w:p w14:paraId="36A2AD79" w14:textId="77777777" w:rsidR="00711460" w:rsidRPr="00711460" w:rsidRDefault="00711460" w:rsidP="00653CDC">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720" w:right="-180"/>
        <w:rPr>
          <w:lang w:bidi="he-IL"/>
        </w:rPr>
      </w:pPr>
      <w:r w:rsidRPr="00711460">
        <w:rPr>
          <w:lang w:bidi="he-IL"/>
        </w:rPr>
        <w:tab/>
        <w:t>Develop and submit OMB generic clearance request</w:t>
      </w:r>
      <w:r w:rsidRPr="00711460">
        <w:rPr>
          <w:lang w:bidi="he-IL"/>
        </w:rPr>
        <w:tab/>
      </w:r>
      <w:r w:rsidRPr="00711460">
        <w:rPr>
          <w:lang w:bidi="he-IL"/>
        </w:rPr>
        <w:tab/>
      </w:r>
      <w:r w:rsidRPr="00711460">
        <w:rPr>
          <w:lang w:bidi="he-IL"/>
        </w:rPr>
        <w:tab/>
      </w:r>
      <w:r w:rsidRPr="00711460">
        <w:rPr>
          <w:lang w:bidi="he-IL"/>
        </w:rPr>
        <w:tab/>
        <w:t>3 days</w:t>
      </w:r>
    </w:p>
    <w:p w14:paraId="19E5D8EB" w14:textId="77777777" w:rsidR="00711460" w:rsidRPr="00711460" w:rsidRDefault="00711460" w:rsidP="00653CDC">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720" w:right="-180"/>
        <w:rPr>
          <w:lang w:bidi="he-IL"/>
        </w:rPr>
      </w:pPr>
      <w:r w:rsidRPr="00711460">
        <w:rPr>
          <w:lang w:bidi="he-IL"/>
        </w:rPr>
        <w:tab/>
        <w:t>Receive OMB clearance for Quick-turnaround project</w:t>
      </w:r>
      <w:r w:rsidRPr="00711460">
        <w:rPr>
          <w:lang w:bidi="he-IL"/>
        </w:rPr>
        <w:tab/>
      </w:r>
      <w:r w:rsidRPr="00711460">
        <w:rPr>
          <w:lang w:bidi="he-IL"/>
        </w:rPr>
        <w:tab/>
      </w:r>
      <w:r w:rsidRPr="00711460">
        <w:rPr>
          <w:lang w:bidi="he-IL"/>
        </w:rPr>
        <w:tab/>
      </w:r>
      <w:r w:rsidRPr="00711460">
        <w:rPr>
          <w:lang w:bidi="he-IL"/>
        </w:rPr>
        <w:tab/>
        <w:t>5 days</w:t>
      </w:r>
    </w:p>
    <w:p w14:paraId="21BF80AC" w14:textId="77777777" w:rsidR="00711460" w:rsidRPr="00711460" w:rsidRDefault="00711460" w:rsidP="00653CDC">
      <w:pPr>
        <w:numPr>
          <w:ilvl w:val="12"/>
          <w:numId w:val="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720" w:right="-180"/>
        <w:rPr>
          <w:lang w:bidi="he-IL"/>
        </w:rPr>
      </w:pPr>
      <w:r w:rsidRPr="00711460">
        <w:rPr>
          <w:lang w:bidi="he-IL"/>
        </w:rPr>
        <w:tab/>
        <w:t>Recruit participants and administer study</w:t>
      </w:r>
      <w:r w:rsidRPr="00711460">
        <w:rPr>
          <w:lang w:bidi="he-IL"/>
        </w:rPr>
        <w:tab/>
      </w:r>
      <w:r w:rsidRPr="00711460">
        <w:rPr>
          <w:lang w:bidi="he-IL"/>
        </w:rPr>
        <w:tab/>
      </w:r>
      <w:r w:rsidRPr="00711460">
        <w:rPr>
          <w:lang w:bidi="he-IL"/>
        </w:rPr>
        <w:tab/>
      </w:r>
      <w:r w:rsidRPr="00711460">
        <w:rPr>
          <w:lang w:bidi="he-IL"/>
        </w:rPr>
        <w:tab/>
      </w:r>
      <w:r w:rsidRPr="00711460">
        <w:rPr>
          <w:lang w:bidi="he-IL"/>
        </w:rPr>
        <w:tab/>
      </w:r>
      <w:r w:rsidRPr="00711460">
        <w:rPr>
          <w:lang w:bidi="he-IL"/>
        </w:rPr>
        <w:tab/>
        <w:t>3-5 days</w:t>
      </w:r>
    </w:p>
    <w:p w14:paraId="4AB7FD08" w14:textId="77777777" w:rsidR="00711460" w:rsidRPr="00711460" w:rsidRDefault="00711460" w:rsidP="00653CDC">
      <w:pPr>
        <w:numPr>
          <w:ilvl w:val="12"/>
          <w:numId w:val="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540"/>
        </w:tabs>
        <w:autoSpaceDE w:val="0"/>
        <w:autoSpaceDN w:val="0"/>
        <w:adjustRightInd w:val="0"/>
        <w:ind w:left="720" w:right="-180"/>
        <w:rPr>
          <w:lang w:bidi="he-IL"/>
        </w:rPr>
      </w:pPr>
      <w:r w:rsidRPr="00711460">
        <w:rPr>
          <w:lang w:bidi="he-IL"/>
        </w:rPr>
        <w:tab/>
        <w:t>Compile results and report findings</w:t>
      </w:r>
      <w:r w:rsidRPr="00711460">
        <w:rPr>
          <w:lang w:bidi="he-IL"/>
        </w:rPr>
        <w:tab/>
      </w:r>
      <w:r w:rsidRPr="00711460">
        <w:rPr>
          <w:lang w:bidi="he-IL"/>
        </w:rPr>
        <w:tab/>
      </w:r>
      <w:r w:rsidRPr="00711460">
        <w:rPr>
          <w:lang w:bidi="he-IL"/>
        </w:rPr>
        <w:tab/>
      </w:r>
      <w:r w:rsidRPr="00711460">
        <w:rPr>
          <w:lang w:bidi="he-IL"/>
        </w:rPr>
        <w:tab/>
      </w:r>
      <w:r w:rsidRPr="00711460">
        <w:rPr>
          <w:lang w:bidi="he-IL"/>
        </w:rPr>
        <w:tab/>
      </w:r>
      <w:r w:rsidRPr="00711460">
        <w:rPr>
          <w:lang w:bidi="he-IL"/>
        </w:rPr>
        <w:tab/>
        <w:t>2 days</w:t>
      </w:r>
    </w:p>
    <w:p w14:paraId="0F72FEBD" w14:textId="77777777" w:rsidR="00711460" w:rsidRPr="00711460" w:rsidRDefault="00711460" w:rsidP="007114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lang w:bidi="he-IL"/>
        </w:rPr>
      </w:pPr>
    </w:p>
    <w:p w14:paraId="49A3628A" w14:textId="77777777" w:rsidR="00711460" w:rsidRPr="00711460" w:rsidRDefault="00711460" w:rsidP="007114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360"/>
        <w:outlineLvl w:val="2"/>
        <w:rPr>
          <w:b/>
          <w:bCs/>
          <w:u w:val="single"/>
          <w:lang w:bidi="he-IL"/>
        </w:rPr>
      </w:pPr>
      <w:bookmarkStart w:id="1" w:name="_Toc239649238"/>
      <w:r w:rsidRPr="00B73140">
        <w:rPr>
          <w:bCs/>
          <w:lang w:bidi="he-IL"/>
        </w:rPr>
        <w:t>17</w:t>
      </w:r>
      <w:r w:rsidRPr="00711460">
        <w:rPr>
          <w:b/>
          <w:bCs/>
          <w:lang w:bidi="he-IL"/>
        </w:rPr>
        <w:t xml:space="preserve">.  </w:t>
      </w:r>
      <w:r w:rsidRPr="00EB3908">
        <w:rPr>
          <w:bCs/>
          <w:u w:val="single"/>
          <w:lang w:bidi="he-IL"/>
        </w:rPr>
        <w:t>Reason(s) Display of OMB Expiration Date is Inappropriate</w:t>
      </w:r>
      <w:bookmarkEnd w:id="1"/>
    </w:p>
    <w:p w14:paraId="1C0825B9" w14:textId="77777777" w:rsidR="00711460" w:rsidRPr="00711460" w:rsidRDefault="00711460" w:rsidP="007114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p>
    <w:p w14:paraId="10D16A50" w14:textId="409BD8A5" w:rsidR="003308DD" w:rsidRPr="00711460" w:rsidRDefault="00711460" w:rsidP="007114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r w:rsidRPr="00711460">
        <w:rPr>
          <w:lang w:bidi="he-IL"/>
        </w:rPr>
        <w:t>FDA is not requesting an exemption from this requirement. The OMB expiration date will be displayed.</w:t>
      </w:r>
    </w:p>
    <w:p w14:paraId="709E451F" w14:textId="77777777" w:rsidR="00EB3908" w:rsidRPr="00711460" w:rsidRDefault="00EB3908" w:rsidP="0058213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b/>
          <w:bCs/>
          <w:lang w:bidi="he-IL"/>
        </w:rPr>
      </w:pPr>
    </w:p>
    <w:p w14:paraId="0E0317AE" w14:textId="77777777" w:rsidR="00711460" w:rsidRPr="00EB3908" w:rsidRDefault="00711460" w:rsidP="007114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360"/>
        <w:outlineLvl w:val="2"/>
        <w:rPr>
          <w:bCs/>
          <w:u w:val="single"/>
          <w:lang w:bidi="he-IL"/>
        </w:rPr>
      </w:pPr>
      <w:bookmarkStart w:id="2" w:name="_Toc239649239"/>
      <w:r w:rsidRPr="00B73140">
        <w:rPr>
          <w:bCs/>
          <w:lang w:bidi="he-IL"/>
        </w:rPr>
        <w:t>18.</w:t>
      </w:r>
      <w:r w:rsidRPr="00711460">
        <w:rPr>
          <w:b/>
          <w:bCs/>
          <w:lang w:bidi="he-IL"/>
        </w:rPr>
        <w:t xml:space="preserve">  </w:t>
      </w:r>
      <w:r w:rsidRPr="00EB3908">
        <w:rPr>
          <w:bCs/>
          <w:u w:val="single"/>
          <w:lang w:bidi="he-IL"/>
        </w:rPr>
        <w:t>Exceptions to Certification for Paperwork Reduction Act Submissions</w:t>
      </w:r>
      <w:bookmarkEnd w:id="2"/>
    </w:p>
    <w:p w14:paraId="27B02A4E" w14:textId="77777777" w:rsidR="00711460" w:rsidRPr="00EB3908" w:rsidRDefault="00711460" w:rsidP="007114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p>
    <w:p w14:paraId="2C53BFBD" w14:textId="77777777" w:rsidR="002746DB" w:rsidRPr="00653CDC" w:rsidRDefault="00711460" w:rsidP="00653CD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lang w:bidi="he-IL"/>
        </w:rPr>
      </w:pPr>
      <w:r w:rsidRPr="00711460">
        <w:rPr>
          <w:lang w:bidi="he-IL"/>
        </w:rPr>
        <w:t>These information collection activities involve no exception to the Certification for Paperwork Reduction Act Submissions.</w:t>
      </w:r>
      <w:r w:rsidRPr="00711460">
        <w:rPr>
          <w:b/>
          <w:bCs/>
          <w:lang w:bidi="he-IL"/>
        </w:rPr>
        <w:t xml:space="preserve"> </w:t>
      </w:r>
    </w:p>
    <w:sectPr w:rsidR="002746DB" w:rsidRPr="00653CDC" w:rsidSect="00416547">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5832E" w14:textId="77777777" w:rsidR="00133EFF" w:rsidRDefault="00133EFF">
      <w:r>
        <w:separator/>
      </w:r>
    </w:p>
  </w:endnote>
  <w:endnote w:type="continuationSeparator" w:id="0">
    <w:p w14:paraId="0B2BA97B" w14:textId="77777777" w:rsidR="00133EFF" w:rsidRDefault="0013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8DD78" w14:textId="77777777" w:rsidR="00544E8D" w:rsidRDefault="00544E8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4520C1" w14:textId="77777777" w:rsidR="00544E8D" w:rsidRDefault="00544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041790"/>
      <w:docPartObj>
        <w:docPartGallery w:val="Page Numbers (Bottom of Page)"/>
        <w:docPartUnique/>
      </w:docPartObj>
    </w:sdtPr>
    <w:sdtEndPr>
      <w:rPr>
        <w:noProof/>
      </w:rPr>
    </w:sdtEndPr>
    <w:sdtContent>
      <w:p w14:paraId="156DD19F" w14:textId="3805242E" w:rsidR="00416547" w:rsidRDefault="00416547">
        <w:pPr>
          <w:pStyle w:val="Footer"/>
          <w:jc w:val="center"/>
        </w:pPr>
        <w:r>
          <w:fldChar w:fldCharType="begin"/>
        </w:r>
        <w:r>
          <w:instrText xml:space="preserve"> PAGE   \* MERGEFORMAT </w:instrText>
        </w:r>
        <w:r>
          <w:fldChar w:fldCharType="separate"/>
        </w:r>
        <w:r w:rsidR="008C7B30">
          <w:rPr>
            <w:noProof/>
          </w:rPr>
          <w:t>2</w:t>
        </w:r>
        <w:r>
          <w:rPr>
            <w:noProof/>
          </w:rPr>
          <w:fldChar w:fldCharType="end"/>
        </w:r>
      </w:p>
    </w:sdtContent>
  </w:sdt>
  <w:p w14:paraId="3A08420E" w14:textId="77777777" w:rsidR="00544E8D" w:rsidRDefault="00544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8B483" w14:textId="77777777" w:rsidR="00133EFF" w:rsidRDefault="00133EFF">
      <w:r>
        <w:separator/>
      </w:r>
    </w:p>
  </w:footnote>
  <w:footnote w:type="continuationSeparator" w:id="0">
    <w:p w14:paraId="0B4EE4C1" w14:textId="77777777" w:rsidR="00133EFF" w:rsidRDefault="00133EFF">
      <w:r>
        <w:continuationSeparator/>
      </w:r>
    </w:p>
  </w:footnote>
  <w:footnote w:id="1">
    <w:p w14:paraId="6C65DE20" w14:textId="77777777" w:rsidR="00544E8D" w:rsidRPr="00C243D2" w:rsidRDefault="00544E8D" w:rsidP="00A5534B">
      <w:pPr>
        <w:pStyle w:val="FootnoteText"/>
      </w:pPr>
      <w:r w:rsidRPr="00C17E80">
        <w:rPr>
          <w:rStyle w:val="FootnoteReference"/>
          <w:sz w:val="16"/>
          <w:szCs w:val="16"/>
        </w:rPr>
        <w:footnoteRef/>
      </w:r>
      <w:r w:rsidRPr="00C17E80">
        <w:rPr>
          <w:sz w:val="16"/>
          <w:szCs w:val="16"/>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1B0763F8" w14:textId="77777777" w:rsidR="00544E8D" w:rsidRDefault="00544E8D" w:rsidP="00A260F7">
      <w:pPr>
        <w:pStyle w:val="FootnoteText"/>
        <w:rPr>
          <w:sz w:val="16"/>
          <w:szCs w:val="16"/>
        </w:rPr>
      </w:pPr>
      <w:r>
        <w:rPr>
          <w:rStyle w:val="FootnoteReference"/>
          <w:sz w:val="16"/>
          <w:szCs w:val="16"/>
        </w:rPr>
        <w:footnoteRef/>
      </w:r>
      <w:r>
        <w:rPr>
          <w:sz w:val="16"/>
          <w:szCs w:val="16"/>
        </w:rPr>
        <w:t xml:space="preserve"> U.S. Bureau of Labor Statistics, </w:t>
      </w:r>
      <w:hyperlink r:id="rId1" w:tooltip="http://www.bls.gov/oes/current/oes_nat.htm" w:history="1">
        <w:r>
          <w:rPr>
            <w:rStyle w:val="Hyperlink"/>
            <w:color w:val="000000"/>
            <w:sz w:val="16"/>
            <w:szCs w:val="16"/>
          </w:rPr>
          <w:t>http://www.bls.gov/oes/current/oes_nat.htm</w:t>
        </w:r>
      </w:hyperlink>
      <w:r>
        <w:rPr>
          <w:sz w:val="16"/>
          <w:szCs w:val="16"/>
        </w:rPr>
        <w:t xml:space="preserve">, June 2018.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6"/>
  </w:num>
  <w:num w:numId="5">
    <w:abstractNumId w:val="9"/>
  </w:num>
  <w:num w:numId="6">
    <w:abstractNumId w:val="30"/>
  </w:num>
  <w:num w:numId="7">
    <w:abstractNumId w:val="38"/>
  </w:num>
  <w:num w:numId="8">
    <w:abstractNumId w:val="5"/>
  </w:num>
  <w:num w:numId="9">
    <w:abstractNumId w:val="31"/>
  </w:num>
  <w:num w:numId="10">
    <w:abstractNumId w:val="25"/>
  </w:num>
  <w:num w:numId="11">
    <w:abstractNumId w:val="11"/>
  </w:num>
  <w:num w:numId="12">
    <w:abstractNumId w:val="42"/>
  </w:num>
  <w:num w:numId="13">
    <w:abstractNumId w:val="23"/>
  </w:num>
  <w:num w:numId="14">
    <w:abstractNumId w:val="10"/>
  </w:num>
  <w:num w:numId="15">
    <w:abstractNumId w:val="19"/>
  </w:num>
  <w:num w:numId="16">
    <w:abstractNumId w:val="17"/>
  </w:num>
  <w:num w:numId="17">
    <w:abstractNumId w:val="37"/>
  </w:num>
  <w:num w:numId="18">
    <w:abstractNumId w:val="41"/>
  </w:num>
  <w:num w:numId="19">
    <w:abstractNumId w:val="39"/>
  </w:num>
  <w:num w:numId="20">
    <w:abstractNumId w:val="22"/>
  </w:num>
  <w:num w:numId="21">
    <w:abstractNumId w:val="16"/>
  </w:num>
  <w:num w:numId="22">
    <w:abstractNumId w:val="4"/>
  </w:num>
  <w:num w:numId="23">
    <w:abstractNumId w:val="34"/>
  </w:num>
  <w:num w:numId="24">
    <w:abstractNumId w:val="27"/>
  </w:num>
  <w:num w:numId="25">
    <w:abstractNumId w:val="14"/>
  </w:num>
  <w:num w:numId="26">
    <w:abstractNumId w:val="7"/>
  </w:num>
  <w:num w:numId="27">
    <w:abstractNumId w:val="43"/>
  </w:num>
  <w:num w:numId="28">
    <w:abstractNumId w:val="35"/>
  </w:num>
  <w:num w:numId="29">
    <w:abstractNumId w:val="6"/>
  </w:num>
  <w:num w:numId="30">
    <w:abstractNumId w:val="21"/>
  </w:num>
  <w:num w:numId="31">
    <w:abstractNumId w:val="3"/>
  </w:num>
  <w:num w:numId="32">
    <w:abstractNumId w:val="1"/>
  </w:num>
  <w:num w:numId="33">
    <w:abstractNumId w:val="24"/>
  </w:num>
  <w:num w:numId="34">
    <w:abstractNumId w:val="40"/>
  </w:num>
  <w:num w:numId="35">
    <w:abstractNumId w:val="15"/>
  </w:num>
  <w:num w:numId="36">
    <w:abstractNumId w:val="32"/>
  </w:num>
  <w:num w:numId="37">
    <w:abstractNumId w:val="12"/>
  </w:num>
  <w:num w:numId="38">
    <w:abstractNumId w:val="28"/>
  </w:num>
  <w:num w:numId="39">
    <w:abstractNumId w:val="33"/>
  </w:num>
  <w:num w:numId="40">
    <w:abstractNumId w:val="2"/>
  </w:num>
  <w:num w:numId="41">
    <w:abstractNumId w:val="36"/>
  </w:num>
  <w:num w:numId="42">
    <w:abstractNumId w:val="29"/>
  </w:num>
  <w:num w:numId="43">
    <w:abstractNumId w:val="8"/>
  </w:num>
  <w:num w:numId="4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2274"/>
    <w:rsid w:val="00031A2C"/>
    <w:rsid w:val="00043C7F"/>
    <w:rsid w:val="00056C88"/>
    <w:rsid w:val="000623E1"/>
    <w:rsid w:val="0006570F"/>
    <w:rsid w:val="00075DE8"/>
    <w:rsid w:val="000C560C"/>
    <w:rsid w:val="000D48FD"/>
    <w:rsid w:val="000E1C64"/>
    <w:rsid w:val="000F7119"/>
    <w:rsid w:val="00100739"/>
    <w:rsid w:val="00107885"/>
    <w:rsid w:val="00114FC4"/>
    <w:rsid w:val="0012329C"/>
    <w:rsid w:val="00133EFF"/>
    <w:rsid w:val="00134FA7"/>
    <w:rsid w:val="001354BF"/>
    <w:rsid w:val="00137950"/>
    <w:rsid w:val="00152F29"/>
    <w:rsid w:val="00174D54"/>
    <w:rsid w:val="00185270"/>
    <w:rsid w:val="001A3B5A"/>
    <w:rsid w:val="001B7CE9"/>
    <w:rsid w:val="001D495A"/>
    <w:rsid w:val="001E244C"/>
    <w:rsid w:val="001F1437"/>
    <w:rsid w:val="00221AD1"/>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50CE"/>
    <w:rsid w:val="002B2074"/>
    <w:rsid w:val="002D14D8"/>
    <w:rsid w:val="002D4799"/>
    <w:rsid w:val="002E1554"/>
    <w:rsid w:val="002E31F1"/>
    <w:rsid w:val="002E3FA4"/>
    <w:rsid w:val="002E53A5"/>
    <w:rsid w:val="002E7724"/>
    <w:rsid w:val="003113FF"/>
    <w:rsid w:val="0032277F"/>
    <w:rsid w:val="003308DD"/>
    <w:rsid w:val="00350523"/>
    <w:rsid w:val="0035189D"/>
    <w:rsid w:val="00362076"/>
    <w:rsid w:val="003740BC"/>
    <w:rsid w:val="003801A3"/>
    <w:rsid w:val="00383D90"/>
    <w:rsid w:val="003A1A27"/>
    <w:rsid w:val="003A50CC"/>
    <w:rsid w:val="003B42B3"/>
    <w:rsid w:val="003B6384"/>
    <w:rsid w:val="003C4EBB"/>
    <w:rsid w:val="003D1531"/>
    <w:rsid w:val="003E4EC6"/>
    <w:rsid w:val="003E527E"/>
    <w:rsid w:val="003E553E"/>
    <w:rsid w:val="003E7078"/>
    <w:rsid w:val="003F3DF5"/>
    <w:rsid w:val="00411D11"/>
    <w:rsid w:val="00415E23"/>
    <w:rsid w:val="00416547"/>
    <w:rsid w:val="0041670D"/>
    <w:rsid w:val="00424061"/>
    <w:rsid w:val="004266F1"/>
    <w:rsid w:val="00442A3C"/>
    <w:rsid w:val="00443969"/>
    <w:rsid w:val="00447D74"/>
    <w:rsid w:val="00450A74"/>
    <w:rsid w:val="004546BF"/>
    <w:rsid w:val="00465350"/>
    <w:rsid w:val="00475C55"/>
    <w:rsid w:val="0047786C"/>
    <w:rsid w:val="004846BF"/>
    <w:rsid w:val="004A3D7C"/>
    <w:rsid w:val="004C6979"/>
    <w:rsid w:val="004D13A2"/>
    <w:rsid w:val="004D3E7A"/>
    <w:rsid w:val="004D60EB"/>
    <w:rsid w:val="004E5E2C"/>
    <w:rsid w:val="004F594B"/>
    <w:rsid w:val="004F61E1"/>
    <w:rsid w:val="00544138"/>
    <w:rsid w:val="00544E8D"/>
    <w:rsid w:val="005537B1"/>
    <w:rsid w:val="00562311"/>
    <w:rsid w:val="0058213D"/>
    <w:rsid w:val="00584583"/>
    <w:rsid w:val="00590EEB"/>
    <w:rsid w:val="005A4099"/>
    <w:rsid w:val="005C38B2"/>
    <w:rsid w:val="005C5029"/>
    <w:rsid w:val="005C55C2"/>
    <w:rsid w:val="005C745C"/>
    <w:rsid w:val="005D4DF5"/>
    <w:rsid w:val="005E489B"/>
    <w:rsid w:val="005F6191"/>
    <w:rsid w:val="00611D6B"/>
    <w:rsid w:val="006326EC"/>
    <w:rsid w:val="006349C3"/>
    <w:rsid w:val="0065391B"/>
    <w:rsid w:val="00653CDC"/>
    <w:rsid w:val="00663A42"/>
    <w:rsid w:val="006641C7"/>
    <w:rsid w:val="00664943"/>
    <w:rsid w:val="00670BE2"/>
    <w:rsid w:val="00674DA7"/>
    <w:rsid w:val="006812BE"/>
    <w:rsid w:val="00685376"/>
    <w:rsid w:val="00686CBD"/>
    <w:rsid w:val="006A26C6"/>
    <w:rsid w:val="006A3F99"/>
    <w:rsid w:val="006A7D5D"/>
    <w:rsid w:val="006D5D57"/>
    <w:rsid w:val="006F4D6D"/>
    <w:rsid w:val="00705086"/>
    <w:rsid w:val="00705D57"/>
    <w:rsid w:val="0071062C"/>
    <w:rsid w:val="00711460"/>
    <w:rsid w:val="00716233"/>
    <w:rsid w:val="00731CAB"/>
    <w:rsid w:val="00751E66"/>
    <w:rsid w:val="00754497"/>
    <w:rsid w:val="00763F02"/>
    <w:rsid w:val="00787C39"/>
    <w:rsid w:val="00792DC6"/>
    <w:rsid w:val="00795DF3"/>
    <w:rsid w:val="007A373C"/>
    <w:rsid w:val="007B225C"/>
    <w:rsid w:val="007C75B1"/>
    <w:rsid w:val="007C7B50"/>
    <w:rsid w:val="007D3DFC"/>
    <w:rsid w:val="007E2F07"/>
    <w:rsid w:val="007F3C82"/>
    <w:rsid w:val="008043FD"/>
    <w:rsid w:val="0080776D"/>
    <w:rsid w:val="00810145"/>
    <w:rsid w:val="008108FA"/>
    <w:rsid w:val="00810FF1"/>
    <w:rsid w:val="00822336"/>
    <w:rsid w:val="00823DFA"/>
    <w:rsid w:val="00824D61"/>
    <w:rsid w:val="008312C6"/>
    <w:rsid w:val="00833D48"/>
    <w:rsid w:val="00843752"/>
    <w:rsid w:val="0084479F"/>
    <w:rsid w:val="0085725E"/>
    <w:rsid w:val="0087269D"/>
    <w:rsid w:val="00885B09"/>
    <w:rsid w:val="00892400"/>
    <w:rsid w:val="008A209D"/>
    <w:rsid w:val="008A22BB"/>
    <w:rsid w:val="008B0E29"/>
    <w:rsid w:val="008B0EFA"/>
    <w:rsid w:val="008B30AB"/>
    <w:rsid w:val="008C7B30"/>
    <w:rsid w:val="008E1D4C"/>
    <w:rsid w:val="008E5F55"/>
    <w:rsid w:val="008F0698"/>
    <w:rsid w:val="00905DEF"/>
    <w:rsid w:val="00913B43"/>
    <w:rsid w:val="00930203"/>
    <w:rsid w:val="009311D2"/>
    <w:rsid w:val="009311E6"/>
    <w:rsid w:val="00931275"/>
    <w:rsid w:val="00936AC7"/>
    <w:rsid w:val="00953B64"/>
    <w:rsid w:val="00970A88"/>
    <w:rsid w:val="00976F56"/>
    <w:rsid w:val="009A1674"/>
    <w:rsid w:val="009B7F82"/>
    <w:rsid w:val="009C0B6F"/>
    <w:rsid w:val="009C659D"/>
    <w:rsid w:val="009C684F"/>
    <w:rsid w:val="009D074C"/>
    <w:rsid w:val="009D3FF5"/>
    <w:rsid w:val="009E7B84"/>
    <w:rsid w:val="009F1F1D"/>
    <w:rsid w:val="009F2B4F"/>
    <w:rsid w:val="009F3C63"/>
    <w:rsid w:val="009F47ED"/>
    <w:rsid w:val="009F66B5"/>
    <w:rsid w:val="00A16221"/>
    <w:rsid w:val="00A20A7D"/>
    <w:rsid w:val="00A260F7"/>
    <w:rsid w:val="00A35D42"/>
    <w:rsid w:val="00A36E87"/>
    <w:rsid w:val="00A46CCF"/>
    <w:rsid w:val="00A53451"/>
    <w:rsid w:val="00A5534B"/>
    <w:rsid w:val="00A627D6"/>
    <w:rsid w:val="00A70426"/>
    <w:rsid w:val="00A73673"/>
    <w:rsid w:val="00A73889"/>
    <w:rsid w:val="00A80CA4"/>
    <w:rsid w:val="00A91E9A"/>
    <w:rsid w:val="00A93ED9"/>
    <w:rsid w:val="00A96221"/>
    <w:rsid w:val="00AA4A7F"/>
    <w:rsid w:val="00AC6A99"/>
    <w:rsid w:val="00B055EF"/>
    <w:rsid w:val="00B06B5B"/>
    <w:rsid w:val="00B23769"/>
    <w:rsid w:val="00B41789"/>
    <w:rsid w:val="00B73140"/>
    <w:rsid w:val="00B81808"/>
    <w:rsid w:val="00B86DFA"/>
    <w:rsid w:val="00B936D0"/>
    <w:rsid w:val="00BA4793"/>
    <w:rsid w:val="00BD3D5B"/>
    <w:rsid w:val="00BE3600"/>
    <w:rsid w:val="00C01F6F"/>
    <w:rsid w:val="00C041EA"/>
    <w:rsid w:val="00C061CD"/>
    <w:rsid w:val="00C149AB"/>
    <w:rsid w:val="00C16929"/>
    <w:rsid w:val="00C36020"/>
    <w:rsid w:val="00C40694"/>
    <w:rsid w:val="00C54D17"/>
    <w:rsid w:val="00C70542"/>
    <w:rsid w:val="00C70FF6"/>
    <w:rsid w:val="00C74932"/>
    <w:rsid w:val="00C75CBF"/>
    <w:rsid w:val="00CC2894"/>
    <w:rsid w:val="00CC5406"/>
    <w:rsid w:val="00CD77C3"/>
    <w:rsid w:val="00CE112C"/>
    <w:rsid w:val="00CF55D4"/>
    <w:rsid w:val="00D158B8"/>
    <w:rsid w:val="00D362E2"/>
    <w:rsid w:val="00D608DA"/>
    <w:rsid w:val="00D730BF"/>
    <w:rsid w:val="00D86385"/>
    <w:rsid w:val="00DB1110"/>
    <w:rsid w:val="00DC3788"/>
    <w:rsid w:val="00DC76C7"/>
    <w:rsid w:val="00DD09F5"/>
    <w:rsid w:val="00DD4201"/>
    <w:rsid w:val="00DD5E9F"/>
    <w:rsid w:val="00DE5711"/>
    <w:rsid w:val="00DF0A41"/>
    <w:rsid w:val="00E00EA0"/>
    <w:rsid w:val="00E138F1"/>
    <w:rsid w:val="00E2309D"/>
    <w:rsid w:val="00E26758"/>
    <w:rsid w:val="00E4357B"/>
    <w:rsid w:val="00E43F48"/>
    <w:rsid w:val="00E63DE5"/>
    <w:rsid w:val="00E65A37"/>
    <w:rsid w:val="00E65EF7"/>
    <w:rsid w:val="00E77B48"/>
    <w:rsid w:val="00E857FB"/>
    <w:rsid w:val="00E91799"/>
    <w:rsid w:val="00E97715"/>
    <w:rsid w:val="00EA21FE"/>
    <w:rsid w:val="00EA2FAF"/>
    <w:rsid w:val="00EA34E3"/>
    <w:rsid w:val="00EB2ECE"/>
    <w:rsid w:val="00EB3908"/>
    <w:rsid w:val="00EB7538"/>
    <w:rsid w:val="00EE6468"/>
    <w:rsid w:val="00F04CB2"/>
    <w:rsid w:val="00F1299B"/>
    <w:rsid w:val="00F207A4"/>
    <w:rsid w:val="00F33B04"/>
    <w:rsid w:val="00F355AC"/>
    <w:rsid w:val="00F40113"/>
    <w:rsid w:val="00F71A5A"/>
    <w:rsid w:val="00F727AD"/>
    <w:rsid w:val="00F75B40"/>
    <w:rsid w:val="00F769E0"/>
    <w:rsid w:val="00FA75FE"/>
    <w:rsid w:val="00FB1032"/>
    <w:rsid w:val="00FB384B"/>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D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FootnoteText">
    <w:name w:val="footnote text"/>
    <w:basedOn w:val="Normal"/>
    <w:link w:val="FootnoteTextChar"/>
    <w:uiPriority w:val="99"/>
    <w:rsid w:val="00A5534B"/>
    <w:rPr>
      <w:sz w:val="20"/>
      <w:szCs w:val="20"/>
    </w:rPr>
  </w:style>
  <w:style w:type="character" w:customStyle="1" w:styleId="FootnoteTextChar">
    <w:name w:val="Footnote Text Char"/>
    <w:basedOn w:val="DefaultParagraphFont"/>
    <w:link w:val="FootnoteText"/>
    <w:uiPriority w:val="99"/>
    <w:rsid w:val="00A5534B"/>
  </w:style>
  <w:style w:type="character" w:styleId="FootnoteReference">
    <w:name w:val="footnote reference"/>
    <w:rsid w:val="00A5534B"/>
    <w:rPr>
      <w:vertAlign w:val="superscript"/>
    </w:rPr>
  </w:style>
  <w:style w:type="paragraph" w:styleId="ListParagraph">
    <w:name w:val="List Paragraph"/>
    <w:basedOn w:val="Normal"/>
    <w:uiPriority w:val="34"/>
    <w:qFormat/>
    <w:rsid w:val="00221AD1"/>
    <w:pPr>
      <w:ind w:left="720"/>
      <w:contextualSpacing/>
    </w:p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
    <w:rsid w:val="00686CBD"/>
    <w:pPr>
      <w:spacing w:after="240"/>
      <w:ind w:firstLine="720"/>
    </w:pPr>
  </w:style>
  <w:style w:type="character" w:customStyle="1" w:styleId="bodytextChar">
    <w:name w:val="body text Char"/>
    <w:aliases w:val="bt Char,body text Char Char,body tx Char,indent Char,flush Char"/>
    <w:link w:val="BodyText1"/>
    <w:rsid w:val="00686CBD"/>
    <w:rPr>
      <w:sz w:val="24"/>
      <w:szCs w:val="24"/>
    </w:rPr>
  </w:style>
  <w:style w:type="character" w:styleId="Hyperlink">
    <w:name w:val="Hyperlink"/>
    <w:rsid w:val="00A260F7"/>
    <w:rPr>
      <w:color w:val="0000FF"/>
      <w:u w:val="single"/>
    </w:rPr>
  </w:style>
  <w:style w:type="paragraph" w:customStyle="1" w:styleId="Default">
    <w:name w:val="Default"/>
    <w:rsid w:val="00976F56"/>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976F56"/>
    <w:pPr>
      <w:spacing w:before="120" w:after="120"/>
      <w:ind w:firstLine="720"/>
    </w:pPr>
    <w:rPr>
      <w:sz w:val="22"/>
      <w:szCs w:val="20"/>
    </w:rPr>
  </w:style>
  <w:style w:type="character" w:customStyle="1" w:styleId="bodytextpsgChar">
    <w:name w:val="body text_psg Char"/>
    <w:link w:val="bodytextpsg"/>
    <w:rsid w:val="00976F56"/>
    <w:rPr>
      <w:sz w:val="22"/>
    </w:rPr>
  </w:style>
  <w:style w:type="character" w:styleId="CommentReference">
    <w:name w:val="annotation reference"/>
    <w:basedOn w:val="DefaultParagraphFont"/>
    <w:semiHidden/>
    <w:unhideWhenUsed/>
    <w:rsid w:val="009C0B6F"/>
    <w:rPr>
      <w:sz w:val="16"/>
      <w:szCs w:val="16"/>
    </w:rPr>
  </w:style>
  <w:style w:type="paragraph" w:styleId="CommentText">
    <w:name w:val="annotation text"/>
    <w:basedOn w:val="Normal"/>
    <w:link w:val="CommentTextChar"/>
    <w:semiHidden/>
    <w:unhideWhenUsed/>
    <w:rsid w:val="009C0B6F"/>
    <w:rPr>
      <w:sz w:val="20"/>
      <w:szCs w:val="20"/>
    </w:rPr>
  </w:style>
  <w:style w:type="character" w:customStyle="1" w:styleId="CommentTextChar">
    <w:name w:val="Comment Text Char"/>
    <w:basedOn w:val="DefaultParagraphFont"/>
    <w:link w:val="CommentText"/>
    <w:semiHidden/>
    <w:rsid w:val="009C0B6F"/>
  </w:style>
  <w:style w:type="paragraph" w:styleId="CommentSubject">
    <w:name w:val="annotation subject"/>
    <w:basedOn w:val="CommentText"/>
    <w:next w:val="CommentText"/>
    <w:link w:val="CommentSubjectChar"/>
    <w:semiHidden/>
    <w:unhideWhenUsed/>
    <w:rsid w:val="009C0B6F"/>
    <w:rPr>
      <w:b/>
      <w:bCs/>
    </w:rPr>
  </w:style>
  <w:style w:type="character" w:customStyle="1" w:styleId="CommentSubjectChar">
    <w:name w:val="Comment Subject Char"/>
    <w:basedOn w:val="CommentTextChar"/>
    <w:link w:val="CommentSubject"/>
    <w:semiHidden/>
    <w:rsid w:val="009C0B6F"/>
    <w:rPr>
      <w:b/>
      <w:bCs/>
    </w:rPr>
  </w:style>
  <w:style w:type="paragraph" w:styleId="Revision">
    <w:name w:val="Revision"/>
    <w:hidden/>
    <w:uiPriority w:val="99"/>
    <w:semiHidden/>
    <w:rsid w:val="00416547"/>
    <w:rPr>
      <w:sz w:val="24"/>
      <w:szCs w:val="24"/>
    </w:rPr>
  </w:style>
  <w:style w:type="paragraph" w:styleId="Header">
    <w:name w:val="header"/>
    <w:basedOn w:val="Normal"/>
    <w:link w:val="HeaderChar"/>
    <w:unhideWhenUsed/>
    <w:rsid w:val="00416547"/>
    <w:pPr>
      <w:tabs>
        <w:tab w:val="center" w:pos="4680"/>
        <w:tab w:val="right" w:pos="9360"/>
      </w:tabs>
    </w:pPr>
  </w:style>
  <w:style w:type="character" w:customStyle="1" w:styleId="HeaderChar">
    <w:name w:val="Header Char"/>
    <w:basedOn w:val="DefaultParagraphFont"/>
    <w:link w:val="Header"/>
    <w:rsid w:val="00416547"/>
    <w:rPr>
      <w:sz w:val="24"/>
      <w:szCs w:val="24"/>
    </w:rPr>
  </w:style>
  <w:style w:type="character" w:customStyle="1" w:styleId="FooterChar">
    <w:name w:val="Footer Char"/>
    <w:basedOn w:val="DefaultParagraphFont"/>
    <w:link w:val="Footer"/>
    <w:uiPriority w:val="99"/>
    <w:rsid w:val="004165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FootnoteText">
    <w:name w:val="footnote text"/>
    <w:basedOn w:val="Normal"/>
    <w:link w:val="FootnoteTextChar"/>
    <w:uiPriority w:val="99"/>
    <w:rsid w:val="00A5534B"/>
    <w:rPr>
      <w:sz w:val="20"/>
      <w:szCs w:val="20"/>
    </w:rPr>
  </w:style>
  <w:style w:type="character" w:customStyle="1" w:styleId="FootnoteTextChar">
    <w:name w:val="Footnote Text Char"/>
    <w:basedOn w:val="DefaultParagraphFont"/>
    <w:link w:val="FootnoteText"/>
    <w:uiPriority w:val="99"/>
    <w:rsid w:val="00A5534B"/>
  </w:style>
  <w:style w:type="character" w:styleId="FootnoteReference">
    <w:name w:val="footnote reference"/>
    <w:rsid w:val="00A5534B"/>
    <w:rPr>
      <w:vertAlign w:val="superscript"/>
    </w:rPr>
  </w:style>
  <w:style w:type="paragraph" w:styleId="ListParagraph">
    <w:name w:val="List Paragraph"/>
    <w:basedOn w:val="Normal"/>
    <w:uiPriority w:val="34"/>
    <w:qFormat/>
    <w:rsid w:val="00221AD1"/>
    <w:pPr>
      <w:ind w:left="720"/>
      <w:contextualSpacing/>
    </w:p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
    <w:rsid w:val="00686CBD"/>
    <w:pPr>
      <w:spacing w:after="240"/>
      <w:ind w:firstLine="720"/>
    </w:pPr>
  </w:style>
  <w:style w:type="character" w:customStyle="1" w:styleId="bodytextChar">
    <w:name w:val="body text Char"/>
    <w:aliases w:val="bt Char,body text Char Char,body tx Char,indent Char,flush Char"/>
    <w:link w:val="BodyText1"/>
    <w:rsid w:val="00686CBD"/>
    <w:rPr>
      <w:sz w:val="24"/>
      <w:szCs w:val="24"/>
    </w:rPr>
  </w:style>
  <w:style w:type="character" w:styleId="Hyperlink">
    <w:name w:val="Hyperlink"/>
    <w:rsid w:val="00A260F7"/>
    <w:rPr>
      <w:color w:val="0000FF"/>
      <w:u w:val="single"/>
    </w:rPr>
  </w:style>
  <w:style w:type="paragraph" w:customStyle="1" w:styleId="Default">
    <w:name w:val="Default"/>
    <w:rsid w:val="00976F56"/>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976F56"/>
    <w:pPr>
      <w:spacing w:before="120" w:after="120"/>
      <w:ind w:firstLine="720"/>
    </w:pPr>
    <w:rPr>
      <w:sz w:val="22"/>
      <w:szCs w:val="20"/>
    </w:rPr>
  </w:style>
  <w:style w:type="character" w:customStyle="1" w:styleId="bodytextpsgChar">
    <w:name w:val="body text_psg Char"/>
    <w:link w:val="bodytextpsg"/>
    <w:rsid w:val="00976F56"/>
    <w:rPr>
      <w:sz w:val="22"/>
    </w:rPr>
  </w:style>
  <w:style w:type="character" w:styleId="CommentReference">
    <w:name w:val="annotation reference"/>
    <w:basedOn w:val="DefaultParagraphFont"/>
    <w:semiHidden/>
    <w:unhideWhenUsed/>
    <w:rsid w:val="009C0B6F"/>
    <w:rPr>
      <w:sz w:val="16"/>
      <w:szCs w:val="16"/>
    </w:rPr>
  </w:style>
  <w:style w:type="paragraph" w:styleId="CommentText">
    <w:name w:val="annotation text"/>
    <w:basedOn w:val="Normal"/>
    <w:link w:val="CommentTextChar"/>
    <w:semiHidden/>
    <w:unhideWhenUsed/>
    <w:rsid w:val="009C0B6F"/>
    <w:rPr>
      <w:sz w:val="20"/>
      <w:szCs w:val="20"/>
    </w:rPr>
  </w:style>
  <w:style w:type="character" w:customStyle="1" w:styleId="CommentTextChar">
    <w:name w:val="Comment Text Char"/>
    <w:basedOn w:val="DefaultParagraphFont"/>
    <w:link w:val="CommentText"/>
    <w:semiHidden/>
    <w:rsid w:val="009C0B6F"/>
  </w:style>
  <w:style w:type="paragraph" w:styleId="CommentSubject">
    <w:name w:val="annotation subject"/>
    <w:basedOn w:val="CommentText"/>
    <w:next w:val="CommentText"/>
    <w:link w:val="CommentSubjectChar"/>
    <w:semiHidden/>
    <w:unhideWhenUsed/>
    <w:rsid w:val="009C0B6F"/>
    <w:rPr>
      <w:b/>
      <w:bCs/>
    </w:rPr>
  </w:style>
  <w:style w:type="character" w:customStyle="1" w:styleId="CommentSubjectChar">
    <w:name w:val="Comment Subject Char"/>
    <w:basedOn w:val="CommentTextChar"/>
    <w:link w:val="CommentSubject"/>
    <w:semiHidden/>
    <w:rsid w:val="009C0B6F"/>
    <w:rPr>
      <w:b/>
      <w:bCs/>
    </w:rPr>
  </w:style>
  <w:style w:type="paragraph" w:styleId="Revision">
    <w:name w:val="Revision"/>
    <w:hidden/>
    <w:uiPriority w:val="99"/>
    <w:semiHidden/>
    <w:rsid w:val="00416547"/>
    <w:rPr>
      <w:sz w:val="24"/>
      <w:szCs w:val="24"/>
    </w:rPr>
  </w:style>
  <w:style w:type="paragraph" w:styleId="Header">
    <w:name w:val="header"/>
    <w:basedOn w:val="Normal"/>
    <w:link w:val="HeaderChar"/>
    <w:unhideWhenUsed/>
    <w:rsid w:val="00416547"/>
    <w:pPr>
      <w:tabs>
        <w:tab w:val="center" w:pos="4680"/>
        <w:tab w:val="right" w:pos="9360"/>
      </w:tabs>
    </w:pPr>
  </w:style>
  <w:style w:type="character" w:customStyle="1" w:styleId="HeaderChar">
    <w:name w:val="Header Char"/>
    <w:basedOn w:val="DefaultParagraphFont"/>
    <w:link w:val="Header"/>
    <w:rsid w:val="00416547"/>
    <w:rPr>
      <w:sz w:val="24"/>
      <w:szCs w:val="24"/>
    </w:rPr>
  </w:style>
  <w:style w:type="character" w:customStyle="1" w:styleId="FooterChar">
    <w:name w:val="Footer Char"/>
    <w:basedOn w:val="DefaultParagraphFont"/>
    <w:link w:val="Footer"/>
    <w:uiPriority w:val="99"/>
    <w:rsid w:val="004165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549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21604-6476-4F59-915B-044A917F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2019-08-14T19:49:00Z</dcterms:created>
  <dcterms:modified xsi:type="dcterms:W3CDTF">2019-08-14T19:49:00Z</dcterms:modified>
</cp:coreProperties>
</file>