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54BFC" w14:textId="734F8B00" w:rsidR="00450222" w:rsidRPr="00B24094" w:rsidRDefault="00741D2E" w:rsidP="00860BDD">
      <w:pPr>
        <w:keepNext/>
        <w:keepLines/>
        <w:ind w:left="720"/>
        <w:jc w:val="center"/>
        <w:outlineLvl w:val="6"/>
        <w:rPr>
          <w:rFonts w:eastAsiaTheme="majorEastAsia"/>
          <w:b/>
          <w:i/>
          <w:iCs/>
          <w:color w:val="404040" w:themeColor="text1" w:themeTint="BF"/>
          <w:sz w:val="28"/>
          <w:szCs w:val="28"/>
        </w:rPr>
      </w:pPr>
      <w:bookmarkStart w:id="0" w:name="_GoBack"/>
      <w:bookmarkEnd w:id="0"/>
      <w:r w:rsidRPr="00EA366E">
        <w:rPr>
          <w:rFonts w:eastAsiaTheme="majorEastAsia"/>
          <w:b/>
          <w:i/>
          <w:iCs/>
          <w:color w:val="404040" w:themeColor="text1" w:themeTint="BF"/>
          <w:sz w:val="28"/>
          <w:szCs w:val="28"/>
        </w:rPr>
        <w:t xml:space="preserve">SUPPORTING STATEMENT:  </w:t>
      </w:r>
      <w:r w:rsidRPr="00B24094">
        <w:rPr>
          <w:rFonts w:eastAsiaTheme="majorEastAsia"/>
          <w:b/>
          <w:i/>
          <w:iCs/>
          <w:color w:val="404040" w:themeColor="text1" w:themeTint="BF"/>
          <w:sz w:val="28"/>
          <w:szCs w:val="28"/>
        </w:rPr>
        <w:t>PART A</w:t>
      </w:r>
      <w:r w:rsidRPr="00B24094" w:rsidDel="00741D2E">
        <w:rPr>
          <w:rFonts w:eastAsiaTheme="majorEastAsia"/>
          <w:b/>
          <w:i/>
          <w:iCs/>
          <w:color w:val="404040" w:themeColor="text1" w:themeTint="BF"/>
          <w:sz w:val="28"/>
          <w:szCs w:val="28"/>
        </w:rPr>
        <w:t xml:space="preserve"> </w:t>
      </w:r>
    </w:p>
    <w:p w14:paraId="6DD69568" w14:textId="4D947A08" w:rsidR="00450222" w:rsidRPr="00860BDD" w:rsidRDefault="00450222" w:rsidP="00860BDD">
      <w:pPr>
        <w:keepNext/>
        <w:keepLines/>
        <w:ind w:left="720"/>
        <w:jc w:val="center"/>
        <w:outlineLvl w:val="6"/>
        <w:rPr>
          <w:rFonts w:eastAsiaTheme="majorEastAsia"/>
          <w:iCs/>
          <w:color w:val="404040" w:themeColor="text1" w:themeTint="BF"/>
        </w:rPr>
      </w:pPr>
    </w:p>
    <w:p w14:paraId="13CD2745" w14:textId="77777777" w:rsidR="00860BDD" w:rsidRPr="005C388F" w:rsidRDefault="00860BDD" w:rsidP="00860BDD">
      <w:pPr>
        <w:pStyle w:val="BalloonText"/>
        <w:ind w:left="720"/>
        <w:jc w:val="center"/>
        <w:rPr>
          <w:sz w:val="24"/>
          <w:szCs w:val="24"/>
        </w:rPr>
      </w:pPr>
    </w:p>
    <w:p w14:paraId="40684487" w14:textId="77777777" w:rsidR="00860BDD" w:rsidRPr="005C388F" w:rsidRDefault="00860BDD" w:rsidP="00860BDD">
      <w:pPr>
        <w:autoSpaceDE w:val="0"/>
        <w:autoSpaceDN w:val="0"/>
        <w:adjustRightInd w:val="0"/>
        <w:ind w:left="720"/>
        <w:jc w:val="center"/>
        <w:rPr>
          <w:b/>
          <w:bCs/>
        </w:rPr>
      </w:pPr>
    </w:p>
    <w:p w14:paraId="7B19CD4D" w14:textId="04CD267E" w:rsidR="00860BDD" w:rsidRPr="005C388F" w:rsidRDefault="00860BDD" w:rsidP="00860BDD">
      <w:pPr>
        <w:ind w:left="720"/>
        <w:jc w:val="center"/>
        <w:rPr>
          <w:b/>
        </w:rPr>
      </w:pPr>
      <w:r w:rsidRPr="005C388F">
        <w:rPr>
          <w:b/>
        </w:rPr>
        <w:t>OMB#</w:t>
      </w:r>
      <w:r w:rsidR="003F55E4">
        <w:rPr>
          <w:b/>
        </w:rPr>
        <w:t xml:space="preserve"> 0920-19BOL</w:t>
      </w:r>
      <w:r w:rsidRPr="005C388F">
        <w:rPr>
          <w:b/>
        </w:rPr>
        <w:t xml:space="preserve"> </w:t>
      </w:r>
    </w:p>
    <w:p w14:paraId="3B3A87F2" w14:textId="77777777" w:rsidR="00860BDD" w:rsidRDefault="00860BDD" w:rsidP="00860BDD">
      <w:pPr>
        <w:ind w:left="720"/>
        <w:jc w:val="center"/>
        <w:rPr>
          <w:b/>
        </w:rPr>
      </w:pPr>
    </w:p>
    <w:p w14:paraId="4F7E13D9" w14:textId="77777777" w:rsidR="00860BDD" w:rsidRDefault="00860BDD" w:rsidP="00860BDD">
      <w:pPr>
        <w:ind w:left="720"/>
        <w:jc w:val="center"/>
        <w:rPr>
          <w:b/>
        </w:rPr>
      </w:pPr>
    </w:p>
    <w:p w14:paraId="32CC49DE" w14:textId="77777777" w:rsidR="00860BDD" w:rsidRDefault="00860BDD" w:rsidP="00860BDD">
      <w:pPr>
        <w:ind w:left="720"/>
        <w:jc w:val="center"/>
        <w:rPr>
          <w:b/>
        </w:rPr>
      </w:pPr>
    </w:p>
    <w:p w14:paraId="623AA1EA" w14:textId="77777777" w:rsidR="00860BDD" w:rsidRDefault="00860BDD" w:rsidP="00860BDD">
      <w:pPr>
        <w:ind w:left="720"/>
        <w:jc w:val="center"/>
        <w:rPr>
          <w:b/>
        </w:rPr>
      </w:pPr>
    </w:p>
    <w:p w14:paraId="7E6266CB" w14:textId="77777777" w:rsidR="00860BDD" w:rsidRDefault="00860BDD" w:rsidP="00860BDD">
      <w:pPr>
        <w:ind w:left="720"/>
        <w:jc w:val="center"/>
        <w:rPr>
          <w:b/>
        </w:rPr>
      </w:pPr>
    </w:p>
    <w:p w14:paraId="67D080C8" w14:textId="76D6A135" w:rsidR="00860BDD" w:rsidRPr="00000E0D" w:rsidRDefault="00A54680" w:rsidP="00A54680">
      <w:pPr>
        <w:ind w:left="720"/>
        <w:jc w:val="center"/>
        <w:rPr>
          <w:rStyle w:val="BookTitle"/>
          <w:sz w:val="36"/>
        </w:rPr>
      </w:pPr>
      <w:r>
        <w:rPr>
          <w:rStyle w:val="BookTitle"/>
          <w:sz w:val="36"/>
        </w:rPr>
        <w:t xml:space="preserve">Annual Reporting of the </w:t>
      </w:r>
      <w:r w:rsidR="00860BDD">
        <w:rPr>
          <w:rStyle w:val="BookTitle"/>
          <w:sz w:val="36"/>
        </w:rPr>
        <w:t>Rape prevention and Education (RPE) Program</w:t>
      </w:r>
      <w:r w:rsidR="00382EC9">
        <w:rPr>
          <w:rStyle w:val="BookTitle"/>
          <w:sz w:val="36"/>
        </w:rPr>
        <w:t>:</w:t>
      </w:r>
      <w:r w:rsidR="00450222">
        <w:rPr>
          <w:rStyle w:val="BookTitle"/>
          <w:sz w:val="36"/>
        </w:rPr>
        <w:t xml:space="preserve"> CE19-1902 Cooperative Agreement</w:t>
      </w:r>
      <w:r w:rsidR="00860BDD" w:rsidRPr="00000E0D">
        <w:rPr>
          <w:rStyle w:val="BookTitle"/>
          <w:sz w:val="36"/>
        </w:rPr>
        <w:t xml:space="preserve"> </w:t>
      </w:r>
    </w:p>
    <w:p w14:paraId="44E96800" w14:textId="77777777" w:rsidR="00860BDD" w:rsidRPr="005C388F" w:rsidRDefault="00860BDD" w:rsidP="00860BDD">
      <w:pPr>
        <w:ind w:left="720"/>
        <w:jc w:val="center"/>
      </w:pPr>
    </w:p>
    <w:p w14:paraId="49479EB1" w14:textId="77777777" w:rsidR="00860BDD" w:rsidRPr="005C388F" w:rsidRDefault="00860BDD" w:rsidP="00860BDD">
      <w:pPr>
        <w:ind w:left="720"/>
        <w:jc w:val="center"/>
      </w:pPr>
    </w:p>
    <w:p w14:paraId="1C69FA47" w14:textId="77777777" w:rsidR="00860BDD" w:rsidRPr="005C388F" w:rsidRDefault="00860BDD" w:rsidP="00860BDD">
      <w:pPr>
        <w:ind w:left="720"/>
        <w:jc w:val="center"/>
        <w:rPr>
          <w:bCs/>
        </w:rPr>
      </w:pPr>
    </w:p>
    <w:p w14:paraId="28B33449" w14:textId="77777777" w:rsidR="00860BDD" w:rsidRPr="005C388F" w:rsidRDefault="00860BDD" w:rsidP="00860BDD">
      <w:pPr>
        <w:ind w:left="720"/>
        <w:jc w:val="center"/>
        <w:rPr>
          <w:bCs/>
        </w:rPr>
      </w:pPr>
    </w:p>
    <w:p w14:paraId="7DE99AB9" w14:textId="77777777" w:rsidR="00860BDD" w:rsidRPr="005C388F" w:rsidRDefault="00860BDD" w:rsidP="00860BDD">
      <w:pPr>
        <w:ind w:left="720"/>
        <w:jc w:val="center"/>
        <w:rPr>
          <w:bCs/>
        </w:rPr>
      </w:pPr>
    </w:p>
    <w:p w14:paraId="05E1B2FB" w14:textId="77777777" w:rsidR="00860BDD" w:rsidRPr="005C388F" w:rsidRDefault="00860BDD" w:rsidP="00860BDD">
      <w:pPr>
        <w:ind w:left="720"/>
        <w:jc w:val="center"/>
        <w:rPr>
          <w:bCs/>
        </w:rPr>
      </w:pPr>
    </w:p>
    <w:p w14:paraId="3E9BFFC1" w14:textId="77777777" w:rsidR="00860BDD" w:rsidRPr="005C388F" w:rsidRDefault="00860BDD" w:rsidP="00860BDD">
      <w:pPr>
        <w:ind w:left="720"/>
        <w:jc w:val="center"/>
        <w:rPr>
          <w:bCs/>
        </w:rPr>
      </w:pPr>
    </w:p>
    <w:p w14:paraId="6944014A" w14:textId="77777777" w:rsidR="00860BDD" w:rsidRPr="005C388F" w:rsidRDefault="00860BDD" w:rsidP="00860BDD">
      <w:pPr>
        <w:ind w:left="720"/>
        <w:jc w:val="center"/>
      </w:pPr>
    </w:p>
    <w:p w14:paraId="70F2513E" w14:textId="77777777" w:rsidR="00860BDD" w:rsidRPr="005C388F" w:rsidRDefault="00860BDD" w:rsidP="00860BDD">
      <w:pPr>
        <w:ind w:left="720"/>
        <w:jc w:val="center"/>
      </w:pPr>
    </w:p>
    <w:p w14:paraId="1B239DCE" w14:textId="77777777" w:rsidR="00860BDD" w:rsidRPr="005C388F" w:rsidRDefault="00860BDD" w:rsidP="00860BDD">
      <w:pPr>
        <w:ind w:left="720"/>
        <w:jc w:val="center"/>
      </w:pPr>
    </w:p>
    <w:p w14:paraId="2E21E19E" w14:textId="77777777" w:rsidR="00860BDD" w:rsidRPr="005C388F" w:rsidRDefault="00860BDD" w:rsidP="00860BDD">
      <w:pPr>
        <w:ind w:left="720"/>
        <w:jc w:val="center"/>
      </w:pPr>
    </w:p>
    <w:p w14:paraId="64D925F7" w14:textId="77777777" w:rsidR="00860BDD" w:rsidRPr="005C388F" w:rsidRDefault="00860BDD" w:rsidP="00860BDD">
      <w:pPr>
        <w:ind w:left="720"/>
        <w:jc w:val="right"/>
      </w:pPr>
    </w:p>
    <w:p w14:paraId="79925E14" w14:textId="77777777" w:rsidR="00860BDD" w:rsidRPr="005C388F" w:rsidRDefault="00860BDD" w:rsidP="00860BDD">
      <w:pPr>
        <w:ind w:left="720"/>
        <w:jc w:val="right"/>
      </w:pPr>
    </w:p>
    <w:p w14:paraId="6816688E" w14:textId="77777777" w:rsidR="00741D2E" w:rsidRPr="00691454" w:rsidRDefault="00741D2E" w:rsidP="00741D2E">
      <w:pPr>
        <w:jc w:val="center"/>
      </w:pPr>
      <w:r w:rsidRPr="00691454">
        <w:t>Point of Contact:</w:t>
      </w:r>
    </w:p>
    <w:p w14:paraId="7193A6F2" w14:textId="77777777" w:rsidR="00860BDD" w:rsidRDefault="00860BDD" w:rsidP="00860BDD">
      <w:pPr>
        <w:jc w:val="center"/>
      </w:pPr>
      <w:r>
        <w:t>Linda Vo, MPH</w:t>
      </w:r>
    </w:p>
    <w:p w14:paraId="48788E5F" w14:textId="77777777" w:rsidR="00860BDD" w:rsidRPr="00691454" w:rsidRDefault="00860BDD" w:rsidP="00860BDD">
      <w:pPr>
        <w:pStyle w:val="E-mailSignature"/>
        <w:jc w:val="center"/>
        <w:rPr>
          <w:noProof/>
        </w:rPr>
      </w:pPr>
      <w:bookmarkStart w:id="1" w:name="_MailAutoSig"/>
      <w:r w:rsidRPr="00691454">
        <w:rPr>
          <w:noProof/>
        </w:rPr>
        <w:t>Centers for Disease Control and Prevention</w:t>
      </w:r>
    </w:p>
    <w:p w14:paraId="53FAA11C" w14:textId="77777777" w:rsidR="00860BDD" w:rsidRPr="00691454" w:rsidRDefault="00860BDD" w:rsidP="00860BDD">
      <w:pPr>
        <w:pStyle w:val="E-mailSignature"/>
        <w:jc w:val="center"/>
        <w:rPr>
          <w:noProof/>
        </w:rPr>
      </w:pPr>
      <w:r w:rsidRPr="00691454">
        <w:rPr>
          <w:noProof/>
        </w:rPr>
        <w:t>National Center for Injury Prevention and Control</w:t>
      </w:r>
    </w:p>
    <w:p w14:paraId="51039DC4" w14:textId="77777777" w:rsidR="00860BDD" w:rsidRPr="00691454" w:rsidRDefault="00860BDD" w:rsidP="00860BDD">
      <w:pPr>
        <w:pStyle w:val="E-mailSignature"/>
        <w:jc w:val="center"/>
        <w:rPr>
          <w:noProof/>
        </w:rPr>
      </w:pPr>
      <w:r w:rsidRPr="00691454">
        <w:rPr>
          <w:noProof/>
        </w:rPr>
        <w:t>4770 Buford Highway NE</w:t>
      </w:r>
      <w:r>
        <w:rPr>
          <w:noProof/>
        </w:rPr>
        <w:t>,</w:t>
      </w:r>
      <w:r w:rsidRPr="00691454">
        <w:rPr>
          <w:noProof/>
        </w:rPr>
        <w:t xml:space="preserve">  MS F-64</w:t>
      </w:r>
    </w:p>
    <w:p w14:paraId="12C845F1" w14:textId="77777777" w:rsidR="00860BDD" w:rsidRPr="00691454" w:rsidRDefault="00860BDD" w:rsidP="00860BDD">
      <w:pPr>
        <w:pStyle w:val="E-mailSignature"/>
        <w:jc w:val="center"/>
        <w:rPr>
          <w:noProof/>
        </w:rPr>
      </w:pPr>
      <w:r w:rsidRPr="00691454">
        <w:rPr>
          <w:noProof/>
        </w:rPr>
        <w:t>Atlanta, GA 30341-3724</w:t>
      </w:r>
    </w:p>
    <w:p w14:paraId="282FEAF2" w14:textId="77777777" w:rsidR="00860BDD" w:rsidRPr="00691454" w:rsidRDefault="00860BDD" w:rsidP="00860BDD">
      <w:pPr>
        <w:pStyle w:val="E-mailSignature"/>
        <w:jc w:val="center"/>
        <w:rPr>
          <w:noProof/>
        </w:rPr>
      </w:pPr>
      <w:r>
        <w:rPr>
          <w:noProof/>
        </w:rPr>
        <w:t>P</w:t>
      </w:r>
      <w:r w:rsidRPr="00691454">
        <w:rPr>
          <w:noProof/>
        </w:rPr>
        <w:t>hone:</w:t>
      </w:r>
      <w:r>
        <w:rPr>
          <w:noProof/>
        </w:rPr>
        <w:t xml:space="preserve"> (770) 488-0046</w:t>
      </w:r>
    </w:p>
    <w:p w14:paraId="515508D3" w14:textId="77777777" w:rsidR="00860BDD" w:rsidRDefault="00860BDD" w:rsidP="00860BDD">
      <w:pPr>
        <w:pStyle w:val="E-mailSignature"/>
        <w:jc w:val="center"/>
        <w:rPr>
          <w:noProof/>
        </w:rPr>
      </w:pPr>
      <w:r>
        <w:rPr>
          <w:noProof/>
        </w:rPr>
        <w:t>E</w:t>
      </w:r>
      <w:r w:rsidRPr="00691454">
        <w:rPr>
          <w:noProof/>
        </w:rPr>
        <w:t>mail:</w:t>
      </w:r>
      <w:r>
        <w:rPr>
          <w:noProof/>
        </w:rPr>
        <w:t xml:space="preserve"> </w:t>
      </w:r>
      <w:hyperlink r:id="rId9" w:history="1">
        <w:r w:rsidRPr="006F6C30">
          <w:rPr>
            <w:rStyle w:val="Hyperlink"/>
            <w:noProof/>
          </w:rPr>
          <w:t>wuw9@cdc.gov</w:t>
        </w:r>
      </w:hyperlink>
    </w:p>
    <w:p w14:paraId="4640685C" w14:textId="77777777" w:rsidR="00860BDD" w:rsidRDefault="00860BDD" w:rsidP="00860BDD">
      <w:pPr>
        <w:pStyle w:val="E-mailSignature"/>
        <w:jc w:val="center"/>
        <w:rPr>
          <w:noProof/>
        </w:rPr>
      </w:pPr>
    </w:p>
    <w:p w14:paraId="2FF065DE" w14:textId="3CA71652" w:rsidR="00860BDD" w:rsidRDefault="00860BDD">
      <w:pPr>
        <w:spacing w:after="160" w:line="259" w:lineRule="auto"/>
        <w:rPr>
          <w:noProof/>
        </w:rPr>
      </w:pPr>
      <w:r>
        <w:rPr>
          <w:noProof/>
        </w:rPr>
        <w:br w:type="page"/>
      </w:r>
    </w:p>
    <w:sdt>
      <w:sdtPr>
        <w:rPr>
          <w:rFonts w:ascii="Times New Roman" w:eastAsia="Times New Roman" w:hAnsi="Times New Roman" w:cs="Times New Roman"/>
          <w:color w:val="auto"/>
          <w:sz w:val="24"/>
          <w:szCs w:val="24"/>
        </w:rPr>
        <w:id w:val="-1008200984"/>
        <w:docPartObj>
          <w:docPartGallery w:val="Table of Contents"/>
          <w:docPartUnique/>
        </w:docPartObj>
      </w:sdtPr>
      <w:sdtEndPr>
        <w:rPr>
          <w:b/>
          <w:bCs/>
          <w:noProof/>
        </w:rPr>
      </w:sdtEndPr>
      <w:sdtContent>
        <w:p w14:paraId="3480C453" w14:textId="1097BE23" w:rsidR="00860BDD" w:rsidRDefault="00860BDD" w:rsidP="004D7781">
          <w:pPr>
            <w:pStyle w:val="TOCHeading"/>
            <w:jc w:val="center"/>
            <w:rPr>
              <w:rFonts w:ascii="Times New Roman" w:hAnsi="Times New Roman" w:cs="Times New Roman"/>
              <w:b/>
              <w:color w:val="auto"/>
              <w:sz w:val="28"/>
            </w:rPr>
          </w:pPr>
          <w:r w:rsidRPr="00600DED">
            <w:rPr>
              <w:rFonts w:ascii="Times New Roman" w:hAnsi="Times New Roman" w:cs="Times New Roman"/>
              <w:b/>
              <w:color w:val="auto"/>
              <w:sz w:val="28"/>
            </w:rPr>
            <w:t>Table of Contents</w:t>
          </w:r>
        </w:p>
        <w:p w14:paraId="286600CF" w14:textId="0EEBD3E8" w:rsidR="00600DED" w:rsidRDefault="00600DED" w:rsidP="00600DED"/>
        <w:p w14:paraId="082D1A91" w14:textId="26647C57" w:rsidR="00600DED" w:rsidRPr="00600DED" w:rsidRDefault="00600DED" w:rsidP="00600DED">
          <w:pPr>
            <w:tabs>
              <w:tab w:val="right" w:pos="10080"/>
            </w:tabs>
            <w:rPr>
              <w:b/>
              <w:u w:val="single"/>
            </w:rPr>
          </w:pPr>
          <w:r>
            <w:rPr>
              <w:b/>
              <w:u w:val="single"/>
            </w:rPr>
            <w:t>Section</w:t>
          </w:r>
          <w:r w:rsidRPr="00600DED">
            <w:rPr>
              <w:b/>
            </w:rPr>
            <w:tab/>
          </w:r>
          <w:r>
            <w:rPr>
              <w:b/>
              <w:u w:val="single"/>
            </w:rPr>
            <w:t>Page</w:t>
          </w:r>
        </w:p>
        <w:p w14:paraId="67D5783F" w14:textId="74158B6A" w:rsidR="009F2A6C" w:rsidRDefault="00860BDD">
          <w:pPr>
            <w:pStyle w:val="TOC1"/>
            <w:tabs>
              <w:tab w:val="right" w:leader="dot" w:pos="10070"/>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7592379" w:history="1">
            <w:r w:rsidR="009F2A6C" w:rsidRPr="002E5A40">
              <w:rPr>
                <w:rStyle w:val="Hyperlink"/>
                <w:noProof/>
              </w:rPr>
              <w:t>Summary Table</w:t>
            </w:r>
            <w:r w:rsidR="009F2A6C">
              <w:rPr>
                <w:noProof/>
                <w:webHidden/>
              </w:rPr>
              <w:tab/>
            </w:r>
            <w:r w:rsidR="009F2A6C">
              <w:rPr>
                <w:noProof/>
                <w:webHidden/>
              </w:rPr>
              <w:fldChar w:fldCharType="begin"/>
            </w:r>
            <w:r w:rsidR="009F2A6C">
              <w:rPr>
                <w:noProof/>
                <w:webHidden/>
              </w:rPr>
              <w:instrText xml:space="preserve"> PAGEREF _Toc7592379 \h </w:instrText>
            </w:r>
            <w:r w:rsidR="009F2A6C">
              <w:rPr>
                <w:noProof/>
                <w:webHidden/>
              </w:rPr>
            </w:r>
            <w:r w:rsidR="009F2A6C">
              <w:rPr>
                <w:noProof/>
                <w:webHidden/>
              </w:rPr>
              <w:fldChar w:fldCharType="separate"/>
            </w:r>
            <w:r w:rsidR="004F1B9B">
              <w:rPr>
                <w:noProof/>
                <w:webHidden/>
              </w:rPr>
              <w:t>3</w:t>
            </w:r>
            <w:r w:rsidR="009F2A6C">
              <w:rPr>
                <w:noProof/>
                <w:webHidden/>
              </w:rPr>
              <w:fldChar w:fldCharType="end"/>
            </w:r>
          </w:hyperlink>
        </w:p>
        <w:p w14:paraId="0372E953" w14:textId="140E976B" w:rsidR="009F2A6C" w:rsidRDefault="001C33D2">
          <w:pPr>
            <w:pStyle w:val="TOC1"/>
            <w:tabs>
              <w:tab w:val="left" w:pos="480"/>
              <w:tab w:val="right" w:leader="dot" w:pos="10070"/>
            </w:tabs>
            <w:rPr>
              <w:rFonts w:asciiTheme="minorHAnsi" w:eastAsiaTheme="minorEastAsia" w:hAnsiTheme="minorHAnsi" w:cstheme="minorBidi"/>
              <w:noProof/>
              <w:sz w:val="22"/>
              <w:szCs w:val="22"/>
            </w:rPr>
          </w:pPr>
          <w:hyperlink w:anchor="_Toc7592380" w:history="1">
            <w:r w:rsidR="009F2A6C" w:rsidRPr="002E5A40">
              <w:rPr>
                <w:rStyle w:val="Hyperlink"/>
                <w:noProof/>
              </w:rPr>
              <w:t>A.</w:t>
            </w:r>
            <w:r w:rsidR="009F2A6C">
              <w:rPr>
                <w:rFonts w:asciiTheme="minorHAnsi" w:eastAsiaTheme="minorEastAsia" w:hAnsiTheme="minorHAnsi" w:cstheme="minorBidi"/>
                <w:noProof/>
                <w:sz w:val="22"/>
                <w:szCs w:val="22"/>
              </w:rPr>
              <w:tab/>
            </w:r>
            <w:r w:rsidR="009F2A6C" w:rsidRPr="002E5A40">
              <w:rPr>
                <w:rStyle w:val="Hyperlink"/>
                <w:noProof/>
              </w:rPr>
              <w:t>JUSTIFICATION</w:t>
            </w:r>
            <w:r w:rsidR="009F2A6C">
              <w:rPr>
                <w:noProof/>
                <w:webHidden/>
              </w:rPr>
              <w:tab/>
            </w:r>
            <w:r w:rsidR="009F2A6C">
              <w:rPr>
                <w:noProof/>
                <w:webHidden/>
              </w:rPr>
              <w:fldChar w:fldCharType="begin"/>
            </w:r>
            <w:r w:rsidR="009F2A6C">
              <w:rPr>
                <w:noProof/>
                <w:webHidden/>
              </w:rPr>
              <w:instrText xml:space="preserve"> PAGEREF _Toc7592380 \h </w:instrText>
            </w:r>
            <w:r w:rsidR="009F2A6C">
              <w:rPr>
                <w:noProof/>
                <w:webHidden/>
              </w:rPr>
            </w:r>
            <w:r w:rsidR="009F2A6C">
              <w:rPr>
                <w:noProof/>
                <w:webHidden/>
              </w:rPr>
              <w:fldChar w:fldCharType="separate"/>
            </w:r>
            <w:r w:rsidR="004F1B9B">
              <w:rPr>
                <w:noProof/>
                <w:webHidden/>
              </w:rPr>
              <w:t>3</w:t>
            </w:r>
            <w:r w:rsidR="009F2A6C">
              <w:rPr>
                <w:noProof/>
                <w:webHidden/>
              </w:rPr>
              <w:fldChar w:fldCharType="end"/>
            </w:r>
          </w:hyperlink>
        </w:p>
        <w:p w14:paraId="6A6DBFDC" w14:textId="43356132" w:rsidR="009F2A6C" w:rsidRDefault="001C33D2">
          <w:pPr>
            <w:pStyle w:val="TOC2"/>
            <w:tabs>
              <w:tab w:val="right" w:leader="dot" w:pos="10070"/>
            </w:tabs>
            <w:rPr>
              <w:rFonts w:asciiTheme="minorHAnsi" w:eastAsiaTheme="minorEastAsia" w:hAnsiTheme="minorHAnsi" w:cstheme="minorBidi"/>
              <w:noProof/>
              <w:sz w:val="22"/>
              <w:szCs w:val="22"/>
            </w:rPr>
          </w:pPr>
          <w:hyperlink w:anchor="_Toc7592381" w:history="1">
            <w:r w:rsidR="009F2A6C" w:rsidRPr="002E5A40">
              <w:rPr>
                <w:rStyle w:val="Hyperlink"/>
                <w:noProof/>
              </w:rPr>
              <w:t>A.1. Circumstances Making the Collection of Information Necessary</w:t>
            </w:r>
            <w:r w:rsidR="009F2A6C">
              <w:rPr>
                <w:noProof/>
                <w:webHidden/>
              </w:rPr>
              <w:tab/>
            </w:r>
            <w:r w:rsidR="009F2A6C">
              <w:rPr>
                <w:noProof/>
                <w:webHidden/>
              </w:rPr>
              <w:fldChar w:fldCharType="begin"/>
            </w:r>
            <w:r w:rsidR="009F2A6C">
              <w:rPr>
                <w:noProof/>
                <w:webHidden/>
              </w:rPr>
              <w:instrText xml:space="preserve"> PAGEREF _Toc7592381 \h </w:instrText>
            </w:r>
            <w:r w:rsidR="009F2A6C">
              <w:rPr>
                <w:noProof/>
                <w:webHidden/>
              </w:rPr>
            </w:r>
            <w:r w:rsidR="009F2A6C">
              <w:rPr>
                <w:noProof/>
                <w:webHidden/>
              </w:rPr>
              <w:fldChar w:fldCharType="separate"/>
            </w:r>
            <w:r w:rsidR="004F1B9B">
              <w:rPr>
                <w:noProof/>
                <w:webHidden/>
              </w:rPr>
              <w:t>3</w:t>
            </w:r>
            <w:r w:rsidR="009F2A6C">
              <w:rPr>
                <w:noProof/>
                <w:webHidden/>
              </w:rPr>
              <w:fldChar w:fldCharType="end"/>
            </w:r>
          </w:hyperlink>
        </w:p>
        <w:p w14:paraId="62168B13" w14:textId="036AD6E0" w:rsidR="009F2A6C" w:rsidRDefault="001C33D2" w:rsidP="00114CEB">
          <w:pPr>
            <w:pStyle w:val="TOC2"/>
            <w:tabs>
              <w:tab w:val="right" w:leader="dot" w:pos="10070"/>
            </w:tabs>
            <w:rPr>
              <w:rFonts w:asciiTheme="minorHAnsi" w:eastAsiaTheme="minorEastAsia" w:hAnsiTheme="minorHAnsi" w:cstheme="minorBidi"/>
              <w:noProof/>
              <w:sz w:val="22"/>
              <w:szCs w:val="22"/>
            </w:rPr>
          </w:pPr>
          <w:hyperlink w:anchor="_Toc7592382" w:history="1">
            <w:r w:rsidR="009F2A6C" w:rsidRPr="002E5A40">
              <w:rPr>
                <w:rStyle w:val="Hyperlink"/>
                <w:noProof/>
              </w:rPr>
              <w:t>A.2. Purpose and Use of Information Collection</w:t>
            </w:r>
            <w:r w:rsidR="009F2A6C">
              <w:rPr>
                <w:noProof/>
                <w:webHidden/>
              </w:rPr>
              <w:tab/>
            </w:r>
            <w:r w:rsidR="009F2A6C">
              <w:rPr>
                <w:noProof/>
                <w:webHidden/>
              </w:rPr>
              <w:fldChar w:fldCharType="begin"/>
            </w:r>
            <w:r w:rsidR="009F2A6C">
              <w:rPr>
                <w:noProof/>
                <w:webHidden/>
              </w:rPr>
              <w:instrText xml:space="preserve"> PAGEREF _Toc7592382 \h </w:instrText>
            </w:r>
            <w:r w:rsidR="009F2A6C">
              <w:rPr>
                <w:noProof/>
                <w:webHidden/>
              </w:rPr>
            </w:r>
            <w:r w:rsidR="009F2A6C">
              <w:rPr>
                <w:noProof/>
                <w:webHidden/>
              </w:rPr>
              <w:fldChar w:fldCharType="separate"/>
            </w:r>
            <w:r w:rsidR="004F1B9B">
              <w:rPr>
                <w:noProof/>
                <w:webHidden/>
              </w:rPr>
              <w:t>5</w:t>
            </w:r>
            <w:r w:rsidR="009F2A6C">
              <w:rPr>
                <w:noProof/>
                <w:webHidden/>
              </w:rPr>
              <w:fldChar w:fldCharType="end"/>
            </w:r>
          </w:hyperlink>
        </w:p>
        <w:p w14:paraId="15E24706" w14:textId="017EC6DB" w:rsidR="009F2A6C" w:rsidRDefault="001C33D2">
          <w:pPr>
            <w:pStyle w:val="TOC2"/>
            <w:tabs>
              <w:tab w:val="right" w:leader="dot" w:pos="10070"/>
            </w:tabs>
            <w:rPr>
              <w:rFonts w:asciiTheme="minorHAnsi" w:eastAsiaTheme="minorEastAsia" w:hAnsiTheme="minorHAnsi" w:cstheme="minorBidi"/>
              <w:noProof/>
              <w:sz w:val="22"/>
              <w:szCs w:val="22"/>
            </w:rPr>
          </w:pPr>
          <w:hyperlink w:anchor="_Toc7592384" w:history="1">
            <w:r w:rsidR="009F2A6C" w:rsidRPr="002E5A40">
              <w:rPr>
                <w:rStyle w:val="Hyperlink"/>
                <w:noProof/>
              </w:rPr>
              <w:t>A.3. Use of Improved Information Technology and Burden Reduction</w:t>
            </w:r>
            <w:r w:rsidR="009F2A6C">
              <w:rPr>
                <w:noProof/>
                <w:webHidden/>
              </w:rPr>
              <w:tab/>
            </w:r>
            <w:r w:rsidR="009F2A6C">
              <w:rPr>
                <w:noProof/>
                <w:webHidden/>
              </w:rPr>
              <w:fldChar w:fldCharType="begin"/>
            </w:r>
            <w:r w:rsidR="009F2A6C">
              <w:rPr>
                <w:noProof/>
                <w:webHidden/>
              </w:rPr>
              <w:instrText xml:space="preserve"> PAGEREF _Toc7592384 \h </w:instrText>
            </w:r>
            <w:r w:rsidR="009F2A6C">
              <w:rPr>
                <w:noProof/>
                <w:webHidden/>
              </w:rPr>
            </w:r>
            <w:r w:rsidR="009F2A6C">
              <w:rPr>
                <w:noProof/>
                <w:webHidden/>
              </w:rPr>
              <w:fldChar w:fldCharType="separate"/>
            </w:r>
            <w:r w:rsidR="004F1B9B">
              <w:rPr>
                <w:noProof/>
                <w:webHidden/>
              </w:rPr>
              <w:t>7</w:t>
            </w:r>
            <w:r w:rsidR="009F2A6C">
              <w:rPr>
                <w:noProof/>
                <w:webHidden/>
              </w:rPr>
              <w:fldChar w:fldCharType="end"/>
            </w:r>
          </w:hyperlink>
        </w:p>
        <w:p w14:paraId="24CB72F8" w14:textId="2996A2AC" w:rsidR="009F2A6C" w:rsidRDefault="001C33D2">
          <w:pPr>
            <w:pStyle w:val="TOC2"/>
            <w:tabs>
              <w:tab w:val="right" w:leader="dot" w:pos="10070"/>
            </w:tabs>
            <w:rPr>
              <w:rFonts w:asciiTheme="minorHAnsi" w:eastAsiaTheme="minorEastAsia" w:hAnsiTheme="minorHAnsi" w:cstheme="minorBidi"/>
              <w:noProof/>
              <w:sz w:val="22"/>
              <w:szCs w:val="22"/>
            </w:rPr>
          </w:pPr>
          <w:hyperlink w:anchor="_Toc7592385" w:history="1">
            <w:r w:rsidR="009F2A6C" w:rsidRPr="002E5A40">
              <w:rPr>
                <w:rStyle w:val="Hyperlink"/>
                <w:noProof/>
              </w:rPr>
              <w:t>A.4. Efforts to Identify Duplication and Use of Similar Information</w:t>
            </w:r>
            <w:r w:rsidR="009F2A6C">
              <w:rPr>
                <w:noProof/>
                <w:webHidden/>
              </w:rPr>
              <w:tab/>
            </w:r>
            <w:r w:rsidR="009F2A6C">
              <w:rPr>
                <w:noProof/>
                <w:webHidden/>
              </w:rPr>
              <w:fldChar w:fldCharType="begin"/>
            </w:r>
            <w:r w:rsidR="009F2A6C">
              <w:rPr>
                <w:noProof/>
                <w:webHidden/>
              </w:rPr>
              <w:instrText xml:space="preserve"> PAGEREF _Toc7592385 \h </w:instrText>
            </w:r>
            <w:r w:rsidR="009F2A6C">
              <w:rPr>
                <w:noProof/>
                <w:webHidden/>
              </w:rPr>
            </w:r>
            <w:r w:rsidR="009F2A6C">
              <w:rPr>
                <w:noProof/>
                <w:webHidden/>
              </w:rPr>
              <w:fldChar w:fldCharType="separate"/>
            </w:r>
            <w:r w:rsidR="004F1B9B">
              <w:rPr>
                <w:noProof/>
                <w:webHidden/>
              </w:rPr>
              <w:t>8</w:t>
            </w:r>
            <w:r w:rsidR="009F2A6C">
              <w:rPr>
                <w:noProof/>
                <w:webHidden/>
              </w:rPr>
              <w:fldChar w:fldCharType="end"/>
            </w:r>
          </w:hyperlink>
        </w:p>
        <w:p w14:paraId="2C065A01" w14:textId="3FA0E72F" w:rsidR="009F2A6C" w:rsidRDefault="001C33D2">
          <w:pPr>
            <w:pStyle w:val="TOC2"/>
            <w:tabs>
              <w:tab w:val="right" w:leader="dot" w:pos="10070"/>
            </w:tabs>
            <w:rPr>
              <w:rFonts w:asciiTheme="minorHAnsi" w:eastAsiaTheme="minorEastAsia" w:hAnsiTheme="minorHAnsi" w:cstheme="minorBidi"/>
              <w:noProof/>
              <w:sz w:val="22"/>
              <w:szCs w:val="22"/>
            </w:rPr>
          </w:pPr>
          <w:hyperlink w:anchor="_Toc7592386" w:history="1">
            <w:r w:rsidR="009F2A6C" w:rsidRPr="002E5A40">
              <w:rPr>
                <w:rStyle w:val="Hyperlink"/>
                <w:noProof/>
              </w:rPr>
              <w:t>A.5. Impact on Small Businesses or Other Small Entities</w:t>
            </w:r>
            <w:r w:rsidR="009F2A6C">
              <w:rPr>
                <w:noProof/>
                <w:webHidden/>
              </w:rPr>
              <w:tab/>
            </w:r>
            <w:r w:rsidR="009F2A6C">
              <w:rPr>
                <w:noProof/>
                <w:webHidden/>
              </w:rPr>
              <w:fldChar w:fldCharType="begin"/>
            </w:r>
            <w:r w:rsidR="009F2A6C">
              <w:rPr>
                <w:noProof/>
                <w:webHidden/>
              </w:rPr>
              <w:instrText xml:space="preserve"> PAGEREF _Toc7592386 \h </w:instrText>
            </w:r>
            <w:r w:rsidR="009F2A6C">
              <w:rPr>
                <w:noProof/>
                <w:webHidden/>
              </w:rPr>
            </w:r>
            <w:r w:rsidR="009F2A6C">
              <w:rPr>
                <w:noProof/>
                <w:webHidden/>
              </w:rPr>
              <w:fldChar w:fldCharType="separate"/>
            </w:r>
            <w:r w:rsidR="004F1B9B">
              <w:rPr>
                <w:noProof/>
                <w:webHidden/>
              </w:rPr>
              <w:t>8</w:t>
            </w:r>
            <w:r w:rsidR="009F2A6C">
              <w:rPr>
                <w:noProof/>
                <w:webHidden/>
              </w:rPr>
              <w:fldChar w:fldCharType="end"/>
            </w:r>
          </w:hyperlink>
        </w:p>
        <w:p w14:paraId="0AB79DE6" w14:textId="31F26D09" w:rsidR="009F2A6C" w:rsidRDefault="001C33D2">
          <w:pPr>
            <w:pStyle w:val="TOC2"/>
            <w:tabs>
              <w:tab w:val="right" w:leader="dot" w:pos="10070"/>
            </w:tabs>
            <w:rPr>
              <w:rFonts w:asciiTheme="minorHAnsi" w:eastAsiaTheme="minorEastAsia" w:hAnsiTheme="minorHAnsi" w:cstheme="minorBidi"/>
              <w:noProof/>
              <w:sz w:val="22"/>
              <w:szCs w:val="22"/>
            </w:rPr>
          </w:pPr>
          <w:hyperlink w:anchor="_Toc7592387" w:history="1">
            <w:r w:rsidR="009F2A6C" w:rsidRPr="002E5A40">
              <w:rPr>
                <w:rStyle w:val="Hyperlink"/>
                <w:noProof/>
              </w:rPr>
              <w:t>A.6. Consequences of Collecting the Information Less Frequently</w:t>
            </w:r>
            <w:r w:rsidR="009F2A6C">
              <w:rPr>
                <w:noProof/>
                <w:webHidden/>
              </w:rPr>
              <w:tab/>
            </w:r>
            <w:r w:rsidR="009F2A6C">
              <w:rPr>
                <w:noProof/>
                <w:webHidden/>
              </w:rPr>
              <w:fldChar w:fldCharType="begin"/>
            </w:r>
            <w:r w:rsidR="009F2A6C">
              <w:rPr>
                <w:noProof/>
                <w:webHidden/>
              </w:rPr>
              <w:instrText xml:space="preserve"> PAGEREF _Toc7592387 \h </w:instrText>
            </w:r>
            <w:r w:rsidR="009F2A6C">
              <w:rPr>
                <w:noProof/>
                <w:webHidden/>
              </w:rPr>
            </w:r>
            <w:r w:rsidR="009F2A6C">
              <w:rPr>
                <w:noProof/>
                <w:webHidden/>
              </w:rPr>
              <w:fldChar w:fldCharType="separate"/>
            </w:r>
            <w:r w:rsidR="004F1B9B">
              <w:rPr>
                <w:noProof/>
                <w:webHidden/>
              </w:rPr>
              <w:t>8</w:t>
            </w:r>
            <w:r w:rsidR="009F2A6C">
              <w:rPr>
                <w:noProof/>
                <w:webHidden/>
              </w:rPr>
              <w:fldChar w:fldCharType="end"/>
            </w:r>
          </w:hyperlink>
        </w:p>
        <w:p w14:paraId="4131499C" w14:textId="3471ECE4" w:rsidR="009F2A6C" w:rsidRDefault="001C33D2">
          <w:pPr>
            <w:pStyle w:val="TOC2"/>
            <w:tabs>
              <w:tab w:val="right" w:leader="dot" w:pos="10070"/>
            </w:tabs>
            <w:rPr>
              <w:rFonts w:asciiTheme="minorHAnsi" w:eastAsiaTheme="minorEastAsia" w:hAnsiTheme="minorHAnsi" w:cstheme="minorBidi"/>
              <w:noProof/>
              <w:sz w:val="22"/>
              <w:szCs w:val="22"/>
            </w:rPr>
          </w:pPr>
          <w:hyperlink w:anchor="_Toc7592388" w:history="1">
            <w:r w:rsidR="009F2A6C" w:rsidRPr="002E5A40">
              <w:rPr>
                <w:rStyle w:val="Hyperlink"/>
                <w:noProof/>
              </w:rPr>
              <w:t>A.7. Special Circumstances Relating to the Guidelines of 5 CFR 1320.5</w:t>
            </w:r>
            <w:r w:rsidR="009F2A6C">
              <w:rPr>
                <w:noProof/>
                <w:webHidden/>
              </w:rPr>
              <w:tab/>
            </w:r>
            <w:r w:rsidR="009F2A6C">
              <w:rPr>
                <w:noProof/>
                <w:webHidden/>
              </w:rPr>
              <w:fldChar w:fldCharType="begin"/>
            </w:r>
            <w:r w:rsidR="009F2A6C">
              <w:rPr>
                <w:noProof/>
                <w:webHidden/>
              </w:rPr>
              <w:instrText xml:space="preserve"> PAGEREF _Toc7592388 \h </w:instrText>
            </w:r>
            <w:r w:rsidR="009F2A6C">
              <w:rPr>
                <w:noProof/>
                <w:webHidden/>
              </w:rPr>
            </w:r>
            <w:r w:rsidR="009F2A6C">
              <w:rPr>
                <w:noProof/>
                <w:webHidden/>
              </w:rPr>
              <w:fldChar w:fldCharType="separate"/>
            </w:r>
            <w:r w:rsidR="004F1B9B">
              <w:rPr>
                <w:noProof/>
                <w:webHidden/>
              </w:rPr>
              <w:t>8</w:t>
            </w:r>
            <w:r w:rsidR="009F2A6C">
              <w:rPr>
                <w:noProof/>
                <w:webHidden/>
              </w:rPr>
              <w:fldChar w:fldCharType="end"/>
            </w:r>
          </w:hyperlink>
        </w:p>
        <w:p w14:paraId="1AE1C356" w14:textId="417F2F3E" w:rsidR="009F2A6C" w:rsidRDefault="001C33D2">
          <w:pPr>
            <w:pStyle w:val="TOC2"/>
            <w:tabs>
              <w:tab w:val="right" w:leader="dot" w:pos="10070"/>
            </w:tabs>
            <w:rPr>
              <w:rFonts w:asciiTheme="minorHAnsi" w:eastAsiaTheme="minorEastAsia" w:hAnsiTheme="minorHAnsi" w:cstheme="minorBidi"/>
              <w:noProof/>
              <w:sz w:val="22"/>
              <w:szCs w:val="22"/>
            </w:rPr>
          </w:pPr>
          <w:hyperlink w:anchor="_Toc7592389" w:history="1">
            <w:r w:rsidR="009F2A6C" w:rsidRPr="002E5A40">
              <w:rPr>
                <w:rStyle w:val="Hyperlink"/>
                <w:noProof/>
              </w:rPr>
              <w:t>A.8. Comments in Response to the Federal Register Notice and Efforts to Consult Outside the Agency</w:t>
            </w:r>
            <w:r w:rsidR="009F2A6C">
              <w:rPr>
                <w:noProof/>
                <w:webHidden/>
              </w:rPr>
              <w:tab/>
            </w:r>
            <w:r w:rsidR="009F2A6C">
              <w:rPr>
                <w:noProof/>
                <w:webHidden/>
              </w:rPr>
              <w:fldChar w:fldCharType="begin"/>
            </w:r>
            <w:r w:rsidR="009F2A6C">
              <w:rPr>
                <w:noProof/>
                <w:webHidden/>
              </w:rPr>
              <w:instrText xml:space="preserve"> PAGEREF _Toc7592389 \h </w:instrText>
            </w:r>
            <w:r w:rsidR="009F2A6C">
              <w:rPr>
                <w:noProof/>
                <w:webHidden/>
              </w:rPr>
            </w:r>
            <w:r w:rsidR="009F2A6C">
              <w:rPr>
                <w:noProof/>
                <w:webHidden/>
              </w:rPr>
              <w:fldChar w:fldCharType="separate"/>
            </w:r>
            <w:r w:rsidR="004F1B9B">
              <w:rPr>
                <w:noProof/>
                <w:webHidden/>
              </w:rPr>
              <w:t>8</w:t>
            </w:r>
            <w:r w:rsidR="009F2A6C">
              <w:rPr>
                <w:noProof/>
                <w:webHidden/>
              </w:rPr>
              <w:fldChar w:fldCharType="end"/>
            </w:r>
          </w:hyperlink>
        </w:p>
        <w:p w14:paraId="620F6FAA" w14:textId="0F73EA66" w:rsidR="009F2A6C" w:rsidRDefault="001C33D2">
          <w:pPr>
            <w:pStyle w:val="TOC2"/>
            <w:tabs>
              <w:tab w:val="right" w:leader="dot" w:pos="10070"/>
            </w:tabs>
            <w:rPr>
              <w:rFonts w:asciiTheme="minorHAnsi" w:eastAsiaTheme="minorEastAsia" w:hAnsiTheme="minorHAnsi" w:cstheme="minorBidi"/>
              <w:noProof/>
              <w:sz w:val="22"/>
              <w:szCs w:val="22"/>
            </w:rPr>
          </w:pPr>
          <w:hyperlink w:anchor="_Toc7592390" w:history="1">
            <w:r w:rsidR="009F2A6C" w:rsidRPr="002E5A40">
              <w:rPr>
                <w:rStyle w:val="Hyperlink"/>
                <w:noProof/>
              </w:rPr>
              <w:t>A.9. Explanation of Any Payment or Gift to Respondents</w:t>
            </w:r>
            <w:r w:rsidR="009F2A6C">
              <w:rPr>
                <w:noProof/>
                <w:webHidden/>
              </w:rPr>
              <w:tab/>
            </w:r>
            <w:r w:rsidR="009F2A6C">
              <w:rPr>
                <w:noProof/>
                <w:webHidden/>
              </w:rPr>
              <w:fldChar w:fldCharType="begin"/>
            </w:r>
            <w:r w:rsidR="009F2A6C">
              <w:rPr>
                <w:noProof/>
                <w:webHidden/>
              </w:rPr>
              <w:instrText xml:space="preserve"> PAGEREF _Toc7592390 \h </w:instrText>
            </w:r>
            <w:r w:rsidR="009F2A6C">
              <w:rPr>
                <w:noProof/>
                <w:webHidden/>
              </w:rPr>
            </w:r>
            <w:r w:rsidR="009F2A6C">
              <w:rPr>
                <w:noProof/>
                <w:webHidden/>
              </w:rPr>
              <w:fldChar w:fldCharType="separate"/>
            </w:r>
            <w:r w:rsidR="004F1B9B">
              <w:rPr>
                <w:noProof/>
                <w:webHidden/>
              </w:rPr>
              <w:t>9</w:t>
            </w:r>
            <w:r w:rsidR="009F2A6C">
              <w:rPr>
                <w:noProof/>
                <w:webHidden/>
              </w:rPr>
              <w:fldChar w:fldCharType="end"/>
            </w:r>
          </w:hyperlink>
        </w:p>
        <w:p w14:paraId="053BBA28" w14:textId="3B29DF2F" w:rsidR="009F2A6C" w:rsidRDefault="001C33D2">
          <w:pPr>
            <w:pStyle w:val="TOC2"/>
            <w:tabs>
              <w:tab w:val="right" w:leader="dot" w:pos="10070"/>
            </w:tabs>
            <w:rPr>
              <w:rFonts w:asciiTheme="minorHAnsi" w:eastAsiaTheme="minorEastAsia" w:hAnsiTheme="minorHAnsi" w:cstheme="minorBidi"/>
              <w:noProof/>
              <w:sz w:val="22"/>
              <w:szCs w:val="22"/>
            </w:rPr>
          </w:pPr>
          <w:hyperlink w:anchor="_Toc7592391" w:history="1">
            <w:r w:rsidR="009F2A6C" w:rsidRPr="002E5A40">
              <w:rPr>
                <w:rStyle w:val="Hyperlink"/>
                <w:noProof/>
              </w:rPr>
              <w:t>A.10. Assurance of Confidentiality Provided to Respondents</w:t>
            </w:r>
            <w:r w:rsidR="009F2A6C">
              <w:rPr>
                <w:noProof/>
                <w:webHidden/>
              </w:rPr>
              <w:tab/>
            </w:r>
            <w:r w:rsidR="009F2A6C">
              <w:rPr>
                <w:noProof/>
                <w:webHidden/>
              </w:rPr>
              <w:fldChar w:fldCharType="begin"/>
            </w:r>
            <w:r w:rsidR="009F2A6C">
              <w:rPr>
                <w:noProof/>
                <w:webHidden/>
              </w:rPr>
              <w:instrText xml:space="preserve"> PAGEREF _Toc7592391 \h </w:instrText>
            </w:r>
            <w:r w:rsidR="009F2A6C">
              <w:rPr>
                <w:noProof/>
                <w:webHidden/>
              </w:rPr>
            </w:r>
            <w:r w:rsidR="009F2A6C">
              <w:rPr>
                <w:noProof/>
                <w:webHidden/>
              </w:rPr>
              <w:fldChar w:fldCharType="separate"/>
            </w:r>
            <w:r w:rsidR="004F1B9B">
              <w:rPr>
                <w:noProof/>
                <w:webHidden/>
              </w:rPr>
              <w:t>9</w:t>
            </w:r>
            <w:r w:rsidR="009F2A6C">
              <w:rPr>
                <w:noProof/>
                <w:webHidden/>
              </w:rPr>
              <w:fldChar w:fldCharType="end"/>
            </w:r>
          </w:hyperlink>
        </w:p>
        <w:p w14:paraId="5F614B80" w14:textId="5FE617A5" w:rsidR="009F2A6C" w:rsidRDefault="001C33D2">
          <w:pPr>
            <w:pStyle w:val="TOC2"/>
            <w:tabs>
              <w:tab w:val="right" w:leader="dot" w:pos="10070"/>
            </w:tabs>
            <w:rPr>
              <w:rFonts w:asciiTheme="minorHAnsi" w:eastAsiaTheme="minorEastAsia" w:hAnsiTheme="minorHAnsi" w:cstheme="minorBidi"/>
              <w:noProof/>
              <w:sz w:val="22"/>
              <w:szCs w:val="22"/>
            </w:rPr>
          </w:pPr>
          <w:hyperlink w:anchor="_Toc7592392" w:history="1">
            <w:r w:rsidR="009F2A6C" w:rsidRPr="002E5A40">
              <w:rPr>
                <w:rStyle w:val="Hyperlink"/>
                <w:noProof/>
              </w:rPr>
              <w:t>A.11. Institutional Review Board (IRB) and Justification for Sensitive Questions</w:t>
            </w:r>
            <w:r w:rsidR="009F2A6C">
              <w:rPr>
                <w:noProof/>
                <w:webHidden/>
              </w:rPr>
              <w:tab/>
            </w:r>
            <w:r w:rsidR="009F2A6C">
              <w:rPr>
                <w:noProof/>
                <w:webHidden/>
              </w:rPr>
              <w:fldChar w:fldCharType="begin"/>
            </w:r>
            <w:r w:rsidR="009F2A6C">
              <w:rPr>
                <w:noProof/>
                <w:webHidden/>
              </w:rPr>
              <w:instrText xml:space="preserve"> PAGEREF _Toc7592392 \h </w:instrText>
            </w:r>
            <w:r w:rsidR="009F2A6C">
              <w:rPr>
                <w:noProof/>
                <w:webHidden/>
              </w:rPr>
            </w:r>
            <w:r w:rsidR="009F2A6C">
              <w:rPr>
                <w:noProof/>
                <w:webHidden/>
              </w:rPr>
              <w:fldChar w:fldCharType="separate"/>
            </w:r>
            <w:r w:rsidR="004F1B9B">
              <w:rPr>
                <w:noProof/>
                <w:webHidden/>
              </w:rPr>
              <w:t>9</w:t>
            </w:r>
            <w:r w:rsidR="009F2A6C">
              <w:rPr>
                <w:noProof/>
                <w:webHidden/>
              </w:rPr>
              <w:fldChar w:fldCharType="end"/>
            </w:r>
          </w:hyperlink>
        </w:p>
        <w:p w14:paraId="1FAA73EB" w14:textId="3C6DD51A" w:rsidR="009F2A6C" w:rsidRDefault="001C33D2">
          <w:pPr>
            <w:pStyle w:val="TOC2"/>
            <w:tabs>
              <w:tab w:val="right" w:leader="dot" w:pos="10070"/>
            </w:tabs>
            <w:rPr>
              <w:rFonts w:asciiTheme="minorHAnsi" w:eastAsiaTheme="minorEastAsia" w:hAnsiTheme="minorHAnsi" w:cstheme="minorBidi"/>
              <w:noProof/>
              <w:sz w:val="22"/>
              <w:szCs w:val="22"/>
            </w:rPr>
          </w:pPr>
          <w:hyperlink w:anchor="_Toc7592395" w:history="1">
            <w:r w:rsidR="009F2A6C" w:rsidRPr="002E5A40">
              <w:rPr>
                <w:rStyle w:val="Hyperlink"/>
                <w:noProof/>
              </w:rPr>
              <w:t>A.12. Estimates of Annualized Burden Hours and Costs</w:t>
            </w:r>
            <w:r w:rsidR="009F2A6C">
              <w:rPr>
                <w:noProof/>
                <w:webHidden/>
              </w:rPr>
              <w:tab/>
            </w:r>
            <w:r w:rsidR="009F2A6C">
              <w:rPr>
                <w:noProof/>
                <w:webHidden/>
              </w:rPr>
              <w:fldChar w:fldCharType="begin"/>
            </w:r>
            <w:r w:rsidR="009F2A6C">
              <w:rPr>
                <w:noProof/>
                <w:webHidden/>
              </w:rPr>
              <w:instrText xml:space="preserve"> PAGEREF _Toc7592395 \h </w:instrText>
            </w:r>
            <w:r w:rsidR="009F2A6C">
              <w:rPr>
                <w:noProof/>
                <w:webHidden/>
              </w:rPr>
            </w:r>
            <w:r w:rsidR="009F2A6C">
              <w:rPr>
                <w:noProof/>
                <w:webHidden/>
              </w:rPr>
              <w:fldChar w:fldCharType="separate"/>
            </w:r>
            <w:r w:rsidR="004F1B9B">
              <w:rPr>
                <w:noProof/>
                <w:webHidden/>
              </w:rPr>
              <w:t>10</w:t>
            </w:r>
            <w:r w:rsidR="009F2A6C">
              <w:rPr>
                <w:noProof/>
                <w:webHidden/>
              </w:rPr>
              <w:fldChar w:fldCharType="end"/>
            </w:r>
          </w:hyperlink>
        </w:p>
        <w:p w14:paraId="04B95BE4" w14:textId="3979D812" w:rsidR="009F2A6C" w:rsidRDefault="001C33D2">
          <w:pPr>
            <w:pStyle w:val="TOC2"/>
            <w:tabs>
              <w:tab w:val="right" w:leader="dot" w:pos="10070"/>
            </w:tabs>
            <w:rPr>
              <w:rFonts w:asciiTheme="minorHAnsi" w:eastAsiaTheme="minorEastAsia" w:hAnsiTheme="minorHAnsi" w:cstheme="minorBidi"/>
              <w:noProof/>
              <w:sz w:val="22"/>
              <w:szCs w:val="22"/>
            </w:rPr>
          </w:pPr>
          <w:hyperlink w:anchor="_Toc7592398" w:history="1">
            <w:r w:rsidR="009F2A6C" w:rsidRPr="002E5A40">
              <w:rPr>
                <w:rStyle w:val="Hyperlink"/>
                <w:noProof/>
              </w:rPr>
              <w:t>A.13. Estimates of Other Total Annual Cost Burden to Respondents or Record Keepers</w:t>
            </w:r>
            <w:r w:rsidR="009F2A6C">
              <w:rPr>
                <w:noProof/>
                <w:webHidden/>
              </w:rPr>
              <w:tab/>
            </w:r>
            <w:r w:rsidR="009F2A6C">
              <w:rPr>
                <w:noProof/>
                <w:webHidden/>
              </w:rPr>
              <w:fldChar w:fldCharType="begin"/>
            </w:r>
            <w:r w:rsidR="009F2A6C">
              <w:rPr>
                <w:noProof/>
                <w:webHidden/>
              </w:rPr>
              <w:instrText xml:space="preserve"> PAGEREF _Toc7592398 \h </w:instrText>
            </w:r>
            <w:r w:rsidR="009F2A6C">
              <w:rPr>
                <w:noProof/>
                <w:webHidden/>
              </w:rPr>
            </w:r>
            <w:r w:rsidR="009F2A6C">
              <w:rPr>
                <w:noProof/>
                <w:webHidden/>
              </w:rPr>
              <w:fldChar w:fldCharType="separate"/>
            </w:r>
            <w:r w:rsidR="004F1B9B">
              <w:rPr>
                <w:noProof/>
                <w:webHidden/>
              </w:rPr>
              <w:t>11</w:t>
            </w:r>
            <w:r w:rsidR="009F2A6C">
              <w:rPr>
                <w:noProof/>
                <w:webHidden/>
              </w:rPr>
              <w:fldChar w:fldCharType="end"/>
            </w:r>
          </w:hyperlink>
        </w:p>
        <w:p w14:paraId="5606EBE1" w14:textId="5A51156E" w:rsidR="009F2A6C" w:rsidRDefault="001C33D2">
          <w:pPr>
            <w:pStyle w:val="TOC2"/>
            <w:tabs>
              <w:tab w:val="right" w:leader="dot" w:pos="10070"/>
            </w:tabs>
            <w:rPr>
              <w:rFonts w:asciiTheme="minorHAnsi" w:eastAsiaTheme="minorEastAsia" w:hAnsiTheme="minorHAnsi" w:cstheme="minorBidi"/>
              <w:noProof/>
              <w:sz w:val="22"/>
              <w:szCs w:val="22"/>
            </w:rPr>
          </w:pPr>
          <w:hyperlink w:anchor="_Toc7592399" w:history="1">
            <w:r w:rsidR="009F2A6C" w:rsidRPr="002E5A40">
              <w:rPr>
                <w:rStyle w:val="Hyperlink"/>
                <w:noProof/>
              </w:rPr>
              <w:t>A.14. Annualized Cost to the Government</w:t>
            </w:r>
            <w:r w:rsidR="009F2A6C">
              <w:rPr>
                <w:noProof/>
                <w:webHidden/>
              </w:rPr>
              <w:tab/>
            </w:r>
            <w:r w:rsidR="009F2A6C">
              <w:rPr>
                <w:noProof/>
                <w:webHidden/>
              </w:rPr>
              <w:fldChar w:fldCharType="begin"/>
            </w:r>
            <w:r w:rsidR="009F2A6C">
              <w:rPr>
                <w:noProof/>
                <w:webHidden/>
              </w:rPr>
              <w:instrText xml:space="preserve"> PAGEREF _Toc7592399 \h </w:instrText>
            </w:r>
            <w:r w:rsidR="009F2A6C">
              <w:rPr>
                <w:noProof/>
                <w:webHidden/>
              </w:rPr>
            </w:r>
            <w:r w:rsidR="009F2A6C">
              <w:rPr>
                <w:noProof/>
                <w:webHidden/>
              </w:rPr>
              <w:fldChar w:fldCharType="separate"/>
            </w:r>
            <w:r w:rsidR="004F1B9B">
              <w:rPr>
                <w:noProof/>
                <w:webHidden/>
              </w:rPr>
              <w:t>11</w:t>
            </w:r>
            <w:r w:rsidR="009F2A6C">
              <w:rPr>
                <w:noProof/>
                <w:webHidden/>
              </w:rPr>
              <w:fldChar w:fldCharType="end"/>
            </w:r>
          </w:hyperlink>
        </w:p>
        <w:p w14:paraId="6293FD77" w14:textId="1DF6BADF" w:rsidR="009F2A6C" w:rsidRDefault="001C33D2">
          <w:pPr>
            <w:pStyle w:val="TOC2"/>
            <w:tabs>
              <w:tab w:val="right" w:leader="dot" w:pos="10070"/>
            </w:tabs>
            <w:rPr>
              <w:rFonts w:asciiTheme="minorHAnsi" w:eastAsiaTheme="minorEastAsia" w:hAnsiTheme="minorHAnsi" w:cstheme="minorBidi"/>
              <w:noProof/>
              <w:sz w:val="22"/>
              <w:szCs w:val="22"/>
            </w:rPr>
          </w:pPr>
          <w:hyperlink w:anchor="_Toc7592400" w:history="1">
            <w:r w:rsidR="009F2A6C" w:rsidRPr="002E5A40">
              <w:rPr>
                <w:rStyle w:val="Hyperlink"/>
                <w:noProof/>
              </w:rPr>
              <w:t>A.15. Explanation for Program Changes or Adjustments</w:t>
            </w:r>
            <w:r w:rsidR="009F2A6C">
              <w:rPr>
                <w:noProof/>
                <w:webHidden/>
              </w:rPr>
              <w:tab/>
            </w:r>
            <w:r w:rsidR="009F2A6C">
              <w:rPr>
                <w:noProof/>
                <w:webHidden/>
              </w:rPr>
              <w:fldChar w:fldCharType="begin"/>
            </w:r>
            <w:r w:rsidR="009F2A6C">
              <w:rPr>
                <w:noProof/>
                <w:webHidden/>
              </w:rPr>
              <w:instrText xml:space="preserve"> PAGEREF _Toc7592400 \h </w:instrText>
            </w:r>
            <w:r w:rsidR="009F2A6C">
              <w:rPr>
                <w:noProof/>
                <w:webHidden/>
              </w:rPr>
            </w:r>
            <w:r w:rsidR="009F2A6C">
              <w:rPr>
                <w:noProof/>
                <w:webHidden/>
              </w:rPr>
              <w:fldChar w:fldCharType="separate"/>
            </w:r>
            <w:r w:rsidR="004F1B9B">
              <w:rPr>
                <w:noProof/>
                <w:webHidden/>
              </w:rPr>
              <w:t>12</w:t>
            </w:r>
            <w:r w:rsidR="009F2A6C">
              <w:rPr>
                <w:noProof/>
                <w:webHidden/>
              </w:rPr>
              <w:fldChar w:fldCharType="end"/>
            </w:r>
          </w:hyperlink>
        </w:p>
        <w:p w14:paraId="626F9931" w14:textId="40122801" w:rsidR="009F2A6C" w:rsidRDefault="001C33D2">
          <w:pPr>
            <w:pStyle w:val="TOC2"/>
            <w:tabs>
              <w:tab w:val="right" w:leader="dot" w:pos="10070"/>
            </w:tabs>
            <w:rPr>
              <w:rFonts w:asciiTheme="minorHAnsi" w:eastAsiaTheme="minorEastAsia" w:hAnsiTheme="minorHAnsi" w:cstheme="minorBidi"/>
              <w:noProof/>
              <w:sz w:val="22"/>
              <w:szCs w:val="22"/>
            </w:rPr>
          </w:pPr>
          <w:hyperlink w:anchor="_Toc7592401" w:history="1">
            <w:r w:rsidR="009F2A6C" w:rsidRPr="002E5A40">
              <w:rPr>
                <w:rStyle w:val="Hyperlink"/>
                <w:noProof/>
              </w:rPr>
              <w:t>A.16. Plans for Tabulation and Publication, and Project Time Schedule</w:t>
            </w:r>
            <w:r w:rsidR="009F2A6C">
              <w:rPr>
                <w:noProof/>
                <w:webHidden/>
              </w:rPr>
              <w:tab/>
            </w:r>
            <w:r w:rsidR="009F2A6C">
              <w:rPr>
                <w:noProof/>
                <w:webHidden/>
              </w:rPr>
              <w:fldChar w:fldCharType="begin"/>
            </w:r>
            <w:r w:rsidR="009F2A6C">
              <w:rPr>
                <w:noProof/>
                <w:webHidden/>
              </w:rPr>
              <w:instrText xml:space="preserve"> PAGEREF _Toc7592401 \h </w:instrText>
            </w:r>
            <w:r w:rsidR="009F2A6C">
              <w:rPr>
                <w:noProof/>
                <w:webHidden/>
              </w:rPr>
            </w:r>
            <w:r w:rsidR="009F2A6C">
              <w:rPr>
                <w:noProof/>
                <w:webHidden/>
              </w:rPr>
              <w:fldChar w:fldCharType="separate"/>
            </w:r>
            <w:r w:rsidR="004F1B9B">
              <w:rPr>
                <w:noProof/>
                <w:webHidden/>
              </w:rPr>
              <w:t>12</w:t>
            </w:r>
            <w:r w:rsidR="009F2A6C">
              <w:rPr>
                <w:noProof/>
                <w:webHidden/>
              </w:rPr>
              <w:fldChar w:fldCharType="end"/>
            </w:r>
          </w:hyperlink>
        </w:p>
        <w:p w14:paraId="6E54DA45" w14:textId="6F988494" w:rsidR="009F2A6C" w:rsidRDefault="001C33D2">
          <w:pPr>
            <w:pStyle w:val="TOC2"/>
            <w:tabs>
              <w:tab w:val="right" w:leader="dot" w:pos="10070"/>
            </w:tabs>
            <w:rPr>
              <w:rFonts w:asciiTheme="minorHAnsi" w:eastAsiaTheme="minorEastAsia" w:hAnsiTheme="minorHAnsi" w:cstheme="minorBidi"/>
              <w:noProof/>
              <w:sz w:val="22"/>
              <w:szCs w:val="22"/>
            </w:rPr>
          </w:pPr>
          <w:hyperlink w:anchor="_Toc7592402" w:history="1">
            <w:r w:rsidR="009F2A6C" w:rsidRPr="002E5A40">
              <w:rPr>
                <w:rStyle w:val="Hyperlink"/>
                <w:noProof/>
              </w:rPr>
              <w:t>A.17. Reason(s) Display of OMB Expiration Date is Inappropriate</w:t>
            </w:r>
            <w:r w:rsidR="009F2A6C">
              <w:rPr>
                <w:noProof/>
                <w:webHidden/>
              </w:rPr>
              <w:tab/>
            </w:r>
            <w:r w:rsidR="009F2A6C">
              <w:rPr>
                <w:noProof/>
                <w:webHidden/>
              </w:rPr>
              <w:fldChar w:fldCharType="begin"/>
            </w:r>
            <w:r w:rsidR="009F2A6C">
              <w:rPr>
                <w:noProof/>
                <w:webHidden/>
              </w:rPr>
              <w:instrText xml:space="preserve"> PAGEREF _Toc7592402 \h </w:instrText>
            </w:r>
            <w:r w:rsidR="009F2A6C">
              <w:rPr>
                <w:noProof/>
                <w:webHidden/>
              </w:rPr>
            </w:r>
            <w:r w:rsidR="009F2A6C">
              <w:rPr>
                <w:noProof/>
                <w:webHidden/>
              </w:rPr>
              <w:fldChar w:fldCharType="separate"/>
            </w:r>
            <w:r w:rsidR="004F1B9B">
              <w:rPr>
                <w:noProof/>
                <w:webHidden/>
              </w:rPr>
              <w:t>13</w:t>
            </w:r>
            <w:r w:rsidR="009F2A6C">
              <w:rPr>
                <w:noProof/>
                <w:webHidden/>
              </w:rPr>
              <w:fldChar w:fldCharType="end"/>
            </w:r>
          </w:hyperlink>
        </w:p>
        <w:p w14:paraId="4846715E" w14:textId="7461E3AD" w:rsidR="009F2A6C" w:rsidRDefault="001C33D2">
          <w:pPr>
            <w:pStyle w:val="TOC2"/>
            <w:tabs>
              <w:tab w:val="right" w:leader="dot" w:pos="10070"/>
            </w:tabs>
            <w:rPr>
              <w:rFonts w:asciiTheme="minorHAnsi" w:eastAsiaTheme="minorEastAsia" w:hAnsiTheme="minorHAnsi" w:cstheme="minorBidi"/>
              <w:noProof/>
              <w:sz w:val="22"/>
              <w:szCs w:val="22"/>
            </w:rPr>
          </w:pPr>
          <w:hyperlink w:anchor="_Toc7592403" w:history="1">
            <w:r w:rsidR="009F2A6C" w:rsidRPr="002E5A40">
              <w:rPr>
                <w:rStyle w:val="Hyperlink"/>
                <w:noProof/>
              </w:rPr>
              <w:t>A.18. Exceptions to Certification for Paperwork Reduction Act Submissions</w:t>
            </w:r>
            <w:r w:rsidR="009F2A6C">
              <w:rPr>
                <w:noProof/>
                <w:webHidden/>
              </w:rPr>
              <w:tab/>
            </w:r>
            <w:r w:rsidR="009F2A6C">
              <w:rPr>
                <w:noProof/>
                <w:webHidden/>
              </w:rPr>
              <w:fldChar w:fldCharType="begin"/>
            </w:r>
            <w:r w:rsidR="009F2A6C">
              <w:rPr>
                <w:noProof/>
                <w:webHidden/>
              </w:rPr>
              <w:instrText xml:space="preserve"> PAGEREF _Toc7592403 \h </w:instrText>
            </w:r>
            <w:r w:rsidR="009F2A6C">
              <w:rPr>
                <w:noProof/>
                <w:webHidden/>
              </w:rPr>
            </w:r>
            <w:r w:rsidR="009F2A6C">
              <w:rPr>
                <w:noProof/>
                <w:webHidden/>
              </w:rPr>
              <w:fldChar w:fldCharType="separate"/>
            </w:r>
            <w:r w:rsidR="004F1B9B">
              <w:rPr>
                <w:noProof/>
                <w:webHidden/>
              </w:rPr>
              <w:t>13</w:t>
            </w:r>
            <w:r w:rsidR="009F2A6C">
              <w:rPr>
                <w:noProof/>
                <w:webHidden/>
              </w:rPr>
              <w:fldChar w:fldCharType="end"/>
            </w:r>
          </w:hyperlink>
        </w:p>
        <w:p w14:paraId="4AF8735A" w14:textId="2D6DC96F" w:rsidR="00860BDD" w:rsidRDefault="00860BDD">
          <w:r>
            <w:rPr>
              <w:b/>
              <w:bCs/>
              <w:noProof/>
            </w:rPr>
            <w:fldChar w:fldCharType="end"/>
          </w:r>
        </w:p>
      </w:sdtContent>
    </w:sdt>
    <w:p w14:paraId="736742D4" w14:textId="2BEB9F92" w:rsidR="00860BDD" w:rsidRDefault="007677D8" w:rsidP="00EB16AC">
      <w:pPr>
        <w:pStyle w:val="E-mailSignature"/>
        <w:rPr>
          <w:b/>
          <w:noProof/>
        </w:rPr>
      </w:pPr>
      <w:r>
        <w:rPr>
          <w:b/>
          <w:noProof/>
        </w:rPr>
        <w:t xml:space="preserve">ATTACHMENTS    </w:t>
      </w:r>
    </w:p>
    <w:p w14:paraId="69638D85" w14:textId="34AD005A" w:rsidR="00B24094" w:rsidRDefault="00B24094" w:rsidP="00B24094">
      <w:pPr>
        <w:pStyle w:val="E-mailSignature"/>
        <w:rPr>
          <w:noProof/>
        </w:rPr>
      </w:pPr>
      <w:r>
        <w:rPr>
          <w:noProof/>
        </w:rPr>
        <w:t>Att 1a</w:t>
      </w:r>
      <w:r>
        <w:rPr>
          <w:noProof/>
        </w:rPr>
        <w:tab/>
        <w:t>Public Health Service Act (PHSA) 42 Section 301(a) USC 241a</w:t>
      </w:r>
    </w:p>
    <w:p w14:paraId="1E387C15" w14:textId="621F9A47" w:rsidR="00D45538" w:rsidRDefault="00D45538" w:rsidP="00D45538">
      <w:pPr>
        <w:pStyle w:val="E-mailSignature"/>
        <w:rPr>
          <w:noProof/>
        </w:rPr>
      </w:pPr>
      <w:r>
        <w:rPr>
          <w:noProof/>
        </w:rPr>
        <w:t>Att 1</w:t>
      </w:r>
      <w:r w:rsidR="00B24094">
        <w:rPr>
          <w:noProof/>
        </w:rPr>
        <w:t>b</w:t>
      </w:r>
      <w:r>
        <w:rPr>
          <w:noProof/>
        </w:rPr>
        <w:tab/>
        <w:t xml:space="preserve">Public Health Service Act (PHSA) 42 Section </w:t>
      </w:r>
      <w:r>
        <w:rPr>
          <w:rFonts w:eastAsia="MS Mincho"/>
          <w:bCs/>
        </w:rPr>
        <w:t>393</w:t>
      </w:r>
      <w:r>
        <w:rPr>
          <w:noProof/>
        </w:rPr>
        <w:t xml:space="preserve">(a) USC 280b-a </w:t>
      </w:r>
    </w:p>
    <w:p w14:paraId="716E838F" w14:textId="14013C81" w:rsidR="00B24094" w:rsidRDefault="00B24094" w:rsidP="00D45538">
      <w:pPr>
        <w:pStyle w:val="E-mailSignature"/>
        <w:rPr>
          <w:noProof/>
        </w:rPr>
      </w:pPr>
      <w:r>
        <w:rPr>
          <w:noProof/>
        </w:rPr>
        <w:t>Att 2</w:t>
      </w:r>
      <w:r>
        <w:rPr>
          <w:noProof/>
        </w:rPr>
        <w:tab/>
      </w:r>
      <w:r w:rsidR="002B653A">
        <w:rPr>
          <w:noProof/>
        </w:rPr>
        <w:t>List of RPE-funded Recipients</w:t>
      </w:r>
    </w:p>
    <w:p w14:paraId="6BA46EEE" w14:textId="662F1B92" w:rsidR="00955A99" w:rsidRDefault="00BB4492" w:rsidP="00EB16AC">
      <w:pPr>
        <w:pStyle w:val="E-mailSignature"/>
        <w:rPr>
          <w:noProof/>
        </w:rPr>
      </w:pPr>
      <w:r>
        <w:rPr>
          <w:noProof/>
        </w:rPr>
        <w:t xml:space="preserve">Att </w:t>
      </w:r>
      <w:r w:rsidR="00B24094">
        <w:rPr>
          <w:noProof/>
        </w:rPr>
        <w:t>3</w:t>
      </w:r>
      <w:r w:rsidR="00955A99">
        <w:rPr>
          <w:noProof/>
        </w:rPr>
        <w:t>a</w:t>
      </w:r>
      <w:r>
        <w:rPr>
          <w:noProof/>
        </w:rPr>
        <w:tab/>
        <w:t>Annual Reporting for RPE</w:t>
      </w:r>
      <w:r w:rsidR="00955A99">
        <w:rPr>
          <w:noProof/>
        </w:rPr>
        <w:t xml:space="preserve"> Word Version</w:t>
      </w:r>
    </w:p>
    <w:p w14:paraId="1364B895" w14:textId="52C0F338" w:rsidR="006174D1" w:rsidRDefault="006174D1" w:rsidP="006174D1">
      <w:pPr>
        <w:pStyle w:val="E-mailSignature"/>
        <w:rPr>
          <w:noProof/>
        </w:rPr>
      </w:pPr>
      <w:r>
        <w:rPr>
          <w:noProof/>
        </w:rPr>
        <w:t>Att 3b</w:t>
      </w:r>
      <w:r>
        <w:rPr>
          <w:noProof/>
        </w:rPr>
        <w:tab/>
        <w:t>Annual Reporting for RPE Screenshots</w:t>
      </w:r>
    </w:p>
    <w:p w14:paraId="6C8D56F8" w14:textId="696DA508" w:rsidR="009F2A6C" w:rsidRDefault="009F2A6C" w:rsidP="009F2A6C">
      <w:pPr>
        <w:pStyle w:val="E-mailSignature"/>
        <w:rPr>
          <w:noProof/>
        </w:rPr>
      </w:pPr>
      <w:r>
        <w:rPr>
          <w:noProof/>
        </w:rPr>
        <w:t>Att 4</w:t>
      </w:r>
      <w:r>
        <w:rPr>
          <w:noProof/>
        </w:rPr>
        <w:tab/>
        <w:t>Crosswalk</w:t>
      </w:r>
      <w:r w:rsidR="00750255">
        <w:rPr>
          <w:noProof/>
        </w:rPr>
        <w:t xml:space="preserve"> of </w:t>
      </w:r>
      <w:r w:rsidR="00CE280B">
        <w:rPr>
          <w:noProof/>
        </w:rPr>
        <w:t xml:space="preserve">RPE </w:t>
      </w:r>
      <w:r w:rsidR="00750255">
        <w:rPr>
          <w:noProof/>
        </w:rPr>
        <w:t>Program Evaluation Questions and Indicators</w:t>
      </w:r>
    </w:p>
    <w:p w14:paraId="51C60E8B" w14:textId="21EAFC8B" w:rsidR="00BB4492" w:rsidRDefault="00BB4492" w:rsidP="00EB16AC">
      <w:pPr>
        <w:pStyle w:val="E-mailSignature"/>
        <w:rPr>
          <w:noProof/>
        </w:rPr>
      </w:pPr>
      <w:r>
        <w:rPr>
          <w:noProof/>
        </w:rPr>
        <w:t xml:space="preserve">Att </w:t>
      </w:r>
      <w:r w:rsidR="009F2A6C">
        <w:rPr>
          <w:noProof/>
        </w:rPr>
        <w:t>5</w:t>
      </w:r>
      <w:r>
        <w:rPr>
          <w:noProof/>
        </w:rPr>
        <w:tab/>
        <w:t xml:space="preserve">60-Day FRN </w:t>
      </w:r>
    </w:p>
    <w:p w14:paraId="6550A4C3" w14:textId="377E24E1" w:rsidR="006174D1" w:rsidRDefault="00797ED8" w:rsidP="006174D1">
      <w:pPr>
        <w:pStyle w:val="E-mailSignature"/>
        <w:rPr>
          <w:noProof/>
        </w:rPr>
      </w:pPr>
      <w:r>
        <w:rPr>
          <w:noProof/>
        </w:rPr>
        <w:t xml:space="preserve">Att </w:t>
      </w:r>
      <w:r w:rsidR="006174D1">
        <w:rPr>
          <w:noProof/>
        </w:rPr>
        <w:t>5a  Public Commnets</w:t>
      </w:r>
    </w:p>
    <w:p w14:paraId="591F1753" w14:textId="3325BD28" w:rsidR="008D73B8" w:rsidRDefault="008D73B8" w:rsidP="008D73B8">
      <w:pPr>
        <w:pStyle w:val="E-mailSignature"/>
        <w:rPr>
          <w:noProof/>
        </w:rPr>
      </w:pPr>
      <w:r>
        <w:rPr>
          <w:noProof/>
        </w:rPr>
        <w:t xml:space="preserve">Att </w:t>
      </w:r>
      <w:r w:rsidR="009F2A6C">
        <w:rPr>
          <w:noProof/>
        </w:rPr>
        <w:t>6</w:t>
      </w:r>
      <w:r>
        <w:rPr>
          <w:noProof/>
        </w:rPr>
        <w:tab/>
        <w:t>Privacy Act Applicability</w:t>
      </w:r>
    </w:p>
    <w:p w14:paraId="08819643" w14:textId="5C4377A3" w:rsidR="00113421" w:rsidRDefault="00113421" w:rsidP="00113421">
      <w:pPr>
        <w:pStyle w:val="E-mailSignature"/>
        <w:rPr>
          <w:noProof/>
        </w:rPr>
      </w:pPr>
      <w:r>
        <w:rPr>
          <w:noProof/>
        </w:rPr>
        <w:t xml:space="preserve">Att </w:t>
      </w:r>
      <w:r w:rsidR="009F2A6C">
        <w:rPr>
          <w:noProof/>
        </w:rPr>
        <w:t>7</w:t>
      </w:r>
      <w:r>
        <w:rPr>
          <w:noProof/>
        </w:rPr>
        <w:tab/>
        <w:t xml:space="preserve">Human Subject Determination </w:t>
      </w:r>
    </w:p>
    <w:p w14:paraId="61159FE3" w14:textId="78A62DD6" w:rsidR="00BB4492" w:rsidRDefault="00BB4492" w:rsidP="00EB16AC">
      <w:pPr>
        <w:pStyle w:val="E-mailSignature"/>
        <w:rPr>
          <w:rFonts w:eastAsia="MS Mincho"/>
          <w:bCs/>
        </w:rPr>
      </w:pPr>
    </w:p>
    <w:p w14:paraId="7C20E1EE" w14:textId="1326C57C" w:rsidR="00D45538" w:rsidRDefault="00D45538" w:rsidP="00EB16AC">
      <w:pPr>
        <w:pStyle w:val="E-mailSignature"/>
        <w:rPr>
          <w:rFonts w:eastAsia="MS Mincho"/>
          <w:bCs/>
        </w:rPr>
      </w:pPr>
    </w:p>
    <w:p w14:paraId="6EC039FD" w14:textId="77777777" w:rsidR="00B24094" w:rsidRDefault="00B24094">
      <w:pPr>
        <w:spacing w:after="160" w:line="259" w:lineRule="auto"/>
        <w:rPr>
          <w:noProof/>
        </w:rPr>
      </w:pPr>
      <w:r>
        <w:rPr>
          <w:noProof/>
        </w:rPr>
        <w:br w:type="page"/>
      </w:r>
    </w:p>
    <w:p w14:paraId="316CE6D2" w14:textId="06E88280" w:rsidR="00860BDD" w:rsidRDefault="00741D2E" w:rsidP="009F2A6C">
      <w:pPr>
        <w:pStyle w:val="Heading1"/>
        <w:rPr>
          <w:noProof/>
        </w:rPr>
      </w:pPr>
      <w:bookmarkStart w:id="2" w:name="_Toc7592379"/>
      <w:r w:rsidRPr="00B24094">
        <w:rPr>
          <w:noProof/>
        </w:rPr>
        <w:lastRenderedPageBreak/>
        <w:t xml:space="preserve">Summary </w:t>
      </w:r>
      <w:r w:rsidR="00B24094" w:rsidRPr="00B24094">
        <w:rPr>
          <w:noProof/>
        </w:rPr>
        <w:t>T</w:t>
      </w:r>
      <w:r w:rsidRPr="00B24094">
        <w:rPr>
          <w:noProof/>
        </w:rPr>
        <w:t>able</w:t>
      </w:r>
      <w:bookmarkEnd w:id="2"/>
      <w:r w:rsidRPr="00B24094">
        <w:rPr>
          <w:noProof/>
        </w:rPr>
        <w:t xml:space="preserve">                                                                                                               </w:t>
      </w:r>
    </w:p>
    <w:p w14:paraId="20E320EC" w14:textId="77777777" w:rsidR="00B24094" w:rsidRPr="00B24094" w:rsidRDefault="00B24094" w:rsidP="00B24094">
      <w:pPr>
        <w:pStyle w:val="E-mailSignature"/>
        <w:rPr>
          <w:b/>
          <w:noProof/>
        </w:rPr>
      </w:pPr>
    </w:p>
    <w:tbl>
      <w:tblPr>
        <w:tblStyle w:val="TableGrid"/>
        <w:tblW w:w="0" w:type="auto"/>
        <w:jc w:val="center"/>
        <w:tblLook w:val="04A0" w:firstRow="1" w:lastRow="0" w:firstColumn="1" w:lastColumn="0" w:noHBand="0" w:noVBand="1"/>
      </w:tblPr>
      <w:tblGrid>
        <w:gridCol w:w="9350"/>
      </w:tblGrid>
      <w:tr w:rsidR="00EB16AC" w14:paraId="4754A493" w14:textId="77777777" w:rsidTr="00980E79">
        <w:trPr>
          <w:trHeight w:val="6929"/>
          <w:jc w:val="center"/>
        </w:trPr>
        <w:tc>
          <w:tcPr>
            <w:tcW w:w="9350" w:type="dxa"/>
          </w:tcPr>
          <w:p w14:paraId="7AA7F1D9" w14:textId="77777777" w:rsidR="00EB16AC" w:rsidRPr="00425A89" w:rsidRDefault="00EB16AC" w:rsidP="00D37BA7"/>
          <w:p w14:paraId="17F61004" w14:textId="45FA95A3" w:rsidR="00EB16AC" w:rsidRPr="00E61D20" w:rsidRDefault="00EB16AC" w:rsidP="00EB16AC">
            <w:pPr>
              <w:pStyle w:val="ListParagraph"/>
              <w:numPr>
                <w:ilvl w:val="0"/>
                <w:numId w:val="6"/>
              </w:numPr>
            </w:pPr>
            <w:r w:rsidRPr="00E61D20">
              <w:rPr>
                <w:b/>
              </w:rPr>
              <w:t>Goal</w:t>
            </w:r>
            <w:r w:rsidRPr="00425A89">
              <w:t xml:space="preserve">: </w:t>
            </w:r>
            <w:r w:rsidRPr="00E61D20">
              <w:rPr>
                <w:color w:val="000000" w:themeColor="text1"/>
              </w:rPr>
              <w:t xml:space="preserve">The goal of this ICR is to collect information related to implementation and </w:t>
            </w:r>
            <w:r w:rsidR="00A64E0D">
              <w:rPr>
                <w:color w:val="000000" w:themeColor="text1"/>
              </w:rPr>
              <w:t>outcomes</w:t>
            </w:r>
            <w:r>
              <w:rPr>
                <w:color w:val="000000" w:themeColor="text1"/>
              </w:rPr>
              <w:t xml:space="preserve"> </w:t>
            </w:r>
            <w:r w:rsidR="00322938">
              <w:rPr>
                <w:color w:val="000000" w:themeColor="text1"/>
              </w:rPr>
              <w:t xml:space="preserve">annually </w:t>
            </w:r>
            <w:r w:rsidR="00450222">
              <w:rPr>
                <w:color w:val="000000" w:themeColor="text1"/>
              </w:rPr>
              <w:t xml:space="preserve">from recipients of </w:t>
            </w:r>
            <w:r w:rsidR="00C76DAC">
              <w:rPr>
                <w:color w:val="000000" w:themeColor="text1"/>
              </w:rPr>
              <w:t xml:space="preserve">the new funding opportunity </w:t>
            </w:r>
            <w:r>
              <w:rPr>
                <w:color w:val="000000" w:themeColor="text1"/>
              </w:rPr>
              <w:t>CDC-RFA-CE19-1902</w:t>
            </w:r>
            <w:r w:rsidRPr="00960B6C">
              <w:rPr>
                <w:color w:val="000000" w:themeColor="text1"/>
              </w:rPr>
              <w:t>:</w:t>
            </w:r>
            <w:r>
              <w:rPr>
                <w:color w:val="000000" w:themeColor="text1"/>
              </w:rPr>
              <w:t xml:space="preserve"> </w:t>
            </w:r>
            <w:r w:rsidRPr="00EB16AC">
              <w:rPr>
                <w:color w:val="000000" w:themeColor="text1"/>
              </w:rPr>
              <w:t>Rape Prevention and Education (RPE): Using The Best Available Evidence for Sexual Violence Prevention</w:t>
            </w:r>
            <w:r w:rsidR="00450222">
              <w:rPr>
                <w:color w:val="000000" w:themeColor="text1"/>
              </w:rPr>
              <w:t xml:space="preserve"> cooperative agreement</w:t>
            </w:r>
            <w:r w:rsidR="00A64E0D">
              <w:rPr>
                <w:color w:val="000000" w:themeColor="text1"/>
              </w:rPr>
              <w:t>.</w:t>
            </w:r>
          </w:p>
          <w:p w14:paraId="55D1186F" w14:textId="77777777" w:rsidR="00EB16AC" w:rsidRPr="00425A89" w:rsidRDefault="00EB16AC" w:rsidP="00D37BA7"/>
          <w:p w14:paraId="51A32FE4" w14:textId="46BCF930" w:rsidR="00EB16AC" w:rsidRDefault="00EB16AC" w:rsidP="00EB16AC">
            <w:pPr>
              <w:pStyle w:val="ListParagraph"/>
              <w:numPr>
                <w:ilvl w:val="0"/>
                <w:numId w:val="6"/>
              </w:numPr>
              <w:rPr>
                <w:color w:val="000000" w:themeColor="text1"/>
              </w:rPr>
            </w:pPr>
            <w:r w:rsidRPr="00425A89">
              <w:rPr>
                <w:b/>
              </w:rPr>
              <w:t>Intended use of the resulting data</w:t>
            </w:r>
            <w:r w:rsidRPr="00425A89">
              <w:t xml:space="preserve">: </w:t>
            </w:r>
            <w:r w:rsidRPr="00425A89">
              <w:rPr>
                <w:color w:val="000000" w:themeColor="text1"/>
              </w:rPr>
              <w:t>I</w:t>
            </w:r>
            <w:r w:rsidR="00EF1669">
              <w:rPr>
                <w:color w:val="000000" w:themeColor="text1"/>
              </w:rPr>
              <w:t>mplementation and outcomes i</w:t>
            </w:r>
            <w:r w:rsidRPr="00425A89">
              <w:rPr>
                <w:color w:val="000000" w:themeColor="text1"/>
              </w:rPr>
              <w:t>nformation to be collected will provide crucial data for performance monitoring</w:t>
            </w:r>
            <w:r w:rsidR="00A64E0D">
              <w:rPr>
                <w:color w:val="000000" w:themeColor="text1"/>
              </w:rPr>
              <w:t xml:space="preserve"> and program evaluation of the implementation of prevention strategies and approaches, outcomes</w:t>
            </w:r>
            <w:r>
              <w:rPr>
                <w:color w:val="000000" w:themeColor="text1"/>
              </w:rPr>
              <w:t>,</w:t>
            </w:r>
            <w:r w:rsidRPr="00425A89">
              <w:rPr>
                <w:color w:val="000000" w:themeColor="text1"/>
              </w:rPr>
              <w:t xml:space="preserve"> and </w:t>
            </w:r>
            <w:r w:rsidR="00A64E0D">
              <w:rPr>
                <w:color w:val="000000" w:themeColor="text1"/>
              </w:rPr>
              <w:t xml:space="preserve">budget of the cooperative agreement. </w:t>
            </w:r>
            <w:r w:rsidR="00D65884">
              <w:rPr>
                <w:bCs/>
              </w:rPr>
              <w:t>Information to be collected will be used to inform technical assistance, program improvement, capacity building</w:t>
            </w:r>
            <w:r w:rsidR="00E8603F">
              <w:rPr>
                <w:bCs/>
              </w:rPr>
              <w:t xml:space="preserve">, and </w:t>
            </w:r>
            <w:r w:rsidR="00D65884">
              <w:rPr>
                <w:bCs/>
              </w:rPr>
              <w:t xml:space="preserve">RPE Program’s </w:t>
            </w:r>
            <w:r w:rsidR="00C76DAC">
              <w:rPr>
                <w:bCs/>
              </w:rPr>
              <w:t xml:space="preserve">impacts </w:t>
            </w:r>
            <w:r w:rsidR="00D65884">
              <w:rPr>
                <w:bCs/>
              </w:rPr>
              <w:t>on SV outcomes over time.</w:t>
            </w:r>
          </w:p>
          <w:p w14:paraId="7C71284C" w14:textId="22679EDD" w:rsidR="00EB16AC" w:rsidRDefault="00EB16AC" w:rsidP="00D37BA7">
            <w:pPr>
              <w:rPr>
                <w:color w:val="000000" w:themeColor="text1"/>
              </w:rPr>
            </w:pPr>
          </w:p>
          <w:p w14:paraId="1C23F016" w14:textId="79E17B4F" w:rsidR="00EB16AC" w:rsidRPr="00D223CA" w:rsidRDefault="00EB16AC" w:rsidP="00EB16AC">
            <w:pPr>
              <w:pStyle w:val="ListParagraph"/>
              <w:numPr>
                <w:ilvl w:val="0"/>
                <w:numId w:val="6"/>
              </w:numPr>
            </w:pPr>
            <w:r w:rsidRPr="00D223CA">
              <w:rPr>
                <w:b/>
              </w:rPr>
              <w:t>Methods to be used to collect</w:t>
            </w:r>
            <w:r w:rsidRPr="00D223CA">
              <w:t xml:space="preserve">: </w:t>
            </w:r>
            <w:r>
              <w:t>RPE</w:t>
            </w:r>
            <w:r w:rsidRPr="00D223CA">
              <w:t xml:space="preserve"> </w:t>
            </w:r>
            <w:r w:rsidR="004F14DE">
              <w:t>P</w:t>
            </w:r>
            <w:r w:rsidRPr="00D223CA">
              <w:t xml:space="preserve">rogram recipients </w:t>
            </w:r>
            <w:r w:rsidRPr="00D223CA">
              <w:rPr>
                <w:color w:val="000000"/>
              </w:rPr>
              <w:t xml:space="preserve">or designated </w:t>
            </w:r>
            <w:r w:rsidR="004F14DE">
              <w:rPr>
                <w:color w:val="000000"/>
              </w:rPr>
              <w:t>delegates</w:t>
            </w:r>
            <w:r w:rsidRPr="00D223CA">
              <w:rPr>
                <w:color w:val="000000"/>
              </w:rPr>
              <w:t xml:space="preserve"> will submit data</w:t>
            </w:r>
            <w:r w:rsidRPr="00D223CA">
              <w:t xml:space="preserve"> annually </w:t>
            </w:r>
            <w:r w:rsidR="00011C0C">
              <w:t>into the online data system, DVP Partners Portal</w:t>
            </w:r>
            <w:r w:rsidRPr="00D223CA">
              <w:t xml:space="preserve">. </w:t>
            </w:r>
            <w:r w:rsidRPr="00D223CA">
              <w:rPr>
                <w:color w:val="000000" w:themeColor="text1"/>
              </w:rPr>
              <w:t>Recipients will monitor and report progress on their goals, objectives, and activities, as well as relevant information on the implementation of their prevention strategies</w:t>
            </w:r>
            <w:r w:rsidR="00011C0C">
              <w:rPr>
                <w:color w:val="000000" w:themeColor="text1"/>
              </w:rPr>
              <w:t>, outcomes, evaluation, and state action</w:t>
            </w:r>
            <w:r w:rsidR="00E4428D">
              <w:rPr>
                <w:color w:val="000000" w:themeColor="text1"/>
              </w:rPr>
              <w:t xml:space="preserve"> plan</w:t>
            </w:r>
            <w:r w:rsidRPr="00D223CA">
              <w:t xml:space="preserve">.  </w:t>
            </w:r>
            <w:r w:rsidR="00E4428D">
              <w:t>N</w:t>
            </w:r>
            <w:r w:rsidRPr="00D223CA">
              <w:t xml:space="preserve">o research design or human subjects are involved. </w:t>
            </w:r>
          </w:p>
          <w:p w14:paraId="29BE34DD" w14:textId="77777777" w:rsidR="00EB16AC" w:rsidRPr="00425A89" w:rsidRDefault="00EB16AC" w:rsidP="00D37BA7"/>
          <w:p w14:paraId="00FED6F5" w14:textId="764989EE" w:rsidR="00EB16AC" w:rsidRPr="00570E7B" w:rsidRDefault="00EB16AC" w:rsidP="007866F2">
            <w:pPr>
              <w:pStyle w:val="ListParagraph"/>
              <w:numPr>
                <w:ilvl w:val="0"/>
                <w:numId w:val="6"/>
              </w:numPr>
            </w:pPr>
            <w:r w:rsidRPr="00570E7B">
              <w:rPr>
                <w:b/>
              </w:rPr>
              <w:t>The subpopulation to be studied</w:t>
            </w:r>
            <w:r w:rsidRPr="00425A89">
              <w:t xml:space="preserve">: </w:t>
            </w:r>
            <w:r w:rsidR="007F7B9A">
              <w:t xml:space="preserve">All 55 (100%) recipients of CE19-1902 cooperative agreement are required to submit information. No statistical sampling will be performed. </w:t>
            </w:r>
            <w:r w:rsidRPr="00570E7B">
              <w:t xml:space="preserve"> </w:t>
            </w:r>
            <w:r w:rsidR="00FC320E">
              <w:t>RPE recipients are health departments in all 50 states, the District of Columbia, Puerto Rico, Guam, the U.S. Virgin Islands, and the Commonwealth of Northern Mariana Islands.</w:t>
            </w:r>
          </w:p>
          <w:p w14:paraId="4B893238" w14:textId="77777777" w:rsidR="00EB16AC" w:rsidRPr="00425A89" w:rsidRDefault="00EB16AC" w:rsidP="00D37BA7"/>
          <w:p w14:paraId="6958778B" w14:textId="07EECD40" w:rsidR="00EB16AC" w:rsidRDefault="00EB16AC" w:rsidP="006A73D5">
            <w:pPr>
              <w:pStyle w:val="ListParagraph"/>
              <w:numPr>
                <w:ilvl w:val="0"/>
                <w:numId w:val="6"/>
              </w:numPr>
            </w:pPr>
            <w:r w:rsidRPr="00C77029">
              <w:rPr>
                <w:b/>
              </w:rPr>
              <w:t>How data will be analyzed</w:t>
            </w:r>
            <w:r w:rsidRPr="00425A89">
              <w:t xml:space="preserve">: </w:t>
            </w:r>
            <w:r w:rsidR="00402200">
              <w:t>D</w:t>
            </w:r>
            <w:r w:rsidR="006A73D5">
              <w:t>escriptive analyses (</w:t>
            </w:r>
            <w:r w:rsidR="006A73D5" w:rsidRPr="006A73D5">
              <w:t>e.g., frequencies and crosstabs</w:t>
            </w:r>
            <w:r w:rsidR="006A73D5">
              <w:t>) will be performed on</w:t>
            </w:r>
            <w:r w:rsidR="006A73D5" w:rsidRPr="006A73D5">
              <w:t xml:space="preserve"> numeric or categorical data</w:t>
            </w:r>
            <w:r w:rsidR="006A73D5">
              <w:t xml:space="preserve">, </w:t>
            </w:r>
            <w:r w:rsidR="006A73D5" w:rsidRPr="006A73D5">
              <w:t xml:space="preserve">and content </w:t>
            </w:r>
            <w:r w:rsidR="006A73D5">
              <w:t xml:space="preserve">analyses </w:t>
            </w:r>
            <w:r w:rsidR="006A73D5" w:rsidRPr="006A73D5">
              <w:t>(e.g., categorization</w:t>
            </w:r>
            <w:r w:rsidR="006A73D5">
              <w:t xml:space="preserve">) on </w:t>
            </w:r>
            <w:r w:rsidR="006A73D5" w:rsidRPr="006A73D5">
              <w:t>open-ended or text data</w:t>
            </w:r>
            <w:r w:rsidR="006A73D5">
              <w:t>.</w:t>
            </w:r>
          </w:p>
          <w:p w14:paraId="01EEF5B4" w14:textId="77777777" w:rsidR="00EB16AC" w:rsidRPr="006C6FD7" w:rsidRDefault="00EB16AC" w:rsidP="00D37BA7"/>
        </w:tc>
      </w:tr>
    </w:tbl>
    <w:p w14:paraId="697575E1" w14:textId="3362A9BD" w:rsidR="00980E79" w:rsidRDefault="00980E79">
      <w:pPr>
        <w:spacing w:after="160" w:line="259" w:lineRule="auto"/>
        <w:rPr>
          <w:rFonts w:eastAsiaTheme="majorEastAsia" w:cstheme="majorBidi"/>
          <w:b/>
          <w:noProof/>
          <w:szCs w:val="32"/>
        </w:rPr>
      </w:pPr>
    </w:p>
    <w:p w14:paraId="401A9A91" w14:textId="1AE66BD3" w:rsidR="00860BDD" w:rsidRDefault="00860BDD" w:rsidP="00860BDD">
      <w:pPr>
        <w:pStyle w:val="Heading1"/>
        <w:numPr>
          <w:ilvl w:val="0"/>
          <w:numId w:val="4"/>
        </w:numPr>
        <w:rPr>
          <w:noProof/>
        </w:rPr>
      </w:pPr>
      <w:bookmarkStart w:id="3" w:name="_Toc7592380"/>
      <w:r>
        <w:rPr>
          <w:noProof/>
        </w:rPr>
        <w:t>JUSTIFICATION</w:t>
      </w:r>
      <w:bookmarkEnd w:id="3"/>
    </w:p>
    <w:p w14:paraId="57A8889D" w14:textId="77777777" w:rsidR="00860BDD" w:rsidRPr="00860BDD" w:rsidRDefault="00860BDD" w:rsidP="00860BDD"/>
    <w:p w14:paraId="778DC400" w14:textId="42A195AD" w:rsidR="00860BDD" w:rsidRDefault="00860BDD" w:rsidP="00860BDD">
      <w:pPr>
        <w:pStyle w:val="Heading2"/>
      </w:pPr>
      <w:bookmarkStart w:id="4" w:name="_Toc7592381"/>
      <w:r>
        <w:t>A.1. Circumstances Making the Collection of Information Necessary</w:t>
      </w:r>
      <w:bookmarkEnd w:id="4"/>
    </w:p>
    <w:p w14:paraId="0D6FE5E2" w14:textId="0FDBC534" w:rsidR="00B24094" w:rsidRPr="00B24094" w:rsidRDefault="003B4F38" w:rsidP="00B24094">
      <w:r>
        <w:rPr>
          <w:bCs/>
        </w:rPr>
        <w:t>The proposed information collection is authorized by t</w:t>
      </w:r>
      <w:r w:rsidRPr="00354A78">
        <w:rPr>
          <w:bCs/>
        </w:rPr>
        <w:t xml:space="preserve">he Public Health Services Act (PHS Act) </w:t>
      </w:r>
      <w:r>
        <w:rPr>
          <w:bCs/>
        </w:rPr>
        <w:t xml:space="preserve">which </w:t>
      </w:r>
      <w:r w:rsidRPr="00354A78">
        <w:rPr>
          <w:bCs/>
        </w:rPr>
        <w:t xml:space="preserve">provides the legislative means for </w:t>
      </w:r>
      <w:r>
        <w:rPr>
          <w:bCs/>
        </w:rPr>
        <w:t>states to advance public health</w:t>
      </w:r>
      <w:r w:rsidRPr="00354A78">
        <w:rPr>
          <w:bCs/>
        </w:rPr>
        <w:t xml:space="preserve"> across the lifespan and to reduce health disparities</w:t>
      </w:r>
      <w:r>
        <w:rPr>
          <w:bCs/>
        </w:rPr>
        <w:t xml:space="preserve">. </w:t>
      </w:r>
      <w:r w:rsidRPr="00B24094">
        <w:t>Section 301(a) of the PHS Act 42 U.S.C. 241(a)</w:t>
      </w:r>
      <w:r>
        <w:t xml:space="preserve"> </w:t>
      </w:r>
      <w:r w:rsidR="00B24094" w:rsidRPr="00B24094">
        <w:t>authorizes funding grants and cooperative agreements to aid other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w:t>
      </w:r>
      <w:r>
        <w:t xml:space="preserve"> </w:t>
      </w:r>
      <w:r w:rsidR="00B24094" w:rsidRPr="00B24094">
        <w:t>(</w:t>
      </w:r>
      <w:r w:rsidR="00B24094" w:rsidRPr="00B24094">
        <w:rPr>
          <w:b/>
        </w:rPr>
        <w:t>Attachment 1a</w:t>
      </w:r>
      <w:r w:rsidR="00B24094" w:rsidRPr="00B24094">
        <w:t xml:space="preserve">). </w:t>
      </w:r>
      <w:r w:rsidRPr="00B24094">
        <w:t xml:space="preserve">The Centers for Disease Control and Prevention (CDC) </w:t>
      </w:r>
      <w:r w:rsidR="00B24094" w:rsidRPr="00B24094">
        <w:t xml:space="preserve">administers the Rape Prevention and Education (RPE) Program, which is authorized under the </w:t>
      </w:r>
      <w:r w:rsidR="00B24094" w:rsidRPr="00B24094">
        <w:rPr>
          <w:rFonts w:eastAsia="MS Mincho"/>
          <w:bCs/>
        </w:rPr>
        <w:t>statutory authorities of the Section 393A Public Health Service Act (PHS) 42 U.S.C. 280b-1a (</w:t>
      </w:r>
      <w:r w:rsidR="00B24094" w:rsidRPr="00B24094">
        <w:rPr>
          <w:rFonts w:eastAsia="MS Mincho"/>
          <w:b/>
          <w:bCs/>
        </w:rPr>
        <w:t>Attachment 1b)</w:t>
      </w:r>
      <w:r w:rsidR="00B24094" w:rsidRPr="00B24094">
        <w:rPr>
          <w:rFonts w:eastAsia="MS Mincho"/>
          <w:bCs/>
        </w:rPr>
        <w:t>.</w:t>
      </w:r>
    </w:p>
    <w:p w14:paraId="287BB9C7" w14:textId="77777777" w:rsidR="007F7B9A" w:rsidRDefault="007F7B9A" w:rsidP="00860BDD"/>
    <w:p w14:paraId="4B12419F" w14:textId="768DB5D8" w:rsidR="003B6A6D" w:rsidRDefault="00EB16AC" w:rsidP="004F14DE">
      <w:pPr>
        <w:tabs>
          <w:tab w:val="left" w:pos="6570"/>
        </w:tabs>
      </w:pPr>
      <w:r w:rsidRPr="0085100A">
        <w:t>Sexual violence</w:t>
      </w:r>
      <w:r>
        <w:t xml:space="preserve"> (SV)</w:t>
      </w:r>
      <w:r w:rsidRPr="0085100A">
        <w:t xml:space="preserve"> is a major public health problem</w:t>
      </w:r>
      <w:r w:rsidR="00594BC5">
        <w:t>: 1 in 3 women and 1 in 4 men experienced sexual violence involving physical contact during their lifetimes. N</w:t>
      </w:r>
      <w:r w:rsidRPr="00EF7DDA">
        <w:rPr>
          <w:rFonts w:cs="Arial"/>
          <w:bCs/>
        </w:rPr>
        <w:t xml:space="preserve">early 1 in </w:t>
      </w:r>
      <w:r w:rsidR="00594BC5">
        <w:rPr>
          <w:rFonts w:cs="Arial"/>
          <w:bCs/>
        </w:rPr>
        <w:t>5</w:t>
      </w:r>
      <w:r w:rsidRPr="00EF7DDA">
        <w:rPr>
          <w:rFonts w:cs="Arial"/>
          <w:bCs/>
        </w:rPr>
        <w:t xml:space="preserve"> women and 1 in </w:t>
      </w:r>
      <w:r w:rsidR="00594BC5">
        <w:rPr>
          <w:rFonts w:cs="Arial"/>
          <w:bCs/>
        </w:rPr>
        <w:t xml:space="preserve">38 </w:t>
      </w:r>
      <w:r w:rsidRPr="00EF7DDA">
        <w:rPr>
          <w:rFonts w:cs="Arial"/>
          <w:bCs/>
        </w:rPr>
        <w:t>men</w:t>
      </w:r>
      <w:r w:rsidR="00594BC5">
        <w:rPr>
          <w:rFonts w:cs="Arial"/>
          <w:bCs/>
        </w:rPr>
        <w:t xml:space="preserve"> </w:t>
      </w:r>
      <w:r w:rsidRPr="00EF7DDA">
        <w:rPr>
          <w:rFonts w:cs="Arial"/>
          <w:bCs/>
        </w:rPr>
        <w:t xml:space="preserve">have </w:t>
      </w:r>
      <w:r w:rsidR="00594BC5">
        <w:rPr>
          <w:rFonts w:cs="Arial"/>
          <w:bCs/>
        </w:rPr>
        <w:lastRenderedPageBreak/>
        <w:t>experienced completed or attempted rape. Sexual violence starts early: 1 in 3 female and 1 in 4 male rape victims experienced it for the first time between 11-17 years old</w:t>
      </w:r>
      <w:r w:rsidRPr="00EF7DDA">
        <w:rPr>
          <w:rFonts w:cs="Arial"/>
          <w:bCs/>
        </w:rPr>
        <w:t>.</w:t>
      </w:r>
      <w:r>
        <w:rPr>
          <w:vertAlign w:val="superscript"/>
        </w:rPr>
        <w:t>1</w:t>
      </w:r>
      <w:r w:rsidR="006C30A4">
        <w:rPr>
          <w:vertAlign w:val="superscript"/>
        </w:rPr>
        <w:t xml:space="preserve"> </w:t>
      </w:r>
      <w:r w:rsidR="00BC1289">
        <w:t xml:space="preserve">CDC’s Division of Violence Prevention (DVP) </w:t>
      </w:r>
      <w:r w:rsidR="006C30A4">
        <w:t xml:space="preserve">provides national leadership in prevention SV perpetration and victimization before it begins, i.e., primary prevention. </w:t>
      </w:r>
      <w:r w:rsidR="00BC1289">
        <w:t>DVP administers the RPE Program, which provides funding to health departments in all 50 states, the District of Columbia</w:t>
      </w:r>
      <w:r w:rsidR="005B27F3">
        <w:t xml:space="preserve"> (DC)</w:t>
      </w:r>
      <w:r w:rsidR="00BC1289">
        <w:t xml:space="preserve">, Puerto Rico, Guam, the U.S. Virgin Islands, and the Commonwealth of Northern Mariana Islands. </w:t>
      </w:r>
    </w:p>
    <w:p w14:paraId="720B31B6" w14:textId="77777777" w:rsidR="003B6A6D" w:rsidRDefault="003B6A6D" w:rsidP="00F53BC8"/>
    <w:p w14:paraId="65590B7F" w14:textId="69134FFB" w:rsidR="00F53BC8" w:rsidRDefault="008D7DCD" w:rsidP="00F53BC8">
      <w:r>
        <w:t>In 2016, DVP released a technical package to help communities take advantage of the best available evidence for SV prevention</w:t>
      </w:r>
      <w:r w:rsidR="00F53BC8">
        <w:t xml:space="preserve"> (i.e., STOP SV Technical Package)</w:t>
      </w:r>
      <w:r>
        <w:t>.</w:t>
      </w:r>
      <w:r>
        <w:rPr>
          <w:vertAlign w:val="superscript"/>
        </w:rPr>
        <w:t>2</w:t>
      </w:r>
      <w:r>
        <w:t xml:space="preserve"> </w:t>
      </w:r>
      <w:r w:rsidR="006E4FA3">
        <w:t>DVP put this into practice through the CE19-1902 cooperative agreement</w:t>
      </w:r>
      <w:r w:rsidR="00F53BC8">
        <w:t xml:space="preserve">. This cooperative agreement </w:t>
      </w:r>
      <w:r w:rsidR="00F53BC8" w:rsidRPr="00917603">
        <w:t>builds on previous efforts and cooperative agreements (i.e., CDC-RFA-CE14-1401)</w:t>
      </w:r>
      <w:r w:rsidR="00F53BC8">
        <w:t>,</w:t>
      </w:r>
      <w:r w:rsidR="00F53BC8" w:rsidRPr="00917603">
        <w:t xml:space="preserve"> but </w:t>
      </w:r>
      <w:r w:rsidR="00F53BC8">
        <w:t>shifts in funding requirements to have comprehensive multilevel primary prevention</w:t>
      </w:r>
      <w:r w:rsidR="00C50ED6">
        <w:t xml:space="preserve">. </w:t>
      </w:r>
      <w:r w:rsidR="003B4F38">
        <w:t xml:space="preserve">The new RPE funding opportunity, </w:t>
      </w:r>
      <w:r w:rsidR="003B4F38" w:rsidRPr="007F7B9A">
        <w:t xml:space="preserve">CDC-RFA-CE19-1902: Rape Prevention and Education (RPE): Using </w:t>
      </w:r>
      <w:r w:rsidR="0070680A" w:rsidRPr="007F7B9A">
        <w:t>the</w:t>
      </w:r>
      <w:r w:rsidR="003B4F38" w:rsidRPr="007F7B9A">
        <w:t xml:space="preserve"> Best Available Evidence for Sexual Violence P</w:t>
      </w:r>
      <w:r w:rsidR="003B4F38">
        <w:t xml:space="preserve">revention cooperative agreement, differs greatly from previous funding opportunities provided by CDC through the RPE Program. Specifically, program activities differ from the previous funding cycles, and the program will be collecting information for the first time on recipient outcomes. </w:t>
      </w:r>
      <w:r w:rsidR="00C50ED6">
        <w:t xml:space="preserve">Recipients </w:t>
      </w:r>
      <w:r w:rsidR="003B4F38">
        <w:t xml:space="preserve">of 1902 cooperative agreement </w:t>
      </w:r>
      <w:r w:rsidR="00C50ED6">
        <w:t>are required to</w:t>
      </w:r>
      <w:r w:rsidR="00F53BC8" w:rsidRPr="00917603">
        <w:t xml:space="preserve"> </w:t>
      </w:r>
    </w:p>
    <w:p w14:paraId="5995AE18" w14:textId="77777777" w:rsidR="00322938" w:rsidRPr="00F53BC8" w:rsidRDefault="00322938" w:rsidP="00F53BC8"/>
    <w:p w14:paraId="2710E2C4" w14:textId="17535E12" w:rsidR="003B6A6D" w:rsidRDefault="00C50ED6" w:rsidP="00C50ED6">
      <w:pPr>
        <w:pStyle w:val="ListParagraph"/>
        <w:numPr>
          <w:ilvl w:val="0"/>
          <w:numId w:val="9"/>
        </w:numPr>
        <w:rPr>
          <w:color w:val="000000" w:themeColor="text1"/>
        </w:rPr>
      </w:pPr>
      <w:r>
        <w:rPr>
          <w:color w:val="000000" w:themeColor="text1"/>
        </w:rPr>
        <w:t>D</w:t>
      </w:r>
      <w:r w:rsidRPr="00D17B1B">
        <w:rPr>
          <w:color w:val="000000" w:themeColor="text1"/>
        </w:rPr>
        <w:t xml:space="preserve">evelop </w:t>
      </w:r>
      <w:r>
        <w:rPr>
          <w:color w:val="000000" w:themeColor="text1"/>
        </w:rPr>
        <w:t xml:space="preserve">and implement </w:t>
      </w:r>
      <w:r w:rsidRPr="00D17B1B">
        <w:rPr>
          <w:color w:val="000000" w:themeColor="text1"/>
        </w:rPr>
        <w:t>a state-leve</w:t>
      </w:r>
      <w:r w:rsidR="003B6A6D">
        <w:rPr>
          <w:color w:val="000000" w:themeColor="text1"/>
        </w:rPr>
        <w:t xml:space="preserve">l action plan to enhance partnerships and prioritize SV prevention (e.g., </w:t>
      </w:r>
      <w:r w:rsidRPr="00D17B1B">
        <w:rPr>
          <w:color w:val="000000" w:themeColor="text1"/>
        </w:rPr>
        <w:t>coordinate</w:t>
      </w:r>
      <w:r w:rsidR="003B6A6D">
        <w:rPr>
          <w:color w:val="000000" w:themeColor="text1"/>
        </w:rPr>
        <w:t xml:space="preserve"> with partners)</w:t>
      </w:r>
    </w:p>
    <w:p w14:paraId="744CA317" w14:textId="5DB9103C" w:rsidR="003B6A6D" w:rsidRDefault="003B6A6D" w:rsidP="00C50ED6">
      <w:pPr>
        <w:pStyle w:val="ListParagraph"/>
        <w:numPr>
          <w:ilvl w:val="0"/>
          <w:numId w:val="9"/>
        </w:numPr>
        <w:rPr>
          <w:color w:val="000000" w:themeColor="text1"/>
        </w:rPr>
      </w:pPr>
      <w:r>
        <w:rPr>
          <w:color w:val="000000" w:themeColor="text1"/>
        </w:rPr>
        <w:t>Use data-driven decision making for program selection, delivery, and improvement</w:t>
      </w:r>
    </w:p>
    <w:p w14:paraId="0A8B6194" w14:textId="74C74BA4" w:rsidR="003B6A6D" w:rsidRPr="003B6A6D" w:rsidRDefault="003B6A6D" w:rsidP="008B759A">
      <w:pPr>
        <w:pStyle w:val="ListParagraph"/>
        <w:numPr>
          <w:ilvl w:val="0"/>
          <w:numId w:val="9"/>
        </w:numPr>
        <w:rPr>
          <w:color w:val="000000" w:themeColor="text1"/>
        </w:rPr>
      </w:pPr>
      <w:r w:rsidRPr="003B6A6D">
        <w:rPr>
          <w:color w:val="000000" w:themeColor="text1"/>
        </w:rPr>
        <w:t xml:space="preserve">Increase alignment between state </w:t>
      </w:r>
      <w:r>
        <w:rPr>
          <w:color w:val="000000" w:themeColor="text1"/>
        </w:rPr>
        <w:t xml:space="preserve">level goals </w:t>
      </w:r>
      <w:r w:rsidRPr="003B6A6D">
        <w:rPr>
          <w:color w:val="000000" w:themeColor="text1"/>
        </w:rPr>
        <w:t xml:space="preserve">and local </w:t>
      </w:r>
      <w:r>
        <w:rPr>
          <w:color w:val="000000" w:themeColor="text1"/>
        </w:rPr>
        <w:t>prevention efforts</w:t>
      </w:r>
    </w:p>
    <w:p w14:paraId="1B95F3FA" w14:textId="302DE3D6" w:rsidR="00C50ED6" w:rsidRPr="00D17B1B" w:rsidRDefault="00C50ED6" w:rsidP="00C50ED6">
      <w:pPr>
        <w:pStyle w:val="ListParagraph"/>
        <w:numPr>
          <w:ilvl w:val="0"/>
          <w:numId w:val="9"/>
        </w:numPr>
        <w:rPr>
          <w:color w:val="000000" w:themeColor="text1"/>
        </w:rPr>
      </w:pPr>
      <w:r>
        <w:rPr>
          <w:rFonts w:cstheme="minorHAnsi"/>
          <w:bCs/>
        </w:rPr>
        <w:t>I</w:t>
      </w:r>
      <w:r w:rsidRPr="00D17B1B">
        <w:rPr>
          <w:rFonts w:cstheme="minorHAnsi"/>
          <w:bCs/>
        </w:rPr>
        <w:t xml:space="preserve">mplement prevention strategies that align with focus areas in the DVP STOP SV </w:t>
      </w:r>
      <w:r w:rsidR="003B6A6D">
        <w:rPr>
          <w:rFonts w:cstheme="minorHAnsi"/>
          <w:bCs/>
        </w:rPr>
        <w:t>T</w:t>
      </w:r>
      <w:r w:rsidRPr="00D17B1B">
        <w:rPr>
          <w:rFonts w:cstheme="minorHAnsi"/>
          <w:bCs/>
        </w:rPr>
        <w:t xml:space="preserve">echnical </w:t>
      </w:r>
      <w:r w:rsidR="003B6A6D">
        <w:rPr>
          <w:rFonts w:cstheme="minorHAnsi"/>
          <w:bCs/>
        </w:rPr>
        <w:t>P</w:t>
      </w:r>
      <w:r w:rsidRPr="00D17B1B">
        <w:rPr>
          <w:rFonts w:cstheme="minorHAnsi"/>
          <w:bCs/>
        </w:rPr>
        <w:t>ackage</w:t>
      </w:r>
      <w:r>
        <w:rPr>
          <w:rFonts w:cstheme="minorHAnsi"/>
          <w:bCs/>
          <w:vertAlign w:val="superscript"/>
        </w:rPr>
        <w:t>2</w:t>
      </w:r>
    </w:p>
    <w:p w14:paraId="178A225A" w14:textId="16F0956D" w:rsidR="00917603" w:rsidRPr="00D17B1B" w:rsidRDefault="00C50ED6" w:rsidP="00917603">
      <w:pPr>
        <w:pStyle w:val="ListParagraph"/>
        <w:numPr>
          <w:ilvl w:val="0"/>
          <w:numId w:val="9"/>
        </w:numPr>
        <w:rPr>
          <w:color w:val="000000" w:themeColor="text1"/>
        </w:rPr>
      </w:pPr>
      <w:r>
        <w:rPr>
          <w:rFonts w:cstheme="minorHAnsi"/>
          <w:bCs/>
        </w:rPr>
        <w:t>I</w:t>
      </w:r>
      <w:r w:rsidR="00917603" w:rsidRPr="00D17B1B">
        <w:rPr>
          <w:rFonts w:cstheme="minorHAnsi"/>
          <w:bCs/>
        </w:rPr>
        <w:t xml:space="preserve">ncrease </w:t>
      </w:r>
      <w:r>
        <w:rPr>
          <w:rFonts w:cstheme="minorHAnsi"/>
          <w:bCs/>
        </w:rPr>
        <w:t xml:space="preserve">primary prevention </w:t>
      </w:r>
      <w:r w:rsidR="00917603" w:rsidRPr="00D17B1B">
        <w:rPr>
          <w:rFonts w:cstheme="minorHAnsi"/>
          <w:bCs/>
        </w:rPr>
        <w:t xml:space="preserve">at the </w:t>
      </w:r>
      <w:r>
        <w:rPr>
          <w:rFonts w:cstheme="minorHAnsi"/>
          <w:bCs/>
        </w:rPr>
        <w:t xml:space="preserve">outer layers (i.e., community and society) </w:t>
      </w:r>
      <w:r w:rsidR="00917603" w:rsidRPr="00D17B1B">
        <w:rPr>
          <w:rFonts w:cstheme="minorHAnsi"/>
          <w:bCs/>
        </w:rPr>
        <w:t>of the Social Ecologic</w:t>
      </w:r>
      <w:r w:rsidR="00917603">
        <w:rPr>
          <w:rFonts w:cstheme="minorHAnsi"/>
          <w:bCs/>
        </w:rPr>
        <w:t>al</w:t>
      </w:r>
      <w:r w:rsidR="00917603" w:rsidRPr="00D17B1B">
        <w:rPr>
          <w:rFonts w:cstheme="minorHAnsi"/>
          <w:bCs/>
        </w:rPr>
        <w:t xml:space="preserve"> Model (SEM) </w:t>
      </w:r>
    </w:p>
    <w:p w14:paraId="2954A080" w14:textId="109F6387" w:rsidR="00917603" w:rsidRPr="00D17B1B" w:rsidRDefault="00C50ED6" w:rsidP="00917603">
      <w:pPr>
        <w:pStyle w:val="ListParagraph"/>
        <w:numPr>
          <w:ilvl w:val="0"/>
          <w:numId w:val="9"/>
        </w:numPr>
        <w:rPr>
          <w:color w:val="000000" w:themeColor="text1"/>
        </w:rPr>
      </w:pPr>
      <w:r>
        <w:rPr>
          <w:rFonts w:cstheme="minorHAnsi"/>
          <w:bCs/>
        </w:rPr>
        <w:t xml:space="preserve">Implement a </w:t>
      </w:r>
      <w:r w:rsidR="00917603" w:rsidRPr="00D17B1B">
        <w:rPr>
          <w:rFonts w:cstheme="minorHAnsi"/>
          <w:bCs/>
        </w:rPr>
        <w:t xml:space="preserve">minimum percentage of </w:t>
      </w:r>
      <w:r>
        <w:rPr>
          <w:rFonts w:cstheme="minorHAnsi"/>
          <w:bCs/>
        </w:rPr>
        <w:t xml:space="preserve">prevention strategies </w:t>
      </w:r>
      <w:r w:rsidR="00917603" w:rsidRPr="00D17B1B">
        <w:rPr>
          <w:rFonts w:cstheme="minorHAnsi"/>
          <w:bCs/>
        </w:rPr>
        <w:t>at the community</w:t>
      </w:r>
      <w:r w:rsidR="003B6A6D">
        <w:rPr>
          <w:rFonts w:cstheme="minorHAnsi"/>
          <w:bCs/>
        </w:rPr>
        <w:t xml:space="preserve"> </w:t>
      </w:r>
      <w:r w:rsidR="00917603" w:rsidRPr="00D17B1B">
        <w:rPr>
          <w:rFonts w:cstheme="minorHAnsi"/>
          <w:bCs/>
        </w:rPr>
        <w:t xml:space="preserve">level </w:t>
      </w:r>
      <w:r w:rsidR="003B6A6D">
        <w:rPr>
          <w:rFonts w:cstheme="minorHAnsi"/>
          <w:bCs/>
        </w:rPr>
        <w:t xml:space="preserve">(Category A recipients is 50%; Category B is 75%), </w:t>
      </w:r>
      <w:r w:rsidR="00917603" w:rsidRPr="00D17B1B">
        <w:rPr>
          <w:rFonts w:cstheme="minorHAnsi"/>
          <w:bCs/>
        </w:rPr>
        <w:t xml:space="preserve">and maximum percentage of prevention </w:t>
      </w:r>
      <w:r>
        <w:rPr>
          <w:rFonts w:cstheme="minorHAnsi"/>
          <w:bCs/>
        </w:rPr>
        <w:t xml:space="preserve">strategies </w:t>
      </w:r>
      <w:r w:rsidR="00917603" w:rsidRPr="00D17B1B">
        <w:rPr>
          <w:rFonts w:cstheme="minorHAnsi"/>
          <w:bCs/>
        </w:rPr>
        <w:t xml:space="preserve">at the individual/relationship level </w:t>
      </w:r>
      <w:r w:rsidR="003B6A6D">
        <w:rPr>
          <w:rFonts w:cstheme="minorHAnsi"/>
          <w:bCs/>
        </w:rPr>
        <w:t>(Category A recipients is 50%; Category B is 25%), based on funding category</w:t>
      </w:r>
    </w:p>
    <w:p w14:paraId="2E9E251E" w14:textId="1CBDEA1C" w:rsidR="00917603" w:rsidRPr="003B6A6D" w:rsidRDefault="00C50ED6" w:rsidP="00917603">
      <w:pPr>
        <w:pStyle w:val="ListParagraph"/>
        <w:numPr>
          <w:ilvl w:val="0"/>
          <w:numId w:val="9"/>
        </w:numPr>
        <w:rPr>
          <w:color w:val="000000" w:themeColor="text1"/>
        </w:rPr>
      </w:pPr>
      <w:r>
        <w:rPr>
          <w:rFonts w:cstheme="minorHAnsi"/>
          <w:bCs/>
        </w:rPr>
        <w:t>C</w:t>
      </w:r>
      <w:r w:rsidR="00917603" w:rsidRPr="00D17B1B">
        <w:rPr>
          <w:rFonts w:cstheme="minorHAnsi"/>
          <w:bCs/>
        </w:rPr>
        <w:t xml:space="preserve">onduct a state-level process and outcome evaluation and track </w:t>
      </w:r>
      <w:r w:rsidR="003B6A6D">
        <w:rPr>
          <w:rFonts w:cstheme="minorHAnsi"/>
          <w:bCs/>
        </w:rPr>
        <w:t>state-level SV indicators aligned with selected outcomes</w:t>
      </w:r>
    </w:p>
    <w:p w14:paraId="79DFAAE1" w14:textId="3907B0A1" w:rsidR="00917603" w:rsidRDefault="003B6A6D" w:rsidP="00917603">
      <w:pPr>
        <w:pStyle w:val="ListParagraph"/>
        <w:numPr>
          <w:ilvl w:val="0"/>
          <w:numId w:val="9"/>
        </w:numPr>
        <w:rPr>
          <w:color w:val="000000" w:themeColor="text1"/>
        </w:rPr>
      </w:pPr>
      <w:r>
        <w:rPr>
          <w:color w:val="000000" w:themeColor="text1"/>
        </w:rPr>
        <w:t xml:space="preserve">Enhance </w:t>
      </w:r>
      <w:r w:rsidR="00917603" w:rsidRPr="00D17B1B">
        <w:rPr>
          <w:color w:val="000000" w:themeColor="text1"/>
        </w:rPr>
        <w:t xml:space="preserve">capacity and plan for sustainability of </w:t>
      </w:r>
      <w:r>
        <w:rPr>
          <w:color w:val="000000" w:themeColor="text1"/>
        </w:rPr>
        <w:t xml:space="preserve">SV prevention </w:t>
      </w:r>
    </w:p>
    <w:p w14:paraId="2BF636E0" w14:textId="31D65322" w:rsidR="002444AE" w:rsidRDefault="003B6A6D" w:rsidP="00EB16AC">
      <w:r>
        <w:t xml:space="preserve"> </w:t>
      </w:r>
    </w:p>
    <w:p w14:paraId="7854A116" w14:textId="77777777" w:rsidR="003B4F38" w:rsidRDefault="00932B4C" w:rsidP="00932B4C">
      <w:pPr>
        <w:rPr>
          <w:color w:val="000000" w:themeColor="text1"/>
        </w:rPr>
      </w:pPr>
      <w:r>
        <w:rPr>
          <w:color w:val="000000" w:themeColor="text1"/>
        </w:rPr>
        <w:t xml:space="preserve">The RPE Program is the </w:t>
      </w:r>
      <w:r w:rsidR="00377A21">
        <w:rPr>
          <w:color w:val="000000" w:themeColor="text1"/>
        </w:rPr>
        <w:t>principal federally-</w:t>
      </w:r>
      <w:r>
        <w:rPr>
          <w:color w:val="000000" w:themeColor="text1"/>
        </w:rPr>
        <w:t xml:space="preserve">funded program focused on </w:t>
      </w:r>
      <w:r w:rsidR="00867EB4">
        <w:rPr>
          <w:color w:val="000000" w:themeColor="text1"/>
        </w:rPr>
        <w:t xml:space="preserve">SV </w:t>
      </w:r>
      <w:r>
        <w:rPr>
          <w:color w:val="000000" w:themeColor="text1"/>
        </w:rPr>
        <w:t xml:space="preserve">primary prevention. Collecting information about the implementation and outcomes of CE19-1902 cooperative agreement </w:t>
      </w:r>
      <w:r w:rsidR="002F3396">
        <w:rPr>
          <w:color w:val="000000" w:themeColor="text1"/>
        </w:rPr>
        <w:t xml:space="preserve">through the online data system, DVP Partners Portal, </w:t>
      </w:r>
      <w:r>
        <w:rPr>
          <w:color w:val="000000" w:themeColor="text1"/>
        </w:rPr>
        <w:t>is crucial to</w:t>
      </w:r>
      <w:r w:rsidR="002F619C">
        <w:rPr>
          <w:color w:val="000000" w:themeColor="text1"/>
        </w:rPr>
        <w:t xml:space="preserve"> informing SV prevention nationally;</w:t>
      </w:r>
      <w:r>
        <w:rPr>
          <w:color w:val="000000" w:themeColor="text1"/>
        </w:rPr>
        <w:t xml:space="preserve"> enhancing </w:t>
      </w:r>
      <w:r w:rsidRPr="002444AE">
        <w:rPr>
          <w:color w:val="000000" w:themeColor="text1"/>
        </w:rPr>
        <w:t>accountability of the use of federal funds</w:t>
      </w:r>
      <w:r>
        <w:rPr>
          <w:color w:val="000000" w:themeColor="text1"/>
        </w:rPr>
        <w:t xml:space="preserve">; providing </w:t>
      </w:r>
      <w:r w:rsidRPr="002444AE">
        <w:rPr>
          <w:color w:val="000000" w:themeColor="text1"/>
        </w:rPr>
        <w:t xml:space="preserve">timely </w:t>
      </w:r>
      <w:r>
        <w:rPr>
          <w:color w:val="000000" w:themeColor="text1"/>
        </w:rPr>
        <w:t xml:space="preserve">program </w:t>
      </w:r>
      <w:r w:rsidRPr="002444AE">
        <w:rPr>
          <w:color w:val="000000" w:themeColor="text1"/>
        </w:rPr>
        <w:t xml:space="preserve">reports </w:t>
      </w:r>
      <w:r>
        <w:rPr>
          <w:color w:val="000000" w:themeColor="text1"/>
        </w:rPr>
        <w:t>and responses to information request</w:t>
      </w:r>
      <w:r w:rsidR="001631DD">
        <w:rPr>
          <w:color w:val="000000" w:themeColor="text1"/>
        </w:rPr>
        <w:t>s, such as Congressional requests mandated by the authorizing legislation</w:t>
      </w:r>
      <w:r>
        <w:rPr>
          <w:color w:val="000000" w:themeColor="text1"/>
        </w:rPr>
        <w:t xml:space="preserve">; improving real-time communications between CDC and RPE recipients; and strengthening CDC’s </w:t>
      </w:r>
      <w:r w:rsidR="000B5725">
        <w:rPr>
          <w:color w:val="000000" w:themeColor="text1"/>
        </w:rPr>
        <w:t xml:space="preserve">capacity to provide </w:t>
      </w:r>
      <w:r>
        <w:rPr>
          <w:color w:val="000000" w:themeColor="text1"/>
        </w:rPr>
        <w:t xml:space="preserve">responsive data-driven technical assistance and to monitor and evaluate recipients’ progress and performance. </w:t>
      </w:r>
    </w:p>
    <w:p w14:paraId="6838B624" w14:textId="3654E8FB" w:rsidR="003B4F38" w:rsidRDefault="003B4F38" w:rsidP="00932B4C">
      <w:pPr>
        <w:rPr>
          <w:color w:val="000000" w:themeColor="text1"/>
        </w:rPr>
      </w:pPr>
    </w:p>
    <w:p w14:paraId="3067AFB1" w14:textId="45379794" w:rsidR="00B102F6" w:rsidRDefault="003B4F38" w:rsidP="00860BDD">
      <w:r>
        <w:t xml:space="preserve">CDC </w:t>
      </w:r>
      <w:r w:rsidRPr="00EB16AC">
        <w:t xml:space="preserve">seeks </w:t>
      </w:r>
      <w:r>
        <w:t xml:space="preserve">a three-year </w:t>
      </w:r>
      <w:r w:rsidRPr="00EB16AC">
        <w:t xml:space="preserve">approval </w:t>
      </w:r>
      <w:r>
        <w:t xml:space="preserve">from OMB </w:t>
      </w:r>
      <w:r w:rsidRPr="00EB16AC">
        <w:t xml:space="preserve">for a </w:t>
      </w:r>
      <w:r w:rsidR="00B679CB">
        <w:t>NEW</w:t>
      </w:r>
      <w:r w:rsidRPr="00EB16AC">
        <w:t xml:space="preserve"> information collection request </w:t>
      </w:r>
      <w:r>
        <w:t xml:space="preserve">(ICR) </w:t>
      </w:r>
      <w:r w:rsidRPr="00EB16AC">
        <w:t xml:space="preserve">to collect information </w:t>
      </w:r>
      <w:r>
        <w:t xml:space="preserve">related to implementation and outcomes annually </w:t>
      </w:r>
      <w:r w:rsidRPr="00EB16AC">
        <w:t>fro</w:t>
      </w:r>
      <w:r>
        <w:t>m 55</w:t>
      </w:r>
      <w:r w:rsidRPr="00EB16AC">
        <w:t xml:space="preserve"> recipients</w:t>
      </w:r>
      <w:r>
        <w:t xml:space="preserve"> or their designated delegates </w:t>
      </w:r>
      <w:r w:rsidRPr="00EB16AC">
        <w:t xml:space="preserve">funded through </w:t>
      </w:r>
      <w:r>
        <w:t>the new funding opportunity, CE19-1902 (</w:t>
      </w:r>
      <w:r w:rsidRPr="003B4F38">
        <w:rPr>
          <w:b/>
        </w:rPr>
        <w:t>Attachment 2</w:t>
      </w:r>
      <w:r>
        <w:rPr>
          <w:b/>
        </w:rPr>
        <w:t xml:space="preserve">). </w:t>
      </w:r>
      <w:r>
        <w:t xml:space="preserve"> </w:t>
      </w:r>
      <w:r w:rsidR="00B102F6">
        <w:t xml:space="preserve">Information collection will begin immediately upon receipt </w:t>
      </w:r>
      <w:r w:rsidR="00394DF7">
        <w:t xml:space="preserve">of OMB approval. As </w:t>
      </w:r>
      <w:r>
        <w:t xml:space="preserve">recipients </w:t>
      </w:r>
      <w:r w:rsidR="00394DF7">
        <w:t xml:space="preserve">transition to new funding </w:t>
      </w:r>
      <w:r>
        <w:t>cycles, CDC</w:t>
      </w:r>
      <w:r w:rsidR="00394DF7">
        <w:t>,</w:t>
      </w:r>
      <w:r>
        <w:t xml:space="preserve"> </w:t>
      </w:r>
      <w:r w:rsidR="00394DF7">
        <w:t xml:space="preserve">will use the change request mechanism to update the </w:t>
      </w:r>
      <w:r>
        <w:t>list</w:t>
      </w:r>
      <w:r w:rsidR="00394DF7">
        <w:t xml:space="preserve"> of </w:t>
      </w:r>
      <w:r>
        <w:t xml:space="preserve">recipients </w:t>
      </w:r>
      <w:r w:rsidR="00394DF7">
        <w:t>and to make any needed adjustments to burden estimates.</w:t>
      </w:r>
    </w:p>
    <w:p w14:paraId="137EFD64" w14:textId="77777777" w:rsidR="003B4F38" w:rsidRDefault="003B4F38" w:rsidP="00860BDD"/>
    <w:p w14:paraId="78D142DB" w14:textId="77777777" w:rsidR="00E54A80" w:rsidRDefault="00860BDD" w:rsidP="00860BDD">
      <w:pPr>
        <w:pStyle w:val="Heading2"/>
      </w:pPr>
      <w:bookmarkStart w:id="5" w:name="_Toc7592382"/>
      <w:r>
        <w:t>A.2. Purpose and Use of Information Collection</w:t>
      </w:r>
      <w:bookmarkEnd w:id="5"/>
    </w:p>
    <w:p w14:paraId="17E3EF03" w14:textId="4138F3F7" w:rsidR="00F63D0D" w:rsidRDefault="00F63D0D" w:rsidP="00F63D0D">
      <w:pPr>
        <w:rPr>
          <w:color w:val="000000" w:themeColor="text1"/>
        </w:rPr>
      </w:pPr>
      <w:r>
        <w:rPr>
          <w:color w:val="000000" w:themeColor="text1"/>
        </w:rPr>
        <w:t xml:space="preserve">The purpose of this ICR is to </w:t>
      </w:r>
      <w:r w:rsidRPr="00E61D20">
        <w:rPr>
          <w:color w:val="000000" w:themeColor="text1"/>
        </w:rPr>
        <w:t xml:space="preserve">collect information related to implementation and </w:t>
      </w:r>
      <w:r>
        <w:rPr>
          <w:color w:val="000000" w:themeColor="text1"/>
        </w:rPr>
        <w:t>outcomes annually from recipients of CDC-RFA-CE19-1902</w:t>
      </w:r>
      <w:r w:rsidRPr="00960B6C">
        <w:rPr>
          <w:color w:val="000000" w:themeColor="text1"/>
        </w:rPr>
        <w:t>:</w:t>
      </w:r>
      <w:r>
        <w:rPr>
          <w:color w:val="000000" w:themeColor="text1"/>
        </w:rPr>
        <w:t xml:space="preserve"> </w:t>
      </w:r>
      <w:r w:rsidRPr="00EB16AC">
        <w:rPr>
          <w:color w:val="000000" w:themeColor="text1"/>
        </w:rPr>
        <w:t xml:space="preserve">Rape Prevention and Education (RPE): Using </w:t>
      </w:r>
      <w:r w:rsidR="006E6D87" w:rsidRPr="00EB16AC">
        <w:rPr>
          <w:color w:val="000000" w:themeColor="text1"/>
        </w:rPr>
        <w:t>the</w:t>
      </w:r>
      <w:r w:rsidRPr="00EB16AC">
        <w:rPr>
          <w:color w:val="000000" w:themeColor="text1"/>
        </w:rPr>
        <w:t xml:space="preserve"> Best Available Evidence for Sexual Violence Prevention</w:t>
      </w:r>
      <w:r>
        <w:rPr>
          <w:color w:val="000000" w:themeColor="text1"/>
        </w:rPr>
        <w:t xml:space="preserve"> cooperative agreement. </w:t>
      </w:r>
      <w:r w:rsidR="009F2A6C">
        <w:rPr>
          <w:color w:val="000000" w:themeColor="text1"/>
        </w:rPr>
        <w:t xml:space="preserve">The information collection has been carefully designed to align with and support the goals for CE19-1902 cooperative agreement to answer the following evaluation questions: </w:t>
      </w:r>
    </w:p>
    <w:p w14:paraId="3A2A9486" w14:textId="77777777" w:rsidR="009F2A6C" w:rsidRDefault="009F2A6C" w:rsidP="00F63D0D"/>
    <w:p w14:paraId="42BB084D" w14:textId="6B22D122" w:rsidR="00EB2260" w:rsidRDefault="00EB2260" w:rsidP="00EB2260">
      <w:pPr>
        <w:pStyle w:val="ListParagraph"/>
        <w:numPr>
          <w:ilvl w:val="0"/>
          <w:numId w:val="19"/>
        </w:numPr>
        <w:ind w:left="450" w:hanging="360"/>
      </w:pPr>
      <w:r>
        <w:t>To what extent has the state built or enhanced partnerships for SV prevention?</w:t>
      </w:r>
    </w:p>
    <w:p w14:paraId="1C3A4957" w14:textId="571E4C03" w:rsidR="00EB2260" w:rsidRDefault="00EB2260" w:rsidP="00EB2260">
      <w:pPr>
        <w:pStyle w:val="ListParagraph"/>
        <w:numPr>
          <w:ilvl w:val="0"/>
          <w:numId w:val="19"/>
        </w:numPr>
        <w:ind w:left="450" w:hanging="360"/>
      </w:pPr>
      <w:r>
        <w:t>To what extent has the recipient used data to select and prioritize the sub-recipients, the prevention strategies and approaches and the population of focus?</w:t>
      </w:r>
    </w:p>
    <w:p w14:paraId="031C6082" w14:textId="05AC2F0F" w:rsidR="00EB2260" w:rsidRDefault="00EB2260" w:rsidP="00EB2260">
      <w:pPr>
        <w:pStyle w:val="ListParagraph"/>
        <w:numPr>
          <w:ilvl w:val="0"/>
          <w:numId w:val="19"/>
        </w:numPr>
        <w:ind w:left="450" w:hanging="360"/>
      </w:pPr>
      <w:r>
        <w:t>To what extent have selected prevention strategies been implemented in the state?</w:t>
      </w:r>
    </w:p>
    <w:p w14:paraId="72AEFCCB" w14:textId="2527F40E" w:rsidR="00EB2260" w:rsidRDefault="00EB2260" w:rsidP="00EB2260">
      <w:pPr>
        <w:pStyle w:val="ListParagraph"/>
        <w:numPr>
          <w:ilvl w:val="0"/>
          <w:numId w:val="19"/>
        </w:numPr>
        <w:ind w:left="450" w:hanging="360"/>
      </w:pPr>
      <w:r>
        <w:t>Which factors are critical for implementing selected prevention strategies and approaches?</w:t>
      </w:r>
    </w:p>
    <w:p w14:paraId="3E24DFF9" w14:textId="53E0206E" w:rsidR="00EB2260" w:rsidRDefault="00EB2260" w:rsidP="00EB2260">
      <w:pPr>
        <w:pStyle w:val="ListParagraph"/>
        <w:numPr>
          <w:ilvl w:val="0"/>
          <w:numId w:val="19"/>
        </w:numPr>
        <w:ind w:left="450" w:hanging="360"/>
      </w:pPr>
      <w:r>
        <w:t>To what extent have targeted risk and protective factors for SV outcomes changed at the state level?</w:t>
      </w:r>
    </w:p>
    <w:p w14:paraId="27B13757" w14:textId="16CE1AB8" w:rsidR="00EB2260" w:rsidRDefault="00EB2260" w:rsidP="00EB2260">
      <w:pPr>
        <w:pStyle w:val="ListParagraph"/>
        <w:numPr>
          <w:ilvl w:val="0"/>
          <w:numId w:val="19"/>
        </w:numPr>
        <w:ind w:left="450" w:hanging="360"/>
      </w:pPr>
      <w:r>
        <w:t>To what extent are sub-recipient activities aligned with state level goals and outcomes stated in the state action plan and recipient work plan?</w:t>
      </w:r>
    </w:p>
    <w:p w14:paraId="54A4BCF3" w14:textId="59AC4BE6" w:rsidR="00EB2260" w:rsidRDefault="00EB2260" w:rsidP="00EB2260">
      <w:pPr>
        <w:pStyle w:val="ListParagraph"/>
        <w:numPr>
          <w:ilvl w:val="0"/>
          <w:numId w:val="19"/>
        </w:numPr>
        <w:ind w:left="450" w:hanging="360"/>
      </w:pPr>
      <w:r>
        <w:t>To what extent do recipients address health equity?</w:t>
      </w:r>
    </w:p>
    <w:p w14:paraId="71FD9E9D" w14:textId="0F5EA8C9" w:rsidR="00F96291" w:rsidRDefault="00EB2260" w:rsidP="00EB2260">
      <w:pPr>
        <w:pStyle w:val="ListParagraph"/>
        <w:numPr>
          <w:ilvl w:val="0"/>
          <w:numId w:val="19"/>
        </w:numPr>
        <w:ind w:left="450" w:hanging="360"/>
      </w:pPr>
      <w:r>
        <w:t>How does recipient capacity change over time?</w:t>
      </w:r>
    </w:p>
    <w:p w14:paraId="6299EA3B" w14:textId="77777777" w:rsidR="00EB2260" w:rsidRDefault="00EB2260" w:rsidP="00EB2260"/>
    <w:p w14:paraId="54A84112" w14:textId="128D5EB8" w:rsidR="00D476D0" w:rsidRDefault="00F96291" w:rsidP="00D476D0">
      <w:r>
        <w:t xml:space="preserve">Information will be collected annually from recipients through the online </w:t>
      </w:r>
      <w:r w:rsidR="00402200">
        <w:t xml:space="preserve">data </w:t>
      </w:r>
      <w:r>
        <w:t xml:space="preserve">system, DVP Partners Portal. </w:t>
      </w:r>
      <w:r w:rsidR="00503C24">
        <w:t xml:space="preserve">The DVP Partners Portal is organized by forms, which are further organized by sections and sub-sections. </w:t>
      </w:r>
      <w:r w:rsidR="001631DD">
        <w:t>Recipients and program staff will be able to review i</w:t>
      </w:r>
      <w:r w:rsidR="00503C24">
        <w:t xml:space="preserve">nformation </w:t>
      </w:r>
      <w:r w:rsidR="001631DD">
        <w:t xml:space="preserve">reported in previous years </w:t>
      </w:r>
      <w:r w:rsidR="00503C24">
        <w:t>within the DVP Partners Portal</w:t>
      </w:r>
      <w:r w:rsidR="001631DD">
        <w:t xml:space="preserve"> per their authenticated access to the Portal.</w:t>
      </w:r>
      <w:r w:rsidR="00503C24">
        <w:t xml:space="preserve"> </w:t>
      </w:r>
      <w:r w:rsidR="00D476D0">
        <w:t>In addition, information from previous reports will be carried over and pre-populated for the next annual reporting</w:t>
      </w:r>
      <w:r w:rsidR="001631DD">
        <w:t xml:space="preserve"> as appropriate</w:t>
      </w:r>
      <w:r w:rsidR="00D476D0">
        <w:t xml:space="preserve">. Thus, </w:t>
      </w:r>
      <w:r w:rsidR="00FC5FA8">
        <w:t xml:space="preserve">with </w:t>
      </w:r>
      <w:r w:rsidR="00402200">
        <w:t xml:space="preserve">DVP Partners Portal </w:t>
      </w:r>
      <w:r w:rsidR="00D476D0">
        <w:t xml:space="preserve">most of the burden is </w:t>
      </w:r>
      <w:r w:rsidR="00FC5FA8">
        <w:t xml:space="preserve">required during </w:t>
      </w:r>
      <w:r w:rsidR="00D476D0">
        <w:t>the initial population of information</w:t>
      </w:r>
      <w:r w:rsidR="00FC5FA8">
        <w:t xml:space="preserve"> (Year 1), Recipients </w:t>
      </w:r>
      <w:r w:rsidR="00D476D0">
        <w:t xml:space="preserve">will only need to </w:t>
      </w:r>
      <w:r w:rsidR="00D476D0" w:rsidRPr="00736803">
        <w:t>enter</w:t>
      </w:r>
      <w:r w:rsidR="00D476D0">
        <w:t xml:space="preserve"> changes, provide progress information, and add new information</w:t>
      </w:r>
      <w:r w:rsidR="00FC5FA8">
        <w:t xml:space="preserve"> after Year 1</w:t>
      </w:r>
      <w:r w:rsidR="00D476D0">
        <w:t xml:space="preserve">.  </w:t>
      </w:r>
    </w:p>
    <w:p w14:paraId="19BDB21C" w14:textId="77777777" w:rsidR="00D476D0" w:rsidRDefault="00D476D0" w:rsidP="00F63D0D"/>
    <w:p w14:paraId="5707034C" w14:textId="41AC68C2" w:rsidR="0043131B" w:rsidRDefault="00FF31D4" w:rsidP="00F63D0D">
      <w:r>
        <w:t xml:space="preserve">The Annual Reporting for RPE </w:t>
      </w:r>
      <w:r w:rsidR="0043131B">
        <w:t>(</w:t>
      </w:r>
      <w:r w:rsidR="001C6C77">
        <w:rPr>
          <w:b/>
        </w:rPr>
        <w:t>Attachment 3</w:t>
      </w:r>
      <w:r w:rsidR="0009241F">
        <w:rPr>
          <w:b/>
        </w:rPr>
        <w:t>a</w:t>
      </w:r>
      <w:r w:rsidR="0043131B" w:rsidRPr="00BB4492">
        <w:rPr>
          <w:b/>
        </w:rPr>
        <w:t>)</w:t>
      </w:r>
      <w:r>
        <w:t xml:space="preserve"> in DVP Partners Portal consists of </w:t>
      </w:r>
      <w:r w:rsidR="0075193B">
        <w:t>eight</w:t>
      </w:r>
      <w:r>
        <w:t xml:space="preserve"> forms: </w:t>
      </w:r>
    </w:p>
    <w:p w14:paraId="10700004" w14:textId="77777777" w:rsidR="00402200" w:rsidRDefault="00402200" w:rsidP="00F63D0D"/>
    <w:p w14:paraId="677E00F1" w14:textId="22F25993" w:rsidR="006D3381" w:rsidRDefault="006D3381" w:rsidP="00FF31D4">
      <w:pPr>
        <w:pStyle w:val="ListParagraph"/>
        <w:numPr>
          <w:ilvl w:val="0"/>
          <w:numId w:val="15"/>
        </w:numPr>
      </w:pPr>
      <w:r>
        <w:t>Work Plan</w:t>
      </w:r>
      <w:r w:rsidR="00D559DB">
        <w:t xml:space="preserve"> form collects information on progress towards work plan goals, objectives, and milestones.</w:t>
      </w:r>
    </w:p>
    <w:p w14:paraId="6DCCE77D" w14:textId="6327C790" w:rsidR="006D3381" w:rsidRDefault="006D3381" w:rsidP="00FF31D4">
      <w:pPr>
        <w:pStyle w:val="ListParagraph"/>
        <w:numPr>
          <w:ilvl w:val="0"/>
          <w:numId w:val="15"/>
        </w:numPr>
      </w:pPr>
      <w:r>
        <w:t>State Action Plan</w:t>
      </w:r>
      <w:r w:rsidR="00D559DB">
        <w:t xml:space="preserve"> form collects information on progress towards enhancing partnership, data use, and state SV prevention planning and coordination. </w:t>
      </w:r>
    </w:p>
    <w:p w14:paraId="0A82C29F" w14:textId="544790CB" w:rsidR="006D3381" w:rsidRDefault="006D3381" w:rsidP="00FF31D4">
      <w:pPr>
        <w:pStyle w:val="ListParagraph"/>
        <w:numPr>
          <w:ilvl w:val="0"/>
          <w:numId w:val="15"/>
        </w:numPr>
      </w:pPr>
      <w:r>
        <w:t>Coalition Building</w:t>
      </w:r>
      <w:r w:rsidR="00D559DB">
        <w:t xml:space="preserve"> form collects information about the recipients’ coalition building efforts. </w:t>
      </w:r>
    </w:p>
    <w:p w14:paraId="20CB476A" w14:textId="273961B7" w:rsidR="006D3381" w:rsidRDefault="006D3381" w:rsidP="00FF31D4">
      <w:pPr>
        <w:pStyle w:val="ListParagraph"/>
        <w:numPr>
          <w:ilvl w:val="0"/>
          <w:numId w:val="15"/>
        </w:numPr>
      </w:pPr>
      <w:r>
        <w:t>Prevention Strategy</w:t>
      </w:r>
      <w:r w:rsidR="00D559DB">
        <w:t xml:space="preserve"> form collects information about the prevention strategies</w:t>
      </w:r>
      <w:r w:rsidR="000B5725">
        <w:t xml:space="preserve"> and approaches,</w:t>
      </w:r>
      <w:r w:rsidR="00D559DB">
        <w:t xml:space="preserve"> and their implementation measures, including dose delivered, reach, and adaptations.</w:t>
      </w:r>
    </w:p>
    <w:p w14:paraId="6CF3A65F" w14:textId="5448CD11" w:rsidR="006D3381" w:rsidRDefault="006D3381" w:rsidP="00FF31D4">
      <w:pPr>
        <w:pStyle w:val="ListParagraph"/>
        <w:numPr>
          <w:ilvl w:val="0"/>
          <w:numId w:val="15"/>
        </w:numPr>
      </w:pPr>
      <w:r>
        <w:t>Barriers and Facilitators</w:t>
      </w:r>
      <w:r w:rsidR="00D559DB">
        <w:t xml:space="preserve"> form collects information about the factors that facilitates or hinders the recipients’ efforts.</w:t>
      </w:r>
    </w:p>
    <w:p w14:paraId="603AA659" w14:textId="29FE14AD" w:rsidR="006D3381" w:rsidRDefault="006D3381" w:rsidP="00FF31D4">
      <w:pPr>
        <w:pStyle w:val="ListParagraph"/>
        <w:numPr>
          <w:ilvl w:val="0"/>
          <w:numId w:val="15"/>
        </w:numPr>
      </w:pPr>
      <w:r>
        <w:t>Training and Technical Assistance</w:t>
      </w:r>
      <w:r w:rsidR="00D559DB" w:rsidRPr="00D559DB">
        <w:t xml:space="preserve"> </w:t>
      </w:r>
      <w:r w:rsidR="00580E04">
        <w:t xml:space="preserve">(TA) </w:t>
      </w:r>
      <w:r w:rsidR="00D559DB">
        <w:t xml:space="preserve">form collection information about the recipients’ participation in CDC training and </w:t>
      </w:r>
      <w:r w:rsidR="00580E04">
        <w:t xml:space="preserve">TA </w:t>
      </w:r>
      <w:r w:rsidR="00D559DB">
        <w:t xml:space="preserve">opportunities and about the recipients’ provisions of training and TA. </w:t>
      </w:r>
    </w:p>
    <w:p w14:paraId="1815B7C3" w14:textId="513FE2F6" w:rsidR="00D559DB" w:rsidRDefault="00D559DB" w:rsidP="00FF31D4">
      <w:pPr>
        <w:pStyle w:val="ListParagraph"/>
        <w:numPr>
          <w:ilvl w:val="0"/>
          <w:numId w:val="15"/>
        </w:numPr>
      </w:pPr>
      <w:r>
        <w:t>Evaluation form collects information about the recipients’ progress on evaluation activities and on indicators measuring the outcomes of their efforts for CE19-1902.</w:t>
      </w:r>
    </w:p>
    <w:p w14:paraId="03DAF528" w14:textId="392A0093" w:rsidR="006D3381" w:rsidRDefault="006D3381" w:rsidP="00FF31D4">
      <w:pPr>
        <w:pStyle w:val="ListParagraph"/>
        <w:numPr>
          <w:ilvl w:val="0"/>
          <w:numId w:val="15"/>
        </w:numPr>
      </w:pPr>
      <w:r>
        <w:t>Continuation Application Narrative</w:t>
      </w:r>
      <w:r w:rsidR="00D559DB">
        <w:t xml:space="preserve"> form collects narrative information about the recipients’ activities and needs for the new budget period. </w:t>
      </w:r>
    </w:p>
    <w:p w14:paraId="29AC124B" w14:textId="77777777" w:rsidR="00CE280B" w:rsidRDefault="00CE280B" w:rsidP="008F4A16">
      <w:pPr>
        <w:rPr>
          <w:color w:val="000000" w:themeColor="text1"/>
        </w:rPr>
      </w:pPr>
    </w:p>
    <w:p w14:paraId="6536C59C" w14:textId="257709F8" w:rsidR="00CE280B" w:rsidRDefault="00CE280B" w:rsidP="00CE280B">
      <w:r>
        <w:t xml:space="preserve">A crosswalk of RPE program evaluation questions and indicators is provided in </w:t>
      </w:r>
      <w:r w:rsidRPr="00CE280B">
        <w:rPr>
          <w:b/>
        </w:rPr>
        <w:t>Attachment 4</w:t>
      </w:r>
      <w:r>
        <w:t>.  Considered together, the indicators and evaluation questions holistically describe RPE activities, products, and other outcomes relating to the goals of CE19-1902.</w:t>
      </w:r>
    </w:p>
    <w:p w14:paraId="0864971C" w14:textId="77777777" w:rsidR="00CE280B" w:rsidRDefault="00CE280B" w:rsidP="008F4A16">
      <w:pPr>
        <w:rPr>
          <w:color w:val="000000" w:themeColor="text1"/>
        </w:rPr>
      </w:pPr>
    </w:p>
    <w:p w14:paraId="3BF6A8A8" w14:textId="3936AC7D" w:rsidR="008F4A16" w:rsidRDefault="008F4A16" w:rsidP="008F4A16">
      <w:pPr>
        <w:rPr>
          <w:color w:val="000000" w:themeColor="text1"/>
        </w:rPr>
      </w:pPr>
      <w:r w:rsidRPr="008F4A16">
        <w:rPr>
          <w:color w:val="000000" w:themeColor="text1"/>
        </w:rPr>
        <w:t xml:space="preserve">The RPE Program is the principal federally-funded program focused on SV primary prevention. Collecting information about the implementation and outcomes of CE19-1902 cooperative agreement through DVP Partners Portal is crucial </w:t>
      </w:r>
      <w:r>
        <w:rPr>
          <w:color w:val="000000" w:themeColor="text1"/>
        </w:rPr>
        <w:t xml:space="preserve">for CDC to analyze and synthesize information across RPE recipients </w:t>
      </w:r>
      <w:r w:rsidR="00A4408B" w:rsidRPr="00272B75">
        <w:t>for performance monitoring and program evaluation of the implementation of prevention strategies and approaches, outcomes, and budget of the cooperative agreement</w:t>
      </w:r>
      <w:r w:rsidR="00A4408B">
        <w:t>. CDC will use the information to be collected to do the following:</w:t>
      </w:r>
    </w:p>
    <w:p w14:paraId="60529531" w14:textId="01DA7F46" w:rsidR="00A4408B" w:rsidRDefault="00A4408B" w:rsidP="008F4A16">
      <w:pPr>
        <w:rPr>
          <w:color w:val="000000" w:themeColor="text1"/>
        </w:rPr>
      </w:pPr>
    </w:p>
    <w:p w14:paraId="1ED9770E" w14:textId="56EED883" w:rsidR="008F4A16" w:rsidRPr="008F4A16" w:rsidRDefault="008F4A16" w:rsidP="008F4A16">
      <w:pPr>
        <w:pStyle w:val="ListParagraph"/>
        <w:numPr>
          <w:ilvl w:val="0"/>
          <w:numId w:val="16"/>
        </w:numPr>
      </w:pPr>
      <w:r>
        <w:rPr>
          <w:color w:val="000000" w:themeColor="text1"/>
        </w:rPr>
        <w:t>E</w:t>
      </w:r>
      <w:r w:rsidRPr="008F4A16">
        <w:rPr>
          <w:color w:val="000000" w:themeColor="text1"/>
        </w:rPr>
        <w:t>nhanc</w:t>
      </w:r>
      <w:r>
        <w:rPr>
          <w:color w:val="000000" w:themeColor="text1"/>
        </w:rPr>
        <w:t>e</w:t>
      </w:r>
      <w:r w:rsidRPr="008F4A16">
        <w:rPr>
          <w:color w:val="000000" w:themeColor="text1"/>
        </w:rPr>
        <w:t xml:space="preserve"> accountability of the use of federal funds</w:t>
      </w:r>
      <w:r>
        <w:rPr>
          <w:color w:val="000000" w:themeColor="text1"/>
        </w:rPr>
        <w:t xml:space="preserve"> </w:t>
      </w:r>
    </w:p>
    <w:p w14:paraId="72DA5466" w14:textId="2647FB96" w:rsidR="008F4A16" w:rsidRPr="008F4A16" w:rsidRDefault="008F4A16" w:rsidP="008F4A16">
      <w:pPr>
        <w:pStyle w:val="ListParagraph"/>
        <w:numPr>
          <w:ilvl w:val="0"/>
          <w:numId w:val="16"/>
        </w:numPr>
      </w:pPr>
      <w:r>
        <w:rPr>
          <w:color w:val="000000" w:themeColor="text1"/>
        </w:rPr>
        <w:t>Provide t</w:t>
      </w:r>
      <w:r w:rsidRPr="008F4A16">
        <w:rPr>
          <w:color w:val="000000" w:themeColor="text1"/>
        </w:rPr>
        <w:t>imely program reports and responses to information request</w:t>
      </w:r>
      <w:r>
        <w:rPr>
          <w:color w:val="000000" w:themeColor="text1"/>
        </w:rPr>
        <w:t xml:space="preserve"> </w:t>
      </w:r>
    </w:p>
    <w:p w14:paraId="5B4E1C22" w14:textId="3A9B4BFC" w:rsidR="008F4A16" w:rsidRPr="008F4A16" w:rsidRDefault="008F4A16" w:rsidP="008F4A16">
      <w:pPr>
        <w:pStyle w:val="ListParagraph"/>
        <w:numPr>
          <w:ilvl w:val="0"/>
          <w:numId w:val="16"/>
        </w:numPr>
      </w:pPr>
      <w:r>
        <w:rPr>
          <w:color w:val="000000" w:themeColor="text1"/>
        </w:rPr>
        <w:t>I</w:t>
      </w:r>
      <w:r w:rsidRPr="008F4A16">
        <w:rPr>
          <w:color w:val="000000" w:themeColor="text1"/>
        </w:rPr>
        <w:t>mprov</w:t>
      </w:r>
      <w:r>
        <w:rPr>
          <w:color w:val="000000" w:themeColor="text1"/>
        </w:rPr>
        <w:t>e</w:t>
      </w:r>
      <w:r w:rsidRPr="008F4A16">
        <w:rPr>
          <w:color w:val="000000" w:themeColor="text1"/>
        </w:rPr>
        <w:t xml:space="preserve"> real-time communications between CDC and recipients</w:t>
      </w:r>
    </w:p>
    <w:p w14:paraId="3F20F3E2" w14:textId="41F209C2" w:rsidR="008F4A16" w:rsidRPr="008F4A16" w:rsidRDefault="008F4A16" w:rsidP="008F4A16">
      <w:pPr>
        <w:pStyle w:val="ListParagraph"/>
        <w:numPr>
          <w:ilvl w:val="0"/>
          <w:numId w:val="16"/>
        </w:numPr>
      </w:pPr>
      <w:r>
        <w:rPr>
          <w:color w:val="000000" w:themeColor="text1"/>
        </w:rPr>
        <w:t xml:space="preserve">Strengthen </w:t>
      </w:r>
      <w:r w:rsidRPr="008F4A16">
        <w:rPr>
          <w:color w:val="000000" w:themeColor="text1"/>
        </w:rPr>
        <w:t xml:space="preserve">CDC’s </w:t>
      </w:r>
      <w:r w:rsidR="000B5725">
        <w:rPr>
          <w:color w:val="000000" w:themeColor="text1"/>
        </w:rPr>
        <w:t xml:space="preserve">capacity to provide </w:t>
      </w:r>
      <w:r w:rsidRPr="008F4A16">
        <w:rPr>
          <w:color w:val="000000" w:themeColor="text1"/>
        </w:rPr>
        <w:t xml:space="preserve">responsive </w:t>
      </w:r>
      <w:r>
        <w:rPr>
          <w:color w:val="000000" w:themeColor="text1"/>
        </w:rPr>
        <w:t xml:space="preserve">and </w:t>
      </w:r>
      <w:r w:rsidRPr="008F4A16">
        <w:rPr>
          <w:color w:val="000000" w:themeColor="text1"/>
        </w:rPr>
        <w:t xml:space="preserve">data-driven </w:t>
      </w:r>
      <w:r>
        <w:rPr>
          <w:color w:val="000000" w:themeColor="text1"/>
        </w:rPr>
        <w:t xml:space="preserve">TA </w:t>
      </w:r>
    </w:p>
    <w:p w14:paraId="09CC7ED2" w14:textId="7602811B" w:rsidR="008F4A16" w:rsidRPr="00A4408B" w:rsidRDefault="008F4A16" w:rsidP="008F4A16">
      <w:pPr>
        <w:pStyle w:val="ListParagraph"/>
        <w:numPr>
          <w:ilvl w:val="0"/>
          <w:numId w:val="16"/>
        </w:numPr>
      </w:pPr>
      <w:r>
        <w:rPr>
          <w:color w:val="000000" w:themeColor="text1"/>
        </w:rPr>
        <w:t xml:space="preserve">Strengthen CDC’s </w:t>
      </w:r>
      <w:r w:rsidRPr="008F4A16">
        <w:rPr>
          <w:color w:val="000000" w:themeColor="text1"/>
        </w:rPr>
        <w:t>capacity to monitor and evaluate recipi</w:t>
      </w:r>
      <w:r w:rsidR="00A4408B">
        <w:rPr>
          <w:color w:val="000000" w:themeColor="text1"/>
        </w:rPr>
        <w:t>ents’ progress and performance</w:t>
      </w:r>
      <w:r w:rsidR="000B5725" w:rsidRPr="000B5725">
        <w:rPr>
          <w:color w:val="000000" w:themeColor="text1"/>
        </w:rPr>
        <w:t xml:space="preserve"> </w:t>
      </w:r>
      <w:r w:rsidR="000B5725">
        <w:rPr>
          <w:color w:val="000000" w:themeColor="text1"/>
        </w:rPr>
        <w:t>towards activities required as part of the cooperative agreement</w:t>
      </w:r>
    </w:p>
    <w:p w14:paraId="393C5FF9" w14:textId="77777777" w:rsidR="000B5725" w:rsidRDefault="000B5725" w:rsidP="000B5725">
      <w:pPr>
        <w:pStyle w:val="ListParagraph"/>
        <w:numPr>
          <w:ilvl w:val="0"/>
          <w:numId w:val="16"/>
        </w:numPr>
      </w:pPr>
      <w:r>
        <w:t>Allow both CDC and recipients to track their own state activities and outcomes, and ensure alignment between their state and local activities</w:t>
      </w:r>
    </w:p>
    <w:p w14:paraId="352D87F7" w14:textId="77777777" w:rsidR="000B5725" w:rsidRPr="000B5725" w:rsidRDefault="000B5725" w:rsidP="000B5725">
      <w:pPr>
        <w:pStyle w:val="ListParagraph"/>
        <w:numPr>
          <w:ilvl w:val="0"/>
          <w:numId w:val="16"/>
        </w:numPr>
      </w:pPr>
      <w:r w:rsidRPr="000B5725">
        <w:rPr>
          <w:color w:val="000000" w:themeColor="text1"/>
        </w:rPr>
        <w:t>Generate a variety of routine and customizable reports specifically for each recipients and in aggregate nationally for CDC stakeholders</w:t>
      </w:r>
      <w:r w:rsidR="00A4408B" w:rsidRPr="000B5725">
        <w:rPr>
          <w:color w:val="000000" w:themeColor="text1"/>
        </w:rPr>
        <w:t xml:space="preserve"> </w:t>
      </w:r>
      <w:r>
        <w:rPr>
          <w:color w:val="000000" w:themeColor="text1"/>
        </w:rPr>
        <w:t xml:space="preserve"> </w:t>
      </w:r>
    </w:p>
    <w:p w14:paraId="078EE243" w14:textId="1901C475" w:rsidR="006F21C4" w:rsidRDefault="006F21C4" w:rsidP="00860BDD"/>
    <w:p w14:paraId="11D5E596" w14:textId="56DFBAE4" w:rsidR="00980E79" w:rsidRDefault="00980E79" w:rsidP="00980E79">
      <w:r>
        <w:t>CDC will also be able to i</w:t>
      </w:r>
      <w:r>
        <w:rPr>
          <w:color w:val="000000" w:themeColor="text1"/>
        </w:rPr>
        <w:t xml:space="preserve">nform </w:t>
      </w:r>
      <w:r w:rsidRPr="008F4A16">
        <w:rPr>
          <w:color w:val="000000" w:themeColor="text1"/>
        </w:rPr>
        <w:t>SV prevention nationally</w:t>
      </w:r>
      <w:r>
        <w:rPr>
          <w:color w:val="000000" w:themeColor="text1"/>
        </w:rPr>
        <w:t xml:space="preserve"> and RPE Program’s impact on SV outcomes over time. </w:t>
      </w:r>
      <w:r>
        <w:t xml:space="preserve">RPE recipients can use </w:t>
      </w:r>
      <w:r w:rsidRPr="00980E79">
        <w:t xml:space="preserve">the </w:t>
      </w:r>
      <w:r>
        <w:t xml:space="preserve">reports generated </w:t>
      </w:r>
      <w:r w:rsidRPr="00980E79">
        <w:t>to manage and coordinate their activities</w:t>
      </w:r>
      <w:r>
        <w:t>,</w:t>
      </w:r>
      <w:r w:rsidRPr="00980E79">
        <w:t xml:space="preserve"> and to improve their efforts</w:t>
      </w:r>
      <w:r>
        <w:t xml:space="preserve">. Both CDC and RPE recipients will be able to use the information collected to </w:t>
      </w:r>
    </w:p>
    <w:p w14:paraId="60119B89" w14:textId="77777777" w:rsidR="00980E79" w:rsidRPr="00980E79" w:rsidRDefault="00980E79" w:rsidP="00980E79"/>
    <w:p w14:paraId="468E2D2D" w14:textId="27C8999D" w:rsidR="00B30DEE" w:rsidRDefault="00B30DEE" w:rsidP="00980E79">
      <w:pPr>
        <w:pStyle w:val="ListParagraph"/>
        <w:numPr>
          <w:ilvl w:val="0"/>
          <w:numId w:val="7"/>
        </w:numPr>
      </w:pPr>
      <w:r>
        <w:t xml:space="preserve">Assess </w:t>
      </w:r>
      <w:r w:rsidRPr="00FC1170">
        <w:t>the increased emphasis on strategies that affect health outcomes and impact</w:t>
      </w:r>
      <w:r>
        <w:t>, especially at the community level</w:t>
      </w:r>
    </w:p>
    <w:p w14:paraId="3A4FFAA9" w14:textId="74F06CE3" w:rsidR="00980E79" w:rsidRDefault="00980E79" w:rsidP="00980E79">
      <w:pPr>
        <w:pStyle w:val="ListParagraph"/>
        <w:numPr>
          <w:ilvl w:val="0"/>
          <w:numId w:val="7"/>
        </w:numPr>
      </w:pPr>
      <w:r>
        <w:t>Identify facilitators and barriers to program implementation and the achievement of outcomes</w:t>
      </w:r>
    </w:p>
    <w:p w14:paraId="7FF5B3DB" w14:textId="2C8284AC" w:rsidR="00980E79" w:rsidRDefault="00980E79" w:rsidP="00980E79">
      <w:pPr>
        <w:pStyle w:val="ListParagraph"/>
        <w:numPr>
          <w:ilvl w:val="0"/>
          <w:numId w:val="7"/>
        </w:numPr>
      </w:pPr>
      <w:r>
        <w:t xml:space="preserve">Assess factors and partnerships critical to successful primary prevention of SV </w:t>
      </w:r>
    </w:p>
    <w:p w14:paraId="42CD749B" w14:textId="77777777" w:rsidR="009F2A6C" w:rsidRDefault="00980E79" w:rsidP="009F2A6C">
      <w:pPr>
        <w:pStyle w:val="ListParagraph"/>
        <w:numPr>
          <w:ilvl w:val="0"/>
          <w:numId w:val="7"/>
        </w:numPr>
      </w:pPr>
      <w:r>
        <w:t xml:space="preserve">Identify trends and assess the impact of the program on outcomes across all recipients </w:t>
      </w:r>
    </w:p>
    <w:p w14:paraId="4BF75E06" w14:textId="4E7656C0" w:rsidR="00980E79" w:rsidRDefault="00980E79" w:rsidP="009F2A6C">
      <w:pPr>
        <w:pStyle w:val="ListParagraph"/>
        <w:numPr>
          <w:ilvl w:val="0"/>
          <w:numId w:val="7"/>
        </w:numPr>
      </w:pPr>
      <w:r>
        <w:t>Identify, translate, and disseminate information about the successes of the RPE recipients and their implementation of preve</w:t>
      </w:r>
      <w:r w:rsidR="00A36A29">
        <w:t>ntion strategies and approaches.</w:t>
      </w:r>
    </w:p>
    <w:p w14:paraId="2CEAD81F" w14:textId="77777777" w:rsidR="00A36A29" w:rsidRDefault="00A36A29" w:rsidP="00A36A29">
      <w:pPr>
        <w:pStyle w:val="ListParagraph"/>
      </w:pPr>
    </w:p>
    <w:p w14:paraId="08E5A12C" w14:textId="64653CAD" w:rsidR="009073A3" w:rsidRDefault="00980E79" w:rsidP="009073A3">
      <w:r>
        <w:t>Using the information to be collected can help CDC and the RPE recipients reduce duplication of effort, enhance program impact, maximize use of federal funds, and improve future efforts</w:t>
      </w:r>
      <w:r w:rsidR="009073A3">
        <w:t xml:space="preserve">. </w:t>
      </w:r>
      <w:r w:rsidR="009073A3" w:rsidRPr="00FC1170">
        <w:t xml:space="preserve">These functions are central to the NCIPC’s broad mission of protecting Americans from violence and injury threats. </w:t>
      </w:r>
    </w:p>
    <w:p w14:paraId="1AD5A413" w14:textId="77777777" w:rsidR="00A36A29" w:rsidRDefault="00A36A29" w:rsidP="009073A3"/>
    <w:p w14:paraId="06A415A0" w14:textId="6DC072BF" w:rsidR="00A36A29" w:rsidRPr="00A36A29" w:rsidRDefault="00A36A29" w:rsidP="00A36A29">
      <w:pPr>
        <w:rPr>
          <w:iCs/>
        </w:rPr>
      </w:pPr>
      <w:r w:rsidRPr="00A36A29">
        <w:rPr>
          <w:bCs/>
        </w:rPr>
        <w:t>An</w:t>
      </w:r>
      <w:r w:rsidRPr="00A36A29">
        <w:rPr>
          <w:iCs/>
        </w:rPr>
        <w:t xml:space="preserve"> Annual Federal Financial Report is also required to be submitted to OFR separately by grantees.  This report is not required, developed, or reviewed by CDC</w:t>
      </w:r>
      <w:r w:rsidRPr="00A36A29">
        <w:rPr>
          <w:iCs/>
          <w:color w:val="1F497D"/>
        </w:rPr>
        <w:t>-</w:t>
      </w:r>
      <w:r w:rsidRPr="00A36A29">
        <w:rPr>
          <w:iCs/>
        </w:rPr>
        <w:t>NCIPC program staff as part of any evaluation and performance monitoring.  It is handled by OFR as part of its grants financial management responsibilities.  As such, it is not included as part of this request.</w:t>
      </w:r>
    </w:p>
    <w:p w14:paraId="5FDE5D96" w14:textId="77777777" w:rsidR="00A36A29" w:rsidRPr="00A36A29" w:rsidRDefault="00A36A29" w:rsidP="00A36A29">
      <w:pPr>
        <w:pStyle w:val="ListParagraph"/>
      </w:pPr>
    </w:p>
    <w:p w14:paraId="70B921C0" w14:textId="77777777" w:rsidR="00A36A29" w:rsidRDefault="00A36A29" w:rsidP="00A36A29"/>
    <w:p w14:paraId="3C56DC1D" w14:textId="77777777" w:rsidR="00A36A29" w:rsidRPr="00FB2E46" w:rsidRDefault="00A36A29" w:rsidP="009073A3">
      <w:pPr>
        <w:rPr>
          <w:color w:val="000000" w:themeColor="text1"/>
        </w:rPr>
      </w:pPr>
    </w:p>
    <w:p w14:paraId="3F050FE5" w14:textId="77777777" w:rsidR="009073A3" w:rsidRDefault="009073A3" w:rsidP="00860BDD"/>
    <w:p w14:paraId="01118099" w14:textId="77777777" w:rsidR="00860BDD" w:rsidRDefault="00860BDD" w:rsidP="00860BDD">
      <w:pPr>
        <w:pStyle w:val="Heading2"/>
      </w:pPr>
      <w:bookmarkStart w:id="6" w:name="_Toc7592384"/>
      <w:r>
        <w:t>A.3. Use of Improved Information Technology and Burden Reduction</w:t>
      </w:r>
      <w:bookmarkEnd w:id="6"/>
    </w:p>
    <w:p w14:paraId="628F9FF5" w14:textId="3D9FE2B0" w:rsidR="00792294" w:rsidRDefault="00952A81" w:rsidP="00FB428F">
      <w:r>
        <w:t xml:space="preserve">The </w:t>
      </w:r>
      <w:r w:rsidR="00FB428F">
        <w:t xml:space="preserve">data entry interface </w:t>
      </w:r>
      <w:r>
        <w:t xml:space="preserve">of the DVP Partners Portal was developed </w:t>
      </w:r>
      <w:r w:rsidR="00FB428F" w:rsidRPr="0085100A">
        <w:t xml:space="preserve">using </w:t>
      </w:r>
      <w:r w:rsidR="00FB428F" w:rsidRPr="00A41E21">
        <w:t>DVP-owned, Microsoft Azure</w:t>
      </w:r>
      <w:r w:rsidR="0043131B">
        <w:t>,</w:t>
      </w:r>
      <w:r w:rsidR="00FB428F" w:rsidRPr="00A41E21">
        <w:t xml:space="preserve"> </w:t>
      </w:r>
      <w:r w:rsidR="00F376B8" w:rsidRPr="00A41E21">
        <w:t>and Platform</w:t>
      </w:r>
      <w:r w:rsidR="00FB428F" w:rsidRPr="00A41E21">
        <w:t xml:space="preserve"> as </w:t>
      </w:r>
      <w:r w:rsidR="00FB428F">
        <w:t>a Service (PaaS) cloud solution</w:t>
      </w:r>
      <w:r w:rsidR="00B74139">
        <w:t xml:space="preserve"> approved for use by CDC programs</w:t>
      </w:r>
      <w:r w:rsidR="00FB428F" w:rsidRPr="00A41E21">
        <w:t>.</w:t>
      </w:r>
      <w:r w:rsidR="00FB428F" w:rsidRPr="0085100A">
        <w:t xml:space="preserve"> </w:t>
      </w:r>
      <w:r w:rsidR="00792294">
        <w:t xml:space="preserve">The use of </w:t>
      </w:r>
      <w:r w:rsidR="00402200">
        <w:t>DVP Partners Portal</w:t>
      </w:r>
      <w:r w:rsidR="00792294">
        <w:t xml:space="preserve"> facilitates several advantages: </w:t>
      </w:r>
    </w:p>
    <w:p w14:paraId="4F80D869" w14:textId="77777777" w:rsidR="00792294" w:rsidRDefault="00792294" w:rsidP="00FB428F"/>
    <w:p w14:paraId="69BCC948" w14:textId="07479F6D" w:rsidR="00952A81" w:rsidRDefault="00952A81" w:rsidP="00FB428F">
      <w:pPr>
        <w:pStyle w:val="ListParagraph"/>
        <w:numPr>
          <w:ilvl w:val="0"/>
          <w:numId w:val="17"/>
        </w:numPr>
      </w:pPr>
      <w:r>
        <w:t xml:space="preserve">This </w:t>
      </w:r>
      <w:r w:rsidR="00FB428F" w:rsidRPr="0085100A">
        <w:t>user-friendly</w:t>
      </w:r>
      <w:r w:rsidR="00FB428F">
        <w:t xml:space="preserve"> online</w:t>
      </w:r>
      <w:r w:rsidR="00FB428F" w:rsidRPr="0085100A">
        <w:t xml:space="preserve"> interface require</w:t>
      </w:r>
      <w:r>
        <w:t>s</w:t>
      </w:r>
      <w:r w:rsidR="00FB428F" w:rsidRPr="0085100A">
        <w:t xml:space="preserve"> little training and will </w:t>
      </w:r>
      <w:r w:rsidR="00FB428F">
        <w:t>be easy</w:t>
      </w:r>
      <w:r w:rsidR="00FB428F" w:rsidRPr="0085100A">
        <w:t xml:space="preserve"> and intuitive for </w:t>
      </w:r>
      <w:r w:rsidR="00FB428F">
        <w:t>recipients</w:t>
      </w:r>
      <w:r w:rsidR="00FB428F" w:rsidRPr="0085100A">
        <w:t xml:space="preserve"> to use</w:t>
      </w:r>
      <w:r>
        <w:t xml:space="preserve"> to enter data for the information collection</w:t>
      </w:r>
      <w:r w:rsidR="00FB428F" w:rsidRPr="0085100A">
        <w:t>.</w:t>
      </w:r>
    </w:p>
    <w:p w14:paraId="78EDEE0E" w14:textId="616B5D7C" w:rsidR="00792294" w:rsidRDefault="00792294" w:rsidP="009457AB">
      <w:pPr>
        <w:pStyle w:val="ListParagraph"/>
        <w:numPr>
          <w:ilvl w:val="0"/>
          <w:numId w:val="17"/>
        </w:numPr>
      </w:pPr>
      <w:r>
        <w:t xml:space="preserve">Standard data elements, definitions, and specifications </w:t>
      </w:r>
      <w:r w:rsidR="00980E79" w:rsidRPr="0085100A">
        <w:t xml:space="preserve">at all levels </w:t>
      </w:r>
      <w:r>
        <w:t xml:space="preserve">improve </w:t>
      </w:r>
      <w:r w:rsidR="00980E79" w:rsidRPr="0085100A">
        <w:t xml:space="preserve">the quality and comparability of </w:t>
      </w:r>
      <w:r w:rsidR="00980E79">
        <w:t xml:space="preserve">information </w:t>
      </w:r>
      <w:r>
        <w:t xml:space="preserve">that recipients submit, and </w:t>
      </w:r>
      <w:r w:rsidR="00980E79" w:rsidRPr="0085100A">
        <w:t xml:space="preserve">enhance the consistency of </w:t>
      </w:r>
      <w:r>
        <w:t xml:space="preserve">reports to examine information across recipients. </w:t>
      </w:r>
    </w:p>
    <w:p w14:paraId="7FF0009B" w14:textId="243A912C" w:rsidR="005D674B" w:rsidRDefault="00792294" w:rsidP="009457AB">
      <w:pPr>
        <w:pStyle w:val="ListParagraph"/>
        <w:numPr>
          <w:ilvl w:val="0"/>
          <w:numId w:val="17"/>
        </w:numPr>
        <w:tabs>
          <w:tab w:val="num" w:pos="720"/>
        </w:tabs>
      </w:pPr>
      <w:r>
        <w:t xml:space="preserve">The structure of the data collection in </w:t>
      </w:r>
      <w:r w:rsidR="00402200">
        <w:t>DVP Partners Portal</w:t>
      </w:r>
      <w:r>
        <w:t xml:space="preserve"> </w:t>
      </w:r>
      <w:r w:rsidR="00190D7E" w:rsidRPr="00190D7E">
        <w:t xml:space="preserve">is flexible </w:t>
      </w:r>
      <w:r>
        <w:t xml:space="preserve">such that different recipients are still able to capture and report information relevant to their </w:t>
      </w:r>
      <w:r w:rsidR="00190D7E" w:rsidRPr="00190D7E">
        <w:t xml:space="preserve">program context and structure. </w:t>
      </w:r>
    </w:p>
    <w:p w14:paraId="12FB1716" w14:textId="322F2FEC" w:rsidR="009073A3" w:rsidRDefault="009073A3" w:rsidP="009073A3">
      <w:pPr>
        <w:pStyle w:val="ListParagraph"/>
        <w:numPr>
          <w:ilvl w:val="0"/>
          <w:numId w:val="17"/>
        </w:numPr>
      </w:pPr>
      <w:r>
        <w:t>The ability to carry information and populate from one reporting period to the next increases the efficiency of data entry, reduces errors and redundancies, and therefore increases the quality and reliability of information that recipients submit each year</w:t>
      </w:r>
      <w:r w:rsidRPr="0085100A">
        <w:t xml:space="preserve">. </w:t>
      </w:r>
    </w:p>
    <w:p w14:paraId="574E42A1" w14:textId="5B1D3C2E" w:rsidR="009073A3" w:rsidRDefault="009073A3" w:rsidP="009073A3"/>
    <w:p w14:paraId="4FED101E" w14:textId="1287D10E" w:rsidR="00792294" w:rsidRDefault="00B74139" w:rsidP="00792294">
      <w:r>
        <w:t xml:space="preserve">One advantage of the DVP Partners Portal is that recipients can generate reports directly from the system, which </w:t>
      </w:r>
      <w:r w:rsidR="009073A3">
        <w:t>allow</w:t>
      </w:r>
      <w:r>
        <w:t>s</w:t>
      </w:r>
      <w:r w:rsidR="009073A3">
        <w:t xml:space="preserve"> r</w:t>
      </w:r>
      <w:r w:rsidR="00792294">
        <w:t xml:space="preserve">ecipients </w:t>
      </w:r>
      <w:r w:rsidR="009073A3">
        <w:t xml:space="preserve">to </w:t>
      </w:r>
      <w:r w:rsidR="00792294">
        <w:t xml:space="preserve">fulfill their annual reporting obligations efficiently by submitting </w:t>
      </w:r>
      <w:r w:rsidR="000B5725" w:rsidRPr="0085100A">
        <w:t>necessary information for both progress reports and continuation applications</w:t>
      </w:r>
      <w:r w:rsidR="00792294">
        <w:t xml:space="preserve"> into the system once. </w:t>
      </w:r>
      <w:r w:rsidR="009073A3">
        <w:t xml:space="preserve">Recipients will be able to generate a PDF report that can be uploaded </w:t>
      </w:r>
      <w:r w:rsidR="00792294" w:rsidRPr="0085100A">
        <w:t>to Grant</w:t>
      </w:r>
      <w:r w:rsidR="009073A3">
        <w:t xml:space="preserve"> </w:t>
      </w:r>
      <w:r w:rsidR="00792294" w:rsidRPr="0085100A">
        <w:t xml:space="preserve">Solutions to satisfy </w:t>
      </w:r>
      <w:r w:rsidR="00792294">
        <w:t xml:space="preserve">funding annual </w:t>
      </w:r>
      <w:r w:rsidR="00792294" w:rsidRPr="0085100A">
        <w:t xml:space="preserve">reporting </w:t>
      </w:r>
      <w:r w:rsidR="009073A3">
        <w:t xml:space="preserve">and non-competing continuation application </w:t>
      </w:r>
      <w:r w:rsidR="00792294" w:rsidRPr="0085100A">
        <w:t>requirements.</w:t>
      </w:r>
    </w:p>
    <w:p w14:paraId="43BFC437" w14:textId="476E12AD" w:rsidR="009073A3" w:rsidRDefault="009073A3" w:rsidP="00792294"/>
    <w:p w14:paraId="250FEE72" w14:textId="05F7DCF1" w:rsidR="009073A3" w:rsidRDefault="009073A3" w:rsidP="009073A3">
      <w:r>
        <w:t xml:space="preserve">Moreover, this ability to </w:t>
      </w:r>
      <w:r w:rsidR="000B5725" w:rsidRPr="0085100A">
        <w:t xml:space="preserve">save </w:t>
      </w:r>
      <w:r w:rsidR="000B5725">
        <w:t xml:space="preserve">and update </w:t>
      </w:r>
      <w:r w:rsidR="000B5725" w:rsidRPr="0085100A">
        <w:t>pertinent information from one reporting period to the next, will reduce the administrative burden o</w:t>
      </w:r>
      <w:r w:rsidR="000B5725">
        <w:t>f</w:t>
      </w:r>
      <w:r w:rsidR="000B5725" w:rsidRPr="0085100A">
        <w:t xml:space="preserve"> the </w:t>
      </w:r>
      <w:r>
        <w:t>annual reporting on recipients, and the review process on both recipients and CDC staff</w:t>
      </w:r>
      <w:r w:rsidR="000B5725" w:rsidRPr="0085100A">
        <w:t xml:space="preserve">. </w:t>
      </w:r>
      <w:r>
        <w:t>Respondents will only need to modify or update the information, report data on measures, provide updates, or add new items as applicable.</w:t>
      </w:r>
    </w:p>
    <w:p w14:paraId="47D40DE4" w14:textId="77777777" w:rsidR="009073A3" w:rsidRDefault="009073A3" w:rsidP="009073A3"/>
    <w:p w14:paraId="50BAA8FA" w14:textId="77777777" w:rsidR="009073A3" w:rsidRDefault="009073A3" w:rsidP="009073A3">
      <w:r w:rsidRPr="00435E0F">
        <w:t>This information and data collection system assures compliance with the Government Paperwork Elimination Act (GPEA), Public Law 105-277, title XVII, 1998, lowers the burden to the respondents, as compared to paper-based systems, allows respondents to submit information to CDC electronically, and provides capabilities for CDC</w:t>
      </w:r>
      <w:r w:rsidRPr="00FF334A">
        <w:t xml:space="preserve"> to maintain records electronically.</w:t>
      </w:r>
    </w:p>
    <w:p w14:paraId="2033320A" w14:textId="7D8E9AC2" w:rsidR="000B5725" w:rsidRDefault="000B5725" w:rsidP="00FB428F">
      <w:pPr>
        <w:rPr>
          <w:color w:val="000000" w:themeColor="text1"/>
        </w:rPr>
      </w:pPr>
    </w:p>
    <w:p w14:paraId="2054475A" w14:textId="0754042D" w:rsidR="00792294" w:rsidRDefault="00792294" w:rsidP="00792294">
      <w:r w:rsidRPr="0085100A">
        <w:t>Finally, the capabilities of the</w:t>
      </w:r>
      <w:r>
        <w:t xml:space="preserve"> </w:t>
      </w:r>
      <w:r w:rsidR="009073A3">
        <w:t xml:space="preserve">data </w:t>
      </w:r>
      <w:r>
        <w:t>system</w:t>
      </w:r>
      <w:r w:rsidRPr="0085100A">
        <w:t xml:space="preserve"> </w:t>
      </w:r>
      <w:r w:rsidR="009073A3">
        <w:t xml:space="preserve">to generate reports </w:t>
      </w:r>
      <w:r w:rsidRPr="0085100A">
        <w:t xml:space="preserve">will reduce the burden associated with paper-based reports. Without the reporting </w:t>
      </w:r>
      <w:r>
        <w:t>system</w:t>
      </w:r>
      <w:r w:rsidRPr="0085100A">
        <w:t xml:space="preserve"> and the integrated approach to information collection and reporting, </w:t>
      </w:r>
      <w:r>
        <w:t>both recipients</w:t>
      </w:r>
      <w:r w:rsidRPr="0085100A">
        <w:t xml:space="preserve"> and CDC would need to continue to use time consuming, labor</w:t>
      </w:r>
      <w:r>
        <w:t>-</w:t>
      </w:r>
      <w:r w:rsidRPr="0085100A">
        <w:t xml:space="preserve">intensive </w:t>
      </w:r>
      <w:r>
        <w:t xml:space="preserve">information collection and reporting </w:t>
      </w:r>
      <w:r w:rsidRPr="0085100A">
        <w:t>procedures</w:t>
      </w:r>
      <w:r>
        <w:t xml:space="preserve">. </w:t>
      </w:r>
    </w:p>
    <w:p w14:paraId="62D4026E" w14:textId="19A5AC17" w:rsidR="00792294" w:rsidRDefault="00792294" w:rsidP="00FB428F">
      <w:pPr>
        <w:rPr>
          <w:color w:val="000000" w:themeColor="text1"/>
        </w:rPr>
      </w:pPr>
    </w:p>
    <w:p w14:paraId="4F3685F5" w14:textId="62503FC5" w:rsidR="00792294" w:rsidRDefault="00402200" w:rsidP="00396878">
      <w:r>
        <w:t>DVP Partners Portal</w:t>
      </w:r>
      <w:r w:rsidR="009073A3">
        <w:t xml:space="preserve"> </w:t>
      </w:r>
      <w:r w:rsidR="009073A3" w:rsidRPr="00490032">
        <w:t xml:space="preserve">will enable collection and reporting of the information in an efficient, standardized, and user-friendly manner that will be used to generate a variety of routine and customizable reports. </w:t>
      </w:r>
      <w:r w:rsidR="009073A3">
        <w:t xml:space="preserve">CDC </w:t>
      </w:r>
      <w:r w:rsidR="00792294" w:rsidRPr="00490032">
        <w:t xml:space="preserve">will also have the capacity to generate </w:t>
      </w:r>
      <w:r w:rsidR="009073A3">
        <w:t xml:space="preserve">timely </w:t>
      </w:r>
      <w:r w:rsidR="007A213E">
        <w:t xml:space="preserve">national program </w:t>
      </w:r>
      <w:r w:rsidR="00792294" w:rsidRPr="00490032">
        <w:t xml:space="preserve">reports that describe </w:t>
      </w:r>
      <w:r w:rsidR="007A213E">
        <w:t xml:space="preserve">the RPE Program activities and their outcomes </w:t>
      </w:r>
      <w:r w:rsidR="009073A3">
        <w:t xml:space="preserve">for recipients and for response </w:t>
      </w:r>
      <w:r w:rsidR="00792294" w:rsidRPr="00490032">
        <w:t xml:space="preserve">to inquiries from HHS, the White House, Congress and other stakeholders.  </w:t>
      </w:r>
    </w:p>
    <w:p w14:paraId="39FF1461" w14:textId="1970B053" w:rsidR="009457AB" w:rsidRDefault="009457AB" w:rsidP="00396878"/>
    <w:p w14:paraId="13292337" w14:textId="3BAB410F" w:rsidR="009457AB" w:rsidRDefault="009457AB" w:rsidP="00396878">
      <w:r>
        <w:t xml:space="preserve">An additional advantage of using the </w:t>
      </w:r>
      <w:r w:rsidR="00402200">
        <w:t>DVP Partners Portal</w:t>
      </w:r>
      <w:r w:rsidR="00BE5051">
        <w:t xml:space="preserve"> is that recipients that received funding from multiple DVP programs can access and report information in one place using forms in a standard format.</w:t>
      </w:r>
    </w:p>
    <w:p w14:paraId="155A4329" w14:textId="14302C52" w:rsidR="00792294" w:rsidRDefault="00792294" w:rsidP="00792294">
      <w:pPr>
        <w:rPr>
          <w:color w:val="000000" w:themeColor="text1"/>
        </w:rPr>
      </w:pPr>
    </w:p>
    <w:p w14:paraId="7AB1330C" w14:textId="77777777" w:rsidR="00C65166" w:rsidRDefault="00C65166" w:rsidP="00C65166">
      <w:pPr>
        <w:pStyle w:val="Heading2"/>
      </w:pPr>
      <w:bookmarkStart w:id="7" w:name="_Toc7592385"/>
      <w:r>
        <w:t>A.4. Efforts to Identify Duplication and Use of Similar Information</w:t>
      </w:r>
      <w:bookmarkEnd w:id="7"/>
    </w:p>
    <w:p w14:paraId="5B1A6DA8" w14:textId="33EBA3C8" w:rsidR="00AD0F3F" w:rsidRDefault="00FB428F" w:rsidP="00FB428F">
      <w:r w:rsidRPr="0085100A">
        <w:t xml:space="preserve">Since CDC is the only federal agency providing funding for state and territorial health departments to conduct </w:t>
      </w:r>
      <w:r>
        <w:t xml:space="preserve">SV </w:t>
      </w:r>
      <w:r w:rsidR="00952A81">
        <w:t>primary prevention</w:t>
      </w:r>
      <w:r w:rsidRPr="0085100A">
        <w:t>, the informa</w:t>
      </w:r>
      <w:r>
        <w:t xml:space="preserve">tion </w:t>
      </w:r>
      <w:r w:rsidR="00952A81">
        <w:t xml:space="preserve">to be </w:t>
      </w:r>
      <w:r>
        <w:t>collected from RPE recipients</w:t>
      </w:r>
      <w:r w:rsidRPr="0085100A">
        <w:t xml:space="preserve"> is not available from other sources. This information is specific to the RPE Program</w:t>
      </w:r>
      <w:r w:rsidR="002A1A90">
        <w:t xml:space="preserve"> and for the </w:t>
      </w:r>
      <w:r w:rsidRPr="0085100A">
        <w:t xml:space="preserve">funds received by </w:t>
      </w:r>
      <w:r>
        <w:t>recipients</w:t>
      </w:r>
      <w:r w:rsidR="00952A81">
        <w:t xml:space="preserve"> through the cooperative agreement</w:t>
      </w:r>
      <w:r w:rsidRPr="0085100A">
        <w:t xml:space="preserve">. The </w:t>
      </w:r>
      <w:r w:rsidR="00402200">
        <w:t>DVP Partners Portal</w:t>
      </w:r>
      <w:r w:rsidR="002A1A90">
        <w:t xml:space="preserve"> facilitate</w:t>
      </w:r>
      <w:r w:rsidR="00510DE2">
        <w:t>s the</w:t>
      </w:r>
      <w:r w:rsidR="002A1A90">
        <w:t xml:space="preserve"> consolidation of </w:t>
      </w:r>
      <w:r w:rsidRPr="0085100A">
        <w:t xml:space="preserve">information </w:t>
      </w:r>
      <w:r w:rsidR="00952A81">
        <w:t>required for multiple purposes (e.g., annual progress reporting, continuation application, and monitoring and evaluation reporting)</w:t>
      </w:r>
      <w:r w:rsidR="00AD0F3F">
        <w:t xml:space="preserve"> </w:t>
      </w:r>
      <w:r w:rsidR="00952A81">
        <w:t xml:space="preserve">to be </w:t>
      </w:r>
      <w:r w:rsidR="00AD0F3F">
        <w:t xml:space="preserve">entered </w:t>
      </w:r>
      <w:r w:rsidR="00952A81">
        <w:t xml:space="preserve">only </w:t>
      </w:r>
      <w:r w:rsidR="00AD0F3F">
        <w:t>once</w:t>
      </w:r>
      <w:r w:rsidR="00952A81">
        <w:t xml:space="preserve">. Information collected will be used </w:t>
      </w:r>
      <w:r w:rsidRPr="0085100A">
        <w:t>to generate multiple types of reports withou</w:t>
      </w:r>
      <w:r w:rsidR="00AD0F3F">
        <w:t xml:space="preserve">t having to duplicate efforts. </w:t>
      </w:r>
    </w:p>
    <w:p w14:paraId="75AE4F3B" w14:textId="77777777" w:rsidR="00AD0F3F" w:rsidRDefault="00AD0F3F" w:rsidP="00FB428F"/>
    <w:p w14:paraId="4F02ACF6" w14:textId="4292E9CF" w:rsidR="00FB428F" w:rsidRPr="0085100A" w:rsidRDefault="00FB428F" w:rsidP="00FB428F">
      <w:r w:rsidRPr="0085100A">
        <w:t xml:space="preserve">As CDC’s primary </w:t>
      </w:r>
      <w:r>
        <w:t>SV</w:t>
      </w:r>
      <w:r w:rsidRPr="0085100A">
        <w:t xml:space="preserve"> prevention initiative, RPE occupies a unique niche within the larger scope of HHS violence prevention initiatives. The U.S. Department of Justice, Office of Violence against Women (OVW) makes funding available to territorial domestic and </w:t>
      </w:r>
      <w:r>
        <w:t>SV</w:t>
      </w:r>
      <w:r w:rsidRPr="0085100A">
        <w:t xml:space="preserve"> coalitions to focus on victim service provision for individuals. The </w:t>
      </w:r>
      <w:r w:rsidR="00952A81">
        <w:t xml:space="preserve">funding for the </w:t>
      </w:r>
      <w:r w:rsidRPr="0085100A">
        <w:t xml:space="preserve">CDC RPE </w:t>
      </w:r>
      <w:r w:rsidR="00952A81">
        <w:t>Program cooperative agreement</w:t>
      </w:r>
      <w:r w:rsidRPr="0085100A">
        <w:t xml:space="preserve">, however, </w:t>
      </w:r>
      <w:r w:rsidR="00510DE2">
        <w:t>may</w:t>
      </w:r>
      <w:r w:rsidRPr="0085100A">
        <w:t xml:space="preserve"> only be used for </w:t>
      </w:r>
      <w:r w:rsidR="00510DE2">
        <w:t xml:space="preserve">SV </w:t>
      </w:r>
      <w:r w:rsidRPr="0085100A">
        <w:t xml:space="preserve">prevention and cannot be used to fund victim services; therefore, </w:t>
      </w:r>
      <w:r>
        <w:t>information collected from RPE recipients</w:t>
      </w:r>
      <w:r w:rsidRPr="0085100A">
        <w:t xml:space="preserve"> will not duplicate information collected from OVW </w:t>
      </w:r>
      <w:r w:rsidR="009065F5">
        <w:t>recipient</w:t>
      </w:r>
      <w:r w:rsidRPr="0085100A">
        <w:t xml:space="preserve">s. </w:t>
      </w:r>
    </w:p>
    <w:p w14:paraId="4D3177D7" w14:textId="77777777" w:rsidR="00C65166" w:rsidRDefault="00C65166" w:rsidP="00C65166"/>
    <w:p w14:paraId="7DCF5329" w14:textId="77777777" w:rsidR="00C65166" w:rsidRDefault="00C65166" w:rsidP="00C65166">
      <w:pPr>
        <w:pStyle w:val="Heading2"/>
      </w:pPr>
      <w:bookmarkStart w:id="8" w:name="_Toc7592386"/>
      <w:r>
        <w:t>A.5. Impact on Small Businesses or Other Small Entities</w:t>
      </w:r>
      <w:bookmarkEnd w:id="8"/>
    </w:p>
    <w:p w14:paraId="0CC8F5E3" w14:textId="77777777" w:rsidR="00C65166" w:rsidRDefault="00C65166" w:rsidP="00C65166">
      <w:r w:rsidRPr="00C65166">
        <w:t>No small businesses will be involved in this data collection.</w:t>
      </w:r>
    </w:p>
    <w:p w14:paraId="148DAD08" w14:textId="77777777" w:rsidR="00C65166" w:rsidRDefault="00C65166" w:rsidP="00C65166"/>
    <w:p w14:paraId="1A33BBCA" w14:textId="77777777" w:rsidR="00C65166" w:rsidRDefault="00C65166" w:rsidP="00C65166">
      <w:pPr>
        <w:pStyle w:val="Heading2"/>
      </w:pPr>
      <w:bookmarkStart w:id="9" w:name="_Toc7592387"/>
      <w:r>
        <w:t>A.6. Consequences of Collecting the Information Less Frequently</w:t>
      </w:r>
      <w:bookmarkEnd w:id="9"/>
    </w:p>
    <w:p w14:paraId="4DB7EA7B" w14:textId="77777777" w:rsidR="00C65166" w:rsidRDefault="00C65166" w:rsidP="00C65166"/>
    <w:p w14:paraId="44EA5FF1" w14:textId="71F7067F" w:rsidR="0096754C" w:rsidRDefault="002A1A90" w:rsidP="0096754C">
      <w:pPr>
        <w:rPr>
          <w:color w:val="000000" w:themeColor="text1"/>
        </w:rPr>
      </w:pPr>
      <w:r>
        <w:rPr>
          <w:color w:val="000000" w:themeColor="text1"/>
        </w:rPr>
        <w:t>Information</w:t>
      </w:r>
      <w:r w:rsidR="0096754C" w:rsidRPr="0085100A">
        <w:rPr>
          <w:color w:val="000000" w:themeColor="text1"/>
        </w:rPr>
        <w:t xml:space="preserve"> </w:t>
      </w:r>
      <w:r w:rsidR="007E1B8E">
        <w:rPr>
          <w:color w:val="000000" w:themeColor="text1"/>
        </w:rPr>
        <w:t xml:space="preserve">will be collected annually. The cooperative agreement requires the </w:t>
      </w:r>
      <w:r w:rsidR="00C56725">
        <w:rPr>
          <w:color w:val="000000" w:themeColor="text1"/>
        </w:rPr>
        <w:t xml:space="preserve">annual progress report, which is </w:t>
      </w:r>
      <w:r w:rsidR="0096754C" w:rsidRPr="0085100A">
        <w:rPr>
          <w:color w:val="000000" w:themeColor="text1"/>
        </w:rPr>
        <w:t xml:space="preserve">due 120 days before the end of the budget period and serves as a non-competing continuation application. Less frequent reporting would undermine accountability efforts at all levels and negatively </w:t>
      </w:r>
      <w:r w:rsidR="000C24C6">
        <w:rPr>
          <w:color w:val="000000" w:themeColor="text1"/>
        </w:rPr>
        <w:t xml:space="preserve">affect </w:t>
      </w:r>
      <w:r w:rsidR="0096754C" w:rsidRPr="0085100A">
        <w:rPr>
          <w:color w:val="000000" w:themeColor="text1"/>
        </w:rPr>
        <w:t>monitoring</w:t>
      </w:r>
      <w:r w:rsidR="0096754C">
        <w:rPr>
          <w:color w:val="000000" w:themeColor="text1"/>
        </w:rPr>
        <w:t xml:space="preserve"> recipient</w:t>
      </w:r>
      <w:r w:rsidR="0096754C" w:rsidRPr="0085100A">
        <w:rPr>
          <w:color w:val="000000" w:themeColor="text1"/>
        </w:rPr>
        <w:t xml:space="preserve"> progress. The annual reporting schedule ensures that CDC responses to inquiries</w:t>
      </w:r>
      <w:r w:rsidR="005E0DE2">
        <w:rPr>
          <w:color w:val="000000" w:themeColor="text1"/>
        </w:rPr>
        <w:t>,</w:t>
      </w:r>
      <w:r w:rsidR="0096754C" w:rsidRPr="0085100A">
        <w:rPr>
          <w:color w:val="000000" w:themeColor="text1"/>
        </w:rPr>
        <w:t xml:space="preserve"> </w:t>
      </w:r>
      <w:r w:rsidR="005E0DE2">
        <w:rPr>
          <w:color w:val="000000" w:themeColor="text1"/>
        </w:rPr>
        <w:t>such as Congressional requests mandated by the authorizing legislation</w:t>
      </w:r>
      <w:r w:rsidR="005E0DE2" w:rsidRPr="0085100A" w:rsidDel="005E0DE2">
        <w:rPr>
          <w:color w:val="000000" w:themeColor="text1"/>
        </w:rPr>
        <w:t xml:space="preserve">, </w:t>
      </w:r>
      <w:r w:rsidR="0096754C" w:rsidRPr="0085100A">
        <w:rPr>
          <w:color w:val="000000" w:themeColor="text1"/>
        </w:rPr>
        <w:t>are based on timely and up-to-date information.</w:t>
      </w:r>
    </w:p>
    <w:p w14:paraId="7E2B7EC7" w14:textId="77777777" w:rsidR="00C65166" w:rsidRDefault="00C65166" w:rsidP="00C65166"/>
    <w:p w14:paraId="65AB99FE" w14:textId="77777777" w:rsidR="00C65166" w:rsidRDefault="00C65166" w:rsidP="00C65166">
      <w:pPr>
        <w:pStyle w:val="Heading2"/>
      </w:pPr>
      <w:bookmarkStart w:id="10" w:name="_Toc7592388"/>
      <w:r>
        <w:t>A.7. Special Circumstances Relating to the Guidelines of 5 CFR 1320.5</w:t>
      </w:r>
      <w:bookmarkEnd w:id="10"/>
    </w:p>
    <w:p w14:paraId="38693146" w14:textId="77777777" w:rsidR="00860BDD" w:rsidRDefault="00C65166" w:rsidP="00860BDD">
      <w:r w:rsidRPr="00C65166">
        <w:t>The request fully complies with the regulation 5 CFR 1320.5.</w:t>
      </w:r>
    </w:p>
    <w:p w14:paraId="36941C08" w14:textId="4DAB28AA" w:rsidR="00C65166" w:rsidRDefault="00C65166" w:rsidP="00860BDD"/>
    <w:p w14:paraId="6B0421F7" w14:textId="77777777" w:rsidR="00C65166" w:rsidRDefault="00C65166" w:rsidP="00C65166">
      <w:pPr>
        <w:pStyle w:val="Heading2"/>
      </w:pPr>
      <w:bookmarkStart w:id="11" w:name="_Toc7592389"/>
      <w:r>
        <w:t>A.8. Comments in Response to the Federal Register Notice and Efforts to Consult Outside the Agency</w:t>
      </w:r>
      <w:bookmarkEnd w:id="11"/>
    </w:p>
    <w:p w14:paraId="1897F060" w14:textId="77777777" w:rsidR="00C65166" w:rsidRDefault="00C65166" w:rsidP="00C65166"/>
    <w:p w14:paraId="30FF9B46" w14:textId="4BDF7993" w:rsidR="00CE280B" w:rsidRDefault="00CE280B" w:rsidP="00CE280B">
      <w:pPr>
        <w:pStyle w:val="Heading3"/>
        <w:rPr>
          <w:noProof/>
        </w:rPr>
      </w:pPr>
      <w:r w:rsidRPr="00CE280B">
        <w:t>A.8.a)</w:t>
      </w:r>
      <w:r w:rsidRPr="00CE280B">
        <w:tab/>
      </w:r>
      <w:r w:rsidRPr="00CE280B">
        <w:rPr>
          <w:noProof/>
        </w:rPr>
        <w:t>Federal Register Notice</w:t>
      </w:r>
    </w:p>
    <w:p w14:paraId="0A0F847C" w14:textId="5B20E765" w:rsidR="007A213E" w:rsidRDefault="0034749C" w:rsidP="00CE280B">
      <w:pPr>
        <w:widowControl w:val="0"/>
        <w:autoSpaceDE w:val="0"/>
        <w:autoSpaceDN w:val="0"/>
        <w:adjustRightInd w:val="0"/>
      </w:pPr>
      <w:r w:rsidRPr="00C84301">
        <w:rPr>
          <w:rFonts w:eastAsiaTheme="minorEastAsia"/>
        </w:rPr>
        <w:t xml:space="preserve">A 60-day Federal Register Notice was published in the Federal Register on </w:t>
      </w:r>
      <w:r>
        <w:t>June 5</w:t>
      </w:r>
      <w:r w:rsidRPr="00C84301">
        <w:t>, 2019 Volume 84, Number 10</w:t>
      </w:r>
      <w:r>
        <w:t>8</w:t>
      </w:r>
      <w:r w:rsidRPr="00C84301">
        <w:t>, pp 2</w:t>
      </w:r>
      <w:r>
        <w:t>6116</w:t>
      </w:r>
      <w:r w:rsidRPr="00611E1A">
        <w:t xml:space="preserve"> </w:t>
      </w:r>
      <w:r w:rsidR="00952A81" w:rsidRPr="00CE280B">
        <w:rPr>
          <w:b/>
        </w:rPr>
        <w:t xml:space="preserve">(Attachment </w:t>
      </w:r>
      <w:r w:rsidR="007D1050">
        <w:rPr>
          <w:b/>
        </w:rPr>
        <w:t>5</w:t>
      </w:r>
      <w:r w:rsidR="00952A81" w:rsidRPr="00CE280B">
        <w:rPr>
          <w:b/>
        </w:rPr>
        <w:t>)</w:t>
      </w:r>
      <w:r w:rsidR="00952A81" w:rsidRPr="00BB4492">
        <w:t>.</w:t>
      </w:r>
      <w:r w:rsidR="006E6D87">
        <w:t xml:space="preserve"> CDC Received one anonymous non-substantive comment (Attachment </w:t>
      </w:r>
      <w:r>
        <w:t>5a</w:t>
      </w:r>
      <w:r w:rsidR="006E6D87">
        <w:t>). Follow up information was not provided, so there was no reply from CDC to the non-substantive comment.</w:t>
      </w:r>
      <w:r w:rsidR="00952A81">
        <w:t xml:space="preserve"> </w:t>
      </w:r>
      <w:r w:rsidR="007A213E">
        <w:t xml:space="preserve"> </w:t>
      </w:r>
    </w:p>
    <w:p w14:paraId="3F9D01CB" w14:textId="08B6B0C4" w:rsidR="00CE280B" w:rsidRDefault="00CE280B" w:rsidP="00CE280B">
      <w:pPr>
        <w:widowControl w:val="0"/>
        <w:autoSpaceDE w:val="0"/>
        <w:autoSpaceDN w:val="0"/>
        <w:adjustRightInd w:val="0"/>
      </w:pPr>
    </w:p>
    <w:p w14:paraId="13361F57" w14:textId="77777777" w:rsidR="00CE280B" w:rsidRDefault="00CE280B" w:rsidP="00CE280B">
      <w:pPr>
        <w:pStyle w:val="Heading3"/>
      </w:pPr>
      <w:r w:rsidRPr="004B75FC">
        <w:t>A.8.b)</w:t>
      </w:r>
      <w:r w:rsidRPr="00691454">
        <w:t xml:space="preserve"> Efforts to Consult Outside the Agency</w:t>
      </w:r>
    </w:p>
    <w:p w14:paraId="0B25F0DE" w14:textId="77777777" w:rsidR="002E6A2F" w:rsidRDefault="00CE280B" w:rsidP="00CE280B">
      <w:pPr>
        <w:widowControl w:val="0"/>
        <w:autoSpaceDE w:val="0"/>
        <w:autoSpaceDN w:val="0"/>
        <w:adjustRightInd w:val="0"/>
      </w:pPr>
      <w:r w:rsidRPr="00CE280B">
        <w:t xml:space="preserve">CDC staff and contractor </w:t>
      </w:r>
      <w:r>
        <w:t>designed the information collection instruments and DVP Partners Portal</w:t>
      </w:r>
      <w:r w:rsidRPr="00CE280B">
        <w:t>.</w:t>
      </w:r>
      <w:r>
        <w:t xml:space="preserve"> Data elements were informed by annual progress reports of previous a</w:t>
      </w:r>
      <w:r w:rsidR="002E6A2F">
        <w:t xml:space="preserve">nd other existing DVP programs. The following individuals were consulted in the development of the data elements in 2018 – 2019. The consultations resulted in streamlining of questions and additions of close-ended questions for improved reporting. </w:t>
      </w:r>
    </w:p>
    <w:p w14:paraId="2A372B88" w14:textId="450926E5" w:rsidR="002E6A2F" w:rsidRDefault="002E6A2F" w:rsidP="00CE280B">
      <w:pPr>
        <w:widowControl w:val="0"/>
        <w:autoSpaceDE w:val="0"/>
        <w:autoSpaceDN w:val="0"/>
        <w:adjustRightInd w:val="0"/>
      </w:pPr>
      <w:r>
        <w:t xml:space="preserve"> </w:t>
      </w:r>
    </w:p>
    <w:p w14:paraId="3D6679F0" w14:textId="6BF0E23C" w:rsidR="002E6A2F" w:rsidRDefault="002E6A2F" w:rsidP="00CE280B">
      <w:pPr>
        <w:widowControl w:val="0"/>
        <w:autoSpaceDE w:val="0"/>
        <w:autoSpaceDN w:val="0"/>
        <w:adjustRightInd w:val="0"/>
      </w:pPr>
    </w:p>
    <w:p w14:paraId="1BFBA1C5" w14:textId="78770D9A" w:rsidR="002E6A2F" w:rsidRPr="002E4DD7" w:rsidRDefault="002E4DD7" w:rsidP="002E6A2F">
      <w:pPr>
        <w:widowControl w:val="0"/>
        <w:autoSpaceDE w:val="0"/>
        <w:autoSpaceDN w:val="0"/>
        <w:adjustRightInd w:val="0"/>
        <w:ind w:left="720"/>
      </w:pPr>
      <w:r>
        <w:t>DELTA Impact Program</w:t>
      </w:r>
      <w:r w:rsidR="002E6A2F" w:rsidRPr="002E4DD7">
        <w:t xml:space="preserve"> </w:t>
      </w:r>
    </w:p>
    <w:p w14:paraId="48650B37" w14:textId="63B1183C" w:rsidR="002E6A2F" w:rsidRDefault="002E6A2F" w:rsidP="002E6A2F">
      <w:pPr>
        <w:widowControl w:val="0"/>
        <w:autoSpaceDE w:val="0"/>
        <w:autoSpaceDN w:val="0"/>
        <w:adjustRightInd w:val="0"/>
        <w:ind w:left="720"/>
      </w:pPr>
      <w:r>
        <w:t xml:space="preserve">Lindsey Barranco, PhD, Behavioral Scientist, </w:t>
      </w:r>
    </w:p>
    <w:p w14:paraId="1324045F" w14:textId="65B88759" w:rsidR="002E6A2F" w:rsidRDefault="002E6A2F" w:rsidP="002E6A2F">
      <w:pPr>
        <w:widowControl w:val="0"/>
        <w:autoSpaceDE w:val="0"/>
        <w:autoSpaceDN w:val="0"/>
        <w:adjustRightInd w:val="0"/>
        <w:ind w:left="720"/>
      </w:pPr>
      <w:r w:rsidRPr="002E6A2F">
        <w:t>404.498.5221</w:t>
      </w:r>
      <w:r>
        <w:t xml:space="preserve">, </w:t>
      </w:r>
      <w:hyperlink r:id="rId10" w:history="1">
        <w:r w:rsidRPr="00BB08A3">
          <w:rPr>
            <w:rStyle w:val="Hyperlink"/>
          </w:rPr>
          <w:t>yzi9@cdc.gov</w:t>
        </w:r>
      </w:hyperlink>
    </w:p>
    <w:p w14:paraId="5DF840AD" w14:textId="77777777" w:rsidR="002E6A2F" w:rsidRDefault="002E6A2F" w:rsidP="002E6A2F">
      <w:pPr>
        <w:widowControl w:val="0"/>
        <w:autoSpaceDE w:val="0"/>
        <w:autoSpaceDN w:val="0"/>
        <w:adjustRightInd w:val="0"/>
        <w:ind w:left="720"/>
      </w:pPr>
    </w:p>
    <w:p w14:paraId="7F9658E4" w14:textId="2A6B90B8" w:rsidR="002E6A2F" w:rsidRPr="002E4DD7" w:rsidRDefault="002E6A2F" w:rsidP="002E6A2F">
      <w:pPr>
        <w:widowControl w:val="0"/>
        <w:autoSpaceDE w:val="0"/>
        <w:autoSpaceDN w:val="0"/>
        <w:adjustRightInd w:val="0"/>
        <w:ind w:left="720"/>
      </w:pPr>
      <w:r w:rsidRPr="002E4DD7">
        <w:t>E</w:t>
      </w:r>
      <w:r w:rsidR="002E4DD7">
        <w:t>ssentials for Childhood Program</w:t>
      </w:r>
      <w:r w:rsidRPr="002E4DD7">
        <w:t xml:space="preserve"> </w:t>
      </w:r>
    </w:p>
    <w:p w14:paraId="04A8E3A8" w14:textId="2F08CC67" w:rsidR="002E6A2F" w:rsidRDefault="002E6A2F" w:rsidP="002E6A2F">
      <w:pPr>
        <w:widowControl w:val="0"/>
        <w:autoSpaceDE w:val="0"/>
        <w:autoSpaceDN w:val="0"/>
        <w:adjustRightInd w:val="0"/>
        <w:ind w:left="720"/>
      </w:pPr>
      <w:r>
        <w:t xml:space="preserve">Phyllis Ottley, PhD, Behavioral Scientist, </w:t>
      </w:r>
    </w:p>
    <w:p w14:paraId="65AFCE99" w14:textId="37ADC0E8" w:rsidR="002E6A2F" w:rsidRDefault="002E6A2F" w:rsidP="002E6A2F">
      <w:pPr>
        <w:widowControl w:val="0"/>
        <w:autoSpaceDE w:val="0"/>
        <w:autoSpaceDN w:val="0"/>
        <w:adjustRightInd w:val="0"/>
        <w:ind w:left="720"/>
      </w:pPr>
      <w:r w:rsidRPr="002E6A2F">
        <w:t>404.498.1613</w:t>
      </w:r>
      <w:r>
        <w:t xml:space="preserve">, </w:t>
      </w:r>
      <w:hyperlink r:id="rId11" w:history="1">
        <w:r w:rsidRPr="00BB08A3">
          <w:rPr>
            <w:rStyle w:val="Hyperlink"/>
          </w:rPr>
          <w:t>vci8@cdc.gov</w:t>
        </w:r>
      </w:hyperlink>
      <w:r>
        <w:t xml:space="preserve">, </w:t>
      </w:r>
    </w:p>
    <w:p w14:paraId="53F516C9" w14:textId="561054FF" w:rsidR="002E6A2F" w:rsidRDefault="002E6A2F" w:rsidP="002E6A2F">
      <w:pPr>
        <w:widowControl w:val="0"/>
        <w:autoSpaceDE w:val="0"/>
        <w:autoSpaceDN w:val="0"/>
        <w:adjustRightInd w:val="0"/>
        <w:ind w:left="720"/>
      </w:pPr>
    </w:p>
    <w:p w14:paraId="4B99A7E2" w14:textId="29616DBA" w:rsidR="002E6A2F" w:rsidRPr="002E4DD7" w:rsidRDefault="002E6A2F" w:rsidP="002E6A2F">
      <w:pPr>
        <w:widowControl w:val="0"/>
        <w:autoSpaceDE w:val="0"/>
        <w:autoSpaceDN w:val="0"/>
        <w:adjustRightInd w:val="0"/>
        <w:ind w:left="720"/>
      </w:pPr>
      <w:r w:rsidRPr="002E4DD7">
        <w:t>DVP Program E</w:t>
      </w:r>
      <w:r w:rsidR="002E4DD7" w:rsidRPr="002E4DD7">
        <w:t>valuation and Translation Team</w:t>
      </w:r>
    </w:p>
    <w:p w14:paraId="61C401F6" w14:textId="50A2D26D" w:rsidR="002E6A2F" w:rsidRDefault="002E6A2F" w:rsidP="002E6A2F">
      <w:pPr>
        <w:widowControl w:val="0"/>
        <w:autoSpaceDE w:val="0"/>
        <w:autoSpaceDN w:val="0"/>
        <w:adjustRightInd w:val="0"/>
        <w:ind w:left="720"/>
      </w:pPr>
      <w:r>
        <w:t>Kimberley Freire, PhD, MPH, Lead Behavioral Scientist,</w:t>
      </w:r>
    </w:p>
    <w:p w14:paraId="0CC87750" w14:textId="7A8B94FE" w:rsidR="002E6A2F" w:rsidRDefault="002E6A2F" w:rsidP="002E6A2F">
      <w:pPr>
        <w:widowControl w:val="0"/>
        <w:autoSpaceDE w:val="0"/>
        <w:autoSpaceDN w:val="0"/>
        <w:adjustRightInd w:val="0"/>
        <w:ind w:left="720"/>
      </w:pPr>
      <w:r w:rsidRPr="002E6A2F">
        <w:t>770.488.4994</w:t>
      </w:r>
      <w:r>
        <w:t xml:space="preserve">, </w:t>
      </w:r>
      <w:hyperlink r:id="rId12" w:history="1">
        <w:r w:rsidRPr="00BB08A3">
          <w:rPr>
            <w:rStyle w:val="Hyperlink"/>
          </w:rPr>
          <w:t>hbx8@cdc.gov</w:t>
        </w:r>
      </w:hyperlink>
      <w:r>
        <w:t xml:space="preserve"> </w:t>
      </w:r>
    </w:p>
    <w:p w14:paraId="57DFBC59" w14:textId="66E47203" w:rsidR="002E6A2F" w:rsidRPr="002E4DD7" w:rsidRDefault="002E6A2F" w:rsidP="002E6A2F">
      <w:pPr>
        <w:widowControl w:val="0"/>
        <w:autoSpaceDE w:val="0"/>
        <w:autoSpaceDN w:val="0"/>
        <w:adjustRightInd w:val="0"/>
        <w:ind w:left="720"/>
      </w:pPr>
    </w:p>
    <w:p w14:paraId="29E0B0B5" w14:textId="64F1423F" w:rsidR="002E6A2F" w:rsidRPr="002E4DD7" w:rsidRDefault="002E6A2F" w:rsidP="002E6A2F">
      <w:pPr>
        <w:widowControl w:val="0"/>
        <w:autoSpaceDE w:val="0"/>
        <w:autoSpaceDN w:val="0"/>
        <w:adjustRightInd w:val="0"/>
        <w:ind w:left="720"/>
      </w:pPr>
      <w:r w:rsidRPr="002E4DD7">
        <w:t>Rape Prevention and Education Program</w:t>
      </w:r>
    </w:p>
    <w:p w14:paraId="2F18849E" w14:textId="78AC5913" w:rsidR="002E6A2F" w:rsidRDefault="002E6A2F" w:rsidP="002E6A2F">
      <w:pPr>
        <w:widowControl w:val="0"/>
        <w:autoSpaceDE w:val="0"/>
        <w:autoSpaceDN w:val="0"/>
        <w:adjustRightInd w:val="0"/>
        <w:ind w:left="720"/>
      </w:pPr>
      <w:r w:rsidRPr="002E6A2F">
        <w:t>Kris</w:t>
      </w:r>
      <w:r>
        <w:t>t</w:t>
      </w:r>
      <w:r w:rsidRPr="002E6A2F">
        <w:t>y Orisma</w:t>
      </w:r>
      <w:r>
        <w:t xml:space="preserve">, </w:t>
      </w:r>
      <w:r w:rsidR="004A44FD">
        <w:t xml:space="preserve">PhD, </w:t>
      </w:r>
      <w:r>
        <w:t>Public Health Advisor</w:t>
      </w:r>
    </w:p>
    <w:p w14:paraId="64F6DC8A" w14:textId="237E4077" w:rsidR="002E6A2F" w:rsidRDefault="002E6A2F" w:rsidP="002E6A2F">
      <w:pPr>
        <w:widowControl w:val="0"/>
        <w:autoSpaceDE w:val="0"/>
        <w:autoSpaceDN w:val="0"/>
        <w:adjustRightInd w:val="0"/>
        <w:ind w:left="720"/>
      </w:pPr>
      <w:r w:rsidRPr="002E6A2F">
        <w:t>770.488.0043</w:t>
      </w:r>
      <w:r>
        <w:t xml:space="preserve">, </w:t>
      </w:r>
      <w:hyperlink r:id="rId13" w:history="1">
        <w:r w:rsidRPr="00BB08A3">
          <w:rPr>
            <w:rStyle w:val="Hyperlink"/>
          </w:rPr>
          <w:t>lgi9@cdc.gov</w:t>
        </w:r>
      </w:hyperlink>
      <w:r>
        <w:t xml:space="preserve">  </w:t>
      </w:r>
    </w:p>
    <w:p w14:paraId="3D7BD1A0" w14:textId="5270B980" w:rsidR="004A44FD" w:rsidRDefault="004A44FD" w:rsidP="002E6A2F">
      <w:pPr>
        <w:widowControl w:val="0"/>
        <w:autoSpaceDE w:val="0"/>
        <w:autoSpaceDN w:val="0"/>
        <w:adjustRightInd w:val="0"/>
        <w:ind w:left="720"/>
      </w:pPr>
    </w:p>
    <w:p w14:paraId="498935B2" w14:textId="3633C0E3" w:rsidR="004A44FD" w:rsidRDefault="004A44FD" w:rsidP="002E6A2F">
      <w:pPr>
        <w:widowControl w:val="0"/>
        <w:autoSpaceDE w:val="0"/>
        <w:autoSpaceDN w:val="0"/>
        <w:adjustRightInd w:val="0"/>
        <w:ind w:left="720"/>
      </w:pPr>
      <w:r>
        <w:t>Kathryn Jones, MSW, Public Health Advisor</w:t>
      </w:r>
    </w:p>
    <w:p w14:paraId="7A7B892C" w14:textId="1FDB13A2" w:rsidR="004A44FD" w:rsidRPr="002E6A2F" w:rsidRDefault="004A44FD" w:rsidP="002E6A2F">
      <w:pPr>
        <w:widowControl w:val="0"/>
        <w:autoSpaceDE w:val="0"/>
        <w:autoSpaceDN w:val="0"/>
        <w:adjustRightInd w:val="0"/>
        <w:ind w:left="720"/>
      </w:pPr>
      <w:r w:rsidRPr="004A44FD">
        <w:t>770.488.1118</w:t>
      </w:r>
      <w:r>
        <w:t xml:space="preserve">, </w:t>
      </w:r>
      <w:hyperlink r:id="rId14" w:history="1">
        <w:r w:rsidRPr="00BB08A3">
          <w:rPr>
            <w:rStyle w:val="Hyperlink"/>
          </w:rPr>
          <w:t>yde9@cdc.gov</w:t>
        </w:r>
      </w:hyperlink>
      <w:r>
        <w:t xml:space="preserve"> </w:t>
      </w:r>
    </w:p>
    <w:p w14:paraId="3180EC6D" w14:textId="77777777" w:rsidR="002E6A2F" w:rsidRDefault="002E6A2F" w:rsidP="00CE280B">
      <w:pPr>
        <w:widowControl w:val="0"/>
        <w:autoSpaceDE w:val="0"/>
        <w:autoSpaceDN w:val="0"/>
        <w:adjustRightInd w:val="0"/>
      </w:pPr>
    </w:p>
    <w:p w14:paraId="215E46E0" w14:textId="1D6321A2" w:rsidR="00CE280B" w:rsidRDefault="00CE280B" w:rsidP="00CE280B">
      <w:pPr>
        <w:widowControl w:val="0"/>
        <w:autoSpaceDE w:val="0"/>
        <w:autoSpaceDN w:val="0"/>
        <w:adjustRightInd w:val="0"/>
      </w:pPr>
      <w:r>
        <w:t xml:space="preserve">CDC worked with a contractor who have experiences in designing similar information collection instruments and systems. </w:t>
      </w:r>
      <w:r w:rsidR="002E6A2F">
        <w:t xml:space="preserve">Not consultations occurred outside of CDC. </w:t>
      </w:r>
    </w:p>
    <w:p w14:paraId="35F38313" w14:textId="77777777" w:rsidR="007542F8" w:rsidRDefault="007542F8" w:rsidP="007542F8">
      <w:pPr>
        <w:widowControl w:val="0"/>
        <w:autoSpaceDE w:val="0"/>
        <w:autoSpaceDN w:val="0"/>
        <w:adjustRightInd w:val="0"/>
      </w:pPr>
    </w:p>
    <w:p w14:paraId="0E888F3E" w14:textId="77777777" w:rsidR="00C65166" w:rsidRDefault="00C65166" w:rsidP="00C65166">
      <w:pPr>
        <w:pStyle w:val="Heading2"/>
      </w:pPr>
      <w:bookmarkStart w:id="12" w:name="_Toc7592390"/>
      <w:r>
        <w:t>A.9. Explanation of Any Payment or Gift to Respondents</w:t>
      </w:r>
      <w:bookmarkEnd w:id="12"/>
    </w:p>
    <w:p w14:paraId="213042AF" w14:textId="77777777" w:rsidR="00C65166" w:rsidRDefault="00C65166" w:rsidP="00C65166">
      <w:r w:rsidRPr="00C65166">
        <w:t>Respondents will not receive payments or gi</w:t>
      </w:r>
      <w:r>
        <w:t>fts for providing information.</w:t>
      </w:r>
    </w:p>
    <w:p w14:paraId="66064DE8" w14:textId="37F5CFF5" w:rsidR="008B0B4A" w:rsidRDefault="008B0B4A" w:rsidP="00C65166"/>
    <w:p w14:paraId="2ED33A51" w14:textId="77777777" w:rsidR="00C65166" w:rsidRDefault="00C65166" w:rsidP="00C65166">
      <w:pPr>
        <w:pStyle w:val="Heading2"/>
      </w:pPr>
      <w:bookmarkStart w:id="13" w:name="_Toc7592391"/>
      <w:r>
        <w:t>A.10. Assurance of Confidentiality Provided to Respondents</w:t>
      </w:r>
      <w:bookmarkEnd w:id="13"/>
    </w:p>
    <w:p w14:paraId="61DEB86C" w14:textId="0624BCD3" w:rsidR="0000213F" w:rsidRPr="00BA5132" w:rsidRDefault="0000213F" w:rsidP="0000213F">
      <w:pPr>
        <w:pStyle w:val="BodyTextIndent2"/>
        <w:spacing w:line="240" w:lineRule="auto"/>
        <w:ind w:left="0"/>
        <w:rPr>
          <w:sz w:val="24"/>
        </w:rPr>
      </w:pPr>
      <w:r w:rsidRPr="00611D14">
        <w:rPr>
          <w:sz w:val="24"/>
        </w:rPr>
        <w:t>The CDC Office of the Chief Information Officer has determined that the Privacy Act does not apply to this information collection request.</w:t>
      </w:r>
      <w:r>
        <w:rPr>
          <w:sz w:val="24"/>
        </w:rPr>
        <w:t xml:space="preserve"> The Rape Prevention and Education (RPE) program is housed within the Partner’s Portal web-based system. The Partner’s Portal</w:t>
      </w:r>
      <w:r w:rsidRPr="00BA5132">
        <w:rPr>
          <w:sz w:val="24"/>
        </w:rPr>
        <w:t xml:space="preserve"> system has a current Authorization to Operate. The Privacy Impact Assessment</w:t>
      </w:r>
      <w:r>
        <w:rPr>
          <w:sz w:val="24"/>
        </w:rPr>
        <w:t xml:space="preserve"> (PIA) is attached (</w:t>
      </w:r>
      <w:r w:rsidRPr="00872944">
        <w:rPr>
          <w:b/>
          <w:sz w:val="24"/>
        </w:rPr>
        <w:t>Attachment 6</w:t>
      </w:r>
      <w:r w:rsidRPr="00BA5132">
        <w:rPr>
          <w:sz w:val="24"/>
        </w:rPr>
        <w:t>).</w:t>
      </w:r>
    </w:p>
    <w:p w14:paraId="40CACCBA" w14:textId="77777777" w:rsidR="00D86D38" w:rsidRDefault="00D86D38" w:rsidP="00C8797B"/>
    <w:p w14:paraId="2D9B5284" w14:textId="4603D971" w:rsidR="008A7F43" w:rsidRDefault="00D86D38" w:rsidP="008A7F43">
      <w:r>
        <w:t xml:space="preserve">RPE recipients (health department) or their designated delegates </w:t>
      </w:r>
      <w:r w:rsidRPr="00C8797B">
        <w:t>will provide info</w:t>
      </w:r>
      <w:r>
        <w:t xml:space="preserve">rmation about their program efforts funded through the CE19-1902 cooperative agreement. </w:t>
      </w:r>
      <w:r w:rsidR="00F36549">
        <w:t xml:space="preserve">No sensitive information or personal identifying information will be collected. Only names of the organizations for whom the RPE recipients partner with or provide sub-awards will be collected. </w:t>
      </w:r>
      <w:r w:rsidR="008A7F43">
        <w:t>The information collection does not require consent from individuals. All procedures have been developed, in accordance with federal, state, and local guidelines, to ensure that the rights and privacy of key recipients’ program staff (e.g. program director) will be protected and maintained.</w:t>
      </w:r>
    </w:p>
    <w:p w14:paraId="01FB8207" w14:textId="616F58E6" w:rsidR="00F36549" w:rsidRDefault="00F36549" w:rsidP="008A7F43"/>
    <w:p w14:paraId="765A4644" w14:textId="5DB7E37E" w:rsidR="00B468E7" w:rsidRDefault="00B468E7" w:rsidP="00B468E7">
      <w:r>
        <w:t xml:space="preserve">Submission and access to data will be controlled by password-protected login to the secure site. To access the DVP Partners Portal, staff must have been authenticated and have a Secure Access Management Services (SAMS) login and password. Access </w:t>
      </w:r>
      <w:r w:rsidRPr="006C63D3">
        <w:t xml:space="preserve">is limited to staff members of the organization who are authorized to enter data on behalf of their organization. Since the </w:t>
      </w:r>
      <w:r w:rsidR="00D86D38">
        <w:t xml:space="preserve">access to the DVP Partners Portal </w:t>
      </w:r>
      <w:r w:rsidRPr="006C63D3">
        <w:t>is external</w:t>
      </w:r>
      <w:r w:rsidR="00D86D38">
        <w:t xml:space="preserve"> and through SAMS</w:t>
      </w:r>
      <w:r>
        <w:t>,</w:t>
      </w:r>
      <w:r w:rsidRPr="006C63D3">
        <w:t xml:space="preserve"> Active Directory is not used for authentication</w:t>
      </w:r>
      <w:r>
        <w:t>; therefore,</w:t>
      </w:r>
      <w:r w:rsidRPr="006C63D3">
        <w:t xml:space="preserve"> no User</w:t>
      </w:r>
      <w:r w:rsidR="00732B6A">
        <w:t xml:space="preserve"> </w:t>
      </w:r>
      <w:r w:rsidRPr="006C63D3">
        <w:t xml:space="preserve">IDs or passwords are maintained or used by the </w:t>
      </w:r>
      <w:r w:rsidR="00732B6A">
        <w:t>DVP Partners Portal</w:t>
      </w:r>
      <w:r w:rsidRPr="006C63D3">
        <w:t>.</w:t>
      </w:r>
    </w:p>
    <w:p w14:paraId="75A44100" w14:textId="4A7C44E1" w:rsidR="00B468E7" w:rsidRDefault="00B468E7" w:rsidP="00B468E7"/>
    <w:p w14:paraId="42724F93" w14:textId="49D0F10D" w:rsidR="00396878" w:rsidRDefault="00396878" w:rsidP="00396878">
      <w:r>
        <w:t>I</w:t>
      </w:r>
      <w:r w:rsidR="00A76FF9">
        <w:t xml:space="preserve">nformation will be reported </w:t>
      </w:r>
      <w:r>
        <w:t xml:space="preserve">only </w:t>
      </w:r>
      <w:r w:rsidR="00A76FF9">
        <w:t>in aggregate form</w:t>
      </w:r>
      <w:r>
        <w:t xml:space="preserve">. No </w:t>
      </w:r>
      <w:r w:rsidR="00A76FF9">
        <w:t>identifying information included</w:t>
      </w:r>
      <w:r>
        <w:t xml:space="preserve">. The recipients’ state or territory names will not be included in the national aggregate report. CDC will produce reports for each recipient and those reports will contain data only for that particular recipient. Aggregated information will be stored on an internal CDC server subject to CDC’s information security guidelines.  While consent is not required to report aggregate data, recipient approval will be obtained if specific data are used for publications, reports, or other publicly disseminated information. </w:t>
      </w:r>
    </w:p>
    <w:p w14:paraId="58EEE7A4" w14:textId="3B8D400B" w:rsidR="00B468E7" w:rsidRDefault="00B468E7" w:rsidP="00BD08B6"/>
    <w:p w14:paraId="799707DF" w14:textId="298B38BE" w:rsidR="00396878" w:rsidRDefault="00396878" w:rsidP="00396878">
      <w:r>
        <w:t xml:space="preserve">Access to the data varies from read-only to read-write, based on the user’s role and permissions. Each funded recipient will have access to viewing their own information in pre-determined reports, which they can share with designated program staff and sub-recipients. The recipients determine the extent to which sub-recipients may access their state/territory’s information. CDC staff will also have varying levels of access to the system with role-appropriate security training based on the requirements of their position, roles, and responsibilities.  </w:t>
      </w:r>
    </w:p>
    <w:p w14:paraId="5D0CAD09" w14:textId="692FA85F" w:rsidR="00CE7F21" w:rsidRDefault="00CE7F21" w:rsidP="00396878"/>
    <w:p w14:paraId="645B3B32" w14:textId="5B2B4378" w:rsidR="00CE7F21" w:rsidRDefault="00CE7F21" w:rsidP="00396878">
      <w:r w:rsidRPr="00CE7F21">
        <w:t xml:space="preserve">The information </w:t>
      </w:r>
      <w:r>
        <w:t xml:space="preserve">collected </w:t>
      </w:r>
      <w:r w:rsidRPr="00CE7F21">
        <w:t>will be stored</w:t>
      </w:r>
      <w:r>
        <w:t xml:space="preserve"> and </w:t>
      </w:r>
      <w:r w:rsidRPr="00CE7F21">
        <w:t xml:space="preserve">archived permanently for future </w:t>
      </w:r>
      <w:r>
        <w:t xml:space="preserve">program </w:t>
      </w:r>
      <w:r w:rsidRPr="00CE7F21">
        <w:t>analysis and reporting. Data storage is encrypted to standard requirements.</w:t>
      </w:r>
    </w:p>
    <w:p w14:paraId="4DCD4A39" w14:textId="4F6F83C2" w:rsidR="009065F5" w:rsidRDefault="009065F5" w:rsidP="00BD08B6"/>
    <w:p w14:paraId="58C6E1A9" w14:textId="77777777" w:rsidR="00C65166" w:rsidRDefault="00C65166" w:rsidP="00C65166">
      <w:pPr>
        <w:pStyle w:val="Heading2"/>
      </w:pPr>
      <w:bookmarkStart w:id="14" w:name="_Toc7592392"/>
      <w:r>
        <w:t>A.11. Institutional Review Board (IRB) and Justification for Sensitive Questions</w:t>
      </w:r>
      <w:bookmarkEnd w:id="14"/>
    </w:p>
    <w:p w14:paraId="60CBEB95" w14:textId="77777777" w:rsidR="00C65166" w:rsidRDefault="00C65166" w:rsidP="00C65166"/>
    <w:p w14:paraId="0A198F25" w14:textId="4C3FE4B2" w:rsidR="00C65166" w:rsidRDefault="00C65166" w:rsidP="00C65166">
      <w:pPr>
        <w:pStyle w:val="Heading3"/>
      </w:pPr>
      <w:bookmarkStart w:id="15" w:name="_Toc534716641"/>
      <w:bookmarkStart w:id="16" w:name="_Toc7592393"/>
      <w:r>
        <w:t>IRB Approval</w:t>
      </w:r>
      <w:bookmarkEnd w:id="15"/>
      <w:bookmarkEnd w:id="16"/>
    </w:p>
    <w:p w14:paraId="23F9526D" w14:textId="356E9429" w:rsidR="00C65166" w:rsidRDefault="00C65166" w:rsidP="00C65166">
      <w:r w:rsidRPr="00C65166">
        <w:t>The CDC National Center for Injury Prevention and Control</w:t>
      </w:r>
      <w:r w:rsidR="00700F89">
        <w:t xml:space="preserve"> (NCIPC)</w:t>
      </w:r>
      <w:r w:rsidRPr="00C65166">
        <w:t xml:space="preserve">’s OMB and human subject research officer has determined that </w:t>
      </w:r>
      <w:r w:rsidR="00D86D38">
        <w:t xml:space="preserve">this </w:t>
      </w:r>
      <w:r w:rsidR="00EE58AD">
        <w:t xml:space="preserve">collection </w:t>
      </w:r>
      <w:r w:rsidR="00D86D38">
        <w:t xml:space="preserve">is non-research and therefore, </w:t>
      </w:r>
      <w:r w:rsidRPr="00C65166">
        <w:t xml:space="preserve">IRB approval is not needed </w:t>
      </w:r>
      <w:r>
        <w:t>(</w:t>
      </w:r>
      <w:r w:rsidRPr="00C65166">
        <w:rPr>
          <w:b/>
        </w:rPr>
        <w:t xml:space="preserve">Attachment </w:t>
      </w:r>
      <w:r w:rsidR="001C6C77">
        <w:rPr>
          <w:b/>
        </w:rPr>
        <w:t>7</w:t>
      </w:r>
      <w:r w:rsidRPr="00C65166">
        <w:t>).</w:t>
      </w:r>
      <w:r w:rsidR="00394DF7">
        <w:t>The information does not involve the collection of personal information or participation of Human Subjects.</w:t>
      </w:r>
    </w:p>
    <w:p w14:paraId="2EDBD253" w14:textId="77777777" w:rsidR="00C65166" w:rsidRDefault="00C65166" w:rsidP="00C65166"/>
    <w:p w14:paraId="422092DE" w14:textId="38BFA2F1" w:rsidR="00C65166" w:rsidRDefault="00C65166" w:rsidP="00C65166">
      <w:pPr>
        <w:pStyle w:val="Heading3"/>
      </w:pPr>
      <w:bookmarkStart w:id="17" w:name="_Toc534716642"/>
      <w:bookmarkStart w:id="18" w:name="_Toc7592394"/>
      <w:r>
        <w:t>Sensitive Questions</w:t>
      </w:r>
      <w:bookmarkEnd w:id="17"/>
      <w:bookmarkEnd w:id="18"/>
    </w:p>
    <w:p w14:paraId="390D10F2" w14:textId="1C496357" w:rsidR="00C65166" w:rsidRDefault="00C65166" w:rsidP="00C65166">
      <w:pPr>
        <w:rPr>
          <w:bCs/>
        </w:rPr>
      </w:pPr>
      <w:r w:rsidRPr="0085100A">
        <w:rPr>
          <w:bCs/>
        </w:rPr>
        <w:t xml:space="preserve">The proposed </w:t>
      </w:r>
      <w:r w:rsidR="007E568E">
        <w:rPr>
          <w:bCs/>
        </w:rPr>
        <w:t>information collection does</w:t>
      </w:r>
      <w:r w:rsidRPr="0085100A">
        <w:rPr>
          <w:bCs/>
        </w:rPr>
        <w:t xml:space="preserve"> not collect sensitive information. </w:t>
      </w:r>
    </w:p>
    <w:p w14:paraId="4674CE28" w14:textId="77777777" w:rsidR="00EE58AD" w:rsidRDefault="00EE58AD" w:rsidP="00C65166">
      <w:pPr>
        <w:rPr>
          <w:bCs/>
        </w:rPr>
      </w:pPr>
    </w:p>
    <w:p w14:paraId="23D17446" w14:textId="76FF1062" w:rsidR="00C65166" w:rsidRDefault="00C65166" w:rsidP="00C65166">
      <w:pPr>
        <w:pStyle w:val="Heading2"/>
      </w:pPr>
      <w:bookmarkStart w:id="19" w:name="_Toc7592395"/>
      <w:r>
        <w:t>A.12. Estimates of Annualized Burden Hours and Costs</w:t>
      </w:r>
      <w:bookmarkEnd w:id="19"/>
    </w:p>
    <w:p w14:paraId="32248101" w14:textId="77777777" w:rsidR="006B2190" w:rsidRPr="006B2190" w:rsidRDefault="006B2190" w:rsidP="006B2190"/>
    <w:p w14:paraId="512DE569" w14:textId="34E6594B" w:rsidR="006B2190" w:rsidRPr="0085100A" w:rsidRDefault="00646757" w:rsidP="006B2190">
      <w:pPr>
        <w:pStyle w:val="Heading3"/>
      </w:pPr>
      <w:bookmarkStart w:id="20" w:name="_Toc7592396"/>
      <w:r>
        <w:t>A.12.a</w:t>
      </w:r>
      <w:r w:rsidR="006B2190">
        <w:t>)  Annual Burden Hours</w:t>
      </w:r>
      <w:bookmarkEnd w:id="20"/>
      <w:r w:rsidR="006B2190" w:rsidRPr="0085100A">
        <w:t xml:space="preserve"> </w:t>
      </w:r>
    </w:p>
    <w:p w14:paraId="251CD637" w14:textId="28424ADA" w:rsidR="007542F8" w:rsidRDefault="00736803" w:rsidP="00C16BCB">
      <w:r>
        <w:t xml:space="preserve">Respondents will be the 55 </w:t>
      </w:r>
      <w:r w:rsidR="00CE7F21">
        <w:t xml:space="preserve">RPE </w:t>
      </w:r>
      <w:r>
        <w:t>recipients</w:t>
      </w:r>
      <w:r w:rsidR="007542F8">
        <w:t xml:space="preserve"> (</w:t>
      </w:r>
      <w:r w:rsidR="00CE7F21">
        <w:t xml:space="preserve">health departments in all 50 states, </w:t>
      </w:r>
      <w:r w:rsidR="005B27F3">
        <w:t>DC</w:t>
      </w:r>
      <w:r w:rsidR="00CE7F21">
        <w:t>, and U.S. territories</w:t>
      </w:r>
      <w:r w:rsidR="007542F8">
        <w:t>)</w:t>
      </w:r>
      <w:r w:rsidR="00D37BA7">
        <w:t xml:space="preserve"> and their </w:t>
      </w:r>
      <w:r w:rsidR="00CE7F21">
        <w:t>designated delegates</w:t>
      </w:r>
      <w:r w:rsidRPr="00736803">
        <w:t>. Respondents will report</w:t>
      </w:r>
      <w:r w:rsidR="00D37BA7">
        <w:t xml:space="preserve"> information to CDC annually </w:t>
      </w:r>
      <w:r w:rsidRPr="00736803">
        <w:t xml:space="preserve">using </w:t>
      </w:r>
      <w:r w:rsidR="00BA11DD">
        <w:t xml:space="preserve">the </w:t>
      </w:r>
      <w:r w:rsidR="00D37BA7" w:rsidRPr="007542F8">
        <w:t>DVP Partner</w:t>
      </w:r>
      <w:r w:rsidR="007542F8" w:rsidRPr="007542F8">
        <w:t>s</w:t>
      </w:r>
      <w:r w:rsidR="00D37BA7" w:rsidRPr="007542F8">
        <w:t xml:space="preserve"> Portal</w:t>
      </w:r>
      <w:r w:rsidRPr="00C16BCB">
        <w:t>.</w:t>
      </w:r>
      <w:r w:rsidR="00D37BA7" w:rsidRPr="00C16BCB">
        <w:t xml:space="preserve"> </w:t>
      </w:r>
      <w:r w:rsidR="00C16BCB" w:rsidRPr="00C16BCB">
        <w:t>For</w:t>
      </w:r>
      <w:r w:rsidR="00C16BCB">
        <w:t xml:space="preserve"> most of the questions in the data collection </w:t>
      </w:r>
      <w:r w:rsidR="00CE280B">
        <w:t>(</w:t>
      </w:r>
      <w:r w:rsidR="00301B91">
        <w:rPr>
          <w:b/>
        </w:rPr>
        <w:t xml:space="preserve">Attachment </w:t>
      </w:r>
      <w:r w:rsidR="00067FBF">
        <w:rPr>
          <w:b/>
        </w:rPr>
        <w:t>3a)</w:t>
      </w:r>
      <w:r w:rsidR="00C16BCB">
        <w:t xml:space="preserve">, </w:t>
      </w:r>
      <w:r w:rsidR="007542F8">
        <w:t xml:space="preserve">respondents </w:t>
      </w:r>
      <w:r w:rsidR="00C16BCB">
        <w:t>will only need to enter descriptive information once</w:t>
      </w:r>
      <w:r w:rsidR="007542F8">
        <w:t>,</w:t>
      </w:r>
      <w:r w:rsidR="00C16BCB">
        <w:t xml:space="preserve"> and do not need to re-enter </w:t>
      </w:r>
      <w:r w:rsidR="007542F8">
        <w:t xml:space="preserve">them </w:t>
      </w:r>
      <w:r w:rsidR="00C16BCB">
        <w:t xml:space="preserve">for subsequent </w:t>
      </w:r>
      <w:r w:rsidR="00D812D1">
        <w:t>annual reporting</w:t>
      </w:r>
      <w:r w:rsidR="00C16BCB">
        <w:t xml:space="preserve">. </w:t>
      </w:r>
      <w:r w:rsidR="007542F8">
        <w:t xml:space="preserve">Respondents will </w:t>
      </w:r>
      <w:r w:rsidR="00C16BCB">
        <w:t>only need to modify or update the information</w:t>
      </w:r>
      <w:r w:rsidR="007542F8">
        <w:t>,</w:t>
      </w:r>
      <w:r w:rsidR="00C16BCB">
        <w:t xml:space="preserve"> report </w:t>
      </w:r>
      <w:r w:rsidR="00FF55AF">
        <w:t xml:space="preserve">progress </w:t>
      </w:r>
      <w:r w:rsidR="00C16BCB">
        <w:t xml:space="preserve">on measures, provide updates, or add new items </w:t>
      </w:r>
      <w:r w:rsidR="007542F8">
        <w:t xml:space="preserve">as </w:t>
      </w:r>
      <w:r w:rsidR="00C16BCB">
        <w:t xml:space="preserve">applicable. </w:t>
      </w:r>
    </w:p>
    <w:p w14:paraId="3A419EAE" w14:textId="77777777" w:rsidR="007542F8" w:rsidRDefault="007542F8" w:rsidP="00C16BCB"/>
    <w:p w14:paraId="289E4023" w14:textId="454EB26E" w:rsidR="00C65166" w:rsidRDefault="00C16BCB" w:rsidP="00C16BCB">
      <w:r>
        <w:t>T</w:t>
      </w:r>
      <w:r w:rsidR="00736803" w:rsidRPr="00736803">
        <w:t>he burden estimates for each information collection tool vary for</w:t>
      </w:r>
      <w:r>
        <w:t xml:space="preserve"> initial </w:t>
      </w:r>
      <w:r w:rsidR="00D812D1">
        <w:t xml:space="preserve">population </w:t>
      </w:r>
      <w:r>
        <w:t xml:space="preserve">and subsequent </w:t>
      </w:r>
      <w:r w:rsidR="00D812D1">
        <w:t>annual reporting</w:t>
      </w:r>
      <w:r>
        <w:t xml:space="preserve">. </w:t>
      </w:r>
      <w:r w:rsidR="00736803" w:rsidRPr="00736803">
        <w:t xml:space="preserve">The time commitments for data collection, entry, and training will be greatest during the </w:t>
      </w:r>
      <w:r w:rsidR="00D812D1">
        <w:t>initial population</w:t>
      </w:r>
      <w:r w:rsidR="00736803" w:rsidRPr="00736803">
        <w:t xml:space="preserve">. The burden for subsequent </w:t>
      </w:r>
      <w:r w:rsidR="007542F8">
        <w:t xml:space="preserve">data entries </w:t>
      </w:r>
      <w:r w:rsidR="00736803" w:rsidRPr="00736803">
        <w:t xml:space="preserve">is </w:t>
      </w:r>
      <w:r w:rsidR="007542F8">
        <w:t>for</w:t>
      </w:r>
      <w:r w:rsidR="00736803" w:rsidRPr="00736803">
        <w:t xml:space="preserve"> entering changes, providing progress information, and adding new activities. They would not have to re</w:t>
      </w:r>
      <w:r w:rsidR="007542F8">
        <w:t>-enter information as the basic information from the previous year will be carried</w:t>
      </w:r>
      <w:r w:rsidR="00B75083">
        <w:t xml:space="preserve"> over and pre-populated for </w:t>
      </w:r>
      <w:r w:rsidR="007542F8">
        <w:t xml:space="preserve">the next </w:t>
      </w:r>
      <w:r w:rsidR="00B75083">
        <w:t xml:space="preserve">annual </w:t>
      </w:r>
      <w:r w:rsidR="007542F8">
        <w:t xml:space="preserve">reporting. </w:t>
      </w:r>
    </w:p>
    <w:p w14:paraId="66DED099" w14:textId="46DBE0E6" w:rsidR="00736803" w:rsidRDefault="00736803" w:rsidP="00C65166"/>
    <w:p w14:paraId="2F9819A5" w14:textId="77777777" w:rsidR="0071636A" w:rsidRDefault="00736803" w:rsidP="0071636A">
      <w:r w:rsidRPr="00846805">
        <w:t xml:space="preserve">For each respondent, the burden per response is estimated to be </w:t>
      </w:r>
      <w:r w:rsidR="00402200" w:rsidRPr="00846805">
        <w:t xml:space="preserve">12 </w:t>
      </w:r>
      <w:r w:rsidRPr="00846805">
        <w:t xml:space="preserve">hours for initial population, and </w:t>
      </w:r>
      <w:r w:rsidR="00402200" w:rsidRPr="00846805">
        <w:t xml:space="preserve">6 </w:t>
      </w:r>
      <w:r w:rsidR="00161882" w:rsidRPr="00846805">
        <w:t>hours</w:t>
      </w:r>
      <w:r w:rsidRPr="00846805">
        <w:t xml:space="preserve"> for each subsequent </w:t>
      </w:r>
      <w:r w:rsidR="00B75083" w:rsidRPr="00846805">
        <w:t>data entry</w:t>
      </w:r>
      <w:r w:rsidRPr="00846805">
        <w:t xml:space="preserve">.  </w:t>
      </w:r>
      <w:r w:rsidR="0071636A">
        <w:t>The DVP Partners Portal has also been previously tested and used for annual reporting for other programs.</w:t>
      </w:r>
      <w:r w:rsidR="0071636A" w:rsidRPr="000A6A46">
        <w:t xml:space="preserve"> </w:t>
      </w:r>
      <w:r w:rsidR="0071636A">
        <w:t>The burden estimates were obtained from these efforts.</w:t>
      </w:r>
    </w:p>
    <w:p w14:paraId="3B7A84F0" w14:textId="266ACAA1" w:rsidR="00154759" w:rsidRDefault="0071636A" w:rsidP="006B2190">
      <w:r>
        <w:t xml:space="preserve"> </w:t>
      </w:r>
    </w:p>
    <w:p w14:paraId="39F3167E" w14:textId="5E779A48" w:rsidR="00154759" w:rsidRDefault="00154759" w:rsidP="006B2190">
      <w:r>
        <w:t>With an estimation of 12 hours for initial population, t</w:t>
      </w:r>
      <w:r w:rsidR="00736803">
        <w:t xml:space="preserve">he total burden for the first year </w:t>
      </w:r>
      <w:r w:rsidR="00DB104F">
        <w:t xml:space="preserve">of initial population </w:t>
      </w:r>
      <w:r w:rsidR="00736803">
        <w:t xml:space="preserve">will be </w:t>
      </w:r>
      <w:r w:rsidR="005B47C3">
        <w:t>660</w:t>
      </w:r>
      <w:r w:rsidR="005B27F3">
        <w:t xml:space="preserve"> </w:t>
      </w:r>
      <w:r w:rsidR="00736803">
        <w:t>hours</w:t>
      </w:r>
      <w:r w:rsidR="00846805">
        <w:t xml:space="preserve">. The burden estimate for initial population is </w:t>
      </w:r>
      <w:r>
        <w:t xml:space="preserve">divided by three to obtain annualized estimates for each year in the information collection request period. Therefore, over the three-year period, 4 hours of annualized burden are estimated for the initial population for each respondent, totaling 220 annualized burden hours. </w:t>
      </w:r>
    </w:p>
    <w:p w14:paraId="026B41CC" w14:textId="77777777" w:rsidR="00154759" w:rsidRDefault="00154759" w:rsidP="006B2190"/>
    <w:p w14:paraId="49527943" w14:textId="7D82FB9C" w:rsidR="00846805" w:rsidRDefault="00154759" w:rsidP="00846805">
      <w:r>
        <w:t xml:space="preserve">With two years of subsequent data entry where 6 hours estimation for each subsequent data entry for each respondent, </w:t>
      </w:r>
      <w:r w:rsidR="00846805">
        <w:t xml:space="preserve">the total burden of subsequent reporting for the three-year period is 660 hours (330 hours for each of the two subsequent reporting). The burden estimate for initial population is divided by three to obtain annualized estimates for each year in the information collection request period. Therefore, over the three-year period, 2 hours of annualized burden are estimated for each subsequent reporting for each respondent, totaling 220 annualized burden hours for two subsequent reporting. </w:t>
      </w:r>
    </w:p>
    <w:p w14:paraId="39CC13D0" w14:textId="007C16FF" w:rsidR="00154759" w:rsidRDefault="00154759" w:rsidP="006B2190"/>
    <w:p w14:paraId="6D0A11FC" w14:textId="595C94EE" w:rsidR="006B2190" w:rsidRDefault="006B2190" w:rsidP="006B2190">
      <w:r w:rsidRPr="0085100A">
        <w:t xml:space="preserve">Over the </w:t>
      </w:r>
      <w:r>
        <w:t>three</w:t>
      </w:r>
      <w:r w:rsidRPr="0085100A">
        <w:t xml:space="preserve">-year period of this </w:t>
      </w:r>
      <w:r w:rsidR="00161882">
        <w:t xml:space="preserve">ICR, the total burden will be </w:t>
      </w:r>
      <w:r w:rsidR="005B47C3">
        <w:t>1,320</w:t>
      </w:r>
      <w:r w:rsidR="00161882">
        <w:t xml:space="preserve"> </w:t>
      </w:r>
      <w:r w:rsidR="005B47C3">
        <w:t xml:space="preserve">hours </w:t>
      </w:r>
      <w:r w:rsidR="00161882">
        <w:t>for 55 respondents</w:t>
      </w:r>
      <w:r w:rsidR="00846805">
        <w:t xml:space="preserve"> for all entries</w:t>
      </w:r>
      <w:r w:rsidR="00161882">
        <w:t xml:space="preserve">. The </w:t>
      </w:r>
      <w:r>
        <w:t xml:space="preserve">annualized estimated burden </w:t>
      </w:r>
      <w:r w:rsidR="00161882">
        <w:t xml:space="preserve">for this ICR </w:t>
      </w:r>
      <w:r w:rsidRPr="0085100A">
        <w:t>is</w:t>
      </w:r>
      <w:r>
        <w:t xml:space="preserve"> </w:t>
      </w:r>
      <w:r w:rsidR="005B47C3">
        <w:t xml:space="preserve">440 </w:t>
      </w:r>
      <w:r w:rsidR="006228A5">
        <w:t>hours</w:t>
      </w:r>
      <w:r w:rsidRPr="0085100A">
        <w:t>, as summarized in Table A.12-A</w:t>
      </w:r>
      <w:r>
        <w:t xml:space="preserve">.  </w:t>
      </w:r>
    </w:p>
    <w:p w14:paraId="49DFB6A9" w14:textId="77777777" w:rsidR="00067ED7" w:rsidRDefault="00067ED7" w:rsidP="006B2190"/>
    <w:p w14:paraId="5AB685A5" w14:textId="7CC49BD0" w:rsidR="0000390E" w:rsidRDefault="0000390E" w:rsidP="006B2190">
      <w:r>
        <w:t>Table A.12-A. Estimated Annualized Burden Hours</w:t>
      </w: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299"/>
        <w:gridCol w:w="1393"/>
        <w:gridCol w:w="1555"/>
        <w:gridCol w:w="1659"/>
        <w:gridCol w:w="1195"/>
      </w:tblGrid>
      <w:tr w:rsidR="00A54680" w:rsidRPr="003C4271" w14:paraId="17BFCF19" w14:textId="77777777" w:rsidTr="00A54680">
        <w:trPr>
          <w:trHeight w:val="728"/>
        </w:trPr>
        <w:tc>
          <w:tcPr>
            <w:tcW w:w="1103" w:type="pct"/>
            <w:shd w:val="clear" w:color="auto" w:fill="auto"/>
            <w:vAlign w:val="center"/>
          </w:tcPr>
          <w:p w14:paraId="12B49748" w14:textId="77777777" w:rsidR="00646757" w:rsidRPr="003C4271" w:rsidRDefault="00646757" w:rsidP="00BB4492">
            <w:r w:rsidRPr="003C4271">
              <w:t>Type of respondents</w:t>
            </w:r>
          </w:p>
        </w:tc>
        <w:tc>
          <w:tcPr>
            <w:tcW w:w="1106" w:type="pct"/>
            <w:shd w:val="clear" w:color="auto" w:fill="auto"/>
            <w:vAlign w:val="center"/>
          </w:tcPr>
          <w:p w14:paraId="351C5FC0" w14:textId="77777777" w:rsidR="00646757" w:rsidRPr="003C4271" w:rsidRDefault="00646757" w:rsidP="00523648">
            <w:r w:rsidRPr="003C4271">
              <w:t>Form Name</w:t>
            </w:r>
          </w:p>
        </w:tc>
        <w:tc>
          <w:tcPr>
            <w:tcW w:w="670" w:type="pct"/>
            <w:shd w:val="clear" w:color="auto" w:fill="auto"/>
            <w:vAlign w:val="center"/>
          </w:tcPr>
          <w:p w14:paraId="1C92243D" w14:textId="77777777" w:rsidR="00646757" w:rsidRPr="003C4271" w:rsidRDefault="00646757" w:rsidP="00523648">
            <w:r w:rsidRPr="003C4271">
              <w:t>Number of respondents</w:t>
            </w:r>
          </w:p>
        </w:tc>
        <w:tc>
          <w:tcPr>
            <w:tcW w:w="748" w:type="pct"/>
            <w:shd w:val="clear" w:color="auto" w:fill="auto"/>
            <w:vAlign w:val="center"/>
          </w:tcPr>
          <w:p w14:paraId="2D8509AF" w14:textId="77777777" w:rsidR="00646757" w:rsidRPr="003C4271" w:rsidRDefault="00646757" w:rsidP="00523648">
            <w:r w:rsidRPr="003C4271">
              <w:t>Number of responses per respondent</w:t>
            </w:r>
          </w:p>
        </w:tc>
        <w:tc>
          <w:tcPr>
            <w:tcW w:w="798" w:type="pct"/>
            <w:shd w:val="clear" w:color="auto" w:fill="auto"/>
            <w:vAlign w:val="center"/>
          </w:tcPr>
          <w:p w14:paraId="63D14A06" w14:textId="77777777" w:rsidR="00646757" w:rsidRPr="003C4271" w:rsidRDefault="00646757" w:rsidP="00523648">
            <w:r w:rsidRPr="003C4271">
              <w:t>Average burden per response (in hours)</w:t>
            </w:r>
          </w:p>
        </w:tc>
        <w:tc>
          <w:tcPr>
            <w:tcW w:w="575" w:type="pct"/>
            <w:shd w:val="clear" w:color="auto" w:fill="auto"/>
            <w:vAlign w:val="center"/>
          </w:tcPr>
          <w:p w14:paraId="6F11C502" w14:textId="77777777" w:rsidR="00646757" w:rsidRPr="003C4271" w:rsidRDefault="00646757" w:rsidP="00523648">
            <w:r w:rsidRPr="003C4271">
              <w:t>Total burden (in hours)</w:t>
            </w:r>
          </w:p>
        </w:tc>
      </w:tr>
      <w:tr w:rsidR="00A54680" w:rsidRPr="003C4271" w14:paraId="041ED550" w14:textId="77777777" w:rsidTr="00846805">
        <w:trPr>
          <w:trHeight w:val="737"/>
        </w:trPr>
        <w:tc>
          <w:tcPr>
            <w:tcW w:w="1103" w:type="pct"/>
            <w:vMerge w:val="restart"/>
            <w:shd w:val="clear" w:color="auto" w:fill="auto"/>
            <w:vAlign w:val="center"/>
          </w:tcPr>
          <w:p w14:paraId="34789ED1" w14:textId="559A160E" w:rsidR="00646757" w:rsidRPr="005B27F3" w:rsidRDefault="005B27F3" w:rsidP="00BB4492">
            <w:r>
              <w:t xml:space="preserve">RPE-funded </w:t>
            </w:r>
            <w:r w:rsidRPr="003C4271">
              <w:t xml:space="preserve">Health Departments </w:t>
            </w:r>
            <w:r>
              <w:t>(State, DC, and Territories) and</w:t>
            </w:r>
            <w:r w:rsidRPr="003C4271">
              <w:t xml:space="preserve"> </w:t>
            </w:r>
            <w:r>
              <w:t>their Designated Delegates</w:t>
            </w:r>
          </w:p>
        </w:tc>
        <w:tc>
          <w:tcPr>
            <w:tcW w:w="1106" w:type="pct"/>
            <w:shd w:val="clear" w:color="auto" w:fill="auto"/>
            <w:vAlign w:val="center"/>
          </w:tcPr>
          <w:p w14:paraId="12717C43" w14:textId="4D7F3B87" w:rsidR="00646757" w:rsidRPr="003C4271" w:rsidRDefault="00BB4492" w:rsidP="00D812D1">
            <w:pPr>
              <w:rPr>
                <w:color w:val="000000"/>
              </w:rPr>
            </w:pPr>
            <w:r>
              <w:t>Annual Reporting</w:t>
            </w:r>
            <w:r w:rsidR="00646757">
              <w:t>—</w:t>
            </w:r>
            <w:r w:rsidR="00D812D1">
              <w:t>Initial Population</w:t>
            </w:r>
            <w:r w:rsidR="007A72B0">
              <w:t xml:space="preserve"> (Att. 3a)</w:t>
            </w:r>
          </w:p>
        </w:tc>
        <w:tc>
          <w:tcPr>
            <w:tcW w:w="670" w:type="pct"/>
            <w:shd w:val="clear" w:color="auto" w:fill="auto"/>
            <w:vAlign w:val="center"/>
          </w:tcPr>
          <w:p w14:paraId="26B8E2FE" w14:textId="77777777" w:rsidR="00646757" w:rsidRPr="003C4271" w:rsidRDefault="00646757" w:rsidP="00523648">
            <w:pPr>
              <w:rPr>
                <w:color w:val="000000"/>
              </w:rPr>
            </w:pPr>
            <w:r w:rsidRPr="003C4271">
              <w:rPr>
                <w:color w:val="000000"/>
              </w:rPr>
              <w:t>55</w:t>
            </w:r>
          </w:p>
        </w:tc>
        <w:tc>
          <w:tcPr>
            <w:tcW w:w="748" w:type="pct"/>
            <w:shd w:val="clear" w:color="auto" w:fill="auto"/>
            <w:vAlign w:val="center"/>
          </w:tcPr>
          <w:p w14:paraId="1DE8FD26" w14:textId="77777777" w:rsidR="00646757" w:rsidRPr="003C4271" w:rsidRDefault="00646757" w:rsidP="00523648">
            <w:pPr>
              <w:rPr>
                <w:color w:val="000000"/>
              </w:rPr>
            </w:pPr>
            <w:r w:rsidRPr="003C4271">
              <w:rPr>
                <w:color w:val="000000"/>
              </w:rPr>
              <w:t>1</w:t>
            </w:r>
          </w:p>
        </w:tc>
        <w:tc>
          <w:tcPr>
            <w:tcW w:w="798" w:type="pct"/>
            <w:shd w:val="clear" w:color="auto" w:fill="auto"/>
            <w:vAlign w:val="center"/>
          </w:tcPr>
          <w:p w14:paraId="0E444A3D" w14:textId="09F8FCBA" w:rsidR="00646757" w:rsidRPr="003C4271" w:rsidRDefault="00402200" w:rsidP="00523648">
            <w:pPr>
              <w:rPr>
                <w:color w:val="000000"/>
              </w:rPr>
            </w:pPr>
            <w:r>
              <w:rPr>
                <w:color w:val="000000"/>
              </w:rPr>
              <w:t>4</w:t>
            </w:r>
          </w:p>
        </w:tc>
        <w:tc>
          <w:tcPr>
            <w:tcW w:w="575" w:type="pct"/>
            <w:shd w:val="clear" w:color="auto" w:fill="auto"/>
            <w:vAlign w:val="center"/>
          </w:tcPr>
          <w:p w14:paraId="6CE0B8CF" w14:textId="30043287" w:rsidR="00646757" w:rsidRPr="003C4271" w:rsidRDefault="00402200" w:rsidP="00523648">
            <w:pPr>
              <w:rPr>
                <w:color w:val="000000"/>
              </w:rPr>
            </w:pPr>
            <w:r>
              <w:rPr>
                <w:color w:val="000000"/>
              </w:rPr>
              <w:t>220</w:t>
            </w:r>
          </w:p>
        </w:tc>
      </w:tr>
      <w:tr w:rsidR="00A54680" w:rsidRPr="003C4271" w14:paraId="39C2EC77" w14:textId="77777777" w:rsidTr="00846805">
        <w:trPr>
          <w:trHeight w:val="890"/>
        </w:trPr>
        <w:tc>
          <w:tcPr>
            <w:tcW w:w="1103" w:type="pct"/>
            <w:vMerge/>
            <w:shd w:val="clear" w:color="auto" w:fill="auto"/>
            <w:vAlign w:val="center"/>
          </w:tcPr>
          <w:p w14:paraId="2DEA1822" w14:textId="77777777" w:rsidR="00646757" w:rsidRPr="003C4271" w:rsidRDefault="00646757" w:rsidP="00523648">
            <w:pPr>
              <w:rPr>
                <w:color w:val="000000"/>
              </w:rPr>
            </w:pPr>
          </w:p>
        </w:tc>
        <w:tc>
          <w:tcPr>
            <w:tcW w:w="1106" w:type="pct"/>
            <w:shd w:val="clear" w:color="auto" w:fill="auto"/>
            <w:vAlign w:val="center"/>
          </w:tcPr>
          <w:p w14:paraId="08ACA16D" w14:textId="10DF8B3D" w:rsidR="00646757" w:rsidRPr="003C4271" w:rsidRDefault="00BB4492" w:rsidP="00BB4492">
            <w:pPr>
              <w:rPr>
                <w:color w:val="000000"/>
              </w:rPr>
            </w:pPr>
            <w:r>
              <w:t>Annual Reporting</w:t>
            </w:r>
            <w:r w:rsidR="00646757">
              <w:t>—</w:t>
            </w:r>
            <w:r w:rsidR="00D812D1">
              <w:t>Subsequent Reporting</w:t>
            </w:r>
            <w:r w:rsidR="00015648">
              <w:t xml:space="preserve"> (Att. 3b</w:t>
            </w:r>
            <w:r w:rsidR="007A72B0">
              <w:t>)</w:t>
            </w:r>
          </w:p>
        </w:tc>
        <w:tc>
          <w:tcPr>
            <w:tcW w:w="670" w:type="pct"/>
            <w:shd w:val="clear" w:color="auto" w:fill="auto"/>
            <w:vAlign w:val="center"/>
          </w:tcPr>
          <w:p w14:paraId="61B99A9A" w14:textId="77777777" w:rsidR="00646757" w:rsidRPr="003C4271" w:rsidRDefault="00646757" w:rsidP="00523648">
            <w:pPr>
              <w:rPr>
                <w:color w:val="000000"/>
              </w:rPr>
            </w:pPr>
            <w:r w:rsidRPr="003C4271">
              <w:rPr>
                <w:color w:val="000000"/>
              </w:rPr>
              <w:t>55</w:t>
            </w:r>
          </w:p>
        </w:tc>
        <w:tc>
          <w:tcPr>
            <w:tcW w:w="748" w:type="pct"/>
            <w:shd w:val="clear" w:color="auto" w:fill="auto"/>
            <w:vAlign w:val="center"/>
          </w:tcPr>
          <w:p w14:paraId="286CF524" w14:textId="3CB02FE0" w:rsidR="00646757" w:rsidRPr="003C4271" w:rsidRDefault="002D1093" w:rsidP="00523648">
            <w:pPr>
              <w:rPr>
                <w:color w:val="000000"/>
              </w:rPr>
            </w:pPr>
            <w:r>
              <w:rPr>
                <w:color w:val="000000"/>
              </w:rPr>
              <w:t>2</w:t>
            </w:r>
          </w:p>
        </w:tc>
        <w:tc>
          <w:tcPr>
            <w:tcW w:w="798" w:type="pct"/>
            <w:shd w:val="clear" w:color="auto" w:fill="auto"/>
            <w:vAlign w:val="center"/>
          </w:tcPr>
          <w:p w14:paraId="77052ED5" w14:textId="2C133F68" w:rsidR="00646757" w:rsidRPr="003C4271" w:rsidRDefault="00402200" w:rsidP="00523648">
            <w:pPr>
              <w:rPr>
                <w:color w:val="000000"/>
              </w:rPr>
            </w:pPr>
            <w:r>
              <w:rPr>
                <w:color w:val="000000"/>
              </w:rPr>
              <w:t>2</w:t>
            </w:r>
          </w:p>
        </w:tc>
        <w:tc>
          <w:tcPr>
            <w:tcW w:w="575" w:type="pct"/>
            <w:shd w:val="clear" w:color="auto" w:fill="auto"/>
            <w:vAlign w:val="center"/>
          </w:tcPr>
          <w:p w14:paraId="1CE28988" w14:textId="797454DD" w:rsidR="00646757" w:rsidRPr="003C4271" w:rsidRDefault="00402200" w:rsidP="00523648">
            <w:pPr>
              <w:rPr>
                <w:color w:val="000000"/>
              </w:rPr>
            </w:pPr>
            <w:r>
              <w:rPr>
                <w:color w:val="000000"/>
              </w:rPr>
              <w:t>220</w:t>
            </w:r>
          </w:p>
        </w:tc>
      </w:tr>
      <w:tr w:rsidR="00646757" w:rsidRPr="003C4271" w14:paraId="7722C1B7" w14:textId="77777777" w:rsidTr="00846805">
        <w:trPr>
          <w:trHeight w:val="350"/>
        </w:trPr>
        <w:tc>
          <w:tcPr>
            <w:tcW w:w="1103" w:type="pct"/>
            <w:vMerge/>
            <w:shd w:val="clear" w:color="auto" w:fill="auto"/>
            <w:vAlign w:val="center"/>
          </w:tcPr>
          <w:p w14:paraId="05F664B4" w14:textId="77777777" w:rsidR="00646757" w:rsidRPr="003C4271" w:rsidRDefault="00646757" w:rsidP="00523648">
            <w:pPr>
              <w:rPr>
                <w:color w:val="000000"/>
              </w:rPr>
            </w:pPr>
          </w:p>
        </w:tc>
        <w:tc>
          <w:tcPr>
            <w:tcW w:w="3322" w:type="pct"/>
            <w:gridSpan w:val="4"/>
            <w:shd w:val="clear" w:color="auto" w:fill="auto"/>
            <w:vAlign w:val="center"/>
          </w:tcPr>
          <w:p w14:paraId="58820E34" w14:textId="77777777" w:rsidR="00646757" w:rsidRPr="003C4271" w:rsidRDefault="00646757" w:rsidP="00523648">
            <w:pPr>
              <w:rPr>
                <w:color w:val="000000"/>
              </w:rPr>
            </w:pPr>
            <w:r w:rsidRPr="003C4271">
              <w:rPr>
                <w:color w:val="000000"/>
              </w:rPr>
              <w:t>Total</w:t>
            </w:r>
          </w:p>
        </w:tc>
        <w:tc>
          <w:tcPr>
            <w:tcW w:w="575" w:type="pct"/>
            <w:shd w:val="clear" w:color="auto" w:fill="auto"/>
            <w:vAlign w:val="center"/>
          </w:tcPr>
          <w:p w14:paraId="1067BF4E" w14:textId="7EE8AB8D" w:rsidR="00646757" w:rsidRPr="003C4271" w:rsidRDefault="00402200" w:rsidP="00523648">
            <w:pPr>
              <w:rPr>
                <w:color w:val="000000"/>
              </w:rPr>
            </w:pPr>
            <w:r>
              <w:rPr>
                <w:color w:val="000000"/>
              </w:rPr>
              <w:t>440</w:t>
            </w:r>
          </w:p>
        </w:tc>
      </w:tr>
    </w:tbl>
    <w:p w14:paraId="262CFEB3" w14:textId="77777777" w:rsidR="00846805" w:rsidRDefault="00846805" w:rsidP="006B2190"/>
    <w:p w14:paraId="5B1E60A0" w14:textId="7152B258" w:rsidR="006B2190" w:rsidRPr="0085100A" w:rsidRDefault="006B2190" w:rsidP="006B2190">
      <w:pPr>
        <w:pStyle w:val="Heading3"/>
      </w:pPr>
      <w:bookmarkStart w:id="21" w:name="_Toc447176436"/>
      <w:bookmarkStart w:id="22" w:name="_Toc7592397"/>
      <w:r w:rsidRPr="0085100A">
        <w:t xml:space="preserve">A.12.b)  Annual </w:t>
      </w:r>
      <w:bookmarkEnd w:id="21"/>
      <w:r>
        <w:t>Burden Costs</w:t>
      </w:r>
      <w:bookmarkEnd w:id="22"/>
      <w:r w:rsidRPr="0085100A">
        <w:t xml:space="preserve"> </w:t>
      </w:r>
    </w:p>
    <w:p w14:paraId="58F40754" w14:textId="05FD76DE" w:rsidR="00E934F1" w:rsidRPr="0000390E" w:rsidRDefault="006B2190" w:rsidP="006B2190">
      <w:r w:rsidRPr="0085100A">
        <w:t xml:space="preserve">For each of the </w:t>
      </w:r>
      <w:r>
        <w:t>55 RPE</w:t>
      </w:r>
      <w:r w:rsidRPr="0085100A">
        <w:t xml:space="preserve"> </w:t>
      </w:r>
      <w:r>
        <w:t>Program recipients</w:t>
      </w:r>
      <w:r w:rsidRPr="0085100A">
        <w:t xml:space="preserve">, </w:t>
      </w:r>
      <w:r w:rsidR="005B27F3">
        <w:t xml:space="preserve">respondents will be health department </w:t>
      </w:r>
      <w:r w:rsidRPr="0085100A">
        <w:t xml:space="preserve">program </w:t>
      </w:r>
      <w:r w:rsidR="005B27F3">
        <w:t xml:space="preserve">staff </w:t>
      </w:r>
      <w:r>
        <w:t xml:space="preserve">or </w:t>
      </w:r>
      <w:r w:rsidR="005B27F3">
        <w:t>designated delegate, who are all program managers</w:t>
      </w:r>
      <w:r w:rsidRPr="0085100A">
        <w:t xml:space="preserve">. The average hourly wage for a </w:t>
      </w:r>
      <w:r w:rsidR="006B34BF">
        <w:t xml:space="preserve">social and community </w:t>
      </w:r>
      <w:r w:rsidRPr="0085100A">
        <w:t xml:space="preserve">program manager is </w:t>
      </w:r>
      <w:r w:rsidR="006B34BF" w:rsidRPr="006B34BF">
        <w:t>$34.46</w:t>
      </w:r>
      <w:r w:rsidR="006B34BF">
        <w:t xml:space="preserve"> according to the 2018 National Occupational Employment and Wage Estimates from the U.S. Bureau of Labor Statistics</w:t>
      </w:r>
      <w:r w:rsidR="005B27F3">
        <w:t>.</w:t>
      </w:r>
      <w:r w:rsidR="006B34BF">
        <w:t xml:space="preserve"> </w:t>
      </w:r>
      <w:r w:rsidRPr="0085100A">
        <w:t xml:space="preserve"> The hourly wage rates for program managers are based on wages for similar mid-to-high level positions in the public sector. </w:t>
      </w:r>
      <w:r>
        <w:t xml:space="preserve"> The</w:t>
      </w:r>
      <w:r w:rsidR="008B759A">
        <w:t xml:space="preserve"> total estimated cost over the three-year period of this ICR</w:t>
      </w:r>
      <w:r w:rsidR="00A53BC8">
        <w:t xml:space="preserve"> </w:t>
      </w:r>
      <w:r w:rsidRPr="0085100A">
        <w:t xml:space="preserve">is </w:t>
      </w:r>
      <w:r w:rsidR="008B759A">
        <w:t>$</w:t>
      </w:r>
      <w:r w:rsidR="005B47C3">
        <w:t>45,487.20</w:t>
      </w:r>
      <w:r w:rsidR="008B759A">
        <w:t xml:space="preserve"> </w:t>
      </w:r>
      <w:r w:rsidRPr="0085100A">
        <w:t xml:space="preserve">with an </w:t>
      </w:r>
      <w:r w:rsidR="008B759A">
        <w:t xml:space="preserve">annualized burden cost of </w:t>
      </w:r>
      <w:r w:rsidR="008B759A" w:rsidRPr="008B759A">
        <w:t>$</w:t>
      </w:r>
      <w:r w:rsidR="005B47C3">
        <w:t>15,162.40</w:t>
      </w:r>
      <w:r w:rsidRPr="0085100A">
        <w:t>, as summarized in Table A.12-B.</w:t>
      </w:r>
    </w:p>
    <w:p w14:paraId="7C03E454" w14:textId="77777777" w:rsidR="00E934F1" w:rsidRPr="0085100A" w:rsidRDefault="00E934F1" w:rsidP="006B2190">
      <w:pPr>
        <w:rPr>
          <w:bCs/>
        </w:rPr>
      </w:pPr>
    </w:p>
    <w:p w14:paraId="229707FC" w14:textId="05155435" w:rsidR="007A213E" w:rsidRDefault="006B2190" w:rsidP="006B2190">
      <w:r w:rsidRPr="0085100A">
        <w:rPr>
          <w:bCs/>
        </w:rPr>
        <w:t>Table A.12-B.</w:t>
      </w:r>
      <w:r w:rsidRPr="0085100A">
        <w:t xml:space="preserve"> Estimated Annualized Burden Costs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485"/>
        <w:gridCol w:w="1654"/>
        <w:gridCol w:w="1934"/>
        <w:gridCol w:w="1927"/>
      </w:tblGrid>
      <w:tr w:rsidR="00646757" w:rsidRPr="0085100A" w14:paraId="30E9F0D3" w14:textId="77777777" w:rsidTr="00BB4492">
        <w:trPr>
          <w:trHeight w:val="683"/>
        </w:trPr>
        <w:tc>
          <w:tcPr>
            <w:tcW w:w="1115" w:type="pct"/>
            <w:shd w:val="clear" w:color="auto" w:fill="auto"/>
            <w:vAlign w:val="center"/>
          </w:tcPr>
          <w:p w14:paraId="32DD5A32" w14:textId="47A5E9F1" w:rsidR="006B2190" w:rsidRPr="0085100A" w:rsidRDefault="006B2190" w:rsidP="00BB4492">
            <w:r w:rsidRPr="0085100A">
              <w:t xml:space="preserve">Type of </w:t>
            </w:r>
            <w:r w:rsidR="005B27F3">
              <w:t>R</w:t>
            </w:r>
            <w:r w:rsidRPr="0085100A">
              <w:t>espondents</w:t>
            </w:r>
          </w:p>
        </w:tc>
        <w:tc>
          <w:tcPr>
            <w:tcW w:w="1207" w:type="pct"/>
            <w:shd w:val="clear" w:color="auto" w:fill="auto"/>
            <w:vAlign w:val="center"/>
          </w:tcPr>
          <w:p w14:paraId="70DA025C" w14:textId="77777777" w:rsidR="006B2190" w:rsidRPr="0085100A" w:rsidRDefault="006B2190" w:rsidP="00BB4492">
            <w:r w:rsidRPr="0085100A">
              <w:t>Form Name</w:t>
            </w:r>
          </w:p>
        </w:tc>
        <w:tc>
          <w:tcPr>
            <w:tcW w:w="803" w:type="pct"/>
            <w:shd w:val="clear" w:color="auto" w:fill="auto"/>
            <w:vAlign w:val="center"/>
          </w:tcPr>
          <w:p w14:paraId="76996739" w14:textId="7B8A5D51" w:rsidR="006B2190" w:rsidRPr="000D60E8" w:rsidRDefault="006B2190" w:rsidP="005B27F3">
            <w:pPr>
              <w:jc w:val="center"/>
            </w:pPr>
            <w:r w:rsidRPr="000D60E8">
              <w:t xml:space="preserve">Total </w:t>
            </w:r>
            <w:r w:rsidR="005B27F3">
              <w:t>B</w:t>
            </w:r>
            <w:r w:rsidRPr="000D60E8">
              <w:t>urden (in hours)</w:t>
            </w:r>
          </w:p>
        </w:tc>
        <w:tc>
          <w:tcPr>
            <w:tcW w:w="939" w:type="pct"/>
            <w:shd w:val="clear" w:color="auto" w:fill="auto"/>
            <w:vAlign w:val="center"/>
          </w:tcPr>
          <w:p w14:paraId="7619F3CF" w14:textId="2AAF6C2F" w:rsidR="006B2190" w:rsidRPr="0085100A" w:rsidRDefault="006B2190" w:rsidP="005B27F3">
            <w:pPr>
              <w:jc w:val="center"/>
            </w:pPr>
            <w:r w:rsidRPr="0085100A">
              <w:t xml:space="preserve">Hourly </w:t>
            </w:r>
            <w:r w:rsidR="005B27F3">
              <w:t>W</w:t>
            </w:r>
            <w:r w:rsidRPr="0085100A">
              <w:t>age Rate</w:t>
            </w:r>
          </w:p>
        </w:tc>
        <w:tc>
          <w:tcPr>
            <w:tcW w:w="936" w:type="pct"/>
            <w:shd w:val="clear" w:color="auto" w:fill="auto"/>
            <w:vAlign w:val="center"/>
          </w:tcPr>
          <w:p w14:paraId="5CAB4103" w14:textId="50A5442F" w:rsidR="006B2190" w:rsidRPr="0085100A" w:rsidRDefault="006B2190" w:rsidP="005B27F3">
            <w:pPr>
              <w:jc w:val="center"/>
            </w:pPr>
            <w:r w:rsidRPr="0085100A">
              <w:t xml:space="preserve">Total Respondent  </w:t>
            </w:r>
            <w:r w:rsidR="005B27F3">
              <w:t>C</w:t>
            </w:r>
            <w:r w:rsidRPr="0085100A">
              <w:t>ost</w:t>
            </w:r>
          </w:p>
        </w:tc>
      </w:tr>
      <w:tr w:rsidR="00BB4492" w:rsidRPr="0085100A" w14:paraId="75A84880" w14:textId="77777777" w:rsidTr="00797ED8">
        <w:trPr>
          <w:trHeight w:val="656"/>
        </w:trPr>
        <w:tc>
          <w:tcPr>
            <w:tcW w:w="1115" w:type="pct"/>
            <w:vMerge w:val="restart"/>
            <w:shd w:val="clear" w:color="auto" w:fill="auto"/>
            <w:vAlign w:val="center"/>
          </w:tcPr>
          <w:p w14:paraId="3F11FCAF" w14:textId="77A54A2B" w:rsidR="00BB4492" w:rsidRPr="00646757" w:rsidRDefault="00BB4492" w:rsidP="00BB4492">
            <w:r>
              <w:t xml:space="preserve">RPE-funded </w:t>
            </w:r>
            <w:r w:rsidRPr="003C4271">
              <w:t xml:space="preserve">Health Departments </w:t>
            </w:r>
            <w:r>
              <w:t>(State, DC, and Territories) and</w:t>
            </w:r>
            <w:r w:rsidRPr="003C4271">
              <w:t xml:space="preserve"> </w:t>
            </w:r>
            <w:r>
              <w:t>their Designated Delegates</w:t>
            </w:r>
          </w:p>
        </w:tc>
        <w:tc>
          <w:tcPr>
            <w:tcW w:w="1207" w:type="pct"/>
            <w:shd w:val="clear" w:color="auto" w:fill="auto"/>
            <w:vAlign w:val="center"/>
          </w:tcPr>
          <w:p w14:paraId="12F871F4" w14:textId="442E2398" w:rsidR="00BB4492" w:rsidRPr="0085100A" w:rsidRDefault="00BB4492" w:rsidP="00BB4492">
            <w:pPr>
              <w:rPr>
                <w:color w:val="000000"/>
              </w:rPr>
            </w:pPr>
            <w:r>
              <w:t>Annual Reporting—Initial Population</w:t>
            </w:r>
          </w:p>
        </w:tc>
        <w:tc>
          <w:tcPr>
            <w:tcW w:w="803" w:type="pct"/>
            <w:shd w:val="clear" w:color="auto" w:fill="auto"/>
            <w:vAlign w:val="center"/>
          </w:tcPr>
          <w:p w14:paraId="603859BB" w14:textId="67C5D872" w:rsidR="00BB4492" w:rsidRPr="000D60E8" w:rsidRDefault="00402200" w:rsidP="00BB4492">
            <w:pPr>
              <w:jc w:val="center"/>
              <w:rPr>
                <w:color w:val="000000"/>
              </w:rPr>
            </w:pPr>
            <w:r>
              <w:rPr>
                <w:color w:val="000000"/>
              </w:rPr>
              <w:t>220</w:t>
            </w:r>
          </w:p>
        </w:tc>
        <w:tc>
          <w:tcPr>
            <w:tcW w:w="939" w:type="pct"/>
            <w:shd w:val="clear" w:color="auto" w:fill="auto"/>
            <w:vAlign w:val="center"/>
          </w:tcPr>
          <w:p w14:paraId="6CD74EB2" w14:textId="41EF354F" w:rsidR="00BB4492" w:rsidRPr="000D60E8" w:rsidRDefault="00BB4492" w:rsidP="00BB4492">
            <w:pPr>
              <w:jc w:val="center"/>
              <w:rPr>
                <w:color w:val="000000"/>
              </w:rPr>
            </w:pPr>
            <w:r w:rsidRPr="006B34BF">
              <w:t>$34.46</w:t>
            </w:r>
          </w:p>
        </w:tc>
        <w:tc>
          <w:tcPr>
            <w:tcW w:w="936" w:type="pct"/>
            <w:shd w:val="clear" w:color="auto" w:fill="auto"/>
            <w:vAlign w:val="center"/>
          </w:tcPr>
          <w:p w14:paraId="1AF2F4DB" w14:textId="1BA61E9D" w:rsidR="00BB4492" w:rsidRPr="00835B83" w:rsidRDefault="00BB4492" w:rsidP="00402200">
            <w:pPr>
              <w:jc w:val="center"/>
              <w:rPr>
                <w:color w:val="000000"/>
              </w:rPr>
            </w:pPr>
            <w:r>
              <w:rPr>
                <w:color w:val="000000"/>
              </w:rPr>
              <w:t>$</w:t>
            </w:r>
            <w:r w:rsidR="00402200">
              <w:rPr>
                <w:color w:val="000000"/>
              </w:rPr>
              <w:t>7,581.20</w:t>
            </w:r>
          </w:p>
        </w:tc>
      </w:tr>
      <w:tr w:rsidR="00BB4492" w:rsidRPr="0085100A" w14:paraId="439049BC" w14:textId="77777777" w:rsidTr="00A54680">
        <w:trPr>
          <w:trHeight w:val="368"/>
        </w:trPr>
        <w:tc>
          <w:tcPr>
            <w:tcW w:w="1115" w:type="pct"/>
            <w:vMerge/>
            <w:shd w:val="clear" w:color="auto" w:fill="auto"/>
            <w:vAlign w:val="center"/>
          </w:tcPr>
          <w:p w14:paraId="53F259A0" w14:textId="77777777" w:rsidR="00BB4492" w:rsidRPr="0085100A" w:rsidRDefault="00BB4492" w:rsidP="00BB4492">
            <w:pPr>
              <w:rPr>
                <w:color w:val="000000"/>
              </w:rPr>
            </w:pPr>
          </w:p>
        </w:tc>
        <w:tc>
          <w:tcPr>
            <w:tcW w:w="1207" w:type="pct"/>
            <w:shd w:val="clear" w:color="auto" w:fill="auto"/>
            <w:vAlign w:val="center"/>
          </w:tcPr>
          <w:p w14:paraId="1365242C" w14:textId="762DA6A9" w:rsidR="00BB4492" w:rsidRPr="0085100A" w:rsidRDefault="00BB4492" w:rsidP="00BB4492">
            <w:pPr>
              <w:rPr>
                <w:color w:val="000000"/>
              </w:rPr>
            </w:pPr>
            <w:r>
              <w:t>Annual Reporting—Subsequent Reporting</w:t>
            </w:r>
          </w:p>
        </w:tc>
        <w:tc>
          <w:tcPr>
            <w:tcW w:w="803" w:type="pct"/>
            <w:shd w:val="clear" w:color="auto" w:fill="auto"/>
            <w:vAlign w:val="center"/>
          </w:tcPr>
          <w:p w14:paraId="2A2965AE" w14:textId="4EF12083" w:rsidR="00BB4492" w:rsidRDefault="00402200" w:rsidP="00BB4492">
            <w:pPr>
              <w:jc w:val="center"/>
              <w:rPr>
                <w:color w:val="000000"/>
              </w:rPr>
            </w:pPr>
            <w:r>
              <w:rPr>
                <w:color w:val="000000"/>
              </w:rPr>
              <w:t>220</w:t>
            </w:r>
          </w:p>
        </w:tc>
        <w:tc>
          <w:tcPr>
            <w:tcW w:w="939" w:type="pct"/>
            <w:shd w:val="clear" w:color="auto" w:fill="auto"/>
            <w:vAlign w:val="center"/>
          </w:tcPr>
          <w:p w14:paraId="112E98CF" w14:textId="2772BA5A" w:rsidR="00BB4492" w:rsidRPr="000D60E8" w:rsidRDefault="00BB4492" w:rsidP="00BB4492">
            <w:pPr>
              <w:jc w:val="center"/>
              <w:rPr>
                <w:color w:val="000000"/>
              </w:rPr>
            </w:pPr>
            <w:r w:rsidRPr="006B34BF">
              <w:t>$34.46</w:t>
            </w:r>
          </w:p>
        </w:tc>
        <w:tc>
          <w:tcPr>
            <w:tcW w:w="936" w:type="pct"/>
            <w:shd w:val="clear" w:color="auto" w:fill="auto"/>
            <w:vAlign w:val="center"/>
          </w:tcPr>
          <w:p w14:paraId="43A8F373" w14:textId="13791344" w:rsidR="00BB4492" w:rsidRPr="00835B83" w:rsidRDefault="00BB4492" w:rsidP="00BB4492">
            <w:pPr>
              <w:jc w:val="center"/>
              <w:rPr>
                <w:color w:val="000000"/>
              </w:rPr>
            </w:pPr>
            <w:r>
              <w:rPr>
                <w:color w:val="000000"/>
              </w:rPr>
              <w:t>$</w:t>
            </w:r>
            <w:r w:rsidR="00402200">
              <w:rPr>
                <w:color w:val="000000"/>
              </w:rPr>
              <w:t>7,581.20</w:t>
            </w:r>
          </w:p>
        </w:tc>
      </w:tr>
      <w:tr w:rsidR="008B759A" w:rsidRPr="0085100A" w14:paraId="6F758796" w14:textId="77777777" w:rsidTr="00A54680">
        <w:trPr>
          <w:trHeight w:val="60"/>
        </w:trPr>
        <w:tc>
          <w:tcPr>
            <w:tcW w:w="4064" w:type="pct"/>
            <w:gridSpan w:val="4"/>
            <w:shd w:val="clear" w:color="auto" w:fill="auto"/>
            <w:vAlign w:val="center"/>
          </w:tcPr>
          <w:p w14:paraId="11698BAA" w14:textId="77777777" w:rsidR="008B759A" w:rsidRDefault="008B759A" w:rsidP="008B759A">
            <w:pPr>
              <w:jc w:val="right"/>
              <w:rPr>
                <w:color w:val="000000"/>
              </w:rPr>
            </w:pPr>
            <w:r>
              <w:rPr>
                <w:color w:val="000000"/>
              </w:rPr>
              <w:t xml:space="preserve">Total </w:t>
            </w:r>
          </w:p>
        </w:tc>
        <w:tc>
          <w:tcPr>
            <w:tcW w:w="936" w:type="pct"/>
            <w:shd w:val="clear" w:color="auto" w:fill="auto"/>
            <w:vAlign w:val="center"/>
          </w:tcPr>
          <w:p w14:paraId="191FAE7C" w14:textId="31248EA6" w:rsidR="008B759A" w:rsidRPr="0085100A" w:rsidRDefault="008B759A" w:rsidP="00402200">
            <w:pPr>
              <w:jc w:val="center"/>
              <w:rPr>
                <w:color w:val="000000"/>
              </w:rPr>
            </w:pPr>
            <w:r>
              <w:rPr>
                <w:color w:val="000000"/>
              </w:rPr>
              <w:t>$</w:t>
            </w:r>
            <w:r w:rsidR="00402200">
              <w:rPr>
                <w:color w:val="000000"/>
              </w:rPr>
              <w:t>15</w:t>
            </w:r>
            <w:r>
              <w:rPr>
                <w:color w:val="000000"/>
              </w:rPr>
              <w:t>,</w:t>
            </w:r>
            <w:r w:rsidR="00402200">
              <w:rPr>
                <w:color w:val="000000"/>
              </w:rPr>
              <w:t>162</w:t>
            </w:r>
            <w:r>
              <w:rPr>
                <w:color w:val="000000"/>
              </w:rPr>
              <w:t>.</w:t>
            </w:r>
            <w:r w:rsidR="00402200">
              <w:rPr>
                <w:color w:val="000000"/>
              </w:rPr>
              <w:t>4</w:t>
            </w:r>
            <w:r>
              <w:rPr>
                <w:color w:val="000000"/>
              </w:rPr>
              <w:t>0</w:t>
            </w:r>
          </w:p>
        </w:tc>
      </w:tr>
    </w:tbl>
    <w:p w14:paraId="0D664933" w14:textId="77777777" w:rsidR="006B2190" w:rsidRDefault="006B2190" w:rsidP="00C65166"/>
    <w:p w14:paraId="5A0F3603" w14:textId="77777777" w:rsidR="00C65166" w:rsidRDefault="00C65166" w:rsidP="00C65166">
      <w:pPr>
        <w:pStyle w:val="Heading2"/>
      </w:pPr>
      <w:bookmarkStart w:id="23" w:name="_Toc7592398"/>
      <w:r>
        <w:t>A.13. Estimates of Other Total Annual Cost Burden to Respondents or Record Keepers</w:t>
      </w:r>
      <w:bookmarkEnd w:id="23"/>
    </w:p>
    <w:p w14:paraId="4A4678E6" w14:textId="66F6CD75" w:rsidR="00C65166" w:rsidRDefault="008B759A" w:rsidP="00C65166">
      <w:r w:rsidRPr="008B759A">
        <w:t>This data collection will not result in costs for respondents or record keepers. No capital</w:t>
      </w:r>
      <w:r>
        <w:t xml:space="preserve">, maintenance, </w:t>
      </w:r>
      <w:r w:rsidRPr="008B759A">
        <w:t>start-up, hardware</w:t>
      </w:r>
      <w:r>
        <w:t>,</w:t>
      </w:r>
      <w:r w:rsidRPr="008B759A">
        <w:t xml:space="preserve"> or software costs</w:t>
      </w:r>
      <w:r>
        <w:t xml:space="preserve"> are expected for respondents or record keepers</w:t>
      </w:r>
      <w:r w:rsidRPr="008B759A">
        <w:t>.</w:t>
      </w:r>
    </w:p>
    <w:p w14:paraId="746AD944" w14:textId="77777777" w:rsidR="008B759A" w:rsidRDefault="008B759A" w:rsidP="00C65166"/>
    <w:p w14:paraId="0C98E786" w14:textId="77777777" w:rsidR="00C65166" w:rsidRDefault="00C65166" w:rsidP="00C65166">
      <w:pPr>
        <w:pStyle w:val="Heading2"/>
      </w:pPr>
      <w:bookmarkStart w:id="24" w:name="_Toc7592399"/>
      <w:r>
        <w:t>A.14. Annualized Cost to the Government</w:t>
      </w:r>
      <w:bookmarkEnd w:id="24"/>
    </w:p>
    <w:p w14:paraId="4566E417" w14:textId="62814248" w:rsidR="006B2190" w:rsidRPr="0085100A" w:rsidRDefault="006B2190" w:rsidP="006B2190">
      <w:r w:rsidRPr="00EC0554">
        <w:t xml:space="preserve">The average annualized cost to the federal </w:t>
      </w:r>
      <w:r w:rsidRPr="00C92746">
        <w:t>government is $</w:t>
      </w:r>
      <w:r w:rsidR="00C92746" w:rsidRPr="00C65CE4">
        <w:t>167</w:t>
      </w:r>
      <w:r w:rsidR="00CF6CD4" w:rsidRPr="00C65CE4">
        <w:t>,006</w:t>
      </w:r>
      <w:r w:rsidRPr="00C65CE4">
        <w:t>,</w:t>
      </w:r>
      <w:r w:rsidRPr="00C92746">
        <w:t xml:space="preserve"> as summarized</w:t>
      </w:r>
      <w:r w:rsidRPr="00EC0554">
        <w:t xml:space="preserve"> in Table A.14.  Major cost factors for the </w:t>
      </w:r>
      <w:r w:rsidRPr="00EC0554">
        <w:rPr>
          <w:color w:val="000000"/>
        </w:rPr>
        <w:t xml:space="preserve">electronic information collection system </w:t>
      </w:r>
      <w:r w:rsidRPr="00EC0554">
        <w:t>include design and development costs as well as data analysis and reporting costs.</w:t>
      </w:r>
      <w:r w:rsidRPr="0085100A">
        <w:t xml:space="preserve"> </w:t>
      </w:r>
    </w:p>
    <w:p w14:paraId="174922D2" w14:textId="04469BC0" w:rsidR="006B2190" w:rsidRDefault="006B2190" w:rsidP="006B2190"/>
    <w:p w14:paraId="2DF2384E" w14:textId="5F492302" w:rsidR="006B2190" w:rsidRPr="0085100A" w:rsidRDefault="006B2190" w:rsidP="00797ED8">
      <w:pPr>
        <w:spacing w:line="259" w:lineRule="auto"/>
      </w:pPr>
      <w:r w:rsidRPr="0085100A">
        <w:t>Table A.14. Estimated Annualized Cost to the Government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6534"/>
        <w:gridCol w:w="1927"/>
      </w:tblGrid>
      <w:tr w:rsidR="006B2190" w:rsidRPr="00F17BB3" w14:paraId="41F01289" w14:textId="77777777" w:rsidTr="007A213E">
        <w:trPr>
          <w:trHeight w:val="431"/>
        </w:trPr>
        <w:tc>
          <w:tcPr>
            <w:tcW w:w="891" w:type="pct"/>
          </w:tcPr>
          <w:p w14:paraId="4066E3AC" w14:textId="77777777" w:rsidR="006B2190" w:rsidRPr="00F17BB3" w:rsidRDefault="006B2190" w:rsidP="00D37BA7">
            <w:pPr>
              <w:rPr>
                <w:b/>
              </w:rPr>
            </w:pPr>
            <w:r w:rsidRPr="00F17BB3">
              <w:rPr>
                <w:b/>
              </w:rPr>
              <w:t>Type of Cost</w:t>
            </w:r>
          </w:p>
        </w:tc>
        <w:tc>
          <w:tcPr>
            <w:tcW w:w="3173" w:type="pct"/>
          </w:tcPr>
          <w:p w14:paraId="4639276F" w14:textId="77777777" w:rsidR="006B2190" w:rsidRPr="00F17BB3" w:rsidRDefault="006B2190" w:rsidP="00D37BA7">
            <w:pPr>
              <w:rPr>
                <w:b/>
              </w:rPr>
            </w:pPr>
            <w:r w:rsidRPr="00F17BB3">
              <w:rPr>
                <w:b/>
              </w:rPr>
              <w:t>Description of Services</w:t>
            </w:r>
          </w:p>
        </w:tc>
        <w:tc>
          <w:tcPr>
            <w:tcW w:w="936" w:type="pct"/>
          </w:tcPr>
          <w:p w14:paraId="19AAA106" w14:textId="77777777" w:rsidR="006B2190" w:rsidRPr="00F17BB3" w:rsidRDefault="006B2190" w:rsidP="00CC37A0">
            <w:pPr>
              <w:jc w:val="right"/>
              <w:rPr>
                <w:b/>
              </w:rPr>
            </w:pPr>
            <w:r w:rsidRPr="00F17BB3">
              <w:rPr>
                <w:b/>
              </w:rPr>
              <w:t>Annual Cost</w:t>
            </w:r>
          </w:p>
        </w:tc>
      </w:tr>
      <w:tr w:rsidR="002B72FA" w:rsidRPr="0085100A" w14:paraId="397BEEAF" w14:textId="77777777" w:rsidTr="00CC37A0">
        <w:tc>
          <w:tcPr>
            <w:tcW w:w="891" w:type="pct"/>
            <w:vMerge w:val="restart"/>
          </w:tcPr>
          <w:p w14:paraId="3203E3D1" w14:textId="77777777" w:rsidR="002B72FA" w:rsidRPr="00835B83" w:rsidRDefault="002B72FA" w:rsidP="00D37BA7">
            <w:r w:rsidRPr="00835B83">
              <w:t>CDC Personnel</w:t>
            </w:r>
          </w:p>
          <w:p w14:paraId="5A479ECB" w14:textId="77777777" w:rsidR="002B72FA" w:rsidRPr="00835B83" w:rsidRDefault="002B72FA" w:rsidP="00D37BA7">
            <w:pPr>
              <w:rPr>
                <w:vertAlign w:val="superscript"/>
              </w:rPr>
            </w:pPr>
          </w:p>
        </w:tc>
        <w:tc>
          <w:tcPr>
            <w:tcW w:w="3173" w:type="pct"/>
          </w:tcPr>
          <w:p w14:paraId="08A3B1BC" w14:textId="64BEF1DD" w:rsidR="002B72FA" w:rsidRPr="00835B83" w:rsidRDefault="002B72FA" w:rsidP="008B759A">
            <w:pPr>
              <w:contextualSpacing/>
            </w:pPr>
            <w:r>
              <w:t>20</w:t>
            </w:r>
            <w:r w:rsidRPr="00835B83">
              <w:t xml:space="preserve">% </w:t>
            </w:r>
            <w:r w:rsidR="008B759A">
              <w:t xml:space="preserve">of </w:t>
            </w:r>
            <w:r w:rsidRPr="00835B83">
              <w:t xml:space="preserve">GS-13 </w:t>
            </w:r>
            <w:r>
              <w:t xml:space="preserve">Behavioral/Health Scientist </w:t>
            </w:r>
            <w:r w:rsidRPr="00835B83">
              <w:t xml:space="preserve">at </w:t>
            </w:r>
            <w:r>
              <w:t>$9</w:t>
            </w:r>
            <w:r w:rsidR="00330C83">
              <w:t>1,631</w:t>
            </w:r>
            <w:r w:rsidRPr="00835B83">
              <w:t xml:space="preserve">/year </w:t>
            </w:r>
            <w:r>
              <w:t>for data collection design, collection, analysis, and reporting</w:t>
            </w:r>
          </w:p>
        </w:tc>
        <w:tc>
          <w:tcPr>
            <w:tcW w:w="936" w:type="pct"/>
            <w:vAlign w:val="center"/>
          </w:tcPr>
          <w:p w14:paraId="0AE62090" w14:textId="3EB2D1FD" w:rsidR="002B72FA" w:rsidRPr="00D40C5B" w:rsidRDefault="002B72FA" w:rsidP="00CC37A0">
            <w:pPr>
              <w:jc w:val="right"/>
            </w:pPr>
            <w:r>
              <w:t>$</w:t>
            </w:r>
            <w:r w:rsidR="00D2066F">
              <w:t>18,362</w:t>
            </w:r>
          </w:p>
        </w:tc>
      </w:tr>
      <w:tr w:rsidR="002B72FA" w:rsidRPr="0085100A" w14:paraId="210EE21A" w14:textId="77777777" w:rsidTr="00CC37A0">
        <w:tc>
          <w:tcPr>
            <w:tcW w:w="891" w:type="pct"/>
            <w:vMerge/>
          </w:tcPr>
          <w:p w14:paraId="21088BE9" w14:textId="77777777" w:rsidR="002B72FA" w:rsidRDefault="002B72FA" w:rsidP="00D37BA7">
            <w:pPr>
              <w:rPr>
                <w:color w:val="000000"/>
              </w:rPr>
            </w:pPr>
          </w:p>
        </w:tc>
        <w:tc>
          <w:tcPr>
            <w:tcW w:w="3173" w:type="pct"/>
          </w:tcPr>
          <w:p w14:paraId="5FEC2FB3" w14:textId="62AA4238" w:rsidR="002B72FA" w:rsidRDefault="008B759A" w:rsidP="008B759A">
            <w:pPr>
              <w:contextualSpacing/>
              <w:rPr>
                <w:color w:val="000000"/>
              </w:rPr>
            </w:pPr>
            <w:r>
              <w:rPr>
                <w:color w:val="000000"/>
              </w:rPr>
              <w:t>2</w:t>
            </w:r>
            <w:r w:rsidR="002B72FA">
              <w:rPr>
                <w:color w:val="000000"/>
              </w:rPr>
              <w:t>0%</w:t>
            </w:r>
            <w:r>
              <w:rPr>
                <w:color w:val="000000"/>
              </w:rPr>
              <w:t xml:space="preserve"> of </w:t>
            </w:r>
            <w:r w:rsidR="002B72FA">
              <w:rPr>
                <w:color w:val="000000"/>
              </w:rPr>
              <w:t>GS-13 Health Informatician at</w:t>
            </w:r>
            <w:r w:rsidR="00D2066F">
              <w:rPr>
                <w:color w:val="000000"/>
              </w:rPr>
              <w:t xml:space="preserve"> $91,631</w:t>
            </w:r>
            <w:r w:rsidR="002B72FA">
              <w:rPr>
                <w:color w:val="000000"/>
              </w:rPr>
              <w:t xml:space="preserve"> for data system design, development, and </w:t>
            </w:r>
            <w:r>
              <w:rPr>
                <w:color w:val="000000"/>
              </w:rPr>
              <w:t>maintenance</w:t>
            </w:r>
          </w:p>
        </w:tc>
        <w:tc>
          <w:tcPr>
            <w:tcW w:w="936" w:type="pct"/>
            <w:vAlign w:val="center"/>
          </w:tcPr>
          <w:p w14:paraId="02EEDFDD" w14:textId="441DA8F6" w:rsidR="002B72FA" w:rsidRPr="00EA4EC9" w:rsidRDefault="00D2066F" w:rsidP="00CC37A0">
            <w:pPr>
              <w:jc w:val="right"/>
            </w:pPr>
            <w:r>
              <w:t>$18,362</w:t>
            </w:r>
          </w:p>
        </w:tc>
      </w:tr>
      <w:tr w:rsidR="002B72FA" w:rsidRPr="0085100A" w14:paraId="1FA293B3" w14:textId="77777777" w:rsidTr="00CC37A0">
        <w:tc>
          <w:tcPr>
            <w:tcW w:w="891" w:type="pct"/>
            <w:vMerge/>
          </w:tcPr>
          <w:p w14:paraId="1BDC4F76" w14:textId="77777777" w:rsidR="002B72FA" w:rsidRDefault="002B72FA" w:rsidP="00D37BA7">
            <w:pPr>
              <w:rPr>
                <w:color w:val="000000"/>
              </w:rPr>
            </w:pPr>
          </w:p>
        </w:tc>
        <w:tc>
          <w:tcPr>
            <w:tcW w:w="3173" w:type="pct"/>
          </w:tcPr>
          <w:p w14:paraId="6DE12AC5" w14:textId="0016F025" w:rsidR="002B72FA" w:rsidRDefault="008B759A" w:rsidP="008B759A">
            <w:pPr>
              <w:contextualSpacing/>
              <w:rPr>
                <w:color w:val="000000"/>
              </w:rPr>
            </w:pPr>
            <w:r>
              <w:rPr>
                <w:color w:val="000000"/>
              </w:rPr>
              <w:t xml:space="preserve">10% of </w:t>
            </w:r>
            <w:r w:rsidR="002B72FA">
              <w:rPr>
                <w:color w:val="000000"/>
              </w:rPr>
              <w:t>GS-14 Behavioral Scientist at</w:t>
            </w:r>
            <w:r w:rsidR="00D2066F">
              <w:rPr>
                <w:color w:val="000000"/>
              </w:rPr>
              <w:t xml:space="preserve"> $108,281</w:t>
            </w:r>
            <w:r w:rsidR="002B72FA">
              <w:rPr>
                <w:color w:val="000000"/>
              </w:rPr>
              <w:t xml:space="preserve"> for contract management</w:t>
            </w:r>
            <w:r>
              <w:rPr>
                <w:color w:val="000000"/>
              </w:rPr>
              <w:t xml:space="preserve"> and business product ownership</w:t>
            </w:r>
          </w:p>
        </w:tc>
        <w:tc>
          <w:tcPr>
            <w:tcW w:w="936" w:type="pct"/>
            <w:vAlign w:val="center"/>
          </w:tcPr>
          <w:p w14:paraId="7232BDA7" w14:textId="4429B233" w:rsidR="002B72FA" w:rsidRPr="00EA4EC9" w:rsidRDefault="00D2066F" w:rsidP="00CC37A0">
            <w:pPr>
              <w:jc w:val="right"/>
            </w:pPr>
            <w:r>
              <w:t>$10,282</w:t>
            </w:r>
          </w:p>
        </w:tc>
      </w:tr>
      <w:tr w:rsidR="00E43300" w:rsidRPr="0085100A" w14:paraId="18CC3690" w14:textId="77777777" w:rsidTr="00A54680">
        <w:trPr>
          <w:trHeight w:val="288"/>
        </w:trPr>
        <w:tc>
          <w:tcPr>
            <w:tcW w:w="891" w:type="pct"/>
            <w:vMerge w:val="restart"/>
          </w:tcPr>
          <w:p w14:paraId="62807628" w14:textId="79404526" w:rsidR="00E43300" w:rsidRPr="00835B83" w:rsidRDefault="00C92746" w:rsidP="00D37BA7">
            <w:r>
              <w:rPr>
                <w:color w:val="000000"/>
              </w:rPr>
              <w:t>Contractor</w:t>
            </w:r>
          </w:p>
        </w:tc>
        <w:tc>
          <w:tcPr>
            <w:tcW w:w="3173" w:type="pct"/>
          </w:tcPr>
          <w:p w14:paraId="7541BA6A" w14:textId="5EF1F3F9" w:rsidR="00E43300" w:rsidRPr="00835B83" w:rsidRDefault="008B759A" w:rsidP="00D37BA7">
            <w:pPr>
              <w:contextualSpacing/>
            </w:pPr>
            <w:r>
              <w:rPr>
                <w:color w:val="000000"/>
              </w:rPr>
              <w:t>Data System Development</w:t>
            </w:r>
          </w:p>
        </w:tc>
        <w:tc>
          <w:tcPr>
            <w:tcW w:w="936" w:type="pct"/>
            <w:vAlign w:val="center"/>
          </w:tcPr>
          <w:p w14:paraId="75996532" w14:textId="31A9BED0" w:rsidR="00E43300" w:rsidRPr="00C65CE4" w:rsidRDefault="00CF6CD4" w:rsidP="00C92746">
            <w:pPr>
              <w:jc w:val="right"/>
            </w:pPr>
            <w:r w:rsidRPr="00C65CE4">
              <w:t>$</w:t>
            </w:r>
            <w:r w:rsidR="00C92746" w:rsidRPr="00C65CE4">
              <w:t>10</w:t>
            </w:r>
            <w:r w:rsidRPr="00C65CE4">
              <w:t xml:space="preserve">0,000 </w:t>
            </w:r>
          </w:p>
        </w:tc>
      </w:tr>
      <w:tr w:rsidR="00E43300" w:rsidRPr="0085100A" w14:paraId="06681237" w14:textId="77777777" w:rsidTr="00A54680">
        <w:trPr>
          <w:trHeight w:val="288"/>
        </w:trPr>
        <w:tc>
          <w:tcPr>
            <w:tcW w:w="891" w:type="pct"/>
            <w:vMerge/>
          </w:tcPr>
          <w:p w14:paraId="3AC720DE" w14:textId="77777777" w:rsidR="00E43300" w:rsidRDefault="00E43300" w:rsidP="00D37BA7">
            <w:pPr>
              <w:rPr>
                <w:color w:val="000000"/>
              </w:rPr>
            </w:pPr>
          </w:p>
        </w:tc>
        <w:tc>
          <w:tcPr>
            <w:tcW w:w="3173" w:type="pct"/>
          </w:tcPr>
          <w:p w14:paraId="0444C695" w14:textId="547B25AA" w:rsidR="00E43300" w:rsidRDefault="008B759A" w:rsidP="00D37BA7">
            <w:pPr>
              <w:contextualSpacing/>
              <w:rPr>
                <w:color w:val="000000"/>
              </w:rPr>
            </w:pPr>
            <w:r>
              <w:rPr>
                <w:color w:val="000000"/>
              </w:rPr>
              <w:t xml:space="preserve">Data System Maintenance </w:t>
            </w:r>
          </w:p>
        </w:tc>
        <w:tc>
          <w:tcPr>
            <w:tcW w:w="936" w:type="pct"/>
            <w:vAlign w:val="center"/>
          </w:tcPr>
          <w:p w14:paraId="5D83051D" w14:textId="4EA72144" w:rsidR="00E43300" w:rsidRPr="00C65CE4" w:rsidRDefault="00CF6CD4" w:rsidP="00CC37A0">
            <w:pPr>
              <w:jc w:val="right"/>
            </w:pPr>
            <w:r w:rsidRPr="00C65CE4">
              <w:t>$10,000</w:t>
            </w:r>
          </w:p>
        </w:tc>
      </w:tr>
      <w:tr w:rsidR="00E43300" w:rsidRPr="0085100A" w14:paraId="44F174A2" w14:textId="77777777" w:rsidTr="00A54680">
        <w:trPr>
          <w:trHeight w:val="288"/>
        </w:trPr>
        <w:tc>
          <w:tcPr>
            <w:tcW w:w="891" w:type="pct"/>
            <w:vMerge/>
          </w:tcPr>
          <w:p w14:paraId="6DC556CF" w14:textId="77777777" w:rsidR="00E43300" w:rsidRDefault="00E43300" w:rsidP="00D37BA7">
            <w:pPr>
              <w:rPr>
                <w:color w:val="000000"/>
              </w:rPr>
            </w:pPr>
          </w:p>
        </w:tc>
        <w:tc>
          <w:tcPr>
            <w:tcW w:w="3173" w:type="pct"/>
          </w:tcPr>
          <w:p w14:paraId="46A03EAE" w14:textId="602FAD3B" w:rsidR="00E43300" w:rsidRDefault="008B759A" w:rsidP="00D37BA7">
            <w:pPr>
              <w:contextualSpacing/>
              <w:rPr>
                <w:color w:val="000000"/>
              </w:rPr>
            </w:pPr>
            <w:r>
              <w:rPr>
                <w:color w:val="000000"/>
              </w:rPr>
              <w:t>Data Reporting and Dashboard</w:t>
            </w:r>
          </w:p>
        </w:tc>
        <w:tc>
          <w:tcPr>
            <w:tcW w:w="936" w:type="pct"/>
            <w:vAlign w:val="center"/>
          </w:tcPr>
          <w:p w14:paraId="0C91803E" w14:textId="6A221747" w:rsidR="00E43300" w:rsidRPr="00C65CE4" w:rsidRDefault="00CF6CD4" w:rsidP="00CC37A0">
            <w:pPr>
              <w:jc w:val="right"/>
            </w:pPr>
            <w:r w:rsidRPr="00C65CE4">
              <w:t>$10,000</w:t>
            </w:r>
          </w:p>
        </w:tc>
      </w:tr>
      <w:tr w:rsidR="006B2190" w:rsidRPr="0085100A" w14:paraId="748A15F0" w14:textId="77777777" w:rsidTr="00A54680">
        <w:trPr>
          <w:trHeight w:val="288"/>
        </w:trPr>
        <w:tc>
          <w:tcPr>
            <w:tcW w:w="4064" w:type="pct"/>
            <w:gridSpan w:val="2"/>
          </w:tcPr>
          <w:p w14:paraId="6D55EE7A" w14:textId="77777777" w:rsidR="006B2190" w:rsidRPr="00835B83" w:rsidRDefault="006B2190" w:rsidP="00D37BA7">
            <w:pPr>
              <w:jc w:val="right"/>
              <w:rPr>
                <w:bCs/>
              </w:rPr>
            </w:pPr>
            <w:r w:rsidRPr="00835B83">
              <w:rPr>
                <w:bCs/>
              </w:rPr>
              <w:t xml:space="preserve">Total </w:t>
            </w:r>
          </w:p>
        </w:tc>
        <w:tc>
          <w:tcPr>
            <w:tcW w:w="936" w:type="pct"/>
          </w:tcPr>
          <w:p w14:paraId="14AAB90E" w14:textId="5809FCB7" w:rsidR="006B2190" w:rsidRPr="00C65CE4" w:rsidRDefault="006B2190" w:rsidP="00C92746">
            <w:pPr>
              <w:jc w:val="right"/>
              <w:rPr>
                <w:b/>
                <w:bCs/>
              </w:rPr>
            </w:pPr>
            <w:r w:rsidRPr="00C65CE4">
              <w:rPr>
                <w:b/>
                <w:bCs/>
              </w:rPr>
              <w:t>$</w:t>
            </w:r>
            <w:r w:rsidR="00C92746" w:rsidRPr="00C65CE4">
              <w:rPr>
                <w:b/>
                <w:bCs/>
              </w:rPr>
              <w:t>16</w:t>
            </w:r>
            <w:r w:rsidR="00CF6CD4" w:rsidRPr="00C65CE4">
              <w:rPr>
                <w:b/>
                <w:bCs/>
              </w:rPr>
              <w:t>7,006</w:t>
            </w:r>
          </w:p>
        </w:tc>
      </w:tr>
    </w:tbl>
    <w:p w14:paraId="534BDD81" w14:textId="0DA44147" w:rsidR="00C65166" w:rsidRDefault="00C65166" w:rsidP="00C65166"/>
    <w:p w14:paraId="207D7502" w14:textId="77777777" w:rsidR="00C65166" w:rsidRDefault="00C65166" w:rsidP="00C65166">
      <w:pPr>
        <w:pStyle w:val="Heading2"/>
      </w:pPr>
      <w:bookmarkStart w:id="25" w:name="_Toc7592400"/>
      <w:r>
        <w:t>A.15. Explanation for Program Changes or Adjustments</w:t>
      </w:r>
      <w:bookmarkEnd w:id="25"/>
    </w:p>
    <w:p w14:paraId="4B1C8923" w14:textId="77777777" w:rsidR="00C65166" w:rsidRDefault="00C65166" w:rsidP="00C65166">
      <w:r>
        <w:t>This is a new collection.</w:t>
      </w:r>
    </w:p>
    <w:p w14:paraId="5B9793E8" w14:textId="77777777" w:rsidR="00C92746" w:rsidRDefault="00C92746" w:rsidP="00C65166"/>
    <w:p w14:paraId="63CE2B5E" w14:textId="77777777" w:rsidR="00C65166" w:rsidRDefault="00C65166" w:rsidP="00C65166">
      <w:pPr>
        <w:pStyle w:val="Heading2"/>
      </w:pPr>
      <w:bookmarkStart w:id="26" w:name="_Toc7592401"/>
      <w:r>
        <w:t>A.16. Plans for Tabulation and Publication, and Project Time Schedule</w:t>
      </w:r>
      <w:bookmarkEnd w:id="26"/>
    </w:p>
    <w:p w14:paraId="77628E03" w14:textId="77777777" w:rsidR="00C65166" w:rsidRDefault="00C65166" w:rsidP="00C65166"/>
    <w:p w14:paraId="1DD527F0" w14:textId="3C0CE290" w:rsidR="00A53BC8" w:rsidRDefault="00A53BC8" w:rsidP="00A53BC8">
      <w:pPr>
        <w:autoSpaceDE w:val="0"/>
        <w:autoSpaceDN w:val="0"/>
        <w:adjustRightInd w:val="0"/>
        <w:rPr>
          <w:bCs/>
          <w:u w:val="single"/>
        </w:rPr>
      </w:pPr>
      <w:r w:rsidRPr="0085100A">
        <w:rPr>
          <w:bCs/>
        </w:rPr>
        <w:t xml:space="preserve">A. </w:t>
      </w:r>
      <w:r w:rsidRPr="0085100A">
        <w:rPr>
          <w:bCs/>
          <w:u w:val="single"/>
        </w:rPr>
        <w:t>Time schedule for the entire project</w:t>
      </w:r>
    </w:p>
    <w:p w14:paraId="2232784D" w14:textId="3204FD3E" w:rsidR="00A53BC8" w:rsidRDefault="00A53BC8" w:rsidP="00A53BC8">
      <w:pPr>
        <w:autoSpaceDE w:val="0"/>
        <w:autoSpaceDN w:val="0"/>
        <w:adjustRightInd w:val="0"/>
        <w:rPr>
          <w:bCs/>
        </w:rPr>
      </w:pPr>
      <w:r w:rsidRPr="0085100A">
        <w:rPr>
          <w:bCs/>
        </w:rPr>
        <w:t xml:space="preserve">The </w:t>
      </w:r>
      <w:r w:rsidR="00CC37A0">
        <w:rPr>
          <w:bCs/>
        </w:rPr>
        <w:t xml:space="preserve">RPE CE19-1902 </w:t>
      </w:r>
      <w:r w:rsidRPr="0085100A">
        <w:rPr>
          <w:bCs/>
        </w:rPr>
        <w:t xml:space="preserve">cooperative agreement </w:t>
      </w:r>
      <w:r w:rsidR="00CC37A0">
        <w:rPr>
          <w:bCs/>
        </w:rPr>
        <w:t xml:space="preserve">project period </w:t>
      </w:r>
      <w:r w:rsidRPr="0085100A">
        <w:rPr>
          <w:bCs/>
        </w:rPr>
        <w:t>is five years</w:t>
      </w:r>
      <w:r w:rsidR="00CC37A0">
        <w:rPr>
          <w:bCs/>
        </w:rPr>
        <w:t>: February 1, 2019 – January 31, 2024</w:t>
      </w:r>
      <w:r w:rsidRPr="0085100A">
        <w:rPr>
          <w:bCs/>
        </w:rPr>
        <w:t xml:space="preserve">. OMB approval </w:t>
      </w:r>
      <w:r w:rsidR="00CC37A0">
        <w:rPr>
          <w:bCs/>
        </w:rPr>
        <w:t xml:space="preserve">of this ICR </w:t>
      </w:r>
      <w:r w:rsidRPr="0085100A">
        <w:rPr>
          <w:bCs/>
        </w:rPr>
        <w:t xml:space="preserve">is being </w:t>
      </w:r>
      <w:r w:rsidRPr="00835B83">
        <w:rPr>
          <w:bCs/>
        </w:rPr>
        <w:t xml:space="preserve">requested for </w:t>
      </w:r>
      <w:r>
        <w:rPr>
          <w:bCs/>
        </w:rPr>
        <w:t xml:space="preserve">three </w:t>
      </w:r>
      <w:r w:rsidRPr="00835B83">
        <w:rPr>
          <w:bCs/>
        </w:rPr>
        <w:t>years.</w:t>
      </w:r>
      <w:r w:rsidRPr="0085100A">
        <w:rPr>
          <w:bCs/>
        </w:rPr>
        <w:t xml:space="preserve"> </w:t>
      </w:r>
      <w:r w:rsidR="00CC37A0">
        <w:rPr>
          <w:bCs/>
        </w:rPr>
        <w:t xml:space="preserve">Annual reporting </w:t>
      </w:r>
      <w:r w:rsidRPr="0085100A">
        <w:rPr>
          <w:bCs/>
        </w:rPr>
        <w:t xml:space="preserve">by the </w:t>
      </w:r>
      <w:r>
        <w:rPr>
          <w:bCs/>
        </w:rPr>
        <w:t>recipients</w:t>
      </w:r>
      <w:r w:rsidRPr="0085100A">
        <w:rPr>
          <w:bCs/>
        </w:rPr>
        <w:t xml:space="preserve"> </w:t>
      </w:r>
      <w:r w:rsidR="00CC37A0">
        <w:rPr>
          <w:bCs/>
        </w:rPr>
        <w:t xml:space="preserve">are due </w:t>
      </w:r>
      <w:r w:rsidRPr="0085100A">
        <w:rPr>
          <w:bCs/>
        </w:rPr>
        <w:t xml:space="preserve">120 days before the end of the budget period. </w:t>
      </w:r>
      <w:r w:rsidR="001F1DBF">
        <w:rPr>
          <w:bCs/>
        </w:rPr>
        <w:t xml:space="preserve">CDC </w:t>
      </w:r>
      <w:r w:rsidR="00CC37A0">
        <w:rPr>
          <w:bCs/>
        </w:rPr>
        <w:t xml:space="preserve">will conduct </w:t>
      </w:r>
      <w:r w:rsidR="001F1DBF">
        <w:rPr>
          <w:bCs/>
        </w:rPr>
        <w:t xml:space="preserve">analysis, visualization, and reporting after data are submitted and finalized each year. </w:t>
      </w:r>
    </w:p>
    <w:p w14:paraId="7FFF921A" w14:textId="77777777" w:rsidR="00A53BC8" w:rsidRDefault="00A53BC8" w:rsidP="00A53BC8">
      <w:pPr>
        <w:autoSpaceDE w:val="0"/>
        <w:autoSpaceDN w:val="0"/>
        <w:adjustRightInd w:val="0"/>
        <w:rPr>
          <w:bCs/>
        </w:rPr>
      </w:pPr>
    </w:p>
    <w:p w14:paraId="233335A2" w14:textId="5CB773E1" w:rsidR="00A53BC8" w:rsidRDefault="00A53BC8" w:rsidP="00A53BC8">
      <w:pPr>
        <w:autoSpaceDE w:val="0"/>
        <w:autoSpaceDN w:val="0"/>
        <w:adjustRightInd w:val="0"/>
        <w:rPr>
          <w:bCs/>
          <w:u w:val="single"/>
        </w:rPr>
      </w:pPr>
      <w:r w:rsidRPr="0085100A">
        <w:rPr>
          <w:bCs/>
        </w:rPr>
        <w:t xml:space="preserve">B. </w:t>
      </w:r>
      <w:r w:rsidRPr="0085100A">
        <w:rPr>
          <w:bCs/>
          <w:u w:val="single"/>
        </w:rPr>
        <w:t>Publication plan</w:t>
      </w:r>
    </w:p>
    <w:p w14:paraId="3FFE6775" w14:textId="7B7DA68B" w:rsidR="007A213E" w:rsidRDefault="007A213E" w:rsidP="00A53BC8">
      <w:pPr>
        <w:autoSpaceDE w:val="0"/>
        <w:autoSpaceDN w:val="0"/>
        <w:adjustRightInd w:val="0"/>
      </w:pPr>
      <w:r>
        <w:rPr>
          <w:bCs/>
        </w:rPr>
        <w:t>National reports that describe information across all recipients will be provided to CDC leadership, RPE stakeholders, and RPE recipients</w:t>
      </w:r>
      <w:r w:rsidR="00A53BC8" w:rsidRPr="0085100A">
        <w:rPr>
          <w:bCs/>
        </w:rPr>
        <w:t>.</w:t>
      </w:r>
      <w:r w:rsidR="00A53BC8" w:rsidRPr="00B83F16">
        <w:t xml:space="preserve"> </w:t>
      </w:r>
      <w:r>
        <w:t xml:space="preserve">Reports will be generated to </w:t>
      </w:r>
      <w:r w:rsidR="00A53BC8" w:rsidRPr="0085100A">
        <w:t>respond to inquiries from HHS, the White House, Congress and other stakeholders</w:t>
      </w:r>
      <w:r>
        <w:t xml:space="preserve">, and these may include aggregate findings segmented or filtered by certain characteristics or information. CDC will also generate reports specific to each recipients and provide a summary report to that recipients to facilitate their use of data for program planning and improvement. </w:t>
      </w:r>
    </w:p>
    <w:p w14:paraId="1F2BFC70" w14:textId="2FB99B85" w:rsidR="007A213E" w:rsidRDefault="007A213E" w:rsidP="00A53BC8">
      <w:pPr>
        <w:autoSpaceDE w:val="0"/>
        <w:autoSpaceDN w:val="0"/>
        <w:adjustRightInd w:val="0"/>
      </w:pPr>
    </w:p>
    <w:p w14:paraId="7E9D6030" w14:textId="629F77E1" w:rsidR="00A53BC8" w:rsidRDefault="00A53BC8" w:rsidP="00A53BC8">
      <w:pPr>
        <w:autoSpaceDE w:val="0"/>
        <w:autoSpaceDN w:val="0"/>
        <w:adjustRightInd w:val="0"/>
      </w:pPr>
      <w:r>
        <w:t xml:space="preserve">CDC will </w:t>
      </w:r>
      <w:r w:rsidR="007A213E">
        <w:t xml:space="preserve">report findings </w:t>
      </w:r>
      <w:r>
        <w:t xml:space="preserve">to external audiences, as needed, to describe the state of </w:t>
      </w:r>
      <w:r w:rsidR="007A213E">
        <w:t xml:space="preserve">SV </w:t>
      </w:r>
      <w:r>
        <w:t>violence prevention across the nation</w:t>
      </w:r>
      <w:r w:rsidR="001F1DBF">
        <w:t>; these include scientific and program conferences and meetings</w:t>
      </w:r>
      <w:r>
        <w:t xml:space="preserve">. </w:t>
      </w:r>
      <w:r w:rsidR="009A4A81">
        <w:t xml:space="preserve">Moreover, findings </w:t>
      </w:r>
      <w:r w:rsidR="007A213E">
        <w:t xml:space="preserve">and program information </w:t>
      </w:r>
      <w:r w:rsidR="009A4A81">
        <w:t xml:space="preserve">will be published in a </w:t>
      </w:r>
      <w:r w:rsidRPr="005C388F">
        <w:rPr>
          <w:bCs/>
        </w:rPr>
        <w:t>p</w:t>
      </w:r>
      <w:r w:rsidR="009A4A81">
        <w:rPr>
          <w:bCs/>
        </w:rPr>
        <w:t xml:space="preserve">eer-reviewed scientific journal to </w:t>
      </w:r>
      <w:r w:rsidR="007A213E">
        <w:rPr>
          <w:bCs/>
        </w:rPr>
        <w:t>share lessons learned and findings about the RPE Program’s impact on SV prevention in the U.S.</w:t>
      </w:r>
    </w:p>
    <w:p w14:paraId="3F9D355C" w14:textId="5E125AC6" w:rsidR="00A53BC8" w:rsidRDefault="00A53BC8" w:rsidP="00A53BC8">
      <w:pPr>
        <w:autoSpaceDE w:val="0"/>
        <w:autoSpaceDN w:val="0"/>
        <w:adjustRightInd w:val="0"/>
        <w:rPr>
          <w:bCs/>
        </w:rPr>
      </w:pPr>
    </w:p>
    <w:p w14:paraId="177CD708" w14:textId="32B1B708" w:rsidR="00A53BC8" w:rsidRPr="00C65CE4" w:rsidRDefault="00A53BC8" w:rsidP="00C65CE4">
      <w:pPr>
        <w:pStyle w:val="ListParagraph"/>
        <w:numPr>
          <w:ilvl w:val="0"/>
          <w:numId w:val="4"/>
        </w:numPr>
        <w:autoSpaceDE w:val="0"/>
        <w:autoSpaceDN w:val="0"/>
        <w:adjustRightInd w:val="0"/>
        <w:rPr>
          <w:bCs/>
          <w:u w:val="single"/>
        </w:rPr>
      </w:pPr>
      <w:r w:rsidRPr="00C65CE4">
        <w:rPr>
          <w:bCs/>
          <w:u w:val="single"/>
        </w:rPr>
        <w:t>Analysis plan</w:t>
      </w:r>
    </w:p>
    <w:p w14:paraId="2B520189" w14:textId="309C00D9" w:rsidR="00A53BC8" w:rsidRPr="0085100A" w:rsidRDefault="00A53BC8" w:rsidP="009040C1">
      <w:pPr>
        <w:autoSpaceDE w:val="0"/>
        <w:autoSpaceDN w:val="0"/>
        <w:adjustRightInd w:val="0"/>
        <w:rPr>
          <w:bCs/>
        </w:rPr>
      </w:pPr>
      <w:r w:rsidRPr="0085100A">
        <w:rPr>
          <w:bCs/>
        </w:rPr>
        <w:t xml:space="preserve">CDC will not use complex statistical methods for analyzing information. Most statistical analyses will be </w:t>
      </w:r>
      <w:r w:rsidR="00CD3193">
        <w:rPr>
          <w:bCs/>
        </w:rPr>
        <w:t xml:space="preserve">multilevel </w:t>
      </w:r>
      <w:r w:rsidRPr="0085100A">
        <w:rPr>
          <w:bCs/>
        </w:rPr>
        <w:t>descriptive (</w:t>
      </w:r>
      <w:r w:rsidR="007A213E">
        <w:rPr>
          <w:bCs/>
        </w:rPr>
        <w:t xml:space="preserve">e.g., </w:t>
      </w:r>
      <w:r w:rsidRPr="0085100A">
        <w:rPr>
          <w:bCs/>
        </w:rPr>
        <w:t>frequencies and crosstabs</w:t>
      </w:r>
      <w:r w:rsidR="00B14E04">
        <w:rPr>
          <w:bCs/>
        </w:rPr>
        <w:t xml:space="preserve"> of numeric or categorical data</w:t>
      </w:r>
      <w:r w:rsidRPr="0085100A">
        <w:rPr>
          <w:bCs/>
        </w:rPr>
        <w:t>)</w:t>
      </w:r>
      <w:r>
        <w:rPr>
          <w:bCs/>
        </w:rPr>
        <w:t xml:space="preserve"> and content </w:t>
      </w:r>
      <w:r w:rsidR="00DD013B">
        <w:rPr>
          <w:bCs/>
        </w:rPr>
        <w:t xml:space="preserve">(e.g., </w:t>
      </w:r>
      <w:r w:rsidR="007A213E">
        <w:rPr>
          <w:bCs/>
        </w:rPr>
        <w:t xml:space="preserve">categorization of open-ended </w:t>
      </w:r>
      <w:r w:rsidR="00B14E04">
        <w:rPr>
          <w:bCs/>
        </w:rPr>
        <w:t>or text data</w:t>
      </w:r>
      <w:r w:rsidR="00DD013B">
        <w:rPr>
          <w:bCs/>
        </w:rPr>
        <w:t>)</w:t>
      </w:r>
      <w:r w:rsidR="007A213E">
        <w:rPr>
          <w:bCs/>
        </w:rPr>
        <w:t xml:space="preserve">. </w:t>
      </w:r>
      <w:r w:rsidR="00F05220">
        <w:t xml:space="preserve">Information will be synthesized for specific reporting purposes and responses to inquiries. </w:t>
      </w:r>
      <w:r w:rsidR="007A213E">
        <w:t>These reports may include aggregate national reports, or filtered by certain characteristics or information.</w:t>
      </w:r>
    </w:p>
    <w:p w14:paraId="1300A3A2" w14:textId="77777777" w:rsidR="00067ED7" w:rsidRDefault="00067ED7" w:rsidP="00A53BC8">
      <w:pPr>
        <w:autoSpaceDE w:val="0"/>
        <w:autoSpaceDN w:val="0"/>
        <w:adjustRightInd w:val="0"/>
        <w:rPr>
          <w:b/>
          <w:bCs/>
        </w:rPr>
      </w:pPr>
    </w:p>
    <w:p w14:paraId="32E7D09A" w14:textId="27C71EDF" w:rsidR="00A53BC8" w:rsidRDefault="007419B3" w:rsidP="00A53BC8">
      <w:pPr>
        <w:autoSpaceDE w:val="0"/>
        <w:autoSpaceDN w:val="0"/>
        <w:adjustRightInd w:val="0"/>
        <w:rPr>
          <w:bCs/>
        </w:rPr>
      </w:pPr>
      <w:r>
        <w:rPr>
          <w:bCs/>
        </w:rPr>
        <w:t>Table A.16-C</w:t>
      </w:r>
      <w:r w:rsidR="00A53BC8" w:rsidRPr="0085100A">
        <w:rPr>
          <w:bCs/>
        </w:rPr>
        <w:t xml:space="preserve"> Project Time Schedule</w:t>
      </w:r>
    </w:p>
    <w:p w14:paraId="1CF80DB5" w14:textId="77777777" w:rsidR="00C92746" w:rsidRDefault="00C92746" w:rsidP="00A53BC8">
      <w:pPr>
        <w:autoSpaceDE w:val="0"/>
        <w:autoSpaceDN w:val="0"/>
        <w:adjustRightInd w:val="0"/>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6896"/>
      </w:tblGrid>
      <w:tr w:rsidR="00A53BC8" w:rsidRPr="0085100A" w14:paraId="14B3BA8D" w14:textId="77777777" w:rsidTr="003F43B7">
        <w:tc>
          <w:tcPr>
            <w:tcW w:w="1651" w:type="pct"/>
            <w:shd w:val="clear" w:color="auto" w:fill="auto"/>
          </w:tcPr>
          <w:p w14:paraId="023A72ED" w14:textId="77777777" w:rsidR="00A53BC8" w:rsidRPr="0085100A" w:rsidRDefault="00A53BC8" w:rsidP="00D37BA7">
            <w:pPr>
              <w:autoSpaceDE w:val="0"/>
              <w:autoSpaceDN w:val="0"/>
              <w:adjustRightInd w:val="0"/>
              <w:rPr>
                <w:b/>
                <w:bCs/>
              </w:rPr>
            </w:pPr>
            <w:r>
              <w:rPr>
                <w:b/>
                <w:bCs/>
              </w:rPr>
              <w:t>Activities</w:t>
            </w:r>
          </w:p>
        </w:tc>
        <w:tc>
          <w:tcPr>
            <w:tcW w:w="3349" w:type="pct"/>
            <w:shd w:val="clear" w:color="auto" w:fill="auto"/>
          </w:tcPr>
          <w:p w14:paraId="17578C72" w14:textId="77777777" w:rsidR="00A53BC8" w:rsidRPr="0085100A" w:rsidRDefault="00A53BC8" w:rsidP="00D37BA7">
            <w:pPr>
              <w:rPr>
                <w:b/>
              </w:rPr>
            </w:pPr>
            <w:r>
              <w:rPr>
                <w:b/>
              </w:rPr>
              <w:t>Timeline</w:t>
            </w:r>
          </w:p>
        </w:tc>
      </w:tr>
      <w:tr w:rsidR="00A53BC8" w:rsidRPr="0085100A" w14:paraId="46DA8B6D" w14:textId="77777777" w:rsidTr="003F43B7">
        <w:tc>
          <w:tcPr>
            <w:tcW w:w="1651" w:type="pct"/>
            <w:shd w:val="clear" w:color="auto" w:fill="auto"/>
          </w:tcPr>
          <w:p w14:paraId="2CECF8BB" w14:textId="77777777" w:rsidR="00A53BC8" w:rsidRPr="0085100A" w:rsidRDefault="00A53BC8" w:rsidP="00D37BA7">
            <w:r w:rsidRPr="0085100A">
              <w:t>User Training</w:t>
            </w:r>
          </w:p>
        </w:tc>
        <w:tc>
          <w:tcPr>
            <w:tcW w:w="3349" w:type="pct"/>
            <w:shd w:val="clear" w:color="auto" w:fill="auto"/>
          </w:tcPr>
          <w:p w14:paraId="1A0EDA54" w14:textId="47213F82" w:rsidR="00A53BC8" w:rsidRPr="0085100A" w:rsidRDefault="00A53BC8" w:rsidP="00646D6A">
            <w:r w:rsidRPr="0085100A">
              <w:t xml:space="preserve">Immediately upon OMB approval and ongoing </w:t>
            </w:r>
          </w:p>
        </w:tc>
      </w:tr>
      <w:tr w:rsidR="00A53BC8" w:rsidRPr="0085100A" w14:paraId="2B12A155" w14:textId="77777777" w:rsidTr="003F43B7">
        <w:tc>
          <w:tcPr>
            <w:tcW w:w="1651" w:type="pct"/>
            <w:shd w:val="clear" w:color="auto" w:fill="auto"/>
          </w:tcPr>
          <w:p w14:paraId="4923B64E" w14:textId="502F5F4B" w:rsidR="00A53BC8" w:rsidRPr="0085100A" w:rsidRDefault="00A53BC8" w:rsidP="00CF6CD4">
            <w:r w:rsidRPr="0085100A">
              <w:t>Data Collection</w:t>
            </w:r>
            <w:r>
              <w:t xml:space="preserve"> </w:t>
            </w:r>
            <w:r w:rsidR="00646D6A">
              <w:t>Materials Distributed</w:t>
            </w:r>
          </w:p>
        </w:tc>
        <w:tc>
          <w:tcPr>
            <w:tcW w:w="3349" w:type="pct"/>
            <w:shd w:val="clear" w:color="auto" w:fill="auto"/>
          </w:tcPr>
          <w:p w14:paraId="7A15A2C7" w14:textId="64A34FD3" w:rsidR="00A53BC8" w:rsidRPr="0085100A" w:rsidRDefault="00A53BC8" w:rsidP="00646D6A">
            <w:r w:rsidRPr="0085100A">
              <w:t>Immediately upon OMB approval</w:t>
            </w:r>
            <w:r w:rsidR="00CF6CD4">
              <w:t xml:space="preserve"> for the first year;</w:t>
            </w:r>
            <w:r w:rsidR="00646D6A">
              <w:t xml:space="preserve"> once annually </w:t>
            </w:r>
            <w:r w:rsidR="00CF6CD4">
              <w:t xml:space="preserve"> </w:t>
            </w:r>
          </w:p>
        </w:tc>
      </w:tr>
      <w:tr w:rsidR="00646D6A" w:rsidRPr="0085100A" w14:paraId="6949BD8B" w14:textId="77777777" w:rsidTr="00A54680">
        <w:trPr>
          <w:trHeight w:val="395"/>
        </w:trPr>
        <w:tc>
          <w:tcPr>
            <w:tcW w:w="1651" w:type="pct"/>
            <w:shd w:val="clear" w:color="auto" w:fill="auto"/>
          </w:tcPr>
          <w:p w14:paraId="67C86E2E" w14:textId="37B8C89E" w:rsidR="00646D6A" w:rsidRPr="0085100A" w:rsidRDefault="00D45D2A" w:rsidP="009457AB">
            <w:r>
              <w:t xml:space="preserve">Data </w:t>
            </w:r>
            <w:r w:rsidR="00646D6A">
              <w:t>Submission</w:t>
            </w:r>
          </w:p>
        </w:tc>
        <w:tc>
          <w:tcPr>
            <w:tcW w:w="3349" w:type="pct"/>
            <w:shd w:val="clear" w:color="auto" w:fill="auto"/>
          </w:tcPr>
          <w:p w14:paraId="0F37C33D" w14:textId="77777777" w:rsidR="00646D6A" w:rsidRPr="0085100A" w:rsidRDefault="00646D6A" w:rsidP="009457AB">
            <w:r>
              <w:t>Once Annually, 120 days before the end of the budget period</w:t>
            </w:r>
          </w:p>
        </w:tc>
      </w:tr>
      <w:tr w:rsidR="00646D6A" w:rsidRPr="0085100A" w14:paraId="0E64B340" w14:textId="77777777" w:rsidTr="003F43B7">
        <w:tc>
          <w:tcPr>
            <w:tcW w:w="1651" w:type="pct"/>
            <w:shd w:val="clear" w:color="auto" w:fill="auto"/>
          </w:tcPr>
          <w:p w14:paraId="5534B8CD" w14:textId="2A3FBC6E" w:rsidR="00646D6A" w:rsidRPr="0085100A" w:rsidRDefault="00646D6A" w:rsidP="00CF6CD4">
            <w:r>
              <w:t>Technical Review and Quality Assurance</w:t>
            </w:r>
          </w:p>
        </w:tc>
        <w:tc>
          <w:tcPr>
            <w:tcW w:w="3349" w:type="pct"/>
            <w:shd w:val="clear" w:color="auto" w:fill="auto"/>
          </w:tcPr>
          <w:p w14:paraId="62A27B65" w14:textId="34F8E53F" w:rsidR="00646D6A" w:rsidRPr="0085100A" w:rsidRDefault="00646D6A" w:rsidP="00646D6A">
            <w:r>
              <w:t>Within 1 month of report submission</w:t>
            </w:r>
          </w:p>
        </w:tc>
      </w:tr>
      <w:tr w:rsidR="00646D6A" w:rsidRPr="0085100A" w14:paraId="236CB345" w14:textId="77777777" w:rsidTr="00846805">
        <w:trPr>
          <w:trHeight w:val="350"/>
        </w:trPr>
        <w:tc>
          <w:tcPr>
            <w:tcW w:w="1651" w:type="pct"/>
            <w:shd w:val="clear" w:color="auto" w:fill="auto"/>
          </w:tcPr>
          <w:p w14:paraId="4666EB79" w14:textId="04C2F734" w:rsidR="00646D6A" w:rsidRDefault="00646D6A" w:rsidP="00646D6A">
            <w:r>
              <w:t>Finalized Submission</w:t>
            </w:r>
          </w:p>
        </w:tc>
        <w:tc>
          <w:tcPr>
            <w:tcW w:w="3349" w:type="pct"/>
            <w:shd w:val="clear" w:color="auto" w:fill="auto"/>
          </w:tcPr>
          <w:p w14:paraId="756449B6" w14:textId="4C73099C" w:rsidR="00646D6A" w:rsidRDefault="00646D6A" w:rsidP="00646D6A">
            <w:r>
              <w:t>Within 1 month of new budget period</w:t>
            </w:r>
          </w:p>
        </w:tc>
      </w:tr>
      <w:tr w:rsidR="00A53BC8" w:rsidRPr="0085100A" w14:paraId="3AC72957" w14:textId="77777777" w:rsidTr="003F43B7">
        <w:tc>
          <w:tcPr>
            <w:tcW w:w="1651" w:type="pct"/>
            <w:shd w:val="clear" w:color="auto" w:fill="auto"/>
          </w:tcPr>
          <w:p w14:paraId="305581E2" w14:textId="77777777" w:rsidR="00A53BC8" w:rsidRPr="0085100A" w:rsidRDefault="00A53BC8" w:rsidP="00D37BA7">
            <w:r w:rsidRPr="0085100A">
              <w:t>Data Analysis</w:t>
            </w:r>
          </w:p>
        </w:tc>
        <w:tc>
          <w:tcPr>
            <w:tcW w:w="3349" w:type="pct"/>
            <w:shd w:val="clear" w:color="auto" w:fill="auto"/>
          </w:tcPr>
          <w:p w14:paraId="5B648820" w14:textId="0C92B989" w:rsidR="00A53BC8" w:rsidRPr="0085100A" w:rsidRDefault="00646D6A" w:rsidP="00646D6A">
            <w:r>
              <w:t>1</w:t>
            </w:r>
            <w:r w:rsidR="00CF6CD4">
              <w:t>–</w:t>
            </w:r>
            <w:r>
              <w:t>3</w:t>
            </w:r>
            <w:r w:rsidR="009A4A81">
              <w:t xml:space="preserve"> </w:t>
            </w:r>
            <w:r>
              <w:t>months after Finalized Submission</w:t>
            </w:r>
          </w:p>
        </w:tc>
      </w:tr>
      <w:tr w:rsidR="00CF6CD4" w:rsidRPr="0085100A" w14:paraId="59322ED2" w14:textId="77777777" w:rsidTr="003F43B7">
        <w:tc>
          <w:tcPr>
            <w:tcW w:w="1651" w:type="pct"/>
            <w:tcBorders>
              <w:top w:val="single" w:sz="4" w:space="0" w:color="auto"/>
              <w:left w:val="single" w:sz="4" w:space="0" w:color="auto"/>
              <w:bottom w:val="single" w:sz="4" w:space="0" w:color="auto"/>
              <w:right w:val="single" w:sz="4" w:space="0" w:color="auto"/>
            </w:tcBorders>
            <w:shd w:val="clear" w:color="auto" w:fill="auto"/>
          </w:tcPr>
          <w:p w14:paraId="21C9C5B4" w14:textId="1761730F" w:rsidR="00CF6CD4" w:rsidRPr="0085100A" w:rsidRDefault="00CF6CD4" w:rsidP="00CF6CD4">
            <w:r w:rsidRPr="0085100A">
              <w:t xml:space="preserve">Data </w:t>
            </w:r>
            <w:r>
              <w:t>Reports</w:t>
            </w:r>
          </w:p>
        </w:tc>
        <w:tc>
          <w:tcPr>
            <w:tcW w:w="3349" w:type="pct"/>
            <w:tcBorders>
              <w:top w:val="single" w:sz="4" w:space="0" w:color="auto"/>
              <w:left w:val="single" w:sz="4" w:space="0" w:color="auto"/>
              <w:bottom w:val="single" w:sz="4" w:space="0" w:color="auto"/>
              <w:right w:val="single" w:sz="4" w:space="0" w:color="auto"/>
            </w:tcBorders>
            <w:shd w:val="clear" w:color="auto" w:fill="auto"/>
          </w:tcPr>
          <w:p w14:paraId="54B259F7" w14:textId="64BDCE2A" w:rsidR="00CF6CD4" w:rsidRPr="0085100A" w:rsidRDefault="00646D6A" w:rsidP="00646D6A">
            <w:r>
              <w:t>3</w:t>
            </w:r>
            <w:r w:rsidR="00CF6CD4">
              <w:t>–</w:t>
            </w:r>
            <w:r>
              <w:t>6</w:t>
            </w:r>
            <w:r w:rsidR="00CF6CD4">
              <w:t xml:space="preserve"> months after </w:t>
            </w:r>
            <w:r>
              <w:t>Finalized Submission</w:t>
            </w:r>
          </w:p>
        </w:tc>
      </w:tr>
    </w:tbl>
    <w:p w14:paraId="4814068B" w14:textId="45E8D10B" w:rsidR="00C92746" w:rsidRDefault="00C92746" w:rsidP="00C65166"/>
    <w:p w14:paraId="0FA879BA" w14:textId="77777777" w:rsidR="00846805" w:rsidRDefault="00846805" w:rsidP="00C65166"/>
    <w:p w14:paraId="36797BC7" w14:textId="77777777" w:rsidR="00C65166" w:rsidRDefault="00C65166" w:rsidP="00C65166">
      <w:pPr>
        <w:pStyle w:val="Heading2"/>
      </w:pPr>
      <w:bookmarkStart w:id="27" w:name="_Toc7592402"/>
      <w:r>
        <w:t>A.17. Reason(s) Display of OMB Expiration Date is Inappropriate</w:t>
      </w:r>
      <w:bookmarkEnd w:id="27"/>
    </w:p>
    <w:p w14:paraId="14A4A477" w14:textId="4E2F6C39" w:rsidR="00C65166" w:rsidRDefault="00646D6A" w:rsidP="00C65166">
      <w:r w:rsidRPr="00646D6A">
        <w:t>No exceptions from display of expiration date are requested.</w:t>
      </w:r>
    </w:p>
    <w:p w14:paraId="0C57B754" w14:textId="77777777" w:rsidR="00646D6A" w:rsidRDefault="00646D6A" w:rsidP="00C65166"/>
    <w:p w14:paraId="0B4635D0" w14:textId="77777777" w:rsidR="00C65166" w:rsidRDefault="00C65166" w:rsidP="00C65166">
      <w:pPr>
        <w:pStyle w:val="Heading2"/>
      </w:pPr>
      <w:bookmarkStart w:id="28" w:name="_Toc7592403"/>
      <w:r>
        <w:t>A.18. Exceptions to Certification for Paperwork Reduction Act Submissions</w:t>
      </w:r>
      <w:bookmarkEnd w:id="28"/>
    </w:p>
    <w:p w14:paraId="4B052710" w14:textId="3ED3E613" w:rsidR="00C65166" w:rsidRPr="00C65166" w:rsidRDefault="00D45D2A" w:rsidP="00C65166">
      <w:r w:rsidRPr="00D45D2A">
        <w:t>No exemptions to certification are sought.</w:t>
      </w:r>
    </w:p>
    <w:p w14:paraId="1FB86615" w14:textId="77777777" w:rsidR="00C65166" w:rsidRPr="00C65166" w:rsidRDefault="00C65166" w:rsidP="00C65166"/>
    <w:bookmarkEnd w:id="1"/>
    <w:p w14:paraId="74D94EFD" w14:textId="21DBCBBB" w:rsidR="00FC70C6" w:rsidRDefault="009A4A81">
      <w:pPr>
        <w:rPr>
          <w:b/>
        </w:rPr>
      </w:pPr>
      <w:r w:rsidRPr="009A4A81">
        <w:rPr>
          <w:b/>
        </w:rPr>
        <w:t>References</w:t>
      </w:r>
    </w:p>
    <w:p w14:paraId="08238AEC" w14:textId="77777777" w:rsidR="00D45D2A" w:rsidRDefault="00D45D2A">
      <w:pPr>
        <w:rPr>
          <w:b/>
        </w:rPr>
      </w:pPr>
    </w:p>
    <w:p w14:paraId="285823C1" w14:textId="6395E981" w:rsidR="00594BC5" w:rsidRDefault="00594BC5" w:rsidP="008B759A">
      <w:pPr>
        <w:pStyle w:val="ListParagraph"/>
        <w:numPr>
          <w:ilvl w:val="0"/>
          <w:numId w:val="10"/>
        </w:numPr>
      </w:pPr>
      <w:r w:rsidRPr="00594BC5">
        <w:t>Smith SG, Zhang X, Basile KC, Merrick</w:t>
      </w:r>
      <w:r>
        <w:t xml:space="preserve"> </w:t>
      </w:r>
      <w:r w:rsidRPr="00594BC5">
        <w:t>MT, Wang J, Kresnow M, Chen J. (2018).</w:t>
      </w:r>
      <w:r>
        <w:t xml:space="preserve"> </w:t>
      </w:r>
      <w:r w:rsidRPr="00594BC5">
        <w:t>The National Intimate Partner and Sexual</w:t>
      </w:r>
      <w:r>
        <w:t xml:space="preserve"> </w:t>
      </w:r>
      <w:r w:rsidRPr="00594BC5">
        <w:t>Violence Survey (NISVS): 2015 Data Brief—</w:t>
      </w:r>
      <w:r>
        <w:t xml:space="preserve"> </w:t>
      </w:r>
      <w:r w:rsidRPr="00594BC5">
        <w:t>Updated Release. Atlanta, GA: National</w:t>
      </w:r>
      <w:r>
        <w:t xml:space="preserve"> </w:t>
      </w:r>
      <w:r w:rsidRPr="00594BC5">
        <w:t>Center for Injury Prevention and Control,</w:t>
      </w:r>
      <w:r>
        <w:t xml:space="preserve"> </w:t>
      </w:r>
      <w:r w:rsidRPr="00594BC5">
        <w:t>Centers for Disease Control and Prevention.</w:t>
      </w:r>
    </w:p>
    <w:p w14:paraId="092BEDDB" w14:textId="77777777" w:rsidR="00D45D2A" w:rsidRDefault="00D45D2A" w:rsidP="00D45D2A"/>
    <w:p w14:paraId="662F94F8" w14:textId="759A6065" w:rsidR="002D47C3" w:rsidRPr="00594BC5" w:rsidRDefault="002D47C3" w:rsidP="008B759A">
      <w:pPr>
        <w:pStyle w:val="ListParagraph"/>
        <w:numPr>
          <w:ilvl w:val="0"/>
          <w:numId w:val="10"/>
        </w:numPr>
      </w:pPr>
      <w:r>
        <w:t>Basile, K.C., DeGue, S., Jones, K., Freire, K., Dills, J., Smith, S.G., Raiford, J.L. (2016). STOP SV: A Technical Package to Prevent Sexual Violence. Atlanta, GA: National Center for Injury Prevention and Control, Centers for Disease Control and Prevention.</w:t>
      </w:r>
    </w:p>
    <w:sectPr w:rsidR="002D47C3" w:rsidRPr="00594BC5" w:rsidSect="00D26908">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E4E12" w14:textId="77777777" w:rsidR="0024314F" w:rsidRDefault="0024314F" w:rsidP="00C65166">
      <w:r>
        <w:separator/>
      </w:r>
    </w:p>
  </w:endnote>
  <w:endnote w:type="continuationSeparator" w:id="0">
    <w:p w14:paraId="798FA7B7" w14:textId="77777777" w:rsidR="0024314F" w:rsidRDefault="0024314F" w:rsidP="00C6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21294"/>
      <w:docPartObj>
        <w:docPartGallery w:val="Page Numbers (Bottom of Page)"/>
        <w:docPartUnique/>
      </w:docPartObj>
    </w:sdtPr>
    <w:sdtEndPr>
      <w:rPr>
        <w:noProof/>
      </w:rPr>
    </w:sdtEndPr>
    <w:sdtContent>
      <w:p w14:paraId="6837DF3D" w14:textId="37CE51AA" w:rsidR="00D568DB" w:rsidRDefault="00D568DB">
        <w:pPr>
          <w:pStyle w:val="Footer"/>
          <w:jc w:val="right"/>
        </w:pPr>
        <w:r>
          <w:fldChar w:fldCharType="begin"/>
        </w:r>
        <w:r>
          <w:instrText xml:space="preserve"> PAGE   \* MERGEFORMAT </w:instrText>
        </w:r>
        <w:r>
          <w:fldChar w:fldCharType="separate"/>
        </w:r>
        <w:r w:rsidR="001C33D2">
          <w:rPr>
            <w:noProof/>
          </w:rPr>
          <w:t>3</w:t>
        </w:r>
        <w:r>
          <w:rPr>
            <w:noProof/>
          </w:rPr>
          <w:fldChar w:fldCharType="end"/>
        </w:r>
      </w:p>
    </w:sdtContent>
  </w:sdt>
  <w:p w14:paraId="427C02A6" w14:textId="77777777" w:rsidR="00D568DB" w:rsidRDefault="00D56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54C31" w14:textId="77777777" w:rsidR="0024314F" w:rsidRDefault="0024314F" w:rsidP="00C65166">
      <w:r>
        <w:separator/>
      </w:r>
    </w:p>
  </w:footnote>
  <w:footnote w:type="continuationSeparator" w:id="0">
    <w:p w14:paraId="1C7B6C55" w14:textId="77777777" w:rsidR="0024314F" w:rsidRDefault="0024314F" w:rsidP="00C65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62EC"/>
    <w:multiLevelType w:val="hybridMultilevel"/>
    <w:tmpl w:val="89920E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05D7B"/>
    <w:multiLevelType w:val="hybridMultilevel"/>
    <w:tmpl w:val="9EBC1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F3879"/>
    <w:multiLevelType w:val="hybridMultilevel"/>
    <w:tmpl w:val="1A5816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31BD5F57"/>
    <w:multiLevelType w:val="hybridMultilevel"/>
    <w:tmpl w:val="412A70B6"/>
    <w:lvl w:ilvl="0" w:tplc="2AFEAC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E70C28"/>
    <w:multiLevelType w:val="hybridMultilevel"/>
    <w:tmpl w:val="11D69636"/>
    <w:lvl w:ilvl="0" w:tplc="C04CC6E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8A6B24"/>
    <w:multiLevelType w:val="hybridMultilevel"/>
    <w:tmpl w:val="3C60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505072"/>
    <w:multiLevelType w:val="hybridMultilevel"/>
    <w:tmpl w:val="C0B4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D32F72"/>
    <w:multiLevelType w:val="hybridMultilevel"/>
    <w:tmpl w:val="A5FE83C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5D9E3A19"/>
    <w:multiLevelType w:val="hybridMultilevel"/>
    <w:tmpl w:val="43B02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9E4705"/>
    <w:multiLevelType w:val="hybridMultilevel"/>
    <w:tmpl w:val="329AA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9D6CD9"/>
    <w:multiLevelType w:val="hybridMultilevel"/>
    <w:tmpl w:val="A7F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8555B8"/>
    <w:multiLevelType w:val="hybridMultilevel"/>
    <w:tmpl w:val="90AC8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7A4D55"/>
    <w:multiLevelType w:val="hybridMultilevel"/>
    <w:tmpl w:val="1BAE3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2B3007"/>
    <w:multiLevelType w:val="hybridMultilevel"/>
    <w:tmpl w:val="50FEBB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3A670A9"/>
    <w:multiLevelType w:val="hybridMultilevel"/>
    <w:tmpl w:val="BB46F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8F911E"/>
    <w:multiLevelType w:val="hybridMultilevel"/>
    <w:tmpl w:val="AFF379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B5C4580"/>
    <w:multiLevelType w:val="hybridMultilevel"/>
    <w:tmpl w:val="279AC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8C1310"/>
    <w:multiLevelType w:val="hybridMultilevel"/>
    <w:tmpl w:val="EEFC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FA23438"/>
    <w:multiLevelType w:val="hybridMultilevel"/>
    <w:tmpl w:val="953A7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
  </w:num>
  <w:num w:numId="4">
    <w:abstractNumId w:val="4"/>
  </w:num>
  <w:num w:numId="5">
    <w:abstractNumId w:val="9"/>
  </w:num>
  <w:num w:numId="6">
    <w:abstractNumId w:val="2"/>
  </w:num>
  <w:num w:numId="7">
    <w:abstractNumId w:val="17"/>
  </w:num>
  <w:num w:numId="8">
    <w:abstractNumId w:val="12"/>
  </w:num>
  <w:num w:numId="9">
    <w:abstractNumId w:val="14"/>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0"/>
  </w:num>
  <w:num w:numId="16">
    <w:abstractNumId w:val="16"/>
  </w:num>
  <w:num w:numId="17">
    <w:abstractNumId w:val="5"/>
  </w:num>
  <w:num w:numId="18">
    <w:abstractNumId w:val="11"/>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BDD"/>
    <w:rsid w:val="0000213F"/>
    <w:rsid w:val="0000390E"/>
    <w:rsid w:val="00011C0C"/>
    <w:rsid w:val="00015648"/>
    <w:rsid w:val="000176F2"/>
    <w:rsid w:val="00025548"/>
    <w:rsid w:val="00031460"/>
    <w:rsid w:val="000468DF"/>
    <w:rsid w:val="00064D64"/>
    <w:rsid w:val="00067ED7"/>
    <w:rsid w:val="00067FBF"/>
    <w:rsid w:val="0009241F"/>
    <w:rsid w:val="000B5725"/>
    <w:rsid w:val="000C24C6"/>
    <w:rsid w:val="000D2A38"/>
    <w:rsid w:val="000D3F34"/>
    <w:rsid w:val="000F08EE"/>
    <w:rsid w:val="000F26FA"/>
    <w:rsid w:val="000F661A"/>
    <w:rsid w:val="00113421"/>
    <w:rsid w:val="00114CEB"/>
    <w:rsid w:val="001229B3"/>
    <w:rsid w:val="00140AD3"/>
    <w:rsid w:val="00154759"/>
    <w:rsid w:val="00161882"/>
    <w:rsid w:val="001631DD"/>
    <w:rsid w:val="00172BBC"/>
    <w:rsid w:val="00190D7E"/>
    <w:rsid w:val="001A311D"/>
    <w:rsid w:val="001C33D2"/>
    <w:rsid w:val="001C6C77"/>
    <w:rsid w:val="001E04DA"/>
    <w:rsid w:val="001E753C"/>
    <w:rsid w:val="001F00D6"/>
    <w:rsid w:val="001F1DBF"/>
    <w:rsid w:val="002166F2"/>
    <w:rsid w:val="0024314F"/>
    <w:rsid w:val="002444AE"/>
    <w:rsid w:val="00254714"/>
    <w:rsid w:val="0026157F"/>
    <w:rsid w:val="002615DD"/>
    <w:rsid w:val="00264CDB"/>
    <w:rsid w:val="00272B75"/>
    <w:rsid w:val="00280156"/>
    <w:rsid w:val="00281388"/>
    <w:rsid w:val="002862F3"/>
    <w:rsid w:val="002A1A90"/>
    <w:rsid w:val="002A5824"/>
    <w:rsid w:val="002A6981"/>
    <w:rsid w:val="002B1374"/>
    <w:rsid w:val="002B4BCE"/>
    <w:rsid w:val="002B653A"/>
    <w:rsid w:val="002B66AC"/>
    <w:rsid w:val="002B719F"/>
    <w:rsid w:val="002B72FA"/>
    <w:rsid w:val="002D1093"/>
    <w:rsid w:val="002D46F5"/>
    <w:rsid w:val="002D47C3"/>
    <w:rsid w:val="002E4DD7"/>
    <w:rsid w:val="002E6A2F"/>
    <w:rsid w:val="002F3396"/>
    <w:rsid w:val="002F619C"/>
    <w:rsid w:val="00301B91"/>
    <w:rsid w:val="00321CA2"/>
    <w:rsid w:val="00322938"/>
    <w:rsid w:val="00327972"/>
    <w:rsid w:val="00330C83"/>
    <w:rsid w:val="00336AB6"/>
    <w:rsid w:val="00343E87"/>
    <w:rsid w:val="0034749C"/>
    <w:rsid w:val="003504F9"/>
    <w:rsid w:val="0035096B"/>
    <w:rsid w:val="003625E0"/>
    <w:rsid w:val="00362DAF"/>
    <w:rsid w:val="003664E7"/>
    <w:rsid w:val="00366829"/>
    <w:rsid w:val="00366BB1"/>
    <w:rsid w:val="00377A21"/>
    <w:rsid w:val="00382EC9"/>
    <w:rsid w:val="00393EB7"/>
    <w:rsid w:val="00394DF7"/>
    <w:rsid w:val="00396878"/>
    <w:rsid w:val="003A24D9"/>
    <w:rsid w:val="003B4F38"/>
    <w:rsid w:val="003B6A6D"/>
    <w:rsid w:val="003E3591"/>
    <w:rsid w:val="003E62CE"/>
    <w:rsid w:val="003F43B7"/>
    <w:rsid w:val="003F55E4"/>
    <w:rsid w:val="00402200"/>
    <w:rsid w:val="004102BB"/>
    <w:rsid w:val="0041232E"/>
    <w:rsid w:val="00417E8A"/>
    <w:rsid w:val="004276A1"/>
    <w:rsid w:val="0043131B"/>
    <w:rsid w:val="00443F05"/>
    <w:rsid w:val="00450222"/>
    <w:rsid w:val="00460D49"/>
    <w:rsid w:val="00493622"/>
    <w:rsid w:val="004A44FD"/>
    <w:rsid w:val="004B065D"/>
    <w:rsid w:val="004D7781"/>
    <w:rsid w:val="004E717C"/>
    <w:rsid w:val="004F14DE"/>
    <w:rsid w:val="004F1B9B"/>
    <w:rsid w:val="00503C24"/>
    <w:rsid w:val="00510DE2"/>
    <w:rsid w:val="005149AC"/>
    <w:rsid w:val="005224A6"/>
    <w:rsid w:val="00523648"/>
    <w:rsid w:val="005340FE"/>
    <w:rsid w:val="00547EDB"/>
    <w:rsid w:val="00551C4E"/>
    <w:rsid w:val="0055405D"/>
    <w:rsid w:val="00580E04"/>
    <w:rsid w:val="005935CA"/>
    <w:rsid w:val="00594BC5"/>
    <w:rsid w:val="005B27F3"/>
    <w:rsid w:val="005B3FF1"/>
    <w:rsid w:val="005B47C3"/>
    <w:rsid w:val="005D674B"/>
    <w:rsid w:val="005D774A"/>
    <w:rsid w:val="005E0DE2"/>
    <w:rsid w:val="00600DED"/>
    <w:rsid w:val="00617071"/>
    <w:rsid w:val="006174D1"/>
    <w:rsid w:val="006228A5"/>
    <w:rsid w:val="00624A10"/>
    <w:rsid w:val="0062627B"/>
    <w:rsid w:val="00640D04"/>
    <w:rsid w:val="00646757"/>
    <w:rsid w:val="00646D6A"/>
    <w:rsid w:val="00665BD8"/>
    <w:rsid w:val="00672BF6"/>
    <w:rsid w:val="00684BE4"/>
    <w:rsid w:val="006A433F"/>
    <w:rsid w:val="006A73D5"/>
    <w:rsid w:val="006B1D5B"/>
    <w:rsid w:val="006B2190"/>
    <w:rsid w:val="006B34BF"/>
    <w:rsid w:val="006B696E"/>
    <w:rsid w:val="006C30A4"/>
    <w:rsid w:val="006C63D3"/>
    <w:rsid w:val="006D3381"/>
    <w:rsid w:val="006D7C25"/>
    <w:rsid w:val="006E0A0D"/>
    <w:rsid w:val="006E4FA3"/>
    <w:rsid w:val="006E6D87"/>
    <w:rsid w:val="006F0A90"/>
    <w:rsid w:val="006F21C4"/>
    <w:rsid w:val="006F35A5"/>
    <w:rsid w:val="00700280"/>
    <w:rsid w:val="00700F89"/>
    <w:rsid w:val="0070680A"/>
    <w:rsid w:val="007112D8"/>
    <w:rsid w:val="0071636A"/>
    <w:rsid w:val="00732B6A"/>
    <w:rsid w:val="00732EB8"/>
    <w:rsid w:val="00736803"/>
    <w:rsid w:val="007419B3"/>
    <w:rsid w:val="00741D2E"/>
    <w:rsid w:val="007449FF"/>
    <w:rsid w:val="00750255"/>
    <w:rsid w:val="0075193B"/>
    <w:rsid w:val="00753602"/>
    <w:rsid w:val="007542F8"/>
    <w:rsid w:val="007677D8"/>
    <w:rsid w:val="007866F2"/>
    <w:rsid w:val="00792294"/>
    <w:rsid w:val="00797ED8"/>
    <w:rsid w:val="007A213E"/>
    <w:rsid w:val="007A72B0"/>
    <w:rsid w:val="007D1050"/>
    <w:rsid w:val="007D51A4"/>
    <w:rsid w:val="007E1B8E"/>
    <w:rsid w:val="007E1FAC"/>
    <w:rsid w:val="007E568E"/>
    <w:rsid w:val="007F7B9A"/>
    <w:rsid w:val="00827A77"/>
    <w:rsid w:val="00834FC3"/>
    <w:rsid w:val="00846805"/>
    <w:rsid w:val="008513F0"/>
    <w:rsid w:val="00854F0A"/>
    <w:rsid w:val="008570D9"/>
    <w:rsid w:val="00860BDD"/>
    <w:rsid w:val="00867EB4"/>
    <w:rsid w:val="00872944"/>
    <w:rsid w:val="008A7F43"/>
    <w:rsid w:val="008B0B4A"/>
    <w:rsid w:val="008B2649"/>
    <w:rsid w:val="008B6EF9"/>
    <w:rsid w:val="008B759A"/>
    <w:rsid w:val="008D11AD"/>
    <w:rsid w:val="008D73B8"/>
    <w:rsid w:val="008D7DCD"/>
    <w:rsid w:val="008E5A99"/>
    <w:rsid w:val="008E633A"/>
    <w:rsid w:val="008F4A16"/>
    <w:rsid w:val="008F6A86"/>
    <w:rsid w:val="009040C1"/>
    <w:rsid w:val="009065F5"/>
    <w:rsid w:val="009073A3"/>
    <w:rsid w:val="00917603"/>
    <w:rsid w:val="00921E5C"/>
    <w:rsid w:val="00932B4C"/>
    <w:rsid w:val="009457AB"/>
    <w:rsid w:val="00946874"/>
    <w:rsid w:val="00952A81"/>
    <w:rsid w:val="00955A99"/>
    <w:rsid w:val="00965EB0"/>
    <w:rsid w:val="0096649E"/>
    <w:rsid w:val="0096754C"/>
    <w:rsid w:val="00967DBE"/>
    <w:rsid w:val="00980E79"/>
    <w:rsid w:val="009847F4"/>
    <w:rsid w:val="009A19BC"/>
    <w:rsid w:val="009A202A"/>
    <w:rsid w:val="009A4A81"/>
    <w:rsid w:val="009B1999"/>
    <w:rsid w:val="009C543D"/>
    <w:rsid w:val="009F2A6C"/>
    <w:rsid w:val="00A04B91"/>
    <w:rsid w:val="00A36A29"/>
    <w:rsid w:val="00A436EB"/>
    <w:rsid w:val="00A4408B"/>
    <w:rsid w:val="00A52815"/>
    <w:rsid w:val="00A53BC8"/>
    <w:rsid w:val="00A54680"/>
    <w:rsid w:val="00A64E0D"/>
    <w:rsid w:val="00A76341"/>
    <w:rsid w:val="00A76FF9"/>
    <w:rsid w:val="00A9068E"/>
    <w:rsid w:val="00AC0237"/>
    <w:rsid w:val="00AD0F3F"/>
    <w:rsid w:val="00AD6DA0"/>
    <w:rsid w:val="00B102F6"/>
    <w:rsid w:val="00B11E80"/>
    <w:rsid w:val="00B14E04"/>
    <w:rsid w:val="00B22B2A"/>
    <w:rsid w:val="00B24094"/>
    <w:rsid w:val="00B30DEE"/>
    <w:rsid w:val="00B468E7"/>
    <w:rsid w:val="00B679CB"/>
    <w:rsid w:val="00B74139"/>
    <w:rsid w:val="00B75083"/>
    <w:rsid w:val="00B8708F"/>
    <w:rsid w:val="00B91CD5"/>
    <w:rsid w:val="00B954C5"/>
    <w:rsid w:val="00BA11DD"/>
    <w:rsid w:val="00BB4492"/>
    <w:rsid w:val="00BC1289"/>
    <w:rsid w:val="00BD08B6"/>
    <w:rsid w:val="00BD4AEE"/>
    <w:rsid w:val="00BE5051"/>
    <w:rsid w:val="00BE57B0"/>
    <w:rsid w:val="00C01061"/>
    <w:rsid w:val="00C16BCB"/>
    <w:rsid w:val="00C20560"/>
    <w:rsid w:val="00C34B5C"/>
    <w:rsid w:val="00C37709"/>
    <w:rsid w:val="00C37A7D"/>
    <w:rsid w:val="00C50ED6"/>
    <w:rsid w:val="00C56725"/>
    <w:rsid w:val="00C65166"/>
    <w:rsid w:val="00C65CE4"/>
    <w:rsid w:val="00C76DAC"/>
    <w:rsid w:val="00C80A00"/>
    <w:rsid w:val="00C8797B"/>
    <w:rsid w:val="00C90D4E"/>
    <w:rsid w:val="00C92746"/>
    <w:rsid w:val="00C934E6"/>
    <w:rsid w:val="00CA0DA8"/>
    <w:rsid w:val="00CA7D66"/>
    <w:rsid w:val="00CB6F26"/>
    <w:rsid w:val="00CC37A0"/>
    <w:rsid w:val="00CD3193"/>
    <w:rsid w:val="00CE280B"/>
    <w:rsid w:val="00CE7F21"/>
    <w:rsid w:val="00CF6CD4"/>
    <w:rsid w:val="00D10A87"/>
    <w:rsid w:val="00D12F26"/>
    <w:rsid w:val="00D17B1B"/>
    <w:rsid w:val="00D2066F"/>
    <w:rsid w:val="00D22AEF"/>
    <w:rsid w:val="00D26908"/>
    <w:rsid w:val="00D37BA7"/>
    <w:rsid w:val="00D41B41"/>
    <w:rsid w:val="00D45538"/>
    <w:rsid w:val="00D45D2A"/>
    <w:rsid w:val="00D476D0"/>
    <w:rsid w:val="00D559DB"/>
    <w:rsid w:val="00D568DB"/>
    <w:rsid w:val="00D56B7B"/>
    <w:rsid w:val="00D623CE"/>
    <w:rsid w:val="00D65884"/>
    <w:rsid w:val="00D812D1"/>
    <w:rsid w:val="00D84473"/>
    <w:rsid w:val="00D86D38"/>
    <w:rsid w:val="00DB104F"/>
    <w:rsid w:val="00DB46B4"/>
    <w:rsid w:val="00DD013B"/>
    <w:rsid w:val="00DD4513"/>
    <w:rsid w:val="00DD6C5E"/>
    <w:rsid w:val="00DE0132"/>
    <w:rsid w:val="00DE1F55"/>
    <w:rsid w:val="00DE274A"/>
    <w:rsid w:val="00E23C21"/>
    <w:rsid w:val="00E374EE"/>
    <w:rsid w:val="00E43300"/>
    <w:rsid w:val="00E435B2"/>
    <w:rsid w:val="00E4428D"/>
    <w:rsid w:val="00E450A0"/>
    <w:rsid w:val="00E54A80"/>
    <w:rsid w:val="00E56211"/>
    <w:rsid w:val="00E755EA"/>
    <w:rsid w:val="00E8603F"/>
    <w:rsid w:val="00E91A44"/>
    <w:rsid w:val="00E934F1"/>
    <w:rsid w:val="00EA1C2A"/>
    <w:rsid w:val="00EB16AC"/>
    <w:rsid w:val="00EB2260"/>
    <w:rsid w:val="00EC0DD9"/>
    <w:rsid w:val="00ED1B86"/>
    <w:rsid w:val="00ED52EC"/>
    <w:rsid w:val="00EE19EB"/>
    <w:rsid w:val="00EE58AD"/>
    <w:rsid w:val="00EE7E4C"/>
    <w:rsid w:val="00EF1669"/>
    <w:rsid w:val="00EF5D4F"/>
    <w:rsid w:val="00F05220"/>
    <w:rsid w:val="00F0787B"/>
    <w:rsid w:val="00F10254"/>
    <w:rsid w:val="00F36549"/>
    <w:rsid w:val="00F376B8"/>
    <w:rsid w:val="00F53BC8"/>
    <w:rsid w:val="00F63D0D"/>
    <w:rsid w:val="00F86803"/>
    <w:rsid w:val="00F96291"/>
    <w:rsid w:val="00FA4A84"/>
    <w:rsid w:val="00FB2E46"/>
    <w:rsid w:val="00FB428F"/>
    <w:rsid w:val="00FC1170"/>
    <w:rsid w:val="00FC1E51"/>
    <w:rsid w:val="00FC320E"/>
    <w:rsid w:val="00FC5FA8"/>
    <w:rsid w:val="00FC70C6"/>
    <w:rsid w:val="00FE0F70"/>
    <w:rsid w:val="00FE0FC7"/>
    <w:rsid w:val="00FE2DCB"/>
    <w:rsid w:val="00FE3C2B"/>
    <w:rsid w:val="00FF31D4"/>
    <w:rsid w:val="00FF5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E-mail Signatur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BD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60BD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60BD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65166"/>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60BDD"/>
    <w:rPr>
      <w:sz w:val="16"/>
      <w:szCs w:val="2"/>
    </w:rPr>
  </w:style>
  <w:style w:type="character" w:customStyle="1" w:styleId="BalloonTextChar">
    <w:name w:val="Balloon Text Char"/>
    <w:basedOn w:val="DefaultParagraphFont"/>
    <w:link w:val="BalloonText"/>
    <w:rsid w:val="00860BDD"/>
    <w:rPr>
      <w:rFonts w:ascii="Times New Roman" w:eastAsia="Times New Roman" w:hAnsi="Times New Roman" w:cs="Times New Roman"/>
      <w:sz w:val="16"/>
      <w:szCs w:val="2"/>
    </w:rPr>
  </w:style>
  <w:style w:type="paragraph" w:styleId="E-mailSignature">
    <w:name w:val="E-mail Signature"/>
    <w:basedOn w:val="Normal"/>
    <w:link w:val="E-mailSignatureChar"/>
    <w:rsid w:val="00860BDD"/>
  </w:style>
  <w:style w:type="character" w:customStyle="1" w:styleId="E-mailSignatureChar">
    <w:name w:val="E-mail Signature Char"/>
    <w:basedOn w:val="DefaultParagraphFont"/>
    <w:link w:val="E-mailSignature"/>
    <w:rsid w:val="00860BD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60BDD"/>
    <w:rPr>
      <w:sz w:val="16"/>
      <w:szCs w:val="16"/>
    </w:rPr>
  </w:style>
  <w:style w:type="paragraph" w:styleId="CommentText">
    <w:name w:val="annotation text"/>
    <w:basedOn w:val="Normal"/>
    <w:link w:val="CommentTextChar"/>
    <w:uiPriority w:val="99"/>
    <w:semiHidden/>
    <w:unhideWhenUsed/>
    <w:rsid w:val="00860BDD"/>
    <w:rPr>
      <w:sz w:val="20"/>
      <w:szCs w:val="20"/>
    </w:rPr>
  </w:style>
  <w:style w:type="character" w:customStyle="1" w:styleId="CommentTextChar">
    <w:name w:val="Comment Text Char"/>
    <w:basedOn w:val="DefaultParagraphFont"/>
    <w:link w:val="CommentText"/>
    <w:uiPriority w:val="99"/>
    <w:semiHidden/>
    <w:rsid w:val="00860B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0BDD"/>
    <w:rPr>
      <w:b/>
      <w:bCs/>
    </w:rPr>
  </w:style>
  <w:style w:type="character" w:customStyle="1" w:styleId="CommentSubjectChar">
    <w:name w:val="Comment Subject Char"/>
    <w:basedOn w:val="CommentTextChar"/>
    <w:link w:val="CommentSubject"/>
    <w:uiPriority w:val="99"/>
    <w:semiHidden/>
    <w:rsid w:val="00860BDD"/>
    <w:rPr>
      <w:rFonts w:ascii="Times New Roman" w:eastAsia="Times New Roman" w:hAnsi="Times New Roman" w:cs="Times New Roman"/>
      <w:b/>
      <w:bCs/>
      <w:sz w:val="20"/>
      <w:szCs w:val="20"/>
    </w:rPr>
  </w:style>
  <w:style w:type="character" w:styleId="BookTitle">
    <w:name w:val="Book Title"/>
    <w:uiPriority w:val="33"/>
    <w:qFormat/>
    <w:rsid w:val="00860BDD"/>
    <w:rPr>
      <w:b/>
      <w:bCs/>
      <w:smallCaps/>
      <w:spacing w:val="5"/>
      <w:sz w:val="40"/>
      <w:szCs w:val="28"/>
    </w:rPr>
  </w:style>
  <w:style w:type="character" w:styleId="Hyperlink">
    <w:name w:val="Hyperlink"/>
    <w:basedOn w:val="DefaultParagraphFont"/>
    <w:uiPriority w:val="99"/>
    <w:unhideWhenUsed/>
    <w:rsid w:val="00860BDD"/>
    <w:rPr>
      <w:color w:val="0563C1" w:themeColor="hyperlink"/>
      <w:u w:val="single"/>
    </w:rPr>
  </w:style>
  <w:style w:type="character" w:customStyle="1" w:styleId="Heading1Char">
    <w:name w:val="Heading 1 Char"/>
    <w:basedOn w:val="DefaultParagraphFont"/>
    <w:link w:val="Heading1"/>
    <w:uiPriority w:val="9"/>
    <w:rsid w:val="00860BDD"/>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860BDD"/>
    <w:pPr>
      <w:spacing w:line="259" w:lineRule="auto"/>
      <w:outlineLvl w:val="9"/>
    </w:pPr>
    <w:rPr>
      <w:rFonts w:asciiTheme="majorHAnsi" w:hAnsiTheme="majorHAnsi"/>
      <w:b w:val="0"/>
      <w:color w:val="2E74B5" w:themeColor="accent1" w:themeShade="BF"/>
      <w:sz w:val="32"/>
    </w:rPr>
  </w:style>
  <w:style w:type="character" w:customStyle="1" w:styleId="Heading2Char">
    <w:name w:val="Heading 2 Char"/>
    <w:basedOn w:val="DefaultParagraphFont"/>
    <w:link w:val="Heading2"/>
    <w:uiPriority w:val="9"/>
    <w:rsid w:val="00860BDD"/>
    <w:rPr>
      <w:rFonts w:ascii="Times New Roman" w:eastAsiaTheme="majorEastAsia" w:hAnsi="Times New Roman" w:cstheme="majorBidi"/>
      <w:b/>
      <w:sz w:val="24"/>
      <w:szCs w:val="26"/>
    </w:rPr>
  </w:style>
  <w:style w:type="paragraph" w:styleId="ListParagraph">
    <w:name w:val="List Paragraph"/>
    <w:basedOn w:val="Normal"/>
    <w:uiPriority w:val="34"/>
    <w:qFormat/>
    <w:rsid w:val="00860BDD"/>
    <w:pPr>
      <w:ind w:left="720"/>
      <w:contextualSpacing/>
    </w:pPr>
  </w:style>
  <w:style w:type="character" w:customStyle="1" w:styleId="Heading3Char">
    <w:name w:val="Heading 3 Char"/>
    <w:basedOn w:val="DefaultParagraphFont"/>
    <w:link w:val="Heading3"/>
    <w:uiPriority w:val="9"/>
    <w:rsid w:val="00C65166"/>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C65166"/>
    <w:pPr>
      <w:tabs>
        <w:tab w:val="center" w:pos="4680"/>
        <w:tab w:val="right" w:pos="9360"/>
      </w:tabs>
    </w:pPr>
  </w:style>
  <w:style w:type="character" w:customStyle="1" w:styleId="HeaderChar">
    <w:name w:val="Header Char"/>
    <w:basedOn w:val="DefaultParagraphFont"/>
    <w:link w:val="Header"/>
    <w:uiPriority w:val="99"/>
    <w:rsid w:val="00C651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5166"/>
    <w:pPr>
      <w:tabs>
        <w:tab w:val="center" w:pos="4680"/>
        <w:tab w:val="right" w:pos="9360"/>
      </w:tabs>
    </w:pPr>
  </w:style>
  <w:style w:type="character" w:customStyle="1" w:styleId="FooterChar">
    <w:name w:val="Footer Char"/>
    <w:basedOn w:val="DefaultParagraphFont"/>
    <w:link w:val="Footer"/>
    <w:uiPriority w:val="99"/>
    <w:rsid w:val="00C65166"/>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264CDB"/>
    <w:pPr>
      <w:spacing w:after="100"/>
    </w:pPr>
  </w:style>
  <w:style w:type="paragraph" w:styleId="TOC2">
    <w:name w:val="toc 2"/>
    <w:basedOn w:val="Normal"/>
    <w:next w:val="Normal"/>
    <w:autoRedefine/>
    <w:uiPriority w:val="39"/>
    <w:unhideWhenUsed/>
    <w:rsid w:val="00264CDB"/>
    <w:pPr>
      <w:spacing w:after="100"/>
      <w:ind w:left="240"/>
    </w:pPr>
  </w:style>
  <w:style w:type="paragraph" w:styleId="TOC3">
    <w:name w:val="toc 3"/>
    <w:basedOn w:val="Normal"/>
    <w:next w:val="Normal"/>
    <w:autoRedefine/>
    <w:uiPriority w:val="39"/>
    <w:unhideWhenUsed/>
    <w:rsid w:val="00264CDB"/>
    <w:pPr>
      <w:spacing w:after="100"/>
      <w:ind w:left="480"/>
    </w:pPr>
  </w:style>
  <w:style w:type="table" w:styleId="TableGrid">
    <w:name w:val="Table Grid"/>
    <w:basedOn w:val="TableNormal"/>
    <w:rsid w:val="00EB16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rsid w:val="006B2190"/>
    <w:pPr>
      <w:spacing w:after="0" w:line="240" w:lineRule="atLeast"/>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00213F"/>
    <w:pPr>
      <w:widowControl w:val="0"/>
      <w:autoSpaceDE w:val="0"/>
      <w:autoSpaceDN w:val="0"/>
      <w:adjustRightInd w:val="0"/>
      <w:spacing w:after="120" w:line="480" w:lineRule="auto"/>
      <w:ind w:left="360"/>
    </w:pPr>
    <w:rPr>
      <w:sz w:val="20"/>
    </w:rPr>
  </w:style>
  <w:style w:type="character" w:customStyle="1" w:styleId="BodyTextIndent2Char">
    <w:name w:val="Body Text Indent 2 Char"/>
    <w:basedOn w:val="DefaultParagraphFont"/>
    <w:link w:val="BodyTextIndent2"/>
    <w:rsid w:val="0000213F"/>
    <w:rPr>
      <w:rFonts w:ascii="Times New Roman" w:eastAsia="Times New Roman" w:hAnsi="Times New Roman" w:cs="Times New Roman"/>
      <w:sz w:val="20"/>
      <w:szCs w:val="24"/>
    </w:rPr>
  </w:style>
  <w:style w:type="paragraph" w:customStyle="1" w:styleId="Default">
    <w:name w:val="Default"/>
    <w:rsid w:val="00064D64"/>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 w:type="paragraph" w:customStyle="1" w:styleId="Pa17">
    <w:name w:val="Pa17"/>
    <w:basedOn w:val="Default"/>
    <w:next w:val="Default"/>
    <w:uiPriority w:val="99"/>
    <w:rsid w:val="00064D64"/>
    <w:pPr>
      <w:spacing w:line="22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E-mail Signatur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BD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60BD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60BD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65166"/>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60BDD"/>
    <w:rPr>
      <w:sz w:val="16"/>
      <w:szCs w:val="2"/>
    </w:rPr>
  </w:style>
  <w:style w:type="character" w:customStyle="1" w:styleId="BalloonTextChar">
    <w:name w:val="Balloon Text Char"/>
    <w:basedOn w:val="DefaultParagraphFont"/>
    <w:link w:val="BalloonText"/>
    <w:rsid w:val="00860BDD"/>
    <w:rPr>
      <w:rFonts w:ascii="Times New Roman" w:eastAsia="Times New Roman" w:hAnsi="Times New Roman" w:cs="Times New Roman"/>
      <w:sz w:val="16"/>
      <w:szCs w:val="2"/>
    </w:rPr>
  </w:style>
  <w:style w:type="paragraph" w:styleId="E-mailSignature">
    <w:name w:val="E-mail Signature"/>
    <w:basedOn w:val="Normal"/>
    <w:link w:val="E-mailSignatureChar"/>
    <w:rsid w:val="00860BDD"/>
  </w:style>
  <w:style w:type="character" w:customStyle="1" w:styleId="E-mailSignatureChar">
    <w:name w:val="E-mail Signature Char"/>
    <w:basedOn w:val="DefaultParagraphFont"/>
    <w:link w:val="E-mailSignature"/>
    <w:rsid w:val="00860BD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60BDD"/>
    <w:rPr>
      <w:sz w:val="16"/>
      <w:szCs w:val="16"/>
    </w:rPr>
  </w:style>
  <w:style w:type="paragraph" w:styleId="CommentText">
    <w:name w:val="annotation text"/>
    <w:basedOn w:val="Normal"/>
    <w:link w:val="CommentTextChar"/>
    <w:uiPriority w:val="99"/>
    <w:semiHidden/>
    <w:unhideWhenUsed/>
    <w:rsid w:val="00860BDD"/>
    <w:rPr>
      <w:sz w:val="20"/>
      <w:szCs w:val="20"/>
    </w:rPr>
  </w:style>
  <w:style w:type="character" w:customStyle="1" w:styleId="CommentTextChar">
    <w:name w:val="Comment Text Char"/>
    <w:basedOn w:val="DefaultParagraphFont"/>
    <w:link w:val="CommentText"/>
    <w:uiPriority w:val="99"/>
    <w:semiHidden/>
    <w:rsid w:val="00860B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0BDD"/>
    <w:rPr>
      <w:b/>
      <w:bCs/>
    </w:rPr>
  </w:style>
  <w:style w:type="character" w:customStyle="1" w:styleId="CommentSubjectChar">
    <w:name w:val="Comment Subject Char"/>
    <w:basedOn w:val="CommentTextChar"/>
    <w:link w:val="CommentSubject"/>
    <w:uiPriority w:val="99"/>
    <w:semiHidden/>
    <w:rsid w:val="00860BDD"/>
    <w:rPr>
      <w:rFonts w:ascii="Times New Roman" w:eastAsia="Times New Roman" w:hAnsi="Times New Roman" w:cs="Times New Roman"/>
      <w:b/>
      <w:bCs/>
      <w:sz w:val="20"/>
      <w:szCs w:val="20"/>
    </w:rPr>
  </w:style>
  <w:style w:type="character" w:styleId="BookTitle">
    <w:name w:val="Book Title"/>
    <w:uiPriority w:val="33"/>
    <w:qFormat/>
    <w:rsid w:val="00860BDD"/>
    <w:rPr>
      <w:b/>
      <w:bCs/>
      <w:smallCaps/>
      <w:spacing w:val="5"/>
      <w:sz w:val="40"/>
      <w:szCs w:val="28"/>
    </w:rPr>
  </w:style>
  <w:style w:type="character" w:styleId="Hyperlink">
    <w:name w:val="Hyperlink"/>
    <w:basedOn w:val="DefaultParagraphFont"/>
    <w:uiPriority w:val="99"/>
    <w:unhideWhenUsed/>
    <w:rsid w:val="00860BDD"/>
    <w:rPr>
      <w:color w:val="0563C1" w:themeColor="hyperlink"/>
      <w:u w:val="single"/>
    </w:rPr>
  </w:style>
  <w:style w:type="character" w:customStyle="1" w:styleId="Heading1Char">
    <w:name w:val="Heading 1 Char"/>
    <w:basedOn w:val="DefaultParagraphFont"/>
    <w:link w:val="Heading1"/>
    <w:uiPriority w:val="9"/>
    <w:rsid w:val="00860BDD"/>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860BDD"/>
    <w:pPr>
      <w:spacing w:line="259" w:lineRule="auto"/>
      <w:outlineLvl w:val="9"/>
    </w:pPr>
    <w:rPr>
      <w:rFonts w:asciiTheme="majorHAnsi" w:hAnsiTheme="majorHAnsi"/>
      <w:b w:val="0"/>
      <w:color w:val="2E74B5" w:themeColor="accent1" w:themeShade="BF"/>
      <w:sz w:val="32"/>
    </w:rPr>
  </w:style>
  <w:style w:type="character" w:customStyle="1" w:styleId="Heading2Char">
    <w:name w:val="Heading 2 Char"/>
    <w:basedOn w:val="DefaultParagraphFont"/>
    <w:link w:val="Heading2"/>
    <w:uiPriority w:val="9"/>
    <w:rsid w:val="00860BDD"/>
    <w:rPr>
      <w:rFonts w:ascii="Times New Roman" w:eastAsiaTheme="majorEastAsia" w:hAnsi="Times New Roman" w:cstheme="majorBidi"/>
      <w:b/>
      <w:sz w:val="24"/>
      <w:szCs w:val="26"/>
    </w:rPr>
  </w:style>
  <w:style w:type="paragraph" w:styleId="ListParagraph">
    <w:name w:val="List Paragraph"/>
    <w:basedOn w:val="Normal"/>
    <w:uiPriority w:val="34"/>
    <w:qFormat/>
    <w:rsid w:val="00860BDD"/>
    <w:pPr>
      <w:ind w:left="720"/>
      <w:contextualSpacing/>
    </w:pPr>
  </w:style>
  <w:style w:type="character" w:customStyle="1" w:styleId="Heading3Char">
    <w:name w:val="Heading 3 Char"/>
    <w:basedOn w:val="DefaultParagraphFont"/>
    <w:link w:val="Heading3"/>
    <w:uiPriority w:val="9"/>
    <w:rsid w:val="00C65166"/>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C65166"/>
    <w:pPr>
      <w:tabs>
        <w:tab w:val="center" w:pos="4680"/>
        <w:tab w:val="right" w:pos="9360"/>
      </w:tabs>
    </w:pPr>
  </w:style>
  <w:style w:type="character" w:customStyle="1" w:styleId="HeaderChar">
    <w:name w:val="Header Char"/>
    <w:basedOn w:val="DefaultParagraphFont"/>
    <w:link w:val="Header"/>
    <w:uiPriority w:val="99"/>
    <w:rsid w:val="00C651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5166"/>
    <w:pPr>
      <w:tabs>
        <w:tab w:val="center" w:pos="4680"/>
        <w:tab w:val="right" w:pos="9360"/>
      </w:tabs>
    </w:pPr>
  </w:style>
  <w:style w:type="character" w:customStyle="1" w:styleId="FooterChar">
    <w:name w:val="Footer Char"/>
    <w:basedOn w:val="DefaultParagraphFont"/>
    <w:link w:val="Footer"/>
    <w:uiPriority w:val="99"/>
    <w:rsid w:val="00C65166"/>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264CDB"/>
    <w:pPr>
      <w:spacing w:after="100"/>
    </w:pPr>
  </w:style>
  <w:style w:type="paragraph" w:styleId="TOC2">
    <w:name w:val="toc 2"/>
    <w:basedOn w:val="Normal"/>
    <w:next w:val="Normal"/>
    <w:autoRedefine/>
    <w:uiPriority w:val="39"/>
    <w:unhideWhenUsed/>
    <w:rsid w:val="00264CDB"/>
    <w:pPr>
      <w:spacing w:after="100"/>
      <w:ind w:left="240"/>
    </w:pPr>
  </w:style>
  <w:style w:type="paragraph" w:styleId="TOC3">
    <w:name w:val="toc 3"/>
    <w:basedOn w:val="Normal"/>
    <w:next w:val="Normal"/>
    <w:autoRedefine/>
    <w:uiPriority w:val="39"/>
    <w:unhideWhenUsed/>
    <w:rsid w:val="00264CDB"/>
    <w:pPr>
      <w:spacing w:after="100"/>
      <w:ind w:left="480"/>
    </w:pPr>
  </w:style>
  <w:style w:type="table" w:styleId="TableGrid">
    <w:name w:val="Table Grid"/>
    <w:basedOn w:val="TableNormal"/>
    <w:rsid w:val="00EB16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rsid w:val="006B2190"/>
    <w:pPr>
      <w:spacing w:after="0" w:line="240" w:lineRule="atLeast"/>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00213F"/>
    <w:pPr>
      <w:widowControl w:val="0"/>
      <w:autoSpaceDE w:val="0"/>
      <w:autoSpaceDN w:val="0"/>
      <w:adjustRightInd w:val="0"/>
      <w:spacing w:after="120" w:line="480" w:lineRule="auto"/>
      <w:ind w:left="360"/>
    </w:pPr>
    <w:rPr>
      <w:sz w:val="20"/>
    </w:rPr>
  </w:style>
  <w:style w:type="character" w:customStyle="1" w:styleId="BodyTextIndent2Char">
    <w:name w:val="Body Text Indent 2 Char"/>
    <w:basedOn w:val="DefaultParagraphFont"/>
    <w:link w:val="BodyTextIndent2"/>
    <w:rsid w:val="0000213F"/>
    <w:rPr>
      <w:rFonts w:ascii="Times New Roman" w:eastAsia="Times New Roman" w:hAnsi="Times New Roman" w:cs="Times New Roman"/>
      <w:sz w:val="20"/>
      <w:szCs w:val="24"/>
    </w:rPr>
  </w:style>
  <w:style w:type="paragraph" w:customStyle="1" w:styleId="Default">
    <w:name w:val="Default"/>
    <w:rsid w:val="00064D64"/>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 w:type="paragraph" w:customStyle="1" w:styleId="Pa17">
    <w:name w:val="Pa17"/>
    <w:basedOn w:val="Default"/>
    <w:next w:val="Default"/>
    <w:uiPriority w:val="99"/>
    <w:rsid w:val="00064D64"/>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4533">
      <w:bodyDiv w:val="1"/>
      <w:marLeft w:val="0"/>
      <w:marRight w:val="0"/>
      <w:marTop w:val="0"/>
      <w:marBottom w:val="0"/>
      <w:divBdr>
        <w:top w:val="none" w:sz="0" w:space="0" w:color="auto"/>
        <w:left w:val="none" w:sz="0" w:space="0" w:color="auto"/>
        <w:bottom w:val="none" w:sz="0" w:space="0" w:color="auto"/>
        <w:right w:val="none" w:sz="0" w:space="0" w:color="auto"/>
      </w:divBdr>
    </w:div>
    <w:div w:id="1040012186">
      <w:bodyDiv w:val="1"/>
      <w:marLeft w:val="0"/>
      <w:marRight w:val="0"/>
      <w:marTop w:val="0"/>
      <w:marBottom w:val="0"/>
      <w:divBdr>
        <w:top w:val="none" w:sz="0" w:space="0" w:color="auto"/>
        <w:left w:val="none" w:sz="0" w:space="0" w:color="auto"/>
        <w:bottom w:val="none" w:sz="0" w:space="0" w:color="auto"/>
        <w:right w:val="none" w:sz="0" w:space="0" w:color="auto"/>
      </w:divBdr>
    </w:div>
    <w:div w:id="1050614970">
      <w:bodyDiv w:val="1"/>
      <w:marLeft w:val="0"/>
      <w:marRight w:val="0"/>
      <w:marTop w:val="0"/>
      <w:marBottom w:val="0"/>
      <w:divBdr>
        <w:top w:val="none" w:sz="0" w:space="0" w:color="auto"/>
        <w:left w:val="none" w:sz="0" w:space="0" w:color="auto"/>
        <w:bottom w:val="none" w:sz="0" w:space="0" w:color="auto"/>
        <w:right w:val="none" w:sz="0" w:space="0" w:color="auto"/>
      </w:divBdr>
    </w:div>
    <w:div w:id="1443695298">
      <w:bodyDiv w:val="1"/>
      <w:marLeft w:val="0"/>
      <w:marRight w:val="0"/>
      <w:marTop w:val="0"/>
      <w:marBottom w:val="0"/>
      <w:divBdr>
        <w:top w:val="none" w:sz="0" w:space="0" w:color="auto"/>
        <w:left w:val="none" w:sz="0" w:space="0" w:color="auto"/>
        <w:bottom w:val="none" w:sz="0" w:space="0" w:color="auto"/>
        <w:right w:val="none" w:sz="0" w:space="0" w:color="auto"/>
      </w:divBdr>
    </w:div>
    <w:div w:id="1558928574">
      <w:bodyDiv w:val="1"/>
      <w:marLeft w:val="0"/>
      <w:marRight w:val="0"/>
      <w:marTop w:val="0"/>
      <w:marBottom w:val="0"/>
      <w:divBdr>
        <w:top w:val="none" w:sz="0" w:space="0" w:color="auto"/>
        <w:left w:val="none" w:sz="0" w:space="0" w:color="auto"/>
        <w:bottom w:val="none" w:sz="0" w:space="0" w:color="auto"/>
        <w:right w:val="none" w:sz="0" w:space="0" w:color="auto"/>
      </w:divBdr>
    </w:div>
    <w:div w:id="2039039741">
      <w:bodyDiv w:val="1"/>
      <w:marLeft w:val="0"/>
      <w:marRight w:val="0"/>
      <w:marTop w:val="0"/>
      <w:marBottom w:val="0"/>
      <w:divBdr>
        <w:top w:val="none" w:sz="0" w:space="0" w:color="auto"/>
        <w:left w:val="none" w:sz="0" w:space="0" w:color="auto"/>
        <w:bottom w:val="none" w:sz="0" w:space="0" w:color="auto"/>
        <w:right w:val="none" w:sz="0" w:space="0" w:color="auto"/>
      </w:divBdr>
    </w:div>
    <w:div w:id="213748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gi9@cdc.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bx8@cdc.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ci8@cdc.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yzi9@cdc.gov" TargetMode="External"/><Relationship Id="rId4" Type="http://schemas.microsoft.com/office/2007/relationships/stylesWithEffects" Target="stylesWithEffects.xml"/><Relationship Id="rId9" Type="http://schemas.openxmlformats.org/officeDocument/2006/relationships/hyperlink" Target="mailto:wuw9@cdc.gov" TargetMode="External"/><Relationship Id="rId14" Type="http://schemas.openxmlformats.org/officeDocument/2006/relationships/hyperlink" Target="mailto:yde9@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3BE75-A766-4C97-BC57-0B8E4E4D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5380</Words>
  <Characters>30668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Biello, Shannon (CDC/ONDIEH/NCIPC)</dc:creator>
  <cp:keywords/>
  <dc:description/>
  <cp:lastModifiedBy>SYSTEM</cp:lastModifiedBy>
  <cp:revision>2</cp:revision>
  <dcterms:created xsi:type="dcterms:W3CDTF">2019-08-29T18:29:00Z</dcterms:created>
  <dcterms:modified xsi:type="dcterms:W3CDTF">2019-08-29T18:29:00Z</dcterms:modified>
</cp:coreProperties>
</file>