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49FD39" w14:textId="77777777" w:rsidR="00291BEE" w:rsidRPr="000C1B7F" w:rsidRDefault="00291BEE">
      <w:bookmarkStart w:id="0" w:name="_GoBack"/>
      <w:bookmarkEnd w:id="0"/>
    </w:p>
    <w:p w14:paraId="698441C8" w14:textId="77777777" w:rsidR="000C1B7F" w:rsidRPr="000C1B7F" w:rsidRDefault="000C1B7F" w:rsidP="000C1B7F">
      <w:r w:rsidRPr="000C1B7F">
        <w:t>DATE:</w:t>
      </w:r>
      <w:r w:rsidRPr="000C1B7F">
        <w:tab/>
      </w:r>
      <w:r w:rsidRPr="000C1B7F">
        <w:tab/>
      </w:r>
      <w:r>
        <w:t>August 14, 2019</w:t>
      </w:r>
    </w:p>
    <w:p w14:paraId="11DC79D7" w14:textId="77777777" w:rsidR="000C1B7F" w:rsidRPr="000C1B7F" w:rsidRDefault="000C1B7F" w:rsidP="000C1B7F"/>
    <w:p w14:paraId="523ADAF6" w14:textId="77777777" w:rsidR="000C1B7F" w:rsidRDefault="000C1B7F" w:rsidP="000C1B7F">
      <w:pPr>
        <w:tabs>
          <w:tab w:val="left" w:pos="720"/>
          <w:tab w:val="left" w:pos="1440"/>
        </w:tabs>
        <w:ind w:left="1440" w:hanging="1440"/>
      </w:pPr>
      <w:r>
        <w:t>TO:</w:t>
      </w:r>
      <w:r>
        <w:tab/>
      </w:r>
      <w:r>
        <w:tab/>
        <w:t>Office of Management and Budget (OMB)</w:t>
      </w:r>
    </w:p>
    <w:p w14:paraId="36EEEF80" w14:textId="77777777" w:rsidR="000C1B7F" w:rsidRDefault="000C1B7F" w:rsidP="000C1B7F">
      <w:r>
        <w:t>Through:</w:t>
      </w:r>
      <w:r>
        <w:tab/>
        <w:t>Reports Clearance Officer, DHHS</w:t>
      </w:r>
      <w:r>
        <w:rPr>
          <w:rStyle w:val="FootnoteReference"/>
        </w:rPr>
        <w:footnoteReference w:id="1"/>
      </w:r>
    </w:p>
    <w:p w14:paraId="0766DD11" w14:textId="77777777" w:rsidR="000C1B7F" w:rsidRDefault="000C1B7F" w:rsidP="000C1B7F">
      <w:r>
        <w:tab/>
      </w:r>
      <w:r>
        <w:tab/>
        <w:t xml:space="preserve">Mikia Currie, Project Clearance Chief, NIH </w:t>
      </w:r>
      <w:r>
        <w:rPr>
          <w:u w:val="single"/>
        </w:rPr>
        <w:t xml:space="preserve">      </w:t>
      </w:r>
    </w:p>
    <w:p w14:paraId="103B874E" w14:textId="77777777" w:rsidR="000C1B7F" w:rsidRDefault="000C1B7F" w:rsidP="000C1B7F">
      <w:r>
        <w:tab/>
      </w:r>
      <w:r>
        <w:tab/>
        <w:t>Melba Rojas, Project Clearance Liaison, NIMH</w:t>
      </w:r>
    </w:p>
    <w:p w14:paraId="56C282AB" w14:textId="77777777" w:rsidR="000C1B7F" w:rsidRPr="000C1B7F" w:rsidRDefault="000C1B7F" w:rsidP="000C1B7F"/>
    <w:p w14:paraId="7F1BB0F6" w14:textId="77777777" w:rsidR="000C1B7F" w:rsidRPr="000C1B7F" w:rsidRDefault="000C1B7F" w:rsidP="000C1B7F">
      <w:r w:rsidRPr="000C1B7F">
        <w:t>FROM:</w:t>
      </w:r>
      <w:r w:rsidRPr="000C1B7F">
        <w:tab/>
      </w:r>
      <w:r>
        <w:t>Gregory K. Farber, Ph.D.</w:t>
      </w:r>
    </w:p>
    <w:p w14:paraId="6460BB36" w14:textId="77777777" w:rsidR="000C1B7F" w:rsidRPr="000C1B7F" w:rsidRDefault="000C1B7F" w:rsidP="000C1B7F">
      <w:r w:rsidRPr="000C1B7F">
        <w:tab/>
      </w:r>
      <w:r w:rsidRPr="000C1B7F">
        <w:tab/>
        <w:t>National Institute of Mental Health (NIMH)</w:t>
      </w:r>
    </w:p>
    <w:p w14:paraId="6DFAEB8B" w14:textId="77777777" w:rsidR="000C1B7F" w:rsidRPr="000C1B7F" w:rsidRDefault="000C1B7F" w:rsidP="000C1B7F"/>
    <w:p w14:paraId="4E2B2709" w14:textId="77777777" w:rsidR="000C1B7F" w:rsidRPr="000C1B7F" w:rsidRDefault="000C1B7F" w:rsidP="000C1B7F">
      <w:pPr>
        <w:ind w:left="1440" w:hanging="1440"/>
      </w:pPr>
      <w:r w:rsidRPr="000C1B7F">
        <w:t>SUBJECT:</w:t>
      </w:r>
      <w:r w:rsidRPr="000C1B7F">
        <w:tab/>
        <w:t>National Institute of Mental Health Data Archive (NDA) Data Use Certification and Data Submission Agreement (OMB Control #0925-0667, Expiration Date 11/30/2020)</w:t>
      </w:r>
    </w:p>
    <w:p w14:paraId="688561B4" w14:textId="77777777" w:rsidR="000C1B7F" w:rsidRPr="000C1B7F" w:rsidRDefault="000C1B7F" w:rsidP="000C1B7F">
      <w:pPr>
        <w:tabs>
          <w:tab w:val="left" w:pos="6992"/>
        </w:tabs>
        <w:ind w:left="1440" w:hanging="1440"/>
      </w:pPr>
      <w:r w:rsidRPr="000C1B7F">
        <w:tab/>
      </w:r>
      <w:r w:rsidRPr="000C1B7F">
        <w:tab/>
      </w:r>
    </w:p>
    <w:p w14:paraId="600223A2" w14:textId="77777777" w:rsidR="000C1B7F" w:rsidRPr="000C1B7F" w:rsidRDefault="000C1B7F" w:rsidP="000C1B7F">
      <w:pPr>
        <w:ind w:left="1440" w:hanging="1440"/>
      </w:pPr>
    </w:p>
    <w:p w14:paraId="4D1DF79C" w14:textId="77777777" w:rsidR="000C1B7F" w:rsidRPr="000C1B7F" w:rsidRDefault="000C1B7F" w:rsidP="000C1B7F">
      <w:r>
        <w:t xml:space="preserve">This is a request for </w:t>
      </w:r>
      <w:r w:rsidRPr="000C1B7F">
        <w:t xml:space="preserve">OMB </w:t>
      </w:r>
      <w:r>
        <w:t xml:space="preserve">to </w:t>
      </w:r>
      <w:r w:rsidRPr="000C1B7F">
        <w:t>approv</w:t>
      </w:r>
      <w:r>
        <w:t xml:space="preserve">e </w:t>
      </w:r>
      <w:r w:rsidRPr="000C1B7F">
        <w:t>non-substantive changes to the National Institute of Mental Health Data Archive (NDA) Data Use Certification (DUC) and Data Submission Agreement (DSA) data collection instruments approved under OMB Control #0925-0667, Expiration Date: 11/30/2020.</w:t>
      </w:r>
    </w:p>
    <w:p w14:paraId="11B0FBE2" w14:textId="77777777" w:rsidR="000C1B7F" w:rsidRPr="000C1B7F" w:rsidRDefault="000C1B7F" w:rsidP="000C1B7F"/>
    <w:p w14:paraId="38253070" w14:textId="7140F6CB" w:rsidR="000C1B7F" w:rsidRDefault="000C1B7F" w:rsidP="000C1B7F">
      <w:r w:rsidRPr="000C1B7F">
        <w:t>The NDA is an infrastructure for sharing human subjects research data and tools</w:t>
      </w:r>
      <w:r w:rsidR="00F222F8">
        <w:t>,</w:t>
      </w:r>
      <w:r w:rsidRPr="000C1B7F">
        <w:t xml:space="preserve"> </w:t>
      </w:r>
      <w:r w:rsidR="00F222F8" w:rsidRPr="000C1B7F">
        <w:t>comprised of multiple data repositories covering several research domains</w:t>
      </w:r>
      <w:r w:rsidR="00F222F8">
        <w:t>,</w:t>
      </w:r>
      <w:r w:rsidR="00F222F8" w:rsidRPr="000C1B7F">
        <w:t xml:space="preserve"> </w:t>
      </w:r>
      <w:r w:rsidRPr="000C1B7F">
        <w:t xml:space="preserve">to further collaboration and scientific discovery. </w:t>
      </w:r>
      <w:r w:rsidR="00F222F8" w:rsidRPr="000C1B7F">
        <w:rPr>
          <w:color w:val="000000"/>
        </w:rPr>
        <w:t xml:space="preserve">The DUC and DSA are data collection instruments completed by researchers submitting or requesting access to data stored in the multiple repositories that make up the NDA. </w:t>
      </w:r>
      <w:r w:rsidR="00F222F8">
        <w:rPr>
          <w:color w:val="000000"/>
        </w:rPr>
        <w:t xml:space="preserve">Since the 2017 revision of the DUC and DSA there have been changes to the data repositories available within the NDA </w:t>
      </w:r>
      <w:r w:rsidR="004F0293">
        <w:rPr>
          <w:color w:val="000000"/>
        </w:rPr>
        <w:t>infra</w:t>
      </w:r>
      <w:r w:rsidR="00F222F8">
        <w:rPr>
          <w:color w:val="000000"/>
        </w:rPr>
        <w:t xml:space="preserve">structure. </w:t>
      </w:r>
      <w:r w:rsidR="002908C9" w:rsidRPr="004F0293">
        <w:rPr>
          <w:color w:val="000000"/>
        </w:rPr>
        <w:t xml:space="preserve">While the evolving nature of the NDA is clearly stated in the current Supporting Statement A on file with OMB, we are requesting approval of changes to language on the DUC and DSA that </w:t>
      </w:r>
      <w:r w:rsidR="004F0293" w:rsidRPr="004F0293">
        <w:rPr>
          <w:color w:val="000000"/>
        </w:rPr>
        <w:t>clearly</w:t>
      </w:r>
      <w:r w:rsidR="00F222F8" w:rsidRPr="004F0293">
        <w:rPr>
          <w:color w:val="000000"/>
        </w:rPr>
        <w:t xml:space="preserve"> </w:t>
      </w:r>
      <w:r w:rsidR="002908C9" w:rsidRPr="004F0293">
        <w:rPr>
          <w:color w:val="000000"/>
        </w:rPr>
        <w:t>describe</w:t>
      </w:r>
      <w:r w:rsidR="00F222F8" w:rsidRPr="004F0293">
        <w:rPr>
          <w:color w:val="000000"/>
        </w:rPr>
        <w:t>s</w:t>
      </w:r>
      <w:r w:rsidR="002908C9" w:rsidRPr="004F0293">
        <w:rPr>
          <w:color w:val="000000"/>
        </w:rPr>
        <w:t xml:space="preserve"> the current NDA data infrastructure to NDA users</w:t>
      </w:r>
      <w:r w:rsidR="004F0293">
        <w:rPr>
          <w:color w:val="000000"/>
        </w:rPr>
        <w:t xml:space="preserve">. </w:t>
      </w:r>
      <w:r w:rsidRPr="000C1B7F">
        <w:rPr>
          <w:color w:val="000000"/>
        </w:rPr>
        <w:t xml:space="preserve">The </w:t>
      </w:r>
      <w:r w:rsidR="002908C9">
        <w:rPr>
          <w:color w:val="000000"/>
        </w:rPr>
        <w:t xml:space="preserve">changes to the </w:t>
      </w:r>
      <w:r w:rsidRPr="000C1B7F">
        <w:rPr>
          <w:color w:val="000000"/>
        </w:rPr>
        <w:t>DUC and DSA and</w:t>
      </w:r>
      <w:r w:rsidRPr="000C1B7F">
        <w:t xml:space="preserve"> described below.</w:t>
      </w:r>
    </w:p>
    <w:p w14:paraId="6448B8CA" w14:textId="77777777" w:rsidR="004F0293" w:rsidRPr="000C1B7F" w:rsidRDefault="004F0293" w:rsidP="000C1B7F"/>
    <w:p w14:paraId="05C00066" w14:textId="77777777" w:rsidR="000C1B7F" w:rsidRPr="000C1B7F" w:rsidRDefault="000C1B7F" w:rsidP="000C1B7F">
      <w:pPr>
        <w:rPr>
          <w:u w:val="single"/>
        </w:rPr>
      </w:pPr>
      <w:r w:rsidRPr="000C1B7F">
        <w:rPr>
          <w:u w:val="single"/>
        </w:rPr>
        <w:t xml:space="preserve">Updates to the DUC: </w:t>
      </w:r>
    </w:p>
    <w:p w14:paraId="31DBF603" w14:textId="77777777" w:rsidR="000C1B7F" w:rsidRPr="000C1B7F" w:rsidRDefault="000C1B7F" w:rsidP="000C1B7F"/>
    <w:p w14:paraId="5E79AA54" w14:textId="77777777" w:rsidR="000C1B7F" w:rsidRPr="000C1B7F" w:rsidRDefault="000C1B7F" w:rsidP="000C1B7F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C1B7F">
        <w:rPr>
          <w:rFonts w:ascii="Times New Roman" w:hAnsi="Times New Roman"/>
          <w:i/>
          <w:sz w:val="24"/>
          <w:szCs w:val="24"/>
        </w:rPr>
        <w:t>NIMH Data Archive (NDA)</w:t>
      </w:r>
      <w:r w:rsidRPr="000C1B7F">
        <w:rPr>
          <w:rFonts w:ascii="Times New Roman" w:hAnsi="Times New Roman"/>
          <w:sz w:val="24"/>
          <w:szCs w:val="24"/>
        </w:rPr>
        <w:t xml:space="preserve"> section</w:t>
      </w:r>
    </w:p>
    <w:p w14:paraId="7C883F2A" w14:textId="77777777" w:rsidR="000C1B7F" w:rsidRDefault="000C1B7F" w:rsidP="000C1B7F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0C1B7F">
        <w:rPr>
          <w:rFonts w:ascii="Times New Roman" w:hAnsi="Times New Roman"/>
          <w:sz w:val="24"/>
          <w:szCs w:val="24"/>
        </w:rPr>
        <w:t xml:space="preserve">In the first paragraph, replace the descriptions of each specific repository with a link directing users to the </w:t>
      </w:r>
      <w:r w:rsidRPr="000C1B7F">
        <w:rPr>
          <w:rFonts w:ascii="Times New Roman" w:hAnsi="Times New Roman"/>
          <w:i/>
          <w:sz w:val="24"/>
          <w:szCs w:val="24"/>
        </w:rPr>
        <w:t>About Us</w:t>
      </w:r>
      <w:r w:rsidRPr="000C1B7F">
        <w:rPr>
          <w:rFonts w:ascii="Times New Roman" w:hAnsi="Times New Roman"/>
          <w:sz w:val="24"/>
          <w:szCs w:val="24"/>
        </w:rPr>
        <w:t xml:space="preserve"> are</w:t>
      </w:r>
      <w:r w:rsidR="00BB11D8">
        <w:rPr>
          <w:rFonts w:ascii="Times New Roman" w:hAnsi="Times New Roman"/>
          <w:sz w:val="24"/>
          <w:szCs w:val="24"/>
        </w:rPr>
        <w:t>a</w:t>
      </w:r>
      <w:r w:rsidRPr="000C1B7F">
        <w:rPr>
          <w:rFonts w:ascii="Times New Roman" w:hAnsi="Times New Roman"/>
          <w:sz w:val="24"/>
          <w:szCs w:val="24"/>
        </w:rPr>
        <w:t xml:space="preserve"> of the NDA website that contains a current list of repositories stored in the NDA data infrastructure. </w:t>
      </w:r>
    </w:p>
    <w:p w14:paraId="11EC289E" w14:textId="77777777" w:rsidR="000C1B7F" w:rsidRPr="000C1B7F" w:rsidRDefault="000C1B7F" w:rsidP="000C1B7F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14:paraId="2BDF00B4" w14:textId="77777777" w:rsidR="000C1B7F" w:rsidRPr="000C1B7F" w:rsidRDefault="000C1B7F" w:rsidP="000C1B7F">
      <w:pPr>
        <w:pStyle w:val="ListParagraph"/>
        <w:numPr>
          <w:ilvl w:val="0"/>
          <w:numId w:val="1"/>
        </w:numPr>
        <w:rPr>
          <w:rFonts w:ascii="Times New Roman" w:hAnsi="Times New Roman"/>
          <w:i/>
          <w:sz w:val="24"/>
          <w:szCs w:val="24"/>
        </w:rPr>
      </w:pPr>
      <w:r w:rsidRPr="000C1B7F">
        <w:rPr>
          <w:rFonts w:ascii="Times New Roman" w:hAnsi="Times New Roman"/>
          <w:i/>
          <w:sz w:val="24"/>
          <w:szCs w:val="24"/>
        </w:rPr>
        <w:t xml:space="preserve">Data Use Terms and Conditions </w:t>
      </w:r>
      <w:r w:rsidRPr="000C1B7F">
        <w:rPr>
          <w:rFonts w:ascii="Times New Roman" w:hAnsi="Times New Roman"/>
          <w:sz w:val="24"/>
          <w:szCs w:val="24"/>
        </w:rPr>
        <w:t>section</w:t>
      </w:r>
    </w:p>
    <w:p w14:paraId="252AC1EC" w14:textId="77777777" w:rsidR="000C1B7F" w:rsidRPr="000C1B7F" w:rsidRDefault="000C1B7F" w:rsidP="000C1B7F">
      <w:pPr>
        <w:pStyle w:val="ListParagraph"/>
        <w:numPr>
          <w:ilvl w:val="1"/>
          <w:numId w:val="1"/>
        </w:numPr>
        <w:rPr>
          <w:rFonts w:ascii="Times New Roman" w:hAnsi="Times New Roman"/>
          <w:i/>
          <w:sz w:val="24"/>
          <w:szCs w:val="24"/>
        </w:rPr>
      </w:pPr>
      <w:r w:rsidRPr="000C1B7F">
        <w:rPr>
          <w:rFonts w:ascii="Times New Roman" w:hAnsi="Times New Roman"/>
          <w:b/>
          <w:sz w:val="24"/>
          <w:szCs w:val="24"/>
        </w:rPr>
        <w:t>8. Sharing of a NIMH Data Archive</w:t>
      </w:r>
      <w:r w:rsidRPr="000C1B7F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0C1B7F">
        <w:rPr>
          <w:rFonts w:ascii="Times New Roman" w:hAnsi="Times New Roman"/>
          <w:b/>
          <w:sz w:val="24"/>
          <w:szCs w:val="24"/>
        </w:rPr>
        <w:t>Study/Acknowledgements</w:t>
      </w:r>
      <w:r w:rsidRPr="000C1B7F">
        <w:rPr>
          <w:rFonts w:ascii="Times New Roman" w:hAnsi="Times New Roman"/>
          <w:i/>
          <w:sz w:val="24"/>
          <w:szCs w:val="24"/>
        </w:rPr>
        <w:t xml:space="preserve"> - </w:t>
      </w:r>
      <w:r w:rsidRPr="000C1B7F">
        <w:rPr>
          <w:rFonts w:ascii="Times New Roman" w:hAnsi="Times New Roman"/>
          <w:sz w:val="24"/>
          <w:szCs w:val="24"/>
        </w:rPr>
        <w:t>replace the “Acknowledgement Statements” for each repository stored in the NDA data</w:t>
      </w:r>
      <w:r>
        <w:rPr>
          <w:rFonts w:ascii="Times New Roman" w:hAnsi="Times New Roman"/>
          <w:sz w:val="24"/>
          <w:szCs w:val="24"/>
        </w:rPr>
        <w:t xml:space="preserve"> i</w:t>
      </w:r>
      <w:r w:rsidRPr="000C1B7F">
        <w:rPr>
          <w:rFonts w:ascii="Times New Roman" w:hAnsi="Times New Roman"/>
          <w:sz w:val="24"/>
          <w:szCs w:val="24"/>
        </w:rPr>
        <w:t xml:space="preserve">nfrastructure with a link directing users to the </w:t>
      </w:r>
      <w:r w:rsidRPr="000C1B7F">
        <w:rPr>
          <w:rFonts w:ascii="Times New Roman" w:hAnsi="Times New Roman"/>
          <w:i/>
          <w:sz w:val="24"/>
          <w:szCs w:val="24"/>
        </w:rPr>
        <w:t xml:space="preserve">NDA Study Acknowledgements </w:t>
      </w:r>
      <w:r w:rsidRPr="000C1B7F">
        <w:rPr>
          <w:rFonts w:ascii="Times New Roman" w:hAnsi="Times New Roman"/>
          <w:sz w:val="24"/>
          <w:szCs w:val="24"/>
        </w:rPr>
        <w:t xml:space="preserve">area of the NDA website that contains the required acknowledgement statement. </w:t>
      </w:r>
    </w:p>
    <w:p w14:paraId="745E4DFA" w14:textId="77777777" w:rsidR="000C1B7F" w:rsidRPr="000C1B7F" w:rsidRDefault="000C1B7F" w:rsidP="000C1B7F"/>
    <w:p w14:paraId="60E26874" w14:textId="77777777" w:rsidR="000C1B7F" w:rsidRPr="000C1B7F" w:rsidRDefault="000C1B7F" w:rsidP="000C1B7F">
      <w:pPr>
        <w:rPr>
          <w:u w:val="single"/>
        </w:rPr>
      </w:pPr>
      <w:r w:rsidRPr="000C1B7F">
        <w:rPr>
          <w:u w:val="single"/>
        </w:rPr>
        <w:t>Updates to the DSA:</w:t>
      </w:r>
    </w:p>
    <w:p w14:paraId="68CE1510" w14:textId="77777777" w:rsidR="000C1B7F" w:rsidRPr="000C1B7F" w:rsidRDefault="000C1B7F" w:rsidP="000C1B7F"/>
    <w:p w14:paraId="450AE85F" w14:textId="77777777" w:rsidR="000C1B7F" w:rsidRPr="000C1B7F" w:rsidRDefault="000C1B7F" w:rsidP="000C1B7F">
      <w:pPr>
        <w:pStyle w:val="ListParagraph"/>
        <w:numPr>
          <w:ilvl w:val="0"/>
          <w:numId w:val="2"/>
        </w:numPr>
        <w:rPr>
          <w:rFonts w:ascii="Times New Roman" w:hAnsi="Times New Roman"/>
          <w:color w:val="000000"/>
          <w:sz w:val="24"/>
          <w:szCs w:val="24"/>
        </w:rPr>
      </w:pPr>
      <w:r w:rsidRPr="000C1B7F">
        <w:rPr>
          <w:rFonts w:ascii="Times New Roman" w:hAnsi="Times New Roman"/>
          <w:i/>
          <w:color w:val="000000"/>
          <w:sz w:val="24"/>
          <w:szCs w:val="24"/>
        </w:rPr>
        <w:t>Data Submission Terms and Conditions</w:t>
      </w:r>
      <w:r w:rsidRPr="000C1B7F">
        <w:rPr>
          <w:rFonts w:ascii="Times New Roman" w:hAnsi="Times New Roman"/>
          <w:color w:val="000000"/>
          <w:sz w:val="24"/>
          <w:szCs w:val="24"/>
        </w:rPr>
        <w:t xml:space="preserve"> section </w:t>
      </w:r>
    </w:p>
    <w:p w14:paraId="4E814B05" w14:textId="77777777" w:rsidR="000C1B7F" w:rsidRDefault="000C1B7F" w:rsidP="000C1B7F">
      <w:pPr>
        <w:pStyle w:val="ListParagraph"/>
        <w:numPr>
          <w:ilvl w:val="1"/>
          <w:numId w:val="2"/>
        </w:numPr>
        <w:rPr>
          <w:rFonts w:ascii="Times New Roman" w:hAnsi="Times New Roman"/>
          <w:color w:val="000000"/>
          <w:sz w:val="24"/>
          <w:szCs w:val="24"/>
        </w:rPr>
      </w:pPr>
      <w:r w:rsidRPr="000C1B7F">
        <w:rPr>
          <w:rFonts w:ascii="Times New Roman" w:hAnsi="Times New Roman"/>
          <w:b/>
          <w:color w:val="000000"/>
          <w:sz w:val="24"/>
          <w:szCs w:val="24"/>
        </w:rPr>
        <w:t>6. Data Accuracy</w:t>
      </w:r>
      <w:r w:rsidRPr="000C1B7F">
        <w:rPr>
          <w:rFonts w:ascii="Times New Roman" w:hAnsi="Times New Roman"/>
          <w:i/>
          <w:color w:val="000000"/>
          <w:sz w:val="24"/>
          <w:szCs w:val="24"/>
        </w:rPr>
        <w:t xml:space="preserve"> - </w:t>
      </w:r>
      <w:r w:rsidRPr="000C1B7F">
        <w:rPr>
          <w:rFonts w:ascii="Times New Roman" w:hAnsi="Times New Roman"/>
          <w:color w:val="000000"/>
          <w:sz w:val="24"/>
          <w:szCs w:val="24"/>
        </w:rPr>
        <w:t xml:space="preserve">replace the specified submission cycle dates with a link to the </w:t>
      </w:r>
      <w:r w:rsidRPr="000C1B7F">
        <w:rPr>
          <w:rFonts w:ascii="Times New Roman" w:hAnsi="Times New Roman"/>
          <w:i/>
          <w:color w:val="000000"/>
          <w:sz w:val="24"/>
          <w:szCs w:val="24"/>
        </w:rPr>
        <w:t>Sharing Regimen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B11D8">
        <w:rPr>
          <w:rFonts w:ascii="Times New Roman" w:hAnsi="Times New Roman"/>
          <w:color w:val="000000"/>
          <w:sz w:val="24"/>
          <w:szCs w:val="24"/>
        </w:rPr>
        <w:t xml:space="preserve">area </w:t>
      </w:r>
      <w:r w:rsidRPr="000C1B7F">
        <w:rPr>
          <w:rFonts w:ascii="Times New Roman" w:hAnsi="Times New Roman"/>
          <w:color w:val="000000"/>
          <w:sz w:val="24"/>
          <w:szCs w:val="24"/>
        </w:rPr>
        <w:t>of the NDA website that describes deadlines for completing data quality control activities.</w:t>
      </w:r>
    </w:p>
    <w:p w14:paraId="5127D5BC" w14:textId="77777777" w:rsidR="000C1B7F" w:rsidRPr="000C1B7F" w:rsidRDefault="000C1B7F" w:rsidP="000C1B7F">
      <w:pPr>
        <w:pStyle w:val="ListParagraph"/>
        <w:ind w:left="1440"/>
        <w:rPr>
          <w:rFonts w:ascii="Times New Roman" w:hAnsi="Times New Roman"/>
          <w:color w:val="000000"/>
          <w:sz w:val="24"/>
          <w:szCs w:val="24"/>
        </w:rPr>
      </w:pPr>
    </w:p>
    <w:p w14:paraId="003F5BC0" w14:textId="77777777" w:rsidR="000C1B7F" w:rsidRDefault="000C1B7F" w:rsidP="000C1B7F">
      <w:pPr>
        <w:pStyle w:val="ListParagraph"/>
        <w:numPr>
          <w:ilvl w:val="0"/>
          <w:numId w:val="2"/>
        </w:numPr>
        <w:rPr>
          <w:rFonts w:ascii="Times New Roman" w:hAnsi="Times New Roman"/>
          <w:color w:val="000000"/>
          <w:sz w:val="24"/>
          <w:szCs w:val="24"/>
        </w:rPr>
      </w:pPr>
      <w:r w:rsidRPr="000C1B7F">
        <w:rPr>
          <w:rFonts w:ascii="Times New Roman" w:hAnsi="Times New Roman"/>
          <w:i/>
          <w:color w:val="000000"/>
          <w:sz w:val="24"/>
          <w:szCs w:val="24"/>
        </w:rPr>
        <w:t>NIMH Data Archive Submitter Information and Certifications</w:t>
      </w:r>
      <w:r w:rsidRPr="000C1B7F">
        <w:rPr>
          <w:rFonts w:ascii="Times New Roman" w:hAnsi="Times New Roman"/>
          <w:color w:val="000000"/>
          <w:sz w:val="24"/>
          <w:szCs w:val="24"/>
        </w:rPr>
        <w:t xml:space="preserve"> section</w:t>
      </w:r>
    </w:p>
    <w:p w14:paraId="19AF8F0C" w14:textId="77777777" w:rsidR="000C1B7F" w:rsidRPr="000C1B7F" w:rsidRDefault="000C1B7F" w:rsidP="000C1B7F">
      <w:pPr>
        <w:pStyle w:val="ListParagraph"/>
        <w:numPr>
          <w:ilvl w:val="1"/>
          <w:numId w:val="2"/>
        </w:numPr>
        <w:rPr>
          <w:rFonts w:ascii="Times New Roman" w:hAnsi="Times New Roman"/>
          <w:color w:val="000000"/>
          <w:sz w:val="24"/>
          <w:szCs w:val="24"/>
        </w:rPr>
      </w:pPr>
      <w:r w:rsidRPr="000C1B7F">
        <w:rPr>
          <w:rFonts w:ascii="Times New Roman" w:hAnsi="Times New Roman"/>
          <w:color w:val="000000"/>
          <w:sz w:val="24"/>
          <w:szCs w:val="24"/>
        </w:rPr>
        <w:t xml:space="preserve">Add a </w:t>
      </w:r>
      <w:r w:rsidRPr="000C1B7F">
        <w:rPr>
          <w:rFonts w:ascii="Times New Roman" w:hAnsi="Times New Roman"/>
          <w:b/>
          <w:color w:val="000000"/>
          <w:sz w:val="24"/>
          <w:szCs w:val="24"/>
        </w:rPr>
        <w:t>2. Data Repository</w:t>
      </w:r>
      <w:r w:rsidRPr="000C1B7F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0C1B7F">
        <w:rPr>
          <w:rFonts w:ascii="Times New Roman" w:hAnsi="Times New Roman"/>
          <w:color w:val="000000"/>
          <w:sz w:val="24"/>
          <w:szCs w:val="24"/>
        </w:rPr>
        <w:t xml:space="preserve">section with a link to the </w:t>
      </w:r>
      <w:r w:rsidRPr="000C1B7F">
        <w:rPr>
          <w:rFonts w:ascii="Times New Roman" w:hAnsi="Times New Roman"/>
          <w:i/>
          <w:sz w:val="24"/>
          <w:szCs w:val="24"/>
        </w:rPr>
        <w:t>About Us</w:t>
      </w:r>
      <w:r w:rsidRPr="000C1B7F">
        <w:rPr>
          <w:rFonts w:ascii="Times New Roman" w:hAnsi="Times New Roman"/>
          <w:sz w:val="24"/>
          <w:szCs w:val="24"/>
        </w:rPr>
        <w:t xml:space="preserve"> area of the NDA website that contains a current list of repositories in the system</w:t>
      </w:r>
      <w:r w:rsidRPr="000C1B7F">
        <w:rPr>
          <w:rFonts w:ascii="Times New Roman" w:hAnsi="Times New Roman"/>
          <w:color w:val="000000"/>
          <w:sz w:val="24"/>
          <w:szCs w:val="24"/>
        </w:rPr>
        <w:t xml:space="preserve"> to remind respondents of the repository options available within the NDA infrastructure. No additional information is collected from respondents in this section.</w:t>
      </w:r>
    </w:p>
    <w:p w14:paraId="7F0F7EF9" w14:textId="77777777" w:rsidR="000C1B7F" w:rsidRPr="000C1B7F" w:rsidRDefault="000C1B7F" w:rsidP="000C1B7F">
      <w:pPr>
        <w:pStyle w:val="ListParagraph"/>
        <w:numPr>
          <w:ilvl w:val="1"/>
          <w:numId w:val="2"/>
        </w:numPr>
        <w:rPr>
          <w:rFonts w:ascii="Times New Roman" w:hAnsi="Times New Roman"/>
          <w:color w:val="000000"/>
          <w:sz w:val="24"/>
          <w:szCs w:val="24"/>
        </w:rPr>
      </w:pPr>
      <w:r w:rsidRPr="000C1B7F">
        <w:rPr>
          <w:rFonts w:ascii="Times New Roman" w:hAnsi="Times New Roman"/>
          <w:color w:val="000000"/>
          <w:sz w:val="24"/>
          <w:szCs w:val="24"/>
        </w:rPr>
        <w:t xml:space="preserve">Add a </w:t>
      </w:r>
      <w:r w:rsidRPr="000C1B7F">
        <w:rPr>
          <w:rFonts w:ascii="Times New Roman" w:hAnsi="Times New Roman"/>
          <w:b/>
          <w:color w:val="000000"/>
          <w:sz w:val="24"/>
          <w:szCs w:val="24"/>
        </w:rPr>
        <w:t>4. Controlled Access dataset</w:t>
      </w:r>
      <w:r w:rsidRPr="000C1B7F">
        <w:rPr>
          <w:rFonts w:ascii="Times New Roman" w:hAnsi="Times New Roman"/>
          <w:color w:val="000000"/>
          <w:sz w:val="24"/>
          <w:szCs w:val="24"/>
        </w:rPr>
        <w:t xml:space="preserve"> section for respondents submitting data with consent-based data use limitations to remind them of Institutional Certification requirements.</w:t>
      </w:r>
    </w:p>
    <w:p w14:paraId="108706D5" w14:textId="77777777" w:rsidR="000C1B7F" w:rsidRPr="000C1B7F" w:rsidRDefault="000C1B7F" w:rsidP="000C1B7F">
      <w:pPr>
        <w:rPr>
          <w:color w:val="000000"/>
        </w:rPr>
      </w:pPr>
    </w:p>
    <w:p w14:paraId="271DE67B" w14:textId="77777777" w:rsidR="000C1B7F" w:rsidRPr="000C1B7F" w:rsidRDefault="000C1B7F" w:rsidP="000C1B7F">
      <w:pPr>
        <w:rPr>
          <w:color w:val="000000"/>
        </w:rPr>
      </w:pPr>
      <w:r w:rsidRPr="000C1B7F">
        <w:rPr>
          <w:color w:val="000000"/>
        </w:rPr>
        <w:t xml:space="preserve">These updates do not change the respondent time and cost burden estimates in section A.12 of the Supporting Statement A currently on file with OMB.  </w:t>
      </w:r>
    </w:p>
    <w:p w14:paraId="411FD300" w14:textId="77777777" w:rsidR="000C1B7F" w:rsidRDefault="000C1B7F" w:rsidP="000C1B7F"/>
    <w:p w14:paraId="7CEE8A6D" w14:textId="77777777" w:rsidR="00B4048F" w:rsidRPr="000C1B7F" w:rsidRDefault="00B4048F" w:rsidP="000C1B7F"/>
    <w:p w14:paraId="66417939" w14:textId="77777777" w:rsidR="000C1B7F" w:rsidRPr="000C1B7F" w:rsidRDefault="000C1B7F" w:rsidP="000C1B7F">
      <w:pPr>
        <w:rPr>
          <w:b/>
        </w:rPr>
      </w:pPr>
      <w:r w:rsidRPr="000C1B7F">
        <w:rPr>
          <w:b/>
        </w:rPr>
        <w:t>Attachments:</w:t>
      </w:r>
    </w:p>
    <w:p w14:paraId="78D462D6" w14:textId="03B84547" w:rsidR="000C1B7F" w:rsidRDefault="004F0293" w:rsidP="000C1B7F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Revised tracked changes copy of </w:t>
      </w:r>
      <w:r w:rsidR="000C1B7F" w:rsidRPr="000C1B7F">
        <w:rPr>
          <w:rFonts w:ascii="Times New Roman" w:hAnsi="Times New Roman"/>
          <w:sz w:val="24"/>
          <w:szCs w:val="24"/>
        </w:rPr>
        <w:t xml:space="preserve">NDA Data Use Certification </w:t>
      </w:r>
      <w:r w:rsidR="00B4048F">
        <w:rPr>
          <w:rFonts w:ascii="Times New Roman" w:hAnsi="Times New Roman"/>
          <w:sz w:val="24"/>
          <w:szCs w:val="24"/>
        </w:rPr>
        <w:t>(DUC)</w:t>
      </w:r>
    </w:p>
    <w:p w14:paraId="06E09180" w14:textId="78E20059" w:rsidR="00B4048F" w:rsidRPr="000C1B7F" w:rsidRDefault="00B4048F" w:rsidP="000C1B7F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Revised </w:t>
      </w:r>
      <w:r w:rsidR="004F0293">
        <w:rPr>
          <w:rFonts w:ascii="Times New Roman" w:hAnsi="Times New Roman"/>
          <w:sz w:val="24"/>
          <w:szCs w:val="24"/>
        </w:rPr>
        <w:t xml:space="preserve">clean copy of </w:t>
      </w:r>
      <w:r>
        <w:rPr>
          <w:rFonts w:ascii="Times New Roman" w:hAnsi="Times New Roman"/>
          <w:sz w:val="24"/>
          <w:szCs w:val="24"/>
        </w:rPr>
        <w:t>NDA Data Use Certification (DUC)</w:t>
      </w:r>
    </w:p>
    <w:p w14:paraId="703A8263" w14:textId="1ED5D6AE" w:rsidR="000C1B7F" w:rsidRDefault="004F0293" w:rsidP="000C1B7F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Revised tracked changes copy of </w:t>
      </w:r>
      <w:r w:rsidR="000C1B7F" w:rsidRPr="000C1B7F">
        <w:rPr>
          <w:rFonts w:ascii="Times New Roman" w:hAnsi="Times New Roman"/>
          <w:sz w:val="24"/>
          <w:szCs w:val="24"/>
        </w:rPr>
        <w:t>NDA Data Submission Agreement</w:t>
      </w:r>
      <w:r w:rsidR="00B4048F">
        <w:rPr>
          <w:rFonts w:ascii="Times New Roman" w:hAnsi="Times New Roman"/>
          <w:sz w:val="24"/>
          <w:szCs w:val="24"/>
        </w:rPr>
        <w:t xml:space="preserve"> (DSA)</w:t>
      </w:r>
    </w:p>
    <w:p w14:paraId="0FA8F439" w14:textId="323CD998" w:rsidR="00B4048F" w:rsidRPr="000C1B7F" w:rsidRDefault="00B4048F" w:rsidP="000C1B7F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Revised </w:t>
      </w:r>
      <w:r w:rsidR="004F0293">
        <w:rPr>
          <w:rFonts w:ascii="Times New Roman" w:hAnsi="Times New Roman"/>
          <w:sz w:val="24"/>
          <w:szCs w:val="24"/>
        </w:rPr>
        <w:t xml:space="preserve">clean copy of </w:t>
      </w:r>
      <w:r>
        <w:rPr>
          <w:rFonts w:ascii="Times New Roman" w:hAnsi="Times New Roman"/>
          <w:sz w:val="24"/>
          <w:szCs w:val="24"/>
        </w:rPr>
        <w:t>NDA Data Submission Agreement (DSA)</w:t>
      </w:r>
    </w:p>
    <w:p w14:paraId="5FADE3AE" w14:textId="77777777" w:rsidR="000C1B7F" w:rsidRPr="000C1B7F" w:rsidRDefault="000C1B7F"/>
    <w:p w14:paraId="2D047429" w14:textId="77777777" w:rsidR="00095908" w:rsidRPr="000C1B7F" w:rsidRDefault="00095908"/>
    <w:p w14:paraId="1EE91C97" w14:textId="77777777" w:rsidR="008F3387" w:rsidRPr="000C1B7F" w:rsidRDefault="00095908" w:rsidP="0023303C">
      <w:r w:rsidRPr="000C1B7F">
        <w:tab/>
      </w:r>
      <w:r w:rsidRPr="000C1B7F">
        <w:tab/>
      </w:r>
      <w:r w:rsidRPr="000C1B7F">
        <w:tab/>
      </w:r>
      <w:r w:rsidRPr="000C1B7F">
        <w:tab/>
      </w:r>
      <w:r w:rsidRPr="000C1B7F">
        <w:tab/>
      </w:r>
      <w:r w:rsidRPr="000C1B7F">
        <w:tab/>
      </w:r>
    </w:p>
    <w:p w14:paraId="6FFAA292" w14:textId="77777777" w:rsidR="00EC3D9D" w:rsidRPr="000C1B7F" w:rsidRDefault="00EC3D9D"/>
    <w:p w14:paraId="7D3BB372" w14:textId="77777777" w:rsidR="00EC3D9D" w:rsidRPr="000C1B7F" w:rsidRDefault="00EC3D9D">
      <w:r w:rsidRPr="000C1B7F">
        <w:tab/>
      </w:r>
      <w:r w:rsidRPr="000C1B7F">
        <w:tab/>
      </w:r>
      <w:r w:rsidRPr="000C1B7F">
        <w:tab/>
      </w:r>
      <w:r w:rsidRPr="000C1B7F">
        <w:tab/>
      </w:r>
      <w:r w:rsidRPr="000C1B7F">
        <w:tab/>
      </w:r>
      <w:r w:rsidRPr="000C1B7F">
        <w:tab/>
      </w:r>
    </w:p>
    <w:p w14:paraId="766018B8" w14:textId="77777777" w:rsidR="00EC3D9D" w:rsidRPr="000C1B7F" w:rsidRDefault="00EC3D9D" w:rsidP="00EC3D9D">
      <w:pPr>
        <w:ind w:left="3600" w:firstLine="720"/>
      </w:pPr>
    </w:p>
    <w:p w14:paraId="5FA131DE" w14:textId="77777777" w:rsidR="00EC3D9D" w:rsidRPr="000C1B7F" w:rsidRDefault="00EC3D9D" w:rsidP="00EC3D9D">
      <w:pPr>
        <w:ind w:left="3600" w:firstLine="720"/>
      </w:pPr>
    </w:p>
    <w:p w14:paraId="4603088F" w14:textId="77777777" w:rsidR="00EC3D9D" w:rsidRPr="000C1B7F" w:rsidRDefault="00EC3D9D" w:rsidP="00EC3D9D">
      <w:pPr>
        <w:ind w:left="3600" w:firstLine="720"/>
      </w:pPr>
    </w:p>
    <w:sectPr w:rsidR="00EC3D9D" w:rsidRPr="000C1B7F">
      <w:headerReference w:type="first" r:id="rId11"/>
      <w:pgSz w:w="12240" w:h="15840"/>
      <w:pgMar w:top="1440" w:right="1152" w:bottom="720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8790D4" w14:textId="77777777" w:rsidR="00FE217F" w:rsidRDefault="00FE217F">
      <w:r>
        <w:separator/>
      </w:r>
    </w:p>
  </w:endnote>
  <w:endnote w:type="continuationSeparator" w:id="0">
    <w:p w14:paraId="24C1E046" w14:textId="77777777" w:rsidR="00FE217F" w:rsidRDefault="00FE2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umanst521 Lt BT">
    <w:altName w:val="Century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DE8C42" w14:textId="77777777" w:rsidR="00FE217F" w:rsidRDefault="00FE217F">
      <w:r>
        <w:separator/>
      </w:r>
    </w:p>
  </w:footnote>
  <w:footnote w:type="continuationSeparator" w:id="0">
    <w:p w14:paraId="395E1B0E" w14:textId="77777777" w:rsidR="00FE217F" w:rsidRDefault="00FE217F">
      <w:r>
        <w:continuationSeparator/>
      </w:r>
    </w:p>
  </w:footnote>
  <w:footnote w:id="1">
    <w:p w14:paraId="23A52FA0" w14:textId="77777777" w:rsidR="000C1B7F" w:rsidRPr="00CF6CBF" w:rsidRDefault="000C1B7F" w:rsidP="000C1B7F">
      <w:pPr>
        <w:spacing w:after="24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B33152" w14:textId="77777777" w:rsidR="00291BEE" w:rsidRDefault="00BB11D8">
    <w:pPr>
      <w:pStyle w:val="CompanyName"/>
      <w:framePr w:w="1153" w:h="1005" w:wrap="notBeside" w:x="577" w:y="433"/>
      <w:ind w:right="-10020"/>
      <w:rPr>
        <w:sz w:val="14"/>
      </w:rPr>
    </w:pPr>
    <w:r>
      <w:rPr>
        <w:noProof/>
      </w:rPr>
      <w:drawing>
        <wp:inline distT="0" distB="0" distL="0" distR="0" wp14:anchorId="736FFE87" wp14:editId="2A847C14">
          <wp:extent cx="717550" cy="711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55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91BEE">
      <w:t xml:space="preserve"> </w:t>
    </w:r>
    <w:r w:rsidR="00291BEE">
      <w:rPr>
        <w:b/>
        <w:sz w:val="20"/>
      </w:rPr>
      <w:t xml:space="preserve"> </w:t>
    </w:r>
    <w:r w:rsidR="00291BEE">
      <w:rPr>
        <w:sz w:val="28"/>
      </w:rPr>
      <w:t xml:space="preserve">  </w:t>
    </w:r>
    <w:r w:rsidR="00291BEE">
      <w:rPr>
        <w:sz w:val="28"/>
      </w:rPr>
      <w:tab/>
    </w:r>
    <w:r w:rsidR="00291BEE">
      <w:rPr>
        <w:sz w:val="28"/>
      </w:rPr>
      <w:tab/>
      <w:t xml:space="preserve"> </w:t>
    </w:r>
  </w:p>
  <w:p w14:paraId="3B781B6A" w14:textId="77777777" w:rsidR="00291BEE" w:rsidRDefault="00291BEE">
    <w:pPr>
      <w:pStyle w:val="ReturnAddress"/>
      <w:framePr w:w="9792" w:h="720" w:wrap="notBeside" w:x="2017" w:y="721"/>
      <w:tabs>
        <w:tab w:val="left" w:pos="6840"/>
      </w:tabs>
      <w:spacing w:line="200" w:lineRule="exact"/>
      <w:ind w:right="-115"/>
      <w:rPr>
        <w:rFonts w:ascii="Arial" w:hAnsi="Arial"/>
        <w:spacing w:val="2"/>
        <w:sz w:val="18"/>
      </w:rPr>
    </w:pPr>
    <w:r>
      <w:rPr>
        <w:b/>
        <w:sz w:val="20"/>
      </w:rPr>
      <w:t>DEPARTMENT OF HEALTH &amp; HUMAN SERVICES</w:t>
    </w:r>
    <w:r>
      <w:rPr>
        <w:rFonts w:ascii="Humanst521 Lt BT" w:hAnsi="Humanst521 Lt BT"/>
        <w:b/>
        <w:sz w:val="20"/>
      </w:rPr>
      <w:tab/>
    </w:r>
    <w:r>
      <w:rPr>
        <w:rFonts w:ascii="Arial" w:hAnsi="Arial"/>
        <w:spacing w:val="2"/>
        <w:sz w:val="18"/>
      </w:rPr>
      <w:t>Public Health Service</w:t>
    </w:r>
  </w:p>
  <w:p w14:paraId="09C07878" w14:textId="77777777" w:rsidR="00291BEE" w:rsidRDefault="00291BEE">
    <w:pPr>
      <w:pStyle w:val="ReturnAddress"/>
      <w:framePr w:w="9792" w:h="720" w:wrap="notBeside" w:x="2017" w:y="721"/>
      <w:spacing w:line="200" w:lineRule="exact"/>
      <w:ind w:right="-115"/>
      <w:rPr>
        <w:rFonts w:ascii="Arial" w:hAnsi="Arial"/>
        <w:spacing w:val="2"/>
        <w:sz w:val="18"/>
      </w:rPr>
    </w:pPr>
  </w:p>
  <w:p w14:paraId="37DA4798" w14:textId="77777777" w:rsidR="00291BEE" w:rsidRDefault="00291BEE">
    <w:pPr>
      <w:pStyle w:val="ReturnAddress"/>
      <w:keepLines w:val="0"/>
      <w:framePr w:w="9792" w:h="720" w:wrap="notBeside" w:x="2017" w:y="721"/>
      <w:widowControl w:val="0"/>
      <w:spacing w:line="200" w:lineRule="exact"/>
      <w:ind w:right="-115"/>
      <w:rPr>
        <w:rFonts w:ascii="Arial" w:hAnsi="Arial"/>
        <w:spacing w:val="2"/>
        <w:sz w:val="18"/>
      </w:rPr>
    </w:pPr>
  </w:p>
  <w:p w14:paraId="4BF96E4E" w14:textId="77777777" w:rsidR="00291BEE" w:rsidRDefault="00291BEE">
    <w:pPr>
      <w:pStyle w:val="ReturnAddress"/>
      <w:framePr w:w="9792" w:h="720" w:wrap="notBeside" w:x="2017" w:y="721"/>
      <w:spacing w:line="260" w:lineRule="exact"/>
      <w:ind w:left="6840" w:right="-115"/>
      <w:rPr>
        <w:rFonts w:ascii="Arial" w:hAnsi="Arial"/>
        <w:spacing w:val="2"/>
        <w:sz w:val="18"/>
      </w:rPr>
    </w:pPr>
    <w:r>
      <w:rPr>
        <w:rFonts w:ascii="Arial" w:hAnsi="Arial"/>
        <w:spacing w:val="2"/>
        <w:sz w:val="18"/>
      </w:rPr>
      <w:t>National Institutes of Health</w:t>
    </w:r>
  </w:p>
  <w:p w14:paraId="3B09893E" w14:textId="77777777" w:rsidR="00291BEE" w:rsidRDefault="00291BEE">
    <w:pPr>
      <w:pStyle w:val="ReturnAddress"/>
      <w:framePr w:w="9792" w:h="720" w:wrap="notBeside" w:x="2017" w:y="721"/>
      <w:spacing w:line="260" w:lineRule="exact"/>
      <w:ind w:left="6840" w:right="-115"/>
      <w:rPr>
        <w:rFonts w:ascii="Arial" w:hAnsi="Arial"/>
        <w:spacing w:val="2"/>
        <w:sz w:val="18"/>
      </w:rPr>
    </w:pPr>
    <w:r>
      <w:rPr>
        <w:rFonts w:ascii="Arial" w:hAnsi="Arial"/>
        <w:spacing w:val="2"/>
        <w:sz w:val="18"/>
      </w:rPr>
      <w:t>National Institute of Mental Health</w:t>
    </w:r>
  </w:p>
  <w:p w14:paraId="77E2E05E" w14:textId="77777777" w:rsidR="00291BEE" w:rsidRDefault="00291BEE">
    <w:pPr>
      <w:pStyle w:val="ReturnAddress"/>
      <w:framePr w:w="9792" w:h="720" w:wrap="notBeside" w:x="2017" w:y="721"/>
      <w:spacing w:line="260" w:lineRule="exact"/>
      <w:ind w:left="6480" w:right="-115" w:firstLine="360"/>
      <w:rPr>
        <w:rFonts w:ascii="Arial" w:hAnsi="Arial"/>
        <w:spacing w:val="2"/>
        <w:sz w:val="18"/>
      </w:rPr>
    </w:pPr>
    <w:r>
      <w:rPr>
        <w:rFonts w:ascii="Arial" w:hAnsi="Arial"/>
        <w:spacing w:val="2"/>
        <w:sz w:val="18"/>
      </w:rPr>
      <w:t>6001 Executive Boulevard</w:t>
    </w:r>
    <w:r>
      <w:rPr>
        <w:rFonts w:ascii="Arial" w:hAnsi="Arial"/>
        <w:spacing w:val="2"/>
        <w:sz w:val="18"/>
      </w:rPr>
      <w:tab/>
    </w:r>
  </w:p>
  <w:p w14:paraId="55C675FA" w14:textId="77777777" w:rsidR="00291BEE" w:rsidRDefault="00291BEE">
    <w:pPr>
      <w:pStyle w:val="ReturnAddress"/>
      <w:framePr w:w="9792" w:h="720" w:wrap="notBeside" w:x="2017" w:y="721"/>
      <w:spacing w:line="260" w:lineRule="exact"/>
      <w:ind w:left="6480" w:right="-115" w:firstLine="360"/>
      <w:rPr>
        <w:rFonts w:ascii="Humanst521 Lt BT" w:hAnsi="Humanst521 Lt BT"/>
        <w:spacing w:val="2"/>
        <w:sz w:val="20"/>
      </w:rPr>
    </w:pPr>
    <w:r>
      <w:rPr>
        <w:rFonts w:ascii="Arial" w:hAnsi="Arial"/>
        <w:spacing w:val="2"/>
        <w:sz w:val="18"/>
      </w:rPr>
      <w:t>Bethesda, Maryland 20892</w:t>
    </w:r>
  </w:p>
  <w:p w14:paraId="39A8CD2A" w14:textId="77777777" w:rsidR="00291BEE" w:rsidRDefault="007532D0">
    <w:pPr>
      <w:pStyle w:val="Header"/>
      <w:ind w:left="-900" w:right="-990"/>
      <w:jc w:val="center"/>
    </w:pPr>
    <w:r>
      <w:rPr>
        <w:rFonts w:ascii="Arial" w:hAnsi="Arial"/>
        <w:noProof/>
        <w:spacing w:val="2"/>
        <w:sz w:val="18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798C8A2" wp14:editId="7B55BF9F">
              <wp:simplePos x="0" y="0"/>
              <wp:positionH relativeFrom="margin">
                <wp:posOffset>501650</wp:posOffset>
              </wp:positionH>
              <wp:positionV relativeFrom="margin">
                <wp:posOffset>-1075690</wp:posOffset>
              </wp:positionV>
              <wp:extent cx="6126480" cy="91440"/>
              <wp:effectExtent l="13335" t="13335" r="13335" b="0"/>
              <wp:wrapNone/>
              <wp:docPr id="2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26480" cy="91440"/>
                      </a:xfrm>
                      <a:custGeom>
                        <a:avLst/>
                        <a:gdLst>
                          <a:gd name="T0" fmla="*/ 0 w 20000"/>
                          <a:gd name="T1" fmla="*/ 0 h 20000"/>
                          <a:gd name="T2" fmla="*/ 19998 w 20000"/>
                          <a:gd name="T3" fmla="*/ 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0" y="0"/>
                            </a:moveTo>
                            <a:lnTo>
                              <a:pt x="19998" y="0"/>
                            </a:lnTo>
                          </a:path>
                        </a:pathLst>
                      </a:custGeom>
                      <a:noFill/>
                      <a:ln w="9525" cap="flat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549CC0C" id="Freeform 1" o:spid="_x0000_s1026" style="position:absolute;margin-left:39.5pt;margin-top:-84.7pt;width:482.4pt;height:7.2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" o:allowincell="f" path="m,l19998,e" filled="f">
              <v:stroke startarrowwidth="narrow" startarrowlength="short" endarrowwidth="narrow" endarrowlength="short"/>
              <v:path arrowok="t" o:connecttype="custom" o:connectlocs="0,0;6125867,0" o:connectangles="0,0"/>
              <w10:wrap anchorx="margin" anchory="margin"/>
            </v:shape>
          </w:pict>
        </mc:Fallback>
      </mc:AlternateContent>
    </w:r>
  </w:p>
  <w:p w14:paraId="1BD399D4" w14:textId="77777777" w:rsidR="00291BEE" w:rsidRDefault="00291BE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55103"/>
    <w:multiLevelType w:val="hybridMultilevel"/>
    <w:tmpl w:val="3A8C7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8F1DE6"/>
    <w:multiLevelType w:val="hybridMultilevel"/>
    <w:tmpl w:val="74B4A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666513"/>
    <w:multiLevelType w:val="hybridMultilevel"/>
    <w:tmpl w:val="AB6495D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D0A"/>
    <w:rsid w:val="00095908"/>
    <w:rsid w:val="000C1B7F"/>
    <w:rsid w:val="0023303C"/>
    <w:rsid w:val="002908C9"/>
    <w:rsid w:val="00291BEE"/>
    <w:rsid w:val="002E58E8"/>
    <w:rsid w:val="003209F3"/>
    <w:rsid w:val="0036766B"/>
    <w:rsid w:val="004C1690"/>
    <w:rsid w:val="004F0293"/>
    <w:rsid w:val="0056610F"/>
    <w:rsid w:val="00700D0A"/>
    <w:rsid w:val="0072409B"/>
    <w:rsid w:val="007532D0"/>
    <w:rsid w:val="00783102"/>
    <w:rsid w:val="00817EDA"/>
    <w:rsid w:val="0084040B"/>
    <w:rsid w:val="008A6072"/>
    <w:rsid w:val="008F3387"/>
    <w:rsid w:val="0097765E"/>
    <w:rsid w:val="009F38D8"/>
    <w:rsid w:val="00A12B58"/>
    <w:rsid w:val="00B4048F"/>
    <w:rsid w:val="00B97418"/>
    <w:rsid w:val="00BB11D8"/>
    <w:rsid w:val="00DC16A6"/>
    <w:rsid w:val="00EC3D9D"/>
    <w:rsid w:val="00F222F8"/>
    <w:rsid w:val="00F24642"/>
    <w:rsid w:val="00F45C29"/>
    <w:rsid w:val="00F5234D"/>
    <w:rsid w:val="00FE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7FCFC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CompanyName">
    <w:name w:val="Company Name"/>
    <w:basedOn w:val="Normal"/>
    <w:next w:val="Normal"/>
    <w:pPr>
      <w:keepLines/>
      <w:framePr w:w="2640" w:h="1133" w:wrap="notBeside" w:vAnchor="page" w:hAnchor="page" w:x="8821" w:y="673" w:anchorLock="1"/>
      <w:spacing w:line="200" w:lineRule="atLeast"/>
      <w:ind w:right="-120"/>
    </w:pPr>
    <w:rPr>
      <w:sz w:val="16"/>
      <w:szCs w:val="20"/>
    </w:rPr>
  </w:style>
  <w:style w:type="paragraph" w:customStyle="1" w:styleId="ReturnAddress">
    <w:name w:val="Return Address"/>
    <w:basedOn w:val="Normal"/>
    <w:pPr>
      <w:keepLines/>
      <w:framePr w:w="2640" w:wrap="notBeside" w:vAnchor="page" w:hAnchor="page" w:x="8821" w:y="673" w:anchorLock="1"/>
      <w:spacing w:line="200" w:lineRule="atLeast"/>
      <w:ind w:right="-120"/>
    </w:pPr>
    <w:rPr>
      <w:sz w:val="16"/>
      <w:szCs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Pr>
      <w:sz w:val="22"/>
    </w:rPr>
  </w:style>
  <w:style w:type="character" w:styleId="Hyperlink">
    <w:name w:val="Hyperlink"/>
    <w:uiPriority w:val="99"/>
    <w:unhideWhenUsed/>
    <w:rsid w:val="008F3387"/>
    <w:rPr>
      <w:color w:val="0563C1"/>
      <w:u w:val="single"/>
    </w:rPr>
  </w:style>
  <w:style w:type="paragraph" w:styleId="EnvelopeAddress">
    <w:name w:val="envelope address"/>
    <w:basedOn w:val="Normal"/>
    <w:uiPriority w:val="99"/>
    <w:unhideWhenUsed/>
    <w:rsid w:val="00095908"/>
    <w:pPr>
      <w:framePr w:w="7920" w:h="1980" w:hRule="exact" w:hSpace="180" w:wrap="auto" w:hAnchor="page" w:xAlign="center" w:yAlign="bottom"/>
      <w:ind w:left="2880"/>
    </w:pPr>
    <w:rPr>
      <w:rFonts w:ascii="Calibri Light" w:hAnsi="Calibri Light"/>
    </w:rPr>
  </w:style>
  <w:style w:type="paragraph" w:styleId="EnvelopeReturn">
    <w:name w:val="envelope return"/>
    <w:basedOn w:val="Normal"/>
    <w:uiPriority w:val="99"/>
    <w:unhideWhenUsed/>
    <w:rsid w:val="00095908"/>
    <w:rPr>
      <w:rFonts w:ascii="Calibri Light" w:hAnsi="Calibri Light"/>
      <w:sz w:val="20"/>
      <w:szCs w:val="20"/>
    </w:rPr>
  </w:style>
  <w:style w:type="paragraph" w:styleId="ListParagraph">
    <w:name w:val="List Paragraph"/>
    <w:basedOn w:val="Normal"/>
    <w:uiPriority w:val="34"/>
    <w:qFormat/>
    <w:rsid w:val="000C1B7F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styleId="FootnoteReference">
    <w:name w:val="footnote reference"/>
    <w:semiHidden/>
    <w:rsid w:val="000C1B7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523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23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234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23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234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3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34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CompanyName">
    <w:name w:val="Company Name"/>
    <w:basedOn w:val="Normal"/>
    <w:next w:val="Normal"/>
    <w:pPr>
      <w:keepLines/>
      <w:framePr w:w="2640" w:h="1133" w:wrap="notBeside" w:vAnchor="page" w:hAnchor="page" w:x="8821" w:y="673" w:anchorLock="1"/>
      <w:spacing w:line="200" w:lineRule="atLeast"/>
      <w:ind w:right="-120"/>
    </w:pPr>
    <w:rPr>
      <w:sz w:val="16"/>
      <w:szCs w:val="20"/>
    </w:rPr>
  </w:style>
  <w:style w:type="paragraph" w:customStyle="1" w:styleId="ReturnAddress">
    <w:name w:val="Return Address"/>
    <w:basedOn w:val="Normal"/>
    <w:pPr>
      <w:keepLines/>
      <w:framePr w:w="2640" w:wrap="notBeside" w:vAnchor="page" w:hAnchor="page" w:x="8821" w:y="673" w:anchorLock="1"/>
      <w:spacing w:line="200" w:lineRule="atLeast"/>
      <w:ind w:right="-120"/>
    </w:pPr>
    <w:rPr>
      <w:sz w:val="16"/>
      <w:szCs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Pr>
      <w:sz w:val="22"/>
    </w:rPr>
  </w:style>
  <w:style w:type="character" w:styleId="Hyperlink">
    <w:name w:val="Hyperlink"/>
    <w:uiPriority w:val="99"/>
    <w:unhideWhenUsed/>
    <w:rsid w:val="008F3387"/>
    <w:rPr>
      <w:color w:val="0563C1"/>
      <w:u w:val="single"/>
    </w:rPr>
  </w:style>
  <w:style w:type="paragraph" w:styleId="EnvelopeAddress">
    <w:name w:val="envelope address"/>
    <w:basedOn w:val="Normal"/>
    <w:uiPriority w:val="99"/>
    <w:unhideWhenUsed/>
    <w:rsid w:val="00095908"/>
    <w:pPr>
      <w:framePr w:w="7920" w:h="1980" w:hRule="exact" w:hSpace="180" w:wrap="auto" w:hAnchor="page" w:xAlign="center" w:yAlign="bottom"/>
      <w:ind w:left="2880"/>
    </w:pPr>
    <w:rPr>
      <w:rFonts w:ascii="Calibri Light" w:hAnsi="Calibri Light"/>
    </w:rPr>
  </w:style>
  <w:style w:type="paragraph" w:styleId="EnvelopeReturn">
    <w:name w:val="envelope return"/>
    <w:basedOn w:val="Normal"/>
    <w:uiPriority w:val="99"/>
    <w:unhideWhenUsed/>
    <w:rsid w:val="00095908"/>
    <w:rPr>
      <w:rFonts w:ascii="Calibri Light" w:hAnsi="Calibri Light"/>
      <w:sz w:val="20"/>
      <w:szCs w:val="20"/>
    </w:rPr>
  </w:style>
  <w:style w:type="paragraph" w:styleId="ListParagraph">
    <w:name w:val="List Paragraph"/>
    <w:basedOn w:val="Normal"/>
    <w:uiPriority w:val="34"/>
    <w:qFormat/>
    <w:rsid w:val="000C1B7F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styleId="FootnoteReference">
    <w:name w:val="footnote reference"/>
    <w:semiHidden/>
    <w:rsid w:val="000C1B7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523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23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234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23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234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3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3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7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FF79FA9527514C82FC0B03E0A353F0" ma:contentTypeVersion="0" ma:contentTypeDescription="Create a new document." ma:contentTypeScope="" ma:versionID="c0386c40f95bceac3a108bb3da9de79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515510-F6F3-4815-8817-FACC53A0DC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8729BA-0BAF-49B2-B375-BAF1521593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C51FA7-0413-4E39-BD66-7936D094CE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NIMH</Company>
  <LinksUpToDate>false</LinksUpToDate>
  <CharactersWithSpaces>3424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rwolz</dc:creator>
  <cp:keywords/>
  <cp:lastModifiedBy>SYSTEM</cp:lastModifiedBy>
  <cp:revision>2</cp:revision>
  <dcterms:created xsi:type="dcterms:W3CDTF">2019-08-15T17:28:00Z</dcterms:created>
  <dcterms:modified xsi:type="dcterms:W3CDTF">2019-08-15T17:28:00Z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0x010100EC30FE5A1710114CA23819531E24FFB0</vt:lpwstr>
  </property>
  <property fmtid="{D5CDD505-2E9C-101B-9397-08002B2CF9AE}" pid="3" name="Affiliate Organization">
    <vt:lpwstr/>
  </property>
  <property fmtid="{D5CDD505-2E9C-101B-9397-08002B2CF9AE}" pid="4" name="EmailTo">
    <vt:lpwstr/>
  </property>
  <property fmtid="{D5CDD505-2E9C-101B-9397-08002B2CF9AE}" pid="5" name="EmailHeaders">
    <vt:lpwstr/>
  </property>
  <property fmtid="{D5CDD505-2E9C-101B-9397-08002B2CF9AE}" pid="6" name="Comments">
    <vt:lpwstr/>
  </property>
  <property fmtid="{D5CDD505-2E9C-101B-9397-08002B2CF9AE}" pid="7" name="EmailSender">
    <vt:lpwstr/>
  </property>
  <property fmtid="{D5CDD505-2E9C-101B-9397-08002B2CF9AE}" pid="8" name="EmailFrom">
    <vt:lpwstr/>
  </property>
  <property fmtid="{D5CDD505-2E9C-101B-9397-08002B2CF9AE}" pid="9" name="Task Type">
    <vt:lpwstr>Direct Reply</vt:lpwstr>
  </property>
  <property fmtid="{D5CDD505-2E9C-101B-9397-08002B2CF9AE}" pid="10" name="Date Completed">
    <vt:lpwstr/>
  </property>
  <property fmtid="{D5CDD505-2E9C-101B-9397-08002B2CF9AE}" pid="11" name="Calendar Year">
    <vt:lpwstr>2017</vt:lpwstr>
  </property>
  <property fmtid="{D5CDD505-2E9C-101B-9397-08002B2CF9AE}" pid="12" name="Document Type">
    <vt:lpwstr>Letter</vt:lpwstr>
  </property>
  <property fmtid="{D5CDD505-2E9C-101B-9397-08002B2CF9AE}" pid="13" name="EmailSubject">
    <vt:lpwstr/>
  </property>
  <property fmtid="{D5CDD505-2E9C-101B-9397-08002B2CF9AE}" pid="14" name="Topic2">
    <vt:lpwstr>General Mental Health</vt:lpwstr>
  </property>
  <property fmtid="{D5CDD505-2E9C-101B-9397-08002B2CF9AE}" pid="15" name="Tracking Number">
    <vt:lpwstr>365857</vt:lpwstr>
  </property>
  <property fmtid="{D5CDD505-2E9C-101B-9397-08002B2CF9AE}" pid="16" name="Source">
    <vt:lpwstr>NIH ES/DDRMS</vt:lpwstr>
  </property>
  <property fmtid="{D5CDD505-2E9C-101B-9397-08002B2CF9AE}" pid="17" name="Status">
    <vt:lpwstr>Completed</vt:lpwstr>
  </property>
  <property fmtid="{D5CDD505-2E9C-101B-9397-08002B2CF9AE}" pid="18" name="Author Name">
    <vt:lpwstr>NIMH Executive Secretariat</vt:lpwstr>
  </property>
  <property fmtid="{D5CDD505-2E9C-101B-9397-08002B2CF9AE}" pid="19" name="Date Received">
    <vt:lpwstr>2017-07-03T11:45:54Z</vt:lpwstr>
  </property>
  <property fmtid="{D5CDD505-2E9C-101B-9397-08002B2CF9AE}" pid="20" name="EmailCc">
    <vt:lpwstr/>
  </property>
</Properties>
</file>