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BD73B"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bookmarkStart w:id="0" w:name="_GoBack"/>
      <w:bookmarkEnd w:id="0"/>
      <w:r w:rsidRPr="00207E15">
        <w:rPr>
          <w:b/>
          <w:bCs/>
          <w:sz w:val="24"/>
          <w:u w:val="single"/>
        </w:rPr>
        <w:t>Supporting Statement – Part B</w:t>
      </w:r>
    </w:p>
    <w:p w14:paraId="7F3CCFDE"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14:paraId="5AFF64E5"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207E15">
        <w:rPr>
          <w:bCs/>
          <w:sz w:val="24"/>
        </w:rPr>
        <w:t>Collections of Information Employing Statistical Methods</w:t>
      </w:r>
    </w:p>
    <w:p w14:paraId="12CE78BD" w14:textId="77777777" w:rsidR="00EF1E58" w:rsidRPr="00207E15" w:rsidRDefault="00AA61BF">
      <w:pPr>
        <w:rPr>
          <w:sz w:val="24"/>
        </w:rPr>
      </w:pPr>
    </w:p>
    <w:p w14:paraId="15FAB272" w14:textId="77777777" w:rsidR="00054B36" w:rsidRPr="00207E15" w:rsidRDefault="00054B36" w:rsidP="00054B3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1. 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4D9C7357" w14:textId="77777777" w:rsidR="00054B36" w:rsidRPr="00207E15" w:rsidRDefault="00054B36">
      <w:pPr>
        <w:rPr>
          <w:sz w:val="24"/>
        </w:rPr>
      </w:pPr>
    </w:p>
    <w:p w14:paraId="0A3AE777" w14:textId="5CC94BCC" w:rsidR="00FB65B5" w:rsidRDefault="00F42FFD">
      <w:pPr>
        <w:rPr>
          <w:sz w:val="24"/>
        </w:rPr>
      </w:pPr>
      <w:r w:rsidRPr="00215DC3">
        <w:rPr>
          <w:sz w:val="24"/>
        </w:rPr>
        <w:t>The Data Validation</w:t>
      </w:r>
      <w:r>
        <w:rPr>
          <w:sz w:val="24"/>
        </w:rPr>
        <w:t xml:space="preserve"> Contractor will randomly sample </w:t>
      </w:r>
      <w:r w:rsidR="00822D2F">
        <w:rPr>
          <w:sz w:val="24"/>
        </w:rPr>
        <w:t>300</w:t>
      </w:r>
      <w:r w:rsidR="00AE6E17">
        <w:rPr>
          <w:sz w:val="24"/>
        </w:rPr>
        <w:t xml:space="preserve"> </w:t>
      </w:r>
      <w:r>
        <w:rPr>
          <w:sz w:val="24"/>
        </w:rPr>
        <w:t xml:space="preserve">facilities, per contract and Quality Incentive Program (QIP) rule guidelines, for participation in the validation project.  As a random sample, this should be a representative sample of all included facilities nationally.  The sample pool will consist of Medicare-certified dialysis facilities that are required to submit administrative and clinical data into CROWNWeb to </w:t>
      </w:r>
      <w:r w:rsidR="00FB65B5">
        <w:rPr>
          <w:sz w:val="24"/>
        </w:rPr>
        <w:t>m</w:t>
      </w:r>
      <w:r>
        <w:rPr>
          <w:sz w:val="24"/>
        </w:rPr>
        <w:t>eet Section 4943108(h) of the 2008 updated Conditions for Coverage for ESRD Dialysis Facilities.</w:t>
      </w:r>
    </w:p>
    <w:p w14:paraId="599EC1E9" w14:textId="77777777" w:rsidR="00FB65B5" w:rsidRDefault="00FB65B5">
      <w:pPr>
        <w:rPr>
          <w:sz w:val="24"/>
        </w:rPr>
      </w:pPr>
    </w:p>
    <w:p w14:paraId="0601A5BA" w14:textId="38C1DD7D" w:rsidR="00FE08F0" w:rsidRPr="00207E15" w:rsidRDefault="00F42FFD">
      <w:pPr>
        <w:rPr>
          <w:sz w:val="24"/>
        </w:rPr>
      </w:pPr>
      <w:r w:rsidRPr="00207E15">
        <w:rPr>
          <w:sz w:val="24"/>
        </w:rPr>
        <w:t xml:space="preserve">The selected facilities </w:t>
      </w:r>
      <w:r w:rsidR="002E14F8">
        <w:rPr>
          <w:sz w:val="24"/>
        </w:rPr>
        <w:t>will be</w:t>
      </w:r>
      <w:r w:rsidR="002E14F8" w:rsidRPr="00207E15">
        <w:rPr>
          <w:sz w:val="24"/>
        </w:rPr>
        <w:t xml:space="preserve"> </w:t>
      </w:r>
      <w:r w:rsidRPr="00207E15">
        <w:rPr>
          <w:sz w:val="24"/>
        </w:rPr>
        <w:t>asked to submit records that will be validated for NHSN dialysis event elements</w:t>
      </w:r>
      <w:r>
        <w:rPr>
          <w:sz w:val="24"/>
        </w:rPr>
        <w:t xml:space="preserve">.  </w:t>
      </w:r>
      <w:r w:rsidR="00667A26">
        <w:rPr>
          <w:sz w:val="24"/>
        </w:rPr>
        <w:t>T</w:t>
      </w:r>
      <w:r w:rsidR="009E5FE2">
        <w:rPr>
          <w:sz w:val="24"/>
        </w:rPr>
        <w:t xml:space="preserve">he </w:t>
      </w:r>
      <w:r>
        <w:rPr>
          <w:sz w:val="24"/>
        </w:rPr>
        <w:t xml:space="preserve">patient sample size is limited to </w:t>
      </w:r>
      <w:r w:rsidR="00822D2F">
        <w:rPr>
          <w:sz w:val="24"/>
        </w:rPr>
        <w:t>20</w:t>
      </w:r>
      <w:r>
        <w:rPr>
          <w:sz w:val="24"/>
        </w:rPr>
        <w:t xml:space="preserve"> patients (or the maximum patients possible) per facility</w:t>
      </w:r>
      <w:r w:rsidR="009E5FE2">
        <w:rPr>
          <w:sz w:val="24"/>
        </w:rPr>
        <w:t xml:space="preserve"> in each of the first two quarters of the calendar year</w:t>
      </w:r>
      <w:r>
        <w:rPr>
          <w:sz w:val="24"/>
        </w:rPr>
        <w:t xml:space="preserve">, as per contract and QIP rule guidelines. </w:t>
      </w:r>
      <w:r w:rsidR="00D7604B" w:rsidRPr="00D7604B">
        <w:rPr>
          <w:sz w:val="24"/>
        </w:rPr>
        <w:t xml:space="preserve">The medical records </w:t>
      </w:r>
      <w:r w:rsidR="00FB65B5">
        <w:rPr>
          <w:sz w:val="24"/>
        </w:rPr>
        <w:t>will be</w:t>
      </w:r>
      <w:r w:rsidR="00FB65B5" w:rsidRPr="00D7604B">
        <w:rPr>
          <w:sz w:val="24"/>
        </w:rPr>
        <w:t xml:space="preserve"> </w:t>
      </w:r>
      <w:r w:rsidR="00D7604B" w:rsidRPr="00D7604B">
        <w:rPr>
          <w:sz w:val="24"/>
        </w:rPr>
        <w:t>for patients with “candidate events” as well as randomly selected patients</w:t>
      </w:r>
      <w:r w:rsidR="00DE2AC9">
        <w:rPr>
          <w:sz w:val="24"/>
        </w:rPr>
        <w:t>.</w:t>
      </w:r>
    </w:p>
    <w:p w14:paraId="083F913D" w14:textId="77777777" w:rsidR="00A55FFE" w:rsidRPr="00207E15" w:rsidRDefault="00A55FFE" w:rsidP="00A55FFE">
      <w:pPr>
        <w:pStyle w:val="11ASTHeading2"/>
        <w:rPr>
          <w:rFonts w:ascii="Times New Roman" w:hAnsi="Times New Roman"/>
          <w:sz w:val="24"/>
          <w:szCs w:val="24"/>
        </w:rPr>
      </w:pPr>
      <w:bookmarkStart w:id="1" w:name="_Toc433189955"/>
      <w:bookmarkStart w:id="2" w:name="_Hlk513632420"/>
      <w:r w:rsidRPr="00207E15">
        <w:rPr>
          <w:rFonts w:ascii="Times New Roman" w:hAnsi="Times New Roman"/>
          <w:sz w:val="24"/>
          <w:szCs w:val="24"/>
        </w:rPr>
        <w:t>Sample Size Estimates</w:t>
      </w:r>
      <w:bookmarkEnd w:id="1"/>
    </w:p>
    <w:bookmarkEnd w:id="2"/>
    <w:p w14:paraId="09B37B46" w14:textId="77777777" w:rsidR="005746B7" w:rsidRDefault="005746B7" w:rsidP="005746B7">
      <w:pPr>
        <w:rPr>
          <w:sz w:val="24"/>
          <w:lang w:bidi="en-US"/>
        </w:rPr>
      </w:pPr>
    </w:p>
    <w:p w14:paraId="458CE30D" w14:textId="005AD556" w:rsidR="005746B7" w:rsidRDefault="00FB65B5" w:rsidP="005746B7">
      <w:pPr>
        <w:rPr>
          <w:sz w:val="24"/>
          <w:lang w:bidi="en-US"/>
        </w:rPr>
      </w:pPr>
      <w:r w:rsidRPr="00215DC3">
        <w:rPr>
          <w:sz w:val="24"/>
        </w:rPr>
        <w:t>The Data Validation</w:t>
      </w:r>
      <w:r>
        <w:rPr>
          <w:sz w:val="24"/>
        </w:rPr>
        <w:t xml:space="preserve"> Contractor</w:t>
      </w:r>
      <w:r w:rsidRPr="00736E54" w:rsidDel="00FB65B5">
        <w:rPr>
          <w:sz w:val="24"/>
          <w:lang w:bidi="en-US"/>
        </w:rPr>
        <w:t xml:space="preserve"> </w:t>
      </w:r>
      <w:r>
        <w:rPr>
          <w:sz w:val="24"/>
          <w:lang w:bidi="en-US"/>
        </w:rPr>
        <w:t>will segment selected</w:t>
      </w:r>
      <w:r w:rsidR="005746B7">
        <w:rPr>
          <w:sz w:val="24"/>
        </w:rPr>
        <w:t xml:space="preserve"> facilities by CMS Network </w:t>
      </w:r>
      <w:r>
        <w:rPr>
          <w:sz w:val="24"/>
        </w:rPr>
        <w:t>N</w:t>
      </w:r>
      <w:r w:rsidR="005746B7">
        <w:rPr>
          <w:sz w:val="24"/>
        </w:rPr>
        <w:t>umber and by affiliation with major dialysis organizations (DaVita, DCI, Fresenius, and all others as Independent)</w:t>
      </w:r>
      <w:r w:rsidR="00875C96">
        <w:rPr>
          <w:sz w:val="24"/>
        </w:rPr>
        <w:t>. Sample size estimates for PY 202</w:t>
      </w:r>
      <w:r w:rsidR="002B6726">
        <w:rPr>
          <w:sz w:val="24"/>
        </w:rPr>
        <w:t>0</w:t>
      </w:r>
      <w:r w:rsidR="00875C96">
        <w:rPr>
          <w:sz w:val="24"/>
        </w:rPr>
        <w:t xml:space="preserve"> </w:t>
      </w:r>
      <w:r w:rsidR="005746B7">
        <w:rPr>
          <w:sz w:val="24"/>
        </w:rPr>
        <w:t>a</w:t>
      </w:r>
      <w:r w:rsidR="00875C96">
        <w:rPr>
          <w:sz w:val="24"/>
        </w:rPr>
        <w:t>re</w:t>
      </w:r>
      <w:r w:rsidR="005746B7">
        <w:rPr>
          <w:sz w:val="24"/>
        </w:rPr>
        <w:t xml:space="preserve"> shown in </w:t>
      </w:r>
      <w:r w:rsidR="005746B7" w:rsidRPr="00C03654">
        <w:rPr>
          <w:b/>
          <w:sz w:val="24"/>
        </w:rPr>
        <w:t>Table 1</w:t>
      </w:r>
      <w:r w:rsidR="005746B7">
        <w:rPr>
          <w:sz w:val="24"/>
        </w:rPr>
        <w:t xml:space="preserve"> and </w:t>
      </w:r>
      <w:r w:rsidR="005746B7" w:rsidRPr="00C03654">
        <w:rPr>
          <w:b/>
          <w:sz w:val="24"/>
        </w:rPr>
        <w:t>2</w:t>
      </w:r>
      <w:r w:rsidR="005746B7" w:rsidRPr="00C03654">
        <w:rPr>
          <w:sz w:val="24"/>
        </w:rPr>
        <w:t>,</w:t>
      </w:r>
      <w:r w:rsidR="005746B7">
        <w:rPr>
          <w:b/>
          <w:sz w:val="24"/>
        </w:rPr>
        <w:t xml:space="preserve"> </w:t>
      </w:r>
      <w:r w:rsidR="005746B7" w:rsidRPr="00C03654">
        <w:rPr>
          <w:sz w:val="24"/>
        </w:rPr>
        <w:t>respectively</w:t>
      </w:r>
      <w:r w:rsidR="005746B7">
        <w:rPr>
          <w:sz w:val="24"/>
        </w:rPr>
        <w:t xml:space="preserve">. </w:t>
      </w:r>
    </w:p>
    <w:p w14:paraId="20640171" w14:textId="77777777" w:rsidR="00A55FFE" w:rsidRPr="00207E15" w:rsidRDefault="00A55FFE" w:rsidP="009E5FE2">
      <w:pPr>
        <w:keepNext/>
        <w:spacing w:after="120"/>
        <w:rPr>
          <w:b/>
          <w:bCs/>
          <w:i/>
          <w:sz w:val="24"/>
          <w:lang w:bidi="en-US"/>
        </w:rPr>
      </w:pPr>
      <w:bookmarkStart w:id="3" w:name="_Ref425404973"/>
      <w:bookmarkStart w:id="4" w:name="_Toc425427112"/>
      <w:bookmarkStart w:id="5" w:name="_Toc433189668"/>
    </w:p>
    <w:p w14:paraId="379803A6" w14:textId="09A4E3F5" w:rsidR="0040781C" w:rsidRPr="00B04BD2" w:rsidRDefault="0040781C" w:rsidP="0040781C">
      <w:pPr>
        <w:keepNext/>
        <w:spacing w:after="120"/>
        <w:jc w:val="center"/>
        <w:rPr>
          <w:b/>
          <w:bCs/>
          <w:i/>
          <w:sz w:val="24"/>
          <w:lang w:bidi="en-US"/>
        </w:rPr>
      </w:pPr>
      <w:bookmarkStart w:id="6" w:name="Table1"/>
      <w:bookmarkEnd w:id="6"/>
      <w:r w:rsidRPr="00AE56A4">
        <w:rPr>
          <w:b/>
          <w:bCs/>
          <w:i/>
          <w:sz w:val="24"/>
          <w:lang w:bidi="en-US"/>
        </w:rPr>
        <w:t xml:space="preserve">Table </w:t>
      </w:r>
      <w:r w:rsidRPr="005D7245">
        <w:rPr>
          <w:b/>
          <w:bCs/>
          <w:i/>
          <w:sz w:val="24"/>
          <w:lang w:bidi="en-US"/>
        </w:rPr>
        <w:fldChar w:fldCharType="begin"/>
      </w:r>
      <w:r w:rsidRPr="00AE56A4">
        <w:rPr>
          <w:b/>
          <w:bCs/>
          <w:i/>
          <w:sz w:val="24"/>
          <w:lang w:bidi="en-US"/>
        </w:rPr>
        <w:instrText xml:space="preserve"> SEQ Table \* ARABIC </w:instrText>
      </w:r>
      <w:r w:rsidRPr="005D7245">
        <w:rPr>
          <w:b/>
          <w:bCs/>
          <w:i/>
          <w:sz w:val="24"/>
          <w:lang w:bidi="en-US"/>
        </w:rPr>
        <w:fldChar w:fldCharType="separate"/>
      </w:r>
      <w:r w:rsidRPr="00AE56A4">
        <w:rPr>
          <w:b/>
          <w:bCs/>
          <w:i/>
          <w:noProof/>
          <w:sz w:val="24"/>
          <w:lang w:bidi="en-US"/>
        </w:rPr>
        <w:t>1</w:t>
      </w:r>
      <w:r w:rsidRPr="005D7245">
        <w:rPr>
          <w:b/>
          <w:bCs/>
          <w:i/>
          <w:noProof/>
          <w:sz w:val="24"/>
          <w:lang w:bidi="en-US"/>
        </w:rPr>
        <w:fldChar w:fldCharType="end"/>
      </w:r>
      <w:r w:rsidRPr="00AE56A4">
        <w:rPr>
          <w:b/>
          <w:bCs/>
          <w:i/>
          <w:sz w:val="24"/>
          <w:lang w:bidi="en-US"/>
        </w:rPr>
        <w:t xml:space="preserve">: </w:t>
      </w:r>
      <w:r w:rsidR="005D7245">
        <w:rPr>
          <w:b/>
          <w:bCs/>
          <w:i/>
          <w:sz w:val="24"/>
          <w:lang w:bidi="en-US"/>
        </w:rPr>
        <w:t xml:space="preserve">Estimated Sample </w:t>
      </w:r>
      <w:r w:rsidRPr="00AE56A4">
        <w:rPr>
          <w:b/>
          <w:bCs/>
          <w:i/>
          <w:sz w:val="24"/>
          <w:lang w:bidi="en-US"/>
        </w:rPr>
        <w:t>Distribution of Patients within Network Number</w:t>
      </w:r>
    </w:p>
    <w:tbl>
      <w:tblPr>
        <w:tblW w:w="373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963"/>
        <w:gridCol w:w="1776"/>
      </w:tblGrid>
      <w:tr w:rsidR="00EB01CF" w:rsidRPr="00DF611D" w14:paraId="74298234" w14:textId="77777777" w:rsidTr="00F55B7D">
        <w:trPr>
          <w:tblHeader/>
          <w:jc w:val="center"/>
        </w:trPr>
        <w:tc>
          <w:tcPr>
            <w:tcW w:w="1963" w:type="dxa"/>
            <w:tcBorders>
              <w:top w:val="single" w:sz="8" w:space="0" w:color="4F81BD"/>
              <w:left w:val="single" w:sz="8" w:space="0" w:color="4F81BD"/>
              <w:bottom w:val="single" w:sz="18" w:space="0" w:color="4F81BD"/>
              <w:right w:val="single" w:sz="8" w:space="0" w:color="4F81BD"/>
            </w:tcBorders>
            <w:vAlign w:val="center"/>
          </w:tcPr>
          <w:p w14:paraId="5DD0C89A" w14:textId="37579AA8" w:rsidR="00EB01CF" w:rsidRPr="00DF611D" w:rsidRDefault="00EB01CF" w:rsidP="00C03654">
            <w:pPr>
              <w:spacing w:before="60" w:after="60"/>
              <w:jc w:val="center"/>
              <w:rPr>
                <w:b/>
                <w:bCs/>
                <w:sz w:val="24"/>
                <w:lang w:bidi="en-US"/>
              </w:rPr>
            </w:pPr>
            <w:r>
              <w:rPr>
                <w:b/>
                <w:bCs/>
                <w:sz w:val="24"/>
                <w:lang w:bidi="en-US"/>
              </w:rPr>
              <w:t>Network Number</w:t>
            </w:r>
          </w:p>
        </w:tc>
        <w:tc>
          <w:tcPr>
            <w:tcW w:w="1776"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5170EC63" w14:textId="36D4F9D8" w:rsidR="00EB01CF" w:rsidRPr="00DF611D" w:rsidRDefault="00EB01CF" w:rsidP="00C03654">
            <w:pPr>
              <w:spacing w:before="60" w:after="60"/>
              <w:jc w:val="center"/>
              <w:rPr>
                <w:b/>
                <w:bCs/>
                <w:sz w:val="24"/>
                <w:lang w:bidi="en-US"/>
              </w:rPr>
            </w:pPr>
            <w:r>
              <w:rPr>
                <w:b/>
                <w:bCs/>
                <w:sz w:val="24"/>
                <w:lang w:bidi="en-US"/>
              </w:rPr>
              <w:t>Patient Population Percentage</w:t>
            </w:r>
          </w:p>
        </w:tc>
      </w:tr>
      <w:tr w:rsidR="00EB01CF" w:rsidRPr="00DF611D" w14:paraId="7D6A08F7"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777508D6" w14:textId="77777777" w:rsidR="00EB01CF" w:rsidRPr="002907DD" w:rsidRDefault="00EB01CF" w:rsidP="00EB01CF">
            <w:pPr>
              <w:spacing w:after="120"/>
              <w:jc w:val="center"/>
              <w:rPr>
                <w:bCs/>
                <w:color w:val="000000"/>
                <w:sz w:val="24"/>
                <w:lang w:bidi="en-US"/>
              </w:rPr>
            </w:pPr>
            <w:r w:rsidRPr="009E5FE2">
              <w:rPr>
                <w:color w:val="000000"/>
                <w:sz w:val="24"/>
              </w:rPr>
              <w:t>1</w:t>
            </w:r>
          </w:p>
        </w:tc>
        <w:tc>
          <w:tcPr>
            <w:tcW w:w="1776" w:type="dxa"/>
            <w:vAlign w:val="center"/>
          </w:tcPr>
          <w:p w14:paraId="5423D332" w14:textId="37B6FE50" w:rsidR="00EB01CF" w:rsidRPr="00EB01CF" w:rsidRDefault="00B53546" w:rsidP="00EB01CF">
            <w:pPr>
              <w:spacing w:after="120" w:line="222" w:lineRule="exact"/>
              <w:ind w:left="97" w:right="-20"/>
              <w:jc w:val="center"/>
              <w:rPr>
                <w:sz w:val="24"/>
                <w:lang w:bidi="en-US"/>
              </w:rPr>
            </w:pPr>
            <w:r>
              <w:rPr>
                <w:sz w:val="24"/>
              </w:rPr>
              <w:t>3</w:t>
            </w:r>
          </w:p>
        </w:tc>
      </w:tr>
      <w:tr w:rsidR="00EB01CF" w:rsidRPr="00DF611D" w14:paraId="01ED337C"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67E6E9D5" w14:textId="41BCF78B" w:rsidR="00EB01CF" w:rsidRPr="002907DD" w:rsidRDefault="00EB01CF" w:rsidP="00EB01CF">
            <w:pPr>
              <w:spacing w:after="120"/>
              <w:jc w:val="center"/>
              <w:rPr>
                <w:bCs/>
                <w:color w:val="000000"/>
                <w:sz w:val="24"/>
                <w:lang w:bidi="en-US"/>
              </w:rPr>
            </w:pPr>
            <w:r>
              <w:rPr>
                <w:color w:val="000000"/>
                <w:sz w:val="24"/>
              </w:rPr>
              <w:t>2</w:t>
            </w:r>
          </w:p>
        </w:tc>
        <w:tc>
          <w:tcPr>
            <w:tcW w:w="1776" w:type="dxa"/>
            <w:vAlign w:val="center"/>
          </w:tcPr>
          <w:p w14:paraId="08F38976" w14:textId="09716298" w:rsidR="00EB01CF" w:rsidRPr="00EB01CF" w:rsidRDefault="00EB01CF" w:rsidP="00EB01CF">
            <w:pPr>
              <w:spacing w:before="2" w:after="120"/>
              <w:ind w:left="97" w:right="-20"/>
              <w:jc w:val="center"/>
              <w:rPr>
                <w:sz w:val="24"/>
                <w:lang w:bidi="en-US"/>
              </w:rPr>
            </w:pPr>
            <w:r w:rsidRPr="00F55B7D">
              <w:rPr>
                <w:sz w:val="24"/>
              </w:rPr>
              <w:t>4</w:t>
            </w:r>
          </w:p>
        </w:tc>
      </w:tr>
      <w:tr w:rsidR="00EB01CF" w:rsidRPr="00DF611D" w14:paraId="2A003B9B" w14:textId="77777777" w:rsidTr="00F55B7D">
        <w:trPr>
          <w:jc w:val="center"/>
        </w:trPr>
        <w:tc>
          <w:tcPr>
            <w:tcW w:w="1963" w:type="dxa"/>
            <w:tcBorders>
              <w:top w:val="single" w:sz="8" w:space="0" w:color="4F81BD"/>
              <w:left w:val="single" w:sz="8" w:space="0" w:color="4F81BD"/>
              <w:bottom w:val="single" w:sz="8" w:space="0" w:color="4F81BD"/>
              <w:right w:val="single" w:sz="8" w:space="0" w:color="4F81BD"/>
            </w:tcBorders>
            <w:shd w:val="clear" w:color="auto" w:fill="auto"/>
            <w:vAlign w:val="bottom"/>
          </w:tcPr>
          <w:p w14:paraId="03DCD7B2" w14:textId="5DE0258D" w:rsidR="00EB01CF" w:rsidRPr="002907DD" w:rsidRDefault="00EB01CF" w:rsidP="00EB01CF">
            <w:pPr>
              <w:spacing w:after="120"/>
              <w:jc w:val="center"/>
              <w:rPr>
                <w:bCs/>
                <w:color w:val="000000"/>
                <w:sz w:val="24"/>
                <w:lang w:bidi="en-US"/>
              </w:rPr>
            </w:pPr>
            <w:r>
              <w:rPr>
                <w:color w:val="000000"/>
                <w:sz w:val="24"/>
              </w:rPr>
              <w:t>3</w:t>
            </w:r>
          </w:p>
        </w:tc>
        <w:tc>
          <w:tcPr>
            <w:tcW w:w="1776" w:type="dxa"/>
            <w:vAlign w:val="center"/>
          </w:tcPr>
          <w:p w14:paraId="4A5E9829" w14:textId="7B0D853C" w:rsidR="00EB01CF" w:rsidRPr="00EB01CF" w:rsidRDefault="00EB01CF" w:rsidP="00EB01CF">
            <w:pPr>
              <w:spacing w:after="120" w:line="222" w:lineRule="exact"/>
              <w:ind w:left="97" w:right="-20"/>
              <w:jc w:val="center"/>
              <w:rPr>
                <w:sz w:val="24"/>
                <w:lang w:bidi="en-US"/>
              </w:rPr>
            </w:pPr>
            <w:r w:rsidRPr="00F55B7D">
              <w:rPr>
                <w:sz w:val="24"/>
              </w:rPr>
              <w:t>3</w:t>
            </w:r>
          </w:p>
        </w:tc>
      </w:tr>
      <w:tr w:rsidR="00EB01CF" w:rsidRPr="00DF611D" w14:paraId="04DD513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65FB738F" w14:textId="50BD4808" w:rsidR="00EB01CF" w:rsidRPr="002907DD" w:rsidRDefault="00EB01CF" w:rsidP="00EB01CF">
            <w:pPr>
              <w:spacing w:after="120"/>
              <w:jc w:val="center"/>
              <w:rPr>
                <w:bCs/>
                <w:color w:val="000000"/>
                <w:sz w:val="24"/>
                <w:lang w:bidi="en-US"/>
              </w:rPr>
            </w:pPr>
            <w:r>
              <w:rPr>
                <w:color w:val="000000"/>
                <w:sz w:val="24"/>
              </w:rPr>
              <w:t>4</w:t>
            </w:r>
          </w:p>
        </w:tc>
        <w:tc>
          <w:tcPr>
            <w:tcW w:w="1776" w:type="dxa"/>
            <w:vAlign w:val="center"/>
          </w:tcPr>
          <w:p w14:paraId="16458A74" w14:textId="02471424" w:rsidR="00EB01CF" w:rsidRPr="00EB01CF" w:rsidRDefault="00B53546" w:rsidP="00EB01CF">
            <w:pPr>
              <w:spacing w:before="2" w:after="120"/>
              <w:ind w:left="97" w:right="-20"/>
              <w:jc w:val="center"/>
              <w:rPr>
                <w:bCs/>
                <w:sz w:val="24"/>
                <w:lang w:bidi="en-US"/>
              </w:rPr>
            </w:pPr>
            <w:r>
              <w:rPr>
                <w:color w:val="000000"/>
                <w:spacing w:val="-5"/>
                <w:sz w:val="24"/>
                <w:u w:color="000000"/>
              </w:rPr>
              <w:t>5</w:t>
            </w:r>
          </w:p>
        </w:tc>
      </w:tr>
      <w:tr w:rsidR="00EB01CF" w:rsidRPr="00DF611D" w14:paraId="07EF00E4"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9828DD7" w14:textId="5F3BDBC8" w:rsidR="00EB01CF" w:rsidRPr="002907DD" w:rsidRDefault="00EB01CF" w:rsidP="00EB01CF">
            <w:pPr>
              <w:spacing w:after="120"/>
              <w:jc w:val="center"/>
              <w:rPr>
                <w:bCs/>
                <w:color w:val="000000"/>
                <w:sz w:val="24"/>
                <w:lang w:bidi="en-US"/>
              </w:rPr>
            </w:pPr>
            <w:r>
              <w:rPr>
                <w:color w:val="000000"/>
                <w:sz w:val="24"/>
              </w:rPr>
              <w:t>5</w:t>
            </w:r>
          </w:p>
        </w:tc>
        <w:tc>
          <w:tcPr>
            <w:tcW w:w="1776" w:type="dxa"/>
            <w:vAlign w:val="center"/>
          </w:tcPr>
          <w:p w14:paraId="691FE708" w14:textId="166B7787"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2823ED85"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701DC47" w14:textId="33D530CA" w:rsidR="00EB01CF" w:rsidRPr="002907DD" w:rsidRDefault="00EB01CF" w:rsidP="00EB01CF">
            <w:pPr>
              <w:spacing w:after="120"/>
              <w:jc w:val="center"/>
              <w:rPr>
                <w:bCs/>
                <w:color w:val="000000"/>
                <w:sz w:val="24"/>
                <w:lang w:bidi="en-US"/>
              </w:rPr>
            </w:pPr>
            <w:r>
              <w:rPr>
                <w:color w:val="000000"/>
                <w:sz w:val="24"/>
              </w:rPr>
              <w:t>6</w:t>
            </w:r>
          </w:p>
        </w:tc>
        <w:tc>
          <w:tcPr>
            <w:tcW w:w="1776" w:type="dxa"/>
            <w:vAlign w:val="center"/>
          </w:tcPr>
          <w:p w14:paraId="68308324" w14:textId="7BDC591B" w:rsidR="00EB01CF" w:rsidRPr="00EB01CF" w:rsidRDefault="00B53546" w:rsidP="00EB01CF">
            <w:pPr>
              <w:spacing w:before="2" w:after="120"/>
              <w:ind w:left="97" w:right="-20"/>
              <w:jc w:val="center"/>
              <w:rPr>
                <w:bCs/>
                <w:spacing w:val="1"/>
                <w:sz w:val="24"/>
                <w:lang w:bidi="en-US"/>
              </w:rPr>
            </w:pPr>
            <w:r>
              <w:rPr>
                <w:color w:val="000000"/>
                <w:spacing w:val="-5"/>
                <w:sz w:val="24"/>
                <w:u w:color="000000"/>
              </w:rPr>
              <w:t>10</w:t>
            </w:r>
          </w:p>
        </w:tc>
      </w:tr>
      <w:tr w:rsidR="00EB01CF" w:rsidRPr="00DF611D" w14:paraId="337081C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55BE14F" w14:textId="43C276B2" w:rsidR="00EB01CF" w:rsidRPr="002907DD" w:rsidRDefault="00EB01CF" w:rsidP="00EB01CF">
            <w:pPr>
              <w:spacing w:after="120"/>
              <w:jc w:val="center"/>
              <w:rPr>
                <w:bCs/>
                <w:color w:val="000000"/>
                <w:sz w:val="24"/>
                <w:lang w:bidi="en-US"/>
              </w:rPr>
            </w:pPr>
            <w:r>
              <w:rPr>
                <w:color w:val="000000"/>
                <w:sz w:val="24"/>
              </w:rPr>
              <w:lastRenderedPageBreak/>
              <w:t>7</w:t>
            </w:r>
          </w:p>
        </w:tc>
        <w:tc>
          <w:tcPr>
            <w:tcW w:w="1776" w:type="dxa"/>
            <w:vAlign w:val="center"/>
          </w:tcPr>
          <w:p w14:paraId="0197B111" w14:textId="165056DE"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6</w:t>
            </w:r>
          </w:p>
        </w:tc>
      </w:tr>
      <w:tr w:rsidR="00EB01CF" w:rsidRPr="00DF611D" w14:paraId="564E45A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7E2FE717" w14:textId="23215213" w:rsidR="00EB01CF" w:rsidRPr="002907DD" w:rsidRDefault="00EB01CF" w:rsidP="00EB01CF">
            <w:pPr>
              <w:spacing w:after="120"/>
              <w:jc w:val="center"/>
              <w:rPr>
                <w:bCs/>
                <w:color w:val="000000"/>
                <w:sz w:val="24"/>
                <w:lang w:bidi="en-US"/>
              </w:rPr>
            </w:pPr>
            <w:r>
              <w:rPr>
                <w:color w:val="000000"/>
                <w:sz w:val="24"/>
              </w:rPr>
              <w:t>8</w:t>
            </w:r>
          </w:p>
        </w:tc>
        <w:tc>
          <w:tcPr>
            <w:tcW w:w="1776" w:type="dxa"/>
            <w:vAlign w:val="center"/>
          </w:tcPr>
          <w:p w14:paraId="2A6741A6" w14:textId="4F534B35" w:rsidR="00EB01CF" w:rsidRPr="00EB01CF" w:rsidRDefault="00B53546" w:rsidP="00EB01CF">
            <w:pPr>
              <w:spacing w:before="2" w:after="120"/>
              <w:ind w:left="97" w:right="-20"/>
              <w:jc w:val="center"/>
              <w:rPr>
                <w:bCs/>
                <w:spacing w:val="1"/>
                <w:sz w:val="24"/>
                <w:lang w:bidi="en-US"/>
              </w:rPr>
            </w:pPr>
            <w:r>
              <w:rPr>
                <w:color w:val="000000"/>
                <w:spacing w:val="-5"/>
                <w:sz w:val="24"/>
                <w:u w:color="000000"/>
              </w:rPr>
              <w:t>6</w:t>
            </w:r>
          </w:p>
        </w:tc>
      </w:tr>
      <w:tr w:rsidR="00EB01CF" w:rsidRPr="00DF611D" w14:paraId="021551EF"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3D43640" w14:textId="1E55F538" w:rsidR="00EB01CF" w:rsidRPr="002907DD" w:rsidRDefault="00EB01CF" w:rsidP="00EB01CF">
            <w:pPr>
              <w:spacing w:after="120"/>
              <w:jc w:val="center"/>
              <w:rPr>
                <w:bCs/>
                <w:color w:val="000000"/>
                <w:sz w:val="24"/>
                <w:lang w:bidi="en-US"/>
              </w:rPr>
            </w:pPr>
            <w:r>
              <w:rPr>
                <w:color w:val="000000"/>
                <w:sz w:val="24"/>
              </w:rPr>
              <w:t>9</w:t>
            </w:r>
          </w:p>
        </w:tc>
        <w:tc>
          <w:tcPr>
            <w:tcW w:w="1776" w:type="dxa"/>
            <w:vAlign w:val="center"/>
          </w:tcPr>
          <w:p w14:paraId="48D3D814" w14:textId="49791E79" w:rsidR="00EB01CF" w:rsidRPr="00EB01CF" w:rsidRDefault="00B53546" w:rsidP="00EB01CF">
            <w:pPr>
              <w:spacing w:before="2" w:after="120"/>
              <w:ind w:left="97" w:right="-20"/>
              <w:jc w:val="center"/>
              <w:rPr>
                <w:bCs/>
                <w:spacing w:val="1"/>
                <w:sz w:val="24"/>
                <w:lang w:bidi="en-US"/>
              </w:rPr>
            </w:pPr>
            <w:r>
              <w:rPr>
                <w:color w:val="000000"/>
                <w:spacing w:val="-5"/>
                <w:sz w:val="24"/>
                <w:u w:color="000000"/>
              </w:rPr>
              <w:t>9</w:t>
            </w:r>
          </w:p>
        </w:tc>
      </w:tr>
      <w:tr w:rsidR="00EB01CF" w:rsidRPr="00DF611D" w14:paraId="6C98C03B"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06F4E910" w14:textId="27922B76"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0</w:t>
            </w:r>
          </w:p>
        </w:tc>
        <w:tc>
          <w:tcPr>
            <w:tcW w:w="1776" w:type="dxa"/>
            <w:vAlign w:val="center"/>
          </w:tcPr>
          <w:p w14:paraId="497D725A" w14:textId="2D9A0CBC" w:rsidR="00EB01CF" w:rsidRPr="00EB01CF" w:rsidRDefault="00EB01CF" w:rsidP="00EB01CF">
            <w:pPr>
              <w:spacing w:before="2" w:after="120"/>
              <w:ind w:left="97" w:right="-20"/>
              <w:jc w:val="center"/>
              <w:rPr>
                <w:bCs/>
                <w:spacing w:val="1"/>
                <w:sz w:val="24"/>
                <w:lang w:bidi="en-US"/>
              </w:rPr>
            </w:pPr>
            <w:r w:rsidRPr="00F55B7D">
              <w:rPr>
                <w:color w:val="000000"/>
                <w:spacing w:val="-5"/>
                <w:sz w:val="24"/>
                <w:u w:color="000000"/>
              </w:rPr>
              <w:t>4</w:t>
            </w:r>
          </w:p>
        </w:tc>
      </w:tr>
      <w:tr w:rsidR="00EB01CF" w:rsidRPr="00DF611D" w14:paraId="2E2A140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3B1399F6" w14:textId="09E74AFD"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1</w:t>
            </w:r>
          </w:p>
        </w:tc>
        <w:tc>
          <w:tcPr>
            <w:tcW w:w="1776" w:type="dxa"/>
            <w:vAlign w:val="center"/>
          </w:tcPr>
          <w:p w14:paraId="5B538534" w14:textId="4692E937" w:rsidR="00EB01CF" w:rsidRPr="00EB01CF" w:rsidRDefault="00B53546" w:rsidP="00EB01CF">
            <w:pPr>
              <w:spacing w:before="2" w:after="120"/>
              <w:ind w:left="97" w:right="-20"/>
              <w:jc w:val="center"/>
              <w:rPr>
                <w:bCs/>
                <w:spacing w:val="1"/>
                <w:sz w:val="24"/>
                <w:lang w:bidi="en-US"/>
              </w:rPr>
            </w:pPr>
            <w:r>
              <w:rPr>
                <w:color w:val="000000"/>
                <w:spacing w:val="-5"/>
                <w:sz w:val="24"/>
                <w:u w:color="000000"/>
              </w:rPr>
              <w:t>7</w:t>
            </w:r>
          </w:p>
        </w:tc>
      </w:tr>
      <w:tr w:rsidR="00EB01CF" w:rsidRPr="00DF611D" w14:paraId="45280A71"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1F4E245C" w14:textId="3C13A124"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2</w:t>
            </w:r>
          </w:p>
        </w:tc>
        <w:tc>
          <w:tcPr>
            <w:tcW w:w="1776" w:type="dxa"/>
            <w:vAlign w:val="center"/>
          </w:tcPr>
          <w:p w14:paraId="0688B22D" w14:textId="0D09B3FB" w:rsidR="00EB01CF" w:rsidRPr="00EB01CF" w:rsidRDefault="00B53546" w:rsidP="00EB01CF">
            <w:pPr>
              <w:spacing w:before="2" w:after="120"/>
              <w:ind w:left="97" w:right="-20"/>
              <w:jc w:val="center"/>
              <w:rPr>
                <w:bCs/>
                <w:spacing w:val="1"/>
                <w:sz w:val="24"/>
                <w:lang w:bidi="en-US"/>
              </w:rPr>
            </w:pPr>
            <w:r>
              <w:rPr>
                <w:color w:val="000000"/>
                <w:spacing w:val="-5"/>
                <w:sz w:val="24"/>
                <w:u w:color="000000"/>
              </w:rPr>
              <w:t>5</w:t>
            </w:r>
          </w:p>
        </w:tc>
      </w:tr>
      <w:tr w:rsidR="00EB01CF" w:rsidRPr="00DF611D" w14:paraId="6361BD5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vAlign w:val="bottom"/>
          </w:tcPr>
          <w:p w14:paraId="2C255D54" w14:textId="6C738D40" w:rsidR="00EB01CF" w:rsidRPr="002907DD" w:rsidRDefault="00EB01CF" w:rsidP="00EB01CF">
            <w:pPr>
              <w:spacing w:after="120"/>
              <w:jc w:val="center"/>
              <w:rPr>
                <w:bCs/>
                <w:color w:val="000000"/>
                <w:sz w:val="24"/>
                <w:lang w:bidi="en-US"/>
              </w:rPr>
            </w:pPr>
            <w:r w:rsidRPr="009E5FE2">
              <w:rPr>
                <w:color w:val="000000"/>
                <w:sz w:val="24"/>
              </w:rPr>
              <w:t>1</w:t>
            </w:r>
            <w:r>
              <w:rPr>
                <w:color w:val="000000"/>
                <w:sz w:val="24"/>
              </w:rPr>
              <w:t>3</w:t>
            </w:r>
          </w:p>
        </w:tc>
        <w:tc>
          <w:tcPr>
            <w:tcW w:w="1776" w:type="dxa"/>
            <w:vAlign w:val="center"/>
          </w:tcPr>
          <w:p w14:paraId="5B72EFAE" w14:textId="484A6539" w:rsidR="00EB01CF" w:rsidRPr="00EB01CF" w:rsidRDefault="00B53546" w:rsidP="00EB01CF">
            <w:pPr>
              <w:spacing w:before="2" w:after="120"/>
              <w:ind w:left="97" w:right="-20"/>
              <w:jc w:val="center"/>
              <w:rPr>
                <w:bCs/>
                <w:spacing w:val="1"/>
                <w:sz w:val="24"/>
                <w:lang w:bidi="en-US"/>
              </w:rPr>
            </w:pPr>
            <w:r>
              <w:rPr>
                <w:color w:val="000000"/>
                <w:spacing w:val="-5"/>
                <w:sz w:val="24"/>
                <w:u w:color="000000"/>
              </w:rPr>
              <w:t>5</w:t>
            </w:r>
          </w:p>
        </w:tc>
      </w:tr>
      <w:tr w:rsidR="00EB01CF" w:rsidRPr="00DF611D" w14:paraId="68E90B06"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37AA090D" w14:textId="734B1E02" w:rsidR="00EB01CF" w:rsidRPr="00C03654" w:rsidRDefault="00EB01CF" w:rsidP="00EB01CF">
            <w:pPr>
              <w:spacing w:after="120"/>
              <w:jc w:val="center"/>
              <w:rPr>
                <w:bCs/>
                <w:color w:val="000000"/>
                <w:sz w:val="24"/>
                <w:lang w:bidi="en-US"/>
              </w:rPr>
            </w:pPr>
            <w:r>
              <w:rPr>
                <w:bCs/>
                <w:color w:val="000000"/>
                <w:sz w:val="24"/>
                <w:lang w:bidi="en-US"/>
              </w:rPr>
              <w:t>14</w:t>
            </w:r>
          </w:p>
        </w:tc>
        <w:tc>
          <w:tcPr>
            <w:tcW w:w="1776" w:type="dxa"/>
            <w:vAlign w:val="center"/>
          </w:tcPr>
          <w:p w14:paraId="151BDC8F" w14:textId="691A08A8" w:rsidR="00EB01CF" w:rsidRPr="00EB01CF" w:rsidRDefault="00B53546" w:rsidP="00EB01CF">
            <w:pPr>
              <w:spacing w:before="2" w:after="120"/>
              <w:ind w:left="97" w:right="-20"/>
              <w:jc w:val="center"/>
              <w:rPr>
                <w:color w:val="000000"/>
                <w:sz w:val="24"/>
              </w:rPr>
            </w:pPr>
            <w:r>
              <w:rPr>
                <w:color w:val="000000"/>
                <w:spacing w:val="-5"/>
                <w:sz w:val="24"/>
                <w:u w:color="000000"/>
              </w:rPr>
              <w:t>9</w:t>
            </w:r>
          </w:p>
        </w:tc>
      </w:tr>
      <w:tr w:rsidR="00EB01CF" w:rsidRPr="00DF611D" w14:paraId="40642ED9"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5CA970F5" w14:textId="0CB561DA" w:rsidR="00EB01CF" w:rsidRDefault="00EB01CF" w:rsidP="00EB01CF">
            <w:pPr>
              <w:spacing w:after="120"/>
              <w:jc w:val="center"/>
              <w:rPr>
                <w:bCs/>
                <w:color w:val="000000"/>
                <w:sz w:val="24"/>
                <w:lang w:bidi="en-US"/>
              </w:rPr>
            </w:pPr>
            <w:r>
              <w:rPr>
                <w:bCs/>
                <w:color w:val="000000"/>
                <w:sz w:val="24"/>
                <w:lang w:bidi="en-US"/>
              </w:rPr>
              <w:t>15</w:t>
            </w:r>
          </w:p>
        </w:tc>
        <w:tc>
          <w:tcPr>
            <w:tcW w:w="1776" w:type="dxa"/>
            <w:vAlign w:val="center"/>
          </w:tcPr>
          <w:p w14:paraId="6B5F4197" w14:textId="76F6AA1E" w:rsidR="00EB01CF" w:rsidRPr="00EB01CF" w:rsidRDefault="00EB01CF" w:rsidP="00EB01CF">
            <w:pPr>
              <w:spacing w:before="2" w:after="120"/>
              <w:ind w:left="97" w:right="-20"/>
              <w:jc w:val="center"/>
              <w:rPr>
                <w:color w:val="000000"/>
                <w:sz w:val="24"/>
              </w:rPr>
            </w:pPr>
            <w:r w:rsidRPr="00F55B7D">
              <w:rPr>
                <w:color w:val="000000"/>
                <w:spacing w:val="-5"/>
                <w:sz w:val="24"/>
                <w:u w:color="000000"/>
              </w:rPr>
              <w:t>5</w:t>
            </w:r>
          </w:p>
        </w:tc>
      </w:tr>
      <w:tr w:rsidR="00EB01CF" w:rsidRPr="00DF611D" w14:paraId="7A64A61D"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2BD75EE3" w14:textId="44CFC428" w:rsidR="00EB01CF" w:rsidRDefault="00EB01CF" w:rsidP="00EB01CF">
            <w:pPr>
              <w:spacing w:after="120"/>
              <w:jc w:val="center"/>
              <w:rPr>
                <w:bCs/>
                <w:color w:val="000000"/>
                <w:sz w:val="24"/>
                <w:lang w:bidi="en-US"/>
              </w:rPr>
            </w:pPr>
            <w:r>
              <w:rPr>
                <w:bCs/>
                <w:color w:val="000000"/>
                <w:sz w:val="24"/>
                <w:lang w:bidi="en-US"/>
              </w:rPr>
              <w:t>16</w:t>
            </w:r>
          </w:p>
        </w:tc>
        <w:tc>
          <w:tcPr>
            <w:tcW w:w="1776" w:type="dxa"/>
            <w:vAlign w:val="center"/>
          </w:tcPr>
          <w:p w14:paraId="005FE86F" w14:textId="26CB03C7" w:rsidR="00EB01CF" w:rsidRPr="00EB01CF" w:rsidRDefault="00B53546" w:rsidP="00EB01CF">
            <w:pPr>
              <w:spacing w:before="2" w:after="120"/>
              <w:ind w:left="97" w:right="-20"/>
              <w:jc w:val="center"/>
              <w:rPr>
                <w:color w:val="000000"/>
                <w:sz w:val="24"/>
              </w:rPr>
            </w:pPr>
            <w:r>
              <w:rPr>
                <w:color w:val="000000"/>
                <w:spacing w:val="-5"/>
                <w:sz w:val="24"/>
                <w:u w:color="000000"/>
              </w:rPr>
              <w:t>3</w:t>
            </w:r>
          </w:p>
        </w:tc>
      </w:tr>
      <w:tr w:rsidR="00EB01CF" w:rsidRPr="00DF611D" w14:paraId="1E58CFAA"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30C89FC" w14:textId="78830BB7" w:rsidR="00EB01CF" w:rsidRDefault="00EB01CF" w:rsidP="00EB01CF">
            <w:pPr>
              <w:spacing w:after="120"/>
              <w:jc w:val="center"/>
              <w:rPr>
                <w:bCs/>
                <w:color w:val="000000"/>
                <w:sz w:val="24"/>
                <w:lang w:bidi="en-US"/>
              </w:rPr>
            </w:pPr>
            <w:r>
              <w:rPr>
                <w:bCs/>
                <w:color w:val="000000"/>
                <w:sz w:val="24"/>
                <w:lang w:bidi="en-US"/>
              </w:rPr>
              <w:t>17</w:t>
            </w:r>
          </w:p>
        </w:tc>
        <w:tc>
          <w:tcPr>
            <w:tcW w:w="1776" w:type="dxa"/>
            <w:vAlign w:val="center"/>
          </w:tcPr>
          <w:p w14:paraId="53166CCD" w14:textId="63F762CE" w:rsidR="00EB01CF" w:rsidRPr="00EB01CF" w:rsidRDefault="00EB01CF" w:rsidP="00EB01CF">
            <w:pPr>
              <w:spacing w:before="2" w:after="120"/>
              <w:ind w:left="97" w:right="-20"/>
              <w:jc w:val="center"/>
              <w:rPr>
                <w:color w:val="000000"/>
                <w:sz w:val="24"/>
              </w:rPr>
            </w:pPr>
            <w:r w:rsidRPr="00F55B7D">
              <w:rPr>
                <w:color w:val="000000"/>
                <w:spacing w:val="-5"/>
                <w:sz w:val="24"/>
                <w:u w:color="000000"/>
              </w:rPr>
              <w:t>4</w:t>
            </w:r>
          </w:p>
        </w:tc>
      </w:tr>
      <w:tr w:rsidR="00EB01CF" w:rsidRPr="00DF611D" w14:paraId="049692FE" w14:textId="77777777" w:rsidTr="00F55B7D">
        <w:trPr>
          <w:jc w:val="center"/>
        </w:trPr>
        <w:tc>
          <w:tcPr>
            <w:tcW w:w="1963" w:type="dxa"/>
            <w:tcBorders>
              <w:top w:val="double" w:sz="6" w:space="0" w:color="4F81BD"/>
              <w:left w:val="single" w:sz="8" w:space="0" w:color="4F81BD"/>
              <w:bottom w:val="double" w:sz="6" w:space="0" w:color="4F81BD"/>
              <w:right w:val="single" w:sz="8" w:space="0" w:color="4F81BD"/>
            </w:tcBorders>
          </w:tcPr>
          <w:p w14:paraId="4EAC2920" w14:textId="39AB781C" w:rsidR="00EB01CF" w:rsidRDefault="00EB01CF" w:rsidP="00EB01CF">
            <w:pPr>
              <w:spacing w:after="120"/>
              <w:jc w:val="center"/>
              <w:rPr>
                <w:bCs/>
                <w:color w:val="000000"/>
                <w:sz w:val="24"/>
                <w:lang w:bidi="en-US"/>
              </w:rPr>
            </w:pPr>
            <w:r>
              <w:rPr>
                <w:bCs/>
                <w:color w:val="000000"/>
                <w:sz w:val="24"/>
                <w:lang w:bidi="en-US"/>
              </w:rPr>
              <w:t>18</w:t>
            </w:r>
          </w:p>
        </w:tc>
        <w:tc>
          <w:tcPr>
            <w:tcW w:w="1776" w:type="dxa"/>
            <w:vAlign w:val="center"/>
          </w:tcPr>
          <w:p w14:paraId="3DB2849F" w14:textId="555CAE9A" w:rsidR="00EB01CF" w:rsidRPr="00EB01CF" w:rsidRDefault="00B53546" w:rsidP="00EB01CF">
            <w:pPr>
              <w:spacing w:before="2" w:after="120"/>
              <w:ind w:left="97" w:right="-20"/>
              <w:jc w:val="center"/>
              <w:rPr>
                <w:color w:val="000000"/>
                <w:sz w:val="24"/>
              </w:rPr>
            </w:pPr>
            <w:r>
              <w:rPr>
                <w:color w:val="000000"/>
                <w:spacing w:val="-5"/>
                <w:sz w:val="24"/>
                <w:u w:color="000000"/>
              </w:rPr>
              <w:t>6</w:t>
            </w:r>
          </w:p>
        </w:tc>
      </w:tr>
      <w:tr w:rsidR="00EB01CF" w:rsidRPr="00DF611D" w14:paraId="144CF8A2" w14:textId="77777777" w:rsidTr="005161EF">
        <w:trPr>
          <w:jc w:val="center"/>
        </w:trPr>
        <w:tc>
          <w:tcPr>
            <w:tcW w:w="1963" w:type="dxa"/>
            <w:tcBorders>
              <w:top w:val="double" w:sz="6" w:space="0" w:color="4F81BD"/>
              <w:left w:val="single" w:sz="8" w:space="0" w:color="4F81BD"/>
              <w:bottom w:val="single" w:sz="8" w:space="0" w:color="4F81BD"/>
              <w:right w:val="single" w:sz="8" w:space="0" w:color="4F81BD"/>
            </w:tcBorders>
          </w:tcPr>
          <w:p w14:paraId="4F84334A" w14:textId="5BB132EA" w:rsidR="00EB01CF" w:rsidRDefault="00EB01CF" w:rsidP="00EB01CF">
            <w:pPr>
              <w:spacing w:after="120"/>
              <w:jc w:val="center"/>
              <w:rPr>
                <w:bCs/>
                <w:color w:val="000000"/>
                <w:sz w:val="24"/>
                <w:lang w:bidi="en-US"/>
              </w:rPr>
            </w:pPr>
            <w:r>
              <w:rPr>
                <w:bCs/>
                <w:color w:val="000000"/>
                <w:sz w:val="24"/>
                <w:lang w:bidi="en-US"/>
              </w:rPr>
              <w:t>Total</w:t>
            </w:r>
          </w:p>
        </w:tc>
        <w:tc>
          <w:tcPr>
            <w:tcW w:w="1776" w:type="dxa"/>
            <w:vAlign w:val="center"/>
          </w:tcPr>
          <w:p w14:paraId="1DB06CDC" w14:textId="4592D113" w:rsidR="00EB01CF" w:rsidRPr="00EB01CF" w:rsidRDefault="00EB01CF" w:rsidP="00EB01CF">
            <w:pPr>
              <w:spacing w:before="2" w:after="120"/>
              <w:ind w:left="97" w:right="-20"/>
              <w:jc w:val="center"/>
              <w:rPr>
                <w:color w:val="000000"/>
                <w:spacing w:val="-5"/>
                <w:sz w:val="24"/>
                <w:u w:color="000000"/>
              </w:rPr>
            </w:pPr>
            <w:r>
              <w:rPr>
                <w:color w:val="000000"/>
                <w:spacing w:val="-5"/>
                <w:sz w:val="24"/>
                <w:u w:color="000000"/>
              </w:rPr>
              <w:t>100</w:t>
            </w:r>
          </w:p>
        </w:tc>
      </w:tr>
    </w:tbl>
    <w:p w14:paraId="4F58E468" w14:textId="77777777" w:rsidR="0040781C" w:rsidRDefault="0040781C" w:rsidP="0040781C">
      <w:pPr>
        <w:keepNext/>
        <w:spacing w:after="120"/>
        <w:jc w:val="center"/>
        <w:rPr>
          <w:b/>
          <w:bCs/>
          <w:i/>
          <w:sz w:val="24"/>
          <w:lang w:bidi="en-US"/>
        </w:rPr>
      </w:pPr>
    </w:p>
    <w:p w14:paraId="203F53F5" w14:textId="77777777" w:rsidR="0040781C" w:rsidRPr="00B04BD2" w:rsidRDefault="0040781C" w:rsidP="0040781C">
      <w:pPr>
        <w:keepNext/>
        <w:spacing w:after="120"/>
        <w:jc w:val="center"/>
        <w:rPr>
          <w:b/>
          <w:bCs/>
          <w:i/>
          <w:sz w:val="24"/>
          <w:lang w:bidi="en-US"/>
        </w:rPr>
      </w:pPr>
    </w:p>
    <w:p w14:paraId="3884A03E" w14:textId="6718363A" w:rsidR="0040781C" w:rsidRDefault="0040781C" w:rsidP="0040781C">
      <w:pPr>
        <w:keepNext/>
        <w:spacing w:after="120"/>
        <w:jc w:val="center"/>
        <w:rPr>
          <w:b/>
          <w:bCs/>
          <w:i/>
          <w:sz w:val="24"/>
          <w:lang w:bidi="en-US"/>
        </w:rPr>
      </w:pPr>
      <w:r w:rsidRPr="00B04BD2">
        <w:rPr>
          <w:b/>
          <w:bCs/>
          <w:i/>
          <w:sz w:val="24"/>
          <w:lang w:bidi="en-US"/>
        </w:rPr>
        <w:t xml:space="preserve">Table 2: </w:t>
      </w:r>
      <w:r w:rsidR="005D7245">
        <w:rPr>
          <w:b/>
          <w:bCs/>
          <w:i/>
          <w:sz w:val="24"/>
          <w:lang w:bidi="en-US"/>
        </w:rPr>
        <w:t xml:space="preserve">Estimated Sample </w:t>
      </w:r>
      <w:r>
        <w:rPr>
          <w:b/>
          <w:bCs/>
          <w:i/>
          <w:sz w:val="24"/>
          <w:lang w:bidi="en-US"/>
        </w:rPr>
        <w:t>Distribution of Patients within Affiliation</w:t>
      </w:r>
    </w:p>
    <w:tbl>
      <w:tblPr>
        <w:tblW w:w="3049"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E0" w:firstRow="1" w:lastRow="1" w:firstColumn="1" w:lastColumn="0" w:noHBand="0" w:noVBand="1"/>
      </w:tblPr>
      <w:tblGrid>
        <w:gridCol w:w="1510"/>
        <w:gridCol w:w="1539"/>
      </w:tblGrid>
      <w:tr w:rsidR="00875C96" w:rsidRPr="00DF611D" w14:paraId="29BD4CCF" w14:textId="77777777" w:rsidTr="00F55B7D">
        <w:trPr>
          <w:tblHeader/>
          <w:jc w:val="center"/>
        </w:trPr>
        <w:tc>
          <w:tcPr>
            <w:tcW w:w="1510" w:type="dxa"/>
            <w:tcBorders>
              <w:top w:val="single" w:sz="8" w:space="0" w:color="4F81BD"/>
              <w:left w:val="single" w:sz="8" w:space="0" w:color="4F81BD"/>
              <w:bottom w:val="single" w:sz="18" w:space="0" w:color="4F81BD"/>
              <w:right w:val="single" w:sz="8" w:space="0" w:color="4F81BD"/>
            </w:tcBorders>
            <w:vAlign w:val="center"/>
          </w:tcPr>
          <w:p w14:paraId="530433E1" w14:textId="77777777" w:rsidR="00875C96" w:rsidRPr="00DF611D" w:rsidRDefault="00875C96" w:rsidP="00C03654">
            <w:pPr>
              <w:spacing w:before="60" w:after="60"/>
              <w:jc w:val="center"/>
              <w:rPr>
                <w:b/>
                <w:bCs/>
                <w:sz w:val="24"/>
                <w:lang w:bidi="en-US"/>
              </w:rPr>
            </w:pPr>
            <w:r>
              <w:rPr>
                <w:b/>
                <w:bCs/>
                <w:sz w:val="24"/>
                <w:lang w:bidi="en-US"/>
              </w:rPr>
              <w:t>Affiliation</w:t>
            </w:r>
          </w:p>
        </w:tc>
        <w:tc>
          <w:tcPr>
            <w:tcW w:w="1539" w:type="dxa"/>
            <w:tcBorders>
              <w:top w:val="single" w:sz="8" w:space="0" w:color="4F81BD"/>
              <w:left w:val="single" w:sz="8" w:space="0" w:color="4F81BD"/>
              <w:bottom w:val="single" w:sz="18" w:space="0" w:color="4F81BD"/>
              <w:right w:val="single" w:sz="8" w:space="0" w:color="4F81BD"/>
            </w:tcBorders>
            <w:shd w:val="clear" w:color="auto" w:fill="auto"/>
            <w:vAlign w:val="center"/>
          </w:tcPr>
          <w:p w14:paraId="3886E2F3" w14:textId="44AD0ECC" w:rsidR="00875C96" w:rsidRPr="00DF611D" w:rsidRDefault="00875C96" w:rsidP="00C03654">
            <w:pPr>
              <w:spacing w:before="60" w:after="60"/>
              <w:jc w:val="center"/>
              <w:rPr>
                <w:b/>
                <w:bCs/>
                <w:sz w:val="24"/>
                <w:lang w:bidi="en-US"/>
              </w:rPr>
            </w:pPr>
            <w:r>
              <w:rPr>
                <w:b/>
                <w:bCs/>
                <w:sz w:val="24"/>
                <w:lang w:bidi="en-US"/>
              </w:rPr>
              <w:t>Patient Population Percentage</w:t>
            </w:r>
          </w:p>
        </w:tc>
      </w:tr>
      <w:tr w:rsidR="00875C96" w:rsidRPr="00DF611D" w14:paraId="0C69E0F5"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E387471" w14:textId="77777777" w:rsidR="00875C96" w:rsidRPr="00C03654" w:rsidRDefault="00875C96" w:rsidP="00A27216">
            <w:pPr>
              <w:spacing w:after="120"/>
              <w:jc w:val="center"/>
              <w:rPr>
                <w:bCs/>
                <w:color w:val="000000"/>
                <w:sz w:val="24"/>
                <w:lang w:bidi="en-US"/>
              </w:rPr>
            </w:pPr>
            <w:r w:rsidRPr="00C03654">
              <w:rPr>
                <w:bCs/>
                <w:color w:val="000000"/>
                <w:sz w:val="24"/>
                <w:lang w:bidi="en-US"/>
              </w:rPr>
              <w:t>DaVita</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1945235A" w14:textId="3E1D8911" w:rsidR="00875C96" w:rsidRPr="00A27216" w:rsidRDefault="00875C96" w:rsidP="00A27216">
            <w:pPr>
              <w:spacing w:after="120" w:line="222" w:lineRule="exact"/>
              <w:ind w:left="97" w:right="-20"/>
              <w:jc w:val="center"/>
              <w:rPr>
                <w:sz w:val="24"/>
                <w:lang w:bidi="en-US"/>
              </w:rPr>
            </w:pPr>
            <w:r w:rsidRPr="009E5FE2">
              <w:rPr>
                <w:color w:val="000000"/>
                <w:sz w:val="24"/>
              </w:rPr>
              <w:t>4</w:t>
            </w:r>
            <w:r>
              <w:rPr>
                <w:color w:val="000000"/>
                <w:sz w:val="24"/>
              </w:rPr>
              <w:t>3</w:t>
            </w:r>
          </w:p>
        </w:tc>
      </w:tr>
      <w:tr w:rsidR="00875C96" w:rsidRPr="00DF611D" w14:paraId="5426E9F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54E7BF64" w14:textId="77777777" w:rsidR="00875C96" w:rsidRPr="00C03654" w:rsidRDefault="00875C96" w:rsidP="00A27216">
            <w:pPr>
              <w:spacing w:after="120"/>
              <w:jc w:val="center"/>
              <w:rPr>
                <w:bCs/>
                <w:color w:val="000000"/>
                <w:sz w:val="24"/>
                <w:lang w:bidi="en-US"/>
              </w:rPr>
            </w:pPr>
            <w:r w:rsidRPr="00C03654">
              <w:rPr>
                <w:bCs/>
                <w:color w:val="000000"/>
                <w:sz w:val="24"/>
                <w:lang w:bidi="en-US"/>
              </w:rPr>
              <w:t>DCI</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5F1EA1" w14:textId="0E202CAB" w:rsidR="00875C96" w:rsidRPr="00A27216" w:rsidRDefault="00875C96" w:rsidP="00A27216">
            <w:pPr>
              <w:spacing w:before="2" w:after="120"/>
              <w:ind w:left="97" w:right="-20"/>
              <w:jc w:val="center"/>
              <w:rPr>
                <w:sz w:val="24"/>
                <w:lang w:bidi="en-US"/>
              </w:rPr>
            </w:pPr>
            <w:r>
              <w:rPr>
                <w:color w:val="000000"/>
                <w:sz w:val="24"/>
              </w:rPr>
              <w:t>8</w:t>
            </w:r>
          </w:p>
        </w:tc>
      </w:tr>
      <w:tr w:rsidR="00875C96" w:rsidRPr="00DF611D" w14:paraId="63E5859E" w14:textId="77777777" w:rsidTr="00F55B7D">
        <w:trPr>
          <w:jc w:val="center"/>
        </w:trPr>
        <w:tc>
          <w:tcPr>
            <w:tcW w:w="1510" w:type="dxa"/>
            <w:tcBorders>
              <w:top w:val="single" w:sz="8" w:space="0" w:color="4F81BD"/>
              <w:left w:val="single" w:sz="8" w:space="0" w:color="4F81BD"/>
              <w:bottom w:val="single" w:sz="8" w:space="0" w:color="4F81BD"/>
              <w:right w:val="single" w:sz="8" w:space="0" w:color="4F81BD"/>
            </w:tcBorders>
            <w:shd w:val="clear" w:color="auto" w:fill="auto"/>
          </w:tcPr>
          <w:p w14:paraId="73EB9780" w14:textId="77777777" w:rsidR="00875C96" w:rsidRPr="00C03654" w:rsidRDefault="00875C96" w:rsidP="00A27216">
            <w:pPr>
              <w:spacing w:after="120"/>
              <w:jc w:val="center"/>
              <w:rPr>
                <w:bCs/>
                <w:color w:val="000000"/>
                <w:sz w:val="24"/>
                <w:lang w:bidi="en-US"/>
              </w:rPr>
            </w:pPr>
            <w:r w:rsidRPr="00C03654">
              <w:rPr>
                <w:bCs/>
                <w:color w:val="000000"/>
                <w:sz w:val="24"/>
                <w:lang w:bidi="en-US"/>
              </w:rPr>
              <w:t>Fresenius</w:t>
            </w:r>
          </w:p>
        </w:tc>
        <w:tc>
          <w:tcPr>
            <w:tcW w:w="1539" w:type="dxa"/>
            <w:tcBorders>
              <w:top w:val="single" w:sz="8" w:space="0" w:color="4F81BD"/>
              <w:left w:val="single" w:sz="8" w:space="0" w:color="4F81BD"/>
              <w:bottom w:val="single" w:sz="8" w:space="0" w:color="4F81BD"/>
              <w:right w:val="single" w:sz="8" w:space="0" w:color="4F81BD"/>
            </w:tcBorders>
            <w:shd w:val="clear" w:color="auto" w:fill="auto"/>
            <w:vAlign w:val="bottom"/>
          </w:tcPr>
          <w:p w14:paraId="58E1A78C" w14:textId="035E4749" w:rsidR="00875C96" w:rsidRPr="00A27216" w:rsidRDefault="00875C96" w:rsidP="00A27216">
            <w:pPr>
              <w:spacing w:after="120" w:line="222" w:lineRule="exact"/>
              <w:ind w:left="97" w:right="-20"/>
              <w:jc w:val="center"/>
              <w:rPr>
                <w:sz w:val="24"/>
                <w:lang w:bidi="en-US"/>
              </w:rPr>
            </w:pPr>
            <w:r>
              <w:rPr>
                <w:color w:val="000000"/>
                <w:sz w:val="24"/>
              </w:rPr>
              <w:t>32</w:t>
            </w:r>
          </w:p>
        </w:tc>
      </w:tr>
      <w:tr w:rsidR="00875C96" w:rsidRPr="00DF611D" w14:paraId="28950AFD"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743DD7B" w14:textId="77777777" w:rsidR="00875C96" w:rsidRPr="00C03654" w:rsidRDefault="00875C96" w:rsidP="00A27216">
            <w:pPr>
              <w:spacing w:after="120"/>
              <w:jc w:val="center"/>
              <w:rPr>
                <w:bCs/>
                <w:color w:val="000000"/>
                <w:sz w:val="24"/>
                <w:lang w:bidi="en-US"/>
              </w:rPr>
            </w:pPr>
            <w:r w:rsidRPr="00C03654">
              <w:rPr>
                <w:bCs/>
                <w:color w:val="000000"/>
                <w:sz w:val="24"/>
                <w:lang w:bidi="en-US"/>
              </w:rPr>
              <w:t>Independent</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3E82521D" w14:textId="52E1609C" w:rsidR="00875C96" w:rsidRPr="00A27216" w:rsidRDefault="00875C96" w:rsidP="00A27216">
            <w:pPr>
              <w:spacing w:before="2" w:after="120"/>
              <w:ind w:left="97" w:right="-20"/>
              <w:jc w:val="center"/>
              <w:rPr>
                <w:bCs/>
                <w:sz w:val="24"/>
                <w:lang w:bidi="en-US"/>
              </w:rPr>
            </w:pPr>
            <w:r>
              <w:rPr>
                <w:color w:val="000000"/>
                <w:sz w:val="24"/>
              </w:rPr>
              <w:t>17</w:t>
            </w:r>
          </w:p>
        </w:tc>
      </w:tr>
      <w:tr w:rsidR="00875C96" w:rsidRPr="00DF611D" w14:paraId="74A3D4EB" w14:textId="77777777" w:rsidTr="00F55B7D">
        <w:trPr>
          <w:jc w:val="center"/>
        </w:trPr>
        <w:tc>
          <w:tcPr>
            <w:tcW w:w="1510" w:type="dxa"/>
            <w:tcBorders>
              <w:top w:val="double" w:sz="6" w:space="0" w:color="4F81BD"/>
              <w:left w:val="single" w:sz="8" w:space="0" w:color="4F81BD"/>
              <w:bottom w:val="double" w:sz="6" w:space="0" w:color="4F81BD"/>
              <w:right w:val="single" w:sz="8" w:space="0" w:color="4F81BD"/>
            </w:tcBorders>
          </w:tcPr>
          <w:p w14:paraId="78D352CA" w14:textId="77777777" w:rsidR="00875C96" w:rsidRPr="00C03654" w:rsidRDefault="00875C96" w:rsidP="00A27216">
            <w:pPr>
              <w:spacing w:after="120"/>
              <w:jc w:val="center"/>
              <w:rPr>
                <w:bCs/>
                <w:color w:val="000000"/>
                <w:sz w:val="24"/>
                <w:lang w:bidi="en-US"/>
              </w:rPr>
            </w:pPr>
            <w:r w:rsidRPr="00C03654">
              <w:rPr>
                <w:bCs/>
                <w:color w:val="000000"/>
                <w:sz w:val="24"/>
                <w:lang w:bidi="en-US"/>
              </w:rPr>
              <w:t>Total</w:t>
            </w:r>
          </w:p>
        </w:tc>
        <w:tc>
          <w:tcPr>
            <w:tcW w:w="1539" w:type="dxa"/>
            <w:tcBorders>
              <w:top w:val="double" w:sz="6" w:space="0" w:color="4F81BD"/>
              <w:left w:val="single" w:sz="8" w:space="0" w:color="4F81BD"/>
              <w:bottom w:val="double" w:sz="6" w:space="0" w:color="4F81BD"/>
              <w:right w:val="single" w:sz="8" w:space="0" w:color="4F81BD"/>
            </w:tcBorders>
            <w:shd w:val="clear" w:color="auto" w:fill="auto"/>
            <w:vAlign w:val="bottom"/>
          </w:tcPr>
          <w:p w14:paraId="74978A5C" w14:textId="5FA32475" w:rsidR="00875C96" w:rsidRPr="00C03654" w:rsidRDefault="00875C96" w:rsidP="00A27216">
            <w:pPr>
              <w:spacing w:before="2" w:after="120"/>
              <w:ind w:left="97" w:right="-20"/>
              <w:jc w:val="center"/>
              <w:rPr>
                <w:bCs/>
                <w:spacing w:val="1"/>
                <w:sz w:val="24"/>
                <w:lang w:bidi="en-US"/>
              </w:rPr>
            </w:pPr>
            <w:r w:rsidRPr="00C03654">
              <w:rPr>
                <w:color w:val="000000"/>
                <w:sz w:val="24"/>
              </w:rPr>
              <w:t>100</w:t>
            </w:r>
          </w:p>
        </w:tc>
      </w:tr>
    </w:tbl>
    <w:p w14:paraId="0ED292B5" w14:textId="5D98C90F" w:rsidR="00EE0694" w:rsidRDefault="00EE0694" w:rsidP="00A55FFE">
      <w:pPr>
        <w:spacing w:before="120" w:after="120"/>
        <w:rPr>
          <w:sz w:val="24"/>
          <w:lang w:bidi="en-US"/>
        </w:rPr>
      </w:pPr>
      <w:bookmarkStart w:id="7" w:name="Table2"/>
      <w:bookmarkEnd w:id="3"/>
      <w:bookmarkEnd w:id="4"/>
      <w:bookmarkEnd w:id="5"/>
      <w:bookmarkEnd w:id="7"/>
    </w:p>
    <w:p w14:paraId="49663D29" w14:textId="777E39BF" w:rsidR="00C13AA5" w:rsidRDefault="00C13AA5" w:rsidP="00A55FFE">
      <w:pPr>
        <w:spacing w:before="120" w:after="120"/>
        <w:rPr>
          <w:sz w:val="24"/>
          <w:lang w:bidi="en-US"/>
        </w:rPr>
      </w:pPr>
      <w:r>
        <w:rPr>
          <w:sz w:val="24"/>
          <w:lang w:bidi="en-US"/>
        </w:rPr>
        <w:t xml:space="preserve">In accordance with guidance provided by CDC, </w:t>
      </w:r>
      <w:r w:rsidRPr="00C13AA5">
        <w:rPr>
          <w:sz w:val="24"/>
          <w:lang w:bidi="en-US"/>
        </w:rPr>
        <w:t>each facility should provide the following five lists:</w:t>
      </w:r>
    </w:p>
    <w:p w14:paraId="671C8CF6" w14:textId="17AD84A4" w:rsidR="00B30070" w:rsidRPr="00B30070" w:rsidRDefault="00B30070" w:rsidP="00B30070">
      <w:pPr>
        <w:spacing w:before="120" w:after="120"/>
        <w:rPr>
          <w:sz w:val="24"/>
          <w:lang w:bidi="en-US"/>
        </w:rPr>
      </w:pPr>
      <w:r w:rsidRPr="00B30070">
        <w:rPr>
          <w:sz w:val="24"/>
          <w:lang w:bidi="en-US"/>
        </w:rPr>
        <w:t>List 1. All patients who had one or more in-center hemodialysis treatment(s) during the validation time period</w:t>
      </w:r>
      <w:r>
        <w:rPr>
          <w:sz w:val="24"/>
          <w:lang w:bidi="en-US"/>
        </w:rPr>
        <w:t xml:space="preserve">; </w:t>
      </w:r>
    </w:p>
    <w:p w14:paraId="4D58B06E" w14:textId="1D162715" w:rsidR="00B30070" w:rsidRPr="00B30070" w:rsidRDefault="00B30070" w:rsidP="00B30070">
      <w:pPr>
        <w:spacing w:before="120" w:after="120"/>
        <w:rPr>
          <w:sz w:val="24"/>
          <w:lang w:bidi="en-US"/>
        </w:rPr>
      </w:pPr>
      <w:r w:rsidRPr="00B30070">
        <w:rPr>
          <w:sz w:val="24"/>
          <w:lang w:bidi="en-US"/>
        </w:rPr>
        <w:lastRenderedPageBreak/>
        <w:t>List 2. All patients who had any positive blood cultures during the validation time period</w:t>
      </w:r>
      <w:r>
        <w:rPr>
          <w:sz w:val="24"/>
          <w:lang w:bidi="en-US"/>
        </w:rPr>
        <w:t xml:space="preserve">; </w:t>
      </w:r>
    </w:p>
    <w:p w14:paraId="5E75377D" w14:textId="6A5A4B26" w:rsidR="00B30070" w:rsidRPr="00B30070" w:rsidRDefault="00B30070" w:rsidP="00B30070">
      <w:pPr>
        <w:spacing w:before="120" w:after="120"/>
        <w:rPr>
          <w:sz w:val="24"/>
          <w:lang w:bidi="en-US"/>
        </w:rPr>
      </w:pPr>
      <w:r w:rsidRPr="00B30070">
        <w:rPr>
          <w:sz w:val="24"/>
          <w:lang w:bidi="en-US"/>
        </w:rPr>
        <w:t>List 3. All patients who received any intravenous antimicrobials during the validation time period</w:t>
      </w:r>
      <w:r>
        <w:rPr>
          <w:sz w:val="24"/>
          <w:lang w:bidi="en-US"/>
        </w:rPr>
        <w:t xml:space="preserve">; </w:t>
      </w:r>
    </w:p>
    <w:p w14:paraId="51DE93D8" w14:textId="1BEFF2CF" w:rsidR="00B30070" w:rsidRPr="00B30070" w:rsidRDefault="00B30070" w:rsidP="00B30070">
      <w:pPr>
        <w:spacing w:before="120" w:after="120"/>
        <w:rPr>
          <w:sz w:val="24"/>
          <w:lang w:bidi="en-US"/>
        </w:rPr>
      </w:pPr>
      <w:r w:rsidRPr="00B30070">
        <w:rPr>
          <w:sz w:val="24"/>
          <w:lang w:bidi="en-US"/>
        </w:rPr>
        <w:t>List 4. All patients who had any pus, redness or swelling at the vascular access site during the validation time period</w:t>
      </w:r>
      <w:r>
        <w:rPr>
          <w:sz w:val="24"/>
          <w:lang w:bidi="en-US"/>
        </w:rPr>
        <w:t>; and</w:t>
      </w:r>
    </w:p>
    <w:p w14:paraId="407A5D82" w14:textId="1C532268" w:rsidR="00B30070" w:rsidRDefault="00B30070" w:rsidP="00B30070">
      <w:pPr>
        <w:spacing w:before="120" w:after="120"/>
        <w:rPr>
          <w:sz w:val="24"/>
          <w:lang w:bidi="en-US"/>
        </w:rPr>
      </w:pPr>
      <w:r w:rsidRPr="00B30070">
        <w:rPr>
          <w:sz w:val="24"/>
          <w:lang w:bidi="en-US"/>
        </w:rPr>
        <w:t>List 5. All patients who were hospitalized for any reason during the validation time period</w:t>
      </w:r>
      <w:r>
        <w:rPr>
          <w:sz w:val="24"/>
          <w:lang w:bidi="en-US"/>
        </w:rPr>
        <w:t>.</w:t>
      </w:r>
    </w:p>
    <w:p w14:paraId="3C5BBB03" w14:textId="262223A7" w:rsidR="00B30070" w:rsidRDefault="00B30070" w:rsidP="00B30070">
      <w:pPr>
        <w:spacing w:before="120" w:after="120"/>
        <w:rPr>
          <w:sz w:val="24"/>
          <w:lang w:bidi="en-US"/>
        </w:rPr>
      </w:pPr>
    </w:p>
    <w:p w14:paraId="1E4E6E9C" w14:textId="1CE20C3F" w:rsidR="00B30070" w:rsidRPr="00B30070" w:rsidRDefault="00822D2F" w:rsidP="00B30070">
      <w:pPr>
        <w:spacing w:before="120" w:after="120"/>
        <w:rPr>
          <w:sz w:val="24"/>
          <w:lang w:bidi="en-US"/>
        </w:rPr>
      </w:pPr>
      <w:r>
        <w:rPr>
          <w:sz w:val="24"/>
          <w:lang w:bidi="en-US"/>
        </w:rPr>
        <w:t>Twenty</w:t>
      </w:r>
      <w:r w:rsidR="00B30070" w:rsidRPr="00B30070">
        <w:rPr>
          <w:sz w:val="24"/>
          <w:lang w:bidi="en-US"/>
        </w:rPr>
        <w:t xml:space="preserve"> (</w:t>
      </w:r>
      <w:r>
        <w:rPr>
          <w:sz w:val="24"/>
          <w:lang w:bidi="en-US"/>
        </w:rPr>
        <w:t>2</w:t>
      </w:r>
      <w:r w:rsidR="00B30070" w:rsidRPr="00B30070">
        <w:rPr>
          <w:sz w:val="24"/>
          <w:lang w:bidi="en-US"/>
        </w:rPr>
        <w:t xml:space="preserve">0) patient records, from each facility, should be selected to undergo medical record review. </w:t>
      </w:r>
    </w:p>
    <w:p w14:paraId="41F61DDB" w14:textId="77777777" w:rsidR="00B30070" w:rsidRPr="00B30070" w:rsidRDefault="00B30070" w:rsidP="00B30070">
      <w:pPr>
        <w:spacing w:before="120" w:after="120"/>
        <w:rPr>
          <w:sz w:val="24"/>
          <w:lang w:bidi="en-US"/>
        </w:rPr>
      </w:pPr>
      <w:r w:rsidRPr="00B30070">
        <w:rPr>
          <w:sz w:val="24"/>
          <w:lang w:bidi="en-US"/>
        </w:rPr>
        <w:t xml:space="preserve">1) Start with List 2 to identify the patient medical records. </w:t>
      </w:r>
    </w:p>
    <w:p w14:paraId="19E42377" w14:textId="436A3834" w:rsidR="00B30070" w:rsidRPr="00B30070" w:rsidRDefault="00B30070" w:rsidP="00B30070">
      <w:pPr>
        <w:spacing w:before="120" w:after="120"/>
        <w:rPr>
          <w:sz w:val="24"/>
          <w:lang w:bidi="en-US"/>
        </w:rPr>
      </w:pPr>
      <w:r w:rsidRPr="00B30070">
        <w:rPr>
          <w:sz w:val="24"/>
          <w:lang w:bidi="en-US"/>
        </w:rPr>
        <w:t xml:space="preserve">a. If List 2 has greater than </w:t>
      </w:r>
      <w:r w:rsidR="00822D2F">
        <w:rPr>
          <w:sz w:val="24"/>
          <w:lang w:bidi="en-US"/>
        </w:rPr>
        <w:t>2</w:t>
      </w:r>
      <w:r w:rsidRPr="00B30070">
        <w:rPr>
          <w:sz w:val="24"/>
          <w:lang w:bidi="en-US"/>
        </w:rPr>
        <w:t xml:space="preserve">0 patients, randomly select </w:t>
      </w:r>
      <w:r w:rsidR="00822D2F">
        <w:rPr>
          <w:sz w:val="24"/>
          <w:lang w:bidi="en-US"/>
        </w:rPr>
        <w:t>2</w:t>
      </w:r>
      <w:r w:rsidRPr="00B30070">
        <w:rPr>
          <w:sz w:val="24"/>
          <w:lang w:bidi="en-US"/>
        </w:rPr>
        <w:t xml:space="preserve">0 patients and STOP. </w:t>
      </w:r>
    </w:p>
    <w:p w14:paraId="60315BF4" w14:textId="5CFAF203" w:rsidR="00B30070" w:rsidRPr="00B30070" w:rsidRDefault="00B30070" w:rsidP="00B30070">
      <w:pPr>
        <w:spacing w:before="120" w:after="120"/>
        <w:rPr>
          <w:sz w:val="24"/>
          <w:lang w:bidi="en-US"/>
        </w:rPr>
      </w:pPr>
      <w:r w:rsidRPr="00B30070">
        <w:rPr>
          <w:sz w:val="24"/>
          <w:lang w:bidi="en-US"/>
        </w:rPr>
        <w:t xml:space="preserve">b. If List 2 consists of less than </w:t>
      </w:r>
      <w:r w:rsidR="00822D2F">
        <w:rPr>
          <w:sz w:val="24"/>
          <w:lang w:bidi="en-US"/>
        </w:rPr>
        <w:t>2</w:t>
      </w:r>
      <w:r w:rsidRPr="00B30070">
        <w:rPr>
          <w:sz w:val="24"/>
          <w:lang w:bidi="en-US"/>
        </w:rPr>
        <w:t xml:space="preserve">0 patients, select all the patients in that list and then move forward to List 3, 4 and 5 consecutively and randomly select patients from next list until total of 10 patients are selected. </w:t>
      </w:r>
    </w:p>
    <w:p w14:paraId="60A183AB" w14:textId="2223561A" w:rsidR="00B30070" w:rsidRPr="00B30070" w:rsidRDefault="00B30070" w:rsidP="00B30070">
      <w:pPr>
        <w:spacing w:before="120" w:after="120"/>
        <w:rPr>
          <w:sz w:val="24"/>
          <w:lang w:bidi="en-US"/>
        </w:rPr>
      </w:pPr>
      <w:r w:rsidRPr="00B30070">
        <w:rPr>
          <w:sz w:val="24"/>
          <w:lang w:bidi="en-US"/>
        </w:rPr>
        <w:t xml:space="preserve">2) If Lists 2 - 5 together do not generate </w:t>
      </w:r>
      <w:r w:rsidR="00822D2F">
        <w:rPr>
          <w:sz w:val="24"/>
          <w:lang w:bidi="en-US"/>
        </w:rPr>
        <w:t>2</w:t>
      </w:r>
      <w:r w:rsidRPr="00B30070">
        <w:rPr>
          <w:sz w:val="24"/>
          <w:lang w:bidi="en-US"/>
        </w:rPr>
        <w:t xml:space="preserve">0 patients, randomly select the remaining needed patients from List 1 patients who were not included in Lists 2-5. </w:t>
      </w:r>
    </w:p>
    <w:p w14:paraId="402B64F4" w14:textId="77777777" w:rsidR="00A55FFE" w:rsidRPr="00207E15" w:rsidRDefault="00A55FFE" w:rsidP="00A55FFE">
      <w:pPr>
        <w:spacing w:after="120"/>
        <w:rPr>
          <w:sz w:val="24"/>
        </w:rPr>
      </w:pPr>
      <w:bookmarkStart w:id="8" w:name="Table3"/>
      <w:bookmarkEnd w:id="8"/>
    </w:p>
    <w:p w14:paraId="5BCCC718" w14:textId="00205EC3" w:rsidR="0013725F" w:rsidRPr="00B04BD2" w:rsidRDefault="0013725F" w:rsidP="0013725F">
      <w:pPr>
        <w:pStyle w:val="11ASTHeading2"/>
        <w:spacing w:after="160"/>
        <w:ind w:left="576" w:hanging="576"/>
        <w:rPr>
          <w:rFonts w:ascii="Times New Roman" w:hAnsi="Times New Roman"/>
          <w:sz w:val="24"/>
          <w:szCs w:val="24"/>
        </w:rPr>
      </w:pPr>
      <w:bookmarkStart w:id="9" w:name="_Toc433189956"/>
      <w:r w:rsidRPr="00B04BD2">
        <w:rPr>
          <w:rFonts w:ascii="Times New Roman" w:hAnsi="Times New Roman"/>
          <w:sz w:val="24"/>
          <w:szCs w:val="24"/>
        </w:rPr>
        <w:t>Sampling Time</w:t>
      </w:r>
      <w:r>
        <w:rPr>
          <w:rFonts w:ascii="Times New Roman" w:hAnsi="Times New Roman"/>
          <w:sz w:val="24"/>
          <w:szCs w:val="24"/>
        </w:rPr>
        <w:t xml:space="preserve"> F</w:t>
      </w:r>
      <w:r w:rsidRPr="00B04BD2">
        <w:rPr>
          <w:rFonts w:ascii="Times New Roman" w:hAnsi="Times New Roman"/>
          <w:sz w:val="24"/>
          <w:szCs w:val="24"/>
        </w:rPr>
        <w:t>rame</w:t>
      </w:r>
      <w:bookmarkEnd w:id="9"/>
    </w:p>
    <w:p w14:paraId="59FED77B" w14:textId="53152D51" w:rsidR="0013725F" w:rsidRDefault="00966107" w:rsidP="0013725F">
      <w:pPr>
        <w:rPr>
          <w:sz w:val="24"/>
        </w:rPr>
      </w:pPr>
      <w:r>
        <w:rPr>
          <w:sz w:val="24"/>
        </w:rPr>
        <w:t>Facilities will be</w:t>
      </w:r>
      <w:r w:rsidR="00AD58E1" w:rsidRPr="00875C96">
        <w:rPr>
          <w:sz w:val="24"/>
        </w:rPr>
        <w:t xml:space="preserve"> randomly selected</w:t>
      </w:r>
      <w:r w:rsidR="0013725F" w:rsidRPr="00875C96">
        <w:rPr>
          <w:sz w:val="24"/>
        </w:rPr>
        <w:t xml:space="preserve"> </w:t>
      </w:r>
      <w:r w:rsidR="00AD58E1" w:rsidRPr="00875C96">
        <w:rPr>
          <w:sz w:val="24"/>
        </w:rPr>
        <w:t xml:space="preserve">from the national collection of ESRD facilities that </w:t>
      </w:r>
      <w:r>
        <w:rPr>
          <w:sz w:val="24"/>
        </w:rPr>
        <w:t>will</w:t>
      </w:r>
      <w:r w:rsidRPr="00875C96">
        <w:rPr>
          <w:sz w:val="24"/>
        </w:rPr>
        <w:t xml:space="preserve"> </w:t>
      </w:r>
      <w:r w:rsidR="00AD58E1" w:rsidRPr="00875C96">
        <w:rPr>
          <w:sz w:val="24"/>
        </w:rPr>
        <w:t xml:space="preserve">not include those facilities already selected for participation in the CPM component of the study. </w:t>
      </w:r>
      <w:r w:rsidR="00AD58E1" w:rsidRPr="00875C96">
        <w:rPr>
          <w:sz w:val="24"/>
          <w:lang w:bidi="en-US"/>
        </w:rPr>
        <w:t xml:space="preserve">Patient records for the first and second quarter </w:t>
      </w:r>
      <w:r w:rsidR="00CA64EA">
        <w:rPr>
          <w:sz w:val="24"/>
          <w:lang w:bidi="en-US"/>
        </w:rPr>
        <w:t xml:space="preserve">of PY 2021 </w:t>
      </w:r>
      <w:r>
        <w:rPr>
          <w:sz w:val="24"/>
          <w:lang w:bidi="en-US"/>
        </w:rPr>
        <w:t>will be</w:t>
      </w:r>
      <w:r w:rsidRPr="00875C96">
        <w:rPr>
          <w:sz w:val="24"/>
          <w:lang w:bidi="en-US"/>
        </w:rPr>
        <w:t xml:space="preserve"> </w:t>
      </w:r>
      <w:r w:rsidR="00AD58E1" w:rsidRPr="00875C96">
        <w:rPr>
          <w:sz w:val="24"/>
          <w:lang w:bidi="en-US"/>
        </w:rPr>
        <w:t>used according to the guidelines of the ESRD QIP rule</w:t>
      </w:r>
      <w:r w:rsidR="0013725F" w:rsidRPr="00875C96">
        <w:rPr>
          <w:sz w:val="24"/>
        </w:rPr>
        <w:t>.</w:t>
      </w:r>
    </w:p>
    <w:p w14:paraId="54A61352" w14:textId="1D60F989" w:rsidR="008A5324" w:rsidRPr="00207E15" w:rsidRDefault="0013725F" w:rsidP="0013725F">
      <w:pPr>
        <w:spacing w:before="120" w:line="276" w:lineRule="auto"/>
        <w:rPr>
          <w:bCs/>
          <w:sz w:val="24"/>
          <w:lang w:bidi="en-US"/>
        </w:rPr>
      </w:pPr>
      <w:r>
        <w:rPr>
          <w:sz w:val="24"/>
        </w:rPr>
        <w:t xml:space="preserve">A breakdown of the mandated reported deadlines that were taken into consideration is displayed in </w:t>
      </w:r>
      <w:r>
        <w:rPr>
          <w:b/>
          <w:sz w:val="24"/>
        </w:rPr>
        <w:t xml:space="preserve">Table </w:t>
      </w:r>
      <w:r w:rsidR="00B30070">
        <w:rPr>
          <w:b/>
          <w:sz w:val="24"/>
        </w:rPr>
        <w:t>3</w:t>
      </w:r>
      <w:r>
        <w:rPr>
          <w:b/>
          <w:sz w:val="24"/>
        </w:rPr>
        <w:t>.</w:t>
      </w:r>
      <w:r w:rsidR="008A5324" w:rsidRPr="00207E15">
        <w:rPr>
          <w:bCs/>
          <w:sz w:val="24"/>
          <w:lang w:bidi="en-US"/>
        </w:rPr>
        <w:t xml:space="preserve"> </w:t>
      </w:r>
    </w:p>
    <w:p w14:paraId="6E54AF1D" w14:textId="77777777" w:rsidR="008A5324" w:rsidRPr="00207E15" w:rsidRDefault="008A5324" w:rsidP="008A5324">
      <w:pPr>
        <w:keepNext/>
        <w:spacing w:after="120"/>
        <w:jc w:val="center"/>
        <w:rPr>
          <w:b/>
          <w:bCs/>
          <w:i/>
          <w:sz w:val="24"/>
          <w:lang w:bidi="en-US"/>
        </w:rPr>
      </w:pPr>
      <w:bookmarkStart w:id="10" w:name="_Ref433189290"/>
      <w:bookmarkStart w:id="11" w:name="_Toc433189672"/>
    </w:p>
    <w:p w14:paraId="41CEE406" w14:textId="2C51C84C" w:rsidR="008A5324" w:rsidRPr="00207E15" w:rsidRDefault="008A5324" w:rsidP="008A5324">
      <w:pPr>
        <w:keepNext/>
        <w:spacing w:after="120"/>
        <w:jc w:val="center"/>
        <w:rPr>
          <w:b/>
          <w:bCs/>
          <w:i/>
          <w:sz w:val="24"/>
          <w:lang w:bidi="en-US"/>
        </w:rPr>
      </w:pPr>
      <w:bookmarkStart w:id="12" w:name="Table4"/>
      <w:bookmarkEnd w:id="12"/>
      <w:r w:rsidRPr="00207E15">
        <w:rPr>
          <w:b/>
          <w:bCs/>
          <w:i/>
          <w:sz w:val="24"/>
          <w:lang w:bidi="en-US"/>
        </w:rPr>
        <w:t xml:space="preserve">Table </w:t>
      </w:r>
      <w:bookmarkEnd w:id="10"/>
      <w:r w:rsidR="00B30070">
        <w:rPr>
          <w:b/>
          <w:bCs/>
          <w:i/>
          <w:sz w:val="24"/>
          <w:lang w:bidi="en-US"/>
        </w:rPr>
        <w:t>3</w:t>
      </w:r>
      <w:r w:rsidRPr="00207E15">
        <w:rPr>
          <w:b/>
          <w:bCs/>
          <w:i/>
          <w:sz w:val="24"/>
          <w:lang w:bidi="en-US"/>
        </w:rPr>
        <w:t>: Mandated Reporting Deadlines</w:t>
      </w:r>
      <w:bookmarkEnd w:id="11"/>
    </w:p>
    <w:tbl>
      <w:tblPr>
        <w:tblW w:w="5000" w:type="pct"/>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3589"/>
        <w:gridCol w:w="5987"/>
      </w:tblGrid>
      <w:tr w:rsidR="008A5324" w:rsidRPr="00207E15" w14:paraId="492D9FBB" w14:textId="77777777" w:rsidTr="00F55B7D">
        <w:tc>
          <w:tcPr>
            <w:tcW w:w="1874" w:type="pct"/>
            <w:tcBorders>
              <w:top w:val="single" w:sz="8" w:space="0" w:color="4F81BD"/>
              <w:left w:val="single" w:sz="8" w:space="0" w:color="4F81BD"/>
              <w:bottom w:val="single" w:sz="18" w:space="0" w:color="4F81BD"/>
              <w:right w:val="single" w:sz="8" w:space="0" w:color="4F81BD"/>
            </w:tcBorders>
            <w:shd w:val="clear" w:color="auto" w:fill="auto"/>
            <w:hideMark/>
          </w:tcPr>
          <w:p w14:paraId="390E87BB" w14:textId="77777777" w:rsidR="008A5324" w:rsidRPr="00207E15" w:rsidRDefault="008A5324" w:rsidP="009D7ED3">
            <w:pPr>
              <w:spacing w:before="120" w:line="276" w:lineRule="auto"/>
              <w:rPr>
                <w:rFonts w:eastAsia="Calibri"/>
                <w:b/>
                <w:bCs/>
                <w:sz w:val="24"/>
              </w:rPr>
            </w:pPr>
            <w:r w:rsidRPr="00207E15">
              <w:rPr>
                <w:b/>
                <w:bCs/>
                <w:sz w:val="24"/>
              </w:rPr>
              <w:t>Submission Type</w:t>
            </w:r>
          </w:p>
        </w:tc>
        <w:tc>
          <w:tcPr>
            <w:tcW w:w="3126" w:type="pct"/>
            <w:tcBorders>
              <w:top w:val="single" w:sz="8" w:space="0" w:color="4F81BD"/>
              <w:left w:val="single" w:sz="8" w:space="0" w:color="4F81BD"/>
              <w:bottom w:val="single" w:sz="18" w:space="0" w:color="4F81BD"/>
              <w:right w:val="single" w:sz="8" w:space="0" w:color="4F81BD"/>
            </w:tcBorders>
            <w:shd w:val="clear" w:color="auto" w:fill="auto"/>
            <w:hideMark/>
          </w:tcPr>
          <w:p w14:paraId="7D79EAB2" w14:textId="77777777" w:rsidR="008A5324" w:rsidRPr="00207E15" w:rsidRDefault="008A5324" w:rsidP="009D7ED3">
            <w:pPr>
              <w:spacing w:before="120" w:line="276" w:lineRule="auto"/>
              <w:rPr>
                <w:rFonts w:eastAsia="Calibri"/>
                <w:b/>
                <w:bCs/>
                <w:sz w:val="24"/>
              </w:rPr>
            </w:pPr>
            <w:r w:rsidRPr="00207E15">
              <w:rPr>
                <w:b/>
                <w:bCs/>
                <w:sz w:val="24"/>
              </w:rPr>
              <w:t>Mandated Reporting Deadlines</w:t>
            </w:r>
          </w:p>
        </w:tc>
      </w:tr>
      <w:tr w:rsidR="008A5324" w:rsidRPr="00207E15" w14:paraId="5ABA1FA1"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231DC39C" w14:textId="62F9539D" w:rsidR="008A5324" w:rsidRPr="00875C96" w:rsidRDefault="00875C96" w:rsidP="009D7ED3">
            <w:pPr>
              <w:spacing w:before="120" w:line="276" w:lineRule="auto"/>
              <w:rPr>
                <w:rFonts w:eastAsia="Calibri"/>
                <w:bCs/>
                <w:sz w:val="24"/>
              </w:rPr>
            </w:pPr>
            <w:r w:rsidRPr="00F55B7D">
              <w:rPr>
                <w:bCs/>
                <w:sz w:val="24"/>
              </w:rPr>
              <w:t xml:space="preserve">PY 2021 </w:t>
            </w:r>
            <w:r w:rsidR="008A5324" w:rsidRPr="00875C96">
              <w:rPr>
                <w:bCs/>
                <w:sz w:val="24"/>
              </w:rPr>
              <w:t>NHSN Data Submission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47E5ECCC" w14:textId="11E12478" w:rsidR="008A5324" w:rsidRPr="00875C96" w:rsidRDefault="008A5324" w:rsidP="009D7ED3">
            <w:pPr>
              <w:spacing w:before="120" w:line="276" w:lineRule="auto"/>
              <w:rPr>
                <w:rFonts w:eastAsia="Calibri"/>
                <w:sz w:val="24"/>
              </w:rPr>
            </w:pPr>
            <w:r w:rsidRPr="00875C96">
              <w:rPr>
                <w:rFonts w:eastAsia="Calibri"/>
                <w:sz w:val="24"/>
              </w:rPr>
              <w:t>90 days after quarter close (Q2 – September 30, 201</w:t>
            </w:r>
            <w:r w:rsidR="00875C96">
              <w:rPr>
                <w:rFonts w:eastAsia="Calibri"/>
                <w:sz w:val="24"/>
              </w:rPr>
              <w:t>9</w:t>
            </w:r>
            <w:r w:rsidRPr="00875C96">
              <w:rPr>
                <w:rFonts w:eastAsia="Calibri"/>
                <w:sz w:val="24"/>
              </w:rPr>
              <w:t>)</w:t>
            </w:r>
          </w:p>
        </w:tc>
      </w:tr>
      <w:tr w:rsidR="00875C96" w:rsidRPr="00207E15" w14:paraId="6E3814D6" w14:textId="77777777" w:rsidTr="00F55B7D">
        <w:tc>
          <w:tcPr>
            <w:tcW w:w="1874" w:type="pct"/>
            <w:tcBorders>
              <w:top w:val="single" w:sz="8" w:space="0" w:color="4F81BD"/>
              <w:left w:val="single" w:sz="8" w:space="0" w:color="4F81BD"/>
              <w:bottom w:val="single" w:sz="8" w:space="0" w:color="4F81BD"/>
              <w:right w:val="single" w:sz="8" w:space="0" w:color="4F81BD"/>
            </w:tcBorders>
            <w:shd w:val="clear" w:color="auto" w:fill="auto"/>
            <w:hideMark/>
          </w:tcPr>
          <w:p w14:paraId="315C554E" w14:textId="0BB06BA3" w:rsidR="00875C96" w:rsidRPr="009E5FE2" w:rsidRDefault="00875C96" w:rsidP="00875C96">
            <w:pPr>
              <w:spacing w:before="120" w:line="276" w:lineRule="auto"/>
              <w:rPr>
                <w:rFonts w:eastAsia="Calibri"/>
                <w:bCs/>
                <w:sz w:val="24"/>
              </w:rPr>
            </w:pPr>
            <w:r w:rsidRPr="009E5FE2">
              <w:rPr>
                <w:bCs/>
                <w:sz w:val="24"/>
              </w:rPr>
              <w:t xml:space="preserve">Facility Record Submission Deadline </w:t>
            </w:r>
            <w:r w:rsidR="00667A26">
              <w:rPr>
                <w:bCs/>
                <w:sz w:val="24"/>
              </w:rPr>
              <w:t>–</w:t>
            </w:r>
            <w:r w:rsidRPr="009E5FE2">
              <w:rPr>
                <w:bCs/>
                <w:sz w:val="24"/>
              </w:rPr>
              <w:t xml:space="preserve"> NHSN</w:t>
            </w:r>
          </w:p>
        </w:tc>
        <w:tc>
          <w:tcPr>
            <w:tcW w:w="3126" w:type="pct"/>
            <w:tcBorders>
              <w:top w:val="single" w:sz="8" w:space="0" w:color="4F81BD"/>
              <w:left w:val="single" w:sz="8" w:space="0" w:color="4F81BD"/>
              <w:bottom w:val="single" w:sz="8" w:space="0" w:color="4F81BD"/>
              <w:right w:val="single" w:sz="8" w:space="0" w:color="4F81BD"/>
            </w:tcBorders>
            <w:shd w:val="clear" w:color="auto" w:fill="auto"/>
            <w:vAlign w:val="center"/>
            <w:hideMark/>
          </w:tcPr>
          <w:p w14:paraId="3E4167CE" w14:textId="77777777" w:rsidR="00875C96" w:rsidRPr="00207E15" w:rsidRDefault="00875C96" w:rsidP="00875C96">
            <w:pPr>
              <w:spacing w:before="120" w:line="276" w:lineRule="auto"/>
              <w:rPr>
                <w:rFonts w:eastAsia="Calibri"/>
                <w:sz w:val="24"/>
              </w:rPr>
            </w:pPr>
            <w:r w:rsidRPr="00207E15">
              <w:rPr>
                <w:rFonts w:eastAsia="Calibri"/>
                <w:sz w:val="24"/>
              </w:rPr>
              <w:t>60 days after request receipt per QIP rule</w:t>
            </w:r>
          </w:p>
        </w:tc>
      </w:tr>
    </w:tbl>
    <w:p w14:paraId="06DC625C" w14:textId="009F4C30" w:rsidR="008A5324" w:rsidRDefault="008A5324" w:rsidP="008A5324">
      <w:pPr>
        <w:spacing w:line="276" w:lineRule="auto"/>
        <w:rPr>
          <w:sz w:val="24"/>
        </w:rPr>
      </w:pPr>
      <w:r w:rsidRPr="00207E15">
        <w:rPr>
          <w:sz w:val="24"/>
        </w:rPr>
        <w:t xml:space="preserve">  </w:t>
      </w:r>
    </w:p>
    <w:p w14:paraId="4FB60DE8" w14:textId="77777777" w:rsidR="00007418" w:rsidRPr="00207E15" w:rsidRDefault="00007418" w:rsidP="008A5324">
      <w:pPr>
        <w:spacing w:line="276" w:lineRule="auto"/>
        <w:rPr>
          <w:bCs/>
          <w:sz w:val="24"/>
          <w:lang w:bidi="en-US"/>
        </w:rPr>
      </w:pPr>
      <w:r>
        <w:rPr>
          <w:sz w:val="24"/>
        </w:rPr>
        <w:t>Due to the tight timeframe for data abstraction, effective coordination and management as well as adherence to established schedules will be crucial to the project’s success.</w:t>
      </w:r>
    </w:p>
    <w:p w14:paraId="164056C0" w14:textId="77777777" w:rsidR="007644CA" w:rsidRPr="00207E15" w:rsidRDefault="007644CA">
      <w:pPr>
        <w:rPr>
          <w:sz w:val="24"/>
        </w:rPr>
      </w:pPr>
    </w:p>
    <w:p w14:paraId="3D4CB295"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2.  Describe the procedures for the collection of information including:</w:t>
      </w:r>
    </w:p>
    <w:p w14:paraId="426BC5C3"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3B8E963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Statistical methodology for stratification and sample selection,</w:t>
      </w:r>
    </w:p>
    <w:p w14:paraId="6824B329"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62FA122B"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Estimation procedure,</w:t>
      </w:r>
    </w:p>
    <w:p w14:paraId="2E97F981"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74B835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Degree of accuracy needed for the purpose described in the justification,</w:t>
      </w:r>
    </w:p>
    <w:p w14:paraId="46FA39EE"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088D487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Unusual problems requiring specialized sampling procedures, and</w:t>
      </w:r>
    </w:p>
    <w:p w14:paraId="2F20B68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1506F13F"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07E15">
        <w:rPr>
          <w:b/>
          <w:sz w:val="24"/>
        </w:rPr>
        <w:t>-  Any use of periodic (less frequent than annual) data collection cycles to reduce burden.</w:t>
      </w:r>
    </w:p>
    <w:p w14:paraId="4661CB10"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0B80219" w14:textId="75EAF944"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Please see response to question 1 for statistical methodology for stratification and sample selection, including estimation procedure and degree of accuracy needed for the purpose of this work. As noted below in response to question 4, there are no unusual problems requiring specialized sampling procedures as </w:t>
      </w:r>
      <w:r w:rsidR="00C21062">
        <w:rPr>
          <w:sz w:val="24"/>
          <w:lang w:bidi="en-US"/>
        </w:rPr>
        <w:t>the</w:t>
      </w:r>
      <w:r w:rsidR="00C21062" w:rsidRPr="00207E15">
        <w:rPr>
          <w:sz w:val="24"/>
          <w:lang w:bidi="en-US"/>
        </w:rPr>
        <w:t xml:space="preserve"> </w:t>
      </w:r>
      <w:r w:rsidRPr="00207E15">
        <w:rPr>
          <w:sz w:val="24"/>
          <w:lang w:bidi="en-US"/>
        </w:rPr>
        <w:t xml:space="preserve">previous experience on </w:t>
      </w:r>
      <w:r w:rsidR="00C21062">
        <w:rPr>
          <w:sz w:val="24"/>
          <w:lang w:bidi="en-US"/>
        </w:rPr>
        <w:t>the previous</w:t>
      </w:r>
      <w:r w:rsidR="00C21062" w:rsidRPr="00207E15">
        <w:rPr>
          <w:sz w:val="24"/>
          <w:lang w:bidi="en-US"/>
        </w:rPr>
        <w:t xml:space="preserve"> </w:t>
      </w:r>
      <w:r w:rsidRPr="00207E15">
        <w:rPr>
          <w:sz w:val="24"/>
          <w:lang w:bidi="en-US"/>
        </w:rPr>
        <w:t xml:space="preserve">CMS NHSN validation effort </w:t>
      </w:r>
      <w:r w:rsidR="00C21062">
        <w:rPr>
          <w:sz w:val="24"/>
          <w:lang w:bidi="en-US"/>
        </w:rPr>
        <w:t>has</w:t>
      </w:r>
      <w:r w:rsidR="00C21062" w:rsidRPr="00207E15">
        <w:rPr>
          <w:sz w:val="24"/>
          <w:lang w:bidi="en-US"/>
        </w:rPr>
        <w:t xml:space="preserve"> </w:t>
      </w:r>
      <w:r w:rsidRPr="00207E15">
        <w:rPr>
          <w:sz w:val="24"/>
          <w:lang w:bidi="en-US"/>
        </w:rPr>
        <w:t>shown near universal compliance by the hospitals with medical record requests. The period for data collection cycles is expected to be no more frequently than annually.</w:t>
      </w:r>
    </w:p>
    <w:p w14:paraId="1E355865" w14:textId="77777777" w:rsidR="00FE08F0" w:rsidRPr="00207E15" w:rsidRDefault="00FE08F0">
      <w:pPr>
        <w:rPr>
          <w:sz w:val="24"/>
        </w:rPr>
      </w:pPr>
    </w:p>
    <w:p w14:paraId="7F8CCFF6" w14:textId="77777777" w:rsidR="00B506FF" w:rsidRPr="00207E15" w:rsidRDefault="00B506FF" w:rsidP="00B506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b/>
          <w:sz w:val="24"/>
        </w:rPr>
        <w:t xml:space="preserve">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14:paraId="58131630" w14:textId="77777777" w:rsidR="00B506FF" w:rsidRPr="00207E15" w:rsidRDefault="00B506FF">
      <w:pPr>
        <w:rPr>
          <w:sz w:val="24"/>
        </w:rPr>
      </w:pPr>
    </w:p>
    <w:p w14:paraId="6F471929" w14:textId="1E7C92BF" w:rsidR="007D6DDB" w:rsidRPr="00207E15" w:rsidRDefault="00966107" w:rsidP="007D6DD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 Validation Contractor</w:t>
      </w:r>
      <w:r w:rsidR="00B83312">
        <w:rPr>
          <w:sz w:val="24"/>
        </w:rPr>
        <w:t xml:space="preserve"> will communicate directly with each facility using the Secure File Option within QualityNet. Request letters, including all instructions </w:t>
      </w:r>
      <w:r w:rsidR="00B83312" w:rsidRPr="00207E15">
        <w:rPr>
          <w:sz w:val="24"/>
        </w:rPr>
        <w:t xml:space="preserve">on the types of records to be submitted, methods to submit records to </w:t>
      </w:r>
      <w:r w:rsidR="00B83312">
        <w:rPr>
          <w:sz w:val="24"/>
        </w:rPr>
        <w:t>the contractor</w:t>
      </w:r>
      <w:r w:rsidR="00B83312" w:rsidRPr="00207E15">
        <w:rPr>
          <w:sz w:val="24"/>
        </w:rPr>
        <w:t>, and identified patients selected for validation</w:t>
      </w:r>
      <w:r w:rsidR="00B83312">
        <w:rPr>
          <w:sz w:val="24"/>
        </w:rPr>
        <w:t>, will be sent using this method.</w:t>
      </w:r>
      <w:r>
        <w:rPr>
          <w:sz w:val="24"/>
        </w:rPr>
        <w:t xml:space="preserve"> </w:t>
      </w:r>
      <w:r w:rsidR="00CA64EA">
        <w:rPr>
          <w:sz w:val="24"/>
        </w:rPr>
        <w:t xml:space="preserve">If necessary, follow up </w:t>
      </w:r>
      <w:r w:rsidR="00B30070">
        <w:rPr>
          <w:sz w:val="24"/>
        </w:rPr>
        <w:t xml:space="preserve">emails and </w:t>
      </w:r>
      <w:r w:rsidR="00CA64EA">
        <w:rPr>
          <w:sz w:val="24"/>
        </w:rPr>
        <w:t>phone call</w:t>
      </w:r>
      <w:r w:rsidR="005D7245">
        <w:rPr>
          <w:sz w:val="24"/>
        </w:rPr>
        <w:t>s</w:t>
      </w:r>
      <w:r w:rsidR="00CA64EA">
        <w:rPr>
          <w:sz w:val="24"/>
        </w:rPr>
        <w:t xml:space="preserve"> will be made.</w:t>
      </w:r>
    </w:p>
    <w:p w14:paraId="5C2DA0AB" w14:textId="77777777" w:rsidR="007D6DDB" w:rsidRPr="00207E15" w:rsidRDefault="007D6DDB" w:rsidP="007D6DDB">
      <w:pPr>
        <w:pStyle w:val="ASTHeading1"/>
        <w:rPr>
          <w:sz w:val="24"/>
          <w:szCs w:val="24"/>
        </w:rPr>
      </w:pPr>
      <w:r w:rsidRPr="00207E15">
        <w:rPr>
          <w:sz w:val="24"/>
          <w:szCs w:val="24"/>
        </w:rPr>
        <w:t>Data Validation</w:t>
      </w:r>
    </w:p>
    <w:p w14:paraId="5D79B84E" w14:textId="77777777" w:rsidR="0069341A" w:rsidRDefault="0069341A" w:rsidP="007D6DDB">
      <w:pPr>
        <w:rPr>
          <w:sz w:val="24"/>
        </w:rPr>
      </w:pPr>
    </w:p>
    <w:p w14:paraId="21A06FAA" w14:textId="77777777" w:rsidR="007D6DDB" w:rsidRPr="00207E15" w:rsidRDefault="007D6DDB" w:rsidP="007D6DDB">
      <w:pPr>
        <w:rPr>
          <w:sz w:val="24"/>
        </w:rPr>
      </w:pPr>
      <w:r w:rsidRPr="00207E15">
        <w:rPr>
          <w:sz w:val="24"/>
        </w:rPr>
        <w:t xml:space="preserve">The main objective of this analysis is to perform a single comparison of the NHSN system against NHSN “candidate event” data obtained from the facilities’ records, leading to an evaluation of the reliability (i.e., the data are reasonably complete and accurate) and validity (i.e., the data actually represent what is being measured) of NHSN data. Candidate events include positive blood cultures, intravenous antimicrobials, or vascular site infection (e.g. pus, redness, or increased swelling). </w:t>
      </w:r>
    </w:p>
    <w:p w14:paraId="22E892BE" w14:textId="77777777" w:rsidR="007D6DDB" w:rsidRDefault="007D6DDB" w:rsidP="007D6DDB">
      <w:pPr>
        <w:pStyle w:val="ASTHeading1"/>
        <w:spacing w:before="120"/>
        <w:rPr>
          <w:b w:val="0"/>
          <w:iCs/>
          <w:color w:val="000000"/>
          <w:sz w:val="24"/>
          <w:szCs w:val="24"/>
        </w:rPr>
      </w:pPr>
      <w:r w:rsidRPr="00207E15">
        <w:rPr>
          <w:iCs/>
          <w:color w:val="000000"/>
          <w:sz w:val="24"/>
          <w:szCs w:val="24"/>
        </w:rPr>
        <w:t xml:space="preserve">Reliability: </w:t>
      </w:r>
      <w:r w:rsidRPr="00207E15">
        <w:rPr>
          <w:b w:val="0"/>
          <w:iCs/>
          <w:color w:val="000000"/>
          <w:sz w:val="24"/>
          <w:szCs w:val="24"/>
        </w:rPr>
        <w:t>Reliability means data are reasonably complete and accurate, meet intended purposes, and are not subject to inappropriate alteration, where:</w:t>
      </w:r>
    </w:p>
    <w:p w14:paraId="4F524F86" w14:textId="77777777" w:rsidR="00C1470C" w:rsidRPr="009E5FE2" w:rsidRDefault="00C1470C" w:rsidP="009E5FE2">
      <w:pPr>
        <w:rPr>
          <w:b/>
        </w:rPr>
      </w:pPr>
    </w:p>
    <w:p w14:paraId="23C1B2FB" w14:textId="6FF2A932" w:rsidR="007D6DDB" w:rsidRPr="00207E15" w:rsidRDefault="007D6DDB" w:rsidP="007D6DDB">
      <w:pPr>
        <w:widowControl/>
        <w:numPr>
          <w:ilvl w:val="1"/>
          <w:numId w:val="1"/>
        </w:numPr>
        <w:tabs>
          <w:tab w:val="left" w:pos="720"/>
        </w:tabs>
        <w:autoSpaceDE/>
        <w:autoSpaceDN/>
        <w:adjustRightInd/>
        <w:rPr>
          <w:iCs/>
          <w:color w:val="000000"/>
          <w:sz w:val="24"/>
        </w:rPr>
      </w:pPr>
      <w:r w:rsidRPr="00207E15">
        <w:rPr>
          <w:iCs/>
          <w:color w:val="000000"/>
          <w:sz w:val="24"/>
        </w:rPr>
        <w:t>Completeness refers to the extent that relevant records are present and the fields in each record are populated appropriately</w:t>
      </w:r>
      <w:r w:rsidR="00F34DC0">
        <w:rPr>
          <w:iCs/>
          <w:color w:val="000000"/>
          <w:sz w:val="24"/>
        </w:rPr>
        <w:t>;</w:t>
      </w:r>
      <w:r w:rsidRPr="00207E15">
        <w:rPr>
          <w:iCs/>
          <w:color w:val="000000"/>
          <w:sz w:val="24"/>
        </w:rPr>
        <w:t xml:space="preserve"> and</w:t>
      </w:r>
    </w:p>
    <w:p w14:paraId="58FBFEDB" w14:textId="77777777" w:rsidR="007D6DDB" w:rsidRPr="00207E15" w:rsidRDefault="007D6DDB" w:rsidP="007D6DDB">
      <w:pPr>
        <w:widowControl/>
        <w:numPr>
          <w:ilvl w:val="1"/>
          <w:numId w:val="1"/>
        </w:numPr>
        <w:autoSpaceDE/>
        <w:autoSpaceDN/>
        <w:adjustRightInd/>
        <w:spacing w:after="120"/>
        <w:rPr>
          <w:iCs/>
          <w:color w:val="000000"/>
          <w:sz w:val="24"/>
        </w:rPr>
      </w:pPr>
      <w:r w:rsidRPr="00207E15">
        <w:rPr>
          <w:iCs/>
          <w:color w:val="000000"/>
          <w:sz w:val="24"/>
        </w:rPr>
        <w:t>Accuracy refers to the extent recorded data reflect the actual underlying information. In this instance, that the data in the NHSN system accurately reflects the data contained within the source documents, i.e. the facilities’ medical records.</w:t>
      </w:r>
    </w:p>
    <w:p w14:paraId="566CEFD3" w14:textId="77777777" w:rsidR="007D6DDB" w:rsidRPr="00207E15" w:rsidRDefault="007D6DDB" w:rsidP="007D6DDB">
      <w:pPr>
        <w:tabs>
          <w:tab w:val="left" w:pos="360"/>
        </w:tabs>
        <w:spacing w:after="120"/>
        <w:rPr>
          <w:sz w:val="24"/>
          <w:lang w:bidi="en-US"/>
        </w:rPr>
      </w:pPr>
    </w:p>
    <w:p w14:paraId="2C394A72" w14:textId="1B48100B" w:rsidR="007D6DDB" w:rsidRPr="00207E15" w:rsidRDefault="007D6DDB" w:rsidP="007D6DDB">
      <w:pPr>
        <w:tabs>
          <w:tab w:val="left" w:pos="360"/>
        </w:tabs>
        <w:spacing w:after="120"/>
        <w:rPr>
          <w:iCs/>
          <w:color w:val="000000"/>
          <w:sz w:val="24"/>
        </w:rPr>
      </w:pPr>
      <w:r w:rsidRPr="00207E15">
        <w:rPr>
          <w:b/>
          <w:iCs/>
          <w:color w:val="000000"/>
          <w:sz w:val="24"/>
        </w:rPr>
        <w:t>Validity:</w:t>
      </w:r>
      <w:r w:rsidRPr="00207E15">
        <w:rPr>
          <w:iCs/>
          <w:color w:val="000000"/>
          <w:sz w:val="24"/>
        </w:rPr>
        <w:t xml:space="preserve"> (as used here) refers to whether the data represent what one believes is being measured. </w:t>
      </w:r>
      <w:r w:rsidR="00A26876" w:rsidRPr="00207E15">
        <w:rPr>
          <w:iCs/>
          <w:color w:val="000000"/>
          <w:sz w:val="24"/>
        </w:rPr>
        <w:t>A few</w:t>
      </w:r>
      <w:r w:rsidRPr="00207E15">
        <w:rPr>
          <w:iCs/>
          <w:color w:val="000000"/>
          <w:sz w:val="24"/>
        </w:rPr>
        <w:t xml:space="preserve"> measures are commonly used to assess validity of any measure.</w:t>
      </w:r>
    </w:p>
    <w:p w14:paraId="63B69CEA" w14:textId="226F827B" w:rsidR="0069341A" w:rsidRPr="004A3CA2" w:rsidRDefault="007D6DDB" w:rsidP="00F55B7D">
      <w:pPr>
        <w:spacing w:before="120" w:after="120"/>
        <w:rPr>
          <w:sz w:val="24"/>
          <w:lang w:bidi="en-US"/>
        </w:rPr>
      </w:pPr>
      <w:r w:rsidRPr="00207E15">
        <w:rPr>
          <w:sz w:val="24"/>
          <w:lang w:bidi="en-US"/>
        </w:rPr>
        <w:t>In our interpretation of these measures, we identify the key sources of overall disagreement between the NHSN data and the patients’ medical records, which would serve as the “gold standard.” Typical sources of disagreement include missing information about events, inaccurate dates and inaccurate dialysis catheter information.</w:t>
      </w:r>
    </w:p>
    <w:p w14:paraId="7378F401"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bookmarkStart w:id="13" w:name="Table5"/>
      <w:bookmarkStart w:id="14" w:name="Table6"/>
      <w:bookmarkEnd w:id="13"/>
      <w:bookmarkEnd w:id="14"/>
      <w:r w:rsidRPr="00207E15">
        <w:rPr>
          <w:b/>
          <w:sz w:val="24"/>
        </w:rPr>
        <w:t>4.</w:t>
      </w:r>
      <w:r w:rsidRPr="00207E15">
        <w:rPr>
          <w:b/>
          <w:sz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0235CB9E" w14:textId="77777777"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4D12C9C" w14:textId="2B0104AA" w:rsidR="004B2C67" w:rsidRPr="00207E15" w:rsidRDefault="004B2C67" w:rsidP="004B2C6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07E15">
        <w:rPr>
          <w:sz w:val="24"/>
        </w:rPr>
        <w:t xml:space="preserve">As noted above, </w:t>
      </w:r>
      <w:r w:rsidRPr="00207E15">
        <w:rPr>
          <w:sz w:val="24"/>
          <w:lang w:bidi="en-US"/>
        </w:rPr>
        <w:t xml:space="preserve">the sample pool will consist of Medicare-certified dialysis facilities that are required to submit administrative and clinical data into CROWNWeb in order to meet Section 494.108(h) of the 2008 updated Conditions for Coverage for ESRD Dialysis Facilities. </w:t>
      </w:r>
      <w:r w:rsidR="00711BF1">
        <w:rPr>
          <w:sz w:val="24"/>
          <w:lang w:bidi="en-US"/>
        </w:rPr>
        <w:t>The</w:t>
      </w:r>
      <w:r w:rsidR="00711BF1" w:rsidRPr="00207E15">
        <w:rPr>
          <w:sz w:val="24"/>
          <w:lang w:bidi="en-US"/>
        </w:rPr>
        <w:t xml:space="preserve"> </w:t>
      </w:r>
      <w:r w:rsidRPr="00207E15">
        <w:rPr>
          <w:sz w:val="24"/>
          <w:lang w:bidi="en-US"/>
        </w:rPr>
        <w:t xml:space="preserve">previous experience on CMS NHSN validation efforts </w:t>
      </w:r>
      <w:r w:rsidR="004F692E">
        <w:rPr>
          <w:sz w:val="24"/>
          <w:lang w:bidi="en-US"/>
        </w:rPr>
        <w:t>has</w:t>
      </w:r>
      <w:r w:rsidR="004F692E" w:rsidRPr="00207E15">
        <w:rPr>
          <w:sz w:val="24"/>
          <w:lang w:bidi="en-US"/>
        </w:rPr>
        <w:t xml:space="preserve"> </w:t>
      </w:r>
      <w:r w:rsidRPr="00207E15">
        <w:rPr>
          <w:sz w:val="24"/>
          <w:lang w:bidi="en-US"/>
        </w:rPr>
        <w:t>shown near universal compliance with medical record requests. No additional tests of procedures or methods to be undertaken are expected.</w:t>
      </w:r>
    </w:p>
    <w:p w14:paraId="47A95010" w14:textId="77777777" w:rsidR="004B2C67" w:rsidRPr="00207E15" w:rsidRDefault="004B2C67">
      <w:pPr>
        <w:rPr>
          <w:sz w:val="24"/>
        </w:rPr>
      </w:pPr>
    </w:p>
    <w:p w14:paraId="45715C2A"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07E15">
        <w:rPr>
          <w:b/>
          <w:sz w:val="24"/>
        </w:rPr>
        <w:t>5.</w:t>
      </w:r>
      <w:r w:rsidRPr="00207E15">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14:paraId="28E995BE" w14:textId="77777777" w:rsidR="00207E15" w:rsidRPr="00207E15" w:rsidRDefault="00207E15" w:rsidP="00207E1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14:paraId="2C2F05A9" w14:textId="1C4D8E46" w:rsidR="00855BB1" w:rsidRDefault="004F692E" w:rsidP="004F69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Khalil Abdul-Rahman, RELI Group, (410) 533-2384</w:t>
      </w:r>
    </w:p>
    <w:p w14:paraId="22F8FBFD" w14:textId="53987FDF" w:rsidR="00855BB1" w:rsidRPr="00207E15" w:rsidRDefault="00855BB1" w:rsidP="004F69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Siva Bala, RELI Group, (440) 382-7415</w:t>
      </w:r>
    </w:p>
    <w:p w14:paraId="042BACB1" w14:textId="1C6E6887" w:rsidR="00207E15" w:rsidRPr="00207E15" w:rsidRDefault="003D2A95" w:rsidP="00D2483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Gladys Happi (410) 504-4394.</w:t>
      </w:r>
    </w:p>
    <w:sectPr w:rsidR="00207E15" w:rsidRPr="00207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2438B"/>
    <w:multiLevelType w:val="hybridMultilevel"/>
    <w:tmpl w:val="FE661DA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412F6A5D"/>
    <w:multiLevelType w:val="multilevel"/>
    <w:tmpl w:val="7B66913A"/>
    <w:lvl w:ilvl="0">
      <w:start w:val="1"/>
      <w:numFmt w:val="bullet"/>
      <w:lvlText w:val=""/>
      <w:lvlJc w:val="left"/>
      <w:pPr>
        <w:ind w:left="360" w:hanging="360"/>
      </w:pPr>
      <w:rPr>
        <w:rFonts w:ascii="Symbol" w:hAnsi="Symbol" w:hint="default"/>
        <w:color w:val="293E6B"/>
      </w:rPr>
    </w:lvl>
    <w:lvl w:ilvl="1">
      <w:start w:val="1"/>
      <w:numFmt w:val="bullet"/>
      <w:lvlText w:val="o"/>
      <w:lvlJc w:val="left"/>
      <w:pPr>
        <w:ind w:left="720" w:hanging="360"/>
      </w:pPr>
      <w:rPr>
        <w:rFonts w:ascii="Courier New" w:hAnsi="Courier New" w:cs="Courier New" w:hint="default"/>
        <w:color w:val="auto"/>
      </w:rPr>
    </w:lvl>
    <w:lvl w:ilvl="2">
      <w:start w:val="1"/>
      <w:numFmt w:val="bullet"/>
      <w:lvlText w:val=""/>
      <w:lvlJc w:val="left"/>
      <w:pPr>
        <w:ind w:left="1080" w:hanging="360"/>
      </w:pPr>
      <w:rPr>
        <w:rFonts w:ascii="Symbol" w:hAnsi="Symbol" w:hint="default"/>
        <w:color w:val="8CB7C7"/>
      </w:rPr>
    </w:lvl>
    <w:lvl w:ilvl="3">
      <w:start w:val="1"/>
      <w:numFmt w:val="bullet"/>
      <w:lvlText w:val=""/>
      <w:lvlJc w:val="left"/>
      <w:pPr>
        <w:ind w:left="1440" w:hanging="360"/>
      </w:pPr>
      <w:rPr>
        <w:rFonts w:ascii="Symbol" w:hAnsi="Symbol" w:hint="default"/>
        <w:color w:val="66666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4EC22776"/>
    <w:multiLevelType w:val="hybridMultilevel"/>
    <w:tmpl w:val="F8FC6832"/>
    <w:lvl w:ilvl="0" w:tplc="C0A4CCB0">
      <w:start w:val="1"/>
      <w:numFmt w:val="decimal"/>
      <w:lvlText w:val="%1."/>
      <w:lvlJc w:val="left"/>
      <w:pPr>
        <w:ind w:left="720" w:hanging="360"/>
      </w:pPr>
      <w:rPr>
        <w:rFonts w:cs="Times New Roman" w:hint="default"/>
        <w:i w:val="0"/>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96E6DA0"/>
    <w:multiLevelType w:val="hybridMultilevel"/>
    <w:tmpl w:val="1060A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337D1"/>
    <w:multiLevelType w:val="hybridMultilevel"/>
    <w:tmpl w:val="13DEA202"/>
    <w:lvl w:ilvl="0" w:tplc="A63A8D68">
      <w:start w:val="1"/>
      <w:numFmt w:val="bullet"/>
      <w:lvlText w:val=""/>
      <w:lvlJc w:val="left"/>
      <w:pPr>
        <w:ind w:left="782" w:hanging="360"/>
      </w:pPr>
      <w:rPr>
        <w:rFonts w:ascii="Symbol" w:hAnsi="Symbol" w:hint="default"/>
        <w:color w:val="auto"/>
      </w:rPr>
    </w:lvl>
    <w:lvl w:ilvl="1" w:tplc="04090003" w:tentative="1">
      <w:start w:val="1"/>
      <w:numFmt w:val="bullet"/>
      <w:lvlText w:val="o"/>
      <w:lvlJc w:val="left"/>
      <w:pPr>
        <w:ind w:left="1502" w:hanging="360"/>
      </w:pPr>
      <w:rPr>
        <w:rFonts w:ascii="Courier New" w:hAnsi="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hint="default"/>
      </w:rPr>
    </w:lvl>
    <w:lvl w:ilvl="8" w:tplc="04090005" w:tentative="1">
      <w:start w:val="1"/>
      <w:numFmt w:val="bullet"/>
      <w:lvlText w:val=""/>
      <w:lvlJc w:val="left"/>
      <w:pPr>
        <w:ind w:left="6542"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661"/>
    <w:rsid w:val="00007418"/>
    <w:rsid w:val="00017272"/>
    <w:rsid w:val="00054B36"/>
    <w:rsid w:val="000E4473"/>
    <w:rsid w:val="0013725F"/>
    <w:rsid w:val="001602CE"/>
    <w:rsid w:val="00195674"/>
    <w:rsid w:val="001E301F"/>
    <w:rsid w:val="001E3A4E"/>
    <w:rsid w:val="001E509F"/>
    <w:rsid w:val="002062F0"/>
    <w:rsid w:val="00207E15"/>
    <w:rsid w:val="00243F5F"/>
    <w:rsid w:val="002907DD"/>
    <w:rsid w:val="002A5889"/>
    <w:rsid w:val="002B6726"/>
    <w:rsid w:val="002E14F8"/>
    <w:rsid w:val="002F5964"/>
    <w:rsid w:val="003939BF"/>
    <w:rsid w:val="003A00F9"/>
    <w:rsid w:val="003B6FD9"/>
    <w:rsid w:val="003C54E7"/>
    <w:rsid w:val="003D2A95"/>
    <w:rsid w:val="0040781C"/>
    <w:rsid w:val="004B2C67"/>
    <w:rsid w:val="004F692E"/>
    <w:rsid w:val="00506944"/>
    <w:rsid w:val="0052060C"/>
    <w:rsid w:val="00530932"/>
    <w:rsid w:val="00543297"/>
    <w:rsid w:val="00562D32"/>
    <w:rsid w:val="005746B7"/>
    <w:rsid w:val="00577511"/>
    <w:rsid w:val="005D7245"/>
    <w:rsid w:val="006050CC"/>
    <w:rsid w:val="00610EC3"/>
    <w:rsid w:val="006452EB"/>
    <w:rsid w:val="00667A26"/>
    <w:rsid w:val="00681E79"/>
    <w:rsid w:val="0069341A"/>
    <w:rsid w:val="00693DF2"/>
    <w:rsid w:val="00711BF1"/>
    <w:rsid w:val="00732B9E"/>
    <w:rsid w:val="00734032"/>
    <w:rsid w:val="007644CA"/>
    <w:rsid w:val="007D6DDB"/>
    <w:rsid w:val="00801FCE"/>
    <w:rsid w:val="00822D2F"/>
    <w:rsid w:val="00855BB1"/>
    <w:rsid w:val="00875C96"/>
    <w:rsid w:val="008A5324"/>
    <w:rsid w:val="008E3C9E"/>
    <w:rsid w:val="0091799D"/>
    <w:rsid w:val="009527F5"/>
    <w:rsid w:val="00966107"/>
    <w:rsid w:val="009746D2"/>
    <w:rsid w:val="00983A76"/>
    <w:rsid w:val="009C10B8"/>
    <w:rsid w:val="009E5FE2"/>
    <w:rsid w:val="00A26876"/>
    <w:rsid w:val="00A27216"/>
    <w:rsid w:val="00A55FFE"/>
    <w:rsid w:val="00AA61BF"/>
    <w:rsid w:val="00AD58E1"/>
    <w:rsid w:val="00AE56A4"/>
    <w:rsid w:val="00AE6E17"/>
    <w:rsid w:val="00AF7661"/>
    <w:rsid w:val="00B15974"/>
    <w:rsid w:val="00B30070"/>
    <w:rsid w:val="00B3213D"/>
    <w:rsid w:val="00B506FF"/>
    <w:rsid w:val="00B53546"/>
    <w:rsid w:val="00B635E7"/>
    <w:rsid w:val="00B83312"/>
    <w:rsid w:val="00B85E4E"/>
    <w:rsid w:val="00BA2DE7"/>
    <w:rsid w:val="00BE0E6F"/>
    <w:rsid w:val="00C13AA5"/>
    <w:rsid w:val="00C1470C"/>
    <w:rsid w:val="00C21062"/>
    <w:rsid w:val="00C42429"/>
    <w:rsid w:val="00CA64EA"/>
    <w:rsid w:val="00CE22F8"/>
    <w:rsid w:val="00D24831"/>
    <w:rsid w:val="00D7604B"/>
    <w:rsid w:val="00DB009A"/>
    <w:rsid w:val="00DE2AC9"/>
    <w:rsid w:val="00DF44EC"/>
    <w:rsid w:val="00DF500B"/>
    <w:rsid w:val="00E0450F"/>
    <w:rsid w:val="00E50C42"/>
    <w:rsid w:val="00EB01CF"/>
    <w:rsid w:val="00EC1A4C"/>
    <w:rsid w:val="00EE0694"/>
    <w:rsid w:val="00F34DC0"/>
    <w:rsid w:val="00F36217"/>
    <w:rsid w:val="00F42FFD"/>
    <w:rsid w:val="00F55B7D"/>
    <w:rsid w:val="00F70D6F"/>
    <w:rsid w:val="00F87B6F"/>
    <w:rsid w:val="00F9743B"/>
    <w:rsid w:val="00FB65B5"/>
    <w:rsid w:val="00FE08F0"/>
    <w:rsid w:val="00FE221D"/>
    <w:rsid w:val="00FF7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6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B3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7D6D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E08F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ASTHeading2">
    <w:name w:val="1.1 AST Heading 2"/>
    <w:basedOn w:val="Heading2"/>
    <w:link w:val="11ASTHeading2Char"/>
    <w:qFormat/>
    <w:rsid w:val="00FE08F0"/>
    <w:pPr>
      <w:widowControl/>
      <w:autoSpaceDE/>
      <w:autoSpaceDN/>
      <w:adjustRightInd/>
      <w:spacing w:before="200"/>
    </w:pPr>
    <w:rPr>
      <w:rFonts w:ascii="Calibri Light" w:eastAsia="Times New Roman" w:hAnsi="Calibri Light" w:cs="Times New Roman"/>
      <w:b/>
      <w:bCs/>
      <w:color w:val="1F497D"/>
    </w:rPr>
  </w:style>
  <w:style w:type="character" w:customStyle="1" w:styleId="11ASTHeading2Char">
    <w:name w:val="1.1 AST Heading 2 Char"/>
    <w:link w:val="11ASTHeading2"/>
    <w:rsid w:val="00FE08F0"/>
    <w:rPr>
      <w:rFonts w:ascii="Calibri Light" w:eastAsia="Times New Roman" w:hAnsi="Calibri Light" w:cs="Times New Roman"/>
      <w:b/>
      <w:bCs/>
      <w:color w:val="1F497D"/>
      <w:sz w:val="26"/>
      <w:szCs w:val="26"/>
    </w:rPr>
  </w:style>
  <w:style w:type="character" w:customStyle="1" w:styleId="Heading2Char">
    <w:name w:val="Heading 2 Char"/>
    <w:basedOn w:val="DefaultParagraphFont"/>
    <w:link w:val="Heading2"/>
    <w:uiPriority w:val="9"/>
    <w:semiHidden/>
    <w:rsid w:val="00FE08F0"/>
    <w:rPr>
      <w:rFonts w:asciiTheme="majorHAnsi" w:eastAsiaTheme="majorEastAsia" w:hAnsiTheme="majorHAnsi" w:cstheme="majorBidi"/>
      <w:color w:val="2F5496" w:themeColor="accent1" w:themeShade="BF"/>
      <w:sz w:val="26"/>
      <w:szCs w:val="26"/>
    </w:rPr>
  </w:style>
  <w:style w:type="character" w:styleId="Hyperlink">
    <w:name w:val="Hyperlink"/>
    <w:rsid w:val="00A55FFE"/>
    <w:rPr>
      <w:color w:val="0000FF"/>
      <w:u w:val="single"/>
    </w:rPr>
  </w:style>
  <w:style w:type="character" w:styleId="CommentReference">
    <w:name w:val="annotation reference"/>
    <w:basedOn w:val="DefaultParagraphFont"/>
    <w:uiPriority w:val="99"/>
    <w:semiHidden/>
    <w:unhideWhenUsed/>
    <w:rsid w:val="00A55FFE"/>
    <w:rPr>
      <w:sz w:val="16"/>
      <w:szCs w:val="16"/>
    </w:rPr>
  </w:style>
  <w:style w:type="paragraph" w:styleId="CommentText">
    <w:name w:val="annotation text"/>
    <w:basedOn w:val="Normal"/>
    <w:link w:val="CommentTextChar"/>
    <w:uiPriority w:val="99"/>
    <w:semiHidden/>
    <w:unhideWhenUsed/>
    <w:rsid w:val="00A55FFE"/>
    <w:rPr>
      <w:szCs w:val="20"/>
    </w:rPr>
  </w:style>
  <w:style w:type="character" w:customStyle="1" w:styleId="CommentTextChar">
    <w:name w:val="Comment Text Char"/>
    <w:basedOn w:val="DefaultParagraphFont"/>
    <w:link w:val="CommentText"/>
    <w:uiPriority w:val="99"/>
    <w:semiHidden/>
    <w:rsid w:val="00A55F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5FFE"/>
    <w:rPr>
      <w:b/>
      <w:bCs/>
    </w:rPr>
  </w:style>
  <w:style w:type="character" w:customStyle="1" w:styleId="CommentSubjectChar">
    <w:name w:val="Comment Subject Char"/>
    <w:basedOn w:val="CommentTextChar"/>
    <w:link w:val="CommentSubject"/>
    <w:uiPriority w:val="99"/>
    <w:semiHidden/>
    <w:rsid w:val="00A55FF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FFE"/>
    <w:rPr>
      <w:rFonts w:ascii="Segoe UI" w:eastAsia="Times New Roman" w:hAnsi="Segoe UI" w:cs="Segoe UI"/>
      <w:sz w:val="18"/>
      <w:szCs w:val="18"/>
    </w:rPr>
  </w:style>
  <w:style w:type="paragraph" w:customStyle="1" w:styleId="ASTHeading1">
    <w:name w:val="AST Heading 1"/>
    <w:basedOn w:val="Heading1"/>
    <w:next w:val="Normal"/>
    <w:link w:val="ASTHeading1Char"/>
    <w:qFormat/>
    <w:rsid w:val="007D6DDB"/>
    <w:pPr>
      <w:widowControl/>
      <w:autoSpaceDE/>
      <w:autoSpaceDN/>
      <w:adjustRightInd/>
      <w:spacing w:before="480"/>
    </w:pPr>
    <w:rPr>
      <w:rFonts w:ascii="Times New Roman" w:eastAsia="Times New Roman" w:hAnsi="Times New Roman" w:cs="Times New Roman"/>
      <w:b/>
      <w:bCs/>
      <w:color w:val="1F497D"/>
      <w:sz w:val="28"/>
      <w:szCs w:val="28"/>
    </w:rPr>
  </w:style>
  <w:style w:type="character" w:customStyle="1" w:styleId="ASTHeading1Char">
    <w:name w:val="AST Heading 1 Char"/>
    <w:link w:val="ASTHeading1"/>
    <w:rsid w:val="007D6DDB"/>
    <w:rPr>
      <w:rFonts w:ascii="Times New Roman" w:eastAsia="Times New Roman" w:hAnsi="Times New Roman" w:cs="Times New Roman"/>
      <w:b/>
      <w:bCs/>
      <w:color w:val="1F497D"/>
      <w:sz w:val="28"/>
      <w:szCs w:val="28"/>
    </w:rPr>
  </w:style>
  <w:style w:type="character" w:customStyle="1" w:styleId="Heading1Char">
    <w:name w:val="Heading 1 Char"/>
    <w:basedOn w:val="DefaultParagraphFont"/>
    <w:link w:val="Heading1"/>
    <w:uiPriority w:val="9"/>
    <w:rsid w:val="007D6DD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1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1352</Words>
  <Characters>7709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Lallemand, Nicole</dc:creator>
  <cp:keywords/>
  <dc:description/>
  <cp:lastModifiedBy>SYSTEM</cp:lastModifiedBy>
  <cp:revision>2</cp:revision>
  <dcterms:created xsi:type="dcterms:W3CDTF">2019-08-27T17:36:00Z</dcterms:created>
  <dcterms:modified xsi:type="dcterms:W3CDTF">2019-08-27T17:36:00Z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