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32"/>
        </w:rPr>
      </w:pPr>
      <w:bookmarkStart w:name="_GoBack" w:id="0"/>
      <w:bookmarkEnd w:id="0"/>
      <w:r>
        <w:rPr>
          <w:rFonts w:ascii="Times New Roman" w:hAnsi="Times New Roman"/>
          <w:b/>
          <w:bCs/>
          <w:sz w:val="28"/>
          <w:szCs w:val="32"/>
        </w:rPr>
        <w:t>Supporting Statement A</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32"/>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32"/>
        </w:rPr>
      </w:pPr>
      <w:r>
        <w:rPr>
          <w:rFonts w:ascii="Times New Roman" w:hAnsi="Times New Roman" w:cs="Arial"/>
          <w:b/>
          <w:sz w:val="28"/>
          <w:szCs w:val="18"/>
        </w:rPr>
        <w:t>Tramroads and Logging Roads (43 CFR Part 2810)</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8"/>
          <w:szCs w:val="32"/>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8"/>
          <w:szCs w:val="32"/>
        </w:rPr>
      </w:pPr>
      <w:r>
        <w:rPr>
          <w:rFonts w:ascii="Times New Roman" w:hAnsi="Times New Roman"/>
          <w:b/>
          <w:bCs/>
          <w:sz w:val="28"/>
          <w:szCs w:val="32"/>
        </w:rPr>
        <w:t>OMB Control Number 1004-0168</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8"/>
          <w:szCs w:val="32"/>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32"/>
        </w:rPr>
      </w:pPr>
      <w:r>
        <w:rPr>
          <w:rFonts w:ascii="Times New Roman" w:hAnsi="Times New Roman"/>
          <w:b/>
          <w:szCs w:val="32"/>
        </w:rPr>
        <w:t>Terms of Clearance: None.</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32"/>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r>
        <w:rPr>
          <w:rFonts w:ascii="Times New Roman" w:hAnsi="Times New Roman"/>
          <w:b/>
          <w:bCs/>
        </w:rPr>
        <w:t>General Instructions</w:t>
      </w:r>
      <w:r>
        <w:rPr>
          <w:rFonts w:ascii="Times New Roman" w:hAnsi="Times New Roman"/>
          <w:b/>
        </w:rPr>
        <w:t xml:space="preserve"> </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r>
        <w:rPr>
          <w:rFonts w:ascii="Times New Roman" w:hAnsi="Times New Roman"/>
          <w:b/>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r>
        <w:rPr>
          <w:rFonts w:ascii="Times New Roman" w:hAnsi="Times New Roman"/>
          <w:b/>
          <w:bCs/>
        </w:rPr>
        <w:t>Specific Instructions</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Pr>
          <w:rFonts w:ascii="Times New Roman" w:hAnsi="Times New Roman"/>
          <w:b/>
          <w:bCs/>
        </w:rPr>
        <w:t>Justification</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Pr>
          <w:rFonts w:ascii="Times New Roman" w:hAnsi="Times New Roman"/>
          <w:b/>
        </w:rPr>
        <w:t>1.</w:t>
      </w:r>
      <w:r>
        <w:rPr>
          <w:rFonts w:ascii="Times New Roman" w:hAnsi="Times New Roman"/>
          <w:b/>
        </w:rPr>
        <w:tab/>
        <w:t>Explain the circumstances that make the collection of information necessary.  Identify any legal or administrative requirements that necessitate the collection.</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rPr>
          <w:rFonts w:ascii="Times New Roman" w:hAnsi="Times New Roman"/>
        </w:rPr>
      </w:pPr>
      <w:r>
        <w:rPr>
          <w:rFonts w:ascii="Times New Roman" w:hAnsi="Times New Roman"/>
          <w:szCs w:val="23"/>
        </w:rPr>
        <w:t>The Bureau of Land Management (BLM) manages approximately 14,300 miles of roads within 18 counties of western Oregon.  The BLM manages early 75 percent of these roads under reciprocal right-of-way (ROW) agreements.  The remaining roads are subject to BLM-administered ROW permits.</w:t>
      </w:r>
    </w:p>
    <w:p>
      <w:pPr>
        <w:rPr>
          <w:rFonts w:ascii="Times New Roman" w:hAnsi="Times New Roman"/>
        </w:rPr>
      </w:pPr>
    </w:p>
    <w:p>
      <w:pPr>
        <w:rPr>
          <w:rFonts w:ascii="Times New Roman" w:hAnsi="Times New Roman"/>
        </w:rPr>
      </w:pPr>
      <w:r>
        <w:rPr>
          <w:rFonts w:ascii="Times New Roman" w:hAnsi="Times New Roman"/>
        </w:rPr>
        <w:t>This collection of information pertains to rights-of-way for tramroads and logging roads over certain public lands administered by the Bureau of Land Management (BLM) in western Oregon, in accordance with the following authorities:</w:t>
      </w:r>
    </w:p>
    <w:p>
      <w:pPr>
        <w:rPr>
          <w:rFonts w:ascii="Times New Roman" w:hAnsi="Times New Roman"/>
        </w:rPr>
      </w:pPr>
    </w:p>
    <w:p>
      <w:pPr>
        <w:pStyle w:val="ListParagraph"/>
        <w:numPr>
          <w:ilvl w:val="0"/>
          <w:numId w:val="10"/>
        </w:numPr>
        <w:rPr>
          <w:rFonts w:ascii="Times New Roman" w:hAnsi="Times New Roman"/>
        </w:rPr>
      </w:pPr>
      <w:r>
        <w:rPr>
          <w:rFonts w:ascii="Times New Roman" w:hAnsi="Times New Roman"/>
        </w:rPr>
        <w:t>Oregon and California Railroad and Coos Bay Wagon Road Grant Lands Act (43 U.S.C. 1181a and 1181b);</w:t>
      </w:r>
    </w:p>
    <w:p>
      <w:pPr>
        <w:pStyle w:val="ListParagraph"/>
        <w:numPr>
          <w:ilvl w:val="0"/>
          <w:numId w:val="10"/>
        </w:numPr>
        <w:rPr>
          <w:rFonts w:ascii="Times New Roman" w:hAnsi="Times New Roman"/>
        </w:rPr>
      </w:pPr>
      <w:r>
        <w:rPr>
          <w:rFonts w:ascii="Times New Roman" w:hAnsi="Times New Roman"/>
        </w:rPr>
        <w:t>Section 502 of the Federal Land Management and Policy Act (43 U.S.C. 1762); and</w:t>
      </w:r>
    </w:p>
    <w:p>
      <w:pPr>
        <w:pStyle w:val="ListParagraph"/>
        <w:numPr>
          <w:ilvl w:val="0"/>
          <w:numId w:val="10"/>
        </w:numPr>
        <w:rPr>
          <w:rFonts w:ascii="Times New Roman" w:hAnsi="Times New Roman"/>
        </w:rPr>
      </w:pPr>
      <w:r>
        <w:rPr>
          <w:rFonts w:ascii="Times New Roman" w:hAnsi="Times New Roman"/>
        </w:rPr>
        <w:t>43 CFR 2812.5-2.</w:t>
      </w:r>
    </w:p>
    <w:p>
      <w:pPr>
        <w:rPr>
          <w:rFonts w:ascii="Times New Roman" w:hAnsi="Times New Roman"/>
        </w:rPr>
      </w:pPr>
    </w:p>
    <w:p>
      <w:pPr>
        <w:rPr>
          <w:rFonts w:ascii="Times New Roman" w:hAnsi="Times New Roman"/>
        </w:rPr>
      </w:pPr>
      <w:r>
        <w:rPr>
          <w:rFonts w:ascii="Times New Roman" w:hAnsi="Times New Roman"/>
          <w:lang w:val="en"/>
        </w:rPr>
        <w:t>As originally enacted in the 1860s, the “</w:t>
      </w:r>
      <w:r>
        <w:rPr>
          <w:rFonts w:ascii="Times New Roman" w:hAnsi="Times New Roman"/>
          <w:bCs/>
          <w:lang w:val="en"/>
        </w:rPr>
        <w:t xml:space="preserve">Oregon and California” (O&amp;C) and “Coos Bay” Acts provided for specific grants of lands in western Oregon.  In subsequent legislation that combined the original statutes, </w:t>
      </w:r>
      <w:r>
        <w:rPr>
          <w:rFonts w:ascii="Times New Roman" w:hAnsi="Times New Roman"/>
          <w:lang w:val="en"/>
        </w:rPr>
        <w:t xml:space="preserve">Congress reconveyed most of the lands to the United States government, </w:t>
      </w:r>
      <w:r>
        <w:rPr>
          <w:rFonts w:ascii="Times New Roman" w:hAnsi="Times New Roman"/>
          <w:lang w:val="en"/>
        </w:rPr>
        <w:lastRenderedPageBreak/>
        <w:t>and the Department of the Interior established timber production as the dominant use for the lands.</w:t>
      </w:r>
    </w:p>
    <w:p>
      <w:pPr>
        <w:rPr>
          <w:rFonts w:ascii="Times New Roman" w:hAnsi="Times New Roman"/>
        </w:rPr>
      </w:pPr>
    </w:p>
    <w:p>
      <w:pPr>
        <w:rPr>
          <w:rFonts w:ascii="Times New Roman" w:hAnsi="Times New Roman"/>
        </w:rPr>
      </w:pPr>
      <w:r>
        <w:rPr>
          <w:rFonts w:ascii="Times New Roman" w:hAnsi="Times New Roman"/>
        </w:rPr>
        <w:t>Section 502 of the Federal Land Policy and Management Act authorizes the Secretary of the Interior to provide for the acquisition, construction, and maintenance of roads within and near public lands to facilitate the harvest of timber from such lands.  Financing of such roads may be accomplished:</w:t>
      </w:r>
    </w:p>
    <w:p>
      <w:pPr>
        <w:rPr>
          <w:rFonts w:ascii="Times New Roman" w:hAnsi="Times New Roman"/>
        </w:rPr>
      </w:pPr>
    </w:p>
    <w:p>
      <w:pPr>
        <w:pStyle w:val="ListParagraph"/>
        <w:numPr>
          <w:ilvl w:val="0"/>
          <w:numId w:val="14"/>
        </w:numPr>
        <w:rPr>
          <w:rFonts w:ascii="Times New Roman" w:hAnsi="Times New Roman"/>
        </w:rPr>
      </w:pPr>
      <w:r>
        <w:rPr>
          <w:rFonts w:ascii="Times New Roman" w:hAnsi="Times New Roman"/>
        </w:rPr>
        <w:t>By the Secretary using appropriated funds;</w:t>
      </w:r>
    </w:p>
    <w:p>
      <w:pPr>
        <w:pStyle w:val="ListParagraph"/>
        <w:numPr>
          <w:ilvl w:val="0"/>
          <w:numId w:val="14"/>
        </w:numPr>
        <w:rPr>
          <w:rFonts w:ascii="Times New Roman" w:hAnsi="Times New Roman"/>
        </w:rPr>
      </w:pPr>
      <w:r>
        <w:rPr>
          <w:rFonts w:ascii="Times New Roman" w:hAnsi="Times New Roman"/>
        </w:rPr>
        <w:t>By requirements on purchasers of timber and other products from the public lands, including provisions for amortization of road costs in contracts;</w:t>
      </w:r>
    </w:p>
    <w:p>
      <w:pPr>
        <w:pStyle w:val="ListParagraph"/>
        <w:numPr>
          <w:ilvl w:val="0"/>
          <w:numId w:val="14"/>
        </w:numPr>
        <w:rPr>
          <w:rFonts w:ascii="Times New Roman" w:hAnsi="Times New Roman"/>
        </w:rPr>
      </w:pPr>
      <w:r>
        <w:rPr>
          <w:rFonts w:ascii="Times New Roman" w:hAnsi="Times New Roman"/>
        </w:rPr>
        <w:t>By cooperative financing with other public agencies and with private agencies or persons; or</w:t>
      </w:r>
    </w:p>
    <w:p>
      <w:pPr>
        <w:pStyle w:val="ListParagraph"/>
        <w:numPr>
          <w:ilvl w:val="0"/>
          <w:numId w:val="14"/>
        </w:numPr>
        <w:rPr>
          <w:rFonts w:ascii="Times New Roman" w:hAnsi="Times New Roman"/>
        </w:rPr>
      </w:pPr>
      <w:r>
        <w:rPr>
          <w:rFonts w:ascii="Times New Roman" w:hAnsi="Times New Roman"/>
        </w:rPr>
        <w:t>A combination of these methods.</w:t>
      </w:r>
    </w:p>
    <w:p>
      <w:pPr>
        <w:rPr>
          <w:rFonts w:ascii="Times New Roman" w:hAnsi="Times New Roman"/>
        </w:rPr>
      </w:pPr>
    </w:p>
    <w:p>
      <w:pPr>
        <w:rPr>
          <w:rFonts w:ascii="Times New Roman" w:hAnsi="Times New Roman"/>
        </w:rPr>
      </w:pPr>
      <w:r>
        <w:rPr>
          <w:rFonts w:ascii="Times New Roman" w:hAnsi="Times New Roman"/>
        </w:rPr>
        <w:t>The BLM implements these provisions of Section 502 under the regulation at 43 CFR 2812.5-2, which requires payment to the United States for the use of roads covered by that regulation:</w:t>
      </w:r>
    </w:p>
    <w:p>
      <w:pPr>
        <w:rPr>
          <w:rFonts w:ascii="Times New Roman" w:hAnsi="Times New Roman"/>
        </w:rPr>
      </w:pPr>
    </w:p>
    <w:p>
      <w:pPr>
        <w:pStyle w:val="ListParagraph"/>
        <w:numPr>
          <w:ilvl w:val="0"/>
          <w:numId w:val="12"/>
        </w:numPr>
        <w:rPr>
          <w:rFonts w:ascii="Times New Roman" w:hAnsi="Times New Roman"/>
        </w:rPr>
      </w:pPr>
      <w:r>
        <w:rPr>
          <w:rFonts w:ascii="Times New Roman" w:hAnsi="Times New Roman"/>
        </w:rPr>
        <w:t xml:space="preserve">A holder of a right-of-way must pay a basic fee of $5.00 per mile or fraction thereof for the use of any existing road or of any road construction by the permittee upon the right-of-way. </w:t>
      </w:r>
    </w:p>
    <w:p>
      <w:pPr>
        <w:pStyle w:val="ListParagraph"/>
        <w:numPr>
          <w:ilvl w:val="0"/>
          <w:numId w:val="12"/>
        </w:numPr>
        <w:rPr>
          <w:rFonts w:ascii="Times New Roman" w:hAnsi="Times New Roman"/>
        </w:rPr>
      </w:pPr>
      <w:r>
        <w:rPr>
          <w:rFonts w:ascii="Times New Roman" w:hAnsi="Times New Roman"/>
        </w:rPr>
        <w:t>Where a holder of a right-of-way receives a right to use a road constructed or acquired by the Unites States, the BLM may fix the rate of payment for the use of the road.</w:t>
      </w:r>
    </w:p>
    <w:p>
      <w:pPr>
        <w:rPr>
          <w:rFonts w:ascii="Times New Roman" w:hAnsi="Times New Roman"/>
        </w:rPr>
      </w:pPr>
    </w:p>
    <w:p>
      <w:pPr>
        <w:rPr>
          <w:rFonts w:ascii="Times New Roman" w:hAnsi="Times New Roman"/>
        </w:rPr>
      </w:pPr>
      <w:r>
        <w:rPr>
          <w:rFonts w:ascii="Times New Roman" w:hAnsi="Times New Roman"/>
        </w:rPr>
        <w:t>This collection of information enables the BLM to exercise the authorities to collect payments for the use of roads over certain public lands within western Oregon.</w:t>
      </w:r>
    </w:p>
    <w:p>
      <w:pPr>
        <w:rPr>
          <w:rFonts w:ascii="Times New Roman" w:hAnsi="Times New Roman"/>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Pr>
          <w:rFonts w:ascii="Times New Roman" w:hAnsi="Times New Roman"/>
          <w:b/>
        </w:rPr>
        <w:t>2.</w:t>
      </w:r>
      <w:r>
        <w:rPr>
          <w:rFonts w:ascii="Times New Roman" w:hAnsi="Times New Roman"/>
          <w:b/>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pPr>
        <w:rPr>
          <w:rFonts w:ascii="Times New Roman" w:hAnsi="Times New Roman"/>
        </w:rPr>
      </w:pPr>
    </w:p>
    <w:p>
      <w:pPr>
        <w:rPr>
          <w:rFonts w:ascii="Times New Roman" w:hAnsi="Times New Roman"/>
        </w:rPr>
      </w:pPr>
      <w:r>
        <w:rPr>
          <w:rFonts w:ascii="Times New Roman" w:hAnsi="Times New Roman"/>
        </w:rPr>
        <w:t xml:space="preserve">The respondent (permittee) must file with the BLM </w:t>
      </w:r>
      <w:r>
        <w:rPr>
          <w:rFonts w:ascii="Times New Roman" w:hAnsi="Times New Roman"/>
          <w:iCs/>
        </w:rPr>
        <w:t>Form OR-2812-6</w:t>
      </w:r>
      <w:r>
        <w:rPr>
          <w:rFonts w:ascii="Times New Roman" w:hAnsi="Times New Roman"/>
        </w:rPr>
        <w:t>, Report of Road Use, annually, biannually, quarterly, or monthly, depending on the terms of the relevant permit or agreement for a right-of-way over BLM lands.  Almost all permits and agreements provide for quarterly reports.</w:t>
      </w:r>
    </w:p>
    <w:p>
      <w:pPr>
        <w:rPr>
          <w:rFonts w:ascii="Times New Roman" w:hAnsi="Times New Roman"/>
        </w:rPr>
      </w:pPr>
    </w:p>
    <w:p>
      <w:pPr>
        <w:rPr>
          <w:rFonts w:ascii="Times New Roman" w:hAnsi="Times New Roman"/>
        </w:rPr>
      </w:pPr>
      <w:r>
        <w:rPr>
          <w:rFonts w:ascii="Times New Roman" w:hAnsi="Times New Roman"/>
        </w:rPr>
        <w:t xml:space="preserve">The BLM needs the required information in order to monitor right-of-way compliance and determine road use and road maintenance fees to be charged a permit holder by the United States.   </w:t>
      </w:r>
    </w:p>
    <w:p>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Specific information we request on </w:t>
      </w:r>
      <w:r>
        <w:rPr>
          <w:rFonts w:ascii="Times New Roman" w:hAnsi="Times New Roman"/>
          <w:iCs/>
        </w:rPr>
        <w:t>Form OR-2812-6</w:t>
      </w:r>
      <w:r>
        <w:rPr>
          <w:rFonts w:ascii="Times New Roman" w:hAnsi="Times New Roman"/>
        </w:rPr>
        <w:t>:</w:t>
      </w:r>
    </w:p>
    <w:p>
      <w:pPr>
        <w:rPr>
          <w:rFonts w:ascii="Times New Roman" w:hAnsi="Times New Roman"/>
        </w:rPr>
      </w:pPr>
    </w:p>
    <w:p>
      <w:pPr>
        <w:rPr>
          <w:rFonts w:ascii="Times New Roman" w:hAnsi="Times New Roman"/>
        </w:rPr>
      </w:pPr>
      <w:r>
        <w:rPr>
          <w:rFonts w:ascii="Times New Roman" w:hAnsi="Times New Roman"/>
        </w:rPr>
        <w:lastRenderedPageBreak/>
        <w:t>(A)</w:t>
      </w:r>
      <w:r>
        <w:rPr>
          <w:rFonts w:ascii="Times New Roman" w:hAnsi="Times New Roman"/>
        </w:rPr>
        <w:tab/>
      </w:r>
      <w:smartTag w:uri="urn:schemas-microsoft-com:office:smarttags" w:element="PostalCode">
        <w:smartTag w:uri="urn:schemas-microsoft-com:office:smarttags" w:element="address">
          <w:smartTag w:uri="urn:schemas-microsoft-com:office:smarttags" w:element="Street">
            <w:r>
              <w:rPr>
                <w:rFonts w:ascii="Times New Roman" w:hAnsi="Times New Roman"/>
                <w:u w:val="single"/>
              </w:rPr>
              <w:t>BLM Road</w:t>
            </w:r>
          </w:smartTag>
        </w:smartTag>
      </w:smartTag>
      <w:r>
        <w:rPr>
          <w:rFonts w:ascii="Times New Roman" w:hAnsi="Times New Roman"/>
          <w:u w:val="single"/>
        </w:rPr>
        <w:t xml:space="preserve"> and Segment Number</w:t>
      </w:r>
      <w:r>
        <w:rPr>
          <w:rFonts w:ascii="Times New Roman" w:hAnsi="Times New Roman"/>
        </w:rPr>
        <w:t>.  The BLM uses this information to monitor compliance with permits or agreements on the road(s) authorized for use.  The BLM authorizes the use of specific roads in the permit or agreement, and the use of unauthorized roads would constitute a trespass.  This information is also used to determine the road use fee when the road has been amortized through the cost-share provisions of the permit or agreement.</w:t>
      </w:r>
    </w:p>
    <w:p>
      <w:pPr>
        <w:rPr>
          <w:rFonts w:ascii="Times New Roman" w:hAnsi="Times New Roman"/>
        </w:rPr>
      </w:pPr>
    </w:p>
    <w:p>
      <w:pPr>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Length Used</w:t>
      </w:r>
      <w:r>
        <w:rPr>
          <w:rFonts w:ascii="Times New Roman" w:hAnsi="Times New Roman"/>
        </w:rPr>
        <w:t>.  The BLM uses this information to calculate the road maintenance fee charged, which is based on the volume of timber hauled over each road segment length.</w:t>
      </w:r>
    </w:p>
    <w:p>
      <w:pPr>
        <w:rPr>
          <w:rFonts w:ascii="Times New Roman" w:hAnsi="Times New Roman"/>
        </w:rPr>
      </w:pPr>
    </w:p>
    <w:p>
      <w:pPr>
        <w:rPr>
          <w:rFonts w:ascii="Times New Roman" w:hAnsi="Times New Roman"/>
        </w:rPr>
      </w:pPr>
      <w:r>
        <w:rPr>
          <w:rFonts w:ascii="Times New Roman" w:hAnsi="Times New Roman"/>
        </w:rPr>
        <w:t xml:space="preserve">(C)  </w:t>
      </w:r>
      <w:r>
        <w:rPr>
          <w:rFonts w:ascii="Times New Roman" w:hAnsi="Times New Roman"/>
        </w:rPr>
        <w:tab/>
      </w:r>
      <w:r>
        <w:rPr>
          <w:rFonts w:ascii="Times New Roman" w:hAnsi="Times New Roman"/>
          <w:u w:val="single"/>
        </w:rPr>
        <w:t>Material hauled from: Township (T.), Range (R.), and Section (Sec.)</w:t>
      </w:r>
      <w:r>
        <w:rPr>
          <w:rFonts w:ascii="Times New Roman" w:hAnsi="Times New Roman"/>
        </w:rPr>
        <w:t>.  The BLM authorizes the hauling of timber or mineral materials from lands the permit holder owns or controls.  If the respondent removes timber or other forest products from other lands, it is considered a trespass.  The BLM uses this information to make sure that the road use permit holder complies with the terms and conditions of the permit.</w:t>
      </w:r>
    </w:p>
    <w:p>
      <w:pPr>
        <w:rPr>
          <w:rFonts w:ascii="Times New Roman" w:hAnsi="Times New Roman"/>
        </w:rPr>
      </w:pPr>
    </w:p>
    <w:p>
      <w:pPr>
        <w:rPr>
          <w:rFonts w:ascii="Times New Roman" w:hAnsi="Times New Roman"/>
        </w:rPr>
      </w:pPr>
      <w:r>
        <w:rPr>
          <w:rFonts w:ascii="Times New Roman" w:hAnsi="Times New Roman"/>
        </w:rPr>
        <w:t xml:space="preserve">(D) </w:t>
      </w:r>
      <w:r>
        <w:rPr>
          <w:rFonts w:ascii="Times New Roman" w:hAnsi="Times New Roman"/>
        </w:rPr>
        <w:tab/>
      </w:r>
      <w:r>
        <w:rPr>
          <w:rFonts w:ascii="Times New Roman" w:hAnsi="Times New Roman"/>
          <w:u w:val="single"/>
        </w:rPr>
        <w:t>Quantity Hauled</w:t>
      </w:r>
      <w:r>
        <w:rPr>
          <w:rFonts w:ascii="Times New Roman" w:hAnsi="Times New Roman"/>
        </w:rPr>
        <w:t>.  The BLM uses this information to calculate the road maintenance fee charged, which is based on the volume of timber hauled over each road segment length.</w:t>
      </w:r>
    </w:p>
    <w:p>
      <w:pPr>
        <w:rPr>
          <w:rFonts w:ascii="Times New Roman" w:hAnsi="Times New Roman"/>
        </w:rPr>
      </w:pPr>
    </w:p>
    <w:p>
      <w:pPr>
        <w:rPr>
          <w:rFonts w:ascii="Times New Roman" w:hAnsi="Times New Roman"/>
        </w:rPr>
      </w:pPr>
      <w:r>
        <w:rPr>
          <w:rFonts w:ascii="Times New Roman" w:hAnsi="Times New Roman"/>
        </w:rPr>
        <w:t>The BLM will insert the other information on the report, such as the amount of road use fee; amount of the maintenance fee; amount of the surface replacement fee; and the total fee due.</w:t>
      </w:r>
    </w:p>
    <w:p>
      <w:pPr>
        <w:rPr>
          <w:rFonts w:ascii="Times New Roman" w:hAnsi="Times New Roman"/>
        </w:rPr>
      </w:pPr>
    </w:p>
    <w:p>
      <w:pPr>
        <w:rPr>
          <w:rFonts w:ascii="Times New Roman" w:hAnsi="Times New Roman"/>
          <w:iCs/>
        </w:rPr>
      </w:pPr>
      <w:r>
        <w:rPr>
          <w:rFonts w:ascii="Times New Roman" w:hAnsi="Times New Roman"/>
          <w:color w:val="222222"/>
          <w:shd w:val="clear" w:color="auto" w:fill="FFFFFF"/>
        </w:rPr>
        <w:t>In response to respondents’ suggestions submitted before the initiation of this renewal request, the BLM is adding a comment section on a separate page and is adding a column for “operator maintenance” per the request of the “Permittees”.  BLM is requesting authorization to revise Form OR-</w:t>
      </w:r>
      <w:r>
        <w:rPr>
          <w:rFonts w:ascii="Times New Roman" w:hAnsi="Times New Roman"/>
          <w:iCs/>
        </w:rPr>
        <w:t>2812-6 as follows in order to improve the form’s clarity:</w:t>
      </w:r>
    </w:p>
    <w:p>
      <w:pPr>
        <w:rPr>
          <w:rFonts w:ascii="Times New Roman" w:hAnsi="Times New Roman"/>
          <w:iCs/>
        </w:rPr>
      </w:pPr>
    </w:p>
    <w:p>
      <w:pPr>
        <w:pStyle w:val="ListParagraph"/>
        <w:numPr>
          <w:ilvl w:val="0"/>
          <w:numId w:val="9"/>
        </w:numPr>
        <w:rPr>
          <w:rFonts w:ascii="Times New Roman" w:hAnsi="Times New Roman"/>
        </w:rPr>
      </w:pPr>
      <w:r>
        <w:rPr>
          <w:rFonts w:ascii="Times New Roman" w:hAnsi="Times New Roman"/>
          <w:color w:val="222222"/>
          <w:shd w:val="clear" w:color="auto" w:fill="FFFFFF"/>
        </w:rPr>
        <w:t>The BLM proposes to add a comment section so that respondents would not have to put comments on a separate page.</w:t>
      </w:r>
    </w:p>
    <w:p>
      <w:pPr>
        <w:pStyle w:val="ListParagraph"/>
        <w:numPr>
          <w:ilvl w:val="0"/>
          <w:numId w:val="9"/>
        </w:numPr>
        <w:rPr>
          <w:rFonts w:ascii="Times New Roman" w:hAnsi="Times New Roman"/>
        </w:rPr>
      </w:pPr>
      <w:r>
        <w:rPr>
          <w:rFonts w:ascii="Times New Roman" w:hAnsi="Times New Roman"/>
          <w:color w:val="222222"/>
          <w:shd w:val="clear" w:color="auto" w:fill="FFFFFF"/>
        </w:rPr>
        <w:t>The BLM also proposes to add a column for “operator” maintenance, so that respondents would not have to include this information on a separate page.</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Pr>
          <w:rFonts w:ascii="Times New Roman" w:hAnsi="Times New Roman"/>
          <w:b/>
        </w:rPr>
        <w:t>3.</w:t>
      </w:r>
      <w:r>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p>
    <w:p>
      <w:pPr>
        <w:shd w:val="clear" w:color="auto" w:fill="FFFFFF"/>
        <w:rPr>
          <w:rFonts w:ascii="Times New Roman" w:hAnsi="Times New Roman"/>
        </w:rPr>
      </w:pPr>
      <w:r>
        <w:rPr>
          <w:rFonts w:ascii="Times New Roman" w:hAnsi="Times New Roman" w:cs="Times"/>
        </w:rPr>
        <w:t xml:space="preserve">The form in this collection is not available on a Web site.  </w:t>
      </w:r>
      <w:r>
        <w:rPr>
          <w:rFonts w:ascii="Times New Roman" w:hAnsi="Times New Roman"/>
        </w:rPr>
        <w:t xml:space="preserve">The only members of the public that use the form are </w:t>
      </w:r>
      <w:r>
        <w:rPr>
          <w:rFonts w:ascii="Times New Roman" w:hAnsi="Times New Roman" w:cs="Arial"/>
          <w:color w:val="222222"/>
          <w:szCs w:val="19"/>
          <w:shd w:val="clear" w:color="auto" w:fill="FFFFFF"/>
        </w:rPr>
        <w:t xml:space="preserve">those that have entered into reciprocal </w:t>
      </w:r>
      <w:r>
        <w:rPr>
          <w:rFonts w:ascii="Times New Roman" w:hAnsi="Times New Roman"/>
        </w:rPr>
        <w:t xml:space="preserve">right-of-way agreements with the BLM for the construction, use, and maintenance of tramroads and logging roads on public lands in western Oregon.  The form </w:t>
      </w:r>
      <w:r>
        <w:rPr>
          <w:rFonts w:ascii="Times New Roman" w:hAnsi="Times New Roman" w:cs="Times"/>
        </w:rPr>
        <w:t xml:space="preserve">is readily </w:t>
      </w:r>
      <w:r>
        <w:rPr>
          <w:rFonts w:ascii="Times New Roman" w:hAnsi="Times New Roman"/>
        </w:rPr>
        <w:t>available to the permittees at each of the following BLM District Offices:</w:t>
      </w:r>
    </w:p>
    <w:p>
      <w:pPr>
        <w:shd w:val="clear" w:color="auto" w:fill="FFFFFF"/>
        <w:rPr>
          <w:rFonts w:ascii="Times New Roman" w:hAnsi="Times New Roman"/>
        </w:rPr>
      </w:pPr>
    </w:p>
    <w:p>
      <w:pPr>
        <w:pStyle w:val="ListParagraph"/>
        <w:numPr>
          <w:ilvl w:val="0"/>
          <w:numId w:val="8"/>
        </w:numPr>
        <w:shd w:val="clear" w:color="auto" w:fill="FFFFFF"/>
        <w:rPr>
          <w:rFonts w:ascii="Times New Roman" w:hAnsi="Times New Roman"/>
          <w:color w:val="222222"/>
          <w:szCs w:val="19"/>
        </w:rPr>
      </w:pPr>
      <w:r>
        <w:rPr>
          <w:rFonts w:ascii="Times New Roman" w:hAnsi="Times New Roman"/>
          <w:color w:val="222222"/>
          <w:szCs w:val="19"/>
        </w:rPr>
        <w:lastRenderedPageBreak/>
        <w:t>Northwest Oregon District;</w:t>
      </w:r>
    </w:p>
    <w:p>
      <w:pPr>
        <w:pStyle w:val="ListParagraph"/>
        <w:widowControl/>
        <w:numPr>
          <w:ilvl w:val="0"/>
          <w:numId w:val="8"/>
        </w:numPr>
        <w:shd w:val="clear" w:color="auto" w:fill="FFFFFF"/>
        <w:autoSpaceDE/>
        <w:autoSpaceDN/>
        <w:adjustRightInd/>
        <w:rPr>
          <w:rFonts w:ascii="Times New Roman" w:hAnsi="Times New Roman"/>
          <w:color w:val="222222"/>
          <w:szCs w:val="19"/>
        </w:rPr>
      </w:pPr>
      <w:r>
        <w:rPr>
          <w:rFonts w:ascii="Times New Roman" w:hAnsi="Times New Roman"/>
          <w:color w:val="222222"/>
          <w:szCs w:val="19"/>
        </w:rPr>
        <w:t>Lakeview District;</w:t>
      </w:r>
    </w:p>
    <w:p>
      <w:pPr>
        <w:pStyle w:val="ListParagraph"/>
        <w:widowControl/>
        <w:numPr>
          <w:ilvl w:val="0"/>
          <w:numId w:val="8"/>
        </w:numPr>
        <w:shd w:val="clear" w:color="auto" w:fill="FFFFFF"/>
        <w:autoSpaceDE/>
        <w:autoSpaceDN/>
        <w:adjustRightInd/>
        <w:rPr>
          <w:rFonts w:ascii="Times New Roman" w:hAnsi="Times New Roman"/>
          <w:color w:val="222222"/>
          <w:szCs w:val="19"/>
        </w:rPr>
      </w:pPr>
      <w:r>
        <w:rPr>
          <w:rFonts w:ascii="Times New Roman" w:hAnsi="Times New Roman"/>
          <w:color w:val="222222"/>
          <w:szCs w:val="19"/>
        </w:rPr>
        <w:t>Coos Bay District;</w:t>
      </w:r>
    </w:p>
    <w:p>
      <w:pPr>
        <w:pStyle w:val="ListParagraph"/>
        <w:widowControl/>
        <w:numPr>
          <w:ilvl w:val="0"/>
          <w:numId w:val="8"/>
        </w:numPr>
        <w:shd w:val="clear" w:color="auto" w:fill="FFFFFF"/>
        <w:autoSpaceDE/>
        <w:autoSpaceDN/>
        <w:adjustRightInd/>
        <w:rPr>
          <w:rFonts w:ascii="Times New Roman" w:hAnsi="Times New Roman"/>
          <w:color w:val="222222"/>
          <w:szCs w:val="19"/>
        </w:rPr>
      </w:pPr>
      <w:r>
        <w:rPr>
          <w:rFonts w:ascii="Times New Roman" w:hAnsi="Times New Roman"/>
          <w:color w:val="222222"/>
          <w:szCs w:val="19"/>
        </w:rPr>
        <w:t>Roseburg District; and</w:t>
      </w:r>
    </w:p>
    <w:p>
      <w:pPr>
        <w:pStyle w:val="ListParagraph"/>
        <w:widowControl/>
        <w:numPr>
          <w:ilvl w:val="0"/>
          <w:numId w:val="8"/>
        </w:numPr>
        <w:shd w:val="clear" w:color="auto" w:fill="FFFFFF"/>
        <w:autoSpaceDE/>
        <w:autoSpaceDN/>
        <w:adjustRightInd/>
        <w:rPr>
          <w:rFonts w:ascii="Times New Roman" w:hAnsi="Times New Roman"/>
          <w:color w:val="222222"/>
          <w:szCs w:val="19"/>
        </w:rPr>
      </w:pPr>
      <w:r>
        <w:rPr>
          <w:rFonts w:ascii="Times New Roman" w:hAnsi="Times New Roman"/>
          <w:color w:val="222222"/>
          <w:szCs w:val="19"/>
        </w:rPr>
        <w:t>Medford District.</w:t>
      </w:r>
    </w:p>
    <w:p>
      <w:pPr>
        <w:widowControl/>
        <w:shd w:val="clear" w:color="auto" w:fill="FFFFFF"/>
        <w:autoSpaceDE/>
        <w:autoSpaceDN/>
        <w:adjustRightInd/>
        <w:rPr>
          <w:rFonts w:ascii="Comic Sans MS" w:hAnsi="Comic Sans MS"/>
          <w:color w:val="222222"/>
          <w:sz w:val="19"/>
          <w:szCs w:val="19"/>
        </w:rPr>
      </w:pPr>
    </w:p>
    <w:p>
      <w:pPr>
        <w:rPr>
          <w:rFonts w:ascii="Times New Roman" w:hAnsi="Times New Roman"/>
          <w:b/>
        </w:rPr>
      </w:pPr>
      <w:r>
        <w:rPr>
          <w:rFonts w:ascii="Times New Roman" w:hAnsi="Times New Roman"/>
        </w:rPr>
        <w:t>All of these offices are in western Oregon.  In these circumstances, it seems unnecessary to make the form available on a Web site.</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Pr>
          <w:rFonts w:ascii="Times New Roman" w:hAnsi="Times New Roman"/>
          <w:b/>
        </w:rPr>
        <w:t>4.</w:t>
      </w:r>
      <w:r>
        <w:rPr>
          <w:rFonts w:ascii="Times New Roman" w:hAnsi="Times New Roman"/>
          <w:b/>
        </w:rPr>
        <w:tab/>
        <w:t>Describe efforts to identify duplication.  Show specifically why any similar information already available cannot be used or modified for use for the purposes described in Item 2 above.</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rPr>
      </w:pPr>
    </w:p>
    <w:p>
      <w:pPr>
        <w:rPr>
          <w:rFonts w:ascii="Times New Roman" w:hAnsi="Times New Roman"/>
        </w:rPr>
      </w:pPr>
      <w:r>
        <w:rPr>
          <w:rFonts w:ascii="Times New Roman" w:hAnsi="Times New Roman"/>
        </w:rPr>
        <w:t xml:space="preserve">No duplication of information occurs in the information we collect.  The requested information is unique and is not available from any other data source.  No similar information is available or able to be modified.  The information is required to receive a benefit.    </w:t>
      </w:r>
    </w:p>
    <w:p>
      <w:pPr>
        <w:rPr>
          <w:rFonts w:ascii="Times New Roman" w:hAnsi="Times New Roman"/>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Pr>
          <w:rFonts w:ascii="Times New Roman" w:hAnsi="Times New Roman"/>
          <w:b/>
        </w:rPr>
        <w:t>5.</w:t>
      </w:r>
      <w:r>
        <w:rPr>
          <w:rFonts w:ascii="Times New Roman" w:hAnsi="Times New Roman"/>
          <w:b/>
        </w:rPr>
        <w:tab/>
        <w:t>If the collection of information impacts small businesses or other small entities, describe any methods used to minimize burden.</w:t>
      </w:r>
    </w:p>
    <w:p>
      <w:pPr>
        <w:rPr>
          <w:rFonts w:ascii="Times New Roman" w:hAnsi="Times New Roman"/>
        </w:rPr>
      </w:pPr>
    </w:p>
    <w:p>
      <w:pPr>
        <w:rPr>
          <w:rFonts w:ascii="Times New Roman" w:hAnsi="Times New Roman"/>
        </w:rPr>
      </w:pPr>
      <w:r>
        <w:rPr>
          <w:rFonts w:ascii="Times New Roman" w:hAnsi="Times New Roman"/>
        </w:rPr>
        <w:t>We do not collect information on whether the respondents are small businesses or small entities.  We estimate that all 68 respondents are small businesses or small entities.  The information we require from all respondents is limited to the minimum necessary to authorize and manage road uses on public lands for which the BLM is responsible.</w:t>
      </w:r>
    </w:p>
    <w:p>
      <w:pPr>
        <w:rPr>
          <w:rFonts w:ascii="Times New Roman" w:hAnsi="Times New Roman"/>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Pr>
          <w:rFonts w:ascii="Times New Roman" w:hAnsi="Times New Roman"/>
          <w:b/>
        </w:rPr>
        <w:t>6.</w:t>
      </w:r>
      <w:r>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pPr>
        <w:rPr>
          <w:rFonts w:ascii="Times New Roman" w:hAnsi="Times New Roman"/>
        </w:rPr>
      </w:pPr>
    </w:p>
    <w:p>
      <w:pPr>
        <w:rPr>
          <w:rFonts w:ascii="Times New Roman" w:hAnsi="Times New Roman"/>
        </w:rPr>
        <w:sectPr>
          <w:headerReference w:type="default" r:id="rId7"/>
          <w:type w:val="continuous"/>
          <w:pgSz w:w="12240" w:h="15840"/>
          <w:pgMar w:top="1440" w:right="1440" w:bottom="1440" w:left="1440" w:header="1440" w:footer="1440" w:gutter="0"/>
          <w:cols w:space="720"/>
          <w:noEndnote/>
        </w:sectPr>
      </w:pPr>
    </w:p>
    <w:p>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If we did not collect the information, it would not be possible to determine payment amounts, ledger account status, or the respondents’ compliance with the terms and conditions of the road use permit.  The cost for road maintenance services provided by the BLM would not be recovered in a timely manner if we did not collect this information.  The BLM would not be able to collect road use fees for the amortization of expenses incurred in the construction or improvement of roads by the </w:t>
      </w:r>
      <w:smartTag w:uri="urn:schemas-microsoft-com:office:smarttags" w:element="PostalCode">
        <w:smartTag w:uri="urn:schemas-microsoft-com:office:smarttags" w:element="place">
          <w:smartTag w:uri="urn:schemas-microsoft-com:office:smarttags" w:element="country-region">
            <w:r>
              <w:rPr>
                <w:rFonts w:ascii="Times New Roman" w:hAnsi="Times New Roman"/>
              </w:rPr>
              <w:t>United States</w:t>
            </w:r>
          </w:smartTag>
        </w:smartTag>
      </w:smartTag>
      <w:r>
        <w:rPr>
          <w:rFonts w:ascii="Times New Roman" w:hAnsi="Times New Roman"/>
        </w:rPr>
        <w:t xml:space="preserve">.  It would also have a direct effect on the ability of the BLM to maintain its road system properly and protect the road investment.  </w:t>
      </w:r>
    </w:p>
    <w:p>
      <w:pPr>
        <w:rPr>
          <w:rFonts w:ascii="Times New Roman" w:hAnsi="Times New Roman"/>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Pr>
          <w:rFonts w:ascii="Times New Roman" w:hAnsi="Times New Roman"/>
          <w:b/>
        </w:rPr>
        <w:t>7.</w:t>
      </w:r>
      <w:r>
        <w:rPr>
          <w:rFonts w:ascii="Times New Roman" w:hAnsi="Times New Roman"/>
          <w:b/>
        </w:rPr>
        <w:tab/>
        <w:t>Explain any special circumstances that would cause an information collection to be conducted in a manner:</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Pr>
          <w:rFonts w:ascii="Times New Roman" w:hAnsi="Times New Roman"/>
          <w:b/>
        </w:rPr>
        <w:tab/>
        <w:t>*</w:t>
      </w:r>
      <w:r>
        <w:rPr>
          <w:rFonts w:ascii="Times New Roman" w:hAnsi="Times New Roman"/>
          <w:b/>
        </w:rPr>
        <w:tab/>
        <w:t>requiring respondents to report information to the agency more often than quarterly;</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Pr>
          <w:rFonts w:ascii="Times New Roman" w:hAnsi="Times New Roman"/>
          <w:b/>
        </w:rPr>
        <w:tab/>
        <w:t>*</w:t>
      </w:r>
      <w:r>
        <w:rPr>
          <w:rFonts w:ascii="Times New Roman" w:hAnsi="Times New Roman"/>
          <w:b/>
        </w:rPr>
        <w:tab/>
        <w:t>requiring respondents to prepare a written response to a collection of information in fewer than 30 days after receipt of it;</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Pr>
          <w:rFonts w:ascii="Times New Roman" w:hAnsi="Times New Roman"/>
          <w:b/>
        </w:rPr>
        <w:lastRenderedPageBreak/>
        <w:tab/>
        <w:t>*</w:t>
      </w:r>
      <w:r>
        <w:rPr>
          <w:rFonts w:ascii="Times New Roman" w:hAnsi="Times New Roman"/>
          <w:b/>
        </w:rPr>
        <w:tab/>
        <w:t>requiring respondents to submit more than an original and two copies of any document;</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Pr>
          <w:rFonts w:ascii="Times New Roman" w:hAnsi="Times New Roman"/>
          <w:b/>
        </w:rPr>
        <w:tab/>
        <w:t>*</w:t>
      </w:r>
      <w:r>
        <w:rPr>
          <w:rFonts w:ascii="Times New Roman" w:hAnsi="Times New Roman"/>
          <w:b/>
        </w:rPr>
        <w:tab/>
        <w:t>requiring respondents to retain records, other than health, medical, government contract, grant-in-aid, or tax records, for more than three years;</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Pr>
          <w:rFonts w:ascii="Times New Roman" w:hAnsi="Times New Roman"/>
          <w:b/>
        </w:rPr>
        <w:tab/>
        <w:t>*</w:t>
      </w:r>
      <w:r>
        <w:rPr>
          <w:rFonts w:ascii="Times New Roman" w:hAnsi="Times New Roman"/>
          <w:b/>
        </w:rPr>
        <w:tab/>
        <w:t>in connection with a statistical survey that is not designed to produce valid and reliable results that can be generalized to the universe of study;</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Pr>
          <w:rFonts w:ascii="Times New Roman" w:hAnsi="Times New Roman"/>
          <w:b/>
        </w:rPr>
        <w:tab/>
        <w:t>*</w:t>
      </w:r>
      <w:r>
        <w:rPr>
          <w:rFonts w:ascii="Times New Roman" w:hAnsi="Times New Roman"/>
          <w:b/>
        </w:rPr>
        <w:tab/>
        <w:t>requiring the use of a statistical data classification that has not been reviewed and approved by OMB;</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Pr>
          <w:rFonts w:ascii="Times New Roman" w:hAnsi="Times New Roman"/>
          <w:b/>
        </w:rPr>
        <w:tab/>
        <w:t>*</w:t>
      </w:r>
      <w:r>
        <w:rPr>
          <w:rFonts w:ascii="Times New Roman" w:hAnsi="Times New Roman"/>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Pr>
          <w:rFonts w:ascii="Times New Roman" w:hAnsi="Times New Roman"/>
          <w:b/>
        </w:rPr>
        <w:tab/>
        <w:t>*</w:t>
      </w:r>
      <w:r>
        <w:rPr>
          <w:rFonts w:ascii="Times New Roman" w:hAnsi="Times New Roman"/>
          <w:b/>
        </w:rPr>
        <w:tab/>
        <w:t>requiring respondents to submit proprietary trade secrets, or other confidential information, unless the agency can demonstrate that it has instituted procedures to protect the information's confidentiality to the extent permitted by law.</w:t>
      </w:r>
    </w:p>
    <w:p>
      <w:pPr>
        <w:rPr>
          <w:rFonts w:ascii="Times New Roman" w:hAnsi="Times New Roman"/>
        </w:rPr>
      </w:pPr>
    </w:p>
    <w:p>
      <w:pPr>
        <w:rPr>
          <w:rFonts w:ascii="Times New Roman" w:hAnsi="Times New Roman"/>
        </w:rPr>
      </w:pPr>
      <w:r>
        <w:rPr>
          <w:rFonts w:ascii="Times New Roman" w:hAnsi="Times New Roman"/>
        </w:rPr>
        <w:t xml:space="preserve">The respondent (permittee) must file with the BLM </w:t>
      </w:r>
      <w:r>
        <w:rPr>
          <w:rFonts w:ascii="Times New Roman" w:hAnsi="Times New Roman"/>
          <w:iCs/>
        </w:rPr>
        <w:t>Form OR-2812-6</w:t>
      </w:r>
      <w:r>
        <w:rPr>
          <w:rFonts w:ascii="Times New Roman" w:hAnsi="Times New Roman"/>
        </w:rPr>
        <w:t>, Report of Road Use, annually, biannually, quarterly, or monthly, depending on the terms of the relevant permit or agreement for a right-of-way over BLM lands.  Almost all permits and agreements provide for quarterly reports.</w:t>
      </w:r>
    </w:p>
    <w:p>
      <w:pPr>
        <w:rPr>
          <w:rFonts w:ascii="Times New Roman" w:hAnsi="Times New Roman"/>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Pr>
          <w:rFonts w:ascii="Times New Roman" w:hAnsi="Times New Roman"/>
          <w:b/>
        </w:rPr>
        <w:t>8.</w:t>
      </w:r>
      <w:r>
        <w:rPr>
          <w:rFonts w:ascii="Times New Roman" w:hAnsi="Times New Roman"/>
          <w:b/>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rPr>
      </w:pPr>
      <w:r>
        <w:rPr>
          <w:rFonts w:ascii="Times New Roman"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rPr>
      </w:pPr>
      <w:r>
        <w:rPr>
          <w:rFonts w:ascii="Times New Roman" w:hAnsi="Times New Roman"/>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u w:val="single"/>
        </w:rPr>
      </w:pPr>
    </w:p>
    <w:p>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On September 16, 2019, the BLM published the required 60-day notice in the </w:t>
      </w:r>
      <w:r>
        <w:rPr>
          <w:rFonts w:ascii="Times New Roman" w:hAnsi="Times New Roman"/>
          <w:bCs/>
        </w:rPr>
        <w:t xml:space="preserve">Federal Register </w:t>
      </w:r>
      <w:r>
        <w:rPr>
          <w:rFonts w:ascii="Times New Roman" w:hAnsi="Times New Roman"/>
        </w:rPr>
        <w:t xml:space="preserve">(84 FR 48638), and the comment period ended </w:t>
      </w:r>
      <w:bookmarkStart w:name="QuickMark" w:id="1"/>
      <w:bookmarkEnd w:id="1"/>
      <w:r>
        <w:rPr>
          <w:rFonts w:ascii="Times New Roman" w:hAnsi="Times New Roman"/>
        </w:rPr>
        <w:t>November 15, 2019.  The BLM received no public comments in response to this notice, and accordingly the BLM did not revise this collection of information as a result of the solicitation of public comments in the 60-day notice.</w:t>
      </w:r>
    </w:p>
    <w:p>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In addition to the Federal Register Notice, we consulted with the three (3) individuals identified below who are familiar with this collection of information in order to validate our time burden estimate and asked for comments on the questions below:  </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The BLM consulted with the following respondents to obtain their views on the availability of data; frequency of collection; the clarity of instructions; the recordkeeping, disclosure, and reporting formats; and on the data elements to be recorded, disclosed, or reported.  </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pPr>
        <w:pStyle w:val="ListParagraph"/>
        <w:widowControl/>
        <w:numPr>
          <w:ilvl w:val="0"/>
          <w:numId w:val="8"/>
        </w:numPr>
        <w:shd w:val="clear" w:color="auto" w:fill="FFFFFF"/>
        <w:autoSpaceDE/>
        <w:autoSpaceDN/>
        <w:adjustRightInd/>
        <w:ind w:left="0" w:firstLine="0"/>
        <w:rPr>
          <w:rFonts w:ascii="Times New Roman" w:hAnsi="Times New Roman"/>
          <w:color w:val="222222"/>
          <w:szCs w:val="19"/>
        </w:rPr>
      </w:pPr>
      <w:r>
        <w:rPr>
          <w:rFonts w:ascii="Times New Roman" w:hAnsi="Times New Roman" w:cs="Arial"/>
          <w:color w:val="222222"/>
          <w:szCs w:val="19"/>
        </w:rPr>
        <w:t>Forester, Lone Rock Timber; Roseburg, Oregon</w:t>
      </w:r>
    </w:p>
    <w:p>
      <w:pPr>
        <w:widowControl/>
        <w:shd w:val="clear" w:color="auto" w:fill="FFFFFF"/>
        <w:autoSpaceDE/>
        <w:autoSpaceDN/>
        <w:adjustRightInd/>
        <w:rPr>
          <w:rFonts w:ascii="Times New Roman" w:hAnsi="Times New Roman" w:cs="Arial"/>
          <w:color w:val="222222"/>
          <w:szCs w:val="19"/>
        </w:rPr>
      </w:pPr>
    </w:p>
    <w:p>
      <w:pPr>
        <w:rPr>
          <w:rFonts w:ascii="Times New Roman" w:hAnsi="Times New Roman"/>
        </w:rPr>
      </w:pPr>
      <w:r>
        <w:rPr>
          <w:rFonts w:ascii="Times New Roman" w:hAnsi="Times New Roman"/>
        </w:rPr>
        <w:t>This respondent indicated that the form works well and that they did not see any reason to change the form from its current format.</w:t>
      </w:r>
    </w:p>
    <w:p>
      <w:pPr>
        <w:rPr>
          <w:rFonts w:ascii="Times New Roman" w:hAnsi="Times New Roman"/>
        </w:rPr>
      </w:pPr>
    </w:p>
    <w:p>
      <w:pPr>
        <w:pStyle w:val="ListParagraph"/>
        <w:widowControl/>
        <w:numPr>
          <w:ilvl w:val="0"/>
          <w:numId w:val="8"/>
        </w:numPr>
        <w:shd w:val="clear" w:color="auto" w:fill="FFFFFF"/>
        <w:autoSpaceDE/>
        <w:autoSpaceDN/>
        <w:adjustRightInd/>
        <w:ind w:left="0" w:firstLine="0"/>
        <w:rPr>
          <w:rFonts w:ascii="Times New Roman" w:hAnsi="Times New Roman" w:cs="Arial"/>
          <w:color w:val="222222"/>
          <w:szCs w:val="19"/>
        </w:rPr>
      </w:pPr>
      <w:r>
        <w:rPr>
          <w:rFonts w:ascii="Times New Roman" w:hAnsi="Times New Roman" w:cs="Arial"/>
          <w:color w:val="222222"/>
          <w:szCs w:val="19"/>
        </w:rPr>
        <w:t>Resource Land Use Specialist, Seneca Jones Timber LLC; Eugene, Oregon</w:t>
      </w:r>
    </w:p>
    <w:p>
      <w:pPr>
        <w:widowControl/>
        <w:shd w:val="clear" w:color="auto" w:fill="FFFFFF"/>
        <w:autoSpaceDE/>
        <w:autoSpaceDN/>
        <w:adjustRightInd/>
        <w:rPr>
          <w:rFonts w:ascii="Times New Roman" w:hAnsi="Times New Roman" w:cs="Arial"/>
          <w:color w:val="222222"/>
          <w:szCs w:val="19"/>
        </w:rPr>
      </w:pPr>
    </w:p>
    <w:p>
      <w:pPr>
        <w:rPr>
          <w:rFonts w:ascii="Times New Roman" w:hAnsi="Times New Roman"/>
        </w:rPr>
      </w:pPr>
      <w:r>
        <w:rPr>
          <w:rFonts w:ascii="Times New Roman" w:hAnsi="Times New Roman"/>
        </w:rPr>
        <w:t xml:space="preserve">This respondent stated that the form meets the intended purpose.  </w:t>
      </w:r>
    </w:p>
    <w:p>
      <w:pPr>
        <w:rPr>
          <w:rFonts w:ascii="Times New Roman" w:hAnsi="Times New Roman"/>
        </w:rPr>
      </w:pPr>
    </w:p>
    <w:p>
      <w:pPr>
        <w:pStyle w:val="ListParagraph"/>
        <w:widowControl/>
        <w:numPr>
          <w:ilvl w:val="0"/>
          <w:numId w:val="8"/>
        </w:numPr>
        <w:shd w:val="clear" w:color="auto" w:fill="FFFFFF"/>
        <w:autoSpaceDE/>
        <w:autoSpaceDN/>
        <w:adjustRightInd/>
        <w:ind w:left="0" w:firstLine="0"/>
        <w:rPr>
          <w:rFonts w:ascii="Times New Roman" w:hAnsi="Times New Roman"/>
          <w:color w:val="222222"/>
          <w:szCs w:val="19"/>
        </w:rPr>
      </w:pPr>
      <w:r>
        <w:rPr>
          <w:rFonts w:ascii="Times New Roman" w:hAnsi="Times New Roman" w:cs="Arial"/>
          <w:color w:val="222222"/>
          <w:szCs w:val="19"/>
        </w:rPr>
        <w:t>Forester, Silver Butte Timber Co.; Riddle, Oregon</w:t>
      </w:r>
    </w:p>
    <w:p>
      <w:pPr>
        <w:rPr>
          <w:rFonts w:ascii="Times New Roman" w:hAnsi="Times New Roman"/>
        </w:rPr>
      </w:pPr>
    </w:p>
    <w:p>
      <w:pPr>
        <w:rPr>
          <w:rFonts w:ascii="Times New Roman" w:hAnsi="Times New Roman"/>
        </w:rPr>
      </w:pPr>
      <w:r>
        <w:rPr>
          <w:rFonts w:ascii="Times New Roman" w:hAnsi="Times New Roman"/>
        </w:rPr>
        <w:t>This respondent explained that the form is easy to use and meets the company’s expectations.</w:t>
      </w:r>
    </w:p>
    <w:p>
      <w:pPr>
        <w:rPr>
          <w:rFonts w:ascii="Times New Roman" w:hAnsi="Times New Roman"/>
        </w:rPr>
      </w:pPr>
    </w:p>
    <w:p>
      <w:pPr>
        <w:rPr>
          <w:rFonts w:ascii="Times New Roman" w:hAnsi="Times New Roman"/>
        </w:rPr>
      </w:pPr>
      <w:r>
        <w:rPr>
          <w:rFonts w:ascii="Times New Roman" w:hAnsi="Times New Roman"/>
        </w:rPr>
        <w:t>The BLM did not revise this collection of information in response to the targeted outreach described above.</w:t>
      </w:r>
    </w:p>
    <w:p>
      <w:pPr>
        <w:rPr>
          <w:rFonts w:ascii="Times New Roman" w:hAnsi="Times New Roman"/>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Pr>
          <w:rFonts w:ascii="Times New Roman" w:hAnsi="Times New Roman"/>
          <w:b/>
        </w:rPr>
        <w:t>9.</w:t>
      </w:r>
      <w:r>
        <w:rPr>
          <w:rFonts w:ascii="Times New Roman" w:hAnsi="Times New Roman"/>
          <w:b/>
        </w:rPr>
        <w:tab/>
        <w:t>Explain any decision to provide any payment or gift to respondents, other than remuneration of contractors or grantees.</w:t>
      </w:r>
    </w:p>
    <w:p>
      <w:pPr>
        <w:rPr>
          <w:rFonts w:ascii="Times New Roman" w:hAnsi="Times New Roman"/>
        </w:rPr>
      </w:pPr>
    </w:p>
    <w:p>
      <w:pPr>
        <w:rPr>
          <w:rFonts w:ascii="Times New Roman" w:hAnsi="Times New Roman"/>
        </w:rPr>
      </w:pPr>
      <w:r>
        <w:rPr>
          <w:rFonts w:ascii="Times New Roman" w:hAnsi="Times New Roman"/>
        </w:rPr>
        <w:t>We do not provide payments or gifts to the respondents.</w:t>
      </w:r>
    </w:p>
    <w:p>
      <w:pPr>
        <w:rPr>
          <w:rFonts w:ascii="Times New Roman" w:hAnsi="Times New Roman"/>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Pr>
          <w:rFonts w:ascii="Times New Roman" w:hAnsi="Times New Roman"/>
          <w:b/>
        </w:rPr>
        <w:t>10.</w:t>
      </w:r>
      <w:r>
        <w:rPr>
          <w:rFonts w:ascii="Times New Roman" w:hAnsi="Times New Roman"/>
          <w:b/>
        </w:rPr>
        <w:tab/>
        <w:t>Describe any assurance of confidentiality provided to respondents and the basis for the assurance in statute, regulation, or agency policy.</w:t>
      </w:r>
    </w:p>
    <w:p>
      <w:pPr>
        <w:rPr>
          <w:rFonts w:ascii="Times New Roman" w:hAnsi="Times New Roman"/>
        </w:rPr>
      </w:pPr>
    </w:p>
    <w:p>
      <w:pPr>
        <w:rPr>
          <w:rFonts w:ascii="Times New Roman" w:hAnsi="Times New Roman"/>
        </w:rPr>
        <w:sectPr>
          <w:type w:val="continuous"/>
          <w:pgSz w:w="12240" w:h="15840"/>
          <w:pgMar w:top="1440" w:right="1440" w:bottom="1440" w:left="1440" w:header="1440" w:footer="1440" w:gutter="0"/>
          <w:cols w:space="720"/>
          <w:noEndnote/>
        </w:sectPr>
      </w:pPr>
    </w:p>
    <w:p>
      <w:pPr>
        <w:rPr>
          <w:rFonts w:ascii="Times New Roman" w:hAnsi="Times New Roman"/>
        </w:rPr>
      </w:pPr>
      <w:r>
        <w:rPr>
          <w:rFonts w:ascii="Times New Roman" w:hAnsi="Times New Roman"/>
        </w:rPr>
        <w:t>We protect the respondent’s confidentiality to the extent consistent with the Freedom of Information Act (5 U.S.C. 552).</w:t>
      </w:r>
    </w:p>
    <w:p>
      <w:pPr>
        <w:rPr>
          <w:rFonts w:ascii="Times New Roman" w:hAnsi="Times New Roman"/>
        </w:rPr>
      </w:pPr>
    </w:p>
    <w:p>
      <w:pPr>
        <w:rPr>
          <w:rFonts w:ascii="Times New Roman" w:hAnsi="Times New Roman"/>
        </w:rPr>
      </w:pPr>
      <w:r>
        <w:rPr>
          <w:rFonts w:ascii="Times New Roman" w:hAnsi="Times New Roman"/>
        </w:rPr>
        <w:t>Under the privacy provisions of the E-Government Act of 2002, individuals/respondents were informed as to whether or not providing the information is required to obtain a benefit.  The BLM provides no promises to applicants that the application is protected under the Privacy Act.</w:t>
      </w:r>
    </w:p>
    <w:p>
      <w:pPr>
        <w:rPr>
          <w:rFonts w:ascii="Times New Roman" w:hAnsi="Times New Roman"/>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Pr>
          <w:rFonts w:ascii="Times New Roman" w:hAnsi="Times New Roman"/>
          <w:b/>
        </w:rPr>
        <w:t>11.</w:t>
      </w:r>
      <w:r>
        <w:rPr>
          <w:rFonts w:ascii="Times New Roman" w:hAnsi="Times New Roman"/>
          <w:b/>
        </w:rPr>
        <w:tab/>
        <w:t xml:space="preserve">Provide additional justification for any questions of a sensitive nature, such as sexual behavior and attitudes, religious beliefs, and other matters that are commonly considered private.  This justification should include the reasons why the agency </w:t>
      </w:r>
      <w:r>
        <w:rPr>
          <w:rFonts w:ascii="Times New Roman" w:hAnsi="Times New Roman"/>
          <w:b/>
        </w:rPr>
        <w:lastRenderedPageBreak/>
        <w:t>considers the questions necessary, the specific uses to be made of the information, the explanation to be given to persons from whom the information is requested, and any steps to be taken to obtain their consent.</w:t>
      </w:r>
    </w:p>
    <w:p>
      <w:pPr>
        <w:rPr>
          <w:rFonts w:ascii="Times New Roman" w:hAnsi="Times New Roman"/>
        </w:rPr>
      </w:pPr>
    </w:p>
    <w:p>
      <w:pPr>
        <w:rPr>
          <w:rFonts w:ascii="Times New Roman" w:hAnsi="Times New Roman"/>
        </w:rPr>
      </w:pPr>
      <w:r>
        <w:rPr>
          <w:rFonts w:ascii="Times New Roman" w:hAnsi="Times New Roman"/>
        </w:rPr>
        <w:t>We do not ask questions of a sensitive nature.</w:t>
      </w:r>
    </w:p>
    <w:p>
      <w:pPr>
        <w:rPr>
          <w:rFonts w:ascii="Times New Roman" w:hAnsi="Times New Roman"/>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Pr>
          <w:rFonts w:ascii="Times New Roman" w:hAnsi="Times New Roman"/>
          <w:b/>
        </w:rPr>
        <w:t>12.</w:t>
      </w:r>
      <w:r>
        <w:rPr>
          <w:rFonts w:ascii="Times New Roman" w:hAnsi="Times New Roman"/>
          <w:b/>
        </w:rPr>
        <w:tab/>
        <w:t>Provide estimates of the hour burden of the collection of information.  The statement should:</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Pr>
          <w:rFonts w:ascii="Times New Roman" w:hAnsi="Times New Roman"/>
          <w:b/>
        </w:rPr>
        <w:tab/>
        <w:t>*</w:t>
      </w:r>
      <w:r>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Pr>
          <w:rFonts w:ascii="Times New Roman" w:hAnsi="Times New Roman"/>
          <w:b/>
        </w:rPr>
        <w:tab/>
        <w:t>*</w:t>
      </w:r>
      <w:r>
        <w:rPr>
          <w:rFonts w:ascii="Times New Roman" w:hAnsi="Times New Roman"/>
          <w:b/>
        </w:rPr>
        <w:tab/>
        <w:t>If this request for approval covers more than one form, provide separate hour burden estimates for each form and aggregate the hour burdens.</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Pr>
          <w:rFonts w:ascii="Times New Roman" w:hAnsi="Times New Roman"/>
          <w:b/>
        </w:rPr>
        <w:tab/>
        <w:t>*</w:t>
      </w:r>
      <w:r>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pPr>
        <w:rPr>
          <w:rFonts w:ascii="Times New Roman" w:hAnsi="Times New Roman"/>
        </w:rPr>
      </w:pPr>
    </w:p>
    <w:p>
      <w:pPr>
        <w:tabs>
          <w:tab w:val="left" w:pos="3258"/>
        </w:tabs>
        <w:rPr>
          <w:rFonts w:ascii="Times New Roman" w:hAnsi="Times New Roman"/>
        </w:rPr>
      </w:pPr>
      <w:r>
        <w:rPr>
          <w:rFonts w:ascii="Times New Roman" w:hAnsi="Times New Roman"/>
        </w:rPr>
        <w:t>The estimated annual burdens are 1,088 responses, 8,704 hours, and a dollar equivalent of $369,920.</w:t>
      </w:r>
    </w:p>
    <w:p>
      <w:pPr>
        <w:tabs>
          <w:tab w:val="left" w:pos="3258"/>
        </w:tabs>
        <w:rPr>
          <w:rFonts w:ascii="Times New Roman" w:hAnsi="Times New Roman"/>
        </w:rPr>
      </w:pPr>
    </w:p>
    <w:p>
      <w:pPr>
        <w:tabs>
          <w:tab w:val="left" w:pos="3258"/>
        </w:tabs>
        <w:rPr>
          <w:rFonts w:ascii="Times New Roman" w:hAnsi="Times New Roman"/>
        </w:rPr>
      </w:pPr>
      <w:r>
        <w:rPr>
          <w:rFonts w:ascii="Times New Roman" w:hAnsi="Times New Roman"/>
        </w:rPr>
        <w:t xml:space="preserve">Table 12-1, below, shows the BLM’s estimate of the hourly cost burdens for respondents.  The mean hourly wages for Table 12-1 were determined using national Bureau of Labor Statistics data at:  </w:t>
      </w:r>
      <w:hyperlink w:history="1" r:id="rId8">
        <w:r>
          <w:rPr>
            <w:rStyle w:val="Hyperlink"/>
            <w:rFonts w:ascii="Times New Roman" w:hAnsi="Times New Roman"/>
          </w:rPr>
          <w:t>http://www.bls.gov/oes/current/oes_nat.htm</w:t>
        </w:r>
      </w:hyperlink>
      <w:r>
        <w:rPr>
          <w:rFonts w:ascii="Times New Roman" w:hAnsi="Times New Roman"/>
        </w:rPr>
        <w:t>.</w:t>
      </w:r>
    </w:p>
    <w:p>
      <w:pPr>
        <w:tabs>
          <w:tab w:val="left" w:pos="3258"/>
        </w:tabs>
        <w:rPr>
          <w:rFonts w:ascii="Times New Roman" w:hAnsi="Times New Roman"/>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The benefits multiplier of 1.4 is supported by information at </w:t>
      </w:r>
      <w:hyperlink w:history="1" r:id="rId9">
        <w:r>
          <w:rPr>
            <w:rStyle w:val="Hyperlink"/>
            <w:rFonts w:ascii="Times New Roman" w:hAnsi="Times New Roman"/>
          </w:rPr>
          <w:t>http://www.bls.gov/news.release/ecec.nr0.htm</w:t>
        </w:r>
      </w:hyperlink>
      <w:r>
        <w:rPr>
          <w:rFonts w:ascii="Times New Roman" w:hAnsi="Times New Roman"/>
        </w:rPr>
        <w:t>.</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w:rPr>
      </w:pPr>
    </w:p>
    <w:p>
      <w:pPr>
        <w:tabs>
          <w:tab w:val="left" w:pos="3258"/>
        </w:tabs>
        <w:jc w:val="center"/>
        <w:rPr>
          <w:rFonts w:ascii="Times New Roman" w:hAnsi="Times New Roman" w:cs="Times"/>
        </w:rPr>
      </w:pPr>
      <w:r>
        <w:rPr>
          <w:rFonts w:ascii="Times New Roman" w:hAnsi="Times New Roman"/>
          <w:b/>
        </w:rPr>
        <w:t>Table 12-1 – Hourly Cost Calculation</w:t>
      </w:r>
    </w:p>
    <w:p>
      <w:pPr>
        <w:tabs>
          <w:tab w:val="left" w:pos="3258"/>
        </w:tabs>
        <w:rPr>
          <w:rFonts w:ascii="Times New Roman" w:hAnsi="Times New Roman" w:cs="Time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57"/>
        <w:gridCol w:w="2728"/>
        <w:gridCol w:w="3465"/>
      </w:tblGrid>
      <w:tr>
        <w:tc>
          <w:tcPr>
            <w:tcW w:w="1688" w:type="pct"/>
          </w:tcPr>
          <w:p>
            <w:pPr>
              <w:jc w:val="center"/>
              <w:rPr>
                <w:rFonts w:ascii="Times New Roman" w:hAnsi="Times New Roman"/>
                <w:b/>
              </w:rPr>
            </w:pPr>
            <w:r>
              <w:rPr>
                <w:rFonts w:ascii="Times New Roman" w:hAnsi="Times New Roman"/>
                <w:b/>
              </w:rPr>
              <w:t>A.</w:t>
            </w:r>
          </w:p>
          <w:p>
            <w:pPr>
              <w:jc w:val="center"/>
              <w:rPr>
                <w:rFonts w:ascii="Times New Roman" w:hAnsi="Times New Roman"/>
                <w:b/>
              </w:rPr>
            </w:pPr>
            <w:r>
              <w:rPr>
                <w:rFonts w:ascii="Times New Roman" w:hAnsi="Times New Roman"/>
                <w:b/>
              </w:rPr>
              <w:t>Position</w:t>
            </w:r>
          </w:p>
        </w:tc>
        <w:tc>
          <w:tcPr>
            <w:tcW w:w="1459" w:type="pct"/>
          </w:tcPr>
          <w:p>
            <w:pPr>
              <w:jc w:val="center"/>
              <w:rPr>
                <w:rFonts w:ascii="Times New Roman" w:hAnsi="Times New Roman"/>
                <w:b/>
              </w:rPr>
            </w:pPr>
            <w:r>
              <w:rPr>
                <w:rFonts w:ascii="Times New Roman" w:hAnsi="Times New Roman"/>
                <w:b/>
              </w:rPr>
              <w:t>B.</w:t>
            </w:r>
          </w:p>
          <w:p>
            <w:pPr>
              <w:jc w:val="center"/>
              <w:rPr>
                <w:rFonts w:ascii="Times New Roman" w:hAnsi="Times New Roman"/>
                <w:b/>
              </w:rPr>
            </w:pPr>
            <w:r>
              <w:rPr>
                <w:rFonts w:ascii="Times New Roman" w:hAnsi="Times New Roman"/>
                <w:b/>
              </w:rPr>
              <w:t>Mean Hourly Wage</w:t>
            </w:r>
          </w:p>
        </w:tc>
        <w:tc>
          <w:tcPr>
            <w:tcW w:w="1853" w:type="pct"/>
          </w:tcPr>
          <w:p>
            <w:pPr>
              <w:keepNext/>
              <w:keepLines/>
              <w:jc w:val="center"/>
              <w:rPr>
                <w:rFonts w:ascii="Times New Roman" w:hAnsi="Times New Roman"/>
                <w:b/>
              </w:rPr>
            </w:pPr>
            <w:r>
              <w:rPr>
                <w:rFonts w:ascii="Times New Roman" w:hAnsi="Times New Roman"/>
                <w:b/>
              </w:rPr>
              <w:t>C.</w:t>
            </w:r>
          </w:p>
          <w:p>
            <w:pPr>
              <w:keepNext/>
              <w:keepLines/>
              <w:jc w:val="center"/>
              <w:rPr>
                <w:rFonts w:ascii="Times New Roman" w:hAnsi="Times New Roman"/>
                <w:b/>
              </w:rPr>
            </w:pPr>
            <w:r>
              <w:rPr>
                <w:rFonts w:ascii="Times New Roman" w:hAnsi="Times New Roman"/>
                <w:b/>
              </w:rPr>
              <w:t>Total Mean Hourly Wage</w:t>
            </w:r>
          </w:p>
          <w:p>
            <w:pPr>
              <w:jc w:val="center"/>
              <w:rPr>
                <w:rFonts w:ascii="Times New Roman" w:hAnsi="Times New Roman"/>
                <w:b/>
                <w:u w:val="single"/>
              </w:rPr>
            </w:pPr>
            <w:r>
              <w:rPr>
                <w:rFonts w:ascii="Times New Roman" w:hAnsi="Times New Roman"/>
                <w:b/>
              </w:rPr>
              <w:t>(Column B x 1.4)</w:t>
            </w:r>
          </w:p>
        </w:tc>
      </w:tr>
      <w:tr>
        <w:tc>
          <w:tcPr>
            <w:tcW w:w="1688" w:type="pct"/>
            <w:vAlign w:val="center"/>
          </w:tcPr>
          <w:p>
            <w:pPr>
              <w:jc w:val="center"/>
              <w:rPr>
                <w:rFonts w:ascii="Times New Roman" w:hAnsi="Times New Roman"/>
              </w:rPr>
            </w:pPr>
            <w:r>
              <w:rPr>
                <w:rFonts w:ascii="Times New Roman" w:hAnsi="Times New Roman"/>
              </w:rPr>
              <w:t>Foresters</w:t>
            </w:r>
          </w:p>
          <w:p>
            <w:pPr>
              <w:jc w:val="center"/>
              <w:rPr>
                <w:rFonts w:ascii="Times New Roman" w:hAnsi="Times New Roman"/>
              </w:rPr>
            </w:pPr>
            <w:r>
              <w:rPr>
                <w:rFonts w:ascii="Times New Roman" w:hAnsi="Times New Roman"/>
              </w:rPr>
              <w:t>19-1032</w:t>
            </w:r>
          </w:p>
        </w:tc>
        <w:tc>
          <w:tcPr>
            <w:tcW w:w="1459" w:type="pct"/>
            <w:vAlign w:val="center"/>
          </w:tcPr>
          <w:p>
            <w:pPr>
              <w:jc w:val="center"/>
              <w:rPr>
                <w:rFonts w:ascii="Times New Roman" w:hAnsi="Times New Roman"/>
              </w:rPr>
            </w:pPr>
            <w:r>
              <w:rPr>
                <w:rFonts w:ascii="Times New Roman" w:hAnsi="Times New Roman"/>
              </w:rPr>
              <w:t>$30.36</w:t>
            </w:r>
          </w:p>
        </w:tc>
        <w:tc>
          <w:tcPr>
            <w:tcW w:w="1853" w:type="pct"/>
            <w:vAlign w:val="center"/>
          </w:tcPr>
          <w:p>
            <w:pPr>
              <w:keepNext/>
              <w:keepLines/>
              <w:jc w:val="center"/>
              <w:rPr>
                <w:rFonts w:ascii="Times New Roman" w:hAnsi="Times New Roman"/>
              </w:rPr>
            </w:pPr>
            <w:r>
              <w:rPr>
                <w:rFonts w:ascii="Times New Roman" w:hAnsi="Times New Roman"/>
              </w:rPr>
              <w:t>$42.50</w:t>
            </w:r>
          </w:p>
        </w:tc>
      </w:tr>
    </w:tbl>
    <w:p>
      <w:pPr>
        <w:tabs>
          <w:tab w:val="left" w:pos="-1080"/>
          <w:tab w:val="left" w:pos="-720"/>
          <w:tab w:val="left" w:pos="0"/>
          <w:tab w:val="left" w:pos="360"/>
          <w:tab w:val="left" w:pos="720"/>
          <w:tab w:val="left" w:pos="1440"/>
          <w:tab w:val="left" w:pos="2445"/>
        </w:tabs>
        <w:jc w:val="center"/>
        <w:rPr>
          <w:rFonts w:ascii="Times New Roman" w:hAnsi="Times New Roman"/>
          <w:b/>
        </w:rPr>
      </w:pPr>
    </w:p>
    <w:p>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w:rPr>
      </w:pPr>
      <w:r>
        <w:rPr>
          <w:rFonts w:ascii="Times New Roman" w:hAnsi="Times New Roman" w:cs="Times"/>
        </w:rPr>
        <w:t xml:space="preserve">Hour and cost burdens </w:t>
      </w:r>
      <w:r>
        <w:rPr>
          <w:rFonts w:ascii="Times New Roman" w:hAnsi="Times New Roman"/>
        </w:rPr>
        <w:t xml:space="preserve">to respondents are shown at Table 12-2, below.  These burdens include time spent for researching, preparing, and submitting information.  The average hourly wage </w:t>
      </w:r>
      <w:r>
        <w:rPr>
          <w:rFonts w:ascii="Times New Roman" w:hAnsi="Times New Roman"/>
        </w:rPr>
        <w:lastRenderedPageBreak/>
        <w:t xml:space="preserve">associated with this information collection is shown at Table 12-1, above.  </w:t>
      </w:r>
      <w:r>
        <w:rPr>
          <w:rFonts w:ascii="Times New Roman" w:hAnsi="Times New Roman" w:cs="Times"/>
        </w:rPr>
        <w:t>The frequency of response for this information collection is “on occasion.”</w:t>
      </w:r>
    </w:p>
    <w:p>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w:rPr>
      </w:pPr>
    </w:p>
    <w:p>
      <w:pPr>
        <w:tabs>
          <w:tab w:val="left" w:pos="360"/>
          <w:tab w:val="left" w:pos="720"/>
          <w:tab w:val="left" w:pos="1080"/>
        </w:tabs>
        <w:spacing w:line="480" w:lineRule="auto"/>
        <w:jc w:val="center"/>
        <w:rPr>
          <w:rFonts w:ascii="Times New Roman" w:hAnsi="Times New Roman"/>
          <w:b/>
        </w:rPr>
      </w:pPr>
      <w:r>
        <w:rPr>
          <w:rFonts w:ascii="Times New Roman" w:hAnsi="Times New Roman"/>
          <w:b/>
        </w:rPr>
        <w:t>Table 12-2 — Hourly Burden of Complying with Timber Export Restrictions</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15" w:type="dxa"/>
          <w:right w:w="115" w:type="dxa"/>
        </w:tblCellMar>
        <w:tblLook w:val="00A0" w:firstRow="1" w:lastRow="0" w:firstColumn="1" w:lastColumn="0" w:noHBand="0" w:noVBand="0"/>
      </w:tblPr>
      <w:tblGrid>
        <w:gridCol w:w="2236"/>
        <w:gridCol w:w="1687"/>
        <w:gridCol w:w="1575"/>
        <w:gridCol w:w="1687"/>
        <w:gridCol w:w="2165"/>
      </w:tblGrid>
      <w:tr>
        <w:tc>
          <w:tcPr>
            <w:tcW w:w="0" w:type="auto"/>
          </w:tcPr>
          <w:p>
            <w:pPr>
              <w:tabs>
                <w:tab w:val="left" w:pos="360"/>
                <w:tab w:val="left" w:pos="720"/>
                <w:tab w:val="left" w:pos="1080"/>
              </w:tabs>
              <w:jc w:val="center"/>
              <w:rPr>
                <w:rFonts w:ascii="Times New Roman" w:hAnsi="Times New Roman"/>
                <w:b/>
              </w:rPr>
            </w:pPr>
            <w:r>
              <w:rPr>
                <w:rFonts w:ascii="Times New Roman" w:hAnsi="Times New Roman"/>
                <w:b/>
              </w:rPr>
              <w:t>A.</w:t>
            </w:r>
          </w:p>
          <w:p>
            <w:pPr>
              <w:tabs>
                <w:tab w:val="left" w:pos="360"/>
                <w:tab w:val="left" w:pos="720"/>
                <w:tab w:val="left" w:pos="1080"/>
              </w:tabs>
              <w:jc w:val="center"/>
              <w:rPr>
                <w:rFonts w:ascii="Times New Roman" w:hAnsi="Times New Roman"/>
                <w:b/>
              </w:rPr>
            </w:pPr>
            <w:r>
              <w:rPr>
                <w:rFonts w:ascii="Times New Roman" w:hAnsi="Times New Roman"/>
                <w:b/>
              </w:rPr>
              <w:t>Type of Response and 43 CFR Citation</w:t>
            </w:r>
          </w:p>
        </w:tc>
        <w:tc>
          <w:tcPr>
            <w:tcW w:w="0" w:type="auto"/>
          </w:tcPr>
          <w:p>
            <w:pPr>
              <w:tabs>
                <w:tab w:val="left" w:pos="360"/>
                <w:tab w:val="left" w:pos="720"/>
                <w:tab w:val="left" w:pos="1080"/>
              </w:tabs>
              <w:jc w:val="center"/>
              <w:rPr>
                <w:rFonts w:ascii="Times New Roman" w:hAnsi="Times New Roman"/>
                <w:b/>
              </w:rPr>
            </w:pPr>
            <w:r>
              <w:rPr>
                <w:rFonts w:ascii="Times New Roman" w:hAnsi="Times New Roman"/>
                <w:b/>
              </w:rPr>
              <w:t>B.</w:t>
            </w:r>
          </w:p>
          <w:p>
            <w:pPr>
              <w:tabs>
                <w:tab w:val="left" w:pos="360"/>
                <w:tab w:val="left" w:pos="720"/>
                <w:tab w:val="left" w:pos="1080"/>
              </w:tabs>
              <w:jc w:val="center"/>
              <w:rPr>
                <w:rFonts w:ascii="Times New Roman" w:hAnsi="Times New Roman"/>
                <w:b/>
              </w:rPr>
            </w:pPr>
            <w:r>
              <w:rPr>
                <w:rFonts w:ascii="Times New Roman" w:hAnsi="Times New Roman"/>
                <w:b/>
              </w:rPr>
              <w:t>Number of Responses</w:t>
            </w:r>
          </w:p>
        </w:tc>
        <w:tc>
          <w:tcPr>
            <w:tcW w:w="0" w:type="auto"/>
          </w:tcPr>
          <w:p>
            <w:pPr>
              <w:tabs>
                <w:tab w:val="left" w:pos="360"/>
                <w:tab w:val="left" w:pos="720"/>
                <w:tab w:val="left" w:pos="1080"/>
              </w:tabs>
              <w:jc w:val="center"/>
              <w:rPr>
                <w:rFonts w:ascii="Times New Roman" w:hAnsi="Times New Roman"/>
                <w:b/>
              </w:rPr>
            </w:pPr>
            <w:r>
              <w:rPr>
                <w:rFonts w:ascii="Times New Roman" w:hAnsi="Times New Roman"/>
                <w:b/>
              </w:rPr>
              <w:t>C.</w:t>
            </w:r>
          </w:p>
          <w:p>
            <w:pPr>
              <w:tabs>
                <w:tab w:val="left" w:pos="360"/>
                <w:tab w:val="left" w:pos="720"/>
                <w:tab w:val="left" w:pos="1080"/>
              </w:tabs>
              <w:jc w:val="center"/>
              <w:rPr>
                <w:rFonts w:ascii="Times New Roman" w:hAnsi="Times New Roman"/>
                <w:b/>
              </w:rPr>
            </w:pPr>
            <w:r>
              <w:rPr>
                <w:rFonts w:ascii="Times New Roman" w:hAnsi="Times New Roman"/>
                <w:b/>
              </w:rPr>
              <w:t>Hours Per Response</w:t>
            </w:r>
          </w:p>
        </w:tc>
        <w:tc>
          <w:tcPr>
            <w:tcW w:w="0" w:type="auto"/>
          </w:tcPr>
          <w:p>
            <w:pPr>
              <w:tabs>
                <w:tab w:val="left" w:pos="360"/>
                <w:tab w:val="left" w:pos="720"/>
                <w:tab w:val="left" w:pos="1080"/>
              </w:tabs>
              <w:jc w:val="center"/>
              <w:rPr>
                <w:rFonts w:ascii="Times New Roman" w:hAnsi="Times New Roman"/>
                <w:b/>
              </w:rPr>
            </w:pPr>
            <w:r>
              <w:rPr>
                <w:rFonts w:ascii="Times New Roman" w:hAnsi="Times New Roman"/>
                <w:b/>
              </w:rPr>
              <w:t>D.</w:t>
            </w:r>
          </w:p>
          <w:p>
            <w:pPr>
              <w:tabs>
                <w:tab w:val="left" w:pos="360"/>
                <w:tab w:val="left" w:pos="720"/>
                <w:tab w:val="left" w:pos="1080"/>
              </w:tabs>
              <w:jc w:val="center"/>
              <w:rPr>
                <w:rFonts w:ascii="Times New Roman" w:hAnsi="Times New Roman"/>
                <w:b/>
              </w:rPr>
            </w:pPr>
            <w:r>
              <w:rPr>
                <w:rFonts w:ascii="Times New Roman" w:hAnsi="Times New Roman"/>
                <w:b/>
              </w:rPr>
              <w:t>Total Hours</w:t>
            </w:r>
          </w:p>
          <w:p>
            <w:pPr>
              <w:tabs>
                <w:tab w:val="left" w:pos="360"/>
                <w:tab w:val="left" w:pos="720"/>
                <w:tab w:val="left" w:pos="1080"/>
              </w:tabs>
              <w:jc w:val="center"/>
              <w:rPr>
                <w:rFonts w:ascii="Times New Roman" w:hAnsi="Times New Roman"/>
                <w:b/>
              </w:rPr>
            </w:pPr>
            <w:r>
              <w:rPr>
                <w:rFonts w:ascii="Times New Roman" w:hAnsi="Times New Roman"/>
                <w:b/>
              </w:rPr>
              <w:t>(Column B x Column C)</w:t>
            </w:r>
          </w:p>
        </w:tc>
        <w:tc>
          <w:tcPr>
            <w:tcW w:w="0" w:type="auto"/>
          </w:tcPr>
          <w:p>
            <w:pPr>
              <w:tabs>
                <w:tab w:val="left" w:pos="360"/>
                <w:tab w:val="left" w:pos="720"/>
                <w:tab w:val="left" w:pos="1080"/>
              </w:tabs>
              <w:jc w:val="center"/>
              <w:rPr>
                <w:rFonts w:ascii="Times New Roman" w:hAnsi="Times New Roman"/>
                <w:b/>
              </w:rPr>
            </w:pPr>
            <w:r>
              <w:rPr>
                <w:rFonts w:ascii="Times New Roman" w:hAnsi="Times New Roman"/>
                <w:b/>
              </w:rPr>
              <w:t>E.</w:t>
            </w:r>
          </w:p>
          <w:p>
            <w:pPr>
              <w:tabs>
                <w:tab w:val="left" w:pos="360"/>
                <w:tab w:val="left" w:pos="720"/>
                <w:tab w:val="left" w:pos="1080"/>
              </w:tabs>
              <w:jc w:val="center"/>
              <w:rPr>
                <w:rFonts w:ascii="Times New Roman" w:hAnsi="Times New Roman"/>
                <w:b/>
              </w:rPr>
            </w:pPr>
            <w:r>
              <w:rPr>
                <w:rFonts w:ascii="Times New Roman" w:hAnsi="Times New Roman"/>
                <w:b/>
              </w:rPr>
              <w:t>Total Wage Cost (Column D x $42.50)</w:t>
            </w:r>
          </w:p>
        </w:tc>
      </w:tr>
      <w:tr>
        <w:trPr>
          <w:cantSplit/>
        </w:trPr>
        <w:tc>
          <w:tcPr>
            <w:tcW w:w="0" w:type="auto"/>
            <w:vAlign w:val="center"/>
          </w:tcPr>
          <w:p>
            <w:pPr>
              <w:tabs>
                <w:tab w:val="left" w:pos="360"/>
                <w:tab w:val="left" w:pos="720"/>
                <w:tab w:val="left" w:pos="1080"/>
              </w:tabs>
              <w:jc w:val="center"/>
              <w:rPr>
                <w:rFonts w:ascii="Times New Roman" w:hAnsi="Times New Roman"/>
              </w:rPr>
            </w:pPr>
            <w:r>
              <w:rPr>
                <w:rFonts w:ascii="Times New Roman" w:hAnsi="Times New Roman"/>
              </w:rPr>
              <w:t>Form OR-2812-6, Report of Road Use</w:t>
            </w:r>
          </w:p>
          <w:p>
            <w:pPr>
              <w:tabs>
                <w:tab w:val="left" w:pos="360"/>
                <w:tab w:val="left" w:pos="720"/>
                <w:tab w:val="left" w:pos="1080"/>
              </w:tabs>
              <w:jc w:val="center"/>
              <w:rPr>
                <w:rFonts w:ascii="Times New Roman" w:hAnsi="Times New Roman"/>
              </w:rPr>
            </w:pPr>
            <w:r>
              <w:rPr>
                <w:rFonts w:ascii="Times New Roman" w:hAnsi="Times New Roman"/>
              </w:rPr>
              <w:t>43 CFR 2812.3 and 43 CFR 2812.5</w:t>
            </w:r>
          </w:p>
          <w:p>
            <w:pPr>
              <w:tabs>
                <w:tab w:val="left" w:pos="360"/>
                <w:tab w:val="left" w:pos="720"/>
                <w:tab w:val="left" w:pos="1080"/>
              </w:tabs>
              <w:jc w:val="center"/>
              <w:rPr>
                <w:rFonts w:ascii="Times New Roman" w:hAnsi="Times New Roman"/>
              </w:rPr>
            </w:pPr>
          </w:p>
        </w:tc>
        <w:tc>
          <w:tcPr>
            <w:tcW w:w="0" w:type="auto"/>
            <w:vAlign w:val="center"/>
          </w:tcPr>
          <w:p>
            <w:pPr>
              <w:tabs>
                <w:tab w:val="left" w:pos="360"/>
                <w:tab w:val="left" w:pos="720"/>
                <w:tab w:val="left" w:pos="1080"/>
              </w:tabs>
              <w:jc w:val="center"/>
              <w:rPr>
                <w:rFonts w:ascii="Times New Roman" w:hAnsi="Times New Roman"/>
              </w:rPr>
            </w:pPr>
            <w:r>
              <w:rPr>
                <w:rFonts w:ascii="Times New Roman" w:hAnsi="Times New Roman"/>
              </w:rPr>
              <w:t>1,088</w:t>
            </w:r>
          </w:p>
        </w:tc>
        <w:tc>
          <w:tcPr>
            <w:tcW w:w="0" w:type="auto"/>
            <w:vAlign w:val="center"/>
          </w:tcPr>
          <w:p>
            <w:pPr>
              <w:tabs>
                <w:tab w:val="left" w:pos="360"/>
                <w:tab w:val="left" w:pos="720"/>
                <w:tab w:val="left" w:pos="1080"/>
              </w:tabs>
              <w:jc w:val="center"/>
              <w:rPr>
                <w:rFonts w:ascii="Times New Roman" w:hAnsi="Times New Roman"/>
              </w:rPr>
            </w:pPr>
            <w:r>
              <w:rPr>
                <w:rFonts w:ascii="Times New Roman" w:hAnsi="Times New Roman"/>
              </w:rPr>
              <w:t>8</w:t>
            </w:r>
          </w:p>
        </w:tc>
        <w:tc>
          <w:tcPr>
            <w:tcW w:w="0" w:type="auto"/>
            <w:vAlign w:val="center"/>
          </w:tcPr>
          <w:p>
            <w:pPr>
              <w:tabs>
                <w:tab w:val="left" w:pos="360"/>
                <w:tab w:val="left" w:pos="720"/>
                <w:tab w:val="left" w:pos="1080"/>
              </w:tabs>
              <w:jc w:val="center"/>
              <w:rPr>
                <w:rFonts w:ascii="Times New Roman" w:hAnsi="Times New Roman"/>
              </w:rPr>
            </w:pPr>
            <w:r>
              <w:rPr>
                <w:rFonts w:ascii="Times New Roman" w:hAnsi="Times New Roman"/>
              </w:rPr>
              <w:t>8,704</w:t>
            </w:r>
          </w:p>
        </w:tc>
        <w:tc>
          <w:tcPr>
            <w:tcW w:w="0" w:type="auto"/>
            <w:vAlign w:val="center"/>
          </w:tcPr>
          <w:p>
            <w:pPr>
              <w:tabs>
                <w:tab w:val="left" w:pos="360"/>
                <w:tab w:val="left" w:pos="720"/>
                <w:tab w:val="left" w:pos="1080"/>
              </w:tabs>
              <w:jc w:val="center"/>
              <w:rPr>
                <w:rFonts w:ascii="Times New Roman" w:hAnsi="Times New Roman"/>
              </w:rPr>
            </w:pPr>
            <w:r>
              <w:rPr>
                <w:rFonts w:ascii="Times New Roman" w:hAnsi="Times New Roman"/>
              </w:rPr>
              <w:t>$369,920</w:t>
            </w:r>
          </w:p>
        </w:tc>
      </w:tr>
    </w:tbl>
    <w:p>
      <w:pPr>
        <w:rPr>
          <w:rFonts w:ascii="Times New Roman" w:hAnsi="Times New Roman"/>
        </w:rPr>
      </w:pPr>
    </w:p>
    <w:p>
      <w:pPr>
        <w:rPr>
          <w:rFonts w:ascii="Times New Roman" w:hAnsi="Times New Roman"/>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Pr>
          <w:rFonts w:ascii="Times New Roman" w:hAnsi="Times New Roman"/>
          <w:b/>
        </w:rPr>
        <w:t>13.</w:t>
      </w:r>
      <w:r>
        <w:rPr>
          <w:rFonts w:ascii="Times New Roman" w:hAnsi="Times New Roman"/>
          <w:b/>
        </w:rPr>
        <w:tab/>
        <w:t>Provide an estimate of the total annual non-hour cost burden to respondents or recordkeepers resulting from the collection of information.  (Do not include the cost of any hour burden already reflected in item 12.)</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b/>
        </w:rPr>
      </w:pPr>
      <w:r>
        <w:rPr>
          <w:rFonts w:ascii="Times New Roman" w:hAnsi="Times New Roman"/>
          <w:b/>
        </w:rPr>
        <w:t>*</w:t>
      </w:r>
      <w:r>
        <w:rPr>
          <w:rFonts w:ascii="Times New Roman" w:hAnsi="Times New Roman"/>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b/>
        </w:rPr>
      </w:pPr>
      <w:r>
        <w:rPr>
          <w:rFonts w:ascii="Times New Roman" w:hAnsi="Times New Roman"/>
          <w:b/>
        </w:rPr>
        <w:t>*</w:t>
      </w:r>
      <w:r>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Pr>
          <w:rFonts w:ascii="Times New Roman" w:hAnsi="Times New Roman"/>
          <w:b/>
        </w:rPr>
        <w:tab/>
        <w:t>*</w:t>
      </w:r>
      <w:r>
        <w:rPr>
          <w:rFonts w:ascii="Times New Roman" w:hAnsi="Times New Roman"/>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pPr>
        <w:rPr>
          <w:rFonts w:ascii="Times New Roman" w:hAnsi="Times New Roman"/>
        </w:rPr>
      </w:pPr>
    </w:p>
    <w:p>
      <w:pPr>
        <w:rPr>
          <w:rFonts w:ascii="Times New Roman" w:hAnsi="Times New Roman"/>
        </w:rPr>
      </w:pPr>
      <w:r>
        <w:rPr>
          <w:rFonts w:ascii="Times New Roman" w:hAnsi="Times New Roman"/>
        </w:rPr>
        <w:t xml:space="preserve">No non-hour burdens are associated with this information collection.  Applicants incur no annual </w:t>
      </w:r>
      <w:r>
        <w:rPr>
          <w:rFonts w:ascii="Times New Roman" w:hAnsi="Times New Roman"/>
        </w:rPr>
        <w:lastRenderedPageBreak/>
        <w:t>capital or start-up costs, no recurring annual costs, and no fees to prepare or respond to the information collection.</w:t>
      </w:r>
    </w:p>
    <w:p>
      <w:pPr>
        <w:widowControl/>
        <w:autoSpaceDE/>
        <w:autoSpaceDN/>
        <w:adjustRightInd/>
        <w:rPr>
          <w:rFonts w:ascii="Times New Roman" w:hAnsi="Times New Roman"/>
        </w:rPr>
      </w:pPr>
      <w:r>
        <w:rPr>
          <w:rFonts w:ascii="Times New Roman" w:hAnsi="Times New Roman"/>
        </w:rPr>
        <w:br w:type="page"/>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Pr>
          <w:rFonts w:ascii="Times New Roman" w:hAnsi="Times New Roman"/>
          <w:b/>
        </w:rPr>
        <w:lastRenderedPageBreak/>
        <w:t>14.</w:t>
      </w:r>
      <w:r>
        <w:rPr>
          <w:rFonts w:ascii="Times New Roman" w:hAnsi="Times New Roman"/>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pPr>
        <w:rPr>
          <w:rFonts w:ascii="Times New Roman" w:hAnsi="Times New Roman"/>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The estimated annual government cost is $388,372.</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The hourly cost to the Federal Government, as shown in Table 14-1, is based on the U.S. Office of Personnel Management Hourly Salary Table for the Locality Pay Area of Portland-Vancouver-Salem, OR-WA at:  </w:t>
      </w:r>
      <w:hyperlink w:history="1" r:id="rId10">
        <w:r>
          <w:rPr>
            <w:rStyle w:val="Hyperlink"/>
            <w:rFonts w:ascii="Times New Roman" w:hAnsi="Times New Roman"/>
          </w:rPr>
          <w:t>https://www.opm.gov/policy-data-oversight/pay-leave/salaries-wages/salary-tables/pdf/2019/POR_h.pdf</w:t>
        </w:r>
      </w:hyperlink>
      <w:r>
        <w:rPr>
          <w:rFonts w:ascii="Times New Roman" w:hAnsi="Times New Roman"/>
        </w:rPr>
        <w:t>.</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The benefits multiplier of 1.6 is implied by information at </w:t>
      </w:r>
      <w:hyperlink w:history="1" r:id="rId11">
        <w:r>
          <w:rPr>
            <w:rStyle w:val="Hyperlink"/>
            <w:rFonts w:ascii="Times New Roman" w:hAnsi="Times New Roman"/>
          </w:rPr>
          <w:t>http://www.bls.gov/news.release/ecec.nr0.htm</w:t>
        </w:r>
      </w:hyperlink>
      <w:r>
        <w:rPr>
          <w:rFonts w:ascii="Times New Roman" w:hAnsi="Times New Roman"/>
        </w:rPr>
        <w:t>.</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b/>
        </w:rPr>
        <w:t>Table 14-1 — Federal Hourly Wage Cost</w:t>
      </w:r>
      <w:r>
        <w:rPr>
          <w:rFonts w:ascii="Times New Roman" w:hAnsi="Times New Roman"/>
        </w:rPr>
        <w:br/>
      </w:r>
    </w:p>
    <w:tbl>
      <w:tblPr>
        <w:tblW w:w="9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E0" w:firstRow="1" w:lastRow="1" w:firstColumn="1" w:lastColumn="0" w:noHBand="0" w:noVBand="0"/>
      </w:tblPr>
      <w:tblGrid>
        <w:gridCol w:w="1638"/>
        <w:gridCol w:w="1170"/>
        <w:gridCol w:w="1710"/>
        <w:gridCol w:w="1440"/>
        <w:gridCol w:w="1620"/>
        <w:gridCol w:w="1890"/>
      </w:tblGrid>
      <w:tr>
        <w:trPr>
          <w:cantSplit/>
          <w:trHeight w:val="341"/>
          <w:tblHeader/>
        </w:trPr>
        <w:tc>
          <w:tcPr>
            <w:tcW w:w="1638" w:type="dxa"/>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A.</w:t>
            </w:r>
          </w:p>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Position</w:t>
            </w:r>
          </w:p>
        </w:tc>
        <w:tc>
          <w:tcPr>
            <w:tcW w:w="1170" w:type="dxa"/>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B.</w:t>
            </w:r>
          </w:p>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Pay Grade</w:t>
            </w:r>
          </w:p>
        </w:tc>
        <w:tc>
          <w:tcPr>
            <w:tcW w:w="1710" w:type="dxa"/>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C.</w:t>
            </w:r>
          </w:p>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Hourly Pay Rate ($/hour)</w:t>
            </w:r>
          </w:p>
        </w:tc>
        <w:tc>
          <w:tcPr>
            <w:tcW w:w="1440" w:type="dxa"/>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D.</w:t>
            </w:r>
          </w:p>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Hourly Rate w/ Benefits (Column C x 1.6)</w:t>
            </w:r>
          </w:p>
        </w:tc>
        <w:tc>
          <w:tcPr>
            <w:tcW w:w="1620" w:type="dxa"/>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E.</w:t>
            </w:r>
          </w:p>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Percent of time spent on this collection</w:t>
            </w:r>
          </w:p>
        </w:tc>
        <w:tc>
          <w:tcPr>
            <w:tcW w:w="1890" w:type="dxa"/>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F.</w:t>
            </w:r>
          </w:p>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Weighted</w:t>
            </w:r>
          </w:p>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Average (Column D x Column E)</w:t>
            </w:r>
          </w:p>
        </w:tc>
      </w:tr>
      <w:tr>
        <w:trPr>
          <w:cantSplit/>
          <w:trHeight w:val="360"/>
        </w:trPr>
        <w:tc>
          <w:tcPr>
            <w:tcW w:w="1638" w:type="dxa"/>
            <w:vAlign w:val="center"/>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Realty Specialist</w:t>
            </w:r>
          </w:p>
        </w:tc>
        <w:tc>
          <w:tcPr>
            <w:tcW w:w="1170" w:type="dxa"/>
            <w:vAlign w:val="center"/>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GS-11 / Step 1</w:t>
            </w:r>
          </w:p>
        </w:tc>
        <w:tc>
          <w:tcPr>
            <w:tcW w:w="1710" w:type="dxa"/>
            <w:vAlign w:val="center"/>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$31.74</w:t>
            </w:r>
          </w:p>
        </w:tc>
        <w:tc>
          <w:tcPr>
            <w:tcW w:w="1440" w:type="dxa"/>
            <w:vAlign w:val="center"/>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$50.78</w:t>
            </w:r>
          </w:p>
        </w:tc>
        <w:tc>
          <w:tcPr>
            <w:tcW w:w="1620" w:type="dxa"/>
            <w:vAlign w:val="center"/>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30%</w:t>
            </w:r>
          </w:p>
        </w:tc>
        <w:tc>
          <w:tcPr>
            <w:tcW w:w="1890" w:type="dxa"/>
            <w:vAlign w:val="center"/>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$15.23</w:t>
            </w:r>
          </w:p>
        </w:tc>
      </w:tr>
      <w:tr>
        <w:trPr>
          <w:cantSplit/>
          <w:trHeight w:val="360"/>
        </w:trPr>
        <w:tc>
          <w:tcPr>
            <w:tcW w:w="1638" w:type="dxa"/>
            <w:vAlign w:val="center"/>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Clerical</w:t>
            </w:r>
          </w:p>
        </w:tc>
        <w:tc>
          <w:tcPr>
            <w:tcW w:w="1170" w:type="dxa"/>
            <w:vAlign w:val="center"/>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GS-9 / Step 1</w:t>
            </w:r>
          </w:p>
        </w:tc>
        <w:tc>
          <w:tcPr>
            <w:tcW w:w="1710" w:type="dxa"/>
            <w:vAlign w:val="center"/>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$26.24</w:t>
            </w:r>
          </w:p>
        </w:tc>
        <w:tc>
          <w:tcPr>
            <w:tcW w:w="1440" w:type="dxa"/>
            <w:vAlign w:val="center"/>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$41.98</w:t>
            </w:r>
          </w:p>
        </w:tc>
        <w:tc>
          <w:tcPr>
            <w:tcW w:w="1620" w:type="dxa"/>
            <w:vAlign w:val="center"/>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70%</w:t>
            </w:r>
          </w:p>
        </w:tc>
        <w:tc>
          <w:tcPr>
            <w:tcW w:w="1890" w:type="dxa"/>
            <w:vAlign w:val="center"/>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$29.39</w:t>
            </w:r>
          </w:p>
        </w:tc>
      </w:tr>
      <w:tr>
        <w:trPr>
          <w:cantSplit/>
          <w:trHeight w:val="360"/>
        </w:trPr>
        <w:tc>
          <w:tcPr>
            <w:tcW w:w="1638" w:type="dxa"/>
            <w:vAlign w:val="center"/>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Totals</w:t>
            </w:r>
          </w:p>
        </w:tc>
        <w:tc>
          <w:tcPr>
            <w:tcW w:w="1170" w:type="dxa"/>
            <w:vAlign w:val="center"/>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N/A</w:t>
            </w:r>
          </w:p>
        </w:tc>
        <w:tc>
          <w:tcPr>
            <w:tcW w:w="1710" w:type="dxa"/>
            <w:vAlign w:val="center"/>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N/A</w:t>
            </w:r>
          </w:p>
        </w:tc>
        <w:tc>
          <w:tcPr>
            <w:tcW w:w="1440" w:type="dxa"/>
            <w:vAlign w:val="center"/>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N/A</w:t>
            </w:r>
          </w:p>
        </w:tc>
        <w:tc>
          <w:tcPr>
            <w:tcW w:w="1620" w:type="dxa"/>
            <w:vAlign w:val="center"/>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100%</w:t>
            </w:r>
          </w:p>
        </w:tc>
        <w:tc>
          <w:tcPr>
            <w:tcW w:w="1890" w:type="dxa"/>
            <w:vAlign w:val="center"/>
          </w:tcPr>
          <w:p>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$44.62</w:t>
            </w:r>
          </w:p>
        </w:tc>
      </w:tr>
    </w:tbl>
    <w:p>
      <w:pPr>
        <w:pStyle w:val="FootnoteText"/>
        <w:rPr>
          <w:sz w:val="24"/>
          <w:szCs w:val="24"/>
        </w:rPr>
      </w:pPr>
    </w:p>
    <w:p>
      <w:pPr>
        <w:pStyle w:val="FootnoteText"/>
        <w:rPr>
          <w:sz w:val="24"/>
        </w:rPr>
      </w:pPr>
      <w:r>
        <w:rPr>
          <w:sz w:val="24"/>
          <w:szCs w:val="24"/>
        </w:rPr>
        <w:t>Table 14-2, below, shows the annualized Federal costs for this collection of information</w:t>
      </w:r>
      <w:r>
        <w:rPr>
          <w:sz w:val="24"/>
        </w:rPr>
        <w:t>.  The estimated time spent to process the information collections is 8 hours per response.  The estimated weighted average hourly wage is shown at Table 14-1, above.</w:t>
      </w:r>
    </w:p>
    <w:p>
      <w:pPr>
        <w:widowControl/>
        <w:autoSpaceDE/>
        <w:autoSpaceDN/>
        <w:adjustRightInd/>
        <w:rPr>
          <w:rFonts w:ascii="Times New Roman" w:hAnsi="Times New Roman"/>
          <w:szCs w:val="20"/>
        </w:rPr>
      </w:pPr>
      <w:r>
        <w:br w:type="page"/>
      </w:r>
    </w:p>
    <w:p>
      <w:pPr>
        <w:pStyle w:val="FootnoteText"/>
        <w:rPr>
          <w:sz w:val="24"/>
        </w:rPr>
      </w:pPr>
    </w:p>
    <w:p>
      <w:pPr>
        <w:pStyle w:val="FootnoteText"/>
        <w:rPr>
          <w:sz w:val="24"/>
        </w:rPr>
      </w:pPr>
    </w:p>
    <w:p>
      <w:pPr>
        <w:pStyle w:val="FootnoteText"/>
        <w:jc w:val="center"/>
        <w:rPr>
          <w:b/>
          <w:sz w:val="24"/>
          <w:szCs w:val="24"/>
        </w:rPr>
      </w:pPr>
      <w:r>
        <w:rPr>
          <w:b/>
          <w:sz w:val="24"/>
          <w:szCs w:val="24"/>
        </w:rPr>
        <w:t>Table 14-2 — Estimated Annual Cost to the Government</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rPr>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781"/>
        <w:gridCol w:w="1741"/>
        <w:gridCol w:w="1720"/>
        <w:gridCol w:w="1732"/>
        <w:gridCol w:w="2016"/>
      </w:tblGrid>
      <w:tr>
        <w:tc>
          <w:tcPr>
            <w:tcW w:w="1781" w:type="dxa"/>
          </w:tcPr>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A.</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Type of Response and 43 CFR Citation</w:t>
            </w:r>
          </w:p>
        </w:tc>
        <w:tc>
          <w:tcPr>
            <w:tcW w:w="1741" w:type="dxa"/>
          </w:tcPr>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B.</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rPr>
            </w:pPr>
            <w:r>
              <w:rPr>
                <w:rFonts w:ascii="Times New Roman" w:hAnsi="Times New Roman"/>
                <w:b/>
              </w:rPr>
              <w:t>Number of Responses</w:t>
            </w:r>
          </w:p>
        </w:tc>
        <w:tc>
          <w:tcPr>
            <w:tcW w:w="1720" w:type="dxa"/>
          </w:tcPr>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C.</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rPr>
            </w:pPr>
            <w:r>
              <w:rPr>
                <w:rFonts w:ascii="Times New Roman" w:hAnsi="Times New Roman"/>
                <w:b/>
              </w:rPr>
              <w:t>Hours Per Response</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rPr>
            </w:pPr>
          </w:p>
        </w:tc>
        <w:tc>
          <w:tcPr>
            <w:tcW w:w="1732" w:type="dxa"/>
          </w:tcPr>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D.</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Total Hours</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rPr>
            </w:pPr>
            <w:r>
              <w:rPr>
                <w:rFonts w:ascii="Times New Roman" w:hAnsi="Times New Roman"/>
                <w:b/>
              </w:rPr>
              <w:t>(Column B x Column C)</w:t>
            </w:r>
          </w:p>
        </w:tc>
        <w:tc>
          <w:tcPr>
            <w:tcW w:w="2016" w:type="dxa"/>
          </w:tcPr>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E.</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Total Wage Cost</w:t>
            </w:r>
          </w:p>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(Column D x $44.62)</w:t>
            </w:r>
          </w:p>
        </w:tc>
      </w:tr>
      <w:tr>
        <w:tc>
          <w:tcPr>
            <w:tcW w:w="1781" w:type="dxa"/>
            <w:vAlign w:val="center"/>
          </w:tcPr>
          <w:p>
            <w:pPr>
              <w:tabs>
                <w:tab w:val="left" w:pos="360"/>
                <w:tab w:val="left" w:pos="720"/>
                <w:tab w:val="left" w:pos="1080"/>
              </w:tabs>
              <w:jc w:val="center"/>
              <w:rPr>
                <w:rFonts w:ascii="Times New Roman" w:hAnsi="Times New Roman"/>
              </w:rPr>
            </w:pPr>
            <w:r>
              <w:rPr>
                <w:rFonts w:ascii="Times New Roman" w:hAnsi="Times New Roman"/>
              </w:rPr>
              <w:t>Form OR-2812-6, Report of Road Use</w:t>
            </w:r>
          </w:p>
          <w:p>
            <w:pPr>
              <w:tabs>
                <w:tab w:val="left" w:pos="360"/>
                <w:tab w:val="left" w:pos="720"/>
                <w:tab w:val="left" w:pos="1080"/>
              </w:tabs>
              <w:jc w:val="center"/>
              <w:rPr>
                <w:rFonts w:ascii="Times New Roman" w:hAnsi="Times New Roman"/>
              </w:rPr>
            </w:pPr>
            <w:r>
              <w:rPr>
                <w:rFonts w:ascii="Times New Roman" w:hAnsi="Times New Roman"/>
              </w:rPr>
              <w:t>43 CFR 2812.3 and 43 CFR 2812.5</w:t>
            </w:r>
          </w:p>
          <w:p>
            <w:pPr>
              <w:tabs>
                <w:tab w:val="left" w:pos="360"/>
                <w:tab w:val="left" w:pos="720"/>
                <w:tab w:val="left" w:pos="1080"/>
              </w:tabs>
              <w:jc w:val="center"/>
              <w:rPr>
                <w:rFonts w:ascii="Times New Roman" w:hAnsi="Times New Roman"/>
              </w:rPr>
            </w:pPr>
          </w:p>
        </w:tc>
        <w:tc>
          <w:tcPr>
            <w:tcW w:w="1741" w:type="dxa"/>
            <w:vAlign w:val="center"/>
          </w:tcPr>
          <w:p>
            <w:pPr>
              <w:tabs>
                <w:tab w:val="left" w:pos="360"/>
                <w:tab w:val="left" w:pos="720"/>
                <w:tab w:val="left" w:pos="1080"/>
              </w:tabs>
              <w:jc w:val="center"/>
              <w:rPr>
                <w:rFonts w:ascii="Times New Roman" w:hAnsi="Times New Roman"/>
              </w:rPr>
            </w:pPr>
            <w:r>
              <w:rPr>
                <w:rFonts w:ascii="Times New Roman" w:hAnsi="Times New Roman"/>
              </w:rPr>
              <w:t>1,088</w:t>
            </w:r>
          </w:p>
        </w:tc>
        <w:tc>
          <w:tcPr>
            <w:tcW w:w="1720" w:type="dxa"/>
            <w:vAlign w:val="center"/>
          </w:tcPr>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8</w:t>
            </w:r>
          </w:p>
        </w:tc>
        <w:tc>
          <w:tcPr>
            <w:tcW w:w="1732" w:type="dxa"/>
            <w:vAlign w:val="center"/>
          </w:tcPr>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8,704</w:t>
            </w:r>
          </w:p>
        </w:tc>
        <w:tc>
          <w:tcPr>
            <w:tcW w:w="2016" w:type="dxa"/>
            <w:vAlign w:val="center"/>
          </w:tcPr>
          <w:p>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$382,372</w:t>
            </w:r>
          </w:p>
        </w:tc>
      </w:tr>
    </w:tbl>
    <w:p>
      <w:r>
        <w:rPr>
          <w:rFonts w:ascii="Times New Roman" w:hAnsi="Times New Roman"/>
        </w:rPr>
        <w:t xml:space="preserve"> </w:t>
      </w:r>
    </w:p>
    <w:p>
      <w:pPr>
        <w:rPr>
          <w:rFonts w:ascii="Times New Roman" w:hAnsi="Times New Roman"/>
          <w:u w:val="single"/>
        </w:rPr>
      </w:pPr>
    </w:p>
    <w:p>
      <w:pPr>
        <w:rPr>
          <w:rFonts w:ascii="Times New Roman" w:hAnsi="Times New Roman"/>
          <w:b/>
        </w:rPr>
      </w:pPr>
      <w:r>
        <w:rPr>
          <w:rFonts w:ascii="Times New Roman" w:hAnsi="Times New Roman"/>
          <w:b/>
        </w:rPr>
        <w:t>15.  Explain the reasons for any program changes or adjustments in hour or cost burden.</w:t>
      </w:r>
    </w:p>
    <w:p>
      <w:pPr>
        <w:rPr>
          <w:rFonts w:ascii="Times New Roman" w:hAnsi="Times New Roman"/>
        </w:rPr>
      </w:pPr>
    </w:p>
    <w:p>
      <w:pPr>
        <w:rPr>
          <w:rFonts w:ascii="Times New Roman" w:hAnsi="Times New Roman"/>
        </w:rPr>
      </w:pPr>
      <w:r>
        <w:rPr>
          <w:rFonts w:ascii="Times New Roman" w:hAnsi="Times New Roman"/>
        </w:rPr>
        <w:t>The following adjustments are due to the BLM’s recent experience with this collection of information:</w:t>
      </w:r>
    </w:p>
    <w:p>
      <w:pPr>
        <w:rPr>
          <w:rFonts w:ascii="Times New Roman" w:hAnsi="Times New Roman"/>
        </w:rPr>
      </w:pPr>
    </w:p>
    <w:p>
      <w:pPr>
        <w:pStyle w:val="ListParagraph"/>
        <w:numPr>
          <w:ilvl w:val="0"/>
          <w:numId w:val="8"/>
        </w:numPr>
        <w:rPr>
          <w:rFonts w:ascii="Times New Roman" w:hAnsi="Times New Roman"/>
        </w:rPr>
      </w:pPr>
      <w:r>
        <w:rPr>
          <w:rFonts w:ascii="Times New Roman" w:hAnsi="Times New Roman"/>
        </w:rPr>
        <w:t>An increase of 816 in estimated annual responses, from 272 to 1,088, as a result of an increased number of users of the forms; and</w:t>
      </w:r>
    </w:p>
    <w:p>
      <w:pPr>
        <w:pStyle w:val="ListParagraph"/>
        <w:numPr>
          <w:ilvl w:val="0"/>
          <w:numId w:val="8"/>
        </w:numPr>
        <w:rPr>
          <w:rFonts w:ascii="Times New Roman" w:hAnsi="Times New Roman"/>
        </w:rPr>
      </w:pPr>
      <w:r>
        <w:rPr>
          <w:rFonts w:ascii="Times New Roman" w:hAnsi="Times New Roman"/>
        </w:rPr>
        <w:t>An increase of 6,528 in estimated annual hour burdens, from 2,176 to 8,704, as a result of the increased number of annual responses.</w:t>
      </w:r>
    </w:p>
    <w:p>
      <w:pPr>
        <w:rPr>
          <w:rFonts w:ascii="Times New Roman" w:hAnsi="Times New Roman"/>
        </w:rPr>
      </w:pPr>
    </w:p>
    <w:p>
      <w:pPr>
        <w:rPr>
          <w:rFonts w:ascii="Times New Roman" w:hAnsi="Times New Roman"/>
        </w:rPr>
      </w:pPr>
      <w:r>
        <w:rPr>
          <w:rFonts w:ascii="Times New Roman" w:hAnsi="Times New Roman"/>
        </w:rPr>
        <w:t>No program changes would affect the estimated hour or cost burden.  The requested revisions of Form OR-2812-6 would not affect the estimated hour or cost burden.</w:t>
      </w:r>
    </w:p>
    <w:p>
      <w:pPr>
        <w:rPr>
          <w:rFonts w:ascii="Times New Roman" w:hAnsi="Times New Roman"/>
          <w:u w:val="single"/>
        </w:rPr>
      </w:pPr>
    </w:p>
    <w:p>
      <w:pPr>
        <w:rPr>
          <w:rFonts w:ascii="Times New Roman" w:hAnsi="Times New Roman"/>
          <w:b/>
        </w:rPr>
      </w:pPr>
      <w:r>
        <w:rPr>
          <w:rFonts w:ascii="Times New Roman" w:hAnsi="Times New Roman"/>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pPr>
        <w:rPr>
          <w:rFonts w:ascii="Times New Roman" w:hAnsi="Times New Roman"/>
          <w:b/>
        </w:rPr>
      </w:pPr>
    </w:p>
    <w:p>
      <w:pPr>
        <w:rPr>
          <w:rFonts w:ascii="Times New Roman" w:hAnsi="Times New Roman"/>
        </w:rPr>
      </w:pPr>
      <w:r>
        <w:rPr>
          <w:rFonts w:ascii="Times New Roman" w:hAnsi="Times New Roman"/>
        </w:rPr>
        <w:t>We will not publish the results of this collection.</w:t>
      </w:r>
    </w:p>
    <w:p>
      <w:pPr>
        <w:rPr>
          <w:rFonts w:ascii="Times New Roman" w:hAnsi="Times New Roman"/>
        </w:rPr>
      </w:pPr>
    </w:p>
    <w:p>
      <w:pPr>
        <w:rPr>
          <w:rFonts w:ascii="Times New Roman" w:hAnsi="Times New Roman"/>
          <w:b/>
        </w:rPr>
      </w:pPr>
      <w:r>
        <w:rPr>
          <w:rFonts w:ascii="Times New Roman" w:hAnsi="Times New Roman"/>
          <w:b/>
        </w:rPr>
        <w:t>17.  If seeking approval to not display the expiration date for OMB approval of the information collection, explain the reasons that display would be inappropriate.</w:t>
      </w:r>
    </w:p>
    <w:p>
      <w:pPr>
        <w:rPr>
          <w:rFonts w:ascii="Times New Roman" w:hAnsi="Times New Roman"/>
          <w:u w:val="single"/>
        </w:rPr>
      </w:pPr>
    </w:p>
    <w:p>
      <w:pPr>
        <w:rPr>
          <w:rFonts w:ascii="Times New Roman" w:hAnsi="Times New Roman"/>
        </w:rPr>
      </w:pPr>
      <w:r>
        <w:rPr>
          <w:rFonts w:ascii="Times New Roman" w:hAnsi="Times New Roman"/>
        </w:rPr>
        <w:t>We will display the expiration date of the OMB approval on the form included in this information collection.</w:t>
      </w:r>
    </w:p>
    <w:p>
      <w:pPr>
        <w:rPr>
          <w:rFonts w:ascii="Times New Roman" w:hAnsi="Times New Roman"/>
        </w:rPr>
      </w:pPr>
    </w:p>
    <w:p>
      <w:pPr>
        <w:rPr>
          <w:rFonts w:ascii="Times New Roman" w:hAnsi="Times New Roman"/>
          <w:b/>
        </w:rPr>
      </w:pPr>
      <w:r>
        <w:rPr>
          <w:rFonts w:ascii="Times New Roman" w:hAnsi="Times New Roman"/>
          <w:b/>
        </w:rPr>
        <w:t>18.  Explain each exception to the topics of the certification statement identified in “Certification for Paperwork Reduction Act Submissions.”</w:t>
      </w:r>
    </w:p>
    <w:p>
      <w:pPr>
        <w:rPr>
          <w:rFonts w:ascii="Times New Roman" w:hAnsi="Times New Roman"/>
          <w:b/>
        </w:rPr>
      </w:pPr>
    </w:p>
    <w:p>
      <w:pPr>
        <w:rPr>
          <w:rFonts w:ascii="Times New Roman" w:hAnsi="Times New Roman"/>
        </w:rPr>
      </w:pPr>
      <w:r>
        <w:rPr>
          <w:rFonts w:ascii="Times New Roman" w:hAnsi="Times New Roman"/>
        </w:rPr>
        <w:t>There are no exceptions to the certification statement.</w:t>
      </w:r>
    </w:p>
    <w:sect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9361" w:wrap="notBeside" w:vAnchor="text" w:hAnchor="text" w:x="1" w:y="1"/>
      <w:jc w:val="right"/>
    </w:pPr>
    <w:r>
      <w:fldChar w:fldCharType="begin"/>
    </w:r>
    <w:r>
      <w:instrText xml:space="preserve">PAGE </w:instrText>
    </w:r>
    <w:r>
      <w:fldChar w:fldCharType="separate"/>
    </w:r>
    <w:r>
      <w:rPr>
        <w:noProof/>
      </w:rPr>
      <w:t>12</w:t>
    </w:r>
    <w:r>
      <w:rPr>
        <w:noProof/>
      </w:rPr>
      <w:fldChar w:fldCharType="end"/>
    </w:r>
  </w:p>
  <w:p/>
  <w:p>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387"/>
    <w:multiLevelType w:val="hybridMultilevel"/>
    <w:tmpl w:val="EDAC7646"/>
    <w:lvl w:ilvl="0" w:tplc="F872BA56">
      <w:start w:val="1"/>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622CAA"/>
    <w:multiLevelType w:val="hybridMultilevel"/>
    <w:tmpl w:val="5602E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44966"/>
    <w:multiLevelType w:val="hybridMultilevel"/>
    <w:tmpl w:val="4A7C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50928"/>
    <w:multiLevelType w:val="hybridMultilevel"/>
    <w:tmpl w:val="16D0AC72"/>
    <w:lvl w:ilvl="0" w:tplc="7EA60610">
      <w:start w:val="1"/>
      <w:numFmt w:val="decimal"/>
      <w:lvlText w:val="(%1)"/>
      <w:lvlJc w:val="left"/>
      <w:pPr>
        <w:tabs>
          <w:tab w:val="num" w:pos="1500"/>
        </w:tabs>
        <w:ind w:left="1500" w:hanging="78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33D65E06"/>
    <w:multiLevelType w:val="hybridMultilevel"/>
    <w:tmpl w:val="D7C422D0"/>
    <w:lvl w:ilvl="0" w:tplc="4CC45E22">
      <w:start w:val="1"/>
      <w:numFmt w:val="decimal"/>
      <w:lvlText w:val="(%1)"/>
      <w:lvlJc w:val="left"/>
      <w:pPr>
        <w:tabs>
          <w:tab w:val="num" w:pos="840"/>
        </w:tabs>
        <w:ind w:left="840" w:hanging="4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6A64B85"/>
    <w:multiLevelType w:val="hybridMultilevel"/>
    <w:tmpl w:val="7FB85A88"/>
    <w:lvl w:ilvl="0" w:tplc="38244878">
      <w:start w:val="1"/>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FE3191B"/>
    <w:multiLevelType w:val="hybridMultilevel"/>
    <w:tmpl w:val="A6B05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66D5F"/>
    <w:multiLevelType w:val="hybridMultilevel"/>
    <w:tmpl w:val="FBA46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B27457"/>
    <w:multiLevelType w:val="hybridMultilevel"/>
    <w:tmpl w:val="EC36598A"/>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77D1420"/>
    <w:multiLevelType w:val="hybridMultilevel"/>
    <w:tmpl w:val="62664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D85576"/>
    <w:multiLevelType w:val="hybridMultilevel"/>
    <w:tmpl w:val="927038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382097D"/>
    <w:multiLevelType w:val="hybridMultilevel"/>
    <w:tmpl w:val="6086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46F85"/>
    <w:multiLevelType w:val="hybridMultilevel"/>
    <w:tmpl w:val="94DA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4D1D5F"/>
    <w:multiLevelType w:val="hybridMultilevel"/>
    <w:tmpl w:val="102E23FE"/>
    <w:lvl w:ilvl="0" w:tplc="A15A75BC">
      <w:start w:val="1"/>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8"/>
  </w:num>
  <w:num w:numId="3">
    <w:abstractNumId w:val="0"/>
  </w:num>
  <w:num w:numId="4">
    <w:abstractNumId w:val="5"/>
  </w:num>
  <w:num w:numId="5">
    <w:abstractNumId w:val="4"/>
  </w:num>
  <w:num w:numId="6">
    <w:abstractNumId w:val="13"/>
  </w:num>
  <w:num w:numId="7">
    <w:abstractNumId w:val="9"/>
  </w:num>
  <w:num w:numId="8">
    <w:abstractNumId w:val="2"/>
  </w:num>
  <w:num w:numId="9">
    <w:abstractNumId w:val="6"/>
  </w:num>
  <w:num w:numId="10">
    <w:abstractNumId w:val="12"/>
  </w:num>
  <w:num w:numId="11">
    <w:abstractNumId w:val="10"/>
  </w:num>
  <w:num w:numId="12">
    <w:abstractNumId w:val="1"/>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5245A7E9-B9F4-40B8-9601-5561132D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9"/>
    <w:qFormat/>
    <w:pPr>
      <w:keepNext/>
      <w:outlineLvl w:val="0"/>
    </w:pPr>
    <w:rPr>
      <w:rFonts w:ascii="Times New Roman" w:hAnsi="Times New Roman"/>
      <w:b/>
      <w:bCs/>
    </w:rPr>
  </w:style>
  <w:style w:type="paragraph" w:styleId="Heading4">
    <w:name w:val="heading 4"/>
    <w:basedOn w:val="Normal"/>
    <w:next w:val="Normal"/>
    <w:link w:val="Heading4Char"/>
    <w:uiPriority w:val="99"/>
    <w:qFormat/>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ourier" w:hAnsi="Courier" w:cs="Times New Roman"/>
      <w:sz w:val="24"/>
      <w:szCs w:val="24"/>
    </w:rPr>
  </w:style>
  <w:style w:type="character" w:styleId="PageNumber">
    <w:name w:val="page number"/>
    <w:basedOn w:val="DefaultParagraphFont"/>
    <w:uiPriority w:val="99"/>
    <w:rPr>
      <w:rFonts w:cs="Times New Roman"/>
    </w:rPr>
  </w:style>
  <w:style w:type="paragraph" w:styleId="PlainText">
    <w:name w:val="Plain Text"/>
    <w:basedOn w:val="Normal"/>
    <w:link w:val="PlainTextChar"/>
    <w:uiPriority w:val="99"/>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locked/>
    <w:rPr>
      <w:rFonts w:ascii="Courier New" w:hAnsi="Courier New" w:cs="Courier New"/>
      <w:lang w:val="en-US" w:eastAsia="en-US" w:bidi="ar-SA"/>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FootnoteText">
    <w:name w:val="footnote text"/>
    <w:basedOn w:val="Normal"/>
    <w:link w:val="FootnoteTextChar"/>
    <w:uiPriority w:val="99"/>
    <w:rPr>
      <w:rFonts w:ascii="Times New Roman" w:hAnsi="Times New Roman"/>
      <w:sz w:val="20"/>
      <w:szCs w:val="20"/>
    </w:rPr>
  </w:style>
  <w:style w:type="character" w:customStyle="1" w:styleId="FootnoteTextChar">
    <w:name w:val="Footnote Text Char"/>
    <w:basedOn w:val="DefaultParagraphFont"/>
    <w:link w:val="FootnoteText"/>
    <w:uiPriority w:val="99"/>
    <w:locked/>
    <w:rPr>
      <w:rFonts w:cs="Times New Roman"/>
    </w:rPr>
  </w:style>
  <w:style w:type="paragraph" w:styleId="CommentText">
    <w:name w:val="annotation text"/>
    <w:basedOn w:val="Normal"/>
    <w:link w:val="CommentTextChar"/>
    <w:uiPriority w:val="99"/>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uiPriority w:val="99"/>
    <w:locked/>
    <w:rPr>
      <w:rFonts w:cs="Times New Roman"/>
    </w:rPr>
  </w:style>
  <w:style w:type="character" w:styleId="CommentReference">
    <w:name w:val="annotation reference"/>
    <w:basedOn w:val="DefaultParagraphFont"/>
    <w:uiPriority w:val="99"/>
    <w:rPr>
      <w:rFonts w:cs="Times New Roman"/>
      <w:sz w:val="16"/>
      <w:szCs w:val="16"/>
    </w:rPr>
  </w:style>
  <w:style w:type="paragraph" w:styleId="CommentSubject">
    <w:name w:val="annotation subject"/>
    <w:basedOn w:val="CommentText"/>
    <w:next w:val="CommentText"/>
    <w:link w:val="CommentSubjectChar"/>
    <w:uiPriority w:val="99"/>
    <w:pPr>
      <w:widowControl w:val="0"/>
      <w:autoSpaceDE w:val="0"/>
      <w:autoSpaceDN w:val="0"/>
      <w:adjustRightInd w:val="0"/>
    </w:pPr>
    <w:rPr>
      <w:rFonts w:ascii="Courier" w:hAnsi="Courier"/>
      <w:b/>
      <w:bCs/>
    </w:rPr>
  </w:style>
  <w:style w:type="character" w:customStyle="1" w:styleId="CommentSubjectChar">
    <w:name w:val="Comment Subject Char"/>
    <w:basedOn w:val="CommentTextChar"/>
    <w:link w:val="CommentSubject"/>
    <w:uiPriority w:val="99"/>
    <w:locked/>
    <w:rPr>
      <w:rFonts w:ascii="Courier" w:hAnsi="Courier" w:cs="Times New Roman"/>
      <w:b/>
      <w:bCs/>
    </w:rPr>
  </w:style>
  <w:style w:type="paragraph" w:styleId="Revision">
    <w:name w:val="Revision"/>
    <w:hidden/>
    <w:uiPriority w:val="99"/>
    <w:semiHidden/>
    <w:rPr>
      <w:rFonts w:ascii="Courier" w:hAnsi="Courier"/>
      <w:sz w:val="24"/>
      <w:szCs w:val="24"/>
    </w:rPr>
  </w:style>
  <w:style w:type="character" w:styleId="FollowedHyperlink">
    <w:name w:val="FollowedHyperlink"/>
    <w:basedOn w:val="DefaultParagraphFont"/>
    <w:uiPriority w:val="99"/>
    <w:rPr>
      <w:rFonts w:cs="Times New Roman"/>
      <w:color w:val="800080"/>
      <w:u w:val="single"/>
    </w:rPr>
  </w:style>
  <w:style w:type="character" w:customStyle="1" w:styleId="apple-converted-space">
    <w:name w:val="apple-converted-space"/>
    <w:basedOn w:val="DefaultParagraphFont"/>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06555">
      <w:bodyDiv w:val="1"/>
      <w:marLeft w:val="0"/>
      <w:marRight w:val="0"/>
      <w:marTop w:val="0"/>
      <w:marBottom w:val="0"/>
      <w:divBdr>
        <w:top w:val="none" w:sz="0" w:space="0" w:color="auto"/>
        <w:left w:val="none" w:sz="0" w:space="0" w:color="auto"/>
        <w:bottom w:val="none" w:sz="0" w:space="0" w:color="auto"/>
        <w:right w:val="none" w:sz="0" w:space="0" w:color="auto"/>
      </w:divBdr>
      <w:divsChild>
        <w:div w:id="370961966">
          <w:marLeft w:val="0"/>
          <w:marRight w:val="0"/>
          <w:marTop w:val="0"/>
          <w:marBottom w:val="0"/>
          <w:divBdr>
            <w:top w:val="none" w:sz="0" w:space="0" w:color="auto"/>
            <w:left w:val="none" w:sz="0" w:space="0" w:color="auto"/>
            <w:bottom w:val="none" w:sz="0" w:space="0" w:color="auto"/>
            <w:right w:val="none" w:sz="0" w:space="0" w:color="auto"/>
          </w:divBdr>
        </w:div>
        <w:div w:id="605042837">
          <w:marLeft w:val="0"/>
          <w:marRight w:val="0"/>
          <w:marTop w:val="0"/>
          <w:marBottom w:val="0"/>
          <w:divBdr>
            <w:top w:val="none" w:sz="0" w:space="0" w:color="auto"/>
            <w:left w:val="none" w:sz="0" w:space="0" w:color="auto"/>
            <w:bottom w:val="none" w:sz="0" w:space="0" w:color="auto"/>
            <w:right w:val="none" w:sz="0" w:space="0" w:color="auto"/>
          </w:divBdr>
        </w:div>
        <w:div w:id="710569448">
          <w:marLeft w:val="0"/>
          <w:marRight w:val="0"/>
          <w:marTop w:val="0"/>
          <w:marBottom w:val="0"/>
          <w:divBdr>
            <w:top w:val="none" w:sz="0" w:space="0" w:color="auto"/>
            <w:left w:val="none" w:sz="0" w:space="0" w:color="auto"/>
            <w:bottom w:val="none" w:sz="0" w:space="0" w:color="auto"/>
            <w:right w:val="none" w:sz="0" w:space="0" w:color="auto"/>
          </w:divBdr>
        </w:div>
        <w:div w:id="838733705">
          <w:marLeft w:val="0"/>
          <w:marRight w:val="0"/>
          <w:marTop w:val="0"/>
          <w:marBottom w:val="0"/>
          <w:divBdr>
            <w:top w:val="none" w:sz="0" w:space="0" w:color="auto"/>
            <w:left w:val="none" w:sz="0" w:space="0" w:color="auto"/>
            <w:bottom w:val="none" w:sz="0" w:space="0" w:color="auto"/>
            <w:right w:val="none" w:sz="0" w:space="0" w:color="auto"/>
          </w:divBdr>
        </w:div>
        <w:div w:id="1247108897">
          <w:marLeft w:val="0"/>
          <w:marRight w:val="0"/>
          <w:marTop w:val="0"/>
          <w:marBottom w:val="0"/>
          <w:divBdr>
            <w:top w:val="none" w:sz="0" w:space="0" w:color="auto"/>
            <w:left w:val="none" w:sz="0" w:space="0" w:color="auto"/>
            <w:bottom w:val="none" w:sz="0" w:space="0" w:color="auto"/>
            <w:right w:val="none" w:sz="0" w:space="0" w:color="auto"/>
          </w:divBdr>
        </w:div>
        <w:div w:id="1679575299">
          <w:marLeft w:val="0"/>
          <w:marRight w:val="0"/>
          <w:marTop w:val="0"/>
          <w:marBottom w:val="0"/>
          <w:divBdr>
            <w:top w:val="none" w:sz="0" w:space="0" w:color="auto"/>
            <w:left w:val="none" w:sz="0" w:space="0" w:color="auto"/>
            <w:bottom w:val="none" w:sz="0" w:space="0" w:color="auto"/>
            <w:right w:val="none" w:sz="0" w:space="0" w:color="auto"/>
          </w:divBdr>
        </w:div>
        <w:div w:id="1913470630">
          <w:marLeft w:val="0"/>
          <w:marRight w:val="0"/>
          <w:marTop w:val="0"/>
          <w:marBottom w:val="0"/>
          <w:divBdr>
            <w:top w:val="none" w:sz="0" w:space="0" w:color="auto"/>
            <w:left w:val="none" w:sz="0" w:space="0" w:color="auto"/>
            <w:bottom w:val="none" w:sz="0" w:space="0" w:color="auto"/>
            <w:right w:val="none" w:sz="0" w:space="0" w:color="auto"/>
          </w:divBdr>
        </w:div>
        <w:div w:id="2006275107">
          <w:marLeft w:val="0"/>
          <w:marRight w:val="0"/>
          <w:marTop w:val="0"/>
          <w:marBottom w:val="0"/>
          <w:divBdr>
            <w:top w:val="none" w:sz="0" w:space="0" w:color="auto"/>
            <w:left w:val="none" w:sz="0" w:space="0" w:color="auto"/>
            <w:bottom w:val="none" w:sz="0" w:space="0" w:color="auto"/>
            <w:right w:val="none" w:sz="0" w:space="0" w:color="auto"/>
          </w:divBdr>
        </w:div>
        <w:div w:id="2127000328">
          <w:marLeft w:val="0"/>
          <w:marRight w:val="0"/>
          <w:marTop w:val="0"/>
          <w:marBottom w:val="0"/>
          <w:divBdr>
            <w:top w:val="none" w:sz="0" w:space="0" w:color="auto"/>
            <w:left w:val="none" w:sz="0" w:space="0" w:color="auto"/>
            <w:bottom w:val="none" w:sz="0" w:space="0" w:color="auto"/>
            <w:right w:val="none" w:sz="0" w:space="0" w:color="auto"/>
          </w:divBdr>
        </w:div>
      </w:divsChild>
    </w:div>
    <w:div w:id="756252578">
      <w:bodyDiv w:val="1"/>
      <w:marLeft w:val="0"/>
      <w:marRight w:val="0"/>
      <w:marTop w:val="0"/>
      <w:marBottom w:val="0"/>
      <w:divBdr>
        <w:top w:val="none" w:sz="0" w:space="0" w:color="auto"/>
        <w:left w:val="none" w:sz="0" w:space="0" w:color="auto"/>
        <w:bottom w:val="none" w:sz="0" w:space="0" w:color="auto"/>
        <w:right w:val="none" w:sz="0" w:space="0" w:color="auto"/>
      </w:divBdr>
    </w:div>
    <w:div w:id="917253059">
      <w:bodyDiv w:val="1"/>
      <w:marLeft w:val="0"/>
      <w:marRight w:val="0"/>
      <w:marTop w:val="0"/>
      <w:marBottom w:val="0"/>
      <w:divBdr>
        <w:top w:val="none" w:sz="0" w:space="0" w:color="auto"/>
        <w:left w:val="none" w:sz="0" w:space="0" w:color="auto"/>
        <w:bottom w:val="none" w:sz="0" w:space="0" w:color="auto"/>
        <w:right w:val="none" w:sz="0" w:space="0" w:color="auto"/>
      </w:divBdr>
      <w:divsChild>
        <w:div w:id="1875457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162744">
              <w:marLeft w:val="0"/>
              <w:marRight w:val="0"/>
              <w:marTop w:val="0"/>
              <w:marBottom w:val="0"/>
              <w:divBdr>
                <w:top w:val="none" w:sz="0" w:space="0" w:color="auto"/>
                <w:left w:val="none" w:sz="0" w:space="0" w:color="auto"/>
                <w:bottom w:val="none" w:sz="0" w:space="0" w:color="auto"/>
                <w:right w:val="none" w:sz="0" w:space="0" w:color="auto"/>
              </w:divBdr>
              <w:divsChild>
                <w:div w:id="1797286660">
                  <w:marLeft w:val="0"/>
                  <w:marRight w:val="0"/>
                  <w:marTop w:val="0"/>
                  <w:marBottom w:val="0"/>
                  <w:divBdr>
                    <w:top w:val="none" w:sz="0" w:space="0" w:color="auto"/>
                    <w:left w:val="none" w:sz="0" w:space="0" w:color="auto"/>
                    <w:bottom w:val="none" w:sz="0" w:space="0" w:color="auto"/>
                    <w:right w:val="none" w:sz="0" w:space="0" w:color="auto"/>
                  </w:divBdr>
                  <w:divsChild>
                    <w:div w:id="974989504">
                      <w:marLeft w:val="0"/>
                      <w:marRight w:val="0"/>
                      <w:marTop w:val="0"/>
                      <w:marBottom w:val="0"/>
                      <w:divBdr>
                        <w:top w:val="none" w:sz="0" w:space="0" w:color="auto"/>
                        <w:left w:val="none" w:sz="0" w:space="0" w:color="auto"/>
                        <w:bottom w:val="none" w:sz="0" w:space="0" w:color="auto"/>
                        <w:right w:val="none" w:sz="0" w:space="0" w:color="auto"/>
                      </w:divBdr>
                      <w:divsChild>
                        <w:div w:id="2106143739">
                          <w:marLeft w:val="0"/>
                          <w:marRight w:val="0"/>
                          <w:marTop w:val="0"/>
                          <w:marBottom w:val="0"/>
                          <w:divBdr>
                            <w:top w:val="none" w:sz="0" w:space="0" w:color="auto"/>
                            <w:left w:val="none" w:sz="0" w:space="0" w:color="auto"/>
                            <w:bottom w:val="none" w:sz="0" w:space="0" w:color="auto"/>
                            <w:right w:val="none" w:sz="0" w:space="0" w:color="auto"/>
                          </w:divBdr>
                          <w:divsChild>
                            <w:div w:id="49843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6252036">
                                  <w:marLeft w:val="0"/>
                                  <w:marRight w:val="0"/>
                                  <w:marTop w:val="0"/>
                                  <w:marBottom w:val="0"/>
                                  <w:divBdr>
                                    <w:top w:val="none" w:sz="0" w:space="0" w:color="auto"/>
                                    <w:left w:val="none" w:sz="0" w:space="0" w:color="auto"/>
                                    <w:bottom w:val="none" w:sz="0" w:space="0" w:color="auto"/>
                                    <w:right w:val="none" w:sz="0" w:space="0" w:color="auto"/>
                                  </w:divBdr>
                                  <w:divsChild>
                                    <w:div w:id="121267179">
                                      <w:marLeft w:val="0"/>
                                      <w:marRight w:val="0"/>
                                      <w:marTop w:val="0"/>
                                      <w:marBottom w:val="0"/>
                                      <w:divBdr>
                                        <w:top w:val="none" w:sz="0" w:space="0" w:color="auto"/>
                                        <w:left w:val="none" w:sz="0" w:space="0" w:color="auto"/>
                                        <w:bottom w:val="none" w:sz="0" w:space="0" w:color="auto"/>
                                        <w:right w:val="none" w:sz="0" w:space="0" w:color="auto"/>
                                      </w:divBdr>
                                    </w:div>
                                    <w:div w:id="390344842">
                                      <w:marLeft w:val="0"/>
                                      <w:marRight w:val="0"/>
                                      <w:marTop w:val="0"/>
                                      <w:marBottom w:val="0"/>
                                      <w:divBdr>
                                        <w:top w:val="none" w:sz="0" w:space="0" w:color="auto"/>
                                        <w:left w:val="none" w:sz="0" w:space="0" w:color="auto"/>
                                        <w:bottom w:val="none" w:sz="0" w:space="0" w:color="auto"/>
                                        <w:right w:val="none" w:sz="0" w:space="0" w:color="auto"/>
                                      </w:divBdr>
                                    </w:div>
                                    <w:div w:id="437914180">
                                      <w:marLeft w:val="0"/>
                                      <w:marRight w:val="0"/>
                                      <w:marTop w:val="0"/>
                                      <w:marBottom w:val="0"/>
                                      <w:divBdr>
                                        <w:top w:val="none" w:sz="0" w:space="0" w:color="auto"/>
                                        <w:left w:val="none" w:sz="0" w:space="0" w:color="auto"/>
                                        <w:bottom w:val="none" w:sz="0" w:space="0" w:color="auto"/>
                                        <w:right w:val="none" w:sz="0" w:space="0" w:color="auto"/>
                                      </w:divBdr>
                                    </w:div>
                                    <w:div w:id="451748812">
                                      <w:marLeft w:val="0"/>
                                      <w:marRight w:val="0"/>
                                      <w:marTop w:val="0"/>
                                      <w:marBottom w:val="0"/>
                                      <w:divBdr>
                                        <w:top w:val="none" w:sz="0" w:space="0" w:color="auto"/>
                                        <w:left w:val="none" w:sz="0" w:space="0" w:color="auto"/>
                                        <w:bottom w:val="none" w:sz="0" w:space="0" w:color="auto"/>
                                        <w:right w:val="none" w:sz="0" w:space="0" w:color="auto"/>
                                      </w:divBdr>
                                    </w:div>
                                    <w:div w:id="1094135778">
                                      <w:marLeft w:val="0"/>
                                      <w:marRight w:val="0"/>
                                      <w:marTop w:val="0"/>
                                      <w:marBottom w:val="0"/>
                                      <w:divBdr>
                                        <w:top w:val="none" w:sz="0" w:space="0" w:color="auto"/>
                                        <w:left w:val="none" w:sz="0" w:space="0" w:color="auto"/>
                                        <w:bottom w:val="none" w:sz="0" w:space="0" w:color="auto"/>
                                        <w:right w:val="none" w:sz="0" w:space="0" w:color="auto"/>
                                      </w:divBdr>
                                    </w:div>
                                    <w:div w:id="1480609256">
                                      <w:marLeft w:val="0"/>
                                      <w:marRight w:val="0"/>
                                      <w:marTop w:val="0"/>
                                      <w:marBottom w:val="0"/>
                                      <w:divBdr>
                                        <w:top w:val="none" w:sz="0" w:space="0" w:color="auto"/>
                                        <w:left w:val="none" w:sz="0" w:space="0" w:color="auto"/>
                                        <w:bottom w:val="none" w:sz="0" w:space="0" w:color="auto"/>
                                        <w:right w:val="none" w:sz="0" w:space="0" w:color="auto"/>
                                      </w:divBdr>
                                    </w:div>
                                    <w:div w:id="1504474537">
                                      <w:marLeft w:val="0"/>
                                      <w:marRight w:val="0"/>
                                      <w:marTop w:val="0"/>
                                      <w:marBottom w:val="0"/>
                                      <w:divBdr>
                                        <w:top w:val="none" w:sz="0" w:space="0" w:color="auto"/>
                                        <w:left w:val="none" w:sz="0" w:space="0" w:color="auto"/>
                                        <w:bottom w:val="none" w:sz="0" w:space="0" w:color="auto"/>
                                        <w:right w:val="none" w:sz="0" w:space="0" w:color="auto"/>
                                      </w:divBdr>
                                    </w:div>
                                    <w:div w:id="1688286569">
                                      <w:marLeft w:val="0"/>
                                      <w:marRight w:val="0"/>
                                      <w:marTop w:val="0"/>
                                      <w:marBottom w:val="0"/>
                                      <w:divBdr>
                                        <w:top w:val="none" w:sz="0" w:space="0" w:color="auto"/>
                                        <w:left w:val="none" w:sz="0" w:space="0" w:color="auto"/>
                                        <w:bottom w:val="none" w:sz="0" w:space="0" w:color="auto"/>
                                        <w:right w:val="none" w:sz="0" w:space="0" w:color="auto"/>
                                      </w:divBdr>
                                    </w:div>
                                    <w:div w:id="16895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902549">
      <w:bodyDiv w:val="1"/>
      <w:marLeft w:val="0"/>
      <w:marRight w:val="0"/>
      <w:marTop w:val="0"/>
      <w:marBottom w:val="0"/>
      <w:divBdr>
        <w:top w:val="none" w:sz="0" w:space="0" w:color="auto"/>
        <w:left w:val="none" w:sz="0" w:space="0" w:color="auto"/>
        <w:bottom w:val="none" w:sz="0" w:space="0" w:color="auto"/>
        <w:right w:val="none" w:sz="0" w:space="0" w:color="auto"/>
      </w:divBdr>
    </w:div>
    <w:div w:id="1670518209">
      <w:bodyDiv w:val="1"/>
      <w:marLeft w:val="0"/>
      <w:marRight w:val="0"/>
      <w:marTop w:val="0"/>
      <w:marBottom w:val="0"/>
      <w:divBdr>
        <w:top w:val="none" w:sz="0" w:space="0" w:color="auto"/>
        <w:left w:val="none" w:sz="0" w:space="0" w:color="auto"/>
        <w:bottom w:val="none" w:sz="0" w:space="0" w:color="auto"/>
        <w:right w:val="none" w:sz="0" w:space="0" w:color="auto"/>
      </w:divBdr>
      <w:divsChild>
        <w:div w:id="42951350">
          <w:marLeft w:val="0"/>
          <w:marRight w:val="0"/>
          <w:marTop w:val="0"/>
          <w:marBottom w:val="0"/>
          <w:divBdr>
            <w:top w:val="none" w:sz="0" w:space="0" w:color="auto"/>
            <w:left w:val="none" w:sz="0" w:space="0" w:color="auto"/>
            <w:bottom w:val="none" w:sz="0" w:space="0" w:color="auto"/>
            <w:right w:val="none" w:sz="0" w:space="0" w:color="auto"/>
          </w:divBdr>
        </w:div>
        <w:div w:id="135729183">
          <w:marLeft w:val="0"/>
          <w:marRight w:val="0"/>
          <w:marTop w:val="0"/>
          <w:marBottom w:val="0"/>
          <w:divBdr>
            <w:top w:val="none" w:sz="0" w:space="0" w:color="auto"/>
            <w:left w:val="none" w:sz="0" w:space="0" w:color="auto"/>
            <w:bottom w:val="none" w:sz="0" w:space="0" w:color="auto"/>
            <w:right w:val="none" w:sz="0" w:space="0" w:color="auto"/>
          </w:divBdr>
        </w:div>
        <w:div w:id="219752512">
          <w:marLeft w:val="0"/>
          <w:marRight w:val="0"/>
          <w:marTop w:val="0"/>
          <w:marBottom w:val="0"/>
          <w:divBdr>
            <w:top w:val="none" w:sz="0" w:space="0" w:color="auto"/>
            <w:left w:val="none" w:sz="0" w:space="0" w:color="auto"/>
            <w:bottom w:val="none" w:sz="0" w:space="0" w:color="auto"/>
            <w:right w:val="none" w:sz="0" w:space="0" w:color="auto"/>
          </w:divBdr>
        </w:div>
        <w:div w:id="366031014">
          <w:marLeft w:val="0"/>
          <w:marRight w:val="0"/>
          <w:marTop w:val="0"/>
          <w:marBottom w:val="0"/>
          <w:divBdr>
            <w:top w:val="none" w:sz="0" w:space="0" w:color="auto"/>
            <w:left w:val="none" w:sz="0" w:space="0" w:color="auto"/>
            <w:bottom w:val="none" w:sz="0" w:space="0" w:color="auto"/>
            <w:right w:val="none" w:sz="0" w:space="0" w:color="auto"/>
          </w:divBdr>
        </w:div>
        <w:div w:id="547717078">
          <w:marLeft w:val="0"/>
          <w:marRight w:val="0"/>
          <w:marTop w:val="0"/>
          <w:marBottom w:val="0"/>
          <w:divBdr>
            <w:top w:val="none" w:sz="0" w:space="0" w:color="auto"/>
            <w:left w:val="none" w:sz="0" w:space="0" w:color="auto"/>
            <w:bottom w:val="none" w:sz="0" w:space="0" w:color="auto"/>
            <w:right w:val="none" w:sz="0" w:space="0" w:color="auto"/>
          </w:divBdr>
        </w:div>
        <w:div w:id="1071343403">
          <w:marLeft w:val="0"/>
          <w:marRight w:val="0"/>
          <w:marTop w:val="0"/>
          <w:marBottom w:val="0"/>
          <w:divBdr>
            <w:top w:val="none" w:sz="0" w:space="0" w:color="auto"/>
            <w:left w:val="none" w:sz="0" w:space="0" w:color="auto"/>
            <w:bottom w:val="none" w:sz="0" w:space="0" w:color="auto"/>
            <w:right w:val="none" w:sz="0" w:space="0" w:color="auto"/>
          </w:divBdr>
        </w:div>
        <w:div w:id="1079061992">
          <w:marLeft w:val="0"/>
          <w:marRight w:val="0"/>
          <w:marTop w:val="0"/>
          <w:marBottom w:val="0"/>
          <w:divBdr>
            <w:top w:val="none" w:sz="0" w:space="0" w:color="auto"/>
            <w:left w:val="none" w:sz="0" w:space="0" w:color="auto"/>
            <w:bottom w:val="none" w:sz="0" w:space="0" w:color="auto"/>
            <w:right w:val="none" w:sz="0" w:space="0" w:color="auto"/>
          </w:divBdr>
        </w:div>
        <w:div w:id="1324745017">
          <w:marLeft w:val="0"/>
          <w:marRight w:val="0"/>
          <w:marTop w:val="0"/>
          <w:marBottom w:val="0"/>
          <w:divBdr>
            <w:top w:val="none" w:sz="0" w:space="0" w:color="auto"/>
            <w:left w:val="none" w:sz="0" w:space="0" w:color="auto"/>
            <w:bottom w:val="none" w:sz="0" w:space="0" w:color="auto"/>
            <w:right w:val="none" w:sz="0" w:space="0" w:color="auto"/>
          </w:divBdr>
        </w:div>
        <w:div w:id="1495218676">
          <w:marLeft w:val="0"/>
          <w:marRight w:val="0"/>
          <w:marTop w:val="0"/>
          <w:marBottom w:val="0"/>
          <w:divBdr>
            <w:top w:val="none" w:sz="0" w:space="0" w:color="auto"/>
            <w:left w:val="none" w:sz="0" w:space="0" w:color="auto"/>
            <w:bottom w:val="none" w:sz="0" w:space="0" w:color="auto"/>
            <w:right w:val="none" w:sz="0" w:space="0" w:color="auto"/>
          </w:divBdr>
        </w:div>
      </w:divsChild>
    </w:div>
    <w:div w:id="1874029926">
      <w:bodyDiv w:val="1"/>
      <w:marLeft w:val="0"/>
      <w:marRight w:val="0"/>
      <w:marTop w:val="0"/>
      <w:marBottom w:val="0"/>
      <w:divBdr>
        <w:top w:val="none" w:sz="0" w:space="0" w:color="auto"/>
        <w:left w:val="none" w:sz="0" w:space="0" w:color="auto"/>
        <w:bottom w:val="none" w:sz="0" w:space="0" w:color="auto"/>
        <w:right w:val="none" w:sz="0" w:space="0" w:color="auto"/>
      </w:divBdr>
      <w:divsChild>
        <w:div w:id="372048498">
          <w:marLeft w:val="0"/>
          <w:marRight w:val="0"/>
          <w:marTop w:val="0"/>
          <w:marBottom w:val="0"/>
          <w:divBdr>
            <w:top w:val="none" w:sz="0" w:space="0" w:color="auto"/>
            <w:left w:val="none" w:sz="0" w:space="0" w:color="auto"/>
            <w:bottom w:val="none" w:sz="0" w:space="0" w:color="auto"/>
            <w:right w:val="none" w:sz="0" w:space="0" w:color="auto"/>
          </w:divBdr>
        </w:div>
        <w:div w:id="1287664976">
          <w:marLeft w:val="0"/>
          <w:marRight w:val="0"/>
          <w:marTop w:val="0"/>
          <w:marBottom w:val="0"/>
          <w:divBdr>
            <w:top w:val="none" w:sz="0" w:space="0" w:color="auto"/>
            <w:left w:val="none" w:sz="0" w:space="0" w:color="auto"/>
            <w:bottom w:val="none" w:sz="0" w:space="0" w:color="auto"/>
            <w:right w:val="none" w:sz="0" w:space="0" w:color="auto"/>
          </w:divBdr>
        </w:div>
        <w:div w:id="1446729020">
          <w:marLeft w:val="0"/>
          <w:marRight w:val="0"/>
          <w:marTop w:val="0"/>
          <w:marBottom w:val="0"/>
          <w:divBdr>
            <w:top w:val="none" w:sz="0" w:space="0" w:color="auto"/>
            <w:left w:val="none" w:sz="0" w:space="0" w:color="auto"/>
            <w:bottom w:val="none" w:sz="0" w:space="0" w:color="auto"/>
            <w:right w:val="none" w:sz="0" w:space="0" w:color="auto"/>
          </w:divBdr>
        </w:div>
        <w:div w:id="1545170447">
          <w:marLeft w:val="0"/>
          <w:marRight w:val="0"/>
          <w:marTop w:val="0"/>
          <w:marBottom w:val="0"/>
          <w:divBdr>
            <w:top w:val="none" w:sz="0" w:space="0" w:color="auto"/>
            <w:left w:val="none" w:sz="0" w:space="0" w:color="auto"/>
            <w:bottom w:val="none" w:sz="0" w:space="0" w:color="auto"/>
            <w:right w:val="none" w:sz="0" w:space="0" w:color="auto"/>
          </w:divBdr>
        </w:div>
        <w:div w:id="1672752750">
          <w:marLeft w:val="0"/>
          <w:marRight w:val="0"/>
          <w:marTop w:val="0"/>
          <w:marBottom w:val="0"/>
          <w:divBdr>
            <w:top w:val="none" w:sz="0" w:space="0" w:color="auto"/>
            <w:left w:val="none" w:sz="0" w:space="0" w:color="auto"/>
            <w:bottom w:val="none" w:sz="0" w:space="0" w:color="auto"/>
            <w:right w:val="none" w:sz="0" w:space="0" w:color="auto"/>
          </w:divBdr>
        </w:div>
      </w:divsChild>
    </w:div>
    <w:div w:id="1889412579">
      <w:bodyDiv w:val="1"/>
      <w:marLeft w:val="0"/>
      <w:marRight w:val="0"/>
      <w:marTop w:val="0"/>
      <w:marBottom w:val="0"/>
      <w:divBdr>
        <w:top w:val="none" w:sz="0" w:space="0" w:color="auto"/>
        <w:left w:val="none" w:sz="0" w:space="0" w:color="auto"/>
        <w:bottom w:val="none" w:sz="0" w:space="0" w:color="auto"/>
        <w:right w:val="none" w:sz="0" w:space="0" w:color="auto"/>
      </w:divBdr>
      <w:divsChild>
        <w:div w:id="99954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012212">
              <w:marLeft w:val="0"/>
              <w:marRight w:val="0"/>
              <w:marTop w:val="0"/>
              <w:marBottom w:val="0"/>
              <w:divBdr>
                <w:top w:val="none" w:sz="0" w:space="0" w:color="auto"/>
                <w:left w:val="none" w:sz="0" w:space="0" w:color="auto"/>
                <w:bottom w:val="none" w:sz="0" w:space="0" w:color="auto"/>
                <w:right w:val="none" w:sz="0" w:space="0" w:color="auto"/>
              </w:divBdr>
              <w:divsChild>
                <w:div w:id="1909029479">
                  <w:marLeft w:val="0"/>
                  <w:marRight w:val="0"/>
                  <w:marTop w:val="0"/>
                  <w:marBottom w:val="0"/>
                  <w:divBdr>
                    <w:top w:val="none" w:sz="0" w:space="0" w:color="auto"/>
                    <w:left w:val="none" w:sz="0" w:space="0" w:color="auto"/>
                    <w:bottom w:val="none" w:sz="0" w:space="0" w:color="auto"/>
                    <w:right w:val="none" w:sz="0" w:space="0" w:color="auto"/>
                  </w:divBdr>
                  <w:divsChild>
                    <w:div w:id="557983823">
                      <w:marLeft w:val="0"/>
                      <w:marRight w:val="0"/>
                      <w:marTop w:val="0"/>
                      <w:marBottom w:val="0"/>
                      <w:divBdr>
                        <w:top w:val="none" w:sz="0" w:space="0" w:color="auto"/>
                        <w:left w:val="none" w:sz="0" w:space="0" w:color="auto"/>
                        <w:bottom w:val="none" w:sz="0" w:space="0" w:color="auto"/>
                        <w:right w:val="none" w:sz="0" w:space="0" w:color="auto"/>
                      </w:divBdr>
                      <w:divsChild>
                        <w:div w:id="675307014">
                          <w:marLeft w:val="0"/>
                          <w:marRight w:val="0"/>
                          <w:marTop w:val="0"/>
                          <w:marBottom w:val="0"/>
                          <w:divBdr>
                            <w:top w:val="none" w:sz="0" w:space="0" w:color="auto"/>
                            <w:left w:val="none" w:sz="0" w:space="0" w:color="auto"/>
                            <w:bottom w:val="none" w:sz="0" w:space="0" w:color="auto"/>
                            <w:right w:val="none" w:sz="0" w:space="0" w:color="auto"/>
                          </w:divBdr>
                          <w:divsChild>
                            <w:div w:id="12979544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3750203">
                                  <w:marLeft w:val="0"/>
                                  <w:marRight w:val="0"/>
                                  <w:marTop w:val="0"/>
                                  <w:marBottom w:val="0"/>
                                  <w:divBdr>
                                    <w:top w:val="none" w:sz="0" w:space="0" w:color="auto"/>
                                    <w:left w:val="none" w:sz="0" w:space="0" w:color="auto"/>
                                    <w:bottom w:val="none" w:sz="0" w:space="0" w:color="auto"/>
                                    <w:right w:val="none" w:sz="0" w:space="0" w:color="auto"/>
                                  </w:divBdr>
                                  <w:divsChild>
                                    <w:div w:id="139538096">
                                      <w:marLeft w:val="0"/>
                                      <w:marRight w:val="0"/>
                                      <w:marTop w:val="0"/>
                                      <w:marBottom w:val="0"/>
                                      <w:divBdr>
                                        <w:top w:val="none" w:sz="0" w:space="0" w:color="auto"/>
                                        <w:left w:val="none" w:sz="0" w:space="0" w:color="auto"/>
                                        <w:bottom w:val="none" w:sz="0" w:space="0" w:color="auto"/>
                                        <w:right w:val="none" w:sz="0" w:space="0" w:color="auto"/>
                                      </w:divBdr>
                                    </w:div>
                                    <w:div w:id="253247252">
                                      <w:marLeft w:val="0"/>
                                      <w:marRight w:val="0"/>
                                      <w:marTop w:val="0"/>
                                      <w:marBottom w:val="0"/>
                                      <w:divBdr>
                                        <w:top w:val="none" w:sz="0" w:space="0" w:color="auto"/>
                                        <w:left w:val="none" w:sz="0" w:space="0" w:color="auto"/>
                                        <w:bottom w:val="none" w:sz="0" w:space="0" w:color="auto"/>
                                        <w:right w:val="none" w:sz="0" w:space="0" w:color="auto"/>
                                      </w:divBdr>
                                    </w:div>
                                    <w:div w:id="363409827">
                                      <w:marLeft w:val="0"/>
                                      <w:marRight w:val="0"/>
                                      <w:marTop w:val="0"/>
                                      <w:marBottom w:val="0"/>
                                      <w:divBdr>
                                        <w:top w:val="none" w:sz="0" w:space="0" w:color="auto"/>
                                        <w:left w:val="none" w:sz="0" w:space="0" w:color="auto"/>
                                        <w:bottom w:val="none" w:sz="0" w:space="0" w:color="auto"/>
                                        <w:right w:val="none" w:sz="0" w:space="0" w:color="auto"/>
                                      </w:divBdr>
                                    </w:div>
                                    <w:div w:id="478032420">
                                      <w:marLeft w:val="0"/>
                                      <w:marRight w:val="0"/>
                                      <w:marTop w:val="0"/>
                                      <w:marBottom w:val="0"/>
                                      <w:divBdr>
                                        <w:top w:val="none" w:sz="0" w:space="0" w:color="auto"/>
                                        <w:left w:val="none" w:sz="0" w:space="0" w:color="auto"/>
                                        <w:bottom w:val="none" w:sz="0" w:space="0" w:color="auto"/>
                                        <w:right w:val="none" w:sz="0" w:space="0" w:color="auto"/>
                                      </w:divBdr>
                                    </w:div>
                                    <w:div w:id="620650430">
                                      <w:marLeft w:val="0"/>
                                      <w:marRight w:val="0"/>
                                      <w:marTop w:val="0"/>
                                      <w:marBottom w:val="0"/>
                                      <w:divBdr>
                                        <w:top w:val="none" w:sz="0" w:space="0" w:color="auto"/>
                                        <w:left w:val="none" w:sz="0" w:space="0" w:color="auto"/>
                                        <w:bottom w:val="none" w:sz="0" w:space="0" w:color="auto"/>
                                        <w:right w:val="none" w:sz="0" w:space="0" w:color="auto"/>
                                      </w:divBdr>
                                    </w:div>
                                    <w:div w:id="999188182">
                                      <w:marLeft w:val="0"/>
                                      <w:marRight w:val="0"/>
                                      <w:marTop w:val="0"/>
                                      <w:marBottom w:val="0"/>
                                      <w:divBdr>
                                        <w:top w:val="none" w:sz="0" w:space="0" w:color="auto"/>
                                        <w:left w:val="none" w:sz="0" w:space="0" w:color="auto"/>
                                        <w:bottom w:val="none" w:sz="0" w:space="0" w:color="auto"/>
                                        <w:right w:val="none" w:sz="0" w:space="0" w:color="auto"/>
                                      </w:divBdr>
                                    </w:div>
                                    <w:div w:id="1133445891">
                                      <w:marLeft w:val="0"/>
                                      <w:marRight w:val="0"/>
                                      <w:marTop w:val="0"/>
                                      <w:marBottom w:val="0"/>
                                      <w:divBdr>
                                        <w:top w:val="none" w:sz="0" w:space="0" w:color="auto"/>
                                        <w:left w:val="none" w:sz="0" w:space="0" w:color="auto"/>
                                        <w:bottom w:val="none" w:sz="0" w:space="0" w:color="auto"/>
                                        <w:right w:val="none" w:sz="0" w:space="0" w:color="auto"/>
                                      </w:divBdr>
                                    </w:div>
                                    <w:div w:id="1163543068">
                                      <w:marLeft w:val="0"/>
                                      <w:marRight w:val="0"/>
                                      <w:marTop w:val="0"/>
                                      <w:marBottom w:val="0"/>
                                      <w:divBdr>
                                        <w:top w:val="none" w:sz="0" w:space="0" w:color="auto"/>
                                        <w:left w:val="none" w:sz="0" w:space="0" w:color="auto"/>
                                        <w:bottom w:val="none" w:sz="0" w:space="0" w:color="auto"/>
                                        <w:right w:val="none" w:sz="0" w:space="0" w:color="auto"/>
                                      </w:divBdr>
                                    </w:div>
                                    <w:div w:id="12759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news.release/ecec.nr0.htm" TargetMode="External"/><Relationship Id="rId5" Type="http://schemas.openxmlformats.org/officeDocument/2006/relationships/footnotes" Target="footnotes.xml"/><Relationship Id="rId10" Type="http://schemas.openxmlformats.org/officeDocument/2006/relationships/hyperlink" Target="https://www.opm.gov/policy-data-oversight/pay-leave/salaries-wages/salary-tables/pdf/2019/POR_h.pdf" TargetMode="External"/><Relationship Id="rId4" Type="http://schemas.openxmlformats.org/officeDocument/2006/relationships/webSettings" Target="webSettings.xml"/><Relationship Id="rId9"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3428</Words>
  <Characters>19541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SUPPORTING STATEMENT FOR OMB CONTROL NUMBER 1004-0034, OIL AND GAS LEASE TRANSFERS BY ASSIGNMENTS OR OPERATING RIGHTS (SUBLEASE) (43 CFR 3106, 3135, AND 3216), FORMS 3000-3 AND 3000-3a</vt:lpstr>
    </vt:vector>
  </TitlesOfParts>
  <Company>Bureau of Land Management</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CONTROL NUMBER 1004-0034, OIL AND GAS LEASE TRANSFERS BY ASSIGNMENTS OR OPERATING RIGHTS (SUBLEASE) (43 CFR 3106, 3135, AND 3216), FORMS 3000-3 AND 3000-3a</dc:title>
  <dc:subject/>
  <dc:creator>bgamble</dc:creator>
  <cp:keywords/>
  <dc:description/>
  <cp:lastModifiedBy>Miller, Sofie E.</cp:lastModifiedBy>
  <cp:revision>2</cp:revision>
  <cp:lastPrinted>2020-01-09T20:18:00Z</cp:lastPrinted>
  <dcterms:created xsi:type="dcterms:W3CDTF">2020-07-23T14:57:00Z</dcterms:created>
  <dcterms:modified xsi:type="dcterms:W3CDTF">2020-07-23T14:57:00Z</dcterms:modified>
</cp:coreProperties>
</file>