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B4" w:rsidRPr="003463B4" w:rsidRDefault="003463B4" w:rsidP="003463B4">
      <w:pPr>
        <w:overflowPunct w:val="0"/>
        <w:jc w:val="center"/>
        <w:textAlignment w:val="baseline"/>
        <w:rPr>
          <w:b/>
        </w:rPr>
      </w:pPr>
      <w:bookmarkStart w:id="0" w:name="_GoBack"/>
      <w:bookmarkEnd w:id="0"/>
      <w:r w:rsidRPr="003463B4">
        <w:rPr>
          <w:b/>
        </w:rPr>
        <w:t>G-1530</w:t>
      </w:r>
      <w:r w:rsidR="003311F3">
        <w:rPr>
          <w:b/>
        </w:rPr>
        <w:t>, USCIS Tip Form,</w:t>
      </w:r>
      <w:r w:rsidRPr="003463B4">
        <w:rPr>
          <w:b/>
        </w:rPr>
        <w:t xml:space="preserve"> Authorities</w:t>
      </w:r>
    </w:p>
    <w:p w:rsidR="003463B4" w:rsidRDefault="003463B4" w:rsidP="003463B4">
      <w:pPr>
        <w:overflowPunct w:val="0"/>
        <w:textAlignment w:val="baseline"/>
        <w:rPr>
          <w:u w:val="single"/>
        </w:rPr>
      </w:pPr>
    </w:p>
    <w:p w:rsidR="003311F3" w:rsidRDefault="003311F3" w:rsidP="003311F3">
      <w:pPr>
        <w:numPr>
          <w:ilvl w:val="0"/>
          <w:numId w:val="1"/>
        </w:numPr>
        <w:overflowPunct w:val="0"/>
        <w:textAlignment w:val="baseline"/>
        <w:rPr>
          <w:color w:val="000000" w:themeColor="text1"/>
        </w:rPr>
      </w:pPr>
      <w:r w:rsidRPr="00F3101B">
        <w:rPr>
          <w:color w:val="000000" w:themeColor="text1"/>
          <w:u w:val="single"/>
        </w:rPr>
        <w:t xml:space="preserve">INA § 103(a)(1) </w:t>
      </w:r>
      <w:r w:rsidRPr="00F3101B">
        <w:rPr>
          <w:color w:val="000000" w:themeColor="text1"/>
        </w:rPr>
        <w:t xml:space="preserve">- The Secretary of Homeland Security has the authority to administer and enforce the INA. </w:t>
      </w:r>
    </w:p>
    <w:p w:rsidR="003311F3" w:rsidRPr="00F3101B" w:rsidRDefault="003311F3" w:rsidP="003311F3">
      <w:pPr>
        <w:overflowPunct w:val="0"/>
        <w:ind w:left="720"/>
        <w:textAlignment w:val="baseline"/>
        <w:rPr>
          <w:color w:val="000000" w:themeColor="text1"/>
        </w:rPr>
      </w:pPr>
    </w:p>
    <w:p w:rsidR="003311F3" w:rsidRPr="003311F3" w:rsidRDefault="003311F3" w:rsidP="003311F3">
      <w:pPr>
        <w:numPr>
          <w:ilvl w:val="0"/>
          <w:numId w:val="1"/>
        </w:numPr>
        <w:overflowPunct w:val="0"/>
        <w:textAlignment w:val="baseline"/>
        <w:rPr>
          <w:color w:val="000000" w:themeColor="text1"/>
        </w:rPr>
      </w:pPr>
      <w:r w:rsidRPr="00F3101B">
        <w:rPr>
          <w:color w:val="000000" w:themeColor="text1"/>
          <w:u w:val="single"/>
        </w:rPr>
        <w:t>INA § 287(b)</w:t>
      </w:r>
      <w:r w:rsidRPr="00F3101B">
        <w:rPr>
          <w:color w:val="000000" w:themeColor="text1"/>
        </w:rPr>
        <w:t xml:space="preserve"> - The Secretary may designate officers or employees to take and consider evidence concerning any matter which is material or relevant to the enforcement of the INA.  </w:t>
      </w:r>
    </w:p>
    <w:p w:rsidR="003311F3" w:rsidRPr="00F3101B" w:rsidRDefault="003311F3" w:rsidP="003311F3">
      <w:pPr>
        <w:overflowPunct w:val="0"/>
        <w:ind w:left="720"/>
        <w:textAlignment w:val="baseline"/>
        <w:rPr>
          <w:color w:val="000000" w:themeColor="text1"/>
        </w:rPr>
      </w:pPr>
    </w:p>
    <w:p w:rsidR="003311F3" w:rsidRDefault="003311F3" w:rsidP="003311F3">
      <w:pPr>
        <w:numPr>
          <w:ilvl w:val="0"/>
          <w:numId w:val="1"/>
        </w:numPr>
        <w:overflowPunct w:val="0"/>
        <w:textAlignment w:val="baseline"/>
        <w:rPr>
          <w:color w:val="000000" w:themeColor="text1"/>
        </w:rPr>
      </w:pPr>
      <w:r w:rsidRPr="00F3101B">
        <w:rPr>
          <w:color w:val="000000" w:themeColor="text1"/>
          <w:u w:val="single"/>
        </w:rPr>
        <w:t>INA §§ 103(a)(4), 287(b); 8 C.F.R. § 2.1</w:t>
      </w:r>
      <w:r w:rsidRPr="00F3101B">
        <w:rPr>
          <w:color w:val="000000" w:themeColor="text1"/>
        </w:rPr>
        <w:t xml:space="preserve"> - These authorities may be delegated. </w:t>
      </w:r>
    </w:p>
    <w:p w:rsidR="003311F3" w:rsidRPr="00F3101B" w:rsidRDefault="003311F3" w:rsidP="003311F3">
      <w:pPr>
        <w:overflowPunct w:val="0"/>
        <w:ind w:left="720"/>
        <w:textAlignment w:val="baseline"/>
        <w:rPr>
          <w:color w:val="000000" w:themeColor="text1"/>
        </w:rPr>
      </w:pPr>
    </w:p>
    <w:p w:rsidR="003311F3" w:rsidRDefault="003311F3" w:rsidP="003311F3">
      <w:pPr>
        <w:numPr>
          <w:ilvl w:val="0"/>
          <w:numId w:val="1"/>
        </w:numPr>
        <w:overflowPunct w:val="0"/>
        <w:textAlignment w:val="baseline"/>
        <w:rPr>
          <w:color w:val="000000" w:themeColor="text1"/>
        </w:rPr>
      </w:pPr>
      <w:r w:rsidRPr="00F3101B">
        <w:rPr>
          <w:color w:val="000000" w:themeColor="text1"/>
        </w:rPr>
        <w:t>Executive Order 13,780, Mar. 9, 2017, (82 FR 13209). This Executive Order directs the Department of Homeland Security to implement, among other things, appropriate means for ensuring the proper collection of all information necessary for a rigorous evaluation of all grounds of inadmissibility or grounds for the denial of other immigration benefits.</w:t>
      </w:r>
    </w:p>
    <w:p w:rsidR="003311F3" w:rsidRPr="00F3101B" w:rsidRDefault="003311F3" w:rsidP="003311F3">
      <w:pPr>
        <w:overflowPunct w:val="0"/>
        <w:textAlignment w:val="baseline"/>
        <w:rPr>
          <w:color w:val="000000" w:themeColor="text1"/>
        </w:rPr>
      </w:pPr>
    </w:p>
    <w:p w:rsidR="003311F3" w:rsidRDefault="003311F3" w:rsidP="003311F3">
      <w:pPr>
        <w:numPr>
          <w:ilvl w:val="0"/>
          <w:numId w:val="1"/>
        </w:numPr>
        <w:overflowPunct w:val="0"/>
        <w:spacing w:before="86"/>
        <w:textAlignment w:val="baseline"/>
        <w:rPr>
          <w:color w:val="000000" w:themeColor="text1"/>
        </w:rPr>
      </w:pPr>
      <w:r w:rsidRPr="00F3101B">
        <w:rPr>
          <w:color w:val="000000" w:themeColor="text1"/>
          <w:u w:val="single"/>
        </w:rPr>
        <w:t>DHS Delegation of Authorities 0150</w:t>
      </w:r>
      <w:r w:rsidRPr="00F3101B">
        <w:rPr>
          <w:color w:val="000000" w:themeColor="text1"/>
        </w:rPr>
        <w:t xml:space="preserve"> – USCIS has authority to administer the INA.</w:t>
      </w:r>
    </w:p>
    <w:p w:rsidR="003311F3" w:rsidRPr="00F3101B" w:rsidRDefault="003311F3" w:rsidP="003311F3">
      <w:pPr>
        <w:overflowPunct w:val="0"/>
        <w:spacing w:before="86"/>
        <w:textAlignment w:val="baseline"/>
        <w:rPr>
          <w:color w:val="000000" w:themeColor="text1"/>
        </w:rPr>
      </w:pPr>
    </w:p>
    <w:p w:rsidR="003311F3" w:rsidRDefault="003311F3" w:rsidP="003311F3">
      <w:pPr>
        <w:numPr>
          <w:ilvl w:val="1"/>
          <w:numId w:val="1"/>
        </w:numPr>
        <w:overflowPunct w:val="0"/>
        <w:ind w:left="720"/>
        <w:textAlignment w:val="baseline"/>
        <w:rPr>
          <w:color w:val="000000" w:themeColor="text1"/>
        </w:rPr>
      </w:pPr>
      <w:r w:rsidRPr="00F3101B">
        <w:rPr>
          <w:color w:val="000000" w:themeColor="text1"/>
          <w:u w:val="single"/>
        </w:rPr>
        <w:t>DHS Delegation 0150.1(II)(I)</w:t>
      </w:r>
      <w:r w:rsidRPr="00F3101B">
        <w:rPr>
          <w:i/>
          <w:iCs/>
          <w:color w:val="000000" w:themeColor="text1"/>
        </w:rPr>
        <w:t xml:space="preserve"> - </w:t>
      </w:r>
      <w:r w:rsidRPr="00F3101B">
        <w:rPr>
          <w:color w:val="000000" w:themeColor="text1"/>
        </w:rPr>
        <w:t xml:space="preserve">USCIS may investigate alleged civil and criminal violations of the INA, including but not limited to, alleged fraud with respect to applications or determinations within USCIS and make recommendations for prosecutions or other appropriate actions when deemed advisable. </w:t>
      </w:r>
    </w:p>
    <w:p w:rsidR="003311F3" w:rsidRPr="00F3101B" w:rsidRDefault="003311F3" w:rsidP="003311F3">
      <w:pPr>
        <w:overflowPunct w:val="0"/>
        <w:ind w:left="720"/>
        <w:textAlignment w:val="baseline"/>
        <w:rPr>
          <w:color w:val="000000" w:themeColor="text1"/>
        </w:rPr>
      </w:pPr>
    </w:p>
    <w:p w:rsidR="003311F3" w:rsidRDefault="003311F3" w:rsidP="003311F3">
      <w:pPr>
        <w:numPr>
          <w:ilvl w:val="1"/>
          <w:numId w:val="1"/>
        </w:numPr>
        <w:overflowPunct w:val="0"/>
        <w:ind w:left="720"/>
        <w:textAlignment w:val="baseline"/>
        <w:rPr>
          <w:color w:val="000000" w:themeColor="text1"/>
        </w:rPr>
      </w:pPr>
      <w:r w:rsidRPr="00F3101B">
        <w:rPr>
          <w:color w:val="000000" w:themeColor="text1"/>
          <w:u w:val="single"/>
        </w:rPr>
        <w:t>DHS Delegation 0150.1(II)(N)</w:t>
      </w:r>
      <w:r w:rsidRPr="00F3101B">
        <w:rPr>
          <w:i/>
          <w:iCs/>
          <w:color w:val="000000" w:themeColor="text1"/>
        </w:rPr>
        <w:t xml:space="preserve"> - </w:t>
      </w:r>
      <w:r w:rsidRPr="00F3101B">
        <w:rPr>
          <w:color w:val="000000" w:themeColor="text1"/>
        </w:rPr>
        <w:t xml:space="preserve">USCIS may place </w:t>
      </w:r>
      <w:r>
        <w:rPr>
          <w:color w:val="000000" w:themeColor="text1"/>
        </w:rPr>
        <w:t>aliens in removal proceedings.</w:t>
      </w:r>
    </w:p>
    <w:p w:rsidR="003311F3" w:rsidRPr="00F3101B" w:rsidRDefault="003311F3" w:rsidP="003311F3">
      <w:pPr>
        <w:overflowPunct w:val="0"/>
        <w:textAlignment w:val="baseline"/>
        <w:rPr>
          <w:color w:val="000000" w:themeColor="text1"/>
        </w:rPr>
      </w:pPr>
    </w:p>
    <w:p w:rsidR="003311F3" w:rsidRPr="00F3101B" w:rsidRDefault="003311F3" w:rsidP="003311F3">
      <w:pPr>
        <w:numPr>
          <w:ilvl w:val="1"/>
          <w:numId w:val="1"/>
        </w:numPr>
        <w:overflowPunct w:val="0"/>
        <w:ind w:left="720"/>
        <w:textAlignment w:val="baseline"/>
        <w:rPr>
          <w:color w:val="000000" w:themeColor="text1"/>
        </w:rPr>
      </w:pPr>
      <w:r w:rsidRPr="00F3101B">
        <w:rPr>
          <w:color w:val="000000" w:themeColor="text1"/>
          <w:u w:val="single"/>
        </w:rPr>
        <w:t xml:space="preserve">DHS Delegation 0150.1(II)(S) and </w:t>
      </w:r>
      <w:r w:rsidRPr="00F3101B">
        <w:rPr>
          <w:i/>
          <w:iCs/>
          <w:color w:val="000000" w:themeColor="text1"/>
          <w:u w:val="single"/>
        </w:rPr>
        <w:t> </w:t>
      </w:r>
      <w:r w:rsidRPr="00F3101B">
        <w:rPr>
          <w:color w:val="000000" w:themeColor="text1"/>
          <w:u w:val="single"/>
        </w:rPr>
        <w:t>INA §§ 287(a)-(b),(f) and 235(d)(3)-(4)</w:t>
      </w:r>
      <w:r w:rsidRPr="00F3101B">
        <w:rPr>
          <w:i/>
          <w:iCs/>
          <w:color w:val="000000" w:themeColor="text1"/>
        </w:rPr>
        <w:t xml:space="preserve">- </w:t>
      </w:r>
      <w:r w:rsidRPr="00F3101B">
        <w:rPr>
          <w:color w:val="000000" w:themeColor="text1"/>
        </w:rPr>
        <w:t xml:space="preserve">USCIS may interrogate aliens, issue subpoenas, administer oaths, take and consider evidence, and fingerprint  or photograph aliens. </w:t>
      </w:r>
    </w:p>
    <w:p w:rsidR="00BC1760" w:rsidRDefault="00BC1760" w:rsidP="000B63B9">
      <w:pPr>
        <w:pStyle w:val="le-slb-normal-32-level"/>
        <w:jc w:val="left"/>
        <w:rPr>
          <w:color w:val="000000"/>
        </w:rPr>
      </w:pPr>
    </w:p>
    <w:sectPr w:rsidR="00BC17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619"/>
    <w:multiLevelType w:val="hybridMultilevel"/>
    <w:tmpl w:val="D1462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C47256"/>
    <w:multiLevelType w:val="hybridMultilevel"/>
    <w:tmpl w:val="387E957C"/>
    <w:lvl w:ilvl="0" w:tplc="318086DA">
      <w:start w:val="1"/>
      <w:numFmt w:val="bullet"/>
      <w:lvlText w:val=""/>
      <w:lvlJc w:val="left"/>
      <w:pPr>
        <w:tabs>
          <w:tab w:val="num" w:pos="720"/>
        </w:tabs>
        <w:ind w:left="720" w:hanging="360"/>
      </w:pPr>
      <w:rPr>
        <w:rFonts w:ascii="Wingdings" w:hAnsi="Wingdings" w:hint="default"/>
      </w:rPr>
    </w:lvl>
    <w:lvl w:ilvl="1" w:tplc="C1E623EC">
      <w:start w:val="1"/>
      <w:numFmt w:val="bullet"/>
      <w:lvlText w:val=""/>
      <w:lvlJc w:val="left"/>
      <w:pPr>
        <w:tabs>
          <w:tab w:val="num" w:pos="1440"/>
        </w:tabs>
        <w:ind w:left="1440" w:hanging="360"/>
      </w:pPr>
      <w:rPr>
        <w:rFonts w:ascii="Wingdings" w:hAnsi="Wingdings" w:hint="default"/>
      </w:rPr>
    </w:lvl>
    <w:lvl w:ilvl="2" w:tplc="812844E8">
      <w:start w:val="1"/>
      <w:numFmt w:val="bullet"/>
      <w:lvlText w:val=""/>
      <w:lvlJc w:val="left"/>
      <w:pPr>
        <w:tabs>
          <w:tab w:val="num" w:pos="2160"/>
        </w:tabs>
        <w:ind w:left="2160" w:hanging="360"/>
      </w:pPr>
      <w:rPr>
        <w:rFonts w:ascii="Wingdings" w:hAnsi="Wingdings" w:hint="default"/>
      </w:rPr>
    </w:lvl>
    <w:lvl w:ilvl="3" w:tplc="E710172E">
      <w:start w:val="1"/>
      <w:numFmt w:val="bullet"/>
      <w:lvlText w:val=""/>
      <w:lvlJc w:val="left"/>
      <w:pPr>
        <w:tabs>
          <w:tab w:val="num" w:pos="2880"/>
        </w:tabs>
        <w:ind w:left="2880" w:hanging="360"/>
      </w:pPr>
      <w:rPr>
        <w:rFonts w:ascii="Wingdings" w:hAnsi="Wingdings" w:hint="default"/>
      </w:rPr>
    </w:lvl>
    <w:lvl w:ilvl="4" w:tplc="810C3636">
      <w:start w:val="1"/>
      <w:numFmt w:val="bullet"/>
      <w:lvlText w:val=""/>
      <w:lvlJc w:val="left"/>
      <w:pPr>
        <w:tabs>
          <w:tab w:val="num" w:pos="3600"/>
        </w:tabs>
        <w:ind w:left="3600" w:hanging="360"/>
      </w:pPr>
      <w:rPr>
        <w:rFonts w:ascii="Wingdings" w:hAnsi="Wingdings" w:hint="default"/>
      </w:rPr>
    </w:lvl>
    <w:lvl w:ilvl="5" w:tplc="463E4E7A">
      <w:start w:val="1"/>
      <w:numFmt w:val="bullet"/>
      <w:lvlText w:val=""/>
      <w:lvlJc w:val="left"/>
      <w:pPr>
        <w:tabs>
          <w:tab w:val="num" w:pos="4320"/>
        </w:tabs>
        <w:ind w:left="4320" w:hanging="360"/>
      </w:pPr>
      <w:rPr>
        <w:rFonts w:ascii="Wingdings" w:hAnsi="Wingdings" w:hint="default"/>
      </w:rPr>
    </w:lvl>
    <w:lvl w:ilvl="6" w:tplc="025E16F4">
      <w:start w:val="1"/>
      <w:numFmt w:val="bullet"/>
      <w:lvlText w:val=""/>
      <w:lvlJc w:val="left"/>
      <w:pPr>
        <w:tabs>
          <w:tab w:val="num" w:pos="5040"/>
        </w:tabs>
        <w:ind w:left="5040" w:hanging="360"/>
      </w:pPr>
      <w:rPr>
        <w:rFonts w:ascii="Wingdings" w:hAnsi="Wingdings" w:hint="default"/>
      </w:rPr>
    </w:lvl>
    <w:lvl w:ilvl="7" w:tplc="F74268A2">
      <w:start w:val="1"/>
      <w:numFmt w:val="bullet"/>
      <w:lvlText w:val=""/>
      <w:lvlJc w:val="left"/>
      <w:pPr>
        <w:tabs>
          <w:tab w:val="num" w:pos="5760"/>
        </w:tabs>
        <w:ind w:left="5760" w:hanging="360"/>
      </w:pPr>
      <w:rPr>
        <w:rFonts w:ascii="Wingdings" w:hAnsi="Wingdings" w:hint="default"/>
      </w:rPr>
    </w:lvl>
    <w:lvl w:ilvl="8" w:tplc="8288216C">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60"/>
    <w:rsid w:val="000B63B9"/>
    <w:rsid w:val="003311F3"/>
    <w:rsid w:val="003463B4"/>
    <w:rsid w:val="00400A85"/>
    <w:rsid w:val="00412DD6"/>
    <w:rsid w:val="00524D4D"/>
    <w:rsid w:val="00702453"/>
    <w:rsid w:val="0076494F"/>
    <w:rsid w:val="008A56C6"/>
    <w:rsid w:val="009C7296"/>
    <w:rsid w:val="00B10222"/>
    <w:rsid w:val="00BC1760"/>
    <w:rsid w:val="00DB3268"/>
    <w:rsid w:val="00F8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lb-heading2">
    <w:name w:val="le-slb-heading2"/>
    <w:basedOn w:val="Normal"/>
    <w:rsid w:val="00BC1760"/>
    <w:pPr>
      <w:spacing w:before="15" w:after="15"/>
    </w:pPr>
    <w:rPr>
      <w:b/>
      <w:bCs/>
      <w:color w:val="FF0000"/>
    </w:rPr>
  </w:style>
  <w:style w:type="paragraph" w:customStyle="1" w:styleId="le-slb-normal-32-level">
    <w:name w:val="le-slb-normal-32-level"/>
    <w:basedOn w:val="Normal"/>
    <w:rsid w:val="00BC1760"/>
    <w:pPr>
      <w:spacing w:before="15" w:after="15"/>
      <w:jc w:val="both"/>
    </w:pPr>
    <w:rPr>
      <w:rFonts w:ascii="Arial" w:hAnsi="Arial" w:cs="Arial"/>
      <w:sz w:val="23"/>
      <w:szCs w:val="23"/>
    </w:rPr>
  </w:style>
  <w:style w:type="character" w:styleId="Hyperlink">
    <w:name w:val="Hyperlink"/>
    <w:rsid w:val="00BC1760"/>
    <w:rPr>
      <w:color w:val="003366"/>
      <w:u w:val="single"/>
    </w:rPr>
  </w:style>
  <w:style w:type="paragraph" w:customStyle="1" w:styleId="le-slb-heading3">
    <w:name w:val="le-slb-heading3"/>
    <w:basedOn w:val="Normal"/>
    <w:rsid w:val="00BC1760"/>
    <w:pPr>
      <w:spacing w:before="15" w:after="15"/>
    </w:pPr>
    <w:rPr>
      <w:b/>
      <w:bCs/>
      <w:color w:val="000080"/>
      <w:sz w:val="29"/>
      <w:szCs w:val="29"/>
    </w:rPr>
  </w:style>
  <w:style w:type="paragraph" w:styleId="BalloonText">
    <w:name w:val="Balloon Text"/>
    <w:basedOn w:val="Normal"/>
    <w:semiHidden/>
    <w:rsid w:val="000B63B9"/>
    <w:rPr>
      <w:rFonts w:ascii="Tahoma" w:hAnsi="Tahoma" w:cs="Tahoma"/>
      <w:sz w:val="16"/>
      <w:szCs w:val="16"/>
    </w:rPr>
  </w:style>
  <w:style w:type="paragraph" w:styleId="ListParagraph">
    <w:name w:val="List Paragraph"/>
    <w:basedOn w:val="Normal"/>
    <w:uiPriority w:val="34"/>
    <w:qFormat/>
    <w:rsid w:val="00346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lb-heading2">
    <w:name w:val="le-slb-heading2"/>
    <w:basedOn w:val="Normal"/>
    <w:rsid w:val="00BC1760"/>
    <w:pPr>
      <w:spacing w:before="15" w:after="15"/>
    </w:pPr>
    <w:rPr>
      <w:b/>
      <w:bCs/>
      <w:color w:val="FF0000"/>
    </w:rPr>
  </w:style>
  <w:style w:type="paragraph" w:customStyle="1" w:styleId="le-slb-normal-32-level">
    <w:name w:val="le-slb-normal-32-level"/>
    <w:basedOn w:val="Normal"/>
    <w:rsid w:val="00BC1760"/>
    <w:pPr>
      <w:spacing w:before="15" w:after="15"/>
      <w:jc w:val="both"/>
    </w:pPr>
    <w:rPr>
      <w:rFonts w:ascii="Arial" w:hAnsi="Arial" w:cs="Arial"/>
      <w:sz w:val="23"/>
      <w:szCs w:val="23"/>
    </w:rPr>
  </w:style>
  <w:style w:type="character" w:styleId="Hyperlink">
    <w:name w:val="Hyperlink"/>
    <w:rsid w:val="00BC1760"/>
    <w:rPr>
      <w:color w:val="003366"/>
      <w:u w:val="single"/>
    </w:rPr>
  </w:style>
  <w:style w:type="paragraph" w:customStyle="1" w:styleId="le-slb-heading3">
    <w:name w:val="le-slb-heading3"/>
    <w:basedOn w:val="Normal"/>
    <w:rsid w:val="00BC1760"/>
    <w:pPr>
      <w:spacing w:before="15" w:after="15"/>
    </w:pPr>
    <w:rPr>
      <w:b/>
      <w:bCs/>
      <w:color w:val="000080"/>
      <w:sz w:val="29"/>
      <w:szCs w:val="29"/>
    </w:rPr>
  </w:style>
  <w:style w:type="paragraph" w:styleId="BalloonText">
    <w:name w:val="Balloon Text"/>
    <w:basedOn w:val="Normal"/>
    <w:semiHidden/>
    <w:rsid w:val="000B63B9"/>
    <w:rPr>
      <w:rFonts w:ascii="Tahoma" w:hAnsi="Tahoma" w:cs="Tahoma"/>
      <w:sz w:val="16"/>
      <w:szCs w:val="16"/>
    </w:rPr>
  </w:style>
  <w:style w:type="paragraph" w:styleId="ListParagraph">
    <w:name w:val="List Paragraph"/>
    <w:basedOn w:val="Normal"/>
    <w:uiPriority w:val="34"/>
    <w:qFormat/>
    <w:rsid w:val="0034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4977">
      <w:bodyDiv w:val="1"/>
      <w:marLeft w:val="0"/>
      <w:marRight w:val="0"/>
      <w:marTop w:val="0"/>
      <w:marBottom w:val="0"/>
      <w:divBdr>
        <w:top w:val="none" w:sz="0" w:space="0" w:color="auto"/>
        <w:left w:val="none" w:sz="0" w:space="0" w:color="auto"/>
        <w:bottom w:val="none" w:sz="0" w:space="0" w:color="auto"/>
        <w:right w:val="none" w:sz="0" w:space="0" w:color="auto"/>
      </w:divBdr>
      <w:divsChild>
        <w:div w:id="452478839">
          <w:marLeft w:val="0"/>
          <w:marRight w:val="0"/>
          <w:marTop w:val="15"/>
          <w:marBottom w:val="15"/>
          <w:divBdr>
            <w:top w:val="none" w:sz="0" w:space="0" w:color="auto"/>
            <w:left w:val="none" w:sz="0" w:space="0" w:color="auto"/>
            <w:bottom w:val="none" w:sz="0" w:space="0" w:color="auto"/>
            <w:right w:val="none" w:sz="0" w:space="0" w:color="auto"/>
          </w:divBdr>
        </w:div>
        <w:div w:id="739014295">
          <w:marLeft w:val="0"/>
          <w:marRight w:val="0"/>
          <w:marTop w:val="15"/>
          <w:marBottom w:val="15"/>
          <w:divBdr>
            <w:top w:val="none" w:sz="0" w:space="0" w:color="auto"/>
            <w:left w:val="none" w:sz="0" w:space="0" w:color="auto"/>
            <w:bottom w:val="none" w:sz="0" w:space="0" w:color="auto"/>
            <w:right w:val="none" w:sz="0" w:space="0" w:color="auto"/>
          </w:divBdr>
        </w:div>
        <w:div w:id="758217511">
          <w:marLeft w:val="0"/>
          <w:marRight w:val="0"/>
          <w:marTop w:val="15"/>
          <w:marBottom w:val="15"/>
          <w:divBdr>
            <w:top w:val="none" w:sz="0" w:space="0" w:color="auto"/>
            <w:left w:val="none" w:sz="0" w:space="0" w:color="auto"/>
            <w:bottom w:val="none" w:sz="0" w:space="0" w:color="auto"/>
            <w:right w:val="none" w:sz="0" w:space="0" w:color="auto"/>
          </w:divBdr>
        </w:div>
        <w:div w:id="893387718">
          <w:marLeft w:val="0"/>
          <w:marRight w:val="0"/>
          <w:marTop w:val="15"/>
          <w:marBottom w:val="15"/>
          <w:divBdr>
            <w:top w:val="none" w:sz="0" w:space="0" w:color="auto"/>
            <w:left w:val="none" w:sz="0" w:space="0" w:color="auto"/>
            <w:bottom w:val="none" w:sz="0" w:space="0" w:color="auto"/>
            <w:right w:val="none" w:sz="0" w:space="0" w:color="auto"/>
          </w:divBdr>
        </w:div>
        <w:div w:id="1060325375">
          <w:marLeft w:val="0"/>
          <w:marRight w:val="0"/>
          <w:marTop w:val="15"/>
          <w:marBottom w:val="15"/>
          <w:divBdr>
            <w:top w:val="none" w:sz="0" w:space="0" w:color="auto"/>
            <w:left w:val="none" w:sz="0" w:space="0" w:color="auto"/>
            <w:bottom w:val="none" w:sz="0" w:space="0" w:color="auto"/>
            <w:right w:val="none" w:sz="0" w:space="0" w:color="auto"/>
          </w:divBdr>
        </w:div>
        <w:div w:id="1245145679">
          <w:marLeft w:val="0"/>
          <w:marRight w:val="0"/>
          <w:marTop w:val="15"/>
          <w:marBottom w:val="15"/>
          <w:divBdr>
            <w:top w:val="none" w:sz="0" w:space="0" w:color="auto"/>
            <w:left w:val="none" w:sz="0" w:space="0" w:color="auto"/>
            <w:bottom w:val="none" w:sz="0" w:space="0" w:color="auto"/>
            <w:right w:val="none" w:sz="0" w:space="0" w:color="auto"/>
          </w:divBdr>
        </w:div>
        <w:div w:id="1737242882">
          <w:marLeft w:val="0"/>
          <w:marRight w:val="0"/>
          <w:marTop w:val="15"/>
          <w:marBottom w:val="15"/>
          <w:divBdr>
            <w:top w:val="none" w:sz="0" w:space="0" w:color="auto"/>
            <w:left w:val="none" w:sz="0" w:space="0" w:color="auto"/>
            <w:bottom w:val="none" w:sz="0" w:space="0" w:color="auto"/>
            <w:right w:val="none" w:sz="0" w:space="0" w:color="auto"/>
          </w:divBdr>
        </w:div>
        <w:div w:id="2025983752">
          <w:marLeft w:val="0"/>
          <w:marRight w:val="0"/>
          <w:marTop w:val="15"/>
          <w:marBottom w:val="15"/>
          <w:divBdr>
            <w:top w:val="none" w:sz="0" w:space="0" w:color="auto"/>
            <w:left w:val="none" w:sz="0" w:space="0" w:color="auto"/>
            <w:bottom w:val="none" w:sz="0" w:space="0" w:color="auto"/>
            <w:right w:val="none" w:sz="0" w:space="0" w:color="auto"/>
          </w:divBdr>
        </w:div>
      </w:divsChild>
    </w:div>
    <w:div w:id="629867020">
      <w:bodyDiv w:val="1"/>
      <w:marLeft w:val="0"/>
      <w:marRight w:val="0"/>
      <w:marTop w:val="0"/>
      <w:marBottom w:val="0"/>
      <w:divBdr>
        <w:top w:val="none" w:sz="0" w:space="0" w:color="auto"/>
        <w:left w:val="none" w:sz="0" w:space="0" w:color="auto"/>
        <w:bottom w:val="none" w:sz="0" w:space="0" w:color="auto"/>
        <w:right w:val="none" w:sz="0" w:space="0" w:color="auto"/>
      </w:divBdr>
      <w:divsChild>
        <w:div w:id="222058420">
          <w:marLeft w:val="0"/>
          <w:marRight w:val="0"/>
          <w:marTop w:val="15"/>
          <w:marBottom w:val="15"/>
          <w:divBdr>
            <w:top w:val="none" w:sz="0" w:space="0" w:color="auto"/>
            <w:left w:val="none" w:sz="0" w:space="0" w:color="auto"/>
            <w:bottom w:val="none" w:sz="0" w:space="0" w:color="auto"/>
            <w:right w:val="none" w:sz="0" w:space="0" w:color="auto"/>
          </w:divBdr>
        </w:div>
        <w:div w:id="748768884">
          <w:marLeft w:val="0"/>
          <w:marRight w:val="0"/>
          <w:marTop w:val="15"/>
          <w:marBottom w:val="15"/>
          <w:divBdr>
            <w:top w:val="none" w:sz="0" w:space="0" w:color="auto"/>
            <w:left w:val="none" w:sz="0" w:space="0" w:color="auto"/>
            <w:bottom w:val="none" w:sz="0" w:space="0" w:color="auto"/>
            <w:right w:val="none" w:sz="0" w:space="0" w:color="auto"/>
          </w:divBdr>
        </w:div>
        <w:div w:id="1748720434">
          <w:marLeft w:val="0"/>
          <w:marRight w:val="0"/>
          <w:marTop w:val="15"/>
          <w:marBottom w:val="15"/>
          <w:divBdr>
            <w:top w:val="none" w:sz="0" w:space="0" w:color="auto"/>
            <w:left w:val="none" w:sz="0" w:space="0" w:color="auto"/>
            <w:bottom w:val="none" w:sz="0" w:space="0" w:color="auto"/>
            <w:right w:val="none" w:sz="0" w:space="0" w:color="auto"/>
          </w:divBdr>
        </w:div>
      </w:divsChild>
    </w:div>
    <w:div w:id="1250888751">
      <w:bodyDiv w:val="1"/>
      <w:marLeft w:val="0"/>
      <w:marRight w:val="0"/>
      <w:marTop w:val="0"/>
      <w:marBottom w:val="0"/>
      <w:divBdr>
        <w:top w:val="none" w:sz="0" w:space="0" w:color="auto"/>
        <w:left w:val="none" w:sz="0" w:space="0" w:color="auto"/>
        <w:bottom w:val="none" w:sz="0" w:space="0" w:color="auto"/>
        <w:right w:val="none" w:sz="0" w:space="0" w:color="auto"/>
      </w:divBdr>
      <w:divsChild>
        <w:div w:id="12808037">
          <w:marLeft w:val="0"/>
          <w:marRight w:val="0"/>
          <w:marTop w:val="15"/>
          <w:marBottom w:val="15"/>
          <w:divBdr>
            <w:top w:val="none" w:sz="0" w:space="0" w:color="auto"/>
            <w:left w:val="none" w:sz="0" w:space="0" w:color="auto"/>
            <w:bottom w:val="none" w:sz="0" w:space="0" w:color="auto"/>
            <w:right w:val="none" w:sz="0" w:space="0" w:color="auto"/>
          </w:divBdr>
        </w:div>
        <w:div w:id="57628174">
          <w:marLeft w:val="0"/>
          <w:marRight w:val="0"/>
          <w:marTop w:val="15"/>
          <w:marBottom w:val="15"/>
          <w:divBdr>
            <w:top w:val="none" w:sz="0" w:space="0" w:color="auto"/>
            <w:left w:val="none" w:sz="0" w:space="0" w:color="auto"/>
            <w:bottom w:val="none" w:sz="0" w:space="0" w:color="auto"/>
            <w:right w:val="none" w:sz="0" w:space="0" w:color="auto"/>
          </w:divBdr>
        </w:div>
        <w:div w:id="337854068">
          <w:marLeft w:val="0"/>
          <w:marRight w:val="0"/>
          <w:marTop w:val="15"/>
          <w:marBottom w:val="15"/>
          <w:divBdr>
            <w:top w:val="none" w:sz="0" w:space="0" w:color="auto"/>
            <w:left w:val="none" w:sz="0" w:space="0" w:color="auto"/>
            <w:bottom w:val="none" w:sz="0" w:space="0" w:color="auto"/>
            <w:right w:val="none" w:sz="0" w:space="0" w:color="auto"/>
          </w:divBdr>
        </w:div>
        <w:div w:id="338702763">
          <w:marLeft w:val="0"/>
          <w:marRight w:val="0"/>
          <w:marTop w:val="15"/>
          <w:marBottom w:val="15"/>
          <w:divBdr>
            <w:top w:val="none" w:sz="0" w:space="0" w:color="auto"/>
            <w:left w:val="none" w:sz="0" w:space="0" w:color="auto"/>
            <w:bottom w:val="none" w:sz="0" w:space="0" w:color="auto"/>
            <w:right w:val="none" w:sz="0" w:space="0" w:color="auto"/>
          </w:divBdr>
        </w:div>
        <w:div w:id="378825036">
          <w:marLeft w:val="0"/>
          <w:marRight w:val="0"/>
          <w:marTop w:val="15"/>
          <w:marBottom w:val="15"/>
          <w:divBdr>
            <w:top w:val="none" w:sz="0" w:space="0" w:color="auto"/>
            <w:left w:val="none" w:sz="0" w:space="0" w:color="auto"/>
            <w:bottom w:val="none" w:sz="0" w:space="0" w:color="auto"/>
            <w:right w:val="none" w:sz="0" w:space="0" w:color="auto"/>
          </w:divBdr>
        </w:div>
        <w:div w:id="550463097">
          <w:marLeft w:val="0"/>
          <w:marRight w:val="0"/>
          <w:marTop w:val="15"/>
          <w:marBottom w:val="15"/>
          <w:divBdr>
            <w:top w:val="none" w:sz="0" w:space="0" w:color="auto"/>
            <w:left w:val="none" w:sz="0" w:space="0" w:color="auto"/>
            <w:bottom w:val="none" w:sz="0" w:space="0" w:color="auto"/>
            <w:right w:val="none" w:sz="0" w:space="0" w:color="auto"/>
          </w:divBdr>
        </w:div>
        <w:div w:id="669410265">
          <w:marLeft w:val="0"/>
          <w:marRight w:val="0"/>
          <w:marTop w:val="15"/>
          <w:marBottom w:val="15"/>
          <w:divBdr>
            <w:top w:val="none" w:sz="0" w:space="0" w:color="auto"/>
            <w:left w:val="none" w:sz="0" w:space="0" w:color="auto"/>
            <w:bottom w:val="none" w:sz="0" w:space="0" w:color="auto"/>
            <w:right w:val="none" w:sz="0" w:space="0" w:color="auto"/>
          </w:divBdr>
        </w:div>
        <w:div w:id="700594185">
          <w:marLeft w:val="0"/>
          <w:marRight w:val="0"/>
          <w:marTop w:val="15"/>
          <w:marBottom w:val="15"/>
          <w:divBdr>
            <w:top w:val="none" w:sz="0" w:space="0" w:color="auto"/>
            <w:left w:val="none" w:sz="0" w:space="0" w:color="auto"/>
            <w:bottom w:val="none" w:sz="0" w:space="0" w:color="auto"/>
            <w:right w:val="none" w:sz="0" w:space="0" w:color="auto"/>
          </w:divBdr>
        </w:div>
        <w:div w:id="1093433706">
          <w:marLeft w:val="0"/>
          <w:marRight w:val="0"/>
          <w:marTop w:val="15"/>
          <w:marBottom w:val="15"/>
          <w:divBdr>
            <w:top w:val="none" w:sz="0" w:space="0" w:color="auto"/>
            <w:left w:val="none" w:sz="0" w:space="0" w:color="auto"/>
            <w:bottom w:val="none" w:sz="0" w:space="0" w:color="auto"/>
            <w:right w:val="none" w:sz="0" w:space="0" w:color="auto"/>
          </w:divBdr>
        </w:div>
        <w:div w:id="1133137558">
          <w:marLeft w:val="0"/>
          <w:marRight w:val="0"/>
          <w:marTop w:val="15"/>
          <w:marBottom w:val="15"/>
          <w:divBdr>
            <w:top w:val="none" w:sz="0" w:space="0" w:color="auto"/>
            <w:left w:val="none" w:sz="0" w:space="0" w:color="auto"/>
            <w:bottom w:val="none" w:sz="0" w:space="0" w:color="auto"/>
            <w:right w:val="none" w:sz="0" w:space="0" w:color="auto"/>
          </w:divBdr>
        </w:div>
        <w:div w:id="1219054731">
          <w:marLeft w:val="0"/>
          <w:marRight w:val="0"/>
          <w:marTop w:val="15"/>
          <w:marBottom w:val="15"/>
          <w:divBdr>
            <w:top w:val="none" w:sz="0" w:space="0" w:color="auto"/>
            <w:left w:val="none" w:sz="0" w:space="0" w:color="auto"/>
            <w:bottom w:val="none" w:sz="0" w:space="0" w:color="auto"/>
            <w:right w:val="none" w:sz="0" w:space="0" w:color="auto"/>
          </w:divBdr>
        </w:div>
        <w:div w:id="1455246781">
          <w:marLeft w:val="0"/>
          <w:marRight w:val="0"/>
          <w:marTop w:val="15"/>
          <w:marBottom w:val="15"/>
          <w:divBdr>
            <w:top w:val="none" w:sz="0" w:space="0" w:color="auto"/>
            <w:left w:val="none" w:sz="0" w:space="0" w:color="auto"/>
            <w:bottom w:val="none" w:sz="0" w:space="0" w:color="auto"/>
            <w:right w:val="none" w:sz="0" w:space="0" w:color="auto"/>
          </w:divBdr>
        </w:div>
        <w:div w:id="1725836049">
          <w:marLeft w:val="0"/>
          <w:marRight w:val="0"/>
          <w:marTop w:val="15"/>
          <w:marBottom w:val="15"/>
          <w:divBdr>
            <w:top w:val="none" w:sz="0" w:space="0" w:color="auto"/>
            <w:left w:val="none" w:sz="0" w:space="0" w:color="auto"/>
            <w:bottom w:val="none" w:sz="0" w:space="0" w:color="auto"/>
            <w:right w:val="none" w:sz="0" w:space="0" w:color="auto"/>
          </w:divBdr>
        </w:div>
        <w:div w:id="1763255840">
          <w:marLeft w:val="0"/>
          <w:marRight w:val="0"/>
          <w:marTop w:val="15"/>
          <w:marBottom w:val="15"/>
          <w:divBdr>
            <w:top w:val="none" w:sz="0" w:space="0" w:color="auto"/>
            <w:left w:val="none" w:sz="0" w:space="0" w:color="auto"/>
            <w:bottom w:val="none" w:sz="0" w:space="0" w:color="auto"/>
            <w:right w:val="none" w:sz="0" w:space="0" w:color="auto"/>
          </w:divBdr>
        </w:div>
        <w:div w:id="1869489777">
          <w:marLeft w:val="0"/>
          <w:marRight w:val="0"/>
          <w:marTop w:val="15"/>
          <w:marBottom w:val="15"/>
          <w:divBdr>
            <w:top w:val="none" w:sz="0" w:space="0" w:color="auto"/>
            <w:left w:val="none" w:sz="0" w:space="0" w:color="auto"/>
            <w:bottom w:val="none" w:sz="0" w:space="0" w:color="auto"/>
            <w:right w:val="none" w:sz="0" w:space="0" w:color="auto"/>
          </w:divBdr>
        </w:div>
        <w:div w:id="1869490820">
          <w:marLeft w:val="0"/>
          <w:marRight w:val="0"/>
          <w:marTop w:val="15"/>
          <w:marBottom w:val="15"/>
          <w:divBdr>
            <w:top w:val="none" w:sz="0" w:space="0" w:color="auto"/>
            <w:left w:val="none" w:sz="0" w:space="0" w:color="auto"/>
            <w:bottom w:val="none" w:sz="0" w:space="0" w:color="auto"/>
            <w:right w:val="none" w:sz="0" w:space="0" w:color="auto"/>
          </w:divBdr>
        </w:div>
        <w:div w:id="1909882237">
          <w:marLeft w:val="0"/>
          <w:marRight w:val="0"/>
          <w:marTop w:val="15"/>
          <w:marBottom w:val="15"/>
          <w:divBdr>
            <w:top w:val="none" w:sz="0" w:space="0" w:color="auto"/>
            <w:left w:val="none" w:sz="0" w:space="0" w:color="auto"/>
            <w:bottom w:val="none" w:sz="0" w:space="0" w:color="auto"/>
            <w:right w:val="none" w:sz="0" w:space="0" w:color="auto"/>
          </w:divBdr>
        </w:div>
      </w:divsChild>
    </w:div>
    <w:div w:id="1574705173">
      <w:bodyDiv w:val="1"/>
      <w:marLeft w:val="0"/>
      <w:marRight w:val="0"/>
      <w:marTop w:val="0"/>
      <w:marBottom w:val="0"/>
      <w:divBdr>
        <w:top w:val="none" w:sz="0" w:space="0" w:color="auto"/>
        <w:left w:val="none" w:sz="0" w:space="0" w:color="auto"/>
        <w:bottom w:val="none" w:sz="0" w:space="0" w:color="auto"/>
        <w:right w:val="none" w:sz="0" w:space="0" w:color="auto"/>
      </w:divBdr>
      <w:divsChild>
        <w:div w:id="298189572">
          <w:marLeft w:val="0"/>
          <w:marRight w:val="0"/>
          <w:marTop w:val="15"/>
          <w:marBottom w:val="15"/>
          <w:divBdr>
            <w:top w:val="none" w:sz="0" w:space="0" w:color="auto"/>
            <w:left w:val="none" w:sz="0" w:space="0" w:color="auto"/>
            <w:bottom w:val="none" w:sz="0" w:space="0" w:color="auto"/>
            <w:right w:val="none" w:sz="0" w:space="0" w:color="auto"/>
          </w:divBdr>
        </w:div>
        <w:div w:id="396898532">
          <w:marLeft w:val="0"/>
          <w:marRight w:val="0"/>
          <w:marTop w:val="15"/>
          <w:marBottom w:val="15"/>
          <w:divBdr>
            <w:top w:val="none" w:sz="0" w:space="0" w:color="auto"/>
            <w:left w:val="none" w:sz="0" w:space="0" w:color="auto"/>
            <w:bottom w:val="none" w:sz="0" w:space="0" w:color="auto"/>
            <w:right w:val="none" w:sz="0" w:space="0" w:color="auto"/>
          </w:divBdr>
        </w:div>
        <w:div w:id="446778459">
          <w:marLeft w:val="0"/>
          <w:marRight w:val="0"/>
          <w:marTop w:val="15"/>
          <w:marBottom w:val="15"/>
          <w:divBdr>
            <w:top w:val="none" w:sz="0" w:space="0" w:color="auto"/>
            <w:left w:val="none" w:sz="0" w:space="0" w:color="auto"/>
            <w:bottom w:val="none" w:sz="0" w:space="0" w:color="auto"/>
            <w:right w:val="none" w:sz="0" w:space="0" w:color="auto"/>
          </w:divBdr>
        </w:div>
        <w:div w:id="654408570">
          <w:marLeft w:val="0"/>
          <w:marRight w:val="0"/>
          <w:marTop w:val="15"/>
          <w:marBottom w:val="15"/>
          <w:divBdr>
            <w:top w:val="none" w:sz="0" w:space="0" w:color="auto"/>
            <w:left w:val="none" w:sz="0" w:space="0" w:color="auto"/>
            <w:bottom w:val="none" w:sz="0" w:space="0" w:color="auto"/>
            <w:right w:val="none" w:sz="0" w:space="0" w:color="auto"/>
          </w:divBdr>
        </w:div>
        <w:div w:id="716010395">
          <w:marLeft w:val="0"/>
          <w:marRight w:val="0"/>
          <w:marTop w:val="15"/>
          <w:marBottom w:val="15"/>
          <w:divBdr>
            <w:top w:val="none" w:sz="0" w:space="0" w:color="auto"/>
            <w:left w:val="none" w:sz="0" w:space="0" w:color="auto"/>
            <w:bottom w:val="none" w:sz="0" w:space="0" w:color="auto"/>
            <w:right w:val="none" w:sz="0" w:space="0" w:color="auto"/>
          </w:divBdr>
        </w:div>
        <w:div w:id="1013385311">
          <w:marLeft w:val="0"/>
          <w:marRight w:val="0"/>
          <w:marTop w:val="15"/>
          <w:marBottom w:val="15"/>
          <w:divBdr>
            <w:top w:val="none" w:sz="0" w:space="0" w:color="auto"/>
            <w:left w:val="none" w:sz="0" w:space="0" w:color="auto"/>
            <w:bottom w:val="none" w:sz="0" w:space="0" w:color="auto"/>
            <w:right w:val="none" w:sz="0" w:space="0" w:color="auto"/>
          </w:divBdr>
        </w:div>
        <w:div w:id="1044283185">
          <w:marLeft w:val="0"/>
          <w:marRight w:val="0"/>
          <w:marTop w:val="15"/>
          <w:marBottom w:val="15"/>
          <w:divBdr>
            <w:top w:val="none" w:sz="0" w:space="0" w:color="auto"/>
            <w:left w:val="none" w:sz="0" w:space="0" w:color="auto"/>
            <w:bottom w:val="none" w:sz="0" w:space="0" w:color="auto"/>
            <w:right w:val="none" w:sz="0" w:space="0" w:color="auto"/>
          </w:divBdr>
        </w:div>
        <w:div w:id="1197158937">
          <w:marLeft w:val="0"/>
          <w:marRight w:val="0"/>
          <w:marTop w:val="15"/>
          <w:marBottom w:val="15"/>
          <w:divBdr>
            <w:top w:val="none" w:sz="0" w:space="0" w:color="auto"/>
            <w:left w:val="none" w:sz="0" w:space="0" w:color="auto"/>
            <w:bottom w:val="none" w:sz="0" w:space="0" w:color="auto"/>
            <w:right w:val="none" w:sz="0" w:space="0" w:color="auto"/>
          </w:divBdr>
        </w:div>
        <w:div w:id="1911647490">
          <w:marLeft w:val="0"/>
          <w:marRight w:val="0"/>
          <w:marTop w:val="15"/>
          <w:marBottom w:val="15"/>
          <w:divBdr>
            <w:top w:val="none" w:sz="0" w:space="0" w:color="auto"/>
            <w:left w:val="none" w:sz="0" w:space="0" w:color="auto"/>
            <w:bottom w:val="none" w:sz="0" w:space="0" w:color="auto"/>
            <w:right w:val="none" w:sz="0" w:space="0" w:color="auto"/>
          </w:divBdr>
        </w:div>
        <w:div w:id="2112310822">
          <w:marLeft w:val="0"/>
          <w:marRight w:val="0"/>
          <w:marTop w:val="15"/>
          <w:marBottom w:val="15"/>
          <w:divBdr>
            <w:top w:val="none" w:sz="0" w:space="0" w:color="auto"/>
            <w:left w:val="none" w:sz="0" w:space="0" w:color="auto"/>
            <w:bottom w:val="none" w:sz="0" w:space="0" w:color="auto"/>
            <w:right w:val="none" w:sz="0" w:space="0" w:color="auto"/>
          </w:divBdr>
        </w:div>
      </w:divsChild>
    </w:div>
    <w:div w:id="1694378933">
      <w:bodyDiv w:val="1"/>
      <w:marLeft w:val="0"/>
      <w:marRight w:val="0"/>
      <w:marTop w:val="0"/>
      <w:marBottom w:val="0"/>
      <w:divBdr>
        <w:top w:val="none" w:sz="0" w:space="0" w:color="auto"/>
        <w:left w:val="none" w:sz="0" w:space="0" w:color="auto"/>
        <w:bottom w:val="none" w:sz="0" w:space="0" w:color="auto"/>
        <w:right w:val="none" w:sz="0" w:space="0" w:color="auto"/>
      </w:divBdr>
      <w:divsChild>
        <w:div w:id="480586870">
          <w:marLeft w:val="0"/>
          <w:marRight w:val="0"/>
          <w:marTop w:val="15"/>
          <w:marBottom w:val="15"/>
          <w:divBdr>
            <w:top w:val="none" w:sz="0" w:space="0" w:color="auto"/>
            <w:left w:val="none" w:sz="0" w:space="0" w:color="auto"/>
            <w:bottom w:val="none" w:sz="0" w:space="0" w:color="auto"/>
            <w:right w:val="none" w:sz="0" w:space="0" w:color="auto"/>
          </w:divBdr>
        </w:div>
        <w:div w:id="1256788819">
          <w:marLeft w:val="0"/>
          <w:marRight w:val="0"/>
          <w:marTop w:val="15"/>
          <w:marBottom w:val="15"/>
          <w:divBdr>
            <w:top w:val="none" w:sz="0" w:space="0" w:color="auto"/>
            <w:left w:val="none" w:sz="0" w:space="0" w:color="auto"/>
            <w:bottom w:val="none" w:sz="0" w:space="0" w:color="auto"/>
            <w:right w:val="none" w:sz="0" w:space="0" w:color="auto"/>
          </w:divBdr>
        </w:div>
        <w:div w:id="1644384604">
          <w:marLeft w:val="0"/>
          <w:marRight w:val="0"/>
          <w:marTop w:val="15"/>
          <w:marBottom w:val="15"/>
          <w:divBdr>
            <w:top w:val="none" w:sz="0" w:space="0" w:color="auto"/>
            <w:left w:val="none" w:sz="0" w:space="0" w:color="auto"/>
            <w:bottom w:val="none" w:sz="0" w:space="0" w:color="auto"/>
            <w:right w:val="none" w:sz="0" w:space="0" w:color="auto"/>
          </w:divBdr>
        </w:div>
        <w:div w:id="1862091180">
          <w:marLeft w:val="0"/>
          <w:marRight w:val="0"/>
          <w:marTop w:val="15"/>
          <w:marBottom w:val="15"/>
          <w:divBdr>
            <w:top w:val="none" w:sz="0" w:space="0" w:color="auto"/>
            <w:left w:val="none" w:sz="0" w:space="0" w:color="auto"/>
            <w:bottom w:val="none" w:sz="0" w:space="0" w:color="auto"/>
            <w:right w:val="none" w:sz="0" w:space="0" w:color="auto"/>
          </w:divBdr>
        </w:div>
        <w:div w:id="1912539828">
          <w:marLeft w:val="0"/>
          <w:marRight w:val="0"/>
          <w:marTop w:val="15"/>
          <w:marBottom w:val="15"/>
          <w:divBdr>
            <w:top w:val="none" w:sz="0" w:space="0" w:color="auto"/>
            <w:left w:val="none" w:sz="0" w:space="0" w:color="auto"/>
            <w:bottom w:val="none" w:sz="0" w:space="0" w:color="auto"/>
            <w:right w:val="none" w:sz="0" w:space="0" w:color="auto"/>
          </w:divBdr>
        </w:div>
      </w:divsChild>
    </w:div>
    <w:div w:id="1704555735">
      <w:bodyDiv w:val="1"/>
      <w:marLeft w:val="0"/>
      <w:marRight w:val="0"/>
      <w:marTop w:val="0"/>
      <w:marBottom w:val="0"/>
      <w:divBdr>
        <w:top w:val="none" w:sz="0" w:space="0" w:color="auto"/>
        <w:left w:val="none" w:sz="0" w:space="0" w:color="auto"/>
        <w:bottom w:val="none" w:sz="0" w:space="0" w:color="auto"/>
        <w:right w:val="none" w:sz="0" w:space="0" w:color="auto"/>
      </w:divBdr>
      <w:divsChild>
        <w:div w:id="308024162">
          <w:marLeft w:val="0"/>
          <w:marRight w:val="0"/>
          <w:marTop w:val="15"/>
          <w:marBottom w:val="15"/>
          <w:divBdr>
            <w:top w:val="none" w:sz="0" w:space="0" w:color="auto"/>
            <w:left w:val="none" w:sz="0" w:space="0" w:color="auto"/>
            <w:bottom w:val="none" w:sz="0" w:space="0" w:color="auto"/>
            <w:right w:val="none" w:sz="0" w:space="0" w:color="auto"/>
          </w:divBdr>
        </w:div>
        <w:div w:id="553541855">
          <w:marLeft w:val="0"/>
          <w:marRight w:val="0"/>
          <w:marTop w:val="15"/>
          <w:marBottom w:val="15"/>
          <w:divBdr>
            <w:top w:val="none" w:sz="0" w:space="0" w:color="auto"/>
            <w:left w:val="none" w:sz="0" w:space="0" w:color="auto"/>
            <w:bottom w:val="none" w:sz="0" w:space="0" w:color="auto"/>
            <w:right w:val="none" w:sz="0" w:space="0" w:color="auto"/>
          </w:divBdr>
        </w:div>
        <w:div w:id="648679022">
          <w:marLeft w:val="0"/>
          <w:marRight w:val="0"/>
          <w:marTop w:val="15"/>
          <w:marBottom w:val="15"/>
          <w:divBdr>
            <w:top w:val="none" w:sz="0" w:space="0" w:color="auto"/>
            <w:left w:val="none" w:sz="0" w:space="0" w:color="auto"/>
            <w:bottom w:val="none" w:sz="0" w:space="0" w:color="auto"/>
            <w:right w:val="none" w:sz="0" w:space="0" w:color="auto"/>
          </w:divBdr>
        </w:div>
        <w:div w:id="690226254">
          <w:marLeft w:val="0"/>
          <w:marRight w:val="0"/>
          <w:marTop w:val="15"/>
          <w:marBottom w:val="15"/>
          <w:divBdr>
            <w:top w:val="none" w:sz="0" w:space="0" w:color="auto"/>
            <w:left w:val="none" w:sz="0" w:space="0" w:color="auto"/>
            <w:bottom w:val="none" w:sz="0" w:space="0" w:color="auto"/>
            <w:right w:val="none" w:sz="0" w:space="0" w:color="auto"/>
          </w:divBdr>
        </w:div>
        <w:div w:id="690691770">
          <w:marLeft w:val="0"/>
          <w:marRight w:val="0"/>
          <w:marTop w:val="15"/>
          <w:marBottom w:val="15"/>
          <w:divBdr>
            <w:top w:val="none" w:sz="0" w:space="0" w:color="auto"/>
            <w:left w:val="none" w:sz="0" w:space="0" w:color="auto"/>
            <w:bottom w:val="none" w:sz="0" w:space="0" w:color="auto"/>
            <w:right w:val="none" w:sz="0" w:space="0" w:color="auto"/>
          </w:divBdr>
        </w:div>
        <w:div w:id="754277678">
          <w:marLeft w:val="0"/>
          <w:marRight w:val="0"/>
          <w:marTop w:val="15"/>
          <w:marBottom w:val="15"/>
          <w:divBdr>
            <w:top w:val="none" w:sz="0" w:space="0" w:color="auto"/>
            <w:left w:val="none" w:sz="0" w:space="0" w:color="auto"/>
            <w:bottom w:val="none" w:sz="0" w:space="0" w:color="auto"/>
            <w:right w:val="none" w:sz="0" w:space="0" w:color="auto"/>
          </w:divBdr>
        </w:div>
        <w:div w:id="808746351">
          <w:marLeft w:val="0"/>
          <w:marRight w:val="0"/>
          <w:marTop w:val="15"/>
          <w:marBottom w:val="15"/>
          <w:divBdr>
            <w:top w:val="none" w:sz="0" w:space="0" w:color="auto"/>
            <w:left w:val="none" w:sz="0" w:space="0" w:color="auto"/>
            <w:bottom w:val="none" w:sz="0" w:space="0" w:color="auto"/>
            <w:right w:val="none" w:sz="0" w:space="0" w:color="auto"/>
          </w:divBdr>
        </w:div>
        <w:div w:id="1148942415">
          <w:marLeft w:val="0"/>
          <w:marRight w:val="0"/>
          <w:marTop w:val="15"/>
          <w:marBottom w:val="15"/>
          <w:divBdr>
            <w:top w:val="none" w:sz="0" w:space="0" w:color="auto"/>
            <w:left w:val="none" w:sz="0" w:space="0" w:color="auto"/>
            <w:bottom w:val="none" w:sz="0" w:space="0" w:color="auto"/>
            <w:right w:val="none" w:sz="0" w:space="0" w:color="auto"/>
          </w:divBdr>
        </w:div>
        <w:div w:id="1379479119">
          <w:marLeft w:val="0"/>
          <w:marRight w:val="0"/>
          <w:marTop w:val="15"/>
          <w:marBottom w:val="15"/>
          <w:divBdr>
            <w:top w:val="none" w:sz="0" w:space="0" w:color="auto"/>
            <w:left w:val="none" w:sz="0" w:space="0" w:color="auto"/>
            <w:bottom w:val="none" w:sz="0" w:space="0" w:color="auto"/>
            <w:right w:val="none" w:sz="0" w:space="0" w:color="auto"/>
          </w:divBdr>
        </w:div>
        <w:div w:id="1673532665">
          <w:marLeft w:val="0"/>
          <w:marRight w:val="0"/>
          <w:marTop w:val="15"/>
          <w:marBottom w:val="15"/>
          <w:divBdr>
            <w:top w:val="none" w:sz="0" w:space="0" w:color="auto"/>
            <w:left w:val="none" w:sz="0" w:space="0" w:color="auto"/>
            <w:bottom w:val="none" w:sz="0" w:space="0" w:color="auto"/>
            <w:right w:val="none" w:sz="0" w:space="0" w:color="auto"/>
          </w:divBdr>
        </w:div>
      </w:divsChild>
    </w:div>
    <w:div w:id="1769616159">
      <w:bodyDiv w:val="1"/>
      <w:marLeft w:val="0"/>
      <w:marRight w:val="0"/>
      <w:marTop w:val="0"/>
      <w:marBottom w:val="0"/>
      <w:divBdr>
        <w:top w:val="none" w:sz="0" w:space="0" w:color="auto"/>
        <w:left w:val="none" w:sz="0" w:space="0" w:color="auto"/>
        <w:bottom w:val="none" w:sz="0" w:space="0" w:color="auto"/>
        <w:right w:val="none" w:sz="0" w:space="0" w:color="auto"/>
      </w:divBdr>
      <w:divsChild>
        <w:div w:id="72825760">
          <w:marLeft w:val="0"/>
          <w:marRight w:val="0"/>
          <w:marTop w:val="15"/>
          <w:marBottom w:val="15"/>
          <w:divBdr>
            <w:top w:val="none" w:sz="0" w:space="0" w:color="auto"/>
            <w:left w:val="none" w:sz="0" w:space="0" w:color="auto"/>
            <w:bottom w:val="none" w:sz="0" w:space="0" w:color="auto"/>
            <w:right w:val="none" w:sz="0" w:space="0" w:color="auto"/>
          </w:divBdr>
        </w:div>
        <w:div w:id="204028220">
          <w:marLeft w:val="0"/>
          <w:marRight w:val="0"/>
          <w:marTop w:val="15"/>
          <w:marBottom w:val="15"/>
          <w:divBdr>
            <w:top w:val="none" w:sz="0" w:space="0" w:color="auto"/>
            <w:left w:val="none" w:sz="0" w:space="0" w:color="auto"/>
            <w:bottom w:val="none" w:sz="0" w:space="0" w:color="auto"/>
            <w:right w:val="none" w:sz="0" w:space="0" w:color="auto"/>
          </w:divBdr>
        </w:div>
        <w:div w:id="222298652">
          <w:marLeft w:val="0"/>
          <w:marRight w:val="0"/>
          <w:marTop w:val="15"/>
          <w:marBottom w:val="15"/>
          <w:divBdr>
            <w:top w:val="none" w:sz="0" w:space="0" w:color="auto"/>
            <w:left w:val="none" w:sz="0" w:space="0" w:color="auto"/>
            <w:bottom w:val="none" w:sz="0" w:space="0" w:color="auto"/>
            <w:right w:val="none" w:sz="0" w:space="0" w:color="auto"/>
          </w:divBdr>
        </w:div>
        <w:div w:id="371271339">
          <w:marLeft w:val="0"/>
          <w:marRight w:val="0"/>
          <w:marTop w:val="15"/>
          <w:marBottom w:val="15"/>
          <w:divBdr>
            <w:top w:val="none" w:sz="0" w:space="0" w:color="auto"/>
            <w:left w:val="none" w:sz="0" w:space="0" w:color="auto"/>
            <w:bottom w:val="none" w:sz="0" w:space="0" w:color="auto"/>
            <w:right w:val="none" w:sz="0" w:space="0" w:color="auto"/>
          </w:divBdr>
        </w:div>
        <w:div w:id="547376168">
          <w:marLeft w:val="0"/>
          <w:marRight w:val="0"/>
          <w:marTop w:val="15"/>
          <w:marBottom w:val="15"/>
          <w:divBdr>
            <w:top w:val="none" w:sz="0" w:space="0" w:color="auto"/>
            <w:left w:val="none" w:sz="0" w:space="0" w:color="auto"/>
            <w:bottom w:val="none" w:sz="0" w:space="0" w:color="auto"/>
            <w:right w:val="none" w:sz="0" w:space="0" w:color="auto"/>
          </w:divBdr>
        </w:div>
        <w:div w:id="736167619">
          <w:marLeft w:val="0"/>
          <w:marRight w:val="0"/>
          <w:marTop w:val="15"/>
          <w:marBottom w:val="15"/>
          <w:divBdr>
            <w:top w:val="none" w:sz="0" w:space="0" w:color="auto"/>
            <w:left w:val="none" w:sz="0" w:space="0" w:color="auto"/>
            <w:bottom w:val="none" w:sz="0" w:space="0" w:color="auto"/>
            <w:right w:val="none" w:sz="0" w:space="0" w:color="auto"/>
          </w:divBdr>
        </w:div>
        <w:div w:id="1140222390">
          <w:marLeft w:val="0"/>
          <w:marRight w:val="0"/>
          <w:marTop w:val="15"/>
          <w:marBottom w:val="15"/>
          <w:divBdr>
            <w:top w:val="none" w:sz="0" w:space="0" w:color="auto"/>
            <w:left w:val="none" w:sz="0" w:space="0" w:color="auto"/>
            <w:bottom w:val="none" w:sz="0" w:space="0" w:color="auto"/>
            <w:right w:val="none" w:sz="0" w:space="0" w:color="auto"/>
          </w:divBdr>
        </w:div>
        <w:div w:id="1166827373">
          <w:marLeft w:val="0"/>
          <w:marRight w:val="0"/>
          <w:marTop w:val="15"/>
          <w:marBottom w:val="15"/>
          <w:divBdr>
            <w:top w:val="none" w:sz="0" w:space="0" w:color="auto"/>
            <w:left w:val="none" w:sz="0" w:space="0" w:color="auto"/>
            <w:bottom w:val="none" w:sz="0" w:space="0" w:color="auto"/>
            <w:right w:val="none" w:sz="0" w:space="0" w:color="auto"/>
          </w:divBdr>
        </w:div>
        <w:div w:id="1216968743">
          <w:marLeft w:val="0"/>
          <w:marRight w:val="0"/>
          <w:marTop w:val="15"/>
          <w:marBottom w:val="15"/>
          <w:divBdr>
            <w:top w:val="none" w:sz="0" w:space="0" w:color="auto"/>
            <w:left w:val="none" w:sz="0" w:space="0" w:color="auto"/>
            <w:bottom w:val="none" w:sz="0" w:space="0" w:color="auto"/>
            <w:right w:val="none" w:sz="0" w:space="0" w:color="auto"/>
          </w:divBdr>
        </w:div>
        <w:div w:id="1257442922">
          <w:marLeft w:val="0"/>
          <w:marRight w:val="0"/>
          <w:marTop w:val="15"/>
          <w:marBottom w:val="15"/>
          <w:divBdr>
            <w:top w:val="none" w:sz="0" w:space="0" w:color="auto"/>
            <w:left w:val="none" w:sz="0" w:space="0" w:color="auto"/>
            <w:bottom w:val="none" w:sz="0" w:space="0" w:color="auto"/>
            <w:right w:val="none" w:sz="0" w:space="0" w:color="auto"/>
          </w:divBdr>
        </w:div>
        <w:div w:id="1503472735">
          <w:marLeft w:val="0"/>
          <w:marRight w:val="0"/>
          <w:marTop w:val="15"/>
          <w:marBottom w:val="15"/>
          <w:divBdr>
            <w:top w:val="none" w:sz="0" w:space="0" w:color="auto"/>
            <w:left w:val="none" w:sz="0" w:space="0" w:color="auto"/>
            <w:bottom w:val="none" w:sz="0" w:space="0" w:color="auto"/>
            <w:right w:val="none" w:sz="0" w:space="0" w:color="auto"/>
          </w:divBdr>
        </w:div>
        <w:div w:id="1886287896">
          <w:marLeft w:val="0"/>
          <w:marRight w:val="0"/>
          <w:marTop w:val="15"/>
          <w:marBottom w:val="15"/>
          <w:divBdr>
            <w:top w:val="none" w:sz="0" w:space="0" w:color="auto"/>
            <w:left w:val="none" w:sz="0" w:space="0" w:color="auto"/>
            <w:bottom w:val="none" w:sz="0" w:space="0" w:color="auto"/>
            <w:right w:val="none" w:sz="0" w:space="0" w:color="auto"/>
          </w:divBdr>
        </w:div>
        <w:div w:id="2033913189">
          <w:marLeft w:val="0"/>
          <w:marRight w:val="0"/>
          <w:marTop w:val="15"/>
          <w:marBottom w:val="15"/>
          <w:divBdr>
            <w:top w:val="none" w:sz="0" w:space="0" w:color="auto"/>
            <w:left w:val="none" w:sz="0" w:space="0" w:color="auto"/>
            <w:bottom w:val="none" w:sz="0" w:space="0" w:color="auto"/>
            <w:right w:val="none" w:sz="0" w:space="0" w:color="auto"/>
          </w:divBdr>
        </w:div>
      </w:divsChild>
    </w:div>
    <w:div w:id="2097167775">
      <w:bodyDiv w:val="1"/>
      <w:marLeft w:val="0"/>
      <w:marRight w:val="0"/>
      <w:marTop w:val="0"/>
      <w:marBottom w:val="0"/>
      <w:divBdr>
        <w:top w:val="none" w:sz="0" w:space="0" w:color="auto"/>
        <w:left w:val="none" w:sz="0" w:space="0" w:color="auto"/>
        <w:bottom w:val="none" w:sz="0" w:space="0" w:color="auto"/>
        <w:right w:val="none" w:sz="0" w:space="0" w:color="auto"/>
      </w:divBdr>
      <w:divsChild>
        <w:div w:id="350571210">
          <w:marLeft w:val="0"/>
          <w:marRight w:val="0"/>
          <w:marTop w:val="15"/>
          <w:marBottom w:val="15"/>
          <w:divBdr>
            <w:top w:val="none" w:sz="0" w:space="0" w:color="auto"/>
            <w:left w:val="none" w:sz="0" w:space="0" w:color="auto"/>
            <w:bottom w:val="none" w:sz="0" w:space="0" w:color="auto"/>
            <w:right w:val="none" w:sz="0" w:space="0" w:color="auto"/>
          </w:divBdr>
        </w:div>
        <w:div w:id="847713198">
          <w:marLeft w:val="0"/>
          <w:marRight w:val="0"/>
          <w:marTop w:val="15"/>
          <w:marBottom w:val="15"/>
          <w:divBdr>
            <w:top w:val="none" w:sz="0" w:space="0" w:color="auto"/>
            <w:left w:val="none" w:sz="0" w:space="0" w:color="auto"/>
            <w:bottom w:val="none" w:sz="0" w:space="0" w:color="auto"/>
            <w:right w:val="none" w:sz="0" w:space="0" w:color="auto"/>
          </w:divBdr>
        </w:div>
        <w:div w:id="1120877342">
          <w:marLeft w:val="0"/>
          <w:marRight w:val="0"/>
          <w:marTop w:val="15"/>
          <w:marBottom w:val="15"/>
          <w:divBdr>
            <w:top w:val="none" w:sz="0" w:space="0" w:color="auto"/>
            <w:left w:val="none" w:sz="0" w:space="0" w:color="auto"/>
            <w:bottom w:val="none" w:sz="0" w:space="0" w:color="auto"/>
            <w:right w:val="none" w:sz="0" w:space="0" w:color="auto"/>
          </w:divBdr>
        </w:div>
        <w:div w:id="1396002619">
          <w:marLeft w:val="0"/>
          <w:marRight w:val="0"/>
          <w:marTop w:val="15"/>
          <w:marBottom w:val="15"/>
          <w:divBdr>
            <w:top w:val="none" w:sz="0" w:space="0" w:color="auto"/>
            <w:left w:val="none" w:sz="0" w:space="0" w:color="auto"/>
            <w:bottom w:val="none" w:sz="0" w:space="0" w:color="auto"/>
            <w:right w:val="none" w:sz="0" w:space="0" w:color="auto"/>
          </w:divBdr>
        </w:div>
        <w:div w:id="1945266325">
          <w:marLeft w:val="0"/>
          <w:marRight w:val="0"/>
          <w:marTop w:val="15"/>
          <w:marBottom w:val="15"/>
          <w:divBdr>
            <w:top w:val="none" w:sz="0" w:space="0" w:color="auto"/>
            <w:left w:val="none" w:sz="0" w:space="0" w:color="auto"/>
            <w:bottom w:val="none" w:sz="0" w:space="0" w:color="auto"/>
            <w:right w:val="none" w:sz="0" w:space="0" w:color="auto"/>
          </w:divBdr>
        </w:div>
        <w:div w:id="1962568005">
          <w:marLeft w:val="0"/>
          <w:marRight w:val="0"/>
          <w:marTop w:val="15"/>
          <w:marBottom w:val="15"/>
          <w:divBdr>
            <w:top w:val="none" w:sz="0" w:space="0" w:color="auto"/>
            <w:left w:val="none" w:sz="0" w:space="0" w:color="auto"/>
            <w:bottom w:val="none" w:sz="0" w:space="0" w:color="auto"/>
            <w:right w:val="none" w:sz="0" w:space="0" w:color="auto"/>
          </w:divBdr>
        </w:div>
        <w:div w:id="2107269460">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INA: ACT 101 - DEFINITIONS</vt:lpstr>
    </vt:vector>
  </TitlesOfParts>
  <Company>DHS</Company>
  <LinksUpToDate>false</LinksUpToDate>
  <CharactersWithSpaces>1429</CharactersWithSpaces>
  <SharedDoc>false</SharedDoc>
  <HLinks>
    <vt:vector size="102" baseType="variant">
      <vt:variant>
        <vt:i4>5832722</vt:i4>
      </vt:variant>
      <vt:variant>
        <vt:i4>48</vt:i4>
      </vt:variant>
      <vt:variant>
        <vt:i4>0</vt:i4>
      </vt:variant>
      <vt:variant>
        <vt:i4>5</vt:i4>
      </vt:variant>
      <vt:variant>
        <vt:lpwstr>http://www.uscis.gov/lpBin/lpext.dll/inserts/slb/slb-1/slb-10903/slb-32022/slb-32100?f=templates&amp;fn=document-frame.htm</vt:lpwstr>
      </vt:variant>
      <vt:variant>
        <vt:lpwstr>slb-8cfrsec3355</vt:lpwstr>
      </vt:variant>
      <vt:variant>
        <vt:i4>5242899</vt:i4>
      </vt:variant>
      <vt:variant>
        <vt:i4>45</vt:i4>
      </vt:variant>
      <vt:variant>
        <vt:i4>0</vt:i4>
      </vt:variant>
      <vt:variant>
        <vt:i4>5</vt:i4>
      </vt:variant>
      <vt:variant>
        <vt:lpwstr>http://www.uscis.gov/lpBin/lpext.dll/inserts/slb/slb-1/slb-10903/slb-32022/slb-32119?f=templates&amp;fn=document-frame.htm</vt:lpwstr>
      </vt:variant>
      <vt:variant>
        <vt:lpwstr>slb-8cfrsec3359</vt:lpwstr>
      </vt:variant>
      <vt:variant>
        <vt:i4>2687078</vt:i4>
      </vt:variant>
      <vt:variant>
        <vt:i4>42</vt:i4>
      </vt:variant>
      <vt:variant>
        <vt:i4>0</vt:i4>
      </vt:variant>
      <vt:variant>
        <vt:i4>5</vt:i4>
      </vt:variant>
      <vt:variant>
        <vt:lpwstr>http://www.uscis.gov/lpBin/lpext.dll/inserts/slb/slb-1/slb-20/slb-9472?f=templates&amp;fn=document-frame.htm</vt:lpwstr>
      </vt:variant>
      <vt:variant>
        <vt:lpwstr>slb-act310b</vt:lpwstr>
      </vt:variant>
      <vt:variant>
        <vt:i4>1310739</vt:i4>
      </vt:variant>
      <vt:variant>
        <vt:i4>39</vt:i4>
      </vt:variant>
      <vt:variant>
        <vt:i4>0</vt:i4>
      </vt:variant>
      <vt:variant>
        <vt:i4>5</vt:i4>
      </vt:variant>
      <vt:variant>
        <vt:lpwstr>http://www.uscis.gov/lpBin/lpext.dll/inserts/fr/fr-1/fr-12334/fr-17605/fr-18345?f=templates&amp;fn=document-frame.htm</vt:lpwstr>
      </vt:variant>
      <vt:variant>
        <vt:lpwstr>fr-60fr37803</vt:lpwstr>
      </vt:variant>
      <vt:variant>
        <vt:i4>2097255</vt:i4>
      </vt:variant>
      <vt:variant>
        <vt:i4>36</vt:i4>
      </vt:variant>
      <vt:variant>
        <vt:i4>0</vt:i4>
      </vt:variant>
      <vt:variant>
        <vt:i4>5</vt:i4>
      </vt:variant>
      <vt:variant>
        <vt:lpwstr>http://www.uscis.gov/lpBin/lpext.dll/inserts/slb/slb-1/slb-20/slb-9941?f=templates&amp;fn=document-frame.htm</vt:lpwstr>
      </vt:variant>
      <vt:variant>
        <vt:lpwstr>slb-act337a</vt:lpwstr>
      </vt:variant>
      <vt:variant>
        <vt:i4>2293857</vt:i4>
      </vt:variant>
      <vt:variant>
        <vt:i4>33</vt:i4>
      </vt:variant>
      <vt:variant>
        <vt:i4>0</vt:i4>
      </vt:variant>
      <vt:variant>
        <vt:i4>5</vt:i4>
      </vt:variant>
      <vt:variant>
        <vt:lpwstr>http://www.uscis.gov/lpBin/lpext.dll/inserts/slb/slb-1/slb-20/slb-9920?f=templates&amp;fn=document-frame.htm</vt:lpwstr>
      </vt:variant>
      <vt:variant>
        <vt:lpwstr>slb-act335b</vt:lpwstr>
      </vt:variant>
      <vt:variant>
        <vt:i4>2293857</vt:i4>
      </vt:variant>
      <vt:variant>
        <vt:i4>30</vt:i4>
      </vt:variant>
      <vt:variant>
        <vt:i4>0</vt:i4>
      </vt:variant>
      <vt:variant>
        <vt:i4>5</vt:i4>
      </vt:variant>
      <vt:variant>
        <vt:lpwstr>http://www.uscis.gov/lpBin/lpext.dll/inserts/slb/slb-1/slb-20/slb-9920?f=templates&amp;fn=document-frame.htm</vt:lpwstr>
      </vt:variant>
      <vt:variant>
        <vt:lpwstr>slb-act335</vt:lpwstr>
      </vt:variant>
      <vt:variant>
        <vt:i4>2162784</vt:i4>
      </vt:variant>
      <vt:variant>
        <vt:i4>27</vt:i4>
      </vt:variant>
      <vt:variant>
        <vt:i4>0</vt:i4>
      </vt:variant>
      <vt:variant>
        <vt:i4>5</vt:i4>
      </vt:variant>
      <vt:variant>
        <vt:lpwstr>http://www.uscis.gov/lpBin/lpext.dll/inserts/slb/slb-1/slb-20/slb-9931?f=templates&amp;fn=document-frame.htm</vt:lpwstr>
      </vt:variant>
      <vt:variant>
        <vt:lpwstr>slb-act336</vt:lpwstr>
      </vt:variant>
      <vt:variant>
        <vt:i4>2162784</vt:i4>
      </vt:variant>
      <vt:variant>
        <vt:i4>24</vt:i4>
      </vt:variant>
      <vt:variant>
        <vt:i4>0</vt:i4>
      </vt:variant>
      <vt:variant>
        <vt:i4>5</vt:i4>
      </vt:variant>
      <vt:variant>
        <vt:lpwstr>http://www.uscis.gov/lpBin/lpext.dll/inserts/slb/slb-1/slb-20/slb-9931?f=templates&amp;fn=document-frame.htm</vt:lpwstr>
      </vt:variant>
      <vt:variant>
        <vt:lpwstr>slb-act336a</vt:lpwstr>
      </vt:variant>
      <vt:variant>
        <vt:i4>2097255</vt:i4>
      </vt:variant>
      <vt:variant>
        <vt:i4>21</vt:i4>
      </vt:variant>
      <vt:variant>
        <vt:i4>0</vt:i4>
      </vt:variant>
      <vt:variant>
        <vt:i4>5</vt:i4>
      </vt:variant>
      <vt:variant>
        <vt:lpwstr>http://www.uscis.gov/lpBin/lpext.dll/inserts/slb/slb-1/slb-20/slb-9941?f=templates&amp;fn=document-frame.htm</vt:lpwstr>
      </vt:variant>
      <vt:variant>
        <vt:lpwstr>slb-act337a</vt:lpwstr>
      </vt:variant>
      <vt:variant>
        <vt:i4>1769481</vt:i4>
      </vt:variant>
      <vt:variant>
        <vt:i4>18</vt:i4>
      </vt:variant>
      <vt:variant>
        <vt:i4>0</vt:i4>
      </vt:variant>
      <vt:variant>
        <vt:i4>5</vt:i4>
      </vt:variant>
      <vt:variant>
        <vt:lpwstr>http://www.uscis.gov/lpBin/lpext.dll/inserts/slb/slb-1/slb-20/slb-1936?f=templates&amp;fn=document-frame.htm</vt:lpwstr>
      </vt:variant>
      <vt:variant>
        <vt:lpwstr>slb-act208b2a</vt:lpwstr>
      </vt:variant>
      <vt:variant>
        <vt:i4>3014755</vt:i4>
      </vt:variant>
      <vt:variant>
        <vt:i4>15</vt:i4>
      </vt:variant>
      <vt:variant>
        <vt:i4>0</vt:i4>
      </vt:variant>
      <vt:variant>
        <vt:i4>5</vt:i4>
      </vt:variant>
      <vt:variant>
        <vt:lpwstr>http://www.uscis.gov/lpBin/lpext.dll/inserts/slb/slb-1/slb-20/slb-9527?f=templates&amp;fn=document-frame.htm</vt:lpwstr>
      </vt:variant>
      <vt:variant>
        <vt:lpwstr>slb-act313</vt:lpwstr>
      </vt:variant>
      <vt:variant>
        <vt:i4>2162784</vt:i4>
      </vt:variant>
      <vt:variant>
        <vt:i4>12</vt:i4>
      </vt:variant>
      <vt:variant>
        <vt:i4>0</vt:i4>
      </vt:variant>
      <vt:variant>
        <vt:i4>5</vt:i4>
      </vt:variant>
      <vt:variant>
        <vt:lpwstr>http://www.uscis.gov/lpBin/lpext.dll/inserts/slb/slb-1/slb-20/slb-9931?f=templates&amp;fn=document-frame.htm</vt:lpwstr>
      </vt:variant>
      <vt:variant>
        <vt:lpwstr>slb-act336a</vt:lpwstr>
      </vt:variant>
      <vt:variant>
        <vt:i4>6029400</vt:i4>
      </vt:variant>
      <vt:variant>
        <vt:i4>9</vt:i4>
      </vt:variant>
      <vt:variant>
        <vt:i4>0</vt:i4>
      </vt:variant>
      <vt:variant>
        <vt:i4>5</vt:i4>
      </vt:variant>
      <vt:variant>
        <vt:lpwstr>http://www.uscis.gov/lpBin/lpext.dll/inserts/slb/slb-1/slb-20/slb-457/slb-857?f=templates&amp;fn=document-frame.htm</vt:lpwstr>
      </vt:variant>
      <vt:variant>
        <vt:lpwstr>slb-act101fn3d</vt:lpwstr>
      </vt:variant>
      <vt:variant>
        <vt:i4>6029400</vt:i4>
      </vt:variant>
      <vt:variant>
        <vt:i4>6</vt:i4>
      </vt:variant>
      <vt:variant>
        <vt:i4>0</vt:i4>
      </vt:variant>
      <vt:variant>
        <vt:i4>5</vt:i4>
      </vt:variant>
      <vt:variant>
        <vt:lpwstr>http://www.uscis.gov/lpBin/lpext.dll/inserts/slb/slb-1/slb-20/slb-457/slb-857?f=templates&amp;fn=document-frame.htm</vt:lpwstr>
      </vt:variant>
      <vt:variant>
        <vt:lpwstr>slb-act101fn3d</vt:lpwstr>
      </vt:variant>
      <vt:variant>
        <vt:i4>2752631</vt:i4>
      </vt:variant>
      <vt:variant>
        <vt:i4>3</vt:i4>
      </vt:variant>
      <vt:variant>
        <vt:i4>0</vt:i4>
      </vt:variant>
      <vt:variant>
        <vt:i4>5</vt:i4>
      </vt:variant>
      <vt:variant>
        <vt:lpwstr>http://www.uscis.gov/lpBin/lpext.dll/inserts/slb/slb-1/slb-20/slb-3540/slb-3837?f=templates&amp;fn=document-frame.htm</vt:lpwstr>
      </vt:variant>
      <vt:variant>
        <vt:lpwstr>slb-act214l</vt:lpwstr>
      </vt:variant>
      <vt:variant>
        <vt:i4>3670123</vt:i4>
      </vt:variant>
      <vt:variant>
        <vt:i4>0</vt:i4>
      </vt:variant>
      <vt:variant>
        <vt:i4>0</vt:i4>
      </vt:variant>
      <vt:variant>
        <vt:i4>5</vt:i4>
      </vt:variant>
      <vt:variant>
        <vt:lpwstr>http://www.uscis.gov/lpBin/lpext.dll/inserts/slb/slb-1/slb-20/slb-457/slb-857?f=templates&amp;fn=document-frame.htm</vt:lpwstr>
      </vt:variant>
      <vt:variant>
        <vt:lpwstr>slb-act101fn3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101 - DEFINITIONS</dc:title>
  <cp:lastModifiedBy>SYSTEM</cp:lastModifiedBy>
  <cp:revision>2</cp:revision>
  <dcterms:created xsi:type="dcterms:W3CDTF">2019-08-08T22:39:00Z</dcterms:created>
  <dcterms:modified xsi:type="dcterms:W3CDTF">2019-08-08T22:39:00Z</dcterms:modified>
</cp:coreProperties>
</file>