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A457" w14:textId="77777777" w:rsidR="00DB59F0" w:rsidRDefault="00F2776C">
      <w:pPr>
        <w:jc w:val="center"/>
      </w:pPr>
      <w:bookmarkStart w:id="0" w:name="_GoBack"/>
      <w:bookmarkEnd w:id="0"/>
      <w:r>
        <w:t>167 FERC ¶ 61,230</w:t>
      </w:r>
    </w:p>
    <w:p w14:paraId="515A225E" w14:textId="77777777" w:rsidR="00DB4ABC" w:rsidRDefault="00455EF9" w:rsidP="00C22D8B">
      <w:pPr>
        <w:jc w:val="center"/>
      </w:pPr>
      <w:r w:rsidRPr="008042F7">
        <w:rPr>
          <w:b/>
        </w:rPr>
        <w:fldChar w:fldCharType="begin"/>
      </w:r>
      <w:r w:rsidR="00DB4ABC" w:rsidRPr="008042F7">
        <w:rPr>
          <w:b/>
        </w:rPr>
        <w:instrText xml:space="preserve"> MACROBUTTON  AcceptAllChangesInDoc </w:instrText>
      </w:r>
      <w:r w:rsidRPr="008042F7">
        <w:rPr>
          <w:b/>
        </w:rPr>
        <w:fldChar w:fldCharType="end"/>
      </w:r>
      <w:r w:rsidR="00DB4ABC" w:rsidRPr="008042F7">
        <w:t>FEDERAL ENERGY REGULATORY COMMISSION</w:t>
      </w:r>
    </w:p>
    <w:p w14:paraId="09E556E1" w14:textId="77777777" w:rsidR="00571876" w:rsidRPr="008042F7" w:rsidRDefault="00571876" w:rsidP="00C22D8B">
      <w:pPr>
        <w:jc w:val="center"/>
      </w:pPr>
      <w:r>
        <w:t>WASHINGTON, D</w:t>
      </w:r>
      <w:r w:rsidR="002F350F">
        <w:t>.</w:t>
      </w:r>
      <w:r>
        <w:t>C</w:t>
      </w:r>
      <w:r w:rsidR="002F350F">
        <w:t>.</w:t>
      </w:r>
      <w:r>
        <w:t xml:space="preserve"> 20426</w:t>
      </w:r>
    </w:p>
    <w:p w14:paraId="3E42AA57" w14:textId="77777777" w:rsidR="00DB4ABC" w:rsidRPr="008042F7" w:rsidRDefault="00DB4ABC" w:rsidP="00C22D8B"/>
    <w:p w14:paraId="1E8D92B7" w14:textId="47C914C1" w:rsidR="00DB4ABC" w:rsidRDefault="008F6C24" w:rsidP="00BB1303">
      <w:pPr>
        <w:widowControl/>
        <w:jc w:val="center"/>
      </w:pPr>
      <w:r>
        <w:t>June</w:t>
      </w:r>
      <w:r w:rsidRPr="00BB1303">
        <w:t xml:space="preserve"> </w:t>
      </w:r>
      <w:r w:rsidR="004E7471">
        <w:t>20</w:t>
      </w:r>
      <w:r w:rsidR="00BB1303" w:rsidRPr="00BB1303">
        <w:t>, 2019</w:t>
      </w:r>
    </w:p>
    <w:p w14:paraId="3842386B" w14:textId="77777777" w:rsidR="00884CF5" w:rsidRDefault="00884CF5" w:rsidP="00884CF5">
      <w:pPr>
        <w:rPr>
          <w:bCs/>
          <w:u w:val="single"/>
        </w:rPr>
      </w:pPr>
    </w:p>
    <w:p w14:paraId="14A23423" w14:textId="77777777" w:rsidR="00571876" w:rsidRPr="009F3F1F" w:rsidRDefault="00571876" w:rsidP="00571876">
      <w:r w:rsidRPr="009F3F1F">
        <w:tab/>
      </w:r>
      <w:r w:rsidRPr="009F3F1F">
        <w:tab/>
      </w:r>
      <w:r w:rsidRPr="009F3F1F">
        <w:tab/>
      </w:r>
      <w:r w:rsidRPr="009F3F1F">
        <w:tab/>
      </w:r>
      <w:r w:rsidRPr="009F3F1F">
        <w:tab/>
      </w:r>
      <w:r w:rsidR="00BB1303">
        <w:tab/>
      </w:r>
      <w:r w:rsidR="00BB1303">
        <w:tab/>
      </w:r>
      <w:r w:rsidRPr="009F3F1F">
        <w:t>In Reply Refer To:</w:t>
      </w:r>
    </w:p>
    <w:p w14:paraId="2DB6EC85" w14:textId="77777777" w:rsidR="009C2104" w:rsidRDefault="00571876" w:rsidP="009C2104">
      <w:pPr>
        <w:ind w:left="5040" w:right="-180"/>
      </w:pPr>
      <w:bookmarkStart w:id="1" w:name="Company"/>
      <w:bookmarkEnd w:id="1"/>
      <w:r>
        <w:t>N</w:t>
      </w:r>
      <w:r w:rsidR="00AC1C4F">
        <w:t xml:space="preserve">orth American Electric Reliability </w:t>
      </w:r>
      <w:r w:rsidR="009C2104">
        <w:t xml:space="preserve"> </w:t>
      </w:r>
    </w:p>
    <w:p w14:paraId="5D9C80EF" w14:textId="77777777" w:rsidR="00571876" w:rsidRPr="009F3F1F" w:rsidRDefault="009C2104" w:rsidP="00B91006">
      <w:pPr>
        <w:ind w:left="5040" w:right="-180"/>
      </w:pPr>
      <w:r>
        <w:t xml:space="preserve">  </w:t>
      </w:r>
      <w:r w:rsidR="00AC1C4F">
        <w:t>Corporation</w:t>
      </w:r>
      <w:r w:rsidR="00571876">
        <w:t xml:space="preserve"> </w:t>
      </w:r>
    </w:p>
    <w:p w14:paraId="580B29C3" w14:textId="77777777" w:rsidR="00571876" w:rsidRPr="009F3F1F" w:rsidRDefault="00571876" w:rsidP="009C2104">
      <w:pPr>
        <w:ind w:left="4320" w:firstLine="720"/>
      </w:pPr>
      <w:bookmarkStart w:id="2" w:name="Docket_Number"/>
      <w:bookmarkEnd w:id="2"/>
      <w:r>
        <w:t>Docket No.</w:t>
      </w:r>
      <w:r w:rsidR="00BB1303">
        <w:t xml:space="preserve"> </w:t>
      </w:r>
      <w:r>
        <w:t>R</w:t>
      </w:r>
      <w:r w:rsidR="00B91006">
        <w:t>D</w:t>
      </w:r>
      <w:r>
        <w:t>19-</w:t>
      </w:r>
      <w:r w:rsidR="00F00E48">
        <w:t>3</w:t>
      </w:r>
      <w:r>
        <w:t>-000</w:t>
      </w:r>
    </w:p>
    <w:p w14:paraId="3F4E0EFB" w14:textId="77777777" w:rsidR="00571876" w:rsidRPr="009F3F1F" w:rsidRDefault="00571876" w:rsidP="00571876"/>
    <w:p w14:paraId="30A197AA" w14:textId="77777777" w:rsidR="00571876" w:rsidRDefault="00571876" w:rsidP="00571876">
      <w:bookmarkStart w:id="3" w:name="Address"/>
      <w:bookmarkEnd w:id="3"/>
    </w:p>
    <w:p w14:paraId="42441E7D" w14:textId="77777777" w:rsidR="00571876" w:rsidRDefault="00571876" w:rsidP="00571876">
      <w:r>
        <w:t>North American Electric Reliability Corporation</w:t>
      </w:r>
    </w:p>
    <w:p w14:paraId="714B6183" w14:textId="6A20DD39" w:rsidR="004E7471" w:rsidRDefault="003725DD" w:rsidP="00571876">
      <w:r>
        <w:t xml:space="preserve">1325 G Street, NW </w:t>
      </w:r>
    </w:p>
    <w:p w14:paraId="4A52710F" w14:textId="73E8D44D" w:rsidR="00571876" w:rsidRDefault="003725DD" w:rsidP="00571876">
      <w:r>
        <w:t>Suite 600</w:t>
      </w:r>
    </w:p>
    <w:p w14:paraId="57C82982" w14:textId="55EA34B3" w:rsidR="003725DD" w:rsidRDefault="003725DD" w:rsidP="00571876">
      <w:r>
        <w:t>Washington, DC 20005</w:t>
      </w:r>
    </w:p>
    <w:p w14:paraId="34ED50FF" w14:textId="77777777" w:rsidR="00571876" w:rsidRDefault="00571876" w:rsidP="00571876"/>
    <w:p w14:paraId="35ED5A77" w14:textId="77777777" w:rsidR="00175341" w:rsidRDefault="00571876" w:rsidP="00571876">
      <w:pPr>
        <w:tabs>
          <w:tab w:val="left" w:pos="1440"/>
        </w:tabs>
        <w:ind w:left="1440" w:hanging="1440"/>
      </w:pPr>
      <w:r>
        <w:t>Attention:</w:t>
      </w:r>
      <w:r w:rsidR="009C2104">
        <w:t xml:space="preserve">  </w:t>
      </w:r>
      <w:r w:rsidR="006E494B">
        <w:t>Lau</w:t>
      </w:r>
      <w:r w:rsidR="005A5E83">
        <w:t>r</w:t>
      </w:r>
      <w:r w:rsidR="00356CCB">
        <w:t>en</w:t>
      </w:r>
      <w:r w:rsidR="006E494B">
        <w:t xml:space="preserve"> Perotti</w:t>
      </w:r>
    </w:p>
    <w:p w14:paraId="0F490847" w14:textId="445178CE" w:rsidR="00571876" w:rsidRPr="006F066D" w:rsidRDefault="00175341" w:rsidP="00571876">
      <w:pPr>
        <w:tabs>
          <w:tab w:val="left" w:pos="1440"/>
        </w:tabs>
        <w:ind w:left="1440" w:hanging="1440"/>
      </w:pPr>
      <w:r>
        <w:t xml:space="preserve">                 </w:t>
      </w:r>
      <w:r w:rsidR="00571876" w:rsidRPr="006F066D">
        <w:t xml:space="preserve"> </w:t>
      </w:r>
      <w:r w:rsidR="00C53A4A">
        <w:t>Marisa Hecht</w:t>
      </w:r>
    </w:p>
    <w:p w14:paraId="7FCF43C3" w14:textId="77777777" w:rsidR="00571876" w:rsidRPr="006F066D" w:rsidRDefault="00571876" w:rsidP="00571876"/>
    <w:p w14:paraId="4D6783FA" w14:textId="77777777" w:rsidR="00571876" w:rsidRPr="006F066D" w:rsidRDefault="00571876" w:rsidP="00571876">
      <w:bookmarkStart w:id="4" w:name="Name"/>
      <w:bookmarkEnd w:id="4"/>
      <w:r w:rsidRPr="006F066D">
        <w:t xml:space="preserve">Dear </w:t>
      </w:r>
      <w:bookmarkStart w:id="5" w:name="Name2"/>
      <w:bookmarkEnd w:id="5"/>
      <w:r w:rsidRPr="006F066D">
        <w:t xml:space="preserve">Ms. </w:t>
      </w:r>
      <w:r w:rsidR="00C53A4A">
        <w:t>Perotti</w:t>
      </w:r>
      <w:r w:rsidR="008F6C24">
        <w:t xml:space="preserve"> and</w:t>
      </w:r>
      <w:r w:rsidRPr="006F066D">
        <w:t xml:space="preserve"> Ms. </w:t>
      </w:r>
      <w:r w:rsidR="00C53A4A">
        <w:t>Hecht</w:t>
      </w:r>
      <w:r w:rsidRPr="006F066D">
        <w:t>:</w:t>
      </w:r>
    </w:p>
    <w:p w14:paraId="173EFCA4" w14:textId="77777777" w:rsidR="00571876" w:rsidRPr="006F066D" w:rsidRDefault="00571876" w:rsidP="00884CF5">
      <w:pPr>
        <w:rPr>
          <w:bCs/>
          <w:u w:val="single"/>
        </w:rPr>
      </w:pPr>
    </w:p>
    <w:p w14:paraId="666EEBDA" w14:textId="46257599" w:rsidR="00884CF5" w:rsidRDefault="00884CF5" w:rsidP="00C27AF0">
      <w:pPr>
        <w:pStyle w:val="FERCparanumber"/>
      </w:pPr>
      <w:r w:rsidRPr="006F066D">
        <w:t xml:space="preserve">On </w:t>
      </w:r>
      <w:r w:rsidR="00C53A4A">
        <w:t>March</w:t>
      </w:r>
      <w:r w:rsidR="00EA4273" w:rsidRPr="00232A9D">
        <w:t xml:space="preserve"> 7, 2019</w:t>
      </w:r>
      <w:r w:rsidRPr="006F066D">
        <w:t xml:space="preserve">, the North American Electric Reliability Corporation (NERC) filed a petition requesting </w:t>
      </w:r>
      <w:r w:rsidR="00A94C5E">
        <w:t xml:space="preserve">approval </w:t>
      </w:r>
      <w:r w:rsidR="000A11BA">
        <w:t>of</w:t>
      </w:r>
      <w:r w:rsidR="00A94C5E">
        <w:t xml:space="preserve"> proposed Reliability Standard CIP-008-6 </w:t>
      </w:r>
      <w:r w:rsidR="008F6C24">
        <w:t>(</w:t>
      </w:r>
      <w:r w:rsidR="00A94C5E">
        <w:t>Cyber Security – Incident Reporting and Response Planning</w:t>
      </w:r>
      <w:r w:rsidR="008F6C24">
        <w:t>)</w:t>
      </w:r>
      <w:r w:rsidR="00A94C5E">
        <w:t>.</w:t>
      </w:r>
      <w:r w:rsidR="009C6AE7">
        <w:t xml:space="preserve">  </w:t>
      </w:r>
      <w:r w:rsidR="00C27AF0">
        <w:t>NERC also request</w:t>
      </w:r>
      <w:r w:rsidR="00676700">
        <w:t>ed</w:t>
      </w:r>
      <w:r w:rsidR="00C27AF0">
        <w:t xml:space="preserve"> approval of</w:t>
      </w:r>
      <w:r w:rsidR="008F6C24">
        <w:t>:</w:t>
      </w:r>
      <w:r w:rsidR="000A11BA">
        <w:t xml:space="preserve"> </w:t>
      </w:r>
      <w:r w:rsidR="004E7471">
        <w:t xml:space="preserve"> </w:t>
      </w:r>
      <w:r w:rsidR="00C27AF0">
        <w:t>(</w:t>
      </w:r>
      <w:r w:rsidR="006A591A">
        <w:t>1</w:t>
      </w:r>
      <w:r w:rsidR="00676700">
        <w:t>)</w:t>
      </w:r>
      <w:r w:rsidR="006A591A">
        <w:t xml:space="preserve"> the associated implementation plan</w:t>
      </w:r>
      <w:r w:rsidR="00676700">
        <w:t xml:space="preserve">, </w:t>
      </w:r>
      <w:r w:rsidR="009C6AE7">
        <w:t>v</w:t>
      </w:r>
      <w:r w:rsidR="00C27AF0">
        <w:t xml:space="preserve">iolation </w:t>
      </w:r>
      <w:r w:rsidR="009C6AE7">
        <w:t>r</w:t>
      </w:r>
      <w:r w:rsidR="00C27AF0">
        <w:t xml:space="preserve">isk </w:t>
      </w:r>
      <w:r w:rsidR="009C6AE7">
        <w:t>f</w:t>
      </w:r>
      <w:r w:rsidR="00C27AF0">
        <w:t xml:space="preserve">actors and </w:t>
      </w:r>
      <w:r w:rsidR="009C6AE7">
        <w:t>v</w:t>
      </w:r>
      <w:r w:rsidR="00C27AF0">
        <w:t xml:space="preserve">iolation </w:t>
      </w:r>
      <w:r w:rsidR="009C6AE7">
        <w:t>s</w:t>
      </w:r>
      <w:r w:rsidR="00C27AF0">
        <w:t xml:space="preserve">everity </w:t>
      </w:r>
      <w:r w:rsidR="009C6AE7">
        <w:t>l</w:t>
      </w:r>
      <w:r w:rsidR="00C27AF0">
        <w:t xml:space="preserve">evels; </w:t>
      </w:r>
      <w:r w:rsidR="00676700">
        <w:t>(2) the inclusion of proposed revised definitions of “Cyber Security Incident” and “Reportable Cyber Security Incident” into the NERC Glossary;</w:t>
      </w:r>
      <w:r w:rsidR="00676700">
        <w:rPr>
          <w:rStyle w:val="FootnoteReference"/>
        </w:rPr>
        <w:footnoteReference w:id="2"/>
      </w:r>
      <w:r w:rsidR="00676700">
        <w:t xml:space="preserve"> </w:t>
      </w:r>
      <w:r w:rsidR="00C27AF0">
        <w:t>and (</w:t>
      </w:r>
      <w:r w:rsidR="00676700">
        <w:t>3</w:t>
      </w:r>
      <w:r w:rsidR="00C27AF0">
        <w:t xml:space="preserve">) the retirement of </w:t>
      </w:r>
      <w:r w:rsidR="006B7611">
        <w:t>currently-effective</w:t>
      </w:r>
      <w:r w:rsidR="00C27AF0">
        <w:t xml:space="preserve"> Reliability Standard CIP-008-5.  </w:t>
      </w:r>
      <w:r w:rsidR="00A7315B">
        <w:t>For the reasons discussed below</w:t>
      </w:r>
      <w:r w:rsidR="002F5F0F" w:rsidRPr="006F066D">
        <w:t xml:space="preserve">, </w:t>
      </w:r>
      <w:r w:rsidRPr="006F066D">
        <w:t>we grant the requested approval</w:t>
      </w:r>
      <w:r w:rsidR="008F6C24">
        <w:t>s</w:t>
      </w:r>
      <w:r w:rsidR="00A7315B">
        <w:t>.</w:t>
      </w:r>
    </w:p>
    <w:p w14:paraId="485B06F3" w14:textId="261D5084" w:rsidR="006B7611" w:rsidRDefault="009C6AE7" w:rsidP="00A94C5E">
      <w:pPr>
        <w:pStyle w:val="FERCparanumber"/>
      </w:pPr>
      <w:r>
        <w:t xml:space="preserve">In </w:t>
      </w:r>
      <w:r w:rsidR="002F350F">
        <w:t>O</w:t>
      </w:r>
      <w:r w:rsidR="008F6C24">
        <w:t>rder No. 848</w:t>
      </w:r>
      <w:r>
        <w:t>, the Commission</w:t>
      </w:r>
      <w:r w:rsidR="008F6C24">
        <w:t xml:space="preserve"> directed NERC</w:t>
      </w:r>
      <w:r w:rsidR="00A94C5E">
        <w:t xml:space="preserve"> to </w:t>
      </w:r>
      <w:r w:rsidR="006B7611">
        <w:t>enhance</w:t>
      </w:r>
      <w:r>
        <w:t xml:space="preserve"> the mandatory reporting of Cyber Security Incidents.</w:t>
      </w:r>
      <w:r>
        <w:rPr>
          <w:rStyle w:val="FootnoteReference"/>
        </w:rPr>
        <w:footnoteReference w:id="3"/>
      </w:r>
      <w:r>
        <w:t xml:space="preserve">  </w:t>
      </w:r>
      <w:r w:rsidR="006B7611">
        <w:t>The Commission explained that the current</w:t>
      </w:r>
      <w:r w:rsidR="001A4FE8">
        <w:t>ly-effective</w:t>
      </w:r>
      <w:r w:rsidR="006B7611">
        <w:t xml:space="preserve"> reporting threshold, which only requires reporting in cases where a Cyber Security Incident has “compromised or disrupted one or more reliability tasks,” may </w:t>
      </w:r>
      <w:r w:rsidR="006B7611">
        <w:lastRenderedPageBreak/>
        <w:t>understate the true scope of cyber-related threats to the Bulk-Power System.</w:t>
      </w:r>
      <w:r w:rsidR="00890E54">
        <w:rPr>
          <w:rStyle w:val="FootnoteReference"/>
        </w:rPr>
        <w:footnoteReference w:id="4"/>
      </w:r>
      <w:r w:rsidR="006B7611">
        <w:t xml:space="preserve">  To address this</w:t>
      </w:r>
      <w:r w:rsidR="007B1078">
        <w:t xml:space="preserve"> reliability </w:t>
      </w:r>
      <w:r w:rsidR="006B7611">
        <w:t>gap</w:t>
      </w:r>
      <w:r>
        <w:t>,</w:t>
      </w:r>
      <w:r w:rsidR="0087656B">
        <w:t xml:space="preserve"> pursuant to section 215(d)(5) of the Federal Power Act (FPA)</w:t>
      </w:r>
      <w:r w:rsidR="00235623">
        <w:t>,</w:t>
      </w:r>
      <w:r>
        <w:t xml:space="preserve"> the Commission directed NERC to </w:t>
      </w:r>
      <w:r w:rsidR="00A94C5E">
        <w:t>develop</w:t>
      </w:r>
      <w:r w:rsidR="00182408">
        <w:t xml:space="preserve"> and submit</w:t>
      </w:r>
      <w:r w:rsidR="00A94C5E">
        <w:t xml:space="preserve"> modifications</w:t>
      </w:r>
      <w:r w:rsidR="00751BC3">
        <w:t xml:space="preserve"> to the Reliability Standard</w:t>
      </w:r>
      <w:r w:rsidR="00A94C5E">
        <w:t xml:space="preserve"> to require </w:t>
      </w:r>
      <w:r w:rsidR="00A7315B">
        <w:t xml:space="preserve">the </w:t>
      </w:r>
      <w:r w:rsidR="00A94C5E">
        <w:t xml:space="preserve">reporting of Cyber Security Incidents that compromise, or attempt to compromise, a </w:t>
      </w:r>
      <w:r>
        <w:t>r</w:t>
      </w:r>
      <w:r w:rsidR="00A94C5E">
        <w:t xml:space="preserve">esponsible </w:t>
      </w:r>
      <w:r>
        <w:t>e</w:t>
      </w:r>
      <w:r w:rsidR="00A94C5E">
        <w:t>ntity’s Electronic Security Perimeter (ESP) or associated Electronic Access Control or Monitoring Systems (EACMS)</w:t>
      </w:r>
      <w:r>
        <w:t>.</w:t>
      </w:r>
      <w:r w:rsidR="0087656B">
        <w:rPr>
          <w:rStyle w:val="FootnoteReference"/>
        </w:rPr>
        <w:footnoteReference w:id="5"/>
      </w:r>
      <w:r w:rsidR="006B7611">
        <w:t xml:space="preserve"> </w:t>
      </w:r>
      <w:r w:rsidR="003612FD">
        <w:t xml:space="preserve"> With respect to EACMS, t</w:t>
      </w:r>
      <w:r w:rsidR="003612FD" w:rsidRPr="00A27E41">
        <w:t xml:space="preserve">he Commission directed </w:t>
      </w:r>
      <w:r w:rsidR="00890E54">
        <w:t xml:space="preserve">that </w:t>
      </w:r>
      <w:r w:rsidR="003612FD">
        <w:t>enhanced reporting should</w:t>
      </w:r>
      <w:r w:rsidR="00F3036E">
        <w:t xml:space="preserve"> </w:t>
      </w:r>
      <w:r w:rsidR="001A4FE8">
        <w:t>apply</w:t>
      </w:r>
      <w:r w:rsidR="00F3036E">
        <w:t xml:space="preserve">, at a minimum, </w:t>
      </w:r>
      <w:r w:rsidR="001A4FE8">
        <w:t>to</w:t>
      </w:r>
      <w:r w:rsidR="003612FD">
        <w:t xml:space="preserve"> </w:t>
      </w:r>
      <w:r w:rsidR="003612FD" w:rsidRPr="00A27E41">
        <w:t>EACMS that perform</w:t>
      </w:r>
      <w:r w:rsidR="003612FD">
        <w:t xml:space="preserve"> the following functions</w:t>
      </w:r>
      <w:r w:rsidR="003612FD" w:rsidRPr="00A27E41">
        <w:t xml:space="preserve">: </w:t>
      </w:r>
      <w:r w:rsidR="004E7471">
        <w:t xml:space="preserve"> </w:t>
      </w:r>
      <w:r w:rsidR="003612FD" w:rsidRPr="00A27E41">
        <w:t>(1) authentication; (2)</w:t>
      </w:r>
      <w:r w:rsidR="003612FD">
        <w:t xml:space="preserve"> </w:t>
      </w:r>
      <w:r w:rsidR="003612FD" w:rsidRPr="00A27E41">
        <w:t>monitoring and logging; (3) access control; (4) Interactive Remote Access; and (5) alerting.</w:t>
      </w:r>
      <w:r w:rsidR="003612FD">
        <w:t xml:space="preserve"> </w:t>
      </w:r>
      <w:r w:rsidR="003612FD" w:rsidRPr="00A27E41">
        <w:t xml:space="preserve"> </w:t>
      </w:r>
      <w:r w:rsidR="006B7611">
        <w:t xml:space="preserve"> </w:t>
      </w:r>
      <w:r>
        <w:t xml:space="preserve"> </w:t>
      </w:r>
      <w:r w:rsidR="006B7611">
        <w:t xml:space="preserve"> </w:t>
      </w:r>
      <w:r>
        <w:t xml:space="preserve"> </w:t>
      </w:r>
    </w:p>
    <w:p w14:paraId="07C49612" w14:textId="6BDA9FF0" w:rsidR="00455E55" w:rsidRDefault="009C6AE7" w:rsidP="00A94C5E">
      <w:pPr>
        <w:pStyle w:val="FERCparanumber"/>
      </w:pPr>
      <w:r>
        <w:t xml:space="preserve">The Commission also directed that information in Cyber Security Incident reports should include certain minimum information to improve the quality of reporting and allow for ease of comparison by ensuring that each report includes </w:t>
      </w:r>
      <w:r w:rsidR="00707044">
        <w:t>specified fields of information.</w:t>
      </w:r>
      <w:r w:rsidR="00C1533E">
        <w:rPr>
          <w:rStyle w:val="FootnoteReference"/>
        </w:rPr>
        <w:footnoteReference w:id="6"/>
      </w:r>
      <w:r w:rsidR="00707044">
        <w:t xml:space="preserve">  The Commission further directed that filing deadlines for Cyber Security Incident reports should be established and </w:t>
      </w:r>
      <w:r w:rsidR="00F3036E">
        <w:t xml:space="preserve">that </w:t>
      </w:r>
      <w:r w:rsidR="00707044">
        <w:t xml:space="preserve">Cyber Security Incident reports should be sent </w:t>
      </w:r>
      <w:r w:rsidR="00A94C5E">
        <w:t>to the Electricity Information Sharing and Analysis Center (E-ISAC) and the Department of Homeland Security Industrial Control Systems Cyber Emergency Response Team (ICS-CERT)</w:t>
      </w:r>
      <w:r w:rsidR="00356CCB">
        <w:t xml:space="preserve"> or </w:t>
      </w:r>
      <w:r w:rsidR="003725DD">
        <w:t>any successor organization</w:t>
      </w:r>
      <w:r w:rsidR="00A94C5E">
        <w:t xml:space="preserve">.  </w:t>
      </w:r>
    </w:p>
    <w:p w14:paraId="226FB644" w14:textId="4D51B647" w:rsidR="007B1078" w:rsidRPr="004E7471" w:rsidRDefault="003E0709" w:rsidP="00175341">
      <w:pPr>
        <w:pStyle w:val="FERCparanumber"/>
        <w:spacing w:after="0"/>
        <w:rPr>
          <w:szCs w:val="26"/>
        </w:rPr>
      </w:pPr>
      <w:r>
        <w:t xml:space="preserve">In its petition, </w:t>
      </w:r>
      <w:r w:rsidR="00D16EBE">
        <w:t xml:space="preserve">NERC </w:t>
      </w:r>
      <w:r w:rsidR="005A5E83">
        <w:t xml:space="preserve">states </w:t>
      </w:r>
      <w:r>
        <w:t>t</w:t>
      </w:r>
      <w:r w:rsidR="005A5E83">
        <w:t xml:space="preserve">hat </w:t>
      </w:r>
      <w:r w:rsidR="00D16EBE">
        <w:t xml:space="preserve">proposed Reliability Standard CIP-008-6 broadens the mandatory reporting of Cyber Security Incidents </w:t>
      </w:r>
      <w:r w:rsidR="00455E55">
        <w:t xml:space="preserve">and thus </w:t>
      </w:r>
      <w:r w:rsidR="00D16EBE">
        <w:t>address</w:t>
      </w:r>
      <w:r w:rsidR="00455E55">
        <w:t>es</w:t>
      </w:r>
      <w:r w:rsidR="00D16EBE">
        <w:t xml:space="preserve"> the concern that</w:t>
      </w:r>
      <w:r>
        <w:t xml:space="preserve"> currently-effective</w:t>
      </w:r>
      <w:r w:rsidR="00D16EBE">
        <w:t xml:space="preserve"> Reliability Standard CIP-008-5 may not encompass the full scope of cyber-related threats to the </w:t>
      </w:r>
      <w:r w:rsidR="00707044">
        <w:t>B</w:t>
      </w:r>
      <w:r w:rsidR="00DE7F35">
        <w:t>ulk</w:t>
      </w:r>
      <w:r w:rsidR="00707044">
        <w:t>-P</w:t>
      </w:r>
      <w:r w:rsidR="00DE7F35">
        <w:t xml:space="preserve">ower </w:t>
      </w:r>
      <w:r w:rsidR="00707044">
        <w:t>S</w:t>
      </w:r>
      <w:r w:rsidR="00DE7F35">
        <w:t>ystem</w:t>
      </w:r>
      <w:r w:rsidR="00D16EBE">
        <w:t>.</w:t>
      </w:r>
      <w:r w:rsidR="00D16EBE">
        <w:rPr>
          <w:rStyle w:val="FootnoteReference"/>
        </w:rPr>
        <w:footnoteReference w:id="7"/>
      </w:r>
      <w:r w:rsidR="00D16EBE">
        <w:t xml:space="preserve">  </w:t>
      </w:r>
      <w:r w:rsidR="00D9556D" w:rsidRPr="00D9556D">
        <w:t xml:space="preserve">As </w:t>
      </w:r>
      <w:r w:rsidR="00A763A9">
        <w:t>a predicate to</w:t>
      </w:r>
      <w:r w:rsidR="00D9556D" w:rsidRPr="00D9556D">
        <w:t xml:space="preserve"> </w:t>
      </w:r>
      <w:r w:rsidR="00A7315B">
        <w:t xml:space="preserve">the augmented </w:t>
      </w:r>
      <w:r w:rsidR="00D9556D" w:rsidRPr="00D9556D">
        <w:t>reporting requirements</w:t>
      </w:r>
      <w:r w:rsidR="00A763A9">
        <w:t xml:space="preserve"> in proposed Reliability Standard CIP-008-6</w:t>
      </w:r>
      <w:r w:rsidR="00D9556D" w:rsidRPr="00D9556D">
        <w:t xml:space="preserve">, </w:t>
      </w:r>
      <w:r w:rsidR="003725DD">
        <w:t xml:space="preserve">NERC </w:t>
      </w:r>
      <w:r w:rsidR="00D9556D" w:rsidRPr="00D9556D">
        <w:t>propose</w:t>
      </w:r>
      <w:r w:rsidR="005A5E83">
        <w:t>s</w:t>
      </w:r>
      <w:r w:rsidR="00D9556D" w:rsidRPr="00D9556D">
        <w:t xml:space="preserve"> </w:t>
      </w:r>
      <w:r w:rsidR="00A763A9">
        <w:t>revised</w:t>
      </w:r>
      <w:r w:rsidR="00D9556D" w:rsidRPr="00D9556D">
        <w:t xml:space="preserve"> NERC Glossary definition</w:t>
      </w:r>
      <w:r w:rsidR="00886187">
        <w:t>s</w:t>
      </w:r>
      <w:r w:rsidR="00D9556D" w:rsidRPr="00D9556D">
        <w:t xml:space="preserve"> of</w:t>
      </w:r>
      <w:r w:rsidR="00D9556D">
        <w:t xml:space="preserve"> </w:t>
      </w:r>
      <w:r w:rsidR="00D9556D" w:rsidRPr="00D9556D">
        <w:t>Cyber Security Incident</w:t>
      </w:r>
      <w:r w:rsidR="002F350F" w:rsidRPr="002F350F">
        <w:t xml:space="preserve"> </w:t>
      </w:r>
      <w:r w:rsidR="00886187">
        <w:t xml:space="preserve">and </w:t>
      </w:r>
      <w:r w:rsidR="002F350F" w:rsidRPr="00D9556D">
        <w:t>Reportable Cyber Security Incident</w:t>
      </w:r>
      <w:r w:rsidR="00A7315B">
        <w:t xml:space="preserve">.  </w:t>
      </w:r>
      <w:r w:rsidR="00844893">
        <w:t xml:space="preserve">NERC explains that, </w:t>
      </w:r>
      <w:r w:rsidR="00EF7AF0">
        <w:t>by applying</w:t>
      </w:r>
      <w:r w:rsidR="00844893">
        <w:t xml:space="preserve"> the revised definitions,</w:t>
      </w:r>
      <w:r w:rsidR="00A7315B">
        <w:t xml:space="preserve"> Cyber Security Incidents </w:t>
      </w:r>
      <w:r w:rsidR="002A2AB4">
        <w:t xml:space="preserve">(i.e., attempts to compromise) </w:t>
      </w:r>
      <w:r w:rsidR="00A7315B">
        <w:t>and Reportable Cyber Security Incidents</w:t>
      </w:r>
      <w:r w:rsidR="002A2AB4">
        <w:t xml:space="preserve"> (i.e., actual compromises)</w:t>
      </w:r>
      <w:r w:rsidR="00A7315B">
        <w:t xml:space="preserve"> will be </w:t>
      </w:r>
      <w:r w:rsidR="006A55A9">
        <w:t>reported under proposed Reliability Standard CIP-008-6.</w:t>
      </w:r>
    </w:p>
    <w:p w14:paraId="2324D364" w14:textId="3CB32154" w:rsidR="00890E54" w:rsidRDefault="003573BF" w:rsidP="00D90D17">
      <w:pPr>
        <w:pStyle w:val="FERCparanumber"/>
        <w:rPr>
          <w:szCs w:val="26"/>
        </w:rPr>
      </w:pPr>
      <w:r w:rsidRPr="007B1078">
        <w:rPr>
          <w:szCs w:val="26"/>
        </w:rPr>
        <w:lastRenderedPageBreak/>
        <w:t xml:space="preserve">As proposed by NERC, the </w:t>
      </w:r>
      <w:r w:rsidR="006A55A9">
        <w:rPr>
          <w:szCs w:val="26"/>
        </w:rPr>
        <w:t>revised</w:t>
      </w:r>
      <w:r w:rsidRPr="007B1078">
        <w:rPr>
          <w:szCs w:val="26"/>
        </w:rPr>
        <w:t xml:space="preserve"> Cyber Security Incident definition</w:t>
      </w:r>
      <w:r w:rsidR="00A7315B">
        <w:rPr>
          <w:szCs w:val="26"/>
        </w:rPr>
        <w:t xml:space="preserve"> </w:t>
      </w:r>
      <w:r w:rsidR="006A55A9">
        <w:rPr>
          <w:szCs w:val="26"/>
        </w:rPr>
        <w:t xml:space="preserve">includes events involving “compromises or attempts to compromise” </w:t>
      </w:r>
      <w:r w:rsidRPr="007B1078">
        <w:rPr>
          <w:szCs w:val="26"/>
        </w:rPr>
        <w:t>ESPs, EACMS</w:t>
      </w:r>
      <w:r w:rsidR="00455E55">
        <w:rPr>
          <w:szCs w:val="26"/>
        </w:rPr>
        <w:t xml:space="preserve">, and </w:t>
      </w:r>
      <w:r w:rsidR="00455E55" w:rsidRPr="007B1078">
        <w:rPr>
          <w:szCs w:val="26"/>
        </w:rPr>
        <w:t xml:space="preserve">Physical Security Perimeters (PSPs) </w:t>
      </w:r>
      <w:r w:rsidR="00455E55">
        <w:rPr>
          <w:szCs w:val="26"/>
        </w:rPr>
        <w:t>associated with h</w:t>
      </w:r>
      <w:r w:rsidRPr="007B1078">
        <w:rPr>
          <w:szCs w:val="26"/>
        </w:rPr>
        <w:t xml:space="preserve">igh and </w:t>
      </w:r>
      <w:r w:rsidR="00455E55">
        <w:rPr>
          <w:szCs w:val="26"/>
        </w:rPr>
        <w:t>m</w:t>
      </w:r>
      <w:r w:rsidRPr="007B1078">
        <w:rPr>
          <w:szCs w:val="26"/>
        </w:rPr>
        <w:t>edium impact BES Cyber Systems</w:t>
      </w:r>
      <w:r w:rsidR="006A55A9">
        <w:rPr>
          <w:szCs w:val="26"/>
        </w:rPr>
        <w:t xml:space="preserve"> and </w:t>
      </w:r>
      <w:r w:rsidR="006A55A9" w:rsidRPr="007B1078">
        <w:rPr>
          <w:szCs w:val="26"/>
        </w:rPr>
        <w:t>“</w:t>
      </w:r>
      <w:r w:rsidR="006A55A9">
        <w:rPr>
          <w:szCs w:val="26"/>
        </w:rPr>
        <w:t xml:space="preserve">disrupt[ion] or </w:t>
      </w:r>
      <w:r w:rsidR="006A55A9" w:rsidRPr="007B1078">
        <w:rPr>
          <w:szCs w:val="26"/>
        </w:rPr>
        <w:t>attempts to disrupt the operation of a BES Cyber System</w:t>
      </w:r>
      <w:r w:rsidRPr="007B1078">
        <w:rPr>
          <w:szCs w:val="26"/>
        </w:rPr>
        <w:t>.</w:t>
      </w:r>
      <w:r w:rsidR="006A55A9">
        <w:rPr>
          <w:szCs w:val="26"/>
        </w:rPr>
        <w:t>”</w:t>
      </w:r>
      <w:r w:rsidR="00523FE1">
        <w:rPr>
          <w:rStyle w:val="FootnoteReference"/>
          <w:szCs w:val="26"/>
        </w:rPr>
        <w:footnoteReference w:id="8"/>
      </w:r>
      <w:r w:rsidR="007B1078" w:rsidRPr="007B1078">
        <w:rPr>
          <w:szCs w:val="26"/>
        </w:rPr>
        <w:t xml:space="preserve">  </w:t>
      </w:r>
      <w:r w:rsidR="00844893">
        <w:rPr>
          <w:szCs w:val="26"/>
        </w:rPr>
        <w:t>NERC contend</w:t>
      </w:r>
      <w:r w:rsidR="00886187">
        <w:rPr>
          <w:szCs w:val="26"/>
        </w:rPr>
        <w:t>s that the proposed definition of Cyber Security Incident addresses the directives in Order No. 848 because</w:t>
      </w:r>
      <w:r w:rsidR="00A7315B">
        <w:rPr>
          <w:szCs w:val="26"/>
        </w:rPr>
        <w:t>, as discussed below,</w:t>
      </w:r>
      <w:r w:rsidR="00886187">
        <w:rPr>
          <w:szCs w:val="26"/>
        </w:rPr>
        <w:t xml:space="preserve"> o</w:t>
      </w:r>
      <w:r w:rsidR="001E0DA8" w:rsidRPr="00626B1A">
        <w:rPr>
          <w:szCs w:val="26"/>
        </w:rPr>
        <w:t>nce a</w:t>
      </w:r>
      <w:r w:rsidR="001E0DA8">
        <w:rPr>
          <w:szCs w:val="26"/>
        </w:rPr>
        <w:t xml:space="preserve"> </w:t>
      </w:r>
      <w:r w:rsidR="00707044">
        <w:rPr>
          <w:szCs w:val="26"/>
        </w:rPr>
        <w:t>r</w:t>
      </w:r>
      <w:r w:rsidR="001E0DA8" w:rsidRPr="00626B1A">
        <w:rPr>
          <w:szCs w:val="26"/>
        </w:rPr>
        <w:t xml:space="preserve">esponsible </w:t>
      </w:r>
      <w:r w:rsidR="00707044">
        <w:rPr>
          <w:szCs w:val="26"/>
        </w:rPr>
        <w:t>e</w:t>
      </w:r>
      <w:r w:rsidR="001E0DA8" w:rsidRPr="00626B1A">
        <w:rPr>
          <w:szCs w:val="26"/>
        </w:rPr>
        <w:t xml:space="preserve">ntity determines that an event is a Cyber Security Incident, </w:t>
      </w:r>
      <w:r w:rsidR="00886187">
        <w:rPr>
          <w:szCs w:val="26"/>
        </w:rPr>
        <w:t>it</w:t>
      </w:r>
      <w:r w:rsidR="001E0DA8">
        <w:rPr>
          <w:szCs w:val="26"/>
        </w:rPr>
        <w:t xml:space="preserve"> </w:t>
      </w:r>
      <w:r w:rsidR="001E0DA8" w:rsidRPr="00626B1A">
        <w:rPr>
          <w:szCs w:val="26"/>
        </w:rPr>
        <w:t>must comply with the requirements of proposed Reliability Standard CIP-008-6, including</w:t>
      </w:r>
      <w:r w:rsidR="001E0DA8">
        <w:rPr>
          <w:szCs w:val="26"/>
        </w:rPr>
        <w:t xml:space="preserve"> </w:t>
      </w:r>
      <w:r w:rsidR="001E0DA8" w:rsidRPr="00626B1A">
        <w:rPr>
          <w:szCs w:val="26"/>
        </w:rPr>
        <w:t>initiating its response plan and reporting the incident to the E-ISAC and</w:t>
      </w:r>
      <w:r w:rsidR="007B1078">
        <w:rPr>
          <w:szCs w:val="26"/>
        </w:rPr>
        <w:t>, if subject to the jurisdiction of the United States,</w:t>
      </w:r>
      <w:r w:rsidR="001E0DA8" w:rsidRPr="00626B1A">
        <w:rPr>
          <w:szCs w:val="26"/>
        </w:rPr>
        <w:t xml:space="preserve"> the </w:t>
      </w:r>
      <w:r w:rsidR="007B1078" w:rsidRPr="007B1078">
        <w:rPr>
          <w:szCs w:val="26"/>
        </w:rPr>
        <w:t>National Cybersecurity and Communications Integration Center</w:t>
      </w:r>
      <w:r w:rsidR="00064D42">
        <w:rPr>
          <w:szCs w:val="26"/>
        </w:rPr>
        <w:t xml:space="preserve"> (NCCIC), which</w:t>
      </w:r>
      <w:r w:rsidR="00CF6720">
        <w:rPr>
          <w:szCs w:val="26"/>
        </w:rPr>
        <w:t xml:space="preserve"> is </w:t>
      </w:r>
      <w:r w:rsidR="007B1078">
        <w:rPr>
          <w:szCs w:val="26"/>
        </w:rPr>
        <w:t>the successor to ICS-CERT.</w:t>
      </w:r>
    </w:p>
    <w:p w14:paraId="4885731F" w14:textId="5C62F453" w:rsidR="00D81F25" w:rsidRDefault="00094DBF" w:rsidP="00D81F25">
      <w:pPr>
        <w:pStyle w:val="FERCparanumber"/>
        <w:keepNext/>
        <w:rPr>
          <w:szCs w:val="26"/>
        </w:rPr>
      </w:pPr>
      <w:r>
        <w:t>NERC’s proposed r</w:t>
      </w:r>
      <w:r w:rsidRPr="009B1106">
        <w:t>evisions to the Reportable Cyber Security Incident definition broaden the</w:t>
      </w:r>
      <w:r>
        <w:t xml:space="preserve"> </w:t>
      </w:r>
      <w:r w:rsidR="007567C4">
        <w:t>scope of reportable events</w:t>
      </w:r>
      <w:r w:rsidRPr="009B1106">
        <w:t xml:space="preserve"> to include compromises or disruptions of </w:t>
      </w:r>
      <w:r w:rsidR="007567C4" w:rsidRPr="009B1106">
        <w:t>BES Cyber System</w:t>
      </w:r>
      <w:r w:rsidR="007567C4">
        <w:t>s</w:t>
      </w:r>
      <w:r w:rsidR="007567C4" w:rsidRPr="009B1106">
        <w:t xml:space="preserve"> that</w:t>
      </w:r>
      <w:r w:rsidR="007567C4">
        <w:t xml:space="preserve"> </w:t>
      </w:r>
      <w:r w:rsidR="007567C4" w:rsidRPr="009B1106">
        <w:t>perform one or more reliability tasks</w:t>
      </w:r>
      <w:r w:rsidR="007567C4">
        <w:t xml:space="preserve"> as well as</w:t>
      </w:r>
      <w:r w:rsidR="00B05FCB">
        <w:t xml:space="preserve"> compromises or disruptions to</w:t>
      </w:r>
      <w:r w:rsidR="007567C4">
        <w:t xml:space="preserve"> EACMS and ESPs associated with high and medium impact BES Cyber Systems.  </w:t>
      </w:r>
      <w:r w:rsidR="00B05FCB">
        <w:t xml:space="preserve">NERC explains that </w:t>
      </w:r>
      <w:r w:rsidR="00B05FCB">
        <w:rPr>
          <w:szCs w:val="26"/>
        </w:rPr>
        <w:t>r</w:t>
      </w:r>
      <w:r w:rsidRPr="00094DBF">
        <w:rPr>
          <w:szCs w:val="26"/>
        </w:rPr>
        <w:t xml:space="preserve">esponsible </w:t>
      </w:r>
      <w:r w:rsidR="00B05FCB">
        <w:rPr>
          <w:szCs w:val="26"/>
        </w:rPr>
        <w:t>e</w:t>
      </w:r>
      <w:r w:rsidRPr="00094DBF">
        <w:rPr>
          <w:szCs w:val="26"/>
        </w:rPr>
        <w:t>ntities will be required to report on a compromise of a BES Cyber System even if it has not affected performance</w:t>
      </w:r>
      <w:r w:rsidRPr="00E337BA">
        <w:rPr>
          <w:szCs w:val="26"/>
        </w:rPr>
        <w:t xml:space="preserve"> of that </w:t>
      </w:r>
      <w:r w:rsidR="00064D42">
        <w:rPr>
          <w:szCs w:val="26"/>
        </w:rPr>
        <w:br/>
      </w:r>
      <w:r w:rsidRPr="00E337BA">
        <w:rPr>
          <w:szCs w:val="26"/>
        </w:rPr>
        <w:t>BES Cyber System’s tasks.</w:t>
      </w:r>
      <w:r>
        <w:rPr>
          <w:rStyle w:val="FootnoteReference"/>
          <w:szCs w:val="26"/>
        </w:rPr>
        <w:footnoteReference w:id="9"/>
      </w:r>
      <w:r w:rsidRPr="00094DBF">
        <w:rPr>
          <w:szCs w:val="26"/>
        </w:rPr>
        <w:t xml:space="preserve">  For example,</w:t>
      </w:r>
      <w:r w:rsidR="007567C4">
        <w:rPr>
          <w:szCs w:val="26"/>
        </w:rPr>
        <w:t xml:space="preserve"> NERC </w:t>
      </w:r>
      <w:r w:rsidR="00B05FCB">
        <w:rPr>
          <w:szCs w:val="26"/>
        </w:rPr>
        <w:t>states</w:t>
      </w:r>
      <w:r w:rsidR="007567C4">
        <w:rPr>
          <w:szCs w:val="26"/>
        </w:rPr>
        <w:t xml:space="preserve"> that</w:t>
      </w:r>
      <w:r w:rsidRPr="00094DBF">
        <w:rPr>
          <w:szCs w:val="26"/>
        </w:rPr>
        <w:t xml:space="preserve"> the revis</w:t>
      </w:r>
      <w:r w:rsidR="00A7315B">
        <w:rPr>
          <w:szCs w:val="26"/>
        </w:rPr>
        <w:t>ed definition</w:t>
      </w:r>
      <w:r w:rsidRPr="00094DBF">
        <w:rPr>
          <w:szCs w:val="26"/>
        </w:rPr>
        <w:t xml:space="preserve"> </w:t>
      </w:r>
      <w:r w:rsidR="00064D42">
        <w:rPr>
          <w:szCs w:val="26"/>
        </w:rPr>
        <w:br/>
      </w:r>
      <w:r w:rsidRPr="00094DBF">
        <w:rPr>
          <w:szCs w:val="26"/>
        </w:rPr>
        <w:t xml:space="preserve">would require </w:t>
      </w:r>
      <w:r w:rsidR="00B05FCB">
        <w:rPr>
          <w:szCs w:val="26"/>
        </w:rPr>
        <w:t>r</w:t>
      </w:r>
      <w:r w:rsidRPr="00094DBF">
        <w:rPr>
          <w:szCs w:val="26"/>
        </w:rPr>
        <w:t xml:space="preserve">esponsible </w:t>
      </w:r>
      <w:r w:rsidR="00B05FCB">
        <w:rPr>
          <w:szCs w:val="26"/>
        </w:rPr>
        <w:t>e</w:t>
      </w:r>
      <w:r w:rsidRPr="00094DBF">
        <w:rPr>
          <w:szCs w:val="26"/>
        </w:rPr>
        <w:t xml:space="preserve">ntities </w:t>
      </w:r>
      <w:r w:rsidRPr="00E337BA">
        <w:rPr>
          <w:szCs w:val="26"/>
        </w:rPr>
        <w:t xml:space="preserve">to report on malware installed on a BES Cyber Asset </w:t>
      </w:r>
      <w:r w:rsidR="00EF7AF0">
        <w:rPr>
          <w:szCs w:val="26"/>
        </w:rPr>
        <w:t>component</w:t>
      </w:r>
      <w:r w:rsidRPr="00E337BA">
        <w:rPr>
          <w:szCs w:val="26"/>
        </w:rPr>
        <w:t xml:space="preserve"> of a BES Cyber System that performs one</w:t>
      </w:r>
      <w:r w:rsidRPr="00094DBF">
        <w:rPr>
          <w:szCs w:val="26"/>
        </w:rPr>
        <w:t xml:space="preserve"> or more reliability tasks regardless of whether the BES Cyber System still operates.</w:t>
      </w:r>
      <w:r w:rsidR="006A55A9">
        <w:rPr>
          <w:szCs w:val="26"/>
        </w:rPr>
        <w:t xml:space="preserve">  NERC indicates that while the </w:t>
      </w:r>
      <w:r w:rsidR="00064D42">
        <w:rPr>
          <w:szCs w:val="26"/>
        </w:rPr>
        <w:br/>
      </w:r>
      <w:r w:rsidR="006A55A9">
        <w:rPr>
          <w:szCs w:val="26"/>
        </w:rPr>
        <w:t>revised Reportable Cyber Security Incident definition does not encompass attempts to compromise, under proposed Reliability Standard CIP-008-6, attempts to compromise are reported u</w:t>
      </w:r>
      <w:r w:rsidR="00844893">
        <w:rPr>
          <w:szCs w:val="26"/>
        </w:rPr>
        <w:t>sing</w:t>
      </w:r>
      <w:r w:rsidR="006A55A9">
        <w:rPr>
          <w:szCs w:val="26"/>
        </w:rPr>
        <w:t xml:space="preserve"> the Cyber Security Incident definition. </w:t>
      </w:r>
      <w:r>
        <w:rPr>
          <w:szCs w:val="26"/>
        </w:rPr>
        <w:t xml:space="preserve">  </w:t>
      </w:r>
    </w:p>
    <w:p w14:paraId="47A2CDEA" w14:textId="4DA69AF0" w:rsidR="009B1106" w:rsidRDefault="00094DBF" w:rsidP="001A2442">
      <w:pPr>
        <w:pStyle w:val="FERCparanumber"/>
        <w:rPr>
          <w:szCs w:val="26"/>
        </w:rPr>
      </w:pPr>
      <w:r>
        <w:t>NERC states that p</w:t>
      </w:r>
      <w:r w:rsidR="009B1106" w:rsidRPr="009B1106">
        <w:t xml:space="preserve">roposed </w:t>
      </w:r>
      <w:r w:rsidR="008264FF">
        <w:t xml:space="preserve">Reliability Standard CIP-008-6, </w:t>
      </w:r>
      <w:r w:rsidR="009B1106" w:rsidRPr="009B1106">
        <w:t xml:space="preserve">Requirement R1, </w:t>
      </w:r>
      <w:r w:rsidR="004E7471">
        <w:br/>
      </w:r>
      <w:r w:rsidR="009B1106" w:rsidRPr="009B1106">
        <w:t xml:space="preserve">Parts 1.2.1 and 1.2.2 address </w:t>
      </w:r>
      <w:r>
        <w:t>the Order No. 848</w:t>
      </w:r>
      <w:r w:rsidR="009B1106" w:rsidRPr="009B1106">
        <w:t xml:space="preserve"> directive</w:t>
      </w:r>
      <w:r w:rsidR="009B1106">
        <w:t xml:space="preserve"> </w:t>
      </w:r>
      <w:r w:rsidR="009B1106" w:rsidRPr="009B1106">
        <w:t>to broaden reporting on Cyber Security Incidents to include those that “attempt</w:t>
      </w:r>
      <w:r w:rsidR="009B1106">
        <w:t xml:space="preserve"> </w:t>
      </w:r>
      <w:r w:rsidR="009B1106" w:rsidRPr="009B1106">
        <w:t>to compromise” an ESP or EACMS.</w:t>
      </w:r>
      <w:r w:rsidR="008264FF">
        <w:rPr>
          <w:rStyle w:val="FootnoteReference"/>
        </w:rPr>
        <w:footnoteReference w:id="10"/>
      </w:r>
      <w:r w:rsidR="009B1106" w:rsidRPr="009B1106">
        <w:t xml:space="preserve"> </w:t>
      </w:r>
      <w:r w:rsidR="00545B96">
        <w:t xml:space="preserve"> </w:t>
      </w:r>
      <w:r w:rsidR="009B1106" w:rsidRPr="009B1106">
        <w:t xml:space="preserve">In proposed Requirement R1, Part 1.2.1, each </w:t>
      </w:r>
      <w:r w:rsidR="006A55A9">
        <w:t>r</w:t>
      </w:r>
      <w:r w:rsidR="009B1106" w:rsidRPr="009B1106">
        <w:t>esponsible</w:t>
      </w:r>
      <w:r w:rsidR="009B1106">
        <w:t xml:space="preserve"> </w:t>
      </w:r>
      <w:r w:rsidR="006A55A9">
        <w:t>e</w:t>
      </w:r>
      <w:r w:rsidR="009B1106" w:rsidRPr="009B1106">
        <w:t>ntity must develop a process that includes criteria to evaluate and define attempts to compromise</w:t>
      </w:r>
      <w:r w:rsidR="009B1106">
        <w:t xml:space="preserve"> </w:t>
      </w:r>
      <w:r w:rsidR="009B1106" w:rsidRPr="009B1106">
        <w:t>applicable systems.</w:t>
      </w:r>
      <w:r w:rsidR="00545B96">
        <w:t xml:space="preserve"> </w:t>
      </w:r>
      <w:r w:rsidR="009B1106" w:rsidRPr="009B1106">
        <w:t xml:space="preserve"> Proposed Requirement R1, Part 1.2.2 requires that each </w:t>
      </w:r>
      <w:r w:rsidR="006A55A9">
        <w:t>r</w:t>
      </w:r>
      <w:r w:rsidR="009B1106" w:rsidRPr="009B1106">
        <w:t xml:space="preserve">esponsible </w:t>
      </w:r>
      <w:r w:rsidR="006A55A9">
        <w:t>e</w:t>
      </w:r>
      <w:r w:rsidR="009B1106" w:rsidRPr="009B1106">
        <w:t>ntity</w:t>
      </w:r>
      <w:r w:rsidR="009B1106">
        <w:t xml:space="preserve"> </w:t>
      </w:r>
      <w:r w:rsidR="009B1106" w:rsidRPr="009B1106">
        <w:t>develop a process that identifies whether a Cyber Security Incident is an “attempt to compromise”</w:t>
      </w:r>
      <w:r w:rsidR="009B1106">
        <w:t xml:space="preserve"> </w:t>
      </w:r>
      <w:r w:rsidR="009B1106" w:rsidRPr="009B1106">
        <w:t>pursuant to the criteria required by Part 1.2.1.</w:t>
      </w:r>
      <w:r w:rsidR="00356CCB">
        <w:t xml:space="preserve"> </w:t>
      </w:r>
      <w:r w:rsidR="009B1106" w:rsidRPr="009B1106">
        <w:t xml:space="preserve"> </w:t>
      </w:r>
      <w:r>
        <w:t xml:space="preserve">NERC </w:t>
      </w:r>
      <w:r w:rsidR="005A5E83">
        <w:t xml:space="preserve">explains </w:t>
      </w:r>
      <w:r>
        <w:t xml:space="preserve">that </w:t>
      </w:r>
      <w:r w:rsidR="009B1106" w:rsidRPr="009B1106">
        <w:t>Parts 1.2.1 and 1.2.2 work together to help ensure</w:t>
      </w:r>
      <w:r w:rsidR="009B1106">
        <w:t xml:space="preserve"> </w:t>
      </w:r>
      <w:r w:rsidR="009B1106" w:rsidRPr="009B1106">
        <w:t xml:space="preserve">each </w:t>
      </w:r>
      <w:r w:rsidR="006A55A9">
        <w:t>r</w:t>
      </w:r>
      <w:r w:rsidR="009B1106" w:rsidRPr="009B1106">
        <w:t xml:space="preserve">esponsible </w:t>
      </w:r>
      <w:r w:rsidR="006A55A9">
        <w:t>e</w:t>
      </w:r>
      <w:r w:rsidR="009B1106" w:rsidRPr="009B1106">
        <w:t>ntity first develops criteria for</w:t>
      </w:r>
      <w:r w:rsidR="00D34765">
        <w:t xml:space="preserve"> identifying</w:t>
      </w:r>
      <w:r w:rsidR="009B1106" w:rsidRPr="009B1106">
        <w:t xml:space="preserve"> an attempt to compromise</w:t>
      </w:r>
      <w:r w:rsidR="00664511">
        <w:t xml:space="preserve"> and</w:t>
      </w:r>
      <w:r w:rsidR="009B1106" w:rsidRPr="009B1106">
        <w:t xml:space="preserve"> then applies the</w:t>
      </w:r>
      <w:r w:rsidR="009B1106">
        <w:t xml:space="preserve"> </w:t>
      </w:r>
      <w:r w:rsidR="009B1106" w:rsidRPr="009B1106">
        <w:t>criteria during its Cyber Security Incident identification process.</w:t>
      </w:r>
      <w:r>
        <w:rPr>
          <w:rStyle w:val="FootnoteReference"/>
        </w:rPr>
        <w:footnoteReference w:id="11"/>
      </w:r>
      <w:r w:rsidR="001A2442">
        <w:t xml:space="preserve">  </w:t>
      </w:r>
      <w:r w:rsidR="00D34765">
        <w:t xml:space="preserve">NERC </w:t>
      </w:r>
      <w:r w:rsidR="00844893">
        <w:t>maintains</w:t>
      </w:r>
      <w:r w:rsidR="00D34765">
        <w:t xml:space="preserve"> that </w:t>
      </w:r>
      <w:r w:rsidR="00D34765">
        <w:rPr>
          <w:szCs w:val="26"/>
        </w:rPr>
        <w:t>p</w:t>
      </w:r>
      <w:r w:rsidR="001A2442" w:rsidRPr="001A2442">
        <w:rPr>
          <w:szCs w:val="26"/>
        </w:rPr>
        <w:t xml:space="preserve">roposed Parts 1.2.1 and 1.2.2 </w:t>
      </w:r>
      <w:r w:rsidR="00D34765">
        <w:rPr>
          <w:szCs w:val="26"/>
        </w:rPr>
        <w:t xml:space="preserve">acknowledge the </w:t>
      </w:r>
      <w:r w:rsidR="001A2442" w:rsidRPr="001A2442">
        <w:rPr>
          <w:szCs w:val="26"/>
        </w:rPr>
        <w:t>differences in system architecture</w:t>
      </w:r>
      <w:r w:rsidR="00D34765">
        <w:rPr>
          <w:szCs w:val="26"/>
        </w:rPr>
        <w:t xml:space="preserve"> among responsible entities</w:t>
      </w:r>
      <w:r w:rsidR="001A2442" w:rsidRPr="001A2442">
        <w:rPr>
          <w:szCs w:val="26"/>
        </w:rPr>
        <w:t xml:space="preserve"> and</w:t>
      </w:r>
      <w:r w:rsidR="001A2442">
        <w:rPr>
          <w:szCs w:val="26"/>
        </w:rPr>
        <w:t xml:space="preserve"> </w:t>
      </w:r>
      <w:r w:rsidR="001A2442" w:rsidRPr="001A2442">
        <w:rPr>
          <w:szCs w:val="26"/>
        </w:rPr>
        <w:t xml:space="preserve">provide each </w:t>
      </w:r>
      <w:r w:rsidR="00D34765">
        <w:rPr>
          <w:szCs w:val="26"/>
        </w:rPr>
        <w:t>r</w:t>
      </w:r>
      <w:r w:rsidR="001A2442" w:rsidRPr="001A2442">
        <w:rPr>
          <w:szCs w:val="26"/>
        </w:rPr>
        <w:t xml:space="preserve">esponsible </w:t>
      </w:r>
      <w:r w:rsidR="00D34765">
        <w:rPr>
          <w:szCs w:val="26"/>
        </w:rPr>
        <w:t>e</w:t>
      </w:r>
      <w:r w:rsidR="001A2442" w:rsidRPr="001A2442">
        <w:rPr>
          <w:szCs w:val="26"/>
        </w:rPr>
        <w:t>ntity with the flexibility to develop criteria that reflect what it considers</w:t>
      </w:r>
      <w:r w:rsidR="001A2442">
        <w:rPr>
          <w:szCs w:val="26"/>
        </w:rPr>
        <w:t xml:space="preserve"> </w:t>
      </w:r>
      <w:r w:rsidR="001A2442" w:rsidRPr="001A2442">
        <w:rPr>
          <w:szCs w:val="26"/>
        </w:rPr>
        <w:t xml:space="preserve">“suspicious.” </w:t>
      </w:r>
      <w:r w:rsidR="008264FF">
        <w:rPr>
          <w:szCs w:val="26"/>
        </w:rPr>
        <w:t xml:space="preserve"> </w:t>
      </w:r>
      <w:r w:rsidR="00724152">
        <w:rPr>
          <w:szCs w:val="26"/>
        </w:rPr>
        <w:t>NERC</w:t>
      </w:r>
      <w:r>
        <w:rPr>
          <w:szCs w:val="26"/>
        </w:rPr>
        <w:t xml:space="preserve"> </w:t>
      </w:r>
      <w:r w:rsidR="00724152">
        <w:rPr>
          <w:szCs w:val="26"/>
        </w:rPr>
        <w:t>contends that</w:t>
      </w:r>
      <w:r>
        <w:rPr>
          <w:szCs w:val="26"/>
        </w:rPr>
        <w:t xml:space="preserve"> t</w:t>
      </w:r>
      <w:r w:rsidR="001A2442" w:rsidRPr="001A2442">
        <w:rPr>
          <w:szCs w:val="26"/>
        </w:rPr>
        <w:t>he benefit of such an approach, compared to a one-size-fits-all approach, is that it</w:t>
      </w:r>
      <w:r w:rsidR="001A2442">
        <w:rPr>
          <w:szCs w:val="26"/>
        </w:rPr>
        <w:t xml:space="preserve"> </w:t>
      </w:r>
      <w:r w:rsidR="001A2442" w:rsidRPr="001A2442">
        <w:rPr>
          <w:szCs w:val="26"/>
        </w:rPr>
        <w:t>enable</w:t>
      </w:r>
      <w:r w:rsidR="00BC33DE">
        <w:rPr>
          <w:szCs w:val="26"/>
        </w:rPr>
        <w:t>s</w:t>
      </w:r>
      <w:r w:rsidR="001A2442" w:rsidRPr="001A2442">
        <w:rPr>
          <w:szCs w:val="26"/>
        </w:rPr>
        <w:t xml:space="preserve"> </w:t>
      </w:r>
      <w:r w:rsidR="00D34765">
        <w:rPr>
          <w:szCs w:val="26"/>
        </w:rPr>
        <w:t>r</w:t>
      </w:r>
      <w:r w:rsidR="001A2442" w:rsidRPr="001A2442">
        <w:rPr>
          <w:szCs w:val="26"/>
        </w:rPr>
        <w:t xml:space="preserve">esponsible </w:t>
      </w:r>
      <w:r w:rsidR="00D34765">
        <w:rPr>
          <w:szCs w:val="26"/>
        </w:rPr>
        <w:t>e</w:t>
      </w:r>
      <w:r w:rsidR="001A2442" w:rsidRPr="001A2442">
        <w:rPr>
          <w:szCs w:val="26"/>
        </w:rPr>
        <w:t>ntities to better capture real attempts to compromise.</w:t>
      </w:r>
      <w:r>
        <w:rPr>
          <w:rStyle w:val="FootnoteReference"/>
          <w:szCs w:val="26"/>
        </w:rPr>
        <w:footnoteReference w:id="12"/>
      </w:r>
    </w:p>
    <w:p w14:paraId="4BC25E01" w14:textId="58383107" w:rsidR="001A2442" w:rsidRDefault="001A2442" w:rsidP="001A2442">
      <w:pPr>
        <w:pStyle w:val="FERCparanumber"/>
        <w:rPr>
          <w:szCs w:val="26"/>
        </w:rPr>
      </w:pPr>
      <w:r w:rsidRPr="001A2442">
        <w:rPr>
          <w:szCs w:val="26"/>
        </w:rPr>
        <w:t>Similar to the</w:t>
      </w:r>
      <w:r w:rsidR="00094DBF">
        <w:rPr>
          <w:szCs w:val="26"/>
        </w:rPr>
        <w:t xml:space="preserve"> proposed</w:t>
      </w:r>
      <w:r w:rsidRPr="001A2442">
        <w:rPr>
          <w:szCs w:val="26"/>
        </w:rPr>
        <w:t xml:space="preserve"> revisions in Requirement R1, </w:t>
      </w:r>
      <w:r w:rsidR="00E337BA">
        <w:rPr>
          <w:szCs w:val="26"/>
        </w:rPr>
        <w:t xml:space="preserve">NERC states </w:t>
      </w:r>
      <w:r w:rsidR="00751BC3">
        <w:rPr>
          <w:szCs w:val="26"/>
        </w:rPr>
        <w:t xml:space="preserve">that </w:t>
      </w:r>
      <w:r w:rsidRPr="001A2442">
        <w:rPr>
          <w:szCs w:val="26"/>
        </w:rPr>
        <w:t xml:space="preserve">the </w:t>
      </w:r>
      <w:r w:rsidR="00094DBF">
        <w:rPr>
          <w:szCs w:val="26"/>
        </w:rPr>
        <w:t xml:space="preserve">proposed </w:t>
      </w:r>
      <w:r w:rsidRPr="001A2442">
        <w:rPr>
          <w:szCs w:val="26"/>
        </w:rPr>
        <w:t xml:space="preserve">revisions to </w:t>
      </w:r>
      <w:r w:rsidR="008264FF">
        <w:rPr>
          <w:szCs w:val="26"/>
        </w:rPr>
        <w:t xml:space="preserve">Reliability Standard CIP-008-6, </w:t>
      </w:r>
      <w:r w:rsidRPr="001A2442">
        <w:rPr>
          <w:szCs w:val="26"/>
        </w:rPr>
        <w:t xml:space="preserve">Requirement R2 address the Commission’s directive </w:t>
      </w:r>
      <w:r w:rsidR="00094DBF">
        <w:rPr>
          <w:szCs w:val="26"/>
        </w:rPr>
        <w:t xml:space="preserve">in Order No. 848 </w:t>
      </w:r>
      <w:r w:rsidRPr="001A2442">
        <w:rPr>
          <w:szCs w:val="26"/>
        </w:rPr>
        <w:t>regarding attempts to compromise.</w:t>
      </w:r>
      <w:r w:rsidR="008264FF">
        <w:rPr>
          <w:rStyle w:val="FootnoteReference"/>
          <w:szCs w:val="26"/>
        </w:rPr>
        <w:footnoteReference w:id="13"/>
      </w:r>
      <w:r w:rsidR="008264FF">
        <w:rPr>
          <w:szCs w:val="26"/>
        </w:rPr>
        <w:t xml:space="preserve"> </w:t>
      </w:r>
      <w:r w:rsidRPr="001A2442">
        <w:rPr>
          <w:szCs w:val="26"/>
        </w:rPr>
        <w:t xml:space="preserve"> The </w:t>
      </w:r>
      <w:r w:rsidR="00E337BA">
        <w:rPr>
          <w:szCs w:val="26"/>
        </w:rPr>
        <w:t xml:space="preserve">proposed </w:t>
      </w:r>
      <w:r w:rsidRPr="001A2442">
        <w:rPr>
          <w:szCs w:val="26"/>
        </w:rPr>
        <w:t>revisions to</w:t>
      </w:r>
      <w:r>
        <w:rPr>
          <w:szCs w:val="26"/>
        </w:rPr>
        <w:t xml:space="preserve"> </w:t>
      </w:r>
      <w:r w:rsidRPr="001A2442">
        <w:rPr>
          <w:szCs w:val="26"/>
        </w:rPr>
        <w:t xml:space="preserve">Part 2.2 </w:t>
      </w:r>
      <w:r w:rsidR="00E337BA">
        <w:rPr>
          <w:szCs w:val="26"/>
        </w:rPr>
        <w:t>do so by requiring</w:t>
      </w:r>
      <w:r w:rsidR="00E337BA" w:rsidRPr="001A2442">
        <w:rPr>
          <w:szCs w:val="26"/>
        </w:rPr>
        <w:t xml:space="preserve"> </w:t>
      </w:r>
      <w:r w:rsidRPr="001A2442">
        <w:rPr>
          <w:szCs w:val="26"/>
        </w:rPr>
        <w:t xml:space="preserve">that </w:t>
      </w:r>
      <w:r w:rsidR="00D34765">
        <w:rPr>
          <w:szCs w:val="26"/>
        </w:rPr>
        <w:t>r</w:t>
      </w:r>
      <w:r w:rsidRPr="001A2442">
        <w:rPr>
          <w:szCs w:val="26"/>
        </w:rPr>
        <w:t xml:space="preserve">esponsible </w:t>
      </w:r>
      <w:r w:rsidR="00D34765">
        <w:rPr>
          <w:szCs w:val="26"/>
        </w:rPr>
        <w:t>e</w:t>
      </w:r>
      <w:r w:rsidRPr="001A2442">
        <w:rPr>
          <w:szCs w:val="26"/>
        </w:rPr>
        <w:t>ntities use their Cyber Security Incident</w:t>
      </w:r>
      <w:r>
        <w:rPr>
          <w:szCs w:val="26"/>
        </w:rPr>
        <w:t xml:space="preserve"> </w:t>
      </w:r>
      <w:r w:rsidRPr="001A2442">
        <w:rPr>
          <w:szCs w:val="26"/>
        </w:rPr>
        <w:t>response plans when responding to a Cyber Security Incident determined to be an attempt to</w:t>
      </w:r>
      <w:r>
        <w:rPr>
          <w:szCs w:val="26"/>
        </w:rPr>
        <w:t xml:space="preserve"> </w:t>
      </w:r>
      <w:r w:rsidRPr="001A2442">
        <w:rPr>
          <w:szCs w:val="26"/>
        </w:rPr>
        <w:t>compromise applicable systems.</w:t>
      </w:r>
      <w:r w:rsidR="00E337BA">
        <w:rPr>
          <w:szCs w:val="26"/>
        </w:rPr>
        <w:t xml:space="preserve"> </w:t>
      </w:r>
      <w:r w:rsidRPr="001A2442">
        <w:rPr>
          <w:szCs w:val="26"/>
        </w:rPr>
        <w:t xml:space="preserve"> </w:t>
      </w:r>
    </w:p>
    <w:p w14:paraId="7D447FE6" w14:textId="77777777" w:rsidR="00064D42" w:rsidRDefault="00E337BA" w:rsidP="00890E54">
      <w:pPr>
        <w:pStyle w:val="FERCparanumber"/>
        <w:rPr>
          <w:szCs w:val="26"/>
        </w:rPr>
      </w:pPr>
      <w:r>
        <w:t>NER</w:t>
      </w:r>
      <w:r w:rsidR="00D34765">
        <w:t>C contends</w:t>
      </w:r>
      <w:r>
        <w:t xml:space="preserve"> that p</w:t>
      </w:r>
      <w:r w:rsidR="001A2442" w:rsidRPr="001A2442">
        <w:t xml:space="preserve">roposed </w:t>
      </w:r>
      <w:r w:rsidR="008264FF">
        <w:t xml:space="preserve">Reliability Standard CIP-008-6, </w:t>
      </w:r>
      <w:r w:rsidR="001A2442" w:rsidRPr="001A2442">
        <w:t xml:space="preserve">Requirement R4 addresses the Commission’s directive to require that </w:t>
      </w:r>
      <w:r w:rsidR="00D34765">
        <w:t>r</w:t>
      </w:r>
      <w:r w:rsidR="00825E7F">
        <w:t xml:space="preserve">esponsible </w:t>
      </w:r>
      <w:r w:rsidR="00D34765">
        <w:t>e</w:t>
      </w:r>
      <w:r w:rsidR="00825E7F">
        <w:t xml:space="preserve">ntities must send </w:t>
      </w:r>
      <w:r w:rsidR="001A2442" w:rsidRPr="001A2442">
        <w:t>each report</w:t>
      </w:r>
      <w:r w:rsidR="001A2442">
        <w:t xml:space="preserve"> </w:t>
      </w:r>
      <w:r w:rsidR="001A2442" w:rsidRPr="001A2442">
        <w:t xml:space="preserve">and update to the E-ISAC and </w:t>
      </w:r>
      <w:r w:rsidR="00844893">
        <w:t>ICS-CERT</w:t>
      </w:r>
      <w:r w:rsidR="001A2442" w:rsidRPr="001A2442">
        <w:t>.</w:t>
      </w:r>
      <w:r w:rsidR="00DC0EA4">
        <w:rPr>
          <w:rStyle w:val="FootnoteReference"/>
        </w:rPr>
        <w:footnoteReference w:id="14"/>
      </w:r>
      <w:r w:rsidR="001A2442">
        <w:t xml:space="preserve">  </w:t>
      </w:r>
      <w:r w:rsidR="001E0DA8" w:rsidRPr="00094DBF">
        <w:rPr>
          <w:szCs w:val="26"/>
        </w:rPr>
        <w:t xml:space="preserve">Under proposed Reliability Standard CIP-008-6, Requirement R4, Part 4.1, </w:t>
      </w:r>
      <w:r w:rsidR="00D34765">
        <w:rPr>
          <w:szCs w:val="26"/>
        </w:rPr>
        <w:t>r</w:t>
      </w:r>
      <w:r w:rsidR="001E0DA8" w:rsidRPr="00094DBF">
        <w:rPr>
          <w:szCs w:val="26"/>
        </w:rPr>
        <w:t xml:space="preserve">esponsible </w:t>
      </w:r>
      <w:r w:rsidR="00D34765">
        <w:rPr>
          <w:szCs w:val="26"/>
        </w:rPr>
        <w:t>e</w:t>
      </w:r>
      <w:r w:rsidR="001E0DA8" w:rsidRPr="00094DBF">
        <w:rPr>
          <w:szCs w:val="26"/>
        </w:rPr>
        <w:t xml:space="preserve">ntities </w:t>
      </w:r>
      <w:r w:rsidR="00D34765">
        <w:rPr>
          <w:szCs w:val="26"/>
        </w:rPr>
        <w:t>are</w:t>
      </w:r>
      <w:r w:rsidR="001E0DA8" w:rsidRPr="00094DBF">
        <w:rPr>
          <w:szCs w:val="26"/>
        </w:rPr>
        <w:t xml:space="preserve"> required to submit incident reports for both Reportable Cyber Security Incidents and Cyber Security Incidents.  In addition, </w:t>
      </w:r>
      <w:r w:rsidR="00D34765">
        <w:rPr>
          <w:szCs w:val="26"/>
        </w:rPr>
        <w:t xml:space="preserve">proposed </w:t>
      </w:r>
      <w:r w:rsidR="00D34765">
        <w:t>Reliability Standard CIP-008-6</w:t>
      </w:r>
      <w:r w:rsidR="001E0DA8" w:rsidRPr="00094DBF">
        <w:rPr>
          <w:szCs w:val="26"/>
        </w:rPr>
        <w:t xml:space="preserve"> specifies that the report must contain: (1) the functional impact; (2) the attack vector used; and (3) the achieved or attempted level of intrusion.  Proposed Reliability Standard CIP-008-6, Requirement R4, Parts 4.2 and 4.3 include timelines for initial reports as well as follow up reports to the E-ISAC and NCCIC.  </w:t>
      </w:r>
      <w:r w:rsidR="00D34765">
        <w:rPr>
          <w:szCs w:val="26"/>
        </w:rPr>
        <w:t xml:space="preserve">NERC </w:t>
      </w:r>
      <w:r w:rsidR="00CF6720">
        <w:rPr>
          <w:szCs w:val="26"/>
        </w:rPr>
        <w:t>states</w:t>
      </w:r>
      <w:r w:rsidR="00D34765">
        <w:rPr>
          <w:szCs w:val="26"/>
        </w:rPr>
        <w:t xml:space="preserve"> that i</w:t>
      </w:r>
      <w:r w:rsidR="001E0DA8" w:rsidRPr="00094DBF">
        <w:rPr>
          <w:szCs w:val="26"/>
        </w:rPr>
        <w:t xml:space="preserve">nitial reports for Reportable Cyber Security Incidents must occur within one hour of its determination. </w:t>
      </w:r>
      <w:r w:rsidR="00CF6720">
        <w:rPr>
          <w:szCs w:val="26"/>
        </w:rPr>
        <w:t xml:space="preserve"> </w:t>
      </w:r>
      <w:r w:rsidR="00D40254">
        <w:rPr>
          <w:szCs w:val="26"/>
        </w:rPr>
        <w:t xml:space="preserve">By contrast, </w:t>
      </w:r>
      <w:r w:rsidR="00CF6720">
        <w:rPr>
          <w:szCs w:val="26"/>
        </w:rPr>
        <w:t xml:space="preserve">NERC </w:t>
      </w:r>
      <w:r w:rsidR="00D40254">
        <w:rPr>
          <w:szCs w:val="26"/>
        </w:rPr>
        <w:t>indicates</w:t>
      </w:r>
      <w:r w:rsidR="00CF6720">
        <w:rPr>
          <w:szCs w:val="26"/>
        </w:rPr>
        <w:t xml:space="preserve"> that </w:t>
      </w:r>
      <w:r w:rsidR="00D40254">
        <w:rPr>
          <w:szCs w:val="26"/>
        </w:rPr>
        <w:t>o</w:t>
      </w:r>
      <w:r w:rsidR="001E0DA8" w:rsidRPr="00094DBF">
        <w:rPr>
          <w:szCs w:val="26"/>
        </w:rPr>
        <w:t xml:space="preserve">nce a </w:t>
      </w:r>
      <w:r w:rsidR="00664511">
        <w:rPr>
          <w:szCs w:val="26"/>
        </w:rPr>
        <w:t>r</w:t>
      </w:r>
      <w:r w:rsidR="001E0DA8" w:rsidRPr="00094DBF">
        <w:rPr>
          <w:szCs w:val="26"/>
        </w:rPr>
        <w:t xml:space="preserve">esponsible </w:t>
      </w:r>
      <w:r w:rsidR="00664511">
        <w:rPr>
          <w:szCs w:val="26"/>
        </w:rPr>
        <w:t>e</w:t>
      </w:r>
      <w:r w:rsidR="001E0DA8" w:rsidRPr="00094DBF">
        <w:rPr>
          <w:szCs w:val="26"/>
        </w:rPr>
        <w:t xml:space="preserve">ntity has determined that a Cyber Security Incident meets its criteria for an </w:t>
      </w:r>
    </w:p>
    <w:p w14:paraId="332CE6C7" w14:textId="77777777" w:rsidR="00064D42" w:rsidRDefault="00064D42">
      <w:pPr>
        <w:widowControl/>
        <w:spacing w:after="160" w:line="259" w:lineRule="auto"/>
        <w:rPr>
          <w:szCs w:val="26"/>
        </w:rPr>
      </w:pPr>
      <w:r>
        <w:rPr>
          <w:szCs w:val="26"/>
        </w:rPr>
        <w:br w:type="page"/>
      </w:r>
    </w:p>
    <w:p w14:paraId="7A9D1797" w14:textId="47EB912B" w:rsidR="001E0DA8" w:rsidRPr="00E337BA" w:rsidRDefault="001E0DA8" w:rsidP="00064D42">
      <w:pPr>
        <w:pStyle w:val="FERCparanumber"/>
        <w:numPr>
          <w:ilvl w:val="0"/>
          <w:numId w:val="0"/>
        </w:numPr>
        <w:rPr>
          <w:szCs w:val="26"/>
        </w:rPr>
      </w:pPr>
      <w:r w:rsidRPr="00094DBF">
        <w:rPr>
          <w:szCs w:val="26"/>
        </w:rPr>
        <w:t xml:space="preserve">attempt to compromise an applicable system, it must report the Cyber Security Incident by the end of the next calendar day.  </w:t>
      </w:r>
      <w:r w:rsidR="00BC33DE">
        <w:rPr>
          <w:szCs w:val="26"/>
        </w:rPr>
        <w:t xml:space="preserve">NERC </w:t>
      </w:r>
      <w:r w:rsidR="00320F6B">
        <w:rPr>
          <w:szCs w:val="26"/>
        </w:rPr>
        <w:t>justifies the difference by explaining</w:t>
      </w:r>
      <w:r w:rsidR="00BC33DE">
        <w:rPr>
          <w:szCs w:val="26"/>
        </w:rPr>
        <w:t xml:space="preserve"> that </w:t>
      </w:r>
      <w:r w:rsidR="00851002">
        <w:rPr>
          <w:szCs w:val="26"/>
        </w:rPr>
        <w:t>the</w:t>
      </w:r>
      <w:r w:rsidR="00BC33DE">
        <w:t xml:space="preserve"> </w:t>
      </w:r>
      <w:r w:rsidR="00851002">
        <w:t>“</w:t>
      </w:r>
      <w:r w:rsidR="00BC33DE">
        <w:t>proposed notification timelines appropriately reflect the severity of the risk of the respective incidents.</w:t>
      </w:r>
      <w:r w:rsidR="00851002">
        <w:t>”</w:t>
      </w:r>
      <w:r w:rsidR="00851002">
        <w:rPr>
          <w:rStyle w:val="FootnoteReference"/>
        </w:rPr>
        <w:footnoteReference w:id="15"/>
      </w:r>
      <w:r w:rsidR="00851002">
        <w:t xml:space="preserve"> </w:t>
      </w:r>
      <w:r w:rsidR="00BC33DE" w:rsidRPr="00094DBF">
        <w:rPr>
          <w:szCs w:val="26"/>
        </w:rPr>
        <w:t xml:space="preserve"> </w:t>
      </w:r>
      <w:r w:rsidRPr="00094DBF">
        <w:rPr>
          <w:szCs w:val="26"/>
        </w:rPr>
        <w:t>Finally, i</w:t>
      </w:r>
      <w:r w:rsidRPr="00E337BA">
        <w:rPr>
          <w:szCs w:val="26"/>
        </w:rPr>
        <w:t xml:space="preserve">f </w:t>
      </w:r>
      <w:r w:rsidR="00851002">
        <w:rPr>
          <w:szCs w:val="26"/>
        </w:rPr>
        <w:t>a r</w:t>
      </w:r>
      <w:r w:rsidRPr="00E337BA">
        <w:rPr>
          <w:szCs w:val="26"/>
        </w:rPr>
        <w:t xml:space="preserve">esponsible </w:t>
      </w:r>
      <w:r w:rsidR="00851002">
        <w:rPr>
          <w:szCs w:val="26"/>
        </w:rPr>
        <w:t>e</w:t>
      </w:r>
      <w:r w:rsidRPr="00E337BA">
        <w:rPr>
          <w:szCs w:val="26"/>
        </w:rPr>
        <w:t>ntity d</w:t>
      </w:r>
      <w:r w:rsidR="00851002">
        <w:rPr>
          <w:szCs w:val="26"/>
        </w:rPr>
        <w:t>oes</w:t>
      </w:r>
      <w:r w:rsidRPr="00E337BA">
        <w:rPr>
          <w:szCs w:val="26"/>
        </w:rPr>
        <w:t xml:space="preserve"> not include one or more of the attributes in its initial report </w:t>
      </w:r>
      <w:r w:rsidR="00851002">
        <w:rPr>
          <w:szCs w:val="26"/>
        </w:rPr>
        <w:t>because</w:t>
      </w:r>
      <w:r w:rsidRPr="00E337BA">
        <w:rPr>
          <w:szCs w:val="26"/>
        </w:rPr>
        <w:t xml:space="preserve"> it was unknown at the time</w:t>
      </w:r>
      <w:r w:rsidR="00851002">
        <w:rPr>
          <w:szCs w:val="26"/>
        </w:rPr>
        <w:t xml:space="preserve"> of the initial reporting</w:t>
      </w:r>
      <w:r w:rsidRPr="00E337BA">
        <w:rPr>
          <w:szCs w:val="26"/>
        </w:rPr>
        <w:t>, it must report the attributes within seven days of determining the attribute.</w:t>
      </w:r>
    </w:p>
    <w:p w14:paraId="4CF624B5" w14:textId="22872520" w:rsidR="00320F6B" w:rsidRPr="00813640" w:rsidRDefault="00E36DD6" w:rsidP="00602DB4">
      <w:pPr>
        <w:pStyle w:val="FERCparanumber"/>
      </w:pPr>
      <w:r w:rsidRPr="00813640">
        <w:t xml:space="preserve">Notice of </w:t>
      </w:r>
      <w:r w:rsidR="00CC3DA8" w:rsidRPr="00813640">
        <w:t>NERC</w:t>
      </w:r>
      <w:r w:rsidR="00381213" w:rsidRPr="00813640">
        <w:t>’</w:t>
      </w:r>
      <w:r w:rsidR="00CC3DA8" w:rsidRPr="00813640">
        <w:t>s</w:t>
      </w:r>
      <w:r w:rsidRPr="00813640">
        <w:t xml:space="preserve"> </w:t>
      </w:r>
      <w:r w:rsidR="00CC3DA8" w:rsidRPr="00813640">
        <w:t>March</w:t>
      </w:r>
      <w:r w:rsidR="00294489" w:rsidRPr="00813640">
        <w:t xml:space="preserve"> 7, 2019</w:t>
      </w:r>
      <w:r w:rsidRPr="00813640">
        <w:t xml:space="preserve"> filing was published in the </w:t>
      </w:r>
      <w:r w:rsidRPr="00813640">
        <w:rPr>
          <w:i/>
        </w:rPr>
        <w:t>Federal Register</w:t>
      </w:r>
      <w:r w:rsidRPr="00813640">
        <w:t xml:space="preserve">, </w:t>
      </w:r>
      <w:r w:rsidR="004E7471">
        <w:br/>
      </w:r>
      <w:r w:rsidR="00070F10" w:rsidRPr="00813640">
        <w:t xml:space="preserve">84 </w:t>
      </w:r>
      <w:r w:rsidRPr="00813640">
        <w:t>F</w:t>
      </w:r>
      <w:r w:rsidR="00DC41B7">
        <w:t>R</w:t>
      </w:r>
      <w:r w:rsidRPr="00813640">
        <w:t xml:space="preserve"> </w:t>
      </w:r>
      <w:r w:rsidR="00070F10" w:rsidRPr="00813640">
        <w:rPr>
          <w:szCs w:val="26"/>
        </w:rPr>
        <w:t xml:space="preserve">10,061 </w:t>
      </w:r>
      <w:r w:rsidR="00294489" w:rsidRPr="00813640">
        <w:t>(2019</w:t>
      </w:r>
      <w:r w:rsidRPr="00813640">
        <w:t>), with interventions and protests due on or before</w:t>
      </w:r>
      <w:r w:rsidR="00440185" w:rsidRPr="00813640">
        <w:t xml:space="preserve"> </w:t>
      </w:r>
      <w:r w:rsidR="00CC3DA8" w:rsidRPr="00813640">
        <w:t>April</w:t>
      </w:r>
      <w:r w:rsidRPr="00813640">
        <w:t xml:space="preserve"> </w:t>
      </w:r>
      <w:r w:rsidR="00CC3DA8" w:rsidRPr="00813640">
        <w:t>1</w:t>
      </w:r>
      <w:r w:rsidR="00070F10" w:rsidRPr="00813640">
        <w:t>1</w:t>
      </w:r>
      <w:r w:rsidR="00294489" w:rsidRPr="00813640">
        <w:t>, 2019</w:t>
      </w:r>
      <w:r w:rsidRPr="00813640">
        <w:t>.</w:t>
      </w:r>
      <w:r w:rsidR="00294489" w:rsidRPr="00813640">
        <w:t xml:space="preserve">  </w:t>
      </w:r>
      <w:r w:rsidR="00320F6B">
        <w:t xml:space="preserve">Pursuant to Rule 214 of the Commission’s Rules of Practice and Procedure, </w:t>
      </w:r>
      <w:r w:rsidR="004E7471">
        <w:br/>
      </w:r>
      <w:r w:rsidR="00320F6B">
        <w:t>18 C.F.R. 385.214 (201</w:t>
      </w:r>
      <w:r w:rsidR="00F14445">
        <w:t>8</w:t>
      </w:r>
      <w:r w:rsidR="00512AAE">
        <w:t xml:space="preserve">), the </w:t>
      </w:r>
      <w:r w:rsidR="00320F6B">
        <w:t xml:space="preserve">timely, unopposed motions to intervene serve to make </w:t>
      </w:r>
      <w:r w:rsidR="004E7471">
        <w:br/>
      </w:r>
      <w:r w:rsidR="00320F6B">
        <w:t>the entities that filed them parties to this proceeding.</w:t>
      </w:r>
      <w:r w:rsidR="00320F6B" w:rsidRPr="00813640">
        <w:rPr>
          <w:rStyle w:val="FootnoteReference"/>
        </w:rPr>
        <w:footnoteReference w:id="16"/>
      </w:r>
      <w:r w:rsidR="00320F6B">
        <w:t xml:space="preserve">  </w:t>
      </w:r>
    </w:p>
    <w:p w14:paraId="1744A7F6" w14:textId="35A80036" w:rsidR="00571876" w:rsidRDefault="00CC3DA8" w:rsidP="00836B98">
      <w:pPr>
        <w:pStyle w:val="FERCparanumber"/>
        <w:spacing w:after="240"/>
      </w:pPr>
      <w:r w:rsidRPr="00813640">
        <w:t xml:space="preserve">Pursuant to section 215(d)(2) of the </w:t>
      </w:r>
      <w:r w:rsidR="0087656B">
        <w:t>FPA,</w:t>
      </w:r>
      <w:r w:rsidRPr="00813640">
        <w:t xml:space="preserve"> we approve </w:t>
      </w:r>
      <w:r w:rsidR="00851002">
        <w:t xml:space="preserve">Reliability Standard </w:t>
      </w:r>
      <w:r w:rsidR="004E7471">
        <w:br/>
      </w:r>
      <w:r w:rsidRPr="00813640">
        <w:t xml:space="preserve">CIP-008-6, </w:t>
      </w:r>
      <w:r w:rsidR="00DC0EA4" w:rsidRPr="00813640">
        <w:t xml:space="preserve">its </w:t>
      </w:r>
      <w:r w:rsidRPr="00813640">
        <w:t xml:space="preserve">associated </w:t>
      </w:r>
      <w:r w:rsidR="00851002">
        <w:t>i</w:t>
      </w:r>
      <w:r w:rsidRPr="00813640">
        <w:t>mplementation</w:t>
      </w:r>
      <w:r w:rsidR="00851002">
        <w:t xml:space="preserve"> p</w:t>
      </w:r>
      <w:r w:rsidRPr="00813640">
        <w:t>lan</w:t>
      </w:r>
      <w:r w:rsidR="00DC0EA4" w:rsidRPr="00813640">
        <w:t xml:space="preserve">, </w:t>
      </w:r>
      <w:r w:rsidR="00851002">
        <w:t>violation risk factors</w:t>
      </w:r>
      <w:r w:rsidR="00DC0EA4" w:rsidRPr="00813640">
        <w:t xml:space="preserve"> and </w:t>
      </w:r>
      <w:r w:rsidR="00851002">
        <w:t>violation severity levels</w:t>
      </w:r>
      <w:r w:rsidRPr="00813640">
        <w:t xml:space="preserve">, </w:t>
      </w:r>
      <w:r w:rsidR="00DC0EA4" w:rsidRPr="00813640">
        <w:t xml:space="preserve">and </w:t>
      </w:r>
      <w:r w:rsidRPr="00813640">
        <w:t>the revised definitions of Cyber Security Incident and Reportable Cyber Security Incident.</w:t>
      </w:r>
      <w:r w:rsidR="00851002">
        <w:rPr>
          <w:rStyle w:val="FootnoteReference"/>
        </w:rPr>
        <w:footnoteReference w:id="17"/>
      </w:r>
      <w:r w:rsidR="00851002">
        <w:t xml:space="preserve">  </w:t>
      </w:r>
      <w:r w:rsidR="005C57A4" w:rsidRPr="00813640">
        <w:t xml:space="preserve">We </w:t>
      </w:r>
      <w:r w:rsidR="00851002">
        <w:t>determine that</w:t>
      </w:r>
      <w:r w:rsidR="005C57A4" w:rsidRPr="00813640">
        <w:t xml:space="preserve"> </w:t>
      </w:r>
      <w:r w:rsidR="000E5968">
        <w:t xml:space="preserve">the </w:t>
      </w:r>
      <w:r w:rsidR="00851002">
        <w:t xml:space="preserve">proposed Reliability Standard and revised definitions </w:t>
      </w:r>
      <w:r w:rsidR="0059190A">
        <w:t>satisfy the directive</w:t>
      </w:r>
      <w:r w:rsidR="00851002">
        <w:t xml:space="preserve"> in Order No. 848 to </w:t>
      </w:r>
      <w:r w:rsidR="00DB4A23">
        <w:t>broaden</w:t>
      </w:r>
      <w:r w:rsidR="00DA10DE">
        <w:t xml:space="preserve"> mandatory reporting </w:t>
      </w:r>
      <w:r w:rsidR="00DB4A23">
        <w:t xml:space="preserve">to include </w:t>
      </w:r>
      <w:r w:rsidR="00DA10DE">
        <w:t xml:space="preserve">Cyber Security Incidents that compromise, or attempt </w:t>
      </w:r>
      <w:r w:rsidR="00C837C0">
        <w:t>to compromise, a responsible entity’s ESP or associated EACMS, as well as modifications to specify the required information in Cyber Security Incident reports, their dissemination, and deadlines for filing reports.</w:t>
      </w:r>
    </w:p>
    <w:p w14:paraId="29E12F3A" w14:textId="77777777" w:rsidR="00D51479" w:rsidRDefault="006276E4" w:rsidP="00D51479">
      <w:pPr>
        <w:keepNext/>
        <w:keepLines/>
        <w:autoSpaceDE w:val="0"/>
        <w:autoSpaceDN w:val="0"/>
        <w:adjustRightInd w:val="0"/>
        <w:spacing w:after="240"/>
        <w:outlineLvl w:val="0"/>
        <w:rPr>
          <w:rFonts w:eastAsia="Times New Roman"/>
          <w:b/>
          <w:bCs/>
          <w:kern w:val="32"/>
          <w:szCs w:val="26"/>
          <w:u w:val="single"/>
        </w:rPr>
      </w:pPr>
      <w:r w:rsidRPr="00B21211">
        <w:rPr>
          <w:rFonts w:eastAsia="Times New Roman"/>
          <w:b/>
          <w:bCs/>
          <w:kern w:val="32"/>
          <w:szCs w:val="26"/>
          <w:u w:val="single"/>
        </w:rPr>
        <w:t>Information Collection</w:t>
      </w:r>
      <w:r>
        <w:rPr>
          <w:rFonts w:eastAsia="Times New Roman"/>
          <w:b/>
          <w:bCs/>
          <w:kern w:val="32"/>
          <w:szCs w:val="26"/>
          <w:u w:val="single"/>
        </w:rPr>
        <w:t xml:space="preserve"> Statement</w:t>
      </w:r>
    </w:p>
    <w:p w14:paraId="1DF7755C" w14:textId="3EDD949E" w:rsidR="006276E4" w:rsidRPr="006276E4" w:rsidRDefault="00D82763" w:rsidP="00836B98">
      <w:pPr>
        <w:pStyle w:val="FERCparanumber"/>
      </w:pPr>
      <w:r w:rsidRPr="00D82763">
        <w:t xml:space="preserve">In compliance with the requirements of the Paperwork Reduction Act of 1995, </w:t>
      </w:r>
      <w:r w:rsidR="004E7471">
        <w:br/>
      </w:r>
      <w:r w:rsidRPr="00D82763">
        <w:t>44 USC 3506(c)(2)(A), the Commission is soliciting public comment on revisions to the information collection FERC-725B (Mandatory Reliability Standards for Critical Infrastructure Protection (CIP) Reliability Standards)</w:t>
      </w:r>
      <w:r>
        <w:t>,</w:t>
      </w:r>
      <w:r w:rsidRPr="00D82763">
        <w:t xml:space="preserve"> which will be submitted to the Office of Management and Budget (OMB) for a review of the information collection requirements.</w:t>
      </w:r>
      <w:r>
        <w:t xml:space="preserve"> </w:t>
      </w:r>
      <w:r w:rsidRPr="00D82763">
        <w:t xml:space="preserve"> Comments on the collection of information are due</w:t>
      </w:r>
      <w:r w:rsidRPr="00D82763">
        <w:rPr>
          <w:b/>
        </w:rPr>
        <w:t xml:space="preserve"> </w:t>
      </w:r>
      <w:r w:rsidRPr="00D82763">
        <w:t xml:space="preserve">within 60 days of the date this </w:t>
      </w:r>
      <w:r w:rsidR="00751BC3">
        <w:t>o</w:t>
      </w:r>
      <w:r w:rsidRPr="00D82763">
        <w:t xml:space="preserve">rder is published in the </w:t>
      </w:r>
      <w:r w:rsidRPr="00637661">
        <w:rPr>
          <w:i/>
        </w:rPr>
        <w:t>Federal Register</w:t>
      </w:r>
      <w:r w:rsidRPr="00D82763">
        <w:t xml:space="preserve">. </w:t>
      </w:r>
      <w:r>
        <w:t xml:space="preserve"> </w:t>
      </w:r>
      <w:r w:rsidR="006276E4" w:rsidRPr="006276E4">
        <w:t xml:space="preserve">Respondents subject to the filing requirements of this </w:t>
      </w:r>
      <w:r w:rsidR="00751BC3">
        <w:t>o</w:t>
      </w:r>
      <w:r w:rsidR="006276E4" w:rsidRPr="006276E4">
        <w:t xml:space="preserve">rder will not be penalized for failing to respond to these collections of information unless the collections of information display a valid OMB control number.  </w:t>
      </w:r>
    </w:p>
    <w:p w14:paraId="68A55269" w14:textId="6C7123E7" w:rsidR="00D51479" w:rsidRDefault="006276E4" w:rsidP="006276E4">
      <w:pPr>
        <w:pStyle w:val="FERCparanumber"/>
      </w:pPr>
      <w:r w:rsidRPr="001907B4">
        <w:t>Proposed Reliability Standard CIP-008-6 requires Responsible Entities</w:t>
      </w:r>
      <w:r w:rsidRPr="001907B4">
        <w:rPr>
          <w:rStyle w:val="FootnoteReference"/>
          <w:rFonts w:eastAsia="Times New Roman"/>
        </w:rPr>
        <w:footnoteReference w:id="18"/>
      </w:r>
      <w:r w:rsidRPr="001907B4">
        <w:t xml:space="preserve"> to broaden the mandatory reporting of Cyber Security Incidents to include compromises or attempts to compromise BES Cyber Systems or their associated ESPs or EACMS.  The </w:t>
      </w:r>
      <w:r w:rsidRPr="00B21211">
        <w:t>revised Reliability Standard w</w:t>
      </w:r>
      <w:r>
        <w:t>ill</w:t>
      </w:r>
      <w:r w:rsidRPr="00B21211">
        <w:t xml:space="preserve"> </w:t>
      </w:r>
      <w:r w:rsidRPr="001907B4">
        <w:t xml:space="preserve">not significantly increase the reporting burden on entities </w:t>
      </w:r>
      <w:r w:rsidRPr="00B21211">
        <w:t xml:space="preserve">because </w:t>
      </w:r>
      <w:r w:rsidRPr="001907B4">
        <w:t>it</w:t>
      </w:r>
      <w:r>
        <w:t xml:space="preserve"> </w:t>
      </w:r>
      <w:r w:rsidRPr="001907B4">
        <w:t>build</w:t>
      </w:r>
      <w:r>
        <w:t>s</w:t>
      </w:r>
      <w:r w:rsidRPr="001907B4">
        <w:t xml:space="preserve"> off </w:t>
      </w:r>
      <w:r w:rsidRPr="00B21211">
        <w:t xml:space="preserve">the </w:t>
      </w:r>
      <w:r w:rsidRPr="001907B4">
        <w:t>currently-effective reporting threshold by expand</w:t>
      </w:r>
      <w:r>
        <w:t>ing</w:t>
      </w:r>
      <w:r w:rsidRPr="001907B4">
        <w:t xml:space="preserve"> it to address reliability gaps, pursuant to section 215(d)(5) of the FPA. </w:t>
      </w:r>
    </w:p>
    <w:p w14:paraId="29577591" w14:textId="38DEA07F" w:rsidR="00D51479" w:rsidRPr="00D51479" w:rsidRDefault="006276E4" w:rsidP="006276E4">
      <w:pPr>
        <w:pStyle w:val="FERCparanumber"/>
      </w:pPr>
      <w:r w:rsidRPr="005C0DDD">
        <w:rPr>
          <w:u w:val="single"/>
        </w:rPr>
        <w:t>Burden</w:t>
      </w:r>
      <w:r w:rsidRPr="005C0DDD">
        <w:rPr>
          <w:b/>
          <w:u w:val="single"/>
          <w:vertAlign w:val="superscript"/>
        </w:rPr>
        <w:footnoteReference w:id="19"/>
      </w:r>
      <w:r w:rsidRPr="005C0DDD">
        <w:rPr>
          <w:u w:val="single"/>
        </w:rPr>
        <w:t xml:space="preserve"> Estimate</w:t>
      </w:r>
      <w:r w:rsidRPr="005C0DDD">
        <w:t>:  The Commission estimates the changes in the annual public reporting burden and cost as indicated below.</w:t>
      </w:r>
      <w:r w:rsidRPr="005C0DDD">
        <w:rPr>
          <w:b/>
          <w:vertAlign w:val="superscript"/>
        </w:rPr>
        <w:footnoteReference w:id="20"/>
      </w:r>
      <w:r w:rsidRPr="005C0DDD">
        <w:rPr>
          <w:vertAlign w:val="superscript"/>
        </w:rPr>
        <w:t xml:space="preserve"> </w:t>
      </w:r>
      <w:r w:rsidRPr="00D51479">
        <w:t xml:space="preserve"> </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474"/>
        <w:gridCol w:w="1476"/>
        <w:gridCol w:w="1474"/>
        <w:gridCol w:w="1291"/>
        <w:gridCol w:w="1478"/>
        <w:gridCol w:w="1342"/>
      </w:tblGrid>
      <w:tr w:rsidR="006276E4" w:rsidRPr="004B6B3E" w14:paraId="7A10265A" w14:textId="77777777" w:rsidTr="00E36D42">
        <w:trPr>
          <w:cantSplit/>
        </w:trPr>
        <w:tc>
          <w:tcPr>
            <w:tcW w:w="5000" w:type="pct"/>
            <w:gridSpan w:val="7"/>
            <w:tcBorders>
              <w:bottom w:val="single" w:sz="4" w:space="0" w:color="auto"/>
            </w:tcBorders>
            <w:shd w:val="clear" w:color="auto" w:fill="D9D9D9"/>
          </w:tcPr>
          <w:p w14:paraId="0A6D35EC" w14:textId="7E45F9C3" w:rsidR="006276E4" w:rsidRPr="004B6B3E" w:rsidRDefault="006276E4" w:rsidP="00704521">
            <w:pPr>
              <w:keepLines/>
              <w:jc w:val="center"/>
              <w:rPr>
                <w:rFonts w:eastAsia="Calibri"/>
                <w:b/>
                <w:sz w:val="20"/>
                <w:szCs w:val="20"/>
              </w:rPr>
            </w:pPr>
            <w:r w:rsidRPr="004B6B3E">
              <w:rPr>
                <w:rFonts w:eastAsia="Calibri"/>
                <w:b/>
                <w:sz w:val="20"/>
                <w:szCs w:val="20"/>
              </w:rPr>
              <w:t>RD19-3-000 Commission Letter Order</w:t>
            </w:r>
          </w:p>
          <w:p w14:paraId="1ABA59B5" w14:textId="77777777" w:rsidR="006276E4" w:rsidRPr="004B6B3E" w:rsidRDefault="006276E4" w:rsidP="00704521">
            <w:pPr>
              <w:keepLines/>
              <w:widowControl/>
              <w:jc w:val="center"/>
              <w:rPr>
                <w:rFonts w:eastAsia="Calibri"/>
                <w:b/>
                <w:sz w:val="20"/>
                <w:szCs w:val="20"/>
              </w:rPr>
            </w:pPr>
            <w:r w:rsidRPr="004B6B3E">
              <w:rPr>
                <w:rFonts w:eastAsia="Calibri"/>
                <w:b/>
                <w:sz w:val="20"/>
                <w:szCs w:val="20"/>
              </w:rPr>
              <w:t>(Mandatory Reliability Standards for Critical Infrastructure Protection Reliability Standards)</w:t>
            </w:r>
          </w:p>
        </w:tc>
      </w:tr>
      <w:tr w:rsidR="006276E4" w:rsidRPr="004B6B3E" w14:paraId="717E315B" w14:textId="77777777" w:rsidTr="006276E4">
        <w:trPr>
          <w:cantSplit/>
        </w:trPr>
        <w:tc>
          <w:tcPr>
            <w:tcW w:w="842" w:type="pct"/>
            <w:shd w:val="clear" w:color="auto" w:fill="D9D9D9"/>
          </w:tcPr>
          <w:p w14:paraId="589C5456" w14:textId="77777777" w:rsidR="006276E4" w:rsidRPr="004B6B3E" w:rsidRDefault="006276E4" w:rsidP="00704521">
            <w:pPr>
              <w:jc w:val="center"/>
              <w:rPr>
                <w:rFonts w:eastAsia="Calibri"/>
                <w:b/>
                <w:sz w:val="20"/>
                <w:szCs w:val="20"/>
              </w:rPr>
            </w:pPr>
          </w:p>
        </w:tc>
        <w:tc>
          <w:tcPr>
            <w:tcW w:w="718" w:type="pct"/>
            <w:shd w:val="clear" w:color="auto" w:fill="D9D9D9"/>
            <w:vAlign w:val="bottom"/>
          </w:tcPr>
          <w:p w14:paraId="005C5B03" w14:textId="77777777" w:rsidR="006276E4" w:rsidRPr="004B6B3E" w:rsidRDefault="006276E4" w:rsidP="00704521">
            <w:pPr>
              <w:keepLines/>
              <w:jc w:val="center"/>
              <w:rPr>
                <w:rFonts w:eastAsia="Calibri"/>
                <w:b/>
                <w:sz w:val="20"/>
                <w:szCs w:val="20"/>
              </w:rPr>
            </w:pPr>
            <w:r w:rsidRPr="004B6B3E">
              <w:rPr>
                <w:rFonts w:eastAsia="Calibri"/>
                <w:b/>
                <w:sz w:val="20"/>
                <w:szCs w:val="20"/>
              </w:rPr>
              <w:t>Number of Respondents</w:t>
            </w:r>
            <w:r>
              <w:rPr>
                <w:rFonts w:eastAsia="Calibri"/>
                <w:b/>
                <w:sz w:val="20"/>
                <w:szCs w:val="20"/>
              </w:rPr>
              <w:t xml:space="preserve"> &amp; Type of Entity</w:t>
            </w:r>
            <w:r>
              <w:rPr>
                <w:rStyle w:val="FootnoteReference"/>
                <w:rFonts w:eastAsia="Calibri"/>
              </w:rPr>
              <w:footnoteReference w:id="21"/>
            </w:r>
            <w:r w:rsidRPr="004B6B3E">
              <w:rPr>
                <w:rFonts w:eastAsia="Calibri"/>
                <w:b/>
                <w:sz w:val="20"/>
                <w:szCs w:val="20"/>
              </w:rPr>
              <w:br/>
              <w:t>(1)</w:t>
            </w:r>
          </w:p>
        </w:tc>
        <w:tc>
          <w:tcPr>
            <w:tcW w:w="719" w:type="pct"/>
            <w:shd w:val="clear" w:color="auto" w:fill="D9D9D9"/>
            <w:vAlign w:val="bottom"/>
          </w:tcPr>
          <w:p w14:paraId="721C278D" w14:textId="77777777" w:rsidR="006276E4" w:rsidRPr="004B6B3E" w:rsidRDefault="006276E4" w:rsidP="006276E4">
            <w:pPr>
              <w:keepLines/>
              <w:jc w:val="center"/>
              <w:rPr>
                <w:rFonts w:eastAsia="Calibri"/>
                <w:b/>
                <w:sz w:val="20"/>
                <w:szCs w:val="20"/>
              </w:rPr>
            </w:pPr>
            <w:r w:rsidRPr="004B6B3E">
              <w:rPr>
                <w:rFonts w:eastAsia="Calibri"/>
                <w:b/>
                <w:sz w:val="20"/>
                <w:szCs w:val="20"/>
              </w:rPr>
              <w:t>Annual Number of Responses per Respondent</w:t>
            </w:r>
          </w:p>
          <w:p w14:paraId="3D264589" w14:textId="77777777" w:rsidR="006276E4" w:rsidRPr="004B6B3E" w:rsidRDefault="006276E4" w:rsidP="006276E4">
            <w:pPr>
              <w:keepLines/>
              <w:jc w:val="center"/>
              <w:rPr>
                <w:rFonts w:eastAsia="Calibri"/>
                <w:b/>
                <w:sz w:val="20"/>
                <w:szCs w:val="20"/>
              </w:rPr>
            </w:pPr>
            <w:r w:rsidRPr="004B6B3E">
              <w:rPr>
                <w:rFonts w:eastAsia="Calibri"/>
                <w:b/>
                <w:sz w:val="20"/>
                <w:szCs w:val="20"/>
              </w:rPr>
              <w:t>(2)</w:t>
            </w:r>
          </w:p>
        </w:tc>
        <w:tc>
          <w:tcPr>
            <w:tcW w:w="718" w:type="pct"/>
            <w:shd w:val="clear" w:color="auto" w:fill="D9D9D9"/>
            <w:vAlign w:val="bottom"/>
          </w:tcPr>
          <w:p w14:paraId="00465DA2" w14:textId="77777777" w:rsidR="006276E4" w:rsidRPr="004B6B3E" w:rsidRDefault="006276E4" w:rsidP="006276E4">
            <w:pPr>
              <w:keepLines/>
              <w:jc w:val="center"/>
              <w:rPr>
                <w:rFonts w:eastAsia="Calibri"/>
                <w:b/>
                <w:sz w:val="20"/>
                <w:szCs w:val="20"/>
              </w:rPr>
            </w:pPr>
            <w:r w:rsidRPr="004B6B3E">
              <w:rPr>
                <w:rFonts w:eastAsia="Calibri"/>
                <w:b/>
                <w:sz w:val="20"/>
                <w:szCs w:val="20"/>
              </w:rPr>
              <w:t>Total Number of Responses (1)*(2)=(3)</w:t>
            </w:r>
          </w:p>
        </w:tc>
        <w:tc>
          <w:tcPr>
            <w:tcW w:w="629" w:type="pct"/>
            <w:shd w:val="clear" w:color="auto" w:fill="D9D9D9"/>
            <w:vAlign w:val="bottom"/>
          </w:tcPr>
          <w:p w14:paraId="2682C08F" w14:textId="77777777" w:rsidR="006276E4" w:rsidRPr="004B6B3E" w:rsidRDefault="006276E4" w:rsidP="006276E4">
            <w:pPr>
              <w:keepLines/>
              <w:jc w:val="center"/>
              <w:rPr>
                <w:rFonts w:eastAsia="Calibri"/>
                <w:b/>
                <w:sz w:val="20"/>
                <w:szCs w:val="20"/>
              </w:rPr>
            </w:pPr>
            <w:r w:rsidRPr="004B6B3E">
              <w:rPr>
                <w:rFonts w:eastAsia="Calibri"/>
                <w:b/>
                <w:sz w:val="20"/>
                <w:szCs w:val="20"/>
              </w:rPr>
              <w:t>Average Burden &amp; Cost Per Response</w:t>
            </w:r>
            <w:r w:rsidRPr="004B6B3E">
              <w:rPr>
                <w:rFonts w:eastAsia="Calibri"/>
                <w:b/>
                <w:sz w:val="20"/>
                <w:szCs w:val="20"/>
                <w:vertAlign w:val="superscript"/>
              </w:rPr>
              <w:footnoteReference w:id="22"/>
            </w:r>
          </w:p>
          <w:p w14:paraId="0121E3FA" w14:textId="77777777" w:rsidR="006276E4" w:rsidRPr="004B6B3E" w:rsidRDefault="006276E4" w:rsidP="006276E4">
            <w:pPr>
              <w:keepLines/>
              <w:jc w:val="center"/>
              <w:rPr>
                <w:rFonts w:eastAsia="Calibri"/>
                <w:b/>
                <w:sz w:val="20"/>
                <w:szCs w:val="20"/>
              </w:rPr>
            </w:pPr>
            <w:r w:rsidRPr="004B6B3E">
              <w:rPr>
                <w:rFonts w:eastAsia="Calibri"/>
                <w:b/>
                <w:sz w:val="20"/>
                <w:szCs w:val="20"/>
              </w:rPr>
              <w:t>(4)</w:t>
            </w:r>
          </w:p>
        </w:tc>
        <w:tc>
          <w:tcPr>
            <w:tcW w:w="720" w:type="pct"/>
            <w:shd w:val="clear" w:color="auto" w:fill="D9D9D9"/>
            <w:vAlign w:val="bottom"/>
          </w:tcPr>
          <w:p w14:paraId="0C33AE43" w14:textId="77777777" w:rsidR="006276E4" w:rsidRPr="004B6B3E" w:rsidRDefault="006276E4" w:rsidP="006276E4">
            <w:pPr>
              <w:keepLines/>
              <w:jc w:val="center"/>
              <w:rPr>
                <w:rFonts w:eastAsia="Calibri"/>
                <w:b/>
                <w:sz w:val="20"/>
                <w:szCs w:val="20"/>
              </w:rPr>
            </w:pPr>
            <w:r w:rsidRPr="004B6B3E">
              <w:rPr>
                <w:rFonts w:eastAsia="Calibri"/>
                <w:b/>
                <w:sz w:val="20"/>
                <w:szCs w:val="20"/>
              </w:rPr>
              <w:t>Total Annual Burden Hours &amp; Total Annual Cost</w:t>
            </w:r>
          </w:p>
          <w:p w14:paraId="35B0FBE9" w14:textId="77777777" w:rsidR="006276E4" w:rsidRPr="004B6B3E" w:rsidRDefault="006276E4" w:rsidP="006276E4">
            <w:pPr>
              <w:keepLines/>
              <w:jc w:val="center"/>
              <w:rPr>
                <w:rFonts w:eastAsia="Calibri"/>
                <w:b/>
                <w:sz w:val="20"/>
                <w:szCs w:val="20"/>
              </w:rPr>
            </w:pPr>
            <w:r w:rsidRPr="004B6B3E">
              <w:rPr>
                <w:rFonts w:eastAsia="Calibri"/>
                <w:b/>
                <w:sz w:val="20"/>
                <w:szCs w:val="20"/>
              </w:rPr>
              <w:t>(3)*(4)=(5)</w:t>
            </w:r>
          </w:p>
        </w:tc>
        <w:tc>
          <w:tcPr>
            <w:tcW w:w="654" w:type="pct"/>
            <w:shd w:val="clear" w:color="auto" w:fill="D9D9D9"/>
            <w:vAlign w:val="bottom"/>
          </w:tcPr>
          <w:p w14:paraId="61BCE821" w14:textId="77777777" w:rsidR="006276E4" w:rsidRPr="004B6B3E" w:rsidRDefault="006276E4" w:rsidP="006276E4">
            <w:pPr>
              <w:keepLines/>
              <w:jc w:val="center"/>
              <w:rPr>
                <w:rFonts w:eastAsia="Calibri"/>
                <w:b/>
                <w:sz w:val="20"/>
                <w:szCs w:val="20"/>
              </w:rPr>
            </w:pPr>
            <w:r w:rsidRPr="004B6B3E">
              <w:rPr>
                <w:rFonts w:eastAsia="Calibri"/>
                <w:b/>
                <w:sz w:val="20"/>
                <w:szCs w:val="20"/>
              </w:rPr>
              <w:t>Cost per Respondent</w:t>
            </w:r>
          </w:p>
          <w:p w14:paraId="27223147" w14:textId="77777777" w:rsidR="006276E4" w:rsidRPr="004B6B3E" w:rsidRDefault="006276E4" w:rsidP="006276E4">
            <w:pPr>
              <w:keepLines/>
              <w:jc w:val="center"/>
              <w:rPr>
                <w:rFonts w:eastAsia="Calibri"/>
                <w:b/>
                <w:sz w:val="20"/>
                <w:szCs w:val="20"/>
              </w:rPr>
            </w:pPr>
            <w:r w:rsidRPr="004B6B3E">
              <w:rPr>
                <w:rFonts w:eastAsia="Calibri"/>
                <w:b/>
                <w:sz w:val="20"/>
                <w:szCs w:val="20"/>
              </w:rPr>
              <w:t xml:space="preserve"> ($)</w:t>
            </w:r>
          </w:p>
          <w:p w14:paraId="65C92ADC" w14:textId="77777777" w:rsidR="006276E4" w:rsidRPr="004B6B3E" w:rsidRDefault="006276E4" w:rsidP="006276E4">
            <w:pPr>
              <w:keepLines/>
              <w:jc w:val="center"/>
              <w:rPr>
                <w:rFonts w:eastAsia="Calibri"/>
                <w:b/>
                <w:sz w:val="20"/>
                <w:szCs w:val="20"/>
              </w:rPr>
            </w:pPr>
            <w:r w:rsidRPr="004B6B3E">
              <w:rPr>
                <w:rFonts w:eastAsia="Calibri"/>
                <w:b/>
                <w:sz w:val="20"/>
                <w:szCs w:val="20"/>
              </w:rPr>
              <w:t>(5)÷(1)</w:t>
            </w:r>
          </w:p>
        </w:tc>
      </w:tr>
      <w:tr w:rsidR="006276E4" w:rsidRPr="004B6B3E" w14:paraId="2430DA96" w14:textId="77777777" w:rsidTr="006276E4">
        <w:trPr>
          <w:cantSplit/>
        </w:trPr>
        <w:tc>
          <w:tcPr>
            <w:tcW w:w="842" w:type="pct"/>
          </w:tcPr>
          <w:p w14:paraId="11385E6E" w14:textId="77777777" w:rsidR="006276E4" w:rsidRPr="004B6B3E" w:rsidRDefault="006276E4" w:rsidP="00E36D42">
            <w:pPr>
              <w:rPr>
                <w:rFonts w:eastAsia="Calibri"/>
                <w:sz w:val="20"/>
                <w:szCs w:val="20"/>
              </w:rPr>
            </w:pPr>
            <w:r w:rsidRPr="004B6B3E">
              <w:rPr>
                <w:rFonts w:eastAsia="Calibri"/>
                <w:sz w:val="20"/>
                <w:szCs w:val="20"/>
              </w:rPr>
              <w:t>Update internal procedures to comply with augmented reporting requirements.</w:t>
            </w:r>
          </w:p>
          <w:p w14:paraId="3A8B6ADE" w14:textId="77777777" w:rsidR="006276E4" w:rsidRPr="004B6B3E" w:rsidRDefault="006276E4" w:rsidP="00E36D42">
            <w:pPr>
              <w:rPr>
                <w:rFonts w:eastAsia="Calibri"/>
                <w:sz w:val="20"/>
                <w:szCs w:val="20"/>
              </w:rPr>
            </w:pPr>
            <w:r w:rsidRPr="004B6B3E">
              <w:rPr>
                <w:rFonts w:eastAsia="Calibri"/>
                <w:sz w:val="20"/>
                <w:szCs w:val="20"/>
              </w:rPr>
              <w:t>(one-time)</w:t>
            </w:r>
            <w:bookmarkStart w:id="6" w:name="_Ref494875942"/>
            <w:r w:rsidRPr="004B6B3E">
              <w:rPr>
                <w:rFonts w:eastAsia="Calibri"/>
                <w:b/>
                <w:sz w:val="20"/>
                <w:szCs w:val="20"/>
                <w:vertAlign w:val="superscript"/>
              </w:rPr>
              <w:footnoteReference w:id="23"/>
            </w:r>
            <w:bookmarkEnd w:id="6"/>
          </w:p>
          <w:p w14:paraId="118F9660" w14:textId="77777777" w:rsidR="006276E4" w:rsidRPr="004B6B3E" w:rsidRDefault="006276E4" w:rsidP="00E36D42">
            <w:pPr>
              <w:rPr>
                <w:rFonts w:eastAsia="Calibri"/>
                <w:sz w:val="20"/>
                <w:szCs w:val="20"/>
              </w:rPr>
            </w:pPr>
            <w:r w:rsidRPr="004B6B3E">
              <w:rPr>
                <w:rFonts w:eastAsia="Calibri"/>
                <w:sz w:val="20"/>
                <w:szCs w:val="20"/>
              </w:rPr>
              <w:t>(CIP-008-6 R1-R4)</w:t>
            </w:r>
          </w:p>
        </w:tc>
        <w:tc>
          <w:tcPr>
            <w:tcW w:w="718" w:type="pct"/>
          </w:tcPr>
          <w:p w14:paraId="4C889E8A" w14:textId="77777777" w:rsidR="006276E4" w:rsidRPr="004B6B3E" w:rsidRDefault="006276E4" w:rsidP="00E36D42">
            <w:pPr>
              <w:jc w:val="right"/>
              <w:rPr>
                <w:rFonts w:eastAsia="Calibri"/>
                <w:sz w:val="20"/>
                <w:szCs w:val="20"/>
              </w:rPr>
            </w:pPr>
            <w:r w:rsidRPr="004B6B3E">
              <w:rPr>
                <w:rFonts w:eastAsia="Calibri"/>
                <w:sz w:val="20"/>
                <w:szCs w:val="20"/>
              </w:rPr>
              <w:t>288</w:t>
            </w:r>
          </w:p>
          <w:p w14:paraId="303700C8" w14:textId="77777777" w:rsidR="006276E4" w:rsidRPr="004B6B3E" w:rsidRDefault="006276E4" w:rsidP="00E36D42">
            <w:pPr>
              <w:jc w:val="right"/>
              <w:rPr>
                <w:rFonts w:eastAsia="Calibri"/>
                <w:sz w:val="20"/>
                <w:szCs w:val="20"/>
              </w:rPr>
            </w:pPr>
          </w:p>
        </w:tc>
        <w:tc>
          <w:tcPr>
            <w:tcW w:w="719" w:type="pct"/>
          </w:tcPr>
          <w:p w14:paraId="4925BAAB" w14:textId="77777777" w:rsidR="006276E4" w:rsidRPr="004B6B3E" w:rsidRDefault="006276E4" w:rsidP="00E36D42">
            <w:pPr>
              <w:jc w:val="right"/>
              <w:rPr>
                <w:rFonts w:eastAsia="Calibri"/>
                <w:sz w:val="20"/>
                <w:szCs w:val="20"/>
              </w:rPr>
            </w:pPr>
            <w:r w:rsidRPr="004B6B3E">
              <w:rPr>
                <w:rFonts w:eastAsia="Calibri"/>
                <w:sz w:val="20"/>
                <w:szCs w:val="20"/>
              </w:rPr>
              <w:t>1</w:t>
            </w:r>
          </w:p>
        </w:tc>
        <w:tc>
          <w:tcPr>
            <w:tcW w:w="718" w:type="pct"/>
          </w:tcPr>
          <w:p w14:paraId="47770CEF"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629" w:type="pct"/>
          </w:tcPr>
          <w:p w14:paraId="3D380C5C" w14:textId="77777777" w:rsidR="006276E4" w:rsidRPr="004B6B3E" w:rsidRDefault="006276E4" w:rsidP="00E36D42">
            <w:pPr>
              <w:jc w:val="right"/>
              <w:rPr>
                <w:rFonts w:eastAsia="Calibri"/>
                <w:sz w:val="20"/>
                <w:szCs w:val="20"/>
              </w:rPr>
            </w:pPr>
            <w:r w:rsidRPr="004B6B3E">
              <w:rPr>
                <w:rFonts w:eastAsia="Calibri"/>
                <w:sz w:val="20"/>
                <w:szCs w:val="20"/>
              </w:rPr>
              <w:t>50 hrs.;</w:t>
            </w:r>
          </w:p>
          <w:p w14:paraId="2A3EEF9A" w14:textId="77777777" w:rsidR="006276E4" w:rsidRPr="004B6B3E" w:rsidRDefault="006276E4" w:rsidP="00E36D42">
            <w:pPr>
              <w:jc w:val="right"/>
              <w:rPr>
                <w:rFonts w:eastAsia="Calibri"/>
                <w:sz w:val="20"/>
                <w:szCs w:val="20"/>
              </w:rPr>
            </w:pPr>
            <w:r w:rsidRPr="004B6B3E">
              <w:rPr>
                <w:rFonts w:eastAsia="Calibri"/>
                <w:sz w:val="20"/>
                <w:szCs w:val="20"/>
              </w:rPr>
              <w:t>$4,050</w:t>
            </w:r>
          </w:p>
        </w:tc>
        <w:tc>
          <w:tcPr>
            <w:tcW w:w="720" w:type="pct"/>
          </w:tcPr>
          <w:p w14:paraId="4B7ABA0A" w14:textId="77777777" w:rsidR="006276E4" w:rsidRPr="004B6B3E" w:rsidRDefault="006276E4" w:rsidP="00E36D42">
            <w:pPr>
              <w:jc w:val="right"/>
              <w:rPr>
                <w:rFonts w:eastAsia="Calibri"/>
                <w:sz w:val="20"/>
                <w:szCs w:val="20"/>
              </w:rPr>
            </w:pPr>
            <w:r w:rsidRPr="004B6B3E">
              <w:rPr>
                <w:rFonts w:eastAsia="Calibri"/>
                <w:sz w:val="20"/>
                <w:szCs w:val="20"/>
              </w:rPr>
              <w:t xml:space="preserve"> 14,400 hrs.;</w:t>
            </w:r>
          </w:p>
          <w:p w14:paraId="3E3FFC55" w14:textId="77777777" w:rsidR="006276E4" w:rsidRPr="004B6B3E" w:rsidRDefault="006276E4" w:rsidP="00E36D42">
            <w:pPr>
              <w:jc w:val="right"/>
              <w:rPr>
                <w:rFonts w:eastAsia="Calibri"/>
                <w:sz w:val="20"/>
                <w:szCs w:val="20"/>
              </w:rPr>
            </w:pPr>
            <w:r w:rsidRPr="004B6B3E">
              <w:rPr>
                <w:rFonts w:eastAsia="Calibri"/>
                <w:sz w:val="20"/>
                <w:szCs w:val="20"/>
              </w:rPr>
              <w:t xml:space="preserve">$1,166,400 </w:t>
            </w:r>
          </w:p>
        </w:tc>
        <w:tc>
          <w:tcPr>
            <w:tcW w:w="654" w:type="pct"/>
          </w:tcPr>
          <w:p w14:paraId="37C01588" w14:textId="77777777" w:rsidR="006276E4" w:rsidRPr="004B6B3E" w:rsidRDefault="006276E4" w:rsidP="00E36D42">
            <w:pPr>
              <w:jc w:val="right"/>
              <w:rPr>
                <w:rFonts w:eastAsia="Calibri"/>
                <w:sz w:val="20"/>
                <w:szCs w:val="20"/>
              </w:rPr>
            </w:pPr>
            <w:r w:rsidRPr="004B6B3E">
              <w:rPr>
                <w:rFonts w:eastAsia="Calibri"/>
                <w:sz w:val="20"/>
                <w:szCs w:val="20"/>
              </w:rPr>
              <w:t>$4,050</w:t>
            </w:r>
          </w:p>
          <w:p w14:paraId="5F06D546" w14:textId="77777777" w:rsidR="006276E4" w:rsidRPr="004B6B3E" w:rsidRDefault="006276E4" w:rsidP="00E36D42">
            <w:pPr>
              <w:jc w:val="right"/>
              <w:rPr>
                <w:rFonts w:eastAsia="Calibri"/>
                <w:sz w:val="20"/>
                <w:szCs w:val="20"/>
              </w:rPr>
            </w:pPr>
          </w:p>
        </w:tc>
      </w:tr>
      <w:tr w:rsidR="006276E4" w:rsidRPr="004B6B3E" w14:paraId="40315537" w14:textId="77777777" w:rsidTr="006276E4">
        <w:trPr>
          <w:cantSplit/>
        </w:trPr>
        <w:tc>
          <w:tcPr>
            <w:tcW w:w="842" w:type="pct"/>
          </w:tcPr>
          <w:p w14:paraId="013E8583" w14:textId="77777777" w:rsidR="006276E4" w:rsidRPr="004B6B3E" w:rsidRDefault="006276E4" w:rsidP="00E36D42">
            <w:pPr>
              <w:rPr>
                <w:rFonts w:eastAsia="Calibri"/>
                <w:sz w:val="20"/>
                <w:szCs w:val="20"/>
              </w:rPr>
            </w:pPr>
            <w:r w:rsidRPr="004B6B3E">
              <w:rPr>
                <w:rFonts w:eastAsia="Calibri"/>
                <w:sz w:val="20"/>
                <w:szCs w:val="20"/>
              </w:rPr>
              <w:t>Annual cyber security incident plan review</w:t>
            </w:r>
          </w:p>
          <w:p w14:paraId="56949DF9" w14:textId="77777777" w:rsidR="006276E4" w:rsidRPr="004B6B3E" w:rsidRDefault="006276E4" w:rsidP="00E36D42">
            <w:pPr>
              <w:rPr>
                <w:rFonts w:eastAsia="Calibri"/>
                <w:sz w:val="20"/>
                <w:szCs w:val="20"/>
              </w:rPr>
            </w:pPr>
            <w:r w:rsidRPr="004B6B3E">
              <w:rPr>
                <w:rFonts w:eastAsia="Calibri"/>
                <w:sz w:val="20"/>
                <w:szCs w:val="20"/>
              </w:rPr>
              <w:t>(ongoing)</w:t>
            </w:r>
            <w:bookmarkStart w:id="7" w:name="_Ref494875969"/>
            <w:r w:rsidRPr="004B6B3E">
              <w:rPr>
                <w:rFonts w:eastAsia="Calibri"/>
                <w:b/>
                <w:sz w:val="20"/>
                <w:szCs w:val="20"/>
                <w:vertAlign w:val="superscript"/>
              </w:rPr>
              <w:footnoteReference w:id="24"/>
            </w:r>
            <w:bookmarkEnd w:id="7"/>
          </w:p>
          <w:p w14:paraId="1E7D39D1" w14:textId="77777777" w:rsidR="006276E4" w:rsidRPr="004B6B3E" w:rsidRDefault="006276E4" w:rsidP="00E36D42">
            <w:pPr>
              <w:rPr>
                <w:rFonts w:eastAsia="Calibri"/>
                <w:sz w:val="20"/>
                <w:szCs w:val="20"/>
              </w:rPr>
            </w:pPr>
            <w:r w:rsidRPr="004B6B3E">
              <w:rPr>
                <w:rFonts w:eastAsia="Calibri"/>
                <w:sz w:val="20"/>
                <w:szCs w:val="20"/>
              </w:rPr>
              <w:t>(CIP-008-6 R2.1)</w:t>
            </w:r>
          </w:p>
        </w:tc>
        <w:tc>
          <w:tcPr>
            <w:tcW w:w="718" w:type="pct"/>
          </w:tcPr>
          <w:p w14:paraId="451FDC7E"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719" w:type="pct"/>
          </w:tcPr>
          <w:p w14:paraId="725AB83E" w14:textId="77777777" w:rsidR="006276E4" w:rsidRPr="004B6B3E" w:rsidRDefault="006276E4" w:rsidP="00E36D42">
            <w:pPr>
              <w:jc w:val="right"/>
              <w:rPr>
                <w:rFonts w:eastAsia="Calibri"/>
                <w:sz w:val="20"/>
                <w:szCs w:val="20"/>
              </w:rPr>
            </w:pPr>
            <w:r w:rsidRPr="004B6B3E">
              <w:rPr>
                <w:rFonts w:eastAsia="Calibri"/>
                <w:sz w:val="20"/>
                <w:szCs w:val="20"/>
              </w:rPr>
              <w:t>1</w:t>
            </w:r>
          </w:p>
        </w:tc>
        <w:tc>
          <w:tcPr>
            <w:tcW w:w="718" w:type="pct"/>
          </w:tcPr>
          <w:p w14:paraId="1D5B2700"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629" w:type="pct"/>
          </w:tcPr>
          <w:p w14:paraId="4CF3E3DF" w14:textId="77777777" w:rsidR="006276E4" w:rsidRPr="004B6B3E" w:rsidRDefault="006276E4" w:rsidP="00E36D42">
            <w:pPr>
              <w:jc w:val="right"/>
              <w:rPr>
                <w:rFonts w:eastAsia="Calibri"/>
                <w:sz w:val="20"/>
                <w:szCs w:val="20"/>
              </w:rPr>
            </w:pPr>
            <w:r w:rsidRPr="004B6B3E">
              <w:rPr>
                <w:rFonts w:eastAsia="Calibri"/>
                <w:sz w:val="20"/>
                <w:szCs w:val="20"/>
              </w:rPr>
              <w:t>10 hrs.;</w:t>
            </w:r>
          </w:p>
          <w:p w14:paraId="4379B6AE" w14:textId="77777777" w:rsidR="006276E4" w:rsidRPr="004B6B3E" w:rsidRDefault="006276E4" w:rsidP="00E36D42">
            <w:pPr>
              <w:jc w:val="right"/>
              <w:rPr>
                <w:rFonts w:eastAsia="Calibri"/>
                <w:sz w:val="20"/>
                <w:szCs w:val="20"/>
              </w:rPr>
            </w:pPr>
            <w:r w:rsidRPr="004B6B3E">
              <w:rPr>
                <w:rFonts w:eastAsia="Calibri"/>
                <w:sz w:val="20"/>
                <w:szCs w:val="20"/>
              </w:rPr>
              <w:t>$810</w:t>
            </w:r>
          </w:p>
        </w:tc>
        <w:tc>
          <w:tcPr>
            <w:tcW w:w="720" w:type="pct"/>
          </w:tcPr>
          <w:p w14:paraId="2F6214CB" w14:textId="77777777" w:rsidR="006276E4" w:rsidRPr="004B6B3E" w:rsidRDefault="006276E4" w:rsidP="00E36D42">
            <w:pPr>
              <w:jc w:val="right"/>
              <w:rPr>
                <w:rFonts w:eastAsia="Calibri"/>
                <w:sz w:val="20"/>
                <w:szCs w:val="20"/>
              </w:rPr>
            </w:pPr>
            <w:r w:rsidRPr="004B6B3E">
              <w:rPr>
                <w:rFonts w:eastAsia="Calibri"/>
                <w:sz w:val="20"/>
                <w:szCs w:val="20"/>
              </w:rPr>
              <w:t>2880 hrs.;</w:t>
            </w:r>
          </w:p>
          <w:p w14:paraId="60C47295" w14:textId="77777777" w:rsidR="006276E4" w:rsidRPr="004B6B3E" w:rsidRDefault="006276E4" w:rsidP="00E36D42">
            <w:pPr>
              <w:jc w:val="right"/>
              <w:rPr>
                <w:rFonts w:eastAsia="Calibri"/>
                <w:sz w:val="20"/>
                <w:szCs w:val="20"/>
              </w:rPr>
            </w:pPr>
            <w:r w:rsidRPr="004B6B3E">
              <w:rPr>
                <w:rFonts w:eastAsia="Calibri"/>
                <w:sz w:val="20"/>
                <w:szCs w:val="20"/>
              </w:rPr>
              <w:t>$233,280</w:t>
            </w:r>
          </w:p>
        </w:tc>
        <w:tc>
          <w:tcPr>
            <w:tcW w:w="654" w:type="pct"/>
          </w:tcPr>
          <w:p w14:paraId="6B6C98DD" w14:textId="77777777" w:rsidR="006276E4" w:rsidRPr="004B6B3E" w:rsidRDefault="006276E4" w:rsidP="00E36D42">
            <w:pPr>
              <w:jc w:val="right"/>
              <w:rPr>
                <w:rFonts w:eastAsia="Calibri"/>
                <w:sz w:val="20"/>
                <w:szCs w:val="20"/>
              </w:rPr>
            </w:pPr>
            <w:r w:rsidRPr="004B6B3E">
              <w:rPr>
                <w:rFonts w:eastAsia="Calibri"/>
                <w:sz w:val="20"/>
                <w:szCs w:val="20"/>
              </w:rPr>
              <w:t>$810</w:t>
            </w:r>
          </w:p>
        </w:tc>
      </w:tr>
      <w:tr w:rsidR="006276E4" w:rsidRPr="004B6B3E" w14:paraId="7286263C" w14:textId="77777777" w:rsidTr="006276E4">
        <w:trPr>
          <w:cantSplit/>
        </w:trPr>
        <w:tc>
          <w:tcPr>
            <w:tcW w:w="842" w:type="pct"/>
          </w:tcPr>
          <w:p w14:paraId="3F9EED6E" w14:textId="77777777" w:rsidR="006276E4" w:rsidRPr="004B6B3E" w:rsidRDefault="006276E4" w:rsidP="00E36D42">
            <w:pPr>
              <w:rPr>
                <w:rFonts w:eastAsia="Calibri"/>
                <w:sz w:val="20"/>
                <w:szCs w:val="20"/>
              </w:rPr>
            </w:pPr>
            <w:r w:rsidRPr="004B6B3E">
              <w:rPr>
                <w:rFonts w:eastAsia="Calibri"/>
                <w:sz w:val="20"/>
                <w:szCs w:val="20"/>
              </w:rPr>
              <w:t xml:space="preserve">Update cyber security incident plan per review findings (ongoing) </w:t>
            </w:r>
          </w:p>
          <w:p w14:paraId="4F07759E" w14:textId="77777777" w:rsidR="006276E4" w:rsidRPr="004B6B3E" w:rsidRDefault="006276E4" w:rsidP="00E36D42">
            <w:pPr>
              <w:rPr>
                <w:rFonts w:eastAsia="Calibri"/>
                <w:sz w:val="20"/>
                <w:szCs w:val="20"/>
              </w:rPr>
            </w:pPr>
            <w:r w:rsidRPr="004B6B3E">
              <w:rPr>
                <w:rFonts w:eastAsia="Calibri"/>
                <w:sz w:val="20"/>
                <w:szCs w:val="20"/>
              </w:rPr>
              <w:t>(CIP-008-6 R3)</w:t>
            </w:r>
          </w:p>
        </w:tc>
        <w:tc>
          <w:tcPr>
            <w:tcW w:w="718" w:type="pct"/>
          </w:tcPr>
          <w:p w14:paraId="6C381460"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719" w:type="pct"/>
          </w:tcPr>
          <w:p w14:paraId="3E7288E2" w14:textId="77777777" w:rsidR="006276E4" w:rsidRPr="004B6B3E" w:rsidRDefault="006276E4" w:rsidP="00E36D42">
            <w:pPr>
              <w:jc w:val="right"/>
              <w:rPr>
                <w:rFonts w:eastAsia="Calibri"/>
                <w:sz w:val="20"/>
                <w:szCs w:val="20"/>
              </w:rPr>
            </w:pPr>
            <w:r w:rsidRPr="004B6B3E">
              <w:rPr>
                <w:rFonts w:eastAsia="Calibri"/>
                <w:sz w:val="20"/>
                <w:szCs w:val="20"/>
              </w:rPr>
              <w:t>1</w:t>
            </w:r>
          </w:p>
        </w:tc>
        <w:tc>
          <w:tcPr>
            <w:tcW w:w="718" w:type="pct"/>
          </w:tcPr>
          <w:p w14:paraId="4AFA100E"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629" w:type="pct"/>
          </w:tcPr>
          <w:p w14:paraId="7646CDA3" w14:textId="77777777" w:rsidR="006276E4" w:rsidRPr="004B6B3E" w:rsidRDefault="006276E4" w:rsidP="00E36D42">
            <w:pPr>
              <w:jc w:val="right"/>
              <w:rPr>
                <w:rFonts w:eastAsia="Calibri"/>
                <w:sz w:val="20"/>
                <w:szCs w:val="20"/>
              </w:rPr>
            </w:pPr>
            <w:r w:rsidRPr="004B6B3E">
              <w:rPr>
                <w:rFonts w:eastAsia="Calibri"/>
                <w:sz w:val="20"/>
                <w:szCs w:val="20"/>
              </w:rPr>
              <w:t>10 hrs.;</w:t>
            </w:r>
          </w:p>
          <w:p w14:paraId="154BDD47" w14:textId="77777777" w:rsidR="006276E4" w:rsidRPr="004B6B3E" w:rsidRDefault="006276E4" w:rsidP="00E36D42">
            <w:pPr>
              <w:jc w:val="right"/>
              <w:rPr>
                <w:rFonts w:eastAsia="Calibri"/>
                <w:sz w:val="20"/>
                <w:szCs w:val="20"/>
              </w:rPr>
            </w:pPr>
            <w:r w:rsidRPr="004B6B3E">
              <w:rPr>
                <w:rFonts w:eastAsia="Calibri"/>
                <w:sz w:val="20"/>
                <w:szCs w:val="20"/>
              </w:rPr>
              <w:t>$810</w:t>
            </w:r>
          </w:p>
        </w:tc>
        <w:tc>
          <w:tcPr>
            <w:tcW w:w="720" w:type="pct"/>
          </w:tcPr>
          <w:p w14:paraId="1A74B866" w14:textId="77777777" w:rsidR="006276E4" w:rsidRPr="004B6B3E" w:rsidRDefault="006276E4" w:rsidP="00E36D42">
            <w:pPr>
              <w:jc w:val="right"/>
              <w:rPr>
                <w:rFonts w:eastAsia="Calibri"/>
                <w:sz w:val="20"/>
                <w:szCs w:val="20"/>
              </w:rPr>
            </w:pPr>
            <w:r w:rsidRPr="004B6B3E">
              <w:rPr>
                <w:rFonts w:eastAsia="Calibri"/>
                <w:sz w:val="20"/>
                <w:szCs w:val="20"/>
              </w:rPr>
              <w:t>2880 hrs.;</w:t>
            </w:r>
          </w:p>
          <w:p w14:paraId="0AD2DF19" w14:textId="77777777" w:rsidR="006276E4" w:rsidRPr="004B6B3E" w:rsidRDefault="006276E4" w:rsidP="00E36D42">
            <w:pPr>
              <w:jc w:val="right"/>
              <w:rPr>
                <w:rFonts w:eastAsia="Calibri"/>
                <w:sz w:val="20"/>
                <w:szCs w:val="20"/>
              </w:rPr>
            </w:pPr>
            <w:r w:rsidRPr="004B6B3E">
              <w:rPr>
                <w:rFonts w:eastAsia="Calibri"/>
                <w:sz w:val="20"/>
                <w:szCs w:val="20"/>
              </w:rPr>
              <w:t>$233,280</w:t>
            </w:r>
          </w:p>
        </w:tc>
        <w:tc>
          <w:tcPr>
            <w:tcW w:w="654" w:type="pct"/>
          </w:tcPr>
          <w:p w14:paraId="56C584D8" w14:textId="77777777" w:rsidR="006276E4" w:rsidRPr="004B6B3E" w:rsidRDefault="006276E4" w:rsidP="00E36D42">
            <w:pPr>
              <w:jc w:val="right"/>
              <w:rPr>
                <w:rFonts w:eastAsia="Calibri"/>
                <w:sz w:val="20"/>
                <w:szCs w:val="20"/>
              </w:rPr>
            </w:pPr>
            <w:r w:rsidRPr="004B6B3E">
              <w:rPr>
                <w:rFonts w:eastAsia="Calibri"/>
                <w:sz w:val="20"/>
                <w:szCs w:val="20"/>
              </w:rPr>
              <w:t>$810</w:t>
            </w:r>
          </w:p>
        </w:tc>
      </w:tr>
      <w:tr w:rsidR="006276E4" w:rsidRPr="004B6B3E" w14:paraId="18596397" w14:textId="77777777" w:rsidTr="006276E4">
        <w:trPr>
          <w:cantSplit/>
        </w:trPr>
        <w:tc>
          <w:tcPr>
            <w:tcW w:w="842" w:type="pct"/>
          </w:tcPr>
          <w:p w14:paraId="1F75CED9" w14:textId="77777777" w:rsidR="006276E4" w:rsidRPr="004B6B3E" w:rsidRDefault="006276E4" w:rsidP="00E36D42">
            <w:pPr>
              <w:rPr>
                <w:rFonts w:eastAsia="Calibri"/>
                <w:sz w:val="20"/>
                <w:szCs w:val="20"/>
              </w:rPr>
            </w:pPr>
            <w:r w:rsidRPr="004B6B3E">
              <w:rPr>
                <w:rFonts w:eastAsia="Calibri"/>
                <w:sz w:val="20"/>
                <w:szCs w:val="20"/>
              </w:rPr>
              <w:t>Incident reporting burden (ongoing)</w:t>
            </w:r>
          </w:p>
          <w:p w14:paraId="058D28D6" w14:textId="77777777" w:rsidR="006276E4" w:rsidRPr="004B6B3E" w:rsidRDefault="006276E4" w:rsidP="00E36D42">
            <w:pPr>
              <w:rPr>
                <w:rFonts w:eastAsia="Calibri"/>
                <w:sz w:val="20"/>
                <w:szCs w:val="20"/>
              </w:rPr>
            </w:pPr>
            <w:r w:rsidRPr="004B6B3E">
              <w:rPr>
                <w:rFonts w:eastAsia="Calibri"/>
                <w:sz w:val="20"/>
                <w:szCs w:val="20"/>
              </w:rPr>
              <w:t xml:space="preserve">(CIP-008-6 R4) </w:t>
            </w:r>
          </w:p>
        </w:tc>
        <w:tc>
          <w:tcPr>
            <w:tcW w:w="718" w:type="pct"/>
          </w:tcPr>
          <w:p w14:paraId="13645098" w14:textId="77777777" w:rsidR="006276E4" w:rsidRPr="004B6B3E" w:rsidRDefault="006276E4" w:rsidP="00E36D42">
            <w:pPr>
              <w:jc w:val="right"/>
              <w:rPr>
                <w:rFonts w:eastAsia="Calibri"/>
                <w:sz w:val="20"/>
                <w:szCs w:val="20"/>
              </w:rPr>
            </w:pPr>
            <w:r w:rsidRPr="004B6B3E">
              <w:rPr>
                <w:rFonts w:eastAsia="Calibri"/>
                <w:sz w:val="20"/>
                <w:szCs w:val="20"/>
              </w:rPr>
              <w:t>288</w:t>
            </w:r>
          </w:p>
        </w:tc>
        <w:tc>
          <w:tcPr>
            <w:tcW w:w="719" w:type="pct"/>
          </w:tcPr>
          <w:p w14:paraId="0A748933" w14:textId="77777777" w:rsidR="006276E4" w:rsidRPr="004B6B3E" w:rsidRDefault="006276E4" w:rsidP="00E36D42">
            <w:pPr>
              <w:jc w:val="right"/>
              <w:rPr>
                <w:rFonts w:eastAsia="Calibri"/>
                <w:sz w:val="20"/>
                <w:szCs w:val="20"/>
              </w:rPr>
            </w:pPr>
            <w:r w:rsidRPr="004B6B3E">
              <w:rPr>
                <w:rFonts w:eastAsia="Calibri"/>
                <w:sz w:val="20"/>
                <w:szCs w:val="20"/>
              </w:rPr>
              <w:t>12</w:t>
            </w:r>
          </w:p>
        </w:tc>
        <w:tc>
          <w:tcPr>
            <w:tcW w:w="718" w:type="pct"/>
          </w:tcPr>
          <w:p w14:paraId="33C022EC" w14:textId="77777777" w:rsidR="006276E4" w:rsidRPr="004B6B3E" w:rsidRDefault="006276E4" w:rsidP="00E36D42">
            <w:pPr>
              <w:jc w:val="right"/>
              <w:rPr>
                <w:rFonts w:eastAsia="Calibri"/>
                <w:sz w:val="20"/>
                <w:szCs w:val="20"/>
              </w:rPr>
            </w:pPr>
            <w:r w:rsidRPr="004B6B3E">
              <w:rPr>
                <w:rFonts w:eastAsia="Calibri"/>
                <w:sz w:val="20"/>
                <w:szCs w:val="20"/>
              </w:rPr>
              <w:t>3456</w:t>
            </w:r>
          </w:p>
        </w:tc>
        <w:tc>
          <w:tcPr>
            <w:tcW w:w="629" w:type="pct"/>
          </w:tcPr>
          <w:p w14:paraId="6D0896D1" w14:textId="77777777" w:rsidR="006276E4" w:rsidRPr="004B6B3E" w:rsidRDefault="006276E4" w:rsidP="00E36D42">
            <w:pPr>
              <w:jc w:val="right"/>
              <w:rPr>
                <w:rFonts w:eastAsia="Calibri"/>
                <w:sz w:val="20"/>
                <w:szCs w:val="20"/>
              </w:rPr>
            </w:pPr>
            <w:r w:rsidRPr="004B6B3E">
              <w:rPr>
                <w:rFonts w:eastAsia="Calibri"/>
                <w:sz w:val="20"/>
                <w:szCs w:val="20"/>
              </w:rPr>
              <w:t>12 hrs.;</w:t>
            </w:r>
          </w:p>
          <w:p w14:paraId="7D8EBD05" w14:textId="77777777" w:rsidR="006276E4" w:rsidRPr="004B6B3E" w:rsidRDefault="006276E4" w:rsidP="00E36D42">
            <w:pPr>
              <w:jc w:val="right"/>
              <w:rPr>
                <w:rFonts w:eastAsia="Calibri"/>
                <w:sz w:val="20"/>
                <w:szCs w:val="20"/>
              </w:rPr>
            </w:pPr>
            <w:r w:rsidRPr="004B6B3E">
              <w:rPr>
                <w:rFonts w:eastAsia="Calibri"/>
                <w:sz w:val="20"/>
                <w:szCs w:val="20"/>
              </w:rPr>
              <w:t>$972</w:t>
            </w:r>
          </w:p>
        </w:tc>
        <w:tc>
          <w:tcPr>
            <w:tcW w:w="720" w:type="pct"/>
          </w:tcPr>
          <w:p w14:paraId="67F654A3" w14:textId="77777777" w:rsidR="006276E4" w:rsidRPr="004B6B3E" w:rsidRDefault="006276E4" w:rsidP="00E36D42">
            <w:pPr>
              <w:jc w:val="right"/>
              <w:rPr>
                <w:rFonts w:eastAsia="Calibri"/>
                <w:sz w:val="20"/>
                <w:szCs w:val="20"/>
              </w:rPr>
            </w:pPr>
            <w:r w:rsidRPr="004B6B3E">
              <w:rPr>
                <w:rFonts w:eastAsia="Calibri"/>
                <w:sz w:val="20"/>
                <w:szCs w:val="20"/>
              </w:rPr>
              <w:t>3456 hrs.;</w:t>
            </w:r>
          </w:p>
          <w:p w14:paraId="7019D9BD" w14:textId="77777777" w:rsidR="006276E4" w:rsidRPr="004B6B3E" w:rsidRDefault="006276E4" w:rsidP="00E36D42">
            <w:pPr>
              <w:jc w:val="right"/>
              <w:rPr>
                <w:rFonts w:eastAsia="Calibri"/>
                <w:sz w:val="20"/>
                <w:szCs w:val="20"/>
              </w:rPr>
            </w:pPr>
            <w:r w:rsidRPr="004B6B3E">
              <w:rPr>
                <w:rFonts w:eastAsia="Calibri"/>
                <w:sz w:val="20"/>
                <w:szCs w:val="20"/>
              </w:rPr>
              <w:t>$279,936</w:t>
            </w:r>
          </w:p>
        </w:tc>
        <w:tc>
          <w:tcPr>
            <w:tcW w:w="654" w:type="pct"/>
          </w:tcPr>
          <w:p w14:paraId="2AC31069" w14:textId="77777777" w:rsidR="006276E4" w:rsidRPr="004B6B3E" w:rsidRDefault="006276E4" w:rsidP="00E36D42">
            <w:pPr>
              <w:jc w:val="right"/>
              <w:rPr>
                <w:rFonts w:eastAsia="Calibri"/>
                <w:sz w:val="20"/>
                <w:szCs w:val="20"/>
              </w:rPr>
            </w:pPr>
            <w:r w:rsidRPr="004B6B3E">
              <w:rPr>
                <w:rFonts w:eastAsia="Calibri"/>
                <w:sz w:val="20"/>
                <w:szCs w:val="20"/>
              </w:rPr>
              <w:t>$972</w:t>
            </w:r>
          </w:p>
        </w:tc>
      </w:tr>
      <w:tr w:rsidR="006276E4" w:rsidRPr="004B6B3E" w14:paraId="1CC246AD" w14:textId="77777777" w:rsidTr="006276E4">
        <w:trPr>
          <w:cantSplit/>
          <w:trHeight w:val="485"/>
        </w:trPr>
        <w:tc>
          <w:tcPr>
            <w:tcW w:w="842" w:type="pct"/>
          </w:tcPr>
          <w:p w14:paraId="384E4A5C" w14:textId="77777777" w:rsidR="006276E4" w:rsidRPr="004B6B3E" w:rsidRDefault="006276E4" w:rsidP="00E36D42">
            <w:pPr>
              <w:rPr>
                <w:rFonts w:eastAsia="Calibri"/>
                <w:b/>
                <w:sz w:val="20"/>
                <w:szCs w:val="20"/>
              </w:rPr>
            </w:pPr>
            <w:r w:rsidRPr="004B6B3E">
              <w:rPr>
                <w:rFonts w:eastAsia="Calibri"/>
                <w:b/>
                <w:sz w:val="20"/>
                <w:szCs w:val="20"/>
              </w:rPr>
              <w:t xml:space="preserve">TOTAL (one-time) </w:t>
            </w:r>
          </w:p>
        </w:tc>
        <w:tc>
          <w:tcPr>
            <w:tcW w:w="1437" w:type="pct"/>
            <w:gridSpan w:val="2"/>
            <w:shd w:val="clear" w:color="auto" w:fill="D9D9D9"/>
          </w:tcPr>
          <w:p w14:paraId="2E876F3C" w14:textId="77777777" w:rsidR="006276E4" w:rsidRPr="004B6B3E" w:rsidRDefault="006276E4" w:rsidP="00E36D42">
            <w:pPr>
              <w:jc w:val="right"/>
              <w:rPr>
                <w:rFonts w:eastAsia="Calibri"/>
                <w:sz w:val="20"/>
                <w:szCs w:val="20"/>
              </w:rPr>
            </w:pPr>
          </w:p>
        </w:tc>
        <w:tc>
          <w:tcPr>
            <w:tcW w:w="718" w:type="pct"/>
            <w:shd w:val="clear" w:color="auto" w:fill="auto"/>
          </w:tcPr>
          <w:p w14:paraId="1CC31309" w14:textId="77777777" w:rsidR="006276E4" w:rsidRPr="004B6B3E" w:rsidRDefault="006276E4" w:rsidP="00E36D42">
            <w:pPr>
              <w:jc w:val="right"/>
              <w:rPr>
                <w:rFonts w:eastAsia="Calibri"/>
                <w:b/>
                <w:sz w:val="20"/>
                <w:szCs w:val="20"/>
              </w:rPr>
            </w:pPr>
            <w:r w:rsidRPr="004B6B3E">
              <w:rPr>
                <w:rFonts w:eastAsia="Calibri"/>
                <w:b/>
                <w:sz w:val="20"/>
                <w:szCs w:val="20"/>
              </w:rPr>
              <w:t>288</w:t>
            </w:r>
          </w:p>
        </w:tc>
        <w:tc>
          <w:tcPr>
            <w:tcW w:w="629" w:type="pct"/>
            <w:shd w:val="clear" w:color="auto" w:fill="D9D9D9"/>
          </w:tcPr>
          <w:p w14:paraId="02BE09A1" w14:textId="77777777" w:rsidR="006276E4" w:rsidRPr="004B6B3E" w:rsidRDefault="006276E4" w:rsidP="00E36D42">
            <w:pPr>
              <w:jc w:val="right"/>
              <w:rPr>
                <w:rFonts w:eastAsia="Calibri"/>
                <w:sz w:val="20"/>
                <w:szCs w:val="20"/>
              </w:rPr>
            </w:pPr>
          </w:p>
        </w:tc>
        <w:tc>
          <w:tcPr>
            <w:tcW w:w="720" w:type="pct"/>
          </w:tcPr>
          <w:p w14:paraId="4F84124B" w14:textId="77777777" w:rsidR="006276E4" w:rsidRPr="004B6B3E" w:rsidRDefault="006276E4" w:rsidP="00E36D42">
            <w:pPr>
              <w:jc w:val="right"/>
              <w:rPr>
                <w:rFonts w:eastAsia="Calibri"/>
                <w:b/>
                <w:sz w:val="20"/>
                <w:szCs w:val="20"/>
              </w:rPr>
            </w:pPr>
            <w:r w:rsidRPr="004B6B3E">
              <w:rPr>
                <w:rFonts w:eastAsia="Calibri"/>
                <w:b/>
                <w:sz w:val="20"/>
                <w:szCs w:val="20"/>
              </w:rPr>
              <w:t>14,400 hrs.;</w:t>
            </w:r>
          </w:p>
          <w:p w14:paraId="18BEB8EB" w14:textId="77777777" w:rsidR="006276E4" w:rsidRPr="004B6B3E" w:rsidRDefault="006276E4" w:rsidP="00E36D42">
            <w:pPr>
              <w:jc w:val="right"/>
              <w:rPr>
                <w:rFonts w:eastAsia="Calibri"/>
                <w:b/>
                <w:sz w:val="20"/>
                <w:szCs w:val="20"/>
              </w:rPr>
            </w:pPr>
            <w:r w:rsidRPr="004B6B3E">
              <w:rPr>
                <w:rFonts w:eastAsia="Calibri"/>
                <w:b/>
                <w:sz w:val="20"/>
                <w:szCs w:val="20"/>
              </w:rPr>
              <w:t>$1,166,400</w:t>
            </w:r>
          </w:p>
        </w:tc>
        <w:tc>
          <w:tcPr>
            <w:tcW w:w="654" w:type="pct"/>
            <w:shd w:val="clear" w:color="auto" w:fill="D9D9D9" w:themeFill="background1" w:themeFillShade="D9"/>
          </w:tcPr>
          <w:p w14:paraId="67C8C88A" w14:textId="77777777" w:rsidR="006276E4" w:rsidRPr="004B6B3E" w:rsidRDefault="006276E4" w:rsidP="00E36D42">
            <w:pPr>
              <w:jc w:val="right"/>
              <w:rPr>
                <w:rFonts w:eastAsia="Calibri"/>
                <w:b/>
                <w:sz w:val="20"/>
                <w:szCs w:val="20"/>
              </w:rPr>
            </w:pPr>
          </w:p>
        </w:tc>
      </w:tr>
      <w:tr w:rsidR="006276E4" w:rsidRPr="004B6B3E" w14:paraId="0DCADC23" w14:textId="77777777" w:rsidTr="006276E4">
        <w:trPr>
          <w:cantSplit/>
          <w:trHeight w:val="485"/>
        </w:trPr>
        <w:tc>
          <w:tcPr>
            <w:tcW w:w="842" w:type="pct"/>
            <w:tcBorders>
              <w:bottom w:val="single" w:sz="4" w:space="0" w:color="auto"/>
            </w:tcBorders>
          </w:tcPr>
          <w:p w14:paraId="641E2DF1" w14:textId="77777777" w:rsidR="006276E4" w:rsidRPr="004B6B3E" w:rsidRDefault="006276E4" w:rsidP="00E36D42">
            <w:pPr>
              <w:rPr>
                <w:rFonts w:eastAsia="Calibri"/>
                <w:b/>
                <w:sz w:val="20"/>
                <w:szCs w:val="20"/>
              </w:rPr>
            </w:pPr>
            <w:r w:rsidRPr="004B6B3E">
              <w:rPr>
                <w:rFonts w:eastAsia="Calibri"/>
                <w:b/>
                <w:sz w:val="20"/>
                <w:szCs w:val="20"/>
              </w:rPr>
              <w:t xml:space="preserve">TOTAL (ongoing) </w:t>
            </w:r>
          </w:p>
        </w:tc>
        <w:tc>
          <w:tcPr>
            <w:tcW w:w="1437" w:type="pct"/>
            <w:gridSpan w:val="2"/>
            <w:tcBorders>
              <w:bottom w:val="single" w:sz="4" w:space="0" w:color="auto"/>
            </w:tcBorders>
            <w:shd w:val="clear" w:color="auto" w:fill="D9D9D9" w:themeFill="background1" w:themeFillShade="D9"/>
          </w:tcPr>
          <w:p w14:paraId="74D5613F" w14:textId="77777777" w:rsidR="006276E4" w:rsidRPr="004B6B3E" w:rsidRDefault="006276E4" w:rsidP="00E36D42">
            <w:pPr>
              <w:jc w:val="right"/>
              <w:rPr>
                <w:rFonts w:eastAsia="Calibri"/>
                <w:sz w:val="20"/>
                <w:szCs w:val="20"/>
              </w:rPr>
            </w:pPr>
          </w:p>
        </w:tc>
        <w:tc>
          <w:tcPr>
            <w:tcW w:w="718" w:type="pct"/>
            <w:tcBorders>
              <w:bottom w:val="single" w:sz="4" w:space="0" w:color="auto"/>
            </w:tcBorders>
            <w:shd w:val="clear" w:color="auto" w:fill="auto"/>
          </w:tcPr>
          <w:p w14:paraId="3900A0E7" w14:textId="77777777" w:rsidR="006276E4" w:rsidRPr="004B6B3E" w:rsidRDefault="006276E4" w:rsidP="00E36D42">
            <w:pPr>
              <w:jc w:val="right"/>
              <w:rPr>
                <w:rFonts w:eastAsia="Calibri"/>
                <w:b/>
                <w:sz w:val="20"/>
                <w:szCs w:val="20"/>
              </w:rPr>
            </w:pPr>
            <w:r w:rsidRPr="004B6B3E">
              <w:rPr>
                <w:rFonts w:eastAsia="Calibri"/>
                <w:b/>
                <w:sz w:val="20"/>
                <w:szCs w:val="20"/>
              </w:rPr>
              <w:t>4032</w:t>
            </w:r>
          </w:p>
        </w:tc>
        <w:tc>
          <w:tcPr>
            <w:tcW w:w="629" w:type="pct"/>
            <w:tcBorders>
              <w:bottom w:val="single" w:sz="4" w:space="0" w:color="auto"/>
            </w:tcBorders>
            <w:shd w:val="clear" w:color="auto" w:fill="D9D9D9"/>
          </w:tcPr>
          <w:p w14:paraId="682990DD" w14:textId="77777777" w:rsidR="006276E4" w:rsidRPr="004B6B3E" w:rsidRDefault="006276E4" w:rsidP="00E36D42">
            <w:pPr>
              <w:jc w:val="right"/>
              <w:rPr>
                <w:rFonts w:eastAsia="Calibri"/>
                <w:sz w:val="20"/>
                <w:szCs w:val="20"/>
              </w:rPr>
            </w:pPr>
          </w:p>
        </w:tc>
        <w:tc>
          <w:tcPr>
            <w:tcW w:w="720" w:type="pct"/>
            <w:tcBorders>
              <w:bottom w:val="single" w:sz="4" w:space="0" w:color="auto"/>
            </w:tcBorders>
          </w:tcPr>
          <w:p w14:paraId="1DA74B0C" w14:textId="77777777" w:rsidR="006276E4" w:rsidRPr="004B6B3E" w:rsidRDefault="006276E4" w:rsidP="00E36D42">
            <w:pPr>
              <w:jc w:val="right"/>
              <w:rPr>
                <w:rFonts w:eastAsia="Calibri"/>
                <w:b/>
                <w:sz w:val="20"/>
                <w:szCs w:val="20"/>
              </w:rPr>
            </w:pPr>
            <w:r w:rsidRPr="004B6B3E">
              <w:rPr>
                <w:rFonts w:eastAsia="Calibri"/>
                <w:b/>
                <w:sz w:val="20"/>
                <w:szCs w:val="20"/>
              </w:rPr>
              <w:t>9,216 hrs.;</w:t>
            </w:r>
          </w:p>
          <w:p w14:paraId="35F6E041" w14:textId="77777777" w:rsidR="006276E4" w:rsidRPr="004B6B3E" w:rsidRDefault="006276E4" w:rsidP="00E36D42">
            <w:pPr>
              <w:jc w:val="right"/>
              <w:rPr>
                <w:rFonts w:eastAsia="Calibri"/>
                <w:b/>
                <w:sz w:val="20"/>
                <w:szCs w:val="20"/>
              </w:rPr>
            </w:pPr>
            <w:r w:rsidRPr="004B6B3E">
              <w:rPr>
                <w:rFonts w:eastAsia="Calibri"/>
                <w:b/>
                <w:sz w:val="20"/>
                <w:szCs w:val="20"/>
              </w:rPr>
              <w:t>$746,496</w:t>
            </w:r>
          </w:p>
        </w:tc>
        <w:tc>
          <w:tcPr>
            <w:tcW w:w="654" w:type="pct"/>
            <w:tcBorders>
              <w:bottom w:val="single" w:sz="4" w:space="0" w:color="auto"/>
            </w:tcBorders>
            <w:shd w:val="clear" w:color="auto" w:fill="D9D9D9" w:themeFill="background1" w:themeFillShade="D9"/>
          </w:tcPr>
          <w:p w14:paraId="5B05EFBC" w14:textId="77777777" w:rsidR="006276E4" w:rsidRPr="004B6B3E" w:rsidRDefault="006276E4" w:rsidP="00E36D42">
            <w:pPr>
              <w:jc w:val="right"/>
              <w:rPr>
                <w:rFonts w:eastAsia="Calibri"/>
                <w:b/>
                <w:sz w:val="20"/>
                <w:szCs w:val="20"/>
              </w:rPr>
            </w:pPr>
          </w:p>
        </w:tc>
      </w:tr>
    </w:tbl>
    <w:p w14:paraId="3A6BE037" w14:textId="77777777" w:rsidR="006276E4" w:rsidRPr="004B6B3E" w:rsidRDefault="006276E4" w:rsidP="006276E4">
      <w:pPr>
        <w:rPr>
          <w:rFonts w:eastAsia="Times New Roman"/>
          <w:szCs w:val="24"/>
        </w:rPr>
      </w:pPr>
    </w:p>
    <w:p w14:paraId="46F9F378" w14:textId="77777777" w:rsidR="00836B98" w:rsidRDefault="00836B98" w:rsidP="006276E4">
      <w:pPr>
        <w:rPr>
          <w:rFonts w:eastAsia="Times New Roman"/>
          <w:szCs w:val="26"/>
          <w:u w:val="single"/>
        </w:rPr>
      </w:pPr>
    </w:p>
    <w:p w14:paraId="7492CFA4" w14:textId="77777777" w:rsidR="00836B98" w:rsidRDefault="00836B98" w:rsidP="006276E4">
      <w:pPr>
        <w:rPr>
          <w:rFonts w:eastAsia="Times New Roman"/>
          <w:szCs w:val="26"/>
          <w:u w:val="single"/>
        </w:rPr>
      </w:pPr>
    </w:p>
    <w:p w14:paraId="57856BFB" w14:textId="0C97EE71" w:rsidR="006276E4" w:rsidRPr="00B21211" w:rsidRDefault="006276E4" w:rsidP="006276E4">
      <w:pPr>
        <w:rPr>
          <w:rFonts w:eastAsia="Times New Roman"/>
          <w:szCs w:val="26"/>
        </w:rPr>
      </w:pPr>
      <w:r w:rsidRPr="00B21211">
        <w:rPr>
          <w:rFonts w:eastAsia="Times New Roman"/>
          <w:szCs w:val="26"/>
          <w:u w:val="single"/>
        </w:rPr>
        <w:t>Title</w:t>
      </w:r>
      <w:r w:rsidRPr="00B21211">
        <w:rPr>
          <w:rFonts w:eastAsia="Times New Roman"/>
          <w:szCs w:val="26"/>
        </w:rPr>
        <w:t>:  FERC-725</w:t>
      </w:r>
      <w:r w:rsidRPr="001907B4">
        <w:rPr>
          <w:rFonts w:eastAsia="Times New Roman"/>
          <w:szCs w:val="26"/>
        </w:rPr>
        <w:t>B</w:t>
      </w:r>
      <w:r w:rsidRPr="00B21211">
        <w:rPr>
          <w:rFonts w:eastAsia="Times New Roman"/>
          <w:szCs w:val="26"/>
        </w:rPr>
        <w:t xml:space="preserve">, Mandatory Reliability Standards for </w:t>
      </w:r>
      <w:r w:rsidRPr="001907B4">
        <w:rPr>
          <w:rFonts w:eastAsia="Times New Roman"/>
          <w:szCs w:val="26"/>
        </w:rPr>
        <w:t>Critical Infrastructure Protection (CIP) Reliability Standards</w:t>
      </w:r>
      <w:r w:rsidR="00175341">
        <w:rPr>
          <w:rFonts w:eastAsia="Times New Roman"/>
          <w:szCs w:val="26"/>
        </w:rPr>
        <w:t>.</w:t>
      </w:r>
    </w:p>
    <w:p w14:paraId="348C5965" w14:textId="77777777" w:rsidR="006276E4" w:rsidRPr="00B21211" w:rsidRDefault="006276E4" w:rsidP="006276E4">
      <w:pPr>
        <w:rPr>
          <w:rFonts w:eastAsia="Times New Roman"/>
          <w:szCs w:val="26"/>
        </w:rPr>
      </w:pPr>
    </w:p>
    <w:p w14:paraId="074E5009" w14:textId="77777777" w:rsidR="006276E4" w:rsidRPr="00B21211" w:rsidRDefault="006276E4" w:rsidP="006276E4">
      <w:pPr>
        <w:rPr>
          <w:rFonts w:eastAsia="Times New Roman"/>
          <w:szCs w:val="26"/>
        </w:rPr>
      </w:pPr>
      <w:r w:rsidRPr="00B21211">
        <w:rPr>
          <w:rFonts w:eastAsia="Times New Roman"/>
          <w:szCs w:val="26"/>
          <w:u w:val="single"/>
        </w:rPr>
        <w:t>Action</w:t>
      </w:r>
      <w:r w:rsidRPr="00B21211">
        <w:rPr>
          <w:rFonts w:eastAsia="Times New Roman"/>
          <w:szCs w:val="26"/>
        </w:rPr>
        <w:t>:</w:t>
      </w:r>
      <w:r w:rsidRPr="00B21211">
        <w:rPr>
          <w:rFonts w:eastAsia="Times New Roman"/>
          <w:i/>
          <w:szCs w:val="26"/>
        </w:rPr>
        <w:t xml:space="preserve"> </w:t>
      </w:r>
      <w:r w:rsidRPr="00B21211">
        <w:rPr>
          <w:rFonts w:eastAsia="Times New Roman"/>
          <w:szCs w:val="26"/>
        </w:rPr>
        <w:t xml:space="preserve"> Proposed </w:t>
      </w:r>
      <w:r w:rsidRPr="001907B4">
        <w:rPr>
          <w:rFonts w:eastAsia="Times New Roman"/>
          <w:szCs w:val="26"/>
        </w:rPr>
        <w:t>revision t</w:t>
      </w:r>
      <w:r>
        <w:rPr>
          <w:rFonts w:eastAsia="Times New Roman"/>
          <w:szCs w:val="26"/>
        </w:rPr>
        <w:t>o</w:t>
      </w:r>
      <w:r w:rsidRPr="001907B4">
        <w:rPr>
          <w:rFonts w:eastAsia="Times New Roman"/>
          <w:szCs w:val="26"/>
        </w:rPr>
        <w:t xml:space="preserve"> FERC-725B information collection.</w:t>
      </w:r>
    </w:p>
    <w:p w14:paraId="626122AA" w14:textId="77777777" w:rsidR="006276E4" w:rsidRDefault="006276E4" w:rsidP="006276E4">
      <w:pPr>
        <w:rPr>
          <w:rFonts w:eastAsia="Times New Roman"/>
          <w:szCs w:val="26"/>
          <w:u w:val="single"/>
        </w:rPr>
      </w:pPr>
    </w:p>
    <w:p w14:paraId="437BB2D8" w14:textId="275B39D7" w:rsidR="006276E4" w:rsidRPr="00B21211" w:rsidRDefault="006276E4" w:rsidP="006276E4">
      <w:pPr>
        <w:rPr>
          <w:rFonts w:eastAsia="Times New Roman"/>
          <w:szCs w:val="26"/>
        </w:rPr>
      </w:pPr>
      <w:r w:rsidRPr="00B21211">
        <w:rPr>
          <w:rFonts w:eastAsia="Times New Roman"/>
          <w:szCs w:val="26"/>
          <w:u w:val="single"/>
        </w:rPr>
        <w:t>OMB Control No</w:t>
      </w:r>
      <w:r w:rsidRPr="00B21211">
        <w:rPr>
          <w:rFonts w:eastAsia="Times New Roman"/>
          <w:szCs w:val="26"/>
        </w:rPr>
        <w:t>:  1902-024</w:t>
      </w:r>
      <w:r w:rsidRPr="001907B4">
        <w:rPr>
          <w:rFonts w:eastAsia="Times New Roman"/>
          <w:szCs w:val="26"/>
        </w:rPr>
        <w:t>8</w:t>
      </w:r>
      <w:r w:rsidR="00064D42">
        <w:rPr>
          <w:rFonts w:eastAsia="Times New Roman"/>
          <w:szCs w:val="26"/>
        </w:rPr>
        <w:t>.</w:t>
      </w:r>
    </w:p>
    <w:p w14:paraId="7B88CF33" w14:textId="77777777" w:rsidR="006276E4" w:rsidRPr="00B21211" w:rsidRDefault="006276E4" w:rsidP="006276E4">
      <w:pPr>
        <w:rPr>
          <w:rFonts w:eastAsia="Times New Roman"/>
          <w:szCs w:val="26"/>
          <w:u w:val="single"/>
        </w:rPr>
      </w:pPr>
    </w:p>
    <w:p w14:paraId="4A81C359" w14:textId="77777777" w:rsidR="006276E4" w:rsidRPr="00B21211" w:rsidRDefault="006276E4" w:rsidP="006276E4">
      <w:pPr>
        <w:rPr>
          <w:rFonts w:eastAsia="Times New Roman"/>
          <w:szCs w:val="26"/>
        </w:rPr>
      </w:pPr>
      <w:r w:rsidRPr="00B21211">
        <w:rPr>
          <w:rFonts w:eastAsia="Times New Roman"/>
          <w:szCs w:val="26"/>
          <w:u w:val="single"/>
        </w:rPr>
        <w:t>Respondents</w:t>
      </w:r>
      <w:r w:rsidRPr="00B21211">
        <w:rPr>
          <w:rFonts w:eastAsia="Times New Roman"/>
          <w:szCs w:val="26"/>
        </w:rPr>
        <w:t>:</w:t>
      </w:r>
      <w:r w:rsidRPr="00B21211">
        <w:rPr>
          <w:rFonts w:eastAsia="Times New Roman"/>
          <w:i/>
          <w:szCs w:val="26"/>
        </w:rPr>
        <w:t xml:space="preserve">  </w:t>
      </w:r>
      <w:r w:rsidRPr="001907B4">
        <w:rPr>
          <w:rFonts w:eastAsia="Times New Roman"/>
          <w:szCs w:val="26"/>
        </w:rPr>
        <w:t>Responsible Entities</w:t>
      </w:r>
      <w:r w:rsidRPr="00B21211">
        <w:rPr>
          <w:rFonts w:eastAsia="Times New Roman"/>
          <w:szCs w:val="26"/>
        </w:rPr>
        <w:t>.</w:t>
      </w:r>
    </w:p>
    <w:p w14:paraId="6F3015DB" w14:textId="77777777" w:rsidR="006276E4" w:rsidRPr="00B21211" w:rsidRDefault="006276E4" w:rsidP="006276E4">
      <w:pPr>
        <w:rPr>
          <w:rFonts w:eastAsia="Times New Roman"/>
          <w:szCs w:val="26"/>
          <w:u w:val="single"/>
        </w:rPr>
      </w:pPr>
    </w:p>
    <w:p w14:paraId="22C35B4F" w14:textId="77777777" w:rsidR="006276E4" w:rsidRPr="00B21211" w:rsidRDefault="006276E4" w:rsidP="006276E4">
      <w:pPr>
        <w:rPr>
          <w:rFonts w:eastAsia="Times New Roman"/>
          <w:szCs w:val="26"/>
        </w:rPr>
      </w:pPr>
      <w:r w:rsidRPr="00B21211">
        <w:rPr>
          <w:rFonts w:eastAsia="Times New Roman"/>
          <w:szCs w:val="26"/>
          <w:u w:val="single"/>
        </w:rPr>
        <w:t>Frequency of Responses</w:t>
      </w:r>
      <w:r w:rsidRPr="00B21211">
        <w:rPr>
          <w:rFonts w:eastAsia="Times New Roman"/>
          <w:szCs w:val="26"/>
        </w:rPr>
        <w:t xml:space="preserve">:  On occasion. </w:t>
      </w:r>
    </w:p>
    <w:p w14:paraId="3B92BD24" w14:textId="77777777" w:rsidR="006276E4" w:rsidRPr="00B21211" w:rsidRDefault="006276E4" w:rsidP="006276E4">
      <w:pPr>
        <w:rPr>
          <w:rFonts w:eastAsia="Times New Roman"/>
          <w:szCs w:val="26"/>
          <w:u w:val="single"/>
        </w:rPr>
      </w:pPr>
    </w:p>
    <w:p w14:paraId="076EE6F2" w14:textId="28884F3E" w:rsidR="006276E4" w:rsidRPr="00D82763" w:rsidRDefault="006276E4" w:rsidP="00D82763">
      <w:pPr>
        <w:pStyle w:val="FERCparanumber"/>
      </w:pPr>
      <w:r w:rsidRPr="00D82763">
        <w:rPr>
          <w:u w:val="single"/>
        </w:rPr>
        <w:t>Necessity of the Information</w:t>
      </w:r>
      <w:r w:rsidRPr="00D82763">
        <w:t xml:space="preserve">:  This </w:t>
      </w:r>
      <w:r w:rsidR="00751BC3">
        <w:t>o</w:t>
      </w:r>
      <w:r w:rsidRPr="00D82763">
        <w:t xml:space="preserve">rder approves the requested modifications to Reliability Standards pertaining to critical infrastructure protection.  As discussed above, the Commission approves Reliability Standard CIP-008-6 pursuant to section 215(d)(2) of the FPA because it improves upon the currently-effective suite of CIP Reliability Standards.  </w:t>
      </w:r>
    </w:p>
    <w:p w14:paraId="3D9CE682" w14:textId="496B8617" w:rsidR="00D82763" w:rsidRDefault="006276E4" w:rsidP="00D82763">
      <w:pPr>
        <w:pStyle w:val="FERCparanumber"/>
      </w:pPr>
      <w:r w:rsidRPr="00C37C20">
        <w:t xml:space="preserve">Interested persons may obtain information on the reporting requirements by contacting the following:  Federal Energy Regulatory Commission, 888 First Street, NE, Washington, DC 20426 [Attention:  Ellen Brown, Office of the Executive Director], </w:t>
      </w:r>
      <w:r w:rsidR="00D51479">
        <w:br/>
      </w:r>
      <w:r w:rsidRPr="00C37C20">
        <w:t xml:space="preserve">e-mail:  DataClearance@ferc.gov, Phone:  (202) 502-8663, fax:  (202) 273-0873.  </w:t>
      </w:r>
    </w:p>
    <w:p w14:paraId="606D5AD9" w14:textId="7C639407" w:rsidR="00D82763" w:rsidRDefault="006276E4" w:rsidP="00F2776C">
      <w:pPr>
        <w:pStyle w:val="FERCparanumber"/>
        <w:spacing w:after="240"/>
      </w:pPr>
      <w:r w:rsidRPr="00C37C20">
        <w:t xml:space="preserve">Comments </w:t>
      </w:r>
      <w:r w:rsidR="00D82763">
        <w:t xml:space="preserve">(identified by Docket No. RD19-3-000) </w:t>
      </w:r>
      <w:r w:rsidRPr="00C37C20">
        <w:t xml:space="preserve">concerning the collection of information and the associated burden estimate(s) may also be sent </w:t>
      </w:r>
      <w:r w:rsidR="00D82763" w:rsidRPr="00D82763">
        <w:t xml:space="preserve">by either of the following methods: eFiling at Commission’s Web Site: </w:t>
      </w:r>
      <w:r w:rsidR="00175341">
        <w:t xml:space="preserve"> </w:t>
      </w:r>
      <w:r w:rsidR="00D82763" w:rsidRPr="00D82763">
        <w:rPr>
          <w:u w:val="single"/>
        </w:rPr>
        <w:t>http://www.ferc.gov/docs-filing/efiling.asp</w:t>
      </w:r>
      <w:r w:rsidR="00D82763" w:rsidRPr="00D82763">
        <w:t xml:space="preserve"> or Mail/Hand Delivery/Courier: </w:t>
      </w:r>
      <w:r w:rsidR="00175341">
        <w:t xml:space="preserve"> </w:t>
      </w:r>
      <w:r w:rsidR="00D82763" w:rsidRPr="00D82763">
        <w:t xml:space="preserve">Federal Energy Regulatory Commission, Secretary of the Commission, 888 First Street, NE, Washington, DC 20426. </w:t>
      </w:r>
      <w:r w:rsidR="00D51479">
        <w:t xml:space="preserve"> </w:t>
      </w:r>
      <w:r w:rsidR="00D82763" w:rsidRPr="00C37C20">
        <w:t>Please refer to FERC-725B, OMB Control No. 1902-0248 in your submission.</w:t>
      </w:r>
    </w:p>
    <w:p w14:paraId="3CF0816F" w14:textId="7C26151F" w:rsidR="00D82763" w:rsidRPr="00D82763" w:rsidRDefault="00D82763" w:rsidP="00D82763">
      <w:pPr>
        <w:pStyle w:val="FERCparanumber"/>
      </w:pPr>
      <w:r w:rsidRPr="00D82763">
        <w:t xml:space="preserve">All submissions must be formatted and filed in accordance with submission guidelines at: </w:t>
      </w:r>
      <w:r w:rsidR="00D51479">
        <w:t xml:space="preserve"> </w:t>
      </w:r>
      <w:r w:rsidRPr="00D82763">
        <w:rPr>
          <w:u w:val="single"/>
        </w:rPr>
        <w:t>http://www.ferc.gov/help/submission-guide.asp</w:t>
      </w:r>
      <w:r w:rsidRPr="00D82763">
        <w:t>.  For user assistance</w:t>
      </w:r>
      <w:r>
        <w:t>,</w:t>
      </w:r>
      <w:r w:rsidRPr="00D82763">
        <w:t xml:space="preserve"> contact FERC Online Support by e-mail at ferconlinesupport@ferc.gov, or by phone at:  (866) 208-3676 (toll-free), or (202) 502-8659 for TTY.</w:t>
      </w:r>
      <w:r w:rsidR="006276E4" w:rsidRPr="00C37C20">
        <w:t xml:space="preserve">  </w:t>
      </w:r>
    </w:p>
    <w:p w14:paraId="3FEC46A2" w14:textId="77777777" w:rsidR="00DB4ABC" w:rsidRPr="006F066D" w:rsidRDefault="00DB4ABC" w:rsidP="003D3478">
      <w:pPr>
        <w:ind w:firstLine="720"/>
      </w:pPr>
      <w:r w:rsidRPr="006F066D">
        <w:t xml:space="preserve">By </w:t>
      </w:r>
      <w:r w:rsidR="00571876" w:rsidRPr="006F066D">
        <w:t xml:space="preserve">direction of </w:t>
      </w:r>
      <w:r w:rsidRPr="006F066D">
        <w:t>the Commission.</w:t>
      </w:r>
    </w:p>
    <w:p w14:paraId="665E8C84" w14:textId="77777777" w:rsidR="00DB4ABC" w:rsidRPr="006F066D" w:rsidRDefault="00DB4ABC" w:rsidP="00C22D8B"/>
    <w:p w14:paraId="544191B9" w14:textId="77777777" w:rsidR="008771F4" w:rsidRDefault="008771F4" w:rsidP="003937F3"/>
    <w:p w14:paraId="27E3EAFF" w14:textId="77777777" w:rsidR="00F2776C" w:rsidRDefault="00F2776C" w:rsidP="003937F3"/>
    <w:p w14:paraId="46DD212C" w14:textId="2C4E7365" w:rsidR="00D51479" w:rsidRDefault="00D51479" w:rsidP="00D51479">
      <w:pPr>
        <w:widowControl/>
      </w:pPr>
    </w:p>
    <w:p w14:paraId="58ADBE6F" w14:textId="1C6F92E0" w:rsidR="00D51479" w:rsidRDefault="00D51479" w:rsidP="00D51479">
      <w:pPr>
        <w:widowControl/>
      </w:pPr>
    </w:p>
    <w:p w14:paraId="7F625A16" w14:textId="49A4AAAE" w:rsidR="00D51479" w:rsidRPr="00D51479" w:rsidRDefault="00D51479" w:rsidP="00D51479">
      <w:pPr>
        <w:widowControl/>
        <w:ind w:firstLine="2606"/>
        <w:jc w:val="center"/>
      </w:pPr>
      <w:r w:rsidRPr="00D51479">
        <w:t>Nathaniel J. Davis, Sr.,</w:t>
      </w:r>
    </w:p>
    <w:p w14:paraId="29E06CF2" w14:textId="2432FCDB" w:rsidR="003D3478" w:rsidRPr="003937F3" w:rsidRDefault="00D51479" w:rsidP="00836B98">
      <w:pPr>
        <w:widowControl/>
        <w:ind w:firstLine="2606"/>
        <w:jc w:val="center"/>
      </w:pPr>
      <w:r w:rsidRPr="00D51479">
        <w:t>Deputy Secretary.</w:t>
      </w:r>
    </w:p>
    <w:sectPr w:rsidR="003D3478" w:rsidRPr="003937F3" w:rsidSect="00DB4ABC">
      <w:headerReference w:type="even" r:id="rId13"/>
      <w:headerReference w:type="default" r:id="rId14"/>
      <w:headerReference w:type="first" r:id="rId15"/>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9B3B" w14:textId="77777777" w:rsidR="000B658C" w:rsidRDefault="000B658C" w:rsidP="0048020B">
      <w:r>
        <w:separator/>
      </w:r>
    </w:p>
  </w:endnote>
  <w:endnote w:type="continuationSeparator" w:id="0">
    <w:p w14:paraId="2EC1AB69" w14:textId="77777777" w:rsidR="000B658C" w:rsidRDefault="000B658C" w:rsidP="0048020B">
      <w:r>
        <w:continuationSeparator/>
      </w:r>
    </w:p>
  </w:endnote>
  <w:endnote w:type="continuationNotice" w:id="1">
    <w:p w14:paraId="753564EE" w14:textId="77777777" w:rsidR="000B658C" w:rsidRDefault="000B6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5C24" w14:textId="77777777" w:rsidR="000B658C" w:rsidRDefault="000B658C" w:rsidP="0048020B">
      <w:r>
        <w:separator/>
      </w:r>
    </w:p>
  </w:footnote>
  <w:footnote w:type="continuationSeparator" w:id="0">
    <w:p w14:paraId="2A5BA8FA" w14:textId="77777777" w:rsidR="000B658C" w:rsidRDefault="000B658C" w:rsidP="0048020B">
      <w:r>
        <w:continuationSeparator/>
      </w:r>
    </w:p>
  </w:footnote>
  <w:footnote w:type="continuationNotice" w:id="1">
    <w:p w14:paraId="3835499D" w14:textId="77777777" w:rsidR="000B658C" w:rsidRPr="00B310B6" w:rsidRDefault="000B658C" w:rsidP="00B310B6">
      <w:pPr>
        <w:pStyle w:val="Footer"/>
      </w:pPr>
      <w:r w:rsidRPr="00B310B6">
        <w:rPr>
          <w:i/>
        </w:rPr>
        <w:t>(continued ...)</w:t>
      </w:r>
    </w:p>
  </w:footnote>
  <w:footnote w:id="2">
    <w:p w14:paraId="7EA462C0" w14:textId="07034EB7" w:rsidR="00676700" w:rsidRDefault="00676700" w:rsidP="00676700">
      <w:pPr>
        <w:pStyle w:val="FootnoteText"/>
      </w:pPr>
      <w:r>
        <w:rPr>
          <w:rStyle w:val="FootnoteReference"/>
        </w:rPr>
        <w:footnoteRef/>
      </w:r>
      <w:r>
        <w:t xml:space="preserve"> </w:t>
      </w:r>
      <w:r w:rsidRPr="00D26B9A">
        <w:t>Glossary of Terms Used in NERC Reliability Standards</w:t>
      </w:r>
      <w:r>
        <w:t xml:space="preserve"> (NERC Glossary).</w:t>
      </w:r>
    </w:p>
  </w:footnote>
  <w:footnote w:id="3">
    <w:p w14:paraId="7A59C1C4" w14:textId="75258CBA" w:rsidR="00F0392F" w:rsidRDefault="00F0392F" w:rsidP="009C6AE7">
      <w:pPr>
        <w:pStyle w:val="FootnoteText"/>
      </w:pPr>
      <w:r>
        <w:rPr>
          <w:rStyle w:val="FootnoteReference"/>
        </w:rPr>
        <w:footnoteRef/>
      </w:r>
      <w:r>
        <w:t xml:space="preserve"> </w:t>
      </w:r>
      <w:r w:rsidRPr="00E337BA">
        <w:rPr>
          <w:i/>
        </w:rPr>
        <w:t>Cyber Security Incident Reporting Reliability Standards</w:t>
      </w:r>
      <w:r>
        <w:t xml:space="preserve">, Order No. 848, </w:t>
      </w:r>
      <w:r w:rsidR="002A4489">
        <w:br/>
      </w:r>
      <w:r>
        <w:t>164 FERC ¶ 61,033 (2018).</w:t>
      </w:r>
    </w:p>
  </w:footnote>
  <w:footnote w:id="4">
    <w:p w14:paraId="606B6840" w14:textId="77777777" w:rsidR="00F0392F" w:rsidRPr="00890E54" w:rsidRDefault="00F0392F">
      <w:pPr>
        <w:pStyle w:val="FootnoteText"/>
      </w:pPr>
      <w:r>
        <w:rPr>
          <w:rStyle w:val="FootnoteReference"/>
        </w:rPr>
        <w:footnoteRef/>
      </w:r>
      <w:r>
        <w:t xml:space="preserve"> </w:t>
      </w:r>
      <w:r>
        <w:rPr>
          <w:i/>
        </w:rPr>
        <w:t>Id.</w:t>
      </w:r>
      <w:r>
        <w:t xml:space="preserve"> PP 2-3. </w:t>
      </w:r>
    </w:p>
  </w:footnote>
  <w:footnote w:id="5">
    <w:p w14:paraId="2249260F" w14:textId="7A642886" w:rsidR="0087656B" w:rsidRDefault="0087656B">
      <w:pPr>
        <w:pStyle w:val="FootnoteText"/>
      </w:pPr>
      <w:r>
        <w:rPr>
          <w:rStyle w:val="FootnoteReference"/>
        </w:rPr>
        <w:footnoteRef/>
      </w:r>
      <w:r>
        <w:t xml:space="preserve"> 16 U.S.C. 824o(d)(5)</w:t>
      </w:r>
      <w:r w:rsidR="00DB4A23">
        <w:t xml:space="preserve"> (2012)</w:t>
      </w:r>
      <w:r>
        <w:t>.</w:t>
      </w:r>
    </w:p>
  </w:footnote>
  <w:footnote w:id="6">
    <w:p w14:paraId="5EB27DAE" w14:textId="008CF301" w:rsidR="00F0392F" w:rsidRPr="00C1533E" w:rsidRDefault="00F0392F">
      <w:pPr>
        <w:pStyle w:val="FootnoteText"/>
      </w:pPr>
      <w:r>
        <w:rPr>
          <w:rStyle w:val="FootnoteReference"/>
        </w:rPr>
        <w:footnoteRef/>
      </w:r>
      <w:r>
        <w:t xml:space="preserve"> The Commission </w:t>
      </w:r>
      <w:r w:rsidR="00182408">
        <w:t>identified the following</w:t>
      </w:r>
      <w:r>
        <w:t xml:space="preserve"> minimum </w:t>
      </w:r>
      <w:r w:rsidR="00235623">
        <w:t>fields of information</w:t>
      </w:r>
      <w:r>
        <w:t xml:space="preserve"> to be reported</w:t>
      </w:r>
      <w:r w:rsidR="0048255B">
        <w:t>:</w:t>
      </w:r>
      <w:r>
        <w:t xml:space="preserve"> </w:t>
      </w:r>
      <w:r w:rsidR="004E7471">
        <w:t xml:space="preserve"> </w:t>
      </w:r>
      <w:r>
        <w:t>“</w:t>
      </w:r>
      <w:r w:rsidRPr="00C1533E">
        <w:t>(1) the functional impact, where possible, that the Cyber Security Incident achieved or attempted to achieve; (2) the attack vector that was used to achieve or attempted to achieve the Cyber Security Incident; and (3) the level of intrusion that was achieved or attempted or as a result of the Cyber Security Incident.</w:t>
      </w:r>
      <w:r>
        <w:t xml:space="preserve">”  </w:t>
      </w:r>
      <w:r w:rsidR="00182408">
        <w:t xml:space="preserve">Order No. 848, </w:t>
      </w:r>
      <w:r w:rsidR="004E7471">
        <w:br/>
      </w:r>
      <w:r w:rsidR="00182408">
        <w:t xml:space="preserve">164 FERC ¶ 61,033 at </w:t>
      </w:r>
      <w:r>
        <w:t>P 91.</w:t>
      </w:r>
    </w:p>
  </w:footnote>
  <w:footnote w:id="7">
    <w:p w14:paraId="27B909C0" w14:textId="77777777" w:rsidR="00F0392F" w:rsidRDefault="00F0392F">
      <w:pPr>
        <w:pStyle w:val="FootnoteText"/>
      </w:pPr>
      <w:r>
        <w:rPr>
          <w:rStyle w:val="FootnoteReference"/>
        </w:rPr>
        <w:footnoteRef/>
      </w:r>
      <w:r>
        <w:t xml:space="preserve"> NERC Petition at 3.</w:t>
      </w:r>
    </w:p>
  </w:footnote>
  <w:footnote w:id="8">
    <w:p w14:paraId="296D562B" w14:textId="5B440751" w:rsidR="00F0392F" w:rsidRDefault="00F0392F">
      <w:pPr>
        <w:pStyle w:val="FootnoteText"/>
      </w:pPr>
      <w:r>
        <w:rPr>
          <w:rStyle w:val="FootnoteReference"/>
        </w:rPr>
        <w:footnoteRef/>
      </w:r>
      <w:r>
        <w:t xml:space="preserve"> NERC indicates that the standard drafting team include</w:t>
      </w:r>
      <w:r w:rsidR="003E0709">
        <w:t>d</w:t>
      </w:r>
      <w:r>
        <w:t xml:space="preserve"> all EACMS within </w:t>
      </w:r>
      <w:r w:rsidR="00064D42">
        <w:br/>
      </w:r>
      <w:r>
        <w:t>the proposed Cyber Security Incident</w:t>
      </w:r>
      <w:r w:rsidR="003E0709">
        <w:t xml:space="preserve"> and Reportable Cyber Security incident</w:t>
      </w:r>
      <w:r>
        <w:t xml:space="preserve"> definition</w:t>
      </w:r>
      <w:r w:rsidR="003E0709">
        <w:t>s</w:t>
      </w:r>
      <w:r>
        <w:t xml:space="preserve"> because ne</w:t>
      </w:r>
      <w:r w:rsidR="003E0709">
        <w:t>arly all EACMS associated with high and m</w:t>
      </w:r>
      <w:r>
        <w:t>edium impact BES Cyber System</w:t>
      </w:r>
      <w:r w:rsidR="00EF7AF0">
        <w:t>s</w:t>
      </w:r>
      <w:r>
        <w:t xml:space="preserve"> perform one of the functions identified in Order No. 848.  </w:t>
      </w:r>
      <w:r w:rsidR="00DB4A23">
        <w:rPr>
          <w:i/>
        </w:rPr>
        <w:t>Id.</w:t>
      </w:r>
      <w:r>
        <w:t xml:space="preserve"> at 13-14.</w:t>
      </w:r>
    </w:p>
  </w:footnote>
  <w:footnote w:id="9">
    <w:p w14:paraId="21AF1671" w14:textId="23D87D3F" w:rsidR="00F0392F" w:rsidRDefault="00F0392F">
      <w:pPr>
        <w:pStyle w:val="FootnoteText"/>
      </w:pPr>
      <w:r w:rsidRPr="00F3036E">
        <w:rPr>
          <w:rStyle w:val="FootnoteReference"/>
        </w:rPr>
        <w:footnoteRef/>
      </w:r>
      <w:r w:rsidRPr="00F3036E">
        <w:t xml:space="preserve"> </w:t>
      </w:r>
      <w:r w:rsidR="007B1078">
        <w:rPr>
          <w:i/>
        </w:rPr>
        <w:t>Id.</w:t>
      </w:r>
      <w:r>
        <w:t xml:space="preserve"> at 15.</w:t>
      </w:r>
    </w:p>
  </w:footnote>
  <w:footnote w:id="10">
    <w:p w14:paraId="7EF13B4F" w14:textId="4349A2A4" w:rsidR="00F0392F" w:rsidRPr="008264FF" w:rsidRDefault="00F0392F">
      <w:pPr>
        <w:pStyle w:val="FootnoteText"/>
      </w:pPr>
      <w:r w:rsidRPr="00F3036E">
        <w:rPr>
          <w:rStyle w:val="FootnoteReference"/>
        </w:rPr>
        <w:footnoteRef/>
      </w:r>
      <w:r w:rsidRPr="00F3036E">
        <w:t xml:space="preserve"> </w:t>
      </w:r>
      <w:r w:rsidR="007B1078">
        <w:rPr>
          <w:i/>
        </w:rPr>
        <w:t>Id.</w:t>
      </w:r>
      <w:r>
        <w:t xml:space="preserve"> at 18.</w:t>
      </w:r>
    </w:p>
  </w:footnote>
  <w:footnote w:id="11">
    <w:p w14:paraId="077D441B" w14:textId="77777777" w:rsidR="00F0392F" w:rsidRPr="00E337BA" w:rsidRDefault="00F0392F">
      <w:pPr>
        <w:pStyle w:val="FootnoteText"/>
        <w:rPr>
          <w:i/>
        </w:rPr>
      </w:pPr>
      <w:r>
        <w:rPr>
          <w:rStyle w:val="FootnoteReference"/>
        </w:rPr>
        <w:footnoteRef/>
      </w:r>
      <w:r>
        <w:t xml:space="preserve"> </w:t>
      </w:r>
      <w:r>
        <w:rPr>
          <w:i/>
        </w:rPr>
        <w:t>Id.</w:t>
      </w:r>
    </w:p>
  </w:footnote>
  <w:footnote w:id="12">
    <w:p w14:paraId="6BAA83C4" w14:textId="77777777" w:rsidR="00F0392F" w:rsidRPr="00094DBF" w:rsidRDefault="00F0392F">
      <w:pPr>
        <w:pStyle w:val="FootnoteText"/>
      </w:pPr>
      <w:r>
        <w:rPr>
          <w:rStyle w:val="FootnoteReference"/>
        </w:rPr>
        <w:footnoteRef/>
      </w:r>
      <w:r>
        <w:t xml:space="preserve"> </w:t>
      </w:r>
      <w:r>
        <w:rPr>
          <w:i/>
        </w:rPr>
        <w:t xml:space="preserve">Id. </w:t>
      </w:r>
      <w:r>
        <w:t>at 19.</w:t>
      </w:r>
    </w:p>
  </w:footnote>
  <w:footnote w:id="13">
    <w:p w14:paraId="078DECBE" w14:textId="77777777" w:rsidR="00F0392F" w:rsidRDefault="00F0392F">
      <w:pPr>
        <w:pStyle w:val="FootnoteText"/>
      </w:pPr>
      <w:r>
        <w:rPr>
          <w:rStyle w:val="FootnoteReference"/>
        </w:rPr>
        <w:footnoteRef/>
      </w:r>
      <w:r>
        <w:t xml:space="preserve"> </w:t>
      </w:r>
      <w:r>
        <w:rPr>
          <w:i/>
        </w:rPr>
        <w:t xml:space="preserve">Id. </w:t>
      </w:r>
      <w:r w:rsidRPr="00E337BA">
        <w:t>at 20</w:t>
      </w:r>
      <w:r>
        <w:t>.</w:t>
      </w:r>
    </w:p>
  </w:footnote>
  <w:footnote w:id="14">
    <w:p w14:paraId="6ABFF649" w14:textId="77777777" w:rsidR="00F0392F" w:rsidRDefault="00F0392F">
      <w:pPr>
        <w:pStyle w:val="FootnoteText"/>
      </w:pPr>
      <w:r>
        <w:rPr>
          <w:rStyle w:val="FootnoteReference"/>
        </w:rPr>
        <w:footnoteRef/>
      </w:r>
      <w:r>
        <w:t xml:space="preserve"> </w:t>
      </w:r>
      <w:r>
        <w:rPr>
          <w:i/>
        </w:rPr>
        <w:t xml:space="preserve">Id. </w:t>
      </w:r>
      <w:r>
        <w:t>at 22.</w:t>
      </w:r>
    </w:p>
  </w:footnote>
  <w:footnote w:id="15">
    <w:p w14:paraId="1801DF05" w14:textId="3CF1C720" w:rsidR="00851002" w:rsidRPr="00602DB4" w:rsidRDefault="00851002">
      <w:pPr>
        <w:pStyle w:val="FootnoteText"/>
      </w:pPr>
      <w:r>
        <w:rPr>
          <w:rStyle w:val="FootnoteReference"/>
        </w:rPr>
        <w:footnoteRef/>
      </w:r>
      <w:r>
        <w:t xml:space="preserve"> </w:t>
      </w:r>
      <w:r>
        <w:rPr>
          <w:i/>
        </w:rPr>
        <w:t>Id.</w:t>
      </w:r>
      <w:r>
        <w:t xml:space="preserve"> at 23.</w:t>
      </w:r>
    </w:p>
  </w:footnote>
  <w:footnote w:id="16">
    <w:p w14:paraId="4911154A" w14:textId="71C6B050" w:rsidR="00320F6B" w:rsidRDefault="00320F6B" w:rsidP="00320F6B">
      <w:pPr>
        <w:pStyle w:val="FootnoteText"/>
      </w:pPr>
      <w:r>
        <w:rPr>
          <w:rStyle w:val="FootnoteReference"/>
        </w:rPr>
        <w:footnoteRef/>
      </w:r>
      <w:r>
        <w:t xml:space="preserve"> On April 11, 2019, Public Citizen submitted comments requesting that the Commission direct NERC to require the mandatory public disclosure of entity names </w:t>
      </w:r>
      <w:r w:rsidR="00064D42">
        <w:br/>
      </w:r>
      <w:r>
        <w:t>in Notices of Penalty for violations of Critical Infrastructure Protection Reliability Standards.  Public Citizen’s comments do not address proposed Reliability Standard CIP-006-8 or any other proposal contained in NERC’</w:t>
      </w:r>
      <w:r w:rsidR="007C5221">
        <w:t>s petition, and they are</w:t>
      </w:r>
      <w:r>
        <w:t xml:space="preserve"> therefore outside the scope of this proceeding.</w:t>
      </w:r>
    </w:p>
  </w:footnote>
  <w:footnote w:id="17">
    <w:p w14:paraId="71AAC144" w14:textId="6F73A7E5" w:rsidR="00851002" w:rsidRDefault="00851002">
      <w:pPr>
        <w:pStyle w:val="FootnoteText"/>
      </w:pPr>
      <w:r>
        <w:rPr>
          <w:rStyle w:val="FootnoteReference"/>
        </w:rPr>
        <w:footnoteRef/>
      </w:r>
      <w:r>
        <w:t xml:space="preserve"> 16 U.S.C.</w:t>
      </w:r>
      <w:r w:rsidR="004D1EE8">
        <w:t xml:space="preserve"> 824</w:t>
      </w:r>
      <w:r>
        <w:t>o</w:t>
      </w:r>
      <w:r w:rsidR="0087656B">
        <w:t>(d)(2).</w:t>
      </w:r>
    </w:p>
  </w:footnote>
  <w:footnote w:id="18">
    <w:p w14:paraId="75BAA5BC" w14:textId="5B64E9D5" w:rsidR="006276E4" w:rsidRPr="0060302E" w:rsidRDefault="006276E4" w:rsidP="006276E4">
      <w:pPr>
        <w:pStyle w:val="FootnoteText"/>
        <w:rPr>
          <w:szCs w:val="26"/>
        </w:rPr>
      </w:pPr>
      <w:r w:rsidRPr="0060302E">
        <w:rPr>
          <w:rStyle w:val="FootnoteReference"/>
        </w:rPr>
        <w:footnoteRef/>
      </w:r>
      <w:r w:rsidR="00D51479">
        <w:rPr>
          <w:szCs w:val="26"/>
        </w:rPr>
        <w:t xml:space="preserve"> </w:t>
      </w:r>
      <w:r w:rsidRPr="0060302E">
        <w:rPr>
          <w:szCs w:val="26"/>
        </w:rPr>
        <w:t>“Responsible Entities” refers to Balancing Authority (BA), Distribution Provider</w:t>
      </w:r>
      <w:r>
        <w:rPr>
          <w:szCs w:val="26"/>
        </w:rPr>
        <w:t xml:space="preserve"> </w:t>
      </w:r>
      <w:r w:rsidRPr="0060302E">
        <w:rPr>
          <w:szCs w:val="26"/>
        </w:rPr>
        <w:t>(DP), Generator Operator</w:t>
      </w:r>
      <w:r>
        <w:rPr>
          <w:szCs w:val="26"/>
        </w:rPr>
        <w:t xml:space="preserve"> </w:t>
      </w:r>
      <w:r w:rsidRPr="0060302E">
        <w:rPr>
          <w:szCs w:val="26"/>
        </w:rPr>
        <w:t>(GO</w:t>
      </w:r>
      <w:r>
        <w:rPr>
          <w:szCs w:val="26"/>
        </w:rPr>
        <w:t>P</w:t>
      </w:r>
      <w:r w:rsidRPr="0060302E">
        <w:rPr>
          <w:szCs w:val="26"/>
        </w:rPr>
        <w:t>), Generator Owner</w:t>
      </w:r>
      <w:r>
        <w:rPr>
          <w:szCs w:val="26"/>
        </w:rPr>
        <w:t xml:space="preserve"> </w:t>
      </w:r>
      <w:r w:rsidRPr="0060302E">
        <w:rPr>
          <w:szCs w:val="26"/>
        </w:rPr>
        <w:t>(GO), Reliability Coordinator</w:t>
      </w:r>
      <w:r>
        <w:rPr>
          <w:szCs w:val="26"/>
        </w:rPr>
        <w:t xml:space="preserve"> </w:t>
      </w:r>
      <w:r w:rsidRPr="0060302E">
        <w:rPr>
          <w:szCs w:val="26"/>
        </w:rPr>
        <w:t>(RC), Transmission Operator</w:t>
      </w:r>
      <w:r>
        <w:rPr>
          <w:szCs w:val="26"/>
        </w:rPr>
        <w:t xml:space="preserve"> </w:t>
      </w:r>
      <w:r w:rsidRPr="0060302E">
        <w:rPr>
          <w:szCs w:val="26"/>
        </w:rPr>
        <w:t>(TO</w:t>
      </w:r>
      <w:r>
        <w:rPr>
          <w:szCs w:val="26"/>
        </w:rPr>
        <w:t>P</w:t>
      </w:r>
      <w:r w:rsidRPr="0060302E">
        <w:rPr>
          <w:szCs w:val="26"/>
        </w:rPr>
        <w:t xml:space="preserve">), </w:t>
      </w:r>
      <w:r>
        <w:rPr>
          <w:szCs w:val="26"/>
        </w:rPr>
        <w:t xml:space="preserve">and </w:t>
      </w:r>
      <w:r w:rsidRPr="0060302E">
        <w:rPr>
          <w:szCs w:val="26"/>
        </w:rPr>
        <w:t>Transmission Owner (TO)</w:t>
      </w:r>
      <w:r>
        <w:rPr>
          <w:szCs w:val="26"/>
        </w:rPr>
        <w:t>.</w:t>
      </w:r>
    </w:p>
  </w:footnote>
  <w:footnote w:id="19">
    <w:p w14:paraId="14751F73" w14:textId="42FCF726" w:rsidR="006276E4" w:rsidRPr="00D22EA9" w:rsidRDefault="006276E4" w:rsidP="006276E4">
      <w:pPr>
        <w:pStyle w:val="FootnoteText"/>
        <w:rPr>
          <w:szCs w:val="26"/>
        </w:rPr>
      </w:pPr>
      <w:r>
        <w:rPr>
          <w:rStyle w:val="FootnoteReference"/>
        </w:rPr>
        <w:footnoteRef/>
      </w:r>
      <w:r>
        <w:t xml:space="preserve"> </w:t>
      </w:r>
      <w:r w:rsidRPr="00D22EA9">
        <w:rPr>
          <w:szCs w:val="26"/>
        </w:rPr>
        <w:t xml:space="preserve">Burden is defined as the total time, effort, or financial resources expended by persons to generate, maintain, retain, or disclose or provide information to or for a Federal agency. </w:t>
      </w:r>
      <w:r w:rsidR="00184F56">
        <w:rPr>
          <w:szCs w:val="26"/>
        </w:rPr>
        <w:t xml:space="preserve"> </w:t>
      </w:r>
      <w:r w:rsidRPr="00D22EA9">
        <w:rPr>
          <w:szCs w:val="26"/>
        </w:rPr>
        <w:t xml:space="preserve">For further explanation of what is included in the information collection burden, refer to 5 </w:t>
      </w:r>
      <w:r>
        <w:rPr>
          <w:szCs w:val="26"/>
        </w:rPr>
        <w:t xml:space="preserve">C.F.R. </w:t>
      </w:r>
      <w:r w:rsidRPr="00D22EA9">
        <w:rPr>
          <w:szCs w:val="26"/>
        </w:rPr>
        <w:t>1320.3.</w:t>
      </w:r>
    </w:p>
  </w:footnote>
  <w:footnote w:id="20">
    <w:p w14:paraId="6C4445E2" w14:textId="77777777" w:rsidR="006276E4" w:rsidRPr="00D22EA9" w:rsidRDefault="006276E4" w:rsidP="006276E4">
      <w:pPr>
        <w:pStyle w:val="FootnoteText"/>
        <w:rPr>
          <w:szCs w:val="26"/>
        </w:rPr>
      </w:pPr>
      <w:r w:rsidRPr="003F5FE1">
        <w:rPr>
          <w:rStyle w:val="FootnoteReference"/>
        </w:rPr>
        <w:footnoteRef/>
      </w:r>
      <w:r w:rsidRPr="003F5FE1">
        <w:rPr>
          <w:szCs w:val="26"/>
        </w:rPr>
        <w:t xml:space="preserve"> </w:t>
      </w:r>
      <w:r w:rsidRPr="00D22EA9">
        <w:rPr>
          <w:szCs w:val="26"/>
        </w:rPr>
        <w:t>For the Reliability Standard being retired in Docket No. RD19-3</w:t>
      </w:r>
      <w:r>
        <w:rPr>
          <w:szCs w:val="26"/>
        </w:rPr>
        <w:t>-000</w:t>
      </w:r>
      <w:r w:rsidRPr="00D22EA9">
        <w:rPr>
          <w:szCs w:val="26"/>
        </w:rPr>
        <w:t>, the baseline numbers for respondents, burden, and cost are the same figures as those in Order No. 848.  The requirements and burdens (from the</w:t>
      </w:r>
      <w:r>
        <w:rPr>
          <w:szCs w:val="26"/>
        </w:rPr>
        <w:t xml:space="preserve"> Reliability</w:t>
      </w:r>
      <w:r w:rsidRPr="00D22EA9">
        <w:rPr>
          <w:szCs w:val="26"/>
        </w:rPr>
        <w:t xml:space="preserve"> </w:t>
      </w:r>
      <w:r>
        <w:rPr>
          <w:szCs w:val="26"/>
        </w:rPr>
        <w:t>S</w:t>
      </w:r>
      <w:r w:rsidRPr="00D22EA9">
        <w:rPr>
          <w:szCs w:val="26"/>
        </w:rPr>
        <w:t xml:space="preserve">tandard being retired) are continuing in </w:t>
      </w:r>
      <w:r>
        <w:rPr>
          <w:szCs w:val="26"/>
        </w:rPr>
        <w:t>Reliability S</w:t>
      </w:r>
      <w:r w:rsidRPr="00D22EA9">
        <w:rPr>
          <w:szCs w:val="26"/>
        </w:rPr>
        <w:t>tandard</w:t>
      </w:r>
      <w:r>
        <w:rPr>
          <w:szCs w:val="26"/>
        </w:rPr>
        <w:t xml:space="preserve"> CIP-008-6</w:t>
      </w:r>
      <w:r w:rsidRPr="00D22EA9">
        <w:rPr>
          <w:szCs w:val="26"/>
        </w:rPr>
        <w:t xml:space="preserve">, plus </w:t>
      </w:r>
      <w:r>
        <w:rPr>
          <w:szCs w:val="26"/>
        </w:rPr>
        <w:t>the</w:t>
      </w:r>
      <w:r w:rsidRPr="00D22EA9">
        <w:rPr>
          <w:szCs w:val="26"/>
        </w:rPr>
        <w:t xml:space="preserve"> additional requirements and burdens as indicated in the table.</w:t>
      </w:r>
    </w:p>
  </w:footnote>
  <w:footnote w:id="21">
    <w:p w14:paraId="1239D768" w14:textId="77777777" w:rsidR="006276E4" w:rsidRPr="0063008E" w:rsidRDefault="006276E4" w:rsidP="00D82763">
      <w:pPr>
        <w:pStyle w:val="NormalWeb"/>
        <w:spacing w:after="260"/>
        <w:ind w:firstLine="720"/>
        <w:rPr>
          <w:rFonts w:ascii="Verdana" w:hAnsi="Verdana"/>
          <w:color w:val="000000"/>
          <w:sz w:val="20"/>
          <w:szCs w:val="20"/>
        </w:rPr>
      </w:pPr>
      <w:r>
        <w:rPr>
          <w:rStyle w:val="FootnoteReference"/>
        </w:rPr>
        <w:footnoteRef/>
      </w:r>
      <w:r>
        <w:t xml:space="preserve"> </w:t>
      </w:r>
      <w:r w:rsidRPr="0063008E">
        <w:rPr>
          <w:color w:val="000000"/>
          <w:sz w:val="26"/>
          <w:szCs w:val="26"/>
        </w:rPr>
        <w:t>There are 1</w:t>
      </w:r>
      <w:r>
        <w:rPr>
          <w:color w:val="000000"/>
          <w:sz w:val="26"/>
          <w:szCs w:val="26"/>
        </w:rPr>
        <w:t>,</w:t>
      </w:r>
      <w:r w:rsidRPr="0063008E">
        <w:rPr>
          <w:color w:val="000000"/>
          <w:sz w:val="26"/>
          <w:szCs w:val="26"/>
        </w:rPr>
        <w:t xml:space="preserve">414 unique registered entities in the NERC compliance registry as of May 24, 2019.  </w:t>
      </w:r>
      <w:r w:rsidRPr="007A691B">
        <w:rPr>
          <w:color w:val="000000"/>
          <w:sz w:val="26"/>
          <w:szCs w:val="26"/>
        </w:rPr>
        <w:t xml:space="preserve">Of this total, we estimate that </w:t>
      </w:r>
      <w:r w:rsidRPr="0063008E">
        <w:rPr>
          <w:color w:val="000000"/>
          <w:sz w:val="26"/>
          <w:szCs w:val="26"/>
        </w:rPr>
        <w:t xml:space="preserve">288 </w:t>
      </w:r>
      <w:r>
        <w:rPr>
          <w:color w:val="000000"/>
          <w:sz w:val="26"/>
          <w:szCs w:val="26"/>
        </w:rPr>
        <w:t xml:space="preserve">entities will face an increased paperwork burden. </w:t>
      </w:r>
    </w:p>
  </w:footnote>
  <w:footnote w:id="22">
    <w:p w14:paraId="50095E43" w14:textId="071B596B" w:rsidR="006276E4" w:rsidRPr="004B6B3E" w:rsidRDefault="006276E4" w:rsidP="006276E4">
      <w:pPr>
        <w:pStyle w:val="FootnoteText"/>
        <w:rPr>
          <w:szCs w:val="26"/>
        </w:rPr>
      </w:pPr>
      <w:r w:rsidRPr="00357340">
        <w:rPr>
          <w:rStyle w:val="FootnoteReference"/>
        </w:rPr>
        <w:footnoteRef/>
      </w:r>
      <w:r>
        <w:rPr>
          <w:szCs w:val="26"/>
        </w:rPr>
        <w:t xml:space="preserve"> </w:t>
      </w:r>
      <w:r w:rsidRPr="004B6B3E">
        <w:rPr>
          <w:szCs w:val="26"/>
        </w:rPr>
        <w:t xml:space="preserve">The loaded hourly wage figure (includes benefits) is based on the average of the occupational categories for </w:t>
      </w:r>
      <w:r w:rsidR="006C560F" w:rsidRPr="00C37C20">
        <w:rPr>
          <w:szCs w:val="26"/>
        </w:rPr>
        <w:t>201</w:t>
      </w:r>
      <w:r w:rsidR="006C560F">
        <w:rPr>
          <w:szCs w:val="26"/>
        </w:rPr>
        <w:t>7</w:t>
      </w:r>
      <w:r w:rsidR="006C560F" w:rsidRPr="00C37C20">
        <w:rPr>
          <w:szCs w:val="26"/>
        </w:rPr>
        <w:t xml:space="preserve"> </w:t>
      </w:r>
      <w:r w:rsidRPr="00C37C20">
        <w:rPr>
          <w:szCs w:val="26"/>
        </w:rPr>
        <w:t>found</w:t>
      </w:r>
      <w:r>
        <w:rPr>
          <w:szCs w:val="26"/>
        </w:rPr>
        <w:t xml:space="preserve"> </w:t>
      </w:r>
      <w:r w:rsidRPr="004B6B3E">
        <w:rPr>
          <w:szCs w:val="26"/>
        </w:rPr>
        <w:t>on the Bur</w:t>
      </w:r>
      <w:r w:rsidR="001E63C9">
        <w:rPr>
          <w:szCs w:val="26"/>
        </w:rPr>
        <w:t xml:space="preserve">eau of Labor Statistics website: </w:t>
      </w:r>
      <w:r w:rsidR="00836B98">
        <w:rPr>
          <w:szCs w:val="26"/>
        </w:rPr>
        <w:t xml:space="preserve"> </w:t>
      </w:r>
      <w:r w:rsidR="001E63C9" w:rsidRPr="001E63C9">
        <w:rPr>
          <w:szCs w:val="26"/>
          <w:u w:val="single"/>
        </w:rPr>
        <w:t>https://www.bls.gov/oes/2017/may/oessrci.htm</w:t>
      </w:r>
      <w:r w:rsidR="001E63C9">
        <w:rPr>
          <w:szCs w:val="26"/>
        </w:rPr>
        <w:t>.</w:t>
      </w:r>
    </w:p>
    <w:p w14:paraId="127213FF" w14:textId="3940AB47" w:rsidR="006276E4" w:rsidRPr="004B6B3E" w:rsidRDefault="006276E4" w:rsidP="006276E4">
      <w:pPr>
        <w:pStyle w:val="FootnoteText"/>
        <w:spacing w:after="0"/>
        <w:ind w:left="1440"/>
        <w:rPr>
          <w:szCs w:val="26"/>
        </w:rPr>
      </w:pPr>
      <w:r w:rsidRPr="004B6B3E">
        <w:rPr>
          <w:szCs w:val="26"/>
        </w:rPr>
        <w:t xml:space="preserve">Legal (Occupation Code: 23-0000): </w:t>
      </w:r>
      <w:r w:rsidR="00836B98">
        <w:rPr>
          <w:szCs w:val="26"/>
        </w:rPr>
        <w:t xml:space="preserve"> </w:t>
      </w:r>
      <w:r w:rsidRPr="004B6B3E">
        <w:rPr>
          <w:szCs w:val="26"/>
        </w:rPr>
        <w:t>$143.68</w:t>
      </w:r>
    </w:p>
    <w:p w14:paraId="3D75E771" w14:textId="00F79093" w:rsidR="006276E4" w:rsidRPr="004B6B3E" w:rsidRDefault="006276E4" w:rsidP="006276E4">
      <w:pPr>
        <w:pStyle w:val="FootnoteText"/>
        <w:spacing w:after="0"/>
        <w:ind w:left="1440"/>
        <w:rPr>
          <w:szCs w:val="26"/>
        </w:rPr>
      </w:pPr>
      <w:r w:rsidRPr="004B6B3E">
        <w:rPr>
          <w:szCs w:val="26"/>
        </w:rPr>
        <w:t xml:space="preserve">Information Security Analysts (Occupation Code 15-1122): </w:t>
      </w:r>
      <w:r w:rsidR="00836B98">
        <w:rPr>
          <w:szCs w:val="26"/>
        </w:rPr>
        <w:t xml:space="preserve"> </w:t>
      </w:r>
      <w:r w:rsidRPr="004B6B3E">
        <w:rPr>
          <w:szCs w:val="26"/>
        </w:rPr>
        <w:t>$61.55</w:t>
      </w:r>
    </w:p>
    <w:p w14:paraId="6F3CB0AA" w14:textId="3471F959" w:rsidR="006276E4" w:rsidRPr="004B6B3E" w:rsidRDefault="006276E4" w:rsidP="00704521">
      <w:pPr>
        <w:pStyle w:val="FootnoteText"/>
        <w:spacing w:after="0"/>
        <w:ind w:left="2160" w:firstLine="0"/>
        <w:rPr>
          <w:szCs w:val="26"/>
        </w:rPr>
      </w:pPr>
      <w:r w:rsidRPr="004B6B3E">
        <w:rPr>
          <w:szCs w:val="26"/>
        </w:rPr>
        <w:t xml:space="preserve">Computer and Information Systems Managers (Occupation Code:             11-3021): </w:t>
      </w:r>
      <w:r w:rsidR="00836B98">
        <w:rPr>
          <w:szCs w:val="26"/>
        </w:rPr>
        <w:t xml:space="preserve"> </w:t>
      </w:r>
      <w:r w:rsidRPr="004B6B3E">
        <w:rPr>
          <w:szCs w:val="26"/>
        </w:rPr>
        <w:t>$96.51</w:t>
      </w:r>
    </w:p>
    <w:p w14:paraId="06526911" w14:textId="137789AD" w:rsidR="006276E4" w:rsidRPr="004B6B3E" w:rsidRDefault="006276E4" w:rsidP="006276E4">
      <w:pPr>
        <w:pStyle w:val="FootnoteText"/>
        <w:spacing w:after="0"/>
        <w:ind w:left="1440"/>
        <w:rPr>
          <w:szCs w:val="26"/>
        </w:rPr>
      </w:pPr>
      <w:r w:rsidRPr="004B6B3E">
        <w:rPr>
          <w:szCs w:val="26"/>
        </w:rPr>
        <w:t>Management (Occupation Code: 11-0000):</w:t>
      </w:r>
      <w:r w:rsidR="00836B98">
        <w:rPr>
          <w:szCs w:val="26"/>
        </w:rPr>
        <w:t xml:space="preserve"> </w:t>
      </w:r>
      <w:r w:rsidRPr="004B6B3E">
        <w:rPr>
          <w:szCs w:val="26"/>
        </w:rPr>
        <w:t xml:space="preserve"> $94.28</w:t>
      </w:r>
    </w:p>
    <w:p w14:paraId="229555AB" w14:textId="765226B1" w:rsidR="006276E4" w:rsidRPr="004B6B3E" w:rsidRDefault="006276E4" w:rsidP="006276E4">
      <w:pPr>
        <w:pStyle w:val="FootnoteText"/>
        <w:spacing w:after="0"/>
        <w:ind w:left="1440"/>
        <w:rPr>
          <w:szCs w:val="26"/>
        </w:rPr>
      </w:pPr>
      <w:r w:rsidRPr="004B6B3E">
        <w:rPr>
          <w:szCs w:val="26"/>
        </w:rPr>
        <w:t xml:space="preserve">Electrical Engineer (Occupation Code: </w:t>
      </w:r>
      <w:r w:rsidR="00836B98">
        <w:rPr>
          <w:szCs w:val="26"/>
        </w:rPr>
        <w:t xml:space="preserve"> </w:t>
      </w:r>
      <w:r w:rsidRPr="004B6B3E">
        <w:rPr>
          <w:szCs w:val="26"/>
        </w:rPr>
        <w:t xml:space="preserve">17-2071): </w:t>
      </w:r>
      <w:r w:rsidR="00836B98">
        <w:rPr>
          <w:szCs w:val="26"/>
        </w:rPr>
        <w:t xml:space="preserve"> </w:t>
      </w:r>
      <w:r w:rsidRPr="004B6B3E">
        <w:rPr>
          <w:szCs w:val="26"/>
        </w:rPr>
        <w:t>$66.90</w:t>
      </w:r>
    </w:p>
    <w:p w14:paraId="56044634" w14:textId="48A3594C" w:rsidR="006276E4" w:rsidRDefault="006276E4" w:rsidP="006276E4">
      <w:pPr>
        <w:pStyle w:val="FootnoteText"/>
        <w:spacing w:after="0"/>
        <w:ind w:left="1440"/>
        <w:rPr>
          <w:szCs w:val="26"/>
        </w:rPr>
      </w:pPr>
      <w:r w:rsidRPr="004B6B3E">
        <w:rPr>
          <w:szCs w:val="26"/>
        </w:rPr>
        <w:t xml:space="preserve">Management Analyst (Code: 43-0000): </w:t>
      </w:r>
      <w:r w:rsidR="00836B98">
        <w:rPr>
          <w:szCs w:val="26"/>
        </w:rPr>
        <w:t xml:space="preserve"> </w:t>
      </w:r>
      <w:r w:rsidRPr="004B6B3E">
        <w:rPr>
          <w:szCs w:val="26"/>
        </w:rPr>
        <w:t>$63.32</w:t>
      </w:r>
    </w:p>
    <w:p w14:paraId="5802CB81" w14:textId="77777777" w:rsidR="006276E4" w:rsidRPr="004B6B3E" w:rsidRDefault="006276E4" w:rsidP="006276E4">
      <w:pPr>
        <w:pStyle w:val="FootnoteText"/>
        <w:spacing w:after="0"/>
        <w:ind w:left="1440"/>
        <w:rPr>
          <w:szCs w:val="26"/>
        </w:rPr>
      </w:pPr>
    </w:p>
    <w:p w14:paraId="7D0624DC" w14:textId="3DA5A255" w:rsidR="006276E4" w:rsidRPr="004B6B3E" w:rsidRDefault="006276E4" w:rsidP="006276E4">
      <w:pPr>
        <w:pStyle w:val="FootnoteText"/>
        <w:rPr>
          <w:szCs w:val="26"/>
        </w:rPr>
      </w:pPr>
      <w:r w:rsidRPr="004B6B3E">
        <w:rPr>
          <w:szCs w:val="26"/>
        </w:rPr>
        <w:t>These various occupational categories are weighted as follows:</w:t>
      </w:r>
      <w:r w:rsidR="00836B98">
        <w:rPr>
          <w:szCs w:val="26"/>
        </w:rPr>
        <w:t xml:space="preserve"> </w:t>
      </w:r>
      <w:r w:rsidRPr="004B6B3E">
        <w:rPr>
          <w:szCs w:val="26"/>
        </w:rPr>
        <w:t xml:space="preserve"> [($94.28)(.10) + ($61.55)(.315) + ($66.90)(.02) + ($143.68)(.15) + ($96.51)(.10) + ($63.32)(.315)] = $81.30.  The figure is rounded to $81.00 for use in calculating wage figures in this </w:t>
      </w:r>
      <w:r w:rsidR="00751BC3">
        <w:rPr>
          <w:szCs w:val="26"/>
        </w:rPr>
        <w:t>o</w:t>
      </w:r>
      <w:r>
        <w:rPr>
          <w:szCs w:val="26"/>
        </w:rPr>
        <w:t>rder</w:t>
      </w:r>
      <w:r w:rsidRPr="004B6B3E">
        <w:rPr>
          <w:szCs w:val="26"/>
        </w:rPr>
        <w:t>.</w:t>
      </w:r>
    </w:p>
  </w:footnote>
  <w:footnote w:id="23">
    <w:p w14:paraId="6FC1024E" w14:textId="77777777" w:rsidR="006276E4" w:rsidRPr="004B6B3E" w:rsidRDefault="006276E4" w:rsidP="006276E4">
      <w:pPr>
        <w:pStyle w:val="FootnoteText"/>
        <w:rPr>
          <w:szCs w:val="26"/>
        </w:rPr>
      </w:pPr>
      <w:r w:rsidRPr="004B6B3E">
        <w:rPr>
          <w:rStyle w:val="FootnoteReference"/>
        </w:rPr>
        <w:footnoteRef/>
      </w:r>
      <w:r w:rsidRPr="004B6B3E">
        <w:rPr>
          <w:szCs w:val="26"/>
        </w:rPr>
        <w:t xml:space="preserve"> One-time burdens apply in Year 1 only.</w:t>
      </w:r>
    </w:p>
  </w:footnote>
  <w:footnote w:id="24">
    <w:p w14:paraId="5A826A3D" w14:textId="77777777" w:rsidR="006276E4" w:rsidRPr="004B6B3E" w:rsidRDefault="006276E4" w:rsidP="006276E4">
      <w:pPr>
        <w:pStyle w:val="FootnoteText"/>
        <w:rPr>
          <w:szCs w:val="26"/>
        </w:rPr>
      </w:pPr>
      <w:r w:rsidRPr="004B6B3E">
        <w:rPr>
          <w:rStyle w:val="FootnoteReference"/>
        </w:rPr>
        <w:footnoteRef/>
      </w:r>
      <w:r w:rsidRPr="004B6B3E">
        <w:rPr>
          <w:szCs w:val="26"/>
        </w:rPr>
        <w:t xml:space="preserve"> Ongoing burdens apply in Year 2 and beyond.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5452" w14:textId="77777777" w:rsidR="00F0392F" w:rsidRDefault="00F0392F" w:rsidP="004401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661">
      <w:rPr>
        <w:rStyle w:val="PageNumber"/>
        <w:noProof/>
      </w:rPr>
      <w:t>- 8 -</w:t>
    </w:r>
    <w:r>
      <w:rPr>
        <w:rStyle w:val="PageNumber"/>
      </w:rPr>
      <w:fldChar w:fldCharType="end"/>
    </w:r>
  </w:p>
  <w:p w14:paraId="6EB597E4" w14:textId="77777777" w:rsidR="00F0392F" w:rsidRDefault="00F0392F" w:rsidP="0044018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32A3F" w14:textId="34DD2B72" w:rsidR="00F0392F" w:rsidRDefault="00F0392F" w:rsidP="00DB4ABC">
    <w:pPr>
      <w:pStyle w:val="Header"/>
      <w:tabs>
        <w:tab w:val="clear" w:pos="4680"/>
      </w:tabs>
      <w:spacing w:after="240"/>
    </w:pPr>
    <w:r>
      <w:t>Docket No. RD19-3-000</w:t>
    </w:r>
    <w:r>
      <w:tab/>
    </w:r>
    <w:r w:rsidR="009110E5">
      <w:rPr>
        <w:noProof/>
      </w:rPr>
      <w:fldChar w:fldCharType="begin"/>
    </w:r>
    <w:r w:rsidR="009110E5">
      <w:rPr>
        <w:noProof/>
      </w:rPr>
      <w:instrText xml:space="preserve"> PAGE  \* MERGEFORMAT </w:instrText>
    </w:r>
    <w:r w:rsidR="009110E5">
      <w:rPr>
        <w:noProof/>
      </w:rPr>
      <w:fldChar w:fldCharType="separate"/>
    </w:r>
    <w:r w:rsidR="003E3E69">
      <w:rPr>
        <w:noProof/>
      </w:rPr>
      <w:t>- 2 -</w:t>
    </w:r>
    <w:r w:rsidR="009110E5">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344A7" w14:textId="77777777" w:rsidR="00F0392F" w:rsidRDefault="00F0392F" w:rsidP="00EC3F55">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Symbol"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Symbol"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Symbol" w:hint="default"/>
      </w:rPr>
    </w:lvl>
    <w:lvl w:ilvl="8" w:tplc="04090005"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Symbol"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Symbol"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Symbol" w:hint="default"/>
      </w:rPr>
    </w:lvl>
    <w:lvl w:ilvl="8" w:tplc="04090005"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616859"/>
    <w:multiLevelType w:val="hybridMultilevel"/>
    <w:tmpl w:val="E3584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Symbol"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Symbol"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Symbol" w:hint="default"/>
      </w:rPr>
    </w:lvl>
    <w:lvl w:ilvl="8" w:tplc="04090005" w:tentative="1">
      <w:start w:val="1"/>
      <w:numFmt w:val="bullet"/>
      <w:lvlText w:val=""/>
      <w:lvlJc w:val="left"/>
      <w:pPr>
        <w:ind w:left="15090" w:hanging="360"/>
      </w:pPr>
      <w:rPr>
        <w:rFonts w:ascii="Wingdings" w:hAnsi="Wingdings" w:hint="default"/>
      </w:rPr>
    </w:lvl>
  </w:abstractNum>
  <w:abstractNum w:abstractNumId="16">
    <w:nsid w:val="29847053"/>
    <w:multiLevelType w:val="hybridMultilevel"/>
    <w:tmpl w:val="FCD87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3124C1"/>
    <w:multiLevelType w:val="hybridMultilevel"/>
    <w:tmpl w:val="4D8E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502FF"/>
    <w:multiLevelType w:val="multilevel"/>
    <w:tmpl w:val="635082FE"/>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Symbol"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Symbol"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Symbol"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nsid w:val="669F2B0E"/>
    <w:multiLevelType w:val="hybridMultilevel"/>
    <w:tmpl w:val="EA20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2">
    <w:nsid w:val="767C5790"/>
    <w:multiLevelType w:val="hybridMultilevel"/>
    <w:tmpl w:val="E3F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3B09D3"/>
    <w:multiLevelType w:val="hybridMultilevel"/>
    <w:tmpl w:val="FA38E5B6"/>
    <w:lvl w:ilvl="0" w:tplc="FFDA01B0">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14"/>
  </w:num>
  <w:num w:numId="14">
    <w:abstractNumId w:val="2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5"/>
  </w:num>
  <w:num w:numId="20">
    <w:abstractNumId w:val="12"/>
  </w:num>
  <w:num w:numId="21">
    <w:abstractNumId w:val="24"/>
  </w:num>
  <w:num w:numId="22">
    <w:abstractNumId w:val="2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3"/>
  </w:num>
  <w:num w:numId="27">
    <w:abstractNumId w:val="20"/>
  </w:num>
  <w:num w:numId="28">
    <w:abstractNumId w:val="1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BC"/>
    <w:rsid w:val="000000F4"/>
    <w:rsid w:val="000013E1"/>
    <w:rsid w:val="000018BA"/>
    <w:rsid w:val="00002693"/>
    <w:rsid w:val="00003340"/>
    <w:rsid w:val="0000399C"/>
    <w:rsid w:val="00004D48"/>
    <w:rsid w:val="00006799"/>
    <w:rsid w:val="00006907"/>
    <w:rsid w:val="0000731D"/>
    <w:rsid w:val="0000745F"/>
    <w:rsid w:val="00007F8E"/>
    <w:rsid w:val="0001048A"/>
    <w:rsid w:val="00010FA6"/>
    <w:rsid w:val="000115BD"/>
    <w:rsid w:val="000118C8"/>
    <w:rsid w:val="00013256"/>
    <w:rsid w:val="00014D10"/>
    <w:rsid w:val="00015F6C"/>
    <w:rsid w:val="000167BD"/>
    <w:rsid w:val="00023E9A"/>
    <w:rsid w:val="00027195"/>
    <w:rsid w:val="000306EE"/>
    <w:rsid w:val="000376F2"/>
    <w:rsid w:val="00040075"/>
    <w:rsid w:val="00040F35"/>
    <w:rsid w:val="000411E1"/>
    <w:rsid w:val="00041504"/>
    <w:rsid w:val="000428C4"/>
    <w:rsid w:val="000434E4"/>
    <w:rsid w:val="0005116D"/>
    <w:rsid w:val="000550DC"/>
    <w:rsid w:val="000559C8"/>
    <w:rsid w:val="00055F5F"/>
    <w:rsid w:val="00062A7A"/>
    <w:rsid w:val="00063134"/>
    <w:rsid w:val="00064974"/>
    <w:rsid w:val="00064D42"/>
    <w:rsid w:val="00065F74"/>
    <w:rsid w:val="00070857"/>
    <w:rsid w:val="00070A86"/>
    <w:rsid w:val="00070F10"/>
    <w:rsid w:val="0007144E"/>
    <w:rsid w:val="00086D98"/>
    <w:rsid w:val="0008778D"/>
    <w:rsid w:val="00091D27"/>
    <w:rsid w:val="00094DBF"/>
    <w:rsid w:val="0009598D"/>
    <w:rsid w:val="00097C05"/>
    <w:rsid w:val="00097EE1"/>
    <w:rsid w:val="000A11BA"/>
    <w:rsid w:val="000A1DC9"/>
    <w:rsid w:val="000A43D2"/>
    <w:rsid w:val="000A59E6"/>
    <w:rsid w:val="000A6835"/>
    <w:rsid w:val="000B1754"/>
    <w:rsid w:val="000B309D"/>
    <w:rsid w:val="000B4124"/>
    <w:rsid w:val="000B612D"/>
    <w:rsid w:val="000B658C"/>
    <w:rsid w:val="000B7E62"/>
    <w:rsid w:val="000C0253"/>
    <w:rsid w:val="000C0371"/>
    <w:rsid w:val="000C1CF3"/>
    <w:rsid w:val="000C1EB8"/>
    <w:rsid w:val="000C2899"/>
    <w:rsid w:val="000C3995"/>
    <w:rsid w:val="000C39C6"/>
    <w:rsid w:val="000C7843"/>
    <w:rsid w:val="000D0EE6"/>
    <w:rsid w:val="000D1814"/>
    <w:rsid w:val="000D1D4B"/>
    <w:rsid w:val="000D1FB6"/>
    <w:rsid w:val="000D276E"/>
    <w:rsid w:val="000D3B77"/>
    <w:rsid w:val="000D60FF"/>
    <w:rsid w:val="000D739B"/>
    <w:rsid w:val="000D7DD4"/>
    <w:rsid w:val="000D7E96"/>
    <w:rsid w:val="000E035A"/>
    <w:rsid w:val="000E152A"/>
    <w:rsid w:val="000E2BFA"/>
    <w:rsid w:val="000E4E49"/>
    <w:rsid w:val="000E5968"/>
    <w:rsid w:val="000F06BD"/>
    <w:rsid w:val="000F1160"/>
    <w:rsid w:val="000F3468"/>
    <w:rsid w:val="000F372C"/>
    <w:rsid w:val="000F4514"/>
    <w:rsid w:val="000F5605"/>
    <w:rsid w:val="000F5780"/>
    <w:rsid w:val="000F6C7F"/>
    <w:rsid w:val="000F6E63"/>
    <w:rsid w:val="000F70FB"/>
    <w:rsid w:val="00102752"/>
    <w:rsid w:val="0010517D"/>
    <w:rsid w:val="00105CF0"/>
    <w:rsid w:val="0011030D"/>
    <w:rsid w:val="0011155E"/>
    <w:rsid w:val="0011346E"/>
    <w:rsid w:val="001145B9"/>
    <w:rsid w:val="00115DFB"/>
    <w:rsid w:val="00120603"/>
    <w:rsid w:val="001209EF"/>
    <w:rsid w:val="00122197"/>
    <w:rsid w:val="001223A8"/>
    <w:rsid w:val="00123CF7"/>
    <w:rsid w:val="00123E7D"/>
    <w:rsid w:val="00124BA9"/>
    <w:rsid w:val="0012713F"/>
    <w:rsid w:val="00130CCE"/>
    <w:rsid w:val="0013208C"/>
    <w:rsid w:val="00132D57"/>
    <w:rsid w:val="0014020C"/>
    <w:rsid w:val="001421AA"/>
    <w:rsid w:val="00146A6B"/>
    <w:rsid w:val="00150384"/>
    <w:rsid w:val="001520D4"/>
    <w:rsid w:val="001531BE"/>
    <w:rsid w:val="00154C7A"/>
    <w:rsid w:val="00157164"/>
    <w:rsid w:val="001617B7"/>
    <w:rsid w:val="00161DB4"/>
    <w:rsid w:val="00162D75"/>
    <w:rsid w:val="001647E0"/>
    <w:rsid w:val="001656C2"/>
    <w:rsid w:val="00166E0E"/>
    <w:rsid w:val="00172DB5"/>
    <w:rsid w:val="001732DA"/>
    <w:rsid w:val="001735E9"/>
    <w:rsid w:val="00174759"/>
    <w:rsid w:val="00175341"/>
    <w:rsid w:val="00175BE3"/>
    <w:rsid w:val="001762B4"/>
    <w:rsid w:val="0017696A"/>
    <w:rsid w:val="0017794F"/>
    <w:rsid w:val="00181DF0"/>
    <w:rsid w:val="00182408"/>
    <w:rsid w:val="00183E75"/>
    <w:rsid w:val="00184F56"/>
    <w:rsid w:val="00186921"/>
    <w:rsid w:val="00187B7F"/>
    <w:rsid w:val="001907F3"/>
    <w:rsid w:val="00191617"/>
    <w:rsid w:val="00191739"/>
    <w:rsid w:val="0019292E"/>
    <w:rsid w:val="00193081"/>
    <w:rsid w:val="00193663"/>
    <w:rsid w:val="00194126"/>
    <w:rsid w:val="001A2442"/>
    <w:rsid w:val="001A2AF1"/>
    <w:rsid w:val="001A3330"/>
    <w:rsid w:val="001A33D6"/>
    <w:rsid w:val="001A3420"/>
    <w:rsid w:val="001A3B17"/>
    <w:rsid w:val="001A48E7"/>
    <w:rsid w:val="001A4DA2"/>
    <w:rsid w:val="001A4FE8"/>
    <w:rsid w:val="001A6587"/>
    <w:rsid w:val="001A6E94"/>
    <w:rsid w:val="001B1FE9"/>
    <w:rsid w:val="001B2C6D"/>
    <w:rsid w:val="001B362D"/>
    <w:rsid w:val="001B4529"/>
    <w:rsid w:val="001B4FB2"/>
    <w:rsid w:val="001C0C1D"/>
    <w:rsid w:val="001C2FBB"/>
    <w:rsid w:val="001C41C8"/>
    <w:rsid w:val="001C4EE1"/>
    <w:rsid w:val="001C5868"/>
    <w:rsid w:val="001C5A3B"/>
    <w:rsid w:val="001C6E50"/>
    <w:rsid w:val="001C746D"/>
    <w:rsid w:val="001D1B26"/>
    <w:rsid w:val="001D264B"/>
    <w:rsid w:val="001D3B0D"/>
    <w:rsid w:val="001D6538"/>
    <w:rsid w:val="001D7928"/>
    <w:rsid w:val="001E0DA8"/>
    <w:rsid w:val="001E2579"/>
    <w:rsid w:val="001E4099"/>
    <w:rsid w:val="001E4878"/>
    <w:rsid w:val="001E4D89"/>
    <w:rsid w:val="001E59F9"/>
    <w:rsid w:val="001E63C9"/>
    <w:rsid w:val="001F0E84"/>
    <w:rsid w:val="001F4617"/>
    <w:rsid w:val="001F49C7"/>
    <w:rsid w:val="001F51A0"/>
    <w:rsid w:val="001F5CC6"/>
    <w:rsid w:val="001F7E40"/>
    <w:rsid w:val="001F7F29"/>
    <w:rsid w:val="0020043D"/>
    <w:rsid w:val="00204720"/>
    <w:rsid w:val="00204AC0"/>
    <w:rsid w:val="00206B06"/>
    <w:rsid w:val="002133FF"/>
    <w:rsid w:val="002136E7"/>
    <w:rsid w:val="00214E13"/>
    <w:rsid w:val="00216C96"/>
    <w:rsid w:val="002175AE"/>
    <w:rsid w:val="00217A6D"/>
    <w:rsid w:val="00222479"/>
    <w:rsid w:val="0022353D"/>
    <w:rsid w:val="00224859"/>
    <w:rsid w:val="00225A12"/>
    <w:rsid w:val="00232A9D"/>
    <w:rsid w:val="00233AC3"/>
    <w:rsid w:val="002354E4"/>
    <w:rsid w:val="00235623"/>
    <w:rsid w:val="00235CB0"/>
    <w:rsid w:val="0023707A"/>
    <w:rsid w:val="00240493"/>
    <w:rsid w:val="00241B2C"/>
    <w:rsid w:val="002421CA"/>
    <w:rsid w:val="002439EC"/>
    <w:rsid w:val="00244A2C"/>
    <w:rsid w:val="0024715C"/>
    <w:rsid w:val="00247A3D"/>
    <w:rsid w:val="00250FA2"/>
    <w:rsid w:val="002523DB"/>
    <w:rsid w:val="00252EA5"/>
    <w:rsid w:val="00254EEE"/>
    <w:rsid w:val="00255417"/>
    <w:rsid w:val="00257BF4"/>
    <w:rsid w:val="0026147F"/>
    <w:rsid w:val="002625FA"/>
    <w:rsid w:val="00262C84"/>
    <w:rsid w:val="00262FED"/>
    <w:rsid w:val="002645B8"/>
    <w:rsid w:val="00264F8A"/>
    <w:rsid w:val="0026680A"/>
    <w:rsid w:val="00267328"/>
    <w:rsid w:val="002704A6"/>
    <w:rsid w:val="00277CF3"/>
    <w:rsid w:val="002817CE"/>
    <w:rsid w:val="00286DFB"/>
    <w:rsid w:val="00287E61"/>
    <w:rsid w:val="0029127C"/>
    <w:rsid w:val="00292D7B"/>
    <w:rsid w:val="002932D8"/>
    <w:rsid w:val="0029432F"/>
    <w:rsid w:val="00294389"/>
    <w:rsid w:val="00294489"/>
    <w:rsid w:val="002A0B4A"/>
    <w:rsid w:val="002A0D73"/>
    <w:rsid w:val="002A2AB4"/>
    <w:rsid w:val="002A32D1"/>
    <w:rsid w:val="002A33D2"/>
    <w:rsid w:val="002A372B"/>
    <w:rsid w:val="002A4489"/>
    <w:rsid w:val="002A5C43"/>
    <w:rsid w:val="002B1D30"/>
    <w:rsid w:val="002B1E17"/>
    <w:rsid w:val="002B30C6"/>
    <w:rsid w:val="002B35F2"/>
    <w:rsid w:val="002B45D4"/>
    <w:rsid w:val="002B5E16"/>
    <w:rsid w:val="002C3C8D"/>
    <w:rsid w:val="002C46B8"/>
    <w:rsid w:val="002C5273"/>
    <w:rsid w:val="002C733F"/>
    <w:rsid w:val="002C7704"/>
    <w:rsid w:val="002C78CF"/>
    <w:rsid w:val="002D032E"/>
    <w:rsid w:val="002D206A"/>
    <w:rsid w:val="002D269E"/>
    <w:rsid w:val="002D358E"/>
    <w:rsid w:val="002D3DA5"/>
    <w:rsid w:val="002D5250"/>
    <w:rsid w:val="002D5288"/>
    <w:rsid w:val="002D75AD"/>
    <w:rsid w:val="002D7804"/>
    <w:rsid w:val="002E1D30"/>
    <w:rsid w:val="002E27AD"/>
    <w:rsid w:val="002E703B"/>
    <w:rsid w:val="002E7997"/>
    <w:rsid w:val="002F2DD0"/>
    <w:rsid w:val="002F350F"/>
    <w:rsid w:val="002F5F0F"/>
    <w:rsid w:val="003001D0"/>
    <w:rsid w:val="003009F8"/>
    <w:rsid w:val="003010DB"/>
    <w:rsid w:val="00301D68"/>
    <w:rsid w:val="003031DA"/>
    <w:rsid w:val="00304027"/>
    <w:rsid w:val="003102FF"/>
    <w:rsid w:val="00316257"/>
    <w:rsid w:val="00320470"/>
    <w:rsid w:val="00320F6B"/>
    <w:rsid w:val="00321FF0"/>
    <w:rsid w:val="0032245A"/>
    <w:rsid w:val="00324DEA"/>
    <w:rsid w:val="00325905"/>
    <w:rsid w:val="0032643B"/>
    <w:rsid w:val="00331343"/>
    <w:rsid w:val="00333853"/>
    <w:rsid w:val="00334034"/>
    <w:rsid w:val="00335933"/>
    <w:rsid w:val="003429CC"/>
    <w:rsid w:val="003437BD"/>
    <w:rsid w:val="0034570A"/>
    <w:rsid w:val="00345940"/>
    <w:rsid w:val="003463EF"/>
    <w:rsid w:val="003478CF"/>
    <w:rsid w:val="00350FC8"/>
    <w:rsid w:val="003512F9"/>
    <w:rsid w:val="003520AD"/>
    <w:rsid w:val="00353BDC"/>
    <w:rsid w:val="003543CD"/>
    <w:rsid w:val="00356CCB"/>
    <w:rsid w:val="003573BF"/>
    <w:rsid w:val="00360419"/>
    <w:rsid w:val="00360AA1"/>
    <w:rsid w:val="00360B15"/>
    <w:rsid w:val="003610B0"/>
    <w:rsid w:val="003612FD"/>
    <w:rsid w:val="00364E6F"/>
    <w:rsid w:val="00370A7E"/>
    <w:rsid w:val="00370D15"/>
    <w:rsid w:val="00371880"/>
    <w:rsid w:val="003725DD"/>
    <w:rsid w:val="00373B59"/>
    <w:rsid w:val="00374532"/>
    <w:rsid w:val="00374868"/>
    <w:rsid w:val="00374A84"/>
    <w:rsid w:val="00375DF4"/>
    <w:rsid w:val="00381213"/>
    <w:rsid w:val="0038138D"/>
    <w:rsid w:val="00382A47"/>
    <w:rsid w:val="003830CE"/>
    <w:rsid w:val="00385E2D"/>
    <w:rsid w:val="00386E84"/>
    <w:rsid w:val="00392263"/>
    <w:rsid w:val="0039262E"/>
    <w:rsid w:val="003937F3"/>
    <w:rsid w:val="003944B1"/>
    <w:rsid w:val="00394873"/>
    <w:rsid w:val="0039571B"/>
    <w:rsid w:val="00396E99"/>
    <w:rsid w:val="0039707B"/>
    <w:rsid w:val="00397C7D"/>
    <w:rsid w:val="003A15D6"/>
    <w:rsid w:val="003A4F2B"/>
    <w:rsid w:val="003A568F"/>
    <w:rsid w:val="003B05C1"/>
    <w:rsid w:val="003B0D5C"/>
    <w:rsid w:val="003B13B2"/>
    <w:rsid w:val="003B2445"/>
    <w:rsid w:val="003B56B1"/>
    <w:rsid w:val="003B580E"/>
    <w:rsid w:val="003B593C"/>
    <w:rsid w:val="003B7AB1"/>
    <w:rsid w:val="003B7BEE"/>
    <w:rsid w:val="003C0BAC"/>
    <w:rsid w:val="003C1E32"/>
    <w:rsid w:val="003C294A"/>
    <w:rsid w:val="003C3A1E"/>
    <w:rsid w:val="003C505B"/>
    <w:rsid w:val="003C789D"/>
    <w:rsid w:val="003D233D"/>
    <w:rsid w:val="003D3478"/>
    <w:rsid w:val="003D3A6C"/>
    <w:rsid w:val="003D409B"/>
    <w:rsid w:val="003D6214"/>
    <w:rsid w:val="003D6C12"/>
    <w:rsid w:val="003E0709"/>
    <w:rsid w:val="003E10A2"/>
    <w:rsid w:val="003E1917"/>
    <w:rsid w:val="003E242B"/>
    <w:rsid w:val="003E2B40"/>
    <w:rsid w:val="003E3E34"/>
    <w:rsid w:val="003E3E69"/>
    <w:rsid w:val="003E494B"/>
    <w:rsid w:val="003E4ACD"/>
    <w:rsid w:val="003E4B7F"/>
    <w:rsid w:val="003E5211"/>
    <w:rsid w:val="003E6B4E"/>
    <w:rsid w:val="003F2072"/>
    <w:rsid w:val="003F23F2"/>
    <w:rsid w:val="003F2456"/>
    <w:rsid w:val="003F31D2"/>
    <w:rsid w:val="003F3716"/>
    <w:rsid w:val="003F4474"/>
    <w:rsid w:val="003F4845"/>
    <w:rsid w:val="00401EBB"/>
    <w:rsid w:val="00402B9A"/>
    <w:rsid w:val="00404439"/>
    <w:rsid w:val="00404ABD"/>
    <w:rsid w:val="004067AD"/>
    <w:rsid w:val="00406CF8"/>
    <w:rsid w:val="004114BC"/>
    <w:rsid w:val="00411CC4"/>
    <w:rsid w:val="00413193"/>
    <w:rsid w:val="0041553E"/>
    <w:rsid w:val="00415CA6"/>
    <w:rsid w:val="004335B1"/>
    <w:rsid w:val="0043519F"/>
    <w:rsid w:val="00436A3E"/>
    <w:rsid w:val="00437C86"/>
    <w:rsid w:val="00440185"/>
    <w:rsid w:val="00440B41"/>
    <w:rsid w:val="00440D78"/>
    <w:rsid w:val="00441A7C"/>
    <w:rsid w:val="004420F6"/>
    <w:rsid w:val="0044359A"/>
    <w:rsid w:val="00443BD6"/>
    <w:rsid w:val="00443D0B"/>
    <w:rsid w:val="00445E33"/>
    <w:rsid w:val="00450800"/>
    <w:rsid w:val="00451486"/>
    <w:rsid w:val="00453578"/>
    <w:rsid w:val="00455234"/>
    <w:rsid w:val="00455E55"/>
    <w:rsid w:val="00455EF9"/>
    <w:rsid w:val="00460588"/>
    <w:rsid w:val="0046133D"/>
    <w:rsid w:val="004643BA"/>
    <w:rsid w:val="004645D5"/>
    <w:rsid w:val="00466989"/>
    <w:rsid w:val="00467500"/>
    <w:rsid w:val="00467B97"/>
    <w:rsid w:val="0047184B"/>
    <w:rsid w:val="0047488D"/>
    <w:rsid w:val="0047523F"/>
    <w:rsid w:val="004758A9"/>
    <w:rsid w:val="00475C79"/>
    <w:rsid w:val="00476348"/>
    <w:rsid w:val="00477399"/>
    <w:rsid w:val="004774BE"/>
    <w:rsid w:val="0048020B"/>
    <w:rsid w:val="0048028A"/>
    <w:rsid w:val="00481CDC"/>
    <w:rsid w:val="0048255B"/>
    <w:rsid w:val="00482AD1"/>
    <w:rsid w:val="004864DA"/>
    <w:rsid w:val="004872BC"/>
    <w:rsid w:val="004874A4"/>
    <w:rsid w:val="00487806"/>
    <w:rsid w:val="00487D14"/>
    <w:rsid w:val="00487D5C"/>
    <w:rsid w:val="00491134"/>
    <w:rsid w:val="00493667"/>
    <w:rsid w:val="00494355"/>
    <w:rsid w:val="00495E07"/>
    <w:rsid w:val="00497A25"/>
    <w:rsid w:val="004A03E5"/>
    <w:rsid w:val="004A13A8"/>
    <w:rsid w:val="004A503D"/>
    <w:rsid w:val="004A5396"/>
    <w:rsid w:val="004B085E"/>
    <w:rsid w:val="004B0BFF"/>
    <w:rsid w:val="004B4ED2"/>
    <w:rsid w:val="004C08AA"/>
    <w:rsid w:val="004C190E"/>
    <w:rsid w:val="004C429F"/>
    <w:rsid w:val="004C456B"/>
    <w:rsid w:val="004C4DD5"/>
    <w:rsid w:val="004C6A9F"/>
    <w:rsid w:val="004C717C"/>
    <w:rsid w:val="004C7A63"/>
    <w:rsid w:val="004D1EE8"/>
    <w:rsid w:val="004D35E8"/>
    <w:rsid w:val="004D3E1B"/>
    <w:rsid w:val="004D5233"/>
    <w:rsid w:val="004D7D21"/>
    <w:rsid w:val="004E0C67"/>
    <w:rsid w:val="004E0FAD"/>
    <w:rsid w:val="004E1DD6"/>
    <w:rsid w:val="004E2809"/>
    <w:rsid w:val="004E35E7"/>
    <w:rsid w:val="004E58B0"/>
    <w:rsid w:val="004E7471"/>
    <w:rsid w:val="004F026F"/>
    <w:rsid w:val="004F52A1"/>
    <w:rsid w:val="004F7C45"/>
    <w:rsid w:val="005027D2"/>
    <w:rsid w:val="00502870"/>
    <w:rsid w:val="00505893"/>
    <w:rsid w:val="005078E0"/>
    <w:rsid w:val="00507F8E"/>
    <w:rsid w:val="005109AB"/>
    <w:rsid w:val="00511D4B"/>
    <w:rsid w:val="00512AAE"/>
    <w:rsid w:val="00513E14"/>
    <w:rsid w:val="005154C1"/>
    <w:rsid w:val="00521DD2"/>
    <w:rsid w:val="0052229F"/>
    <w:rsid w:val="005225D3"/>
    <w:rsid w:val="0052351B"/>
    <w:rsid w:val="00523FE1"/>
    <w:rsid w:val="00530244"/>
    <w:rsid w:val="00531569"/>
    <w:rsid w:val="00531A7E"/>
    <w:rsid w:val="00533081"/>
    <w:rsid w:val="005338C2"/>
    <w:rsid w:val="0053493D"/>
    <w:rsid w:val="00541146"/>
    <w:rsid w:val="00541B01"/>
    <w:rsid w:val="00542CCE"/>
    <w:rsid w:val="005448CF"/>
    <w:rsid w:val="00545030"/>
    <w:rsid w:val="00545AF1"/>
    <w:rsid w:val="00545B96"/>
    <w:rsid w:val="00545CC2"/>
    <w:rsid w:val="00546C4D"/>
    <w:rsid w:val="00550E4D"/>
    <w:rsid w:val="00551473"/>
    <w:rsid w:val="00552A27"/>
    <w:rsid w:val="00554EDD"/>
    <w:rsid w:val="00556625"/>
    <w:rsid w:val="005609A5"/>
    <w:rsid w:val="00565374"/>
    <w:rsid w:val="00565948"/>
    <w:rsid w:val="0056683F"/>
    <w:rsid w:val="0056708E"/>
    <w:rsid w:val="00571876"/>
    <w:rsid w:val="00571D6D"/>
    <w:rsid w:val="0057335E"/>
    <w:rsid w:val="0057433F"/>
    <w:rsid w:val="0057438B"/>
    <w:rsid w:val="00576A54"/>
    <w:rsid w:val="005776E5"/>
    <w:rsid w:val="00577DC6"/>
    <w:rsid w:val="005816F4"/>
    <w:rsid w:val="00581715"/>
    <w:rsid w:val="0058228D"/>
    <w:rsid w:val="005833BA"/>
    <w:rsid w:val="005834BC"/>
    <w:rsid w:val="00583927"/>
    <w:rsid w:val="005844C1"/>
    <w:rsid w:val="00585174"/>
    <w:rsid w:val="00585AC0"/>
    <w:rsid w:val="00586ADF"/>
    <w:rsid w:val="0059038C"/>
    <w:rsid w:val="00590521"/>
    <w:rsid w:val="0059190A"/>
    <w:rsid w:val="00592422"/>
    <w:rsid w:val="005937B3"/>
    <w:rsid w:val="00594E87"/>
    <w:rsid w:val="005A14DB"/>
    <w:rsid w:val="005A2C93"/>
    <w:rsid w:val="005A45FF"/>
    <w:rsid w:val="005A4CD3"/>
    <w:rsid w:val="005A4FAB"/>
    <w:rsid w:val="005A5E83"/>
    <w:rsid w:val="005A6F7C"/>
    <w:rsid w:val="005A7DC0"/>
    <w:rsid w:val="005B130C"/>
    <w:rsid w:val="005B18B2"/>
    <w:rsid w:val="005B40A6"/>
    <w:rsid w:val="005C01B7"/>
    <w:rsid w:val="005C0B70"/>
    <w:rsid w:val="005C3183"/>
    <w:rsid w:val="005C4DE7"/>
    <w:rsid w:val="005C57A4"/>
    <w:rsid w:val="005C782C"/>
    <w:rsid w:val="005D3004"/>
    <w:rsid w:val="005D532E"/>
    <w:rsid w:val="005D6A16"/>
    <w:rsid w:val="005D7C39"/>
    <w:rsid w:val="005E01AB"/>
    <w:rsid w:val="005E13DF"/>
    <w:rsid w:val="005E4C65"/>
    <w:rsid w:val="005E6904"/>
    <w:rsid w:val="005E7CD2"/>
    <w:rsid w:val="005F08B1"/>
    <w:rsid w:val="005F20A8"/>
    <w:rsid w:val="005F34C6"/>
    <w:rsid w:val="005F3CFF"/>
    <w:rsid w:val="005F4318"/>
    <w:rsid w:val="005F4F8E"/>
    <w:rsid w:val="005F54A4"/>
    <w:rsid w:val="005F590E"/>
    <w:rsid w:val="005F59DD"/>
    <w:rsid w:val="00601CCD"/>
    <w:rsid w:val="0060255D"/>
    <w:rsid w:val="00602DB4"/>
    <w:rsid w:val="00604499"/>
    <w:rsid w:val="006074E4"/>
    <w:rsid w:val="006106ED"/>
    <w:rsid w:val="006112D1"/>
    <w:rsid w:val="006125D4"/>
    <w:rsid w:val="006141F7"/>
    <w:rsid w:val="00614884"/>
    <w:rsid w:val="00616559"/>
    <w:rsid w:val="00620DAC"/>
    <w:rsid w:val="00621BF3"/>
    <w:rsid w:val="006223D6"/>
    <w:rsid w:val="00622BF8"/>
    <w:rsid w:val="00622D42"/>
    <w:rsid w:val="00624B34"/>
    <w:rsid w:val="00625B93"/>
    <w:rsid w:val="00626B1A"/>
    <w:rsid w:val="006276E4"/>
    <w:rsid w:val="00627DAC"/>
    <w:rsid w:val="00634305"/>
    <w:rsid w:val="00634556"/>
    <w:rsid w:val="00635510"/>
    <w:rsid w:val="00637661"/>
    <w:rsid w:val="00637999"/>
    <w:rsid w:val="00637E4B"/>
    <w:rsid w:val="00642342"/>
    <w:rsid w:val="00644B7A"/>
    <w:rsid w:val="00645063"/>
    <w:rsid w:val="006451A5"/>
    <w:rsid w:val="006474FD"/>
    <w:rsid w:val="0065124F"/>
    <w:rsid w:val="006522B0"/>
    <w:rsid w:val="006549CD"/>
    <w:rsid w:val="00654A56"/>
    <w:rsid w:val="00655A79"/>
    <w:rsid w:val="0066106F"/>
    <w:rsid w:val="00662C14"/>
    <w:rsid w:val="00664511"/>
    <w:rsid w:val="00664778"/>
    <w:rsid w:val="006647F5"/>
    <w:rsid w:val="00667B22"/>
    <w:rsid w:val="00672008"/>
    <w:rsid w:val="00672F25"/>
    <w:rsid w:val="0067304E"/>
    <w:rsid w:val="006745E5"/>
    <w:rsid w:val="006764DB"/>
    <w:rsid w:val="00676700"/>
    <w:rsid w:val="00677920"/>
    <w:rsid w:val="00677A0E"/>
    <w:rsid w:val="006808FF"/>
    <w:rsid w:val="00681181"/>
    <w:rsid w:val="006826EB"/>
    <w:rsid w:val="00683A9A"/>
    <w:rsid w:val="00685FF9"/>
    <w:rsid w:val="006873A9"/>
    <w:rsid w:val="00691DED"/>
    <w:rsid w:val="0069384E"/>
    <w:rsid w:val="0069432C"/>
    <w:rsid w:val="0069435C"/>
    <w:rsid w:val="006954F8"/>
    <w:rsid w:val="006A18B6"/>
    <w:rsid w:val="006A2A09"/>
    <w:rsid w:val="006A3582"/>
    <w:rsid w:val="006A547D"/>
    <w:rsid w:val="006A55A9"/>
    <w:rsid w:val="006A591A"/>
    <w:rsid w:val="006A5B0F"/>
    <w:rsid w:val="006A5ED6"/>
    <w:rsid w:val="006A5FF3"/>
    <w:rsid w:val="006B20EE"/>
    <w:rsid w:val="006B4826"/>
    <w:rsid w:val="006B4AD9"/>
    <w:rsid w:val="006B5B8D"/>
    <w:rsid w:val="006B72A8"/>
    <w:rsid w:val="006B7611"/>
    <w:rsid w:val="006B7A8D"/>
    <w:rsid w:val="006C01D5"/>
    <w:rsid w:val="006C1D8C"/>
    <w:rsid w:val="006C2CF2"/>
    <w:rsid w:val="006C3130"/>
    <w:rsid w:val="006C346C"/>
    <w:rsid w:val="006C443A"/>
    <w:rsid w:val="006C51D5"/>
    <w:rsid w:val="006C560F"/>
    <w:rsid w:val="006C7F5E"/>
    <w:rsid w:val="006C7F80"/>
    <w:rsid w:val="006D1A35"/>
    <w:rsid w:val="006D2299"/>
    <w:rsid w:val="006D40C0"/>
    <w:rsid w:val="006D432E"/>
    <w:rsid w:val="006D5B0E"/>
    <w:rsid w:val="006E28B9"/>
    <w:rsid w:val="006E395F"/>
    <w:rsid w:val="006E4894"/>
    <w:rsid w:val="006E494B"/>
    <w:rsid w:val="006E6044"/>
    <w:rsid w:val="006E7B3F"/>
    <w:rsid w:val="006E7CC9"/>
    <w:rsid w:val="006F066D"/>
    <w:rsid w:val="006F0AFA"/>
    <w:rsid w:val="006F1B52"/>
    <w:rsid w:val="006F3767"/>
    <w:rsid w:val="006F42DE"/>
    <w:rsid w:val="006F4417"/>
    <w:rsid w:val="006F4776"/>
    <w:rsid w:val="006F55BD"/>
    <w:rsid w:val="006F65DD"/>
    <w:rsid w:val="006F6A11"/>
    <w:rsid w:val="00700D68"/>
    <w:rsid w:val="00703A56"/>
    <w:rsid w:val="00704521"/>
    <w:rsid w:val="00707044"/>
    <w:rsid w:val="00710A58"/>
    <w:rsid w:val="007116AC"/>
    <w:rsid w:val="007124A2"/>
    <w:rsid w:val="007173A4"/>
    <w:rsid w:val="0072283F"/>
    <w:rsid w:val="007230D6"/>
    <w:rsid w:val="00723E4B"/>
    <w:rsid w:val="00724152"/>
    <w:rsid w:val="00724553"/>
    <w:rsid w:val="00724EAD"/>
    <w:rsid w:val="00730ED8"/>
    <w:rsid w:val="00732E2C"/>
    <w:rsid w:val="00734468"/>
    <w:rsid w:val="00734E2F"/>
    <w:rsid w:val="00735ECF"/>
    <w:rsid w:val="00736BB4"/>
    <w:rsid w:val="00736DE9"/>
    <w:rsid w:val="007405FB"/>
    <w:rsid w:val="00743A10"/>
    <w:rsid w:val="007465A9"/>
    <w:rsid w:val="00747686"/>
    <w:rsid w:val="00751BC3"/>
    <w:rsid w:val="00754382"/>
    <w:rsid w:val="00754A0D"/>
    <w:rsid w:val="00754C57"/>
    <w:rsid w:val="007552C1"/>
    <w:rsid w:val="007562E2"/>
    <w:rsid w:val="007567C4"/>
    <w:rsid w:val="007573DE"/>
    <w:rsid w:val="0076328E"/>
    <w:rsid w:val="0076426A"/>
    <w:rsid w:val="0076561E"/>
    <w:rsid w:val="007661B0"/>
    <w:rsid w:val="00770E5F"/>
    <w:rsid w:val="00772893"/>
    <w:rsid w:val="0078072A"/>
    <w:rsid w:val="00780A45"/>
    <w:rsid w:val="00780CBA"/>
    <w:rsid w:val="00783F5A"/>
    <w:rsid w:val="0078565B"/>
    <w:rsid w:val="007857F3"/>
    <w:rsid w:val="00785A21"/>
    <w:rsid w:val="00786032"/>
    <w:rsid w:val="00786118"/>
    <w:rsid w:val="007876E3"/>
    <w:rsid w:val="00790145"/>
    <w:rsid w:val="00790F68"/>
    <w:rsid w:val="007928AD"/>
    <w:rsid w:val="00792EDE"/>
    <w:rsid w:val="00795E7D"/>
    <w:rsid w:val="007A0174"/>
    <w:rsid w:val="007A0192"/>
    <w:rsid w:val="007A2C40"/>
    <w:rsid w:val="007A4EB5"/>
    <w:rsid w:val="007B1078"/>
    <w:rsid w:val="007B33A7"/>
    <w:rsid w:val="007B4019"/>
    <w:rsid w:val="007B4510"/>
    <w:rsid w:val="007B71E9"/>
    <w:rsid w:val="007B7E8A"/>
    <w:rsid w:val="007B7FAE"/>
    <w:rsid w:val="007C1702"/>
    <w:rsid w:val="007C20A2"/>
    <w:rsid w:val="007C3131"/>
    <w:rsid w:val="007C3361"/>
    <w:rsid w:val="007C41D1"/>
    <w:rsid w:val="007C48C7"/>
    <w:rsid w:val="007C5221"/>
    <w:rsid w:val="007C5DBF"/>
    <w:rsid w:val="007C631C"/>
    <w:rsid w:val="007C6619"/>
    <w:rsid w:val="007C69D6"/>
    <w:rsid w:val="007C6A3A"/>
    <w:rsid w:val="007C6F9B"/>
    <w:rsid w:val="007D23DD"/>
    <w:rsid w:val="007D3591"/>
    <w:rsid w:val="007D3C1B"/>
    <w:rsid w:val="007D6683"/>
    <w:rsid w:val="007E167E"/>
    <w:rsid w:val="007E1979"/>
    <w:rsid w:val="007E2185"/>
    <w:rsid w:val="007E291E"/>
    <w:rsid w:val="007E6167"/>
    <w:rsid w:val="007E74C5"/>
    <w:rsid w:val="007F100F"/>
    <w:rsid w:val="007F11EA"/>
    <w:rsid w:val="007F2DCD"/>
    <w:rsid w:val="007F32C6"/>
    <w:rsid w:val="007F7CC3"/>
    <w:rsid w:val="00802309"/>
    <w:rsid w:val="00802C55"/>
    <w:rsid w:val="00803C70"/>
    <w:rsid w:val="00803CB6"/>
    <w:rsid w:val="008042F7"/>
    <w:rsid w:val="008043DE"/>
    <w:rsid w:val="0080606A"/>
    <w:rsid w:val="00806193"/>
    <w:rsid w:val="00812E0A"/>
    <w:rsid w:val="0081322F"/>
    <w:rsid w:val="0081352B"/>
    <w:rsid w:val="00813640"/>
    <w:rsid w:val="00814514"/>
    <w:rsid w:val="00822764"/>
    <w:rsid w:val="00822C28"/>
    <w:rsid w:val="008237E2"/>
    <w:rsid w:val="00825E7F"/>
    <w:rsid w:val="008264FF"/>
    <w:rsid w:val="008266B2"/>
    <w:rsid w:val="00826A71"/>
    <w:rsid w:val="0082720A"/>
    <w:rsid w:val="00827BAD"/>
    <w:rsid w:val="00830BC7"/>
    <w:rsid w:val="0083130D"/>
    <w:rsid w:val="00832A06"/>
    <w:rsid w:val="00833ECA"/>
    <w:rsid w:val="00834DCB"/>
    <w:rsid w:val="00835949"/>
    <w:rsid w:val="00836673"/>
    <w:rsid w:val="00836B98"/>
    <w:rsid w:val="00837F55"/>
    <w:rsid w:val="00840C42"/>
    <w:rsid w:val="00840CDE"/>
    <w:rsid w:val="00841BF7"/>
    <w:rsid w:val="00842056"/>
    <w:rsid w:val="00843258"/>
    <w:rsid w:val="00844893"/>
    <w:rsid w:val="00844F10"/>
    <w:rsid w:val="00845186"/>
    <w:rsid w:val="00846FDC"/>
    <w:rsid w:val="00850ACC"/>
    <w:rsid w:val="00850F25"/>
    <w:rsid w:val="00851002"/>
    <w:rsid w:val="008513D8"/>
    <w:rsid w:val="00851594"/>
    <w:rsid w:val="008528A3"/>
    <w:rsid w:val="008561D7"/>
    <w:rsid w:val="00860B22"/>
    <w:rsid w:val="00862457"/>
    <w:rsid w:val="00862A5A"/>
    <w:rsid w:val="00862CE0"/>
    <w:rsid w:val="0086319A"/>
    <w:rsid w:val="0086340D"/>
    <w:rsid w:val="008636FC"/>
    <w:rsid w:val="00863B58"/>
    <w:rsid w:val="00863DB6"/>
    <w:rsid w:val="00865869"/>
    <w:rsid w:val="0086648E"/>
    <w:rsid w:val="00866624"/>
    <w:rsid w:val="00870C1B"/>
    <w:rsid w:val="00872A2D"/>
    <w:rsid w:val="00874FB1"/>
    <w:rsid w:val="0087656B"/>
    <w:rsid w:val="008771F4"/>
    <w:rsid w:val="00881E3C"/>
    <w:rsid w:val="0088357D"/>
    <w:rsid w:val="00884CF5"/>
    <w:rsid w:val="00886187"/>
    <w:rsid w:val="0088740E"/>
    <w:rsid w:val="00890E54"/>
    <w:rsid w:val="00892A4E"/>
    <w:rsid w:val="00896A4C"/>
    <w:rsid w:val="0089797F"/>
    <w:rsid w:val="008A1E61"/>
    <w:rsid w:val="008A23C9"/>
    <w:rsid w:val="008A26AB"/>
    <w:rsid w:val="008A3488"/>
    <w:rsid w:val="008A39F8"/>
    <w:rsid w:val="008A59C8"/>
    <w:rsid w:val="008A5C5C"/>
    <w:rsid w:val="008B0754"/>
    <w:rsid w:val="008B16B0"/>
    <w:rsid w:val="008B24CC"/>
    <w:rsid w:val="008B32A9"/>
    <w:rsid w:val="008B487E"/>
    <w:rsid w:val="008B4C59"/>
    <w:rsid w:val="008B5141"/>
    <w:rsid w:val="008B6417"/>
    <w:rsid w:val="008C0AC2"/>
    <w:rsid w:val="008C0AF4"/>
    <w:rsid w:val="008C0DAB"/>
    <w:rsid w:val="008C2548"/>
    <w:rsid w:val="008C2EDB"/>
    <w:rsid w:val="008C3042"/>
    <w:rsid w:val="008C6C9A"/>
    <w:rsid w:val="008D0153"/>
    <w:rsid w:val="008D06B8"/>
    <w:rsid w:val="008D1B64"/>
    <w:rsid w:val="008D20D1"/>
    <w:rsid w:val="008D4162"/>
    <w:rsid w:val="008D789D"/>
    <w:rsid w:val="008E2412"/>
    <w:rsid w:val="008E2A6A"/>
    <w:rsid w:val="008E548A"/>
    <w:rsid w:val="008E57E3"/>
    <w:rsid w:val="008E6FAD"/>
    <w:rsid w:val="008F007F"/>
    <w:rsid w:val="008F42EC"/>
    <w:rsid w:val="008F430E"/>
    <w:rsid w:val="008F4B82"/>
    <w:rsid w:val="008F4D40"/>
    <w:rsid w:val="008F4DCC"/>
    <w:rsid w:val="008F5096"/>
    <w:rsid w:val="008F6C24"/>
    <w:rsid w:val="00901AAE"/>
    <w:rsid w:val="0090478A"/>
    <w:rsid w:val="00907869"/>
    <w:rsid w:val="00907BE5"/>
    <w:rsid w:val="009102A7"/>
    <w:rsid w:val="00910C85"/>
    <w:rsid w:val="009110E5"/>
    <w:rsid w:val="00911D86"/>
    <w:rsid w:val="009143A0"/>
    <w:rsid w:val="00915863"/>
    <w:rsid w:val="00916ED7"/>
    <w:rsid w:val="009173C8"/>
    <w:rsid w:val="00923C16"/>
    <w:rsid w:val="009265BA"/>
    <w:rsid w:val="00930EF7"/>
    <w:rsid w:val="009317B8"/>
    <w:rsid w:val="00931A65"/>
    <w:rsid w:val="0093405F"/>
    <w:rsid w:val="00934284"/>
    <w:rsid w:val="0093548B"/>
    <w:rsid w:val="009360D6"/>
    <w:rsid w:val="00937389"/>
    <w:rsid w:val="00941336"/>
    <w:rsid w:val="009429DD"/>
    <w:rsid w:val="00944123"/>
    <w:rsid w:val="009466EE"/>
    <w:rsid w:val="00946A97"/>
    <w:rsid w:val="0095227C"/>
    <w:rsid w:val="00955FCC"/>
    <w:rsid w:val="00956DB8"/>
    <w:rsid w:val="009575E1"/>
    <w:rsid w:val="0095766D"/>
    <w:rsid w:val="00960650"/>
    <w:rsid w:val="00960BC7"/>
    <w:rsid w:val="009632C9"/>
    <w:rsid w:val="00964812"/>
    <w:rsid w:val="00971269"/>
    <w:rsid w:val="009720ED"/>
    <w:rsid w:val="0097354A"/>
    <w:rsid w:val="00975B44"/>
    <w:rsid w:val="00976312"/>
    <w:rsid w:val="0097655B"/>
    <w:rsid w:val="0097667C"/>
    <w:rsid w:val="00977184"/>
    <w:rsid w:val="0097718F"/>
    <w:rsid w:val="0097731A"/>
    <w:rsid w:val="009802C9"/>
    <w:rsid w:val="00985864"/>
    <w:rsid w:val="00985ABF"/>
    <w:rsid w:val="00993055"/>
    <w:rsid w:val="00995D77"/>
    <w:rsid w:val="009967F2"/>
    <w:rsid w:val="00997790"/>
    <w:rsid w:val="00997C93"/>
    <w:rsid w:val="009A2FA8"/>
    <w:rsid w:val="009A66D0"/>
    <w:rsid w:val="009B01FC"/>
    <w:rsid w:val="009B1106"/>
    <w:rsid w:val="009B1BFE"/>
    <w:rsid w:val="009B2A87"/>
    <w:rsid w:val="009B2AEA"/>
    <w:rsid w:val="009C1152"/>
    <w:rsid w:val="009C2104"/>
    <w:rsid w:val="009C3195"/>
    <w:rsid w:val="009C401E"/>
    <w:rsid w:val="009C6A74"/>
    <w:rsid w:val="009C6AE7"/>
    <w:rsid w:val="009D05B8"/>
    <w:rsid w:val="009D0B2C"/>
    <w:rsid w:val="009D2522"/>
    <w:rsid w:val="009D4487"/>
    <w:rsid w:val="009E0E75"/>
    <w:rsid w:val="009E1B1A"/>
    <w:rsid w:val="009E214D"/>
    <w:rsid w:val="009E3F8E"/>
    <w:rsid w:val="009E4841"/>
    <w:rsid w:val="009E530D"/>
    <w:rsid w:val="009E7D94"/>
    <w:rsid w:val="009F2962"/>
    <w:rsid w:val="009F2E31"/>
    <w:rsid w:val="009F3F1F"/>
    <w:rsid w:val="009F4FB3"/>
    <w:rsid w:val="009F50A3"/>
    <w:rsid w:val="009F546D"/>
    <w:rsid w:val="009F7059"/>
    <w:rsid w:val="009F71D1"/>
    <w:rsid w:val="00A01EFD"/>
    <w:rsid w:val="00A03B05"/>
    <w:rsid w:val="00A04100"/>
    <w:rsid w:val="00A06718"/>
    <w:rsid w:val="00A06D57"/>
    <w:rsid w:val="00A11427"/>
    <w:rsid w:val="00A17945"/>
    <w:rsid w:val="00A2536F"/>
    <w:rsid w:val="00A263F4"/>
    <w:rsid w:val="00A26AF6"/>
    <w:rsid w:val="00A27422"/>
    <w:rsid w:val="00A279A7"/>
    <w:rsid w:val="00A27E41"/>
    <w:rsid w:val="00A30DB3"/>
    <w:rsid w:val="00A406DC"/>
    <w:rsid w:val="00A41716"/>
    <w:rsid w:val="00A45F87"/>
    <w:rsid w:val="00A4630E"/>
    <w:rsid w:val="00A52C66"/>
    <w:rsid w:val="00A55DE0"/>
    <w:rsid w:val="00A57D42"/>
    <w:rsid w:val="00A60BBB"/>
    <w:rsid w:val="00A60C83"/>
    <w:rsid w:val="00A6148E"/>
    <w:rsid w:val="00A61860"/>
    <w:rsid w:val="00A61AC1"/>
    <w:rsid w:val="00A6540C"/>
    <w:rsid w:val="00A700A0"/>
    <w:rsid w:val="00A70B99"/>
    <w:rsid w:val="00A713D1"/>
    <w:rsid w:val="00A7315B"/>
    <w:rsid w:val="00A739AD"/>
    <w:rsid w:val="00A74731"/>
    <w:rsid w:val="00A763A9"/>
    <w:rsid w:val="00A76486"/>
    <w:rsid w:val="00A810B9"/>
    <w:rsid w:val="00A83ABF"/>
    <w:rsid w:val="00A85982"/>
    <w:rsid w:val="00A865CF"/>
    <w:rsid w:val="00A90136"/>
    <w:rsid w:val="00A93BF7"/>
    <w:rsid w:val="00A93C3C"/>
    <w:rsid w:val="00A9466E"/>
    <w:rsid w:val="00A94C5E"/>
    <w:rsid w:val="00A95097"/>
    <w:rsid w:val="00A96D20"/>
    <w:rsid w:val="00A972FF"/>
    <w:rsid w:val="00AA156A"/>
    <w:rsid w:val="00AA22FC"/>
    <w:rsid w:val="00AA599A"/>
    <w:rsid w:val="00AA5B98"/>
    <w:rsid w:val="00AA74A3"/>
    <w:rsid w:val="00AA7D0E"/>
    <w:rsid w:val="00AB1509"/>
    <w:rsid w:val="00AB197C"/>
    <w:rsid w:val="00AB51C9"/>
    <w:rsid w:val="00AB6C3A"/>
    <w:rsid w:val="00AB7344"/>
    <w:rsid w:val="00AC1C4F"/>
    <w:rsid w:val="00AC3C9E"/>
    <w:rsid w:val="00AC44DD"/>
    <w:rsid w:val="00AC5425"/>
    <w:rsid w:val="00AC72A3"/>
    <w:rsid w:val="00AD1F38"/>
    <w:rsid w:val="00AD21E7"/>
    <w:rsid w:val="00AD3BEA"/>
    <w:rsid w:val="00AD5E69"/>
    <w:rsid w:val="00AD6644"/>
    <w:rsid w:val="00AD7AA1"/>
    <w:rsid w:val="00AE093D"/>
    <w:rsid w:val="00AE5A8A"/>
    <w:rsid w:val="00AF1532"/>
    <w:rsid w:val="00AF15CE"/>
    <w:rsid w:val="00AF2305"/>
    <w:rsid w:val="00AF2A93"/>
    <w:rsid w:val="00AF4106"/>
    <w:rsid w:val="00AF46AA"/>
    <w:rsid w:val="00AF4EFD"/>
    <w:rsid w:val="00AF5686"/>
    <w:rsid w:val="00AF5D98"/>
    <w:rsid w:val="00B01472"/>
    <w:rsid w:val="00B02185"/>
    <w:rsid w:val="00B0368C"/>
    <w:rsid w:val="00B03A57"/>
    <w:rsid w:val="00B03F37"/>
    <w:rsid w:val="00B05FCB"/>
    <w:rsid w:val="00B0667D"/>
    <w:rsid w:val="00B07EC3"/>
    <w:rsid w:val="00B07FBE"/>
    <w:rsid w:val="00B105E2"/>
    <w:rsid w:val="00B11FF2"/>
    <w:rsid w:val="00B1222F"/>
    <w:rsid w:val="00B1234A"/>
    <w:rsid w:val="00B1580F"/>
    <w:rsid w:val="00B210F8"/>
    <w:rsid w:val="00B218D0"/>
    <w:rsid w:val="00B2222C"/>
    <w:rsid w:val="00B22E4B"/>
    <w:rsid w:val="00B24276"/>
    <w:rsid w:val="00B24E00"/>
    <w:rsid w:val="00B25F87"/>
    <w:rsid w:val="00B27F56"/>
    <w:rsid w:val="00B30668"/>
    <w:rsid w:val="00B310B6"/>
    <w:rsid w:val="00B31EE5"/>
    <w:rsid w:val="00B31F19"/>
    <w:rsid w:val="00B32FE1"/>
    <w:rsid w:val="00B3313B"/>
    <w:rsid w:val="00B36F88"/>
    <w:rsid w:val="00B43126"/>
    <w:rsid w:val="00B432B1"/>
    <w:rsid w:val="00B439D9"/>
    <w:rsid w:val="00B447CE"/>
    <w:rsid w:val="00B44F72"/>
    <w:rsid w:val="00B4523B"/>
    <w:rsid w:val="00B462F2"/>
    <w:rsid w:val="00B47419"/>
    <w:rsid w:val="00B50A47"/>
    <w:rsid w:val="00B50BFA"/>
    <w:rsid w:val="00B52577"/>
    <w:rsid w:val="00B5275C"/>
    <w:rsid w:val="00B52CBF"/>
    <w:rsid w:val="00B53B49"/>
    <w:rsid w:val="00B53C0C"/>
    <w:rsid w:val="00B548FA"/>
    <w:rsid w:val="00B54C84"/>
    <w:rsid w:val="00B55F0E"/>
    <w:rsid w:val="00B56661"/>
    <w:rsid w:val="00B56FF3"/>
    <w:rsid w:val="00B57EA9"/>
    <w:rsid w:val="00B61522"/>
    <w:rsid w:val="00B641F8"/>
    <w:rsid w:val="00B65BC1"/>
    <w:rsid w:val="00B66A37"/>
    <w:rsid w:val="00B67D4F"/>
    <w:rsid w:val="00B7299A"/>
    <w:rsid w:val="00B7478F"/>
    <w:rsid w:val="00B75593"/>
    <w:rsid w:val="00B7662E"/>
    <w:rsid w:val="00B851F3"/>
    <w:rsid w:val="00B852EA"/>
    <w:rsid w:val="00B86217"/>
    <w:rsid w:val="00B87AC8"/>
    <w:rsid w:val="00B91006"/>
    <w:rsid w:val="00B92597"/>
    <w:rsid w:val="00B930F9"/>
    <w:rsid w:val="00B93702"/>
    <w:rsid w:val="00B956FA"/>
    <w:rsid w:val="00B9602C"/>
    <w:rsid w:val="00BA06E3"/>
    <w:rsid w:val="00BA23BA"/>
    <w:rsid w:val="00BA32CF"/>
    <w:rsid w:val="00BA4257"/>
    <w:rsid w:val="00BA49FA"/>
    <w:rsid w:val="00BB1303"/>
    <w:rsid w:val="00BB179B"/>
    <w:rsid w:val="00BB2080"/>
    <w:rsid w:val="00BB3FE5"/>
    <w:rsid w:val="00BB6570"/>
    <w:rsid w:val="00BB7103"/>
    <w:rsid w:val="00BC1770"/>
    <w:rsid w:val="00BC21EE"/>
    <w:rsid w:val="00BC33DE"/>
    <w:rsid w:val="00BC35C5"/>
    <w:rsid w:val="00BC5695"/>
    <w:rsid w:val="00BC658F"/>
    <w:rsid w:val="00BD1415"/>
    <w:rsid w:val="00BD1AED"/>
    <w:rsid w:val="00BD2E44"/>
    <w:rsid w:val="00BD4653"/>
    <w:rsid w:val="00BD6DC5"/>
    <w:rsid w:val="00BD6E91"/>
    <w:rsid w:val="00BD7AC7"/>
    <w:rsid w:val="00BE09A2"/>
    <w:rsid w:val="00BE0AA5"/>
    <w:rsid w:val="00BE2499"/>
    <w:rsid w:val="00BE63A0"/>
    <w:rsid w:val="00BE7A0D"/>
    <w:rsid w:val="00BF0271"/>
    <w:rsid w:val="00BF0BED"/>
    <w:rsid w:val="00BF11BA"/>
    <w:rsid w:val="00BF2696"/>
    <w:rsid w:val="00BF343E"/>
    <w:rsid w:val="00BF34EC"/>
    <w:rsid w:val="00BF3F32"/>
    <w:rsid w:val="00BF50AF"/>
    <w:rsid w:val="00BF5E81"/>
    <w:rsid w:val="00BF65CA"/>
    <w:rsid w:val="00BF7CCD"/>
    <w:rsid w:val="00C00494"/>
    <w:rsid w:val="00C01123"/>
    <w:rsid w:val="00C0119A"/>
    <w:rsid w:val="00C0169B"/>
    <w:rsid w:val="00C027A9"/>
    <w:rsid w:val="00C07039"/>
    <w:rsid w:val="00C07A54"/>
    <w:rsid w:val="00C114E5"/>
    <w:rsid w:val="00C127B1"/>
    <w:rsid w:val="00C12C69"/>
    <w:rsid w:val="00C1533E"/>
    <w:rsid w:val="00C15A9E"/>
    <w:rsid w:val="00C15BD6"/>
    <w:rsid w:val="00C15E87"/>
    <w:rsid w:val="00C16305"/>
    <w:rsid w:val="00C175D0"/>
    <w:rsid w:val="00C2096B"/>
    <w:rsid w:val="00C21A8D"/>
    <w:rsid w:val="00C21E2C"/>
    <w:rsid w:val="00C2291C"/>
    <w:rsid w:val="00C22D8B"/>
    <w:rsid w:val="00C24DB0"/>
    <w:rsid w:val="00C25A55"/>
    <w:rsid w:val="00C279AD"/>
    <w:rsid w:val="00C27AF0"/>
    <w:rsid w:val="00C305EA"/>
    <w:rsid w:val="00C30DD6"/>
    <w:rsid w:val="00C30F69"/>
    <w:rsid w:val="00C333CC"/>
    <w:rsid w:val="00C3426D"/>
    <w:rsid w:val="00C34B05"/>
    <w:rsid w:val="00C421BC"/>
    <w:rsid w:val="00C43A53"/>
    <w:rsid w:val="00C44ADA"/>
    <w:rsid w:val="00C46060"/>
    <w:rsid w:val="00C50455"/>
    <w:rsid w:val="00C506C5"/>
    <w:rsid w:val="00C50D1B"/>
    <w:rsid w:val="00C523C6"/>
    <w:rsid w:val="00C53065"/>
    <w:rsid w:val="00C53A4A"/>
    <w:rsid w:val="00C55875"/>
    <w:rsid w:val="00C56989"/>
    <w:rsid w:val="00C60863"/>
    <w:rsid w:val="00C6285D"/>
    <w:rsid w:val="00C62B1A"/>
    <w:rsid w:val="00C639E3"/>
    <w:rsid w:val="00C63A36"/>
    <w:rsid w:val="00C65162"/>
    <w:rsid w:val="00C65F2D"/>
    <w:rsid w:val="00C67952"/>
    <w:rsid w:val="00C67A6F"/>
    <w:rsid w:val="00C70563"/>
    <w:rsid w:val="00C71292"/>
    <w:rsid w:val="00C71484"/>
    <w:rsid w:val="00C716CA"/>
    <w:rsid w:val="00C735A7"/>
    <w:rsid w:val="00C736EF"/>
    <w:rsid w:val="00C7429E"/>
    <w:rsid w:val="00C74ED3"/>
    <w:rsid w:val="00C75489"/>
    <w:rsid w:val="00C759A2"/>
    <w:rsid w:val="00C75E29"/>
    <w:rsid w:val="00C7703F"/>
    <w:rsid w:val="00C82B25"/>
    <w:rsid w:val="00C837C0"/>
    <w:rsid w:val="00C845EB"/>
    <w:rsid w:val="00C847E1"/>
    <w:rsid w:val="00C84A8F"/>
    <w:rsid w:val="00C87C43"/>
    <w:rsid w:val="00C90563"/>
    <w:rsid w:val="00C9059E"/>
    <w:rsid w:val="00C921E1"/>
    <w:rsid w:val="00C92E9A"/>
    <w:rsid w:val="00C935D8"/>
    <w:rsid w:val="00C97013"/>
    <w:rsid w:val="00CA096A"/>
    <w:rsid w:val="00CA410E"/>
    <w:rsid w:val="00CA447E"/>
    <w:rsid w:val="00CA4D31"/>
    <w:rsid w:val="00CB0CDF"/>
    <w:rsid w:val="00CB1D2D"/>
    <w:rsid w:val="00CB1E85"/>
    <w:rsid w:val="00CC2B50"/>
    <w:rsid w:val="00CC37A3"/>
    <w:rsid w:val="00CC3DA8"/>
    <w:rsid w:val="00CC5DBF"/>
    <w:rsid w:val="00CC609D"/>
    <w:rsid w:val="00CC6F16"/>
    <w:rsid w:val="00CC7008"/>
    <w:rsid w:val="00CD0298"/>
    <w:rsid w:val="00CD1478"/>
    <w:rsid w:val="00CD1D0D"/>
    <w:rsid w:val="00CD2865"/>
    <w:rsid w:val="00CD2E74"/>
    <w:rsid w:val="00CD33D5"/>
    <w:rsid w:val="00CD411E"/>
    <w:rsid w:val="00CE10BD"/>
    <w:rsid w:val="00CE257B"/>
    <w:rsid w:val="00CE2CE7"/>
    <w:rsid w:val="00CE3098"/>
    <w:rsid w:val="00CE555A"/>
    <w:rsid w:val="00CE6B22"/>
    <w:rsid w:val="00CE6F43"/>
    <w:rsid w:val="00CE7F13"/>
    <w:rsid w:val="00CF13E3"/>
    <w:rsid w:val="00CF1AA9"/>
    <w:rsid w:val="00CF1CCD"/>
    <w:rsid w:val="00CF2DCF"/>
    <w:rsid w:val="00CF3FB2"/>
    <w:rsid w:val="00CF53C2"/>
    <w:rsid w:val="00CF58C4"/>
    <w:rsid w:val="00CF6414"/>
    <w:rsid w:val="00CF6720"/>
    <w:rsid w:val="00CF69DE"/>
    <w:rsid w:val="00D000E1"/>
    <w:rsid w:val="00D0011E"/>
    <w:rsid w:val="00D004BE"/>
    <w:rsid w:val="00D00DBC"/>
    <w:rsid w:val="00D012F7"/>
    <w:rsid w:val="00D017BA"/>
    <w:rsid w:val="00D01B4C"/>
    <w:rsid w:val="00D03586"/>
    <w:rsid w:val="00D04484"/>
    <w:rsid w:val="00D04607"/>
    <w:rsid w:val="00D05726"/>
    <w:rsid w:val="00D075C6"/>
    <w:rsid w:val="00D07F2D"/>
    <w:rsid w:val="00D1312D"/>
    <w:rsid w:val="00D14FB9"/>
    <w:rsid w:val="00D157C8"/>
    <w:rsid w:val="00D16EBE"/>
    <w:rsid w:val="00D20179"/>
    <w:rsid w:val="00D213E9"/>
    <w:rsid w:val="00D26E3A"/>
    <w:rsid w:val="00D3049A"/>
    <w:rsid w:val="00D30769"/>
    <w:rsid w:val="00D30E72"/>
    <w:rsid w:val="00D31417"/>
    <w:rsid w:val="00D31C42"/>
    <w:rsid w:val="00D327C0"/>
    <w:rsid w:val="00D34765"/>
    <w:rsid w:val="00D37E57"/>
    <w:rsid w:val="00D40254"/>
    <w:rsid w:val="00D40862"/>
    <w:rsid w:val="00D42283"/>
    <w:rsid w:val="00D442B4"/>
    <w:rsid w:val="00D46107"/>
    <w:rsid w:val="00D50854"/>
    <w:rsid w:val="00D50E5F"/>
    <w:rsid w:val="00D51479"/>
    <w:rsid w:val="00D5292C"/>
    <w:rsid w:val="00D56627"/>
    <w:rsid w:val="00D60DAA"/>
    <w:rsid w:val="00D63D53"/>
    <w:rsid w:val="00D70792"/>
    <w:rsid w:val="00D7106E"/>
    <w:rsid w:val="00D72181"/>
    <w:rsid w:val="00D72C2C"/>
    <w:rsid w:val="00D7396F"/>
    <w:rsid w:val="00D73E08"/>
    <w:rsid w:val="00D80433"/>
    <w:rsid w:val="00D81F25"/>
    <w:rsid w:val="00D81FC2"/>
    <w:rsid w:val="00D82763"/>
    <w:rsid w:val="00D83B9E"/>
    <w:rsid w:val="00D90D17"/>
    <w:rsid w:val="00D92A4E"/>
    <w:rsid w:val="00D9556D"/>
    <w:rsid w:val="00D956B6"/>
    <w:rsid w:val="00DA10DE"/>
    <w:rsid w:val="00DA348C"/>
    <w:rsid w:val="00DA4017"/>
    <w:rsid w:val="00DA4CA7"/>
    <w:rsid w:val="00DA59E1"/>
    <w:rsid w:val="00DA72DC"/>
    <w:rsid w:val="00DB038D"/>
    <w:rsid w:val="00DB3E04"/>
    <w:rsid w:val="00DB4A23"/>
    <w:rsid w:val="00DB4ABC"/>
    <w:rsid w:val="00DB59F0"/>
    <w:rsid w:val="00DB5C76"/>
    <w:rsid w:val="00DB69B3"/>
    <w:rsid w:val="00DC01DA"/>
    <w:rsid w:val="00DC0500"/>
    <w:rsid w:val="00DC0EA4"/>
    <w:rsid w:val="00DC1EEB"/>
    <w:rsid w:val="00DC39D5"/>
    <w:rsid w:val="00DC41B7"/>
    <w:rsid w:val="00DC7B5F"/>
    <w:rsid w:val="00DD1854"/>
    <w:rsid w:val="00DD6C68"/>
    <w:rsid w:val="00DE3C61"/>
    <w:rsid w:val="00DE6150"/>
    <w:rsid w:val="00DE7144"/>
    <w:rsid w:val="00DE7F35"/>
    <w:rsid w:val="00DF2436"/>
    <w:rsid w:val="00DF48A5"/>
    <w:rsid w:val="00E079BB"/>
    <w:rsid w:val="00E10FAB"/>
    <w:rsid w:val="00E12D4D"/>
    <w:rsid w:val="00E12F33"/>
    <w:rsid w:val="00E14A9D"/>
    <w:rsid w:val="00E15AE0"/>
    <w:rsid w:val="00E16C50"/>
    <w:rsid w:val="00E20AEF"/>
    <w:rsid w:val="00E216A6"/>
    <w:rsid w:val="00E26BEC"/>
    <w:rsid w:val="00E2749E"/>
    <w:rsid w:val="00E31BD7"/>
    <w:rsid w:val="00E3226D"/>
    <w:rsid w:val="00E332F7"/>
    <w:rsid w:val="00E333CD"/>
    <w:rsid w:val="00E337BA"/>
    <w:rsid w:val="00E33BF8"/>
    <w:rsid w:val="00E35B18"/>
    <w:rsid w:val="00E36DD6"/>
    <w:rsid w:val="00E37A24"/>
    <w:rsid w:val="00E45400"/>
    <w:rsid w:val="00E47430"/>
    <w:rsid w:val="00E47CD7"/>
    <w:rsid w:val="00E51BBB"/>
    <w:rsid w:val="00E523F8"/>
    <w:rsid w:val="00E63366"/>
    <w:rsid w:val="00E64D76"/>
    <w:rsid w:val="00E756F6"/>
    <w:rsid w:val="00E75947"/>
    <w:rsid w:val="00E81C52"/>
    <w:rsid w:val="00E87478"/>
    <w:rsid w:val="00E87F29"/>
    <w:rsid w:val="00E9019A"/>
    <w:rsid w:val="00E917E1"/>
    <w:rsid w:val="00E9253B"/>
    <w:rsid w:val="00E92F00"/>
    <w:rsid w:val="00E93195"/>
    <w:rsid w:val="00E94EF4"/>
    <w:rsid w:val="00E9758C"/>
    <w:rsid w:val="00E97592"/>
    <w:rsid w:val="00EA16B9"/>
    <w:rsid w:val="00EA20AA"/>
    <w:rsid w:val="00EA35D6"/>
    <w:rsid w:val="00EA4273"/>
    <w:rsid w:val="00EA69DF"/>
    <w:rsid w:val="00EB1C6B"/>
    <w:rsid w:val="00EB5C5A"/>
    <w:rsid w:val="00EC1AD0"/>
    <w:rsid w:val="00EC2071"/>
    <w:rsid w:val="00EC3F55"/>
    <w:rsid w:val="00EC531C"/>
    <w:rsid w:val="00EC5372"/>
    <w:rsid w:val="00EC537F"/>
    <w:rsid w:val="00EC770E"/>
    <w:rsid w:val="00EC7CA5"/>
    <w:rsid w:val="00ED0125"/>
    <w:rsid w:val="00ED28D6"/>
    <w:rsid w:val="00ED43F3"/>
    <w:rsid w:val="00ED5564"/>
    <w:rsid w:val="00EE1870"/>
    <w:rsid w:val="00EE22CA"/>
    <w:rsid w:val="00EE48FB"/>
    <w:rsid w:val="00EE5277"/>
    <w:rsid w:val="00EE5B75"/>
    <w:rsid w:val="00EE742C"/>
    <w:rsid w:val="00EE79C9"/>
    <w:rsid w:val="00EE7D26"/>
    <w:rsid w:val="00EF1519"/>
    <w:rsid w:val="00EF3431"/>
    <w:rsid w:val="00EF7AF0"/>
    <w:rsid w:val="00F0000F"/>
    <w:rsid w:val="00F0014F"/>
    <w:rsid w:val="00F00AF7"/>
    <w:rsid w:val="00F00E48"/>
    <w:rsid w:val="00F0392F"/>
    <w:rsid w:val="00F0694E"/>
    <w:rsid w:val="00F06F09"/>
    <w:rsid w:val="00F06FEF"/>
    <w:rsid w:val="00F07694"/>
    <w:rsid w:val="00F07F81"/>
    <w:rsid w:val="00F14445"/>
    <w:rsid w:val="00F1588F"/>
    <w:rsid w:val="00F1631C"/>
    <w:rsid w:val="00F165CA"/>
    <w:rsid w:val="00F17B4D"/>
    <w:rsid w:val="00F21290"/>
    <w:rsid w:val="00F25A3F"/>
    <w:rsid w:val="00F25EA8"/>
    <w:rsid w:val="00F26136"/>
    <w:rsid w:val="00F2776C"/>
    <w:rsid w:val="00F3036E"/>
    <w:rsid w:val="00F30979"/>
    <w:rsid w:val="00F321E5"/>
    <w:rsid w:val="00F327C6"/>
    <w:rsid w:val="00F3286B"/>
    <w:rsid w:val="00F3385A"/>
    <w:rsid w:val="00F36E4A"/>
    <w:rsid w:val="00F37ECF"/>
    <w:rsid w:val="00F42328"/>
    <w:rsid w:val="00F45D2B"/>
    <w:rsid w:val="00F45DEF"/>
    <w:rsid w:val="00F47E2D"/>
    <w:rsid w:val="00F50E7F"/>
    <w:rsid w:val="00F56DC0"/>
    <w:rsid w:val="00F60584"/>
    <w:rsid w:val="00F606BA"/>
    <w:rsid w:val="00F611E4"/>
    <w:rsid w:val="00F612C8"/>
    <w:rsid w:val="00F614AB"/>
    <w:rsid w:val="00F67668"/>
    <w:rsid w:val="00F71008"/>
    <w:rsid w:val="00F72519"/>
    <w:rsid w:val="00F736D4"/>
    <w:rsid w:val="00F753C2"/>
    <w:rsid w:val="00F75823"/>
    <w:rsid w:val="00F76600"/>
    <w:rsid w:val="00F76748"/>
    <w:rsid w:val="00F77F32"/>
    <w:rsid w:val="00F81978"/>
    <w:rsid w:val="00F830CF"/>
    <w:rsid w:val="00F87B09"/>
    <w:rsid w:val="00F87E3A"/>
    <w:rsid w:val="00F90263"/>
    <w:rsid w:val="00F913C1"/>
    <w:rsid w:val="00F91607"/>
    <w:rsid w:val="00F9379E"/>
    <w:rsid w:val="00F95431"/>
    <w:rsid w:val="00F97212"/>
    <w:rsid w:val="00F97374"/>
    <w:rsid w:val="00FA0083"/>
    <w:rsid w:val="00FA319C"/>
    <w:rsid w:val="00FA72A2"/>
    <w:rsid w:val="00FA7B42"/>
    <w:rsid w:val="00FA7D6F"/>
    <w:rsid w:val="00FB03DD"/>
    <w:rsid w:val="00FB0CB6"/>
    <w:rsid w:val="00FB1415"/>
    <w:rsid w:val="00FB174C"/>
    <w:rsid w:val="00FB21A7"/>
    <w:rsid w:val="00FB47D8"/>
    <w:rsid w:val="00FB48D4"/>
    <w:rsid w:val="00FB62C9"/>
    <w:rsid w:val="00FB65C9"/>
    <w:rsid w:val="00FB7330"/>
    <w:rsid w:val="00FB7BC4"/>
    <w:rsid w:val="00FC13CF"/>
    <w:rsid w:val="00FC2012"/>
    <w:rsid w:val="00FC33B2"/>
    <w:rsid w:val="00FC4179"/>
    <w:rsid w:val="00FD02A1"/>
    <w:rsid w:val="00FD1BBE"/>
    <w:rsid w:val="00FD3411"/>
    <w:rsid w:val="00FD3C3B"/>
    <w:rsid w:val="00FD44AE"/>
    <w:rsid w:val="00FD5E74"/>
    <w:rsid w:val="00FD643A"/>
    <w:rsid w:val="00FD6A30"/>
    <w:rsid w:val="00FD72D3"/>
    <w:rsid w:val="00FE0E54"/>
    <w:rsid w:val="00FE3908"/>
    <w:rsid w:val="00FE4E58"/>
    <w:rsid w:val="00FE57C2"/>
    <w:rsid w:val="00FF1864"/>
    <w:rsid w:val="00FF3F53"/>
    <w:rsid w:val="00FF41BA"/>
    <w:rsid w:val="00FF4E89"/>
    <w:rsid w:val="00FF6A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2D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7129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DB4ABC"/>
    <w:pPr>
      <w:keepNext/>
      <w:keepLines/>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DB4ABC"/>
    <w:pPr>
      <w:keepNext/>
      <w:keepLines/>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DB4ABC"/>
    <w:pPr>
      <w:keepNext/>
      <w:keepLines/>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semiHidden/>
    <w:unhideWhenUsed/>
    <w:qFormat/>
    <w:rsid w:val="00DB4ABC"/>
    <w:pPr>
      <w:keepNext/>
      <w:keepLines/>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DB4ABC"/>
    <w:pPr>
      <w:keepNext/>
      <w:keepLines/>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DB4ABC"/>
    <w:pPr>
      <w:keepNext/>
      <w:keepLines/>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DB4ABC"/>
    <w:pPr>
      <w:keepNext/>
      <w:keepLines/>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DB4ABC"/>
    <w:pPr>
      <w:keepNext/>
      <w:keepLines/>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DB4ABC"/>
    <w:pPr>
      <w:keepNext/>
      <w:keepLines/>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
    <w:basedOn w:val="Normal"/>
    <w:link w:val="FootnoteTextChar"/>
    <w:uiPriority w:val="99"/>
    <w:unhideWhenUsed/>
    <w:rsid w:val="00DB4ABC"/>
    <w:pPr>
      <w:spacing w:after="260"/>
      <w:ind w:firstLine="720"/>
    </w:pPr>
    <w:rPr>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DB4ABC"/>
    <w:rPr>
      <w:rFonts w:ascii="Times New Roman" w:hAnsi="Times New Roman" w:cs="Times New Roman"/>
      <w:sz w:val="26"/>
      <w:szCs w:val="20"/>
    </w:rPr>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CE7F13"/>
    <w:pPr>
      <w:spacing w:after="200"/>
    </w:pPr>
    <w:rPr>
      <w:iCs/>
      <w:color w:val="44546A" w:themeColor="text2"/>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D72C2C"/>
    <w:pPr>
      <w:widowControl/>
      <w:numPr>
        <w:numId w:val="11"/>
      </w:numPr>
      <w:spacing w:after="260"/>
    </w:pPr>
  </w:style>
  <w:style w:type="character" w:customStyle="1" w:styleId="FERCparanumberChar">
    <w:name w:val="FERC paranumber Char"/>
    <w:basedOn w:val="DefaultParagraphFont"/>
    <w:link w:val="FERCparanumber"/>
    <w:rsid w:val="00D72C2C"/>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8">
    <w:basedOn w:val="DefaultParagraphFont"/>
    <w:uiPriority w:val="9"/>
    <w:rsid w:val="00830BC7"/>
    <w:rPr>
      <w:rFonts w:ascii="Times New Roman" w:eastAsiaTheme="majorEastAsia" w:hAnsi="Times New Roman" w:cs="Times New Roman"/>
      <w:b/>
      <w:kern w:val="32"/>
      <w:sz w:val="26"/>
      <w:szCs w:val="32"/>
      <w:u w:val="single"/>
    </w:rPr>
  </w:style>
  <w:style w:type="character" w:customStyle="1" w:styleId="Heading1Char">
    <w:name w:val="Heading 1 Char"/>
    <w:basedOn w:val="DefaultParagraphFont"/>
    <w:link w:val="Heading1"/>
    <w:uiPriority w:val="9"/>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FF41BA"/>
    <w:rPr>
      <w:rFonts w:ascii="Times New Roman" w:eastAsiaTheme="majorEastAsia" w:hAnsi="Times New Roman" w:cs="Times New Roman"/>
      <w:b/>
      <w:kern w:val="32"/>
      <w:sz w:val="26"/>
      <w:szCs w:val="26"/>
      <w:u w:val="single"/>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nhideWhenUsed/>
    <w:qFormat/>
    <w:rsid w:val="00DB4ABC"/>
    <w:rPr>
      <w:rFonts w:ascii="Times New Roman" w:hAnsi="Times New Roman" w:cs="Times New Roman"/>
      <w:b/>
      <w:sz w:val="26"/>
      <w:vertAlign w:val="superscript"/>
    </w:rPr>
  </w:style>
  <w:style w:type="character" w:customStyle="1" w:styleId="cosearchterm">
    <w:name w:val="co_searchterm"/>
    <w:basedOn w:val="DefaultParagraphFont"/>
    <w:rsid w:val="001735E9"/>
  </w:style>
  <w:style w:type="character" w:styleId="CommentReference">
    <w:name w:val="annotation reference"/>
    <w:basedOn w:val="DefaultParagraphFont"/>
    <w:uiPriority w:val="99"/>
    <w:semiHidden/>
    <w:unhideWhenUsed/>
    <w:rsid w:val="0039707B"/>
    <w:rPr>
      <w:sz w:val="16"/>
      <w:szCs w:val="16"/>
    </w:rPr>
  </w:style>
  <w:style w:type="character" w:styleId="FollowedHyperlink">
    <w:name w:val="FollowedHyperlink"/>
    <w:basedOn w:val="DefaultParagraphFont"/>
    <w:uiPriority w:val="99"/>
    <w:semiHidden/>
    <w:unhideWhenUsed/>
    <w:rsid w:val="001E4878"/>
    <w:rPr>
      <w:color w:val="954F72" w:themeColor="followedHyperlink"/>
      <w:u w:val="single"/>
    </w:rPr>
  </w:style>
  <w:style w:type="paragraph" w:styleId="Revision">
    <w:name w:val="Revision"/>
    <w:hidden/>
    <w:uiPriority w:val="99"/>
    <w:semiHidden/>
    <w:rsid w:val="00A810B9"/>
    <w:pPr>
      <w:spacing w:after="0" w:line="240" w:lineRule="auto"/>
    </w:pPr>
    <w:rPr>
      <w:rFonts w:ascii="Times New Roman"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7129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DB4ABC"/>
    <w:pPr>
      <w:keepNext/>
      <w:keepLines/>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DB4ABC"/>
    <w:pPr>
      <w:keepNext/>
      <w:keepLines/>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DB4ABC"/>
    <w:pPr>
      <w:keepNext/>
      <w:keepLines/>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semiHidden/>
    <w:unhideWhenUsed/>
    <w:qFormat/>
    <w:rsid w:val="00DB4ABC"/>
    <w:pPr>
      <w:keepNext/>
      <w:keepLines/>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DB4ABC"/>
    <w:pPr>
      <w:keepNext/>
      <w:keepLines/>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DB4ABC"/>
    <w:pPr>
      <w:keepNext/>
      <w:keepLines/>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DB4ABC"/>
    <w:pPr>
      <w:keepNext/>
      <w:keepLines/>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DB4ABC"/>
    <w:pPr>
      <w:keepNext/>
      <w:keepLines/>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DB4ABC"/>
    <w:pPr>
      <w:keepNext/>
      <w:keepLines/>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
    <w:basedOn w:val="Normal"/>
    <w:link w:val="FootnoteTextChar"/>
    <w:uiPriority w:val="99"/>
    <w:unhideWhenUsed/>
    <w:rsid w:val="00DB4ABC"/>
    <w:pPr>
      <w:spacing w:after="260"/>
      <w:ind w:firstLine="720"/>
    </w:pPr>
    <w:rPr>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uiPriority w:val="99"/>
    <w:rsid w:val="00DB4ABC"/>
    <w:rPr>
      <w:rFonts w:ascii="Times New Roman" w:hAnsi="Times New Roman" w:cs="Times New Roman"/>
      <w:sz w:val="26"/>
      <w:szCs w:val="20"/>
    </w:rPr>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CE7F13"/>
    <w:pPr>
      <w:spacing w:after="200"/>
    </w:pPr>
    <w:rPr>
      <w:iCs/>
      <w:color w:val="44546A" w:themeColor="text2"/>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D72C2C"/>
    <w:pPr>
      <w:widowControl/>
      <w:numPr>
        <w:numId w:val="11"/>
      </w:numPr>
      <w:spacing w:after="260"/>
    </w:pPr>
  </w:style>
  <w:style w:type="character" w:customStyle="1" w:styleId="FERCparanumberChar">
    <w:name w:val="FERC paranumber Char"/>
    <w:basedOn w:val="DefaultParagraphFont"/>
    <w:link w:val="FERCparanumber"/>
    <w:rsid w:val="00D72C2C"/>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8">
    <w:basedOn w:val="DefaultParagraphFont"/>
    <w:uiPriority w:val="9"/>
    <w:rsid w:val="00830BC7"/>
    <w:rPr>
      <w:rFonts w:ascii="Times New Roman" w:eastAsiaTheme="majorEastAsia" w:hAnsi="Times New Roman" w:cs="Times New Roman"/>
      <w:b/>
      <w:kern w:val="32"/>
      <w:sz w:val="26"/>
      <w:szCs w:val="32"/>
      <w:u w:val="single"/>
    </w:rPr>
  </w:style>
  <w:style w:type="character" w:customStyle="1" w:styleId="Heading1Char">
    <w:name w:val="Heading 1 Char"/>
    <w:basedOn w:val="DefaultParagraphFont"/>
    <w:link w:val="Heading1"/>
    <w:uiPriority w:val="9"/>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FF41BA"/>
    <w:rPr>
      <w:rFonts w:ascii="Times New Roman" w:eastAsiaTheme="majorEastAsia" w:hAnsi="Times New Roman" w:cs="Times New Roman"/>
      <w:b/>
      <w:kern w:val="32"/>
      <w:sz w:val="26"/>
      <w:szCs w:val="26"/>
      <w:u w:val="single"/>
    </w:r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unhideWhenUsed/>
    <w:qFormat/>
    <w:rsid w:val="00DB4ABC"/>
    <w:rPr>
      <w:rFonts w:ascii="Times New Roman" w:hAnsi="Times New Roman" w:cs="Times New Roman"/>
      <w:b/>
      <w:sz w:val="26"/>
      <w:vertAlign w:val="superscript"/>
    </w:rPr>
  </w:style>
  <w:style w:type="character" w:customStyle="1" w:styleId="cosearchterm">
    <w:name w:val="co_searchterm"/>
    <w:basedOn w:val="DefaultParagraphFont"/>
    <w:rsid w:val="001735E9"/>
  </w:style>
  <w:style w:type="character" w:styleId="CommentReference">
    <w:name w:val="annotation reference"/>
    <w:basedOn w:val="DefaultParagraphFont"/>
    <w:uiPriority w:val="99"/>
    <w:semiHidden/>
    <w:unhideWhenUsed/>
    <w:rsid w:val="0039707B"/>
    <w:rPr>
      <w:sz w:val="16"/>
      <w:szCs w:val="16"/>
    </w:rPr>
  </w:style>
  <w:style w:type="character" w:styleId="FollowedHyperlink">
    <w:name w:val="FollowedHyperlink"/>
    <w:basedOn w:val="DefaultParagraphFont"/>
    <w:uiPriority w:val="99"/>
    <w:semiHidden/>
    <w:unhideWhenUsed/>
    <w:rsid w:val="001E4878"/>
    <w:rPr>
      <w:color w:val="954F72" w:themeColor="followedHyperlink"/>
      <w:u w:val="single"/>
    </w:rPr>
  </w:style>
  <w:style w:type="paragraph" w:styleId="Revision">
    <w:name w:val="Revision"/>
    <w:hidden/>
    <w:uiPriority w:val="99"/>
    <w:semiHidden/>
    <w:rsid w:val="00A810B9"/>
    <w:pPr>
      <w:spacing w:after="0" w:line="240" w:lineRule="auto"/>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1489">
      <w:bodyDiv w:val="1"/>
      <w:marLeft w:val="0"/>
      <w:marRight w:val="0"/>
      <w:marTop w:val="0"/>
      <w:marBottom w:val="0"/>
      <w:divBdr>
        <w:top w:val="none" w:sz="0" w:space="0" w:color="auto"/>
        <w:left w:val="none" w:sz="0" w:space="0" w:color="auto"/>
        <w:bottom w:val="none" w:sz="0" w:space="0" w:color="auto"/>
        <w:right w:val="none" w:sz="0" w:space="0" w:color="auto"/>
      </w:divBdr>
      <w:divsChild>
        <w:div w:id="1683193730">
          <w:marLeft w:val="0"/>
          <w:marRight w:val="0"/>
          <w:marTop w:val="0"/>
          <w:marBottom w:val="0"/>
          <w:divBdr>
            <w:top w:val="none" w:sz="0" w:space="0" w:color="auto"/>
            <w:left w:val="none" w:sz="0" w:space="0" w:color="auto"/>
            <w:bottom w:val="none" w:sz="0" w:space="0" w:color="auto"/>
            <w:right w:val="none" w:sz="0" w:space="0" w:color="auto"/>
          </w:divBdr>
          <w:divsChild>
            <w:div w:id="2045518296">
              <w:marLeft w:val="0"/>
              <w:marRight w:val="0"/>
              <w:marTop w:val="0"/>
              <w:marBottom w:val="0"/>
              <w:divBdr>
                <w:top w:val="none" w:sz="0" w:space="0" w:color="auto"/>
                <w:left w:val="none" w:sz="0" w:space="0" w:color="auto"/>
                <w:bottom w:val="none" w:sz="0" w:space="0" w:color="auto"/>
                <w:right w:val="none" w:sz="0" w:space="0" w:color="auto"/>
              </w:divBdr>
              <w:divsChild>
                <w:div w:id="2185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4049">
      <w:bodyDiv w:val="1"/>
      <w:marLeft w:val="0"/>
      <w:marRight w:val="0"/>
      <w:marTop w:val="0"/>
      <w:marBottom w:val="0"/>
      <w:divBdr>
        <w:top w:val="none" w:sz="0" w:space="0" w:color="auto"/>
        <w:left w:val="none" w:sz="0" w:space="0" w:color="auto"/>
        <w:bottom w:val="none" w:sz="0" w:space="0" w:color="auto"/>
        <w:right w:val="none" w:sz="0" w:space="0" w:color="auto"/>
      </w:divBdr>
      <w:divsChild>
        <w:div w:id="1147740451">
          <w:marLeft w:val="0"/>
          <w:marRight w:val="0"/>
          <w:marTop w:val="0"/>
          <w:marBottom w:val="0"/>
          <w:divBdr>
            <w:top w:val="none" w:sz="0" w:space="0" w:color="auto"/>
            <w:left w:val="none" w:sz="0" w:space="0" w:color="auto"/>
            <w:bottom w:val="none" w:sz="0" w:space="0" w:color="auto"/>
            <w:right w:val="none" w:sz="0" w:space="0" w:color="auto"/>
          </w:divBdr>
          <w:divsChild>
            <w:div w:id="2115858091">
              <w:marLeft w:val="0"/>
              <w:marRight w:val="0"/>
              <w:marTop w:val="0"/>
              <w:marBottom w:val="0"/>
              <w:divBdr>
                <w:top w:val="none" w:sz="0" w:space="0" w:color="auto"/>
                <w:left w:val="none" w:sz="0" w:space="0" w:color="auto"/>
                <w:bottom w:val="none" w:sz="0" w:space="0" w:color="auto"/>
                <w:right w:val="none" w:sz="0" w:space="0" w:color="auto"/>
              </w:divBdr>
              <w:divsChild>
                <w:div w:id="14061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A0540-8704-4828-80CE-3C7F10DC411D}">
  <ds:schemaRefs>
    <ds:schemaRef ds:uri="Microsoft.SharePoint.Taxonomy.ContentTypeSync"/>
  </ds:schemaRefs>
</ds:datastoreItem>
</file>

<file path=customXml/itemProps2.xml><?xml version="1.0" encoding="utf-8"?>
<ds:datastoreItem xmlns:ds="http://schemas.openxmlformats.org/officeDocument/2006/customXml" ds:itemID="{94E6173A-06E2-4FBE-9ACF-5A74AC41D073}">
  <ds:schemaRefs>
    <ds:schemaRef ds:uri="http://schemas.microsoft.com/sharepoint/v3/contenttype/forms"/>
  </ds:schemaRefs>
</ds:datastoreItem>
</file>

<file path=customXml/itemProps3.xml><?xml version="1.0" encoding="utf-8"?>
<ds:datastoreItem xmlns:ds="http://schemas.openxmlformats.org/officeDocument/2006/customXml" ds:itemID="{EDC3ADF9-8136-4C5F-8EF2-CFF653AD79B8}">
  <ds:schemaRefs>
    <ds:schemaRef ds:uri="5e8733a2-e908-454b-85cf-c9d17e1d0943"/>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6E6F84C-89EA-4BD0-B760-99C304E4E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C0F0CC-433D-4E3E-8ACE-24133646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2019-08-02T16:11:00Z</dcterms:created>
  <dcterms:modified xsi:type="dcterms:W3CDTF">2019-08-02T16:11:00Z</dcterms:modified>
  <cp:category/>
  <dc:identifier/>
  <cp:contentStatus/>
  <cp:version/>
</cp:coreProperties>
</file>