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2305" w:rsidR="00B82C6A" w:rsidP="00B82C6A" w:rsidRDefault="00B82C6A" w14:paraId="6F87F0FD" w14:textId="77777777">
      <w:pPr>
        <w:spacing w:after="0"/>
        <w:jc w:val="center"/>
        <w:rPr>
          <w:rFonts w:ascii="Times New Roman" w:hAnsi="Times New Roman" w:cs="Times New Roman"/>
          <w:sz w:val="26"/>
          <w:szCs w:val="26"/>
        </w:rPr>
      </w:pPr>
      <w:r w:rsidRPr="00AE2305">
        <w:rPr>
          <w:rFonts w:ascii="Times New Roman" w:hAnsi="Times New Roman" w:cs="Times New Roman"/>
          <w:sz w:val="26"/>
          <w:szCs w:val="26"/>
        </w:rPr>
        <w:t>Supporting Statement for</w:t>
      </w:r>
    </w:p>
    <w:p w:rsidRPr="00AE2305" w:rsidR="00B82C6A" w:rsidP="00B82C6A" w:rsidRDefault="00B82C6A" w14:paraId="4D34FCD1" w14:textId="77777777">
      <w:pPr>
        <w:spacing w:after="0"/>
        <w:jc w:val="center"/>
        <w:rPr>
          <w:rFonts w:ascii="Times New Roman" w:hAnsi="Times New Roman" w:cs="Times New Roman"/>
          <w:b/>
          <w:sz w:val="26"/>
          <w:szCs w:val="26"/>
        </w:rPr>
      </w:pPr>
      <w:r w:rsidRPr="00AE2305">
        <w:rPr>
          <w:rFonts w:ascii="Times New Roman" w:hAnsi="Times New Roman" w:cs="Times New Roman"/>
          <w:b/>
          <w:sz w:val="26"/>
          <w:szCs w:val="26"/>
        </w:rPr>
        <w:t>FERC-725J, Definition of Bulk Electric System</w:t>
      </w:r>
    </w:p>
    <w:p w:rsidRPr="00AE2305" w:rsidR="00B82C6A" w:rsidP="00B82C6A" w:rsidRDefault="00B82C6A" w14:paraId="04D3AEC7" w14:textId="77777777">
      <w:pPr>
        <w:spacing w:after="0"/>
        <w:rPr>
          <w:rFonts w:ascii="Times New Roman" w:hAnsi="Times New Roman" w:cs="Times New Roman"/>
          <w:sz w:val="26"/>
          <w:szCs w:val="26"/>
        </w:rPr>
      </w:pPr>
    </w:p>
    <w:p w:rsidRPr="00AE2305" w:rsidR="00B82C6A" w:rsidP="00B82C6A" w:rsidRDefault="00B82C6A" w14:paraId="47E4BB65" w14:textId="438313C7">
      <w:pPr>
        <w:spacing w:after="0"/>
        <w:rPr>
          <w:rFonts w:ascii="Times New Roman" w:hAnsi="Times New Roman" w:cs="Times New Roman"/>
          <w:sz w:val="26"/>
          <w:szCs w:val="26"/>
        </w:rPr>
      </w:pPr>
      <w:r w:rsidRPr="00AE2305">
        <w:rPr>
          <w:rFonts w:ascii="Times New Roman" w:hAnsi="Times New Roman" w:cs="Times New Roman"/>
          <w:sz w:val="26"/>
          <w:szCs w:val="26"/>
        </w:rPr>
        <w:t xml:space="preserve">The Federal Energy Regulatory Commission (FERC or Commission) requests that the Office of Management and Budget (OMB) review and approve </w:t>
      </w:r>
      <w:r w:rsidRPr="00283D3D">
        <w:rPr>
          <w:rFonts w:ascii="Times New Roman" w:hAnsi="Times New Roman" w:cs="Times New Roman"/>
          <w:sz w:val="26"/>
          <w:szCs w:val="26"/>
        </w:rPr>
        <w:t>FERC-725J</w:t>
      </w:r>
      <w:r w:rsidRPr="00283D3D" w:rsidR="00DC318A">
        <w:rPr>
          <w:rFonts w:ascii="Times New Roman" w:hAnsi="Times New Roman" w:cs="Times New Roman"/>
          <w:sz w:val="26"/>
          <w:szCs w:val="26"/>
        </w:rPr>
        <w:t>, Definition of Bulk Electric System,</w:t>
      </w:r>
      <w:r w:rsidR="00DC318A">
        <w:rPr>
          <w:rFonts w:ascii="Times New Roman" w:hAnsi="Times New Roman" w:cs="Times New Roman"/>
          <w:sz w:val="26"/>
          <w:szCs w:val="26"/>
        </w:rPr>
        <w:t xml:space="preserve"> for a three</w:t>
      </w:r>
      <w:r w:rsidR="00F3561D">
        <w:rPr>
          <w:rFonts w:ascii="Times New Roman" w:hAnsi="Times New Roman" w:cs="Times New Roman"/>
          <w:sz w:val="26"/>
          <w:szCs w:val="26"/>
        </w:rPr>
        <w:t>-</w:t>
      </w:r>
      <w:r w:rsidR="00DC318A">
        <w:rPr>
          <w:rFonts w:ascii="Times New Roman" w:hAnsi="Times New Roman" w:cs="Times New Roman"/>
          <w:sz w:val="26"/>
          <w:szCs w:val="26"/>
        </w:rPr>
        <w:t xml:space="preserve">year period. </w:t>
      </w:r>
      <w:r w:rsidRPr="00AE2305">
        <w:rPr>
          <w:rFonts w:ascii="Times New Roman" w:hAnsi="Times New Roman" w:cs="Times New Roman"/>
          <w:sz w:val="26"/>
          <w:szCs w:val="26"/>
        </w:rPr>
        <w:t xml:space="preserve"> </w:t>
      </w:r>
      <w:r w:rsidR="00DC318A">
        <w:rPr>
          <w:rFonts w:ascii="Times New Roman" w:hAnsi="Times New Roman" w:cs="Times New Roman"/>
          <w:sz w:val="26"/>
          <w:szCs w:val="26"/>
        </w:rPr>
        <w:t xml:space="preserve">FERC-725J </w:t>
      </w:r>
      <w:r w:rsidRPr="00AE2305">
        <w:rPr>
          <w:rFonts w:ascii="Times New Roman" w:hAnsi="Times New Roman" w:cs="Times New Roman"/>
          <w:sz w:val="26"/>
          <w:szCs w:val="26"/>
        </w:rPr>
        <w:t xml:space="preserve">(OMB Control Number 1902-0259) </w:t>
      </w:r>
      <w:r w:rsidR="00DC318A">
        <w:rPr>
          <w:rFonts w:ascii="Times New Roman" w:hAnsi="Times New Roman" w:cs="Times New Roman"/>
          <w:sz w:val="26"/>
          <w:szCs w:val="26"/>
        </w:rPr>
        <w:t>is an exi</w:t>
      </w:r>
      <w:r w:rsidR="00F3561D">
        <w:rPr>
          <w:rFonts w:ascii="Times New Roman" w:hAnsi="Times New Roman" w:cs="Times New Roman"/>
          <w:sz w:val="26"/>
          <w:szCs w:val="26"/>
        </w:rPr>
        <w:t>s</w:t>
      </w:r>
      <w:r w:rsidR="00DC318A">
        <w:rPr>
          <w:rFonts w:ascii="Times New Roman" w:hAnsi="Times New Roman" w:cs="Times New Roman"/>
          <w:sz w:val="26"/>
          <w:szCs w:val="26"/>
        </w:rPr>
        <w:t>ting Commission data collection, as stated by 18 Code of Federal Regulations (CFR), Part 39.</w:t>
      </w:r>
      <w:r w:rsidR="00283D3D">
        <w:rPr>
          <w:rFonts w:ascii="Times New Roman" w:hAnsi="Times New Roman" w:cs="Times New Roman"/>
          <w:sz w:val="26"/>
          <w:szCs w:val="26"/>
        </w:rPr>
        <w:t xml:space="preserve">  </w:t>
      </w:r>
      <w:r w:rsidR="00F27588">
        <w:rPr>
          <w:rFonts w:ascii="Times New Roman" w:hAnsi="Times New Roman" w:cs="Times New Roman"/>
          <w:sz w:val="26"/>
          <w:szCs w:val="26"/>
        </w:rPr>
        <w:t>(</w:t>
      </w:r>
      <w:r w:rsidR="00283D3D">
        <w:rPr>
          <w:rFonts w:ascii="Times New Roman" w:hAnsi="Times New Roman" w:cs="Times New Roman"/>
          <w:sz w:val="26"/>
          <w:szCs w:val="26"/>
        </w:rPr>
        <w:t>The reporting and recordkeeping requirements are not changing.</w:t>
      </w:r>
      <w:r w:rsidR="00F27588">
        <w:rPr>
          <w:rFonts w:ascii="Times New Roman" w:hAnsi="Times New Roman" w:cs="Times New Roman"/>
          <w:sz w:val="26"/>
          <w:szCs w:val="26"/>
        </w:rPr>
        <w:t>)</w:t>
      </w:r>
    </w:p>
    <w:p w:rsidRPr="00AE2305" w:rsidR="00B82C6A" w:rsidP="00B82C6A" w:rsidRDefault="00B82C6A" w14:paraId="2CF5E6E3" w14:textId="77777777">
      <w:pPr>
        <w:spacing w:after="0"/>
        <w:rPr>
          <w:rFonts w:ascii="Times New Roman" w:hAnsi="Times New Roman" w:cs="Times New Roman"/>
          <w:sz w:val="26"/>
          <w:szCs w:val="26"/>
        </w:rPr>
      </w:pPr>
    </w:p>
    <w:p w:rsidRPr="00AE2305" w:rsidR="00B82C6A" w:rsidP="00B82C6A" w:rsidRDefault="00B82C6A" w14:paraId="70A75A18"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CIRCUMSTANCES THAT MAKE THE COLLECTION OF INFORMATION NECESSARY</w:t>
      </w:r>
    </w:p>
    <w:p w:rsidRPr="00AE2305" w:rsidR="00B82C6A" w:rsidP="00B82C6A" w:rsidRDefault="00B82C6A" w14:paraId="5F383D6F" w14:textId="77777777">
      <w:pPr>
        <w:spacing w:after="0"/>
        <w:rPr>
          <w:rFonts w:ascii="Times New Roman" w:hAnsi="Times New Roman" w:cs="Times New Roman"/>
          <w:sz w:val="26"/>
          <w:szCs w:val="26"/>
        </w:rPr>
      </w:pPr>
    </w:p>
    <w:p w:rsidRPr="00AE2305" w:rsidR="00B82C6A" w:rsidP="00B82C6A" w:rsidRDefault="00B82C6A" w14:paraId="0B99A8C3" w14:textId="304EED57">
      <w:pPr>
        <w:spacing w:after="0"/>
        <w:rPr>
          <w:rFonts w:ascii="Times New Roman" w:hAnsi="Times New Roman" w:eastAsia="Times New Roman" w:cs="Times New Roman"/>
          <w:sz w:val="26"/>
          <w:szCs w:val="26"/>
        </w:rPr>
      </w:pPr>
      <w:r w:rsidRPr="00AE2305">
        <w:rPr>
          <w:rFonts w:ascii="Times New Roman" w:hAnsi="Times New Roman" w:eastAsia="Times New Roman" w:cs="Times New Roman"/>
          <w:sz w:val="26"/>
          <w:szCs w:val="26"/>
        </w:rPr>
        <w:t xml:space="preserve">On December 20, 2012, the Commission issued Order No. 773, a </w:t>
      </w:r>
      <w:r w:rsidRPr="00AE2305" w:rsidR="001B2FC2">
        <w:rPr>
          <w:rFonts w:ascii="Times New Roman" w:hAnsi="Times New Roman" w:eastAsia="Times New Roman" w:cs="Times New Roman"/>
          <w:sz w:val="26"/>
          <w:szCs w:val="26"/>
        </w:rPr>
        <w:t>Final Rule approving NERC’s modification</w:t>
      </w:r>
      <w:r w:rsidRPr="00AE2305">
        <w:rPr>
          <w:rFonts w:ascii="Times New Roman" w:hAnsi="Times New Roman" w:eastAsia="Times New Roman" w:cs="Times New Roman"/>
          <w:sz w:val="26"/>
          <w:szCs w:val="26"/>
        </w:rPr>
        <w:t xml:space="preserve"> to the definition of “bulk electric system” (i.e. BES) and the Rules of Procedure exception process to be effective July 1, 2013.  On April 18, 2013, in Order No. 773-A, the Commission largely affirmed its findings in Order No. 773.  In Order Nos. 773 and 773-A, the Commission directed NERC to modify the definition of bulk electric system in two respects: (1) modify the local network exclusion (exclusion E3) to remove the 100 kV minimum operating voltage to allow systems that include one or more looped configurations connected below 100 kV to be eligible for the local network exclusion; and (2) modify the exclusions to ensure that generator interconnection facilities at or above 100 kV connected to bulk electric system generators identified in inclusion I2 are not excluded from the bulk electric system.</w:t>
      </w:r>
      <w:r w:rsidRPr="005C252F" w:rsidR="005C252F">
        <w:rPr>
          <w:rStyle w:val="FootnoteReference"/>
          <w:rFonts w:ascii="Times New Roman" w:hAnsi="Times New Roman" w:eastAsia="Times New Roman" w:cs="Times New Roman"/>
          <w:sz w:val="26"/>
          <w:szCs w:val="26"/>
          <w:vertAlign w:val="superscript"/>
        </w:rPr>
        <w:footnoteReference w:id="1"/>
      </w:r>
    </w:p>
    <w:p w:rsidRPr="00AE2305" w:rsidR="00B82C6A" w:rsidP="00B82C6A" w:rsidRDefault="00B82C6A" w14:paraId="20EC07B9" w14:textId="77777777">
      <w:pPr>
        <w:spacing w:after="0"/>
        <w:rPr>
          <w:rFonts w:ascii="Times New Roman" w:hAnsi="Times New Roman" w:eastAsia="Times New Roman" w:cs="Times New Roman"/>
          <w:sz w:val="26"/>
          <w:szCs w:val="26"/>
        </w:rPr>
      </w:pPr>
    </w:p>
    <w:p w:rsidRPr="00AE2305" w:rsidR="00B82C6A" w:rsidP="00B82C6A" w:rsidRDefault="00B82C6A" w14:paraId="19F1179B" w14:textId="77777777">
      <w:pPr>
        <w:spacing w:after="0"/>
        <w:rPr>
          <w:rFonts w:ascii="Times New Roman" w:hAnsi="Times New Roman" w:cs="Times New Roman"/>
          <w:sz w:val="26"/>
          <w:szCs w:val="26"/>
        </w:rPr>
      </w:pPr>
      <w:r w:rsidRPr="00AE2305">
        <w:rPr>
          <w:rFonts w:ascii="Times New Roman" w:hAnsi="Times New Roman" w:cs="Times New Roman"/>
          <w:sz w:val="26"/>
          <w:szCs w:val="26"/>
        </w:rPr>
        <w:t>Both orders recognized that the first two years of implementation would include a higher burden associated with the work all the Registered Entities would need to accomplish.  Those orders also illustrated that a reduction would occur by the third year since at that point the ongoing burden would be an amount dependent on exception requests and implementation of newly identified bulk electric system elements.  These reductions also included the harmonization of all the register entities following the same definition for BES</w:t>
      </w:r>
      <w:r w:rsidRPr="00AE2305">
        <w:rPr>
          <w:rStyle w:val="FootnoteReference"/>
          <w:rFonts w:ascii="Times New Roman" w:hAnsi="Times New Roman" w:cs="Times New Roman"/>
          <w:sz w:val="26"/>
          <w:szCs w:val="26"/>
          <w:vertAlign w:val="superscript"/>
        </w:rPr>
        <w:footnoteReference w:id="2"/>
      </w:r>
      <w:r w:rsidRPr="00AE2305">
        <w:rPr>
          <w:rFonts w:ascii="Times New Roman" w:hAnsi="Times New Roman" w:cs="Times New Roman"/>
          <w:sz w:val="26"/>
          <w:szCs w:val="26"/>
        </w:rPr>
        <w:t>.</w:t>
      </w:r>
    </w:p>
    <w:p w:rsidRPr="00AE2305" w:rsidR="00B82C6A" w:rsidP="00B82C6A" w:rsidRDefault="00B82C6A" w14:paraId="51234F27" w14:textId="77777777">
      <w:pPr>
        <w:spacing w:after="0"/>
        <w:rPr>
          <w:rFonts w:ascii="Times New Roman" w:hAnsi="Times New Roman" w:cs="Times New Roman"/>
          <w:sz w:val="26"/>
          <w:szCs w:val="26"/>
        </w:rPr>
      </w:pPr>
    </w:p>
    <w:p w:rsidRPr="00AE2305" w:rsidR="00B82C6A" w:rsidP="00B82C6A" w:rsidRDefault="00B82C6A" w14:paraId="52A06DB3"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HOW, BY WHOM, AND FOR WHAT PURPOSE THE INFORMATION IS TO BE USED AND THE CONSEQUENCES OF NOT COLLECTING THE INFORMATION</w:t>
      </w:r>
    </w:p>
    <w:p w:rsidRPr="00AE2305" w:rsidR="00B82C6A" w:rsidP="00B82C6A" w:rsidRDefault="00B82C6A" w14:paraId="6F9D4065" w14:textId="77777777">
      <w:pPr>
        <w:spacing w:after="0"/>
        <w:rPr>
          <w:rFonts w:ascii="Times New Roman" w:hAnsi="Times New Roman" w:cs="Times New Roman"/>
          <w:sz w:val="26"/>
          <w:szCs w:val="26"/>
        </w:rPr>
      </w:pPr>
    </w:p>
    <w:p w:rsidR="004C3221" w:rsidP="00B82C6A" w:rsidRDefault="00707F82" w14:paraId="40F3D342" w14:textId="22D70AD0">
      <w:pPr>
        <w:pStyle w:val="FERCparanumber"/>
        <w:numPr>
          <w:ilvl w:val="0"/>
          <w:numId w:val="0"/>
        </w:numPr>
        <w:spacing w:line="276" w:lineRule="auto"/>
        <w:rPr>
          <w:szCs w:val="26"/>
        </w:rPr>
      </w:pPr>
      <w:r>
        <w:rPr>
          <w:szCs w:val="26"/>
        </w:rPr>
        <w:t xml:space="preserve">FERC-725J requests information from respondents </w:t>
      </w:r>
      <w:r w:rsidR="0058087A">
        <w:rPr>
          <w:szCs w:val="26"/>
        </w:rPr>
        <w:t xml:space="preserve">for </w:t>
      </w:r>
      <w:r w:rsidR="000F7D79">
        <w:rPr>
          <w:szCs w:val="26"/>
        </w:rPr>
        <w:t>four</w:t>
      </w:r>
      <w:r w:rsidR="0058087A">
        <w:rPr>
          <w:szCs w:val="26"/>
        </w:rPr>
        <w:t xml:space="preserve"> purposes: to support local distribution determinations,</w:t>
      </w:r>
      <w:r>
        <w:rPr>
          <w:szCs w:val="26"/>
        </w:rPr>
        <w:t xml:space="preserve"> </w:t>
      </w:r>
      <w:r w:rsidR="0058087A">
        <w:rPr>
          <w:szCs w:val="26"/>
        </w:rPr>
        <w:t xml:space="preserve">to provide a list of elements that are part of the bulk electric system, </w:t>
      </w:r>
      <w:r w:rsidR="000F7D79">
        <w:rPr>
          <w:szCs w:val="26"/>
        </w:rPr>
        <w:t xml:space="preserve">to create implementation plans, and to submit requests for exceptions </w:t>
      </w:r>
      <w:r w:rsidR="0062478B">
        <w:rPr>
          <w:szCs w:val="26"/>
        </w:rPr>
        <w:t xml:space="preserve">to </w:t>
      </w:r>
      <w:r w:rsidR="004C3221">
        <w:rPr>
          <w:szCs w:val="26"/>
        </w:rPr>
        <w:t xml:space="preserve">remove </w:t>
      </w:r>
      <w:r w:rsidR="000F7D79">
        <w:rPr>
          <w:szCs w:val="26"/>
        </w:rPr>
        <w:t>from</w:t>
      </w:r>
      <w:r w:rsidR="004C3221">
        <w:rPr>
          <w:szCs w:val="26"/>
        </w:rPr>
        <w:t xml:space="preserve"> or add to</w:t>
      </w:r>
      <w:r w:rsidR="000F7D79">
        <w:rPr>
          <w:szCs w:val="26"/>
        </w:rPr>
        <w:t xml:space="preserve"> the bulk electrical system</w:t>
      </w:r>
      <w:r>
        <w:rPr>
          <w:szCs w:val="26"/>
        </w:rPr>
        <w:t xml:space="preserve">. </w:t>
      </w:r>
    </w:p>
    <w:p w:rsidR="004C3221" w:rsidP="00B82C6A" w:rsidRDefault="004C3221" w14:paraId="436C43D0" w14:textId="77777777">
      <w:pPr>
        <w:pStyle w:val="FERCparanumber"/>
        <w:numPr>
          <w:ilvl w:val="0"/>
          <w:numId w:val="0"/>
        </w:numPr>
        <w:spacing w:line="276" w:lineRule="auto"/>
        <w:rPr>
          <w:szCs w:val="26"/>
        </w:rPr>
      </w:pPr>
    </w:p>
    <w:p w:rsidR="00707F82" w:rsidP="00B82C6A" w:rsidRDefault="000F7D79" w14:paraId="1183851B" w14:textId="11EF1BAF">
      <w:pPr>
        <w:pStyle w:val="FERCparanumber"/>
        <w:numPr>
          <w:ilvl w:val="0"/>
          <w:numId w:val="0"/>
        </w:numPr>
        <w:spacing w:line="276" w:lineRule="auto"/>
        <w:rPr>
          <w:szCs w:val="26"/>
        </w:rPr>
      </w:pPr>
      <w:r>
        <w:rPr>
          <w:szCs w:val="26"/>
        </w:rPr>
        <w:t xml:space="preserve">The information that FERC </w:t>
      </w:r>
      <w:r w:rsidR="00F36495">
        <w:rPr>
          <w:szCs w:val="26"/>
        </w:rPr>
        <w:t>requires</w:t>
      </w:r>
      <w:r>
        <w:rPr>
          <w:szCs w:val="26"/>
        </w:rPr>
        <w:t xml:space="preserve"> to </w:t>
      </w:r>
      <w:r w:rsidR="004C3221">
        <w:rPr>
          <w:szCs w:val="26"/>
        </w:rPr>
        <w:t xml:space="preserve">support </w:t>
      </w:r>
      <w:r w:rsidR="00F36495">
        <w:rPr>
          <w:szCs w:val="26"/>
        </w:rPr>
        <w:t xml:space="preserve">requests for </w:t>
      </w:r>
      <w:r w:rsidR="004C3221">
        <w:rPr>
          <w:szCs w:val="26"/>
        </w:rPr>
        <w:t>local distribution determinations</w:t>
      </w:r>
      <w:r>
        <w:rPr>
          <w:szCs w:val="26"/>
        </w:rPr>
        <w:t xml:space="preserve"> is listed below:</w:t>
      </w:r>
    </w:p>
    <w:p w:rsidR="000F7D79" w:rsidRDefault="0017616C" w14:paraId="7B126F55" w14:textId="1D05CFFC">
      <w:pPr>
        <w:pStyle w:val="FERCparanumber"/>
        <w:numPr>
          <w:ilvl w:val="0"/>
          <w:numId w:val="4"/>
        </w:numPr>
        <w:spacing w:line="276" w:lineRule="auto"/>
        <w:rPr>
          <w:szCs w:val="26"/>
        </w:rPr>
      </w:pPr>
      <w:r>
        <w:rPr>
          <w:szCs w:val="26"/>
        </w:rPr>
        <w:t>Electronic p</w:t>
      </w:r>
      <w:r w:rsidR="004C3221">
        <w:rPr>
          <w:szCs w:val="26"/>
        </w:rPr>
        <w:t>etition to request a local distribution determination.</w:t>
      </w:r>
    </w:p>
    <w:p w:rsidR="004C3221" w:rsidP="004C3221" w:rsidRDefault="004C3221" w14:paraId="3A67CECB" w14:textId="1776D9C5">
      <w:pPr>
        <w:pStyle w:val="FERCparanumber"/>
        <w:numPr>
          <w:ilvl w:val="1"/>
          <w:numId w:val="4"/>
        </w:numPr>
        <w:spacing w:line="276" w:lineRule="auto"/>
        <w:rPr>
          <w:szCs w:val="26"/>
        </w:rPr>
      </w:pPr>
      <w:bookmarkStart w:name="_Hlk31874906" w:id="0"/>
      <w:r>
        <w:rPr>
          <w:szCs w:val="26"/>
        </w:rPr>
        <w:t>Detailed narrative of the request for local distribution determination.</w:t>
      </w:r>
    </w:p>
    <w:p w:rsidR="004C3221" w:rsidP="004C3221" w:rsidRDefault="004C3221" w14:paraId="458D2B57" w14:textId="50567DF3">
      <w:pPr>
        <w:pStyle w:val="FERCparanumber"/>
        <w:numPr>
          <w:ilvl w:val="1"/>
          <w:numId w:val="4"/>
        </w:numPr>
        <w:spacing w:line="276" w:lineRule="auto"/>
        <w:rPr>
          <w:szCs w:val="26"/>
        </w:rPr>
      </w:pPr>
      <w:r>
        <w:rPr>
          <w:szCs w:val="26"/>
        </w:rPr>
        <w:t>Power system drawings of the elements identified.</w:t>
      </w:r>
    </w:p>
    <w:p w:rsidR="004C3221" w:rsidP="004C3221" w:rsidRDefault="004C3221" w14:paraId="212AA5B3" w14:textId="135A4E65">
      <w:pPr>
        <w:pStyle w:val="FERCparanumber"/>
        <w:numPr>
          <w:ilvl w:val="1"/>
          <w:numId w:val="4"/>
        </w:numPr>
        <w:spacing w:line="276" w:lineRule="auto"/>
        <w:rPr>
          <w:szCs w:val="26"/>
        </w:rPr>
      </w:pPr>
      <w:r>
        <w:rPr>
          <w:szCs w:val="26"/>
        </w:rPr>
        <w:t>Power system analysis justifying the request including results and assumptions.</w:t>
      </w:r>
    </w:p>
    <w:p w:rsidR="004C3221" w:rsidP="004C3221" w:rsidRDefault="004C3221" w14:paraId="5E424603" w14:textId="71DAC55F">
      <w:pPr>
        <w:pStyle w:val="FERCparanumber"/>
        <w:numPr>
          <w:ilvl w:val="1"/>
          <w:numId w:val="4"/>
        </w:numPr>
        <w:spacing w:line="276" w:lineRule="auto"/>
        <w:rPr>
          <w:szCs w:val="26"/>
        </w:rPr>
      </w:pPr>
      <w:r>
        <w:rPr>
          <w:szCs w:val="26"/>
        </w:rPr>
        <w:t>Other pertinent information to support the justification such as previous regulatory orders related to the elements.</w:t>
      </w:r>
      <w:bookmarkEnd w:id="0"/>
    </w:p>
    <w:p w:rsidR="004C3221" w:rsidP="004C3221" w:rsidRDefault="004C3221" w14:paraId="70D2B0B7" w14:textId="5DD24933">
      <w:pPr>
        <w:pStyle w:val="FERCparanumber"/>
        <w:numPr>
          <w:ilvl w:val="0"/>
          <w:numId w:val="0"/>
        </w:numPr>
        <w:spacing w:line="276" w:lineRule="auto"/>
        <w:rPr>
          <w:szCs w:val="26"/>
        </w:rPr>
      </w:pPr>
    </w:p>
    <w:p w:rsidR="004C3221" w:rsidP="004C3221" w:rsidRDefault="004C3221" w14:paraId="674F18F2" w14:textId="42C1BDA8">
      <w:pPr>
        <w:pStyle w:val="FERCparanumber"/>
        <w:numPr>
          <w:ilvl w:val="0"/>
          <w:numId w:val="0"/>
        </w:numPr>
        <w:spacing w:line="276" w:lineRule="auto"/>
        <w:rPr>
          <w:szCs w:val="26"/>
        </w:rPr>
      </w:pPr>
      <w:r>
        <w:rPr>
          <w:szCs w:val="26"/>
        </w:rPr>
        <w:t>The information that NERC requests from entities to apply the definition of bulk electric system is listed below:</w:t>
      </w:r>
    </w:p>
    <w:p w:rsidR="004C3221" w:rsidP="004C3221" w:rsidRDefault="0017616C" w14:paraId="1D95BCC3" w14:textId="1783E490">
      <w:pPr>
        <w:pStyle w:val="FERCparanumber"/>
        <w:numPr>
          <w:ilvl w:val="0"/>
          <w:numId w:val="4"/>
        </w:numPr>
        <w:spacing w:line="276" w:lineRule="auto"/>
        <w:rPr>
          <w:szCs w:val="26"/>
        </w:rPr>
      </w:pPr>
      <w:r>
        <w:rPr>
          <w:szCs w:val="26"/>
        </w:rPr>
        <w:t>Electronic</w:t>
      </w:r>
      <w:r w:rsidR="00CB53E0">
        <w:rPr>
          <w:szCs w:val="26"/>
        </w:rPr>
        <w:t xml:space="preserve"> forms p</w:t>
      </w:r>
      <w:r w:rsidR="005D7324">
        <w:rPr>
          <w:szCs w:val="26"/>
        </w:rPr>
        <w:t>rovid</w:t>
      </w:r>
      <w:r w:rsidR="00CB53E0">
        <w:rPr>
          <w:szCs w:val="26"/>
        </w:rPr>
        <w:t>ing</w:t>
      </w:r>
      <w:r w:rsidR="005D7324">
        <w:rPr>
          <w:szCs w:val="26"/>
        </w:rPr>
        <w:t xml:space="preserve"> a list of elements that are part of the bulk electric system.</w:t>
      </w:r>
    </w:p>
    <w:p w:rsidR="005D7324" w:rsidP="004C3221" w:rsidRDefault="005D7324" w14:paraId="5CAA9296" w14:textId="1BF6222A">
      <w:pPr>
        <w:pStyle w:val="FERCparanumber"/>
        <w:numPr>
          <w:ilvl w:val="0"/>
          <w:numId w:val="4"/>
        </w:numPr>
        <w:spacing w:line="276" w:lineRule="auto"/>
        <w:rPr>
          <w:szCs w:val="26"/>
        </w:rPr>
      </w:pPr>
      <w:r>
        <w:rPr>
          <w:szCs w:val="26"/>
        </w:rPr>
        <w:t xml:space="preserve">Create implementation plans for newly identified elements in the bulk electric </w:t>
      </w:r>
      <w:r>
        <w:rPr>
          <w:szCs w:val="26"/>
        </w:rPr>
        <w:lastRenderedPageBreak/>
        <w:t xml:space="preserve">system to comply with applicable Reliability Standards </w:t>
      </w:r>
      <w:r w:rsidR="00DF45CC">
        <w:rPr>
          <w:szCs w:val="26"/>
        </w:rPr>
        <w:t>associated with those elements.</w:t>
      </w:r>
    </w:p>
    <w:p w:rsidR="005D7324" w:rsidP="00DF45CC" w:rsidRDefault="005D7324" w14:paraId="1A8D2534" w14:textId="4C8956EF">
      <w:pPr>
        <w:pStyle w:val="FERCparanumber"/>
        <w:numPr>
          <w:ilvl w:val="0"/>
          <w:numId w:val="0"/>
        </w:numPr>
        <w:spacing w:line="276" w:lineRule="auto"/>
        <w:rPr>
          <w:szCs w:val="26"/>
        </w:rPr>
      </w:pPr>
    </w:p>
    <w:p w:rsidR="00DF45CC" w:rsidP="00DF45CC" w:rsidRDefault="00DF45CC" w14:paraId="55953353" w14:textId="1C9BCB8E">
      <w:pPr>
        <w:pStyle w:val="FERCparanumber"/>
        <w:numPr>
          <w:ilvl w:val="0"/>
          <w:numId w:val="0"/>
        </w:numPr>
        <w:spacing w:line="276" w:lineRule="auto"/>
        <w:rPr>
          <w:szCs w:val="26"/>
        </w:rPr>
      </w:pPr>
      <w:r>
        <w:rPr>
          <w:szCs w:val="26"/>
        </w:rPr>
        <w:t>The information that NERC requests from entities that, after applying the bulk electric system definition, wish to request exceptions by adding elements to or removing elements from the bulk electric system through the NERC Rules of Procedure Exception Process:</w:t>
      </w:r>
    </w:p>
    <w:p w:rsidR="00DF45CC" w:rsidP="00DF45CC" w:rsidRDefault="00DF45CC" w14:paraId="4BD8F912" w14:textId="34AE2422">
      <w:pPr>
        <w:pStyle w:val="FERCparanumber"/>
        <w:numPr>
          <w:ilvl w:val="0"/>
          <w:numId w:val="5"/>
        </w:numPr>
        <w:spacing w:line="276" w:lineRule="auto"/>
        <w:rPr>
          <w:szCs w:val="26"/>
        </w:rPr>
      </w:pPr>
      <w:r>
        <w:rPr>
          <w:szCs w:val="26"/>
        </w:rPr>
        <w:t xml:space="preserve">Fill out </w:t>
      </w:r>
      <w:r w:rsidR="002527FA">
        <w:rPr>
          <w:szCs w:val="26"/>
        </w:rPr>
        <w:t xml:space="preserve">menu-based </w:t>
      </w:r>
      <w:r>
        <w:rPr>
          <w:szCs w:val="26"/>
        </w:rPr>
        <w:t>electronic form</w:t>
      </w:r>
      <w:r w:rsidR="002527FA">
        <w:rPr>
          <w:szCs w:val="26"/>
        </w:rPr>
        <w:t>s</w:t>
      </w:r>
      <w:r>
        <w:rPr>
          <w:szCs w:val="26"/>
        </w:rPr>
        <w:t xml:space="preserve"> identifying the elements and a request to add or remove the elements from the bulk electric system.</w:t>
      </w:r>
    </w:p>
    <w:p w:rsidR="00DF45CC" w:rsidP="00DF45CC" w:rsidRDefault="00DF45CC" w14:paraId="181A262E" w14:textId="14E0947E">
      <w:pPr>
        <w:pStyle w:val="FERCparanumber"/>
        <w:numPr>
          <w:ilvl w:val="0"/>
          <w:numId w:val="5"/>
        </w:numPr>
        <w:spacing w:line="276" w:lineRule="auto"/>
        <w:rPr>
          <w:szCs w:val="26"/>
        </w:rPr>
      </w:pPr>
      <w:r>
        <w:rPr>
          <w:szCs w:val="26"/>
        </w:rPr>
        <w:t>Upload supporting information to justify the request.</w:t>
      </w:r>
    </w:p>
    <w:p w:rsidR="00DF45CC" w:rsidP="00DF45CC" w:rsidRDefault="00DF45CC" w14:paraId="702E3C72" w14:textId="77777777">
      <w:pPr>
        <w:pStyle w:val="FERCparanumber"/>
        <w:numPr>
          <w:ilvl w:val="1"/>
          <w:numId w:val="5"/>
        </w:numPr>
        <w:spacing w:line="276" w:lineRule="auto"/>
        <w:rPr>
          <w:szCs w:val="26"/>
        </w:rPr>
      </w:pPr>
      <w:r>
        <w:rPr>
          <w:szCs w:val="26"/>
        </w:rPr>
        <w:t>Power system drawings of the elements identified.</w:t>
      </w:r>
    </w:p>
    <w:p w:rsidRPr="004C3221" w:rsidR="00DF45CC" w:rsidP="00DF4D41" w:rsidRDefault="00DF45CC" w14:paraId="06AD5761" w14:textId="229624C8">
      <w:pPr>
        <w:pStyle w:val="FERCparanumber"/>
        <w:numPr>
          <w:ilvl w:val="1"/>
          <w:numId w:val="5"/>
        </w:numPr>
        <w:spacing w:line="276" w:lineRule="auto"/>
        <w:rPr>
          <w:szCs w:val="26"/>
        </w:rPr>
      </w:pPr>
      <w:r>
        <w:rPr>
          <w:szCs w:val="26"/>
        </w:rPr>
        <w:t>Power system analysis justifying the request including results and assumptions.</w:t>
      </w:r>
    </w:p>
    <w:p w:rsidR="00707F82" w:rsidP="00B82C6A" w:rsidRDefault="00707F82" w14:paraId="4A54DA4F" w14:textId="77777777">
      <w:pPr>
        <w:pStyle w:val="FERCparanumber"/>
        <w:numPr>
          <w:ilvl w:val="0"/>
          <w:numId w:val="0"/>
        </w:numPr>
        <w:spacing w:line="276" w:lineRule="auto"/>
        <w:rPr>
          <w:szCs w:val="26"/>
        </w:rPr>
      </w:pPr>
    </w:p>
    <w:p w:rsidR="00F3561D" w:rsidP="00B82C6A" w:rsidRDefault="00F3561D" w14:paraId="5CCA25BB" w14:textId="65B53205">
      <w:pPr>
        <w:pStyle w:val="FERCparanumber"/>
        <w:numPr>
          <w:ilvl w:val="0"/>
          <w:numId w:val="0"/>
        </w:numPr>
        <w:spacing w:line="276" w:lineRule="auto"/>
        <w:rPr>
          <w:szCs w:val="26"/>
        </w:rPr>
      </w:pPr>
      <w:r>
        <w:rPr>
          <w:szCs w:val="26"/>
        </w:rPr>
        <w:t>The Commission</w:t>
      </w:r>
      <w:r w:rsidRPr="00AE2305">
        <w:rPr>
          <w:szCs w:val="26"/>
        </w:rPr>
        <w:t xml:space="preserve"> uses the information filed for local distribution determinations to decide whether facilities are </w:t>
      </w:r>
      <w:r w:rsidRPr="00AE2305" w:rsidR="00D95249">
        <w:rPr>
          <w:szCs w:val="26"/>
        </w:rPr>
        <w:t>used</w:t>
      </w:r>
      <w:r w:rsidRPr="00AE2305">
        <w:rPr>
          <w:szCs w:val="26"/>
        </w:rPr>
        <w:t xml:space="preserve"> for local distribution as set forth in the Federal Power Act.</w:t>
      </w:r>
      <w:r w:rsidR="0017616C">
        <w:rPr>
          <w:szCs w:val="26"/>
        </w:rPr>
        <w:t xml:space="preserve">  Entities who own elements that they believe should be classified as local distribution must electronically submit a petition to the FERC Commission for such a determination.  The information needed in the petition may </w:t>
      </w:r>
      <w:r w:rsidR="00B808C9">
        <w:rPr>
          <w:szCs w:val="26"/>
        </w:rPr>
        <w:t>include a</w:t>
      </w:r>
      <w:r w:rsidR="0017616C">
        <w:rPr>
          <w:szCs w:val="26"/>
        </w:rPr>
        <w:t xml:space="preserve"> detailed narrative of the request for local distribution determination; power system drawings of the elements identified; power system analysis justifying the request including results and assumptions; and other pertinent information to support the justification such as previous regulatory orders related to the elements.</w:t>
      </w:r>
    </w:p>
    <w:p w:rsidR="00F3561D" w:rsidP="00B82C6A" w:rsidRDefault="00F3561D" w14:paraId="61EDCB4C" w14:textId="77777777">
      <w:pPr>
        <w:pStyle w:val="FERCparanumber"/>
        <w:numPr>
          <w:ilvl w:val="0"/>
          <w:numId w:val="0"/>
        </w:numPr>
        <w:spacing w:line="276" w:lineRule="auto"/>
        <w:rPr>
          <w:szCs w:val="26"/>
        </w:rPr>
      </w:pPr>
    </w:p>
    <w:p w:rsidRPr="00AE2305" w:rsidR="00B82C6A" w:rsidP="00B82C6A" w:rsidRDefault="00AC62FC" w14:paraId="7EBC50C2" w14:textId="6E4B96BC">
      <w:pPr>
        <w:pStyle w:val="FERCparanumber"/>
        <w:numPr>
          <w:ilvl w:val="0"/>
          <w:numId w:val="0"/>
        </w:numPr>
        <w:spacing w:line="276" w:lineRule="auto"/>
        <w:rPr>
          <w:szCs w:val="26"/>
        </w:rPr>
      </w:pPr>
      <w:r>
        <w:rPr>
          <w:szCs w:val="26"/>
        </w:rPr>
        <w:t>During the first two years of implementation, July 1, 2014 through June 30, 2016, o</w:t>
      </w:r>
      <w:r w:rsidRPr="00AE2305" w:rsidR="00B82C6A">
        <w:rPr>
          <w:szCs w:val="26"/>
        </w:rPr>
        <w:t>wners of equipment review</w:t>
      </w:r>
      <w:r>
        <w:rPr>
          <w:szCs w:val="26"/>
        </w:rPr>
        <w:t>ed</w:t>
      </w:r>
      <w:r w:rsidRPr="00AE2305" w:rsidR="00B82C6A">
        <w:rPr>
          <w:szCs w:val="26"/>
        </w:rPr>
        <w:t xml:space="preserve"> their system configuration to determine which elements are part of the bulk electric system under the revised definition and create</w:t>
      </w:r>
      <w:r>
        <w:rPr>
          <w:szCs w:val="26"/>
        </w:rPr>
        <w:t>d</w:t>
      </w:r>
      <w:r w:rsidRPr="00AE2305" w:rsidR="00B82C6A">
        <w:rPr>
          <w:szCs w:val="26"/>
        </w:rPr>
        <w:t xml:space="preserve"> a list </w:t>
      </w:r>
      <w:r w:rsidR="00707F82">
        <w:rPr>
          <w:szCs w:val="26"/>
        </w:rPr>
        <w:t xml:space="preserve">of these elements </w:t>
      </w:r>
      <w:r w:rsidRPr="00AE2305" w:rsidR="00B82C6A">
        <w:rPr>
          <w:szCs w:val="26"/>
        </w:rPr>
        <w:t>that is available to other parties on request.  For any newly identified bulk electric system elements, owners and other entities work</w:t>
      </w:r>
      <w:r>
        <w:rPr>
          <w:szCs w:val="26"/>
        </w:rPr>
        <w:t>ed</w:t>
      </w:r>
      <w:r w:rsidRPr="00AE2305" w:rsidR="00B82C6A">
        <w:rPr>
          <w:szCs w:val="26"/>
        </w:rPr>
        <w:t xml:space="preserve"> together to create implementation plans to ensure compliance with </w:t>
      </w:r>
      <w:r w:rsidR="005C252F">
        <w:rPr>
          <w:szCs w:val="26"/>
        </w:rPr>
        <w:t>R</w:t>
      </w:r>
      <w:r w:rsidRPr="00AE2305" w:rsidR="005C252F">
        <w:rPr>
          <w:szCs w:val="26"/>
        </w:rPr>
        <w:t xml:space="preserve">eliability </w:t>
      </w:r>
      <w:r w:rsidR="005C252F">
        <w:rPr>
          <w:szCs w:val="26"/>
        </w:rPr>
        <w:t>S</w:t>
      </w:r>
      <w:r w:rsidRPr="00AE2305" w:rsidR="005C252F">
        <w:rPr>
          <w:szCs w:val="26"/>
        </w:rPr>
        <w:t xml:space="preserve">tandards </w:t>
      </w:r>
      <w:r w:rsidRPr="00AE2305" w:rsidR="00B82C6A">
        <w:rPr>
          <w:szCs w:val="26"/>
        </w:rPr>
        <w:t xml:space="preserve">for the new elements.  The lists and implementation plans </w:t>
      </w:r>
      <w:r>
        <w:rPr>
          <w:szCs w:val="26"/>
        </w:rPr>
        <w:t>were</w:t>
      </w:r>
      <w:r w:rsidRPr="00AE2305">
        <w:rPr>
          <w:szCs w:val="26"/>
        </w:rPr>
        <w:t xml:space="preserve"> </w:t>
      </w:r>
      <w:r w:rsidRPr="00AE2305" w:rsidR="00B82C6A">
        <w:rPr>
          <w:szCs w:val="26"/>
        </w:rPr>
        <w:t xml:space="preserve">used by the owners of the equipment, entities where the operation of those elements is part of their scope of responsibility, NERC, and FERC.  For some entities, part of the implementation includes compliance responsibility of information collection requirements that are part of existing approved </w:t>
      </w:r>
      <w:r w:rsidR="005C252F">
        <w:rPr>
          <w:szCs w:val="26"/>
        </w:rPr>
        <w:t>R</w:t>
      </w:r>
      <w:r w:rsidRPr="00AE2305" w:rsidR="005C252F">
        <w:rPr>
          <w:szCs w:val="26"/>
        </w:rPr>
        <w:t xml:space="preserve">eliability </w:t>
      </w:r>
      <w:r w:rsidR="005C252F">
        <w:rPr>
          <w:szCs w:val="26"/>
        </w:rPr>
        <w:t>S</w:t>
      </w:r>
      <w:r w:rsidRPr="00AE2305" w:rsidR="005C252F">
        <w:rPr>
          <w:szCs w:val="26"/>
        </w:rPr>
        <w:t>tandards</w:t>
      </w:r>
      <w:r w:rsidRPr="00AE2305" w:rsidR="00B82C6A">
        <w:rPr>
          <w:szCs w:val="26"/>
        </w:rPr>
        <w:t>.</w:t>
      </w:r>
    </w:p>
    <w:p w:rsidRPr="00AE2305" w:rsidR="00B82C6A" w:rsidP="00B82C6A" w:rsidRDefault="00B82C6A" w14:paraId="19731C3D" w14:textId="77777777">
      <w:pPr>
        <w:pStyle w:val="FERCparanumber"/>
        <w:numPr>
          <w:ilvl w:val="0"/>
          <w:numId w:val="0"/>
        </w:numPr>
        <w:spacing w:line="276" w:lineRule="auto"/>
        <w:rPr>
          <w:szCs w:val="26"/>
        </w:rPr>
      </w:pPr>
    </w:p>
    <w:p w:rsidRPr="00AE2305" w:rsidR="00B82C6A" w:rsidP="00B82C6A" w:rsidRDefault="00B82C6A" w14:paraId="700F0A14" w14:textId="2E782023">
      <w:pPr>
        <w:pStyle w:val="FERCparanumber"/>
        <w:numPr>
          <w:ilvl w:val="0"/>
          <w:numId w:val="0"/>
        </w:numPr>
        <w:spacing w:line="276" w:lineRule="auto"/>
        <w:rPr>
          <w:szCs w:val="26"/>
        </w:rPr>
      </w:pPr>
      <w:r w:rsidRPr="00AE2305">
        <w:rPr>
          <w:szCs w:val="26"/>
        </w:rPr>
        <w:t>The option to request an exception</w:t>
      </w:r>
      <w:r w:rsidR="00AC62FC">
        <w:rPr>
          <w:szCs w:val="26"/>
        </w:rPr>
        <w:t xml:space="preserve"> from NERC</w:t>
      </w:r>
      <w:r w:rsidRPr="00AE2305">
        <w:rPr>
          <w:szCs w:val="26"/>
        </w:rPr>
        <w:t xml:space="preserve"> is available to owners of elements and </w:t>
      </w:r>
      <w:r w:rsidRPr="00AE2305">
        <w:rPr>
          <w:szCs w:val="26"/>
        </w:rPr>
        <w:lastRenderedPageBreak/>
        <w:t>certain entities responsible for wide areas of the system.</w:t>
      </w:r>
      <w:r w:rsidRPr="00AE2305">
        <w:rPr>
          <w:rStyle w:val="FootnoteReference"/>
          <w:b/>
          <w:szCs w:val="26"/>
          <w:vertAlign w:val="superscript"/>
        </w:rPr>
        <w:footnoteReference w:id="3"/>
      </w:r>
      <w:r w:rsidRPr="00AE2305">
        <w:rPr>
          <w:szCs w:val="26"/>
        </w:rPr>
        <w:t xml:space="preserve">  The </w:t>
      </w:r>
      <w:r w:rsidR="00AC62FC">
        <w:rPr>
          <w:szCs w:val="26"/>
        </w:rPr>
        <w:t xml:space="preserve">NERC </w:t>
      </w:r>
      <w:r w:rsidRPr="00AE2305">
        <w:rPr>
          <w:szCs w:val="26"/>
        </w:rPr>
        <w:t>Rules of Procedure (ROP) exception process requires entities to</w:t>
      </w:r>
      <w:r w:rsidR="00D0024A">
        <w:rPr>
          <w:szCs w:val="26"/>
        </w:rPr>
        <w:t xml:space="preserve"> electronically</w:t>
      </w:r>
      <w:r w:rsidRPr="00AE2305">
        <w:rPr>
          <w:szCs w:val="26"/>
        </w:rPr>
        <w:t xml:space="preserve"> provide technical data to support an exception request.  </w:t>
      </w:r>
      <w:r w:rsidR="00622E93">
        <w:rPr>
          <w:szCs w:val="26"/>
        </w:rPr>
        <w:t>This technical data consists of a power system analysis to technically justify removing elements from or adding elements to the bulk electric system.  The analysis could include power flow models,</w:t>
      </w:r>
      <w:r w:rsidRPr="00622E93" w:rsidR="00622E93">
        <w:rPr>
          <w:szCs w:val="26"/>
        </w:rPr>
        <w:t xml:space="preserve"> </w:t>
      </w:r>
      <w:r w:rsidR="00622E93">
        <w:rPr>
          <w:szCs w:val="26"/>
        </w:rPr>
        <w:t>short-circuit models, and dynamic stability models and analysis.  Data includes power system data assumptions and results of the analysis.  All of this is managed and received by NERC.</w:t>
      </w:r>
    </w:p>
    <w:p w:rsidRPr="00AE2305" w:rsidR="00B82C6A" w:rsidP="00B82C6A" w:rsidRDefault="00B82C6A" w14:paraId="004B973A" w14:textId="77777777">
      <w:pPr>
        <w:pStyle w:val="FERCparanumber"/>
        <w:numPr>
          <w:ilvl w:val="0"/>
          <w:numId w:val="0"/>
        </w:numPr>
        <w:spacing w:line="276" w:lineRule="auto"/>
        <w:rPr>
          <w:szCs w:val="26"/>
        </w:rPr>
      </w:pPr>
    </w:p>
    <w:p w:rsidRPr="00AE2305" w:rsidR="00B82C6A" w:rsidP="00B82C6A" w:rsidRDefault="00B82C6A" w14:paraId="6EF53581" w14:textId="54EDD533">
      <w:pPr>
        <w:spacing w:after="0"/>
        <w:rPr>
          <w:rFonts w:ascii="Times New Roman" w:hAnsi="Times New Roman" w:cs="Times New Roman"/>
          <w:sz w:val="26"/>
          <w:szCs w:val="26"/>
        </w:rPr>
      </w:pPr>
      <w:r w:rsidRPr="00AE2305">
        <w:rPr>
          <w:rFonts w:ascii="Times New Roman" w:hAnsi="Times New Roman" w:cs="Times New Roman"/>
          <w:sz w:val="26"/>
          <w:szCs w:val="26"/>
        </w:rPr>
        <w:t xml:space="preserve">Failure to properly perform </w:t>
      </w:r>
      <w:r w:rsidR="00AC62FC">
        <w:rPr>
          <w:rFonts w:ascii="Times New Roman" w:hAnsi="Times New Roman" w:cs="Times New Roman"/>
          <w:sz w:val="26"/>
          <w:szCs w:val="26"/>
        </w:rPr>
        <w:t>the initial review described above in the first two years of implementation</w:t>
      </w:r>
      <w:r w:rsidR="00120E42">
        <w:rPr>
          <w:rFonts w:ascii="Times New Roman" w:hAnsi="Times New Roman" w:cs="Times New Roman"/>
          <w:sz w:val="26"/>
          <w:szCs w:val="26"/>
        </w:rPr>
        <w:t xml:space="preserve"> and an ongoing review of newly constructed elements</w:t>
      </w:r>
      <w:r w:rsidRPr="00AE2305">
        <w:rPr>
          <w:rFonts w:ascii="Times New Roman" w:hAnsi="Times New Roman" w:cs="Times New Roman"/>
          <w:sz w:val="26"/>
          <w:szCs w:val="26"/>
        </w:rPr>
        <w:t xml:space="preserve"> could result in the failure to properly classify elements</w:t>
      </w:r>
      <w:r w:rsidR="00AC62FC">
        <w:rPr>
          <w:rFonts w:ascii="Times New Roman" w:hAnsi="Times New Roman" w:cs="Times New Roman"/>
          <w:sz w:val="26"/>
          <w:szCs w:val="26"/>
        </w:rPr>
        <w:t xml:space="preserve"> as being part of the bulk electric system which are</w:t>
      </w:r>
      <w:r w:rsidRPr="00AE2305">
        <w:rPr>
          <w:rFonts w:ascii="Times New Roman" w:hAnsi="Times New Roman" w:cs="Times New Roman"/>
          <w:sz w:val="26"/>
          <w:szCs w:val="26"/>
        </w:rPr>
        <w:t xml:space="preserve"> needed for operating the interconnected transmission network and could jeopardize </w:t>
      </w:r>
      <w:r w:rsidR="00AC62FC">
        <w:rPr>
          <w:rFonts w:ascii="Times New Roman" w:hAnsi="Times New Roman" w:cs="Times New Roman"/>
          <w:sz w:val="26"/>
          <w:szCs w:val="26"/>
        </w:rPr>
        <w:t xml:space="preserve">electric </w:t>
      </w:r>
      <w:r w:rsidRPr="00AE2305">
        <w:rPr>
          <w:rFonts w:ascii="Times New Roman" w:hAnsi="Times New Roman" w:cs="Times New Roman"/>
          <w:sz w:val="26"/>
          <w:szCs w:val="26"/>
        </w:rPr>
        <w:t>system reliability.</w:t>
      </w:r>
    </w:p>
    <w:p w:rsidRPr="00AE2305" w:rsidR="00B82C6A" w:rsidP="00B82C6A" w:rsidRDefault="00B82C6A" w14:paraId="501280DD" w14:textId="77777777">
      <w:pPr>
        <w:spacing w:after="0"/>
        <w:rPr>
          <w:rFonts w:ascii="Times New Roman" w:hAnsi="Times New Roman" w:cs="Times New Roman"/>
          <w:sz w:val="26"/>
          <w:szCs w:val="26"/>
        </w:rPr>
      </w:pPr>
    </w:p>
    <w:p w:rsidRPr="00AE2305" w:rsidR="00B82C6A" w:rsidP="00B82C6A" w:rsidRDefault="00B82C6A" w14:paraId="70E66ED5"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DESCRIBE ANY CONSIDERATION OF THE USE OF IMPROVED INFORMATION TECHNOLOGY TO REDUCE THE BURDEN AND TECHNICAL OR LEGAL OBSTACLES TO REDUCING BURDEN</w:t>
      </w:r>
    </w:p>
    <w:p w:rsidRPr="00AE2305" w:rsidR="00B82C6A" w:rsidP="00B82C6A" w:rsidRDefault="00B82C6A" w14:paraId="5336C555" w14:textId="77777777">
      <w:pPr>
        <w:spacing w:after="0"/>
        <w:rPr>
          <w:rFonts w:ascii="Times New Roman" w:hAnsi="Times New Roman" w:cs="Times New Roman"/>
          <w:sz w:val="26"/>
          <w:szCs w:val="26"/>
        </w:rPr>
      </w:pPr>
    </w:p>
    <w:p w:rsidR="00D81F92" w:rsidP="00B82C6A" w:rsidRDefault="00AF2517" w14:paraId="1DA6C67F" w14:textId="2C496A4E">
      <w:pPr>
        <w:spacing w:after="0"/>
        <w:rPr>
          <w:rFonts w:ascii="Times New Roman" w:hAnsi="Times New Roman" w:cs="Times New Roman"/>
          <w:sz w:val="26"/>
          <w:szCs w:val="26"/>
        </w:rPr>
      </w:pPr>
      <w:r>
        <w:rPr>
          <w:rFonts w:ascii="Times New Roman" w:hAnsi="Times New Roman" w:cs="Times New Roman"/>
          <w:sz w:val="26"/>
          <w:szCs w:val="26"/>
        </w:rPr>
        <w:t xml:space="preserve">All of the information </w:t>
      </w:r>
      <w:r w:rsidR="003664BC">
        <w:rPr>
          <w:rFonts w:ascii="Times New Roman" w:hAnsi="Times New Roman" w:cs="Times New Roman"/>
          <w:sz w:val="26"/>
          <w:szCs w:val="26"/>
        </w:rPr>
        <w:t>in this collection is being submitted in an electronic format.  The NERC c</w:t>
      </w:r>
      <w:r w:rsidR="00D81F92">
        <w:rPr>
          <w:rFonts w:ascii="Times New Roman" w:hAnsi="Times New Roman" w:cs="Times New Roman"/>
          <w:sz w:val="26"/>
          <w:szCs w:val="26"/>
        </w:rPr>
        <w:t xml:space="preserve">ompliance information and reports are filed using a separate electronic filing system than is used for collecting information on bulk electric system definition and </w:t>
      </w:r>
      <w:r w:rsidR="00F36495">
        <w:rPr>
          <w:rFonts w:ascii="Times New Roman" w:hAnsi="Times New Roman" w:cs="Times New Roman"/>
          <w:sz w:val="26"/>
          <w:szCs w:val="26"/>
        </w:rPr>
        <w:t xml:space="preserve">NERC </w:t>
      </w:r>
      <w:r w:rsidR="00D81F92">
        <w:rPr>
          <w:rFonts w:ascii="Times New Roman" w:hAnsi="Times New Roman" w:cs="Times New Roman"/>
          <w:sz w:val="26"/>
          <w:szCs w:val="26"/>
        </w:rPr>
        <w:t>ROP exception process.</w:t>
      </w:r>
      <w:r w:rsidR="00F36495">
        <w:rPr>
          <w:rFonts w:ascii="Times New Roman" w:hAnsi="Times New Roman" w:cs="Times New Roman"/>
          <w:sz w:val="26"/>
          <w:szCs w:val="26"/>
        </w:rPr>
        <w:t xml:space="preserve">  Both of these filing systems are owned and managed by NERC and the Regional Entities.  </w:t>
      </w:r>
    </w:p>
    <w:p w:rsidR="00F36495" w:rsidP="00B82C6A" w:rsidRDefault="00F36495" w14:paraId="37B46B85" w14:textId="1F8DA3B6">
      <w:pPr>
        <w:spacing w:after="0"/>
        <w:rPr>
          <w:rFonts w:ascii="Times New Roman" w:hAnsi="Times New Roman" w:cs="Times New Roman"/>
          <w:sz w:val="26"/>
          <w:szCs w:val="26"/>
        </w:rPr>
      </w:pPr>
    </w:p>
    <w:p w:rsidR="00F36495" w:rsidP="00B82C6A" w:rsidRDefault="001E5E18" w14:paraId="17CE4128" w14:textId="6E4400EB">
      <w:pPr>
        <w:spacing w:after="0"/>
        <w:rPr>
          <w:rFonts w:ascii="Times New Roman" w:hAnsi="Times New Roman" w:cs="Times New Roman"/>
          <w:sz w:val="26"/>
          <w:szCs w:val="26"/>
        </w:rPr>
      </w:pPr>
      <w:r>
        <w:rPr>
          <w:rFonts w:ascii="Times New Roman" w:hAnsi="Times New Roman" w:cs="Times New Roman"/>
          <w:sz w:val="26"/>
          <w:szCs w:val="26"/>
        </w:rPr>
        <w:t>Petitions</w:t>
      </w:r>
      <w:r w:rsidR="00F36495">
        <w:rPr>
          <w:rFonts w:ascii="Times New Roman" w:hAnsi="Times New Roman" w:cs="Times New Roman"/>
          <w:sz w:val="26"/>
          <w:szCs w:val="26"/>
        </w:rPr>
        <w:t xml:space="preserve"> for local distribution determinations </w:t>
      </w:r>
      <w:r>
        <w:rPr>
          <w:rFonts w:ascii="Times New Roman" w:hAnsi="Times New Roman" w:cs="Times New Roman"/>
          <w:sz w:val="26"/>
          <w:szCs w:val="26"/>
        </w:rPr>
        <w:t>are submitted through the FERC electronic filing system.</w:t>
      </w:r>
    </w:p>
    <w:p w:rsidR="00D81F92" w:rsidP="00B82C6A" w:rsidRDefault="00D81F92" w14:paraId="0554DFF0" w14:textId="77777777">
      <w:pPr>
        <w:spacing w:after="0"/>
        <w:rPr>
          <w:rFonts w:ascii="Times New Roman" w:hAnsi="Times New Roman" w:cs="Times New Roman"/>
          <w:sz w:val="26"/>
          <w:szCs w:val="26"/>
        </w:rPr>
      </w:pPr>
    </w:p>
    <w:p w:rsidRPr="00AE2305" w:rsidR="00B82C6A" w:rsidP="00B82C6A" w:rsidRDefault="00B82C6A" w14:paraId="773D33B4" w14:textId="10E8D2A8">
      <w:pPr>
        <w:spacing w:after="0"/>
        <w:rPr>
          <w:rFonts w:ascii="Times New Roman" w:hAnsi="Times New Roman" w:cs="Times New Roman"/>
          <w:sz w:val="26"/>
          <w:szCs w:val="26"/>
        </w:rPr>
      </w:pPr>
      <w:r w:rsidRPr="00AE2305">
        <w:rPr>
          <w:rFonts w:ascii="Times New Roman" w:hAnsi="Times New Roman" w:cs="Times New Roman"/>
          <w:sz w:val="26"/>
          <w:szCs w:val="26"/>
        </w:rPr>
        <w:t xml:space="preserve">Each of the </w:t>
      </w:r>
      <w:r w:rsidRPr="00AE2305" w:rsidR="00DB75BD">
        <w:rPr>
          <w:rFonts w:ascii="Times New Roman" w:hAnsi="Times New Roman" w:cs="Times New Roman"/>
          <w:sz w:val="26"/>
          <w:szCs w:val="26"/>
        </w:rPr>
        <w:t xml:space="preserve">six </w:t>
      </w:r>
      <w:r w:rsidR="001E5E18">
        <w:rPr>
          <w:rFonts w:ascii="Times New Roman" w:hAnsi="Times New Roman" w:cs="Times New Roman"/>
          <w:sz w:val="26"/>
          <w:szCs w:val="26"/>
        </w:rPr>
        <w:t>R</w:t>
      </w:r>
      <w:r w:rsidRPr="00AE2305" w:rsidR="001E5E18">
        <w:rPr>
          <w:rFonts w:ascii="Times New Roman" w:hAnsi="Times New Roman" w:cs="Times New Roman"/>
          <w:sz w:val="26"/>
          <w:szCs w:val="26"/>
        </w:rPr>
        <w:t xml:space="preserve">egional </w:t>
      </w:r>
      <w:r w:rsidR="003664BC">
        <w:rPr>
          <w:rFonts w:ascii="Times New Roman" w:hAnsi="Times New Roman" w:cs="Times New Roman"/>
          <w:sz w:val="26"/>
          <w:szCs w:val="26"/>
        </w:rPr>
        <w:t>E</w:t>
      </w:r>
      <w:r w:rsidRPr="00AE2305" w:rsidR="003664BC">
        <w:rPr>
          <w:rFonts w:ascii="Times New Roman" w:hAnsi="Times New Roman" w:cs="Times New Roman"/>
          <w:sz w:val="26"/>
          <w:szCs w:val="26"/>
        </w:rPr>
        <w:t xml:space="preserve">ntities </w:t>
      </w:r>
      <w:r w:rsidRPr="00AE2305">
        <w:rPr>
          <w:rFonts w:ascii="Times New Roman" w:hAnsi="Times New Roman" w:cs="Times New Roman"/>
          <w:sz w:val="26"/>
          <w:szCs w:val="26"/>
        </w:rPr>
        <w:t xml:space="preserve">has a well-established compliance portal for registered entities to electronically submit compliance information and reports.  The compliance portals allow documents developed by the registered entities to be attached and uploaded to the </w:t>
      </w:r>
      <w:r w:rsidR="003664BC">
        <w:rPr>
          <w:rFonts w:ascii="Times New Roman" w:hAnsi="Times New Roman" w:cs="Times New Roman"/>
          <w:sz w:val="26"/>
          <w:szCs w:val="26"/>
        </w:rPr>
        <w:t>R</w:t>
      </w:r>
      <w:r w:rsidRPr="00AE2305" w:rsidR="003664BC">
        <w:rPr>
          <w:rFonts w:ascii="Times New Roman" w:hAnsi="Times New Roman" w:cs="Times New Roman"/>
          <w:sz w:val="26"/>
          <w:szCs w:val="26"/>
        </w:rPr>
        <w:t xml:space="preserve">egional </w:t>
      </w:r>
      <w:r w:rsidR="003664BC">
        <w:rPr>
          <w:rFonts w:ascii="Times New Roman" w:hAnsi="Times New Roman" w:cs="Times New Roman"/>
          <w:sz w:val="26"/>
          <w:szCs w:val="26"/>
        </w:rPr>
        <w:t>E</w:t>
      </w:r>
      <w:r w:rsidRPr="00AE2305" w:rsidR="003664BC">
        <w:rPr>
          <w:rFonts w:ascii="Times New Roman" w:hAnsi="Times New Roman" w:cs="Times New Roman"/>
          <w:sz w:val="26"/>
          <w:szCs w:val="26"/>
        </w:rPr>
        <w:t xml:space="preserve">ntity’s </w:t>
      </w:r>
      <w:r w:rsidRPr="00AE2305">
        <w:rPr>
          <w:rFonts w:ascii="Times New Roman" w:hAnsi="Times New Roman" w:cs="Times New Roman"/>
          <w:sz w:val="26"/>
          <w:szCs w:val="26"/>
        </w:rPr>
        <w:t>portal.  Compliance data can also be submitted via data forms on the portals.  These portals are accessible through an internet browser password protected user interface.</w:t>
      </w:r>
    </w:p>
    <w:p w:rsidRPr="00AE2305" w:rsidR="00B82C6A" w:rsidP="00B82C6A" w:rsidRDefault="00B82C6A" w14:paraId="01F57AD4" w14:textId="77777777">
      <w:pPr>
        <w:tabs>
          <w:tab w:val="left" w:pos="3540"/>
        </w:tabs>
        <w:spacing w:after="0"/>
        <w:rPr>
          <w:rFonts w:ascii="Times New Roman" w:hAnsi="Times New Roman" w:cs="Times New Roman"/>
          <w:sz w:val="26"/>
          <w:szCs w:val="26"/>
        </w:rPr>
      </w:pPr>
      <w:r w:rsidRPr="00AE2305">
        <w:rPr>
          <w:rFonts w:ascii="Times New Roman" w:hAnsi="Times New Roman" w:cs="Times New Roman"/>
          <w:sz w:val="26"/>
          <w:szCs w:val="26"/>
        </w:rPr>
        <w:lastRenderedPageBreak/>
        <w:tab/>
      </w:r>
    </w:p>
    <w:p w:rsidRPr="00AE2305" w:rsidR="00B82C6A" w:rsidP="00B82C6A" w:rsidRDefault="00B82C6A" w14:paraId="4175C300" w14:textId="5B67104A">
      <w:pPr>
        <w:spacing w:after="0"/>
        <w:rPr>
          <w:rFonts w:ascii="Times New Roman" w:hAnsi="Times New Roman" w:cs="Times New Roman"/>
          <w:sz w:val="26"/>
          <w:szCs w:val="26"/>
        </w:rPr>
      </w:pPr>
      <w:r w:rsidRPr="00AE2305">
        <w:rPr>
          <w:rFonts w:ascii="Times New Roman" w:hAnsi="Times New Roman" w:cs="Times New Roman"/>
          <w:sz w:val="26"/>
          <w:szCs w:val="26"/>
        </w:rPr>
        <w:t xml:space="preserve">In preparation for the implementation of the bulk electric system definition and ROP exception process, NERC and the </w:t>
      </w:r>
      <w:r w:rsidRPr="00AE2305" w:rsidR="00DB75BD">
        <w:rPr>
          <w:rFonts w:ascii="Times New Roman" w:hAnsi="Times New Roman" w:cs="Times New Roman"/>
          <w:sz w:val="26"/>
          <w:szCs w:val="26"/>
        </w:rPr>
        <w:t xml:space="preserve">six </w:t>
      </w:r>
      <w:r w:rsidRPr="00AE2305">
        <w:rPr>
          <w:rFonts w:ascii="Times New Roman" w:hAnsi="Times New Roman" w:cs="Times New Roman"/>
          <w:sz w:val="26"/>
          <w:szCs w:val="26"/>
        </w:rPr>
        <w:t xml:space="preserve">regional entities worked together to develop a new data collection system called the </w:t>
      </w:r>
      <w:proofErr w:type="spellStart"/>
      <w:r w:rsidRPr="00AE2305">
        <w:rPr>
          <w:rFonts w:ascii="Times New Roman" w:hAnsi="Times New Roman" w:cs="Times New Roman"/>
          <w:sz w:val="26"/>
          <w:szCs w:val="26"/>
        </w:rPr>
        <w:t>BESNet</w:t>
      </w:r>
      <w:proofErr w:type="spellEnd"/>
      <w:r w:rsidRPr="00AE2305">
        <w:rPr>
          <w:rFonts w:ascii="Times New Roman" w:hAnsi="Times New Roman" w:cs="Times New Roman"/>
          <w:sz w:val="26"/>
          <w:szCs w:val="26"/>
        </w:rPr>
        <w:t xml:space="preserve">.  This new system will contain all of the information required for the definition and exception process into one database.  All owners of bulk electric system elements will follow the same procedures for submitting electronic data.  The </w:t>
      </w:r>
      <w:proofErr w:type="spellStart"/>
      <w:r w:rsidRPr="00AE2305">
        <w:rPr>
          <w:rFonts w:ascii="Times New Roman" w:hAnsi="Times New Roman" w:cs="Times New Roman"/>
          <w:sz w:val="26"/>
          <w:szCs w:val="26"/>
        </w:rPr>
        <w:t>BESNet</w:t>
      </w:r>
      <w:proofErr w:type="spellEnd"/>
      <w:r w:rsidRPr="00AE2305">
        <w:rPr>
          <w:rFonts w:ascii="Times New Roman" w:hAnsi="Times New Roman" w:cs="Times New Roman"/>
          <w:sz w:val="26"/>
          <w:szCs w:val="26"/>
        </w:rPr>
        <w:t xml:space="preserve"> software </w:t>
      </w:r>
      <w:r w:rsidRPr="00AE2305" w:rsidR="00DB75BD">
        <w:rPr>
          <w:rFonts w:ascii="Times New Roman" w:hAnsi="Times New Roman" w:cs="Times New Roman"/>
          <w:sz w:val="26"/>
          <w:szCs w:val="26"/>
        </w:rPr>
        <w:t>is</w:t>
      </w:r>
      <w:r w:rsidRPr="00AE2305">
        <w:rPr>
          <w:rFonts w:ascii="Times New Roman" w:hAnsi="Times New Roman" w:cs="Times New Roman"/>
          <w:sz w:val="26"/>
          <w:szCs w:val="26"/>
        </w:rPr>
        <w:t xml:space="preserve"> accessible through an internet browser password protected user interface.</w:t>
      </w:r>
    </w:p>
    <w:p w:rsidRPr="00AE2305" w:rsidR="00B82C6A" w:rsidP="00B82C6A" w:rsidRDefault="00B82C6A" w14:paraId="285049BE" w14:textId="77777777">
      <w:pPr>
        <w:spacing w:after="0"/>
        <w:rPr>
          <w:rFonts w:ascii="Times New Roman" w:hAnsi="Times New Roman" w:cs="Times New Roman"/>
          <w:sz w:val="26"/>
          <w:szCs w:val="26"/>
        </w:rPr>
      </w:pPr>
    </w:p>
    <w:p w:rsidRPr="00AE2305" w:rsidR="00B82C6A" w:rsidP="00B82C6A" w:rsidRDefault="00B82C6A" w14:paraId="2B29C415"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rsidR="00DC318A" w:rsidP="00B82C6A" w:rsidRDefault="00DC318A" w14:paraId="3B047C89" w14:textId="77777777">
      <w:pPr>
        <w:spacing w:after="0"/>
        <w:rPr>
          <w:rFonts w:ascii="Times New Roman" w:hAnsi="Times New Roman" w:cs="Times New Roman"/>
          <w:sz w:val="26"/>
          <w:szCs w:val="26"/>
        </w:rPr>
      </w:pPr>
    </w:p>
    <w:p w:rsidRPr="001B2FC2" w:rsidR="001B2FC2" w:rsidP="001B2FC2" w:rsidRDefault="001B2FC2" w14:paraId="62043351" w14:textId="77777777">
      <w:pPr>
        <w:spacing w:after="0"/>
        <w:rPr>
          <w:rFonts w:ascii="Times New Roman" w:hAnsi="Times New Roman" w:cs="Times New Roman"/>
          <w:sz w:val="26"/>
          <w:szCs w:val="26"/>
        </w:rPr>
      </w:pPr>
      <w:r w:rsidRPr="001B2FC2">
        <w:rPr>
          <w:rFonts w:ascii="Times New Roman" w:hAnsi="Times New Roman" w:cs="Times New Roman"/>
          <w:sz w:val="26"/>
          <w:szCs w:val="26"/>
        </w:rPr>
        <w:t xml:space="preserve">Commission filings and data requirements are periodically reviewed in conjunction with OMB clearance expiration dates.  This includes a review of the Commission's regulations and data requirements to identify any duplication.  </w:t>
      </w:r>
    </w:p>
    <w:p w:rsidRPr="00AE2305" w:rsidR="00A7764A" w:rsidP="00B82C6A" w:rsidRDefault="00A7764A" w14:paraId="4452FF42" w14:textId="77777777">
      <w:pPr>
        <w:spacing w:after="0"/>
        <w:rPr>
          <w:rFonts w:ascii="Times New Roman" w:hAnsi="Times New Roman" w:cs="Times New Roman"/>
          <w:sz w:val="26"/>
          <w:szCs w:val="26"/>
        </w:rPr>
      </w:pPr>
    </w:p>
    <w:p w:rsidRPr="00AE2305" w:rsidR="00B82C6A" w:rsidP="00B82C6A" w:rsidRDefault="00B82C6A" w14:paraId="3F176576" w14:textId="77777777">
      <w:pPr>
        <w:spacing w:after="0"/>
        <w:rPr>
          <w:rFonts w:ascii="Times New Roman" w:hAnsi="Times New Roman" w:cs="Times New Roman"/>
          <w:sz w:val="26"/>
          <w:szCs w:val="26"/>
        </w:rPr>
      </w:pPr>
      <w:r w:rsidRPr="00AE2305">
        <w:rPr>
          <w:rFonts w:ascii="Times New Roman" w:hAnsi="Times New Roman" w:cs="Times New Roman"/>
          <w:sz w:val="26"/>
          <w:szCs w:val="26"/>
        </w:rPr>
        <w:t xml:space="preserve">Entities filing requests for local distribution determinations may use the Commission’s </w:t>
      </w:r>
      <w:proofErr w:type="spellStart"/>
      <w:r w:rsidRPr="00AE2305">
        <w:rPr>
          <w:rFonts w:ascii="Times New Roman" w:hAnsi="Times New Roman" w:cs="Times New Roman"/>
          <w:sz w:val="26"/>
          <w:szCs w:val="26"/>
        </w:rPr>
        <w:t>eFiling</w:t>
      </w:r>
      <w:proofErr w:type="spellEnd"/>
      <w:r w:rsidRPr="00AE2305">
        <w:rPr>
          <w:rFonts w:ascii="Times New Roman" w:hAnsi="Times New Roman" w:cs="Times New Roman"/>
          <w:sz w:val="26"/>
          <w:szCs w:val="26"/>
        </w:rPr>
        <w:t xml:space="preserve"> system.</w:t>
      </w:r>
    </w:p>
    <w:p w:rsidRPr="00AE2305" w:rsidR="00B82C6A" w:rsidP="00B82C6A" w:rsidRDefault="00B82C6A" w14:paraId="7F9C3B93" w14:textId="77777777">
      <w:pPr>
        <w:spacing w:after="0"/>
        <w:rPr>
          <w:rFonts w:ascii="Times New Roman" w:hAnsi="Times New Roman" w:cs="Times New Roman"/>
          <w:sz w:val="26"/>
          <w:szCs w:val="26"/>
        </w:rPr>
      </w:pPr>
    </w:p>
    <w:p w:rsidRPr="00AE2305" w:rsidR="00B82C6A" w:rsidP="00B82C6A" w:rsidRDefault="00B82C6A" w14:paraId="27A68332" w14:textId="755B7F78">
      <w:pPr>
        <w:spacing w:after="0"/>
        <w:rPr>
          <w:rFonts w:ascii="Times New Roman" w:hAnsi="Times New Roman" w:cs="Times New Roman"/>
          <w:sz w:val="26"/>
          <w:szCs w:val="26"/>
        </w:rPr>
      </w:pPr>
      <w:r w:rsidRPr="00AE2305">
        <w:rPr>
          <w:rFonts w:ascii="Times New Roman" w:hAnsi="Times New Roman" w:cs="Times New Roman"/>
          <w:sz w:val="26"/>
          <w:szCs w:val="26"/>
        </w:rPr>
        <w:t xml:space="preserve">For information collected by NERC and the regional entities, the </w:t>
      </w:r>
      <w:proofErr w:type="spellStart"/>
      <w:r w:rsidRPr="00AE2305">
        <w:rPr>
          <w:rFonts w:ascii="Times New Roman" w:hAnsi="Times New Roman" w:cs="Times New Roman"/>
          <w:sz w:val="26"/>
          <w:szCs w:val="26"/>
        </w:rPr>
        <w:t>BESNet</w:t>
      </w:r>
      <w:proofErr w:type="spellEnd"/>
      <w:r w:rsidRPr="00AE2305">
        <w:rPr>
          <w:rFonts w:ascii="Times New Roman" w:hAnsi="Times New Roman" w:cs="Times New Roman"/>
          <w:sz w:val="26"/>
          <w:szCs w:val="26"/>
        </w:rPr>
        <w:t xml:space="preserve"> software will prevent the need for duplication of submittals.  This data has not been collected in the past and is part of the implementation of the revised bulk electric system definition and ROP exception process</w:t>
      </w:r>
      <w:r w:rsidR="001B2FC2">
        <w:rPr>
          <w:rFonts w:ascii="Times New Roman" w:hAnsi="Times New Roman" w:cs="Times New Roman"/>
          <w:sz w:val="26"/>
          <w:szCs w:val="26"/>
        </w:rPr>
        <w:t xml:space="preserve"> that took effect</w:t>
      </w:r>
      <w:r w:rsidRPr="00AE2305">
        <w:rPr>
          <w:rFonts w:ascii="Times New Roman" w:hAnsi="Times New Roman" w:cs="Times New Roman"/>
          <w:sz w:val="26"/>
          <w:szCs w:val="26"/>
        </w:rPr>
        <w:t xml:space="preserve"> July 1, 2014.</w:t>
      </w:r>
    </w:p>
    <w:p w:rsidRPr="00AE2305" w:rsidR="00B82C6A" w:rsidP="00B82C6A" w:rsidRDefault="00B82C6A" w14:paraId="3A03D454" w14:textId="77777777">
      <w:pPr>
        <w:spacing w:after="0"/>
        <w:rPr>
          <w:rFonts w:ascii="Times New Roman" w:hAnsi="Times New Roman" w:cs="Times New Roman"/>
          <w:sz w:val="26"/>
          <w:szCs w:val="26"/>
        </w:rPr>
      </w:pPr>
    </w:p>
    <w:p w:rsidRPr="00AE2305" w:rsidR="00B82C6A" w:rsidP="00B82C6A" w:rsidRDefault="00B82C6A" w14:paraId="3FF57913" w14:textId="77777777">
      <w:pPr>
        <w:pStyle w:val="ListParagraph"/>
        <w:numPr>
          <w:ilvl w:val="0"/>
          <w:numId w:val="1"/>
        </w:numPr>
        <w:spacing w:after="0"/>
        <w:ind w:left="360"/>
        <w:rPr>
          <w:rFonts w:ascii="Times New Roman" w:hAnsi="Times New Roman" w:cs="Times New Roman"/>
          <w:b/>
          <w:sz w:val="26"/>
          <w:szCs w:val="26"/>
        </w:rPr>
      </w:pPr>
      <w:r w:rsidRPr="00D95249">
        <w:rPr>
          <w:rFonts w:ascii="Times New Roman" w:hAnsi="Times New Roman" w:cs="Times New Roman"/>
          <w:b/>
          <w:sz w:val="26"/>
          <w:szCs w:val="26"/>
        </w:rPr>
        <w:t xml:space="preserve">METHODS USED TO MINIMIZE THE BURDEN IN COLLECTION OF INFORMATION </w:t>
      </w:r>
      <w:r w:rsidRPr="00AE2305">
        <w:rPr>
          <w:rFonts w:ascii="Times New Roman" w:hAnsi="Times New Roman" w:cs="Times New Roman"/>
          <w:b/>
          <w:sz w:val="26"/>
          <w:szCs w:val="26"/>
        </w:rPr>
        <w:t>INVOLVING SMALL ENTITIES</w:t>
      </w:r>
    </w:p>
    <w:p w:rsidRPr="00AE2305" w:rsidR="00B82C6A" w:rsidP="00B82C6A" w:rsidRDefault="00B82C6A" w14:paraId="4732B095" w14:textId="77777777">
      <w:pPr>
        <w:spacing w:after="0"/>
        <w:rPr>
          <w:rFonts w:ascii="Times New Roman" w:hAnsi="Times New Roman" w:cs="Times New Roman"/>
          <w:sz w:val="26"/>
          <w:szCs w:val="26"/>
        </w:rPr>
      </w:pPr>
    </w:p>
    <w:p w:rsidRPr="00AE2305" w:rsidR="00B82C6A" w:rsidP="00B82C6A" w:rsidRDefault="00B82C6A" w14:paraId="7EAD266E" w14:textId="597507F5">
      <w:pPr>
        <w:spacing w:after="0"/>
        <w:rPr>
          <w:rFonts w:ascii="Times New Roman" w:hAnsi="Times New Roman" w:cs="Times New Roman"/>
          <w:sz w:val="26"/>
          <w:szCs w:val="26"/>
        </w:rPr>
      </w:pPr>
      <w:r w:rsidRPr="00AE2305">
        <w:rPr>
          <w:rFonts w:ascii="Times New Roman" w:hAnsi="Times New Roman" w:cs="Times New Roman"/>
          <w:sz w:val="26"/>
          <w:szCs w:val="26"/>
        </w:rPr>
        <w:t>Generally</w:t>
      </w:r>
      <w:r w:rsidR="00F50A3A">
        <w:rPr>
          <w:rFonts w:ascii="Times New Roman" w:hAnsi="Times New Roman" w:cs="Times New Roman"/>
          <w:sz w:val="26"/>
          <w:szCs w:val="26"/>
        </w:rPr>
        <w:t>,</w:t>
      </w:r>
      <w:r w:rsidRPr="00AE2305">
        <w:rPr>
          <w:rFonts w:ascii="Times New Roman" w:hAnsi="Times New Roman" w:cs="Times New Roman"/>
          <w:sz w:val="26"/>
          <w:szCs w:val="26"/>
        </w:rPr>
        <w:t xml:space="preserve"> small entities do</w:t>
      </w:r>
      <w:r w:rsidR="00F50A3A">
        <w:rPr>
          <w:rFonts w:ascii="Times New Roman" w:hAnsi="Times New Roman" w:cs="Times New Roman"/>
          <w:sz w:val="26"/>
          <w:szCs w:val="26"/>
        </w:rPr>
        <w:t xml:space="preserve"> not</w:t>
      </w:r>
      <w:r w:rsidRPr="00AE2305">
        <w:rPr>
          <w:rFonts w:ascii="Times New Roman" w:hAnsi="Times New Roman" w:cs="Times New Roman"/>
          <w:sz w:val="26"/>
          <w:szCs w:val="26"/>
        </w:rPr>
        <w:t xml:space="preserve"> have critical elements that are included in the bulk electric system</w:t>
      </w:r>
      <w:r w:rsidR="00F50A3A">
        <w:rPr>
          <w:rFonts w:ascii="Times New Roman" w:hAnsi="Times New Roman" w:cs="Times New Roman"/>
          <w:sz w:val="26"/>
          <w:szCs w:val="26"/>
        </w:rPr>
        <w:t xml:space="preserve">.  </w:t>
      </w:r>
      <w:bookmarkStart w:name="_GoBack" w:id="1"/>
      <w:r w:rsidRPr="00AE2305">
        <w:rPr>
          <w:rFonts w:ascii="Times New Roman" w:hAnsi="Times New Roman" w:cs="Times New Roman"/>
          <w:sz w:val="26"/>
          <w:szCs w:val="26"/>
        </w:rPr>
        <w:t xml:space="preserve">A small entity could pursue an exception request to have an element removed and it will be evaluated by the </w:t>
      </w:r>
      <w:r w:rsidR="003664BC">
        <w:rPr>
          <w:rFonts w:ascii="Times New Roman" w:hAnsi="Times New Roman" w:cs="Times New Roman"/>
          <w:sz w:val="26"/>
          <w:szCs w:val="26"/>
        </w:rPr>
        <w:t>R</w:t>
      </w:r>
      <w:r w:rsidRPr="00AE2305" w:rsidR="003664BC">
        <w:rPr>
          <w:rFonts w:ascii="Times New Roman" w:hAnsi="Times New Roman" w:cs="Times New Roman"/>
          <w:sz w:val="26"/>
          <w:szCs w:val="26"/>
        </w:rPr>
        <w:t xml:space="preserve">egional </w:t>
      </w:r>
      <w:r w:rsidR="003664BC">
        <w:rPr>
          <w:rFonts w:ascii="Times New Roman" w:hAnsi="Times New Roman" w:cs="Times New Roman"/>
          <w:sz w:val="26"/>
          <w:szCs w:val="26"/>
        </w:rPr>
        <w:t>E</w:t>
      </w:r>
      <w:r w:rsidRPr="00AE2305" w:rsidR="003664BC">
        <w:rPr>
          <w:rFonts w:ascii="Times New Roman" w:hAnsi="Times New Roman" w:cs="Times New Roman"/>
          <w:sz w:val="26"/>
          <w:szCs w:val="26"/>
        </w:rPr>
        <w:t xml:space="preserve">ntities </w:t>
      </w:r>
      <w:r w:rsidRPr="00AE2305">
        <w:rPr>
          <w:rFonts w:ascii="Times New Roman" w:hAnsi="Times New Roman" w:cs="Times New Roman"/>
          <w:sz w:val="26"/>
          <w:szCs w:val="26"/>
        </w:rPr>
        <w:t>and NERC.</w:t>
      </w:r>
      <w:bookmarkEnd w:id="1"/>
    </w:p>
    <w:p w:rsidRPr="00AE2305" w:rsidR="00B82C6A" w:rsidP="00B82C6A" w:rsidRDefault="00B82C6A" w14:paraId="53A85627" w14:textId="77777777">
      <w:pPr>
        <w:spacing w:after="0"/>
        <w:rPr>
          <w:rFonts w:ascii="Times New Roman" w:hAnsi="Times New Roman" w:cs="Times New Roman"/>
          <w:sz w:val="26"/>
          <w:szCs w:val="26"/>
        </w:rPr>
      </w:pPr>
    </w:p>
    <w:p w:rsidRPr="00AE2305" w:rsidR="00B82C6A" w:rsidP="00B82C6A" w:rsidRDefault="00B82C6A" w14:paraId="7BFDEA4F"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CONSEQUENCE TO FEDERAL PROGRAM IF COLLECTION WERE CONDUCTED LESS FREQUENTLY</w:t>
      </w:r>
    </w:p>
    <w:p w:rsidRPr="00AE2305" w:rsidR="00B82C6A" w:rsidP="00B82C6A" w:rsidRDefault="00B82C6A" w14:paraId="5712D83A" w14:textId="77777777">
      <w:pPr>
        <w:spacing w:after="0"/>
        <w:rPr>
          <w:rFonts w:ascii="Times New Roman" w:hAnsi="Times New Roman" w:cs="Times New Roman"/>
          <w:sz w:val="26"/>
          <w:szCs w:val="26"/>
        </w:rPr>
      </w:pPr>
    </w:p>
    <w:p w:rsidRPr="00AE2305" w:rsidR="00B82C6A" w:rsidP="00B82C6A" w:rsidRDefault="004D4BAB" w14:paraId="08FE08E8" w14:textId="3397A986">
      <w:pPr>
        <w:spacing w:after="0"/>
        <w:rPr>
          <w:rFonts w:ascii="Times New Roman" w:hAnsi="Times New Roman" w:cs="Times New Roman"/>
          <w:sz w:val="26"/>
          <w:szCs w:val="26"/>
        </w:rPr>
      </w:pPr>
      <w:r w:rsidRPr="00AE2305">
        <w:rPr>
          <w:rFonts w:ascii="Times New Roman" w:hAnsi="Times New Roman" w:cs="Times New Roman"/>
          <w:sz w:val="26"/>
          <w:szCs w:val="26"/>
        </w:rPr>
        <w:lastRenderedPageBreak/>
        <w:t xml:space="preserve">Failure to properly perform </w:t>
      </w:r>
      <w:r>
        <w:rPr>
          <w:rFonts w:ascii="Times New Roman" w:hAnsi="Times New Roman" w:cs="Times New Roman"/>
          <w:sz w:val="26"/>
          <w:szCs w:val="26"/>
        </w:rPr>
        <w:t>an ongoing review of newly constructed elements</w:t>
      </w:r>
      <w:r w:rsidRPr="00AE2305">
        <w:rPr>
          <w:rFonts w:ascii="Times New Roman" w:hAnsi="Times New Roman" w:cs="Times New Roman"/>
          <w:sz w:val="26"/>
          <w:szCs w:val="26"/>
        </w:rPr>
        <w:t xml:space="preserve"> could result in the failure to properly classify elements</w:t>
      </w:r>
      <w:r>
        <w:rPr>
          <w:rFonts w:ascii="Times New Roman" w:hAnsi="Times New Roman" w:cs="Times New Roman"/>
          <w:sz w:val="26"/>
          <w:szCs w:val="26"/>
        </w:rPr>
        <w:t xml:space="preserve"> as being part of the bulk electric system which are</w:t>
      </w:r>
      <w:r w:rsidRPr="00AE2305">
        <w:rPr>
          <w:rFonts w:ascii="Times New Roman" w:hAnsi="Times New Roman" w:cs="Times New Roman"/>
          <w:sz w:val="26"/>
          <w:szCs w:val="26"/>
        </w:rPr>
        <w:t xml:space="preserve"> needed for operating the interconnected transmission network and could jeopardize </w:t>
      </w:r>
      <w:r>
        <w:rPr>
          <w:rFonts w:ascii="Times New Roman" w:hAnsi="Times New Roman" w:cs="Times New Roman"/>
          <w:sz w:val="26"/>
          <w:szCs w:val="26"/>
        </w:rPr>
        <w:t xml:space="preserve">electric </w:t>
      </w:r>
      <w:r w:rsidRPr="00AE2305">
        <w:rPr>
          <w:rFonts w:ascii="Times New Roman" w:hAnsi="Times New Roman" w:cs="Times New Roman"/>
          <w:sz w:val="26"/>
          <w:szCs w:val="26"/>
        </w:rPr>
        <w:t>system reliability.</w:t>
      </w:r>
    </w:p>
    <w:p w:rsidRPr="00AE2305" w:rsidR="00B82C6A" w:rsidP="00B82C6A" w:rsidRDefault="00B82C6A" w14:paraId="14A86BF9" w14:textId="77777777">
      <w:pPr>
        <w:spacing w:after="0"/>
        <w:rPr>
          <w:rFonts w:ascii="Times New Roman" w:hAnsi="Times New Roman" w:cs="Times New Roman"/>
          <w:sz w:val="26"/>
          <w:szCs w:val="26"/>
        </w:rPr>
      </w:pPr>
    </w:p>
    <w:p w:rsidRPr="00AE2305" w:rsidR="00B82C6A" w:rsidP="00B82C6A" w:rsidRDefault="00B82C6A" w14:paraId="1C42F212"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EXPLAIN ANY SPECIAL CIRCUMSTANCES RELATING TO THE INFORMATION COLLECTION</w:t>
      </w:r>
    </w:p>
    <w:p w:rsidRPr="00AE2305" w:rsidR="00B82C6A" w:rsidP="00B82C6A" w:rsidRDefault="00B82C6A" w14:paraId="4F4D625F" w14:textId="77777777">
      <w:pPr>
        <w:spacing w:after="0"/>
        <w:rPr>
          <w:rFonts w:ascii="Times New Roman" w:hAnsi="Times New Roman" w:cs="Times New Roman"/>
          <w:sz w:val="26"/>
          <w:szCs w:val="26"/>
        </w:rPr>
      </w:pPr>
    </w:p>
    <w:p w:rsidRPr="00AE2305" w:rsidR="00B82C6A" w:rsidP="00B82C6A" w:rsidRDefault="00B82C6A" w14:paraId="66C3BB70" w14:textId="77777777">
      <w:pPr>
        <w:spacing w:after="0"/>
        <w:rPr>
          <w:rFonts w:ascii="Times New Roman" w:hAnsi="Times New Roman" w:cs="Times New Roman"/>
          <w:sz w:val="26"/>
          <w:szCs w:val="26"/>
        </w:rPr>
      </w:pPr>
      <w:r w:rsidRPr="00AE2305">
        <w:rPr>
          <w:rFonts w:ascii="Times New Roman" w:hAnsi="Times New Roman" w:cs="Times New Roman"/>
          <w:sz w:val="26"/>
          <w:szCs w:val="26"/>
        </w:rPr>
        <w:t xml:space="preserve">There are no special circumstances as described in 5 CFR 1320.5(d)(2) related to the FERC-725J information collection.  Typically, OMB guidelines in 5 CFR 1320.5(d)(2)(iv) prohibiting the retention of records for longer than three years pertain to information collections affecting NERC registered entities. However, there are no record retention requirements within the BES definition.  </w:t>
      </w:r>
    </w:p>
    <w:p w:rsidRPr="00AE2305" w:rsidR="00B82C6A" w:rsidP="00B82C6A" w:rsidRDefault="00B82C6A" w14:paraId="7DFAAB39" w14:textId="77777777">
      <w:pPr>
        <w:spacing w:after="0"/>
        <w:rPr>
          <w:rFonts w:ascii="Times New Roman" w:hAnsi="Times New Roman" w:cs="Times New Roman"/>
          <w:sz w:val="26"/>
          <w:szCs w:val="26"/>
        </w:rPr>
      </w:pPr>
    </w:p>
    <w:p w:rsidRPr="00AE2305" w:rsidR="00B82C6A" w:rsidP="00B82C6A" w:rsidRDefault="00B82C6A" w14:paraId="1487AD5C"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DESCRIBE EFFORTS TO CONSULT OUTSIDE THE AGENCY: SUMMARIZE PUBLIC COMMENTS AND THE AGENCY’S RESPONSE</w:t>
      </w:r>
    </w:p>
    <w:p w:rsidRPr="00AE2305" w:rsidR="00B82C6A" w:rsidP="00B82C6A" w:rsidRDefault="00B82C6A" w14:paraId="34125B72" w14:textId="77777777">
      <w:pPr>
        <w:spacing w:after="0"/>
        <w:rPr>
          <w:rFonts w:ascii="Times New Roman" w:hAnsi="Times New Roman" w:cs="Times New Roman"/>
          <w:sz w:val="26"/>
          <w:szCs w:val="26"/>
        </w:rPr>
      </w:pPr>
    </w:p>
    <w:p w:rsidR="00B82C6A" w:rsidP="00B82C6A" w:rsidRDefault="00A7764A" w14:paraId="3F4AE0A8" w14:textId="0B52515B">
      <w:pPr>
        <w:rPr>
          <w:rFonts w:ascii="Times New Roman" w:hAnsi="Times New Roman" w:cs="Times New Roman"/>
          <w:sz w:val="26"/>
          <w:szCs w:val="26"/>
        </w:rPr>
      </w:pPr>
      <w:r w:rsidRPr="00AE2305">
        <w:rPr>
          <w:rFonts w:ascii="Times New Roman" w:hAnsi="Times New Roman" w:cs="Times New Roman"/>
          <w:sz w:val="26"/>
          <w:szCs w:val="26"/>
        </w:rPr>
        <w:t>In accordance with OMB requirements, the Commission published a 60-day notice</w:t>
      </w:r>
      <w:r w:rsidRPr="00AE2305">
        <w:rPr>
          <w:rFonts w:ascii="Times New Roman" w:hAnsi="Times New Roman" w:cs="Times New Roman"/>
          <w:sz w:val="26"/>
          <w:szCs w:val="26"/>
          <w:vertAlign w:val="superscript"/>
        </w:rPr>
        <w:footnoteReference w:id="4"/>
      </w:r>
      <w:r w:rsidRPr="00AE2305">
        <w:rPr>
          <w:rFonts w:ascii="Times New Roman" w:hAnsi="Times New Roman" w:cs="Times New Roman"/>
          <w:sz w:val="26"/>
          <w:szCs w:val="26"/>
        </w:rPr>
        <w:t xml:space="preserve"> </w:t>
      </w:r>
      <w:r w:rsidR="00A26D01">
        <w:rPr>
          <w:rFonts w:ascii="Times New Roman" w:hAnsi="Times New Roman" w:cs="Times New Roman"/>
          <w:sz w:val="26"/>
          <w:szCs w:val="26"/>
        </w:rPr>
        <w:t>in the Federal Register</w:t>
      </w:r>
      <w:r w:rsidRPr="00AE2305">
        <w:rPr>
          <w:rFonts w:ascii="Times New Roman" w:hAnsi="Times New Roman" w:cs="Times New Roman"/>
          <w:sz w:val="26"/>
          <w:szCs w:val="26"/>
        </w:rPr>
        <w:t xml:space="preserve"> on </w:t>
      </w:r>
      <w:r w:rsidR="00F50A3A">
        <w:rPr>
          <w:rFonts w:ascii="Times New Roman" w:hAnsi="Times New Roman" w:cs="Times New Roman"/>
          <w:sz w:val="26"/>
          <w:szCs w:val="26"/>
        </w:rPr>
        <w:t>8/13/</w:t>
      </w:r>
      <w:r w:rsidRPr="00AE2305">
        <w:rPr>
          <w:rFonts w:ascii="Times New Roman" w:hAnsi="Times New Roman" w:cs="Times New Roman"/>
          <w:sz w:val="26"/>
          <w:szCs w:val="26"/>
        </w:rPr>
        <w:t>2019</w:t>
      </w:r>
      <w:r w:rsidR="00A26D01">
        <w:rPr>
          <w:rFonts w:ascii="Times New Roman" w:hAnsi="Times New Roman" w:cs="Times New Roman"/>
          <w:sz w:val="26"/>
          <w:szCs w:val="26"/>
        </w:rPr>
        <w:t>, providing the public with an opportunity to comment</w:t>
      </w:r>
      <w:r w:rsidRPr="00AE2305">
        <w:rPr>
          <w:rFonts w:ascii="Times New Roman" w:hAnsi="Times New Roman" w:cs="Times New Roman"/>
          <w:sz w:val="26"/>
          <w:szCs w:val="26"/>
        </w:rPr>
        <w:t xml:space="preserve">.  </w:t>
      </w:r>
      <w:r w:rsidR="00A26D01">
        <w:rPr>
          <w:rFonts w:ascii="Times New Roman" w:hAnsi="Times New Roman" w:cs="Times New Roman"/>
          <w:sz w:val="26"/>
          <w:szCs w:val="26"/>
        </w:rPr>
        <w:t>The</w:t>
      </w:r>
      <w:r w:rsidRPr="00AE2305">
        <w:rPr>
          <w:rFonts w:ascii="Times New Roman" w:hAnsi="Times New Roman" w:cs="Times New Roman"/>
          <w:sz w:val="26"/>
          <w:szCs w:val="26"/>
        </w:rPr>
        <w:t xml:space="preserve"> Commission noted that it would be requesting a three-year extension of the </w:t>
      </w:r>
      <w:r w:rsidR="00A26D01">
        <w:rPr>
          <w:rFonts w:ascii="Times New Roman" w:hAnsi="Times New Roman" w:cs="Times New Roman"/>
          <w:sz w:val="26"/>
          <w:szCs w:val="26"/>
        </w:rPr>
        <w:t>reporting and recordkeeping requirements</w:t>
      </w:r>
      <w:r w:rsidRPr="00AE2305">
        <w:rPr>
          <w:rFonts w:ascii="Times New Roman" w:hAnsi="Times New Roman" w:cs="Times New Roman"/>
          <w:sz w:val="26"/>
          <w:szCs w:val="26"/>
        </w:rPr>
        <w:t xml:space="preserve">.  The Commission received no </w:t>
      </w:r>
      <w:r w:rsidR="00A26D01">
        <w:rPr>
          <w:rFonts w:ascii="Times New Roman" w:hAnsi="Times New Roman" w:cs="Times New Roman"/>
          <w:sz w:val="26"/>
          <w:szCs w:val="26"/>
        </w:rPr>
        <w:t>comments</w:t>
      </w:r>
      <w:r w:rsidRPr="00AE2305">
        <w:rPr>
          <w:rFonts w:ascii="Times New Roman" w:hAnsi="Times New Roman" w:cs="Times New Roman"/>
          <w:sz w:val="26"/>
          <w:szCs w:val="26"/>
        </w:rPr>
        <w:t xml:space="preserve"> from the public regarding this information collection.</w:t>
      </w:r>
    </w:p>
    <w:p w:rsidRPr="00AE2305" w:rsidR="00C3135B" w:rsidP="00B82C6A" w:rsidRDefault="00C3135B" w14:paraId="54400B91" w14:textId="67EFAED8">
      <w:pPr>
        <w:rPr>
          <w:rFonts w:ascii="Times New Roman" w:hAnsi="Times New Roman" w:cs="Times New Roman"/>
          <w:sz w:val="26"/>
          <w:szCs w:val="26"/>
        </w:rPr>
      </w:pPr>
      <w:r>
        <w:rPr>
          <w:rFonts w:ascii="Times New Roman" w:hAnsi="Times New Roman" w:cs="Times New Roman"/>
          <w:sz w:val="26"/>
          <w:szCs w:val="26"/>
        </w:rPr>
        <w:t xml:space="preserve">A 30-day notice </w:t>
      </w:r>
      <w:r w:rsidR="0062633A">
        <w:rPr>
          <w:rFonts w:ascii="Times New Roman" w:hAnsi="Times New Roman" w:cs="Times New Roman"/>
          <w:sz w:val="26"/>
          <w:szCs w:val="26"/>
        </w:rPr>
        <w:t xml:space="preserve">was issued on 10/28/19 (at </w:t>
      </w:r>
      <w:hyperlink w:history="1" r:id="rId13">
        <w:r w:rsidRPr="00D46A2F" w:rsidR="00C70F97">
          <w:rPr>
            <w:rStyle w:val="Hyperlink"/>
            <w:rFonts w:ascii="Times New Roman" w:hAnsi="Times New Roman"/>
            <w:sz w:val="26"/>
            <w:szCs w:val="26"/>
          </w:rPr>
          <w:t>https://elibrary.ferc.gov/idmws/common/OpenNat.asp?fileID=15392335</w:t>
        </w:r>
      </w:hyperlink>
      <w:r w:rsidR="00C70F97">
        <w:rPr>
          <w:rFonts w:ascii="Times New Roman" w:hAnsi="Times New Roman" w:cs="Times New Roman"/>
          <w:sz w:val="26"/>
          <w:szCs w:val="26"/>
        </w:rPr>
        <w:t xml:space="preserve">) and </w:t>
      </w:r>
      <w:r>
        <w:rPr>
          <w:rFonts w:ascii="Times New Roman" w:hAnsi="Times New Roman" w:cs="Times New Roman"/>
          <w:sz w:val="26"/>
          <w:szCs w:val="26"/>
        </w:rPr>
        <w:t>will be published in the Federal Register</w:t>
      </w:r>
      <w:r w:rsidR="00A26D01">
        <w:rPr>
          <w:rFonts w:ascii="Times New Roman" w:hAnsi="Times New Roman" w:cs="Times New Roman"/>
          <w:sz w:val="26"/>
          <w:szCs w:val="26"/>
        </w:rPr>
        <w:t>, providing</w:t>
      </w:r>
      <w:r w:rsidR="00C70F97">
        <w:rPr>
          <w:rFonts w:ascii="Times New Roman" w:hAnsi="Times New Roman" w:cs="Times New Roman"/>
          <w:sz w:val="26"/>
          <w:szCs w:val="26"/>
        </w:rPr>
        <w:t xml:space="preserve"> another opportunity for public comment.</w:t>
      </w:r>
    </w:p>
    <w:p w:rsidRPr="00AE2305" w:rsidR="00B82C6A" w:rsidP="00B82C6A" w:rsidRDefault="00B82C6A" w14:paraId="3699685F"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EXPLAIN ANY PAYMENT OR GIFTS TO RESPONDENTS</w:t>
      </w:r>
    </w:p>
    <w:p w:rsidRPr="00AE2305" w:rsidR="00B82C6A" w:rsidP="00B82C6A" w:rsidRDefault="00B82C6A" w14:paraId="3645C819" w14:textId="77777777">
      <w:pPr>
        <w:spacing w:after="0"/>
        <w:rPr>
          <w:rFonts w:ascii="Times New Roman" w:hAnsi="Times New Roman" w:cs="Times New Roman"/>
          <w:sz w:val="26"/>
          <w:szCs w:val="26"/>
        </w:rPr>
      </w:pPr>
    </w:p>
    <w:p w:rsidRPr="00AE2305" w:rsidR="00B82C6A" w:rsidP="00B82C6A" w:rsidRDefault="00B82C6A" w14:paraId="2E1A3AC7" w14:textId="5BB0273C">
      <w:pPr>
        <w:spacing w:after="0"/>
        <w:rPr>
          <w:rFonts w:ascii="Times New Roman" w:hAnsi="Times New Roman" w:cs="Times New Roman"/>
          <w:sz w:val="26"/>
          <w:szCs w:val="26"/>
        </w:rPr>
      </w:pPr>
      <w:r w:rsidRPr="00AE2305">
        <w:rPr>
          <w:rFonts w:ascii="Times New Roman" w:hAnsi="Times New Roman" w:cs="Times New Roman"/>
          <w:sz w:val="26"/>
          <w:szCs w:val="26"/>
        </w:rPr>
        <w:t xml:space="preserve">The Commission does not make payments or provide gifts for respondents related to </w:t>
      </w:r>
      <w:r w:rsidRPr="00AE2305" w:rsidR="00A7764A">
        <w:rPr>
          <w:rFonts w:ascii="Times New Roman" w:hAnsi="Times New Roman" w:cs="Times New Roman"/>
          <w:sz w:val="26"/>
          <w:szCs w:val="26"/>
        </w:rPr>
        <w:t>FERC-7</w:t>
      </w:r>
      <w:r w:rsidR="00C3135B">
        <w:rPr>
          <w:rFonts w:ascii="Times New Roman" w:hAnsi="Times New Roman" w:cs="Times New Roman"/>
          <w:sz w:val="26"/>
          <w:szCs w:val="26"/>
        </w:rPr>
        <w:t>2</w:t>
      </w:r>
      <w:r w:rsidRPr="00AE2305" w:rsidR="00A7764A">
        <w:rPr>
          <w:rFonts w:ascii="Times New Roman" w:hAnsi="Times New Roman" w:cs="Times New Roman"/>
          <w:sz w:val="26"/>
          <w:szCs w:val="26"/>
        </w:rPr>
        <w:t>5J information</w:t>
      </w:r>
      <w:r w:rsidRPr="00AE2305">
        <w:rPr>
          <w:rFonts w:ascii="Times New Roman" w:hAnsi="Times New Roman" w:cs="Times New Roman"/>
          <w:sz w:val="26"/>
          <w:szCs w:val="26"/>
        </w:rPr>
        <w:t xml:space="preserve"> collection.</w:t>
      </w:r>
    </w:p>
    <w:p w:rsidRPr="00AE2305" w:rsidR="00B82C6A" w:rsidP="00B82C6A" w:rsidRDefault="00B82C6A" w14:paraId="3F4DBA03" w14:textId="77777777">
      <w:pPr>
        <w:spacing w:after="0"/>
        <w:rPr>
          <w:rFonts w:ascii="Times New Roman" w:hAnsi="Times New Roman" w:cs="Times New Roman"/>
          <w:sz w:val="26"/>
          <w:szCs w:val="26"/>
        </w:rPr>
      </w:pPr>
    </w:p>
    <w:p w:rsidRPr="00AE2305" w:rsidR="00B82C6A" w:rsidP="00B82C6A" w:rsidRDefault="00B82C6A" w14:paraId="23E5D723"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DESCRIBE ANY ASSURANCE OF CONFIDENTIALITY PROVIDED TO RESPONDENTS</w:t>
      </w:r>
    </w:p>
    <w:p w:rsidRPr="00AE2305" w:rsidR="00B82C6A" w:rsidP="00B82C6A" w:rsidRDefault="00B82C6A" w14:paraId="437B2F95" w14:textId="77777777">
      <w:pPr>
        <w:spacing w:after="0"/>
        <w:rPr>
          <w:rFonts w:ascii="Times New Roman" w:hAnsi="Times New Roman" w:cs="Times New Roman"/>
          <w:sz w:val="26"/>
          <w:szCs w:val="26"/>
        </w:rPr>
      </w:pPr>
    </w:p>
    <w:p w:rsidRPr="00AE2305" w:rsidR="00B82C6A" w:rsidP="00B82C6A" w:rsidRDefault="00C3135B" w14:paraId="67DD471C" w14:textId="5C4F52EB">
      <w:pPr>
        <w:spacing w:after="0"/>
        <w:rPr>
          <w:rFonts w:ascii="Times New Roman" w:hAnsi="Times New Roman" w:cs="Times New Roman"/>
          <w:sz w:val="26"/>
          <w:szCs w:val="26"/>
        </w:rPr>
      </w:pPr>
      <w:r w:rsidRPr="00C3135B">
        <w:rPr>
          <w:rFonts w:ascii="Times New Roman" w:hAnsi="Times New Roman" w:cs="Times New Roman"/>
          <w:sz w:val="26"/>
          <w:szCs w:val="26"/>
        </w:rPr>
        <w:lastRenderedPageBreak/>
        <w:t>The Commission does not consider the filings within the FERC-</w:t>
      </w:r>
      <w:r w:rsidR="009A15C9">
        <w:rPr>
          <w:rFonts w:ascii="Times New Roman" w:hAnsi="Times New Roman" w:cs="Times New Roman"/>
          <w:sz w:val="26"/>
          <w:szCs w:val="26"/>
        </w:rPr>
        <w:t>725J</w:t>
      </w:r>
      <w:r w:rsidRPr="00C3135B" w:rsidR="009A15C9">
        <w:rPr>
          <w:rFonts w:ascii="Times New Roman" w:hAnsi="Times New Roman" w:cs="Times New Roman"/>
          <w:sz w:val="26"/>
          <w:szCs w:val="26"/>
        </w:rPr>
        <w:t xml:space="preserve"> </w:t>
      </w:r>
      <w:r w:rsidRPr="00C3135B">
        <w:rPr>
          <w:rFonts w:ascii="Times New Roman" w:hAnsi="Times New Roman" w:cs="Times New Roman"/>
          <w:sz w:val="26"/>
          <w:szCs w:val="26"/>
        </w:rPr>
        <w:t>to be confidential.  Information provided with the filing may be submitted with a specific request for confidential treatment to the extent permitted by law and pursuant to FERC's regulations</w:t>
      </w:r>
      <w:r w:rsidRPr="00AE2305" w:rsidR="00B82C6A">
        <w:rPr>
          <w:rFonts w:ascii="Times New Roman" w:hAnsi="Times New Roman" w:cs="Times New Roman"/>
          <w:sz w:val="26"/>
          <w:szCs w:val="26"/>
        </w:rPr>
        <w:t>.</w:t>
      </w:r>
    </w:p>
    <w:p w:rsidRPr="00AE2305" w:rsidR="00B82C6A" w:rsidP="00B82C6A" w:rsidRDefault="00B82C6A" w14:paraId="2EFDF12A" w14:textId="77777777">
      <w:pPr>
        <w:spacing w:after="0"/>
        <w:rPr>
          <w:rFonts w:ascii="Times New Roman" w:hAnsi="Times New Roman" w:cs="Times New Roman"/>
          <w:sz w:val="26"/>
          <w:szCs w:val="26"/>
        </w:rPr>
      </w:pPr>
    </w:p>
    <w:p w:rsidRPr="00AE2305" w:rsidR="00B82C6A" w:rsidP="00B82C6A" w:rsidRDefault="00B82C6A" w14:paraId="5F1992A0"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PROVIDE ADDITIONAL JUSTIFICATION FOR ANY QUESTIONS OF A SENSITIVE NATURE, SUCH AS SEXUAL BEHAVIOR AND ATTITUDES, RELIGIOUS BELIEFS, AND OTHER MATTERS THAT ARE COMMONLY CONSIDERED PRIVATE</w:t>
      </w:r>
    </w:p>
    <w:p w:rsidRPr="00AE2305" w:rsidR="00B82C6A" w:rsidP="00B82C6A" w:rsidRDefault="00B82C6A" w14:paraId="731AF111" w14:textId="77777777">
      <w:pPr>
        <w:spacing w:after="0"/>
        <w:rPr>
          <w:rFonts w:ascii="Times New Roman" w:hAnsi="Times New Roman" w:cs="Times New Roman"/>
          <w:sz w:val="26"/>
          <w:szCs w:val="26"/>
        </w:rPr>
      </w:pPr>
    </w:p>
    <w:p w:rsidRPr="00AE2305" w:rsidR="00B82C6A" w:rsidP="00B82C6A" w:rsidRDefault="00B82C6A" w14:paraId="6B9F1D6C" w14:textId="773D8BC9">
      <w:pPr>
        <w:spacing w:after="0"/>
        <w:rPr>
          <w:rFonts w:ascii="Times New Roman" w:hAnsi="Times New Roman" w:cs="Times New Roman"/>
          <w:sz w:val="26"/>
          <w:szCs w:val="26"/>
        </w:rPr>
      </w:pPr>
      <w:r w:rsidRPr="00AE2305">
        <w:rPr>
          <w:rFonts w:ascii="Times New Roman" w:hAnsi="Times New Roman" w:cs="Times New Roman"/>
          <w:sz w:val="26"/>
          <w:szCs w:val="26"/>
        </w:rPr>
        <w:t xml:space="preserve">The Commission </w:t>
      </w:r>
      <w:r w:rsidR="00C3135B">
        <w:rPr>
          <w:rFonts w:ascii="Times New Roman" w:hAnsi="Times New Roman" w:cs="Times New Roman"/>
          <w:sz w:val="26"/>
          <w:szCs w:val="26"/>
        </w:rPr>
        <w:t xml:space="preserve">does not </w:t>
      </w:r>
      <w:r w:rsidRPr="00AE2305">
        <w:rPr>
          <w:rFonts w:ascii="Times New Roman" w:hAnsi="Times New Roman" w:cs="Times New Roman"/>
          <w:sz w:val="26"/>
          <w:szCs w:val="26"/>
        </w:rPr>
        <w:t>consider</w:t>
      </w:r>
      <w:r w:rsidR="00C3135B">
        <w:rPr>
          <w:rFonts w:ascii="Times New Roman" w:hAnsi="Times New Roman" w:cs="Times New Roman"/>
          <w:sz w:val="26"/>
          <w:szCs w:val="26"/>
        </w:rPr>
        <w:t xml:space="preserve"> any of</w:t>
      </w:r>
      <w:r w:rsidRPr="00AE2305">
        <w:rPr>
          <w:rFonts w:ascii="Times New Roman" w:hAnsi="Times New Roman" w:cs="Times New Roman"/>
          <w:sz w:val="26"/>
          <w:szCs w:val="26"/>
        </w:rPr>
        <w:t xml:space="preserve"> the questions within the</w:t>
      </w:r>
      <w:r w:rsidR="00C3135B">
        <w:rPr>
          <w:rFonts w:ascii="Times New Roman" w:hAnsi="Times New Roman" w:cs="Times New Roman"/>
          <w:sz w:val="26"/>
          <w:szCs w:val="26"/>
        </w:rPr>
        <w:t xml:space="preserve"> FERC-725J of a sensitive nature that would be considered private</w:t>
      </w:r>
      <w:r w:rsidRPr="00AE2305">
        <w:rPr>
          <w:rFonts w:ascii="Times New Roman" w:hAnsi="Times New Roman" w:cs="Times New Roman"/>
          <w:sz w:val="26"/>
          <w:szCs w:val="26"/>
        </w:rPr>
        <w:t>.</w:t>
      </w:r>
    </w:p>
    <w:p w:rsidRPr="00AE2305" w:rsidR="00B82C6A" w:rsidP="00B82C6A" w:rsidRDefault="00B82C6A" w14:paraId="5238A900" w14:textId="77777777">
      <w:pPr>
        <w:spacing w:after="0"/>
        <w:rPr>
          <w:rFonts w:ascii="Times New Roman" w:hAnsi="Times New Roman" w:cs="Times New Roman"/>
          <w:sz w:val="26"/>
          <w:szCs w:val="26"/>
        </w:rPr>
      </w:pPr>
    </w:p>
    <w:p w:rsidRPr="00AE2305" w:rsidR="00B82C6A" w:rsidP="00B82C6A" w:rsidRDefault="00B82C6A" w14:paraId="62B84D13"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ESTIMATED BURDEN OF COLLECTION OF INFORMATION</w:t>
      </w:r>
    </w:p>
    <w:p w:rsidRPr="00AE2305" w:rsidR="00B82C6A" w:rsidP="00B82C6A" w:rsidRDefault="00B82C6A" w14:paraId="5371B734" w14:textId="77777777">
      <w:pPr>
        <w:spacing w:after="0"/>
        <w:rPr>
          <w:rFonts w:ascii="Times New Roman" w:hAnsi="Times New Roman" w:cs="Times New Roman"/>
          <w:sz w:val="26"/>
          <w:szCs w:val="26"/>
        </w:rPr>
      </w:pPr>
    </w:p>
    <w:p w:rsidR="009F0959" w:rsidP="00DF4D41" w:rsidRDefault="00B82C6A" w14:paraId="56C26813" w14:textId="57CE022C">
      <w:pPr>
        <w:spacing w:after="0"/>
        <w:rPr>
          <w:rFonts w:ascii="Times New Roman" w:hAnsi="Times New Roman" w:cs="Times New Roman"/>
          <w:sz w:val="26"/>
          <w:szCs w:val="26"/>
        </w:rPr>
      </w:pPr>
      <w:r w:rsidRPr="00AE2305">
        <w:rPr>
          <w:rFonts w:ascii="Times New Roman" w:hAnsi="Times New Roman" w:cs="Times New Roman"/>
          <w:sz w:val="26"/>
          <w:szCs w:val="26"/>
        </w:rPr>
        <w:t>The burden</w:t>
      </w:r>
      <w:r w:rsidRPr="001B0180" w:rsidR="001B0180">
        <w:rPr>
          <w:rFonts w:ascii="Times New Roman" w:hAnsi="Times New Roman" w:cs="Times New Roman"/>
          <w:sz w:val="26"/>
          <w:szCs w:val="26"/>
          <w:vertAlign w:val="superscript"/>
        </w:rPr>
        <w:footnoteReference w:id="5"/>
      </w:r>
      <w:r w:rsidRPr="001B0180" w:rsidR="001B0180">
        <w:rPr>
          <w:rFonts w:ascii="Times New Roman" w:hAnsi="Times New Roman" w:cs="Times New Roman"/>
          <w:sz w:val="26"/>
          <w:szCs w:val="26"/>
        </w:rPr>
        <w:t xml:space="preserve"> </w:t>
      </w:r>
      <w:r w:rsidRPr="00AE2305">
        <w:rPr>
          <w:rFonts w:ascii="Times New Roman" w:hAnsi="Times New Roman" w:cs="Times New Roman"/>
          <w:sz w:val="26"/>
          <w:szCs w:val="26"/>
        </w:rPr>
        <w:t>and</w:t>
      </w:r>
      <w:r w:rsidR="001B0180">
        <w:rPr>
          <w:rFonts w:ascii="Times New Roman" w:hAnsi="Times New Roman" w:cs="Times New Roman"/>
          <w:sz w:val="26"/>
          <w:szCs w:val="26"/>
        </w:rPr>
        <w:t xml:space="preserve"> </w:t>
      </w:r>
      <w:r w:rsidRPr="001B0180" w:rsidR="001B0180">
        <w:rPr>
          <w:rFonts w:ascii="Times New Roman" w:hAnsi="Times New Roman" w:cs="Times New Roman"/>
          <w:sz w:val="26"/>
          <w:szCs w:val="26"/>
        </w:rPr>
        <w:t>cost</w:t>
      </w:r>
      <w:r w:rsidRPr="001B0180" w:rsidR="001B0180">
        <w:rPr>
          <w:rFonts w:ascii="Times New Roman" w:hAnsi="Times New Roman" w:cs="Times New Roman"/>
          <w:b/>
          <w:sz w:val="26"/>
          <w:szCs w:val="26"/>
          <w:vertAlign w:val="superscript"/>
        </w:rPr>
        <w:footnoteReference w:id="6"/>
      </w:r>
      <w:r w:rsidRPr="001B0180" w:rsidR="001B0180">
        <w:rPr>
          <w:rFonts w:ascii="Times New Roman" w:hAnsi="Times New Roman" w:cs="Times New Roman"/>
          <w:sz w:val="26"/>
          <w:szCs w:val="26"/>
        </w:rPr>
        <w:t xml:space="preserve"> </w:t>
      </w:r>
      <w:r w:rsidRPr="00AE2305">
        <w:rPr>
          <w:rFonts w:ascii="Times New Roman" w:hAnsi="Times New Roman" w:cs="Times New Roman"/>
          <w:sz w:val="26"/>
          <w:szCs w:val="26"/>
        </w:rPr>
        <w:t xml:space="preserve">of the FERC-725J information collection requirements are: </w:t>
      </w:r>
    </w:p>
    <w:p w:rsidR="0058087A" w:rsidP="00B82C6A" w:rsidRDefault="0058087A" w14:paraId="7F0EB278" w14:textId="77777777">
      <w:pPr>
        <w:spacing w:after="0"/>
        <w:rPr>
          <w:rFonts w:ascii="Times New Roman" w:hAnsi="Times New Roman" w:cs="Times New Roman"/>
          <w:sz w:val="26"/>
          <w:szCs w:val="26"/>
        </w:rPr>
        <w:sectPr w:rsidR="0058087A" w:rsidSect="00B82C6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rsidRPr="00AE2305" w:rsidR="00DB75BD" w:rsidP="00B82C6A" w:rsidRDefault="00DB75BD" w14:paraId="20A3AE84" w14:textId="1987853A">
      <w:pPr>
        <w:spacing w:after="0"/>
        <w:rPr>
          <w:rFonts w:ascii="Times New Roman" w:hAnsi="Times New Roman" w:cs="Times New Roman"/>
          <w:sz w:val="26"/>
          <w:szCs w:val="26"/>
        </w:rPr>
      </w:pPr>
    </w:p>
    <w:tbl>
      <w:tblPr>
        <w:tblW w:w="5358"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57"/>
        <w:gridCol w:w="1651"/>
        <w:gridCol w:w="2070"/>
        <w:gridCol w:w="1679"/>
        <w:gridCol w:w="2070"/>
        <w:gridCol w:w="1979"/>
        <w:gridCol w:w="1571"/>
      </w:tblGrid>
      <w:tr w:rsidRPr="00AE2305" w:rsidR="00DB75BD" w:rsidTr="00EA1211" w14:paraId="799B306F" w14:textId="77777777">
        <w:trPr>
          <w:cantSplit/>
        </w:trPr>
        <w:tc>
          <w:tcPr>
            <w:tcW w:w="5000" w:type="pct"/>
            <w:gridSpan w:val="7"/>
            <w:tcBorders>
              <w:bottom w:val="single" w:color="auto" w:sz="4" w:space="0"/>
            </w:tcBorders>
            <w:shd w:val="clear" w:color="auto" w:fill="D9D9D9"/>
          </w:tcPr>
          <w:p w:rsidRPr="00AE2305" w:rsidR="00DB75BD" w:rsidP="00EA1211" w:rsidRDefault="00DB75BD" w14:paraId="01356CCA" w14:textId="77777777">
            <w:pPr>
              <w:spacing w:after="0" w:line="240" w:lineRule="auto"/>
              <w:jc w:val="center"/>
              <w:rPr>
                <w:rFonts w:ascii="Times New Roman" w:hAnsi="Times New Roman" w:eastAsia="Calibri" w:cs="Times New Roman"/>
                <w:b/>
                <w:sz w:val="26"/>
                <w:szCs w:val="26"/>
              </w:rPr>
            </w:pPr>
            <w:r w:rsidRPr="00AE2305">
              <w:rPr>
                <w:rFonts w:ascii="Times New Roman" w:hAnsi="Times New Roman" w:eastAsia="Calibri" w:cs="Times New Roman"/>
                <w:b/>
                <w:sz w:val="26"/>
                <w:szCs w:val="26"/>
              </w:rPr>
              <w:t>FERC-725J (Definition of the Bulk Electric System)</w:t>
            </w:r>
          </w:p>
        </w:tc>
      </w:tr>
      <w:tr w:rsidRPr="00AE2305" w:rsidR="0058087A" w:rsidTr="00DF4D41" w14:paraId="0A7DC3FD" w14:textId="77777777">
        <w:trPr>
          <w:cantSplit/>
        </w:trPr>
        <w:tc>
          <w:tcPr>
            <w:tcW w:w="1029" w:type="pct"/>
            <w:shd w:val="clear" w:color="auto" w:fill="D9D9D9"/>
          </w:tcPr>
          <w:p w:rsidRPr="00AE2305" w:rsidR="00DB75BD" w:rsidP="00EA1211" w:rsidRDefault="00DB75BD" w14:paraId="519E1539" w14:textId="77777777">
            <w:pPr>
              <w:spacing w:after="0" w:line="240" w:lineRule="auto"/>
              <w:jc w:val="center"/>
              <w:rPr>
                <w:rFonts w:ascii="Times New Roman" w:hAnsi="Times New Roman" w:eastAsia="Calibri" w:cs="Times New Roman"/>
                <w:b/>
                <w:sz w:val="26"/>
                <w:szCs w:val="26"/>
              </w:rPr>
            </w:pPr>
          </w:p>
        </w:tc>
        <w:tc>
          <w:tcPr>
            <w:tcW w:w="595" w:type="pct"/>
            <w:shd w:val="clear" w:color="auto" w:fill="D9D9D9"/>
            <w:vAlign w:val="bottom"/>
          </w:tcPr>
          <w:p w:rsidRPr="00AE2305" w:rsidR="00DB75BD" w:rsidP="00EA1211" w:rsidRDefault="00DB75BD" w14:paraId="38A11DAC" w14:textId="77777777">
            <w:pPr>
              <w:spacing w:after="0" w:line="240" w:lineRule="auto"/>
              <w:jc w:val="center"/>
              <w:rPr>
                <w:rFonts w:ascii="Times New Roman" w:hAnsi="Times New Roman" w:eastAsia="Calibri" w:cs="Times New Roman"/>
                <w:b/>
                <w:sz w:val="26"/>
                <w:szCs w:val="26"/>
              </w:rPr>
            </w:pPr>
            <w:r w:rsidRPr="00AE2305">
              <w:rPr>
                <w:rFonts w:ascii="Times New Roman" w:hAnsi="Times New Roman" w:eastAsia="Calibri" w:cs="Times New Roman"/>
                <w:b/>
                <w:sz w:val="26"/>
                <w:szCs w:val="26"/>
              </w:rPr>
              <w:t>Number of Respondents</w:t>
            </w:r>
            <w:r w:rsidRPr="00AE2305">
              <w:rPr>
                <w:rFonts w:ascii="Times New Roman" w:hAnsi="Times New Roman" w:eastAsia="Calibri" w:cs="Times New Roman"/>
                <w:b/>
                <w:sz w:val="26"/>
                <w:szCs w:val="26"/>
              </w:rPr>
              <w:br/>
              <w:t>(1)</w:t>
            </w:r>
          </w:p>
        </w:tc>
        <w:tc>
          <w:tcPr>
            <w:tcW w:w="746" w:type="pct"/>
            <w:shd w:val="clear" w:color="auto" w:fill="D9D9D9"/>
            <w:vAlign w:val="bottom"/>
          </w:tcPr>
          <w:p w:rsidRPr="00AE2305" w:rsidR="00DB75BD" w:rsidP="00EA1211" w:rsidRDefault="00DB75BD" w14:paraId="17FC33E4" w14:textId="77777777">
            <w:pPr>
              <w:spacing w:after="0" w:line="240" w:lineRule="auto"/>
              <w:jc w:val="center"/>
              <w:rPr>
                <w:rFonts w:ascii="Times New Roman" w:hAnsi="Times New Roman" w:eastAsia="Calibri" w:cs="Times New Roman"/>
                <w:b/>
                <w:sz w:val="26"/>
                <w:szCs w:val="26"/>
              </w:rPr>
            </w:pPr>
            <w:r w:rsidRPr="00AE2305">
              <w:rPr>
                <w:rFonts w:ascii="Times New Roman" w:hAnsi="Times New Roman" w:eastAsia="Calibri" w:cs="Times New Roman"/>
                <w:b/>
                <w:sz w:val="26"/>
                <w:szCs w:val="26"/>
              </w:rPr>
              <w:t>Annual Number of Responses per Respondent</w:t>
            </w:r>
          </w:p>
          <w:p w:rsidRPr="00AE2305" w:rsidR="00DB75BD" w:rsidP="00EA1211" w:rsidRDefault="00DB75BD" w14:paraId="415F7497" w14:textId="77777777">
            <w:pPr>
              <w:spacing w:after="0" w:line="240" w:lineRule="auto"/>
              <w:jc w:val="center"/>
              <w:rPr>
                <w:rFonts w:ascii="Times New Roman" w:hAnsi="Times New Roman" w:eastAsia="Calibri" w:cs="Times New Roman"/>
                <w:b/>
                <w:sz w:val="26"/>
                <w:szCs w:val="26"/>
              </w:rPr>
            </w:pPr>
            <w:r w:rsidRPr="00AE2305">
              <w:rPr>
                <w:rFonts w:ascii="Times New Roman" w:hAnsi="Times New Roman" w:eastAsia="Calibri" w:cs="Times New Roman"/>
                <w:b/>
                <w:sz w:val="26"/>
                <w:szCs w:val="26"/>
              </w:rPr>
              <w:t>(2)</w:t>
            </w:r>
          </w:p>
        </w:tc>
        <w:tc>
          <w:tcPr>
            <w:tcW w:w="605" w:type="pct"/>
            <w:shd w:val="clear" w:color="auto" w:fill="D9D9D9"/>
            <w:vAlign w:val="bottom"/>
          </w:tcPr>
          <w:p w:rsidRPr="00AE2305" w:rsidR="00DB75BD" w:rsidP="00EA1211" w:rsidRDefault="00DB75BD" w14:paraId="060898A1" w14:textId="77777777">
            <w:pPr>
              <w:spacing w:after="0" w:line="240" w:lineRule="auto"/>
              <w:jc w:val="center"/>
              <w:rPr>
                <w:rFonts w:ascii="Times New Roman" w:hAnsi="Times New Roman" w:eastAsia="Calibri" w:cs="Times New Roman"/>
                <w:b/>
                <w:sz w:val="26"/>
                <w:szCs w:val="26"/>
              </w:rPr>
            </w:pPr>
            <w:r w:rsidRPr="00AE2305">
              <w:rPr>
                <w:rFonts w:ascii="Times New Roman" w:hAnsi="Times New Roman" w:eastAsia="Calibri" w:cs="Times New Roman"/>
                <w:b/>
                <w:sz w:val="26"/>
                <w:szCs w:val="26"/>
              </w:rPr>
              <w:t>Total Number of Responses (1)*(2)=(3)</w:t>
            </w:r>
          </w:p>
        </w:tc>
        <w:tc>
          <w:tcPr>
            <w:tcW w:w="746" w:type="pct"/>
            <w:shd w:val="clear" w:color="auto" w:fill="D9D9D9"/>
            <w:vAlign w:val="bottom"/>
          </w:tcPr>
          <w:p w:rsidRPr="00AE2305" w:rsidR="00DB75BD" w:rsidP="00EA1211" w:rsidRDefault="00DB75BD" w14:paraId="12D40ED0" w14:textId="77777777">
            <w:pPr>
              <w:spacing w:after="0" w:line="240" w:lineRule="auto"/>
              <w:jc w:val="center"/>
              <w:rPr>
                <w:rFonts w:ascii="Times New Roman" w:hAnsi="Times New Roman" w:eastAsia="Calibri" w:cs="Times New Roman"/>
                <w:b/>
                <w:sz w:val="26"/>
                <w:szCs w:val="26"/>
              </w:rPr>
            </w:pPr>
            <w:r w:rsidRPr="00AE2305">
              <w:rPr>
                <w:rFonts w:ascii="Times New Roman" w:hAnsi="Times New Roman" w:eastAsia="Calibri" w:cs="Times New Roman"/>
                <w:b/>
                <w:sz w:val="26"/>
                <w:szCs w:val="26"/>
              </w:rPr>
              <w:t>Average Burden (Hrs.) &amp; Cost ($)Per Response</w:t>
            </w:r>
          </w:p>
          <w:p w:rsidRPr="00AE2305" w:rsidR="00DB75BD" w:rsidP="00EA1211" w:rsidRDefault="00DB75BD" w14:paraId="6C490F7C" w14:textId="77777777">
            <w:pPr>
              <w:spacing w:after="0" w:line="240" w:lineRule="auto"/>
              <w:jc w:val="center"/>
              <w:rPr>
                <w:rFonts w:ascii="Times New Roman" w:hAnsi="Times New Roman" w:eastAsia="Calibri" w:cs="Times New Roman"/>
                <w:b/>
                <w:sz w:val="26"/>
                <w:szCs w:val="26"/>
              </w:rPr>
            </w:pPr>
            <w:r w:rsidRPr="00AE2305">
              <w:rPr>
                <w:rFonts w:ascii="Times New Roman" w:hAnsi="Times New Roman" w:eastAsia="Calibri" w:cs="Times New Roman"/>
                <w:b/>
                <w:sz w:val="26"/>
                <w:szCs w:val="26"/>
              </w:rPr>
              <w:t>(4)</w:t>
            </w:r>
          </w:p>
        </w:tc>
        <w:tc>
          <w:tcPr>
            <w:tcW w:w="713" w:type="pct"/>
            <w:shd w:val="clear" w:color="auto" w:fill="D9D9D9"/>
            <w:vAlign w:val="bottom"/>
          </w:tcPr>
          <w:p w:rsidRPr="00AE2305" w:rsidR="00DB75BD" w:rsidP="00EA1211" w:rsidRDefault="00DB75BD" w14:paraId="49E404A7" w14:textId="77777777">
            <w:pPr>
              <w:spacing w:after="0" w:line="240" w:lineRule="auto"/>
              <w:jc w:val="center"/>
              <w:rPr>
                <w:rFonts w:ascii="Times New Roman" w:hAnsi="Times New Roman" w:eastAsia="Calibri" w:cs="Times New Roman"/>
                <w:b/>
                <w:sz w:val="26"/>
                <w:szCs w:val="26"/>
              </w:rPr>
            </w:pPr>
            <w:r w:rsidRPr="00AE2305">
              <w:rPr>
                <w:rFonts w:ascii="Times New Roman" w:hAnsi="Times New Roman" w:eastAsia="Calibri" w:cs="Times New Roman"/>
                <w:b/>
                <w:sz w:val="26"/>
                <w:szCs w:val="26"/>
              </w:rPr>
              <w:t>Total Annual Burden Hours &amp; Total Annual Cost ($)</w:t>
            </w:r>
          </w:p>
          <w:p w:rsidRPr="00AE2305" w:rsidR="00DB75BD" w:rsidP="00EA1211" w:rsidRDefault="00DB75BD" w14:paraId="4B935734" w14:textId="77777777">
            <w:pPr>
              <w:spacing w:after="0" w:line="240" w:lineRule="auto"/>
              <w:jc w:val="center"/>
              <w:rPr>
                <w:rFonts w:ascii="Times New Roman" w:hAnsi="Times New Roman" w:eastAsia="Calibri" w:cs="Times New Roman"/>
                <w:b/>
                <w:sz w:val="26"/>
                <w:szCs w:val="26"/>
              </w:rPr>
            </w:pPr>
            <w:r w:rsidRPr="00AE2305">
              <w:rPr>
                <w:rFonts w:ascii="Times New Roman" w:hAnsi="Times New Roman" w:eastAsia="Calibri" w:cs="Times New Roman"/>
                <w:b/>
                <w:sz w:val="26"/>
                <w:szCs w:val="26"/>
              </w:rPr>
              <w:t>(3)*(4)=(5)</w:t>
            </w:r>
          </w:p>
        </w:tc>
        <w:tc>
          <w:tcPr>
            <w:tcW w:w="566" w:type="pct"/>
            <w:shd w:val="clear" w:color="auto" w:fill="D9D9D9"/>
            <w:vAlign w:val="bottom"/>
          </w:tcPr>
          <w:p w:rsidRPr="00AE2305" w:rsidR="00DB75BD" w:rsidP="00EA1211" w:rsidRDefault="00DB75BD" w14:paraId="6E854C3D" w14:textId="77777777">
            <w:pPr>
              <w:spacing w:after="0" w:line="240" w:lineRule="auto"/>
              <w:jc w:val="center"/>
              <w:rPr>
                <w:rFonts w:ascii="Times New Roman" w:hAnsi="Times New Roman" w:eastAsia="Calibri" w:cs="Times New Roman"/>
                <w:b/>
                <w:sz w:val="26"/>
                <w:szCs w:val="26"/>
              </w:rPr>
            </w:pPr>
            <w:r w:rsidRPr="00AE2305">
              <w:rPr>
                <w:rFonts w:ascii="Times New Roman" w:hAnsi="Times New Roman" w:eastAsia="Calibri" w:cs="Times New Roman"/>
                <w:b/>
                <w:sz w:val="26"/>
                <w:szCs w:val="26"/>
              </w:rPr>
              <w:t>Cost per Respondent</w:t>
            </w:r>
          </w:p>
          <w:p w:rsidRPr="00AE2305" w:rsidR="00DB75BD" w:rsidP="00EA1211" w:rsidRDefault="00DB75BD" w14:paraId="0ACAC503" w14:textId="77777777">
            <w:pPr>
              <w:spacing w:after="0" w:line="240" w:lineRule="auto"/>
              <w:jc w:val="center"/>
              <w:rPr>
                <w:rFonts w:ascii="Times New Roman" w:hAnsi="Times New Roman" w:eastAsia="Calibri" w:cs="Times New Roman"/>
                <w:b/>
                <w:sz w:val="26"/>
                <w:szCs w:val="26"/>
              </w:rPr>
            </w:pPr>
            <w:r w:rsidRPr="00AE2305">
              <w:rPr>
                <w:rFonts w:ascii="Times New Roman" w:hAnsi="Times New Roman" w:eastAsia="Calibri" w:cs="Times New Roman"/>
                <w:b/>
                <w:sz w:val="26"/>
                <w:szCs w:val="26"/>
              </w:rPr>
              <w:t xml:space="preserve"> ($)</w:t>
            </w:r>
          </w:p>
          <w:p w:rsidRPr="00AE2305" w:rsidR="00DB75BD" w:rsidP="00EA1211" w:rsidRDefault="00DB75BD" w14:paraId="1FF4B984" w14:textId="77777777">
            <w:pPr>
              <w:spacing w:after="0" w:line="240" w:lineRule="auto"/>
              <w:jc w:val="center"/>
              <w:rPr>
                <w:rFonts w:ascii="Times New Roman" w:hAnsi="Times New Roman" w:eastAsia="Calibri" w:cs="Times New Roman"/>
                <w:b/>
                <w:sz w:val="26"/>
                <w:szCs w:val="26"/>
              </w:rPr>
            </w:pPr>
            <w:r w:rsidRPr="00AE2305">
              <w:rPr>
                <w:rFonts w:ascii="Times New Roman" w:hAnsi="Times New Roman" w:eastAsia="Calibri" w:cs="Times New Roman"/>
                <w:b/>
                <w:sz w:val="26"/>
                <w:szCs w:val="26"/>
              </w:rPr>
              <w:t>(5)÷(1)</w:t>
            </w:r>
          </w:p>
        </w:tc>
      </w:tr>
      <w:tr w:rsidRPr="00AE2305" w:rsidR="00DB75BD" w:rsidTr="00DF4D41" w14:paraId="2B17C50F" w14:textId="77777777">
        <w:trPr>
          <w:cantSplit/>
        </w:trPr>
        <w:tc>
          <w:tcPr>
            <w:tcW w:w="1029" w:type="pct"/>
          </w:tcPr>
          <w:p w:rsidRPr="00AE2305" w:rsidR="00DB75BD" w:rsidP="00EA1211" w:rsidRDefault="00DB75BD" w14:paraId="15D47BE2" w14:textId="77777777">
            <w:pPr>
              <w:spacing w:after="0" w:line="240" w:lineRule="auto"/>
              <w:rPr>
                <w:rFonts w:ascii="Times New Roman" w:hAnsi="Times New Roman" w:eastAsia="Calibri" w:cs="Times New Roman"/>
                <w:sz w:val="26"/>
                <w:szCs w:val="26"/>
              </w:rPr>
            </w:pPr>
            <w:r w:rsidRPr="00AE2305">
              <w:rPr>
                <w:rFonts w:ascii="Times New Roman" w:hAnsi="Times New Roman" w:eastAsia="Calibri" w:cs="Times New Roman"/>
                <w:sz w:val="26"/>
                <w:szCs w:val="26"/>
              </w:rPr>
              <w:t>Generator Owners, Distribution Providers, and Transmission Owners (Exception Request)</w:t>
            </w:r>
          </w:p>
        </w:tc>
        <w:tc>
          <w:tcPr>
            <w:tcW w:w="595" w:type="pct"/>
          </w:tcPr>
          <w:p w:rsidRPr="00AE2305" w:rsidR="00DB75BD" w:rsidP="00EA1211" w:rsidRDefault="00DB75BD" w14:paraId="13A13EB5"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20</w:t>
            </w:r>
          </w:p>
          <w:p w:rsidRPr="00AE2305" w:rsidR="00DB75BD" w:rsidP="00EA1211" w:rsidRDefault="00DB75BD" w14:paraId="2BEF62AC" w14:textId="77777777">
            <w:pPr>
              <w:spacing w:after="0" w:line="240" w:lineRule="auto"/>
              <w:jc w:val="right"/>
              <w:rPr>
                <w:rFonts w:ascii="Times New Roman" w:hAnsi="Times New Roman" w:eastAsia="Calibri" w:cs="Times New Roman"/>
                <w:sz w:val="26"/>
                <w:szCs w:val="26"/>
              </w:rPr>
            </w:pPr>
          </w:p>
        </w:tc>
        <w:tc>
          <w:tcPr>
            <w:tcW w:w="746" w:type="pct"/>
          </w:tcPr>
          <w:p w:rsidRPr="00AE2305" w:rsidR="00DB75BD" w:rsidP="00EA1211" w:rsidRDefault="00DB75BD" w14:paraId="19A92DD0"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1</w:t>
            </w:r>
          </w:p>
        </w:tc>
        <w:tc>
          <w:tcPr>
            <w:tcW w:w="605" w:type="pct"/>
          </w:tcPr>
          <w:p w:rsidRPr="00AE2305" w:rsidR="00DB75BD" w:rsidP="00EA1211" w:rsidRDefault="00DB75BD" w14:paraId="0A4F496D"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20</w:t>
            </w:r>
          </w:p>
        </w:tc>
        <w:tc>
          <w:tcPr>
            <w:tcW w:w="746" w:type="pct"/>
          </w:tcPr>
          <w:p w:rsidRPr="00AE2305" w:rsidR="00DB75BD" w:rsidP="00EA1211" w:rsidRDefault="00DB75BD" w14:paraId="1EC08B4E"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94 hrs.;</w:t>
            </w:r>
          </w:p>
          <w:p w:rsidRPr="00AE2305" w:rsidR="00DB75BD" w:rsidP="00EA1211" w:rsidRDefault="00DB75BD" w14:paraId="5BACE55C"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$7,708</w:t>
            </w:r>
          </w:p>
        </w:tc>
        <w:tc>
          <w:tcPr>
            <w:tcW w:w="713" w:type="pct"/>
          </w:tcPr>
          <w:p w:rsidRPr="00AE2305" w:rsidR="00DB75BD" w:rsidP="00EA1211" w:rsidRDefault="00DB75BD" w14:paraId="12E7D2D7"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1,880 hrs.;</w:t>
            </w:r>
          </w:p>
          <w:p w:rsidRPr="00AE2305" w:rsidR="00DB75BD" w:rsidP="00EA1211" w:rsidRDefault="00DB75BD" w14:paraId="62904278"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$154,160</w:t>
            </w:r>
          </w:p>
        </w:tc>
        <w:tc>
          <w:tcPr>
            <w:tcW w:w="566" w:type="pct"/>
          </w:tcPr>
          <w:p w:rsidRPr="00AE2305" w:rsidR="00DB75BD" w:rsidP="00EA1211" w:rsidRDefault="00DB75BD" w14:paraId="5352D08E"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$7,708</w:t>
            </w:r>
          </w:p>
        </w:tc>
      </w:tr>
      <w:tr w:rsidRPr="00AE2305" w:rsidR="00DB75BD" w:rsidTr="00DF4D41" w14:paraId="690A9F27" w14:textId="77777777">
        <w:trPr>
          <w:cantSplit/>
        </w:trPr>
        <w:tc>
          <w:tcPr>
            <w:tcW w:w="1029" w:type="pct"/>
          </w:tcPr>
          <w:p w:rsidRPr="00AE2305" w:rsidR="00DB75BD" w:rsidP="00EA1211" w:rsidRDefault="00DB75BD" w14:paraId="49EF9263" w14:textId="77777777">
            <w:pPr>
              <w:spacing w:after="0" w:line="240" w:lineRule="auto"/>
              <w:rPr>
                <w:rFonts w:ascii="Times New Roman" w:hAnsi="Times New Roman" w:eastAsia="Calibri" w:cs="Times New Roman"/>
                <w:sz w:val="26"/>
                <w:szCs w:val="26"/>
              </w:rPr>
            </w:pPr>
            <w:r w:rsidRPr="00AE2305">
              <w:rPr>
                <w:rFonts w:ascii="Times New Roman" w:hAnsi="Times New Roman" w:eastAsia="Calibri" w:cs="Times New Roman"/>
                <w:sz w:val="26"/>
                <w:szCs w:val="26"/>
              </w:rPr>
              <w:t>All Registered Entities (Implementation Plans and Compliance)</w:t>
            </w:r>
          </w:p>
        </w:tc>
        <w:tc>
          <w:tcPr>
            <w:tcW w:w="595" w:type="pct"/>
          </w:tcPr>
          <w:p w:rsidRPr="00AE2305" w:rsidR="00DB75BD" w:rsidP="00EA1211" w:rsidRDefault="00DB75BD" w14:paraId="06CFB3D0"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186</w:t>
            </w:r>
          </w:p>
        </w:tc>
        <w:tc>
          <w:tcPr>
            <w:tcW w:w="746" w:type="pct"/>
          </w:tcPr>
          <w:p w:rsidRPr="00AE2305" w:rsidR="00DB75BD" w:rsidP="00EA1211" w:rsidRDefault="00DB75BD" w14:paraId="6931EFDA"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1</w:t>
            </w:r>
          </w:p>
        </w:tc>
        <w:tc>
          <w:tcPr>
            <w:tcW w:w="605" w:type="pct"/>
          </w:tcPr>
          <w:p w:rsidRPr="00AE2305" w:rsidR="00DB75BD" w:rsidP="00EA1211" w:rsidRDefault="00DB75BD" w14:paraId="3BCB6E5D"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186</w:t>
            </w:r>
          </w:p>
        </w:tc>
        <w:tc>
          <w:tcPr>
            <w:tcW w:w="746" w:type="pct"/>
          </w:tcPr>
          <w:p w:rsidRPr="00AE2305" w:rsidR="00DB75BD" w:rsidP="00EA1211" w:rsidRDefault="00DB75BD" w14:paraId="0655BC68"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350 hrs.;</w:t>
            </w:r>
          </w:p>
          <w:p w:rsidRPr="00AE2305" w:rsidR="00DB75BD" w:rsidP="00EA1211" w:rsidRDefault="00DB75BD" w14:paraId="2229945C"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$28,700</w:t>
            </w:r>
          </w:p>
        </w:tc>
        <w:tc>
          <w:tcPr>
            <w:tcW w:w="713" w:type="pct"/>
          </w:tcPr>
          <w:p w:rsidRPr="00AE2305" w:rsidR="00DB75BD" w:rsidP="00EA1211" w:rsidRDefault="00DB75BD" w14:paraId="302D5834"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65,100 hrs.;</w:t>
            </w:r>
          </w:p>
          <w:p w:rsidRPr="00AE2305" w:rsidR="00DB75BD" w:rsidP="00EA1211" w:rsidRDefault="00DB75BD" w14:paraId="569D8101"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$5,338,200</w:t>
            </w:r>
          </w:p>
        </w:tc>
        <w:tc>
          <w:tcPr>
            <w:tcW w:w="566" w:type="pct"/>
          </w:tcPr>
          <w:p w:rsidRPr="00AE2305" w:rsidR="00DB75BD" w:rsidP="00EA1211" w:rsidRDefault="00DB75BD" w14:paraId="736AF374"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$28,700</w:t>
            </w:r>
          </w:p>
        </w:tc>
      </w:tr>
      <w:tr w:rsidRPr="00AE2305" w:rsidR="00DB75BD" w:rsidTr="00DF4D41" w14:paraId="5C2E6BF9" w14:textId="77777777">
        <w:trPr>
          <w:cantSplit/>
        </w:trPr>
        <w:tc>
          <w:tcPr>
            <w:tcW w:w="1029" w:type="pct"/>
          </w:tcPr>
          <w:p w:rsidRPr="00AE2305" w:rsidR="00DB75BD" w:rsidP="00EA1211" w:rsidRDefault="00DB75BD" w14:paraId="5788784D" w14:textId="77777777">
            <w:pPr>
              <w:spacing w:after="0" w:line="240" w:lineRule="auto"/>
              <w:rPr>
                <w:rFonts w:ascii="Times New Roman" w:hAnsi="Times New Roman" w:eastAsia="Calibri" w:cs="Times New Roman"/>
                <w:sz w:val="26"/>
                <w:szCs w:val="26"/>
              </w:rPr>
            </w:pPr>
            <w:r w:rsidRPr="00AE2305">
              <w:rPr>
                <w:rFonts w:ascii="Times New Roman" w:hAnsi="Times New Roman" w:eastAsia="Calibri" w:cs="Times New Roman"/>
                <w:sz w:val="26"/>
                <w:szCs w:val="26"/>
              </w:rPr>
              <w:t>Local Distribution Determinations</w:t>
            </w:r>
          </w:p>
        </w:tc>
        <w:tc>
          <w:tcPr>
            <w:tcW w:w="595" w:type="pct"/>
          </w:tcPr>
          <w:p w:rsidRPr="00AE2305" w:rsidR="00DB75BD" w:rsidP="00EA1211" w:rsidRDefault="00DB75BD" w14:paraId="297C19B6"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1</w:t>
            </w:r>
          </w:p>
        </w:tc>
        <w:tc>
          <w:tcPr>
            <w:tcW w:w="746" w:type="pct"/>
          </w:tcPr>
          <w:p w:rsidRPr="00AE2305" w:rsidR="00DB75BD" w:rsidP="00EA1211" w:rsidRDefault="00DB75BD" w14:paraId="18F318A3"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1</w:t>
            </w:r>
          </w:p>
        </w:tc>
        <w:tc>
          <w:tcPr>
            <w:tcW w:w="605" w:type="pct"/>
          </w:tcPr>
          <w:p w:rsidRPr="00AE2305" w:rsidR="00DB75BD" w:rsidP="00EA1211" w:rsidRDefault="00DB75BD" w14:paraId="4104DD90"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1</w:t>
            </w:r>
          </w:p>
        </w:tc>
        <w:tc>
          <w:tcPr>
            <w:tcW w:w="746" w:type="pct"/>
          </w:tcPr>
          <w:p w:rsidRPr="00AE2305" w:rsidR="00DB75BD" w:rsidP="00EA1211" w:rsidRDefault="00DB75BD" w14:paraId="72B4A790"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92 hrs.;</w:t>
            </w:r>
          </w:p>
          <w:p w:rsidRPr="00AE2305" w:rsidR="00DB75BD" w:rsidP="00EA1211" w:rsidRDefault="00DB75BD" w14:paraId="178D3FBE"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$7,544</w:t>
            </w:r>
          </w:p>
        </w:tc>
        <w:tc>
          <w:tcPr>
            <w:tcW w:w="713" w:type="pct"/>
          </w:tcPr>
          <w:p w:rsidRPr="00AE2305" w:rsidR="00DB75BD" w:rsidP="00EA1211" w:rsidRDefault="00DB75BD" w14:paraId="20D31C64"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92 hrs.;</w:t>
            </w:r>
          </w:p>
          <w:p w:rsidRPr="00AE2305" w:rsidR="00DB75BD" w:rsidP="00EA1211" w:rsidRDefault="00DB75BD" w14:paraId="5DF4DCED"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$7,544</w:t>
            </w:r>
          </w:p>
        </w:tc>
        <w:tc>
          <w:tcPr>
            <w:tcW w:w="566" w:type="pct"/>
          </w:tcPr>
          <w:p w:rsidRPr="00AE2305" w:rsidR="00DB75BD" w:rsidP="00EA1211" w:rsidRDefault="00DB75BD" w14:paraId="15CC5D92" w14:textId="77777777">
            <w:pPr>
              <w:spacing w:after="0" w:line="240" w:lineRule="auto"/>
              <w:jc w:val="right"/>
              <w:rPr>
                <w:rFonts w:ascii="Times New Roman" w:hAnsi="Times New Roman" w:eastAsia="Calibri" w:cs="Times New Roman"/>
                <w:sz w:val="26"/>
                <w:szCs w:val="26"/>
              </w:rPr>
            </w:pPr>
            <w:r w:rsidRPr="00AE2305">
              <w:rPr>
                <w:rFonts w:ascii="Times New Roman" w:hAnsi="Times New Roman" w:eastAsia="Calibri" w:cs="Times New Roman"/>
                <w:sz w:val="26"/>
                <w:szCs w:val="26"/>
              </w:rPr>
              <w:t>$7,544</w:t>
            </w:r>
          </w:p>
        </w:tc>
      </w:tr>
      <w:tr w:rsidRPr="00AE2305" w:rsidR="0058087A" w:rsidTr="0058087A" w14:paraId="7A759099" w14:textId="77777777">
        <w:trPr>
          <w:cantSplit/>
          <w:trHeight w:val="485"/>
        </w:trPr>
        <w:tc>
          <w:tcPr>
            <w:tcW w:w="1029" w:type="pct"/>
            <w:tcBorders>
              <w:bottom w:val="single" w:color="auto" w:sz="4" w:space="0"/>
            </w:tcBorders>
          </w:tcPr>
          <w:p w:rsidRPr="00AE2305" w:rsidR="00DB75BD" w:rsidP="00EA1211" w:rsidRDefault="00DB75BD" w14:paraId="7BF129A9" w14:textId="77777777">
            <w:pPr>
              <w:spacing w:after="0" w:line="240" w:lineRule="auto"/>
              <w:rPr>
                <w:rFonts w:ascii="Times New Roman" w:hAnsi="Times New Roman" w:eastAsia="Calibri" w:cs="Times New Roman"/>
                <w:b/>
                <w:sz w:val="26"/>
                <w:szCs w:val="26"/>
              </w:rPr>
            </w:pPr>
            <w:r w:rsidRPr="00AE2305">
              <w:rPr>
                <w:rFonts w:ascii="Times New Roman" w:hAnsi="Times New Roman" w:eastAsia="Calibri" w:cs="Times New Roman"/>
                <w:b/>
                <w:sz w:val="26"/>
                <w:szCs w:val="26"/>
              </w:rPr>
              <w:t>TOTAL</w:t>
            </w:r>
          </w:p>
        </w:tc>
        <w:tc>
          <w:tcPr>
            <w:tcW w:w="1341" w:type="pct"/>
            <w:gridSpan w:val="2"/>
            <w:tcBorders>
              <w:bottom w:val="single" w:color="auto" w:sz="4" w:space="0"/>
            </w:tcBorders>
            <w:shd w:val="clear" w:color="auto" w:fill="D9D9D9"/>
          </w:tcPr>
          <w:p w:rsidRPr="00AE2305" w:rsidR="00DB75BD" w:rsidP="00EA1211" w:rsidRDefault="00DB75BD" w14:paraId="6DD84269" w14:textId="77777777">
            <w:pPr>
              <w:spacing w:after="0" w:line="240" w:lineRule="auto"/>
              <w:jc w:val="right"/>
              <w:rPr>
                <w:rFonts w:ascii="Times New Roman" w:hAnsi="Times New Roman" w:eastAsia="Calibri" w:cs="Times New Roman"/>
                <w:sz w:val="26"/>
                <w:szCs w:val="26"/>
              </w:rPr>
            </w:pPr>
          </w:p>
        </w:tc>
        <w:tc>
          <w:tcPr>
            <w:tcW w:w="605" w:type="pct"/>
            <w:tcBorders>
              <w:bottom w:val="single" w:color="auto" w:sz="4" w:space="0"/>
            </w:tcBorders>
            <w:shd w:val="clear" w:color="auto" w:fill="auto"/>
          </w:tcPr>
          <w:p w:rsidRPr="00AE2305" w:rsidR="00DB75BD" w:rsidP="00EA1211" w:rsidRDefault="00DB75BD" w14:paraId="1C78A677" w14:textId="77777777">
            <w:pPr>
              <w:spacing w:after="0" w:line="240" w:lineRule="auto"/>
              <w:jc w:val="right"/>
              <w:rPr>
                <w:rFonts w:ascii="Times New Roman" w:hAnsi="Times New Roman" w:eastAsia="Calibri" w:cs="Times New Roman"/>
                <w:b/>
                <w:sz w:val="26"/>
                <w:szCs w:val="26"/>
              </w:rPr>
            </w:pPr>
            <w:r w:rsidRPr="00AE2305">
              <w:rPr>
                <w:rFonts w:ascii="Times New Roman" w:hAnsi="Times New Roman" w:eastAsia="Calibri" w:cs="Times New Roman"/>
                <w:b/>
                <w:sz w:val="26"/>
                <w:szCs w:val="26"/>
              </w:rPr>
              <w:t>207</w:t>
            </w:r>
          </w:p>
        </w:tc>
        <w:tc>
          <w:tcPr>
            <w:tcW w:w="746" w:type="pct"/>
            <w:tcBorders>
              <w:bottom w:val="single" w:color="auto" w:sz="4" w:space="0"/>
            </w:tcBorders>
            <w:shd w:val="clear" w:color="auto" w:fill="D9D9D9"/>
          </w:tcPr>
          <w:p w:rsidRPr="00AE2305" w:rsidR="00DB75BD" w:rsidP="00EA1211" w:rsidRDefault="00DB75BD" w14:paraId="5B96E17F" w14:textId="77777777">
            <w:pPr>
              <w:spacing w:after="0" w:line="240" w:lineRule="auto"/>
              <w:jc w:val="right"/>
              <w:rPr>
                <w:rFonts w:ascii="Times New Roman" w:hAnsi="Times New Roman" w:eastAsia="Calibri" w:cs="Times New Roman"/>
                <w:sz w:val="26"/>
                <w:szCs w:val="26"/>
              </w:rPr>
            </w:pPr>
          </w:p>
        </w:tc>
        <w:tc>
          <w:tcPr>
            <w:tcW w:w="713" w:type="pct"/>
            <w:tcBorders>
              <w:bottom w:val="single" w:color="auto" w:sz="4" w:space="0"/>
            </w:tcBorders>
          </w:tcPr>
          <w:p w:rsidRPr="00AE2305" w:rsidR="00DB75BD" w:rsidP="00EA1211" w:rsidRDefault="00DB75BD" w14:paraId="46559CCE" w14:textId="77777777">
            <w:pPr>
              <w:spacing w:after="0" w:line="240" w:lineRule="auto"/>
              <w:jc w:val="right"/>
              <w:rPr>
                <w:rFonts w:ascii="Times New Roman" w:hAnsi="Times New Roman" w:eastAsia="Calibri" w:cs="Times New Roman"/>
                <w:b/>
                <w:sz w:val="26"/>
                <w:szCs w:val="26"/>
              </w:rPr>
            </w:pPr>
            <w:r w:rsidRPr="00AE2305">
              <w:rPr>
                <w:rFonts w:ascii="Times New Roman" w:hAnsi="Times New Roman" w:eastAsia="Calibri" w:cs="Times New Roman"/>
                <w:b/>
                <w:sz w:val="26"/>
                <w:szCs w:val="26"/>
              </w:rPr>
              <w:t>67,072 hrs.;</w:t>
            </w:r>
          </w:p>
          <w:p w:rsidRPr="00AE2305" w:rsidR="00DB75BD" w:rsidP="00EA1211" w:rsidRDefault="00DB75BD" w14:paraId="5D6D523E" w14:textId="77777777">
            <w:pPr>
              <w:spacing w:after="0" w:line="240" w:lineRule="auto"/>
              <w:jc w:val="right"/>
              <w:rPr>
                <w:rFonts w:ascii="Times New Roman" w:hAnsi="Times New Roman" w:eastAsia="Calibri" w:cs="Times New Roman"/>
                <w:b/>
                <w:sz w:val="26"/>
                <w:szCs w:val="26"/>
              </w:rPr>
            </w:pPr>
            <w:r w:rsidRPr="00AE2305">
              <w:rPr>
                <w:rFonts w:ascii="Times New Roman" w:hAnsi="Times New Roman" w:eastAsia="Calibri" w:cs="Times New Roman"/>
                <w:b/>
                <w:sz w:val="26"/>
                <w:szCs w:val="26"/>
              </w:rPr>
              <w:t>$5,499,904</w:t>
            </w:r>
          </w:p>
        </w:tc>
        <w:tc>
          <w:tcPr>
            <w:tcW w:w="566" w:type="pct"/>
            <w:tcBorders>
              <w:bottom w:val="single" w:color="auto" w:sz="4" w:space="0"/>
            </w:tcBorders>
            <w:shd w:val="clear" w:color="auto" w:fill="D9D9D9"/>
          </w:tcPr>
          <w:p w:rsidRPr="00AE2305" w:rsidR="00DB75BD" w:rsidP="00EA1211" w:rsidRDefault="00DB75BD" w14:paraId="45F8F255" w14:textId="77777777">
            <w:pPr>
              <w:spacing w:after="0" w:line="240" w:lineRule="auto"/>
              <w:jc w:val="right"/>
              <w:rPr>
                <w:rFonts w:ascii="Times New Roman" w:hAnsi="Times New Roman" w:eastAsia="Calibri" w:cs="Times New Roman"/>
                <w:b/>
                <w:sz w:val="26"/>
                <w:szCs w:val="26"/>
              </w:rPr>
            </w:pPr>
          </w:p>
        </w:tc>
      </w:tr>
    </w:tbl>
    <w:p w:rsidR="0058087A" w:rsidP="00B82C6A" w:rsidRDefault="0058087A" w14:paraId="7A967E5A" w14:textId="77777777">
      <w:pPr>
        <w:spacing w:after="0"/>
        <w:rPr>
          <w:rFonts w:ascii="Times New Roman" w:hAnsi="Times New Roman" w:cs="Times New Roman"/>
          <w:sz w:val="26"/>
          <w:szCs w:val="26"/>
        </w:rPr>
        <w:sectPr w:rsidR="0058087A" w:rsidSect="00DF4D41">
          <w:pgSz w:w="15840" w:h="12240" w:orient="landscape"/>
          <w:pgMar w:top="1440" w:right="1440" w:bottom="1440" w:left="1440" w:header="720" w:footer="720" w:gutter="0"/>
          <w:cols w:space="720"/>
          <w:docGrid w:linePitch="360"/>
        </w:sectPr>
      </w:pPr>
    </w:p>
    <w:p w:rsidRPr="00AE2305" w:rsidR="00DB75BD" w:rsidP="00B82C6A" w:rsidRDefault="00DB75BD" w14:paraId="7B1F96D6" w14:textId="71E1B2D5">
      <w:pPr>
        <w:spacing w:after="0"/>
        <w:rPr>
          <w:rFonts w:ascii="Times New Roman" w:hAnsi="Times New Roman" w:cs="Times New Roman"/>
          <w:sz w:val="26"/>
          <w:szCs w:val="26"/>
        </w:rPr>
      </w:pPr>
    </w:p>
    <w:p w:rsidRPr="00AE2305" w:rsidR="00B82C6A" w:rsidP="00B82C6A" w:rsidRDefault="00B82C6A" w14:paraId="72D24D41"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ESTIMATE OF THE TOTAL ANNUAL COST BURDEN TO RESPONDENTS</w:t>
      </w:r>
    </w:p>
    <w:p w:rsidRPr="00AE2305" w:rsidR="00B82C6A" w:rsidP="00B82C6A" w:rsidRDefault="00B82C6A" w14:paraId="08EAA9DB" w14:textId="77777777">
      <w:pPr>
        <w:spacing w:after="0"/>
        <w:rPr>
          <w:rFonts w:ascii="Times New Roman" w:hAnsi="Times New Roman" w:cs="Times New Roman"/>
          <w:sz w:val="26"/>
          <w:szCs w:val="26"/>
        </w:rPr>
      </w:pPr>
    </w:p>
    <w:p w:rsidRPr="00AE2305" w:rsidR="00B82C6A" w:rsidP="00B82C6A" w:rsidRDefault="00B82C6A" w14:paraId="2D82F81F" w14:textId="4B7B31B4">
      <w:pPr>
        <w:spacing w:after="0"/>
        <w:rPr>
          <w:rFonts w:ascii="Times New Roman" w:hAnsi="Times New Roman" w:cs="Times New Roman"/>
          <w:sz w:val="26"/>
          <w:szCs w:val="26"/>
        </w:rPr>
      </w:pPr>
      <w:r w:rsidRPr="00AE2305">
        <w:rPr>
          <w:rFonts w:ascii="Times New Roman" w:hAnsi="Times New Roman" w:cs="Times New Roman"/>
          <w:sz w:val="26"/>
          <w:szCs w:val="26"/>
        </w:rPr>
        <w:t>There is no</w:t>
      </w:r>
      <w:r w:rsidR="00C3135B">
        <w:rPr>
          <w:rFonts w:ascii="Times New Roman" w:hAnsi="Times New Roman" w:cs="Times New Roman"/>
          <w:sz w:val="26"/>
          <w:szCs w:val="26"/>
        </w:rPr>
        <w:t xml:space="preserve"> non-labor</w:t>
      </w:r>
      <w:r w:rsidRPr="00AE2305">
        <w:rPr>
          <w:rFonts w:ascii="Times New Roman" w:hAnsi="Times New Roman" w:cs="Times New Roman"/>
          <w:sz w:val="26"/>
          <w:szCs w:val="26"/>
        </w:rPr>
        <w:t xml:space="preserve"> start-up </w:t>
      </w:r>
      <w:r w:rsidR="00C3135B">
        <w:rPr>
          <w:rFonts w:ascii="Times New Roman" w:hAnsi="Times New Roman" w:cs="Times New Roman"/>
          <w:sz w:val="26"/>
          <w:szCs w:val="26"/>
        </w:rPr>
        <w:t>cost. All costs are related to burden hours and are addressed in Questions #12 and #15.</w:t>
      </w:r>
    </w:p>
    <w:p w:rsidRPr="00AE2305" w:rsidR="00B82C6A" w:rsidP="00B82C6A" w:rsidRDefault="00B82C6A" w14:paraId="147594A2" w14:textId="77777777">
      <w:pPr>
        <w:spacing w:after="0"/>
        <w:rPr>
          <w:rFonts w:ascii="Times New Roman" w:hAnsi="Times New Roman" w:cs="Times New Roman"/>
          <w:sz w:val="26"/>
          <w:szCs w:val="26"/>
        </w:rPr>
      </w:pPr>
    </w:p>
    <w:p w:rsidRPr="00AE2305" w:rsidR="00B82C6A" w:rsidP="00B82C6A" w:rsidRDefault="00B82C6A" w14:paraId="7DD3B662"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ESTIMATED ANNUALIZED COST TO FEDERAL GOVERNMENT</w:t>
      </w:r>
    </w:p>
    <w:p w:rsidRPr="00AE2305" w:rsidR="00B82C6A" w:rsidP="00B82C6A" w:rsidRDefault="00B82C6A" w14:paraId="3E08BBE5" w14:textId="77777777">
      <w:pPr>
        <w:spacing w:after="0"/>
        <w:rPr>
          <w:rFonts w:ascii="Times New Roman" w:hAnsi="Times New Roman" w:cs="Times New Roman"/>
          <w:sz w:val="26"/>
          <w:szCs w:val="26"/>
        </w:rPr>
      </w:pPr>
    </w:p>
    <w:p w:rsidRPr="00C3135B" w:rsidR="00C3135B" w:rsidP="00C3135B" w:rsidRDefault="00C3135B" w14:paraId="1EB9C0EB" w14:textId="77777777">
      <w:pPr>
        <w:spacing w:after="0"/>
        <w:rPr>
          <w:rFonts w:ascii="Times New Roman" w:hAnsi="Times New Roman" w:eastAsia="Calibri" w:cs="Times New Roman"/>
          <w:sz w:val="26"/>
          <w:szCs w:val="26"/>
        </w:rPr>
      </w:pPr>
      <w:r w:rsidRPr="00C3135B">
        <w:rPr>
          <w:rFonts w:ascii="Times New Roman" w:hAnsi="Times New Roman" w:eastAsia="Calibri" w:cs="Times New Roman"/>
          <w:sz w:val="26"/>
          <w:szCs w:val="26"/>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information collection.  </w:t>
      </w:r>
    </w:p>
    <w:p w:rsidR="00C3135B" w:rsidP="00B82C6A" w:rsidRDefault="00C3135B" w14:paraId="6306B91E" w14:textId="77777777">
      <w:pPr>
        <w:spacing w:after="0"/>
        <w:rPr>
          <w:rFonts w:ascii="Times New Roman" w:hAnsi="Times New Roman" w:eastAsia="Calibri" w:cs="Times New Roman"/>
          <w:sz w:val="26"/>
          <w:szCs w:val="26"/>
        </w:rPr>
      </w:pPr>
    </w:p>
    <w:p w:rsidRPr="00AE2305" w:rsidR="00B82C6A" w:rsidP="00B82C6A" w:rsidRDefault="00B82C6A" w14:paraId="701D286A" w14:textId="3C45F64D">
      <w:pPr>
        <w:spacing w:after="0"/>
        <w:rPr>
          <w:rFonts w:ascii="Times New Roman" w:hAnsi="Times New Roman" w:eastAsia="Calibri" w:cs="Times New Roman"/>
          <w:sz w:val="26"/>
          <w:szCs w:val="26"/>
        </w:rPr>
      </w:pPr>
      <w:r w:rsidRPr="00AE2305">
        <w:rPr>
          <w:rFonts w:ascii="Times New Roman" w:hAnsi="Times New Roman" w:eastAsia="Calibri" w:cs="Times New Roman"/>
          <w:sz w:val="26"/>
          <w:szCs w:val="26"/>
        </w:rPr>
        <w:t>The Regional Entities and NERC do most of the data processing, monitoring and compliance work for Reliability Standards.  The only filings submitted to FERC under FERC-725J are the local distribution determinations.  Federal effort is enumerated below:</w:t>
      </w:r>
      <w:r w:rsidRPr="00AE2305" w:rsidDel="00CA65E7">
        <w:rPr>
          <w:rFonts w:ascii="Times New Roman" w:hAnsi="Times New Roman" w:eastAsia="Calibri" w:cs="Times New Roman"/>
          <w:sz w:val="26"/>
          <w:szCs w:val="26"/>
        </w:rPr>
        <w:t xml:space="preserve"> </w:t>
      </w:r>
    </w:p>
    <w:p w:rsidR="00B82C6A" w:rsidP="00B82C6A" w:rsidRDefault="00B82C6A" w14:paraId="29A45DC0" w14:textId="45086E8D">
      <w:pPr>
        <w:spacing w:after="0"/>
        <w:rPr>
          <w:rFonts w:ascii="Times New Roman" w:hAnsi="Times New Roman" w:eastAsia="Times New Roman" w:cs="Times New Roman"/>
          <w:sz w:val="26"/>
          <w:szCs w:val="26"/>
        </w:rPr>
      </w:pPr>
    </w:p>
    <w:p w:rsidRPr="00C65508" w:rsidR="00C65508" w:rsidP="00C65508" w:rsidRDefault="00C65508" w14:paraId="34C2594E" w14:textId="12728B9A">
      <w:pPr>
        <w:spacing w:after="0"/>
        <w:rPr>
          <w:rFonts w:ascii="Times New Roman" w:hAnsi="Times New Roman" w:eastAsia="Calibri" w:cs="Times New Roman"/>
          <w:sz w:val="26"/>
          <w:szCs w:val="26"/>
        </w:rPr>
      </w:pPr>
      <w:r w:rsidRPr="00C65508">
        <w:rPr>
          <w:rFonts w:ascii="Times New Roman" w:hAnsi="Times New Roman" w:eastAsia="Calibri" w:cs="Times New Roman"/>
          <w:sz w:val="26"/>
          <w:szCs w:val="26"/>
        </w:rPr>
        <w:t>The Commission incur</w:t>
      </w:r>
      <w:r>
        <w:rPr>
          <w:rFonts w:ascii="Times New Roman" w:hAnsi="Times New Roman" w:eastAsia="Calibri" w:cs="Times New Roman"/>
          <w:sz w:val="26"/>
          <w:szCs w:val="26"/>
        </w:rPr>
        <w:t>s</w:t>
      </w:r>
      <w:r w:rsidRPr="00C65508">
        <w:rPr>
          <w:rFonts w:ascii="Times New Roman" w:hAnsi="Times New Roman" w:eastAsia="Calibri" w:cs="Times New Roman"/>
          <w:sz w:val="26"/>
          <w:szCs w:val="26"/>
        </w:rPr>
        <w:t xml:space="preserve"> the costs associated with obtaining OMB clearance for the collection under the Paperwork Reduction Act of 1995 (PRA).  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  </w:t>
      </w:r>
    </w:p>
    <w:p w:rsidRPr="00AE2305" w:rsidR="00A21A40" w:rsidP="00B82C6A" w:rsidRDefault="00A21A40" w14:paraId="0BF17646" w14:textId="77777777">
      <w:pPr>
        <w:spacing w:after="0"/>
        <w:rPr>
          <w:rFonts w:ascii="Times New Roman" w:hAnsi="Times New Roman" w:eastAsia="Times New Roman" w:cs="Times New Roman"/>
          <w:sz w:val="26"/>
          <w:szCs w:val="26"/>
        </w:rPr>
      </w:pPr>
    </w:p>
    <w:p w:rsidRPr="00AE2305" w:rsidR="00B82C6A" w:rsidP="00B82C6A" w:rsidRDefault="00B82C6A" w14:paraId="21AD5050" w14:textId="77777777">
      <w:pPr>
        <w:spacing w:after="0"/>
        <w:rPr>
          <w:rFonts w:ascii="Times New Roman" w:hAnsi="Times New Roman" w:eastAsia="Times New Roman" w:cs="Times New Roman"/>
          <w:sz w:val="26"/>
          <w:szCs w:val="26"/>
        </w:rPr>
      </w:pPr>
      <w:r w:rsidRPr="00AE2305">
        <w:rPr>
          <w:rFonts w:ascii="Times New Roman" w:hAnsi="Times New Roman" w:eastAsia="Times New Roman" w:cs="Times New Roman"/>
          <w:sz w:val="26"/>
          <w:szCs w:val="26"/>
        </w:rPr>
        <w:t>The estimated annualized cost to the Federal Government for FERC-725J follows:</w:t>
      </w:r>
    </w:p>
    <w:p w:rsidRPr="00AE2305" w:rsidR="00B82C6A" w:rsidP="00B82C6A" w:rsidRDefault="00B82C6A" w14:paraId="10EEE46F" w14:textId="77777777">
      <w:pPr>
        <w:spacing w:after="0"/>
        <w:rPr>
          <w:rFonts w:ascii="Times New Roman" w:hAnsi="Times New Roman" w:eastAsia="Times New Roman" w:cs="Times New Roman"/>
          <w:sz w:val="26"/>
          <w:szCs w:val="26"/>
        </w:rPr>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82"/>
        <w:gridCol w:w="3201"/>
        <w:gridCol w:w="2995"/>
      </w:tblGrid>
      <w:tr w:rsidRPr="00AE2305" w:rsidR="00B82C6A" w:rsidTr="00F96863" w14:paraId="2FE9FF1D" w14:textId="77777777">
        <w:tc>
          <w:tcPr>
            <w:tcW w:w="3182" w:type="dxa"/>
            <w:tcBorders>
              <w:top w:val="single" w:color="auto" w:sz="4" w:space="0"/>
              <w:left w:val="single" w:color="auto" w:sz="4" w:space="0"/>
              <w:bottom w:val="single" w:color="auto" w:sz="4" w:space="0"/>
              <w:right w:val="single" w:color="auto" w:sz="4" w:space="0"/>
            </w:tcBorders>
            <w:shd w:val="clear" w:color="auto" w:fill="CCCCCC"/>
          </w:tcPr>
          <w:p w:rsidRPr="00AE2305" w:rsidR="00B82C6A" w:rsidP="00F96863" w:rsidRDefault="00B82C6A" w14:paraId="37BE21DC" w14:textId="77777777">
            <w:pPr>
              <w:spacing w:after="0"/>
              <w:rPr>
                <w:rFonts w:ascii="Times New Roman" w:hAnsi="Times New Roman" w:cs="Times New Roman"/>
                <w:sz w:val="26"/>
                <w:szCs w:val="26"/>
              </w:rPr>
            </w:pPr>
          </w:p>
        </w:tc>
        <w:tc>
          <w:tcPr>
            <w:tcW w:w="3201" w:type="dxa"/>
            <w:tcBorders>
              <w:top w:val="single" w:color="auto" w:sz="4" w:space="0"/>
              <w:left w:val="single" w:color="auto" w:sz="4" w:space="0"/>
              <w:bottom w:val="single" w:color="auto" w:sz="4" w:space="0"/>
              <w:right w:val="single" w:color="auto" w:sz="4" w:space="0"/>
            </w:tcBorders>
            <w:shd w:val="clear" w:color="auto" w:fill="CCCCCC"/>
          </w:tcPr>
          <w:p w:rsidRPr="00AE2305" w:rsidR="00B82C6A" w:rsidP="00F96863" w:rsidRDefault="00B82C6A" w14:paraId="1425BCDB" w14:textId="77777777">
            <w:pPr>
              <w:spacing w:after="0"/>
              <w:rPr>
                <w:rFonts w:ascii="Times New Roman" w:hAnsi="Times New Roman" w:cs="Times New Roman"/>
                <w:b/>
                <w:sz w:val="26"/>
                <w:szCs w:val="26"/>
              </w:rPr>
            </w:pPr>
            <w:r w:rsidRPr="00AE2305">
              <w:rPr>
                <w:rFonts w:ascii="Times New Roman" w:hAnsi="Times New Roman" w:cs="Times New Roman"/>
                <w:b/>
                <w:sz w:val="26"/>
                <w:szCs w:val="26"/>
              </w:rPr>
              <w:t>Number of Federal Employees (FTE)</w:t>
            </w:r>
          </w:p>
        </w:tc>
        <w:tc>
          <w:tcPr>
            <w:tcW w:w="2995" w:type="dxa"/>
            <w:tcBorders>
              <w:top w:val="single" w:color="auto" w:sz="4" w:space="0"/>
              <w:left w:val="single" w:color="auto" w:sz="4" w:space="0"/>
              <w:bottom w:val="single" w:color="auto" w:sz="4" w:space="0"/>
              <w:right w:val="single" w:color="auto" w:sz="4" w:space="0"/>
            </w:tcBorders>
            <w:shd w:val="clear" w:color="auto" w:fill="CCCCCC"/>
          </w:tcPr>
          <w:p w:rsidRPr="00AE2305" w:rsidR="00B82C6A" w:rsidP="00F96863" w:rsidRDefault="00B82C6A" w14:paraId="06CADF6D" w14:textId="77777777">
            <w:pPr>
              <w:spacing w:after="0"/>
              <w:rPr>
                <w:rFonts w:ascii="Times New Roman" w:hAnsi="Times New Roman" w:cs="Times New Roman"/>
                <w:b/>
                <w:sz w:val="26"/>
                <w:szCs w:val="26"/>
              </w:rPr>
            </w:pPr>
            <w:r w:rsidRPr="00AE2305">
              <w:rPr>
                <w:rFonts w:ascii="Times New Roman" w:hAnsi="Times New Roman" w:cs="Times New Roman"/>
                <w:b/>
                <w:sz w:val="26"/>
                <w:szCs w:val="26"/>
              </w:rPr>
              <w:t>Estimated Annual Federal Cost</w:t>
            </w:r>
          </w:p>
        </w:tc>
      </w:tr>
      <w:tr w:rsidRPr="00AE2305" w:rsidR="00B82C6A" w:rsidTr="00F96863" w14:paraId="42724460" w14:textId="77777777">
        <w:tc>
          <w:tcPr>
            <w:tcW w:w="3182" w:type="dxa"/>
            <w:tcBorders>
              <w:top w:val="single" w:color="auto" w:sz="4" w:space="0"/>
              <w:left w:val="single" w:color="auto" w:sz="4" w:space="0"/>
              <w:bottom w:val="single" w:color="auto" w:sz="4" w:space="0"/>
              <w:right w:val="single" w:color="auto" w:sz="4" w:space="0"/>
            </w:tcBorders>
          </w:tcPr>
          <w:p w:rsidRPr="00AE2305" w:rsidR="00B82C6A" w:rsidP="00F96863" w:rsidRDefault="00B82C6A" w14:paraId="3EECBCF3" w14:textId="77777777">
            <w:pPr>
              <w:spacing w:after="0"/>
              <w:rPr>
                <w:rFonts w:ascii="Times New Roman" w:hAnsi="Times New Roman" w:cs="Times New Roman"/>
                <w:sz w:val="26"/>
                <w:szCs w:val="26"/>
              </w:rPr>
            </w:pPr>
            <w:r w:rsidRPr="00AE2305">
              <w:rPr>
                <w:rFonts w:ascii="Times New Roman" w:hAnsi="Times New Roman" w:cs="Times New Roman"/>
                <w:sz w:val="26"/>
                <w:szCs w:val="26"/>
              </w:rPr>
              <w:t>FERC-725J Analysis and Processing of filings</w:t>
            </w:r>
            <w:r w:rsidRPr="00AE2305">
              <w:rPr>
                <w:rStyle w:val="FootnoteReference"/>
                <w:rFonts w:ascii="Times New Roman" w:hAnsi="Times New Roman" w:cs="Times New Roman"/>
                <w:sz w:val="26"/>
                <w:szCs w:val="26"/>
                <w:vertAlign w:val="superscript"/>
              </w:rPr>
              <w:footnoteReference w:id="7"/>
            </w:r>
          </w:p>
        </w:tc>
        <w:tc>
          <w:tcPr>
            <w:tcW w:w="3201" w:type="dxa"/>
            <w:tcBorders>
              <w:top w:val="single" w:color="auto" w:sz="4" w:space="0"/>
              <w:left w:val="single" w:color="auto" w:sz="4" w:space="0"/>
              <w:bottom w:val="single" w:color="auto" w:sz="4" w:space="0"/>
              <w:right w:val="single" w:color="auto" w:sz="4" w:space="0"/>
            </w:tcBorders>
            <w:vAlign w:val="bottom"/>
          </w:tcPr>
          <w:p w:rsidRPr="00DC318A" w:rsidR="00B82C6A" w:rsidP="003E3296" w:rsidRDefault="00B82C6A" w14:paraId="1B197FB6" w14:textId="77777777">
            <w:pPr>
              <w:spacing w:after="0"/>
              <w:jc w:val="right"/>
              <w:rPr>
                <w:rFonts w:ascii="Times New Roman" w:hAnsi="Times New Roman" w:cs="Times New Roman"/>
                <w:sz w:val="26"/>
                <w:szCs w:val="26"/>
              </w:rPr>
            </w:pPr>
            <w:r w:rsidRPr="00DC318A">
              <w:rPr>
                <w:rFonts w:ascii="Times New Roman" w:hAnsi="Times New Roman" w:cs="Times New Roman"/>
                <w:sz w:val="26"/>
                <w:szCs w:val="26"/>
              </w:rPr>
              <w:t>1</w:t>
            </w:r>
          </w:p>
        </w:tc>
        <w:tc>
          <w:tcPr>
            <w:tcW w:w="2995" w:type="dxa"/>
            <w:tcBorders>
              <w:top w:val="single" w:color="auto" w:sz="4" w:space="0"/>
              <w:left w:val="single" w:color="auto" w:sz="4" w:space="0"/>
              <w:bottom w:val="single" w:color="auto" w:sz="4" w:space="0"/>
              <w:right w:val="single" w:color="auto" w:sz="4" w:space="0"/>
            </w:tcBorders>
            <w:vAlign w:val="bottom"/>
          </w:tcPr>
          <w:p w:rsidRPr="00DC318A" w:rsidR="00B82C6A" w:rsidP="003E3296" w:rsidRDefault="00B82C6A" w14:paraId="3C451CE5" w14:textId="77777777">
            <w:pPr>
              <w:spacing w:after="0"/>
              <w:jc w:val="right"/>
              <w:rPr>
                <w:rFonts w:ascii="Times New Roman" w:hAnsi="Times New Roman" w:cs="Times New Roman"/>
                <w:sz w:val="26"/>
                <w:szCs w:val="26"/>
              </w:rPr>
            </w:pPr>
            <w:r w:rsidRPr="00DC318A">
              <w:rPr>
                <w:rFonts w:ascii="Times New Roman" w:hAnsi="Times New Roman" w:cs="Times New Roman"/>
                <w:sz w:val="26"/>
                <w:szCs w:val="26"/>
              </w:rPr>
              <w:t>$1</w:t>
            </w:r>
            <w:r w:rsidRPr="00DC318A" w:rsidR="003E3296">
              <w:rPr>
                <w:rFonts w:ascii="Times New Roman" w:hAnsi="Times New Roman" w:cs="Times New Roman"/>
                <w:sz w:val="26"/>
                <w:szCs w:val="26"/>
              </w:rPr>
              <w:t>67,091</w:t>
            </w:r>
          </w:p>
        </w:tc>
      </w:tr>
      <w:tr w:rsidRPr="00AE2305" w:rsidR="00B82C6A" w:rsidTr="00F96863" w14:paraId="1340195A" w14:textId="77777777">
        <w:tc>
          <w:tcPr>
            <w:tcW w:w="3182" w:type="dxa"/>
            <w:tcBorders>
              <w:top w:val="single" w:color="auto" w:sz="4" w:space="0"/>
              <w:left w:val="single" w:color="auto" w:sz="4" w:space="0"/>
              <w:bottom w:val="single" w:color="auto" w:sz="4" w:space="0"/>
              <w:right w:val="single" w:color="auto" w:sz="4" w:space="0"/>
            </w:tcBorders>
          </w:tcPr>
          <w:p w:rsidRPr="00AE2305" w:rsidR="00B82C6A" w:rsidP="00F96863" w:rsidRDefault="00B82C6A" w14:paraId="34B5DFC8" w14:textId="77777777">
            <w:pPr>
              <w:spacing w:after="0"/>
              <w:rPr>
                <w:rFonts w:ascii="Times New Roman" w:hAnsi="Times New Roman" w:cs="Times New Roman"/>
                <w:sz w:val="26"/>
                <w:szCs w:val="26"/>
              </w:rPr>
            </w:pPr>
            <w:r w:rsidRPr="00AE2305">
              <w:rPr>
                <w:rFonts w:ascii="Times New Roman" w:hAnsi="Times New Roman" w:cs="Times New Roman"/>
                <w:sz w:val="26"/>
                <w:szCs w:val="26"/>
              </w:rPr>
              <w:t>PRA</w:t>
            </w:r>
            <w:r w:rsidRPr="00AE2305">
              <w:rPr>
                <w:rFonts w:ascii="Times New Roman" w:hAnsi="Times New Roman" w:cs="Times New Roman"/>
                <w:sz w:val="26"/>
                <w:szCs w:val="26"/>
                <w:vertAlign w:val="superscript"/>
              </w:rPr>
              <w:footnoteReference w:id="8"/>
            </w:r>
            <w:r w:rsidRPr="00AE2305">
              <w:rPr>
                <w:rFonts w:ascii="Times New Roman" w:hAnsi="Times New Roman" w:cs="Times New Roman"/>
                <w:sz w:val="26"/>
                <w:szCs w:val="26"/>
              </w:rPr>
              <w:t xml:space="preserve"> Administrative Cost</w:t>
            </w:r>
            <w:r w:rsidRPr="00AE2305">
              <w:rPr>
                <w:rStyle w:val="FootnoteReference"/>
                <w:rFonts w:ascii="Times New Roman" w:hAnsi="Times New Roman" w:cs="Times New Roman"/>
                <w:sz w:val="26"/>
                <w:szCs w:val="26"/>
                <w:vertAlign w:val="superscript"/>
              </w:rPr>
              <w:footnoteReference w:id="9"/>
            </w:r>
          </w:p>
        </w:tc>
        <w:tc>
          <w:tcPr>
            <w:tcW w:w="3201" w:type="dxa"/>
            <w:tcBorders>
              <w:top w:val="single" w:color="auto" w:sz="4" w:space="0"/>
              <w:left w:val="single" w:color="auto" w:sz="4" w:space="0"/>
              <w:bottom w:val="single" w:color="auto" w:sz="4" w:space="0"/>
              <w:right w:val="single" w:color="auto" w:sz="4" w:space="0"/>
            </w:tcBorders>
            <w:shd w:val="clear" w:color="auto" w:fill="D9D9D9"/>
            <w:vAlign w:val="center"/>
          </w:tcPr>
          <w:p w:rsidRPr="00AE2305" w:rsidR="00B82C6A" w:rsidP="003E3296" w:rsidRDefault="00B82C6A" w14:paraId="4056CB61" w14:textId="77777777">
            <w:pPr>
              <w:spacing w:after="0"/>
              <w:jc w:val="right"/>
              <w:rPr>
                <w:rFonts w:ascii="Times New Roman" w:hAnsi="Times New Roman" w:cs="Times New Roman"/>
                <w:sz w:val="26"/>
                <w:szCs w:val="26"/>
              </w:rPr>
            </w:pPr>
          </w:p>
        </w:tc>
        <w:tc>
          <w:tcPr>
            <w:tcW w:w="2995" w:type="dxa"/>
            <w:tcBorders>
              <w:top w:val="single" w:color="auto" w:sz="4" w:space="0"/>
              <w:left w:val="single" w:color="auto" w:sz="4" w:space="0"/>
              <w:bottom w:val="single" w:color="auto" w:sz="4" w:space="0"/>
              <w:right w:val="single" w:color="auto" w:sz="4" w:space="0"/>
            </w:tcBorders>
            <w:vAlign w:val="center"/>
          </w:tcPr>
          <w:p w:rsidRPr="00AE2305" w:rsidR="00B82C6A" w:rsidP="003E3296" w:rsidRDefault="00B82C6A" w14:paraId="5CC52C44" w14:textId="77777777">
            <w:pPr>
              <w:spacing w:after="0"/>
              <w:jc w:val="right"/>
              <w:rPr>
                <w:rFonts w:ascii="Times New Roman" w:hAnsi="Times New Roman" w:cs="Times New Roman"/>
                <w:sz w:val="26"/>
                <w:szCs w:val="26"/>
              </w:rPr>
            </w:pPr>
            <w:r w:rsidRPr="00AE2305">
              <w:rPr>
                <w:rFonts w:ascii="Times New Roman" w:hAnsi="Times New Roman" w:cs="Times New Roman"/>
                <w:sz w:val="26"/>
                <w:szCs w:val="26"/>
              </w:rPr>
              <w:t>$</w:t>
            </w:r>
            <w:r w:rsidRPr="00AE2305" w:rsidR="003E3296">
              <w:rPr>
                <w:rFonts w:ascii="Times New Roman" w:hAnsi="Times New Roman" w:cs="Times New Roman"/>
                <w:sz w:val="26"/>
                <w:szCs w:val="26"/>
              </w:rPr>
              <w:t>4,832</w:t>
            </w:r>
          </w:p>
        </w:tc>
      </w:tr>
      <w:tr w:rsidRPr="00AE2305" w:rsidR="00B82C6A" w:rsidTr="00F96863" w14:paraId="38CEBCDF" w14:textId="77777777">
        <w:tc>
          <w:tcPr>
            <w:tcW w:w="3182" w:type="dxa"/>
            <w:tcBorders>
              <w:top w:val="single" w:color="auto" w:sz="4" w:space="0"/>
              <w:left w:val="single" w:color="auto" w:sz="4" w:space="0"/>
              <w:bottom w:val="single" w:color="auto" w:sz="4" w:space="0"/>
              <w:right w:val="single" w:color="auto" w:sz="4" w:space="0"/>
            </w:tcBorders>
          </w:tcPr>
          <w:p w:rsidRPr="00AE2305" w:rsidR="00B82C6A" w:rsidP="00F96863" w:rsidRDefault="00B82C6A" w14:paraId="1D1953B6" w14:textId="77777777">
            <w:pPr>
              <w:spacing w:after="0"/>
              <w:rPr>
                <w:rFonts w:ascii="Times New Roman" w:hAnsi="Times New Roman" w:cs="Times New Roman"/>
                <w:sz w:val="26"/>
                <w:szCs w:val="26"/>
              </w:rPr>
            </w:pPr>
            <w:r w:rsidRPr="00AE2305">
              <w:rPr>
                <w:rFonts w:ascii="Times New Roman" w:hAnsi="Times New Roman" w:cs="Times New Roman"/>
                <w:b/>
                <w:sz w:val="26"/>
                <w:szCs w:val="26"/>
              </w:rPr>
              <w:t>FERC Total</w:t>
            </w:r>
          </w:p>
        </w:tc>
        <w:tc>
          <w:tcPr>
            <w:tcW w:w="3201" w:type="dxa"/>
            <w:tcBorders>
              <w:top w:val="single" w:color="auto" w:sz="4" w:space="0"/>
              <w:left w:val="single" w:color="auto" w:sz="4" w:space="0"/>
              <w:bottom w:val="single" w:color="auto" w:sz="4" w:space="0"/>
              <w:right w:val="single" w:color="auto" w:sz="4" w:space="0"/>
            </w:tcBorders>
            <w:vAlign w:val="center"/>
          </w:tcPr>
          <w:p w:rsidRPr="00AE2305" w:rsidR="00B82C6A" w:rsidP="003E3296" w:rsidRDefault="00B82C6A" w14:paraId="6FAD2190" w14:textId="77777777">
            <w:pPr>
              <w:spacing w:after="0"/>
              <w:jc w:val="right"/>
              <w:rPr>
                <w:rFonts w:ascii="Times New Roman" w:hAnsi="Times New Roman" w:cs="Times New Roman"/>
                <w:sz w:val="26"/>
                <w:szCs w:val="26"/>
              </w:rPr>
            </w:pPr>
          </w:p>
        </w:tc>
        <w:tc>
          <w:tcPr>
            <w:tcW w:w="2995" w:type="dxa"/>
            <w:tcBorders>
              <w:top w:val="single" w:color="auto" w:sz="4" w:space="0"/>
              <w:left w:val="single" w:color="auto" w:sz="4" w:space="0"/>
              <w:bottom w:val="single" w:color="auto" w:sz="4" w:space="0"/>
              <w:right w:val="single" w:color="auto" w:sz="4" w:space="0"/>
            </w:tcBorders>
            <w:vAlign w:val="center"/>
          </w:tcPr>
          <w:p w:rsidRPr="00AE2305" w:rsidR="00B82C6A" w:rsidP="003E3296" w:rsidRDefault="00B82C6A" w14:paraId="5FED9735" w14:textId="77777777">
            <w:pPr>
              <w:spacing w:after="0"/>
              <w:jc w:val="right"/>
              <w:rPr>
                <w:rFonts w:ascii="Times New Roman" w:hAnsi="Times New Roman" w:cs="Times New Roman"/>
                <w:sz w:val="26"/>
                <w:szCs w:val="26"/>
              </w:rPr>
            </w:pPr>
            <w:r w:rsidRPr="00AE2305">
              <w:rPr>
                <w:rFonts w:ascii="Times New Roman" w:hAnsi="Times New Roman" w:cs="Times New Roman"/>
                <w:sz w:val="26"/>
                <w:szCs w:val="26"/>
              </w:rPr>
              <w:t>$</w:t>
            </w:r>
            <w:r w:rsidRPr="00AE2305" w:rsidR="003E3296">
              <w:rPr>
                <w:rFonts w:ascii="Times New Roman" w:hAnsi="Times New Roman" w:cs="Times New Roman"/>
                <w:sz w:val="26"/>
                <w:szCs w:val="26"/>
              </w:rPr>
              <w:t>171,923</w:t>
            </w:r>
          </w:p>
        </w:tc>
      </w:tr>
    </w:tbl>
    <w:p w:rsidRPr="00AE2305" w:rsidR="00B82C6A" w:rsidP="00B82C6A" w:rsidRDefault="00B82C6A" w14:paraId="6E309113" w14:textId="77777777">
      <w:pPr>
        <w:spacing w:after="0"/>
        <w:rPr>
          <w:rFonts w:ascii="Times New Roman" w:hAnsi="Times New Roman" w:cs="Times New Roman"/>
          <w:sz w:val="26"/>
          <w:szCs w:val="26"/>
        </w:rPr>
      </w:pPr>
    </w:p>
    <w:p w:rsidRPr="00AE2305" w:rsidR="00B82C6A" w:rsidP="00B82C6A" w:rsidRDefault="00B82C6A" w14:paraId="583A6C7A"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REASONS FOR CHANGES IN BURDEN INCLUDING THE NEED FOR ANY INCREASE</w:t>
      </w:r>
    </w:p>
    <w:p w:rsidRPr="00AE2305" w:rsidR="00B82C6A" w:rsidP="00B82C6A" w:rsidRDefault="00B82C6A" w14:paraId="546077C9" w14:textId="77777777">
      <w:pPr>
        <w:spacing w:after="0"/>
        <w:rPr>
          <w:rFonts w:ascii="Times New Roman" w:hAnsi="Times New Roman" w:cs="Times New Roman"/>
          <w:sz w:val="26"/>
          <w:szCs w:val="26"/>
          <w:u w:val="single"/>
        </w:rPr>
      </w:pPr>
    </w:p>
    <w:p w:rsidRPr="00AE2305" w:rsidR="00B82C6A" w:rsidP="00B82C6A" w:rsidRDefault="00DC318A" w14:paraId="13E03057" w14:textId="5A55DBE1">
      <w:pPr>
        <w:spacing w:after="0"/>
        <w:rPr>
          <w:rFonts w:ascii="Times New Roman" w:hAnsi="Times New Roman" w:cs="Times New Roman"/>
          <w:sz w:val="26"/>
          <w:szCs w:val="26"/>
        </w:rPr>
      </w:pPr>
      <w:r>
        <w:rPr>
          <w:rFonts w:ascii="Times New Roman" w:hAnsi="Times New Roman" w:cs="Times New Roman"/>
          <w:sz w:val="26"/>
          <w:szCs w:val="26"/>
        </w:rPr>
        <w:t xml:space="preserve">There is a change </w:t>
      </w:r>
      <w:r w:rsidR="00C3135B">
        <w:rPr>
          <w:rFonts w:ascii="Times New Roman" w:hAnsi="Times New Roman" w:cs="Times New Roman"/>
          <w:sz w:val="26"/>
          <w:szCs w:val="26"/>
        </w:rPr>
        <w:t>in burden due to a reduction in the estimate</w:t>
      </w:r>
      <w:r w:rsidR="0058087A">
        <w:rPr>
          <w:rFonts w:ascii="Times New Roman" w:hAnsi="Times New Roman" w:cs="Times New Roman"/>
          <w:sz w:val="26"/>
          <w:szCs w:val="26"/>
        </w:rPr>
        <w:t>d number of respondent</w:t>
      </w:r>
      <w:r w:rsidR="00C3135B">
        <w:rPr>
          <w:rFonts w:ascii="Times New Roman" w:hAnsi="Times New Roman" w:cs="Times New Roman"/>
          <w:sz w:val="26"/>
          <w:szCs w:val="26"/>
        </w:rPr>
        <w:t>s</w:t>
      </w:r>
      <w:r>
        <w:rPr>
          <w:rFonts w:ascii="Times New Roman" w:hAnsi="Times New Roman" w:cs="Times New Roman"/>
          <w:sz w:val="26"/>
          <w:szCs w:val="26"/>
        </w:rPr>
        <w:t xml:space="preserve"> for </w:t>
      </w:r>
      <w:r w:rsidR="0058087A">
        <w:rPr>
          <w:rFonts w:ascii="Times New Roman" w:hAnsi="Times New Roman" w:cs="Times New Roman"/>
          <w:sz w:val="26"/>
          <w:szCs w:val="26"/>
        </w:rPr>
        <w:t xml:space="preserve">the portions of </w:t>
      </w:r>
      <w:r>
        <w:rPr>
          <w:rFonts w:ascii="Times New Roman" w:hAnsi="Times New Roman" w:cs="Times New Roman"/>
          <w:sz w:val="26"/>
          <w:szCs w:val="26"/>
        </w:rPr>
        <w:t>FERC-725J</w:t>
      </w:r>
      <w:r w:rsidRPr="00AE2305" w:rsidR="00390B44">
        <w:rPr>
          <w:rFonts w:ascii="Times New Roman" w:hAnsi="Times New Roman" w:cs="Times New Roman"/>
          <w:sz w:val="26"/>
          <w:szCs w:val="26"/>
        </w:rPr>
        <w:t xml:space="preserve"> </w:t>
      </w:r>
      <w:r w:rsidR="0058087A">
        <w:rPr>
          <w:rFonts w:ascii="Times New Roman" w:hAnsi="Times New Roman" w:cs="Times New Roman"/>
          <w:sz w:val="26"/>
          <w:szCs w:val="26"/>
        </w:rPr>
        <w:t xml:space="preserve">that pertain to </w:t>
      </w:r>
      <w:r w:rsidRPr="00AE2305" w:rsidR="00390B44">
        <w:rPr>
          <w:rFonts w:ascii="Times New Roman" w:hAnsi="Times New Roman" w:cs="Times New Roman"/>
          <w:sz w:val="26"/>
          <w:szCs w:val="26"/>
        </w:rPr>
        <w:t xml:space="preserve">requests for local distribution determinations.  This </w:t>
      </w:r>
      <w:r w:rsidR="0058087A">
        <w:rPr>
          <w:rFonts w:ascii="Times New Roman" w:hAnsi="Times New Roman" w:cs="Times New Roman"/>
          <w:sz w:val="26"/>
          <w:szCs w:val="26"/>
        </w:rPr>
        <w:t>change</w:t>
      </w:r>
      <w:r w:rsidRPr="00AE2305" w:rsidR="0058087A">
        <w:rPr>
          <w:rFonts w:ascii="Times New Roman" w:hAnsi="Times New Roman" w:cs="Times New Roman"/>
          <w:sz w:val="26"/>
          <w:szCs w:val="26"/>
        </w:rPr>
        <w:t xml:space="preserve"> </w:t>
      </w:r>
      <w:r w:rsidRPr="00AE2305" w:rsidR="00390B44">
        <w:rPr>
          <w:rFonts w:ascii="Times New Roman" w:hAnsi="Times New Roman" w:cs="Times New Roman"/>
          <w:sz w:val="26"/>
          <w:szCs w:val="26"/>
        </w:rPr>
        <w:t>is based on the fact that only two local distribution determinations have been requested in the last five years.</w:t>
      </w:r>
    </w:p>
    <w:p w:rsidRPr="00AE2305" w:rsidR="00B82C6A" w:rsidP="00B82C6A" w:rsidRDefault="00B82C6A" w14:paraId="1AAB36AD" w14:textId="77777777">
      <w:pPr>
        <w:spacing w:after="0"/>
        <w:rPr>
          <w:rFonts w:ascii="Times New Roman" w:hAnsi="Times New Roman" w:cs="Times New Roman"/>
          <w:sz w:val="26"/>
          <w:szCs w:val="26"/>
        </w:rPr>
      </w:pPr>
    </w:p>
    <w:p w:rsidRPr="00AE2305" w:rsidR="00B82C6A" w:rsidP="00B82C6A" w:rsidRDefault="00C3135B" w14:paraId="355D3FBF" w14:textId="67C4E251">
      <w:pPr>
        <w:spacing w:after="0"/>
        <w:rPr>
          <w:rFonts w:ascii="Times New Roman" w:hAnsi="Times New Roman" w:cs="Times New Roman"/>
          <w:sz w:val="26"/>
          <w:szCs w:val="26"/>
        </w:rPr>
      </w:pPr>
      <w:r w:rsidRPr="00C3135B">
        <w:rPr>
          <w:rFonts w:ascii="Times New Roman" w:hAnsi="Times New Roman" w:cs="Times New Roman"/>
          <w:sz w:val="26"/>
          <w:szCs w:val="26"/>
        </w:rPr>
        <w:t>The following table shows the total burden for the collection of information.  The format, labels, and definitions of the table follow the ROCIS submission system’s “Information Collection Request Summary of Burden” for the metadata.</w:t>
      </w:r>
    </w:p>
    <w:p w:rsidRPr="00AE2305" w:rsidR="00B82C6A" w:rsidP="00B82C6A" w:rsidRDefault="00B82C6A" w14:paraId="5563655E" w14:textId="77777777">
      <w:pPr>
        <w:spacing w:after="0"/>
        <w:rPr>
          <w:rFonts w:ascii="Times New Roman" w:hAnsi="Times New Roman" w:cs="Times New Roman"/>
          <w:sz w:val="26"/>
          <w:szCs w:val="26"/>
        </w:rPr>
      </w:pPr>
    </w:p>
    <w:tbl>
      <w:tblPr>
        <w:tblW w:w="93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9"/>
        <w:gridCol w:w="1461"/>
        <w:gridCol w:w="1620"/>
        <w:gridCol w:w="1800"/>
        <w:gridCol w:w="1800"/>
      </w:tblGrid>
      <w:tr w:rsidRPr="00AE2305" w:rsidR="00B82C6A" w:rsidTr="00F96863" w14:paraId="077E9CA1" w14:textId="77777777">
        <w:trPr>
          <w:trHeight w:val="870"/>
        </w:trPr>
        <w:tc>
          <w:tcPr>
            <w:tcW w:w="2679" w:type="dxa"/>
            <w:shd w:val="clear" w:color="auto" w:fill="D9D9D9"/>
            <w:vAlign w:val="bottom"/>
          </w:tcPr>
          <w:p w:rsidRPr="00AE2305" w:rsidR="00B82C6A" w:rsidP="00F96863" w:rsidRDefault="00B82C6A" w14:paraId="61349EF6" w14:textId="77777777">
            <w:pPr>
              <w:spacing w:after="0" w:line="240" w:lineRule="auto"/>
              <w:jc w:val="center"/>
              <w:rPr>
                <w:rFonts w:ascii="Times New Roman" w:hAnsi="Times New Roman" w:cs="Times New Roman"/>
                <w:b/>
                <w:sz w:val="26"/>
                <w:szCs w:val="26"/>
              </w:rPr>
            </w:pPr>
            <w:r w:rsidRPr="00AE2305">
              <w:rPr>
                <w:rFonts w:ascii="Times New Roman" w:hAnsi="Times New Roman" w:cs="Times New Roman"/>
                <w:b/>
                <w:sz w:val="26"/>
                <w:szCs w:val="26"/>
              </w:rPr>
              <w:t>FERC-725J</w:t>
            </w:r>
          </w:p>
        </w:tc>
        <w:tc>
          <w:tcPr>
            <w:tcW w:w="1461" w:type="dxa"/>
            <w:shd w:val="clear" w:color="auto" w:fill="D9D9D9"/>
            <w:vAlign w:val="bottom"/>
          </w:tcPr>
          <w:p w:rsidRPr="00AE2305" w:rsidR="00B82C6A" w:rsidP="00F96863" w:rsidRDefault="00B82C6A" w14:paraId="3AC33F13" w14:textId="77777777">
            <w:pPr>
              <w:spacing w:after="0" w:line="240" w:lineRule="auto"/>
              <w:jc w:val="center"/>
              <w:rPr>
                <w:rFonts w:ascii="Times New Roman" w:hAnsi="Times New Roman" w:cs="Times New Roman"/>
                <w:b/>
                <w:sz w:val="26"/>
                <w:szCs w:val="26"/>
              </w:rPr>
            </w:pPr>
            <w:r w:rsidRPr="00AE2305">
              <w:rPr>
                <w:rFonts w:ascii="Times New Roman" w:hAnsi="Times New Roman" w:cs="Times New Roman"/>
                <w:b/>
                <w:sz w:val="26"/>
                <w:szCs w:val="26"/>
              </w:rPr>
              <w:t>Total Request</w:t>
            </w:r>
          </w:p>
        </w:tc>
        <w:tc>
          <w:tcPr>
            <w:tcW w:w="1620" w:type="dxa"/>
            <w:shd w:val="clear" w:color="auto" w:fill="D9D9D9"/>
            <w:vAlign w:val="bottom"/>
          </w:tcPr>
          <w:p w:rsidRPr="00AE2305" w:rsidR="00B82C6A" w:rsidP="00F96863" w:rsidRDefault="00B82C6A" w14:paraId="6F579178" w14:textId="77777777">
            <w:pPr>
              <w:spacing w:after="0" w:line="240" w:lineRule="auto"/>
              <w:jc w:val="center"/>
              <w:rPr>
                <w:rFonts w:ascii="Times New Roman" w:hAnsi="Times New Roman" w:cs="Times New Roman"/>
                <w:b/>
                <w:sz w:val="26"/>
                <w:szCs w:val="26"/>
              </w:rPr>
            </w:pPr>
            <w:r w:rsidRPr="00AE2305">
              <w:rPr>
                <w:rFonts w:ascii="Times New Roman" w:hAnsi="Times New Roman" w:cs="Times New Roman"/>
                <w:b/>
                <w:sz w:val="26"/>
                <w:szCs w:val="26"/>
              </w:rPr>
              <w:t>Previously Approved</w:t>
            </w:r>
          </w:p>
        </w:tc>
        <w:tc>
          <w:tcPr>
            <w:tcW w:w="1800" w:type="dxa"/>
            <w:shd w:val="clear" w:color="auto" w:fill="D9D9D9"/>
            <w:vAlign w:val="bottom"/>
          </w:tcPr>
          <w:p w:rsidRPr="00AE2305" w:rsidR="00B82C6A" w:rsidP="00F96863" w:rsidRDefault="00B82C6A" w14:paraId="0D749312" w14:textId="77777777">
            <w:pPr>
              <w:spacing w:after="0" w:line="240" w:lineRule="auto"/>
              <w:jc w:val="center"/>
              <w:rPr>
                <w:rFonts w:ascii="Times New Roman" w:hAnsi="Times New Roman" w:cs="Times New Roman"/>
                <w:b/>
                <w:sz w:val="26"/>
                <w:szCs w:val="26"/>
              </w:rPr>
            </w:pPr>
            <w:r w:rsidRPr="00AE2305">
              <w:rPr>
                <w:rFonts w:ascii="Times New Roman" w:hAnsi="Times New Roman" w:cs="Times New Roman"/>
                <w:b/>
                <w:sz w:val="26"/>
                <w:szCs w:val="26"/>
              </w:rPr>
              <w:t>Change due to Adjustment in Estimate</w:t>
            </w:r>
          </w:p>
        </w:tc>
        <w:tc>
          <w:tcPr>
            <w:tcW w:w="1800" w:type="dxa"/>
            <w:shd w:val="clear" w:color="auto" w:fill="D9D9D9"/>
            <w:vAlign w:val="bottom"/>
          </w:tcPr>
          <w:p w:rsidRPr="00AE2305" w:rsidR="00B82C6A" w:rsidP="00F96863" w:rsidRDefault="00B82C6A" w14:paraId="4C3AD15C" w14:textId="77777777">
            <w:pPr>
              <w:spacing w:after="0" w:line="240" w:lineRule="auto"/>
              <w:jc w:val="center"/>
              <w:rPr>
                <w:rFonts w:ascii="Times New Roman" w:hAnsi="Times New Roman" w:cs="Times New Roman"/>
                <w:b/>
                <w:sz w:val="26"/>
                <w:szCs w:val="26"/>
              </w:rPr>
            </w:pPr>
            <w:r w:rsidRPr="00AE2305">
              <w:rPr>
                <w:rFonts w:ascii="Times New Roman" w:hAnsi="Times New Roman" w:cs="Times New Roman"/>
                <w:b/>
                <w:sz w:val="26"/>
                <w:szCs w:val="26"/>
              </w:rPr>
              <w:t>Change Due to Agency Discretion</w:t>
            </w:r>
          </w:p>
        </w:tc>
      </w:tr>
      <w:tr w:rsidRPr="00AE2305" w:rsidR="00B82C6A" w:rsidTr="00F96863" w14:paraId="67946846" w14:textId="77777777">
        <w:trPr>
          <w:trHeight w:val="591"/>
        </w:trPr>
        <w:tc>
          <w:tcPr>
            <w:tcW w:w="2679" w:type="dxa"/>
          </w:tcPr>
          <w:p w:rsidRPr="00AE2305" w:rsidR="00B82C6A" w:rsidP="00F96863" w:rsidRDefault="00B82C6A" w14:paraId="1F4B76AD" w14:textId="77777777">
            <w:pPr>
              <w:spacing w:after="0" w:line="240" w:lineRule="auto"/>
              <w:jc w:val="center"/>
              <w:rPr>
                <w:rFonts w:ascii="Times New Roman" w:hAnsi="Times New Roman" w:cs="Times New Roman"/>
                <w:sz w:val="26"/>
                <w:szCs w:val="26"/>
              </w:rPr>
            </w:pPr>
            <w:r w:rsidRPr="00AE2305">
              <w:rPr>
                <w:rFonts w:ascii="Times New Roman" w:hAnsi="Times New Roman" w:cs="Times New Roman"/>
                <w:sz w:val="26"/>
                <w:szCs w:val="26"/>
              </w:rPr>
              <w:t>Annual Number of Responses</w:t>
            </w:r>
          </w:p>
        </w:tc>
        <w:tc>
          <w:tcPr>
            <w:tcW w:w="1461" w:type="dxa"/>
            <w:vAlign w:val="center"/>
          </w:tcPr>
          <w:p w:rsidRPr="00AE2305" w:rsidR="00B82C6A" w:rsidP="00F96863" w:rsidRDefault="002044C3" w14:paraId="2D148871" w14:textId="12E772AC">
            <w:pPr>
              <w:spacing w:after="0" w:line="240" w:lineRule="auto"/>
              <w:jc w:val="right"/>
              <w:rPr>
                <w:rFonts w:ascii="Times New Roman" w:hAnsi="Times New Roman" w:cs="Times New Roman"/>
                <w:sz w:val="26"/>
                <w:szCs w:val="26"/>
              </w:rPr>
            </w:pPr>
            <w:r w:rsidRPr="00AE2305">
              <w:rPr>
                <w:rFonts w:ascii="Times New Roman" w:hAnsi="Times New Roman" w:cs="Times New Roman"/>
                <w:sz w:val="26"/>
                <w:szCs w:val="26"/>
              </w:rPr>
              <w:t>207</w:t>
            </w:r>
          </w:p>
        </w:tc>
        <w:tc>
          <w:tcPr>
            <w:tcW w:w="1620" w:type="dxa"/>
            <w:vAlign w:val="center"/>
          </w:tcPr>
          <w:p w:rsidRPr="00AE2305" w:rsidR="00B82C6A" w:rsidP="00F96863" w:rsidRDefault="003E3296" w14:paraId="07C3165E" w14:textId="6D39CD39">
            <w:pPr>
              <w:spacing w:after="0" w:line="240" w:lineRule="auto"/>
              <w:jc w:val="right"/>
              <w:rPr>
                <w:rFonts w:ascii="Times New Roman" w:hAnsi="Times New Roman" w:cs="Times New Roman"/>
                <w:sz w:val="26"/>
                <w:szCs w:val="26"/>
              </w:rPr>
            </w:pPr>
            <w:r w:rsidRPr="00AE2305">
              <w:rPr>
                <w:rFonts w:ascii="Times New Roman" w:hAnsi="Times New Roman" w:cs="Times New Roman"/>
                <w:sz w:val="26"/>
                <w:szCs w:val="26"/>
              </w:rPr>
              <w:t>214</w:t>
            </w:r>
          </w:p>
        </w:tc>
        <w:tc>
          <w:tcPr>
            <w:tcW w:w="1800" w:type="dxa"/>
            <w:vAlign w:val="center"/>
          </w:tcPr>
          <w:p w:rsidRPr="00AE2305" w:rsidR="00B82C6A" w:rsidP="00F96863" w:rsidRDefault="00AE2305" w14:paraId="623DDA48" w14:textId="23BA6A24">
            <w:pPr>
              <w:spacing w:after="0" w:line="240" w:lineRule="auto"/>
              <w:jc w:val="right"/>
              <w:rPr>
                <w:rFonts w:ascii="Times New Roman" w:hAnsi="Times New Roman" w:cs="Times New Roman"/>
                <w:sz w:val="26"/>
                <w:szCs w:val="26"/>
              </w:rPr>
            </w:pPr>
            <w:r w:rsidRPr="00AE2305">
              <w:rPr>
                <w:rFonts w:ascii="Times New Roman" w:hAnsi="Times New Roman" w:cs="Times New Roman"/>
                <w:sz w:val="26"/>
                <w:szCs w:val="26"/>
              </w:rPr>
              <w:t>-7</w:t>
            </w:r>
          </w:p>
        </w:tc>
        <w:tc>
          <w:tcPr>
            <w:tcW w:w="1800" w:type="dxa"/>
            <w:vAlign w:val="center"/>
          </w:tcPr>
          <w:p w:rsidRPr="00AE2305" w:rsidR="00B82C6A" w:rsidP="00F96863" w:rsidRDefault="00AE2305" w14:paraId="79EBD697" w14:textId="481330AF">
            <w:pPr>
              <w:spacing w:after="0" w:line="240" w:lineRule="auto"/>
              <w:jc w:val="right"/>
              <w:rPr>
                <w:rFonts w:ascii="Times New Roman" w:hAnsi="Times New Roman" w:cs="Times New Roman"/>
                <w:sz w:val="26"/>
                <w:szCs w:val="26"/>
              </w:rPr>
            </w:pPr>
            <w:r w:rsidRPr="00AE2305">
              <w:rPr>
                <w:rFonts w:ascii="Times New Roman" w:hAnsi="Times New Roman" w:cs="Times New Roman"/>
                <w:sz w:val="26"/>
                <w:szCs w:val="26"/>
              </w:rPr>
              <w:t>0</w:t>
            </w:r>
          </w:p>
        </w:tc>
      </w:tr>
      <w:tr w:rsidRPr="00AE2305" w:rsidR="00B82C6A" w:rsidTr="00F96863" w14:paraId="611C5985" w14:textId="77777777">
        <w:trPr>
          <w:trHeight w:val="575"/>
        </w:trPr>
        <w:tc>
          <w:tcPr>
            <w:tcW w:w="2679" w:type="dxa"/>
          </w:tcPr>
          <w:p w:rsidRPr="00AE2305" w:rsidR="00B82C6A" w:rsidP="00F96863" w:rsidRDefault="00B82C6A" w14:paraId="4371245D" w14:textId="77777777">
            <w:pPr>
              <w:spacing w:after="0" w:line="240" w:lineRule="auto"/>
              <w:jc w:val="center"/>
              <w:rPr>
                <w:rFonts w:ascii="Times New Roman" w:hAnsi="Times New Roman" w:cs="Times New Roman"/>
                <w:sz w:val="26"/>
                <w:szCs w:val="26"/>
              </w:rPr>
            </w:pPr>
            <w:r w:rsidRPr="00AE2305">
              <w:rPr>
                <w:rFonts w:ascii="Times New Roman" w:hAnsi="Times New Roman" w:cs="Times New Roman"/>
                <w:sz w:val="26"/>
                <w:szCs w:val="26"/>
              </w:rPr>
              <w:t>Annual Time Burden (Hr.)</w:t>
            </w:r>
          </w:p>
        </w:tc>
        <w:tc>
          <w:tcPr>
            <w:tcW w:w="1461" w:type="dxa"/>
            <w:vAlign w:val="center"/>
          </w:tcPr>
          <w:p w:rsidRPr="00AE2305" w:rsidR="00B82C6A" w:rsidP="00F96863" w:rsidRDefault="00AE2305" w14:paraId="668CE2F1" w14:textId="1740CAC3">
            <w:pPr>
              <w:spacing w:after="0" w:line="240" w:lineRule="auto"/>
              <w:jc w:val="right"/>
              <w:rPr>
                <w:rFonts w:ascii="Times New Roman" w:hAnsi="Times New Roman" w:cs="Times New Roman"/>
                <w:sz w:val="26"/>
                <w:szCs w:val="26"/>
              </w:rPr>
            </w:pPr>
            <w:r w:rsidRPr="00AE2305">
              <w:rPr>
                <w:rFonts w:ascii="Times New Roman" w:hAnsi="Times New Roman" w:cs="Times New Roman"/>
                <w:sz w:val="26"/>
                <w:szCs w:val="26"/>
              </w:rPr>
              <w:t>67,072</w:t>
            </w:r>
          </w:p>
        </w:tc>
        <w:tc>
          <w:tcPr>
            <w:tcW w:w="1620" w:type="dxa"/>
            <w:vAlign w:val="center"/>
          </w:tcPr>
          <w:p w:rsidRPr="00AE2305" w:rsidR="00B82C6A" w:rsidP="00390B44" w:rsidRDefault="003E3296" w14:paraId="45EB2B9D" w14:textId="5D82FF56">
            <w:pPr>
              <w:spacing w:after="0" w:line="240" w:lineRule="auto"/>
              <w:jc w:val="right"/>
              <w:rPr>
                <w:rFonts w:ascii="Times New Roman" w:hAnsi="Times New Roman" w:cs="Times New Roman"/>
                <w:sz w:val="26"/>
                <w:szCs w:val="26"/>
              </w:rPr>
            </w:pPr>
            <w:r w:rsidRPr="00AE2305">
              <w:rPr>
                <w:rFonts w:ascii="Times New Roman" w:hAnsi="Times New Roman" w:cs="Times New Roman"/>
                <w:sz w:val="26"/>
                <w:szCs w:val="26"/>
              </w:rPr>
              <w:t>67,716</w:t>
            </w:r>
          </w:p>
        </w:tc>
        <w:tc>
          <w:tcPr>
            <w:tcW w:w="1800" w:type="dxa"/>
            <w:vAlign w:val="center"/>
          </w:tcPr>
          <w:p w:rsidRPr="00AE2305" w:rsidR="00B82C6A" w:rsidP="00F96863" w:rsidRDefault="00AE2305" w14:paraId="69F50DBC" w14:textId="6245010E">
            <w:pPr>
              <w:spacing w:after="0" w:line="240" w:lineRule="auto"/>
              <w:jc w:val="right"/>
              <w:rPr>
                <w:rFonts w:ascii="Times New Roman" w:hAnsi="Times New Roman" w:cs="Times New Roman"/>
                <w:sz w:val="26"/>
                <w:szCs w:val="26"/>
              </w:rPr>
            </w:pPr>
            <w:r w:rsidRPr="00AE2305">
              <w:rPr>
                <w:rFonts w:ascii="Times New Roman" w:hAnsi="Times New Roman" w:cs="Times New Roman"/>
                <w:sz w:val="26"/>
                <w:szCs w:val="26"/>
              </w:rPr>
              <w:t>-644</w:t>
            </w:r>
          </w:p>
        </w:tc>
        <w:tc>
          <w:tcPr>
            <w:tcW w:w="1800" w:type="dxa"/>
            <w:vAlign w:val="center"/>
          </w:tcPr>
          <w:p w:rsidRPr="00AE2305" w:rsidR="00B82C6A" w:rsidP="00F96863" w:rsidRDefault="00AE2305" w14:paraId="791CCE1E" w14:textId="0FB24337">
            <w:pPr>
              <w:spacing w:after="0" w:line="240" w:lineRule="auto"/>
              <w:jc w:val="right"/>
              <w:rPr>
                <w:rFonts w:ascii="Times New Roman" w:hAnsi="Times New Roman" w:cs="Times New Roman"/>
                <w:sz w:val="26"/>
                <w:szCs w:val="26"/>
              </w:rPr>
            </w:pPr>
            <w:r w:rsidRPr="00AE2305">
              <w:rPr>
                <w:rFonts w:ascii="Times New Roman" w:hAnsi="Times New Roman" w:cs="Times New Roman"/>
                <w:sz w:val="26"/>
                <w:szCs w:val="26"/>
              </w:rPr>
              <w:t>0</w:t>
            </w:r>
          </w:p>
        </w:tc>
      </w:tr>
      <w:tr w:rsidRPr="00AE2305" w:rsidR="00B82C6A" w:rsidTr="00F96863" w14:paraId="09D346CA" w14:textId="77777777">
        <w:trPr>
          <w:trHeight w:val="295"/>
        </w:trPr>
        <w:tc>
          <w:tcPr>
            <w:tcW w:w="2679" w:type="dxa"/>
          </w:tcPr>
          <w:p w:rsidRPr="00AE2305" w:rsidR="00B82C6A" w:rsidP="00F96863" w:rsidRDefault="00B82C6A" w14:paraId="17A330A4" w14:textId="77777777">
            <w:pPr>
              <w:spacing w:after="0" w:line="240" w:lineRule="auto"/>
              <w:jc w:val="center"/>
              <w:rPr>
                <w:rFonts w:ascii="Times New Roman" w:hAnsi="Times New Roman" w:cs="Times New Roman"/>
                <w:sz w:val="26"/>
                <w:szCs w:val="26"/>
              </w:rPr>
            </w:pPr>
            <w:r w:rsidRPr="00AE2305">
              <w:rPr>
                <w:rFonts w:ascii="Times New Roman" w:hAnsi="Times New Roman" w:cs="Times New Roman"/>
                <w:sz w:val="26"/>
                <w:szCs w:val="26"/>
              </w:rPr>
              <w:t>Annual Cost Burden ($)</w:t>
            </w:r>
          </w:p>
        </w:tc>
        <w:tc>
          <w:tcPr>
            <w:tcW w:w="1461" w:type="dxa"/>
            <w:vAlign w:val="center"/>
          </w:tcPr>
          <w:p w:rsidRPr="00AE2305" w:rsidR="00B82C6A" w:rsidP="00F96863" w:rsidRDefault="00B82C6A" w14:paraId="6A8DB793" w14:textId="77777777">
            <w:pPr>
              <w:spacing w:after="0" w:line="240" w:lineRule="auto"/>
              <w:jc w:val="right"/>
              <w:rPr>
                <w:rFonts w:ascii="Times New Roman" w:hAnsi="Times New Roman" w:cs="Times New Roman"/>
                <w:sz w:val="26"/>
                <w:szCs w:val="26"/>
              </w:rPr>
            </w:pPr>
            <w:r w:rsidRPr="00AE2305">
              <w:rPr>
                <w:rFonts w:ascii="Times New Roman" w:hAnsi="Times New Roman" w:cs="Times New Roman"/>
                <w:sz w:val="26"/>
                <w:szCs w:val="26"/>
              </w:rPr>
              <w:t>0</w:t>
            </w:r>
          </w:p>
        </w:tc>
        <w:tc>
          <w:tcPr>
            <w:tcW w:w="1620" w:type="dxa"/>
            <w:vAlign w:val="center"/>
          </w:tcPr>
          <w:p w:rsidRPr="00AE2305" w:rsidR="00B82C6A" w:rsidP="00F96863" w:rsidRDefault="00B82C6A" w14:paraId="59C884DA" w14:textId="77777777">
            <w:pPr>
              <w:spacing w:after="0" w:line="240" w:lineRule="auto"/>
              <w:jc w:val="right"/>
              <w:rPr>
                <w:rFonts w:ascii="Times New Roman" w:hAnsi="Times New Roman" w:cs="Times New Roman"/>
                <w:sz w:val="26"/>
                <w:szCs w:val="26"/>
              </w:rPr>
            </w:pPr>
            <w:r w:rsidRPr="00AE2305">
              <w:rPr>
                <w:rFonts w:ascii="Times New Roman" w:hAnsi="Times New Roman" w:cs="Times New Roman"/>
                <w:sz w:val="26"/>
                <w:szCs w:val="26"/>
              </w:rPr>
              <w:t>0</w:t>
            </w:r>
          </w:p>
        </w:tc>
        <w:tc>
          <w:tcPr>
            <w:tcW w:w="1800" w:type="dxa"/>
            <w:vAlign w:val="center"/>
          </w:tcPr>
          <w:p w:rsidRPr="00AE2305" w:rsidR="00B82C6A" w:rsidP="00F96863" w:rsidRDefault="00B82C6A" w14:paraId="7C9D8219" w14:textId="77777777">
            <w:pPr>
              <w:spacing w:after="0" w:line="240" w:lineRule="auto"/>
              <w:jc w:val="right"/>
              <w:rPr>
                <w:rFonts w:ascii="Times New Roman" w:hAnsi="Times New Roman" w:cs="Times New Roman"/>
                <w:sz w:val="26"/>
                <w:szCs w:val="26"/>
              </w:rPr>
            </w:pPr>
            <w:r w:rsidRPr="00AE2305">
              <w:rPr>
                <w:rFonts w:ascii="Times New Roman" w:hAnsi="Times New Roman" w:cs="Times New Roman"/>
                <w:sz w:val="26"/>
                <w:szCs w:val="26"/>
              </w:rPr>
              <w:t>0</w:t>
            </w:r>
          </w:p>
        </w:tc>
        <w:tc>
          <w:tcPr>
            <w:tcW w:w="1800" w:type="dxa"/>
            <w:vAlign w:val="center"/>
          </w:tcPr>
          <w:p w:rsidRPr="00AE2305" w:rsidR="00B82C6A" w:rsidP="00F96863" w:rsidRDefault="00B82C6A" w14:paraId="4194F04B" w14:textId="77777777">
            <w:pPr>
              <w:spacing w:after="0" w:line="240" w:lineRule="auto"/>
              <w:jc w:val="right"/>
              <w:rPr>
                <w:rFonts w:ascii="Times New Roman" w:hAnsi="Times New Roman" w:cs="Times New Roman"/>
                <w:sz w:val="26"/>
                <w:szCs w:val="26"/>
              </w:rPr>
            </w:pPr>
            <w:r w:rsidRPr="00AE2305">
              <w:rPr>
                <w:rFonts w:ascii="Times New Roman" w:hAnsi="Times New Roman" w:cs="Times New Roman"/>
                <w:sz w:val="26"/>
                <w:szCs w:val="26"/>
              </w:rPr>
              <w:t>0</w:t>
            </w:r>
          </w:p>
        </w:tc>
      </w:tr>
    </w:tbl>
    <w:p w:rsidRPr="00AE2305" w:rsidR="00B82C6A" w:rsidP="00B82C6A" w:rsidRDefault="00B82C6A" w14:paraId="094F692F" w14:textId="77777777">
      <w:pPr>
        <w:spacing w:after="0"/>
        <w:rPr>
          <w:rFonts w:ascii="Times New Roman" w:hAnsi="Times New Roman" w:cs="Times New Roman"/>
          <w:sz w:val="26"/>
          <w:szCs w:val="26"/>
        </w:rPr>
      </w:pPr>
    </w:p>
    <w:p w:rsidRPr="00AE2305" w:rsidR="00B82C6A" w:rsidP="00B82C6A" w:rsidRDefault="00B82C6A" w14:paraId="28C78E38"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TIME SCHEDULE FOR PUBLICATION OF DATA</w:t>
      </w:r>
    </w:p>
    <w:p w:rsidRPr="00AE2305" w:rsidR="00B82C6A" w:rsidP="00B82C6A" w:rsidRDefault="00B82C6A" w14:paraId="0AA7D430" w14:textId="77777777">
      <w:pPr>
        <w:spacing w:after="0"/>
        <w:rPr>
          <w:rFonts w:ascii="Times New Roman" w:hAnsi="Times New Roman" w:cs="Times New Roman"/>
          <w:sz w:val="26"/>
          <w:szCs w:val="26"/>
        </w:rPr>
      </w:pPr>
    </w:p>
    <w:p w:rsidRPr="00AE2305" w:rsidR="003E3296" w:rsidP="00B82C6A" w:rsidRDefault="00B82C6A" w14:paraId="6383E0BF" w14:textId="77777777">
      <w:pPr>
        <w:spacing w:after="0"/>
        <w:rPr>
          <w:rFonts w:ascii="Times New Roman" w:hAnsi="Times New Roman" w:cs="Times New Roman"/>
          <w:sz w:val="26"/>
          <w:szCs w:val="26"/>
        </w:rPr>
      </w:pPr>
      <w:r w:rsidRPr="00AE2305">
        <w:rPr>
          <w:rFonts w:ascii="Times New Roman" w:hAnsi="Times New Roman" w:cs="Times New Roman"/>
          <w:sz w:val="26"/>
          <w:szCs w:val="26"/>
        </w:rPr>
        <w:t xml:space="preserve">There </w:t>
      </w:r>
      <w:r w:rsidRPr="00AE2305" w:rsidR="003E3296">
        <w:rPr>
          <w:rFonts w:ascii="Times New Roman" w:hAnsi="Times New Roman" w:cs="Times New Roman"/>
          <w:sz w:val="26"/>
          <w:szCs w:val="26"/>
        </w:rPr>
        <w:t>is</w:t>
      </w:r>
      <w:r w:rsidRPr="00AE2305">
        <w:rPr>
          <w:rFonts w:ascii="Times New Roman" w:hAnsi="Times New Roman" w:cs="Times New Roman"/>
          <w:sz w:val="26"/>
          <w:szCs w:val="26"/>
        </w:rPr>
        <w:t xml:space="preserve"> no</w:t>
      </w:r>
      <w:r w:rsidRPr="00AE2305" w:rsidR="003E3296">
        <w:rPr>
          <w:rFonts w:ascii="Times New Roman" w:hAnsi="Times New Roman" w:cs="Times New Roman"/>
          <w:sz w:val="26"/>
          <w:szCs w:val="26"/>
        </w:rPr>
        <w:t xml:space="preserve"> publication</w:t>
      </w:r>
      <w:r w:rsidRPr="00AE2305">
        <w:rPr>
          <w:rFonts w:ascii="Times New Roman" w:hAnsi="Times New Roman" w:cs="Times New Roman"/>
          <w:sz w:val="26"/>
          <w:szCs w:val="26"/>
        </w:rPr>
        <w:t xml:space="preserve"> data </w:t>
      </w:r>
      <w:r w:rsidRPr="00AE2305" w:rsidR="003E3296">
        <w:rPr>
          <w:rFonts w:ascii="Times New Roman" w:hAnsi="Times New Roman" w:cs="Times New Roman"/>
          <w:sz w:val="26"/>
          <w:szCs w:val="26"/>
        </w:rPr>
        <w:t>associated with FERC-725J information collection.</w:t>
      </w:r>
    </w:p>
    <w:p w:rsidRPr="00AE2305" w:rsidR="00B82C6A" w:rsidP="00B82C6A" w:rsidRDefault="003E3296" w14:paraId="5551D8C6" w14:textId="77777777">
      <w:pPr>
        <w:spacing w:after="0"/>
        <w:rPr>
          <w:rFonts w:ascii="Times New Roman" w:hAnsi="Times New Roman" w:cs="Times New Roman"/>
          <w:sz w:val="26"/>
          <w:szCs w:val="26"/>
        </w:rPr>
      </w:pPr>
      <w:r w:rsidRPr="00AE2305">
        <w:rPr>
          <w:rFonts w:ascii="Times New Roman" w:hAnsi="Times New Roman" w:cs="Times New Roman"/>
          <w:sz w:val="26"/>
          <w:szCs w:val="26"/>
        </w:rPr>
        <w:t xml:space="preserve"> </w:t>
      </w:r>
    </w:p>
    <w:p w:rsidRPr="00AE2305" w:rsidR="00B82C6A" w:rsidP="00B82C6A" w:rsidRDefault="00B82C6A" w14:paraId="3FF61885"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DISPLAY OF EXPIRATION DATE</w:t>
      </w:r>
    </w:p>
    <w:p w:rsidRPr="00AE2305" w:rsidR="00B82C6A" w:rsidP="00B82C6A" w:rsidRDefault="00B82C6A" w14:paraId="5F177211" w14:textId="77777777">
      <w:pPr>
        <w:spacing w:after="0"/>
        <w:rPr>
          <w:rFonts w:ascii="Times New Roman" w:hAnsi="Times New Roman" w:cs="Times New Roman"/>
          <w:sz w:val="26"/>
          <w:szCs w:val="26"/>
        </w:rPr>
      </w:pPr>
    </w:p>
    <w:p w:rsidRPr="00AE2305" w:rsidR="00B82C6A" w:rsidP="00B82C6A" w:rsidRDefault="00B82C6A" w14:paraId="217FE885" w14:textId="77777777">
      <w:pPr>
        <w:spacing w:after="0"/>
        <w:rPr>
          <w:rFonts w:ascii="Times New Roman" w:hAnsi="Times New Roman" w:cs="Times New Roman"/>
          <w:sz w:val="26"/>
          <w:szCs w:val="26"/>
        </w:rPr>
      </w:pPr>
      <w:r w:rsidRPr="00AE2305">
        <w:rPr>
          <w:rFonts w:ascii="Times New Roman" w:hAnsi="Times New Roman" w:cs="Times New Roman"/>
          <w:sz w:val="26"/>
          <w:szCs w:val="26"/>
        </w:rPr>
        <w:t>The expiration date</w:t>
      </w:r>
      <w:r w:rsidRPr="00AE2305" w:rsidR="003E3296">
        <w:rPr>
          <w:rFonts w:ascii="Times New Roman" w:hAnsi="Times New Roman" w:cs="Times New Roman"/>
          <w:sz w:val="26"/>
          <w:szCs w:val="26"/>
        </w:rPr>
        <w:t>s</w:t>
      </w:r>
      <w:r w:rsidRPr="00AE2305">
        <w:rPr>
          <w:rFonts w:ascii="Times New Roman" w:hAnsi="Times New Roman" w:cs="Times New Roman"/>
          <w:sz w:val="26"/>
          <w:szCs w:val="26"/>
        </w:rPr>
        <w:t xml:space="preserve"> </w:t>
      </w:r>
      <w:r w:rsidRPr="00AE2305" w:rsidR="003E3296">
        <w:rPr>
          <w:rFonts w:ascii="Times New Roman" w:hAnsi="Times New Roman" w:cs="Times New Roman"/>
          <w:sz w:val="26"/>
          <w:szCs w:val="26"/>
        </w:rPr>
        <w:t>are available on</w:t>
      </w:r>
      <w:r w:rsidRPr="00AE2305">
        <w:rPr>
          <w:rFonts w:ascii="Times New Roman" w:hAnsi="Times New Roman" w:cs="Times New Roman"/>
          <w:sz w:val="26"/>
          <w:szCs w:val="26"/>
        </w:rPr>
        <w:t xml:space="preserve"> ferc.gov at </w:t>
      </w:r>
      <w:hyperlink w:history="1" r:id="rId20">
        <w:r w:rsidRPr="00AE2305">
          <w:rPr>
            <w:rStyle w:val="Hyperlink"/>
            <w:rFonts w:ascii="Times New Roman" w:hAnsi="Times New Roman"/>
            <w:sz w:val="26"/>
            <w:szCs w:val="26"/>
          </w:rPr>
          <w:t>http://www.ferc.gov/docs-filing/info-collections.asp</w:t>
        </w:r>
      </w:hyperlink>
      <w:r w:rsidRPr="00AE2305">
        <w:rPr>
          <w:rFonts w:ascii="Times New Roman" w:hAnsi="Times New Roman" w:cs="Times New Roman"/>
          <w:sz w:val="26"/>
          <w:szCs w:val="26"/>
        </w:rPr>
        <w:t>.</w:t>
      </w:r>
    </w:p>
    <w:p w:rsidRPr="00AE2305" w:rsidR="00B82C6A" w:rsidP="00B82C6A" w:rsidRDefault="00B82C6A" w14:paraId="4307F0D6" w14:textId="77777777">
      <w:pPr>
        <w:spacing w:after="0"/>
        <w:rPr>
          <w:rFonts w:ascii="Times New Roman" w:hAnsi="Times New Roman" w:cs="Times New Roman"/>
          <w:sz w:val="26"/>
          <w:szCs w:val="26"/>
        </w:rPr>
      </w:pPr>
    </w:p>
    <w:p w:rsidRPr="00AE2305" w:rsidR="00B82C6A" w:rsidP="00B82C6A" w:rsidRDefault="00B82C6A" w14:paraId="22AF1643" w14:textId="77777777">
      <w:pPr>
        <w:pStyle w:val="ListParagraph"/>
        <w:numPr>
          <w:ilvl w:val="0"/>
          <w:numId w:val="1"/>
        </w:numPr>
        <w:spacing w:after="0"/>
        <w:ind w:left="360"/>
        <w:rPr>
          <w:rFonts w:ascii="Times New Roman" w:hAnsi="Times New Roman" w:cs="Times New Roman"/>
          <w:b/>
          <w:sz w:val="26"/>
          <w:szCs w:val="26"/>
        </w:rPr>
      </w:pPr>
      <w:r w:rsidRPr="00AE2305">
        <w:rPr>
          <w:rFonts w:ascii="Times New Roman" w:hAnsi="Times New Roman" w:cs="Times New Roman"/>
          <w:b/>
          <w:sz w:val="26"/>
          <w:szCs w:val="26"/>
        </w:rPr>
        <w:t>EXCEPTIONS TO THE CERTIFICATION STATEMENT</w:t>
      </w:r>
    </w:p>
    <w:p w:rsidRPr="00AE2305" w:rsidR="00B82C6A" w:rsidP="00B82C6A" w:rsidRDefault="00B82C6A" w14:paraId="31F5DDFC" w14:textId="77777777">
      <w:pPr>
        <w:spacing w:after="0"/>
        <w:rPr>
          <w:rFonts w:ascii="Times New Roman" w:hAnsi="Times New Roman" w:cs="Times New Roman"/>
          <w:b/>
          <w:sz w:val="26"/>
          <w:szCs w:val="26"/>
        </w:rPr>
      </w:pPr>
    </w:p>
    <w:p w:rsidRPr="00DC318A" w:rsidR="00B82C6A" w:rsidP="00B82C6A" w:rsidRDefault="00B82C6A" w14:paraId="4051D7A0" w14:textId="77777777">
      <w:pPr>
        <w:spacing w:after="0"/>
        <w:rPr>
          <w:rFonts w:ascii="Times New Roman" w:hAnsi="Times New Roman" w:cs="Times New Roman"/>
          <w:b/>
          <w:sz w:val="26"/>
          <w:szCs w:val="26"/>
        </w:rPr>
      </w:pPr>
      <w:r w:rsidRPr="00DC318A">
        <w:rPr>
          <w:rFonts w:ascii="Times New Roman" w:hAnsi="Times New Roman" w:eastAsia="Calibri" w:cs="Times New Roman"/>
          <w:sz w:val="26"/>
          <w:szCs w:val="26"/>
        </w:rPr>
        <w:t>There are no exceptions.</w:t>
      </w:r>
    </w:p>
    <w:p w:rsidRPr="00336D71" w:rsidR="00B82C6A" w:rsidP="00B82C6A" w:rsidRDefault="00B82C6A" w14:paraId="1EC9EF1E" w14:textId="77777777">
      <w:pPr>
        <w:rPr>
          <w:rFonts w:ascii="Times New Roman" w:hAnsi="Times New Roman" w:cs="Times New Roman"/>
          <w:sz w:val="24"/>
          <w:szCs w:val="24"/>
        </w:rPr>
      </w:pPr>
    </w:p>
    <w:p w:rsidR="00E704E3" w:rsidRDefault="00E704E3" w14:paraId="43E70B25" w14:textId="77777777"/>
    <w:sectPr w:rsidR="00E704E3" w:rsidSect="00B82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9B707" w14:textId="77777777" w:rsidR="00EA77B7" w:rsidRDefault="00EA77B7" w:rsidP="00B82C6A">
      <w:pPr>
        <w:spacing w:after="0" w:line="240" w:lineRule="auto"/>
      </w:pPr>
      <w:r>
        <w:separator/>
      </w:r>
    </w:p>
  </w:endnote>
  <w:endnote w:type="continuationSeparator" w:id="0">
    <w:p w14:paraId="58DCFB7C" w14:textId="77777777" w:rsidR="00EA77B7" w:rsidRDefault="00EA77B7" w:rsidP="00B8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5DC68" w14:textId="77777777" w:rsidR="00395CFB" w:rsidRDefault="00395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411206"/>
      <w:docPartObj>
        <w:docPartGallery w:val="Page Numbers (Bottom of Page)"/>
        <w:docPartUnique/>
      </w:docPartObj>
    </w:sdtPr>
    <w:sdtEndPr>
      <w:rPr>
        <w:rFonts w:ascii="Times New Roman" w:hAnsi="Times New Roman" w:cs="Times New Roman"/>
        <w:noProof/>
      </w:rPr>
    </w:sdtEndPr>
    <w:sdtContent>
      <w:p w14:paraId="19991394" w14:textId="299B0282" w:rsidR="00430B5F" w:rsidRPr="009C3453" w:rsidRDefault="005B5EDC">
        <w:pPr>
          <w:pStyle w:val="Footer"/>
          <w:jc w:val="right"/>
          <w:rPr>
            <w:rFonts w:ascii="Times New Roman" w:hAnsi="Times New Roman" w:cs="Times New Roman"/>
          </w:rPr>
        </w:pPr>
        <w:r w:rsidRPr="009C3453">
          <w:rPr>
            <w:rFonts w:ascii="Times New Roman" w:hAnsi="Times New Roman" w:cs="Times New Roman"/>
          </w:rPr>
          <w:fldChar w:fldCharType="begin"/>
        </w:r>
        <w:r w:rsidRPr="009C3453">
          <w:rPr>
            <w:rFonts w:ascii="Times New Roman" w:hAnsi="Times New Roman" w:cs="Times New Roman"/>
          </w:rPr>
          <w:instrText xml:space="preserve"> PAGE   \* MERGEFORMAT </w:instrText>
        </w:r>
        <w:r w:rsidRPr="009C3453">
          <w:rPr>
            <w:rFonts w:ascii="Times New Roman" w:hAnsi="Times New Roman" w:cs="Times New Roman"/>
          </w:rPr>
          <w:fldChar w:fldCharType="separate"/>
        </w:r>
        <w:r w:rsidR="000F7D79">
          <w:rPr>
            <w:rFonts w:ascii="Times New Roman" w:hAnsi="Times New Roman" w:cs="Times New Roman"/>
            <w:noProof/>
          </w:rPr>
          <w:t>3</w:t>
        </w:r>
        <w:r w:rsidRPr="009C3453">
          <w:rPr>
            <w:rFonts w:ascii="Times New Roman" w:hAnsi="Times New Roman" w:cs="Times New Roman"/>
            <w:noProof/>
          </w:rPr>
          <w:fldChar w:fldCharType="end"/>
        </w:r>
      </w:p>
    </w:sdtContent>
  </w:sdt>
  <w:p w14:paraId="2090E17F" w14:textId="77777777" w:rsidR="00430B5F" w:rsidRDefault="00134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9FE69" w14:textId="77777777" w:rsidR="00B82C6A" w:rsidRDefault="00B82C6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9C1C5A7" w14:textId="77777777" w:rsidR="00B82C6A" w:rsidRDefault="00B8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38C23" w14:textId="77777777" w:rsidR="00EA77B7" w:rsidRDefault="00EA77B7" w:rsidP="00B82C6A">
      <w:pPr>
        <w:spacing w:after="0" w:line="240" w:lineRule="auto"/>
      </w:pPr>
      <w:r>
        <w:separator/>
      </w:r>
    </w:p>
  </w:footnote>
  <w:footnote w:type="continuationSeparator" w:id="0">
    <w:p w14:paraId="34A52C43" w14:textId="77777777" w:rsidR="00EA77B7" w:rsidRDefault="00EA77B7" w:rsidP="00B82C6A">
      <w:pPr>
        <w:spacing w:after="0" w:line="240" w:lineRule="auto"/>
      </w:pPr>
      <w:r>
        <w:continuationSeparator/>
      </w:r>
    </w:p>
  </w:footnote>
  <w:footnote w:id="1">
    <w:p w14:paraId="5EF3F6F9" w14:textId="475D5B06" w:rsidR="005C252F" w:rsidRDefault="005C252F">
      <w:pPr>
        <w:pStyle w:val="FootnoteText"/>
      </w:pPr>
      <w:r w:rsidRPr="005C252F">
        <w:rPr>
          <w:rStyle w:val="FootnoteReference"/>
          <w:sz w:val="26"/>
          <w:szCs w:val="26"/>
        </w:rPr>
        <w:footnoteRef/>
      </w:r>
      <w:r w:rsidRPr="005C252F">
        <w:rPr>
          <w:sz w:val="26"/>
          <w:szCs w:val="26"/>
        </w:rPr>
        <w:t xml:space="preserve"> </w:t>
      </w:r>
      <w:r>
        <w:rPr>
          <w:i/>
          <w:iCs/>
          <w:sz w:val="26"/>
          <w:szCs w:val="26"/>
        </w:rPr>
        <w:t>Revisions to Electric Reliability Organization Definition of Bulk Electric System and Rules of Procedure</w:t>
      </w:r>
      <w:r>
        <w:rPr>
          <w:sz w:val="26"/>
          <w:szCs w:val="26"/>
        </w:rPr>
        <w:t xml:space="preserve">, Order No. 773, 141 FERC ¶ 61,236 (2012); </w:t>
      </w:r>
      <w:r>
        <w:rPr>
          <w:i/>
          <w:iCs/>
          <w:sz w:val="26"/>
          <w:szCs w:val="26"/>
        </w:rPr>
        <w:t>order on reh’g</w:t>
      </w:r>
      <w:r>
        <w:rPr>
          <w:sz w:val="26"/>
          <w:szCs w:val="26"/>
        </w:rPr>
        <w:t xml:space="preserve">, Order No. 773-A, 143 FERC ¶ 61,053 (2013); </w:t>
      </w:r>
      <w:r>
        <w:rPr>
          <w:i/>
          <w:iCs/>
          <w:sz w:val="26"/>
          <w:szCs w:val="26"/>
        </w:rPr>
        <w:t>order on reh’g and clarification</w:t>
      </w:r>
      <w:r>
        <w:rPr>
          <w:sz w:val="26"/>
          <w:szCs w:val="26"/>
        </w:rPr>
        <w:t xml:space="preserve">, 144 FERC ¶ 61,174 (2013); </w:t>
      </w:r>
      <w:r>
        <w:rPr>
          <w:i/>
          <w:iCs/>
          <w:sz w:val="26"/>
          <w:szCs w:val="26"/>
        </w:rPr>
        <w:t>aff’d</w:t>
      </w:r>
      <w:r>
        <w:rPr>
          <w:sz w:val="26"/>
          <w:szCs w:val="26"/>
        </w:rPr>
        <w:t xml:space="preserve"> </w:t>
      </w:r>
      <w:r>
        <w:rPr>
          <w:i/>
          <w:iCs/>
          <w:sz w:val="26"/>
          <w:szCs w:val="26"/>
        </w:rPr>
        <w:t xml:space="preserve">sub nom., People of the State of New York and the Pub. Serv. Comm’n of New York v. FERC, </w:t>
      </w:r>
      <w:r>
        <w:rPr>
          <w:sz w:val="26"/>
          <w:szCs w:val="26"/>
        </w:rPr>
        <w:t xml:space="preserve">No. 13-2316 (2d. Cir. 2015).  On June 13, 2013, the Commission granted NERC’s request for extension of time and extended the effective date for the revised definition of bulk electric system and the Rules of Procedure exception process to July 1, 2014.  </w:t>
      </w:r>
      <w:r>
        <w:rPr>
          <w:i/>
          <w:iCs/>
          <w:sz w:val="26"/>
          <w:szCs w:val="26"/>
        </w:rPr>
        <w:t xml:space="preserve">Revisions to Electric Reliability Organization Definition of Bulk Electric System and Rules of Procedure, </w:t>
      </w:r>
      <w:r>
        <w:rPr>
          <w:sz w:val="26"/>
          <w:szCs w:val="26"/>
        </w:rPr>
        <w:t>143 FERC ¶ 61,231, at P 13 (2013)</w:t>
      </w:r>
      <w:r>
        <w:rPr>
          <w:color w:val="FF0000"/>
          <w:sz w:val="26"/>
          <w:szCs w:val="26"/>
        </w:rPr>
        <w:t xml:space="preserve">. </w:t>
      </w:r>
      <w:r>
        <w:rPr>
          <w:sz w:val="26"/>
          <w:szCs w:val="26"/>
        </w:rPr>
        <w:t>On March 20, 2014, the Commission approved NERC’s revisions to the definition of bulk electric system and determined the revisions either adequately address the Commission’s Order Nos. 773 and 773-A directives or provide an equally effective and efficient approach.</w:t>
      </w:r>
      <w:r>
        <w:rPr>
          <w:i/>
          <w:iCs/>
          <w:sz w:val="26"/>
          <w:szCs w:val="26"/>
        </w:rPr>
        <w:t xml:space="preserve"> </w:t>
      </w:r>
      <w:r>
        <w:rPr>
          <w:iCs/>
          <w:sz w:val="26"/>
          <w:szCs w:val="26"/>
        </w:rPr>
        <w:t>See</w:t>
      </w:r>
      <w:r>
        <w:rPr>
          <w:i/>
          <w:iCs/>
          <w:sz w:val="26"/>
          <w:szCs w:val="26"/>
        </w:rPr>
        <w:t xml:space="preserve"> order approving revised definition</w:t>
      </w:r>
      <w:r>
        <w:rPr>
          <w:sz w:val="26"/>
          <w:szCs w:val="26"/>
        </w:rPr>
        <w:t>, 146 FERC ¶ 61,199 (2014)</w:t>
      </w:r>
      <w:r>
        <w:rPr>
          <w:i/>
          <w:iCs/>
          <w:sz w:val="26"/>
          <w:szCs w:val="26"/>
        </w:rPr>
        <w:t>.</w:t>
      </w:r>
    </w:p>
  </w:footnote>
  <w:footnote w:id="2">
    <w:p w14:paraId="54B20B2C" w14:textId="5FEC4F94" w:rsidR="00B82C6A" w:rsidRPr="00DC318A" w:rsidRDefault="00B82C6A" w:rsidP="00B82C6A">
      <w:pPr>
        <w:pStyle w:val="FootnoteText"/>
        <w:rPr>
          <w:sz w:val="26"/>
          <w:szCs w:val="26"/>
        </w:rPr>
      </w:pPr>
      <w:r w:rsidRPr="00DC318A">
        <w:rPr>
          <w:rStyle w:val="FootnoteReference"/>
          <w:sz w:val="26"/>
          <w:szCs w:val="26"/>
          <w:vertAlign w:val="superscript"/>
        </w:rPr>
        <w:footnoteRef/>
      </w:r>
      <w:r w:rsidRPr="00DC318A">
        <w:rPr>
          <w:sz w:val="26"/>
          <w:szCs w:val="26"/>
        </w:rPr>
        <w:t xml:space="preserve"> </w:t>
      </w:r>
      <w:r w:rsidR="005C252F">
        <w:rPr>
          <w:sz w:val="26"/>
          <w:szCs w:val="26"/>
        </w:rPr>
        <w:t xml:space="preserve">The </w:t>
      </w:r>
      <w:r w:rsidRPr="00DC318A">
        <w:rPr>
          <w:sz w:val="26"/>
          <w:szCs w:val="26"/>
        </w:rPr>
        <w:t xml:space="preserve">NPCC </w:t>
      </w:r>
      <w:r w:rsidR="005C252F">
        <w:rPr>
          <w:sz w:val="26"/>
          <w:szCs w:val="26"/>
        </w:rPr>
        <w:t>R</w:t>
      </w:r>
      <w:r w:rsidR="005C252F" w:rsidRPr="00DC318A">
        <w:rPr>
          <w:sz w:val="26"/>
          <w:szCs w:val="26"/>
        </w:rPr>
        <w:t>egion</w:t>
      </w:r>
      <w:r w:rsidR="005C252F">
        <w:rPr>
          <w:sz w:val="26"/>
          <w:szCs w:val="26"/>
        </w:rPr>
        <w:t xml:space="preserve">al </w:t>
      </w:r>
      <w:r w:rsidR="0062478B">
        <w:rPr>
          <w:sz w:val="26"/>
          <w:szCs w:val="26"/>
        </w:rPr>
        <w:t>Entity</w:t>
      </w:r>
      <w:r w:rsidR="005C252F" w:rsidRPr="00DC318A">
        <w:rPr>
          <w:sz w:val="26"/>
          <w:szCs w:val="26"/>
        </w:rPr>
        <w:t xml:space="preserve"> </w:t>
      </w:r>
      <w:r w:rsidRPr="00DC318A">
        <w:rPr>
          <w:sz w:val="26"/>
          <w:szCs w:val="26"/>
        </w:rPr>
        <w:t xml:space="preserve">had a different threshold of what a BES element would be based on the original definition and the flexibility given to Regional </w:t>
      </w:r>
      <w:r w:rsidR="005C252F" w:rsidRPr="00DC318A">
        <w:rPr>
          <w:sz w:val="26"/>
          <w:szCs w:val="26"/>
        </w:rPr>
        <w:t>Entit</w:t>
      </w:r>
      <w:r w:rsidR="005C252F">
        <w:rPr>
          <w:sz w:val="26"/>
          <w:szCs w:val="26"/>
        </w:rPr>
        <w:t>i</w:t>
      </w:r>
      <w:r w:rsidR="005C252F" w:rsidRPr="00DC318A">
        <w:rPr>
          <w:sz w:val="26"/>
          <w:szCs w:val="26"/>
        </w:rPr>
        <w:t xml:space="preserve">es </w:t>
      </w:r>
      <w:r w:rsidRPr="00DC318A">
        <w:rPr>
          <w:sz w:val="26"/>
          <w:szCs w:val="26"/>
        </w:rPr>
        <w:t xml:space="preserve">on this matter.  </w:t>
      </w:r>
    </w:p>
  </w:footnote>
  <w:footnote w:id="3">
    <w:p w14:paraId="4D637757" w14:textId="29800002" w:rsidR="00B82C6A" w:rsidRPr="00DC318A" w:rsidRDefault="00B82C6A" w:rsidP="00B82C6A">
      <w:pPr>
        <w:pStyle w:val="FootnoteText"/>
        <w:rPr>
          <w:sz w:val="26"/>
          <w:szCs w:val="26"/>
        </w:rPr>
      </w:pPr>
      <w:r w:rsidRPr="00DC318A">
        <w:rPr>
          <w:rStyle w:val="FootnoteReference"/>
          <w:sz w:val="26"/>
          <w:szCs w:val="26"/>
          <w:vertAlign w:val="superscript"/>
        </w:rPr>
        <w:footnoteRef/>
      </w:r>
      <w:r w:rsidRPr="00DC318A">
        <w:rPr>
          <w:sz w:val="26"/>
          <w:szCs w:val="26"/>
        </w:rPr>
        <w:t xml:space="preserve"> The </w:t>
      </w:r>
      <w:r w:rsidR="00AC62FC">
        <w:rPr>
          <w:sz w:val="26"/>
          <w:szCs w:val="26"/>
        </w:rPr>
        <w:t xml:space="preserve">NERC </w:t>
      </w:r>
      <w:r w:rsidRPr="00DC318A">
        <w:rPr>
          <w:sz w:val="26"/>
          <w:szCs w:val="26"/>
        </w:rPr>
        <w:t>R</w:t>
      </w:r>
      <w:r w:rsidR="00AC62FC">
        <w:rPr>
          <w:sz w:val="26"/>
          <w:szCs w:val="26"/>
        </w:rPr>
        <w:t xml:space="preserve">ules </w:t>
      </w:r>
      <w:proofErr w:type="gramStart"/>
      <w:r w:rsidRPr="00DC318A">
        <w:rPr>
          <w:sz w:val="26"/>
          <w:szCs w:val="26"/>
        </w:rPr>
        <w:t>O</w:t>
      </w:r>
      <w:r w:rsidR="00AC62FC">
        <w:rPr>
          <w:sz w:val="26"/>
          <w:szCs w:val="26"/>
        </w:rPr>
        <w:t>f</w:t>
      </w:r>
      <w:proofErr w:type="gramEnd"/>
      <w:r w:rsidR="00AC62FC">
        <w:rPr>
          <w:sz w:val="26"/>
          <w:szCs w:val="26"/>
        </w:rPr>
        <w:t xml:space="preserve"> </w:t>
      </w:r>
      <w:r w:rsidRPr="00DC318A">
        <w:rPr>
          <w:sz w:val="26"/>
          <w:szCs w:val="26"/>
        </w:rPr>
        <w:t>P</w:t>
      </w:r>
      <w:r w:rsidR="00AC62FC">
        <w:rPr>
          <w:sz w:val="26"/>
          <w:szCs w:val="26"/>
        </w:rPr>
        <w:t>rocedure</w:t>
      </w:r>
      <w:r w:rsidRPr="00DC318A">
        <w:rPr>
          <w:sz w:val="26"/>
          <w:szCs w:val="26"/>
        </w:rPr>
        <w:t xml:space="preserve"> exception process allows entities to request elements to be included or excluded from the bulk electric system based on technical analysis.  The exception process occurs after the bulk electric system</w:t>
      </w:r>
      <w:r w:rsidR="00AC62FC">
        <w:rPr>
          <w:sz w:val="26"/>
          <w:szCs w:val="26"/>
        </w:rPr>
        <w:t xml:space="preserve"> definition</w:t>
      </w:r>
      <w:r w:rsidRPr="00DC318A">
        <w:rPr>
          <w:sz w:val="26"/>
          <w:szCs w:val="26"/>
        </w:rPr>
        <w:t xml:space="preserve"> is applied.</w:t>
      </w:r>
    </w:p>
  </w:footnote>
  <w:footnote w:id="4">
    <w:p w14:paraId="7BE63512" w14:textId="36D365E5" w:rsidR="00A7764A" w:rsidRPr="00C3135B" w:rsidRDefault="00A7764A" w:rsidP="00A7764A">
      <w:pPr>
        <w:pStyle w:val="FootnoteText"/>
        <w:rPr>
          <w:sz w:val="26"/>
          <w:szCs w:val="26"/>
        </w:rPr>
      </w:pPr>
      <w:r w:rsidRPr="00C3135B">
        <w:rPr>
          <w:rStyle w:val="FootnoteReference"/>
          <w:sz w:val="26"/>
          <w:szCs w:val="26"/>
          <w:vertAlign w:val="superscript"/>
        </w:rPr>
        <w:footnoteRef/>
      </w:r>
      <w:r w:rsidRPr="00C3135B">
        <w:rPr>
          <w:b/>
          <w:sz w:val="26"/>
          <w:szCs w:val="26"/>
          <w:vertAlign w:val="superscript"/>
        </w:rPr>
        <w:t xml:space="preserve"> </w:t>
      </w:r>
      <w:r w:rsidRPr="00C3135B">
        <w:rPr>
          <w:sz w:val="26"/>
          <w:szCs w:val="26"/>
        </w:rPr>
        <w:t xml:space="preserve">84 FR </w:t>
      </w:r>
      <w:r w:rsidR="00F50A3A">
        <w:rPr>
          <w:sz w:val="26"/>
          <w:szCs w:val="26"/>
        </w:rPr>
        <w:t>40038</w:t>
      </w:r>
    </w:p>
  </w:footnote>
  <w:footnote w:id="5">
    <w:p w14:paraId="7EBF5E3B" w14:textId="77777777" w:rsidR="001B0180" w:rsidRDefault="001B0180" w:rsidP="001B0180">
      <w:pPr>
        <w:pStyle w:val="FootnoteText"/>
        <w:rPr>
          <w:sz w:val="26"/>
          <w:szCs w:val="26"/>
        </w:rPr>
      </w:pPr>
      <w:r>
        <w:rPr>
          <w:rStyle w:val="FootnoteReference"/>
        </w:rPr>
        <w:footnoteRef/>
      </w:r>
      <w:r>
        <w:rPr>
          <w:sz w:val="26"/>
          <w:szCs w:val="26"/>
          <w:vertAlign w:val="superscript"/>
        </w:rPr>
        <w:t xml:space="preserve"> </w:t>
      </w:r>
      <w:r>
        <w:rPr>
          <w:sz w:val="26"/>
          <w:szCs w:val="26"/>
        </w:rPr>
        <w:t xml:space="preserve"> Burden is defined as the total time, effort, or financial resources expended by persons to generate, maintain, retain, or disclose or provide information to or for a federal agency.  See 5 CFR 1320 for additional information on the definition of information collection burden.</w:t>
      </w:r>
    </w:p>
  </w:footnote>
  <w:footnote w:id="6">
    <w:p w14:paraId="5DE8C1D5" w14:textId="77777777" w:rsidR="001B0180" w:rsidRDefault="001B0180" w:rsidP="001B0180">
      <w:pPr>
        <w:pStyle w:val="FootnoteText"/>
        <w:rPr>
          <w:sz w:val="26"/>
          <w:szCs w:val="26"/>
        </w:rPr>
      </w:pPr>
      <w:r>
        <w:rPr>
          <w:rStyle w:val="FootnoteReference"/>
        </w:rPr>
        <w:footnoteRef/>
      </w:r>
      <w:r>
        <w:rPr>
          <w:sz w:val="26"/>
          <w:szCs w:val="26"/>
        </w:rPr>
        <w:t>The estimated hourly cost (salary plus benefits) is based on the figures for May 2018 posted by the Bureau of Labor Statistics for the Utilities sector (available at http://www.bls.gov/oes/current/naics2_22.htm) and updated March 2019 for benefits information (at http://www.bls.gov/news.release/ecec.nr0.htm).  The hourly estimates for salary plus benefits are:</w:t>
      </w:r>
    </w:p>
    <w:p w14:paraId="4560DEB2" w14:textId="77777777" w:rsidR="001B0180" w:rsidRDefault="001B0180" w:rsidP="001B0180">
      <w:pPr>
        <w:pStyle w:val="FootnoteText"/>
        <w:rPr>
          <w:sz w:val="26"/>
          <w:szCs w:val="26"/>
        </w:rPr>
      </w:pPr>
      <w:r>
        <w:rPr>
          <w:sz w:val="26"/>
          <w:szCs w:val="26"/>
        </w:rPr>
        <w:t>-Legal (code 23-0000), $142.86</w:t>
      </w:r>
    </w:p>
    <w:p w14:paraId="304C3618" w14:textId="77777777" w:rsidR="001B0180" w:rsidRDefault="001B0180" w:rsidP="001B0180">
      <w:pPr>
        <w:pStyle w:val="FootnoteText"/>
        <w:rPr>
          <w:sz w:val="26"/>
          <w:szCs w:val="26"/>
        </w:rPr>
      </w:pPr>
      <w:r>
        <w:rPr>
          <w:sz w:val="26"/>
          <w:szCs w:val="26"/>
        </w:rPr>
        <w:t>-File Clerks (code 43-4071), $34.50</w:t>
      </w:r>
    </w:p>
    <w:p w14:paraId="76C411FA" w14:textId="77777777" w:rsidR="001B0180" w:rsidRDefault="001B0180" w:rsidP="001B0180">
      <w:pPr>
        <w:pStyle w:val="FootnoteText"/>
        <w:rPr>
          <w:sz w:val="26"/>
          <w:szCs w:val="26"/>
        </w:rPr>
      </w:pPr>
      <w:r>
        <w:rPr>
          <w:sz w:val="26"/>
          <w:szCs w:val="26"/>
        </w:rPr>
        <w:t>-Electrical Engineer (code 17-2071), $68.17</w:t>
      </w:r>
    </w:p>
    <w:p w14:paraId="5AF2AD2A" w14:textId="77777777" w:rsidR="001B0180" w:rsidRDefault="001B0180" w:rsidP="001B0180">
      <w:pPr>
        <w:pStyle w:val="FootnoteText"/>
        <w:rPr>
          <w:sz w:val="26"/>
          <w:szCs w:val="26"/>
        </w:rPr>
      </w:pPr>
      <w:r>
        <w:rPr>
          <w:sz w:val="26"/>
          <w:szCs w:val="26"/>
        </w:rPr>
        <w:t xml:space="preserve">The average hourly burden cost for this collection is $81.84 [($142.86 + $34.50 + $68.17)/3 = $81.84] and is rounded to $82.00 an hour </w:t>
      </w:r>
    </w:p>
    <w:p w14:paraId="2AE9FC26" w14:textId="77777777" w:rsidR="001B0180" w:rsidRDefault="001B0180" w:rsidP="001B0180">
      <w:pPr>
        <w:pStyle w:val="FootnoteText"/>
        <w:rPr>
          <w:sz w:val="26"/>
          <w:szCs w:val="26"/>
        </w:rPr>
      </w:pPr>
    </w:p>
  </w:footnote>
  <w:footnote w:id="7">
    <w:p w14:paraId="66711934" w14:textId="77777777" w:rsidR="00B82C6A" w:rsidRPr="00DC318A" w:rsidRDefault="00B82C6A" w:rsidP="00B82C6A">
      <w:pPr>
        <w:spacing w:after="0" w:line="240" w:lineRule="auto"/>
        <w:rPr>
          <w:rFonts w:ascii="Times New Roman" w:hAnsi="Times New Roman" w:cs="Times New Roman"/>
          <w:sz w:val="26"/>
          <w:szCs w:val="26"/>
        </w:rPr>
      </w:pPr>
      <w:r w:rsidRPr="00DC318A">
        <w:rPr>
          <w:rStyle w:val="FootnoteReference"/>
          <w:rFonts w:ascii="Times New Roman" w:hAnsi="Times New Roman" w:cs="Times New Roman"/>
          <w:sz w:val="26"/>
          <w:szCs w:val="26"/>
          <w:vertAlign w:val="superscript"/>
        </w:rPr>
        <w:footnoteRef/>
      </w:r>
      <w:r w:rsidRPr="00DC318A">
        <w:rPr>
          <w:rFonts w:ascii="Times New Roman" w:hAnsi="Times New Roman" w:cs="Times New Roman"/>
          <w:sz w:val="26"/>
          <w:szCs w:val="26"/>
        </w:rPr>
        <w:t xml:space="preserve"> Based upon 201</w:t>
      </w:r>
      <w:r w:rsidR="003E3296" w:rsidRPr="00DC318A">
        <w:rPr>
          <w:rFonts w:ascii="Times New Roman" w:hAnsi="Times New Roman" w:cs="Times New Roman"/>
          <w:sz w:val="26"/>
          <w:szCs w:val="26"/>
        </w:rPr>
        <w:t>9</w:t>
      </w:r>
      <w:r w:rsidRPr="00DC318A">
        <w:rPr>
          <w:rFonts w:ascii="Times New Roman" w:hAnsi="Times New Roman" w:cs="Times New Roman"/>
          <w:sz w:val="26"/>
          <w:szCs w:val="26"/>
        </w:rPr>
        <w:t xml:space="preserve"> FTE average salary plus benefits ($1</w:t>
      </w:r>
      <w:r w:rsidR="003E3296" w:rsidRPr="00DC318A">
        <w:rPr>
          <w:rFonts w:ascii="Times New Roman" w:hAnsi="Times New Roman" w:cs="Times New Roman"/>
          <w:sz w:val="26"/>
          <w:szCs w:val="26"/>
        </w:rPr>
        <w:t>67,091</w:t>
      </w:r>
      <w:r w:rsidRPr="00DC318A">
        <w:rPr>
          <w:rFonts w:ascii="Times New Roman" w:hAnsi="Times New Roman" w:cs="Times New Roman"/>
          <w:sz w:val="26"/>
          <w:szCs w:val="26"/>
        </w:rPr>
        <w:t>).</w:t>
      </w:r>
    </w:p>
  </w:footnote>
  <w:footnote w:id="8">
    <w:p w14:paraId="1BE0CA4B" w14:textId="77777777" w:rsidR="00B82C6A" w:rsidRPr="00DC318A" w:rsidRDefault="00B82C6A" w:rsidP="00B82C6A">
      <w:pPr>
        <w:pStyle w:val="FootnoteText"/>
        <w:rPr>
          <w:sz w:val="26"/>
          <w:szCs w:val="26"/>
        </w:rPr>
      </w:pPr>
      <w:r w:rsidRPr="00DC318A">
        <w:rPr>
          <w:rStyle w:val="FootnoteReference"/>
          <w:sz w:val="26"/>
          <w:szCs w:val="26"/>
          <w:vertAlign w:val="superscript"/>
        </w:rPr>
        <w:footnoteRef/>
      </w:r>
      <w:r w:rsidRPr="00DC318A">
        <w:rPr>
          <w:sz w:val="26"/>
          <w:szCs w:val="26"/>
          <w:vertAlign w:val="superscript"/>
        </w:rPr>
        <w:t xml:space="preserve"> </w:t>
      </w:r>
      <w:r w:rsidRPr="00DC318A">
        <w:rPr>
          <w:sz w:val="26"/>
          <w:szCs w:val="26"/>
        </w:rPr>
        <w:t>Paperwork Reduction Act of 1995 (PRA)</w:t>
      </w:r>
    </w:p>
  </w:footnote>
  <w:footnote w:id="9">
    <w:p w14:paraId="19BD5007" w14:textId="761A9B8D" w:rsidR="00B82C6A" w:rsidRPr="00DC318A" w:rsidRDefault="00B82C6A" w:rsidP="00B82C6A">
      <w:pPr>
        <w:pStyle w:val="FootnoteText"/>
        <w:rPr>
          <w:sz w:val="26"/>
          <w:szCs w:val="26"/>
        </w:rPr>
      </w:pPr>
      <w:r w:rsidRPr="00DC318A">
        <w:rPr>
          <w:rStyle w:val="FootnoteReference"/>
          <w:sz w:val="26"/>
          <w:szCs w:val="26"/>
          <w:vertAlign w:val="superscript"/>
        </w:rPr>
        <w:footnoteRef/>
      </w:r>
      <w:r w:rsidRPr="00DC318A">
        <w:rPr>
          <w:sz w:val="26"/>
          <w:szCs w:val="26"/>
          <w:vertAlign w:val="superscript"/>
        </w:rPr>
        <w:t xml:space="preserve"> </w:t>
      </w:r>
      <w:r w:rsidRPr="00DC318A">
        <w:rPr>
          <w:sz w:val="26"/>
          <w:szCs w:val="26"/>
        </w:rPr>
        <w:t xml:space="preserve">The </w:t>
      </w:r>
      <w:r w:rsidR="00C65508">
        <w:rPr>
          <w:sz w:val="26"/>
          <w:szCs w:val="26"/>
        </w:rPr>
        <w:t>cost estimate was updated effective 7/1/2019.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EF31" w14:textId="77777777" w:rsidR="00395CFB" w:rsidRDefault="00395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F0A6" w14:textId="0527395D" w:rsidR="00430B5F" w:rsidRDefault="005B5EDC" w:rsidP="00B3407F">
    <w:pPr>
      <w:pStyle w:val="Header"/>
      <w:rPr>
        <w:rFonts w:ascii="Times New Roman" w:hAnsi="Times New Roman"/>
        <w:sz w:val="26"/>
        <w:szCs w:val="26"/>
      </w:rPr>
    </w:pPr>
    <w:r w:rsidRPr="00AE2305">
      <w:rPr>
        <w:rFonts w:ascii="Times New Roman" w:hAnsi="Times New Roman"/>
        <w:sz w:val="26"/>
        <w:szCs w:val="26"/>
      </w:rPr>
      <w:t>FERC-725J (OMB Control No. 1902-0259)</w:t>
    </w:r>
  </w:p>
  <w:p w14:paraId="0B07A896" w14:textId="13C4ED4D" w:rsidR="00283D3D" w:rsidRDefault="00283D3D" w:rsidP="00B3407F">
    <w:pPr>
      <w:pStyle w:val="Header"/>
      <w:rPr>
        <w:rFonts w:ascii="Times New Roman" w:hAnsi="Times New Roman"/>
        <w:sz w:val="26"/>
        <w:szCs w:val="26"/>
      </w:rPr>
    </w:pPr>
    <w:r>
      <w:rPr>
        <w:rFonts w:ascii="Times New Roman" w:hAnsi="Times New Roman"/>
        <w:sz w:val="26"/>
        <w:szCs w:val="26"/>
      </w:rPr>
      <w:t>(</w:t>
    </w:r>
    <w:r w:rsidR="009B1726">
      <w:rPr>
        <w:rFonts w:ascii="Times New Roman" w:hAnsi="Times New Roman"/>
        <w:sz w:val="26"/>
        <w:szCs w:val="26"/>
      </w:rPr>
      <w:t xml:space="preserve">Renewal, </w:t>
    </w:r>
    <w:r>
      <w:rPr>
        <w:rFonts w:ascii="Times New Roman" w:hAnsi="Times New Roman"/>
        <w:sz w:val="26"/>
        <w:szCs w:val="26"/>
      </w:rPr>
      <w:t>Docket No. IC19-34)</w:t>
    </w:r>
  </w:p>
  <w:p w14:paraId="04D0686F" w14:textId="195B04DF" w:rsidR="003A7B3D" w:rsidRPr="00AE2305" w:rsidRDefault="003A7B3D" w:rsidP="00B3407F">
    <w:pPr>
      <w:pStyle w:val="Header"/>
      <w:rPr>
        <w:rFonts w:ascii="Times New Roman" w:hAnsi="Times New Roman"/>
        <w:sz w:val="26"/>
        <w:szCs w:val="26"/>
      </w:rPr>
    </w:pPr>
    <w:r>
      <w:rPr>
        <w:rFonts w:ascii="Times New Roman" w:hAnsi="Times New Roman"/>
        <w:sz w:val="26"/>
        <w:szCs w:val="26"/>
      </w:rPr>
      <w:t xml:space="preserve">(updated </w:t>
    </w:r>
    <w:r w:rsidR="00395CFB">
      <w:rPr>
        <w:rFonts w:ascii="Times New Roman" w:hAnsi="Times New Roman"/>
        <w:sz w:val="26"/>
        <w:szCs w:val="26"/>
      </w:rPr>
      <w:t>3/5</w:t>
    </w:r>
    <w:r>
      <w:rPr>
        <w:rFonts w:ascii="Times New Roman" w:hAnsi="Times New Roman"/>
        <w:sz w:val="26"/>
        <w:szCs w:val="26"/>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5006" w14:textId="77777777" w:rsidR="00395CFB" w:rsidRDefault="00395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854D5"/>
    <w:multiLevelType w:val="hybridMultilevel"/>
    <w:tmpl w:val="28EE7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C719A"/>
    <w:multiLevelType w:val="hybridMultilevel"/>
    <w:tmpl w:val="EEC47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15:restartNumberingAfterBreak="0">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6A"/>
    <w:rsid w:val="00050F27"/>
    <w:rsid w:val="000F7D79"/>
    <w:rsid w:val="00113EE9"/>
    <w:rsid w:val="00120E42"/>
    <w:rsid w:val="00134AB3"/>
    <w:rsid w:val="0016076B"/>
    <w:rsid w:val="0017616C"/>
    <w:rsid w:val="001B0180"/>
    <w:rsid w:val="001B1877"/>
    <w:rsid w:val="001B2FC2"/>
    <w:rsid w:val="001E5E18"/>
    <w:rsid w:val="001F724C"/>
    <w:rsid w:val="002044C3"/>
    <w:rsid w:val="002527FA"/>
    <w:rsid w:val="00283D3D"/>
    <w:rsid w:val="003664BC"/>
    <w:rsid w:val="00390B44"/>
    <w:rsid w:val="00395CFB"/>
    <w:rsid w:val="003A7B3D"/>
    <w:rsid w:val="003E3296"/>
    <w:rsid w:val="00403589"/>
    <w:rsid w:val="004C3221"/>
    <w:rsid w:val="004D4BAB"/>
    <w:rsid w:val="0058087A"/>
    <w:rsid w:val="005B5EDC"/>
    <w:rsid w:val="005C252F"/>
    <w:rsid w:val="005D7324"/>
    <w:rsid w:val="00622E93"/>
    <w:rsid w:val="0062478B"/>
    <w:rsid w:val="0062633A"/>
    <w:rsid w:val="00707F82"/>
    <w:rsid w:val="009A15C9"/>
    <w:rsid w:val="009B1726"/>
    <w:rsid w:val="009F0959"/>
    <w:rsid w:val="00A21A40"/>
    <w:rsid w:val="00A26D01"/>
    <w:rsid w:val="00A7764A"/>
    <w:rsid w:val="00A80BD4"/>
    <w:rsid w:val="00AC62FC"/>
    <w:rsid w:val="00AE2305"/>
    <w:rsid w:val="00AF2517"/>
    <w:rsid w:val="00B808C9"/>
    <w:rsid w:val="00B82C6A"/>
    <w:rsid w:val="00C03BDD"/>
    <w:rsid w:val="00C3135B"/>
    <w:rsid w:val="00C4165D"/>
    <w:rsid w:val="00C65508"/>
    <w:rsid w:val="00C70F97"/>
    <w:rsid w:val="00CB53E0"/>
    <w:rsid w:val="00D0024A"/>
    <w:rsid w:val="00D359FE"/>
    <w:rsid w:val="00D81F92"/>
    <w:rsid w:val="00D95249"/>
    <w:rsid w:val="00DB75BD"/>
    <w:rsid w:val="00DC318A"/>
    <w:rsid w:val="00DF45CC"/>
    <w:rsid w:val="00DF4D41"/>
    <w:rsid w:val="00E704E3"/>
    <w:rsid w:val="00EA77B7"/>
    <w:rsid w:val="00F27588"/>
    <w:rsid w:val="00F3561D"/>
    <w:rsid w:val="00F36495"/>
    <w:rsid w:val="00F5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77B906"/>
  <w15:docId w15:val="{3F09C28D-16B5-4C02-AEE8-3E4EDFDF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2C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C6A"/>
  </w:style>
  <w:style w:type="paragraph" w:styleId="Footer">
    <w:name w:val="footer"/>
    <w:basedOn w:val="Normal"/>
    <w:link w:val="FooterChar"/>
    <w:uiPriority w:val="99"/>
    <w:unhideWhenUsed/>
    <w:rsid w:val="00B8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C6A"/>
  </w:style>
  <w:style w:type="paragraph" w:styleId="ListParagraph">
    <w:name w:val="List Paragraph"/>
    <w:basedOn w:val="Normal"/>
    <w:uiPriority w:val="34"/>
    <w:qFormat/>
    <w:rsid w:val="00B82C6A"/>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qFormat/>
    <w:rsid w:val="00B82C6A"/>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qFormat/>
    <w:rsid w:val="00B82C6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1,Footnote Text Char Char Char1,Footnote Text Char1 Char Char,Footnote Text Char Char Char Char, Char Char,Char Char,Footnote Text Char1 Char Char Char1 Char,f Char"/>
    <w:basedOn w:val="DefaultParagraphFont"/>
    <w:uiPriority w:val="99"/>
    <w:rsid w:val="00B82C6A"/>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B82C6A"/>
    <w:rPr>
      <w:rFonts w:ascii="Times New Roman" w:eastAsia="Times New Roman" w:hAnsi="Times New Roman" w:cs="Times New Roman"/>
      <w:sz w:val="20"/>
      <w:szCs w:val="20"/>
    </w:rPr>
  </w:style>
  <w:style w:type="paragraph" w:customStyle="1" w:styleId="FERCparanumber">
    <w:name w:val="FERC paranumber"/>
    <w:basedOn w:val="Normal"/>
    <w:link w:val="FERCparanumberChar"/>
    <w:qFormat/>
    <w:rsid w:val="00B82C6A"/>
    <w:pPr>
      <w:widowControl w:val="0"/>
      <w:numPr>
        <w:numId w:val="2"/>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locked/>
    <w:rsid w:val="00B82C6A"/>
    <w:rPr>
      <w:rFonts w:ascii="Times New Roman" w:eastAsia="Times New Roman" w:hAnsi="Times New Roman" w:cs="Times New Roman"/>
      <w:sz w:val="26"/>
      <w:szCs w:val="24"/>
    </w:rPr>
  </w:style>
  <w:style w:type="character" w:styleId="Hyperlink">
    <w:name w:val="Hyperlink"/>
    <w:basedOn w:val="DefaultParagraphFont"/>
    <w:uiPriority w:val="99"/>
    <w:rsid w:val="00B82C6A"/>
    <w:rPr>
      <w:rFonts w:cs="Times New Roman"/>
      <w:color w:val="0000FF"/>
      <w:u w:val="single"/>
    </w:rPr>
  </w:style>
  <w:style w:type="character" w:styleId="CommentReference">
    <w:name w:val="annotation reference"/>
    <w:basedOn w:val="DefaultParagraphFont"/>
    <w:uiPriority w:val="99"/>
    <w:semiHidden/>
    <w:unhideWhenUsed/>
    <w:rsid w:val="00B82C6A"/>
    <w:rPr>
      <w:sz w:val="16"/>
      <w:szCs w:val="16"/>
    </w:rPr>
  </w:style>
  <w:style w:type="paragraph" w:styleId="CommentText">
    <w:name w:val="annotation text"/>
    <w:basedOn w:val="Normal"/>
    <w:link w:val="CommentTextChar"/>
    <w:uiPriority w:val="99"/>
    <w:semiHidden/>
    <w:unhideWhenUsed/>
    <w:rsid w:val="00B82C6A"/>
    <w:pPr>
      <w:spacing w:line="240" w:lineRule="auto"/>
    </w:pPr>
    <w:rPr>
      <w:sz w:val="20"/>
      <w:szCs w:val="20"/>
    </w:rPr>
  </w:style>
  <w:style w:type="character" w:customStyle="1" w:styleId="CommentTextChar">
    <w:name w:val="Comment Text Char"/>
    <w:basedOn w:val="DefaultParagraphFont"/>
    <w:link w:val="CommentText"/>
    <w:uiPriority w:val="99"/>
    <w:semiHidden/>
    <w:rsid w:val="00B82C6A"/>
    <w:rPr>
      <w:sz w:val="20"/>
      <w:szCs w:val="20"/>
    </w:rPr>
  </w:style>
  <w:style w:type="paragraph" w:styleId="CommentSubject">
    <w:name w:val="annotation subject"/>
    <w:basedOn w:val="CommentText"/>
    <w:next w:val="CommentText"/>
    <w:link w:val="CommentSubjectChar"/>
    <w:uiPriority w:val="99"/>
    <w:semiHidden/>
    <w:unhideWhenUsed/>
    <w:rsid w:val="00B82C6A"/>
    <w:rPr>
      <w:b/>
      <w:bCs/>
    </w:rPr>
  </w:style>
  <w:style w:type="character" w:customStyle="1" w:styleId="CommentSubjectChar">
    <w:name w:val="Comment Subject Char"/>
    <w:basedOn w:val="CommentTextChar"/>
    <w:link w:val="CommentSubject"/>
    <w:uiPriority w:val="99"/>
    <w:semiHidden/>
    <w:rsid w:val="00B82C6A"/>
    <w:rPr>
      <w:b/>
      <w:bCs/>
      <w:sz w:val="20"/>
      <w:szCs w:val="20"/>
    </w:rPr>
  </w:style>
  <w:style w:type="paragraph" w:styleId="BalloonText">
    <w:name w:val="Balloon Text"/>
    <w:basedOn w:val="Normal"/>
    <w:link w:val="BalloonTextChar"/>
    <w:uiPriority w:val="99"/>
    <w:semiHidden/>
    <w:unhideWhenUsed/>
    <w:rsid w:val="00B82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C6A"/>
    <w:rPr>
      <w:rFonts w:ascii="Segoe UI" w:hAnsi="Segoe UI" w:cs="Segoe UI"/>
      <w:sz w:val="18"/>
      <w:szCs w:val="18"/>
    </w:rPr>
  </w:style>
  <w:style w:type="paragraph" w:styleId="ListContinue">
    <w:name w:val="List Continue"/>
    <w:basedOn w:val="Normal"/>
    <w:rsid w:val="00A7764A"/>
    <w:pPr>
      <w:numPr>
        <w:numId w:val="3"/>
      </w:numPr>
      <w:spacing w:after="120" w:line="480" w:lineRule="auto"/>
    </w:pPr>
    <w:rPr>
      <w:rFonts w:ascii="Times New Roman" w:eastAsia="Times New Roman" w:hAnsi="Times New Roman" w:cs="Times New Roman"/>
      <w:sz w:val="26"/>
      <w:szCs w:val="24"/>
    </w:rPr>
  </w:style>
  <w:style w:type="character" w:customStyle="1" w:styleId="UnresolvedMention1">
    <w:name w:val="Unresolved Mention1"/>
    <w:basedOn w:val="DefaultParagraphFont"/>
    <w:uiPriority w:val="99"/>
    <w:semiHidden/>
    <w:unhideWhenUsed/>
    <w:rsid w:val="00C70F97"/>
    <w:rPr>
      <w:color w:val="605E5C"/>
      <w:shd w:val="clear" w:color="auto" w:fill="E1DFDD"/>
    </w:rPr>
  </w:style>
  <w:style w:type="character" w:styleId="UnresolvedMention">
    <w:name w:val="Unresolved Mention"/>
    <w:basedOn w:val="DefaultParagraphFont"/>
    <w:uiPriority w:val="99"/>
    <w:semiHidden/>
    <w:unhideWhenUsed/>
    <w:rsid w:val="003A7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1290">
      <w:bodyDiv w:val="1"/>
      <w:marLeft w:val="0"/>
      <w:marRight w:val="0"/>
      <w:marTop w:val="0"/>
      <w:marBottom w:val="0"/>
      <w:divBdr>
        <w:top w:val="none" w:sz="0" w:space="0" w:color="auto"/>
        <w:left w:val="none" w:sz="0" w:space="0" w:color="auto"/>
        <w:bottom w:val="none" w:sz="0" w:space="0" w:color="auto"/>
        <w:right w:val="none" w:sz="0" w:space="0" w:color="auto"/>
      </w:divBdr>
    </w:div>
    <w:div w:id="312637748">
      <w:bodyDiv w:val="1"/>
      <w:marLeft w:val="0"/>
      <w:marRight w:val="0"/>
      <w:marTop w:val="0"/>
      <w:marBottom w:val="0"/>
      <w:divBdr>
        <w:top w:val="none" w:sz="0" w:space="0" w:color="auto"/>
        <w:left w:val="none" w:sz="0" w:space="0" w:color="auto"/>
        <w:bottom w:val="none" w:sz="0" w:space="0" w:color="auto"/>
        <w:right w:val="none" w:sz="0" w:space="0" w:color="auto"/>
      </w:divBdr>
    </w:div>
    <w:div w:id="317850862">
      <w:bodyDiv w:val="1"/>
      <w:marLeft w:val="0"/>
      <w:marRight w:val="0"/>
      <w:marTop w:val="0"/>
      <w:marBottom w:val="0"/>
      <w:divBdr>
        <w:top w:val="none" w:sz="0" w:space="0" w:color="auto"/>
        <w:left w:val="none" w:sz="0" w:space="0" w:color="auto"/>
        <w:bottom w:val="none" w:sz="0" w:space="0" w:color="auto"/>
        <w:right w:val="none" w:sz="0" w:space="0" w:color="auto"/>
      </w:divBdr>
    </w:div>
    <w:div w:id="407578236">
      <w:bodyDiv w:val="1"/>
      <w:marLeft w:val="0"/>
      <w:marRight w:val="0"/>
      <w:marTop w:val="0"/>
      <w:marBottom w:val="0"/>
      <w:divBdr>
        <w:top w:val="none" w:sz="0" w:space="0" w:color="auto"/>
        <w:left w:val="none" w:sz="0" w:space="0" w:color="auto"/>
        <w:bottom w:val="none" w:sz="0" w:space="0" w:color="auto"/>
        <w:right w:val="none" w:sz="0" w:space="0" w:color="auto"/>
      </w:divBdr>
    </w:div>
    <w:div w:id="512762026">
      <w:bodyDiv w:val="1"/>
      <w:marLeft w:val="0"/>
      <w:marRight w:val="0"/>
      <w:marTop w:val="0"/>
      <w:marBottom w:val="0"/>
      <w:divBdr>
        <w:top w:val="none" w:sz="0" w:space="0" w:color="auto"/>
        <w:left w:val="none" w:sz="0" w:space="0" w:color="auto"/>
        <w:bottom w:val="none" w:sz="0" w:space="0" w:color="auto"/>
        <w:right w:val="none" w:sz="0" w:space="0" w:color="auto"/>
      </w:divBdr>
    </w:div>
    <w:div w:id="899251193">
      <w:bodyDiv w:val="1"/>
      <w:marLeft w:val="0"/>
      <w:marRight w:val="0"/>
      <w:marTop w:val="0"/>
      <w:marBottom w:val="0"/>
      <w:divBdr>
        <w:top w:val="none" w:sz="0" w:space="0" w:color="auto"/>
        <w:left w:val="none" w:sz="0" w:space="0" w:color="auto"/>
        <w:bottom w:val="none" w:sz="0" w:space="0" w:color="auto"/>
        <w:right w:val="none" w:sz="0" w:space="0" w:color="auto"/>
      </w:divBdr>
    </w:div>
    <w:div w:id="16660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library.ferc.gov/idmws/common/OpenNat.asp?fileID=1539233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erc.gov/docs-filing/info-collections.as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_x0031__x002e__x0020_Docket_x0020_Number xmlns="d6eefc7d-9817-4fa6-84d5-3bc009be21b8">IC19-34</_x0031__x002e__x0020_Docket_x0020_Number>
    <_x0033__x002e__x0020_Docket_x0020_Number xmlns="d6eefc7d-9817-4fa6-84d5-3bc009be21b8" xsi:nil="true"/>
    <_x0032__x002e__x0020_Docket_x0020_Number xmlns="d6eefc7d-9817-4fa6-84d5-3bc009be21b8" xsi:nil="true"/>
    <Status xmlns="d6eefc7d-9817-4fa6-84d5-3bc009be21b8">Final</Status>
    <_x0031__x002e__x0020_Collection_x0020_Number xmlns="d6eefc7d-9817-4fa6-84d5-3bc009be21b8">725J</_x0031__x002e__x0020_Collection_x0020_Number>
    <_x0032__x002e__x0020_Collection_x0020_Number xmlns="d6eefc7d-9817-4fa6-84d5-3bc009be21b8" xsi:nil="true"/>
    <_x0033__x002e__x0020_Collection_x0020_Number xmlns="d6eefc7d-9817-4fa6-84d5-3bc009be21b8" xsi:nil="true"/>
    <Date xmlns="d6eefc7d-9817-4fa6-84d5-3bc009be21b8">2020-03-06T05:00:00+00:00</Date>
    <Rulemaking_x0020_Document_x0020_Type xmlns="d6eefc7d-9817-4fa6-84d5-3bc009be21b8">None</Rulemaking_x0020_Document_x0020_Typ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16E3D-2269-4E7C-A8CB-BDF4DBBF9D07}">
  <ds:schemaRefs>
    <ds:schemaRef ds:uri="http://schemas.microsoft.com/office/2006/metadata/customXsn"/>
  </ds:schemaRefs>
</ds:datastoreItem>
</file>

<file path=customXml/itemProps2.xml><?xml version="1.0" encoding="utf-8"?>
<ds:datastoreItem xmlns:ds="http://schemas.openxmlformats.org/officeDocument/2006/customXml" ds:itemID="{AAE0871C-C6D0-4ED5-A0DC-C7C79F9B9112}">
  <ds:schemaRefs>
    <ds:schemaRef ds:uri="Microsoft.SharePoint.Taxonomy.ContentTypeSync"/>
  </ds:schemaRefs>
</ds:datastoreItem>
</file>

<file path=customXml/itemProps3.xml><?xml version="1.0" encoding="utf-8"?>
<ds:datastoreItem xmlns:ds="http://schemas.openxmlformats.org/officeDocument/2006/customXml" ds:itemID="{8D402CE4-C655-4998-8D7D-BC44429F1990}">
  <ds:schemaRefs>
    <ds:schemaRef ds:uri="http://schemas.microsoft.com/sharepoint/v3/contenttype/forms"/>
  </ds:schemaRefs>
</ds:datastoreItem>
</file>

<file path=customXml/itemProps4.xml><?xml version="1.0" encoding="utf-8"?>
<ds:datastoreItem xmlns:ds="http://schemas.openxmlformats.org/officeDocument/2006/customXml" ds:itemID="{7459CE95-1372-46D6-A065-8A263D1E5258}">
  <ds:schemaRefs>
    <ds:schemaRef ds:uri="http://purl.org/dc/elements/1.1/"/>
    <ds:schemaRef ds:uri="http://schemas.microsoft.com/office/2006/metadata/properties"/>
    <ds:schemaRef ds:uri="d6eefc7d-9817-4fa6-84d5-3bc009be21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BA0FEE63-6215-4625-B269-037152609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41EFA7-E046-4EF3-9106-C9BECCC3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Definition of Bulk Electric System</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Bulk Electric System</dc:title>
  <dc:subject/>
  <dc:creator>Michele Chambers</dc:creator>
  <cp:keywords/>
  <dc:description/>
  <cp:lastModifiedBy>Ellen Brown</cp:lastModifiedBy>
  <cp:revision>3</cp:revision>
  <dcterms:created xsi:type="dcterms:W3CDTF">2020-03-06T13:09:00Z</dcterms:created>
  <dcterms:modified xsi:type="dcterms:W3CDTF">2020-03-06T13:10:00Z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