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6" w:rsidRPr="002418F6" w:rsidRDefault="002418F6" w:rsidP="002418F6">
      <w:pPr>
        <w:spacing w:after="0" w:line="240" w:lineRule="auto"/>
        <w:rPr>
          <w:rFonts w:ascii="Arial" w:eastAsia="Times New Roman" w:hAnsi="Arial" w:cs="Arial"/>
          <w:color w:val="32434F"/>
        </w:rPr>
      </w:pPr>
      <w:bookmarkStart w:id="0" w:name="hl1"/>
      <w:bookmarkStart w:id="1" w:name="_GoBack"/>
      <w:bookmarkEnd w:id="1"/>
      <w:r w:rsidRPr="002418F6">
        <w:rPr>
          <w:rFonts w:ascii="Arial" w:eastAsia="Times New Roman" w:hAnsi="Arial" w:cs="Arial"/>
          <w:b/>
          <w:bCs/>
          <w:color w:val="000000"/>
          <w:shd w:val="clear" w:color="auto" w:fill="FFFF00"/>
        </w:rPr>
        <w:t>15 USC 717g</w:t>
      </w:r>
      <w:bookmarkEnd w:id="0"/>
      <w:r w:rsidRPr="002418F6">
        <w:rPr>
          <w:rFonts w:ascii="Arial" w:eastAsia="Times New Roman" w:hAnsi="Arial" w:cs="Arial"/>
          <w:b/>
          <w:bCs/>
          <w:color w:val="32434F"/>
        </w:rPr>
        <w:t xml:space="preserve"> : Accounts; records; memoranda</w:t>
      </w:r>
      <w:r w:rsidRPr="002418F6">
        <w:rPr>
          <w:rFonts w:ascii="Arial" w:eastAsia="Times New Roman" w:hAnsi="Arial" w:cs="Arial"/>
          <w:color w:val="32434F"/>
        </w:rPr>
        <w:t xml:space="preserve"> Text contains those laws in effect on December 15, 2019 </w:t>
      </w:r>
    </w:p>
    <w:p w:rsidR="002418F6" w:rsidRDefault="002418F6" w:rsidP="002418F6">
      <w:pPr>
        <w:spacing w:after="0" w:line="240" w:lineRule="auto"/>
        <w:rPr>
          <w:rFonts w:ascii="Arial" w:eastAsia="Times New Roman" w:hAnsi="Arial" w:cs="Arial"/>
          <w:b/>
          <w:bCs/>
          <w:color w:val="000000"/>
        </w:rPr>
      </w:pPr>
    </w:p>
    <w:p w:rsidR="002418F6" w:rsidRPr="002418F6" w:rsidRDefault="002418F6" w:rsidP="002418F6">
      <w:pPr>
        <w:spacing w:after="0" w:line="240" w:lineRule="auto"/>
        <w:rPr>
          <w:rFonts w:ascii="Arial" w:eastAsia="Times New Roman" w:hAnsi="Arial" w:cs="Arial"/>
          <w:color w:val="32434F"/>
        </w:rPr>
      </w:pPr>
      <w:r w:rsidRPr="002418F6">
        <w:rPr>
          <w:rFonts w:ascii="Arial" w:eastAsia="Times New Roman" w:hAnsi="Arial" w:cs="Arial"/>
          <w:b/>
          <w:bCs/>
          <w:color w:val="000000"/>
        </w:rPr>
        <w:t xml:space="preserve">From Title </w:t>
      </w:r>
      <w:bookmarkStart w:id="2" w:name="hl2"/>
      <w:r w:rsidRPr="002418F6">
        <w:rPr>
          <w:rFonts w:ascii="Arial" w:eastAsia="Times New Roman" w:hAnsi="Arial" w:cs="Arial"/>
          <w:b/>
          <w:bCs/>
          <w:color w:val="000000"/>
          <w:shd w:val="clear" w:color="auto" w:fill="FFFF00"/>
        </w:rPr>
        <w:t>15</w:t>
      </w:r>
      <w:bookmarkEnd w:id="2"/>
      <w:r w:rsidRPr="002418F6">
        <w:rPr>
          <w:rFonts w:ascii="Arial" w:eastAsia="Times New Roman" w:hAnsi="Arial" w:cs="Arial"/>
          <w:b/>
          <w:bCs/>
          <w:color w:val="000000"/>
        </w:rPr>
        <w:t>-COMMERCE AND TRADE</w:t>
      </w:r>
      <w:r w:rsidRPr="002418F6">
        <w:rPr>
          <w:rFonts w:ascii="Arial" w:eastAsia="Times New Roman" w:hAnsi="Arial" w:cs="Arial"/>
          <w:color w:val="000000"/>
        </w:rPr>
        <w:t>CHAPTER 15B-NATURAL GAS</w:t>
      </w:r>
      <w:r w:rsidRPr="002418F6">
        <w:rPr>
          <w:rFonts w:ascii="Arial" w:eastAsia="Times New Roman" w:hAnsi="Arial" w:cs="Arial"/>
          <w:color w:val="32434F"/>
        </w:rPr>
        <w:t xml:space="preserve"> </w:t>
      </w:r>
    </w:p>
    <w:p w:rsidR="002418F6" w:rsidRPr="002418F6" w:rsidRDefault="002418F6" w:rsidP="002418F6">
      <w:pPr>
        <w:spacing w:after="0" w:line="240" w:lineRule="auto"/>
        <w:rPr>
          <w:rFonts w:ascii="Arial" w:eastAsia="Times New Roman" w:hAnsi="Arial" w:cs="Arial"/>
          <w:color w:val="32434F"/>
        </w:rPr>
      </w:pPr>
      <w:r w:rsidRPr="002418F6">
        <w:rPr>
          <w:rFonts w:ascii="Arial" w:eastAsia="Times New Roman" w:hAnsi="Arial" w:cs="Arial"/>
          <w:b/>
          <w:bCs/>
          <w:color w:val="000000"/>
        </w:rPr>
        <w:t xml:space="preserve">Jump To: </w:t>
      </w:r>
      <w:hyperlink r:id="rId7" w:anchor="sourcecredit" w:history="1">
        <w:r w:rsidRPr="002418F6">
          <w:rPr>
            <w:rFonts w:ascii="Arial" w:eastAsia="Times New Roman" w:hAnsi="Arial" w:cs="Arial"/>
            <w:color w:val="6F0B0B"/>
            <w:u w:val="single"/>
          </w:rPr>
          <w:t>Source Credit</w:t>
        </w:r>
      </w:hyperlink>
      <w:r w:rsidRPr="002418F6">
        <w:rPr>
          <w:rFonts w:ascii="Arial" w:eastAsia="Times New Roman" w:hAnsi="Arial" w:cs="Arial"/>
          <w:color w:val="32434F"/>
        </w:rPr>
        <w:t xml:space="preserve"> </w:t>
      </w:r>
    </w:p>
    <w:p w:rsidR="002418F6" w:rsidRPr="002418F6" w:rsidRDefault="002418F6" w:rsidP="002418F6">
      <w:pPr>
        <w:spacing w:before="150" w:after="45" w:line="240" w:lineRule="auto"/>
        <w:ind w:hanging="480"/>
        <w:outlineLvl w:val="2"/>
        <w:rPr>
          <w:rFonts w:ascii="Arial" w:eastAsia="Times New Roman" w:hAnsi="Arial" w:cs="Arial"/>
          <w:b/>
          <w:bCs/>
          <w:color w:val="32434F"/>
          <w:sz w:val="27"/>
          <w:szCs w:val="27"/>
        </w:rPr>
      </w:pPr>
      <w:r w:rsidRPr="002418F6">
        <w:rPr>
          <w:rFonts w:ascii="Arial" w:eastAsia="Times New Roman" w:hAnsi="Arial" w:cs="Arial"/>
          <w:b/>
          <w:bCs/>
          <w:color w:val="32434F"/>
          <w:sz w:val="27"/>
          <w:szCs w:val="27"/>
        </w:rPr>
        <w:t>§</w:t>
      </w:r>
      <w:bookmarkStart w:id="3" w:name="hl4"/>
      <w:r w:rsidRPr="002418F6">
        <w:rPr>
          <w:rFonts w:ascii="Arial" w:eastAsia="Times New Roman" w:hAnsi="Arial" w:cs="Arial"/>
          <w:b/>
          <w:bCs/>
          <w:color w:val="000000"/>
          <w:sz w:val="27"/>
          <w:szCs w:val="27"/>
          <w:shd w:val="clear" w:color="auto" w:fill="FFFF00"/>
        </w:rPr>
        <w:t>717g</w:t>
      </w:r>
      <w:bookmarkEnd w:id="3"/>
      <w:r w:rsidRPr="002418F6">
        <w:rPr>
          <w:rFonts w:ascii="Arial" w:eastAsia="Times New Roman" w:hAnsi="Arial" w:cs="Arial"/>
          <w:b/>
          <w:bCs/>
          <w:color w:val="32434F"/>
          <w:sz w:val="27"/>
          <w:szCs w:val="27"/>
        </w:rPr>
        <w:t>. Accounts; records; memoranda</w:t>
      </w:r>
    </w:p>
    <w:p w:rsidR="002418F6" w:rsidRPr="002418F6" w:rsidRDefault="002418F6" w:rsidP="002418F6">
      <w:pPr>
        <w:spacing w:before="105" w:after="45" w:line="240" w:lineRule="auto"/>
        <w:ind w:hanging="240"/>
        <w:outlineLvl w:val="3"/>
        <w:rPr>
          <w:rFonts w:ascii="Arial" w:eastAsia="Times New Roman" w:hAnsi="Arial" w:cs="Arial"/>
          <w:b/>
          <w:bCs/>
          <w:sz w:val="24"/>
          <w:szCs w:val="24"/>
        </w:rPr>
      </w:pPr>
      <w:bookmarkStart w:id="4" w:name="substructure-location_a"/>
      <w:bookmarkEnd w:id="4"/>
      <w:r w:rsidRPr="002418F6">
        <w:rPr>
          <w:rFonts w:ascii="Arial" w:eastAsia="Times New Roman" w:hAnsi="Arial" w:cs="Arial"/>
          <w:b/>
          <w:bCs/>
          <w:sz w:val="24"/>
          <w:szCs w:val="24"/>
        </w:rPr>
        <w:t>(a) Rules and regulations for keeping and preserving accounts, records, etc.</w:t>
      </w:r>
    </w:p>
    <w:p w:rsidR="002418F6" w:rsidRPr="002418F6" w:rsidRDefault="002418F6" w:rsidP="002418F6">
      <w:pPr>
        <w:spacing w:after="0" w:line="240" w:lineRule="auto"/>
        <w:ind w:firstLine="240"/>
        <w:rPr>
          <w:rFonts w:ascii="Arial" w:eastAsia="Times New Roman" w:hAnsi="Arial" w:cs="Arial"/>
        </w:rPr>
      </w:pPr>
      <w:r w:rsidRPr="002418F6">
        <w:rPr>
          <w:rFonts w:ascii="Arial" w:eastAsia="Times New Roman" w:hAnsi="Arial" w:cs="Arial"/>
        </w:rPr>
        <w:t xml:space="preserve">Every natural-gas company shall make, keep, and preserve for such periods, such accounts, records of cost-accounting procedures, correspondence, memoranda, papers, books, and other records as the Commission may by rules and regulations prescribe as necessary or appropriate for purposes of the administration of this chapter: </w:t>
      </w:r>
      <w:r w:rsidRPr="002418F6">
        <w:rPr>
          <w:rFonts w:ascii="Arial" w:eastAsia="Times New Roman" w:hAnsi="Arial" w:cs="Arial"/>
          <w:i/>
          <w:iCs/>
        </w:rPr>
        <w:t>Provided, however</w:t>
      </w:r>
      <w:r w:rsidRPr="002418F6">
        <w:rPr>
          <w:rFonts w:ascii="Arial" w:eastAsia="Times New Roman" w:hAnsi="Arial" w:cs="Arial"/>
        </w:rPr>
        <w:t>, That nothing in this chapter shall relieve any such natural-gas company from keeping any accounts, memoranda, or records which such natural-gas company may be required to keep by or under authority of the laws of any State. The Commission may prescribe a system of accounts to be kept by such natural-gas companies, and may classify such natural-gas companies and prescribe a system of accounts for each class. The Commission, after notice and opportunity for hearing, may determine by order the accounts in which particular outlays or receipts shall be entered, charged, or credited. The burden of proof to justify every accounting entry questioned by the Commission shall be on the person making, authorizing, or requiring such entry, and the Commission may suspend a charge or credit pending submission of satisfactory proof in support thereof.</w:t>
      </w:r>
    </w:p>
    <w:p w:rsidR="002418F6" w:rsidRPr="002418F6" w:rsidRDefault="002418F6" w:rsidP="002418F6">
      <w:pPr>
        <w:spacing w:before="105" w:after="45" w:line="240" w:lineRule="auto"/>
        <w:ind w:hanging="240"/>
        <w:outlineLvl w:val="3"/>
        <w:rPr>
          <w:rFonts w:ascii="Arial" w:eastAsia="Times New Roman" w:hAnsi="Arial" w:cs="Arial"/>
          <w:b/>
          <w:bCs/>
          <w:sz w:val="24"/>
          <w:szCs w:val="24"/>
        </w:rPr>
      </w:pPr>
      <w:bookmarkStart w:id="5" w:name="substructure-location_b"/>
      <w:bookmarkEnd w:id="5"/>
      <w:r w:rsidRPr="002418F6">
        <w:rPr>
          <w:rFonts w:ascii="Arial" w:eastAsia="Times New Roman" w:hAnsi="Arial" w:cs="Arial"/>
          <w:b/>
          <w:bCs/>
          <w:sz w:val="24"/>
          <w:szCs w:val="24"/>
        </w:rPr>
        <w:t>(b) Access to and inspection of accounts and records</w:t>
      </w:r>
    </w:p>
    <w:p w:rsidR="002418F6" w:rsidRPr="002418F6" w:rsidRDefault="002418F6" w:rsidP="002418F6">
      <w:pPr>
        <w:spacing w:after="0" w:line="240" w:lineRule="auto"/>
        <w:ind w:firstLine="240"/>
        <w:rPr>
          <w:rFonts w:ascii="Arial" w:eastAsia="Times New Roman" w:hAnsi="Arial" w:cs="Arial"/>
        </w:rPr>
      </w:pPr>
      <w:r w:rsidRPr="002418F6">
        <w:rPr>
          <w:rFonts w:ascii="Arial" w:eastAsia="Times New Roman" w:hAnsi="Arial" w:cs="Arial"/>
        </w:rPr>
        <w:t>The Commission shall at all times have access to and the right to inspect and examine all accounts, records, and memoranda of natural-gas companies; and it shall be the duty of such natural-gas companies to furnish to the Commission, within such reasonable time as the Commission may order, any information with respect thereto which the Commission may by order require, including copies of maps, contracts, reports of engineers, and other data, records, and papers, and to grant to all agents of the Commission free access to its property and its accounts, records, and memoranda when requested so to do. No member, officer, or employee of the Commission shall divulge any fact or information which may come to his knowledge during the course of examination of books, records, data, or accounts, except insofar as he may be directed by the Commission or by a court.</w:t>
      </w:r>
    </w:p>
    <w:p w:rsidR="002418F6" w:rsidRPr="002418F6" w:rsidRDefault="002418F6" w:rsidP="002418F6">
      <w:pPr>
        <w:spacing w:before="105" w:after="45" w:line="240" w:lineRule="auto"/>
        <w:ind w:hanging="240"/>
        <w:outlineLvl w:val="3"/>
        <w:rPr>
          <w:rFonts w:ascii="Arial" w:eastAsia="Times New Roman" w:hAnsi="Arial" w:cs="Arial"/>
          <w:b/>
          <w:bCs/>
          <w:sz w:val="24"/>
          <w:szCs w:val="24"/>
        </w:rPr>
      </w:pPr>
      <w:bookmarkStart w:id="6" w:name="substructure-location_c"/>
      <w:bookmarkEnd w:id="6"/>
      <w:r w:rsidRPr="002418F6">
        <w:rPr>
          <w:rFonts w:ascii="Arial" w:eastAsia="Times New Roman" w:hAnsi="Arial" w:cs="Arial"/>
          <w:b/>
          <w:bCs/>
          <w:sz w:val="24"/>
          <w:szCs w:val="24"/>
        </w:rPr>
        <w:t>(c) Books, accounts, etc., of the person controlling gas company subject to examination</w:t>
      </w:r>
    </w:p>
    <w:p w:rsidR="002418F6" w:rsidRPr="002418F6" w:rsidRDefault="002418F6" w:rsidP="002418F6">
      <w:pPr>
        <w:spacing w:after="0" w:line="240" w:lineRule="auto"/>
        <w:ind w:firstLine="240"/>
        <w:rPr>
          <w:rFonts w:ascii="Arial" w:eastAsia="Times New Roman" w:hAnsi="Arial" w:cs="Arial"/>
        </w:rPr>
      </w:pPr>
      <w:r w:rsidRPr="002418F6">
        <w:rPr>
          <w:rFonts w:ascii="Arial" w:eastAsia="Times New Roman" w:hAnsi="Arial" w:cs="Arial"/>
        </w:rPr>
        <w:t>The books, accounts, memoranda, and records of any person who controls directly or indirectly a natural-gas company subject to the jurisdiction of the Commission and of any other company controlled by such person, insofar as they relate to transactions with or the business of such natural-gas company, shall be subject to examination on the order of the Commission.</w:t>
      </w:r>
    </w:p>
    <w:p w:rsidR="002418F6" w:rsidRPr="002418F6" w:rsidRDefault="002418F6" w:rsidP="002418F6">
      <w:pPr>
        <w:spacing w:before="75" w:after="75" w:line="240" w:lineRule="auto"/>
        <w:rPr>
          <w:rFonts w:ascii="Arial" w:eastAsia="Times New Roman" w:hAnsi="Arial" w:cs="Arial"/>
        </w:rPr>
      </w:pPr>
      <w:bookmarkStart w:id="7" w:name="sourcecredit"/>
      <w:bookmarkEnd w:id="7"/>
      <w:r w:rsidRPr="002418F6">
        <w:rPr>
          <w:rFonts w:ascii="Arial" w:eastAsia="Times New Roman" w:hAnsi="Arial" w:cs="Arial"/>
        </w:rPr>
        <w:t>(</w:t>
      </w:r>
      <w:hyperlink r:id="rId8" w:tgtFrame="_blank" w:history="1">
        <w:r w:rsidRPr="002418F6">
          <w:rPr>
            <w:rFonts w:ascii="Arial" w:eastAsia="Times New Roman" w:hAnsi="Arial" w:cs="Arial"/>
            <w:color w:val="0F0D61"/>
          </w:rPr>
          <w:t xml:space="preserve">June 21, 1938, ch. 556, §8, 52 Stat. 825 </w:t>
        </w:r>
      </w:hyperlink>
      <w:r w:rsidRPr="002418F6">
        <w:rPr>
          <w:rFonts w:ascii="Arial" w:eastAsia="Times New Roman" w:hAnsi="Arial" w:cs="Arial"/>
        </w:rPr>
        <w:t>.)</w:t>
      </w:r>
    </w:p>
    <w:p w:rsidR="00E704E3" w:rsidRDefault="00E704E3"/>
    <w:sectPr w:rsidR="00E704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F6" w:rsidRDefault="002418F6" w:rsidP="002418F6">
      <w:pPr>
        <w:spacing w:after="0" w:line="240" w:lineRule="auto"/>
      </w:pPr>
      <w:r>
        <w:separator/>
      </w:r>
    </w:p>
  </w:endnote>
  <w:endnote w:type="continuationSeparator" w:id="0">
    <w:p w:rsidR="002418F6" w:rsidRDefault="002418F6" w:rsidP="0024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F6" w:rsidRDefault="002418F6" w:rsidP="002418F6">
      <w:pPr>
        <w:spacing w:after="0" w:line="240" w:lineRule="auto"/>
      </w:pPr>
      <w:r>
        <w:separator/>
      </w:r>
    </w:p>
  </w:footnote>
  <w:footnote w:type="continuationSeparator" w:id="0">
    <w:p w:rsidR="002418F6" w:rsidRDefault="002418F6" w:rsidP="00241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F6"/>
    <w:rsid w:val="002418F6"/>
    <w:rsid w:val="00CD0D9E"/>
    <w:rsid w:val="00E7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72951">
      <w:bodyDiv w:val="1"/>
      <w:marLeft w:val="720"/>
      <w:marRight w:val="0"/>
      <w:marTop w:val="0"/>
      <w:marBottom w:val="0"/>
      <w:divBdr>
        <w:top w:val="none" w:sz="0" w:space="0" w:color="auto"/>
        <w:left w:val="none" w:sz="0" w:space="0" w:color="auto"/>
        <w:bottom w:val="none" w:sz="0" w:space="0" w:color="auto"/>
        <w:right w:val="none" w:sz="0" w:space="0" w:color="auto"/>
      </w:divBdr>
      <w:divsChild>
        <w:div w:id="724639825">
          <w:marLeft w:val="75"/>
          <w:marRight w:val="75"/>
          <w:marTop w:val="75"/>
          <w:marBottom w:val="75"/>
          <w:divBdr>
            <w:top w:val="none" w:sz="0" w:space="0" w:color="auto"/>
            <w:left w:val="none" w:sz="0" w:space="0" w:color="auto"/>
            <w:bottom w:val="none" w:sz="0" w:space="0" w:color="auto"/>
            <w:right w:val="none" w:sz="0" w:space="0" w:color="auto"/>
          </w:divBdr>
          <w:divsChild>
            <w:div w:id="392388232">
              <w:marLeft w:val="0"/>
              <w:marRight w:val="0"/>
              <w:marTop w:val="0"/>
              <w:marBottom w:val="0"/>
              <w:divBdr>
                <w:top w:val="none" w:sz="0" w:space="0" w:color="auto"/>
                <w:left w:val="none" w:sz="0" w:space="0" w:color="auto"/>
                <w:bottom w:val="none" w:sz="0" w:space="0" w:color="auto"/>
                <w:right w:val="none" w:sz="0" w:space="0" w:color="auto"/>
              </w:divBdr>
              <w:divsChild>
                <w:div w:id="570773173">
                  <w:marLeft w:val="0"/>
                  <w:marRight w:val="0"/>
                  <w:marTop w:val="0"/>
                  <w:marBottom w:val="0"/>
                  <w:divBdr>
                    <w:top w:val="none" w:sz="0" w:space="0" w:color="auto"/>
                    <w:left w:val="none" w:sz="0" w:space="0" w:color="auto"/>
                    <w:bottom w:val="none" w:sz="0" w:space="0" w:color="auto"/>
                    <w:right w:val="none" w:sz="0" w:space="0" w:color="auto"/>
                  </w:divBdr>
                  <w:divsChild>
                    <w:div w:id="2088647832">
                      <w:marLeft w:val="0"/>
                      <w:marRight w:val="0"/>
                      <w:marTop w:val="0"/>
                      <w:marBottom w:val="0"/>
                      <w:divBdr>
                        <w:top w:val="none" w:sz="0" w:space="0" w:color="auto"/>
                        <w:left w:val="none" w:sz="0" w:space="0" w:color="auto"/>
                        <w:bottom w:val="none" w:sz="0" w:space="0" w:color="auto"/>
                        <w:right w:val="none" w:sz="0" w:space="0" w:color="auto"/>
                      </w:divBdr>
                      <w:divsChild>
                        <w:div w:id="1870944422">
                          <w:marLeft w:val="0"/>
                          <w:marRight w:val="0"/>
                          <w:marTop w:val="0"/>
                          <w:marBottom w:val="0"/>
                          <w:divBdr>
                            <w:top w:val="single" w:sz="18" w:space="8" w:color="CFC2B2"/>
                            <w:left w:val="single" w:sz="18" w:space="8" w:color="CFC2B2"/>
                            <w:bottom w:val="single" w:sz="18" w:space="8" w:color="CFC2B2"/>
                            <w:right w:val="single" w:sz="18" w:space="8" w:color="CFC2B2"/>
                          </w:divBdr>
                          <w:divsChild>
                            <w:div w:id="1207335538">
                              <w:marLeft w:val="0"/>
                              <w:marRight w:val="0"/>
                              <w:marTop w:val="150"/>
                              <w:marBottom w:val="0"/>
                              <w:divBdr>
                                <w:top w:val="none" w:sz="0" w:space="0" w:color="auto"/>
                                <w:left w:val="none" w:sz="0" w:space="0" w:color="auto"/>
                                <w:bottom w:val="none" w:sz="0" w:space="0" w:color="auto"/>
                                <w:right w:val="none" w:sz="0" w:space="0" w:color="auto"/>
                              </w:divBdr>
                            </w:div>
                            <w:div w:id="3746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statviewer.htm?volume=52&amp;page=825" TargetMode="External"/><Relationship Id="rId3" Type="http://schemas.openxmlformats.org/officeDocument/2006/relationships/settings" Target="settings.xml"/><Relationship Id="rId7" Type="http://schemas.openxmlformats.org/officeDocument/2006/relationships/hyperlink" Target="https://uscode.house.gov/view.xhtml?req=15+USC+717g&amp;f=treesort&amp;fq=true&amp;num=1&amp;hl=true&amp;edition=prelim&amp;granuleId=USC-prelim-title15-section717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2019-12-16T17:38:00Z</dcterms:created>
  <dcterms:modified xsi:type="dcterms:W3CDTF">2019-12-16T17:38:00Z</dcterms:modified>
</cp:coreProperties>
</file>