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6875" w:rsidR="00D3795C" w:rsidP="00D3795C" w:rsidRDefault="00D3795C" w14:paraId="59B7DD7F" w14:textId="77777777">
      <w:pPr>
        <w:tabs>
          <w:tab w:val="center" w:pos="5040"/>
        </w:tabs>
        <w:autoSpaceDE w:val="0"/>
        <w:autoSpaceDN w:val="0"/>
        <w:adjustRightInd w:val="0"/>
        <w:spacing w:after="0" w:line="240" w:lineRule="auto"/>
        <w:jc w:val="center"/>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Supporting Statement for</w:t>
      </w:r>
    </w:p>
    <w:p w:rsidRPr="00896875" w:rsidR="00D3795C" w:rsidP="00D3795C" w:rsidRDefault="00D3795C" w14:paraId="7DB9395C" w14:textId="77777777">
      <w:pPr>
        <w:tabs>
          <w:tab w:val="center" w:pos="5040"/>
        </w:tabs>
        <w:autoSpaceDE w:val="0"/>
        <w:autoSpaceDN w:val="0"/>
        <w:adjustRightInd w:val="0"/>
        <w:spacing w:after="0" w:line="240"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bCs/>
          <w:sz w:val="26"/>
          <w:szCs w:val="26"/>
        </w:rPr>
        <w:t>FERC-604, Cash Management Agreements</w:t>
      </w:r>
    </w:p>
    <w:p w:rsidRPr="00896875" w:rsidR="00D3795C" w:rsidP="00D3795C" w:rsidRDefault="00D3795C" w14:paraId="45DA71A9" w14:textId="77777777">
      <w:pPr>
        <w:tabs>
          <w:tab w:val="center" w:pos="5040"/>
        </w:tabs>
        <w:autoSpaceDE w:val="0"/>
        <w:autoSpaceDN w:val="0"/>
        <w:adjustRightInd w:val="0"/>
        <w:spacing w:after="0" w:line="240" w:lineRule="auto"/>
        <w:jc w:val="center"/>
        <w:rPr>
          <w:rFonts w:ascii="Times New Roman" w:hAnsi="Times New Roman" w:eastAsia="Times New Roman" w:cs="Times New Roman"/>
          <w:sz w:val="26"/>
          <w:szCs w:val="26"/>
        </w:rPr>
      </w:pPr>
    </w:p>
    <w:p w:rsidRPr="00896875" w:rsidR="00D3795C" w:rsidP="00D3795C" w:rsidRDefault="00D3795C" w14:paraId="68474851" w14:textId="3797B8D9">
      <w:pPr>
        <w:tabs>
          <w:tab w:val="center" w:pos="5040"/>
        </w:tabs>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bCs/>
          <w:sz w:val="26"/>
          <w:szCs w:val="26"/>
        </w:rPr>
        <w:t xml:space="preserve">The Federal Energy Regulatory Commission (Commission or FERC) requests that the Office of Management and Budget (OMB) review and approve </w:t>
      </w:r>
      <w:r w:rsidRPr="00CD66D3">
        <w:rPr>
          <w:rFonts w:ascii="Times New Roman" w:hAnsi="Times New Roman" w:eastAsia="Times New Roman" w:cs="Times New Roman"/>
          <w:bCs/>
          <w:sz w:val="26"/>
          <w:szCs w:val="26"/>
        </w:rPr>
        <w:t>FERC-604 (Cash Management Agreements</w:t>
      </w:r>
      <w:r w:rsidR="00CD66D3">
        <w:rPr>
          <w:rFonts w:ascii="Times New Roman" w:hAnsi="Times New Roman" w:eastAsia="Times New Roman" w:cs="Times New Roman"/>
          <w:bCs/>
          <w:sz w:val="26"/>
          <w:szCs w:val="26"/>
        </w:rPr>
        <w:t xml:space="preserve">; </w:t>
      </w:r>
      <w:r w:rsidRPr="00896875">
        <w:rPr>
          <w:rFonts w:ascii="Times New Roman" w:hAnsi="Times New Roman" w:eastAsia="Times New Roman" w:cs="Times New Roman"/>
          <w:bCs/>
          <w:sz w:val="26"/>
          <w:szCs w:val="26"/>
        </w:rPr>
        <w:t>OMB Control No. 1902-0267), for a three-year period.  FERC-604</w:t>
      </w:r>
      <w:r w:rsidRPr="00896875">
        <w:rPr>
          <w:rFonts w:ascii="Times New Roman" w:hAnsi="Times New Roman" w:eastAsia="Times New Roman" w:cs="Times New Roman"/>
          <w:sz w:val="26"/>
          <w:szCs w:val="26"/>
        </w:rPr>
        <w:t xml:space="preserve"> is an existing data collection with reporting requirement in 18 Code of Federal Regulations (CFR) </w:t>
      </w:r>
      <w:r w:rsidR="00CD66D3">
        <w:rPr>
          <w:rFonts w:ascii="Times New Roman" w:hAnsi="Times New Roman" w:eastAsia="Times New Roman" w:cs="Times New Roman"/>
          <w:sz w:val="26"/>
          <w:szCs w:val="26"/>
        </w:rPr>
        <w:t xml:space="preserve">Sections </w:t>
      </w:r>
      <w:r w:rsidRPr="00896875">
        <w:rPr>
          <w:rFonts w:ascii="Times New Roman" w:hAnsi="Times New Roman" w:eastAsia="Times New Roman" w:cs="Times New Roman"/>
          <w:sz w:val="26"/>
          <w:szCs w:val="26"/>
        </w:rPr>
        <w:t>141.500, 260.400, and 357.5</w:t>
      </w:r>
      <w:r w:rsidRPr="00896875">
        <w:rPr>
          <w:rFonts w:ascii="Times New Roman" w:hAnsi="Times New Roman" w:eastAsia="Times New Roman" w:cs="Times New Roman"/>
          <w:sz w:val="26"/>
          <w:szCs w:val="26"/>
          <w:vertAlign w:val="superscript"/>
        </w:rPr>
        <w:footnoteReference w:id="1"/>
      </w:r>
      <w:r w:rsidRPr="00896875">
        <w:rPr>
          <w:rFonts w:ascii="Times New Roman" w:hAnsi="Times New Roman" w:eastAsia="Times New Roman" w:cs="Times New Roman"/>
          <w:sz w:val="26"/>
          <w:szCs w:val="26"/>
        </w:rPr>
        <w:t>.</w:t>
      </w:r>
      <w:r w:rsidR="0095212D">
        <w:rPr>
          <w:rFonts w:ascii="Times New Roman" w:hAnsi="Times New Roman" w:eastAsia="Times New Roman" w:cs="Times New Roman"/>
          <w:sz w:val="26"/>
          <w:szCs w:val="26"/>
        </w:rPr>
        <w:t xml:space="preserve">  (The reporting requirements are not changing.)</w:t>
      </w:r>
    </w:p>
    <w:p w:rsidRPr="00896875" w:rsidR="00D3795C" w:rsidP="00D3795C" w:rsidRDefault="00D3795C" w14:paraId="11AE4929" w14:textId="77777777">
      <w:pPr>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CD66D3" w:rsidRDefault="00D3795C" w14:paraId="6639556D" w14:textId="38737A13">
      <w:pPr>
        <w:autoSpaceDE w:val="0"/>
        <w:autoSpaceDN w:val="0"/>
        <w:adjustRightInd w:val="0"/>
        <w:spacing w:after="0" w:line="240" w:lineRule="auto"/>
        <w:ind w:left="360" w:hanging="360"/>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1.</w:t>
      </w:r>
      <w:r w:rsidRPr="00896875">
        <w:rPr>
          <w:rFonts w:ascii="Times New Roman" w:hAnsi="Times New Roman" w:eastAsia="Times New Roman" w:cs="Times New Roman"/>
          <w:b/>
          <w:sz w:val="26"/>
          <w:szCs w:val="26"/>
        </w:rPr>
        <w:tab/>
        <w:t>CIRCUMSTANCES THAT MAKE THE COLLECTION OF INFORMATION NECESSARY</w:t>
      </w:r>
    </w:p>
    <w:p w:rsidRPr="00896875" w:rsidR="00D3795C" w:rsidP="00D3795C" w:rsidRDefault="00D3795C" w14:paraId="408F24E4" w14:textId="77777777">
      <w:pPr>
        <w:autoSpaceDE w:val="0"/>
        <w:autoSpaceDN w:val="0"/>
        <w:adjustRightInd w:val="0"/>
        <w:spacing w:after="0" w:line="240" w:lineRule="auto"/>
        <w:ind w:left="1440"/>
        <w:rPr>
          <w:rFonts w:ascii="Times New Roman" w:hAnsi="Times New Roman" w:eastAsia="Times New Roman" w:cs="Times New Roman"/>
          <w:b/>
          <w:sz w:val="26"/>
          <w:szCs w:val="26"/>
        </w:rPr>
      </w:pPr>
    </w:p>
    <w:p w:rsidRPr="00896875" w:rsidR="00D3795C" w:rsidP="00D3795C" w:rsidRDefault="00D3795C" w14:paraId="4E87270E"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 xml:space="preserve">FERC issued rules regarding cash management programs in 2003 in order to protect customers of jurisdictional companies.  The underlying premise of reporting cash management agreements to the Commission is that additional transparency of cash management activities between FERC-regulated entities and their affiliates allows the Commission and other users of financial information to be aware of the agreements and review through audit the operations of the money pool.  FERC achieves this transparency by requiring FERC-regulated entities to file their cash management documents with the Commission, which consequently makes them available to the public.  In addition, the requirement that any subsequent changes to an existing agreement be filed within 10 days of the date of the change is to provide users of financial information with knowledge of changes to the agreements.  </w:t>
      </w:r>
    </w:p>
    <w:p w:rsidRPr="00896875" w:rsidR="00D3795C" w:rsidP="00D3795C" w:rsidRDefault="00D3795C" w14:paraId="31F210F7"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2E819525"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provisions in the Federal Power Act (FPA), Natural Gas Act (NGA), and Interstate Commerce Act (ICA) that authorize the Commission to require reports and documentation to administer these statutes provide ample authority for this information collection.</w:t>
      </w:r>
      <w:r w:rsidRPr="00896875">
        <w:rPr>
          <w:rFonts w:ascii="Times New Roman" w:hAnsi="Times New Roman" w:eastAsia="Times New Roman" w:cs="Times New Roman"/>
          <w:b/>
          <w:sz w:val="26"/>
          <w:szCs w:val="26"/>
          <w:vertAlign w:val="superscript"/>
        </w:rPr>
        <w:footnoteReference w:id="2"/>
      </w:r>
    </w:p>
    <w:p w:rsidRPr="00896875" w:rsidR="00D3795C" w:rsidP="00D3795C" w:rsidRDefault="00D3795C" w14:paraId="3C4375DF"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002C5FAD" w:rsidP="00D3795C" w:rsidRDefault="00D3795C" w14:paraId="32B7A5DD"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Specifically, NGA Section 8 provides that “[e]very natural-gas company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Act . . . ,”</w:t>
      </w:r>
      <w:r w:rsidRPr="00896875">
        <w:rPr>
          <w:rFonts w:ascii="Times New Roman" w:hAnsi="Times New Roman" w:eastAsia="Times New Roman" w:cs="Times New Roman"/>
          <w:b/>
          <w:sz w:val="26"/>
          <w:szCs w:val="26"/>
          <w:vertAlign w:val="superscript"/>
        </w:rPr>
        <w:footnoteReference w:id="3"/>
      </w:r>
      <w:r w:rsidRPr="00896875">
        <w:rPr>
          <w:rFonts w:ascii="Times New Roman" w:hAnsi="Times New Roman" w:eastAsia="Times New Roman" w:cs="Times New Roman"/>
          <w:sz w:val="26"/>
          <w:szCs w:val="26"/>
        </w:rPr>
        <w:t xml:space="preserve"> and NGA Section 10 provides that, “[e]very natural-gas company shall file with the Commission such annual and other periodic or special reports as the Commission may by rules and regulations or order prescribe as necessary or appropriate to assist the Commission in the proper administration of this act.”</w:t>
      </w:r>
      <w:r w:rsidRPr="00896875">
        <w:rPr>
          <w:rFonts w:ascii="Times New Roman" w:hAnsi="Times New Roman" w:eastAsia="Times New Roman" w:cs="Times New Roman"/>
          <w:b/>
          <w:sz w:val="26"/>
          <w:szCs w:val="26"/>
          <w:vertAlign w:val="superscript"/>
        </w:rPr>
        <w:footnoteReference w:id="4"/>
      </w:r>
      <w:r w:rsidRPr="00896875">
        <w:rPr>
          <w:rFonts w:ascii="Times New Roman" w:hAnsi="Times New Roman" w:eastAsia="Times New Roman" w:cs="Times New Roman"/>
          <w:sz w:val="26"/>
          <w:szCs w:val="26"/>
        </w:rPr>
        <w:t xml:space="preserve">  </w:t>
      </w:r>
    </w:p>
    <w:p w:rsidR="002C5FAD" w:rsidP="00D3795C" w:rsidRDefault="002C5FAD" w14:paraId="52AB6324"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002C5FAD" w:rsidP="00D3795C" w:rsidRDefault="00D3795C" w14:paraId="75E5706F"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FPA Section 301 provides that, “[e]very licensee and public utility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Act . . .,”</w:t>
      </w:r>
      <w:r w:rsidRPr="00896875">
        <w:rPr>
          <w:rFonts w:ascii="Times New Roman" w:hAnsi="Times New Roman" w:eastAsia="Times New Roman" w:cs="Times New Roman"/>
          <w:b/>
          <w:sz w:val="26"/>
          <w:szCs w:val="26"/>
          <w:vertAlign w:val="superscript"/>
        </w:rPr>
        <w:footnoteReference w:id="5"/>
      </w:r>
      <w:r w:rsidRPr="00896875">
        <w:rPr>
          <w:rFonts w:ascii="Times New Roman" w:hAnsi="Times New Roman" w:eastAsia="Times New Roman" w:cs="Times New Roman"/>
          <w:sz w:val="26"/>
          <w:szCs w:val="26"/>
        </w:rPr>
        <w:t xml:space="preserve"> and FPA Section 304 provides that “[e]very licensee and every public utility shall file with the Commission such annual and other periodic or special reports as the Commission may by rules and regulations or order prescribe as necessary or appropriate to assist the Commission in the proper administration of this Act.”</w:t>
      </w:r>
      <w:r w:rsidRPr="00896875">
        <w:rPr>
          <w:rFonts w:ascii="Times New Roman" w:hAnsi="Times New Roman" w:eastAsia="Times New Roman" w:cs="Times New Roman"/>
          <w:b/>
          <w:sz w:val="26"/>
          <w:szCs w:val="26"/>
          <w:vertAlign w:val="superscript"/>
        </w:rPr>
        <w:footnoteReference w:id="6"/>
      </w:r>
      <w:r w:rsidRPr="00896875">
        <w:rPr>
          <w:rFonts w:ascii="Times New Roman" w:hAnsi="Times New Roman" w:eastAsia="Times New Roman" w:cs="Times New Roman"/>
          <w:sz w:val="26"/>
          <w:szCs w:val="26"/>
        </w:rPr>
        <w:t xml:space="preserve">  </w:t>
      </w:r>
    </w:p>
    <w:p w:rsidR="002C5FAD" w:rsidP="00D3795C" w:rsidRDefault="002C5FAD" w14:paraId="5E27E969"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030DC628" w14:textId="7E1747BC">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Section 20(1) of the ICA provides that, “[t]he Commission is authorized to require annual, periodical, or special reports from  [oil pipeline] carriers . . . and full, true, and correct answers to all questions upon which the Commission may deem information to be necessary . . .,”</w:t>
      </w:r>
      <w:r w:rsidRPr="00896875">
        <w:rPr>
          <w:rFonts w:ascii="Times New Roman" w:hAnsi="Times New Roman" w:eastAsia="Times New Roman" w:cs="Times New Roman"/>
          <w:b/>
          <w:sz w:val="26"/>
          <w:szCs w:val="26"/>
          <w:vertAlign w:val="superscript"/>
        </w:rPr>
        <w:footnoteReference w:id="7"/>
      </w:r>
      <w:r w:rsidRPr="00896875">
        <w:rPr>
          <w:rFonts w:ascii="Times New Roman" w:hAnsi="Times New Roman" w:eastAsia="Times New Roman" w:cs="Times New Roman"/>
          <w:sz w:val="26"/>
          <w:szCs w:val="26"/>
        </w:rPr>
        <w:t xml:space="preserve"> and Section 20(5) of the ICA authorizes the Commission “in its discretion, [to] prescribe the forms of any and all accounts, records, and memoranda to be kept by carriers and their lessors, including the accounts, records, and memoranda of the movement of traffic, as well as of the receipts and expenditures of moneys . . . .”</w:t>
      </w:r>
      <w:r w:rsidRPr="00896875">
        <w:rPr>
          <w:rFonts w:ascii="Times New Roman" w:hAnsi="Times New Roman" w:eastAsia="Times New Roman" w:cs="Times New Roman"/>
          <w:b/>
          <w:sz w:val="26"/>
          <w:szCs w:val="26"/>
          <w:vertAlign w:val="superscript"/>
        </w:rPr>
        <w:footnoteReference w:id="8"/>
      </w:r>
      <w:r w:rsidRPr="00896875">
        <w:rPr>
          <w:rFonts w:ascii="Times New Roman" w:hAnsi="Times New Roman" w:eastAsia="Times New Roman" w:cs="Times New Roman"/>
          <w:sz w:val="26"/>
          <w:szCs w:val="26"/>
        </w:rPr>
        <w:t xml:space="preserve"> </w:t>
      </w:r>
    </w:p>
    <w:p w:rsidRPr="00896875" w:rsidR="00D3795C" w:rsidP="00D3795C" w:rsidRDefault="00D3795C" w14:paraId="42778D5A"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7F767E99" w14:textId="4259448E">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In sum, the Commission is entrusted with the responsibility to ensure that rates are just and reasonable and that FERC-regulated entities provide the services to which they have committed.</w:t>
      </w:r>
      <w:r w:rsidRPr="00896875">
        <w:rPr>
          <w:rFonts w:ascii="Times New Roman" w:hAnsi="Times New Roman" w:eastAsia="Times New Roman" w:cs="Times New Roman"/>
          <w:b/>
          <w:sz w:val="26"/>
          <w:szCs w:val="26"/>
          <w:vertAlign w:val="superscript"/>
        </w:rPr>
        <w:footnoteReference w:id="9"/>
      </w:r>
      <w:r w:rsidRPr="00896875">
        <w:rPr>
          <w:rFonts w:ascii="Times New Roman" w:hAnsi="Times New Roman" w:eastAsia="Times New Roman" w:cs="Times New Roman"/>
          <w:sz w:val="26"/>
          <w:szCs w:val="26"/>
        </w:rPr>
        <w:t xml:space="preserve">  </w:t>
      </w:r>
    </w:p>
    <w:p w:rsidRPr="00896875" w:rsidR="00F30714" w:rsidP="00D3795C" w:rsidRDefault="00F30714" w14:paraId="75A7E4B3"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7FE3C0AB"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transparency-enhancing reporting requirements imposed by the Commission for cash management programs will help ensure that both goals are achieved.</w:t>
      </w:r>
    </w:p>
    <w:p w:rsidRPr="00896875" w:rsidR="00D3795C" w:rsidP="00D3795C" w:rsidRDefault="00D3795C" w14:paraId="5F636185"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02A11FD5" w14:textId="4D67FF89">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 xml:space="preserve">The Commission implemented these requirements in 18 CFR </w:t>
      </w:r>
      <w:r w:rsidR="002C5FAD">
        <w:rPr>
          <w:rFonts w:ascii="Times New Roman" w:hAnsi="Times New Roman" w:eastAsia="Times New Roman" w:cs="Times New Roman"/>
          <w:sz w:val="26"/>
          <w:szCs w:val="26"/>
        </w:rPr>
        <w:t>Section</w:t>
      </w:r>
      <w:r w:rsidRPr="00896875" w:rsidR="002C5FAD">
        <w:rPr>
          <w:rFonts w:ascii="Times New Roman" w:hAnsi="Times New Roman" w:eastAsia="Times New Roman" w:cs="Times New Roman"/>
          <w:sz w:val="26"/>
          <w:szCs w:val="26"/>
        </w:rPr>
        <w:t xml:space="preserve">s </w:t>
      </w:r>
      <w:r w:rsidRPr="00896875">
        <w:rPr>
          <w:rFonts w:ascii="Times New Roman" w:hAnsi="Times New Roman" w:eastAsia="Times New Roman" w:cs="Times New Roman"/>
          <w:sz w:val="26"/>
          <w:szCs w:val="26"/>
        </w:rPr>
        <w:t>141.500, 260.400, and 357.5.</w:t>
      </w:r>
    </w:p>
    <w:p w:rsidRPr="00896875" w:rsidR="00D3795C" w:rsidP="00D3795C" w:rsidRDefault="00D3795C" w14:paraId="7A4EF329" w14:textId="77777777">
      <w:pPr>
        <w:tabs>
          <w:tab w:val="left" w:pos="720"/>
          <w:tab w:val="left" w:pos="4860"/>
        </w:tabs>
        <w:spacing w:after="0" w:line="240" w:lineRule="auto"/>
        <w:rPr>
          <w:rFonts w:ascii="Times New Roman" w:hAnsi="Times New Roman" w:eastAsia="Times New Roman" w:cs="Times New Roman"/>
          <w:sz w:val="26"/>
          <w:szCs w:val="26"/>
        </w:rPr>
      </w:pPr>
    </w:p>
    <w:p w:rsidRPr="00896875" w:rsidR="00D3795C" w:rsidP="00D3795C" w:rsidRDefault="00D3795C" w14:paraId="41D3625C" w14:textId="77777777">
      <w:pPr>
        <w:widowControl w:val="0"/>
        <w:numPr>
          <w:ilvl w:val="0"/>
          <w:numId w:val="1"/>
        </w:numPr>
        <w:tabs>
          <w:tab w:val="left" w:pos="720"/>
          <w:tab w:val="left" w:pos="486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HOW, BY WHOM AND FOR WHAT PURPOSE IS THE INFORMATION USED AND THE CONSEQUENCES OF NOT COLLECTING THE INFORMATION</w:t>
      </w:r>
    </w:p>
    <w:p w:rsidRPr="00896875" w:rsidR="00D3795C" w:rsidP="00D3795C" w:rsidRDefault="00D3795C" w14:paraId="65713491" w14:textId="77777777">
      <w:pPr>
        <w:tabs>
          <w:tab w:val="left" w:pos="720"/>
          <w:tab w:val="left" w:pos="4860"/>
        </w:tabs>
        <w:spacing w:after="0" w:line="240" w:lineRule="auto"/>
        <w:rPr>
          <w:rFonts w:ascii="Times New Roman" w:hAnsi="Times New Roman" w:eastAsia="Times New Roman" w:cs="Times New Roman"/>
          <w:b/>
          <w:sz w:val="26"/>
          <w:szCs w:val="26"/>
        </w:rPr>
      </w:pPr>
    </w:p>
    <w:p w:rsidR="00D3795C" w:rsidP="00D3795C" w:rsidRDefault="00D3795C" w14:paraId="42FA9403" w14:textId="088F5CEE">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 xml:space="preserve">The Commission requires regulated entities to submit their cash management agreements to the Commission.  The Commission requires this cash management information in order to ensure that rates are just and reasonable and that FERC-regulated entities provide the services to which they have committed.  </w:t>
      </w:r>
    </w:p>
    <w:p w:rsidR="00A41D1A" w:rsidP="00D3795C" w:rsidRDefault="00A41D1A" w14:paraId="778E92BA" w14:textId="6BBF1FE4">
      <w:pPr>
        <w:widowControl w:val="0"/>
        <w:autoSpaceDE w:val="0"/>
        <w:autoSpaceDN w:val="0"/>
        <w:adjustRightInd w:val="0"/>
        <w:spacing w:after="0" w:line="240" w:lineRule="auto"/>
        <w:rPr>
          <w:rFonts w:ascii="Times New Roman" w:hAnsi="Times New Roman" w:eastAsia="Times New Roman" w:cs="Times New Roman"/>
          <w:sz w:val="26"/>
          <w:szCs w:val="26"/>
        </w:rPr>
      </w:pPr>
    </w:p>
    <w:p w:rsidRPr="00A41D1A" w:rsidR="00A41D1A" w:rsidP="00A41D1A" w:rsidRDefault="00A41D1A" w14:paraId="731F0853" w14:textId="77777777">
      <w:pPr>
        <w:pStyle w:val="FootnoteText"/>
        <w:rPr>
          <w:sz w:val="26"/>
          <w:szCs w:val="26"/>
        </w:rPr>
      </w:pPr>
      <w:r w:rsidRPr="00A41D1A">
        <w:rPr>
          <w:sz w:val="26"/>
          <w:szCs w:val="26"/>
        </w:rPr>
        <w:t>Cash management agreements typically contain terms of repayment into a consolidated corporate-wide “money pool” from which money was drawn by an operating company.  Terms will include timing of repayment, maximum/minimum draws, interest rates, and potentially covenants/conditions that the drawing company must maintain.  There are various aspects of these terms that affect whether an operating company (i.e., utility) is charging just and reasonable rates.  For example, the interest rate on these draws are typically considered short-term interest rates, which are factored into calculating a utility’s cost of financing construction projects (i.e., increases revenue requirements).</w:t>
      </w:r>
    </w:p>
    <w:p w:rsidRPr="00A41D1A" w:rsidR="00A41D1A" w:rsidP="00D3795C" w:rsidRDefault="00A41D1A" w14:paraId="1E375528"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220D222A"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6CE46E63" w14:textId="3A6A737C">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If FERC did not collect the information</w:t>
      </w:r>
      <w:r w:rsidR="002C5FAD">
        <w:rPr>
          <w:rFonts w:ascii="Times New Roman" w:hAnsi="Times New Roman" w:eastAsia="Times New Roman" w:cs="Times New Roman"/>
          <w:sz w:val="26"/>
          <w:szCs w:val="26"/>
        </w:rPr>
        <w:t>,</w:t>
      </w:r>
      <w:r w:rsidRPr="00896875">
        <w:rPr>
          <w:rFonts w:ascii="Times New Roman" w:hAnsi="Times New Roman" w:eastAsia="Times New Roman" w:cs="Times New Roman"/>
          <w:sz w:val="26"/>
          <w:szCs w:val="26"/>
        </w:rPr>
        <w:t xml:space="preserve"> the Commission, users of financial information, and the public would not be able to monitor the cash management agreements.  </w:t>
      </w:r>
    </w:p>
    <w:p w:rsidRPr="00896875" w:rsidR="00D3795C" w:rsidP="00D3795C" w:rsidRDefault="00D3795C" w14:paraId="126BB099" w14:textId="77777777">
      <w:pPr>
        <w:tabs>
          <w:tab w:val="left" w:pos="720"/>
          <w:tab w:val="left" w:pos="4860"/>
        </w:tabs>
        <w:spacing w:after="0" w:line="240" w:lineRule="auto"/>
        <w:rPr>
          <w:rFonts w:ascii="Times New Roman" w:hAnsi="Times New Roman" w:eastAsia="Times New Roman" w:cs="Times New Roman"/>
          <w:sz w:val="26"/>
          <w:szCs w:val="26"/>
        </w:rPr>
      </w:pPr>
    </w:p>
    <w:p w:rsidRPr="00896875" w:rsidR="00D3795C" w:rsidP="00D3795C" w:rsidRDefault="00D3795C" w14:paraId="48628EF6" w14:textId="77777777">
      <w:pPr>
        <w:widowControl w:val="0"/>
        <w:numPr>
          <w:ilvl w:val="0"/>
          <w:numId w:val="1"/>
        </w:numPr>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DESCRIBE ANY CONSIDERATION OF THE USE OF IMPROVED INFORMATION TECHNOLOGY TO REDUCE BURDEN AND THE TECHNICAL OR LEGAL OBSTACLES TO REDUCING BURDEN</w:t>
      </w:r>
    </w:p>
    <w:p w:rsidRPr="00896875" w:rsidR="00D3795C" w:rsidP="00D3795C" w:rsidRDefault="00D3795C" w14:paraId="081341BF"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65CDEFB6"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allows for respondents to file the cash management agreements electronically.  Based on the Commission’s eLibrary, the Commission estimates that all respondents are utilizing eFiling to submit their agreements.</w:t>
      </w:r>
    </w:p>
    <w:p w:rsidRPr="00896875" w:rsidR="00D3795C" w:rsidP="00D3795C" w:rsidRDefault="00D3795C" w14:paraId="28720338"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38F2369D"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DESCRIBE EFFORTS TO IDENTIFY DUPLICATON AND SHOW SPECIFICALLY WHY ANY SIMILAR INFORMATION ALREADY AVAILABLE CANNOT BE USED OR MODIFIED FOR USE FOR THE PURPOSE(S) DESCRIBED IN INSTRUCTION NO. 2.</w:t>
      </w:r>
    </w:p>
    <w:p w:rsidRPr="00896875" w:rsidR="00D3795C" w:rsidP="00D3795C" w:rsidRDefault="00D3795C" w14:paraId="3F25F283"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2DD55E63"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initiated cash management program documentation and filing rules because the information was not available from other sources.  The Securities Exchange Commission sometimes requires holding companies (a small subset of the respondent universe) to file cash management agreements.  The Commission does not believe that any potential duplication is overly burdensome or unjustified.</w:t>
      </w:r>
    </w:p>
    <w:p w:rsidRPr="00896875" w:rsidR="00D3795C" w:rsidP="00D3795C" w:rsidRDefault="00D3795C" w14:paraId="6D92CAC9"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337A8485" w14:textId="5E3129E5">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7E3AB3C3"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2D0F2AB0"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METHODS USED TO MINIMIZE BURDEN IN COLLECTION OF INFORMATION INVOLVING SMALL ENTITIES</w:t>
      </w:r>
      <w:r w:rsidRPr="00896875">
        <w:rPr>
          <w:rFonts w:ascii="Times New Roman" w:hAnsi="Times New Roman" w:eastAsia="Times New Roman" w:cs="Times New Roman"/>
          <w:sz w:val="26"/>
          <w:szCs w:val="26"/>
        </w:rPr>
        <w:t xml:space="preserve"> </w:t>
      </w:r>
    </w:p>
    <w:p w:rsidRPr="00896875" w:rsidR="00D3795C" w:rsidP="00D3795C" w:rsidRDefault="00D3795C" w14:paraId="39E57CAD" w14:textId="77777777">
      <w:pPr>
        <w:autoSpaceDE w:val="0"/>
        <w:autoSpaceDN w:val="0"/>
        <w:adjustRightInd w:val="0"/>
        <w:spacing w:after="0" w:line="240" w:lineRule="auto"/>
        <w:ind w:left="1440"/>
        <w:rPr>
          <w:rFonts w:ascii="Times New Roman" w:hAnsi="Times New Roman" w:eastAsia="Times New Roman" w:cs="Times New Roman"/>
          <w:sz w:val="26"/>
          <w:szCs w:val="26"/>
        </w:rPr>
      </w:pPr>
    </w:p>
    <w:p w:rsidRPr="00896875" w:rsidR="00D3795C" w:rsidP="00D3795C" w:rsidRDefault="00D3795C" w14:paraId="33ECD16A" w14:textId="1F211F3E">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estimates that this collection requires 1.5 hours of burden per year per respondent.  In fact, if a company does not participate in a cash management agreement or makes no changes to its existing agreement, there is no burden.  While the Commission does regulate small entities, it does not consider the minimal burden harmful to small entities.</w:t>
      </w:r>
    </w:p>
    <w:p w:rsidRPr="00896875" w:rsidR="00D3795C" w:rsidP="00D3795C" w:rsidRDefault="00D3795C" w14:paraId="1F2A9DCF" w14:textId="77777777">
      <w:pPr>
        <w:tabs>
          <w:tab w:val="num" w:pos="0"/>
        </w:tabs>
        <w:spacing w:after="0" w:line="240" w:lineRule="auto"/>
        <w:jc w:val="center"/>
        <w:rPr>
          <w:rFonts w:ascii="Times New Roman" w:hAnsi="Times New Roman" w:eastAsia="Times New Roman" w:cs="Times New Roman"/>
          <w:sz w:val="26"/>
          <w:szCs w:val="26"/>
        </w:rPr>
      </w:pPr>
    </w:p>
    <w:p w:rsidRPr="00896875" w:rsidR="00D3795C" w:rsidP="00D3795C" w:rsidRDefault="00D3795C" w14:paraId="40F4E0EC"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CONSEQUENCE TO FEDERAL PROGRAM IF COLLECTION WERE CONDUCTED LESS FREQUENTLY</w:t>
      </w:r>
    </w:p>
    <w:p w:rsidRPr="00896875" w:rsidR="00D3795C" w:rsidP="00D3795C" w:rsidRDefault="00D3795C" w14:paraId="0D658598"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0AC2D31E" w14:textId="2248CDE1">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requires entities to file cash management agreements when such agreements are entered into or when there are changes to the agreements.  If the Commission delayed the filings</w:t>
      </w:r>
      <w:r w:rsidR="00D026A0">
        <w:rPr>
          <w:rFonts w:ascii="Times New Roman" w:hAnsi="Times New Roman" w:eastAsia="Times New Roman" w:cs="Times New Roman"/>
          <w:sz w:val="26"/>
          <w:szCs w:val="26"/>
        </w:rPr>
        <w:t>,</w:t>
      </w:r>
      <w:r w:rsidRPr="00896875">
        <w:rPr>
          <w:rFonts w:ascii="Times New Roman" w:hAnsi="Times New Roman" w:eastAsia="Times New Roman" w:cs="Times New Roman"/>
          <w:sz w:val="26"/>
          <w:szCs w:val="26"/>
        </w:rPr>
        <w:t xml:space="preserve"> neither Commission nor interested parties </w:t>
      </w:r>
      <w:r w:rsidRPr="00896875" w:rsidR="00CC1CA7">
        <w:rPr>
          <w:rFonts w:ascii="Times New Roman" w:hAnsi="Times New Roman" w:eastAsia="Times New Roman" w:cs="Times New Roman"/>
          <w:sz w:val="26"/>
          <w:szCs w:val="26"/>
        </w:rPr>
        <w:t xml:space="preserve">would </w:t>
      </w:r>
      <w:r w:rsidRPr="00896875">
        <w:rPr>
          <w:rFonts w:ascii="Times New Roman" w:hAnsi="Times New Roman" w:eastAsia="Times New Roman" w:cs="Times New Roman"/>
          <w:sz w:val="26"/>
          <w:szCs w:val="26"/>
        </w:rPr>
        <w:t xml:space="preserve">have access to current information regarding cash management agreements.  </w:t>
      </w:r>
    </w:p>
    <w:p w:rsidRPr="00896875" w:rsidR="00D3795C" w:rsidP="00D3795C" w:rsidRDefault="00D3795C" w14:paraId="6F29D088"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3231D8CF"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EXPLAIN ANY SPECIAL CIRCUMSTANCES RELATING TO THE INFORMATION</w:t>
      </w:r>
    </w:p>
    <w:p w:rsidRPr="00896875" w:rsidR="00D3795C" w:rsidP="00D3795C" w:rsidRDefault="00D3795C" w14:paraId="3D574A27"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58C4828C"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 xml:space="preserve">There is one special circumstance pertaining to 5 CFR 1320.5(d).  Specifically, if there are multiple changes to a cash management agreement in a short period of time a respondent may have to file with the Commission more often than quarterly. </w:t>
      </w:r>
    </w:p>
    <w:p w:rsidRPr="00896875" w:rsidR="00D3795C" w:rsidP="00D3795C" w:rsidRDefault="00D3795C" w14:paraId="05D12089"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42D9DBEB"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DESCRIBE EFFORTS TO CONSULT OUTSIDE THE AGENCY: SUMMARIZE PUBLIC COMMENTS AND THE AGENCY’S RESPONSE TO THESE COMMENTS</w:t>
      </w:r>
    </w:p>
    <w:p w:rsidRPr="00896875" w:rsidR="00D3795C" w:rsidP="00D3795C" w:rsidRDefault="00D3795C" w14:paraId="3AD6B065" w14:textId="77777777">
      <w:pPr>
        <w:tabs>
          <w:tab w:val="left" w:pos="720"/>
        </w:tabs>
        <w:spacing w:after="0" w:line="240" w:lineRule="auto"/>
        <w:rPr>
          <w:rFonts w:ascii="Times New Roman" w:hAnsi="Times New Roman" w:eastAsia="Times New Roman" w:cs="Times New Roman"/>
          <w:b/>
          <w:sz w:val="26"/>
          <w:szCs w:val="26"/>
        </w:rPr>
      </w:pPr>
    </w:p>
    <w:p w:rsidRPr="00896875" w:rsidR="00064F3A" w:rsidP="00D3795C" w:rsidRDefault="00D3795C" w14:paraId="5939ED5A" w14:textId="343D5F93">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In accordance with OMB requirements, the Commission published a 60-day notice</w:t>
      </w:r>
      <w:bookmarkStart w:name="_Ref332712251" w:id="0"/>
      <w:r w:rsidRPr="00896875">
        <w:rPr>
          <w:rFonts w:ascii="Times New Roman" w:hAnsi="Times New Roman" w:eastAsia="Times New Roman" w:cs="Times New Roman"/>
          <w:sz w:val="26"/>
          <w:szCs w:val="26"/>
          <w:vertAlign w:val="superscript"/>
        </w:rPr>
        <w:footnoteReference w:id="10"/>
      </w:r>
      <w:bookmarkEnd w:id="0"/>
      <w:r w:rsidRPr="00896875">
        <w:rPr>
          <w:rFonts w:ascii="Times New Roman" w:hAnsi="Times New Roman" w:eastAsia="Times New Roman" w:cs="Times New Roman"/>
          <w:sz w:val="26"/>
          <w:szCs w:val="26"/>
        </w:rPr>
        <w:t xml:space="preserve"> </w:t>
      </w:r>
      <w:r w:rsidR="00583FF2">
        <w:rPr>
          <w:rFonts w:ascii="Times New Roman" w:hAnsi="Times New Roman" w:eastAsia="Times New Roman" w:cs="Times New Roman"/>
          <w:sz w:val="26"/>
          <w:szCs w:val="26"/>
        </w:rPr>
        <w:t xml:space="preserve">and </w:t>
      </w:r>
      <w:r w:rsidR="00583FF2">
        <w:rPr>
          <w:rFonts w:ascii="Times New Roman" w:hAnsi="Times New Roman" w:eastAsia="Times New Roman" w:cs="Times New Roman"/>
          <w:sz w:val="26"/>
          <w:szCs w:val="26"/>
        </w:rPr>
        <w:lastRenderedPageBreak/>
        <w:t>30-day notice</w:t>
      </w:r>
      <w:r w:rsidRPr="00D50AA2" w:rsidR="00583FF2">
        <w:rPr>
          <w:rStyle w:val="FootnoteReference"/>
          <w:rFonts w:ascii="Times New Roman" w:hAnsi="Times New Roman" w:eastAsia="Times New Roman" w:cs="Times New Roman"/>
          <w:sz w:val="26"/>
          <w:szCs w:val="26"/>
          <w:vertAlign w:val="superscript"/>
        </w:rPr>
        <w:footnoteReference w:id="11"/>
      </w:r>
      <w:r w:rsidRPr="00D50AA2" w:rsidR="00583FF2">
        <w:rPr>
          <w:rFonts w:ascii="Times New Roman" w:hAnsi="Times New Roman" w:eastAsia="Times New Roman" w:cs="Times New Roman"/>
          <w:sz w:val="26"/>
          <w:szCs w:val="26"/>
          <w:vertAlign w:val="superscript"/>
        </w:rPr>
        <w:t xml:space="preserve"> </w:t>
      </w:r>
      <w:r w:rsidRPr="00896875">
        <w:rPr>
          <w:rFonts w:ascii="Times New Roman" w:hAnsi="Times New Roman" w:eastAsia="Times New Roman" w:cs="Times New Roman"/>
          <w:sz w:val="26"/>
          <w:szCs w:val="26"/>
        </w:rPr>
        <w:t xml:space="preserve">to the public regarding this information collection on </w:t>
      </w:r>
      <w:r w:rsidRPr="00896875" w:rsidR="00064F3A">
        <w:rPr>
          <w:rFonts w:ascii="Times New Roman" w:hAnsi="Times New Roman" w:eastAsia="Times New Roman" w:cs="Times New Roman"/>
          <w:sz w:val="26"/>
          <w:szCs w:val="26"/>
        </w:rPr>
        <w:t>9/6/2019</w:t>
      </w:r>
      <w:r w:rsidR="00583FF2">
        <w:rPr>
          <w:rFonts w:ascii="Times New Roman" w:hAnsi="Times New Roman" w:eastAsia="Times New Roman" w:cs="Times New Roman"/>
          <w:sz w:val="26"/>
          <w:szCs w:val="26"/>
        </w:rPr>
        <w:t xml:space="preserve"> and 12/</w:t>
      </w:r>
      <w:r w:rsidRPr="00D50AA2" w:rsidR="00583FF2">
        <w:rPr>
          <w:rFonts w:ascii="Times New Roman" w:hAnsi="Times New Roman" w:eastAsia="Times New Roman" w:cs="Times New Roman"/>
          <w:sz w:val="26"/>
          <w:szCs w:val="26"/>
        </w:rPr>
        <w:t>1</w:t>
      </w:r>
      <w:r w:rsidR="00583FF2">
        <w:rPr>
          <w:rFonts w:ascii="Times New Roman" w:hAnsi="Times New Roman" w:eastAsia="Times New Roman" w:cs="Times New Roman"/>
          <w:sz w:val="26"/>
          <w:szCs w:val="26"/>
        </w:rPr>
        <w:t>7/2019 respectively</w:t>
      </w:r>
      <w:r w:rsidRPr="00896875">
        <w:rPr>
          <w:rFonts w:ascii="Times New Roman" w:hAnsi="Times New Roman" w:eastAsia="Times New Roman" w:cs="Times New Roman"/>
          <w:sz w:val="26"/>
          <w:szCs w:val="26"/>
        </w:rPr>
        <w:t>. Within the public notice</w:t>
      </w:r>
      <w:r w:rsidR="0055232F">
        <w:rPr>
          <w:rFonts w:ascii="Times New Roman" w:hAnsi="Times New Roman" w:eastAsia="Times New Roman" w:cs="Times New Roman"/>
          <w:sz w:val="26"/>
          <w:szCs w:val="26"/>
        </w:rPr>
        <w:t>s</w:t>
      </w:r>
      <w:r w:rsidRPr="00896875">
        <w:rPr>
          <w:rFonts w:ascii="Times New Roman" w:hAnsi="Times New Roman" w:eastAsia="Times New Roman" w:cs="Times New Roman"/>
          <w:sz w:val="26"/>
          <w:szCs w:val="26"/>
        </w:rPr>
        <w:t>, the Commission noted that it would be requesting a three-year extension of the public reporting burden with no change to the existing requirements concerning the collection of data.  The Commission received no comments</w:t>
      </w:r>
      <w:r w:rsidR="0055232F">
        <w:rPr>
          <w:rFonts w:ascii="Times New Roman" w:hAnsi="Times New Roman" w:eastAsia="Times New Roman" w:cs="Times New Roman"/>
          <w:sz w:val="26"/>
          <w:szCs w:val="26"/>
        </w:rPr>
        <w:t xml:space="preserve"> on the 60-day notice</w:t>
      </w:r>
      <w:r w:rsidRPr="00896875">
        <w:rPr>
          <w:rFonts w:ascii="Times New Roman" w:hAnsi="Times New Roman" w:eastAsia="Times New Roman" w:cs="Times New Roman"/>
          <w:sz w:val="26"/>
          <w:szCs w:val="26"/>
        </w:rPr>
        <w:t xml:space="preserve">. </w:t>
      </w:r>
    </w:p>
    <w:p w:rsidR="00064F3A" w:rsidP="00D3795C" w:rsidRDefault="00064F3A" w14:paraId="1E538DA8" w14:textId="1890E94E">
      <w:pPr>
        <w:widowControl w:val="0"/>
        <w:autoSpaceDE w:val="0"/>
        <w:autoSpaceDN w:val="0"/>
        <w:adjustRightInd w:val="0"/>
        <w:spacing w:after="0" w:line="240" w:lineRule="auto"/>
        <w:rPr>
          <w:rFonts w:ascii="Times New Roman" w:hAnsi="Times New Roman" w:eastAsia="Times New Roman" w:cs="Times New Roman"/>
          <w:sz w:val="26"/>
          <w:szCs w:val="26"/>
        </w:rPr>
      </w:pPr>
    </w:p>
    <w:p w:rsidR="00EB0219" w:rsidP="00EB0219" w:rsidRDefault="00EB0219" w14:paraId="6A0B8C1F" w14:textId="77777777">
      <w:pPr>
        <w:spacing w:after="0" w:line="240" w:lineRule="auto"/>
        <w:rPr>
          <w:rFonts w:ascii="Times New Roman" w:hAnsi="Times New Roman" w:cs="Times New Roman"/>
          <w:sz w:val="26"/>
          <w:szCs w:val="26"/>
        </w:rPr>
      </w:pPr>
      <w:r w:rsidRPr="009766D0">
        <w:rPr>
          <w:rFonts w:ascii="Times New Roman" w:hAnsi="Times New Roman" w:cs="Times New Roman"/>
          <w:sz w:val="26"/>
          <w:szCs w:val="26"/>
        </w:rPr>
        <w:t xml:space="preserve">FERC did not otherwise consult with members of the public concerning this information collection pursuant to 5 CFR 1320.8(d)(1). </w:t>
      </w:r>
    </w:p>
    <w:p w:rsidRPr="00896875" w:rsidR="00D3795C" w:rsidP="00D3795C" w:rsidRDefault="00D3795C" w14:paraId="4D788C7C"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24B262CA"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EXPLAIN ANY PAYMENT OR GIFTS TO RESPONDENTS</w:t>
      </w:r>
    </w:p>
    <w:p w:rsidRPr="00896875" w:rsidR="00D3795C" w:rsidP="00D3795C" w:rsidRDefault="00D3795C" w14:paraId="6A84AEE1"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50AA2" w:rsidRDefault="00D3795C" w14:paraId="515AFAB7" w14:textId="20750928">
      <w:pPr>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sz w:val="26"/>
          <w:szCs w:val="26"/>
        </w:rPr>
        <w:t>There are no payments or gifts to respondents of this collection.</w:t>
      </w:r>
    </w:p>
    <w:p w:rsidRPr="00896875" w:rsidR="00D3795C" w:rsidP="00D3795C" w:rsidRDefault="00D3795C" w14:paraId="2A5125CF"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06243C30"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DESCRIBE ANY ASSURANCE OF CONFIDENTIALITY PROVIDED TO RESPONDENTS</w:t>
      </w:r>
    </w:p>
    <w:p w:rsidRPr="00896875" w:rsidR="00D3795C" w:rsidP="00D3795C" w:rsidRDefault="00D3795C" w14:paraId="3725A394"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3A0129B3"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considers the information collected to be non-confidential in nature and, therefore, it is made available to the public.  The Commission has determined that release of the information is “necessary to carry out its jurisdictional responsibilities.”</w:t>
      </w:r>
      <w:r w:rsidRPr="00896875">
        <w:rPr>
          <w:rFonts w:ascii="Times New Roman" w:hAnsi="Times New Roman" w:eastAsia="Times New Roman" w:cs="Times New Roman"/>
          <w:sz w:val="26"/>
          <w:szCs w:val="26"/>
          <w:vertAlign w:val="superscript"/>
        </w:rPr>
        <w:footnoteReference w:id="12"/>
      </w:r>
      <w:r w:rsidRPr="00896875">
        <w:rPr>
          <w:rFonts w:ascii="Times New Roman" w:hAnsi="Times New Roman" w:eastAsia="Times New Roman" w:cs="Times New Roman"/>
          <w:sz w:val="26"/>
          <w:szCs w:val="26"/>
        </w:rPr>
        <w:t xml:space="preserve">  The information provides the Commission with relevant and accurate information on which to make decisions.</w:t>
      </w:r>
    </w:p>
    <w:p w:rsidRPr="00896875" w:rsidR="00D3795C" w:rsidP="00D3795C" w:rsidRDefault="00D3795C" w14:paraId="59A99610"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59EEBC14"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Allowing only the Commission and not the public to review the cash management agreements would not meet the goal of providing greater transparency for the protection of rate-paying customers.  This transparency, in turn, will lessen the chance of an acute financial reversal that would harm utility rate paying customers and energy markets.  Respondents that believe the information they submit should be withheld from public view on account of unique circumstances may still request confidential treatment pursuant to § 388.112 of our regulations, stating the rationale for their requests.  However, in general, unsubstantiated assertions that future harm will occur if information contained in cash management agreements is released are insufficient for a specific company to acquire confidential status.</w:t>
      </w:r>
    </w:p>
    <w:p w:rsidRPr="00896875" w:rsidR="00D3795C" w:rsidP="00D3795C" w:rsidRDefault="00D3795C" w14:paraId="36B2240E"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6B1E104A"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PROVIDE ADDITIONAL JUSTIFICATION FOR ANY QUESTIONS OF A SENSITIVE NATURE, SUCH AS SEXUAL BEHAVIOR AND ATTITUDES, RELIGIOUS BELIEFS, AND OTHER MATTERS THAT ARE COMMONLY CONSIDERED PRIVATE</w:t>
      </w:r>
    </w:p>
    <w:p w:rsidRPr="00896875" w:rsidR="00D3795C" w:rsidP="00D3795C" w:rsidRDefault="00D3795C" w14:paraId="7B63D39A"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3FB9AA5D" w14:textId="77777777">
      <w:pPr>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sz w:val="26"/>
          <w:szCs w:val="26"/>
        </w:rPr>
        <w:lastRenderedPageBreak/>
        <w:t xml:space="preserve">There are no questions of a sensitive nature associated with the reporting requirements.  </w:t>
      </w:r>
    </w:p>
    <w:p w:rsidRPr="00896875" w:rsidR="00D3795C" w:rsidP="00D3795C" w:rsidRDefault="00D3795C" w14:paraId="50C98F85"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5F93C412"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ESTIMATED BURDEN COLLECTION OF INFORMATION</w:t>
      </w:r>
    </w:p>
    <w:p w:rsidRPr="00896875" w:rsidR="00D3795C" w:rsidP="00D3795C" w:rsidRDefault="00D3795C" w14:paraId="42D5CFD0" w14:textId="77777777">
      <w:pPr>
        <w:tabs>
          <w:tab w:val="left" w:pos="720"/>
        </w:tabs>
        <w:spacing w:after="0" w:line="240" w:lineRule="auto"/>
        <w:rPr>
          <w:rFonts w:ascii="Times New Roman" w:hAnsi="Times New Roman" w:eastAsia="Times New Roman" w:cs="Times New Roman"/>
          <w:b/>
          <w:sz w:val="26"/>
          <w:szCs w:val="26"/>
        </w:rPr>
      </w:pPr>
    </w:p>
    <w:tbl>
      <w:tblPr>
        <w:tblW w:w="535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2"/>
        <w:gridCol w:w="1531"/>
        <w:gridCol w:w="1404"/>
        <w:gridCol w:w="1427"/>
        <w:gridCol w:w="2352"/>
        <w:gridCol w:w="1659"/>
      </w:tblGrid>
      <w:tr w:rsidRPr="00896875" w:rsidR="00D3795C" w:rsidTr="00D3795C" w14:paraId="48B86B83" w14:textId="77777777">
        <w:trPr>
          <w:cantSplit/>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hideMark/>
          </w:tcPr>
          <w:p w:rsidRPr="00896875" w:rsidR="00D3795C" w:rsidP="00D3795C" w:rsidRDefault="00D3795C" w14:paraId="1F924045" w14:textId="77777777">
            <w:pPr>
              <w:widowControl w:val="0"/>
              <w:tabs>
                <w:tab w:val="left" w:pos="720"/>
              </w:tabs>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Times New Roman" w:cs="Times New Roman"/>
                <w:b/>
                <w:sz w:val="26"/>
                <w:szCs w:val="26"/>
              </w:rPr>
              <w:t>FERC-604, Cash Management Agreements</w:t>
            </w:r>
          </w:p>
        </w:tc>
      </w:tr>
      <w:tr w:rsidRPr="00896875" w:rsidR="00D3795C" w:rsidTr="00D3795C" w14:paraId="31A8DDE2" w14:textId="77777777">
        <w:trPr>
          <w:cantSplit/>
        </w:trPr>
        <w:tc>
          <w:tcPr>
            <w:tcW w:w="7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66014F43"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Number of Respondents</w:t>
            </w:r>
            <w:r w:rsidRPr="00896875">
              <w:rPr>
                <w:rFonts w:ascii="Times New Roman" w:hAnsi="Times New Roman" w:eastAsia="Calibri" w:cs="Times New Roman"/>
                <w:b/>
                <w:sz w:val="26"/>
                <w:szCs w:val="26"/>
              </w:rPr>
              <w:br/>
              <w:t>(1)</w:t>
            </w:r>
          </w:p>
        </w:tc>
        <w:tc>
          <w:tcPr>
            <w:tcW w:w="7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5B4AB2E7"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Annual Number of Responses per Respondent</w:t>
            </w:r>
          </w:p>
          <w:p w:rsidRPr="00896875" w:rsidR="00D3795C" w:rsidP="00D3795C" w:rsidRDefault="00D3795C" w14:paraId="5BBE2188"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(2)</w:t>
            </w:r>
          </w:p>
        </w:tc>
        <w:tc>
          <w:tcPr>
            <w:tcW w:w="70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2819418A"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Total Number of Responses (</w:t>
            </w:r>
            <w:proofErr w:type="gramStart"/>
            <w:r w:rsidRPr="00896875">
              <w:rPr>
                <w:rFonts w:ascii="Times New Roman" w:hAnsi="Times New Roman" w:eastAsia="Calibri" w:cs="Times New Roman"/>
                <w:b/>
                <w:sz w:val="26"/>
                <w:szCs w:val="26"/>
              </w:rPr>
              <w:t>1)*</w:t>
            </w:r>
            <w:proofErr w:type="gramEnd"/>
            <w:r w:rsidRPr="00896875">
              <w:rPr>
                <w:rFonts w:ascii="Times New Roman" w:hAnsi="Times New Roman" w:eastAsia="Calibri" w:cs="Times New Roman"/>
                <w:b/>
                <w:sz w:val="26"/>
                <w:szCs w:val="26"/>
              </w:rPr>
              <w:t>(2)=(3)</w:t>
            </w:r>
          </w:p>
        </w:tc>
        <w:tc>
          <w:tcPr>
            <w:tcW w:w="6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6BF40A85" w14:textId="48839502">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Average Burden &amp; Cost</w:t>
            </w:r>
            <w:r w:rsidR="00B27FDF">
              <w:rPr>
                <w:rFonts w:ascii="Times New Roman" w:hAnsi="Times New Roman" w:eastAsia="Calibri" w:cs="Times New Roman"/>
                <w:b/>
                <w:sz w:val="26"/>
                <w:szCs w:val="26"/>
              </w:rPr>
              <w:t xml:space="preserve"> ($)</w:t>
            </w:r>
            <w:r w:rsidRPr="00896875">
              <w:rPr>
                <w:rFonts w:ascii="Times New Roman" w:hAnsi="Times New Roman" w:eastAsia="Calibri" w:cs="Times New Roman"/>
                <w:b/>
                <w:sz w:val="26"/>
                <w:szCs w:val="26"/>
              </w:rPr>
              <w:t xml:space="preserve"> Per Response</w:t>
            </w:r>
            <w:r w:rsidRPr="00896875">
              <w:rPr>
                <w:rFonts w:ascii="Times New Roman" w:hAnsi="Times New Roman" w:eastAsia="Calibri" w:cs="Times New Roman"/>
                <w:b/>
                <w:sz w:val="26"/>
                <w:szCs w:val="26"/>
                <w:vertAlign w:val="superscript"/>
              </w:rPr>
              <w:footnoteReference w:id="13"/>
            </w:r>
          </w:p>
          <w:p w:rsidRPr="00896875" w:rsidR="00D3795C" w:rsidP="00D3795C" w:rsidRDefault="00D3795C" w14:paraId="0C4483C9"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(4)</w:t>
            </w:r>
          </w:p>
        </w:tc>
        <w:tc>
          <w:tcPr>
            <w:tcW w:w="127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3B80660D" w14:textId="67CB405C">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Total Annual Burden Hours &amp; Total Annual Cost</w:t>
            </w:r>
            <w:r w:rsidR="00B27FDF">
              <w:rPr>
                <w:rFonts w:ascii="Times New Roman" w:hAnsi="Times New Roman" w:eastAsia="Calibri" w:cs="Times New Roman"/>
                <w:b/>
                <w:sz w:val="26"/>
                <w:szCs w:val="26"/>
              </w:rPr>
              <w:t xml:space="preserve"> ($)</w:t>
            </w:r>
          </w:p>
          <w:p w:rsidRPr="00896875" w:rsidR="00D3795C" w:rsidP="00D3795C" w:rsidRDefault="00D3795C" w14:paraId="47D7C4C2"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w:t>
            </w:r>
            <w:proofErr w:type="gramStart"/>
            <w:r w:rsidRPr="00896875">
              <w:rPr>
                <w:rFonts w:ascii="Times New Roman" w:hAnsi="Times New Roman" w:eastAsia="Calibri" w:cs="Times New Roman"/>
                <w:b/>
                <w:sz w:val="26"/>
                <w:szCs w:val="26"/>
              </w:rPr>
              <w:t>3)*</w:t>
            </w:r>
            <w:proofErr w:type="gramEnd"/>
            <w:r w:rsidRPr="00896875">
              <w:rPr>
                <w:rFonts w:ascii="Times New Roman" w:hAnsi="Times New Roman" w:eastAsia="Calibri" w:cs="Times New Roman"/>
                <w:b/>
                <w:sz w:val="26"/>
                <w:szCs w:val="26"/>
              </w:rPr>
              <w:t>(4)=(5)</w:t>
            </w:r>
          </w:p>
        </w:tc>
        <w:tc>
          <w:tcPr>
            <w:tcW w:w="87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3BA41D9E"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Cost per Respondent</w:t>
            </w:r>
          </w:p>
          <w:p w:rsidRPr="00896875" w:rsidR="00D3795C" w:rsidP="00D3795C" w:rsidRDefault="00D3795C" w14:paraId="221119C1"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 xml:space="preserve"> ($)</w:t>
            </w:r>
          </w:p>
          <w:p w:rsidRPr="00896875" w:rsidR="00D3795C" w:rsidP="00D3795C" w:rsidRDefault="00D3795C" w14:paraId="0515D569" w14:textId="77777777">
            <w:pPr>
              <w:widowControl w:val="0"/>
              <w:autoSpaceDE w:val="0"/>
              <w:autoSpaceDN w:val="0"/>
              <w:adjustRightInd w:val="0"/>
              <w:spacing w:after="0" w:line="276" w:lineRule="auto"/>
              <w:jc w:val="center"/>
              <w:rPr>
                <w:rFonts w:ascii="Times New Roman" w:hAnsi="Times New Roman" w:eastAsia="Calibri" w:cs="Times New Roman"/>
                <w:b/>
                <w:sz w:val="26"/>
                <w:szCs w:val="26"/>
              </w:rPr>
            </w:pPr>
            <w:r w:rsidRPr="00896875">
              <w:rPr>
                <w:rFonts w:ascii="Times New Roman" w:hAnsi="Times New Roman" w:eastAsia="Calibri" w:cs="Times New Roman"/>
                <w:b/>
                <w:sz w:val="26"/>
                <w:szCs w:val="26"/>
              </w:rPr>
              <w:t>(</w:t>
            </w:r>
            <w:proofErr w:type="gramStart"/>
            <w:r w:rsidRPr="00896875">
              <w:rPr>
                <w:rFonts w:ascii="Times New Roman" w:hAnsi="Times New Roman" w:eastAsia="Calibri" w:cs="Times New Roman"/>
                <w:b/>
                <w:sz w:val="26"/>
                <w:szCs w:val="26"/>
              </w:rPr>
              <w:t>5)÷</w:t>
            </w:r>
            <w:proofErr w:type="gramEnd"/>
            <w:r w:rsidRPr="00896875">
              <w:rPr>
                <w:rFonts w:ascii="Times New Roman" w:hAnsi="Times New Roman" w:eastAsia="Calibri" w:cs="Times New Roman"/>
                <w:b/>
                <w:sz w:val="26"/>
                <w:szCs w:val="26"/>
              </w:rPr>
              <w:t>(1)</w:t>
            </w:r>
          </w:p>
        </w:tc>
      </w:tr>
      <w:tr w:rsidRPr="00896875" w:rsidR="00D3795C" w:rsidTr="00D3795C" w14:paraId="1021FD6A" w14:textId="77777777">
        <w:trPr>
          <w:cantSplit/>
        </w:trPr>
        <w:tc>
          <w:tcPr>
            <w:tcW w:w="746" w:type="pct"/>
            <w:tcBorders>
              <w:top w:val="single" w:color="auto" w:sz="4" w:space="0"/>
              <w:left w:val="single" w:color="auto" w:sz="4" w:space="0"/>
              <w:bottom w:val="single" w:color="auto" w:sz="4" w:space="0"/>
              <w:right w:val="single" w:color="auto" w:sz="4" w:space="0"/>
            </w:tcBorders>
          </w:tcPr>
          <w:p w:rsidRPr="00896875" w:rsidR="00D3795C" w:rsidP="00D3795C" w:rsidRDefault="00064F3A" w14:paraId="3654FE8B"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3</w:t>
            </w:r>
            <w:r w:rsidRPr="00896875" w:rsidR="00D3795C">
              <w:rPr>
                <w:rFonts w:ascii="Times New Roman" w:hAnsi="Times New Roman" w:eastAsia="Calibri" w:cs="Times New Roman"/>
                <w:sz w:val="26"/>
                <w:szCs w:val="26"/>
              </w:rPr>
              <w:t>5</w:t>
            </w:r>
          </w:p>
          <w:p w:rsidRPr="00896875" w:rsidR="00D3795C" w:rsidP="00D3795C" w:rsidRDefault="00D3795C" w14:paraId="75B5F35C"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p>
        </w:tc>
        <w:tc>
          <w:tcPr>
            <w:tcW w:w="746"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6045FA98"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1</w:t>
            </w:r>
          </w:p>
        </w:tc>
        <w:tc>
          <w:tcPr>
            <w:tcW w:w="703" w:type="pct"/>
            <w:tcBorders>
              <w:top w:val="single" w:color="auto" w:sz="4" w:space="0"/>
              <w:left w:val="single" w:color="auto" w:sz="4" w:space="0"/>
              <w:bottom w:val="single" w:color="auto" w:sz="4" w:space="0"/>
              <w:right w:val="single" w:color="auto" w:sz="4" w:space="0"/>
            </w:tcBorders>
            <w:hideMark/>
          </w:tcPr>
          <w:p w:rsidRPr="00896875" w:rsidR="00D3795C" w:rsidP="00D3795C" w:rsidRDefault="00064F3A" w14:paraId="77AB81E4"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3</w:t>
            </w:r>
            <w:r w:rsidRPr="00896875" w:rsidR="00D3795C">
              <w:rPr>
                <w:rFonts w:ascii="Times New Roman" w:hAnsi="Times New Roman" w:eastAsia="Calibri" w:cs="Times New Roman"/>
                <w:sz w:val="26"/>
                <w:szCs w:val="26"/>
              </w:rPr>
              <w:t>5</w:t>
            </w:r>
          </w:p>
        </w:tc>
        <w:tc>
          <w:tcPr>
            <w:tcW w:w="654"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09A2FE85"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1.5 hrs.;</w:t>
            </w:r>
          </w:p>
          <w:p w:rsidRPr="00896875" w:rsidR="00D3795C" w:rsidP="00D3795C" w:rsidRDefault="00D3795C" w14:paraId="4D0ADD01" w14:textId="7E27593D">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$1</w:t>
            </w:r>
            <w:r w:rsidRPr="00896875" w:rsidR="00064F3A">
              <w:rPr>
                <w:rFonts w:ascii="Times New Roman" w:hAnsi="Times New Roman" w:eastAsia="Calibri" w:cs="Times New Roman"/>
                <w:sz w:val="26"/>
                <w:szCs w:val="26"/>
              </w:rPr>
              <w:t>20</w:t>
            </w:r>
          </w:p>
        </w:tc>
        <w:tc>
          <w:tcPr>
            <w:tcW w:w="1273"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34CD3B0B"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 xml:space="preserve"> </w:t>
            </w:r>
            <w:r w:rsidRPr="00896875" w:rsidR="00064F3A">
              <w:rPr>
                <w:rFonts w:ascii="Times New Roman" w:hAnsi="Times New Roman" w:eastAsia="Calibri" w:cs="Times New Roman"/>
                <w:sz w:val="26"/>
                <w:szCs w:val="26"/>
              </w:rPr>
              <w:t>52.5</w:t>
            </w:r>
            <w:r w:rsidRPr="00896875">
              <w:rPr>
                <w:rFonts w:ascii="Times New Roman" w:hAnsi="Times New Roman" w:eastAsia="Calibri" w:cs="Times New Roman"/>
                <w:sz w:val="26"/>
                <w:szCs w:val="26"/>
              </w:rPr>
              <w:t xml:space="preserve"> hrs.;</w:t>
            </w:r>
          </w:p>
          <w:p w:rsidRPr="00896875" w:rsidR="00D3795C" w:rsidP="00D3795C" w:rsidRDefault="00D3795C" w14:paraId="405EDA01" w14:textId="73E7E6E0">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w:t>
            </w:r>
            <w:r w:rsidRPr="00896875" w:rsidR="00064F3A">
              <w:rPr>
                <w:rFonts w:ascii="Times New Roman" w:hAnsi="Times New Roman" w:eastAsia="Calibri" w:cs="Times New Roman"/>
                <w:sz w:val="26"/>
                <w:szCs w:val="26"/>
              </w:rPr>
              <w:t>4,200</w:t>
            </w:r>
            <w:r w:rsidRPr="00896875">
              <w:rPr>
                <w:rFonts w:ascii="Times New Roman" w:hAnsi="Times New Roman" w:eastAsia="Calibri" w:cs="Times New Roman"/>
                <w:sz w:val="26"/>
                <w:szCs w:val="26"/>
              </w:rPr>
              <w:t xml:space="preserve"> </w:t>
            </w:r>
          </w:p>
        </w:tc>
        <w:tc>
          <w:tcPr>
            <w:tcW w:w="878" w:type="pct"/>
            <w:tcBorders>
              <w:top w:val="single" w:color="auto" w:sz="4" w:space="0"/>
              <w:left w:val="single" w:color="auto" w:sz="4" w:space="0"/>
              <w:bottom w:val="single" w:color="auto" w:sz="4" w:space="0"/>
              <w:right w:val="single" w:color="auto" w:sz="4" w:space="0"/>
            </w:tcBorders>
          </w:tcPr>
          <w:p w:rsidRPr="00896875" w:rsidR="00D3795C" w:rsidP="00D3795C" w:rsidRDefault="00D3795C" w14:paraId="11DE3D5F" w14:textId="2B7F55C0">
            <w:pPr>
              <w:widowControl w:val="0"/>
              <w:autoSpaceDE w:val="0"/>
              <w:autoSpaceDN w:val="0"/>
              <w:adjustRightInd w:val="0"/>
              <w:spacing w:after="0" w:line="276" w:lineRule="auto"/>
              <w:jc w:val="right"/>
              <w:rPr>
                <w:rFonts w:ascii="Times New Roman" w:hAnsi="Times New Roman" w:eastAsia="Calibri" w:cs="Times New Roman"/>
                <w:sz w:val="26"/>
                <w:szCs w:val="26"/>
              </w:rPr>
            </w:pPr>
            <w:r w:rsidRPr="00896875">
              <w:rPr>
                <w:rFonts w:ascii="Times New Roman" w:hAnsi="Times New Roman" w:eastAsia="Calibri" w:cs="Times New Roman"/>
                <w:sz w:val="26"/>
                <w:szCs w:val="26"/>
              </w:rPr>
              <w:t>$1</w:t>
            </w:r>
            <w:r w:rsidRPr="00896875" w:rsidR="00064F3A">
              <w:rPr>
                <w:rFonts w:ascii="Times New Roman" w:hAnsi="Times New Roman" w:eastAsia="Calibri" w:cs="Times New Roman"/>
                <w:sz w:val="26"/>
                <w:szCs w:val="26"/>
              </w:rPr>
              <w:t>20</w:t>
            </w:r>
            <w:r w:rsidRPr="00896875">
              <w:rPr>
                <w:rFonts w:ascii="Times New Roman" w:hAnsi="Times New Roman" w:eastAsia="Calibri" w:cs="Times New Roman"/>
                <w:sz w:val="26"/>
                <w:szCs w:val="26"/>
              </w:rPr>
              <w:t xml:space="preserve"> </w:t>
            </w:r>
          </w:p>
          <w:p w:rsidRPr="00896875" w:rsidR="00D3795C" w:rsidP="00D3795C" w:rsidRDefault="00D3795C" w14:paraId="15E5134C" w14:textId="77777777">
            <w:pPr>
              <w:widowControl w:val="0"/>
              <w:autoSpaceDE w:val="0"/>
              <w:autoSpaceDN w:val="0"/>
              <w:adjustRightInd w:val="0"/>
              <w:spacing w:after="0" w:line="276" w:lineRule="auto"/>
              <w:jc w:val="right"/>
              <w:rPr>
                <w:rFonts w:ascii="Times New Roman" w:hAnsi="Times New Roman" w:eastAsia="Calibri" w:cs="Times New Roman"/>
                <w:sz w:val="26"/>
                <w:szCs w:val="26"/>
              </w:rPr>
            </w:pPr>
          </w:p>
        </w:tc>
      </w:tr>
    </w:tbl>
    <w:p w:rsidRPr="00896875" w:rsidR="00D3795C" w:rsidP="00D3795C" w:rsidRDefault="00D3795C" w14:paraId="030384D5"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390B9122"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b/>
          <w:sz w:val="26"/>
          <w:szCs w:val="26"/>
        </w:rPr>
        <w:t>ESTIMATE OF THE TOTAL ANNUAL COST BURDEN TO RESPONDENTS</w:t>
      </w:r>
    </w:p>
    <w:p w:rsidRPr="00896875" w:rsidR="00D3795C" w:rsidP="00D3795C" w:rsidRDefault="00D3795C" w14:paraId="0BCB9036"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1B681D58" w14:textId="77777777">
      <w:pPr>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There are no non-labor start-up costs. All costs are related to burden hours and are addressed in Questions #12 and #15.</w:t>
      </w:r>
    </w:p>
    <w:p w:rsidRPr="00896875" w:rsidR="00D3795C" w:rsidP="00D3795C" w:rsidRDefault="00D3795C" w14:paraId="043A7584" w14:textId="77777777">
      <w:pPr>
        <w:tabs>
          <w:tab w:val="left" w:pos="720"/>
        </w:tabs>
        <w:spacing w:after="0" w:line="240" w:lineRule="auto"/>
        <w:rPr>
          <w:rFonts w:ascii="Times New Roman" w:hAnsi="Times New Roman" w:eastAsia="Times New Roman" w:cs="Times New Roman"/>
          <w:sz w:val="26"/>
          <w:szCs w:val="26"/>
        </w:rPr>
      </w:pPr>
    </w:p>
    <w:p w:rsidRPr="00896875" w:rsidR="00D3795C" w:rsidP="00D3795C" w:rsidRDefault="00D3795C" w14:paraId="51BAF370"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ESTIMATED ANNUALIZED COST TO FEDERAL GOVERNMENT</w:t>
      </w:r>
    </w:p>
    <w:p w:rsidR="00D3795C" w:rsidP="00D3795C" w:rsidRDefault="00D3795C" w14:paraId="0C19E928" w14:textId="382376CA">
      <w:pPr>
        <w:tabs>
          <w:tab w:val="left" w:pos="720"/>
        </w:tabs>
        <w:spacing w:after="0" w:line="240" w:lineRule="auto"/>
        <w:rPr>
          <w:rFonts w:ascii="Times New Roman" w:hAnsi="Times New Roman" w:eastAsia="Times New Roman" w:cs="Times New Roman"/>
          <w:b/>
          <w:sz w:val="26"/>
          <w:szCs w:val="26"/>
        </w:rPr>
      </w:pPr>
    </w:p>
    <w:p w:rsidR="00C01E3B" w:rsidP="00C01E3B" w:rsidRDefault="00C01E3B" w14:paraId="4D8EDD83" w14:textId="610EB1E3">
      <w:pPr>
        <w:spacing w:after="0" w:line="240" w:lineRule="auto"/>
        <w:rPr>
          <w:rFonts w:ascii="Times New Roman" w:hAnsi="Times New Roman" w:eastAsia="Calibri" w:cs="Times New Roman"/>
          <w:sz w:val="26"/>
          <w:szCs w:val="26"/>
        </w:rPr>
      </w:pPr>
      <w:r w:rsidRPr="00C01E3B">
        <w:rPr>
          <w:rFonts w:ascii="Times New Roman" w:hAnsi="Times New Roman" w:eastAsia="Calibri" w:cs="Times New Roman"/>
          <w:sz w:val="26"/>
          <w:szCs w:val="26"/>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rsidRPr="00C01E3B" w:rsidR="00EF3F6E" w:rsidP="00C01E3B" w:rsidRDefault="00EF3F6E" w14:paraId="0BCB28D6" w14:textId="77777777">
      <w:pPr>
        <w:spacing w:after="0" w:line="240" w:lineRule="auto"/>
        <w:rPr>
          <w:rFonts w:ascii="Times New Roman" w:hAnsi="Times New Roman" w:eastAsia="Calibri" w:cs="Times New Roman"/>
          <w:sz w:val="26"/>
          <w:szCs w:val="26"/>
        </w:rPr>
      </w:pPr>
    </w:p>
    <w:p w:rsidR="00C01E3B" w:rsidP="00C01E3B" w:rsidRDefault="00EF3F6E" w14:paraId="7CD4DAE7" w14:textId="49F40112">
      <w:pPr>
        <w:spacing w:after="0" w:line="240" w:lineRule="auto"/>
        <w:rPr>
          <w:rFonts w:ascii="Times New Roman" w:hAnsi="Times New Roman" w:eastAsia="Calibri" w:cs="Times New Roman"/>
          <w:sz w:val="26"/>
          <w:szCs w:val="26"/>
        </w:rPr>
      </w:pPr>
      <w:r w:rsidRPr="00EF3F6E">
        <w:rPr>
          <w:rFonts w:ascii="Times New Roman" w:hAnsi="Times New Roman" w:eastAsia="Calibri" w:cs="Times New Roman"/>
          <w:sz w:val="26"/>
          <w:szCs w:val="26"/>
        </w:rPr>
        <w:t>The Commission does incur the costs associated with obtaining OMB clearance for FERC-</w:t>
      </w:r>
      <w:r>
        <w:rPr>
          <w:rFonts w:ascii="Times New Roman" w:hAnsi="Times New Roman" w:eastAsia="Calibri" w:cs="Times New Roman"/>
          <w:sz w:val="26"/>
          <w:szCs w:val="26"/>
        </w:rPr>
        <w:t>604</w:t>
      </w:r>
      <w:r w:rsidRPr="00EF3F6E">
        <w:rPr>
          <w:rFonts w:ascii="Times New Roman" w:hAnsi="Times New Roman" w:eastAsia="Calibri" w:cs="Times New Roman"/>
          <w:sz w:val="26"/>
          <w:szCs w:val="26"/>
        </w:rPr>
        <w:t xml:space="preserve"> collection under the Paperwork Reduction Act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FERC estimates the annual cost for this effort to be $4,</w:t>
      </w:r>
      <w:r w:rsidR="009D24AF">
        <w:rPr>
          <w:rFonts w:ascii="Times New Roman" w:hAnsi="Times New Roman" w:eastAsia="Calibri" w:cs="Times New Roman"/>
          <w:sz w:val="26"/>
          <w:szCs w:val="26"/>
        </w:rPr>
        <w:t>832</w:t>
      </w:r>
      <w:r w:rsidRPr="00EF3F6E">
        <w:rPr>
          <w:rFonts w:ascii="Times New Roman" w:hAnsi="Times New Roman" w:eastAsia="Calibri" w:cs="Times New Roman"/>
          <w:sz w:val="26"/>
          <w:szCs w:val="26"/>
        </w:rPr>
        <w:t>.00.</w:t>
      </w:r>
    </w:p>
    <w:p w:rsidRPr="00C01E3B" w:rsidR="00EF3F6E" w:rsidP="00C01E3B" w:rsidRDefault="00EF3F6E" w14:paraId="01B9E017" w14:textId="77777777">
      <w:pPr>
        <w:spacing w:after="0" w:line="240" w:lineRule="auto"/>
        <w:rPr>
          <w:rFonts w:ascii="Times New Roman" w:hAnsi="Times New Roman" w:eastAsia="Calibri" w:cs="Times New Roman"/>
          <w:sz w:val="26"/>
          <w:szCs w:val="26"/>
        </w:rPr>
      </w:pPr>
    </w:p>
    <w:p w:rsidRPr="00896875" w:rsidR="00D3795C" w:rsidP="00D3795C" w:rsidRDefault="00D3795C" w14:paraId="5912525C" w14:textId="77777777">
      <w:pPr>
        <w:spacing w:after="0" w:line="240" w:lineRule="auto"/>
        <w:ind w:left="720"/>
        <w:contextualSpacing/>
        <w:rPr>
          <w:rFonts w:ascii="Times New Roman" w:hAnsi="Times New Roman" w:eastAsia="Times New Roman" w:cs="Times New Roman"/>
          <w:b/>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896875" w:rsidR="00D3795C" w:rsidTr="00D3795C" w14:paraId="2F9AFC74" w14:textId="77777777">
        <w:tc>
          <w:tcPr>
            <w:tcW w:w="1756" w:type="pct"/>
            <w:tcBorders>
              <w:top w:val="single" w:color="auto" w:sz="4" w:space="0"/>
              <w:left w:val="single" w:color="auto" w:sz="4" w:space="0"/>
              <w:bottom w:val="single" w:color="auto" w:sz="4" w:space="0"/>
              <w:right w:val="single" w:color="auto" w:sz="4" w:space="0"/>
            </w:tcBorders>
            <w:shd w:val="clear" w:color="auto" w:fill="D9D9D9"/>
            <w:vAlign w:val="center"/>
          </w:tcPr>
          <w:p w:rsidRPr="00896875" w:rsidR="00D3795C" w:rsidP="00D3795C" w:rsidRDefault="00D3795C" w14:paraId="2EEE816B" w14:textId="77777777">
            <w:pPr>
              <w:spacing w:after="0" w:line="240" w:lineRule="auto"/>
              <w:contextualSpacing/>
              <w:rPr>
                <w:rFonts w:ascii="Times New Roman" w:hAnsi="Times New Roman" w:eastAsia="Times New Roman" w:cs="Times New Roman"/>
                <w:b/>
                <w:sz w:val="26"/>
                <w:szCs w:val="26"/>
              </w:rPr>
            </w:pPr>
          </w:p>
        </w:tc>
        <w:tc>
          <w:tcPr>
            <w:tcW w:w="1627"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896875" w:rsidR="00D3795C" w:rsidP="00D3795C" w:rsidRDefault="00D3795C" w14:paraId="0EE7B23A" w14:textId="77777777">
            <w:pPr>
              <w:spacing w:after="0" w:line="240" w:lineRule="auto"/>
              <w:contextualSpacing/>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Number of Employees (FTE)</w:t>
            </w:r>
          </w:p>
        </w:tc>
        <w:tc>
          <w:tcPr>
            <w:tcW w:w="1617"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896875" w:rsidR="00D3795C" w:rsidP="00D3795C" w:rsidRDefault="00D3795C" w14:paraId="69AD1211" w14:textId="77777777">
            <w:pPr>
              <w:spacing w:after="0" w:line="240" w:lineRule="auto"/>
              <w:contextualSpacing/>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Estimated Annual Federal Cost</w:t>
            </w:r>
          </w:p>
        </w:tc>
      </w:tr>
      <w:tr w:rsidRPr="00896875" w:rsidR="00D3795C" w:rsidTr="00D3795C" w14:paraId="032F8539" w14:textId="77777777">
        <w:tc>
          <w:tcPr>
            <w:tcW w:w="1756"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67D3C5A8" w14:textId="77777777">
            <w:pPr>
              <w:spacing w:after="0" w:line="240" w:lineRule="auto"/>
              <w:contextualSpacing/>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Analysis and Processing of Filings</w:t>
            </w:r>
            <w:r w:rsidRPr="00896875">
              <w:rPr>
                <w:rFonts w:ascii="Times New Roman" w:hAnsi="Times New Roman" w:eastAsia="Times New Roman" w:cs="Times New Roman"/>
                <w:sz w:val="26"/>
                <w:szCs w:val="26"/>
                <w:vertAlign w:val="superscript"/>
              </w:rPr>
              <w:footnoteReference w:id="14"/>
            </w:r>
          </w:p>
        </w:tc>
        <w:tc>
          <w:tcPr>
            <w:tcW w:w="1627"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42529DDD" w14:textId="77777777">
            <w:pPr>
              <w:spacing w:after="0" w:line="240" w:lineRule="auto"/>
              <w:contextualSpacing/>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0.3</w:t>
            </w:r>
          </w:p>
        </w:tc>
        <w:tc>
          <w:tcPr>
            <w:tcW w:w="1617"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767F0D56" w14:textId="71BD2323">
            <w:pPr>
              <w:spacing w:after="0" w:line="240" w:lineRule="auto"/>
              <w:contextualSpacing/>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w:t>
            </w:r>
            <w:r w:rsidRPr="00896875" w:rsidR="00783DEE">
              <w:rPr>
                <w:rFonts w:ascii="Times New Roman" w:hAnsi="Times New Roman" w:eastAsia="Times New Roman" w:cs="Times New Roman"/>
                <w:sz w:val="26"/>
                <w:szCs w:val="26"/>
              </w:rPr>
              <w:t>50,127</w:t>
            </w:r>
            <w:r w:rsidRPr="00896875" w:rsidR="001844A0">
              <w:rPr>
                <w:rFonts w:ascii="Times New Roman" w:hAnsi="Times New Roman" w:eastAsia="Times New Roman" w:cs="Times New Roman"/>
                <w:sz w:val="26"/>
                <w:szCs w:val="26"/>
              </w:rPr>
              <w:t>.30</w:t>
            </w:r>
          </w:p>
        </w:tc>
      </w:tr>
      <w:tr w:rsidRPr="00896875" w:rsidR="00D3795C" w:rsidTr="00D3795C" w14:paraId="595EE1E1" w14:textId="77777777">
        <w:tc>
          <w:tcPr>
            <w:tcW w:w="1756"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51167B40" w14:textId="098297AA">
            <w:pPr>
              <w:spacing w:after="0" w:line="240" w:lineRule="auto"/>
              <w:contextualSpacing/>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PRA Administrative Cost</w:t>
            </w:r>
          </w:p>
        </w:tc>
        <w:tc>
          <w:tcPr>
            <w:tcW w:w="1627" w:type="pct"/>
            <w:tcBorders>
              <w:top w:val="single" w:color="auto" w:sz="4" w:space="0"/>
              <w:left w:val="single" w:color="auto" w:sz="4" w:space="0"/>
              <w:bottom w:val="single" w:color="auto" w:sz="4" w:space="0"/>
              <w:right w:val="single" w:color="auto" w:sz="4" w:space="0"/>
            </w:tcBorders>
            <w:shd w:val="clear" w:color="auto" w:fill="D9D9D9"/>
            <w:vAlign w:val="center"/>
          </w:tcPr>
          <w:p w:rsidRPr="00896875" w:rsidR="00D3795C" w:rsidP="00D3795C" w:rsidRDefault="00D3795C" w14:paraId="66833226" w14:textId="77777777">
            <w:pPr>
              <w:spacing w:after="0" w:line="240" w:lineRule="auto"/>
              <w:contextualSpacing/>
              <w:jc w:val="right"/>
              <w:rPr>
                <w:rFonts w:ascii="Times New Roman" w:hAnsi="Times New Roman" w:eastAsia="Times New Roman" w:cs="Times New Roman"/>
                <w:b/>
                <w:sz w:val="26"/>
                <w:szCs w:val="26"/>
              </w:rPr>
            </w:pPr>
          </w:p>
        </w:tc>
        <w:tc>
          <w:tcPr>
            <w:tcW w:w="1617"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5227BBDD" w14:textId="7FF9F829">
            <w:pPr>
              <w:spacing w:after="0" w:line="240" w:lineRule="auto"/>
              <w:contextualSpacing/>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w:t>
            </w:r>
            <w:r w:rsidRPr="00896875" w:rsidR="0047354E">
              <w:rPr>
                <w:rFonts w:ascii="Times New Roman" w:hAnsi="Times New Roman" w:eastAsia="Times New Roman" w:cs="Times New Roman"/>
                <w:sz w:val="26"/>
                <w:szCs w:val="26"/>
              </w:rPr>
              <w:t>4,832</w:t>
            </w:r>
          </w:p>
        </w:tc>
      </w:tr>
      <w:tr w:rsidRPr="00896875" w:rsidR="00D3795C" w:rsidTr="00D3795C" w14:paraId="69D1FC24" w14:textId="77777777">
        <w:tc>
          <w:tcPr>
            <w:tcW w:w="1756"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280C515A" w14:textId="77777777">
            <w:pPr>
              <w:spacing w:after="0" w:line="240" w:lineRule="auto"/>
              <w:contextualSpacing/>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FERC Total</w:t>
            </w:r>
          </w:p>
        </w:tc>
        <w:tc>
          <w:tcPr>
            <w:tcW w:w="1627" w:type="pct"/>
            <w:tcBorders>
              <w:top w:val="single" w:color="auto" w:sz="4" w:space="0"/>
              <w:left w:val="single" w:color="auto" w:sz="4" w:space="0"/>
              <w:bottom w:val="single" w:color="auto" w:sz="4" w:space="0"/>
              <w:right w:val="single" w:color="auto" w:sz="4" w:space="0"/>
            </w:tcBorders>
            <w:shd w:val="clear" w:color="auto" w:fill="D9D9D9"/>
            <w:vAlign w:val="center"/>
          </w:tcPr>
          <w:p w:rsidRPr="00896875" w:rsidR="00D3795C" w:rsidP="00D3795C" w:rsidRDefault="00D3795C" w14:paraId="7B99B0A6" w14:textId="77777777">
            <w:pPr>
              <w:spacing w:after="0" w:line="240" w:lineRule="auto"/>
              <w:contextualSpacing/>
              <w:jc w:val="right"/>
              <w:rPr>
                <w:rFonts w:ascii="Times New Roman" w:hAnsi="Times New Roman" w:eastAsia="Times New Roman" w:cs="Times New Roman"/>
                <w:b/>
                <w:sz w:val="26"/>
                <w:szCs w:val="26"/>
              </w:rPr>
            </w:pPr>
          </w:p>
        </w:tc>
        <w:tc>
          <w:tcPr>
            <w:tcW w:w="1617"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521AD108" w14:textId="33B2463D">
            <w:pPr>
              <w:spacing w:after="0" w:line="240" w:lineRule="auto"/>
              <w:contextualSpacing/>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w:t>
            </w:r>
            <w:r w:rsidRPr="00896875" w:rsidR="001844A0">
              <w:rPr>
                <w:rFonts w:ascii="Times New Roman" w:hAnsi="Times New Roman" w:eastAsia="Times New Roman" w:cs="Times New Roman"/>
                <w:sz w:val="26"/>
                <w:szCs w:val="26"/>
              </w:rPr>
              <w:t>54,959.30</w:t>
            </w:r>
          </w:p>
        </w:tc>
      </w:tr>
    </w:tbl>
    <w:p w:rsidRPr="00896875" w:rsidR="00D3795C" w:rsidP="00D3795C" w:rsidRDefault="00D3795C" w14:paraId="37C2E1EC" w14:textId="77777777">
      <w:pPr>
        <w:spacing w:after="0" w:line="240" w:lineRule="auto"/>
        <w:ind w:left="720"/>
        <w:contextualSpacing/>
        <w:rPr>
          <w:rFonts w:ascii="Times New Roman" w:hAnsi="Times New Roman" w:eastAsia="Times New Roman" w:cs="Times New Roman"/>
          <w:b/>
          <w:sz w:val="26"/>
          <w:szCs w:val="26"/>
        </w:rPr>
      </w:pPr>
    </w:p>
    <w:p w:rsidRPr="00896875" w:rsidR="00D3795C" w:rsidP="00D3795C" w:rsidRDefault="00D3795C" w14:paraId="53B7F870"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REASONS FOR CHANGES IN BURDEN INCLUDING THE NEED FOR ANY INCREASE</w:t>
      </w:r>
    </w:p>
    <w:p w:rsidRPr="00896875" w:rsidR="00D3795C" w:rsidP="00D3795C" w:rsidRDefault="00D3795C" w14:paraId="53C2CBD6" w14:textId="77777777">
      <w:pPr>
        <w:tabs>
          <w:tab w:val="left" w:pos="720"/>
        </w:tabs>
        <w:spacing w:after="0" w:line="240" w:lineRule="auto"/>
        <w:rPr>
          <w:rFonts w:ascii="Times New Roman" w:hAnsi="Times New Roman" w:eastAsia="Times New Roman" w:cs="Times New Roman"/>
          <w:b/>
          <w:sz w:val="26"/>
          <w:szCs w:val="26"/>
        </w:rPr>
      </w:pPr>
    </w:p>
    <w:p w:rsidR="00F66916" w:rsidP="00D3795C" w:rsidRDefault="00D3795C" w14:paraId="0893A8F3" w14:textId="6AA4E473">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Commission is making no changes to reporting requirements</w:t>
      </w:r>
      <w:r w:rsidRPr="00896875" w:rsidR="00B7244D">
        <w:rPr>
          <w:rFonts w:ascii="Times New Roman" w:hAnsi="Times New Roman" w:eastAsia="Times New Roman" w:cs="Times New Roman"/>
          <w:sz w:val="26"/>
          <w:szCs w:val="26"/>
        </w:rPr>
        <w:t xml:space="preserve">.  </w:t>
      </w:r>
      <w:r w:rsidR="00C2298D">
        <w:rPr>
          <w:rFonts w:ascii="Times New Roman" w:hAnsi="Times New Roman" w:eastAsia="Times New Roman" w:cs="Times New Roman"/>
          <w:sz w:val="26"/>
          <w:szCs w:val="26"/>
        </w:rPr>
        <w:t xml:space="preserve">The number of respondents increased because </w:t>
      </w:r>
      <w:r w:rsidR="00C01E3B">
        <w:rPr>
          <w:rFonts w:ascii="Times New Roman" w:hAnsi="Times New Roman" w:eastAsia="Times New Roman" w:cs="Times New Roman"/>
          <w:sz w:val="26"/>
          <w:szCs w:val="26"/>
        </w:rPr>
        <w:t>of influx in industry.</w:t>
      </w:r>
      <w:r w:rsidR="00F66916">
        <w:rPr>
          <w:rFonts w:ascii="Times New Roman" w:hAnsi="Times New Roman" w:eastAsia="Times New Roman" w:cs="Times New Roman"/>
          <w:sz w:val="26"/>
          <w:szCs w:val="26"/>
        </w:rPr>
        <w:t xml:space="preserve">  </w:t>
      </w:r>
    </w:p>
    <w:p w:rsidR="00F66916" w:rsidP="00D3795C" w:rsidRDefault="00F66916" w14:paraId="5BDEDEF3"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p>
    <w:p w:rsidRPr="00896875" w:rsidR="00D3795C" w:rsidP="00D3795C" w:rsidRDefault="00D3795C" w14:paraId="25D5B714" w14:textId="23C51C64">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 following table shows the annual total burden of the collection of information.  The format, labels, and definitions of the table follow the ROCIS submission system’s “Information Collection Request Summary of Burden” for the metadata.</w:t>
      </w:r>
    </w:p>
    <w:p w:rsidRPr="00896875" w:rsidR="00D3795C" w:rsidP="00D3795C" w:rsidRDefault="00D3795C" w14:paraId="12DD3E27" w14:textId="77777777">
      <w:pPr>
        <w:tabs>
          <w:tab w:val="left" w:pos="2394"/>
        </w:tabs>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896875" w:rsidR="00D3795C" w:rsidTr="00D3795C" w14:paraId="2F13015E" w14:textId="77777777">
        <w:trPr>
          <w:trHeight w:val="870"/>
        </w:trPr>
        <w:tc>
          <w:tcPr>
            <w:tcW w:w="144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4CA6275F" w14:textId="77777777">
            <w:pPr>
              <w:widowControl w:val="0"/>
              <w:autoSpaceDE w:val="0"/>
              <w:autoSpaceDN w:val="0"/>
              <w:adjustRightInd w:val="0"/>
              <w:spacing w:after="0" w:line="276"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FERC-604</w:t>
            </w:r>
          </w:p>
        </w:tc>
        <w:tc>
          <w:tcPr>
            <w:tcW w:w="82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1D41531C" w14:textId="77777777">
            <w:pPr>
              <w:widowControl w:val="0"/>
              <w:autoSpaceDE w:val="0"/>
              <w:autoSpaceDN w:val="0"/>
              <w:adjustRightInd w:val="0"/>
              <w:spacing w:after="0" w:line="276"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Total Request</w:t>
            </w:r>
          </w:p>
        </w:tc>
        <w:tc>
          <w:tcPr>
            <w:tcW w:w="8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6E1E2CB7" w14:textId="77777777">
            <w:pPr>
              <w:widowControl w:val="0"/>
              <w:autoSpaceDE w:val="0"/>
              <w:autoSpaceDN w:val="0"/>
              <w:adjustRightInd w:val="0"/>
              <w:spacing w:after="0" w:line="276"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Previously Approved</w:t>
            </w:r>
          </w:p>
        </w:tc>
        <w:tc>
          <w:tcPr>
            <w:tcW w:w="101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16A656A1" w14:textId="77777777">
            <w:pPr>
              <w:widowControl w:val="0"/>
              <w:autoSpaceDE w:val="0"/>
              <w:autoSpaceDN w:val="0"/>
              <w:adjustRightInd w:val="0"/>
              <w:spacing w:after="0" w:line="276"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Change due to Adjustment in Estimate</w:t>
            </w:r>
          </w:p>
        </w:tc>
        <w:tc>
          <w:tcPr>
            <w:tcW w:w="86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896875" w:rsidR="00D3795C" w:rsidP="00D3795C" w:rsidRDefault="00D3795C" w14:paraId="06561291" w14:textId="77777777">
            <w:pPr>
              <w:widowControl w:val="0"/>
              <w:autoSpaceDE w:val="0"/>
              <w:autoSpaceDN w:val="0"/>
              <w:adjustRightInd w:val="0"/>
              <w:spacing w:after="0" w:line="276" w:lineRule="auto"/>
              <w:jc w:val="center"/>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Change Due to Agency Discretion</w:t>
            </w:r>
          </w:p>
        </w:tc>
      </w:tr>
      <w:tr w:rsidRPr="00896875" w:rsidR="00D3795C" w:rsidTr="00A41D1A" w14:paraId="5188470D" w14:textId="77777777">
        <w:trPr>
          <w:trHeight w:val="591"/>
        </w:trPr>
        <w:tc>
          <w:tcPr>
            <w:tcW w:w="1442"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072851F0" w14:textId="77777777">
            <w:pPr>
              <w:widowControl w:val="0"/>
              <w:autoSpaceDE w:val="0"/>
              <w:autoSpaceDN w:val="0"/>
              <w:adjustRightInd w:val="0"/>
              <w:spacing w:after="0" w:line="276" w:lineRule="auto"/>
              <w:jc w:val="center"/>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Annual Number of Responses</w:t>
            </w:r>
          </w:p>
        </w:tc>
        <w:tc>
          <w:tcPr>
            <w:tcW w:w="829"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47354E" w14:paraId="30DC0F0C" w14:textId="20A397B8">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3</w:t>
            </w:r>
            <w:r w:rsidRPr="00896875" w:rsidR="00D3795C">
              <w:rPr>
                <w:rFonts w:ascii="Times New Roman" w:hAnsi="Times New Roman" w:eastAsia="Times New Roman" w:cs="Times New Roman"/>
                <w:sz w:val="26"/>
                <w:szCs w:val="26"/>
              </w:rPr>
              <w:t>5</w:t>
            </w:r>
          </w:p>
        </w:tc>
        <w:tc>
          <w:tcPr>
            <w:tcW w:w="854"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053A154E"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25</w:t>
            </w:r>
          </w:p>
        </w:tc>
        <w:tc>
          <w:tcPr>
            <w:tcW w:w="1010"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583FF2" w14:paraId="205011ED" w14:textId="7D91F87E">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1</w:t>
            </w:r>
            <w:r w:rsidRPr="00896875" w:rsidR="00D3795C">
              <w:rPr>
                <w:rFonts w:ascii="Times New Roman" w:hAnsi="Times New Roman" w:eastAsia="Times New Roman" w:cs="Times New Roman"/>
                <w:sz w:val="26"/>
                <w:szCs w:val="26"/>
              </w:rPr>
              <w:t>0</w:t>
            </w:r>
          </w:p>
        </w:tc>
        <w:tc>
          <w:tcPr>
            <w:tcW w:w="865"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182A98" w14:paraId="3ACC7A9A" w14:textId="4D5BBDE0">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r>
      <w:tr w:rsidRPr="00896875" w:rsidR="00D3795C" w:rsidTr="00D3795C" w14:paraId="4ED70243" w14:textId="77777777">
        <w:trPr>
          <w:trHeight w:val="575"/>
        </w:trPr>
        <w:tc>
          <w:tcPr>
            <w:tcW w:w="1442"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741AA725" w14:textId="77777777">
            <w:pPr>
              <w:widowControl w:val="0"/>
              <w:autoSpaceDE w:val="0"/>
              <w:autoSpaceDN w:val="0"/>
              <w:adjustRightInd w:val="0"/>
              <w:spacing w:after="0" w:line="276" w:lineRule="auto"/>
              <w:jc w:val="center"/>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Annual Time Burden (Hours)</w:t>
            </w:r>
          </w:p>
        </w:tc>
        <w:tc>
          <w:tcPr>
            <w:tcW w:w="829"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47354E" w14:paraId="3D8B2616" w14:textId="3D68162D">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5</w:t>
            </w:r>
            <w:r w:rsidR="008406CE">
              <w:rPr>
                <w:rFonts w:ascii="Times New Roman" w:hAnsi="Times New Roman" w:eastAsia="Times New Roman" w:cs="Times New Roman"/>
                <w:sz w:val="26"/>
                <w:szCs w:val="26"/>
              </w:rPr>
              <w:t>3</w:t>
            </w:r>
          </w:p>
        </w:tc>
        <w:tc>
          <w:tcPr>
            <w:tcW w:w="854"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1E40E659"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38</w:t>
            </w:r>
          </w:p>
        </w:tc>
        <w:tc>
          <w:tcPr>
            <w:tcW w:w="1010"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583FF2" w14:paraId="3AD19B54" w14:textId="20C3FE1A">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15</w:t>
            </w:r>
          </w:p>
        </w:tc>
        <w:tc>
          <w:tcPr>
            <w:tcW w:w="865"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182A98" w14:paraId="1640CBCC" w14:textId="539011D1">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0</w:t>
            </w:r>
          </w:p>
        </w:tc>
      </w:tr>
      <w:tr w:rsidRPr="00896875" w:rsidR="00D3795C" w:rsidTr="00D3795C" w14:paraId="033D8000" w14:textId="77777777">
        <w:trPr>
          <w:trHeight w:val="295"/>
        </w:trPr>
        <w:tc>
          <w:tcPr>
            <w:tcW w:w="1442" w:type="pct"/>
            <w:tcBorders>
              <w:top w:val="single" w:color="auto" w:sz="4" w:space="0"/>
              <w:left w:val="single" w:color="auto" w:sz="4" w:space="0"/>
              <w:bottom w:val="single" w:color="auto" w:sz="4" w:space="0"/>
              <w:right w:val="single" w:color="auto" w:sz="4" w:space="0"/>
            </w:tcBorders>
            <w:hideMark/>
          </w:tcPr>
          <w:p w:rsidRPr="00896875" w:rsidR="00D3795C" w:rsidP="00D3795C" w:rsidRDefault="00D3795C" w14:paraId="297EA42D" w14:textId="77777777">
            <w:pPr>
              <w:widowControl w:val="0"/>
              <w:autoSpaceDE w:val="0"/>
              <w:autoSpaceDN w:val="0"/>
              <w:adjustRightInd w:val="0"/>
              <w:spacing w:after="0" w:line="276" w:lineRule="auto"/>
              <w:jc w:val="center"/>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Annual Cost Burden ($)</w:t>
            </w:r>
          </w:p>
        </w:tc>
        <w:tc>
          <w:tcPr>
            <w:tcW w:w="829"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7A6D1209"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$0</w:t>
            </w:r>
          </w:p>
        </w:tc>
        <w:tc>
          <w:tcPr>
            <w:tcW w:w="854"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4559CC3E"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$0</w:t>
            </w:r>
          </w:p>
        </w:tc>
        <w:tc>
          <w:tcPr>
            <w:tcW w:w="1010"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20FD52CC"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$0</w:t>
            </w:r>
          </w:p>
        </w:tc>
        <w:tc>
          <w:tcPr>
            <w:tcW w:w="865" w:type="pct"/>
            <w:tcBorders>
              <w:top w:val="single" w:color="auto" w:sz="4" w:space="0"/>
              <w:left w:val="single" w:color="auto" w:sz="4" w:space="0"/>
              <w:bottom w:val="single" w:color="auto" w:sz="4" w:space="0"/>
              <w:right w:val="single" w:color="auto" w:sz="4" w:space="0"/>
            </w:tcBorders>
            <w:vAlign w:val="center"/>
            <w:hideMark/>
          </w:tcPr>
          <w:p w:rsidRPr="00896875" w:rsidR="00D3795C" w:rsidP="00D3795C" w:rsidRDefault="00D3795C" w14:paraId="315E21A5" w14:textId="77777777">
            <w:pPr>
              <w:widowControl w:val="0"/>
              <w:autoSpaceDE w:val="0"/>
              <w:autoSpaceDN w:val="0"/>
              <w:adjustRightInd w:val="0"/>
              <w:spacing w:after="0" w:line="276" w:lineRule="auto"/>
              <w:jc w:val="right"/>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$0</w:t>
            </w:r>
          </w:p>
        </w:tc>
      </w:tr>
    </w:tbl>
    <w:p w:rsidRPr="00896875" w:rsidR="00D3795C" w:rsidP="00D3795C" w:rsidRDefault="00D3795C" w14:paraId="44AA3A66"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518F3917"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TIME SCHEDULE FOR PUBLICATION OF DATA</w:t>
      </w:r>
    </w:p>
    <w:p w:rsidRPr="00896875" w:rsidR="00D3795C" w:rsidP="00D3795C" w:rsidRDefault="00D3795C" w14:paraId="7E8DFF9E"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28944F8E" w14:textId="06853678">
      <w:pPr>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There are no publication</w:t>
      </w:r>
      <w:r w:rsidR="00D00798">
        <w:rPr>
          <w:rFonts w:ascii="Times New Roman" w:hAnsi="Times New Roman" w:eastAsia="Times New Roman" w:cs="Times New Roman"/>
          <w:sz w:val="26"/>
          <w:szCs w:val="26"/>
        </w:rPr>
        <w:t>s</w:t>
      </w:r>
      <w:r w:rsidRPr="00896875">
        <w:rPr>
          <w:rFonts w:ascii="Times New Roman" w:hAnsi="Times New Roman" w:eastAsia="Times New Roman" w:cs="Times New Roman"/>
          <w:sz w:val="26"/>
          <w:szCs w:val="26"/>
        </w:rPr>
        <w:t xml:space="preserve"> for the collection of information.  </w:t>
      </w:r>
    </w:p>
    <w:p w:rsidRPr="00896875" w:rsidR="00D3795C" w:rsidP="00D3795C" w:rsidRDefault="00D3795C" w14:paraId="5CBCB780"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4ED89D30" w14:textId="77777777">
      <w:pPr>
        <w:widowControl w:val="0"/>
        <w:numPr>
          <w:ilvl w:val="0"/>
          <w:numId w:val="1"/>
        </w:numPr>
        <w:tabs>
          <w:tab w:val="left" w:pos="720"/>
        </w:tabs>
        <w:autoSpaceDE w:val="0"/>
        <w:autoSpaceDN w:val="0"/>
        <w:adjustRightInd w:val="0"/>
        <w:spacing w:after="0" w:line="240" w:lineRule="auto"/>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t>DISPLAY OF EXPIRATION DATE</w:t>
      </w:r>
    </w:p>
    <w:p w:rsidRPr="00896875" w:rsidR="00D3795C" w:rsidP="00D3795C" w:rsidRDefault="00D3795C" w14:paraId="671325A8"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64989B76" w14:textId="77777777">
      <w:pPr>
        <w:widowControl w:val="0"/>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 xml:space="preserve">The expiration date is displayed in a table posted on ferc.gov at </w:t>
      </w:r>
      <w:hyperlink w:history="1" r:id="rId13">
        <w:r w:rsidRPr="00896875">
          <w:rPr>
            <w:rFonts w:ascii="Times New Roman" w:hAnsi="Times New Roman" w:eastAsia="Times New Roman" w:cs="Times New Roman"/>
            <w:color w:val="0000FF"/>
            <w:sz w:val="26"/>
            <w:szCs w:val="26"/>
            <w:u w:val="single"/>
          </w:rPr>
          <w:t>http://www.ferc.gov/docs-filing/info-collections.asp</w:t>
        </w:r>
      </w:hyperlink>
      <w:r w:rsidRPr="00896875">
        <w:rPr>
          <w:rFonts w:ascii="Times New Roman" w:hAnsi="Times New Roman" w:eastAsia="Times New Roman" w:cs="Times New Roman"/>
          <w:sz w:val="26"/>
          <w:szCs w:val="26"/>
        </w:rPr>
        <w:t>.</w:t>
      </w:r>
    </w:p>
    <w:p w:rsidRPr="00896875" w:rsidR="00D3795C" w:rsidP="00D3795C" w:rsidRDefault="00D3795C" w14:paraId="4D90DA41" w14:textId="77777777">
      <w:pPr>
        <w:tabs>
          <w:tab w:val="left" w:pos="720"/>
        </w:tabs>
        <w:spacing w:after="0" w:line="240" w:lineRule="auto"/>
        <w:rPr>
          <w:rFonts w:ascii="Times New Roman" w:hAnsi="Times New Roman" w:eastAsia="Times New Roman" w:cs="Times New Roman"/>
          <w:b/>
          <w:sz w:val="26"/>
          <w:szCs w:val="26"/>
        </w:rPr>
      </w:pPr>
    </w:p>
    <w:p w:rsidRPr="00896875" w:rsidR="00D3795C" w:rsidP="00D3795C" w:rsidRDefault="00D3795C" w14:paraId="4911C807" w14:textId="77777777">
      <w:pPr>
        <w:widowControl w:val="0"/>
        <w:numPr>
          <w:ilvl w:val="0"/>
          <w:numId w:val="1"/>
        </w:numPr>
        <w:autoSpaceDE w:val="0"/>
        <w:autoSpaceDN w:val="0"/>
        <w:adjustRightInd w:val="0"/>
        <w:spacing w:after="0" w:line="240" w:lineRule="auto"/>
        <w:ind w:hanging="720"/>
        <w:rPr>
          <w:rFonts w:ascii="Times New Roman" w:hAnsi="Times New Roman" w:eastAsia="Times New Roman" w:cs="Times New Roman"/>
          <w:b/>
          <w:sz w:val="26"/>
          <w:szCs w:val="26"/>
        </w:rPr>
      </w:pPr>
      <w:r w:rsidRPr="00896875">
        <w:rPr>
          <w:rFonts w:ascii="Times New Roman" w:hAnsi="Times New Roman" w:eastAsia="Times New Roman" w:cs="Times New Roman"/>
          <w:b/>
          <w:sz w:val="26"/>
          <w:szCs w:val="26"/>
        </w:rPr>
        <w:lastRenderedPageBreak/>
        <w:t>EXCEPTIONS TO THE CERTIFICATION STATEMENT</w:t>
      </w:r>
    </w:p>
    <w:p w:rsidRPr="00896875" w:rsidR="00D3795C" w:rsidP="00D3795C" w:rsidRDefault="00D3795C" w14:paraId="4A339B45" w14:textId="77777777">
      <w:pPr>
        <w:autoSpaceDE w:val="0"/>
        <w:autoSpaceDN w:val="0"/>
        <w:adjustRightInd w:val="0"/>
        <w:spacing w:after="0" w:line="240" w:lineRule="auto"/>
        <w:ind w:left="720"/>
        <w:rPr>
          <w:rFonts w:ascii="Times New Roman" w:hAnsi="Times New Roman" w:eastAsia="Times New Roman" w:cs="Times New Roman"/>
          <w:b/>
          <w:sz w:val="26"/>
          <w:szCs w:val="26"/>
        </w:rPr>
      </w:pPr>
    </w:p>
    <w:p w:rsidRPr="00896875" w:rsidR="00D3795C" w:rsidP="00D3795C" w:rsidRDefault="00D3795C" w14:paraId="38D88108" w14:textId="77777777">
      <w:pPr>
        <w:autoSpaceDE w:val="0"/>
        <w:autoSpaceDN w:val="0"/>
        <w:adjustRightInd w:val="0"/>
        <w:spacing w:after="0" w:line="240" w:lineRule="auto"/>
        <w:rPr>
          <w:rFonts w:ascii="Times New Roman" w:hAnsi="Times New Roman" w:eastAsia="Times New Roman" w:cs="Times New Roman"/>
          <w:sz w:val="26"/>
          <w:szCs w:val="26"/>
        </w:rPr>
      </w:pPr>
      <w:r w:rsidRPr="00896875">
        <w:rPr>
          <w:rFonts w:ascii="Times New Roman" w:hAnsi="Times New Roman" w:eastAsia="Times New Roman" w:cs="Times New Roman"/>
          <w:sz w:val="26"/>
          <w:szCs w:val="26"/>
        </w:rPr>
        <w:t>There are no exceptions.</w:t>
      </w:r>
    </w:p>
    <w:p w:rsidRPr="00896875" w:rsidR="00E704E3" w:rsidRDefault="00E704E3" w14:paraId="64DAD703" w14:textId="77777777">
      <w:pPr>
        <w:rPr>
          <w:rFonts w:ascii="Times New Roman" w:hAnsi="Times New Roman" w:cs="Times New Roman"/>
          <w:sz w:val="26"/>
          <w:szCs w:val="26"/>
        </w:rPr>
      </w:pPr>
      <w:bookmarkStart w:name="_GoBack" w:id="1"/>
      <w:bookmarkEnd w:id="1"/>
    </w:p>
    <w:sectPr w:rsidRPr="00896875" w:rsidR="00E704E3" w:rsidSect="00102F3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C93C" w14:textId="77777777" w:rsidR="00180ADA" w:rsidRDefault="00180ADA" w:rsidP="00D3795C">
      <w:pPr>
        <w:spacing w:after="0" w:line="240" w:lineRule="auto"/>
      </w:pPr>
      <w:r>
        <w:separator/>
      </w:r>
    </w:p>
  </w:endnote>
  <w:endnote w:type="continuationSeparator" w:id="0">
    <w:p w14:paraId="138A3002" w14:textId="77777777" w:rsidR="00180ADA" w:rsidRDefault="00180ADA" w:rsidP="00D3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C933" w14:textId="77777777" w:rsidR="00102F3C" w:rsidRDefault="0010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733396"/>
      <w:docPartObj>
        <w:docPartGallery w:val="Page Numbers (Bottom of Page)"/>
        <w:docPartUnique/>
      </w:docPartObj>
    </w:sdtPr>
    <w:sdtEndPr>
      <w:rPr>
        <w:noProof/>
      </w:rPr>
    </w:sdtEndPr>
    <w:sdtContent>
      <w:p w14:paraId="07A639A2" w14:textId="0A6AC6F1" w:rsidR="00BA255F" w:rsidRDefault="00BA255F">
        <w:pPr>
          <w:pStyle w:val="Footer"/>
          <w:jc w:val="center"/>
        </w:pPr>
        <w:r>
          <w:fldChar w:fldCharType="begin"/>
        </w:r>
        <w:r>
          <w:instrText xml:space="preserve"> PAGE   \* MERGEFORMAT </w:instrText>
        </w:r>
        <w:r>
          <w:fldChar w:fldCharType="separate"/>
        </w:r>
        <w:r w:rsidR="00EB0219">
          <w:rPr>
            <w:noProof/>
          </w:rPr>
          <w:t>2</w:t>
        </w:r>
        <w:r>
          <w:rPr>
            <w:noProof/>
          </w:rPr>
          <w:fldChar w:fldCharType="end"/>
        </w:r>
      </w:p>
    </w:sdtContent>
  </w:sdt>
  <w:p w14:paraId="68FA0E9D" w14:textId="77777777" w:rsidR="00B27FDF" w:rsidRDefault="00B27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43722"/>
      <w:docPartObj>
        <w:docPartGallery w:val="Page Numbers (Bottom of Page)"/>
        <w:docPartUnique/>
      </w:docPartObj>
    </w:sdtPr>
    <w:sdtEndPr>
      <w:rPr>
        <w:noProof/>
      </w:rPr>
    </w:sdtEndPr>
    <w:sdtContent>
      <w:p w14:paraId="6FEF7E19" w14:textId="66525EC4" w:rsidR="00EF3F6E" w:rsidRDefault="00EF3F6E">
        <w:pPr>
          <w:pStyle w:val="Footer"/>
          <w:jc w:val="right"/>
        </w:pPr>
        <w:r>
          <w:fldChar w:fldCharType="begin"/>
        </w:r>
        <w:r>
          <w:instrText xml:space="preserve"> PAGE   \* MERGEFORMAT </w:instrText>
        </w:r>
        <w:r>
          <w:fldChar w:fldCharType="separate"/>
        </w:r>
        <w:r w:rsidR="00EB0219">
          <w:rPr>
            <w:noProof/>
          </w:rPr>
          <w:t>1</w:t>
        </w:r>
        <w:r>
          <w:rPr>
            <w:noProof/>
          </w:rPr>
          <w:fldChar w:fldCharType="end"/>
        </w:r>
      </w:p>
    </w:sdtContent>
  </w:sdt>
  <w:p w14:paraId="302BF4B1" w14:textId="77777777" w:rsidR="00D3795C" w:rsidRDefault="00D3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422D" w14:textId="77777777" w:rsidR="00180ADA" w:rsidRDefault="00180ADA" w:rsidP="00D3795C">
      <w:pPr>
        <w:spacing w:after="0" w:line="240" w:lineRule="auto"/>
      </w:pPr>
      <w:r>
        <w:separator/>
      </w:r>
    </w:p>
  </w:footnote>
  <w:footnote w:type="continuationSeparator" w:id="0">
    <w:p w14:paraId="09B26686" w14:textId="77777777" w:rsidR="00180ADA" w:rsidRDefault="00180ADA" w:rsidP="00D3795C">
      <w:pPr>
        <w:spacing w:after="0" w:line="240" w:lineRule="auto"/>
      </w:pPr>
      <w:r>
        <w:continuationSeparator/>
      </w:r>
    </w:p>
  </w:footnote>
  <w:footnote w:id="1">
    <w:p w14:paraId="38CFA622" w14:textId="5A4E5259" w:rsidR="00D3795C" w:rsidRPr="00135628" w:rsidRDefault="00D3795C" w:rsidP="00D3795C">
      <w:pPr>
        <w:pStyle w:val="FootnoteText"/>
        <w:rPr>
          <w:sz w:val="26"/>
          <w:szCs w:val="26"/>
        </w:rPr>
      </w:pPr>
      <w:r w:rsidRPr="00135628">
        <w:rPr>
          <w:rStyle w:val="FootnoteReference"/>
          <w:b/>
          <w:sz w:val="26"/>
          <w:szCs w:val="26"/>
          <w:vertAlign w:val="superscript"/>
        </w:rPr>
        <w:footnoteRef/>
      </w:r>
      <w:r w:rsidRPr="00135628">
        <w:rPr>
          <w:b/>
          <w:sz w:val="26"/>
          <w:szCs w:val="26"/>
          <w:vertAlign w:val="superscript"/>
        </w:rPr>
        <w:t xml:space="preserve"> </w:t>
      </w:r>
      <w:r w:rsidRPr="00135628">
        <w:rPr>
          <w:sz w:val="26"/>
          <w:szCs w:val="26"/>
        </w:rPr>
        <w:t xml:space="preserve">In 2003, the Commission issued a final rule, requiring FERC-regulated entities to file their cash management agreements with the Commission.  This reporting requirement was first approved under OMB Control Number 1902-0098 (FERC-555, Records Retention Requirements) because of a related record retention requirement.  In subsequent FERC-555 extension requests, FERC had </w:t>
      </w:r>
      <w:r w:rsidR="00135628" w:rsidRPr="00135628">
        <w:rPr>
          <w:sz w:val="26"/>
          <w:szCs w:val="26"/>
        </w:rPr>
        <w:t>inadvertently</w:t>
      </w:r>
      <w:r w:rsidRPr="00135628">
        <w:rPr>
          <w:sz w:val="26"/>
          <w:szCs w:val="26"/>
        </w:rPr>
        <w:t xml:space="preserve"> not included the cash management agreement reporting requirements with the FERC-555 requirements.  In 2013, FERC submitted the requirements for OMB review and approval under a new collection number, FERC-604.</w:t>
      </w:r>
    </w:p>
  </w:footnote>
  <w:footnote w:id="2">
    <w:p w14:paraId="112527FE" w14:textId="33753C01" w:rsidR="00D3795C" w:rsidRPr="00135628" w:rsidRDefault="00D3795C" w:rsidP="00D3795C">
      <w:pPr>
        <w:pStyle w:val="FootnoteText"/>
        <w:rPr>
          <w:sz w:val="26"/>
          <w:szCs w:val="26"/>
        </w:rPr>
      </w:pPr>
      <w:r w:rsidRPr="00135628">
        <w:rPr>
          <w:rStyle w:val="FootnoteReference"/>
          <w:b/>
          <w:sz w:val="26"/>
          <w:szCs w:val="26"/>
          <w:vertAlign w:val="superscript"/>
        </w:rPr>
        <w:footnoteRef/>
      </w:r>
      <w:r w:rsidRPr="00135628">
        <w:rPr>
          <w:sz w:val="26"/>
          <w:szCs w:val="26"/>
        </w:rPr>
        <w:t xml:space="preserve"> </w:t>
      </w:r>
      <w:r w:rsidRPr="00135628">
        <w:rPr>
          <w:sz w:val="26"/>
          <w:szCs w:val="26"/>
          <w:u w:val="single"/>
        </w:rPr>
        <w:t>See</w:t>
      </w:r>
      <w:r w:rsidRPr="00135628">
        <w:rPr>
          <w:sz w:val="26"/>
          <w:szCs w:val="26"/>
        </w:rPr>
        <w:t xml:space="preserve"> 15 U.S.C. 717g (2000); 15 U.S.C. 717i (2000); 16 U.S.C. 825 (2000); 16 U.S.C. 825c (2000) </w:t>
      </w:r>
    </w:p>
  </w:footnote>
  <w:footnote w:id="3">
    <w:p w14:paraId="597BF33E"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15 U.S.C. 717g (2000).</w:t>
      </w:r>
    </w:p>
  </w:footnote>
  <w:footnote w:id="4">
    <w:p w14:paraId="032F85AB"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15 U.S.C. 717i (2000).</w:t>
      </w:r>
    </w:p>
  </w:footnote>
  <w:footnote w:id="5">
    <w:p w14:paraId="51279310"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16 U.S.C. 825 (2000).</w:t>
      </w:r>
    </w:p>
  </w:footnote>
  <w:footnote w:id="6">
    <w:p w14:paraId="7641B184"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16 U.S.C. 825c (2000).</w:t>
      </w:r>
    </w:p>
  </w:footnote>
  <w:footnote w:id="7">
    <w:p w14:paraId="51440A97"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49 App. U.S.C. 20(1) (1988).  </w:t>
      </w:r>
    </w:p>
  </w:footnote>
  <w:footnote w:id="8">
    <w:p w14:paraId="3A572397" w14:textId="3C325390"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49 App.</w:t>
      </w:r>
      <w:r w:rsidR="002C5FAD">
        <w:rPr>
          <w:sz w:val="26"/>
          <w:szCs w:val="26"/>
        </w:rPr>
        <w:t xml:space="preserve"> </w:t>
      </w:r>
      <w:r w:rsidRPr="00896875">
        <w:rPr>
          <w:sz w:val="26"/>
          <w:szCs w:val="26"/>
        </w:rPr>
        <w:t>U.S.C. 20(5) (1988).</w:t>
      </w:r>
    </w:p>
  </w:footnote>
  <w:footnote w:id="9">
    <w:p w14:paraId="3BFD1E70" w14:textId="77777777"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u w:val="single"/>
        </w:rPr>
        <w:t>See</w:t>
      </w:r>
      <w:r w:rsidRPr="00896875">
        <w:rPr>
          <w:sz w:val="26"/>
          <w:szCs w:val="26"/>
        </w:rPr>
        <w:t xml:space="preserve"> FPA Sections 205 and 206, NGA Sections 4 and 5, and ICA Title 49 App. Sections 1(5) and 15(1).  </w:t>
      </w:r>
    </w:p>
  </w:footnote>
  <w:footnote w:id="10">
    <w:p w14:paraId="78858C92" w14:textId="77777777" w:rsidR="00D3795C" w:rsidRPr="00064F3A" w:rsidRDefault="00D3795C" w:rsidP="00D3795C">
      <w:pPr>
        <w:pStyle w:val="FootnoteText"/>
        <w:rPr>
          <w:sz w:val="26"/>
          <w:szCs w:val="26"/>
        </w:rPr>
      </w:pPr>
      <w:r w:rsidRPr="00064F3A">
        <w:rPr>
          <w:rStyle w:val="FootnoteReference"/>
          <w:b/>
          <w:sz w:val="26"/>
          <w:szCs w:val="26"/>
          <w:vertAlign w:val="superscript"/>
        </w:rPr>
        <w:footnoteRef/>
      </w:r>
      <w:r w:rsidRPr="00064F3A">
        <w:rPr>
          <w:sz w:val="26"/>
          <w:szCs w:val="26"/>
          <w:vertAlign w:val="superscript"/>
        </w:rPr>
        <w:t xml:space="preserve"> </w:t>
      </w:r>
      <w:r w:rsidRPr="00064F3A">
        <w:rPr>
          <w:sz w:val="26"/>
          <w:szCs w:val="26"/>
        </w:rPr>
        <w:t>8</w:t>
      </w:r>
      <w:r w:rsidR="00064F3A" w:rsidRPr="00064F3A">
        <w:rPr>
          <w:sz w:val="26"/>
          <w:szCs w:val="26"/>
        </w:rPr>
        <w:t>4</w:t>
      </w:r>
      <w:r w:rsidRPr="00064F3A">
        <w:rPr>
          <w:sz w:val="26"/>
          <w:szCs w:val="26"/>
        </w:rPr>
        <w:t xml:space="preserve"> FR </w:t>
      </w:r>
      <w:r w:rsidR="00064F3A" w:rsidRPr="00064F3A">
        <w:rPr>
          <w:sz w:val="26"/>
          <w:szCs w:val="26"/>
        </w:rPr>
        <w:t>46949</w:t>
      </w:r>
    </w:p>
  </w:footnote>
  <w:footnote w:id="11">
    <w:p w14:paraId="3F6EE145" w14:textId="0367A3CC" w:rsidR="00583FF2" w:rsidRPr="00D50AA2" w:rsidRDefault="00583FF2">
      <w:pPr>
        <w:pStyle w:val="FootnoteText"/>
        <w:rPr>
          <w:sz w:val="26"/>
          <w:szCs w:val="26"/>
        </w:rPr>
      </w:pPr>
      <w:r w:rsidRPr="00D50AA2">
        <w:rPr>
          <w:rStyle w:val="FootnoteReference"/>
          <w:sz w:val="26"/>
          <w:szCs w:val="26"/>
          <w:vertAlign w:val="superscript"/>
        </w:rPr>
        <w:footnoteRef/>
      </w:r>
      <w:r w:rsidRPr="00D50AA2">
        <w:rPr>
          <w:sz w:val="26"/>
          <w:szCs w:val="26"/>
        </w:rPr>
        <w:t xml:space="preserve"> 84 FR</w:t>
      </w:r>
      <w:r w:rsidR="009D24AF">
        <w:rPr>
          <w:sz w:val="26"/>
          <w:szCs w:val="26"/>
        </w:rPr>
        <w:t xml:space="preserve"> 68442</w:t>
      </w:r>
    </w:p>
  </w:footnote>
  <w:footnote w:id="12">
    <w:p w14:paraId="366EADBB" w14:textId="1CB80210" w:rsidR="00D3795C" w:rsidRPr="00896875" w:rsidRDefault="00D3795C" w:rsidP="00D3795C">
      <w:pPr>
        <w:pStyle w:val="FootnoteText"/>
        <w:rPr>
          <w:sz w:val="26"/>
          <w:szCs w:val="26"/>
        </w:rPr>
      </w:pPr>
      <w:r w:rsidRPr="00896875">
        <w:rPr>
          <w:rStyle w:val="FootnoteReference"/>
          <w:b/>
          <w:sz w:val="26"/>
          <w:szCs w:val="26"/>
          <w:vertAlign w:val="superscript"/>
        </w:rPr>
        <w:footnoteRef/>
      </w:r>
      <w:r w:rsidRPr="00896875">
        <w:rPr>
          <w:sz w:val="26"/>
          <w:szCs w:val="26"/>
        </w:rPr>
        <w:t xml:space="preserve"> </w:t>
      </w:r>
      <w:r w:rsidRPr="00896875">
        <w:rPr>
          <w:sz w:val="26"/>
          <w:szCs w:val="26"/>
          <w:u w:val="single"/>
        </w:rPr>
        <w:t>See</w:t>
      </w:r>
      <w:r w:rsidRPr="00896875">
        <w:rPr>
          <w:sz w:val="26"/>
          <w:szCs w:val="26"/>
        </w:rPr>
        <w:t xml:space="preserve"> 18 C.F.R. § 388.112(c</w:t>
      </w:r>
      <w:proofErr w:type="gramStart"/>
      <w:r w:rsidRPr="00896875">
        <w:rPr>
          <w:sz w:val="26"/>
          <w:szCs w:val="26"/>
        </w:rPr>
        <w:t>)(</w:t>
      </w:r>
      <w:proofErr w:type="gramEnd"/>
      <w:r w:rsidRPr="00896875">
        <w:rPr>
          <w:sz w:val="26"/>
          <w:szCs w:val="26"/>
        </w:rPr>
        <w:t>2003)</w:t>
      </w:r>
      <w:r w:rsidR="00A41A04">
        <w:rPr>
          <w:sz w:val="26"/>
          <w:szCs w:val="26"/>
        </w:rPr>
        <w:t>.</w:t>
      </w:r>
    </w:p>
  </w:footnote>
  <w:footnote w:id="13">
    <w:p w14:paraId="4F0BBFF7" w14:textId="77777777" w:rsidR="00064F3A" w:rsidRPr="00064F3A" w:rsidRDefault="00D3795C" w:rsidP="00064F3A">
      <w:pPr>
        <w:pStyle w:val="FootnoteText"/>
      </w:pPr>
      <w:r w:rsidRPr="00896875">
        <w:rPr>
          <w:rStyle w:val="FootnoteReference"/>
          <w:b/>
          <w:sz w:val="26"/>
          <w:szCs w:val="26"/>
          <w:vertAlign w:val="superscript"/>
        </w:rPr>
        <w:footnoteRef/>
      </w:r>
      <w:r w:rsidRPr="00896875">
        <w:rPr>
          <w:b/>
          <w:sz w:val="26"/>
          <w:szCs w:val="26"/>
          <w:vertAlign w:val="superscript"/>
        </w:rPr>
        <w:t xml:space="preserve"> </w:t>
      </w:r>
      <w:r w:rsidR="00064F3A" w:rsidRPr="00896875">
        <w:rPr>
          <w:sz w:val="26"/>
          <w:szCs w:val="26"/>
        </w:rPr>
        <w:t>The Commission staff estimates that industry is similarly situated in terms of hourly cost (for wages plus benefits).  Based on the Commission’s FY (Fiscal Year) 2019 average cost $167,091 (for wages plus benefits), $80.00/hour is used</w:t>
      </w:r>
      <w:r w:rsidR="00064F3A" w:rsidRPr="00064F3A">
        <w:rPr>
          <w:sz w:val="26"/>
        </w:rPr>
        <w:t>.</w:t>
      </w:r>
    </w:p>
    <w:p w14:paraId="10D04930" w14:textId="77777777" w:rsidR="00D3795C" w:rsidRDefault="00D3795C" w:rsidP="00D3795C">
      <w:pPr>
        <w:pStyle w:val="FootnoteText"/>
      </w:pPr>
    </w:p>
  </w:footnote>
  <w:footnote w:id="14">
    <w:p w14:paraId="219483D7" w14:textId="338BD21F" w:rsidR="00D3795C" w:rsidRPr="00D00798" w:rsidRDefault="00D3795C" w:rsidP="00F66916">
      <w:pPr>
        <w:spacing w:after="0"/>
        <w:rPr>
          <w:rFonts w:ascii="Times New Roman" w:hAnsi="Times New Roman" w:cs="Times New Roman"/>
          <w:sz w:val="26"/>
          <w:szCs w:val="26"/>
        </w:rPr>
      </w:pPr>
      <w:r w:rsidRPr="00D00798">
        <w:rPr>
          <w:rStyle w:val="FootnoteReference"/>
          <w:rFonts w:ascii="Times New Roman" w:hAnsi="Times New Roman" w:cs="Times New Roman"/>
          <w:b/>
          <w:sz w:val="26"/>
          <w:szCs w:val="26"/>
          <w:vertAlign w:val="superscript"/>
        </w:rPr>
        <w:footnoteRef/>
      </w:r>
      <w:r w:rsidRPr="00D00798">
        <w:rPr>
          <w:rFonts w:ascii="Times New Roman" w:hAnsi="Times New Roman" w:cs="Times New Roman"/>
          <w:b/>
          <w:sz w:val="26"/>
          <w:szCs w:val="26"/>
        </w:rPr>
        <w:t xml:space="preserve"> </w:t>
      </w:r>
      <w:r w:rsidRPr="00D00798">
        <w:rPr>
          <w:rFonts w:ascii="Times New Roman" w:hAnsi="Times New Roman" w:cs="Times New Roman"/>
          <w:sz w:val="26"/>
          <w:szCs w:val="26"/>
        </w:rPr>
        <w:t xml:space="preserve">Based upon </w:t>
      </w:r>
      <w:r w:rsidRPr="00D50AA2">
        <w:rPr>
          <w:rFonts w:ascii="Times New Roman" w:hAnsi="Times New Roman" w:cs="Times New Roman"/>
          <w:sz w:val="26"/>
          <w:szCs w:val="26"/>
        </w:rPr>
        <w:t>201</w:t>
      </w:r>
      <w:r w:rsidR="00EF3F6E">
        <w:rPr>
          <w:rFonts w:ascii="Times New Roman" w:hAnsi="Times New Roman" w:cs="Times New Roman"/>
          <w:sz w:val="26"/>
          <w:szCs w:val="26"/>
        </w:rPr>
        <w:t>9</w:t>
      </w:r>
      <w:r w:rsidRPr="00D00798">
        <w:rPr>
          <w:rFonts w:ascii="Times New Roman" w:hAnsi="Times New Roman" w:cs="Times New Roman"/>
          <w:sz w:val="26"/>
          <w:szCs w:val="26"/>
        </w:rPr>
        <w:t xml:space="preserve"> FTE average annual salary plus benefits ($1</w:t>
      </w:r>
      <w:r w:rsidR="00896875" w:rsidRPr="00D00798">
        <w:rPr>
          <w:rFonts w:ascii="Times New Roman" w:hAnsi="Times New Roman" w:cs="Times New Roman"/>
          <w:sz w:val="26"/>
          <w:szCs w:val="26"/>
        </w:rPr>
        <w:t>67,</w:t>
      </w:r>
      <w:r w:rsidR="00D00798" w:rsidRPr="00D00798">
        <w:rPr>
          <w:rFonts w:ascii="Times New Roman" w:hAnsi="Times New Roman" w:cs="Times New Roman"/>
          <w:sz w:val="26"/>
          <w:szCs w:val="26"/>
        </w:rPr>
        <w:t>091</w:t>
      </w:r>
      <w:r w:rsidRPr="00D00798">
        <w:rPr>
          <w:rFonts w:ascii="Times New Roman" w:hAnsi="Times New Roman" w:cs="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B9B6" w14:textId="77777777" w:rsidR="00102F3C" w:rsidRDefault="00102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5519" w14:textId="501681C9" w:rsidR="00D3795C" w:rsidRDefault="00D3795C" w:rsidP="00102F3C">
    <w:pPr>
      <w:pStyle w:val="Header"/>
      <w:tabs>
        <w:tab w:val="clear" w:pos="4680"/>
        <w:tab w:val="clear" w:pos="9360"/>
        <w:tab w:val="left" w:pos="5040"/>
      </w:tabs>
      <w:rPr>
        <w:rFonts w:ascii="Times New Roman" w:hAnsi="Times New Roman" w:cs="Times New Roman"/>
        <w:sz w:val="26"/>
        <w:szCs w:val="26"/>
      </w:rPr>
    </w:pPr>
    <w:r w:rsidRPr="00D3795C">
      <w:rPr>
        <w:rFonts w:ascii="Times New Roman" w:hAnsi="Times New Roman" w:cs="Times New Roman"/>
        <w:sz w:val="26"/>
        <w:szCs w:val="26"/>
      </w:rPr>
      <w:t>FERC-604 (OMB Control No. 1902-0267)</w:t>
    </w:r>
    <w:r w:rsidR="00102F3C">
      <w:rPr>
        <w:rFonts w:ascii="Times New Roman" w:hAnsi="Times New Roman" w:cs="Times New Roman"/>
        <w:sz w:val="26"/>
        <w:szCs w:val="26"/>
      </w:rPr>
      <w:tab/>
    </w:r>
  </w:p>
  <w:p w14:paraId="49779D8C" w14:textId="77777777" w:rsidR="00102F3C" w:rsidRDefault="00102F3C" w:rsidP="00102F3C">
    <w:pPr>
      <w:pStyle w:val="Header"/>
      <w:rPr>
        <w:rFonts w:ascii="Times New Roman" w:hAnsi="Times New Roman" w:cs="Times New Roman"/>
        <w:sz w:val="26"/>
        <w:szCs w:val="26"/>
      </w:rPr>
    </w:pPr>
    <w:r w:rsidRPr="00D50AA2">
      <w:rPr>
        <w:rFonts w:ascii="Times New Roman" w:hAnsi="Times New Roman" w:cs="Times New Roman"/>
        <w:sz w:val="26"/>
        <w:szCs w:val="26"/>
      </w:rPr>
      <w:t>Docket No. IC19-46</w:t>
    </w:r>
  </w:p>
  <w:p w14:paraId="0CE3D649" w14:textId="77777777" w:rsidR="00102F3C" w:rsidRDefault="00102F3C" w:rsidP="00102F3C">
    <w:pPr>
      <w:pStyle w:val="Header"/>
      <w:rPr>
        <w:rFonts w:ascii="Times New Roman" w:hAnsi="Times New Roman" w:cs="Times New Roman"/>
        <w:sz w:val="26"/>
        <w:szCs w:val="26"/>
      </w:rPr>
    </w:pPr>
    <w:r>
      <w:rPr>
        <w:rFonts w:ascii="Times New Roman" w:hAnsi="Times New Roman" w:cs="Times New Roman"/>
        <w:sz w:val="26"/>
        <w:szCs w:val="26"/>
      </w:rPr>
      <w:t>(Updated: 2/13/2020)</w:t>
    </w:r>
  </w:p>
  <w:p w14:paraId="0A7DD018" w14:textId="77777777" w:rsidR="00102F3C" w:rsidRPr="00D3795C" w:rsidRDefault="00102F3C" w:rsidP="00A41D1A">
    <w:pPr>
      <w:pStyle w:val="Header"/>
      <w:tabs>
        <w:tab w:val="clear" w:pos="4680"/>
        <w:tab w:val="clear" w:pos="9360"/>
        <w:tab w:val="left" w:pos="5040"/>
      </w:tabs>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F2D2" w14:textId="5A31F495" w:rsidR="00583FF2" w:rsidRPr="00D50AA2" w:rsidRDefault="00EF3F6E">
    <w:pPr>
      <w:pStyle w:val="Header"/>
      <w:rPr>
        <w:rFonts w:ascii="Times New Roman" w:hAnsi="Times New Roman" w:cs="Times New Roman"/>
        <w:sz w:val="26"/>
        <w:szCs w:val="26"/>
      </w:rPr>
    </w:pPr>
    <w:r w:rsidRPr="00D50AA2">
      <w:rPr>
        <w:rFonts w:ascii="Times New Roman" w:hAnsi="Times New Roman" w:cs="Times New Roman"/>
        <w:sz w:val="26"/>
        <w:szCs w:val="26"/>
      </w:rPr>
      <w:t>FERC-604 (OMB Control No.1902-0137)</w:t>
    </w:r>
  </w:p>
  <w:p w14:paraId="4980D651" w14:textId="2D40EFD5" w:rsidR="00EF3F6E" w:rsidRDefault="00EF3F6E">
    <w:pPr>
      <w:pStyle w:val="Header"/>
      <w:rPr>
        <w:rFonts w:ascii="Times New Roman" w:hAnsi="Times New Roman" w:cs="Times New Roman"/>
        <w:sz w:val="26"/>
        <w:szCs w:val="26"/>
      </w:rPr>
    </w:pPr>
    <w:bookmarkStart w:id="2" w:name="_Hlk32487175"/>
    <w:r w:rsidRPr="00D50AA2">
      <w:rPr>
        <w:rFonts w:ascii="Times New Roman" w:hAnsi="Times New Roman" w:cs="Times New Roman"/>
        <w:sz w:val="26"/>
        <w:szCs w:val="26"/>
      </w:rPr>
      <w:t>Docket No. IC19-46</w:t>
    </w:r>
  </w:p>
  <w:p w14:paraId="2F3D8663" w14:textId="4999707A" w:rsidR="00102F3C" w:rsidRDefault="00102F3C">
    <w:pPr>
      <w:pStyle w:val="Header"/>
      <w:rPr>
        <w:rFonts w:ascii="Times New Roman" w:hAnsi="Times New Roman" w:cs="Times New Roman"/>
        <w:sz w:val="26"/>
        <w:szCs w:val="26"/>
      </w:rPr>
    </w:pPr>
    <w:r>
      <w:rPr>
        <w:rFonts w:ascii="Times New Roman" w:hAnsi="Times New Roman" w:cs="Times New Roman"/>
        <w:sz w:val="26"/>
        <w:szCs w:val="26"/>
      </w:rPr>
      <w:t>(Updated: 2/13/2020)</w:t>
    </w:r>
  </w:p>
  <w:bookmarkEnd w:id="2"/>
  <w:p w14:paraId="1E7CCC8B" w14:textId="34BFAA44" w:rsidR="00102F3C" w:rsidRDefault="00102F3C">
    <w:pPr>
      <w:pStyle w:val="Header"/>
      <w:rPr>
        <w:rFonts w:ascii="Times New Roman" w:hAnsi="Times New Roman" w:cs="Times New Roman"/>
        <w:sz w:val="26"/>
        <w:szCs w:val="26"/>
      </w:rPr>
    </w:pPr>
  </w:p>
  <w:p w14:paraId="37F3CE44" w14:textId="77777777" w:rsidR="00102F3C" w:rsidRPr="00D50AA2" w:rsidRDefault="00102F3C">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1C17"/>
    <w:multiLevelType w:val="hybridMultilevel"/>
    <w:tmpl w:val="C600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013DA"/>
    <w:multiLevelType w:val="hybridMultilevel"/>
    <w:tmpl w:val="920A2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E766A"/>
    <w:multiLevelType w:val="hybridMultilevel"/>
    <w:tmpl w:val="1616D212"/>
    <w:lvl w:ilvl="0" w:tplc="AECAF66C">
      <w:start w:val="2"/>
      <w:numFmt w:val="decimal"/>
      <w:lvlText w:val="%1."/>
      <w:lvlJc w:val="left"/>
      <w:pPr>
        <w:ind w:left="720" w:hanging="648"/>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1327E0"/>
    <w:multiLevelType w:val="hybridMultilevel"/>
    <w:tmpl w:val="CF1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5C"/>
    <w:rsid w:val="00006CE2"/>
    <w:rsid w:val="00046C34"/>
    <w:rsid w:val="00064F3A"/>
    <w:rsid w:val="00102F3C"/>
    <w:rsid w:val="00105467"/>
    <w:rsid w:val="00124208"/>
    <w:rsid w:val="00124C75"/>
    <w:rsid w:val="00135628"/>
    <w:rsid w:val="001633C0"/>
    <w:rsid w:val="00180ADA"/>
    <w:rsid w:val="00182A98"/>
    <w:rsid w:val="001844A0"/>
    <w:rsid w:val="001B6727"/>
    <w:rsid w:val="002C5FAD"/>
    <w:rsid w:val="004263F5"/>
    <w:rsid w:val="00446A46"/>
    <w:rsid w:val="0047354E"/>
    <w:rsid w:val="004E4363"/>
    <w:rsid w:val="004F02E3"/>
    <w:rsid w:val="004F659D"/>
    <w:rsid w:val="00512485"/>
    <w:rsid w:val="0055232F"/>
    <w:rsid w:val="00564876"/>
    <w:rsid w:val="00583FF2"/>
    <w:rsid w:val="005A0FEA"/>
    <w:rsid w:val="00631FA1"/>
    <w:rsid w:val="00640673"/>
    <w:rsid w:val="00641FD7"/>
    <w:rsid w:val="006C5D52"/>
    <w:rsid w:val="006D7F68"/>
    <w:rsid w:val="00716121"/>
    <w:rsid w:val="00717096"/>
    <w:rsid w:val="007553A2"/>
    <w:rsid w:val="00767F9F"/>
    <w:rsid w:val="007744FC"/>
    <w:rsid w:val="00783DEE"/>
    <w:rsid w:val="007A0AAC"/>
    <w:rsid w:val="007A4A92"/>
    <w:rsid w:val="00803AF1"/>
    <w:rsid w:val="00805B88"/>
    <w:rsid w:val="008406CE"/>
    <w:rsid w:val="008433AC"/>
    <w:rsid w:val="008565A8"/>
    <w:rsid w:val="00860D9B"/>
    <w:rsid w:val="00896875"/>
    <w:rsid w:val="008E64E6"/>
    <w:rsid w:val="009025E4"/>
    <w:rsid w:val="009108D2"/>
    <w:rsid w:val="0095212D"/>
    <w:rsid w:val="00983EB0"/>
    <w:rsid w:val="009D24AF"/>
    <w:rsid w:val="00A25FA8"/>
    <w:rsid w:val="00A41A04"/>
    <w:rsid w:val="00A41D1A"/>
    <w:rsid w:val="00A779DA"/>
    <w:rsid w:val="00A91B38"/>
    <w:rsid w:val="00B27FDF"/>
    <w:rsid w:val="00B45E34"/>
    <w:rsid w:val="00B704EA"/>
    <w:rsid w:val="00B7244D"/>
    <w:rsid w:val="00BA255F"/>
    <w:rsid w:val="00BA3DB3"/>
    <w:rsid w:val="00BB1F54"/>
    <w:rsid w:val="00BD021B"/>
    <w:rsid w:val="00C01E3B"/>
    <w:rsid w:val="00C2298D"/>
    <w:rsid w:val="00C92A37"/>
    <w:rsid w:val="00CC1CA7"/>
    <w:rsid w:val="00CD66D3"/>
    <w:rsid w:val="00D00798"/>
    <w:rsid w:val="00D026A0"/>
    <w:rsid w:val="00D3795C"/>
    <w:rsid w:val="00D50AA2"/>
    <w:rsid w:val="00D975F5"/>
    <w:rsid w:val="00DD12E8"/>
    <w:rsid w:val="00DF55BB"/>
    <w:rsid w:val="00E704E3"/>
    <w:rsid w:val="00EB0219"/>
    <w:rsid w:val="00EF3F6E"/>
    <w:rsid w:val="00F30714"/>
    <w:rsid w:val="00F66916"/>
    <w:rsid w:val="00F74A8B"/>
    <w:rsid w:val="00FA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12F4B"/>
  <w15:docId w15:val="{C2482411-4EC3-4EB7-B17B-82010514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2">
    <w:name w:val="Footnote Text Char2"/>
    <w:aliases w:val="fn Char,Footnote Text Char1 Char1,Footnote Text Char Char Char1,Footnote Text Char1 Char Char,Footnote Text Char Char Char Char,Char Char,Footnote Text Char Char1 Char,fn Char Char Char,Footnote Text Char1 Char1 Char Char,ft Char"/>
    <w:link w:val="FootnoteText"/>
    <w:uiPriority w:val="99"/>
    <w:semiHidden/>
    <w:locked/>
    <w:rsid w:val="00D3795C"/>
    <w:rPr>
      <w:rFonts w:ascii="Times New Roman" w:eastAsia="Times New Roman" w:hAnsi="Times New Roman" w:cs="Times New Roman"/>
      <w:sz w:val="20"/>
      <w:szCs w:val="20"/>
    </w:rPr>
  </w:style>
  <w:style w:type="paragraph" w:styleId="FootnoteText">
    <w:name w:val="footnote text"/>
    <w:aliases w:val="fn,Footnote Text Char1,Footnote Text Char Char,Footnote Text Char1 Char,Footnote Text Char Char Char,Char,Footnote Text Char Char1,fn Char Char,Footnote Text Char1 Char1 Char,Footnote Text Char Char Char1 Char,ft,Char Char1,fn1,fn3"/>
    <w:basedOn w:val="Normal"/>
    <w:link w:val="FootnoteTextChar2"/>
    <w:uiPriority w:val="99"/>
    <w:semiHidden/>
    <w:unhideWhenUsed/>
    <w:qFormat/>
    <w:rsid w:val="00D3795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3795C"/>
    <w:rPr>
      <w:sz w:val="20"/>
      <w:szCs w:val="20"/>
    </w:rPr>
  </w:style>
  <w:style w:type="character" w:styleId="FootnoteReference">
    <w:name w:val="footnote reference"/>
    <w:basedOn w:val="DefaultParagraphFont"/>
    <w:semiHidden/>
    <w:unhideWhenUsed/>
    <w:rsid w:val="00D3795C"/>
  </w:style>
  <w:style w:type="paragraph" w:styleId="Header">
    <w:name w:val="header"/>
    <w:basedOn w:val="Normal"/>
    <w:link w:val="HeaderChar"/>
    <w:uiPriority w:val="99"/>
    <w:unhideWhenUsed/>
    <w:rsid w:val="00D3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5C"/>
  </w:style>
  <w:style w:type="paragraph" w:styleId="Footer">
    <w:name w:val="footer"/>
    <w:basedOn w:val="Normal"/>
    <w:link w:val="FooterChar"/>
    <w:uiPriority w:val="99"/>
    <w:unhideWhenUsed/>
    <w:rsid w:val="00D3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5C"/>
  </w:style>
  <w:style w:type="character" w:styleId="CommentReference">
    <w:name w:val="annotation reference"/>
    <w:basedOn w:val="DefaultParagraphFont"/>
    <w:uiPriority w:val="99"/>
    <w:semiHidden/>
    <w:unhideWhenUsed/>
    <w:rsid w:val="00064F3A"/>
    <w:rPr>
      <w:sz w:val="16"/>
      <w:szCs w:val="16"/>
    </w:rPr>
  </w:style>
  <w:style w:type="paragraph" w:styleId="CommentText">
    <w:name w:val="annotation text"/>
    <w:basedOn w:val="Normal"/>
    <w:link w:val="CommentTextChar"/>
    <w:uiPriority w:val="99"/>
    <w:semiHidden/>
    <w:unhideWhenUsed/>
    <w:rsid w:val="00064F3A"/>
    <w:pPr>
      <w:spacing w:line="240" w:lineRule="auto"/>
    </w:pPr>
    <w:rPr>
      <w:sz w:val="20"/>
      <w:szCs w:val="20"/>
    </w:rPr>
  </w:style>
  <w:style w:type="character" w:customStyle="1" w:styleId="CommentTextChar">
    <w:name w:val="Comment Text Char"/>
    <w:basedOn w:val="DefaultParagraphFont"/>
    <w:link w:val="CommentText"/>
    <w:uiPriority w:val="99"/>
    <w:semiHidden/>
    <w:rsid w:val="00064F3A"/>
    <w:rPr>
      <w:sz w:val="20"/>
      <w:szCs w:val="20"/>
    </w:rPr>
  </w:style>
  <w:style w:type="paragraph" w:styleId="CommentSubject">
    <w:name w:val="annotation subject"/>
    <w:basedOn w:val="CommentText"/>
    <w:next w:val="CommentText"/>
    <w:link w:val="CommentSubjectChar"/>
    <w:uiPriority w:val="99"/>
    <w:semiHidden/>
    <w:unhideWhenUsed/>
    <w:rsid w:val="00064F3A"/>
    <w:rPr>
      <w:b/>
      <w:bCs/>
    </w:rPr>
  </w:style>
  <w:style w:type="character" w:customStyle="1" w:styleId="CommentSubjectChar">
    <w:name w:val="Comment Subject Char"/>
    <w:basedOn w:val="CommentTextChar"/>
    <w:link w:val="CommentSubject"/>
    <w:uiPriority w:val="99"/>
    <w:semiHidden/>
    <w:rsid w:val="00064F3A"/>
    <w:rPr>
      <w:b/>
      <w:bCs/>
      <w:sz w:val="20"/>
      <w:szCs w:val="20"/>
    </w:rPr>
  </w:style>
  <w:style w:type="paragraph" w:styleId="BalloonText">
    <w:name w:val="Balloon Text"/>
    <w:basedOn w:val="Normal"/>
    <w:link w:val="BalloonTextChar"/>
    <w:uiPriority w:val="99"/>
    <w:semiHidden/>
    <w:unhideWhenUsed/>
    <w:rsid w:val="0006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604</_x0031__x002e__x0020_Collection_x0020_Number>
    <Date xmlns="d6eefc7d-9817-4fa6-84d5-3bc009be21b8">2019-12-16T05:00:00+00:00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IC19-46</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5ED6-5DE1-4494-809A-35350836C313}">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780DD7-B6D2-4F61-928D-3ACC20E8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117D5-32F9-4FC9-AA92-2812657A2028}">
  <ds:schemaRefs>
    <ds:schemaRef ds:uri="http://schemas.microsoft.com/office/2006/metadata/customXsn"/>
  </ds:schemaRefs>
</ds:datastoreItem>
</file>

<file path=customXml/itemProps4.xml><?xml version="1.0" encoding="utf-8"?>
<ds:datastoreItem xmlns:ds="http://schemas.openxmlformats.org/officeDocument/2006/customXml" ds:itemID="{492F00C0-5B54-464A-A0F9-9A070D780496}">
  <ds:schemaRefs>
    <ds:schemaRef ds:uri="Microsoft.SharePoint.Taxonomy.ContentTypeSync"/>
  </ds:schemaRefs>
</ds:datastoreItem>
</file>

<file path=customXml/itemProps5.xml><?xml version="1.0" encoding="utf-8"?>
<ds:datastoreItem xmlns:ds="http://schemas.openxmlformats.org/officeDocument/2006/customXml" ds:itemID="{05BD3934-C82D-4D04-96D0-F1EB8D123593}">
  <ds:schemaRefs>
    <ds:schemaRef ds:uri="http://schemas.microsoft.com/sharepoint/v3/contenttype/forms"/>
  </ds:schemaRefs>
</ds:datastoreItem>
</file>

<file path=customXml/itemProps6.xml><?xml version="1.0" encoding="utf-8"?>
<ds:datastoreItem xmlns:ds="http://schemas.openxmlformats.org/officeDocument/2006/customXml" ds:itemID="{18E38F33-BB74-4408-98F8-A34FA58F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FERC-604, Cash Management Agreements</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FERC-604, Cash Management Agreements</dc:title>
  <dc:subject/>
  <dc:creator>Michele Chambers</dc:creator>
  <cp:keywords/>
  <dc:description/>
  <cp:lastModifiedBy>Michele Chambers</cp:lastModifiedBy>
  <cp:revision>2</cp:revision>
  <dcterms:created xsi:type="dcterms:W3CDTF">2020-02-19T13:51:00Z</dcterms:created>
  <dcterms:modified xsi:type="dcterms:W3CDTF">2020-02-19T13:51:00Z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