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90CB7" w14:textId="77777777" w:rsidR="0003526D" w:rsidRPr="0003526D" w:rsidRDefault="0003526D" w:rsidP="0003526D">
      <w:pPr>
        <w:tabs>
          <w:tab w:val="left" w:pos="1800"/>
        </w:tabs>
        <w:jc w:val="center"/>
        <w:rPr>
          <w:szCs w:val="26"/>
        </w:rPr>
      </w:pPr>
      <w:bookmarkStart w:id="0" w:name="_GoBack"/>
      <w:bookmarkEnd w:id="0"/>
      <w:r w:rsidRPr="0003526D">
        <w:rPr>
          <w:szCs w:val="26"/>
        </w:rPr>
        <w:t>UNITED STATES OF AMERICA</w:t>
      </w:r>
    </w:p>
    <w:p w14:paraId="1F19BC2C" w14:textId="77777777" w:rsidR="0003526D" w:rsidRPr="0003526D" w:rsidRDefault="0003526D" w:rsidP="0003526D">
      <w:pPr>
        <w:tabs>
          <w:tab w:val="left" w:pos="1800"/>
        </w:tabs>
        <w:jc w:val="center"/>
        <w:rPr>
          <w:szCs w:val="26"/>
        </w:rPr>
      </w:pPr>
      <w:r w:rsidRPr="0003526D">
        <w:rPr>
          <w:szCs w:val="26"/>
        </w:rPr>
        <w:t>FEDERAL ENERGY REGULATORY COMMISSION</w:t>
      </w:r>
    </w:p>
    <w:p w14:paraId="3954A8D8" w14:textId="77777777" w:rsidR="0003526D" w:rsidRPr="0003526D" w:rsidRDefault="0003526D" w:rsidP="0003526D">
      <w:pPr>
        <w:tabs>
          <w:tab w:val="left" w:pos="1800"/>
        </w:tabs>
        <w:jc w:val="center"/>
        <w:rPr>
          <w:szCs w:val="26"/>
        </w:rPr>
      </w:pPr>
    </w:p>
    <w:p w14:paraId="7FDE3D88" w14:textId="7DE5821C" w:rsidR="0003526D" w:rsidRPr="0003526D" w:rsidRDefault="0003526D" w:rsidP="0003526D">
      <w:pPr>
        <w:tabs>
          <w:tab w:val="left" w:pos="1800"/>
        </w:tabs>
        <w:jc w:val="center"/>
        <w:rPr>
          <w:szCs w:val="26"/>
        </w:rPr>
      </w:pPr>
      <w:r w:rsidRPr="0003526D">
        <w:rPr>
          <w:szCs w:val="26"/>
        </w:rPr>
        <w:t>[Docket No.</w:t>
      </w:r>
      <w:r w:rsidR="006E721A">
        <w:rPr>
          <w:szCs w:val="26"/>
        </w:rPr>
        <w:t xml:space="preserve"> </w:t>
      </w:r>
      <w:r w:rsidRPr="0003526D">
        <w:rPr>
          <w:szCs w:val="26"/>
        </w:rPr>
        <w:t>IC19-</w:t>
      </w:r>
      <w:r w:rsidR="0073240A">
        <w:rPr>
          <w:szCs w:val="26"/>
        </w:rPr>
        <w:t>46</w:t>
      </w:r>
      <w:r w:rsidRPr="0003526D">
        <w:rPr>
          <w:szCs w:val="26"/>
        </w:rPr>
        <w:t>-00</w:t>
      </w:r>
      <w:r w:rsidR="0005616B">
        <w:rPr>
          <w:szCs w:val="26"/>
        </w:rPr>
        <w:t>0</w:t>
      </w:r>
      <w:r w:rsidRPr="0003526D">
        <w:rPr>
          <w:szCs w:val="26"/>
        </w:rPr>
        <w:t>]</w:t>
      </w:r>
    </w:p>
    <w:p w14:paraId="0BEB8D29" w14:textId="77777777" w:rsidR="0003526D" w:rsidRPr="0003526D" w:rsidRDefault="0003526D" w:rsidP="0003526D">
      <w:pPr>
        <w:tabs>
          <w:tab w:val="left" w:pos="1800"/>
        </w:tabs>
        <w:jc w:val="center"/>
        <w:rPr>
          <w:szCs w:val="26"/>
        </w:rPr>
      </w:pPr>
    </w:p>
    <w:p w14:paraId="66931005" w14:textId="77777777" w:rsidR="0003526D" w:rsidRPr="0003526D" w:rsidRDefault="0003526D" w:rsidP="0003526D">
      <w:pPr>
        <w:tabs>
          <w:tab w:val="left" w:pos="1800"/>
        </w:tabs>
        <w:jc w:val="center"/>
        <w:rPr>
          <w:szCs w:val="26"/>
        </w:rPr>
      </w:pPr>
      <w:r w:rsidRPr="0003526D">
        <w:rPr>
          <w:szCs w:val="26"/>
        </w:rPr>
        <w:t xml:space="preserve">COMMISSION INFORMATION COLLECTION ACTIVITIES </w:t>
      </w:r>
    </w:p>
    <w:p w14:paraId="32DA7D83" w14:textId="2343A70E" w:rsidR="0003526D" w:rsidRPr="0003526D" w:rsidRDefault="0003526D" w:rsidP="0003526D">
      <w:pPr>
        <w:tabs>
          <w:tab w:val="left" w:pos="1800"/>
        </w:tabs>
        <w:jc w:val="center"/>
        <w:rPr>
          <w:szCs w:val="26"/>
        </w:rPr>
      </w:pPr>
      <w:r w:rsidRPr="0003526D">
        <w:rPr>
          <w:szCs w:val="26"/>
        </w:rPr>
        <w:t>(FERC-</w:t>
      </w:r>
      <w:r w:rsidR="000D4CCF">
        <w:rPr>
          <w:szCs w:val="26"/>
        </w:rPr>
        <w:t>604</w:t>
      </w:r>
      <w:r w:rsidRPr="00684D89">
        <w:rPr>
          <w:szCs w:val="26"/>
        </w:rPr>
        <w:t>)</w:t>
      </w:r>
      <w:r w:rsidRPr="0003526D">
        <w:rPr>
          <w:szCs w:val="26"/>
        </w:rPr>
        <w:t xml:space="preserve"> </w:t>
      </w:r>
    </w:p>
    <w:p w14:paraId="030DE170" w14:textId="77777777" w:rsidR="0003526D" w:rsidRPr="0003526D" w:rsidRDefault="0003526D" w:rsidP="0003526D">
      <w:pPr>
        <w:tabs>
          <w:tab w:val="left" w:pos="1800"/>
        </w:tabs>
        <w:jc w:val="center"/>
        <w:rPr>
          <w:szCs w:val="26"/>
        </w:rPr>
      </w:pPr>
      <w:r w:rsidRPr="0003526D">
        <w:rPr>
          <w:szCs w:val="26"/>
        </w:rPr>
        <w:t>COMMENT REQUEST; EXTENSION</w:t>
      </w:r>
    </w:p>
    <w:p w14:paraId="468E26CE" w14:textId="77777777" w:rsidR="0003526D" w:rsidRPr="0003526D" w:rsidRDefault="0003526D" w:rsidP="0003526D">
      <w:pPr>
        <w:tabs>
          <w:tab w:val="left" w:pos="1800"/>
        </w:tabs>
        <w:jc w:val="center"/>
        <w:rPr>
          <w:szCs w:val="26"/>
        </w:rPr>
      </w:pPr>
    </w:p>
    <w:p w14:paraId="2AA630A4" w14:textId="63717E7D" w:rsidR="0003526D" w:rsidRDefault="00FE6546" w:rsidP="00FE6546">
      <w:pPr>
        <w:tabs>
          <w:tab w:val="left" w:pos="1800"/>
        </w:tabs>
        <w:jc w:val="center"/>
        <w:rPr>
          <w:szCs w:val="26"/>
        </w:rPr>
      </w:pPr>
      <w:r w:rsidRPr="00FE6546">
        <w:rPr>
          <w:szCs w:val="26"/>
        </w:rPr>
        <w:t>(August 30, 2019)</w:t>
      </w:r>
    </w:p>
    <w:p w14:paraId="140E715B" w14:textId="77777777" w:rsidR="00FE6546" w:rsidRPr="00FE6546" w:rsidRDefault="00FE6546" w:rsidP="00FE6546">
      <w:pPr>
        <w:tabs>
          <w:tab w:val="left" w:pos="1800"/>
        </w:tabs>
        <w:rPr>
          <w:szCs w:val="26"/>
        </w:rPr>
      </w:pPr>
    </w:p>
    <w:p w14:paraId="44A4E00A" w14:textId="77777777" w:rsidR="0003526D" w:rsidRPr="0003526D" w:rsidRDefault="0003526D" w:rsidP="0003526D">
      <w:pPr>
        <w:autoSpaceDE w:val="0"/>
        <w:autoSpaceDN w:val="0"/>
        <w:adjustRightInd w:val="0"/>
        <w:spacing w:line="480" w:lineRule="auto"/>
        <w:rPr>
          <w:szCs w:val="26"/>
        </w:rPr>
      </w:pPr>
      <w:r w:rsidRPr="0003526D">
        <w:rPr>
          <w:b/>
          <w:bCs/>
          <w:szCs w:val="26"/>
        </w:rPr>
        <w:t xml:space="preserve">AGENCY:  </w:t>
      </w:r>
      <w:r w:rsidRPr="0003526D">
        <w:rPr>
          <w:szCs w:val="26"/>
        </w:rPr>
        <w:t>Federal Energy Regulatory Commission</w:t>
      </w:r>
    </w:p>
    <w:p w14:paraId="0433BF05" w14:textId="77777777" w:rsidR="0003526D" w:rsidRPr="0003526D" w:rsidRDefault="0003526D" w:rsidP="0003526D">
      <w:pPr>
        <w:autoSpaceDE w:val="0"/>
        <w:autoSpaceDN w:val="0"/>
        <w:adjustRightInd w:val="0"/>
        <w:spacing w:line="480" w:lineRule="auto"/>
        <w:rPr>
          <w:szCs w:val="26"/>
        </w:rPr>
      </w:pPr>
      <w:r w:rsidRPr="0003526D">
        <w:rPr>
          <w:b/>
          <w:bCs/>
          <w:szCs w:val="26"/>
        </w:rPr>
        <w:t>ACTION:</w:t>
      </w:r>
      <w:r w:rsidRPr="0003526D">
        <w:rPr>
          <w:szCs w:val="26"/>
        </w:rPr>
        <w:t xml:space="preserve">  Notice of information collection and request for comments.</w:t>
      </w:r>
    </w:p>
    <w:p w14:paraId="5033DF0F" w14:textId="32359CE1" w:rsidR="0003526D" w:rsidRPr="0003526D" w:rsidRDefault="0003526D" w:rsidP="0003526D">
      <w:pPr>
        <w:autoSpaceDE w:val="0"/>
        <w:autoSpaceDN w:val="0"/>
        <w:adjustRightInd w:val="0"/>
        <w:spacing w:line="480" w:lineRule="auto"/>
        <w:rPr>
          <w:szCs w:val="26"/>
        </w:rPr>
      </w:pPr>
      <w:r w:rsidRPr="0003526D">
        <w:rPr>
          <w:b/>
          <w:color w:val="000000"/>
          <w:szCs w:val="26"/>
        </w:rPr>
        <w:t xml:space="preserve">SUMMARY:  </w:t>
      </w:r>
      <w:r w:rsidRPr="0003526D">
        <w:rPr>
          <w:szCs w:val="26"/>
        </w:rPr>
        <w:t>In compliance with the requirements of the Paperwork Reduction Act of 1995 (PRA), the Federal Energy Regulatory Commission (Commission or FERC) is soliciting public comment on the currently approved</w:t>
      </w:r>
      <w:r w:rsidR="000D4CCF">
        <w:rPr>
          <w:szCs w:val="26"/>
        </w:rPr>
        <w:t xml:space="preserve"> requirements and burden of</w:t>
      </w:r>
      <w:r w:rsidRPr="0003526D">
        <w:rPr>
          <w:szCs w:val="26"/>
        </w:rPr>
        <w:t xml:space="preserve"> information collection, </w:t>
      </w:r>
      <w:r w:rsidRPr="00684D89">
        <w:rPr>
          <w:szCs w:val="26"/>
        </w:rPr>
        <w:t>FERC-</w:t>
      </w:r>
      <w:r w:rsidR="00684D89" w:rsidRPr="00684D89">
        <w:rPr>
          <w:szCs w:val="26"/>
        </w:rPr>
        <w:t xml:space="preserve"> </w:t>
      </w:r>
      <w:r w:rsidR="000D4CCF">
        <w:rPr>
          <w:szCs w:val="26"/>
        </w:rPr>
        <w:t>604</w:t>
      </w:r>
      <w:r w:rsidRPr="00684D89">
        <w:rPr>
          <w:szCs w:val="26"/>
        </w:rPr>
        <w:t xml:space="preserve"> (</w:t>
      </w:r>
      <w:r w:rsidR="000D4CCF">
        <w:rPr>
          <w:szCs w:val="26"/>
        </w:rPr>
        <w:t>Cash Management Agreements</w:t>
      </w:r>
      <w:r w:rsidRPr="00684D89">
        <w:rPr>
          <w:szCs w:val="26"/>
        </w:rPr>
        <w:t>)</w:t>
      </w:r>
      <w:r w:rsidR="00684D89">
        <w:rPr>
          <w:szCs w:val="26"/>
        </w:rPr>
        <w:t>.</w:t>
      </w:r>
    </w:p>
    <w:p w14:paraId="71011DC9" w14:textId="77777777" w:rsidR="0003526D" w:rsidRPr="0003526D" w:rsidRDefault="0003526D" w:rsidP="0003526D">
      <w:pPr>
        <w:spacing w:line="480" w:lineRule="auto"/>
        <w:rPr>
          <w:szCs w:val="26"/>
        </w:rPr>
      </w:pPr>
      <w:r w:rsidRPr="0003526D">
        <w:rPr>
          <w:b/>
          <w:bCs/>
          <w:szCs w:val="26"/>
        </w:rPr>
        <w:t>DATES:</w:t>
      </w:r>
      <w:r w:rsidRPr="0003526D">
        <w:rPr>
          <w:szCs w:val="26"/>
        </w:rPr>
        <w:t xml:space="preserve"> Comments on the collections of information are due [</w:t>
      </w:r>
      <w:r w:rsidRPr="0003526D">
        <w:rPr>
          <w:b/>
          <w:szCs w:val="26"/>
        </w:rPr>
        <w:t>Insert date 60 days after date of publication in the Federal Register</w:t>
      </w:r>
      <w:r w:rsidRPr="0003526D">
        <w:rPr>
          <w:szCs w:val="26"/>
        </w:rPr>
        <w:t xml:space="preserve">]. </w:t>
      </w:r>
    </w:p>
    <w:p w14:paraId="52E091F8" w14:textId="7322912C" w:rsidR="0003526D" w:rsidRPr="0003526D" w:rsidRDefault="0003526D" w:rsidP="0003526D">
      <w:pPr>
        <w:spacing w:line="480" w:lineRule="auto"/>
        <w:rPr>
          <w:szCs w:val="26"/>
        </w:rPr>
      </w:pPr>
      <w:r w:rsidRPr="0003526D">
        <w:rPr>
          <w:b/>
          <w:bCs/>
          <w:szCs w:val="26"/>
        </w:rPr>
        <w:t>ADDRESSES:</w:t>
      </w:r>
      <w:r w:rsidRPr="0003526D">
        <w:rPr>
          <w:szCs w:val="26"/>
        </w:rPr>
        <w:t xml:space="preserve"> You may submit comments (identified by Docket No. IC19-</w:t>
      </w:r>
      <w:r w:rsidR="0073240A">
        <w:rPr>
          <w:szCs w:val="26"/>
        </w:rPr>
        <w:t>46</w:t>
      </w:r>
      <w:r w:rsidRPr="0003526D">
        <w:rPr>
          <w:szCs w:val="26"/>
        </w:rPr>
        <w:t>-000) by either of the following methods:</w:t>
      </w:r>
    </w:p>
    <w:p w14:paraId="0C4CAAF1" w14:textId="77777777" w:rsidR="0003526D" w:rsidRPr="0003526D" w:rsidRDefault="0003526D" w:rsidP="0003526D">
      <w:pPr>
        <w:numPr>
          <w:ilvl w:val="0"/>
          <w:numId w:val="1"/>
        </w:numPr>
        <w:tabs>
          <w:tab w:val="num" w:pos="1080"/>
        </w:tabs>
        <w:spacing w:after="160" w:line="480" w:lineRule="auto"/>
        <w:ind w:left="720"/>
        <w:rPr>
          <w:szCs w:val="26"/>
        </w:rPr>
      </w:pPr>
      <w:r w:rsidRPr="0003526D">
        <w:rPr>
          <w:szCs w:val="26"/>
        </w:rPr>
        <w:t xml:space="preserve">eFiling at Commission’s Web Site: </w:t>
      </w:r>
      <w:hyperlink r:id="rId12" w:history="1">
        <w:r w:rsidRPr="0003526D">
          <w:rPr>
            <w:color w:val="0000FF"/>
            <w:szCs w:val="26"/>
            <w:u w:val="single"/>
          </w:rPr>
          <w:t>http://www.ferc.gov/docs-filing/efiling.asp</w:t>
        </w:r>
      </w:hyperlink>
    </w:p>
    <w:p w14:paraId="74469CD7" w14:textId="77777777" w:rsidR="0003526D" w:rsidRPr="0003526D" w:rsidRDefault="0003526D" w:rsidP="0003526D">
      <w:pPr>
        <w:numPr>
          <w:ilvl w:val="0"/>
          <w:numId w:val="1"/>
        </w:numPr>
        <w:tabs>
          <w:tab w:val="num" w:pos="1080"/>
        </w:tabs>
        <w:spacing w:after="160" w:line="480" w:lineRule="auto"/>
        <w:ind w:left="1080"/>
        <w:rPr>
          <w:szCs w:val="26"/>
        </w:rPr>
      </w:pPr>
      <w:r w:rsidRPr="0003526D">
        <w:rPr>
          <w:szCs w:val="26"/>
        </w:rPr>
        <w:t>Mail/Hand Delivery/Courier: Federal Energy Regulatory Commission, Secretary of the Commission, 888 First Street, NE, Washington, DC 20426.</w:t>
      </w:r>
    </w:p>
    <w:p w14:paraId="53FBD446" w14:textId="77777777" w:rsidR="0003526D" w:rsidRPr="0003526D" w:rsidRDefault="0003526D" w:rsidP="0003526D">
      <w:pPr>
        <w:spacing w:line="480" w:lineRule="auto"/>
        <w:rPr>
          <w:szCs w:val="26"/>
        </w:rPr>
      </w:pPr>
      <w:bookmarkStart w:id="1" w:name="OLE_LINK1"/>
      <w:r w:rsidRPr="0003526D">
        <w:rPr>
          <w:i/>
          <w:szCs w:val="26"/>
        </w:rPr>
        <w:t xml:space="preserve">Instructions: </w:t>
      </w:r>
      <w:r w:rsidRPr="0003526D">
        <w:rPr>
          <w:szCs w:val="26"/>
        </w:rPr>
        <w:t xml:space="preserve">All submissions must be formatted and filed in accordance with submission guidelines at: </w:t>
      </w:r>
      <w:hyperlink r:id="rId13" w:history="1">
        <w:r w:rsidRPr="0003526D">
          <w:rPr>
            <w:color w:val="0000FF"/>
            <w:szCs w:val="26"/>
            <w:u w:val="single"/>
          </w:rPr>
          <w:t>http://www.ferc.gov/help/submission-guide.asp</w:t>
        </w:r>
      </w:hyperlink>
      <w:r w:rsidRPr="0003526D">
        <w:rPr>
          <w:szCs w:val="26"/>
        </w:rPr>
        <w:t xml:space="preserve">.  For user assistance, </w:t>
      </w:r>
      <w:r w:rsidRPr="0003526D">
        <w:rPr>
          <w:szCs w:val="26"/>
        </w:rPr>
        <w:lastRenderedPageBreak/>
        <w:t>contact FERC Online Support by e-mail at ferconlinesupport@ferc.gov, or by phone at:  (866) 208-3676 (toll-free), or (202) 502-8659 for TTY.</w:t>
      </w:r>
    </w:p>
    <w:p w14:paraId="7F0B581E" w14:textId="77777777" w:rsidR="0003526D" w:rsidRPr="0003526D" w:rsidRDefault="0003526D" w:rsidP="0003526D">
      <w:pPr>
        <w:spacing w:line="480" w:lineRule="auto"/>
        <w:rPr>
          <w:szCs w:val="26"/>
        </w:rPr>
      </w:pPr>
      <w:r w:rsidRPr="0003526D">
        <w:rPr>
          <w:i/>
          <w:szCs w:val="26"/>
        </w:rPr>
        <w:t>Docket:</w:t>
      </w:r>
      <w:r w:rsidRPr="0003526D">
        <w:rPr>
          <w:szCs w:val="26"/>
        </w:rPr>
        <w:t xml:space="preserve"> Users interested in receiving automatic notification of activity in this docket or in viewing/downloading comments and issuances in this docket may do so at </w:t>
      </w:r>
      <w:hyperlink r:id="rId14" w:history="1">
        <w:r w:rsidRPr="0003526D">
          <w:rPr>
            <w:color w:val="0000FF"/>
            <w:szCs w:val="26"/>
            <w:u w:val="single"/>
          </w:rPr>
          <w:t>http://www.ferc.gov/docs-filing/docs-filing.asp</w:t>
        </w:r>
      </w:hyperlink>
      <w:r w:rsidRPr="0003526D">
        <w:rPr>
          <w:szCs w:val="26"/>
        </w:rPr>
        <w:t xml:space="preserve">. </w:t>
      </w:r>
    </w:p>
    <w:bookmarkEnd w:id="1"/>
    <w:p w14:paraId="71407D2B" w14:textId="77777777" w:rsidR="0003526D" w:rsidRPr="0003526D" w:rsidRDefault="0003526D" w:rsidP="0003526D">
      <w:pPr>
        <w:spacing w:line="480" w:lineRule="auto"/>
        <w:rPr>
          <w:szCs w:val="26"/>
        </w:rPr>
      </w:pPr>
      <w:r w:rsidRPr="0003526D">
        <w:rPr>
          <w:b/>
          <w:szCs w:val="26"/>
        </w:rPr>
        <w:t>FOR FURTHER INFORMATION CONTACT:</w:t>
      </w:r>
      <w:r w:rsidRPr="0003526D">
        <w:rPr>
          <w:szCs w:val="26"/>
        </w:rPr>
        <w:t xml:space="preserve">  Ellen Brown may be reached by e-mail at </w:t>
      </w:r>
      <w:hyperlink r:id="rId15" w:history="1">
        <w:r w:rsidRPr="0003526D">
          <w:rPr>
            <w:color w:val="0000FF"/>
            <w:szCs w:val="26"/>
            <w:u w:val="single"/>
          </w:rPr>
          <w:t>DataClearance@FERC.gov</w:t>
        </w:r>
      </w:hyperlink>
      <w:r w:rsidRPr="0003526D">
        <w:rPr>
          <w:szCs w:val="26"/>
        </w:rPr>
        <w:t>, telephone at (202) 502-8663, and fax at (202) 273-0873.</w:t>
      </w:r>
    </w:p>
    <w:p w14:paraId="520EC7A4" w14:textId="77777777" w:rsidR="0003526D" w:rsidRPr="0003526D" w:rsidRDefault="0003526D" w:rsidP="0003526D">
      <w:pPr>
        <w:tabs>
          <w:tab w:val="left" w:pos="7880"/>
        </w:tabs>
        <w:spacing w:line="480" w:lineRule="auto"/>
        <w:rPr>
          <w:szCs w:val="26"/>
        </w:rPr>
      </w:pPr>
      <w:r w:rsidRPr="0003526D">
        <w:rPr>
          <w:szCs w:val="26"/>
        </w:rPr>
        <w:t xml:space="preserve"> </w:t>
      </w:r>
      <w:r w:rsidRPr="0003526D">
        <w:rPr>
          <w:b/>
          <w:szCs w:val="26"/>
        </w:rPr>
        <w:t>SUPPLEMENTARY INFORMATION:</w:t>
      </w:r>
      <w:r w:rsidRPr="0003526D">
        <w:rPr>
          <w:szCs w:val="26"/>
        </w:rPr>
        <w:t xml:space="preserve">  </w:t>
      </w:r>
    </w:p>
    <w:p w14:paraId="1C0DC382" w14:textId="2EC3C28A" w:rsidR="0003526D" w:rsidRPr="0003526D" w:rsidRDefault="0003526D" w:rsidP="0003526D">
      <w:pPr>
        <w:widowControl w:val="0"/>
        <w:autoSpaceDE w:val="0"/>
        <w:autoSpaceDN w:val="0"/>
        <w:adjustRightInd w:val="0"/>
        <w:spacing w:line="480" w:lineRule="auto"/>
        <w:rPr>
          <w:szCs w:val="26"/>
        </w:rPr>
      </w:pPr>
      <w:r w:rsidRPr="0003526D">
        <w:rPr>
          <w:i/>
          <w:szCs w:val="26"/>
        </w:rPr>
        <w:t>Title:</w:t>
      </w:r>
      <w:r w:rsidRPr="0003526D">
        <w:rPr>
          <w:szCs w:val="26"/>
        </w:rPr>
        <w:t xml:space="preserve">  FERC-</w:t>
      </w:r>
      <w:r w:rsidR="000D4CCF">
        <w:rPr>
          <w:szCs w:val="26"/>
        </w:rPr>
        <w:t>604</w:t>
      </w:r>
      <w:r w:rsidRPr="00684D89">
        <w:rPr>
          <w:szCs w:val="26"/>
        </w:rPr>
        <w:t xml:space="preserve"> (</w:t>
      </w:r>
      <w:r w:rsidR="000D4CCF">
        <w:rPr>
          <w:szCs w:val="26"/>
        </w:rPr>
        <w:t>Cash Management Agreements</w:t>
      </w:r>
      <w:r w:rsidRPr="00684D89">
        <w:rPr>
          <w:szCs w:val="26"/>
        </w:rPr>
        <w:t>)</w:t>
      </w:r>
    </w:p>
    <w:p w14:paraId="57121F67" w14:textId="4D0E3752" w:rsidR="0003526D" w:rsidRPr="0003526D" w:rsidRDefault="0003526D" w:rsidP="0003526D">
      <w:pPr>
        <w:widowControl w:val="0"/>
        <w:autoSpaceDE w:val="0"/>
        <w:autoSpaceDN w:val="0"/>
        <w:adjustRightInd w:val="0"/>
        <w:spacing w:line="480" w:lineRule="auto"/>
        <w:rPr>
          <w:szCs w:val="26"/>
        </w:rPr>
      </w:pPr>
      <w:r w:rsidRPr="0003526D">
        <w:rPr>
          <w:i/>
          <w:szCs w:val="26"/>
        </w:rPr>
        <w:t>OMB Control No.:</w:t>
      </w:r>
      <w:r w:rsidRPr="0003526D">
        <w:rPr>
          <w:szCs w:val="26"/>
        </w:rPr>
        <w:t xml:space="preserve"> 1902</w:t>
      </w:r>
      <w:r w:rsidRPr="00684D89">
        <w:rPr>
          <w:szCs w:val="26"/>
        </w:rPr>
        <w:t>-</w:t>
      </w:r>
      <w:r w:rsidR="00684D89">
        <w:rPr>
          <w:szCs w:val="26"/>
        </w:rPr>
        <w:t>0</w:t>
      </w:r>
      <w:r w:rsidR="000D4CCF">
        <w:rPr>
          <w:szCs w:val="26"/>
        </w:rPr>
        <w:t>267</w:t>
      </w:r>
      <w:r w:rsidRPr="0003526D">
        <w:rPr>
          <w:szCs w:val="26"/>
        </w:rPr>
        <w:t xml:space="preserve">  </w:t>
      </w:r>
    </w:p>
    <w:p w14:paraId="6D4B8FB4" w14:textId="3D1E3AAD" w:rsidR="0003526D" w:rsidRPr="0003526D" w:rsidRDefault="0003526D" w:rsidP="0003526D">
      <w:pPr>
        <w:widowControl w:val="0"/>
        <w:autoSpaceDE w:val="0"/>
        <w:autoSpaceDN w:val="0"/>
        <w:adjustRightInd w:val="0"/>
        <w:spacing w:line="480" w:lineRule="auto"/>
        <w:rPr>
          <w:szCs w:val="26"/>
        </w:rPr>
      </w:pPr>
      <w:r w:rsidRPr="0003526D">
        <w:rPr>
          <w:i/>
          <w:szCs w:val="26"/>
        </w:rPr>
        <w:t xml:space="preserve">Type of Request: </w:t>
      </w:r>
      <w:r w:rsidRPr="0003526D">
        <w:rPr>
          <w:szCs w:val="26"/>
        </w:rPr>
        <w:t>Three-year extension of the FERC-</w:t>
      </w:r>
      <w:r w:rsidR="000D4CCF">
        <w:rPr>
          <w:szCs w:val="26"/>
        </w:rPr>
        <w:t>604</w:t>
      </w:r>
      <w:r w:rsidRPr="0003526D">
        <w:rPr>
          <w:szCs w:val="26"/>
        </w:rPr>
        <w:t xml:space="preserve"> with no changes to the current reporting requirements.  </w:t>
      </w:r>
    </w:p>
    <w:p w14:paraId="242B0BDD" w14:textId="5B24498D" w:rsidR="000D4CCF" w:rsidRPr="000D4CCF" w:rsidRDefault="0003526D" w:rsidP="000D4CCF">
      <w:pPr>
        <w:tabs>
          <w:tab w:val="left" w:pos="1800"/>
        </w:tabs>
        <w:autoSpaceDE w:val="0"/>
        <w:autoSpaceDN w:val="0"/>
        <w:adjustRightInd w:val="0"/>
        <w:spacing w:line="480" w:lineRule="auto"/>
        <w:rPr>
          <w:bCs/>
          <w:szCs w:val="26"/>
        </w:rPr>
      </w:pPr>
      <w:r w:rsidRPr="0003526D">
        <w:rPr>
          <w:bCs/>
          <w:i/>
          <w:szCs w:val="26"/>
        </w:rPr>
        <w:t xml:space="preserve">Abstract: </w:t>
      </w:r>
      <w:r w:rsidR="000D4CCF" w:rsidRPr="000D4CCF">
        <w:rPr>
          <w:bCs/>
          <w:szCs w:val="26"/>
        </w:rPr>
        <w:t>Cash management or ‘‘money pool’’ programs typically concentrate affiliates’ cash assets in joint accounts for the purpose of providing financial flexibility and lowering the cost of borrowing. In a 2001 investigation, FERC staff found that balances in cash management programs affecting FERC-regulated entities totaled approximately $16 billion. Additionally, other investigations revealed large transfers of funds amounting to more than $1 billion) between regulated pipeline affiliates and non-regulated parents whose financial conditions were precarious. The Commission found that these and other fund transfers and the enormous (mostly unregulated) pools of</w:t>
      </w:r>
      <w:r w:rsidR="000D4CCF">
        <w:rPr>
          <w:bCs/>
          <w:szCs w:val="26"/>
        </w:rPr>
        <w:t xml:space="preserve"> </w:t>
      </w:r>
      <w:r w:rsidR="000D4CCF" w:rsidRPr="000D4CCF">
        <w:rPr>
          <w:bCs/>
          <w:szCs w:val="26"/>
        </w:rPr>
        <w:t>money in cash management programs could detrimentally affect regulated rates.</w:t>
      </w:r>
    </w:p>
    <w:p w14:paraId="124BC26C" w14:textId="11A0DD00" w:rsidR="000D4CCF" w:rsidRPr="000D4CCF" w:rsidRDefault="000D4CCF" w:rsidP="000D4CCF">
      <w:pPr>
        <w:tabs>
          <w:tab w:val="left" w:pos="1800"/>
        </w:tabs>
        <w:autoSpaceDE w:val="0"/>
        <w:autoSpaceDN w:val="0"/>
        <w:adjustRightInd w:val="0"/>
        <w:spacing w:line="480" w:lineRule="auto"/>
        <w:rPr>
          <w:bCs/>
          <w:szCs w:val="26"/>
        </w:rPr>
      </w:pPr>
      <w:r w:rsidRPr="000D4CCF">
        <w:rPr>
          <w:bCs/>
          <w:szCs w:val="26"/>
        </w:rPr>
        <w:lastRenderedPageBreak/>
        <w:t>To protect customers and promote</w:t>
      </w:r>
      <w:r>
        <w:rPr>
          <w:bCs/>
          <w:szCs w:val="26"/>
        </w:rPr>
        <w:t xml:space="preserve"> </w:t>
      </w:r>
      <w:r w:rsidRPr="000D4CCF">
        <w:rPr>
          <w:bCs/>
          <w:szCs w:val="26"/>
        </w:rPr>
        <w:t>transparency, the Commission issued</w:t>
      </w:r>
      <w:r>
        <w:rPr>
          <w:bCs/>
          <w:szCs w:val="26"/>
        </w:rPr>
        <w:t xml:space="preserve"> </w:t>
      </w:r>
      <w:r w:rsidRPr="000D4CCF">
        <w:rPr>
          <w:bCs/>
          <w:szCs w:val="26"/>
        </w:rPr>
        <w:t xml:space="preserve">Order 634–A </w:t>
      </w:r>
      <w:r>
        <w:rPr>
          <w:bCs/>
          <w:szCs w:val="26"/>
        </w:rPr>
        <w:t>(</w:t>
      </w:r>
      <w:r w:rsidRPr="000D4CCF">
        <w:rPr>
          <w:bCs/>
          <w:szCs w:val="26"/>
        </w:rPr>
        <w:t>2003) requiring entities to</w:t>
      </w:r>
      <w:r>
        <w:rPr>
          <w:bCs/>
          <w:szCs w:val="26"/>
        </w:rPr>
        <w:t xml:space="preserve"> </w:t>
      </w:r>
      <w:r w:rsidRPr="000D4CCF">
        <w:rPr>
          <w:bCs/>
          <w:szCs w:val="26"/>
        </w:rPr>
        <w:t>formalize in writing and file with the</w:t>
      </w:r>
      <w:r>
        <w:rPr>
          <w:bCs/>
          <w:szCs w:val="26"/>
        </w:rPr>
        <w:t xml:space="preserve"> </w:t>
      </w:r>
      <w:r w:rsidRPr="000D4CCF">
        <w:rPr>
          <w:bCs/>
          <w:szCs w:val="26"/>
        </w:rPr>
        <w:t>Commission their cash management</w:t>
      </w:r>
      <w:r>
        <w:rPr>
          <w:bCs/>
          <w:szCs w:val="26"/>
        </w:rPr>
        <w:t xml:space="preserve"> </w:t>
      </w:r>
      <w:r w:rsidRPr="000D4CCF">
        <w:rPr>
          <w:bCs/>
          <w:szCs w:val="26"/>
        </w:rPr>
        <w:t>agreements. At that time, the</w:t>
      </w:r>
      <w:r>
        <w:rPr>
          <w:bCs/>
          <w:szCs w:val="26"/>
        </w:rPr>
        <w:t xml:space="preserve"> </w:t>
      </w:r>
      <w:r w:rsidRPr="000D4CCF">
        <w:rPr>
          <w:bCs/>
          <w:szCs w:val="26"/>
        </w:rPr>
        <w:t>Commission obtained OMB clearance</w:t>
      </w:r>
      <w:r>
        <w:rPr>
          <w:bCs/>
          <w:szCs w:val="26"/>
        </w:rPr>
        <w:t xml:space="preserve"> </w:t>
      </w:r>
      <w:r w:rsidRPr="000D4CCF">
        <w:rPr>
          <w:bCs/>
          <w:szCs w:val="26"/>
        </w:rPr>
        <w:t>for this new reporting requirement</w:t>
      </w:r>
      <w:r>
        <w:rPr>
          <w:bCs/>
          <w:szCs w:val="26"/>
        </w:rPr>
        <w:t xml:space="preserve"> </w:t>
      </w:r>
      <w:r w:rsidRPr="000D4CCF">
        <w:rPr>
          <w:bCs/>
          <w:szCs w:val="26"/>
        </w:rPr>
        <w:t>under the FERC–555 information</w:t>
      </w:r>
      <w:r>
        <w:rPr>
          <w:bCs/>
          <w:szCs w:val="26"/>
        </w:rPr>
        <w:t xml:space="preserve"> </w:t>
      </w:r>
      <w:r w:rsidRPr="000D4CCF">
        <w:rPr>
          <w:bCs/>
          <w:szCs w:val="26"/>
        </w:rPr>
        <w:t>collection (OMB Control No. 1902–0098). Now, the Commission includes</w:t>
      </w:r>
      <w:r>
        <w:rPr>
          <w:bCs/>
          <w:szCs w:val="26"/>
        </w:rPr>
        <w:t xml:space="preserve"> </w:t>
      </w:r>
      <w:r w:rsidRPr="000D4CCF">
        <w:rPr>
          <w:bCs/>
          <w:szCs w:val="26"/>
        </w:rPr>
        <w:t>these reporting requirements for cash</w:t>
      </w:r>
    </w:p>
    <w:p w14:paraId="2E3F4CF8" w14:textId="2DEE8C2D" w:rsidR="000D4CCF" w:rsidRPr="000D4CCF" w:rsidRDefault="000D4CCF" w:rsidP="000D4CCF">
      <w:pPr>
        <w:tabs>
          <w:tab w:val="left" w:pos="1800"/>
        </w:tabs>
        <w:autoSpaceDE w:val="0"/>
        <w:autoSpaceDN w:val="0"/>
        <w:adjustRightInd w:val="0"/>
        <w:spacing w:line="480" w:lineRule="auto"/>
        <w:rPr>
          <w:bCs/>
          <w:szCs w:val="26"/>
        </w:rPr>
      </w:pPr>
      <w:r w:rsidRPr="000D4CCF">
        <w:rPr>
          <w:bCs/>
          <w:szCs w:val="26"/>
        </w:rPr>
        <w:t>management agreements under the</w:t>
      </w:r>
      <w:r>
        <w:rPr>
          <w:bCs/>
          <w:szCs w:val="26"/>
        </w:rPr>
        <w:t xml:space="preserve"> </w:t>
      </w:r>
      <w:r w:rsidRPr="000D4CCF">
        <w:rPr>
          <w:bCs/>
          <w:szCs w:val="26"/>
        </w:rPr>
        <w:t>FERC–604 information collection (OMB</w:t>
      </w:r>
      <w:r>
        <w:rPr>
          <w:bCs/>
          <w:szCs w:val="26"/>
        </w:rPr>
        <w:t xml:space="preserve"> </w:t>
      </w:r>
      <w:r w:rsidRPr="000D4CCF">
        <w:rPr>
          <w:bCs/>
          <w:szCs w:val="26"/>
        </w:rPr>
        <w:t>Control No. 1902–0267). The</w:t>
      </w:r>
      <w:r>
        <w:rPr>
          <w:bCs/>
          <w:szCs w:val="26"/>
        </w:rPr>
        <w:t xml:space="preserve"> </w:t>
      </w:r>
      <w:r w:rsidRPr="000D4CCF">
        <w:rPr>
          <w:bCs/>
          <w:szCs w:val="26"/>
        </w:rPr>
        <w:t>Commission implemented these</w:t>
      </w:r>
      <w:r>
        <w:rPr>
          <w:bCs/>
          <w:szCs w:val="26"/>
        </w:rPr>
        <w:t xml:space="preserve"> </w:t>
      </w:r>
      <w:r w:rsidRPr="000D4CCF">
        <w:rPr>
          <w:bCs/>
          <w:szCs w:val="26"/>
        </w:rPr>
        <w:t>reporting requirements in 18 CFR parts</w:t>
      </w:r>
    </w:p>
    <w:p w14:paraId="4A97118E" w14:textId="4D788FBF" w:rsidR="00684D89" w:rsidRPr="000D4CCF" w:rsidRDefault="000D4CCF" w:rsidP="000D4CCF">
      <w:pPr>
        <w:tabs>
          <w:tab w:val="left" w:pos="1800"/>
        </w:tabs>
        <w:autoSpaceDE w:val="0"/>
        <w:autoSpaceDN w:val="0"/>
        <w:adjustRightInd w:val="0"/>
        <w:spacing w:line="480" w:lineRule="auto"/>
        <w:rPr>
          <w:bCs/>
          <w:szCs w:val="26"/>
        </w:rPr>
      </w:pPr>
      <w:r w:rsidRPr="000D4CCF">
        <w:rPr>
          <w:bCs/>
          <w:szCs w:val="26"/>
        </w:rPr>
        <w:t>141.500, 260.400, and 357.5.</w:t>
      </w:r>
    </w:p>
    <w:p w14:paraId="20894BCE" w14:textId="0BBDA6D9" w:rsidR="0003526D" w:rsidRPr="00684D89" w:rsidRDefault="00684D89" w:rsidP="00684D89">
      <w:pPr>
        <w:tabs>
          <w:tab w:val="left" w:pos="1800"/>
        </w:tabs>
        <w:autoSpaceDE w:val="0"/>
        <w:autoSpaceDN w:val="0"/>
        <w:adjustRightInd w:val="0"/>
        <w:spacing w:line="480" w:lineRule="auto"/>
        <w:rPr>
          <w:szCs w:val="26"/>
        </w:rPr>
      </w:pPr>
      <w:r w:rsidRPr="00684D89">
        <w:rPr>
          <w:bCs/>
          <w:i/>
          <w:iCs/>
          <w:szCs w:val="26"/>
        </w:rPr>
        <w:t xml:space="preserve">Type of Respondents: </w:t>
      </w:r>
      <w:r w:rsidRPr="00684D89">
        <w:rPr>
          <w:bCs/>
          <w:szCs w:val="26"/>
        </w:rPr>
        <w:t>P</w:t>
      </w:r>
      <w:r w:rsidR="000D4CCF">
        <w:rPr>
          <w:bCs/>
          <w:szCs w:val="26"/>
        </w:rPr>
        <w:t>ublic utilities, natural gas companies, and oil pipeline companies</w:t>
      </w:r>
      <w:r w:rsidRPr="00684D89">
        <w:rPr>
          <w:bCs/>
          <w:szCs w:val="26"/>
        </w:rPr>
        <w:t>.</w:t>
      </w:r>
    </w:p>
    <w:p w14:paraId="4E2DE1CC" w14:textId="77777777" w:rsidR="0003526D" w:rsidRPr="0003526D" w:rsidRDefault="0003526D" w:rsidP="0003526D">
      <w:pPr>
        <w:widowControl w:val="0"/>
        <w:autoSpaceDE w:val="0"/>
        <w:autoSpaceDN w:val="0"/>
        <w:adjustRightInd w:val="0"/>
        <w:spacing w:line="480" w:lineRule="auto"/>
        <w:rPr>
          <w:szCs w:val="26"/>
        </w:rPr>
      </w:pPr>
      <w:r w:rsidRPr="0003526D">
        <w:rPr>
          <w:i/>
          <w:szCs w:val="26"/>
        </w:rPr>
        <w:t>Estimate of Annual Burden</w:t>
      </w:r>
      <w:r w:rsidRPr="0003526D">
        <w:rPr>
          <w:szCs w:val="26"/>
        </w:rPr>
        <w:t>.</w:t>
      </w:r>
      <w:r w:rsidRPr="0003526D">
        <w:rPr>
          <w:szCs w:val="26"/>
          <w:vertAlign w:val="superscript"/>
        </w:rPr>
        <w:footnoteReference w:id="1"/>
      </w:r>
      <w:r w:rsidRPr="0003526D">
        <w:rPr>
          <w:szCs w:val="26"/>
        </w:rPr>
        <w:t xml:space="preserve"> The Commission estimates the annual public reporting burden for the information collection as:</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0"/>
        <w:gridCol w:w="1530"/>
        <w:gridCol w:w="1440"/>
        <w:gridCol w:w="1710"/>
        <w:gridCol w:w="1800"/>
        <w:gridCol w:w="1530"/>
      </w:tblGrid>
      <w:tr w:rsidR="0003526D" w:rsidRPr="0005616B" w14:paraId="0A88F4A3" w14:textId="77777777" w:rsidTr="0086146D">
        <w:trPr>
          <w:trHeight w:val="242"/>
          <w:jc w:val="center"/>
        </w:trPr>
        <w:tc>
          <w:tcPr>
            <w:tcW w:w="9550" w:type="dxa"/>
            <w:gridSpan w:val="6"/>
            <w:shd w:val="clear" w:color="auto" w:fill="D9D9D9"/>
            <w:vAlign w:val="bottom"/>
          </w:tcPr>
          <w:p w14:paraId="513C1F48" w14:textId="27F8249E" w:rsidR="0003526D" w:rsidRPr="0005616B" w:rsidRDefault="00684D89" w:rsidP="0086146D">
            <w:pPr>
              <w:jc w:val="center"/>
              <w:rPr>
                <w:b/>
                <w:smallCaps/>
                <w:sz w:val="20"/>
                <w:szCs w:val="20"/>
              </w:rPr>
            </w:pPr>
            <w:r w:rsidRPr="0005616B">
              <w:rPr>
                <w:b/>
                <w:smallCaps/>
                <w:sz w:val="20"/>
                <w:szCs w:val="20"/>
              </w:rPr>
              <w:t>FERC-</w:t>
            </w:r>
            <w:r w:rsidR="00283FAD" w:rsidRPr="0005616B">
              <w:rPr>
                <w:b/>
                <w:smallCaps/>
                <w:sz w:val="20"/>
                <w:szCs w:val="20"/>
              </w:rPr>
              <w:t>604, Cash Management Agreements</w:t>
            </w:r>
          </w:p>
        </w:tc>
      </w:tr>
      <w:tr w:rsidR="0003526D" w:rsidRPr="0005616B" w14:paraId="224A9A32" w14:textId="77777777" w:rsidTr="0086146D">
        <w:trPr>
          <w:trHeight w:val="638"/>
          <w:jc w:val="center"/>
        </w:trPr>
        <w:tc>
          <w:tcPr>
            <w:tcW w:w="1540" w:type="dxa"/>
            <w:shd w:val="clear" w:color="auto" w:fill="D9D9D9"/>
            <w:vAlign w:val="bottom"/>
          </w:tcPr>
          <w:p w14:paraId="431DBEC5" w14:textId="77777777" w:rsidR="0003526D" w:rsidRPr="0005616B" w:rsidRDefault="0003526D" w:rsidP="0086146D">
            <w:pPr>
              <w:jc w:val="center"/>
              <w:rPr>
                <w:b/>
                <w:sz w:val="20"/>
                <w:szCs w:val="20"/>
              </w:rPr>
            </w:pPr>
            <w:r w:rsidRPr="0005616B">
              <w:rPr>
                <w:b/>
                <w:sz w:val="20"/>
                <w:szCs w:val="20"/>
              </w:rPr>
              <w:t>Number of Respondents</w:t>
            </w:r>
          </w:p>
          <w:p w14:paraId="672C7630" w14:textId="77777777" w:rsidR="0003526D" w:rsidRPr="0005616B" w:rsidRDefault="0003526D" w:rsidP="0086146D">
            <w:pPr>
              <w:jc w:val="center"/>
              <w:rPr>
                <w:b/>
                <w:sz w:val="20"/>
                <w:szCs w:val="20"/>
              </w:rPr>
            </w:pPr>
            <w:r w:rsidRPr="0005616B">
              <w:rPr>
                <w:b/>
                <w:sz w:val="20"/>
                <w:szCs w:val="20"/>
              </w:rPr>
              <w:t>(1)</w:t>
            </w:r>
          </w:p>
        </w:tc>
        <w:tc>
          <w:tcPr>
            <w:tcW w:w="1530" w:type="dxa"/>
            <w:shd w:val="clear" w:color="auto" w:fill="D9D9D9"/>
            <w:vAlign w:val="bottom"/>
          </w:tcPr>
          <w:p w14:paraId="2FBEFB7C" w14:textId="77777777" w:rsidR="0003526D" w:rsidRPr="0005616B" w:rsidRDefault="0003526D" w:rsidP="0086146D">
            <w:pPr>
              <w:jc w:val="center"/>
              <w:rPr>
                <w:b/>
                <w:sz w:val="20"/>
                <w:szCs w:val="20"/>
              </w:rPr>
            </w:pPr>
            <w:r w:rsidRPr="0005616B">
              <w:rPr>
                <w:b/>
                <w:sz w:val="20"/>
                <w:szCs w:val="20"/>
              </w:rPr>
              <w:t>Number of Responses Per Respondent</w:t>
            </w:r>
          </w:p>
          <w:p w14:paraId="4CC29B0A" w14:textId="77777777" w:rsidR="0003526D" w:rsidRPr="0005616B" w:rsidRDefault="0003526D" w:rsidP="0086146D">
            <w:pPr>
              <w:jc w:val="center"/>
              <w:rPr>
                <w:b/>
                <w:sz w:val="20"/>
                <w:szCs w:val="20"/>
              </w:rPr>
            </w:pPr>
            <w:r w:rsidRPr="0005616B">
              <w:rPr>
                <w:b/>
                <w:sz w:val="20"/>
                <w:szCs w:val="20"/>
              </w:rPr>
              <w:t>(2)</w:t>
            </w:r>
          </w:p>
        </w:tc>
        <w:tc>
          <w:tcPr>
            <w:tcW w:w="1440" w:type="dxa"/>
            <w:shd w:val="clear" w:color="auto" w:fill="D9D9D9"/>
            <w:vAlign w:val="bottom"/>
          </w:tcPr>
          <w:p w14:paraId="60C2A40D" w14:textId="77777777" w:rsidR="0003526D" w:rsidRPr="0005616B" w:rsidRDefault="0003526D" w:rsidP="0086146D">
            <w:pPr>
              <w:jc w:val="center"/>
              <w:rPr>
                <w:b/>
                <w:sz w:val="20"/>
                <w:szCs w:val="20"/>
              </w:rPr>
            </w:pPr>
            <w:r w:rsidRPr="0005616B">
              <w:rPr>
                <w:b/>
                <w:sz w:val="20"/>
                <w:szCs w:val="20"/>
              </w:rPr>
              <w:t>Total Number of Responses</w:t>
            </w:r>
          </w:p>
          <w:p w14:paraId="261C6343" w14:textId="77777777" w:rsidR="0003526D" w:rsidRPr="0005616B" w:rsidRDefault="0003526D" w:rsidP="0086146D">
            <w:pPr>
              <w:ind w:left="72"/>
              <w:jc w:val="center"/>
              <w:rPr>
                <w:b/>
                <w:sz w:val="20"/>
                <w:szCs w:val="20"/>
              </w:rPr>
            </w:pPr>
            <w:r w:rsidRPr="0005616B">
              <w:rPr>
                <w:b/>
                <w:sz w:val="20"/>
                <w:szCs w:val="20"/>
              </w:rPr>
              <w:t>(1) * (2) = (3)</w:t>
            </w:r>
          </w:p>
        </w:tc>
        <w:tc>
          <w:tcPr>
            <w:tcW w:w="1710" w:type="dxa"/>
            <w:shd w:val="clear" w:color="auto" w:fill="D9D9D9"/>
            <w:vAlign w:val="bottom"/>
          </w:tcPr>
          <w:p w14:paraId="2A18C155" w14:textId="77777777" w:rsidR="0003526D" w:rsidRPr="0005616B" w:rsidRDefault="0003526D" w:rsidP="0086146D">
            <w:pPr>
              <w:jc w:val="center"/>
              <w:rPr>
                <w:b/>
                <w:sz w:val="20"/>
                <w:szCs w:val="20"/>
              </w:rPr>
            </w:pPr>
            <w:r w:rsidRPr="0005616B">
              <w:rPr>
                <w:b/>
                <w:sz w:val="20"/>
                <w:szCs w:val="20"/>
              </w:rPr>
              <w:t>Average Burden Hours &amp; Average Cost</w:t>
            </w:r>
            <w:r w:rsidRPr="0005616B">
              <w:rPr>
                <w:rStyle w:val="FootnoteReference"/>
                <w:b w:val="0"/>
                <w:sz w:val="20"/>
                <w:szCs w:val="20"/>
              </w:rPr>
              <w:footnoteReference w:id="2"/>
            </w:r>
            <w:r w:rsidRPr="0005616B">
              <w:rPr>
                <w:b/>
                <w:sz w:val="20"/>
                <w:szCs w:val="20"/>
              </w:rPr>
              <w:t xml:space="preserve"> per Response ($)</w:t>
            </w:r>
          </w:p>
          <w:p w14:paraId="12BD9201" w14:textId="77777777" w:rsidR="0003526D" w:rsidRPr="0005616B" w:rsidRDefault="0003526D" w:rsidP="0086146D">
            <w:pPr>
              <w:jc w:val="center"/>
              <w:rPr>
                <w:b/>
                <w:sz w:val="20"/>
                <w:szCs w:val="20"/>
              </w:rPr>
            </w:pPr>
            <w:r w:rsidRPr="0005616B">
              <w:rPr>
                <w:b/>
                <w:sz w:val="20"/>
                <w:szCs w:val="20"/>
              </w:rPr>
              <w:t>(4)</w:t>
            </w:r>
          </w:p>
        </w:tc>
        <w:tc>
          <w:tcPr>
            <w:tcW w:w="1800" w:type="dxa"/>
            <w:shd w:val="clear" w:color="auto" w:fill="D9D9D9"/>
            <w:vAlign w:val="bottom"/>
          </w:tcPr>
          <w:p w14:paraId="0D96E5B7" w14:textId="77777777" w:rsidR="0003526D" w:rsidRPr="0005616B" w:rsidRDefault="0003526D" w:rsidP="0086146D">
            <w:pPr>
              <w:jc w:val="center"/>
              <w:rPr>
                <w:b/>
                <w:sz w:val="20"/>
                <w:szCs w:val="20"/>
              </w:rPr>
            </w:pPr>
            <w:r w:rsidRPr="0005616B">
              <w:rPr>
                <w:b/>
                <w:sz w:val="20"/>
                <w:szCs w:val="20"/>
              </w:rPr>
              <w:t>Total Annual Burden Hours &amp; Total Annual Cost ($)</w:t>
            </w:r>
          </w:p>
          <w:p w14:paraId="70F75D8B" w14:textId="77777777" w:rsidR="0003526D" w:rsidRPr="0005616B" w:rsidRDefault="0003526D" w:rsidP="0086146D">
            <w:pPr>
              <w:jc w:val="center"/>
              <w:rPr>
                <w:b/>
                <w:sz w:val="20"/>
                <w:szCs w:val="20"/>
              </w:rPr>
            </w:pPr>
            <w:r w:rsidRPr="0005616B">
              <w:rPr>
                <w:b/>
                <w:sz w:val="20"/>
                <w:szCs w:val="20"/>
              </w:rPr>
              <w:t>(3) * (4) = (5)</w:t>
            </w:r>
          </w:p>
        </w:tc>
        <w:tc>
          <w:tcPr>
            <w:tcW w:w="1530" w:type="dxa"/>
            <w:shd w:val="clear" w:color="auto" w:fill="D9D9D9"/>
            <w:vAlign w:val="bottom"/>
          </w:tcPr>
          <w:p w14:paraId="5CCC82F3" w14:textId="77777777" w:rsidR="0003526D" w:rsidRPr="0005616B" w:rsidRDefault="0003526D" w:rsidP="0086146D">
            <w:pPr>
              <w:jc w:val="center"/>
              <w:rPr>
                <w:b/>
                <w:sz w:val="20"/>
                <w:szCs w:val="20"/>
              </w:rPr>
            </w:pPr>
            <w:r w:rsidRPr="0005616B">
              <w:rPr>
                <w:b/>
                <w:sz w:val="20"/>
                <w:szCs w:val="20"/>
              </w:rPr>
              <w:t>Cost per Respondent ($)</w:t>
            </w:r>
          </w:p>
          <w:p w14:paraId="2CC87C05" w14:textId="77777777" w:rsidR="0003526D" w:rsidRPr="0005616B" w:rsidRDefault="0003526D" w:rsidP="0086146D">
            <w:pPr>
              <w:jc w:val="center"/>
              <w:rPr>
                <w:b/>
                <w:sz w:val="20"/>
                <w:szCs w:val="20"/>
              </w:rPr>
            </w:pPr>
            <w:r w:rsidRPr="0005616B">
              <w:rPr>
                <w:b/>
                <w:sz w:val="20"/>
                <w:szCs w:val="20"/>
              </w:rPr>
              <w:t>(5)</w:t>
            </w:r>
            <w:r w:rsidRPr="0005616B">
              <w:rPr>
                <w:rFonts w:eastAsia="Calibri"/>
                <w:b/>
                <w:sz w:val="20"/>
                <w:szCs w:val="20"/>
              </w:rPr>
              <w:t xml:space="preserve"> ÷ (1) = (6)</w:t>
            </w:r>
          </w:p>
        </w:tc>
      </w:tr>
      <w:tr w:rsidR="0003526D" w:rsidRPr="0005616B" w14:paraId="1814132D" w14:textId="77777777" w:rsidTr="0086146D">
        <w:trPr>
          <w:jc w:val="center"/>
        </w:trPr>
        <w:tc>
          <w:tcPr>
            <w:tcW w:w="1540" w:type="dxa"/>
            <w:vAlign w:val="bottom"/>
          </w:tcPr>
          <w:p w14:paraId="230A237E" w14:textId="0B1D0AC4" w:rsidR="0003526D" w:rsidRPr="0005616B" w:rsidRDefault="007B4858" w:rsidP="0086146D">
            <w:pPr>
              <w:spacing w:line="276" w:lineRule="auto"/>
              <w:jc w:val="right"/>
              <w:rPr>
                <w:sz w:val="20"/>
                <w:szCs w:val="20"/>
              </w:rPr>
            </w:pPr>
            <w:r w:rsidRPr="0005616B">
              <w:rPr>
                <w:sz w:val="20"/>
                <w:szCs w:val="20"/>
              </w:rPr>
              <w:t>3</w:t>
            </w:r>
            <w:r w:rsidR="00283FAD" w:rsidRPr="0005616B">
              <w:rPr>
                <w:sz w:val="20"/>
                <w:szCs w:val="20"/>
              </w:rPr>
              <w:t>5</w:t>
            </w:r>
          </w:p>
        </w:tc>
        <w:tc>
          <w:tcPr>
            <w:tcW w:w="1530" w:type="dxa"/>
            <w:vAlign w:val="bottom"/>
          </w:tcPr>
          <w:p w14:paraId="57005C82" w14:textId="77777777" w:rsidR="0003526D" w:rsidRPr="0005616B" w:rsidRDefault="00506268" w:rsidP="0086146D">
            <w:pPr>
              <w:spacing w:line="276" w:lineRule="auto"/>
              <w:jc w:val="right"/>
              <w:rPr>
                <w:sz w:val="20"/>
                <w:szCs w:val="20"/>
              </w:rPr>
            </w:pPr>
            <w:r w:rsidRPr="0005616B">
              <w:rPr>
                <w:sz w:val="20"/>
                <w:szCs w:val="20"/>
              </w:rPr>
              <w:t>1</w:t>
            </w:r>
          </w:p>
        </w:tc>
        <w:tc>
          <w:tcPr>
            <w:tcW w:w="1440" w:type="dxa"/>
            <w:vAlign w:val="bottom"/>
          </w:tcPr>
          <w:p w14:paraId="43E9C8DC" w14:textId="7432B8B9" w:rsidR="0003526D" w:rsidRPr="0005616B" w:rsidRDefault="007B4858" w:rsidP="0086146D">
            <w:pPr>
              <w:spacing w:line="276" w:lineRule="auto"/>
              <w:jc w:val="right"/>
              <w:rPr>
                <w:sz w:val="20"/>
                <w:szCs w:val="20"/>
              </w:rPr>
            </w:pPr>
            <w:r w:rsidRPr="0005616B">
              <w:rPr>
                <w:sz w:val="20"/>
                <w:szCs w:val="20"/>
              </w:rPr>
              <w:t>3</w:t>
            </w:r>
            <w:r w:rsidR="00283FAD" w:rsidRPr="0005616B">
              <w:rPr>
                <w:sz w:val="20"/>
                <w:szCs w:val="20"/>
              </w:rPr>
              <w:t>5</w:t>
            </w:r>
          </w:p>
        </w:tc>
        <w:tc>
          <w:tcPr>
            <w:tcW w:w="1710" w:type="dxa"/>
            <w:vAlign w:val="bottom"/>
          </w:tcPr>
          <w:p w14:paraId="7ACB6D65" w14:textId="0C47136A" w:rsidR="0003526D" w:rsidRPr="0005616B" w:rsidRDefault="00283FAD" w:rsidP="0086146D">
            <w:pPr>
              <w:spacing w:line="276" w:lineRule="auto"/>
              <w:jc w:val="right"/>
              <w:rPr>
                <w:sz w:val="20"/>
                <w:szCs w:val="20"/>
              </w:rPr>
            </w:pPr>
            <w:r w:rsidRPr="0005616B">
              <w:rPr>
                <w:sz w:val="20"/>
                <w:szCs w:val="20"/>
              </w:rPr>
              <w:t>1.5</w:t>
            </w:r>
            <w:r w:rsidR="0003526D" w:rsidRPr="0005616B">
              <w:rPr>
                <w:sz w:val="20"/>
                <w:szCs w:val="20"/>
              </w:rPr>
              <w:t xml:space="preserve"> hours;</w:t>
            </w:r>
          </w:p>
          <w:p w14:paraId="6930B4D9" w14:textId="47E1F6FC" w:rsidR="0003526D" w:rsidRPr="0005616B" w:rsidRDefault="0003526D" w:rsidP="0086146D">
            <w:pPr>
              <w:spacing w:line="276" w:lineRule="auto"/>
              <w:jc w:val="right"/>
              <w:rPr>
                <w:sz w:val="20"/>
                <w:szCs w:val="20"/>
              </w:rPr>
            </w:pPr>
            <w:r w:rsidRPr="0005616B">
              <w:rPr>
                <w:sz w:val="20"/>
                <w:szCs w:val="20"/>
              </w:rPr>
              <w:t>$</w:t>
            </w:r>
            <w:r w:rsidR="00283FAD" w:rsidRPr="0005616B">
              <w:rPr>
                <w:sz w:val="20"/>
                <w:szCs w:val="20"/>
              </w:rPr>
              <w:t>120.00</w:t>
            </w:r>
          </w:p>
        </w:tc>
        <w:tc>
          <w:tcPr>
            <w:tcW w:w="1800" w:type="dxa"/>
            <w:vAlign w:val="bottom"/>
          </w:tcPr>
          <w:p w14:paraId="0C96DE19" w14:textId="58E581E6" w:rsidR="0003526D" w:rsidRPr="0005616B" w:rsidRDefault="00E76E98" w:rsidP="0086146D">
            <w:pPr>
              <w:spacing w:line="276" w:lineRule="auto"/>
              <w:jc w:val="right"/>
              <w:rPr>
                <w:sz w:val="20"/>
                <w:szCs w:val="20"/>
              </w:rPr>
            </w:pPr>
            <w:r w:rsidRPr="0005616B">
              <w:rPr>
                <w:sz w:val="20"/>
                <w:szCs w:val="20"/>
              </w:rPr>
              <w:t>52</w:t>
            </w:r>
            <w:r w:rsidR="00283FAD" w:rsidRPr="0005616B">
              <w:rPr>
                <w:sz w:val="20"/>
                <w:szCs w:val="20"/>
              </w:rPr>
              <w:t>.5</w:t>
            </w:r>
            <w:r w:rsidR="0003526D" w:rsidRPr="0005616B">
              <w:rPr>
                <w:sz w:val="20"/>
                <w:szCs w:val="20"/>
              </w:rPr>
              <w:t xml:space="preserve"> hours;</w:t>
            </w:r>
          </w:p>
          <w:p w14:paraId="12D322D3" w14:textId="7DD59DF2" w:rsidR="0003526D" w:rsidRPr="0005616B" w:rsidRDefault="0003526D" w:rsidP="0086146D">
            <w:pPr>
              <w:spacing w:line="276" w:lineRule="auto"/>
              <w:jc w:val="right"/>
              <w:rPr>
                <w:sz w:val="20"/>
                <w:szCs w:val="20"/>
              </w:rPr>
            </w:pPr>
            <w:r w:rsidRPr="0005616B">
              <w:rPr>
                <w:sz w:val="20"/>
                <w:szCs w:val="20"/>
              </w:rPr>
              <w:t>$</w:t>
            </w:r>
            <w:r w:rsidR="007B4858" w:rsidRPr="0005616B">
              <w:rPr>
                <w:sz w:val="20"/>
                <w:szCs w:val="20"/>
              </w:rPr>
              <w:t>4</w:t>
            </w:r>
            <w:r w:rsidRPr="0005616B">
              <w:rPr>
                <w:sz w:val="20"/>
                <w:szCs w:val="20"/>
              </w:rPr>
              <w:t>,</w:t>
            </w:r>
            <w:r w:rsidR="007B4858" w:rsidRPr="0005616B">
              <w:rPr>
                <w:sz w:val="20"/>
                <w:szCs w:val="20"/>
              </w:rPr>
              <w:t>2</w:t>
            </w:r>
            <w:r w:rsidRPr="0005616B">
              <w:rPr>
                <w:sz w:val="20"/>
                <w:szCs w:val="20"/>
              </w:rPr>
              <w:t>00</w:t>
            </w:r>
            <w:r w:rsidR="00283FAD" w:rsidRPr="0005616B">
              <w:rPr>
                <w:sz w:val="20"/>
                <w:szCs w:val="20"/>
              </w:rPr>
              <w:t>.00</w:t>
            </w:r>
          </w:p>
        </w:tc>
        <w:tc>
          <w:tcPr>
            <w:tcW w:w="1530" w:type="dxa"/>
            <w:vAlign w:val="bottom"/>
          </w:tcPr>
          <w:p w14:paraId="48EBC5E7" w14:textId="125CE3D1" w:rsidR="0003526D" w:rsidRPr="0005616B" w:rsidRDefault="0003526D" w:rsidP="0086146D">
            <w:pPr>
              <w:spacing w:line="276" w:lineRule="auto"/>
              <w:jc w:val="right"/>
              <w:rPr>
                <w:sz w:val="20"/>
                <w:szCs w:val="20"/>
              </w:rPr>
            </w:pPr>
            <w:r w:rsidRPr="0005616B">
              <w:rPr>
                <w:sz w:val="20"/>
                <w:szCs w:val="20"/>
              </w:rPr>
              <w:t>$</w:t>
            </w:r>
            <w:r w:rsidR="00283FAD" w:rsidRPr="0005616B">
              <w:rPr>
                <w:sz w:val="20"/>
                <w:szCs w:val="20"/>
              </w:rPr>
              <w:t>120.00</w:t>
            </w:r>
          </w:p>
        </w:tc>
      </w:tr>
    </w:tbl>
    <w:p w14:paraId="55305A2C" w14:textId="77777777" w:rsidR="0003526D" w:rsidRPr="0003526D" w:rsidRDefault="0003526D" w:rsidP="0003526D">
      <w:pPr>
        <w:spacing w:line="480" w:lineRule="auto"/>
        <w:rPr>
          <w:i/>
          <w:szCs w:val="26"/>
        </w:rPr>
      </w:pPr>
    </w:p>
    <w:p w14:paraId="3B0025FF" w14:textId="77777777" w:rsidR="0003526D" w:rsidRPr="0003526D" w:rsidRDefault="0003526D" w:rsidP="0003526D">
      <w:pPr>
        <w:spacing w:line="480" w:lineRule="auto"/>
        <w:rPr>
          <w:szCs w:val="26"/>
        </w:rPr>
      </w:pPr>
      <w:r w:rsidRPr="0003526D">
        <w:rPr>
          <w:i/>
          <w:szCs w:val="26"/>
        </w:rPr>
        <w:t xml:space="preserve">Comments:  </w:t>
      </w:r>
      <w:r w:rsidRPr="0003526D">
        <w:rPr>
          <w:szCs w:val="26"/>
        </w:rPr>
        <w:t xml:space="preserve">Comments are invited on:  (1) whether the collections of information are necessary for the proper performance of the functions of the Commission, including whether the information will have practical utility; (2) the accuracy of the agency’s estimates of the burden and cost of the collections of information, including the validity of the methodology and assumptions used; (3) ways to enhance the quality, utility and clarity of the information collections; and (4) ways to minimize the burden of the collections of information on those who are to respond, including the use of automated collection techniques or other forms of information technology.  </w:t>
      </w:r>
    </w:p>
    <w:p w14:paraId="0FBE8394" w14:textId="77777777" w:rsidR="0003526D" w:rsidRPr="0003526D" w:rsidRDefault="0003526D" w:rsidP="0003526D">
      <w:pPr>
        <w:autoSpaceDE w:val="0"/>
        <w:autoSpaceDN w:val="0"/>
        <w:adjustRightInd w:val="0"/>
        <w:rPr>
          <w:szCs w:val="26"/>
        </w:rPr>
      </w:pPr>
    </w:p>
    <w:p w14:paraId="1ACA7360" w14:textId="77777777" w:rsidR="0003526D" w:rsidRPr="0003526D" w:rsidRDefault="0003526D" w:rsidP="0003526D">
      <w:pPr>
        <w:autoSpaceDE w:val="0"/>
        <w:autoSpaceDN w:val="0"/>
        <w:adjustRightInd w:val="0"/>
        <w:rPr>
          <w:szCs w:val="26"/>
        </w:rPr>
      </w:pPr>
    </w:p>
    <w:p w14:paraId="63B8DC99" w14:textId="77777777" w:rsidR="0003526D" w:rsidRPr="0003526D" w:rsidRDefault="0003526D" w:rsidP="0003526D">
      <w:pPr>
        <w:ind w:firstLine="2606"/>
        <w:jc w:val="center"/>
        <w:rPr>
          <w:szCs w:val="26"/>
        </w:rPr>
      </w:pPr>
      <w:r w:rsidRPr="0003526D">
        <w:rPr>
          <w:szCs w:val="26"/>
        </w:rPr>
        <w:t>Kimberly D. Bose,</w:t>
      </w:r>
    </w:p>
    <w:p w14:paraId="45F3D8A9" w14:textId="77777777" w:rsidR="0003526D" w:rsidRPr="0003526D" w:rsidRDefault="0003526D" w:rsidP="0003526D">
      <w:pPr>
        <w:ind w:firstLine="2606"/>
        <w:jc w:val="center"/>
        <w:rPr>
          <w:szCs w:val="26"/>
        </w:rPr>
      </w:pPr>
      <w:r w:rsidRPr="0003526D">
        <w:rPr>
          <w:szCs w:val="26"/>
        </w:rPr>
        <w:t>Secretary.</w:t>
      </w:r>
    </w:p>
    <w:p w14:paraId="36CBA7A2" w14:textId="77777777" w:rsidR="00E704E3" w:rsidRPr="0003526D" w:rsidRDefault="00E704E3">
      <w:pPr>
        <w:rPr>
          <w:szCs w:val="26"/>
        </w:rPr>
      </w:pPr>
    </w:p>
    <w:sectPr w:rsidR="00E704E3" w:rsidRPr="0003526D" w:rsidSect="00AF69E8">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60C83" w14:textId="77777777" w:rsidR="00D92B98" w:rsidRDefault="00D92B98" w:rsidP="0003526D">
      <w:r>
        <w:separator/>
      </w:r>
    </w:p>
  </w:endnote>
  <w:endnote w:type="continuationSeparator" w:id="0">
    <w:p w14:paraId="5068D35E" w14:textId="77777777" w:rsidR="00D92B98" w:rsidRDefault="00D92B98" w:rsidP="00035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F383E" w14:textId="77777777" w:rsidR="006E721A" w:rsidRDefault="006E72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8B985" w14:textId="28E661A0" w:rsidR="002320F1" w:rsidRDefault="00234CE9">
    <w:pPr>
      <w:pStyle w:val="Footer"/>
      <w:jc w:val="right"/>
    </w:pPr>
  </w:p>
  <w:p w14:paraId="1BE1E794" w14:textId="77777777" w:rsidR="002320F1" w:rsidRDefault="00234C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AECFD" w14:textId="77777777" w:rsidR="006E721A" w:rsidRDefault="006E72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9AD1B" w14:textId="77777777" w:rsidR="00D92B98" w:rsidRDefault="00D92B98" w:rsidP="0003526D">
      <w:r>
        <w:separator/>
      </w:r>
    </w:p>
  </w:footnote>
  <w:footnote w:type="continuationSeparator" w:id="0">
    <w:p w14:paraId="6C03705C" w14:textId="77777777" w:rsidR="00D92B98" w:rsidRDefault="00D92B98" w:rsidP="0003526D">
      <w:r>
        <w:continuationSeparator/>
      </w:r>
    </w:p>
  </w:footnote>
  <w:footnote w:id="1">
    <w:p w14:paraId="6AF6BFD5" w14:textId="77777777" w:rsidR="0003526D" w:rsidRPr="008B7470" w:rsidRDefault="0003526D" w:rsidP="0003526D">
      <w:pPr>
        <w:pStyle w:val="FootnoteText"/>
        <w:ind w:firstLine="0"/>
        <w:rPr>
          <w:szCs w:val="26"/>
        </w:rPr>
      </w:pPr>
      <w:r w:rsidRPr="008B7470">
        <w:rPr>
          <w:rStyle w:val="FootnoteReference"/>
        </w:rPr>
        <w:footnoteRef/>
      </w:r>
      <w:r w:rsidRPr="008B7470">
        <w:rPr>
          <w:szCs w:val="26"/>
          <w:vertAlign w:val="superscript"/>
        </w:rPr>
        <w:t xml:space="preserve"> </w:t>
      </w:r>
      <w:r w:rsidRPr="008B7470">
        <w:rPr>
          <w:szCs w:val="26"/>
        </w:rPr>
        <w:t xml:space="preserve"> Burden is defined as the total time, effort, or financial resources expended by persons to generate, maintain, retain, or disclose or provide information to or for a federal agency.  See 5 CFR 1320 for additional information on the definition of information collection burden.</w:t>
      </w:r>
    </w:p>
  </w:footnote>
  <w:footnote w:id="2">
    <w:p w14:paraId="172A34CF" w14:textId="117DF667" w:rsidR="0003526D" w:rsidRDefault="0003526D" w:rsidP="0003526D">
      <w:pPr>
        <w:pStyle w:val="FootnoteText"/>
        <w:ind w:firstLine="0"/>
        <w:rPr>
          <w:sz w:val="20"/>
        </w:rPr>
      </w:pPr>
      <w:r>
        <w:rPr>
          <w:rStyle w:val="FootnoteReference"/>
        </w:rPr>
        <w:footnoteRef/>
      </w:r>
      <w:r>
        <w:t xml:space="preserve"> The Commission staff estimates that industry is similarly situated in terms of hourly cost (for wages plus benefits).  Based on the Commission’s FY (Fiscal Year) 2019 average cost</w:t>
      </w:r>
      <w:r w:rsidR="007F66F6">
        <w:t xml:space="preserve"> $167,091</w:t>
      </w:r>
      <w:r>
        <w:t xml:space="preserve"> (for wages plus benefits), $80.00/hour is used.</w:t>
      </w:r>
    </w:p>
    <w:p w14:paraId="4938A85D" w14:textId="77777777" w:rsidR="0003526D" w:rsidRDefault="0003526D" w:rsidP="0003526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459E8" w14:textId="77777777" w:rsidR="006E721A" w:rsidRDefault="006E72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453630"/>
      <w:docPartObj>
        <w:docPartGallery w:val="Page Numbers (Top of Page)"/>
        <w:docPartUnique/>
      </w:docPartObj>
    </w:sdtPr>
    <w:sdtEndPr>
      <w:rPr>
        <w:noProof/>
      </w:rPr>
    </w:sdtEndPr>
    <w:sdtContent>
      <w:p w14:paraId="0237E3D3" w14:textId="5EB4A112" w:rsidR="006E721A" w:rsidRDefault="006E721A" w:rsidP="006E721A">
        <w:pPr>
          <w:pStyle w:val="Header"/>
        </w:pPr>
        <w:r w:rsidRPr="0003526D">
          <w:rPr>
            <w:szCs w:val="26"/>
          </w:rPr>
          <w:t>Docket No.</w:t>
        </w:r>
        <w:r>
          <w:rPr>
            <w:szCs w:val="26"/>
          </w:rPr>
          <w:t xml:space="preserve"> </w:t>
        </w:r>
        <w:r w:rsidRPr="0003526D">
          <w:rPr>
            <w:szCs w:val="26"/>
          </w:rPr>
          <w:t>IC19-</w:t>
        </w:r>
        <w:r>
          <w:rPr>
            <w:szCs w:val="26"/>
          </w:rPr>
          <w:t>46</w:t>
        </w:r>
        <w:r w:rsidRPr="0003526D">
          <w:rPr>
            <w:szCs w:val="26"/>
          </w:rPr>
          <w:t>-00</w:t>
        </w:r>
        <w:r>
          <w:rPr>
            <w:szCs w:val="26"/>
          </w:rPr>
          <w:t>0</w:t>
        </w:r>
        <w:r>
          <w:rPr>
            <w:szCs w:val="26"/>
          </w:rPr>
          <w:tab/>
        </w:r>
        <w:r>
          <w:fldChar w:fldCharType="begin"/>
        </w:r>
        <w:r>
          <w:instrText xml:space="preserve"> PAGE   \* MERGEFORMAT </w:instrText>
        </w:r>
        <w:r>
          <w:fldChar w:fldCharType="separate"/>
        </w:r>
        <w:r w:rsidR="00234CE9">
          <w:rPr>
            <w:noProof/>
          </w:rPr>
          <w:t>2</w:t>
        </w:r>
        <w:r>
          <w:rPr>
            <w:noProof/>
          </w:rPr>
          <w:fldChar w:fldCharType="end"/>
        </w:r>
      </w:p>
    </w:sdtContent>
  </w:sdt>
  <w:p w14:paraId="28B6B95D" w14:textId="58DF1BBC" w:rsidR="0090501C" w:rsidRDefault="00234C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FBBDF" w14:textId="77777777" w:rsidR="006E721A" w:rsidRDefault="006E72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26D"/>
    <w:rsid w:val="0003526D"/>
    <w:rsid w:val="0005616B"/>
    <w:rsid w:val="000D4CCF"/>
    <w:rsid w:val="00234CE9"/>
    <w:rsid w:val="00283FAD"/>
    <w:rsid w:val="00506268"/>
    <w:rsid w:val="00684D89"/>
    <w:rsid w:val="006E721A"/>
    <w:rsid w:val="00723AFB"/>
    <w:rsid w:val="0073240A"/>
    <w:rsid w:val="007B4858"/>
    <w:rsid w:val="007F66F6"/>
    <w:rsid w:val="00874650"/>
    <w:rsid w:val="009827E8"/>
    <w:rsid w:val="00A735DE"/>
    <w:rsid w:val="00AC7798"/>
    <w:rsid w:val="00D92B98"/>
    <w:rsid w:val="00E071B0"/>
    <w:rsid w:val="00E704E3"/>
    <w:rsid w:val="00E76E98"/>
    <w:rsid w:val="00FC5991"/>
    <w:rsid w:val="00FE6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C7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26D"/>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03526D"/>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n1,fn3"/>
    <w:basedOn w:val="Normal"/>
    <w:link w:val="FootnoteTextChar"/>
    <w:qFormat/>
    <w:rsid w:val="0003526D"/>
    <w:pPr>
      <w:spacing w:after="260"/>
      <w:ind w:firstLine="720"/>
    </w:pPr>
    <w:rPr>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link w:val="FootnoteText"/>
    <w:rsid w:val="0003526D"/>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03526D"/>
    <w:pPr>
      <w:tabs>
        <w:tab w:val="center" w:pos="4680"/>
        <w:tab w:val="right" w:pos="9360"/>
      </w:tabs>
    </w:pPr>
  </w:style>
  <w:style w:type="character" w:customStyle="1" w:styleId="HeaderChar">
    <w:name w:val="Header Char"/>
    <w:basedOn w:val="DefaultParagraphFont"/>
    <w:link w:val="Header"/>
    <w:uiPriority w:val="99"/>
    <w:rsid w:val="0003526D"/>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03526D"/>
    <w:pPr>
      <w:tabs>
        <w:tab w:val="center" w:pos="4680"/>
        <w:tab w:val="right" w:pos="9360"/>
      </w:tabs>
    </w:pPr>
  </w:style>
  <w:style w:type="character" w:customStyle="1" w:styleId="FooterChar">
    <w:name w:val="Footer Char"/>
    <w:basedOn w:val="DefaultParagraphFont"/>
    <w:link w:val="Footer"/>
    <w:uiPriority w:val="99"/>
    <w:rsid w:val="0003526D"/>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506268"/>
    <w:rPr>
      <w:sz w:val="16"/>
      <w:szCs w:val="16"/>
    </w:rPr>
  </w:style>
  <w:style w:type="paragraph" w:styleId="CommentText">
    <w:name w:val="annotation text"/>
    <w:basedOn w:val="Normal"/>
    <w:link w:val="CommentTextChar"/>
    <w:uiPriority w:val="99"/>
    <w:semiHidden/>
    <w:unhideWhenUsed/>
    <w:rsid w:val="00506268"/>
    <w:rPr>
      <w:sz w:val="20"/>
      <w:szCs w:val="20"/>
    </w:rPr>
  </w:style>
  <w:style w:type="character" w:customStyle="1" w:styleId="CommentTextChar">
    <w:name w:val="Comment Text Char"/>
    <w:basedOn w:val="DefaultParagraphFont"/>
    <w:link w:val="CommentText"/>
    <w:uiPriority w:val="99"/>
    <w:semiHidden/>
    <w:rsid w:val="005062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6268"/>
    <w:rPr>
      <w:b/>
      <w:bCs/>
    </w:rPr>
  </w:style>
  <w:style w:type="character" w:customStyle="1" w:styleId="CommentSubjectChar">
    <w:name w:val="Comment Subject Char"/>
    <w:basedOn w:val="CommentTextChar"/>
    <w:link w:val="CommentSubject"/>
    <w:uiPriority w:val="99"/>
    <w:semiHidden/>
    <w:rsid w:val="005062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062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268"/>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26D"/>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03526D"/>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n1,fn3"/>
    <w:basedOn w:val="Normal"/>
    <w:link w:val="FootnoteTextChar"/>
    <w:qFormat/>
    <w:rsid w:val="0003526D"/>
    <w:pPr>
      <w:spacing w:after="260"/>
      <w:ind w:firstLine="720"/>
    </w:pPr>
    <w:rPr>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link w:val="FootnoteText"/>
    <w:rsid w:val="0003526D"/>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03526D"/>
    <w:pPr>
      <w:tabs>
        <w:tab w:val="center" w:pos="4680"/>
        <w:tab w:val="right" w:pos="9360"/>
      </w:tabs>
    </w:pPr>
  </w:style>
  <w:style w:type="character" w:customStyle="1" w:styleId="HeaderChar">
    <w:name w:val="Header Char"/>
    <w:basedOn w:val="DefaultParagraphFont"/>
    <w:link w:val="Header"/>
    <w:uiPriority w:val="99"/>
    <w:rsid w:val="0003526D"/>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03526D"/>
    <w:pPr>
      <w:tabs>
        <w:tab w:val="center" w:pos="4680"/>
        <w:tab w:val="right" w:pos="9360"/>
      </w:tabs>
    </w:pPr>
  </w:style>
  <w:style w:type="character" w:customStyle="1" w:styleId="FooterChar">
    <w:name w:val="Footer Char"/>
    <w:basedOn w:val="DefaultParagraphFont"/>
    <w:link w:val="Footer"/>
    <w:uiPriority w:val="99"/>
    <w:rsid w:val="0003526D"/>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506268"/>
    <w:rPr>
      <w:sz w:val="16"/>
      <w:szCs w:val="16"/>
    </w:rPr>
  </w:style>
  <w:style w:type="paragraph" w:styleId="CommentText">
    <w:name w:val="annotation text"/>
    <w:basedOn w:val="Normal"/>
    <w:link w:val="CommentTextChar"/>
    <w:uiPriority w:val="99"/>
    <w:semiHidden/>
    <w:unhideWhenUsed/>
    <w:rsid w:val="00506268"/>
    <w:rPr>
      <w:sz w:val="20"/>
      <w:szCs w:val="20"/>
    </w:rPr>
  </w:style>
  <w:style w:type="character" w:customStyle="1" w:styleId="CommentTextChar">
    <w:name w:val="Comment Text Char"/>
    <w:basedOn w:val="DefaultParagraphFont"/>
    <w:link w:val="CommentText"/>
    <w:uiPriority w:val="99"/>
    <w:semiHidden/>
    <w:rsid w:val="005062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6268"/>
    <w:rPr>
      <w:b/>
      <w:bCs/>
    </w:rPr>
  </w:style>
  <w:style w:type="character" w:customStyle="1" w:styleId="CommentSubjectChar">
    <w:name w:val="Comment Subject Char"/>
    <w:basedOn w:val="CommentTextChar"/>
    <w:link w:val="CommentSubject"/>
    <w:uiPriority w:val="99"/>
    <w:semiHidden/>
    <w:rsid w:val="005062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062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26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help/submission-guide.as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http://www.ferc.gov/docs-filing/efiling.as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DataClearance@FERC.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docs-filing/docs-filing.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0F34EB72-2C86-4527-8E68-8881A4F70550}">
  <ds:schemaRefs>
    <ds:schemaRef ds:uri="http://schemas.microsoft.com/sharepoint/v3/contenttype/forms"/>
  </ds:schemaRefs>
</ds:datastoreItem>
</file>

<file path=customXml/itemProps2.xml><?xml version="1.0" encoding="utf-8"?>
<ds:datastoreItem xmlns:ds="http://schemas.openxmlformats.org/officeDocument/2006/customXml" ds:itemID="{435E0353-9900-4C6A-9D66-63E5EDF86E5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107D2A5-1F7A-4B92-9B6C-500269925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68A9B0-5909-4E2E-9330-8DAF4DC3667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4832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2019-12-16T17:02:00Z</dcterms:created>
  <dcterms:modified xsi:type="dcterms:W3CDTF">2019-12-16T17:02:00Z</dcterms:modified>
  <cp:category/>
  <dc:identifier/>
  <cp:contentStatus/>
  <cp:version/>
</cp:coreProperties>
</file>