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DA430" w14:textId="77777777" w:rsidR="004F0BD0" w:rsidRPr="003400D9" w:rsidRDefault="004F0BD0" w:rsidP="0062754D">
      <w:pPr>
        <w:jc w:val="center"/>
        <w:rPr>
          <w:bCs/>
          <w:sz w:val="32"/>
          <w:szCs w:val="32"/>
        </w:rPr>
      </w:pPr>
      <w:bookmarkStart w:id="0" w:name="_Toc199932393"/>
      <w:bookmarkStart w:id="1" w:name="_Toc199932468"/>
      <w:bookmarkStart w:id="2" w:name="_Toc199932637"/>
      <w:bookmarkStart w:id="3" w:name="_Toc377386138"/>
      <w:bookmarkStart w:id="4" w:name="_GoBack"/>
      <w:bookmarkEnd w:id="4"/>
    </w:p>
    <w:p w14:paraId="0FA0B66F" w14:textId="77777777" w:rsidR="004F0BD0" w:rsidRPr="003400D9" w:rsidRDefault="004F0BD0" w:rsidP="0062754D">
      <w:pPr>
        <w:jc w:val="center"/>
        <w:rPr>
          <w:bCs/>
          <w:sz w:val="32"/>
          <w:szCs w:val="32"/>
        </w:rPr>
      </w:pPr>
    </w:p>
    <w:p w14:paraId="370FDDAF" w14:textId="77777777" w:rsidR="004F0BD0" w:rsidRPr="003400D9" w:rsidRDefault="004F0BD0" w:rsidP="0062754D">
      <w:pPr>
        <w:jc w:val="center"/>
        <w:rPr>
          <w:bCs/>
          <w:sz w:val="32"/>
          <w:szCs w:val="32"/>
        </w:rPr>
      </w:pPr>
    </w:p>
    <w:p w14:paraId="76B84FD3" w14:textId="77777777" w:rsidR="004F0BD0" w:rsidRPr="003400D9" w:rsidRDefault="004F0BD0" w:rsidP="0062754D">
      <w:pPr>
        <w:jc w:val="center"/>
        <w:rPr>
          <w:bCs/>
          <w:sz w:val="32"/>
          <w:szCs w:val="32"/>
        </w:rPr>
      </w:pPr>
    </w:p>
    <w:p w14:paraId="17DB35E9" w14:textId="77777777" w:rsidR="004F0BD0" w:rsidRPr="003400D9" w:rsidRDefault="004F0BD0" w:rsidP="0062754D">
      <w:pPr>
        <w:jc w:val="center"/>
        <w:rPr>
          <w:bCs/>
          <w:sz w:val="32"/>
          <w:szCs w:val="32"/>
        </w:rPr>
      </w:pPr>
    </w:p>
    <w:p w14:paraId="4FAFE09E" w14:textId="77777777" w:rsidR="004F0BD0" w:rsidRPr="003400D9" w:rsidRDefault="004F0BD0" w:rsidP="0062754D">
      <w:pPr>
        <w:jc w:val="center"/>
        <w:rPr>
          <w:bCs/>
          <w:sz w:val="32"/>
          <w:szCs w:val="32"/>
        </w:rPr>
      </w:pPr>
    </w:p>
    <w:p w14:paraId="2948F759" w14:textId="570BF750" w:rsidR="004F0BD0" w:rsidRPr="00ED1D75" w:rsidRDefault="005679D2" w:rsidP="0062754D">
      <w:pPr>
        <w:jc w:val="center"/>
        <w:rPr>
          <w:b/>
          <w:bCs/>
          <w:sz w:val="32"/>
          <w:szCs w:val="32"/>
        </w:rPr>
      </w:pPr>
      <w:r w:rsidRPr="00ED1D75">
        <w:rPr>
          <w:b/>
          <w:bCs/>
          <w:sz w:val="32"/>
          <w:szCs w:val="32"/>
        </w:rPr>
        <w:t>Regulatory Analysis</w:t>
      </w:r>
      <w:r w:rsidR="009F1F2A">
        <w:rPr>
          <w:b/>
          <w:bCs/>
          <w:sz w:val="32"/>
          <w:szCs w:val="32"/>
        </w:rPr>
        <w:t xml:space="preserve"> Addenda</w:t>
      </w:r>
    </w:p>
    <w:p w14:paraId="6F45E506" w14:textId="77777777" w:rsidR="004F0BD0" w:rsidRPr="00ED1D75" w:rsidRDefault="004F0BD0" w:rsidP="0062754D">
      <w:pPr>
        <w:jc w:val="center"/>
        <w:rPr>
          <w:b/>
          <w:bCs/>
          <w:sz w:val="32"/>
          <w:szCs w:val="32"/>
        </w:rPr>
      </w:pPr>
    </w:p>
    <w:p w14:paraId="67701342" w14:textId="7680E9D8" w:rsidR="004F0BD0" w:rsidRPr="00ED1D75" w:rsidRDefault="00367DC4" w:rsidP="0062754D">
      <w:pPr>
        <w:jc w:val="center"/>
        <w:rPr>
          <w:b/>
          <w:bCs/>
          <w:sz w:val="32"/>
          <w:szCs w:val="32"/>
        </w:rPr>
      </w:pPr>
      <w:r>
        <w:rPr>
          <w:b/>
          <w:bCs/>
          <w:sz w:val="32"/>
          <w:szCs w:val="32"/>
        </w:rPr>
        <w:t>Final</w:t>
      </w:r>
      <w:r w:rsidRPr="00ED1D75">
        <w:rPr>
          <w:b/>
          <w:bCs/>
          <w:sz w:val="32"/>
          <w:szCs w:val="32"/>
        </w:rPr>
        <w:t xml:space="preserve"> </w:t>
      </w:r>
      <w:r w:rsidR="004F0BD0" w:rsidRPr="00ED1D75">
        <w:rPr>
          <w:b/>
          <w:bCs/>
          <w:sz w:val="32"/>
          <w:szCs w:val="32"/>
        </w:rPr>
        <w:t xml:space="preserve">Rule to </w:t>
      </w:r>
      <w:r w:rsidR="0017695B" w:rsidRPr="00ED1D75">
        <w:rPr>
          <w:b/>
          <w:bCs/>
          <w:sz w:val="32"/>
          <w:szCs w:val="32"/>
        </w:rPr>
        <w:t>A</w:t>
      </w:r>
      <w:r w:rsidR="004F0BD0" w:rsidRPr="00ED1D75">
        <w:rPr>
          <w:b/>
          <w:bCs/>
          <w:sz w:val="32"/>
          <w:szCs w:val="32"/>
        </w:rPr>
        <w:t>ddress</w:t>
      </w:r>
    </w:p>
    <w:p w14:paraId="519FC363" w14:textId="77777777" w:rsidR="004F0BD0" w:rsidRPr="00ED1D75" w:rsidRDefault="00F3463D" w:rsidP="0062754D">
      <w:pPr>
        <w:jc w:val="center"/>
        <w:rPr>
          <w:b/>
          <w:bCs/>
          <w:sz w:val="32"/>
          <w:szCs w:val="32"/>
        </w:rPr>
      </w:pPr>
      <w:r>
        <w:rPr>
          <w:b/>
          <w:bCs/>
          <w:sz w:val="32"/>
          <w:szCs w:val="32"/>
        </w:rPr>
        <w:t>Mitigation of Beyond-Design-Basis Events</w:t>
      </w:r>
    </w:p>
    <w:p w14:paraId="0E6177B4" w14:textId="77777777" w:rsidR="000E1083" w:rsidRPr="003400D9" w:rsidRDefault="000E1083" w:rsidP="000E1083">
      <w:pPr>
        <w:jc w:val="center"/>
        <w:rPr>
          <w:bCs/>
          <w:sz w:val="32"/>
          <w:szCs w:val="32"/>
        </w:rPr>
      </w:pPr>
    </w:p>
    <w:p w14:paraId="4C39F534" w14:textId="77777777" w:rsidR="000E1083" w:rsidRPr="003400D9" w:rsidRDefault="000E1083" w:rsidP="000E1083">
      <w:pPr>
        <w:jc w:val="center"/>
        <w:rPr>
          <w:bCs/>
          <w:sz w:val="32"/>
          <w:szCs w:val="32"/>
        </w:rPr>
      </w:pPr>
    </w:p>
    <w:p w14:paraId="6680AA4C" w14:textId="77777777" w:rsidR="000E1083" w:rsidRPr="003400D9" w:rsidRDefault="000E1083" w:rsidP="000E1083">
      <w:pPr>
        <w:tabs>
          <w:tab w:val="left" w:pos="5205"/>
        </w:tabs>
        <w:jc w:val="center"/>
        <w:rPr>
          <w:bCs/>
          <w:sz w:val="32"/>
          <w:szCs w:val="32"/>
        </w:rPr>
      </w:pPr>
    </w:p>
    <w:p w14:paraId="791782D4" w14:textId="77777777" w:rsidR="004F0BD0" w:rsidRPr="00ED1D75" w:rsidRDefault="004F0BD0" w:rsidP="0062754D">
      <w:pPr>
        <w:jc w:val="center"/>
        <w:rPr>
          <w:b/>
          <w:bCs/>
          <w:sz w:val="22"/>
          <w:szCs w:val="22"/>
        </w:rPr>
      </w:pPr>
    </w:p>
    <w:p w14:paraId="1603055D" w14:textId="77777777" w:rsidR="004F0BD0" w:rsidRPr="00ED1D75" w:rsidRDefault="004F0BD0" w:rsidP="0062754D">
      <w:pPr>
        <w:jc w:val="center"/>
        <w:rPr>
          <w:b/>
          <w:bCs/>
          <w:sz w:val="22"/>
          <w:szCs w:val="22"/>
        </w:rPr>
      </w:pPr>
    </w:p>
    <w:p w14:paraId="0CF18E7D" w14:textId="77777777" w:rsidR="004F0BD0" w:rsidRPr="00ED1D75" w:rsidRDefault="004F0BD0" w:rsidP="0062754D">
      <w:pPr>
        <w:jc w:val="center"/>
        <w:rPr>
          <w:b/>
          <w:bCs/>
          <w:sz w:val="22"/>
          <w:szCs w:val="22"/>
        </w:rPr>
      </w:pPr>
    </w:p>
    <w:p w14:paraId="29F412C0" w14:textId="77777777" w:rsidR="004F0BD0" w:rsidRPr="00ED1D75" w:rsidRDefault="004F0BD0" w:rsidP="0062754D">
      <w:pPr>
        <w:pBdr>
          <w:bottom w:val="single" w:sz="18" w:space="1" w:color="auto"/>
        </w:pBdr>
        <w:jc w:val="center"/>
        <w:rPr>
          <w:sz w:val="22"/>
          <w:szCs w:val="22"/>
        </w:rPr>
      </w:pPr>
    </w:p>
    <w:p w14:paraId="13801237" w14:textId="77777777" w:rsidR="004F0BD0" w:rsidRPr="00ED1D75" w:rsidRDefault="004F0BD0" w:rsidP="0062754D">
      <w:pPr>
        <w:jc w:val="center"/>
        <w:rPr>
          <w:sz w:val="22"/>
          <w:szCs w:val="22"/>
        </w:rPr>
      </w:pPr>
      <w:r w:rsidRPr="00ED1D75">
        <w:rPr>
          <w:noProof/>
        </w:rPr>
        <mc:AlternateContent>
          <mc:Choice Requires="wps">
            <w:drawing>
              <wp:anchor distT="4294967293" distB="4294967293" distL="114297" distR="114297" simplePos="0" relativeHeight="251659264" behindDoc="0" locked="0" layoutInCell="0" allowOverlap="1" wp14:anchorId="0324D3EB" wp14:editId="36E2984B">
                <wp:simplePos x="0" y="0"/>
                <wp:positionH relativeFrom="margin">
                  <wp:posOffset>-1</wp:posOffset>
                </wp:positionH>
                <wp:positionV relativeFrom="paragraph">
                  <wp:posOffset>-1</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F7DFD7" id="Straight Connector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zyFgIAADEEAAAOAAAAZHJzL2Uyb0RvYy54bWysU8uu0zAQ3SPxD1b2bR6E0kZNr1DSsrlA&#10;pV4+wLWdxMKxLdttWiH+nbHTVLewQYiNMx6PT86cOV4/XXqBzsxYrmQZpfMkQkwSRblsy+jby262&#10;jJB1WFIslGRldGU2etq8fbMedMEy1SlBmUEAIm0x6DLqnNNFHFvSsR7budJMwmGjTI8dbE0bU4MH&#10;QO9FnCXJIh6UodoowqyFbD0eRpuA3zSMuK9NY5lDooyAmwurCevRr/FmjYvWYN1xcqOB/4FFj7mE&#10;n96hauwwOhn+B1TPiVFWNW5OVB+rpuGEhR6gmzT5rZtDhzULvYA4Vt9lsv8Plnw57w3itIyyCEnc&#10;w4gOzmDedg5VSkoQUBmUeZ0GbQsor+Te+E7JRR70syLfLZKq6rBsWeD7ctUAkvob8cMVv7Ea/nYc&#10;PisKNfjkVBDt0pjeQ4Ic6BJmc73Phl0cImOSTNkYF9MVbaz7xFSPfFBGgksvGC7w+dk6TwEXU4lP&#10;S7XjQoShC4kG4JmlqyzcsEpw6k99nTXtsRIGnbH3DRgtCVYBtIcyo06SBrSOYbq9xQ5zMcZQL6TH&#10;gy6Azy0ajfFjlay2y+0yn+XZYjvLk7qefdxV+WyxSz+8r9/VVVWnPz21NC86TimTnt1k0jT/OxPc&#10;nstor7tN7zrEj+hBMCA7fQPpMEY/udEDR0WvezONF3wZim9vyBv/9R7i1y998wsAAP//AwBQSwME&#10;FAAGAAgAAAAhACEexkTVAAAA/wAAAA8AAABkcnMvZG93bnJldi54bWxMj0FLw0AQhe+C/2EZwZvd&#10;VKFImk2xFS/ixTYo3qbZaRLMzi7ZbRr/vdNe9PKY4Q1vvlesJterkYbYeTYwn2WgiGtvO24MVLuX&#10;u0dQMSFb7D2TgR+KsCqvrwrMrT/xO43b1CgJ4ZijgTalkGsd65YcxpkPxOId/OAwyTo02g54knDX&#10;6/ssW2iHHcuHFgNtWqq/t0dn4GGXVR+xSxt6e31ef45V4PAVjLm9mZ6WoBJN6e8YzviCDqUw7f2R&#10;bVS9ASmSLiqezPuz6rLQ/7nLXwAAAP//AwBQSwECLQAUAAYACAAAACEAtoM4kv4AAADhAQAAEwAA&#10;AAAAAAAAAAAAAAAAAAAAW0NvbnRlbnRfVHlwZXNdLnhtbFBLAQItABQABgAIAAAAIQA4/SH/1gAA&#10;AJQBAAALAAAAAAAAAAAAAAAAAC8BAABfcmVscy8ucmVsc1BLAQItABQABgAIAAAAIQAk45zyFgIA&#10;ADEEAAAOAAAAAAAAAAAAAAAAAC4CAABkcnMvZTJvRG9jLnhtbFBLAQItABQABgAIAAAAIQAhHsZE&#10;1QAAAP8AAAAPAAAAAAAAAAAAAAAAAHAEAABkcnMvZG93bnJldi54bWxQSwUGAAAAAAQABADzAAAA&#10;cgUAAAAA&#10;" o:allowincell="f" strokecolor="#020000" strokeweight=".96pt">
                <w10:wrap anchorx="margin"/>
              </v:line>
            </w:pict>
          </mc:Fallback>
        </mc:AlternateContent>
      </w:r>
    </w:p>
    <w:p w14:paraId="33477FE1" w14:textId="77777777" w:rsidR="004F0BD0" w:rsidRPr="00ED1D75" w:rsidRDefault="004F0BD0" w:rsidP="0062754D">
      <w:pPr>
        <w:jc w:val="center"/>
        <w:rPr>
          <w:sz w:val="22"/>
          <w:szCs w:val="22"/>
        </w:rPr>
      </w:pPr>
    </w:p>
    <w:p w14:paraId="5901A18B" w14:textId="77777777" w:rsidR="004F0BD0" w:rsidRPr="00ED1D75" w:rsidRDefault="004F0BD0" w:rsidP="0062754D">
      <w:pPr>
        <w:rPr>
          <w:sz w:val="22"/>
          <w:szCs w:val="22"/>
        </w:rPr>
      </w:pPr>
    </w:p>
    <w:p w14:paraId="2E9F444A" w14:textId="77777777" w:rsidR="004F0BD0" w:rsidRPr="00ED1D75" w:rsidRDefault="004F0BD0" w:rsidP="0062754D">
      <w:pPr>
        <w:rPr>
          <w:sz w:val="30"/>
          <w:szCs w:val="30"/>
        </w:rPr>
      </w:pPr>
      <w:r w:rsidRPr="00ED1D75">
        <w:rPr>
          <w:b/>
          <w:bCs/>
          <w:sz w:val="30"/>
          <w:szCs w:val="30"/>
        </w:rPr>
        <w:t>U.S. Nuclear Regulatory Commission</w:t>
      </w:r>
    </w:p>
    <w:p w14:paraId="2F0B88DA" w14:textId="77777777" w:rsidR="004F0BD0" w:rsidRPr="00ED1D75" w:rsidRDefault="004F0BD0" w:rsidP="0062754D">
      <w:pPr>
        <w:rPr>
          <w:sz w:val="30"/>
          <w:szCs w:val="30"/>
        </w:rPr>
      </w:pPr>
    </w:p>
    <w:p w14:paraId="688DCEFC" w14:textId="77777777" w:rsidR="004F0BD0" w:rsidRPr="00ED1D75" w:rsidRDefault="004F0BD0" w:rsidP="0062754D">
      <w:pPr>
        <w:rPr>
          <w:sz w:val="30"/>
          <w:szCs w:val="30"/>
        </w:rPr>
      </w:pPr>
    </w:p>
    <w:p w14:paraId="234A97CE" w14:textId="0458586A" w:rsidR="00A27A5D" w:rsidRDefault="00367DC4" w:rsidP="0062754D">
      <w:pPr>
        <w:rPr>
          <w:sz w:val="28"/>
          <w:szCs w:val="28"/>
        </w:rPr>
      </w:pPr>
      <w:r w:rsidRPr="009E5BEF">
        <w:rPr>
          <w:sz w:val="28"/>
          <w:szCs w:val="28"/>
        </w:rPr>
        <w:t xml:space="preserve">December </w:t>
      </w:r>
      <w:r w:rsidR="009E01F3" w:rsidRPr="009E5BEF">
        <w:rPr>
          <w:sz w:val="28"/>
          <w:szCs w:val="28"/>
        </w:rPr>
        <w:t>2018</w:t>
      </w:r>
    </w:p>
    <w:p w14:paraId="62034377" w14:textId="77777777" w:rsidR="00A27A5D" w:rsidRPr="00ED1D75" w:rsidRDefault="00A27A5D" w:rsidP="0062754D">
      <w:pPr>
        <w:rPr>
          <w:sz w:val="28"/>
          <w:szCs w:val="28"/>
        </w:rPr>
      </w:pPr>
    </w:p>
    <w:p w14:paraId="32401728" w14:textId="77777777" w:rsidR="004F0BD0" w:rsidRPr="00ED1D75" w:rsidRDefault="004F0BD0" w:rsidP="0062754D">
      <w:pPr>
        <w:rPr>
          <w:sz w:val="22"/>
          <w:szCs w:val="22"/>
        </w:rPr>
      </w:pPr>
    </w:p>
    <w:p w14:paraId="5FC514B9" w14:textId="16788A15" w:rsidR="004F0BD0" w:rsidRPr="00ED1D75" w:rsidRDefault="004F0BD0" w:rsidP="0062754D">
      <w:pPr>
        <w:rPr>
          <w:rFonts w:cs="Arial"/>
          <w:b/>
          <w:bCs/>
          <w:kern w:val="32"/>
          <w:sz w:val="32"/>
          <w:szCs w:val="32"/>
        </w:rPr>
        <w:sectPr w:rsidR="004F0BD0" w:rsidRPr="00ED1D75" w:rsidSect="004F0BD0">
          <w:headerReference w:type="default" r:id="rId9"/>
          <w:footerReference w:type="default" r:id="rId10"/>
          <w:pgSz w:w="12240" w:h="15840"/>
          <w:pgMar w:top="1440" w:right="1440" w:bottom="1440" w:left="1440" w:header="720" w:footer="720" w:gutter="0"/>
          <w:cols w:space="720"/>
          <w:titlePg/>
          <w:docGrid w:linePitch="360"/>
        </w:sectPr>
      </w:pPr>
      <w:r w:rsidRPr="00ED1D75">
        <w:rPr>
          <w:noProof/>
          <w:sz w:val="22"/>
          <w:szCs w:val="22"/>
        </w:rPr>
        <w:drawing>
          <wp:anchor distT="0" distB="0" distL="114300" distR="114300" simplePos="0" relativeHeight="251660288" behindDoc="1" locked="0" layoutInCell="1" allowOverlap="1" wp14:anchorId="2DF93863" wp14:editId="4CF4EEDA">
            <wp:simplePos x="0" y="0"/>
            <wp:positionH relativeFrom="column">
              <wp:posOffset>0</wp:posOffset>
            </wp:positionH>
            <wp:positionV relativeFrom="paragraph">
              <wp:posOffset>-635</wp:posOffset>
            </wp:positionV>
            <wp:extent cx="1830705" cy="1828800"/>
            <wp:effectExtent l="0" t="0" r="0" b="0"/>
            <wp:wrapThrough wrapText="bothSides">
              <wp:wrapPolygon edited="0">
                <wp:start x="8092" y="0"/>
                <wp:lineTo x="6293" y="450"/>
                <wp:lineTo x="2023" y="2925"/>
                <wp:lineTo x="1349" y="4725"/>
                <wp:lineTo x="0" y="7200"/>
                <wp:lineTo x="0" y="14400"/>
                <wp:lineTo x="2023" y="18000"/>
                <wp:lineTo x="2248" y="18675"/>
                <wp:lineTo x="6968" y="21375"/>
                <wp:lineTo x="8092" y="21375"/>
                <wp:lineTo x="13261" y="21375"/>
                <wp:lineTo x="14385" y="21375"/>
                <wp:lineTo x="19105" y="18675"/>
                <wp:lineTo x="19330" y="18000"/>
                <wp:lineTo x="21353" y="14400"/>
                <wp:lineTo x="21353" y="7200"/>
                <wp:lineTo x="20004" y="4725"/>
                <wp:lineTo x="19555" y="3150"/>
                <wp:lineTo x="15059" y="450"/>
                <wp:lineTo x="13261" y="0"/>
                <wp:lineTo x="8092" y="0"/>
              </wp:wrapPolygon>
            </wp:wrapThrough>
            <wp:docPr id="1" name="Picture 0" descr="600px-US-NuclearRegulatoryCommission-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px-US-NuclearRegulatoryCommission-S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0705" cy="1828800"/>
                    </a:xfrm>
                    <a:prstGeom prst="rect">
                      <a:avLst/>
                    </a:prstGeom>
                  </pic:spPr>
                </pic:pic>
              </a:graphicData>
            </a:graphic>
            <wp14:sizeRelH relativeFrom="page">
              <wp14:pctWidth>0</wp14:pctWidth>
            </wp14:sizeRelH>
            <wp14:sizeRelV relativeFrom="page">
              <wp14:pctHeight>0</wp14:pctHeight>
            </wp14:sizeRelV>
          </wp:anchor>
        </w:drawing>
      </w:r>
    </w:p>
    <w:p w14:paraId="4B71F846" w14:textId="77777777" w:rsidR="00AA2B64" w:rsidRDefault="00AA2B64" w:rsidP="0062754D">
      <w:pPr>
        <w:rPr>
          <w:b/>
          <w:sz w:val="32"/>
          <w:szCs w:val="32"/>
        </w:rPr>
        <w:sectPr w:rsidR="00AA2B64" w:rsidSect="00262D76">
          <w:headerReference w:type="default" r:id="rId12"/>
          <w:pgSz w:w="12240" w:h="15840"/>
          <w:pgMar w:top="1440" w:right="1440" w:bottom="1440" w:left="1440" w:header="720" w:footer="720" w:gutter="0"/>
          <w:pgNumType w:fmt="lowerRoman"/>
          <w:cols w:space="720"/>
          <w:docGrid w:linePitch="360"/>
        </w:sectPr>
      </w:pPr>
    </w:p>
    <w:p w14:paraId="4B8A5186" w14:textId="498DF58F" w:rsidR="00DF521D" w:rsidRPr="00636C52" w:rsidRDefault="004F0BD0" w:rsidP="00D27C88">
      <w:pPr>
        <w:tabs>
          <w:tab w:val="left" w:pos="1530"/>
        </w:tabs>
        <w:rPr>
          <w:rStyle w:val="Hyperlink"/>
          <w:noProof/>
          <w:color w:val="auto"/>
        </w:rPr>
      </w:pPr>
      <w:r w:rsidRPr="00636C52">
        <w:rPr>
          <w:b/>
          <w:sz w:val="32"/>
          <w:szCs w:val="32"/>
        </w:rPr>
        <w:lastRenderedPageBreak/>
        <w:t>Contents</w:t>
      </w:r>
    </w:p>
    <w:p w14:paraId="14666257" w14:textId="77777777" w:rsidR="006B552E" w:rsidRPr="00636C52" w:rsidRDefault="006B552E" w:rsidP="0062754D">
      <w:pPr>
        <w:rPr>
          <w:rStyle w:val="Hyperlink"/>
          <w:noProof/>
          <w:color w:val="auto"/>
        </w:rPr>
      </w:pPr>
    </w:p>
    <w:p w14:paraId="06DF287C" w14:textId="77777777" w:rsidR="000E1083" w:rsidRDefault="006043F0">
      <w:pPr>
        <w:pStyle w:val="TOC1"/>
        <w:rPr>
          <w:rFonts w:asciiTheme="minorHAnsi" w:eastAsiaTheme="minorEastAsia" w:hAnsiTheme="minorHAnsi" w:cstheme="minorBidi"/>
          <w:noProof/>
          <w:sz w:val="22"/>
          <w:szCs w:val="22"/>
        </w:rPr>
      </w:pPr>
      <w:r>
        <w:fldChar w:fldCharType="begin"/>
      </w:r>
      <w:r>
        <w:instrText xml:space="preserve"> TOC \h \z \t "Heading 1,1,Heading 2,2,Heading 3,3" </w:instrText>
      </w:r>
      <w:r>
        <w:fldChar w:fldCharType="separate"/>
      </w:r>
      <w:hyperlink w:anchor="_Toc532457273" w:history="1">
        <w:r w:rsidR="000E1083" w:rsidRPr="00707C37">
          <w:rPr>
            <w:rStyle w:val="Hyperlink"/>
            <w:noProof/>
          </w:rPr>
          <w:t>List of Exhibits</w:t>
        </w:r>
        <w:r w:rsidR="000E1083">
          <w:rPr>
            <w:noProof/>
            <w:webHidden/>
          </w:rPr>
          <w:tab/>
        </w:r>
        <w:r w:rsidR="000E1083">
          <w:rPr>
            <w:noProof/>
            <w:webHidden/>
          </w:rPr>
          <w:fldChar w:fldCharType="begin"/>
        </w:r>
        <w:r w:rsidR="000E1083">
          <w:rPr>
            <w:noProof/>
            <w:webHidden/>
          </w:rPr>
          <w:instrText xml:space="preserve"> PAGEREF _Toc532457273 \h </w:instrText>
        </w:r>
        <w:r w:rsidR="000E1083">
          <w:rPr>
            <w:noProof/>
            <w:webHidden/>
          </w:rPr>
        </w:r>
        <w:r w:rsidR="000E1083">
          <w:rPr>
            <w:noProof/>
            <w:webHidden/>
          </w:rPr>
          <w:fldChar w:fldCharType="separate"/>
        </w:r>
        <w:r w:rsidR="000E1083">
          <w:rPr>
            <w:noProof/>
            <w:webHidden/>
          </w:rPr>
          <w:t>ii</w:t>
        </w:r>
        <w:r w:rsidR="000E1083">
          <w:rPr>
            <w:noProof/>
            <w:webHidden/>
          </w:rPr>
          <w:fldChar w:fldCharType="end"/>
        </w:r>
      </w:hyperlink>
    </w:p>
    <w:p w14:paraId="3A20D94A" w14:textId="77777777" w:rsidR="000E1083" w:rsidRDefault="00D73F7B">
      <w:pPr>
        <w:pStyle w:val="TOC1"/>
        <w:rPr>
          <w:rFonts w:asciiTheme="minorHAnsi" w:eastAsiaTheme="minorEastAsia" w:hAnsiTheme="minorHAnsi" w:cstheme="minorBidi"/>
          <w:noProof/>
          <w:sz w:val="22"/>
          <w:szCs w:val="22"/>
        </w:rPr>
      </w:pPr>
      <w:hyperlink w:anchor="_Toc532457274" w:history="1">
        <w:r w:rsidR="000E1083" w:rsidRPr="00707C37">
          <w:rPr>
            <w:rStyle w:val="Hyperlink"/>
            <w:noProof/>
          </w:rPr>
          <w:t>Abbreviations and Acronyms</w:t>
        </w:r>
        <w:r w:rsidR="000E1083">
          <w:rPr>
            <w:noProof/>
            <w:webHidden/>
          </w:rPr>
          <w:tab/>
        </w:r>
        <w:r w:rsidR="000E1083">
          <w:rPr>
            <w:noProof/>
            <w:webHidden/>
          </w:rPr>
          <w:fldChar w:fldCharType="begin"/>
        </w:r>
        <w:r w:rsidR="000E1083">
          <w:rPr>
            <w:noProof/>
            <w:webHidden/>
          </w:rPr>
          <w:instrText xml:space="preserve"> PAGEREF _Toc532457274 \h </w:instrText>
        </w:r>
        <w:r w:rsidR="000E1083">
          <w:rPr>
            <w:noProof/>
            <w:webHidden/>
          </w:rPr>
        </w:r>
        <w:r w:rsidR="000E1083">
          <w:rPr>
            <w:noProof/>
            <w:webHidden/>
          </w:rPr>
          <w:fldChar w:fldCharType="separate"/>
        </w:r>
        <w:r w:rsidR="000E1083">
          <w:rPr>
            <w:noProof/>
            <w:webHidden/>
          </w:rPr>
          <w:t>iii</w:t>
        </w:r>
        <w:r w:rsidR="000E1083">
          <w:rPr>
            <w:noProof/>
            <w:webHidden/>
          </w:rPr>
          <w:fldChar w:fldCharType="end"/>
        </w:r>
      </w:hyperlink>
    </w:p>
    <w:p w14:paraId="193CC739" w14:textId="77777777" w:rsidR="000E1083" w:rsidRDefault="00D73F7B">
      <w:pPr>
        <w:pStyle w:val="TOC1"/>
        <w:rPr>
          <w:rFonts w:asciiTheme="minorHAnsi" w:eastAsiaTheme="minorEastAsia" w:hAnsiTheme="minorHAnsi" w:cstheme="minorBidi"/>
          <w:noProof/>
          <w:sz w:val="22"/>
          <w:szCs w:val="22"/>
        </w:rPr>
      </w:pPr>
      <w:hyperlink w:anchor="_Toc532457275" w:history="1">
        <w:r w:rsidR="000E1083" w:rsidRPr="00707C37">
          <w:rPr>
            <w:rStyle w:val="Hyperlink"/>
            <w:noProof/>
          </w:rPr>
          <w:t>1.</w:t>
        </w:r>
        <w:r w:rsidR="000E1083">
          <w:rPr>
            <w:rFonts w:asciiTheme="minorHAnsi" w:eastAsiaTheme="minorEastAsia" w:hAnsiTheme="minorHAnsi" w:cstheme="minorBidi"/>
            <w:noProof/>
            <w:sz w:val="22"/>
            <w:szCs w:val="22"/>
          </w:rPr>
          <w:tab/>
        </w:r>
        <w:r w:rsidR="000E1083" w:rsidRPr="00707C37">
          <w:rPr>
            <w:rStyle w:val="Hyperlink"/>
            <w:noProof/>
          </w:rPr>
          <w:t>Introduction</w:t>
        </w:r>
        <w:r w:rsidR="000E1083">
          <w:rPr>
            <w:noProof/>
            <w:webHidden/>
          </w:rPr>
          <w:tab/>
        </w:r>
        <w:r w:rsidR="000E1083">
          <w:rPr>
            <w:noProof/>
            <w:webHidden/>
          </w:rPr>
          <w:fldChar w:fldCharType="begin"/>
        </w:r>
        <w:r w:rsidR="000E1083">
          <w:rPr>
            <w:noProof/>
            <w:webHidden/>
          </w:rPr>
          <w:instrText xml:space="preserve"> PAGEREF _Toc532457275 \h </w:instrText>
        </w:r>
        <w:r w:rsidR="000E1083">
          <w:rPr>
            <w:noProof/>
            <w:webHidden/>
          </w:rPr>
        </w:r>
        <w:r w:rsidR="000E1083">
          <w:rPr>
            <w:noProof/>
            <w:webHidden/>
          </w:rPr>
          <w:fldChar w:fldCharType="separate"/>
        </w:r>
        <w:r w:rsidR="000E1083">
          <w:rPr>
            <w:noProof/>
            <w:webHidden/>
          </w:rPr>
          <w:t>1</w:t>
        </w:r>
        <w:r w:rsidR="000E1083">
          <w:rPr>
            <w:noProof/>
            <w:webHidden/>
          </w:rPr>
          <w:fldChar w:fldCharType="end"/>
        </w:r>
      </w:hyperlink>
    </w:p>
    <w:p w14:paraId="4BB3994B" w14:textId="77777777" w:rsidR="000E1083" w:rsidRDefault="00D73F7B">
      <w:pPr>
        <w:pStyle w:val="TOC2"/>
        <w:rPr>
          <w:rFonts w:asciiTheme="minorHAnsi" w:eastAsiaTheme="minorEastAsia" w:hAnsiTheme="minorHAnsi" w:cstheme="minorBidi"/>
          <w:noProof/>
          <w:sz w:val="22"/>
          <w:szCs w:val="22"/>
        </w:rPr>
      </w:pPr>
      <w:hyperlink w:anchor="_Toc532457276" w:history="1">
        <w:r w:rsidR="000E1083" w:rsidRPr="00707C37">
          <w:rPr>
            <w:rStyle w:val="Hyperlink"/>
            <w:noProof/>
          </w:rPr>
          <w:t>1.1</w:t>
        </w:r>
        <w:r w:rsidR="000E1083">
          <w:rPr>
            <w:rFonts w:asciiTheme="minorHAnsi" w:eastAsiaTheme="minorEastAsia" w:hAnsiTheme="minorHAnsi" w:cstheme="minorBidi"/>
            <w:noProof/>
            <w:sz w:val="22"/>
            <w:szCs w:val="22"/>
          </w:rPr>
          <w:tab/>
        </w:r>
        <w:r w:rsidR="000E1083" w:rsidRPr="00707C37">
          <w:rPr>
            <w:rStyle w:val="Hyperlink"/>
            <w:noProof/>
          </w:rPr>
          <w:t>Background</w:t>
        </w:r>
        <w:r w:rsidR="000E1083">
          <w:rPr>
            <w:noProof/>
            <w:webHidden/>
          </w:rPr>
          <w:tab/>
        </w:r>
        <w:r w:rsidR="000E1083">
          <w:rPr>
            <w:noProof/>
            <w:webHidden/>
          </w:rPr>
          <w:fldChar w:fldCharType="begin"/>
        </w:r>
        <w:r w:rsidR="000E1083">
          <w:rPr>
            <w:noProof/>
            <w:webHidden/>
          </w:rPr>
          <w:instrText xml:space="preserve"> PAGEREF _Toc532457276 \h </w:instrText>
        </w:r>
        <w:r w:rsidR="000E1083">
          <w:rPr>
            <w:noProof/>
            <w:webHidden/>
          </w:rPr>
        </w:r>
        <w:r w:rsidR="000E1083">
          <w:rPr>
            <w:noProof/>
            <w:webHidden/>
          </w:rPr>
          <w:fldChar w:fldCharType="separate"/>
        </w:r>
        <w:r w:rsidR="000E1083">
          <w:rPr>
            <w:noProof/>
            <w:webHidden/>
          </w:rPr>
          <w:t>2</w:t>
        </w:r>
        <w:r w:rsidR="000E1083">
          <w:rPr>
            <w:noProof/>
            <w:webHidden/>
          </w:rPr>
          <w:fldChar w:fldCharType="end"/>
        </w:r>
      </w:hyperlink>
    </w:p>
    <w:p w14:paraId="440CA5F1" w14:textId="77777777" w:rsidR="000E1083" w:rsidRDefault="00D73F7B">
      <w:pPr>
        <w:pStyle w:val="TOC2"/>
        <w:rPr>
          <w:rFonts w:asciiTheme="minorHAnsi" w:eastAsiaTheme="minorEastAsia" w:hAnsiTheme="minorHAnsi" w:cstheme="minorBidi"/>
          <w:noProof/>
          <w:sz w:val="22"/>
          <w:szCs w:val="22"/>
        </w:rPr>
      </w:pPr>
      <w:hyperlink w:anchor="_Toc532457277" w:history="1">
        <w:r w:rsidR="000E1083" w:rsidRPr="00707C37">
          <w:rPr>
            <w:rStyle w:val="Hyperlink"/>
            <w:noProof/>
          </w:rPr>
          <w:t>1.2</w:t>
        </w:r>
        <w:r w:rsidR="000E1083">
          <w:rPr>
            <w:rFonts w:asciiTheme="minorHAnsi" w:eastAsiaTheme="minorEastAsia" w:hAnsiTheme="minorHAnsi" w:cstheme="minorBidi"/>
            <w:noProof/>
            <w:sz w:val="22"/>
            <w:szCs w:val="22"/>
          </w:rPr>
          <w:tab/>
        </w:r>
        <w:r w:rsidR="000E1083" w:rsidRPr="00707C37">
          <w:rPr>
            <w:rStyle w:val="Hyperlink"/>
            <w:noProof/>
          </w:rPr>
          <w:t>Statement of the Problem and U.S. Nuclear Regulatory Commission Objectives for the Rulemaking</w:t>
        </w:r>
        <w:r w:rsidR="000E1083">
          <w:rPr>
            <w:noProof/>
            <w:webHidden/>
          </w:rPr>
          <w:tab/>
        </w:r>
        <w:r w:rsidR="000E1083">
          <w:rPr>
            <w:noProof/>
            <w:webHidden/>
          </w:rPr>
          <w:fldChar w:fldCharType="begin"/>
        </w:r>
        <w:r w:rsidR="000E1083">
          <w:rPr>
            <w:noProof/>
            <w:webHidden/>
          </w:rPr>
          <w:instrText xml:space="preserve"> PAGEREF _Toc532457277 \h </w:instrText>
        </w:r>
        <w:r w:rsidR="000E1083">
          <w:rPr>
            <w:noProof/>
            <w:webHidden/>
          </w:rPr>
        </w:r>
        <w:r w:rsidR="000E1083">
          <w:rPr>
            <w:noProof/>
            <w:webHidden/>
          </w:rPr>
          <w:fldChar w:fldCharType="separate"/>
        </w:r>
        <w:r w:rsidR="000E1083">
          <w:rPr>
            <w:noProof/>
            <w:webHidden/>
          </w:rPr>
          <w:t>2</w:t>
        </w:r>
        <w:r w:rsidR="000E1083">
          <w:rPr>
            <w:noProof/>
            <w:webHidden/>
          </w:rPr>
          <w:fldChar w:fldCharType="end"/>
        </w:r>
      </w:hyperlink>
    </w:p>
    <w:p w14:paraId="3446E445" w14:textId="77777777" w:rsidR="000E1083" w:rsidRDefault="00D73F7B">
      <w:pPr>
        <w:pStyle w:val="TOC1"/>
        <w:rPr>
          <w:rFonts w:asciiTheme="minorHAnsi" w:eastAsiaTheme="minorEastAsia" w:hAnsiTheme="minorHAnsi" w:cstheme="minorBidi"/>
          <w:noProof/>
          <w:sz w:val="22"/>
          <w:szCs w:val="22"/>
        </w:rPr>
      </w:pPr>
      <w:hyperlink w:anchor="_Toc532457278" w:history="1">
        <w:r w:rsidR="000E1083" w:rsidRPr="00707C37">
          <w:rPr>
            <w:rStyle w:val="Hyperlink"/>
            <w:noProof/>
          </w:rPr>
          <w:t xml:space="preserve">2. </w:t>
        </w:r>
        <w:r w:rsidR="000E1083">
          <w:rPr>
            <w:rFonts w:asciiTheme="minorHAnsi" w:eastAsiaTheme="minorEastAsia" w:hAnsiTheme="minorHAnsi" w:cstheme="minorBidi"/>
            <w:noProof/>
            <w:sz w:val="22"/>
            <w:szCs w:val="22"/>
          </w:rPr>
          <w:tab/>
        </w:r>
        <w:r w:rsidR="000E1083" w:rsidRPr="00707C37">
          <w:rPr>
            <w:rStyle w:val="Hyperlink"/>
            <w:noProof/>
          </w:rPr>
          <w:t>Identification and Preliminary Analysis of Alternative Approaches</w:t>
        </w:r>
        <w:r w:rsidR="000E1083">
          <w:rPr>
            <w:noProof/>
            <w:webHidden/>
          </w:rPr>
          <w:tab/>
        </w:r>
        <w:r w:rsidR="000E1083">
          <w:rPr>
            <w:noProof/>
            <w:webHidden/>
          </w:rPr>
          <w:fldChar w:fldCharType="begin"/>
        </w:r>
        <w:r w:rsidR="000E1083">
          <w:rPr>
            <w:noProof/>
            <w:webHidden/>
          </w:rPr>
          <w:instrText xml:space="preserve"> PAGEREF _Toc532457278 \h </w:instrText>
        </w:r>
        <w:r w:rsidR="000E1083">
          <w:rPr>
            <w:noProof/>
            <w:webHidden/>
          </w:rPr>
        </w:r>
        <w:r w:rsidR="000E1083">
          <w:rPr>
            <w:noProof/>
            <w:webHidden/>
          </w:rPr>
          <w:fldChar w:fldCharType="separate"/>
        </w:r>
        <w:r w:rsidR="000E1083">
          <w:rPr>
            <w:noProof/>
            <w:webHidden/>
          </w:rPr>
          <w:t>3</w:t>
        </w:r>
        <w:r w:rsidR="000E1083">
          <w:rPr>
            <w:noProof/>
            <w:webHidden/>
          </w:rPr>
          <w:fldChar w:fldCharType="end"/>
        </w:r>
      </w:hyperlink>
    </w:p>
    <w:p w14:paraId="1EAFFD1E" w14:textId="77777777" w:rsidR="000E1083" w:rsidRDefault="00D73F7B">
      <w:pPr>
        <w:pStyle w:val="TOC2"/>
        <w:rPr>
          <w:rFonts w:asciiTheme="minorHAnsi" w:eastAsiaTheme="minorEastAsia" w:hAnsiTheme="minorHAnsi" w:cstheme="minorBidi"/>
          <w:noProof/>
          <w:sz w:val="22"/>
          <w:szCs w:val="22"/>
        </w:rPr>
      </w:pPr>
      <w:hyperlink w:anchor="_Toc532457279" w:history="1">
        <w:r w:rsidR="000E1083" w:rsidRPr="00707C37">
          <w:rPr>
            <w:rStyle w:val="Hyperlink"/>
            <w:noProof/>
          </w:rPr>
          <w:t>2.1</w:t>
        </w:r>
        <w:r w:rsidR="000E1083">
          <w:rPr>
            <w:rFonts w:asciiTheme="minorHAnsi" w:eastAsiaTheme="minorEastAsia" w:hAnsiTheme="minorHAnsi" w:cstheme="minorBidi"/>
            <w:noProof/>
            <w:sz w:val="22"/>
            <w:szCs w:val="22"/>
          </w:rPr>
          <w:tab/>
        </w:r>
        <w:r w:rsidR="000E1083" w:rsidRPr="00707C37">
          <w:rPr>
            <w:rStyle w:val="Hyperlink"/>
            <w:noProof/>
          </w:rPr>
          <w:t>Option 1:  Take No Action</w:t>
        </w:r>
        <w:r w:rsidR="000E1083">
          <w:rPr>
            <w:noProof/>
            <w:webHidden/>
          </w:rPr>
          <w:tab/>
        </w:r>
        <w:r w:rsidR="000E1083">
          <w:rPr>
            <w:noProof/>
            <w:webHidden/>
          </w:rPr>
          <w:fldChar w:fldCharType="begin"/>
        </w:r>
        <w:r w:rsidR="000E1083">
          <w:rPr>
            <w:noProof/>
            <w:webHidden/>
          </w:rPr>
          <w:instrText xml:space="preserve"> PAGEREF _Toc532457279 \h </w:instrText>
        </w:r>
        <w:r w:rsidR="000E1083">
          <w:rPr>
            <w:noProof/>
            <w:webHidden/>
          </w:rPr>
        </w:r>
        <w:r w:rsidR="000E1083">
          <w:rPr>
            <w:noProof/>
            <w:webHidden/>
          </w:rPr>
          <w:fldChar w:fldCharType="separate"/>
        </w:r>
        <w:r w:rsidR="000E1083">
          <w:rPr>
            <w:noProof/>
            <w:webHidden/>
          </w:rPr>
          <w:t>3</w:t>
        </w:r>
        <w:r w:rsidR="000E1083">
          <w:rPr>
            <w:noProof/>
            <w:webHidden/>
          </w:rPr>
          <w:fldChar w:fldCharType="end"/>
        </w:r>
      </w:hyperlink>
    </w:p>
    <w:p w14:paraId="608E1767" w14:textId="77777777" w:rsidR="000E1083" w:rsidRDefault="00D73F7B">
      <w:pPr>
        <w:pStyle w:val="TOC2"/>
        <w:rPr>
          <w:rFonts w:asciiTheme="minorHAnsi" w:eastAsiaTheme="minorEastAsia" w:hAnsiTheme="minorHAnsi" w:cstheme="minorBidi"/>
          <w:noProof/>
          <w:sz w:val="22"/>
          <w:szCs w:val="22"/>
        </w:rPr>
      </w:pPr>
      <w:hyperlink w:anchor="_Toc532457280" w:history="1">
        <w:r w:rsidR="000E1083" w:rsidRPr="00707C37">
          <w:rPr>
            <w:rStyle w:val="Hyperlink"/>
            <w:noProof/>
          </w:rPr>
          <w:t>2.2</w:t>
        </w:r>
        <w:r w:rsidR="000E1083">
          <w:rPr>
            <w:rFonts w:asciiTheme="minorHAnsi" w:eastAsiaTheme="minorEastAsia" w:hAnsiTheme="minorHAnsi" w:cstheme="minorBidi"/>
            <w:noProof/>
            <w:sz w:val="22"/>
            <w:szCs w:val="22"/>
          </w:rPr>
          <w:tab/>
        </w:r>
        <w:r w:rsidR="000E1083" w:rsidRPr="00707C37">
          <w:rPr>
            <w:rStyle w:val="Hyperlink"/>
            <w:noProof/>
          </w:rPr>
          <w:t>Option 2:  Undertake Rulemaking to Make Order EA-12-049, Order EA-12-051, and Industry Initiatives Generically Applicable</w:t>
        </w:r>
        <w:r w:rsidR="000E1083">
          <w:rPr>
            <w:noProof/>
            <w:webHidden/>
          </w:rPr>
          <w:tab/>
        </w:r>
        <w:r w:rsidR="000E1083">
          <w:rPr>
            <w:noProof/>
            <w:webHidden/>
          </w:rPr>
          <w:fldChar w:fldCharType="begin"/>
        </w:r>
        <w:r w:rsidR="000E1083">
          <w:rPr>
            <w:noProof/>
            <w:webHidden/>
          </w:rPr>
          <w:instrText xml:space="preserve"> PAGEREF _Toc532457280 \h </w:instrText>
        </w:r>
        <w:r w:rsidR="000E1083">
          <w:rPr>
            <w:noProof/>
            <w:webHidden/>
          </w:rPr>
        </w:r>
        <w:r w:rsidR="000E1083">
          <w:rPr>
            <w:noProof/>
            <w:webHidden/>
          </w:rPr>
          <w:fldChar w:fldCharType="separate"/>
        </w:r>
        <w:r w:rsidR="000E1083">
          <w:rPr>
            <w:noProof/>
            <w:webHidden/>
          </w:rPr>
          <w:t>4</w:t>
        </w:r>
        <w:r w:rsidR="000E1083">
          <w:rPr>
            <w:noProof/>
            <w:webHidden/>
          </w:rPr>
          <w:fldChar w:fldCharType="end"/>
        </w:r>
      </w:hyperlink>
    </w:p>
    <w:p w14:paraId="4624AA67" w14:textId="77777777" w:rsidR="000E1083" w:rsidRDefault="00D73F7B">
      <w:pPr>
        <w:pStyle w:val="TOC1"/>
        <w:rPr>
          <w:rFonts w:asciiTheme="minorHAnsi" w:eastAsiaTheme="minorEastAsia" w:hAnsiTheme="minorHAnsi" w:cstheme="minorBidi"/>
          <w:noProof/>
          <w:sz w:val="22"/>
          <w:szCs w:val="22"/>
        </w:rPr>
      </w:pPr>
      <w:hyperlink w:anchor="_Toc532457281" w:history="1">
        <w:r w:rsidR="000E1083" w:rsidRPr="00707C37">
          <w:rPr>
            <w:rStyle w:val="Hyperlink"/>
            <w:noProof/>
          </w:rPr>
          <w:t>3.</w:t>
        </w:r>
        <w:r w:rsidR="000E1083">
          <w:rPr>
            <w:rFonts w:asciiTheme="minorHAnsi" w:eastAsiaTheme="minorEastAsia" w:hAnsiTheme="minorHAnsi" w:cstheme="minorBidi"/>
            <w:noProof/>
            <w:sz w:val="22"/>
            <w:szCs w:val="22"/>
          </w:rPr>
          <w:tab/>
        </w:r>
        <w:r w:rsidR="000E1083" w:rsidRPr="00707C37">
          <w:rPr>
            <w:rStyle w:val="Hyperlink"/>
            <w:noProof/>
          </w:rPr>
          <w:t>Estimation and Evaluation of Benefits and Costs:  Presentation of Results</w:t>
        </w:r>
        <w:r w:rsidR="000E1083">
          <w:rPr>
            <w:noProof/>
            <w:webHidden/>
          </w:rPr>
          <w:tab/>
        </w:r>
        <w:r w:rsidR="000E1083">
          <w:rPr>
            <w:noProof/>
            <w:webHidden/>
          </w:rPr>
          <w:fldChar w:fldCharType="begin"/>
        </w:r>
        <w:r w:rsidR="000E1083">
          <w:rPr>
            <w:noProof/>
            <w:webHidden/>
          </w:rPr>
          <w:instrText xml:space="preserve"> PAGEREF _Toc532457281 \h </w:instrText>
        </w:r>
        <w:r w:rsidR="000E1083">
          <w:rPr>
            <w:noProof/>
            <w:webHidden/>
          </w:rPr>
        </w:r>
        <w:r w:rsidR="000E1083">
          <w:rPr>
            <w:noProof/>
            <w:webHidden/>
          </w:rPr>
          <w:fldChar w:fldCharType="separate"/>
        </w:r>
        <w:r w:rsidR="000E1083">
          <w:rPr>
            <w:noProof/>
            <w:webHidden/>
          </w:rPr>
          <w:t>4</w:t>
        </w:r>
        <w:r w:rsidR="000E1083">
          <w:rPr>
            <w:noProof/>
            <w:webHidden/>
          </w:rPr>
          <w:fldChar w:fldCharType="end"/>
        </w:r>
      </w:hyperlink>
    </w:p>
    <w:p w14:paraId="07A9FF0C" w14:textId="77777777" w:rsidR="000E1083" w:rsidRDefault="00D73F7B">
      <w:pPr>
        <w:pStyle w:val="TOC2"/>
        <w:rPr>
          <w:rFonts w:asciiTheme="minorHAnsi" w:eastAsiaTheme="minorEastAsia" w:hAnsiTheme="minorHAnsi" w:cstheme="minorBidi"/>
          <w:noProof/>
          <w:sz w:val="22"/>
          <w:szCs w:val="22"/>
        </w:rPr>
      </w:pPr>
      <w:hyperlink w:anchor="_Toc532457282" w:history="1">
        <w:r w:rsidR="000E1083" w:rsidRPr="00707C37">
          <w:rPr>
            <w:rStyle w:val="Hyperlink"/>
            <w:noProof/>
          </w:rPr>
          <w:t>3.1</w:t>
        </w:r>
        <w:r w:rsidR="000E1083">
          <w:rPr>
            <w:rFonts w:asciiTheme="minorHAnsi" w:eastAsiaTheme="minorEastAsia" w:hAnsiTheme="minorHAnsi" w:cstheme="minorBidi"/>
            <w:noProof/>
            <w:sz w:val="22"/>
            <w:szCs w:val="22"/>
          </w:rPr>
          <w:tab/>
        </w:r>
        <w:r w:rsidR="000E1083" w:rsidRPr="00707C37">
          <w:rPr>
            <w:rStyle w:val="Hyperlink"/>
            <w:noProof/>
          </w:rPr>
          <w:t>Summary of Costs and Benefits of the Regulatory Options</w:t>
        </w:r>
        <w:r w:rsidR="000E1083">
          <w:rPr>
            <w:noProof/>
            <w:webHidden/>
          </w:rPr>
          <w:tab/>
        </w:r>
        <w:r w:rsidR="000E1083">
          <w:rPr>
            <w:noProof/>
            <w:webHidden/>
          </w:rPr>
          <w:fldChar w:fldCharType="begin"/>
        </w:r>
        <w:r w:rsidR="000E1083">
          <w:rPr>
            <w:noProof/>
            <w:webHidden/>
          </w:rPr>
          <w:instrText xml:space="preserve"> PAGEREF _Toc532457282 \h </w:instrText>
        </w:r>
        <w:r w:rsidR="000E1083">
          <w:rPr>
            <w:noProof/>
            <w:webHidden/>
          </w:rPr>
        </w:r>
        <w:r w:rsidR="000E1083">
          <w:rPr>
            <w:noProof/>
            <w:webHidden/>
          </w:rPr>
          <w:fldChar w:fldCharType="separate"/>
        </w:r>
        <w:r w:rsidR="000E1083">
          <w:rPr>
            <w:noProof/>
            <w:webHidden/>
          </w:rPr>
          <w:t>5</w:t>
        </w:r>
        <w:r w:rsidR="000E1083">
          <w:rPr>
            <w:noProof/>
            <w:webHidden/>
          </w:rPr>
          <w:fldChar w:fldCharType="end"/>
        </w:r>
      </w:hyperlink>
    </w:p>
    <w:p w14:paraId="1FAA29BB" w14:textId="77777777" w:rsidR="000E1083" w:rsidRDefault="00D73F7B">
      <w:pPr>
        <w:pStyle w:val="TOC2"/>
        <w:rPr>
          <w:rFonts w:asciiTheme="minorHAnsi" w:eastAsiaTheme="minorEastAsia" w:hAnsiTheme="minorHAnsi" w:cstheme="minorBidi"/>
          <w:noProof/>
          <w:sz w:val="22"/>
          <w:szCs w:val="22"/>
        </w:rPr>
      </w:pPr>
      <w:hyperlink w:anchor="_Toc532457283" w:history="1">
        <w:r w:rsidR="000E1083" w:rsidRPr="00707C37">
          <w:rPr>
            <w:rStyle w:val="Hyperlink"/>
            <w:noProof/>
          </w:rPr>
          <w:t>3.2</w:t>
        </w:r>
        <w:r w:rsidR="000E1083">
          <w:rPr>
            <w:rFonts w:asciiTheme="minorHAnsi" w:eastAsiaTheme="minorEastAsia" w:hAnsiTheme="minorHAnsi" w:cstheme="minorBidi"/>
            <w:noProof/>
            <w:sz w:val="22"/>
            <w:szCs w:val="22"/>
          </w:rPr>
          <w:tab/>
        </w:r>
        <w:r w:rsidR="000E1083" w:rsidRPr="00707C37">
          <w:rPr>
            <w:rStyle w:val="Hyperlink"/>
            <w:noProof/>
          </w:rPr>
          <w:t>Costs of the Final Rule</w:t>
        </w:r>
        <w:r w:rsidR="000E1083">
          <w:rPr>
            <w:noProof/>
            <w:webHidden/>
          </w:rPr>
          <w:tab/>
        </w:r>
        <w:r w:rsidR="000E1083">
          <w:rPr>
            <w:noProof/>
            <w:webHidden/>
          </w:rPr>
          <w:fldChar w:fldCharType="begin"/>
        </w:r>
        <w:r w:rsidR="000E1083">
          <w:rPr>
            <w:noProof/>
            <w:webHidden/>
          </w:rPr>
          <w:instrText xml:space="preserve"> PAGEREF _Toc532457283 \h </w:instrText>
        </w:r>
        <w:r w:rsidR="000E1083">
          <w:rPr>
            <w:noProof/>
            <w:webHidden/>
          </w:rPr>
        </w:r>
        <w:r w:rsidR="000E1083">
          <w:rPr>
            <w:noProof/>
            <w:webHidden/>
          </w:rPr>
          <w:fldChar w:fldCharType="separate"/>
        </w:r>
        <w:r w:rsidR="000E1083">
          <w:rPr>
            <w:noProof/>
            <w:webHidden/>
          </w:rPr>
          <w:t>7</w:t>
        </w:r>
        <w:r w:rsidR="000E1083">
          <w:rPr>
            <w:noProof/>
            <w:webHidden/>
          </w:rPr>
          <w:fldChar w:fldCharType="end"/>
        </w:r>
      </w:hyperlink>
    </w:p>
    <w:p w14:paraId="5E0FB184" w14:textId="77777777" w:rsidR="000E1083" w:rsidRDefault="00D73F7B">
      <w:pPr>
        <w:pStyle w:val="TOC3"/>
        <w:tabs>
          <w:tab w:val="left" w:pos="1100"/>
          <w:tab w:val="right" w:leader="dot" w:pos="9350"/>
        </w:tabs>
        <w:rPr>
          <w:rFonts w:asciiTheme="minorHAnsi" w:eastAsiaTheme="minorEastAsia" w:hAnsiTheme="minorHAnsi" w:cstheme="minorBidi"/>
          <w:noProof/>
          <w:sz w:val="22"/>
          <w:szCs w:val="22"/>
        </w:rPr>
      </w:pPr>
      <w:hyperlink w:anchor="_Toc532457284" w:history="1">
        <w:r w:rsidR="000E1083" w:rsidRPr="00707C37">
          <w:rPr>
            <w:rStyle w:val="Hyperlink"/>
            <w:noProof/>
          </w:rPr>
          <w:t>3.2.1</w:t>
        </w:r>
        <w:r w:rsidR="000E1083">
          <w:rPr>
            <w:rFonts w:asciiTheme="minorHAnsi" w:eastAsiaTheme="minorEastAsia" w:hAnsiTheme="minorHAnsi" w:cstheme="minorBidi"/>
            <w:noProof/>
            <w:sz w:val="22"/>
            <w:szCs w:val="22"/>
          </w:rPr>
          <w:tab/>
        </w:r>
        <w:r w:rsidR="000E1083" w:rsidRPr="00707C37">
          <w:rPr>
            <w:rStyle w:val="Hyperlink"/>
            <w:noProof/>
          </w:rPr>
          <w:t>Industry Implementation</w:t>
        </w:r>
        <w:r w:rsidR="000E1083">
          <w:rPr>
            <w:noProof/>
            <w:webHidden/>
          </w:rPr>
          <w:tab/>
        </w:r>
        <w:r w:rsidR="000E1083">
          <w:rPr>
            <w:noProof/>
            <w:webHidden/>
          </w:rPr>
          <w:fldChar w:fldCharType="begin"/>
        </w:r>
        <w:r w:rsidR="000E1083">
          <w:rPr>
            <w:noProof/>
            <w:webHidden/>
          </w:rPr>
          <w:instrText xml:space="preserve"> PAGEREF _Toc532457284 \h </w:instrText>
        </w:r>
        <w:r w:rsidR="000E1083">
          <w:rPr>
            <w:noProof/>
            <w:webHidden/>
          </w:rPr>
        </w:r>
        <w:r w:rsidR="000E1083">
          <w:rPr>
            <w:noProof/>
            <w:webHidden/>
          </w:rPr>
          <w:fldChar w:fldCharType="separate"/>
        </w:r>
        <w:r w:rsidR="000E1083">
          <w:rPr>
            <w:noProof/>
            <w:webHidden/>
          </w:rPr>
          <w:t>8</w:t>
        </w:r>
        <w:r w:rsidR="000E1083">
          <w:rPr>
            <w:noProof/>
            <w:webHidden/>
          </w:rPr>
          <w:fldChar w:fldCharType="end"/>
        </w:r>
      </w:hyperlink>
    </w:p>
    <w:p w14:paraId="1B19F2D7" w14:textId="77777777" w:rsidR="000E1083" w:rsidRDefault="00D73F7B">
      <w:pPr>
        <w:pStyle w:val="TOC3"/>
        <w:tabs>
          <w:tab w:val="left" w:pos="1100"/>
          <w:tab w:val="right" w:leader="dot" w:pos="9350"/>
        </w:tabs>
        <w:rPr>
          <w:rFonts w:asciiTheme="minorHAnsi" w:eastAsiaTheme="minorEastAsia" w:hAnsiTheme="minorHAnsi" w:cstheme="minorBidi"/>
          <w:noProof/>
          <w:sz w:val="22"/>
          <w:szCs w:val="22"/>
        </w:rPr>
      </w:pPr>
      <w:hyperlink w:anchor="_Toc532457285" w:history="1">
        <w:r w:rsidR="000E1083" w:rsidRPr="00707C37">
          <w:rPr>
            <w:rStyle w:val="Hyperlink"/>
            <w:noProof/>
          </w:rPr>
          <w:t>3.2.2</w:t>
        </w:r>
        <w:r w:rsidR="000E1083">
          <w:rPr>
            <w:rFonts w:asciiTheme="minorHAnsi" w:eastAsiaTheme="minorEastAsia" w:hAnsiTheme="minorHAnsi" w:cstheme="minorBidi"/>
            <w:noProof/>
            <w:sz w:val="22"/>
            <w:szCs w:val="22"/>
          </w:rPr>
          <w:tab/>
        </w:r>
        <w:r w:rsidR="000E1083" w:rsidRPr="00707C37">
          <w:rPr>
            <w:rStyle w:val="Hyperlink"/>
            <w:noProof/>
          </w:rPr>
          <w:t>Industry Operation</w:t>
        </w:r>
        <w:r w:rsidR="000E1083">
          <w:rPr>
            <w:noProof/>
            <w:webHidden/>
          </w:rPr>
          <w:tab/>
        </w:r>
        <w:r w:rsidR="000E1083">
          <w:rPr>
            <w:noProof/>
            <w:webHidden/>
          </w:rPr>
          <w:fldChar w:fldCharType="begin"/>
        </w:r>
        <w:r w:rsidR="000E1083">
          <w:rPr>
            <w:noProof/>
            <w:webHidden/>
          </w:rPr>
          <w:instrText xml:space="preserve"> PAGEREF _Toc532457285 \h </w:instrText>
        </w:r>
        <w:r w:rsidR="000E1083">
          <w:rPr>
            <w:noProof/>
            <w:webHidden/>
          </w:rPr>
        </w:r>
        <w:r w:rsidR="000E1083">
          <w:rPr>
            <w:noProof/>
            <w:webHidden/>
          </w:rPr>
          <w:fldChar w:fldCharType="separate"/>
        </w:r>
        <w:r w:rsidR="000E1083">
          <w:rPr>
            <w:noProof/>
            <w:webHidden/>
          </w:rPr>
          <w:t>8</w:t>
        </w:r>
        <w:r w:rsidR="000E1083">
          <w:rPr>
            <w:noProof/>
            <w:webHidden/>
          </w:rPr>
          <w:fldChar w:fldCharType="end"/>
        </w:r>
      </w:hyperlink>
    </w:p>
    <w:p w14:paraId="4D85EC6F" w14:textId="77777777" w:rsidR="000E1083" w:rsidRDefault="00D73F7B">
      <w:pPr>
        <w:pStyle w:val="TOC3"/>
        <w:tabs>
          <w:tab w:val="left" w:pos="1100"/>
          <w:tab w:val="right" w:leader="dot" w:pos="9350"/>
        </w:tabs>
        <w:rPr>
          <w:rFonts w:asciiTheme="minorHAnsi" w:eastAsiaTheme="minorEastAsia" w:hAnsiTheme="minorHAnsi" w:cstheme="minorBidi"/>
          <w:noProof/>
          <w:sz w:val="22"/>
          <w:szCs w:val="22"/>
        </w:rPr>
      </w:pPr>
      <w:hyperlink w:anchor="_Toc532457286" w:history="1">
        <w:r w:rsidR="000E1083" w:rsidRPr="00707C37">
          <w:rPr>
            <w:rStyle w:val="Hyperlink"/>
            <w:noProof/>
          </w:rPr>
          <w:t>3.2.3</w:t>
        </w:r>
        <w:r w:rsidR="000E1083">
          <w:rPr>
            <w:rFonts w:asciiTheme="minorHAnsi" w:eastAsiaTheme="minorEastAsia" w:hAnsiTheme="minorHAnsi" w:cstheme="minorBidi"/>
            <w:noProof/>
            <w:sz w:val="22"/>
            <w:szCs w:val="22"/>
          </w:rPr>
          <w:tab/>
        </w:r>
        <w:r w:rsidR="000E1083" w:rsidRPr="00707C37">
          <w:rPr>
            <w:rStyle w:val="Hyperlink"/>
            <w:noProof/>
          </w:rPr>
          <w:t>NRC Implementation</w:t>
        </w:r>
        <w:r w:rsidR="000E1083">
          <w:rPr>
            <w:noProof/>
            <w:webHidden/>
          </w:rPr>
          <w:tab/>
        </w:r>
        <w:r w:rsidR="000E1083">
          <w:rPr>
            <w:noProof/>
            <w:webHidden/>
          </w:rPr>
          <w:fldChar w:fldCharType="begin"/>
        </w:r>
        <w:r w:rsidR="000E1083">
          <w:rPr>
            <w:noProof/>
            <w:webHidden/>
          </w:rPr>
          <w:instrText xml:space="preserve"> PAGEREF _Toc532457286 \h </w:instrText>
        </w:r>
        <w:r w:rsidR="000E1083">
          <w:rPr>
            <w:noProof/>
            <w:webHidden/>
          </w:rPr>
        </w:r>
        <w:r w:rsidR="000E1083">
          <w:rPr>
            <w:noProof/>
            <w:webHidden/>
          </w:rPr>
          <w:fldChar w:fldCharType="separate"/>
        </w:r>
        <w:r w:rsidR="000E1083">
          <w:rPr>
            <w:noProof/>
            <w:webHidden/>
          </w:rPr>
          <w:t>8</w:t>
        </w:r>
        <w:r w:rsidR="000E1083">
          <w:rPr>
            <w:noProof/>
            <w:webHidden/>
          </w:rPr>
          <w:fldChar w:fldCharType="end"/>
        </w:r>
      </w:hyperlink>
    </w:p>
    <w:p w14:paraId="25CC3F5C" w14:textId="77777777" w:rsidR="000E1083" w:rsidRDefault="00D73F7B">
      <w:pPr>
        <w:pStyle w:val="TOC3"/>
        <w:tabs>
          <w:tab w:val="left" w:pos="1100"/>
          <w:tab w:val="right" w:leader="dot" w:pos="9350"/>
        </w:tabs>
        <w:rPr>
          <w:rFonts w:asciiTheme="minorHAnsi" w:eastAsiaTheme="minorEastAsia" w:hAnsiTheme="minorHAnsi" w:cstheme="minorBidi"/>
          <w:noProof/>
          <w:sz w:val="22"/>
          <w:szCs w:val="22"/>
        </w:rPr>
      </w:pPr>
      <w:hyperlink w:anchor="_Toc532457287" w:history="1">
        <w:r w:rsidR="000E1083" w:rsidRPr="00707C37">
          <w:rPr>
            <w:rStyle w:val="Hyperlink"/>
            <w:noProof/>
          </w:rPr>
          <w:t>3.2.4</w:t>
        </w:r>
        <w:r w:rsidR="000E1083">
          <w:rPr>
            <w:rFonts w:asciiTheme="minorHAnsi" w:eastAsiaTheme="minorEastAsia" w:hAnsiTheme="minorHAnsi" w:cstheme="minorBidi"/>
            <w:noProof/>
            <w:sz w:val="22"/>
            <w:szCs w:val="22"/>
          </w:rPr>
          <w:tab/>
        </w:r>
        <w:r w:rsidR="000E1083" w:rsidRPr="00707C37">
          <w:rPr>
            <w:rStyle w:val="Hyperlink"/>
            <w:noProof/>
          </w:rPr>
          <w:t>NRC Operation</w:t>
        </w:r>
        <w:r w:rsidR="000E1083">
          <w:rPr>
            <w:noProof/>
            <w:webHidden/>
          </w:rPr>
          <w:tab/>
        </w:r>
        <w:r w:rsidR="000E1083">
          <w:rPr>
            <w:noProof/>
            <w:webHidden/>
          </w:rPr>
          <w:fldChar w:fldCharType="begin"/>
        </w:r>
        <w:r w:rsidR="000E1083">
          <w:rPr>
            <w:noProof/>
            <w:webHidden/>
          </w:rPr>
          <w:instrText xml:space="preserve"> PAGEREF _Toc532457287 \h </w:instrText>
        </w:r>
        <w:r w:rsidR="000E1083">
          <w:rPr>
            <w:noProof/>
            <w:webHidden/>
          </w:rPr>
        </w:r>
        <w:r w:rsidR="000E1083">
          <w:rPr>
            <w:noProof/>
            <w:webHidden/>
          </w:rPr>
          <w:fldChar w:fldCharType="separate"/>
        </w:r>
        <w:r w:rsidR="000E1083">
          <w:rPr>
            <w:noProof/>
            <w:webHidden/>
          </w:rPr>
          <w:t>9</w:t>
        </w:r>
        <w:r w:rsidR="000E1083">
          <w:rPr>
            <w:noProof/>
            <w:webHidden/>
          </w:rPr>
          <w:fldChar w:fldCharType="end"/>
        </w:r>
      </w:hyperlink>
    </w:p>
    <w:p w14:paraId="27A76884" w14:textId="77777777" w:rsidR="000E1083" w:rsidRDefault="00D73F7B">
      <w:pPr>
        <w:pStyle w:val="TOC2"/>
        <w:rPr>
          <w:rFonts w:asciiTheme="minorHAnsi" w:eastAsiaTheme="minorEastAsia" w:hAnsiTheme="minorHAnsi" w:cstheme="minorBidi"/>
          <w:noProof/>
          <w:sz w:val="22"/>
          <w:szCs w:val="22"/>
        </w:rPr>
      </w:pPr>
      <w:hyperlink w:anchor="_Toc532457288" w:history="1">
        <w:r w:rsidR="000E1083" w:rsidRPr="00707C37">
          <w:rPr>
            <w:rStyle w:val="Hyperlink"/>
            <w:noProof/>
          </w:rPr>
          <w:t>3.3</w:t>
        </w:r>
        <w:r w:rsidR="000E1083">
          <w:rPr>
            <w:rFonts w:asciiTheme="minorHAnsi" w:eastAsiaTheme="minorEastAsia" w:hAnsiTheme="minorHAnsi" w:cstheme="minorBidi"/>
            <w:noProof/>
            <w:sz w:val="22"/>
            <w:szCs w:val="22"/>
          </w:rPr>
          <w:tab/>
        </w:r>
        <w:r w:rsidR="000E1083" w:rsidRPr="00707C37">
          <w:rPr>
            <w:rStyle w:val="Hyperlink"/>
            <w:noProof/>
          </w:rPr>
          <w:t>Benefits of the Final Rule</w:t>
        </w:r>
        <w:r w:rsidR="000E1083">
          <w:rPr>
            <w:noProof/>
            <w:webHidden/>
          </w:rPr>
          <w:tab/>
        </w:r>
        <w:r w:rsidR="000E1083">
          <w:rPr>
            <w:noProof/>
            <w:webHidden/>
          </w:rPr>
          <w:fldChar w:fldCharType="begin"/>
        </w:r>
        <w:r w:rsidR="000E1083">
          <w:rPr>
            <w:noProof/>
            <w:webHidden/>
          </w:rPr>
          <w:instrText xml:space="preserve"> PAGEREF _Toc532457288 \h </w:instrText>
        </w:r>
        <w:r w:rsidR="000E1083">
          <w:rPr>
            <w:noProof/>
            <w:webHidden/>
          </w:rPr>
        </w:r>
        <w:r w:rsidR="000E1083">
          <w:rPr>
            <w:noProof/>
            <w:webHidden/>
          </w:rPr>
          <w:fldChar w:fldCharType="separate"/>
        </w:r>
        <w:r w:rsidR="000E1083">
          <w:rPr>
            <w:noProof/>
            <w:webHidden/>
          </w:rPr>
          <w:t>9</w:t>
        </w:r>
        <w:r w:rsidR="000E1083">
          <w:rPr>
            <w:noProof/>
            <w:webHidden/>
          </w:rPr>
          <w:fldChar w:fldCharType="end"/>
        </w:r>
      </w:hyperlink>
    </w:p>
    <w:p w14:paraId="5C615D5A" w14:textId="77777777" w:rsidR="000E1083" w:rsidRDefault="00D73F7B">
      <w:pPr>
        <w:pStyle w:val="TOC3"/>
        <w:tabs>
          <w:tab w:val="left" w:pos="1100"/>
          <w:tab w:val="right" w:leader="dot" w:pos="9350"/>
        </w:tabs>
        <w:rPr>
          <w:rFonts w:asciiTheme="minorHAnsi" w:eastAsiaTheme="minorEastAsia" w:hAnsiTheme="minorHAnsi" w:cstheme="minorBidi"/>
          <w:noProof/>
          <w:sz w:val="22"/>
          <w:szCs w:val="22"/>
        </w:rPr>
      </w:pPr>
      <w:hyperlink w:anchor="_Toc532457289" w:history="1">
        <w:r w:rsidR="000E1083" w:rsidRPr="00707C37">
          <w:rPr>
            <w:rStyle w:val="Hyperlink"/>
            <w:noProof/>
          </w:rPr>
          <w:t>3.3.1</w:t>
        </w:r>
        <w:r w:rsidR="000E1083">
          <w:rPr>
            <w:rFonts w:asciiTheme="minorHAnsi" w:eastAsiaTheme="minorEastAsia" w:hAnsiTheme="minorHAnsi" w:cstheme="minorBidi"/>
            <w:noProof/>
            <w:sz w:val="22"/>
            <w:szCs w:val="22"/>
          </w:rPr>
          <w:tab/>
        </w:r>
        <w:r w:rsidR="000E1083" w:rsidRPr="00707C37">
          <w:rPr>
            <w:rStyle w:val="Hyperlink"/>
            <w:noProof/>
          </w:rPr>
          <w:t>Benefits Associated with Public Health (Accident), Occupational Health (Accident), Offsite Property, Onsite Property, and Environmental Considerations</w:t>
        </w:r>
        <w:r w:rsidR="000E1083">
          <w:rPr>
            <w:noProof/>
            <w:webHidden/>
          </w:rPr>
          <w:tab/>
        </w:r>
        <w:r w:rsidR="000E1083">
          <w:rPr>
            <w:noProof/>
            <w:webHidden/>
          </w:rPr>
          <w:fldChar w:fldCharType="begin"/>
        </w:r>
        <w:r w:rsidR="000E1083">
          <w:rPr>
            <w:noProof/>
            <w:webHidden/>
          </w:rPr>
          <w:instrText xml:space="preserve"> PAGEREF _Toc532457289 \h </w:instrText>
        </w:r>
        <w:r w:rsidR="000E1083">
          <w:rPr>
            <w:noProof/>
            <w:webHidden/>
          </w:rPr>
        </w:r>
        <w:r w:rsidR="000E1083">
          <w:rPr>
            <w:noProof/>
            <w:webHidden/>
          </w:rPr>
          <w:fldChar w:fldCharType="separate"/>
        </w:r>
        <w:r w:rsidR="000E1083">
          <w:rPr>
            <w:noProof/>
            <w:webHidden/>
          </w:rPr>
          <w:t>9</w:t>
        </w:r>
        <w:r w:rsidR="000E1083">
          <w:rPr>
            <w:noProof/>
            <w:webHidden/>
          </w:rPr>
          <w:fldChar w:fldCharType="end"/>
        </w:r>
      </w:hyperlink>
    </w:p>
    <w:p w14:paraId="1E4737E3" w14:textId="77777777" w:rsidR="000E1083" w:rsidRDefault="00D73F7B">
      <w:pPr>
        <w:pStyle w:val="TOC3"/>
        <w:tabs>
          <w:tab w:val="left" w:pos="1100"/>
          <w:tab w:val="right" w:leader="dot" w:pos="9350"/>
        </w:tabs>
        <w:rPr>
          <w:rFonts w:asciiTheme="minorHAnsi" w:eastAsiaTheme="minorEastAsia" w:hAnsiTheme="minorHAnsi" w:cstheme="minorBidi"/>
          <w:noProof/>
          <w:sz w:val="22"/>
          <w:szCs w:val="22"/>
        </w:rPr>
      </w:pPr>
      <w:hyperlink w:anchor="_Toc532457290" w:history="1">
        <w:r w:rsidR="000E1083" w:rsidRPr="00707C37">
          <w:rPr>
            <w:rStyle w:val="Hyperlink"/>
            <w:noProof/>
          </w:rPr>
          <w:t>3.3.2</w:t>
        </w:r>
        <w:r w:rsidR="000E1083">
          <w:rPr>
            <w:rFonts w:asciiTheme="minorHAnsi" w:eastAsiaTheme="minorEastAsia" w:hAnsiTheme="minorHAnsi" w:cstheme="minorBidi"/>
            <w:noProof/>
            <w:sz w:val="22"/>
            <w:szCs w:val="22"/>
          </w:rPr>
          <w:tab/>
        </w:r>
        <w:r w:rsidR="000E1083" w:rsidRPr="00707C37">
          <w:rPr>
            <w:rStyle w:val="Hyperlink"/>
            <w:noProof/>
          </w:rPr>
          <w:t>Benefits Associated with Regulatory Efficiency</w:t>
        </w:r>
        <w:r w:rsidR="000E1083">
          <w:rPr>
            <w:noProof/>
            <w:webHidden/>
          </w:rPr>
          <w:tab/>
        </w:r>
        <w:r w:rsidR="000E1083">
          <w:rPr>
            <w:noProof/>
            <w:webHidden/>
          </w:rPr>
          <w:fldChar w:fldCharType="begin"/>
        </w:r>
        <w:r w:rsidR="000E1083">
          <w:rPr>
            <w:noProof/>
            <w:webHidden/>
          </w:rPr>
          <w:instrText xml:space="preserve"> PAGEREF _Toc532457290 \h </w:instrText>
        </w:r>
        <w:r w:rsidR="000E1083">
          <w:rPr>
            <w:noProof/>
            <w:webHidden/>
          </w:rPr>
        </w:r>
        <w:r w:rsidR="000E1083">
          <w:rPr>
            <w:noProof/>
            <w:webHidden/>
          </w:rPr>
          <w:fldChar w:fldCharType="separate"/>
        </w:r>
        <w:r w:rsidR="000E1083">
          <w:rPr>
            <w:noProof/>
            <w:webHidden/>
          </w:rPr>
          <w:t>10</w:t>
        </w:r>
        <w:r w:rsidR="000E1083">
          <w:rPr>
            <w:noProof/>
            <w:webHidden/>
          </w:rPr>
          <w:fldChar w:fldCharType="end"/>
        </w:r>
      </w:hyperlink>
    </w:p>
    <w:p w14:paraId="2D37D269" w14:textId="77777777" w:rsidR="000E1083" w:rsidRDefault="00D73F7B">
      <w:pPr>
        <w:pStyle w:val="TOC2"/>
        <w:rPr>
          <w:rFonts w:asciiTheme="minorHAnsi" w:eastAsiaTheme="minorEastAsia" w:hAnsiTheme="minorHAnsi" w:cstheme="minorBidi"/>
          <w:noProof/>
          <w:sz w:val="22"/>
          <w:szCs w:val="22"/>
        </w:rPr>
      </w:pPr>
      <w:hyperlink w:anchor="_Toc532457291" w:history="1">
        <w:r w:rsidR="000E1083" w:rsidRPr="00707C37">
          <w:rPr>
            <w:rStyle w:val="Hyperlink"/>
            <w:noProof/>
          </w:rPr>
          <w:t>3.4</w:t>
        </w:r>
        <w:r w:rsidR="000E1083">
          <w:rPr>
            <w:rFonts w:asciiTheme="minorHAnsi" w:eastAsiaTheme="minorEastAsia" w:hAnsiTheme="minorHAnsi" w:cstheme="minorBidi"/>
            <w:noProof/>
            <w:sz w:val="22"/>
            <w:szCs w:val="22"/>
          </w:rPr>
          <w:tab/>
        </w:r>
        <w:r w:rsidR="000E1083" w:rsidRPr="00707C37">
          <w:rPr>
            <w:rStyle w:val="Hyperlink"/>
            <w:noProof/>
          </w:rPr>
          <w:t>Uncertainty Analysis</w:t>
        </w:r>
        <w:r w:rsidR="000E1083">
          <w:rPr>
            <w:noProof/>
            <w:webHidden/>
          </w:rPr>
          <w:tab/>
        </w:r>
        <w:r w:rsidR="000E1083">
          <w:rPr>
            <w:noProof/>
            <w:webHidden/>
          </w:rPr>
          <w:fldChar w:fldCharType="begin"/>
        </w:r>
        <w:r w:rsidR="000E1083">
          <w:rPr>
            <w:noProof/>
            <w:webHidden/>
          </w:rPr>
          <w:instrText xml:space="preserve"> PAGEREF _Toc532457291 \h </w:instrText>
        </w:r>
        <w:r w:rsidR="000E1083">
          <w:rPr>
            <w:noProof/>
            <w:webHidden/>
          </w:rPr>
        </w:r>
        <w:r w:rsidR="000E1083">
          <w:rPr>
            <w:noProof/>
            <w:webHidden/>
          </w:rPr>
          <w:fldChar w:fldCharType="separate"/>
        </w:r>
        <w:r w:rsidR="000E1083">
          <w:rPr>
            <w:noProof/>
            <w:webHidden/>
          </w:rPr>
          <w:t>10</w:t>
        </w:r>
        <w:r w:rsidR="000E1083">
          <w:rPr>
            <w:noProof/>
            <w:webHidden/>
          </w:rPr>
          <w:fldChar w:fldCharType="end"/>
        </w:r>
      </w:hyperlink>
    </w:p>
    <w:p w14:paraId="518FE2E8" w14:textId="77777777" w:rsidR="000E1083" w:rsidRDefault="00D73F7B">
      <w:pPr>
        <w:pStyle w:val="TOC3"/>
        <w:tabs>
          <w:tab w:val="left" w:pos="1100"/>
          <w:tab w:val="right" w:leader="dot" w:pos="9350"/>
        </w:tabs>
        <w:rPr>
          <w:rFonts w:asciiTheme="minorHAnsi" w:eastAsiaTheme="minorEastAsia" w:hAnsiTheme="minorHAnsi" w:cstheme="minorBidi"/>
          <w:noProof/>
          <w:sz w:val="22"/>
          <w:szCs w:val="22"/>
        </w:rPr>
      </w:pPr>
      <w:hyperlink w:anchor="_Toc532457292" w:history="1">
        <w:r w:rsidR="000E1083" w:rsidRPr="00707C37">
          <w:rPr>
            <w:rStyle w:val="Hyperlink"/>
            <w:noProof/>
          </w:rPr>
          <w:t>3.4.1</w:t>
        </w:r>
        <w:r w:rsidR="000E1083">
          <w:rPr>
            <w:rFonts w:asciiTheme="minorHAnsi" w:eastAsiaTheme="minorEastAsia" w:hAnsiTheme="minorHAnsi" w:cstheme="minorBidi"/>
            <w:noProof/>
            <w:sz w:val="22"/>
            <w:szCs w:val="22"/>
          </w:rPr>
          <w:tab/>
        </w:r>
        <w:r w:rsidR="000E1083" w:rsidRPr="00707C37">
          <w:rPr>
            <w:rStyle w:val="Hyperlink"/>
            <w:noProof/>
          </w:rPr>
          <w:t>Uncertainty Analysis Results</w:t>
        </w:r>
        <w:r w:rsidR="000E1083">
          <w:rPr>
            <w:noProof/>
            <w:webHidden/>
          </w:rPr>
          <w:tab/>
        </w:r>
        <w:r w:rsidR="000E1083">
          <w:rPr>
            <w:noProof/>
            <w:webHidden/>
          </w:rPr>
          <w:fldChar w:fldCharType="begin"/>
        </w:r>
        <w:r w:rsidR="000E1083">
          <w:rPr>
            <w:noProof/>
            <w:webHidden/>
          </w:rPr>
          <w:instrText xml:space="preserve"> PAGEREF _Toc532457292 \h </w:instrText>
        </w:r>
        <w:r w:rsidR="000E1083">
          <w:rPr>
            <w:noProof/>
            <w:webHidden/>
          </w:rPr>
        </w:r>
        <w:r w:rsidR="000E1083">
          <w:rPr>
            <w:noProof/>
            <w:webHidden/>
          </w:rPr>
          <w:fldChar w:fldCharType="separate"/>
        </w:r>
        <w:r w:rsidR="000E1083">
          <w:rPr>
            <w:noProof/>
            <w:webHidden/>
          </w:rPr>
          <w:t>11</w:t>
        </w:r>
        <w:r w:rsidR="000E1083">
          <w:rPr>
            <w:noProof/>
            <w:webHidden/>
          </w:rPr>
          <w:fldChar w:fldCharType="end"/>
        </w:r>
      </w:hyperlink>
    </w:p>
    <w:p w14:paraId="1800B32E" w14:textId="77777777" w:rsidR="000E1083" w:rsidRDefault="00D73F7B">
      <w:pPr>
        <w:pStyle w:val="TOC3"/>
        <w:tabs>
          <w:tab w:val="left" w:pos="1100"/>
          <w:tab w:val="right" w:leader="dot" w:pos="9350"/>
        </w:tabs>
        <w:rPr>
          <w:rFonts w:asciiTheme="minorHAnsi" w:eastAsiaTheme="minorEastAsia" w:hAnsiTheme="minorHAnsi" w:cstheme="minorBidi"/>
          <w:noProof/>
          <w:sz w:val="22"/>
          <w:szCs w:val="22"/>
        </w:rPr>
      </w:pPr>
      <w:hyperlink w:anchor="_Toc532457293" w:history="1">
        <w:r w:rsidR="000E1083" w:rsidRPr="00707C37">
          <w:rPr>
            <w:rStyle w:val="Hyperlink"/>
            <w:noProof/>
          </w:rPr>
          <w:t>3.4.2</w:t>
        </w:r>
        <w:r w:rsidR="000E1083">
          <w:rPr>
            <w:rFonts w:asciiTheme="minorHAnsi" w:eastAsiaTheme="minorEastAsia" w:hAnsiTheme="minorHAnsi" w:cstheme="minorBidi"/>
            <w:noProof/>
            <w:sz w:val="22"/>
            <w:szCs w:val="22"/>
          </w:rPr>
          <w:tab/>
        </w:r>
        <w:r w:rsidR="000E1083" w:rsidRPr="00707C37">
          <w:rPr>
            <w:rStyle w:val="Hyperlink"/>
            <w:noProof/>
          </w:rPr>
          <w:t>Summary of Uncertainty Analysis</w:t>
        </w:r>
        <w:r w:rsidR="000E1083">
          <w:rPr>
            <w:noProof/>
            <w:webHidden/>
          </w:rPr>
          <w:tab/>
        </w:r>
        <w:r w:rsidR="000E1083">
          <w:rPr>
            <w:noProof/>
            <w:webHidden/>
          </w:rPr>
          <w:fldChar w:fldCharType="begin"/>
        </w:r>
        <w:r w:rsidR="000E1083">
          <w:rPr>
            <w:noProof/>
            <w:webHidden/>
          </w:rPr>
          <w:instrText xml:space="preserve"> PAGEREF _Toc532457293 \h </w:instrText>
        </w:r>
        <w:r w:rsidR="000E1083">
          <w:rPr>
            <w:noProof/>
            <w:webHidden/>
          </w:rPr>
        </w:r>
        <w:r w:rsidR="000E1083">
          <w:rPr>
            <w:noProof/>
            <w:webHidden/>
          </w:rPr>
          <w:fldChar w:fldCharType="separate"/>
        </w:r>
        <w:r w:rsidR="000E1083">
          <w:rPr>
            <w:noProof/>
            <w:webHidden/>
          </w:rPr>
          <w:t>12</w:t>
        </w:r>
        <w:r w:rsidR="000E1083">
          <w:rPr>
            <w:noProof/>
            <w:webHidden/>
          </w:rPr>
          <w:fldChar w:fldCharType="end"/>
        </w:r>
      </w:hyperlink>
    </w:p>
    <w:p w14:paraId="6DE69777" w14:textId="77777777" w:rsidR="000E1083" w:rsidRDefault="00D73F7B">
      <w:pPr>
        <w:pStyle w:val="TOC2"/>
        <w:rPr>
          <w:rFonts w:asciiTheme="minorHAnsi" w:eastAsiaTheme="minorEastAsia" w:hAnsiTheme="minorHAnsi" w:cstheme="minorBidi"/>
          <w:noProof/>
          <w:sz w:val="22"/>
          <w:szCs w:val="22"/>
        </w:rPr>
      </w:pPr>
      <w:hyperlink w:anchor="_Toc532457294" w:history="1">
        <w:r w:rsidR="000E1083" w:rsidRPr="00707C37">
          <w:rPr>
            <w:rStyle w:val="Hyperlink"/>
            <w:noProof/>
          </w:rPr>
          <w:t>3.5.</w:t>
        </w:r>
        <w:r w:rsidR="000E1083">
          <w:rPr>
            <w:rFonts w:asciiTheme="minorHAnsi" w:eastAsiaTheme="minorEastAsia" w:hAnsiTheme="minorHAnsi" w:cstheme="minorBidi"/>
            <w:noProof/>
            <w:sz w:val="22"/>
            <w:szCs w:val="22"/>
          </w:rPr>
          <w:tab/>
        </w:r>
        <w:r w:rsidR="000E1083" w:rsidRPr="00707C37">
          <w:rPr>
            <w:rStyle w:val="Hyperlink"/>
            <w:noProof/>
          </w:rPr>
          <w:t>Disaggregation</w:t>
        </w:r>
        <w:r w:rsidR="000E1083">
          <w:rPr>
            <w:noProof/>
            <w:webHidden/>
          </w:rPr>
          <w:tab/>
        </w:r>
        <w:r w:rsidR="000E1083">
          <w:rPr>
            <w:noProof/>
            <w:webHidden/>
          </w:rPr>
          <w:fldChar w:fldCharType="begin"/>
        </w:r>
        <w:r w:rsidR="000E1083">
          <w:rPr>
            <w:noProof/>
            <w:webHidden/>
          </w:rPr>
          <w:instrText xml:space="preserve"> PAGEREF _Toc532457294 \h </w:instrText>
        </w:r>
        <w:r w:rsidR="000E1083">
          <w:rPr>
            <w:noProof/>
            <w:webHidden/>
          </w:rPr>
        </w:r>
        <w:r w:rsidR="000E1083">
          <w:rPr>
            <w:noProof/>
            <w:webHidden/>
          </w:rPr>
          <w:fldChar w:fldCharType="separate"/>
        </w:r>
        <w:r w:rsidR="000E1083">
          <w:rPr>
            <w:noProof/>
            <w:webHidden/>
          </w:rPr>
          <w:t>12</w:t>
        </w:r>
        <w:r w:rsidR="000E1083">
          <w:rPr>
            <w:noProof/>
            <w:webHidden/>
          </w:rPr>
          <w:fldChar w:fldCharType="end"/>
        </w:r>
      </w:hyperlink>
    </w:p>
    <w:p w14:paraId="424DB36E" w14:textId="77777777" w:rsidR="000E1083" w:rsidRDefault="00D73F7B">
      <w:pPr>
        <w:pStyle w:val="TOC2"/>
        <w:rPr>
          <w:rFonts w:asciiTheme="minorHAnsi" w:eastAsiaTheme="minorEastAsia" w:hAnsiTheme="minorHAnsi" w:cstheme="minorBidi"/>
          <w:noProof/>
          <w:sz w:val="22"/>
          <w:szCs w:val="22"/>
        </w:rPr>
      </w:pPr>
      <w:hyperlink w:anchor="_Toc532457295" w:history="1">
        <w:r w:rsidR="000E1083" w:rsidRPr="00707C37">
          <w:rPr>
            <w:rStyle w:val="Hyperlink"/>
            <w:noProof/>
          </w:rPr>
          <w:t>3.6</w:t>
        </w:r>
        <w:r w:rsidR="000E1083">
          <w:rPr>
            <w:rFonts w:asciiTheme="minorHAnsi" w:eastAsiaTheme="minorEastAsia" w:hAnsiTheme="minorHAnsi" w:cstheme="minorBidi"/>
            <w:noProof/>
            <w:sz w:val="22"/>
            <w:szCs w:val="22"/>
          </w:rPr>
          <w:tab/>
        </w:r>
        <w:r w:rsidR="000E1083" w:rsidRPr="00707C37">
          <w:rPr>
            <w:rStyle w:val="Hyperlink"/>
            <w:noProof/>
          </w:rPr>
          <w:t>Backfitting and Issue Finality</w:t>
        </w:r>
        <w:r w:rsidR="000E1083">
          <w:rPr>
            <w:noProof/>
            <w:webHidden/>
          </w:rPr>
          <w:tab/>
        </w:r>
        <w:r w:rsidR="000E1083">
          <w:rPr>
            <w:noProof/>
            <w:webHidden/>
          </w:rPr>
          <w:fldChar w:fldCharType="begin"/>
        </w:r>
        <w:r w:rsidR="000E1083">
          <w:rPr>
            <w:noProof/>
            <w:webHidden/>
          </w:rPr>
          <w:instrText xml:space="preserve"> PAGEREF _Toc532457295 \h </w:instrText>
        </w:r>
        <w:r w:rsidR="000E1083">
          <w:rPr>
            <w:noProof/>
            <w:webHidden/>
          </w:rPr>
        </w:r>
        <w:r w:rsidR="000E1083">
          <w:rPr>
            <w:noProof/>
            <w:webHidden/>
          </w:rPr>
          <w:fldChar w:fldCharType="separate"/>
        </w:r>
        <w:r w:rsidR="000E1083">
          <w:rPr>
            <w:noProof/>
            <w:webHidden/>
          </w:rPr>
          <w:t>13</w:t>
        </w:r>
        <w:r w:rsidR="000E1083">
          <w:rPr>
            <w:noProof/>
            <w:webHidden/>
          </w:rPr>
          <w:fldChar w:fldCharType="end"/>
        </w:r>
      </w:hyperlink>
    </w:p>
    <w:p w14:paraId="39E95EE6" w14:textId="77777777" w:rsidR="000E1083" w:rsidRDefault="00D73F7B">
      <w:pPr>
        <w:pStyle w:val="TOC1"/>
        <w:rPr>
          <w:rFonts w:asciiTheme="minorHAnsi" w:eastAsiaTheme="minorEastAsia" w:hAnsiTheme="minorHAnsi" w:cstheme="minorBidi"/>
          <w:noProof/>
          <w:sz w:val="22"/>
          <w:szCs w:val="22"/>
        </w:rPr>
      </w:pPr>
      <w:hyperlink w:anchor="_Toc532457296" w:history="1">
        <w:r w:rsidR="000E1083" w:rsidRPr="00707C37">
          <w:rPr>
            <w:rStyle w:val="Hyperlink"/>
            <w:noProof/>
          </w:rPr>
          <w:t>4.</w:t>
        </w:r>
        <w:r w:rsidR="000E1083">
          <w:rPr>
            <w:rFonts w:asciiTheme="minorHAnsi" w:eastAsiaTheme="minorEastAsia" w:hAnsiTheme="minorHAnsi" w:cstheme="minorBidi"/>
            <w:noProof/>
            <w:sz w:val="22"/>
            <w:szCs w:val="22"/>
          </w:rPr>
          <w:tab/>
        </w:r>
        <w:r w:rsidR="000E1083" w:rsidRPr="00707C37">
          <w:rPr>
            <w:rStyle w:val="Hyperlink"/>
            <w:noProof/>
          </w:rPr>
          <w:t>Conclusion</w:t>
        </w:r>
        <w:r w:rsidR="000E1083">
          <w:rPr>
            <w:noProof/>
            <w:webHidden/>
          </w:rPr>
          <w:tab/>
        </w:r>
        <w:r w:rsidR="000E1083">
          <w:rPr>
            <w:noProof/>
            <w:webHidden/>
          </w:rPr>
          <w:fldChar w:fldCharType="begin"/>
        </w:r>
        <w:r w:rsidR="000E1083">
          <w:rPr>
            <w:noProof/>
            <w:webHidden/>
          </w:rPr>
          <w:instrText xml:space="preserve"> PAGEREF _Toc532457296 \h </w:instrText>
        </w:r>
        <w:r w:rsidR="000E1083">
          <w:rPr>
            <w:noProof/>
            <w:webHidden/>
          </w:rPr>
        </w:r>
        <w:r w:rsidR="000E1083">
          <w:rPr>
            <w:noProof/>
            <w:webHidden/>
          </w:rPr>
          <w:fldChar w:fldCharType="separate"/>
        </w:r>
        <w:r w:rsidR="000E1083">
          <w:rPr>
            <w:noProof/>
            <w:webHidden/>
          </w:rPr>
          <w:t>14</w:t>
        </w:r>
        <w:r w:rsidR="000E1083">
          <w:rPr>
            <w:noProof/>
            <w:webHidden/>
          </w:rPr>
          <w:fldChar w:fldCharType="end"/>
        </w:r>
      </w:hyperlink>
    </w:p>
    <w:p w14:paraId="48EA7286" w14:textId="77777777" w:rsidR="000E1083" w:rsidRDefault="00D73F7B">
      <w:pPr>
        <w:pStyle w:val="TOC2"/>
        <w:rPr>
          <w:rFonts w:asciiTheme="minorHAnsi" w:eastAsiaTheme="minorEastAsia" w:hAnsiTheme="minorHAnsi" w:cstheme="minorBidi"/>
          <w:noProof/>
          <w:sz w:val="22"/>
          <w:szCs w:val="22"/>
        </w:rPr>
      </w:pPr>
      <w:hyperlink w:anchor="_Toc532457297" w:history="1">
        <w:r w:rsidR="000E1083" w:rsidRPr="00707C37">
          <w:rPr>
            <w:rStyle w:val="Hyperlink"/>
            <w:noProof/>
          </w:rPr>
          <w:t>4.1</w:t>
        </w:r>
        <w:r w:rsidR="000E1083">
          <w:rPr>
            <w:rFonts w:asciiTheme="minorHAnsi" w:eastAsiaTheme="minorEastAsia" w:hAnsiTheme="minorHAnsi" w:cstheme="minorBidi"/>
            <w:noProof/>
            <w:sz w:val="22"/>
            <w:szCs w:val="22"/>
          </w:rPr>
          <w:tab/>
        </w:r>
        <w:r w:rsidR="000E1083" w:rsidRPr="00707C37">
          <w:rPr>
            <w:rStyle w:val="Hyperlink"/>
            <w:noProof/>
          </w:rPr>
          <w:t>Make the Order Requirements Generically Applicable</w:t>
        </w:r>
        <w:r w:rsidR="000E1083">
          <w:rPr>
            <w:noProof/>
            <w:webHidden/>
          </w:rPr>
          <w:tab/>
        </w:r>
        <w:r w:rsidR="000E1083">
          <w:rPr>
            <w:noProof/>
            <w:webHidden/>
          </w:rPr>
          <w:fldChar w:fldCharType="begin"/>
        </w:r>
        <w:r w:rsidR="000E1083">
          <w:rPr>
            <w:noProof/>
            <w:webHidden/>
          </w:rPr>
          <w:instrText xml:space="preserve"> PAGEREF _Toc532457297 \h </w:instrText>
        </w:r>
        <w:r w:rsidR="000E1083">
          <w:rPr>
            <w:noProof/>
            <w:webHidden/>
          </w:rPr>
        </w:r>
        <w:r w:rsidR="000E1083">
          <w:rPr>
            <w:noProof/>
            <w:webHidden/>
          </w:rPr>
          <w:fldChar w:fldCharType="separate"/>
        </w:r>
        <w:r w:rsidR="000E1083">
          <w:rPr>
            <w:noProof/>
            <w:webHidden/>
          </w:rPr>
          <w:t>14</w:t>
        </w:r>
        <w:r w:rsidR="000E1083">
          <w:rPr>
            <w:noProof/>
            <w:webHidden/>
          </w:rPr>
          <w:fldChar w:fldCharType="end"/>
        </w:r>
      </w:hyperlink>
    </w:p>
    <w:p w14:paraId="653857C4" w14:textId="77777777" w:rsidR="000E1083" w:rsidRDefault="00D73F7B">
      <w:pPr>
        <w:pStyle w:val="TOC2"/>
        <w:rPr>
          <w:rFonts w:asciiTheme="minorHAnsi" w:eastAsiaTheme="minorEastAsia" w:hAnsiTheme="minorHAnsi" w:cstheme="minorBidi"/>
          <w:noProof/>
          <w:sz w:val="22"/>
          <w:szCs w:val="22"/>
        </w:rPr>
      </w:pPr>
      <w:hyperlink w:anchor="_Toc532457298" w:history="1">
        <w:r w:rsidR="000E1083" w:rsidRPr="00707C37">
          <w:rPr>
            <w:rStyle w:val="Hyperlink"/>
            <w:noProof/>
          </w:rPr>
          <w:t>4.2</w:t>
        </w:r>
        <w:r w:rsidR="000E1083">
          <w:rPr>
            <w:rFonts w:asciiTheme="minorHAnsi" w:eastAsiaTheme="minorEastAsia" w:hAnsiTheme="minorHAnsi" w:cstheme="minorBidi"/>
            <w:noProof/>
            <w:sz w:val="22"/>
            <w:szCs w:val="22"/>
          </w:rPr>
          <w:tab/>
        </w:r>
        <w:r w:rsidR="000E1083" w:rsidRPr="00707C37">
          <w:rPr>
            <w:rStyle w:val="Hyperlink"/>
            <w:noProof/>
          </w:rPr>
          <w:t>Addresses a Number of Petitions for Rulemaking</w:t>
        </w:r>
        <w:r w:rsidR="000E1083">
          <w:rPr>
            <w:noProof/>
            <w:webHidden/>
          </w:rPr>
          <w:tab/>
        </w:r>
        <w:r w:rsidR="000E1083">
          <w:rPr>
            <w:noProof/>
            <w:webHidden/>
          </w:rPr>
          <w:fldChar w:fldCharType="begin"/>
        </w:r>
        <w:r w:rsidR="000E1083">
          <w:rPr>
            <w:noProof/>
            <w:webHidden/>
          </w:rPr>
          <w:instrText xml:space="preserve"> PAGEREF _Toc532457298 \h </w:instrText>
        </w:r>
        <w:r w:rsidR="000E1083">
          <w:rPr>
            <w:noProof/>
            <w:webHidden/>
          </w:rPr>
        </w:r>
        <w:r w:rsidR="000E1083">
          <w:rPr>
            <w:noProof/>
            <w:webHidden/>
          </w:rPr>
          <w:fldChar w:fldCharType="separate"/>
        </w:r>
        <w:r w:rsidR="000E1083">
          <w:rPr>
            <w:noProof/>
            <w:webHidden/>
          </w:rPr>
          <w:t>14</w:t>
        </w:r>
        <w:r w:rsidR="000E1083">
          <w:rPr>
            <w:noProof/>
            <w:webHidden/>
          </w:rPr>
          <w:fldChar w:fldCharType="end"/>
        </w:r>
      </w:hyperlink>
    </w:p>
    <w:p w14:paraId="3D8BF948" w14:textId="77777777" w:rsidR="000E1083" w:rsidRDefault="00D73F7B">
      <w:pPr>
        <w:pStyle w:val="TOC2"/>
        <w:rPr>
          <w:rFonts w:asciiTheme="minorHAnsi" w:eastAsiaTheme="minorEastAsia" w:hAnsiTheme="minorHAnsi" w:cstheme="minorBidi"/>
          <w:noProof/>
          <w:sz w:val="22"/>
          <w:szCs w:val="22"/>
        </w:rPr>
      </w:pPr>
      <w:hyperlink w:anchor="_Toc532457299" w:history="1">
        <w:r w:rsidR="000E1083" w:rsidRPr="00707C37">
          <w:rPr>
            <w:rStyle w:val="Hyperlink"/>
            <w:noProof/>
          </w:rPr>
          <w:t>4.3</w:t>
        </w:r>
        <w:r w:rsidR="000E1083">
          <w:rPr>
            <w:rFonts w:asciiTheme="minorHAnsi" w:eastAsiaTheme="minorEastAsia" w:hAnsiTheme="minorHAnsi" w:cstheme="minorBidi"/>
            <w:noProof/>
            <w:sz w:val="22"/>
            <w:szCs w:val="22"/>
          </w:rPr>
          <w:tab/>
        </w:r>
        <w:r w:rsidR="000E1083" w:rsidRPr="00707C37">
          <w:rPr>
            <w:rStyle w:val="Hyperlink"/>
            <w:noProof/>
          </w:rPr>
          <w:t>Summary</w:t>
        </w:r>
        <w:r w:rsidR="000E1083">
          <w:rPr>
            <w:noProof/>
            <w:webHidden/>
          </w:rPr>
          <w:tab/>
        </w:r>
        <w:r w:rsidR="000E1083">
          <w:rPr>
            <w:noProof/>
            <w:webHidden/>
          </w:rPr>
          <w:fldChar w:fldCharType="begin"/>
        </w:r>
        <w:r w:rsidR="000E1083">
          <w:rPr>
            <w:noProof/>
            <w:webHidden/>
          </w:rPr>
          <w:instrText xml:space="preserve"> PAGEREF _Toc532457299 \h </w:instrText>
        </w:r>
        <w:r w:rsidR="000E1083">
          <w:rPr>
            <w:noProof/>
            <w:webHidden/>
          </w:rPr>
        </w:r>
        <w:r w:rsidR="000E1083">
          <w:rPr>
            <w:noProof/>
            <w:webHidden/>
          </w:rPr>
          <w:fldChar w:fldCharType="separate"/>
        </w:r>
        <w:r w:rsidR="000E1083">
          <w:rPr>
            <w:noProof/>
            <w:webHidden/>
          </w:rPr>
          <w:t>15</w:t>
        </w:r>
        <w:r w:rsidR="000E1083">
          <w:rPr>
            <w:noProof/>
            <w:webHidden/>
          </w:rPr>
          <w:fldChar w:fldCharType="end"/>
        </w:r>
      </w:hyperlink>
    </w:p>
    <w:p w14:paraId="3DE71B65" w14:textId="77777777" w:rsidR="000E1083" w:rsidRDefault="00D73F7B">
      <w:pPr>
        <w:pStyle w:val="TOC1"/>
        <w:rPr>
          <w:rFonts w:asciiTheme="minorHAnsi" w:eastAsiaTheme="minorEastAsia" w:hAnsiTheme="minorHAnsi" w:cstheme="minorBidi"/>
          <w:noProof/>
          <w:sz w:val="22"/>
          <w:szCs w:val="22"/>
        </w:rPr>
      </w:pPr>
      <w:hyperlink w:anchor="_Toc532457300" w:history="1">
        <w:r w:rsidR="000E1083" w:rsidRPr="00707C37">
          <w:rPr>
            <w:rStyle w:val="Hyperlink"/>
            <w:noProof/>
          </w:rPr>
          <w:t>References</w:t>
        </w:r>
        <w:r w:rsidR="000E1083">
          <w:rPr>
            <w:noProof/>
            <w:webHidden/>
          </w:rPr>
          <w:tab/>
        </w:r>
        <w:r w:rsidR="000E1083">
          <w:rPr>
            <w:noProof/>
            <w:webHidden/>
          </w:rPr>
          <w:fldChar w:fldCharType="begin"/>
        </w:r>
        <w:r w:rsidR="000E1083">
          <w:rPr>
            <w:noProof/>
            <w:webHidden/>
          </w:rPr>
          <w:instrText xml:space="preserve"> PAGEREF _Toc532457300 \h </w:instrText>
        </w:r>
        <w:r w:rsidR="000E1083">
          <w:rPr>
            <w:noProof/>
            <w:webHidden/>
          </w:rPr>
        </w:r>
        <w:r w:rsidR="000E1083">
          <w:rPr>
            <w:noProof/>
            <w:webHidden/>
          </w:rPr>
          <w:fldChar w:fldCharType="separate"/>
        </w:r>
        <w:r w:rsidR="000E1083">
          <w:rPr>
            <w:noProof/>
            <w:webHidden/>
          </w:rPr>
          <w:t>16</w:t>
        </w:r>
        <w:r w:rsidR="000E1083">
          <w:rPr>
            <w:noProof/>
            <w:webHidden/>
          </w:rPr>
          <w:fldChar w:fldCharType="end"/>
        </w:r>
      </w:hyperlink>
    </w:p>
    <w:p w14:paraId="2C17325B" w14:textId="76928050" w:rsidR="0034712D" w:rsidRDefault="006043F0" w:rsidP="0062754D">
      <w:r>
        <w:fldChar w:fldCharType="end"/>
      </w:r>
    </w:p>
    <w:p w14:paraId="67D0CF90" w14:textId="77777777" w:rsidR="000C4512" w:rsidRPr="007169D0" w:rsidRDefault="000C4512">
      <w:pPr>
        <w:autoSpaceDE/>
        <w:autoSpaceDN/>
        <w:adjustRightInd/>
        <w:spacing w:after="200" w:line="276" w:lineRule="auto"/>
        <w:rPr>
          <w:rFonts w:cs="Arial"/>
          <w:bCs/>
          <w:kern w:val="32"/>
        </w:rPr>
      </w:pPr>
      <w:r w:rsidRPr="007169D0">
        <w:br w:type="page"/>
      </w:r>
    </w:p>
    <w:p w14:paraId="6E92F482" w14:textId="4B2E1FFF" w:rsidR="006B552E" w:rsidRPr="00ED1D75" w:rsidRDefault="006B552E" w:rsidP="00262D76">
      <w:pPr>
        <w:pStyle w:val="Heading1"/>
      </w:pPr>
      <w:bookmarkStart w:id="5" w:name="_Toc532457273"/>
      <w:r w:rsidRPr="00ED1D75">
        <w:t>List of Exhibits</w:t>
      </w:r>
      <w:bookmarkEnd w:id="5"/>
    </w:p>
    <w:p w14:paraId="16BB152B" w14:textId="77777777" w:rsidR="006B552E" w:rsidRPr="00197DBF" w:rsidRDefault="006B552E" w:rsidP="00461DAE">
      <w:pPr>
        <w:keepNext/>
        <w:ind w:left="1440" w:hanging="1440"/>
        <w:rPr>
          <w:rFonts w:cs="Arial"/>
          <w:sz w:val="22"/>
          <w:szCs w:val="22"/>
        </w:rPr>
      </w:pPr>
    </w:p>
    <w:p w14:paraId="3BD77B5F" w14:textId="77777777" w:rsidR="000E1083" w:rsidRDefault="006B552E" w:rsidP="00703ABD">
      <w:pPr>
        <w:pStyle w:val="TOC1"/>
        <w:tabs>
          <w:tab w:val="left" w:pos="1320"/>
        </w:tabs>
        <w:ind w:left="1350" w:hanging="1350"/>
        <w:rPr>
          <w:rFonts w:asciiTheme="minorHAnsi" w:eastAsiaTheme="minorEastAsia" w:hAnsiTheme="minorHAnsi" w:cstheme="minorBidi"/>
          <w:noProof/>
          <w:sz w:val="22"/>
          <w:szCs w:val="22"/>
        </w:rPr>
      </w:pPr>
      <w:r w:rsidRPr="00C32FC7">
        <w:rPr>
          <w:rFonts w:cs="Arial"/>
          <w:sz w:val="22"/>
          <w:szCs w:val="22"/>
        </w:rPr>
        <w:fldChar w:fldCharType="begin"/>
      </w:r>
      <w:r w:rsidRPr="00C32FC7">
        <w:rPr>
          <w:rFonts w:cs="Arial"/>
          <w:sz w:val="22"/>
          <w:szCs w:val="22"/>
        </w:rPr>
        <w:instrText xml:space="preserve"> TOC \h \z \t "Exhibit,1" </w:instrText>
      </w:r>
      <w:r w:rsidRPr="00C32FC7">
        <w:rPr>
          <w:rFonts w:cs="Arial"/>
          <w:sz w:val="22"/>
          <w:szCs w:val="22"/>
        </w:rPr>
        <w:fldChar w:fldCharType="separate"/>
      </w:r>
      <w:hyperlink w:anchor="_Toc532457263" w:history="1">
        <w:r w:rsidR="000E1083" w:rsidRPr="00894DE1">
          <w:rPr>
            <w:rStyle w:val="Hyperlink"/>
            <w:noProof/>
          </w:rPr>
          <w:t>Exhibit 3-1</w:t>
        </w:r>
        <w:r w:rsidR="000E1083">
          <w:rPr>
            <w:rFonts w:asciiTheme="minorHAnsi" w:eastAsiaTheme="minorEastAsia" w:hAnsiTheme="minorHAnsi" w:cstheme="minorBidi"/>
            <w:noProof/>
            <w:sz w:val="22"/>
            <w:szCs w:val="22"/>
          </w:rPr>
          <w:tab/>
        </w:r>
        <w:r w:rsidR="000E1083" w:rsidRPr="00894DE1">
          <w:rPr>
            <w:rStyle w:val="Hyperlink"/>
            <w:noProof/>
          </w:rPr>
          <w:t>Summary of Incremental Costs and Benefits for Option 1:  No-Action Baseline</w:t>
        </w:r>
        <w:r w:rsidR="000E1083">
          <w:rPr>
            <w:noProof/>
            <w:webHidden/>
          </w:rPr>
          <w:tab/>
        </w:r>
        <w:r w:rsidR="000E1083">
          <w:rPr>
            <w:noProof/>
            <w:webHidden/>
          </w:rPr>
          <w:fldChar w:fldCharType="begin"/>
        </w:r>
        <w:r w:rsidR="000E1083">
          <w:rPr>
            <w:noProof/>
            <w:webHidden/>
          </w:rPr>
          <w:instrText xml:space="preserve"> PAGEREF _Toc532457263 \h </w:instrText>
        </w:r>
        <w:r w:rsidR="000E1083">
          <w:rPr>
            <w:noProof/>
            <w:webHidden/>
          </w:rPr>
        </w:r>
        <w:r w:rsidR="000E1083">
          <w:rPr>
            <w:noProof/>
            <w:webHidden/>
          </w:rPr>
          <w:fldChar w:fldCharType="separate"/>
        </w:r>
        <w:r w:rsidR="000E1083">
          <w:rPr>
            <w:noProof/>
            <w:webHidden/>
          </w:rPr>
          <w:t>5</w:t>
        </w:r>
        <w:r w:rsidR="000E1083">
          <w:rPr>
            <w:noProof/>
            <w:webHidden/>
          </w:rPr>
          <w:fldChar w:fldCharType="end"/>
        </w:r>
      </w:hyperlink>
    </w:p>
    <w:p w14:paraId="54A4CE91" w14:textId="77777777" w:rsidR="000E1083" w:rsidRDefault="00D73F7B" w:rsidP="00703ABD">
      <w:pPr>
        <w:pStyle w:val="TOC1"/>
        <w:tabs>
          <w:tab w:val="left" w:pos="1320"/>
        </w:tabs>
        <w:ind w:left="1350" w:hanging="1350"/>
        <w:rPr>
          <w:rFonts w:asciiTheme="minorHAnsi" w:eastAsiaTheme="minorEastAsia" w:hAnsiTheme="minorHAnsi" w:cstheme="minorBidi"/>
          <w:noProof/>
          <w:sz w:val="22"/>
          <w:szCs w:val="22"/>
        </w:rPr>
      </w:pPr>
      <w:hyperlink w:anchor="_Toc532457264" w:history="1">
        <w:r w:rsidR="000E1083" w:rsidRPr="00894DE1">
          <w:rPr>
            <w:rStyle w:val="Hyperlink"/>
            <w:noProof/>
          </w:rPr>
          <w:t>Exhibit 3-2</w:t>
        </w:r>
        <w:r w:rsidR="000E1083">
          <w:rPr>
            <w:rFonts w:asciiTheme="minorHAnsi" w:eastAsiaTheme="minorEastAsia" w:hAnsiTheme="minorHAnsi" w:cstheme="minorBidi"/>
            <w:noProof/>
            <w:sz w:val="22"/>
            <w:szCs w:val="22"/>
          </w:rPr>
          <w:tab/>
        </w:r>
        <w:r w:rsidR="000E1083" w:rsidRPr="00894DE1">
          <w:rPr>
            <w:rStyle w:val="Hyperlink"/>
            <w:noProof/>
          </w:rPr>
          <w:t>Summary of Total Costs for Undertaking Rulemaking to Make the Orders and Industry Initiatives Generically Applicable</w:t>
        </w:r>
        <w:r w:rsidR="000E1083">
          <w:rPr>
            <w:noProof/>
            <w:webHidden/>
          </w:rPr>
          <w:tab/>
        </w:r>
        <w:r w:rsidR="000E1083">
          <w:rPr>
            <w:noProof/>
            <w:webHidden/>
          </w:rPr>
          <w:fldChar w:fldCharType="begin"/>
        </w:r>
        <w:r w:rsidR="000E1083">
          <w:rPr>
            <w:noProof/>
            <w:webHidden/>
          </w:rPr>
          <w:instrText xml:space="preserve"> PAGEREF _Toc532457264 \h </w:instrText>
        </w:r>
        <w:r w:rsidR="000E1083">
          <w:rPr>
            <w:noProof/>
            <w:webHidden/>
          </w:rPr>
        </w:r>
        <w:r w:rsidR="000E1083">
          <w:rPr>
            <w:noProof/>
            <w:webHidden/>
          </w:rPr>
          <w:fldChar w:fldCharType="separate"/>
        </w:r>
        <w:r w:rsidR="000E1083">
          <w:rPr>
            <w:noProof/>
            <w:webHidden/>
          </w:rPr>
          <w:t>6</w:t>
        </w:r>
        <w:r w:rsidR="000E1083">
          <w:rPr>
            <w:noProof/>
            <w:webHidden/>
          </w:rPr>
          <w:fldChar w:fldCharType="end"/>
        </w:r>
      </w:hyperlink>
    </w:p>
    <w:p w14:paraId="51956F76" w14:textId="77777777" w:rsidR="000E1083" w:rsidRDefault="00D73F7B" w:rsidP="00703ABD">
      <w:pPr>
        <w:pStyle w:val="TOC1"/>
        <w:tabs>
          <w:tab w:val="left" w:pos="1320"/>
        </w:tabs>
        <w:ind w:left="1350" w:hanging="1350"/>
        <w:rPr>
          <w:rFonts w:asciiTheme="minorHAnsi" w:eastAsiaTheme="minorEastAsia" w:hAnsiTheme="minorHAnsi" w:cstheme="minorBidi"/>
          <w:noProof/>
          <w:sz w:val="22"/>
          <w:szCs w:val="22"/>
        </w:rPr>
      </w:pPr>
      <w:hyperlink w:anchor="_Toc532457265" w:history="1">
        <w:r w:rsidR="000E1083" w:rsidRPr="00894DE1">
          <w:rPr>
            <w:rStyle w:val="Hyperlink"/>
            <w:noProof/>
          </w:rPr>
          <w:t>Exhibit 3-3</w:t>
        </w:r>
        <w:r w:rsidR="000E1083">
          <w:rPr>
            <w:rFonts w:asciiTheme="minorHAnsi" w:eastAsiaTheme="minorEastAsia" w:hAnsiTheme="minorHAnsi" w:cstheme="minorBidi"/>
            <w:noProof/>
            <w:sz w:val="22"/>
            <w:szCs w:val="22"/>
          </w:rPr>
          <w:tab/>
        </w:r>
        <w:r w:rsidR="000E1083" w:rsidRPr="00894DE1">
          <w:rPr>
            <w:rStyle w:val="Hyperlink"/>
            <w:noProof/>
          </w:rPr>
          <w:t>Summary of Incremental Costs and Benefits for the Rulemaking Option</w:t>
        </w:r>
        <w:r w:rsidR="000E1083">
          <w:rPr>
            <w:noProof/>
            <w:webHidden/>
          </w:rPr>
          <w:tab/>
        </w:r>
        <w:r w:rsidR="000E1083">
          <w:rPr>
            <w:noProof/>
            <w:webHidden/>
          </w:rPr>
          <w:fldChar w:fldCharType="begin"/>
        </w:r>
        <w:r w:rsidR="000E1083">
          <w:rPr>
            <w:noProof/>
            <w:webHidden/>
          </w:rPr>
          <w:instrText xml:space="preserve"> PAGEREF _Toc532457265 \h </w:instrText>
        </w:r>
        <w:r w:rsidR="000E1083">
          <w:rPr>
            <w:noProof/>
            <w:webHidden/>
          </w:rPr>
        </w:r>
        <w:r w:rsidR="000E1083">
          <w:rPr>
            <w:noProof/>
            <w:webHidden/>
          </w:rPr>
          <w:fldChar w:fldCharType="separate"/>
        </w:r>
        <w:r w:rsidR="000E1083">
          <w:rPr>
            <w:noProof/>
            <w:webHidden/>
          </w:rPr>
          <w:t>7</w:t>
        </w:r>
        <w:r w:rsidR="000E1083">
          <w:rPr>
            <w:noProof/>
            <w:webHidden/>
          </w:rPr>
          <w:fldChar w:fldCharType="end"/>
        </w:r>
      </w:hyperlink>
    </w:p>
    <w:p w14:paraId="6CE1D316" w14:textId="77777777" w:rsidR="000E1083" w:rsidRDefault="00D73F7B" w:rsidP="00703ABD">
      <w:pPr>
        <w:pStyle w:val="TOC1"/>
        <w:tabs>
          <w:tab w:val="left" w:pos="1320"/>
        </w:tabs>
        <w:ind w:left="1350" w:hanging="1350"/>
        <w:rPr>
          <w:rFonts w:asciiTheme="minorHAnsi" w:eastAsiaTheme="minorEastAsia" w:hAnsiTheme="minorHAnsi" w:cstheme="minorBidi"/>
          <w:noProof/>
          <w:sz w:val="22"/>
          <w:szCs w:val="22"/>
        </w:rPr>
      </w:pPr>
      <w:hyperlink w:anchor="_Toc532457266" w:history="1">
        <w:r w:rsidR="000E1083" w:rsidRPr="00894DE1">
          <w:rPr>
            <w:rStyle w:val="Hyperlink"/>
            <w:noProof/>
          </w:rPr>
          <w:t>Exhibit 3-4</w:t>
        </w:r>
        <w:r w:rsidR="000E1083">
          <w:rPr>
            <w:rFonts w:asciiTheme="minorHAnsi" w:eastAsiaTheme="minorEastAsia" w:hAnsiTheme="minorHAnsi" w:cstheme="minorBidi"/>
            <w:noProof/>
            <w:sz w:val="22"/>
            <w:szCs w:val="22"/>
          </w:rPr>
          <w:tab/>
        </w:r>
        <w:r w:rsidR="000E1083" w:rsidRPr="00894DE1">
          <w:rPr>
            <w:rStyle w:val="Hyperlink"/>
            <w:noProof/>
          </w:rPr>
          <w:t>Industry Implementation Costs</w:t>
        </w:r>
        <w:r w:rsidR="000E1083">
          <w:rPr>
            <w:noProof/>
            <w:webHidden/>
          </w:rPr>
          <w:tab/>
        </w:r>
        <w:r w:rsidR="000E1083">
          <w:rPr>
            <w:noProof/>
            <w:webHidden/>
          </w:rPr>
          <w:fldChar w:fldCharType="begin"/>
        </w:r>
        <w:r w:rsidR="000E1083">
          <w:rPr>
            <w:noProof/>
            <w:webHidden/>
          </w:rPr>
          <w:instrText xml:space="preserve"> PAGEREF _Toc532457266 \h </w:instrText>
        </w:r>
        <w:r w:rsidR="000E1083">
          <w:rPr>
            <w:noProof/>
            <w:webHidden/>
          </w:rPr>
        </w:r>
        <w:r w:rsidR="000E1083">
          <w:rPr>
            <w:noProof/>
            <w:webHidden/>
          </w:rPr>
          <w:fldChar w:fldCharType="separate"/>
        </w:r>
        <w:r w:rsidR="000E1083">
          <w:rPr>
            <w:noProof/>
            <w:webHidden/>
          </w:rPr>
          <w:t>11</w:t>
        </w:r>
        <w:r w:rsidR="000E1083">
          <w:rPr>
            <w:noProof/>
            <w:webHidden/>
          </w:rPr>
          <w:fldChar w:fldCharType="end"/>
        </w:r>
      </w:hyperlink>
    </w:p>
    <w:p w14:paraId="2E6BEF4D" w14:textId="77777777" w:rsidR="000E1083" w:rsidRDefault="00D73F7B" w:rsidP="00703ABD">
      <w:pPr>
        <w:pStyle w:val="TOC1"/>
        <w:tabs>
          <w:tab w:val="left" w:pos="1320"/>
        </w:tabs>
        <w:ind w:left="1350" w:hanging="1350"/>
        <w:rPr>
          <w:rFonts w:asciiTheme="minorHAnsi" w:eastAsiaTheme="minorEastAsia" w:hAnsiTheme="minorHAnsi" w:cstheme="minorBidi"/>
          <w:noProof/>
          <w:sz w:val="22"/>
          <w:szCs w:val="22"/>
        </w:rPr>
      </w:pPr>
      <w:hyperlink w:anchor="_Toc532457267" w:history="1">
        <w:r w:rsidR="000E1083" w:rsidRPr="00894DE1">
          <w:rPr>
            <w:rStyle w:val="Hyperlink"/>
            <w:noProof/>
          </w:rPr>
          <w:t>Exhibit 3-5</w:t>
        </w:r>
        <w:r w:rsidR="000E1083">
          <w:rPr>
            <w:rFonts w:asciiTheme="minorHAnsi" w:eastAsiaTheme="minorEastAsia" w:hAnsiTheme="minorHAnsi" w:cstheme="minorBidi"/>
            <w:noProof/>
            <w:sz w:val="22"/>
            <w:szCs w:val="22"/>
          </w:rPr>
          <w:tab/>
        </w:r>
        <w:r w:rsidR="000E1083" w:rsidRPr="00894DE1">
          <w:rPr>
            <w:rStyle w:val="Hyperlink"/>
            <w:noProof/>
          </w:rPr>
          <w:t>Key Variables Whose Uncertainty Drives the Largest Impact on Costs</w:t>
        </w:r>
        <w:r w:rsidR="000E1083">
          <w:rPr>
            <w:noProof/>
            <w:webHidden/>
          </w:rPr>
          <w:tab/>
        </w:r>
        <w:r w:rsidR="000E1083">
          <w:rPr>
            <w:noProof/>
            <w:webHidden/>
          </w:rPr>
          <w:fldChar w:fldCharType="begin"/>
        </w:r>
        <w:r w:rsidR="000E1083">
          <w:rPr>
            <w:noProof/>
            <w:webHidden/>
          </w:rPr>
          <w:instrText xml:space="preserve"> PAGEREF _Toc532457267 \h </w:instrText>
        </w:r>
        <w:r w:rsidR="000E1083">
          <w:rPr>
            <w:noProof/>
            <w:webHidden/>
          </w:rPr>
        </w:r>
        <w:r w:rsidR="000E1083">
          <w:rPr>
            <w:noProof/>
            <w:webHidden/>
          </w:rPr>
          <w:fldChar w:fldCharType="separate"/>
        </w:r>
        <w:r w:rsidR="000E1083">
          <w:rPr>
            <w:noProof/>
            <w:webHidden/>
          </w:rPr>
          <w:t>12</w:t>
        </w:r>
        <w:r w:rsidR="000E1083">
          <w:rPr>
            <w:noProof/>
            <w:webHidden/>
          </w:rPr>
          <w:fldChar w:fldCharType="end"/>
        </w:r>
      </w:hyperlink>
    </w:p>
    <w:p w14:paraId="7DC81DA2" w14:textId="77777777" w:rsidR="000E1083" w:rsidRDefault="00D73F7B" w:rsidP="00703ABD">
      <w:pPr>
        <w:pStyle w:val="TOC1"/>
        <w:tabs>
          <w:tab w:val="left" w:pos="1320"/>
        </w:tabs>
        <w:ind w:left="1350" w:hanging="1350"/>
        <w:rPr>
          <w:rFonts w:asciiTheme="minorHAnsi" w:eastAsiaTheme="minorEastAsia" w:hAnsiTheme="minorHAnsi" w:cstheme="minorBidi"/>
          <w:noProof/>
          <w:sz w:val="22"/>
          <w:szCs w:val="22"/>
        </w:rPr>
      </w:pPr>
      <w:hyperlink w:anchor="_Toc532457268" w:history="1">
        <w:r w:rsidR="000E1083" w:rsidRPr="00894DE1">
          <w:rPr>
            <w:rStyle w:val="Hyperlink"/>
            <w:noProof/>
          </w:rPr>
          <w:t>Exhibit 3-6</w:t>
        </w:r>
        <w:r w:rsidR="000E1083">
          <w:rPr>
            <w:rFonts w:asciiTheme="minorHAnsi" w:eastAsiaTheme="minorEastAsia" w:hAnsiTheme="minorHAnsi" w:cstheme="minorBidi"/>
            <w:noProof/>
            <w:sz w:val="22"/>
            <w:szCs w:val="22"/>
          </w:rPr>
          <w:tab/>
        </w:r>
        <w:r w:rsidR="000E1083" w:rsidRPr="00894DE1">
          <w:rPr>
            <w:rStyle w:val="Hyperlink"/>
            <w:noProof/>
          </w:rPr>
          <w:t>Disaggregated Requirements</w:t>
        </w:r>
        <w:r w:rsidR="000E1083">
          <w:rPr>
            <w:noProof/>
            <w:webHidden/>
          </w:rPr>
          <w:tab/>
        </w:r>
        <w:r w:rsidR="000E1083">
          <w:rPr>
            <w:noProof/>
            <w:webHidden/>
          </w:rPr>
          <w:fldChar w:fldCharType="begin"/>
        </w:r>
        <w:r w:rsidR="000E1083">
          <w:rPr>
            <w:noProof/>
            <w:webHidden/>
          </w:rPr>
          <w:instrText xml:space="preserve"> PAGEREF _Toc532457268 \h </w:instrText>
        </w:r>
        <w:r w:rsidR="000E1083">
          <w:rPr>
            <w:noProof/>
            <w:webHidden/>
          </w:rPr>
        </w:r>
        <w:r w:rsidR="000E1083">
          <w:rPr>
            <w:noProof/>
            <w:webHidden/>
          </w:rPr>
          <w:fldChar w:fldCharType="separate"/>
        </w:r>
        <w:r w:rsidR="000E1083">
          <w:rPr>
            <w:noProof/>
            <w:webHidden/>
          </w:rPr>
          <w:t>13</w:t>
        </w:r>
        <w:r w:rsidR="000E1083">
          <w:rPr>
            <w:noProof/>
            <w:webHidden/>
          </w:rPr>
          <w:fldChar w:fldCharType="end"/>
        </w:r>
      </w:hyperlink>
    </w:p>
    <w:p w14:paraId="0125C6B1" w14:textId="77777777" w:rsidR="000E1083" w:rsidRDefault="00D73F7B" w:rsidP="00703ABD">
      <w:pPr>
        <w:pStyle w:val="TOC1"/>
        <w:tabs>
          <w:tab w:val="left" w:pos="1320"/>
        </w:tabs>
        <w:ind w:left="1350" w:hanging="1350"/>
        <w:rPr>
          <w:rFonts w:asciiTheme="minorHAnsi" w:eastAsiaTheme="minorEastAsia" w:hAnsiTheme="minorHAnsi" w:cstheme="minorBidi"/>
          <w:noProof/>
          <w:sz w:val="22"/>
          <w:szCs w:val="22"/>
        </w:rPr>
      </w:pPr>
      <w:hyperlink w:anchor="_Toc532457269" w:history="1">
        <w:r w:rsidR="000E1083" w:rsidRPr="00894DE1">
          <w:rPr>
            <w:rStyle w:val="Hyperlink"/>
            <w:noProof/>
          </w:rPr>
          <w:t>Exhibit 3-7</w:t>
        </w:r>
        <w:r w:rsidR="000E1083">
          <w:rPr>
            <w:rFonts w:asciiTheme="minorHAnsi" w:eastAsiaTheme="minorEastAsia" w:hAnsiTheme="minorHAnsi" w:cstheme="minorBidi"/>
            <w:noProof/>
            <w:sz w:val="22"/>
            <w:szCs w:val="22"/>
          </w:rPr>
          <w:tab/>
        </w:r>
        <w:r w:rsidR="000E1083" w:rsidRPr="00894DE1">
          <w:rPr>
            <w:rStyle w:val="Hyperlink"/>
            <w:noProof/>
          </w:rPr>
          <w:t>Disaggregated Cost-Benefit of the Final Rule Regulatory Objectives</w:t>
        </w:r>
        <w:r w:rsidR="000E1083">
          <w:rPr>
            <w:noProof/>
            <w:webHidden/>
          </w:rPr>
          <w:tab/>
        </w:r>
        <w:r w:rsidR="000E1083">
          <w:rPr>
            <w:noProof/>
            <w:webHidden/>
          </w:rPr>
          <w:fldChar w:fldCharType="begin"/>
        </w:r>
        <w:r w:rsidR="000E1083">
          <w:rPr>
            <w:noProof/>
            <w:webHidden/>
          </w:rPr>
          <w:instrText xml:space="preserve"> PAGEREF _Toc532457269 \h </w:instrText>
        </w:r>
        <w:r w:rsidR="000E1083">
          <w:rPr>
            <w:noProof/>
            <w:webHidden/>
          </w:rPr>
        </w:r>
        <w:r w:rsidR="000E1083">
          <w:rPr>
            <w:noProof/>
            <w:webHidden/>
          </w:rPr>
          <w:fldChar w:fldCharType="separate"/>
        </w:r>
        <w:r w:rsidR="000E1083">
          <w:rPr>
            <w:noProof/>
            <w:webHidden/>
          </w:rPr>
          <w:t>13</w:t>
        </w:r>
        <w:r w:rsidR="000E1083">
          <w:rPr>
            <w:noProof/>
            <w:webHidden/>
          </w:rPr>
          <w:fldChar w:fldCharType="end"/>
        </w:r>
      </w:hyperlink>
    </w:p>
    <w:p w14:paraId="21442B13" w14:textId="77777777" w:rsidR="000E1083" w:rsidRDefault="00D73F7B" w:rsidP="00703ABD">
      <w:pPr>
        <w:pStyle w:val="TOC1"/>
        <w:tabs>
          <w:tab w:val="left" w:pos="1320"/>
        </w:tabs>
        <w:ind w:left="1350" w:hanging="1350"/>
        <w:rPr>
          <w:rFonts w:asciiTheme="minorHAnsi" w:eastAsiaTheme="minorEastAsia" w:hAnsiTheme="minorHAnsi" w:cstheme="minorBidi"/>
          <w:noProof/>
          <w:sz w:val="22"/>
          <w:szCs w:val="22"/>
        </w:rPr>
      </w:pPr>
      <w:hyperlink w:anchor="_Toc532457270" w:history="1">
        <w:r w:rsidR="000E1083" w:rsidRPr="00894DE1">
          <w:rPr>
            <w:rStyle w:val="Hyperlink"/>
            <w:noProof/>
          </w:rPr>
          <w:t>Exhibit A-1</w:t>
        </w:r>
        <w:r w:rsidR="000E1083">
          <w:rPr>
            <w:rFonts w:asciiTheme="minorHAnsi" w:eastAsiaTheme="minorEastAsia" w:hAnsiTheme="minorHAnsi" w:cstheme="minorBidi"/>
            <w:noProof/>
            <w:sz w:val="22"/>
            <w:szCs w:val="22"/>
          </w:rPr>
          <w:tab/>
        </w:r>
        <w:r w:rsidR="000E1083" w:rsidRPr="00894DE1">
          <w:rPr>
            <w:rStyle w:val="Hyperlink"/>
            <w:noProof/>
          </w:rPr>
          <w:t>Variables Used in the Uncertainty Analysis</w:t>
        </w:r>
        <w:r w:rsidR="000E1083">
          <w:rPr>
            <w:noProof/>
            <w:webHidden/>
          </w:rPr>
          <w:tab/>
        </w:r>
        <w:r w:rsidR="000E1083">
          <w:rPr>
            <w:noProof/>
            <w:webHidden/>
          </w:rPr>
          <w:fldChar w:fldCharType="begin"/>
        </w:r>
        <w:r w:rsidR="000E1083">
          <w:rPr>
            <w:noProof/>
            <w:webHidden/>
          </w:rPr>
          <w:instrText xml:space="preserve"> PAGEREF _Toc532457270 \h </w:instrText>
        </w:r>
        <w:r w:rsidR="000E1083">
          <w:rPr>
            <w:noProof/>
            <w:webHidden/>
          </w:rPr>
        </w:r>
        <w:r w:rsidR="000E1083">
          <w:rPr>
            <w:noProof/>
            <w:webHidden/>
          </w:rPr>
          <w:fldChar w:fldCharType="separate"/>
        </w:r>
        <w:r w:rsidR="000E1083">
          <w:rPr>
            <w:noProof/>
            <w:webHidden/>
          </w:rPr>
          <w:t>18</w:t>
        </w:r>
        <w:r w:rsidR="000E1083">
          <w:rPr>
            <w:noProof/>
            <w:webHidden/>
          </w:rPr>
          <w:fldChar w:fldCharType="end"/>
        </w:r>
      </w:hyperlink>
    </w:p>
    <w:p w14:paraId="0FF83E64" w14:textId="4474B9CE" w:rsidR="00262D76" w:rsidRPr="00C32FC7" w:rsidRDefault="006B552E" w:rsidP="00703ABD">
      <w:pPr>
        <w:ind w:left="1350" w:hanging="1350"/>
        <w:rPr>
          <w:rFonts w:cs="Arial"/>
          <w:sz w:val="22"/>
          <w:szCs w:val="22"/>
        </w:rPr>
      </w:pPr>
      <w:r w:rsidRPr="00C32FC7">
        <w:rPr>
          <w:rFonts w:cs="Arial"/>
          <w:sz w:val="22"/>
          <w:szCs w:val="22"/>
        </w:rPr>
        <w:fldChar w:fldCharType="end"/>
      </w:r>
    </w:p>
    <w:p w14:paraId="7F76D49F" w14:textId="5E95D6A4" w:rsidR="00262D76" w:rsidRDefault="00262D76">
      <w:pPr>
        <w:autoSpaceDE/>
        <w:autoSpaceDN/>
        <w:adjustRightInd/>
        <w:spacing w:after="200" w:line="276" w:lineRule="auto"/>
      </w:pPr>
      <w:r>
        <w:br w:type="page"/>
      </w:r>
    </w:p>
    <w:p w14:paraId="1FC251D5" w14:textId="465BA6E6" w:rsidR="00B42F43" w:rsidRDefault="00CF116E" w:rsidP="00D82F33">
      <w:pPr>
        <w:pStyle w:val="Heading1"/>
      </w:pPr>
      <w:bookmarkStart w:id="6" w:name="_Toc199932392"/>
      <w:bookmarkStart w:id="7" w:name="_Toc199932467"/>
      <w:bookmarkStart w:id="8" w:name="_Toc199932636"/>
      <w:bookmarkStart w:id="9" w:name="_Toc371107974"/>
      <w:bookmarkStart w:id="10" w:name="_Toc381266967"/>
      <w:bookmarkStart w:id="11" w:name="_Toc381267313"/>
      <w:bookmarkStart w:id="12" w:name="_Toc404777843"/>
      <w:bookmarkStart w:id="13" w:name="_Toc460911614"/>
      <w:bookmarkStart w:id="14" w:name="_Toc460911656"/>
      <w:bookmarkStart w:id="15" w:name="_Toc460911698"/>
      <w:bookmarkStart w:id="16" w:name="_Toc460911740"/>
      <w:bookmarkStart w:id="17" w:name="_Toc460911782"/>
      <w:bookmarkStart w:id="18" w:name="_Toc460932032"/>
      <w:bookmarkStart w:id="19" w:name="_Toc460932078"/>
      <w:bookmarkStart w:id="20" w:name="_Toc460932124"/>
      <w:bookmarkStart w:id="21" w:name="_Toc460932170"/>
      <w:bookmarkStart w:id="22" w:name="_Toc532457274"/>
      <w:r w:rsidRPr="00846E8A">
        <w:t>Abbreviations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FB7DF4">
        <w:t xml:space="preserve"> and Acronyms</w:t>
      </w:r>
      <w:bookmarkEnd w:id="22"/>
    </w:p>
    <w:p w14:paraId="4D0703D3" w14:textId="77777777" w:rsidR="00365EEC" w:rsidRPr="00FC1F64" w:rsidRDefault="00365EEC" w:rsidP="00CF6513">
      <w:pPr>
        <w:ind w:left="2160" w:hanging="2160"/>
        <w:rPr>
          <w:rFonts w:cs="Arial"/>
          <w:sz w:val="22"/>
          <w:szCs w:val="22"/>
        </w:rPr>
      </w:pPr>
      <w:r w:rsidRPr="00616064">
        <w:rPr>
          <w:rFonts w:cs="Arial"/>
          <w:sz w:val="22"/>
          <w:szCs w:val="22"/>
        </w:rPr>
        <w:t>ADAMS</w:t>
      </w:r>
      <w:r w:rsidRPr="00616064">
        <w:rPr>
          <w:rFonts w:cs="Arial"/>
          <w:sz w:val="22"/>
          <w:szCs w:val="22"/>
        </w:rPr>
        <w:tab/>
        <w:t>Agencywide Documents Access and Management System</w:t>
      </w:r>
    </w:p>
    <w:p w14:paraId="09C66281" w14:textId="5898DB36" w:rsidR="00D76C4C" w:rsidRPr="00612C93" w:rsidRDefault="00D76C4C" w:rsidP="00CF6513">
      <w:pPr>
        <w:ind w:left="2160" w:hanging="2160"/>
        <w:rPr>
          <w:rFonts w:cs="Arial"/>
          <w:sz w:val="22"/>
          <w:szCs w:val="22"/>
        </w:rPr>
      </w:pPr>
      <w:r w:rsidRPr="00F167F1">
        <w:rPr>
          <w:rFonts w:cs="Arial"/>
          <w:sz w:val="22"/>
          <w:szCs w:val="22"/>
        </w:rPr>
        <w:t>AP1000</w:t>
      </w:r>
      <w:r w:rsidRPr="00F167F1">
        <w:rPr>
          <w:rFonts w:cs="Arial"/>
          <w:sz w:val="22"/>
          <w:szCs w:val="22"/>
        </w:rPr>
        <w:tab/>
      </w:r>
      <w:r w:rsidR="00C82D25">
        <w:rPr>
          <w:rFonts w:cs="Arial"/>
          <w:sz w:val="22"/>
          <w:szCs w:val="22"/>
        </w:rPr>
        <w:t>A</w:t>
      </w:r>
      <w:r w:rsidR="00CF6513" w:rsidRPr="00612C93">
        <w:rPr>
          <w:rFonts w:cs="Arial"/>
          <w:sz w:val="22"/>
          <w:szCs w:val="22"/>
        </w:rPr>
        <w:t>dvance</w:t>
      </w:r>
      <w:r w:rsidRPr="00612C93">
        <w:rPr>
          <w:rFonts w:cs="Arial"/>
          <w:sz w:val="22"/>
          <w:szCs w:val="22"/>
        </w:rPr>
        <w:t xml:space="preserve">d </w:t>
      </w:r>
      <w:r w:rsidR="00C82D25">
        <w:rPr>
          <w:rFonts w:cs="Arial"/>
          <w:sz w:val="22"/>
          <w:szCs w:val="22"/>
        </w:rPr>
        <w:t>P</w:t>
      </w:r>
      <w:r w:rsidR="00612C93">
        <w:rPr>
          <w:rFonts w:cs="Arial"/>
          <w:sz w:val="22"/>
          <w:szCs w:val="22"/>
        </w:rPr>
        <w:t>assive</w:t>
      </w:r>
      <w:r w:rsidRPr="00612C93">
        <w:rPr>
          <w:rFonts w:cs="Arial"/>
          <w:sz w:val="22"/>
          <w:szCs w:val="22"/>
        </w:rPr>
        <w:t xml:space="preserve"> 1000 reactor</w:t>
      </w:r>
    </w:p>
    <w:p w14:paraId="62A6BAFA" w14:textId="77777777" w:rsidR="00D35BFB" w:rsidRPr="00227563" w:rsidRDefault="00D35BFB" w:rsidP="00CF6513">
      <w:pPr>
        <w:ind w:left="2160" w:hanging="2160"/>
        <w:rPr>
          <w:rFonts w:cs="Arial"/>
          <w:sz w:val="22"/>
          <w:szCs w:val="22"/>
        </w:rPr>
      </w:pPr>
    </w:p>
    <w:p w14:paraId="66CBBA44" w14:textId="6A78651C" w:rsidR="00BF0AD3" w:rsidRPr="00F167F1" w:rsidRDefault="00BF0AD3" w:rsidP="00CF6513">
      <w:pPr>
        <w:ind w:left="2160" w:hanging="2160"/>
        <w:rPr>
          <w:rFonts w:cs="Arial"/>
          <w:i/>
          <w:sz w:val="22"/>
          <w:szCs w:val="22"/>
        </w:rPr>
      </w:pPr>
      <w:r w:rsidRPr="00F167F1">
        <w:rPr>
          <w:rFonts w:cs="Arial"/>
          <w:sz w:val="22"/>
          <w:szCs w:val="22"/>
        </w:rPr>
        <w:t>CFR</w:t>
      </w:r>
      <w:r w:rsidRPr="00F167F1">
        <w:rPr>
          <w:rFonts w:cs="Arial"/>
          <w:sz w:val="22"/>
          <w:szCs w:val="22"/>
        </w:rPr>
        <w:tab/>
      </w:r>
      <w:r w:rsidRPr="00F167F1">
        <w:rPr>
          <w:rFonts w:cs="Arial"/>
          <w:i/>
          <w:sz w:val="22"/>
          <w:szCs w:val="22"/>
        </w:rPr>
        <w:t>Code of Federal Regulations</w:t>
      </w:r>
    </w:p>
    <w:p w14:paraId="30B5B9D7" w14:textId="4B6CA7B5" w:rsidR="00365EEC" w:rsidRDefault="00365EEC" w:rsidP="00CF6513">
      <w:pPr>
        <w:ind w:left="2160" w:hanging="2160"/>
        <w:rPr>
          <w:rFonts w:cs="Arial"/>
          <w:sz w:val="22"/>
          <w:szCs w:val="22"/>
        </w:rPr>
      </w:pPr>
      <w:r w:rsidRPr="00F167F1">
        <w:rPr>
          <w:rFonts w:cs="Arial"/>
          <w:sz w:val="22"/>
          <w:szCs w:val="22"/>
        </w:rPr>
        <w:t>COL</w:t>
      </w:r>
      <w:r w:rsidRPr="00F167F1">
        <w:rPr>
          <w:rFonts w:cs="Arial"/>
          <w:sz w:val="22"/>
          <w:szCs w:val="22"/>
        </w:rPr>
        <w:tab/>
      </w:r>
      <w:r w:rsidR="00253D25" w:rsidRPr="00F167F1">
        <w:rPr>
          <w:rFonts w:cs="Arial"/>
          <w:sz w:val="22"/>
          <w:szCs w:val="22"/>
        </w:rPr>
        <w:t>combined license</w:t>
      </w:r>
    </w:p>
    <w:p w14:paraId="4BD12227" w14:textId="77777777" w:rsidR="00D35BFB" w:rsidRPr="00F167F1" w:rsidRDefault="00D35BFB" w:rsidP="00CF6513">
      <w:pPr>
        <w:ind w:left="2160" w:hanging="2160"/>
        <w:rPr>
          <w:rFonts w:cs="Arial"/>
          <w:sz w:val="22"/>
          <w:szCs w:val="22"/>
        </w:rPr>
      </w:pPr>
    </w:p>
    <w:p w14:paraId="67E90F1A" w14:textId="75150CD5" w:rsidR="00980C07" w:rsidRPr="00F167F1" w:rsidRDefault="00980C07" w:rsidP="00CF6513">
      <w:pPr>
        <w:ind w:left="2160" w:hanging="2160"/>
        <w:rPr>
          <w:rFonts w:cs="Arial"/>
          <w:sz w:val="22"/>
          <w:szCs w:val="22"/>
        </w:rPr>
      </w:pPr>
      <w:r w:rsidRPr="00F167F1">
        <w:rPr>
          <w:rFonts w:cs="Arial"/>
          <w:sz w:val="22"/>
          <w:szCs w:val="22"/>
        </w:rPr>
        <w:t>EDMG</w:t>
      </w:r>
      <w:r w:rsidRPr="00F167F1">
        <w:rPr>
          <w:rFonts w:cs="Arial"/>
          <w:sz w:val="22"/>
          <w:szCs w:val="22"/>
        </w:rPr>
        <w:tab/>
      </w:r>
      <w:r w:rsidR="00253D25" w:rsidRPr="00F167F1">
        <w:rPr>
          <w:rFonts w:cs="Arial"/>
          <w:sz w:val="22"/>
          <w:szCs w:val="22"/>
        </w:rPr>
        <w:t>extensive damage mitigation guideline</w:t>
      </w:r>
    </w:p>
    <w:p w14:paraId="04D34068" w14:textId="77777777" w:rsidR="00D35BFB" w:rsidRPr="00F167F1" w:rsidRDefault="00D35BFB" w:rsidP="00CF6513">
      <w:pPr>
        <w:ind w:left="2160" w:hanging="2160"/>
        <w:rPr>
          <w:rFonts w:cs="Arial"/>
          <w:sz w:val="22"/>
          <w:szCs w:val="22"/>
        </w:rPr>
      </w:pPr>
    </w:p>
    <w:p w14:paraId="7746467B" w14:textId="4DE790A3" w:rsidR="00365EEC" w:rsidRDefault="00365EEC" w:rsidP="00CF6513">
      <w:pPr>
        <w:ind w:left="2160" w:hanging="2160"/>
        <w:rPr>
          <w:rFonts w:cs="Arial"/>
          <w:sz w:val="22"/>
          <w:szCs w:val="22"/>
        </w:rPr>
      </w:pPr>
      <w:r w:rsidRPr="00F167F1">
        <w:rPr>
          <w:rFonts w:cs="Arial"/>
          <w:sz w:val="22"/>
          <w:szCs w:val="22"/>
        </w:rPr>
        <w:t>FLEX</w:t>
      </w:r>
      <w:r w:rsidRPr="00F167F1">
        <w:rPr>
          <w:rFonts w:cs="Arial"/>
          <w:sz w:val="22"/>
          <w:szCs w:val="22"/>
        </w:rPr>
        <w:tab/>
      </w:r>
      <w:r w:rsidR="00253D25" w:rsidRPr="00F167F1">
        <w:rPr>
          <w:rFonts w:cs="Arial"/>
          <w:sz w:val="22"/>
          <w:szCs w:val="22"/>
        </w:rPr>
        <w:t>diverse and flexible coping strategies</w:t>
      </w:r>
    </w:p>
    <w:p w14:paraId="4838EE8B" w14:textId="46B21079" w:rsidR="001A7723" w:rsidRPr="001A7723" w:rsidRDefault="001A7723" w:rsidP="00CF6513">
      <w:pPr>
        <w:ind w:left="2160" w:hanging="2160"/>
        <w:rPr>
          <w:rFonts w:cs="Arial"/>
          <w:i/>
          <w:sz w:val="22"/>
          <w:szCs w:val="22"/>
        </w:rPr>
      </w:pPr>
      <w:r>
        <w:rPr>
          <w:rFonts w:cs="Arial"/>
          <w:sz w:val="22"/>
          <w:szCs w:val="22"/>
        </w:rPr>
        <w:t>FR</w:t>
      </w:r>
      <w:r>
        <w:rPr>
          <w:rFonts w:cs="Arial"/>
          <w:sz w:val="22"/>
          <w:szCs w:val="22"/>
        </w:rPr>
        <w:tab/>
      </w:r>
      <w:r>
        <w:rPr>
          <w:rFonts w:cs="Arial"/>
          <w:i/>
          <w:sz w:val="22"/>
          <w:szCs w:val="22"/>
        </w:rPr>
        <w:t>Federal Register</w:t>
      </w:r>
    </w:p>
    <w:p w14:paraId="375A9878" w14:textId="77777777" w:rsidR="00D35BFB" w:rsidRPr="00F167F1" w:rsidRDefault="00D35BFB" w:rsidP="00CF6513">
      <w:pPr>
        <w:ind w:left="2160" w:hanging="2160"/>
        <w:rPr>
          <w:rFonts w:cs="Arial"/>
          <w:sz w:val="22"/>
          <w:szCs w:val="22"/>
        </w:rPr>
      </w:pPr>
    </w:p>
    <w:p w14:paraId="324E1E3D" w14:textId="2A460281" w:rsidR="00D40FA0" w:rsidRDefault="00D40FA0" w:rsidP="00CF6513">
      <w:pPr>
        <w:ind w:left="2160" w:hanging="2160"/>
        <w:rPr>
          <w:rFonts w:cs="Arial"/>
          <w:sz w:val="22"/>
          <w:szCs w:val="22"/>
        </w:rPr>
      </w:pPr>
      <w:r w:rsidRPr="00F167F1">
        <w:rPr>
          <w:rFonts w:cs="Arial"/>
          <w:sz w:val="22"/>
          <w:szCs w:val="22"/>
        </w:rPr>
        <w:t>hr</w:t>
      </w:r>
      <w:r w:rsidRPr="00F167F1">
        <w:rPr>
          <w:rFonts w:cs="Arial"/>
          <w:sz w:val="22"/>
          <w:szCs w:val="22"/>
        </w:rPr>
        <w:tab/>
        <w:t>hour</w:t>
      </w:r>
    </w:p>
    <w:p w14:paraId="47540380" w14:textId="77777777" w:rsidR="00D35BFB" w:rsidRPr="0019644E" w:rsidRDefault="00D35BFB" w:rsidP="00CF6513">
      <w:pPr>
        <w:ind w:left="2160" w:hanging="2160"/>
        <w:rPr>
          <w:rFonts w:cs="Arial"/>
          <w:sz w:val="22"/>
          <w:szCs w:val="22"/>
        </w:rPr>
      </w:pPr>
    </w:p>
    <w:p w14:paraId="58DF8420" w14:textId="11DC9738" w:rsidR="0099322F" w:rsidRPr="00F167F1" w:rsidRDefault="0099322F" w:rsidP="00CF6513">
      <w:pPr>
        <w:ind w:left="2160" w:hanging="2160"/>
        <w:rPr>
          <w:rFonts w:cs="Arial"/>
          <w:sz w:val="22"/>
          <w:szCs w:val="22"/>
        </w:rPr>
      </w:pPr>
      <w:r w:rsidRPr="00F167F1">
        <w:rPr>
          <w:rFonts w:cs="Arial"/>
          <w:sz w:val="22"/>
          <w:szCs w:val="22"/>
        </w:rPr>
        <w:t>MBDBE</w:t>
      </w:r>
      <w:r w:rsidRPr="00F167F1">
        <w:rPr>
          <w:rFonts w:cs="Arial"/>
          <w:sz w:val="22"/>
          <w:szCs w:val="22"/>
        </w:rPr>
        <w:tab/>
        <w:t>mitigation of beyond-design-basis events</w:t>
      </w:r>
    </w:p>
    <w:p w14:paraId="3C142625" w14:textId="137B8D9F" w:rsidR="00A61248" w:rsidRPr="004A4CA5" w:rsidRDefault="00A61248" w:rsidP="00CF6513">
      <w:pPr>
        <w:ind w:left="2160" w:hanging="2160"/>
        <w:rPr>
          <w:rFonts w:cs="Arial"/>
          <w:sz w:val="22"/>
          <w:szCs w:val="22"/>
        </w:rPr>
      </w:pPr>
      <w:r w:rsidRPr="00F167F1">
        <w:rPr>
          <w:rFonts w:cs="Arial"/>
          <w:sz w:val="22"/>
          <w:szCs w:val="22"/>
        </w:rPr>
        <w:t>MSA</w:t>
      </w:r>
      <w:r w:rsidRPr="00F167F1">
        <w:rPr>
          <w:rFonts w:cs="Arial"/>
          <w:sz w:val="22"/>
          <w:szCs w:val="22"/>
        </w:rPr>
        <w:tab/>
      </w:r>
      <w:r w:rsidRPr="0031052A">
        <w:rPr>
          <w:rFonts w:cs="Arial"/>
          <w:sz w:val="22"/>
          <w:szCs w:val="22"/>
        </w:rPr>
        <w:t>mitigating strategies assessment</w:t>
      </w:r>
    </w:p>
    <w:p w14:paraId="23F42EDD" w14:textId="77777777" w:rsidR="00D35BFB" w:rsidRPr="00991F29" w:rsidRDefault="00D35BFB" w:rsidP="00CF6513">
      <w:pPr>
        <w:ind w:left="2160" w:hanging="2160"/>
        <w:rPr>
          <w:rFonts w:cs="Arial"/>
          <w:sz w:val="22"/>
          <w:szCs w:val="22"/>
        </w:rPr>
      </w:pPr>
    </w:p>
    <w:p w14:paraId="59511EF7" w14:textId="46FC5A11" w:rsidR="00365EEC" w:rsidRPr="00616064" w:rsidRDefault="00365EEC" w:rsidP="00CF6513">
      <w:pPr>
        <w:ind w:left="2160" w:hanging="2160"/>
        <w:rPr>
          <w:rFonts w:cs="Arial"/>
          <w:sz w:val="22"/>
          <w:szCs w:val="22"/>
        </w:rPr>
      </w:pPr>
      <w:r w:rsidRPr="00616064">
        <w:rPr>
          <w:rFonts w:cs="Arial"/>
          <w:sz w:val="22"/>
          <w:szCs w:val="22"/>
        </w:rPr>
        <w:t>NEI</w:t>
      </w:r>
      <w:r w:rsidRPr="00616064">
        <w:rPr>
          <w:rFonts w:cs="Arial"/>
          <w:sz w:val="22"/>
          <w:szCs w:val="22"/>
        </w:rPr>
        <w:tab/>
        <w:t>Nuclear Energy Institute</w:t>
      </w:r>
    </w:p>
    <w:p w14:paraId="121E8F12" w14:textId="25BC976D" w:rsidR="00B73314" w:rsidRPr="00F167F1" w:rsidRDefault="00B73314" w:rsidP="00CF6513">
      <w:pPr>
        <w:ind w:left="2160" w:hanging="2160"/>
        <w:rPr>
          <w:rFonts w:cs="Arial"/>
          <w:sz w:val="22"/>
          <w:szCs w:val="22"/>
        </w:rPr>
      </w:pPr>
      <w:r w:rsidRPr="00F167F1">
        <w:rPr>
          <w:rFonts w:cs="Arial"/>
          <w:sz w:val="22"/>
          <w:szCs w:val="22"/>
        </w:rPr>
        <w:t>NRC</w:t>
      </w:r>
      <w:r w:rsidRPr="00F167F1">
        <w:rPr>
          <w:rFonts w:cs="Arial"/>
          <w:sz w:val="22"/>
          <w:szCs w:val="22"/>
        </w:rPr>
        <w:tab/>
      </w:r>
      <w:r w:rsidR="00114739" w:rsidRPr="00F167F1">
        <w:rPr>
          <w:rFonts w:cs="Arial"/>
          <w:sz w:val="22"/>
          <w:szCs w:val="22"/>
        </w:rPr>
        <w:t xml:space="preserve">U.S. </w:t>
      </w:r>
      <w:r w:rsidRPr="00F167F1">
        <w:rPr>
          <w:rFonts w:cs="Arial"/>
          <w:sz w:val="22"/>
          <w:szCs w:val="22"/>
        </w:rPr>
        <w:t xml:space="preserve">Nuclear Regulatory Commission </w:t>
      </w:r>
    </w:p>
    <w:p w14:paraId="67DE69A7" w14:textId="42D921D0" w:rsidR="00365EEC" w:rsidRPr="00F167F1" w:rsidRDefault="00365EEC" w:rsidP="00CF6513">
      <w:pPr>
        <w:ind w:left="2160" w:hanging="2160"/>
        <w:rPr>
          <w:rFonts w:cs="Arial"/>
          <w:sz w:val="22"/>
          <w:szCs w:val="22"/>
        </w:rPr>
      </w:pPr>
      <w:r w:rsidRPr="00F167F1">
        <w:rPr>
          <w:rFonts w:cs="Arial"/>
          <w:sz w:val="22"/>
          <w:szCs w:val="22"/>
        </w:rPr>
        <w:t>NTTF</w:t>
      </w:r>
      <w:r w:rsidRPr="00F167F1">
        <w:rPr>
          <w:rFonts w:cs="Arial"/>
          <w:sz w:val="22"/>
          <w:szCs w:val="22"/>
        </w:rPr>
        <w:tab/>
      </w:r>
      <w:r w:rsidR="00F02D13">
        <w:rPr>
          <w:rFonts w:cs="Arial"/>
          <w:sz w:val="22"/>
          <w:szCs w:val="22"/>
        </w:rPr>
        <w:t>N</w:t>
      </w:r>
      <w:r w:rsidR="00CF6513" w:rsidRPr="00F167F1">
        <w:rPr>
          <w:rFonts w:cs="Arial"/>
          <w:sz w:val="22"/>
          <w:szCs w:val="22"/>
        </w:rPr>
        <w:t>ear-</w:t>
      </w:r>
      <w:r w:rsidR="00F02D13">
        <w:rPr>
          <w:rFonts w:cs="Arial"/>
          <w:sz w:val="22"/>
          <w:szCs w:val="22"/>
        </w:rPr>
        <w:t>T</w:t>
      </w:r>
      <w:r w:rsidR="00CF6513" w:rsidRPr="00F167F1">
        <w:rPr>
          <w:rFonts w:cs="Arial"/>
          <w:sz w:val="22"/>
          <w:szCs w:val="22"/>
        </w:rPr>
        <w:t xml:space="preserve">erm </w:t>
      </w:r>
      <w:r w:rsidR="00F02D13">
        <w:rPr>
          <w:rFonts w:cs="Arial"/>
          <w:sz w:val="22"/>
          <w:szCs w:val="22"/>
        </w:rPr>
        <w:t>T</w:t>
      </w:r>
      <w:r w:rsidR="00CF6513" w:rsidRPr="00F167F1">
        <w:rPr>
          <w:rFonts w:cs="Arial"/>
          <w:sz w:val="22"/>
          <w:szCs w:val="22"/>
        </w:rPr>
        <w:t xml:space="preserve">ask </w:t>
      </w:r>
      <w:r w:rsidR="00F02D13">
        <w:rPr>
          <w:rFonts w:cs="Arial"/>
          <w:sz w:val="22"/>
          <w:szCs w:val="22"/>
        </w:rPr>
        <w:t>F</w:t>
      </w:r>
      <w:r w:rsidR="00CF6513" w:rsidRPr="00F167F1">
        <w:rPr>
          <w:rFonts w:cs="Arial"/>
          <w:sz w:val="22"/>
          <w:szCs w:val="22"/>
        </w:rPr>
        <w:t>orce</w:t>
      </w:r>
    </w:p>
    <w:p w14:paraId="69B6A0DC" w14:textId="77777777" w:rsidR="00D35BFB" w:rsidRPr="00F167F1" w:rsidRDefault="00D35BFB" w:rsidP="00CF6513">
      <w:pPr>
        <w:ind w:left="2160" w:hanging="2160"/>
        <w:rPr>
          <w:rFonts w:cs="Arial"/>
          <w:sz w:val="22"/>
          <w:szCs w:val="22"/>
        </w:rPr>
      </w:pPr>
    </w:p>
    <w:p w14:paraId="17F90104" w14:textId="431AC6BE" w:rsidR="00EF4659" w:rsidRPr="00F167F1" w:rsidRDefault="00EF4659" w:rsidP="00CF6513">
      <w:pPr>
        <w:ind w:left="2160" w:hanging="2160"/>
        <w:rPr>
          <w:rFonts w:cs="Arial"/>
          <w:sz w:val="22"/>
          <w:szCs w:val="22"/>
        </w:rPr>
      </w:pPr>
      <w:r w:rsidRPr="00F167F1">
        <w:rPr>
          <w:rFonts w:cs="Arial"/>
          <w:sz w:val="22"/>
          <w:szCs w:val="22"/>
        </w:rPr>
        <w:t>PERT</w:t>
      </w:r>
      <w:r w:rsidRPr="00F167F1">
        <w:rPr>
          <w:rFonts w:cs="Arial"/>
          <w:sz w:val="22"/>
          <w:szCs w:val="22"/>
        </w:rPr>
        <w:tab/>
        <w:t>program evaluation and review technique</w:t>
      </w:r>
    </w:p>
    <w:p w14:paraId="2CA487BC" w14:textId="06B4F2AD" w:rsidR="00FB2270" w:rsidRPr="00F167F1" w:rsidRDefault="00FB2270" w:rsidP="00CF6513">
      <w:pPr>
        <w:ind w:left="2160" w:hanging="2160"/>
        <w:rPr>
          <w:rFonts w:cs="Arial"/>
          <w:sz w:val="22"/>
          <w:szCs w:val="22"/>
        </w:rPr>
      </w:pPr>
      <w:r w:rsidRPr="00F167F1">
        <w:rPr>
          <w:rFonts w:cs="Arial"/>
          <w:sz w:val="22"/>
          <w:szCs w:val="22"/>
        </w:rPr>
        <w:t>P</w:t>
      </w:r>
      <w:r w:rsidR="00B36C72" w:rsidRPr="00F167F1">
        <w:rPr>
          <w:rFonts w:cs="Arial"/>
          <w:sz w:val="22"/>
          <w:szCs w:val="22"/>
        </w:rPr>
        <w:t>RM</w:t>
      </w:r>
      <w:r w:rsidRPr="00F167F1">
        <w:rPr>
          <w:rFonts w:cs="Arial"/>
          <w:sz w:val="22"/>
          <w:szCs w:val="22"/>
        </w:rPr>
        <w:tab/>
      </w:r>
      <w:r w:rsidR="00CF6513" w:rsidRPr="00F167F1">
        <w:rPr>
          <w:rFonts w:cs="Arial"/>
          <w:sz w:val="22"/>
          <w:szCs w:val="22"/>
        </w:rPr>
        <w:t>petition for rulemaking</w:t>
      </w:r>
    </w:p>
    <w:p w14:paraId="0001AD5B" w14:textId="77777777" w:rsidR="00D35BFB" w:rsidRPr="00F167F1" w:rsidRDefault="00D35BFB" w:rsidP="00CF6513">
      <w:pPr>
        <w:ind w:left="2160" w:hanging="2160"/>
        <w:rPr>
          <w:rFonts w:cs="Arial"/>
          <w:sz w:val="22"/>
          <w:szCs w:val="22"/>
        </w:rPr>
      </w:pPr>
    </w:p>
    <w:p w14:paraId="1DA237F2" w14:textId="7348F708" w:rsidR="0099322F" w:rsidRDefault="0099322F" w:rsidP="00CF6513">
      <w:pPr>
        <w:ind w:left="2160" w:hanging="2160"/>
        <w:rPr>
          <w:rFonts w:cs="Arial"/>
          <w:sz w:val="22"/>
          <w:szCs w:val="22"/>
        </w:rPr>
      </w:pPr>
      <w:r w:rsidRPr="00F167F1">
        <w:rPr>
          <w:rFonts w:cs="Arial"/>
          <w:sz w:val="22"/>
          <w:szCs w:val="22"/>
        </w:rPr>
        <w:t>RG</w:t>
      </w:r>
      <w:r w:rsidRPr="00F167F1">
        <w:rPr>
          <w:rFonts w:cs="Arial"/>
          <w:sz w:val="22"/>
          <w:szCs w:val="22"/>
        </w:rPr>
        <w:tab/>
        <w:t>regulatory guide</w:t>
      </w:r>
    </w:p>
    <w:p w14:paraId="51C84B75" w14:textId="0639D1A4" w:rsidR="00684780" w:rsidRPr="00F167F1" w:rsidRDefault="00684780" w:rsidP="00CF6513">
      <w:pPr>
        <w:ind w:left="2160" w:hanging="2160"/>
        <w:rPr>
          <w:rFonts w:cs="Arial"/>
          <w:sz w:val="22"/>
          <w:szCs w:val="22"/>
        </w:rPr>
      </w:pPr>
      <w:r>
        <w:rPr>
          <w:rFonts w:cs="Arial"/>
          <w:sz w:val="22"/>
          <w:szCs w:val="22"/>
        </w:rPr>
        <w:t>RIN</w:t>
      </w:r>
      <w:r>
        <w:rPr>
          <w:rFonts w:cs="Arial"/>
          <w:sz w:val="22"/>
          <w:szCs w:val="22"/>
        </w:rPr>
        <w:tab/>
        <w:t>regulation identifier number</w:t>
      </w:r>
    </w:p>
    <w:p w14:paraId="479044D3" w14:textId="400F8067" w:rsidR="00E84E70" w:rsidRPr="00F167F1" w:rsidRDefault="00E84E70" w:rsidP="00CF6513">
      <w:pPr>
        <w:ind w:left="2160" w:hanging="2160"/>
        <w:rPr>
          <w:rFonts w:cs="Arial"/>
          <w:sz w:val="22"/>
          <w:szCs w:val="22"/>
        </w:rPr>
      </w:pPr>
      <w:r w:rsidRPr="00F167F1">
        <w:rPr>
          <w:rFonts w:cs="Arial"/>
          <w:sz w:val="22"/>
          <w:szCs w:val="22"/>
        </w:rPr>
        <w:t>ROP</w:t>
      </w:r>
      <w:r w:rsidRPr="00F167F1">
        <w:rPr>
          <w:rFonts w:cs="Arial"/>
          <w:sz w:val="22"/>
          <w:szCs w:val="22"/>
        </w:rPr>
        <w:tab/>
        <w:t>reactor oversight process</w:t>
      </w:r>
    </w:p>
    <w:p w14:paraId="2D526E83" w14:textId="77777777" w:rsidR="00D35BFB" w:rsidRPr="00F167F1" w:rsidRDefault="00D35BFB" w:rsidP="00CF6513">
      <w:pPr>
        <w:ind w:left="2160" w:hanging="2160"/>
        <w:rPr>
          <w:rFonts w:cs="Arial"/>
          <w:sz w:val="22"/>
          <w:szCs w:val="22"/>
        </w:rPr>
      </w:pPr>
    </w:p>
    <w:p w14:paraId="1A00474D" w14:textId="05186389" w:rsidR="00A45FF5" w:rsidRPr="00F167F1" w:rsidRDefault="00CF6513" w:rsidP="00CF6513">
      <w:pPr>
        <w:ind w:left="2160" w:hanging="2160"/>
        <w:rPr>
          <w:rFonts w:cs="Arial"/>
          <w:sz w:val="22"/>
          <w:szCs w:val="22"/>
        </w:rPr>
      </w:pPr>
      <w:r w:rsidRPr="00F167F1">
        <w:rPr>
          <w:rFonts w:cs="Arial"/>
          <w:sz w:val="22"/>
          <w:szCs w:val="22"/>
        </w:rPr>
        <w:t>SAMG</w:t>
      </w:r>
      <w:r w:rsidRPr="00F167F1">
        <w:rPr>
          <w:rFonts w:cs="Arial"/>
          <w:sz w:val="22"/>
          <w:szCs w:val="22"/>
        </w:rPr>
        <w:tab/>
        <w:t>s</w:t>
      </w:r>
      <w:r w:rsidR="00A45FF5" w:rsidRPr="00F167F1">
        <w:rPr>
          <w:rFonts w:cs="Arial"/>
          <w:sz w:val="22"/>
          <w:szCs w:val="22"/>
        </w:rPr>
        <w:t xml:space="preserve">evere accident </w:t>
      </w:r>
      <w:r w:rsidR="00E97B18" w:rsidRPr="00F167F1">
        <w:rPr>
          <w:rFonts w:cs="Arial"/>
          <w:sz w:val="22"/>
          <w:szCs w:val="22"/>
        </w:rPr>
        <w:t>management</w:t>
      </w:r>
      <w:r w:rsidR="00A45FF5" w:rsidRPr="00F167F1">
        <w:rPr>
          <w:rFonts w:cs="Arial"/>
          <w:sz w:val="22"/>
          <w:szCs w:val="22"/>
        </w:rPr>
        <w:t xml:space="preserve"> </w:t>
      </w:r>
      <w:r w:rsidR="00E97B18" w:rsidRPr="00F167F1">
        <w:rPr>
          <w:rFonts w:cs="Arial"/>
          <w:sz w:val="22"/>
          <w:szCs w:val="22"/>
        </w:rPr>
        <w:t>guideline</w:t>
      </w:r>
    </w:p>
    <w:p w14:paraId="51CAB38E" w14:textId="3BCFA1D4" w:rsidR="00365EEC" w:rsidRDefault="00CF6513" w:rsidP="00CF6513">
      <w:pPr>
        <w:ind w:left="2160" w:hanging="2160"/>
        <w:rPr>
          <w:rFonts w:cs="Arial"/>
          <w:sz w:val="22"/>
          <w:szCs w:val="22"/>
        </w:rPr>
      </w:pPr>
      <w:r w:rsidRPr="00F167F1">
        <w:rPr>
          <w:rFonts w:cs="Arial"/>
          <w:sz w:val="22"/>
          <w:szCs w:val="22"/>
        </w:rPr>
        <w:t>SFP</w:t>
      </w:r>
      <w:r w:rsidRPr="00F167F1">
        <w:rPr>
          <w:rFonts w:cs="Arial"/>
          <w:sz w:val="22"/>
          <w:szCs w:val="22"/>
        </w:rPr>
        <w:tab/>
        <w:t>s</w:t>
      </w:r>
      <w:r w:rsidR="00365EEC" w:rsidRPr="00F167F1">
        <w:rPr>
          <w:rFonts w:cs="Arial"/>
          <w:sz w:val="22"/>
          <w:szCs w:val="22"/>
        </w:rPr>
        <w:t>pent fuel pool</w:t>
      </w:r>
    </w:p>
    <w:p w14:paraId="0C38B76A" w14:textId="1DCE85DD" w:rsidR="00301093" w:rsidRPr="00F167F1" w:rsidRDefault="00301093" w:rsidP="00301093">
      <w:pPr>
        <w:ind w:left="2160" w:hanging="2160"/>
        <w:rPr>
          <w:rFonts w:cs="Arial"/>
          <w:sz w:val="22"/>
          <w:szCs w:val="22"/>
        </w:rPr>
      </w:pPr>
      <w:r>
        <w:rPr>
          <w:rFonts w:cs="Arial"/>
          <w:sz w:val="22"/>
          <w:szCs w:val="22"/>
        </w:rPr>
        <w:t>SFPI</w:t>
      </w:r>
      <w:r>
        <w:rPr>
          <w:rFonts w:cs="Arial"/>
          <w:sz w:val="22"/>
          <w:szCs w:val="22"/>
        </w:rPr>
        <w:tab/>
      </w:r>
      <w:r w:rsidRPr="00301093">
        <w:rPr>
          <w:rFonts w:cs="Arial"/>
          <w:sz w:val="22"/>
          <w:szCs w:val="22"/>
        </w:rPr>
        <w:t>spent fuel pool</w:t>
      </w:r>
      <w:r>
        <w:rPr>
          <w:rFonts w:cs="Arial"/>
          <w:sz w:val="22"/>
          <w:szCs w:val="22"/>
        </w:rPr>
        <w:t xml:space="preserve"> </w:t>
      </w:r>
      <w:r w:rsidRPr="00301093">
        <w:rPr>
          <w:rFonts w:cs="Arial"/>
          <w:sz w:val="22"/>
          <w:szCs w:val="22"/>
        </w:rPr>
        <w:t>instrumentation</w:t>
      </w:r>
    </w:p>
    <w:p w14:paraId="6FF1A8DE" w14:textId="46126E49" w:rsidR="00101A07" w:rsidRPr="004A4CA5" w:rsidRDefault="00101A07" w:rsidP="00CF6513">
      <w:pPr>
        <w:ind w:left="2160" w:hanging="2160"/>
        <w:rPr>
          <w:rFonts w:cs="Arial"/>
          <w:sz w:val="22"/>
          <w:szCs w:val="22"/>
        </w:rPr>
      </w:pPr>
      <w:r w:rsidRPr="004A4CA5">
        <w:rPr>
          <w:rFonts w:cs="Arial"/>
          <w:sz w:val="22"/>
          <w:szCs w:val="22"/>
        </w:rPr>
        <w:t>SPRA</w:t>
      </w:r>
      <w:r w:rsidRPr="004A4CA5">
        <w:rPr>
          <w:rFonts w:cs="Arial"/>
          <w:sz w:val="22"/>
          <w:szCs w:val="22"/>
        </w:rPr>
        <w:tab/>
      </w:r>
      <w:r w:rsidRPr="0031052A">
        <w:rPr>
          <w:rFonts w:cs="Arial"/>
          <w:sz w:val="22"/>
          <w:szCs w:val="22"/>
        </w:rPr>
        <w:t>seismic probabilistic risk assessment</w:t>
      </w:r>
    </w:p>
    <w:p w14:paraId="73AB0446" w14:textId="20979650" w:rsidR="00465851" w:rsidRPr="00227563" w:rsidRDefault="00CF6513" w:rsidP="00CF6513">
      <w:pPr>
        <w:ind w:left="2160" w:hanging="2160"/>
        <w:rPr>
          <w:rFonts w:cs="Arial"/>
          <w:sz w:val="22"/>
          <w:szCs w:val="22"/>
        </w:rPr>
      </w:pPr>
      <w:r w:rsidRPr="00991F29">
        <w:rPr>
          <w:rFonts w:cs="Arial"/>
          <w:sz w:val="22"/>
          <w:szCs w:val="22"/>
        </w:rPr>
        <w:t>SRM</w:t>
      </w:r>
      <w:r w:rsidRPr="00991F29">
        <w:rPr>
          <w:rFonts w:cs="Arial"/>
          <w:sz w:val="22"/>
          <w:szCs w:val="22"/>
        </w:rPr>
        <w:tab/>
        <w:t>s</w:t>
      </w:r>
      <w:r w:rsidR="00365EEC" w:rsidRPr="000C7B1A">
        <w:rPr>
          <w:rFonts w:cs="Arial"/>
          <w:sz w:val="22"/>
          <w:szCs w:val="22"/>
        </w:rPr>
        <w:t>taff requirements</w:t>
      </w:r>
      <w:r w:rsidR="00465851" w:rsidRPr="000C7B1A">
        <w:rPr>
          <w:rFonts w:cs="Arial"/>
          <w:sz w:val="22"/>
          <w:szCs w:val="22"/>
        </w:rPr>
        <w:t xml:space="preserve"> </w:t>
      </w:r>
      <w:r w:rsidR="00365EEC" w:rsidRPr="000C7B1A">
        <w:rPr>
          <w:rFonts w:cs="Arial"/>
          <w:sz w:val="22"/>
          <w:szCs w:val="22"/>
        </w:rPr>
        <w:t>memo</w:t>
      </w:r>
      <w:r w:rsidR="00061E01" w:rsidRPr="00612C93">
        <w:rPr>
          <w:rFonts w:cs="Arial"/>
          <w:sz w:val="22"/>
          <w:szCs w:val="22"/>
        </w:rPr>
        <w:t>rand</w:t>
      </w:r>
      <w:r w:rsidR="00227563">
        <w:rPr>
          <w:rFonts w:cs="Arial"/>
          <w:sz w:val="22"/>
          <w:szCs w:val="22"/>
        </w:rPr>
        <w:t>um</w:t>
      </w:r>
    </w:p>
    <w:p w14:paraId="4E66740D" w14:textId="77777777" w:rsidR="00D35BFB" w:rsidRPr="0019644E" w:rsidRDefault="00D35BFB" w:rsidP="00CF6513">
      <w:pPr>
        <w:ind w:left="2160" w:hanging="2160"/>
        <w:rPr>
          <w:rFonts w:cs="Arial"/>
          <w:sz w:val="22"/>
          <w:szCs w:val="22"/>
        </w:rPr>
      </w:pPr>
    </w:p>
    <w:p w14:paraId="168D004B" w14:textId="643E09C2" w:rsidR="00D031A5" w:rsidRDefault="00D031A5" w:rsidP="00CF6513">
      <w:pPr>
        <w:ind w:left="2160" w:hanging="2160"/>
        <w:rPr>
          <w:rFonts w:cs="Arial"/>
          <w:sz w:val="22"/>
          <w:szCs w:val="22"/>
        </w:rPr>
      </w:pPr>
    </w:p>
    <w:p w14:paraId="4BF1286A" w14:textId="37E77C37" w:rsidR="00262D76" w:rsidRDefault="00262D76">
      <w:pPr>
        <w:autoSpaceDE/>
        <w:autoSpaceDN/>
        <w:adjustRightInd/>
        <w:spacing w:after="200" w:line="276" w:lineRule="auto"/>
        <w:rPr>
          <w:rFonts w:cs="Arial"/>
          <w:sz w:val="22"/>
          <w:szCs w:val="22"/>
        </w:rPr>
      </w:pPr>
    </w:p>
    <w:p w14:paraId="3A7865D5" w14:textId="77777777" w:rsidR="00262D76" w:rsidRDefault="00262D76" w:rsidP="00CF6513">
      <w:pPr>
        <w:ind w:left="2160" w:hanging="2160"/>
        <w:rPr>
          <w:rFonts w:cs="Arial"/>
          <w:sz w:val="22"/>
          <w:szCs w:val="22"/>
        </w:rPr>
        <w:sectPr w:rsidR="00262D76" w:rsidSect="000C4512">
          <w:headerReference w:type="default" r:id="rId13"/>
          <w:footerReference w:type="default" r:id="rId14"/>
          <w:pgSz w:w="12240" w:h="15840"/>
          <w:pgMar w:top="1440" w:right="1440" w:bottom="1440" w:left="1440" w:header="720" w:footer="720" w:gutter="0"/>
          <w:pgNumType w:fmt="lowerRoman" w:start="1"/>
          <w:cols w:space="720"/>
          <w:docGrid w:linePitch="360"/>
        </w:sectPr>
      </w:pPr>
    </w:p>
    <w:p w14:paraId="78971B66" w14:textId="77777777" w:rsidR="008B0B61" w:rsidRDefault="008B0B61" w:rsidP="0062754D">
      <w:pPr>
        <w:pStyle w:val="Heading1"/>
      </w:pPr>
      <w:bookmarkStart w:id="23" w:name="_Toc381266968"/>
      <w:bookmarkStart w:id="24" w:name="_Toc381267314"/>
      <w:bookmarkStart w:id="25" w:name="_Toc404777844"/>
      <w:bookmarkStart w:id="26" w:name="_Toc460911615"/>
      <w:bookmarkStart w:id="27" w:name="_Toc460911657"/>
      <w:bookmarkStart w:id="28" w:name="_Toc460911699"/>
      <w:bookmarkStart w:id="29" w:name="_Toc460911741"/>
      <w:bookmarkStart w:id="30" w:name="_Toc460911783"/>
      <w:bookmarkStart w:id="31" w:name="_Toc460932033"/>
      <w:bookmarkStart w:id="32" w:name="_Toc460932079"/>
      <w:bookmarkStart w:id="33" w:name="_Toc460932125"/>
      <w:bookmarkStart w:id="34" w:name="_Toc460932171"/>
      <w:bookmarkStart w:id="35" w:name="_Toc532457275"/>
      <w:r w:rsidRPr="00ED1D75">
        <w:t>1.</w:t>
      </w:r>
      <w:r w:rsidRPr="00ED1D75">
        <w:tab/>
      </w:r>
      <w:bookmarkEnd w:id="0"/>
      <w:bookmarkEnd w:id="1"/>
      <w:bookmarkEnd w:id="2"/>
      <w:bookmarkEnd w:id="3"/>
      <w:r w:rsidR="005A58C3" w:rsidRPr="00ED1D75">
        <w:t>Introduction</w:t>
      </w:r>
      <w:bookmarkEnd w:id="23"/>
      <w:bookmarkEnd w:id="24"/>
      <w:bookmarkEnd w:id="25"/>
      <w:bookmarkEnd w:id="26"/>
      <w:bookmarkEnd w:id="27"/>
      <w:bookmarkEnd w:id="28"/>
      <w:bookmarkEnd w:id="29"/>
      <w:bookmarkEnd w:id="30"/>
      <w:bookmarkEnd w:id="31"/>
      <w:bookmarkEnd w:id="32"/>
      <w:bookmarkEnd w:id="33"/>
      <w:bookmarkEnd w:id="34"/>
      <w:bookmarkEnd w:id="35"/>
    </w:p>
    <w:p w14:paraId="4C358342" w14:textId="3E80345C" w:rsidR="009571CD" w:rsidRDefault="002858BA" w:rsidP="00F429FB">
      <w:pPr>
        <w:pStyle w:val="Level1"/>
        <w:ind w:left="0"/>
        <w:rPr>
          <w:sz w:val="22"/>
          <w:szCs w:val="22"/>
        </w:rPr>
      </w:pPr>
      <w:bookmarkStart w:id="36" w:name="_Toc354162805"/>
      <w:bookmarkStart w:id="37" w:name="_Toc199932469"/>
      <w:bookmarkStart w:id="38" w:name="_Toc199932638"/>
      <w:bookmarkStart w:id="39" w:name="_Toc377386139"/>
      <w:bookmarkStart w:id="40" w:name="_Toc381266971"/>
      <w:bookmarkStart w:id="41" w:name="_Toc381267315"/>
      <w:r w:rsidRPr="005A5966">
        <w:rPr>
          <w:sz w:val="22"/>
          <w:szCs w:val="22"/>
        </w:rPr>
        <w:t xml:space="preserve">This </w:t>
      </w:r>
      <w:r w:rsidR="009F1F2A">
        <w:rPr>
          <w:sz w:val="22"/>
          <w:szCs w:val="22"/>
        </w:rPr>
        <w:t>addenda</w:t>
      </w:r>
      <w:r w:rsidRPr="005A5966">
        <w:rPr>
          <w:sz w:val="22"/>
          <w:szCs w:val="22"/>
        </w:rPr>
        <w:t xml:space="preserve"> presents the regulatory analysis of </w:t>
      </w:r>
      <w:r>
        <w:rPr>
          <w:sz w:val="22"/>
          <w:szCs w:val="22"/>
        </w:rPr>
        <w:t xml:space="preserve">the </w:t>
      </w:r>
      <w:r w:rsidRPr="0031052A">
        <w:rPr>
          <w:sz w:val="22"/>
          <w:szCs w:val="22"/>
        </w:rPr>
        <w:t>Mitigation of Beyond-Design-Basis Events</w:t>
      </w:r>
      <w:r w:rsidRPr="00815F86">
        <w:rPr>
          <w:sz w:val="22"/>
          <w:szCs w:val="22"/>
        </w:rPr>
        <w:t xml:space="preserve"> </w:t>
      </w:r>
      <w:r w:rsidR="001A7723">
        <w:rPr>
          <w:sz w:val="22"/>
          <w:szCs w:val="22"/>
        </w:rPr>
        <w:t xml:space="preserve">(MBDBE) </w:t>
      </w:r>
      <w:r w:rsidR="009F1F2A">
        <w:rPr>
          <w:sz w:val="22"/>
          <w:szCs w:val="22"/>
        </w:rPr>
        <w:t xml:space="preserve">final rule as directed by the Commission in </w:t>
      </w:r>
      <w:r w:rsidR="00703ABD">
        <w:rPr>
          <w:sz w:val="22"/>
          <w:szCs w:val="22"/>
        </w:rPr>
        <w:t xml:space="preserve">staff requirements memorandum </w:t>
      </w:r>
      <w:r w:rsidR="009F1F2A">
        <w:rPr>
          <w:sz w:val="22"/>
          <w:szCs w:val="22"/>
        </w:rPr>
        <w:t>(SRM)</w:t>
      </w:r>
      <w:r w:rsidR="00362B17">
        <w:rPr>
          <w:sz w:val="22"/>
          <w:szCs w:val="22"/>
        </w:rPr>
        <w:noBreakHyphen/>
      </w:r>
      <w:r w:rsidR="009F1F2A">
        <w:rPr>
          <w:sz w:val="22"/>
          <w:szCs w:val="22"/>
        </w:rPr>
        <w:t>SECY</w:t>
      </w:r>
      <w:r w:rsidR="00362B17">
        <w:rPr>
          <w:sz w:val="22"/>
          <w:szCs w:val="22"/>
        </w:rPr>
        <w:noBreakHyphen/>
      </w:r>
      <w:r w:rsidR="009F1F2A">
        <w:rPr>
          <w:sz w:val="22"/>
          <w:szCs w:val="22"/>
        </w:rPr>
        <w:t>16</w:t>
      </w:r>
      <w:r w:rsidR="00362B17">
        <w:rPr>
          <w:sz w:val="22"/>
          <w:szCs w:val="22"/>
        </w:rPr>
        <w:noBreakHyphen/>
      </w:r>
      <w:r w:rsidR="009F1F2A">
        <w:rPr>
          <w:sz w:val="22"/>
          <w:szCs w:val="22"/>
        </w:rPr>
        <w:t>0142</w:t>
      </w:r>
      <w:r w:rsidR="00703ABD">
        <w:rPr>
          <w:sz w:val="22"/>
          <w:szCs w:val="22"/>
        </w:rPr>
        <w:t>, “</w:t>
      </w:r>
      <w:r w:rsidR="00703ABD" w:rsidRPr="00684780">
        <w:rPr>
          <w:rFonts w:eastAsiaTheme="minorHAnsi" w:cs="Arial"/>
          <w:sz w:val="22"/>
          <w:szCs w:val="22"/>
        </w:rPr>
        <w:t>Draft Final Rule – Mitigation of Beyond-Design-Basis Events (RIN 3150-AJ49)</w:t>
      </w:r>
      <w:r w:rsidR="00684780">
        <w:rPr>
          <w:rFonts w:eastAsiaTheme="minorHAnsi" w:cs="Arial"/>
          <w:sz w:val="22"/>
          <w:szCs w:val="22"/>
        </w:rPr>
        <w:t>”</w:t>
      </w:r>
      <w:r w:rsidR="00F429FB" w:rsidRPr="00684780">
        <w:rPr>
          <w:sz w:val="22"/>
          <w:szCs w:val="22"/>
        </w:rPr>
        <w:t xml:space="preserve"> (</w:t>
      </w:r>
      <w:r w:rsidR="00833EB3">
        <w:rPr>
          <w:sz w:val="22"/>
          <w:szCs w:val="22"/>
        </w:rPr>
        <w:t>NRC 2018</w:t>
      </w:r>
      <w:r w:rsidR="009D4546">
        <w:rPr>
          <w:sz w:val="22"/>
          <w:szCs w:val="22"/>
        </w:rPr>
        <w:t>b</w:t>
      </w:r>
      <w:r w:rsidR="00F429FB">
        <w:rPr>
          <w:sz w:val="22"/>
          <w:szCs w:val="22"/>
        </w:rPr>
        <w:t>)</w:t>
      </w:r>
      <w:r w:rsidRPr="00815F86">
        <w:rPr>
          <w:sz w:val="22"/>
          <w:szCs w:val="22"/>
        </w:rPr>
        <w:t>.</w:t>
      </w:r>
      <w:r w:rsidRPr="005A5966">
        <w:rPr>
          <w:sz w:val="22"/>
          <w:szCs w:val="22"/>
        </w:rPr>
        <w:t xml:space="preserve">  </w:t>
      </w:r>
      <w:r w:rsidR="00362B17">
        <w:rPr>
          <w:sz w:val="22"/>
          <w:szCs w:val="22"/>
        </w:rPr>
        <w:t>The NRC is issuing three regulatory guides</w:t>
      </w:r>
      <w:r w:rsidR="009571CD">
        <w:rPr>
          <w:rStyle w:val="FootnoteReference"/>
          <w:sz w:val="22"/>
          <w:szCs w:val="22"/>
        </w:rPr>
        <w:footnoteReference w:id="2"/>
      </w:r>
      <w:r w:rsidR="00362B17">
        <w:rPr>
          <w:sz w:val="22"/>
          <w:szCs w:val="22"/>
        </w:rPr>
        <w:t xml:space="preserve"> that pro</w:t>
      </w:r>
      <w:r w:rsidR="009571CD">
        <w:rPr>
          <w:sz w:val="22"/>
          <w:szCs w:val="22"/>
        </w:rPr>
        <w:t xml:space="preserve">vide guidance for the implementation of this final rule.  The regulatory guides apply to all </w:t>
      </w:r>
      <w:r w:rsidR="00C8087E">
        <w:rPr>
          <w:sz w:val="22"/>
          <w:szCs w:val="22"/>
        </w:rPr>
        <w:t>current</w:t>
      </w:r>
      <w:r w:rsidR="009571CD">
        <w:rPr>
          <w:sz w:val="22"/>
          <w:szCs w:val="22"/>
        </w:rPr>
        <w:t xml:space="preserve"> holders of, and applicants for </w:t>
      </w:r>
      <w:r w:rsidR="00C8087E">
        <w:rPr>
          <w:sz w:val="22"/>
          <w:szCs w:val="22"/>
        </w:rPr>
        <w:t>operating</w:t>
      </w:r>
      <w:r w:rsidR="009571CD">
        <w:rPr>
          <w:sz w:val="22"/>
          <w:szCs w:val="22"/>
        </w:rPr>
        <w:t xml:space="preserve"> licenses under 10 CFR Part 50</w:t>
      </w:r>
      <w:r w:rsidR="00684780">
        <w:rPr>
          <w:sz w:val="22"/>
          <w:szCs w:val="22"/>
        </w:rPr>
        <w:t>, “Domestic Licensing of Production and Utilization Facilities,”</w:t>
      </w:r>
      <w:r w:rsidR="009571CD">
        <w:rPr>
          <w:sz w:val="22"/>
          <w:szCs w:val="22"/>
        </w:rPr>
        <w:t xml:space="preserve"> and combined licenses under 10</w:t>
      </w:r>
      <w:r w:rsidR="00684780">
        <w:rPr>
          <w:sz w:val="22"/>
          <w:szCs w:val="22"/>
        </w:rPr>
        <w:t> </w:t>
      </w:r>
      <w:r w:rsidR="009571CD">
        <w:rPr>
          <w:sz w:val="22"/>
          <w:szCs w:val="22"/>
        </w:rPr>
        <w:t>CFR Part 52</w:t>
      </w:r>
      <w:r w:rsidR="00684780">
        <w:rPr>
          <w:sz w:val="22"/>
          <w:szCs w:val="22"/>
        </w:rPr>
        <w:t>, “</w:t>
      </w:r>
      <w:r w:rsidR="00684780" w:rsidRPr="005F420D">
        <w:rPr>
          <w:rFonts w:cs="Arial"/>
          <w:sz w:val="22"/>
          <w:szCs w:val="22"/>
        </w:rPr>
        <w:t>Licenses, Certifications, and Approvals for Nuclear Power Plants</w:t>
      </w:r>
      <w:r w:rsidR="009571CD">
        <w:rPr>
          <w:sz w:val="22"/>
          <w:szCs w:val="22"/>
        </w:rPr>
        <w:t>.</w:t>
      </w:r>
      <w:r w:rsidR="00684780">
        <w:rPr>
          <w:sz w:val="22"/>
          <w:szCs w:val="22"/>
        </w:rPr>
        <w:t>”</w:t>
      </w:r>
    </w:p>
    <w:p w14:paraId="6917B1FF" w14:textId="77777777" w:rsidR="009571CD" w:rsidRDefault="009571CD" w:rsidP="00F429FB">
      <w:pPr>
        <w:pStyle w:val="Level1"/>
        <w:ind w:left="0"/>
        <w:rPr>
          <w:sz w:val="22"/>
          <w:szCs w:val="22"/>
        </w:rPr>
      </w:pPr>
    </w:p>
    <w:p w14:paraId="394937D2" w14:textId="25FE1D8B" w:rsidR="00F429FB" w:rsidRDefault="00F429FB" w:rsidP="00F429FB">
      <w:pPr>
        <w:pStyle w:val="Level1"/>
        <w:ind w:left="0"/>
        <w:rPr>
          <w:sz w:val="22"/>
          <w:szCs w:val="22"/>
        </w:rPr>
      </w:pPr>
      <w:r w:rsidRPr="00F429FB">
        <w:rPr>
          <w:sz w:val="22"/>
          <w:szCs w:val="22"/>
        </w:rPr>
        <w:t xml:space="preserve">The SRM substantially revised the final rule removing a number of requirements.  </w:t>
      </w:r>
      <w:r>
        <w:rPr>
          <w:sz w:val="22"/>
          <w:szCs w:val="22"/>
        </w:rPr>
        <w:t xml:space="preserve">This addenda reflects </w:t>
      </w:r>
      <w:r w:rsidRPr="00F429FB">
        <w:rPr>
          <w:sz w:val="22"/>
          <w:szCs w:val="22"/>
        </w:rPr>
        <w:t>the Commission’s SRM</w:t>
      </w:r>
      <w:r>
        <w:rPr>
          <w:sz w:val="22"/>
          <w:szCs w:val="22"/>
        </w:rPr>
        <w:t xml:space="preserve"> direction.</w:t>
      </w:r>
      <w:r w:rsidRPr="00F429FB">
        <w:rPr>
          <w:sz w:val="22"/>
          <w:szCs w:val="22"/>
        </w:rPr>
        <w:t xml:space="preserve">  At a high level, the </w:t>
      </w:r>
      <w:r w:rsidR="00C1267A">
        <w:rPr>
          <w:sz w:val="22"/>
          <w:szCs w:val="22"/>
        </w:rPr>
        <w:t xml:space="preserve">following rule provisions were removed from the </w:t>
      </w:r>
      <w:r w:rsidR="00E10767">
        <w:rPr>
          <w:sz w:val="22"/>
          <w:szCs w:val="22"/>
        </w:rPr>
        <w:t xml:space="preserve">draft </w:t>
      </w:r>
      <w:r w:rsidR="00C1267A">
        <w:rPr>
          <w:sz w:val="22"/>
          <w:szCs w:val="22"/>
        </w:rPr>
        <w:t>fin</w:t>
      </w:r>
      <w:r w:rsidR="00194DB1">
        <w:rPr>
          <w:sz w:val="22"/>
          <w:szCs w:val="22"/>
        </w:rPr>
        <w:t>al rule by the Commission SRM.</w:t>
      </w:r>
    </w:p>
    <w:p w14:paraId="23C0287D" w14:textId="77777777" w:rsidR="00F429FB" w:rsidRPr="00F429FB" w:rsidRDefault="00F429FB" w:rsidP="00F429FB">
      <w:pPr>
        <w:pStyle w:val="Level1"/>
        <w:ind w:left="0"/>
        <w:rPr>
          <w:sz w:val="22"/>
          <w:szCs w:val="22"/>
        </w:rPr>
      </w:pPr>
    </w:p>
    <w:p w14:paraId="0C935390" w14:textId="74167749" w:rsidR="00F429FB" w:rsidRDefault="00F429FB" w:rsidP="00194DB1">
      <w:pPr>
        <w:pStyle w:val="Level1"/>
        <w:ind w:left="360" w:hanging="360"/>
        <w:rPr>
          <w:sz w:val="22"/>
          <w:szCs w:val="22"/>
        </w:rPr>
      </w:pPr>
      <w:r>
        <w:rPr>
          <w:sz w:val="22"/>
          <w:szCs w:val="22"/>
        </w:rPr>
        <w:t>1.</w:t>
      </w:r>
      <w:r>
        <w:rPr>
          <w:sz w:val="22"/>
          <w:szCs w:val="22"/>
        </w:rPr>
        <w:tab/>
        <w:t xml:space="preserve">Reevaluated hazards </w:t>
      </w:r>
      <w:r w:rsidRPr="00F429FB">
        <w:rPr>
          <w:sz w:val="22"/>
          <w:szCs w:val="22"/>
        </w:rPr>
        <w:t xml:space="preserve">draft final requirements </w:t>
      </w:r>
      <w:r>
        <w:rPr>
          <w:sz w:val="22"/>
          <w:szCs w:val="22"/>
        </w:rPr>
        <w:t>contained in 10 CFR 50.155(b)(2)</w:t>
      </w:r>
    </w:p>
    <w:p w14:paraId="62A501A6" w14:textId="77777777" w:rsidR="00F429FB" w:rsidRDefault="00F429FB" w:rsidP="00D40FEF">
      <w:pPr>
        <w:pStyle w:val="Level1"/>
        <w:ind w:left="360"/>
        <w:rPr>
          <w:sz w:val="22"/>
          <w:szCs w:val="22"/>
        </w:rPr>
      </w:pPr>
    </w:p>
    <w:p w14:paraId="1EFBD8D7" w14:textId="56DC57B4" w:rsidR="00F429FB" w:rsidRPr="00F429FB" w:rsidRDefault="00F429FB" w:rsidP="00D40FEF">
      <w:pPr>
        <w:pStyle w:val="Level1"/>
        <w:ind w:left="360"/>
        <w:rPr>
          <w:sz w:val="22"/>
          <w:szCs w:val="22"/>
        </w:rPr>
      </w:pPr>
      <w:r w:rsidRPr="00F429FB">
        <w:rPr>
          <w:sz w:val="22"/>
          <w:szCs w:val="22"/>
        </w:rPr>
        <w:t>Th</w:t>
      </w:r>
      <w:r>
        <w:rPr>
          <w:sz w:val="22"/>
          <w:szCs w:val="22"/>
        </w:rPr>
        <w:t>e</w:t>
      </w:r>
      <w:r w:rsidRPr="00F429FB">
        <w:rPr>
          <w:sz w:val="22"/>
          <w:szCs w:val="22"/>
        </w:rPr>
        <w:t>se requirements were removed from the final rule by the Commission SRM.</w:t>
      </w:r>
    </w:p>
    <w:p w14:paraId="3EBA6574" w14:textId="77777777" w:rsidR="00F429FB" w:rsidRPr="00F429FB" w:rsidRDefault="00F429FB" w:rsidP="00D40FEF">
      <w:pPr>
        <w:pStyle w:val="Level1"/>
        <w:ind w:left="360"/>
        <w:rPr>
          <w:sz w:val="22"/>
          <w:szCs w:val="22"/>
        </w:rPr>
      </w:pPr>
    </w:p>
    <w:p w14:paraId="022B2A65" w14:textId="377BD821" w:rsidR="00E54BD2" w:rsidRDefault="00F429FB" w:rsidP="00E54BD2">
      <w:pPr>
        <w:pStyle w:val="Level1"/>
        <w:ind w:left="360" w:hanging="360"/>
        <w:rPr>
          <w:sz w:val="22"/>
          <w:szCs w:val="22"/>
        </w:rPr>
      </w:pPr>
      <w:r w:rsidRPr="00F429FB">
        <w:rPr>
          <w:sz w:val="22"/>
          <w:szCs w:val="22"/>
        </w:rPr>
        <w:t>2.</w:t>
      </w:r>
      <w:r w:rsidRPr="00F429FB">
        <w:rPr>
          <w:sz w:val="22"/>
          <w:szCs w:val="22"/>
        </w:rPr>
        <w:tab/>
      </w:r>
      <w:r w:rsidR="00E54BD2">
        <w:rPr>
          <w:sz w:val="22"/>
          <w:szCs w:val="22"/>
        </w:rPr>
        <w:t xml:space="preserve">Staffing </w:t>
      </w:r>
      <w:r w:rsidR="00E54BD2" w:rsidRPr="00F429FB">
        <w:rPr>
          <w:sz w:val="22"/>
          <w:szCs w:val="22"/>
        </w:rPr>
        <w:t xml:space="preserve">requirements </w:t>
      </w:r>
      <w:r w:rsidR="00E54BD2">
        <w:rPr>
          <w:sz w:val="22"/>
          <w:szCs w:val="22"/>
        </w:rPr>
        <w:t>contained</w:t>
      </w:r>
      <w:r w:rsidR="00E54BD2" w:rsidRPr="00F429FB">
        <w:rPr>
          <w:sz w:val="22"/>
          <w:szCs w:val="22"/>
        </w:rPr>
        <w:t xml:space="preserve"> in dr</w:t>
      </w:r>
      <w:r w:rsidR="00E54BD2">
        <w:rPr>
          <w:sz w:val="22"/>
          <w:szCs w:val="22"/>
        </w:rPr>
        <w:t>aft final 10 CFR 50.155(b)(5)</w:t>
      </w:r>
    </w:p>
    <w:p w14:paraId="4D0607AF" w14:textId="77777777" w:rsidR="00E54BD2" w:rsidRDefault="00E54BD2" w:rsidP="00E54BD2">
      <w:pPr>
        <w:pStyle w:val="Level1"/>
        <w:ind w:left="360"/>
        <w:rPr>
          <w:sz w:val="22"/>
          <w:szCs w:val="22"/>
        </w:rPr>
      </w:pPr>
    </w:p>
    <w:p w14:paraId="7B6197BE" w14:textId="77777777" w:rsidR="00E54BD2" w:rsidRPr="00F429FB" w:rsidRDefault="00E54BD2" w:rsidP="00E54BD2">
      <w:pPr>
        <w:pStyle w:val="Level1"/>
        <w:ind w:left="360"/>
        <w:rPr>
          <w:sz w:val="22"/>
          <w:szCs w:val="22"/>
        </w:rPr>
      </w:pPr>
      <w:r w:rsidRPr="00F429FB">
        <w:rPr>
          <w:sz w:val="22"/>
          <w:szCs w:val="22"/>
        </w:rPr>
        <w:t xml:space="preserve">These requirements were removed from the rule </w:t>
      </w:r>
      <w:r>
        <w:rPr>
          <w:sz w:val="22"/>
          <w:szCs w:val="22"/>
        </w:rPr>
        <w:t>by</w:t>
      </w:r>
      <w:r w:rsidRPr="00F429FB">
        <w:rPr>
          <w:sz w:val="22"/>
          <w:szCs w:val="22"/>
        </w:rPr>
        <w:t xml:space="preserve"> the Commission SRM.  However, the supporting guidance continues to address staffing </w:t>
      </w:r>
      <w:r>
        <w:rPr>
          <w:sz w:val="22"/>
          <w:szCs w:val="22"/>
        </w:rPr>
        <w:t xml:space="preserve">as </w:t>
      </w:r>
      <w:r w:rsidRPr="00F429FB">
        <w:rPr>
          <w:sz w:val="22"/>
          <w:szCs w:val="22"/>
        </w:rPr>
        <w:t>part of an acceptable means for implementation of the rule requirements.</w:t>
      </w:r>
    </w:p>
    <w:p w14:paraId="6A075CB1" w14:textId="77777777" w:rsidR="00E54BD2" w:rsidRPr="00F429FB" w:rsidRDefault="00E54BD2" w:rsidP="00E54BD2">
      <w:pPr>
        <w:pStyle w:val="Level1"/>
        <w:ind w:left="360"/>
        <w:rPr>
          <w:sz w:val="22"/>
          <w:szCs w:val="22"/>
        </w:rPr>
      </w:pPr>
    </w:p>
    <w:p w14:paraId="3B6529B8" w14:textId="14B22E53" w:rsidR="00F429FB" w:rsidRDefault="00E54BD2" w:rsidP="00194DB1">
      <w:pPr>
        <w:pStyle w:val="Level1"/>
        <w:ind w:left="360" w:hanging="360"/>
        <w:rPr>
          <w:sz w:val="22"/>
          <w:szCs w:val="22"/>
        </w:rPr>
      </w:pPr>
      <w:r>
        <w:rPr>
          <w:sz w:val="22"/>
          <w:szCs w:val="22"/>
        </w:rPr>
        <w:t>3.</w:t>
      </w:r>
      <w:r>
        <w:rPr>
          <w:sz w:val="22"/>
          <w:szCs w:val="22"/>
        </w:rPr>
        <w:tab/>
      </w:r>
      <w:r w:rsidR="00F429FB" w:rsidRPr="00F429FB">
        <w:rPr>
          <w:sz w:val="22"/>
          <w:szCs w:val="22"/>
        </w:rPr>
        <w:t>Reasonable pro</w:t>
      </w:r>
      <w:r w:rsidR="00F429FB">
        <w:rPr>
          <w:sz w:val="22"/>
          <w:szCs w:val="22"/>
        </w:rPr>
        <w:t>tection for reevaluated hazards contained</w:t>
      </w:r>
      <w:r w:rsidR="00F429FB" w:rsidRPr="00F429FB">
        <w:rPr>
          <w:sz w:val="22"/>
          <w:szCs w:val="22"/>
        </w:rPr>
        <w:t xml:space="preserve"> in dr</w:t>
      </w:r>
      <w:r w:rsidR="00F429FB">
        <w:rPr>
          <w:sz w:val="22"/>
          <w:szCs w:val="22"/>
        </w:rPr>
        <w:t>aft final 10 CFR 50.155(c)(3)</w:t>
      </w:r>
    </w:p>
    <w:p w14:paraId="4E5C83F4" w14:textId="77777777" w:rsidR="00F429FB" w:rsidRDefault="00F429FB" w:rsidP="00D40FEF">
      <w:pPr>
        <w:pStyle w:val="Level1"/>
        <w:ind w:left="360"/>
        <w:rPr>
          <w:sz w:val="22"/>
          <w:szCs w:val="22"/>
        </w:rPr>
      </w:pPr>
    </w:p>
    <w:p w14:paraId="2BBD1521" w14:textId="2819A66B" w:rsidR="00F429FB" w:rsidRPr="00F429FB" w:rsidRDefault="00F429FB" w:rsidP="00D40FEF">
      <w:pPr>
        <w:pStyle w:val="Level1"/>
        <w:ind w:left="360"/>
        <w:rPr>
          <w:sz w:val="22"/>
          <w:szCs w:val="22"/>
        </w:rPr>
      </w:pPr>
      <w:r>
        <w:rPr>
          <w:sz w:val="22"/>
          <w:szCs w:val="22"/>
        </w:rPr>
        <w:t>The</w:t>
      </w:r>
      <w:r w:rsidRPr="00F429FB">
        <w:rPr>
          <w:sz w:val="22"/>
          <w:szCs w:val="22"/>
        </w:rPr>
        <w:t xml:space="preserve">se requirements </w:t>
      </w:r>
      <w:r w:rsidR="00C1267A">
        <w:rPr>
          <w:sz w:val="22"/>
          <w:szCs w:val="22"/>
        </w:rPr>
        <w:t>were</w:t>
      </w:r>
      <w:r w:rsidRPr="00F429FB">
        <w:rPr>
          <w:sz w:val="22"/>
          <w:szCs w:val="22"/>
        </w:rPr>
        <w:t xml:space="preserve"> no longer needed as a result of the Commission SRM direction to remove r</w:t>
      </w:r>
      <w:r>
        <w:rPr>
          <w:sz w:val="22"/>
          <w:szCs w:val="22"/>
        </w:rPr>
        <w:t>eevaluated hazard requirements.</w:t>
      </w:r>
    </w:p>
    <w:p w14:paraId="0FE06A95" w14:textId="5E1D811C" w:rsidR="00F429FB" w:rsidRPr="00F429FB" w:rsidRDefault="00F429FB" w:rsidP="00D40FEF">
      <w:pPr>
        <w:pStyle w:val="Level1"/>
        <w:ind w:left="360"/>
        <w:rPr>
          <w:sz w:val="22"/>
          <w:szCs w:val="22"/>
        </w:rPr>
      </w:pPr>
    </w:p>
    <w:p w14:paraId="580E8D29" w14:textId="17B0BD9E" w:rsidR="00F429FB" w:rsidRDefault="00F429FB" w:rsidP="00194DB1">
      <w:pPr>
        <w:pStyle w:val="Level1"/>
        <w:ind w:left="360" w:hanging="360"/>
        <w:rPr>
          <w:sz w:val="22"/>
          <w:szCs w:val="22"/>
        </w:rPr>
      </w:pPr>
      <w:r>
        <w:rPr>
          <w:sz w:val="22"/>
          <w:szCs w:val="22"/>
        </w:rPr>
        <w:t>4.</w:t>
      </w:r>
      <w:r>
        <w:rPr>
          <w:sz w:val="22"/>
          <w:szCs w:val="22"/>
        </w:rPr>
        <w:tab/>
        <w:t xml:space="preserve">Communications requirements contained in </w:t>
      </w:r>
      <w:r w:rsidRPr="00F429FB">
        <w:rPr>
          <w:sz w:val="22"/>
          <w:szCs w:val="22"/>
        </w:rPr>
        <w:t>draft final 10</w:t>
      </w:r>
      <w:r>
        <w:rPr>
          <w:sz w:val="22"/>
          <w:szCs w:val="22"/>
        </w:rPr>
        <w:t xml:space="preserve"> CFR 50.155(c)(4)</w:t>
      </w:r>
    </w:p>
    <w:p w14:paraId="592343A1" w14:textId="77777777" w:rsidR="00F429FB" w:rsidRDefault="00F429FB" w:rsidP="00D40FEF">
      <w:pPr>
        <w:pStyle w:val="Level1"/>
        <w:ind w:left="360"/>
        <w:rPr>
          <w:sz w:val="22"/>
          <w:szCs w:val="22"/>
        </w:rPr>
      </w:pPr>
    </w:p>
    <w:p w14:paraId="30288E14" w14:textId="0CC2FFB0" w:rsidR="00F429FB" w:rsidRPr="00F429FB" w:rsidRDefault="00F429FB" w:rsidP="00D40FEF">
      <w:pPr>
        <w:pStyle w:val="Level1"/>
        <w:ind w:left="360"/>
        <w:rPr>
          <w:sz w:val="22"/>
          <w:szCs w:val="22"/>
        </w:rPr>
      </w:pPr>
      <w:r w:rsidRPr="00F429FB">
        <w:rPr>
          <w:sz w:val="22"/>
          <w:szCs w:val="22"/>
        </w:rPr>
        <w:t xml:space="preserve">These requirements </w:t>
      </w:r>
      <w:r>
        <w:rPr>
          <w:sz w:val="22"/>
          <w:szCs w:val="22"/>
        </w:rPr>
        <w:t>were</w:t>
      </w:r>
      <w:r w:rsidRPr="00F429FB">
        <w:rPr>
          <w:sz w:val="22"/>
          <w:szCs w:val="22"/>
        </w:rPr>
        <w:t xml:space="preserve"> removed from the rule </w:t>
      </w:r>
      <w:r w:rsidR="00C1267A">
        <w:rPr>
          <w:sz w:val="22"/>
          <w:szCs w:val="22"/>
        </w:rPr>
        <w:t>by</w:t>
      </w:r>
      <w:r w:rsidRPr="00F429FB">
        <w:rPr>
          <w:sz w:val="22"/>
          <w:szCs w:val="22"/>
        </w:rPr>
        <w:t xml:space="preserve"> the Commission SRM.  However, the supporting guidance continues to address communications as part of an acceptable means for implementation of the rule requirements.</w:t>
      </w:r>
    </w:p>
    <w:p w14:paraId="1EDF6451" w14:textId="77777777" w:rsidR="00F429FB" w:rsidRPr="00F429FB" w:rsidRDefault="00F429FB" w:rsidP="00D40FEF">
      <w:pPr>
        <w:pStyle w:val="Level1"/>
        <w:ind w:left="360"/>
        <w:rPr>
          <w:sz w:val="22"/>
          <w:szCs w:val="22"/>
        </w:rPr>
      </w:pPr>
    </w:p>
    <w:p w14:paraId="117DAD9B" w14:textId="36F6329B" w:rsidR="00E54BD2" w:rsidRDefault="00F429FB" w:rsidP="00E54BD2">
      <w:pPr>
        <w:pStyle w:val="Level1"/>
        <w:ind w:left="360" w:hanging="360"/>
        <w:rPr>
          <w:sz w:val="22"/>
          <w:szCs w:val="22"/>
        </w:rPr>
      </w:pPr>
      <w:r w:rsidRPr="00F429FB">
        <w:rPr>
          <w:sz w:val="22"/>
          <w:szCs w:val="22"/>
        </w:rPr>
        <w:t>5.</w:t>
      </w:r>
      <w:r w:rsidRPr="00F429FB">
        <w:rPr>
          <w:sz w:val="22"/>
          <w:szCs w:val="22"/>
        </w:rPr>
        <w:tab/>
      </w:r>
      <w:r w:rsidR="00E54BD2" w:rsidRPr="00F429FB">
        <w:rPr>
          <w:sz w:val="22"/>
          <w:szCs w:val="22"/>
        </w:rPr>
        <w:t xml:space="preserve">Training with regard to </w:t>
      </w:r>
      <w:r w:rsidR="00E54BD2">
        <w:rPr>
          <w:sz w:val="22"/>
          <w:szCs w:val="22"/>
        </w:rPr>
        <w:t>q</w:t>
      </w:r>
      <w:r w:rsidR="00E54BD2" w:rsidRPr="00F429FB">
        <w:rPr>
          <w:sz w:val="22"/>
          <w:szCs w:val="22"/>
        </w:rPr>
        <w:t xml:space="preserve">ualification and the systems approach to training </w:t>
      </w:r>
      <w:r w:rsidR="00E54BD2">
        <w:rPr>
          <w:sz w:val="22"/>
          <w:szCs w:val="22"/>
        </w:rPr>
        <w:t>contained in draft final 10 CFR 50.155(d)</w:t>
      </w:r>
    </w:p>
    <w:p w14:paraId="1D79D998" w14:textId="77777777" w:rsidR="00E54BD2" w:rsidRDefault="00E54BD2" w:rsidP="00E54BD2">
      <w:pPr>
        <w:pStyle w:val="Level1"/>
        <w:ind w:left="360"/>
        <w:rPr>
          <w:sz w:val="22"/>
          <w:szCs w:val="22"/>
        </w:rPr>
      </w:pPr>
    </w:p>
    <w:p w14:paraId="669D5E3B" w14:textId="77777777" w:rsidR="00E54BD2" w:rsidRPr="00F429FB" w:rsidRDefault="00E54BD2" w:rsidP="00E54BD2">
      <w:pPr>
        <w:pStyle w:val="Level1"/>
        <w:ind w:left="360"/>
        <w:rPr>
          <w:sz w:val="22"/>
          <w:szCs w:val="22"/>
        </w:rPr>
      </w:pPr>
      <w:r w:rsidRPr="00F429FB">
        <w:rPr>
          <w:sz w:val="22"/>
          <w:szCs w:val="22"/>
        </w:rPr>
        <w:t xml:space="preserve">These elements of the training requirements were removed from the final rule </w:t>
      </w:r>
      <w:r>
        <w:rPr>
          <w:sz w:val="22"/>
          <w:szCs w:val="22"/>
        </w:rPr>
        <w:t>by</w:t>
      </w:r>
      <w:r w:rsidRPr="00F429FB">
        <w:rPr>
          <w:sz w:val="22"/>
          <w:szCs w:val="22"/>
        </w:rPr>
        <w:t xml:space="preserve"> the Commission SRM.</w:t>
      </w:r>
    </w:p>
    <w:p w14:paraId="3E34D83F" w14:textId="77777777" w:rsidR="00E54BD2" w:rsidRPr="00F429FB" w:rsidRDefault="00E54BD2" w:rsidP="00E54BD2">
      <w:pPr>
        <w:pStyle w:val="Level1"/>
        <w:ind w:left="360"/>
        <w:rPr>
          <w:sz w:val="22"/>
          <w:szCs w:val="22"/>
        </w:rPr>
      </w:pPr>
    </w:p>
    <w:p w14:paraId="4B34D5DC" w14:textId="1E0028A5" w:rsidR="00F429FB" w:rsidRDefault="00E54BD2" w:rsidP="00E10767">
      <w:pPr>
        <w:pStyle w:val="Level1"/>
        <w:keepNext/>
        <w:ind w:left="360" w:hanging="360"/>
        <w:rPr>
          <w:sz w:val="22"/>
          <w:szCs w:val="22"/>
        </w:rPr>
      </w:pPr>
      <w:r>
        <w:rPr>
          <w:sz w:val="22"/>
          <w:szCs w:val="22"/>
        </w:rPr>
        <w:t>6.</w:t>
      </w:r>
      <w:r>
        <w:rPr>
          <w:sz w:val="22"/>
          <w:szCs w:val="22"/>
        </w:rPr>
        <w:tab/>
      </w:r>
      <w:r w:rsidR="00F429FB" w:rsidRPr="00F429FB">
        <w:rPr>
          <w:sz w:val="22"/>
          <w:szCs w:val="22"/>
        </w:rPr>
        <w:t xml:space="preserve">Drills or </w:t>
      </w:r>
      <w:r w:rsidR="00C1267A">
        <w:rPr>
          <w:sz w:val="22"/>
          <w:szCs w:val="22"/>
        </w:rPr>
        <w:t>e</w:t>
      </w:r>
      <w:r w:rsidR="00F429FB" w:rsidRPr="00F429FB">
        <w:rPr>
          <w:sz w:val="22"/>
          <w:szCs w:val="22"/>
        </w:rPr>
        <w:t>xercises</w:t>
      </w:r>
      <w:r w:rsidR="00F429FB">
        <w:rPr>
          <w:sz w:val="22"/>
          <w:szCs w:val="22"/>
        </w:rPr>
        <w:t xml:space="preserve"> requirements contained in </w:t>
      </w:r>
      <w:r w:rsidR="00F429FB" w:rsidRPr="00F429FB">
        <w:rPr>
          <w:sz w:val="22"/>
          <w:szCs w:val="22"/>
        </w:rPr>
        <w:t>draft final 10 CFR 50.155(e)</w:t>
      </w:r>
    </w:p>
    <w:p w14:paraId="42F858D6" w14:textId="77777777" w:rsidR="00F429FB" w:rsidRDefault="00F429FB" w:rsidP="00E10767">
      <w:pPr>
        <w:pStyle w:val="Level1"/>
        <w:keepNext/>
        <w:ind w:left="360"/>
        <w:rPr>
          <w:sz w:val="22"/>
          <w:szCs w:val="22"/>
        </w:rPr>
      </w:pPr>
    </w:p>
    <w:p w14:paraId="6CD327D1" w14:textId="60C1B8F9" w:rsidR="00F429FB" w:rsidRPr="00F429FB" w:rsidRDefault="00C1267A" w:rsidP="00D40FEF">
      <w:pPr>
        <w:pStyle w:val="Level1"/>
        <w:ind w:left="360"/>
        <w:rPr>
          <w:sz w:val="22"/>
          <w:szCs w:val="22"/>
        </w:rPr>
      </w:pPr>
      <w:r>
        <w:rPr>
          <w:sz w:val="22"/>
          <w:szCs w:val="22"/>
        </w:rPr>
        <w:t>T</w:t>
      </w:r>
      <w:r w:rsidR="00F429FB" w:rsidRPr="00F429FB">
        <w:rPr>
          <w:sz w:val="22"/>
          <w:szCs w:val="22"/>
        </w:rPr>
        <w:t xml:space="preserve">hese requirements </w:t>
      </w:r>
      <w:r>
        <w:rPr>
          <w:sz w:val="22"/>
          <w:szCs w:val="22"/>
        </w:rPr>
        <w:t>were</w:t>
      </w:r>
      <w:r w:rsidR="00F429FB" w:rsidRPr="00F429FB">
        <w:rPr>
          <w:sz w:val="22"/>
          <w:szCs w:val="22"/>
        </w:rPr>
        <w:t xml:space="preserve"> removed from the rule </w:t>
      </w:r>
      <w:r>
        <w:rPr>
          <w:sz w:val="22"/>
          <w:szCs w:val="22"/>
        </w:rPr>
        <w:t>by</w:t>
      </w:r>
      <w:r w:rsidR="00F429FB" w:rsidRPr="00F429FB">
        <w:rPr>
          <w:sz w:val="22"/>
          <w:szCs w:val="22"/>
        </w:rPr>
        <w:t xml:space="preserve"> the Commission SRM.  However, the supporting guidance continues to address drills or exercises as part of an acceptable means for implementation of the rule requirements.</w:t>
      </w:r>
    </w:p>
    <w:p w14:paraId="7BAB6200" w14:textId="77777777" w:rsidR="00F429FB" w:rsidRPr="00F429FB" w:rsidRDefault="00F429FB" w:rsidP="00D40FEF">
      <w:pPr>
        <w:pStyle w:val="Level1"/>
        <w:ind w:left="360"/>
        <w:rPr>
          <w:sz w:val="22"/>
          <w:szCs w:val="22"/>
        </w:rPr>
      </w:pPr>
    </w:p>
    <w:p w14:paraId="11590B37" w14:textId="0EBD767A" w:rsidR="00C1267A" w:rsidRDefault="00F429FB" w:rsidP="00194DB1">
      <w:pPr>
        <w:pStyle w:val="Level1"/>
        <w:ind w:left="360" w:hanging="360"/>
        <w:rPr>
          <w:sz w:val="22"/>
          <w:szCs w:val="22"/>
        </w:rPr>
      </w:pPr>
      <w:r w:rsidRPr="00F429FB">
        <w:rPr>
          <w:sz w:val="22"/>
          <w:szCs w:val="22"/>
        </w:rPr>
        <w:t>7.</w:t>
      </w:r>
      <w:r w:rsidRPr="00F429FB">
        <w:rPr>
          <w:sz w:val="22"/>
          <w:szCs w:val="22"/>
        </w:rPr>
        <w:tab/>
        <w:t xml:space="preserve">Flexible </w:t>
      </w:r>
      <w:r w:rsidR="00C1267A">
        <w:rPr>
          <w:sz w:val="22"/>
          <w:szCs w:val="22"/>
        </w:rPr>
        <w:t>s</w:t>
      </w:r>
      <w:r w:rsidRPr="00F429FB">
        <w:rPr>
          <w:sz w:val="22"/>
          <w:szCs w:val="22"/>
        </w:rPr>
        <w:t>cheduling</w:t>
      </w:r>
      <w:r w:rsidR="00C1267A">
        <w:rPr>
          <w:sz w:val="22"/>
          <w:szCs w:val="22"/>
        </w:rPr>
        <w:t xml:space="preserve"> requirements contained </w:t>
      </w:r>
      <w:r w:rsidRPr="00F429FB">
        <w:rPr>
          <w:sz w:val="22"/>
          <w:szCs w:val="22"/>
        </w:rPr>
        <w:t>in dr</w:t>
      </w:r>
      <w:r w:rsidR="00C1267A">
        <w:rPr>
          <w:sz w:val="22"/>
          <w:szCs w:val="22"/>
        </w:rPr>
        <w:t>aft final 10 CFR 50.155(h)(2)</w:t>
      </w:r>
    </w:p>
    <w:p w14:paraId="2270DD2C" w14:textId="77777777" w:rsidR="00C1267A" w:rsidRDefault="00C1267A" w:rsidP="00D40FEF">
      <w:pPr>
        <w:pStyle w:val="Level1"/>
        <w:ind w:left="360"/>
        <w:rPr>
          <w:sz w:val="22"/>
          <w:szCs w:val="22"/>
        </w:rPr>
      </w:pPr>
    </w:p>
    <w:p w14:paraId="58030466" w14:textId="77A6B729" w:rsidR="002858BA" w:rsidRDefault="00F429FB" w:rsidP="00D40FEF">
      <w:pPr>
        <w:pStyle w:val="Level1"/>
        <w:ind w:left="360"/>
        <w:rPr>
          <w:sz w:val="22"/>
          <w:szCs w:val="22"/>
        </w:rPr>
      </w:pPr>
      <w:r w:rsidRPr="00F429FB">
        <w:rPr>
          <w:sz w:val="22"/>
          <w:szCs w:val="22"/>
        </w:rPr>
        <w:t xml:space="preserve">This </w:t>
      </w:r>
      <w:r w:rsidR="00C1267A">
        <w:rPr>
          <w:sz w:val="22"/>
          <w:szCs w:val="22"/>
        </w:rPr>
        <w:t xml:space="preserve">flexible scheduling </w:t>
      </w:r>
      <w:r w:rsidRPr="00F429FB">
        <w:rPr>
          <w:sz w:val="22"/>
          <w:szCs w:val="22"/>
        </w:rPr>
        <w:t xml:space="preserve">requirements </w:t>
      </w:r>
      <w:r w:rsidR="00C1267A">
        <w:rPr>
          <w:sz w:val="22"/>
          <w:szCs w:val="22"/>
        </w:rPr>
        <w:t>were</w:t>
      </w:r>
      <w:r w:rsidRPr="00F429FB">
        <w:rPr>
          <w:sz w:val="22"/>
          <w:szCs w:val="22"/>
        </w:rPr>
        <w:t xml:space="preserve"> provide</w:t>
      </w:r>
      <w:r w:rsidR="00C1267A">
        <w:rPr>
          <w:sz w:val="22"/>
          <w:szCs w:val="22"/>
        </w:rPr>
        <w:t>d for</w:t>
      </w:r>
      <w:r w:rsidRPr="00F429FB">
        <w:rPr>
          <w:sz w:val="22"/>
          <w:szCs w:val="22"/>
        </w:rPr>
        <w:t xml:space="preserve"> licensees that needed to address the reevaluated hazards requirements.  </w:t>
      </w:r>
      <w:r w:rsidR="00C1267A">
        <w:rPr>
          <w:sz w:val="22"/>
          <w:szCs w:val="22"/>
        </w:rPr>
        <w:t>Because</w:t>
      </w:r>
      <w:r w:rsidRPr="00F429FB">
        <w:rPr>
          <w:sz w:val="22"/>
          <w:szCs w:val="22"/>
        </w:rPr>
        <w:t xml:space="preserve"> the Commission SRM removed the reevaluated hazards requirements</w:t>
      </w:r>
      <w:r w:rsidR="00C1267A">
        <w:rPr>
          <w:sz w:val="22"/>
          <w:szCs w:val="22"/>
        </w:rPr>
        <w:t>,</w:t>
      </w:r>
      <w:r w:rsidRPr="00F429FB">
        <w:rPr>
          <w:sz w:val="22"/>
          <w:szCs w:val="22"/>
        </w:rPr>
        <w:t xml:space="preserve"> this flexibility </w:t>
      </w:r>
      <w:r w:rsidR="00C1267A">
        <w:rPr>
          <w:sz w:val="22"/>
          <w:szCs w:val="22"/>
        </w:rPr>
        <w:t>was</w:t>
      </w:r>
      <w:r w:rsidRPr="00F429FB">
        <w:rPr>
          <w:sz w:val="22"/>
          <w:szCs w:val="22"/>
        </w:rPr>
        <w:t xml:space="preserve"> no longer needed.</w:t>
      </w:r>
    </w:p>
    <w:p w14:paraId="06CCB013" w14:textId="0DA98703" w:rsidR="008B0B61" w:rsidRDefault="008B0B61" w:rsidP="00260D4F">
      <w:pPr>
        <w:pStyle w:val="Heading2"/>
        <w:numPr>
          <w:ilvl w:val="1"/>
          <w:numId w:val="7"/>
        </w:numPr>
      </w:pPr>
      <w:bookmarkStart w:id="42" w:name="_Toc404777845"/>
      <w:bookmarkStart w:id="43" w:name="_Toc460911616"/>
      <w:bookmarkStart w:id="44" w:name="_Toc460911658"/>
      <w:bookmarkStart w:id="45" w:name="_Toc460911700"/>
      <w:bookmarkStart w:id="46" w:name="_Toc460911742"/>
      <w:bookmarkStart w:id="47" w:name="_Toc460911784"/>
      <w:bookmarkStart w:id="48" w:name="_Toc460932034"/>
      <w:bookmarkStart w:id="49" w:name="_Toc460932080"/>
      <w:bookmarkStart w:id="50" w:name="_Toc460932126"/>
      <w:bookmarkStart w:id="51" w:name="_Toc460932172"/>
      <w:bookmarkStart w:id="52" w:name="_Toc532457276"/>
      <w:r w:rsidRPr="00ED1D75">
        <w:t>Background</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7F04DAA" w14:textId="0FE31D9D" w:rsidR="005826D2" w:rsidRDefault="005826D2" w:rsidP="0062754D">
      <w:pPr>
        <w:rPr>
          <w:rFonts w:eastAsiaTheme="minorHAnsi" w:cs="Arial"/>
          <w:sz w:val="22"/>
          <w:szCs w:val="22"/>
        </w:rPr>
      </w:pPr>
      <w:r>
        <w:rPr>
          <w:rFonts w:eastAsiaTheme="minorHAnsi" w:cs="Arial"/>
          <w:sz w:val="22"/>
          <w:szCs w:val="22"/>
        </w:rPr>
        <w:t>Since the draft final rulemaking package</w:t>
      </w:r>
      <w:r w:rsidR="00F323C6">
        <w:rPr>
          <w:rFonts w:eastAsiaTheme="minorHAnsi" w:cs="Arial"/>
          <w:sz w:val="22"/>
          <w:szCs w:val="22"/>
        </w:rPr>
        <w:t>,</w:t>
      </w:r>
      <w:r>
        <w:rPr>
          <w:rFonts w:eastAsiaTheme="minorHAnsi" w:cs="Arial"/>
          <w:sz w:val="22"/>
          <w:szCs w:val="22"/>
        </w:rPr>
        <w:t xml:space="preserve"> SECY-16-0142</w:t>
      </w:r>
      <w:r w:rsidR="00F323C6">
        <w:rPr>
          <w:rFonts w:eastAsiaTheme="minorHAnsi" w:cs="Arial"/>
          <w:sz w:val="22"/>
          <w:szCs w:val="22"/>
        </w:rPr>
        <w:t>,</w:t>
      </w:r>
      <w:r>
        <w:rPr>
          <w:rFonts w:eastAsiaTheme="minorHAnsi" w:cs="Arial"/>
          <w:sz w:val="22"/>
          <w:szCs w:val="22"/>
        </w:rPr>
        <w:t xml:space="preserve"> </w:t>
      </w:r>
      <w:r w:rsidR="00F323C6">
        <w:rPr>
          <w:rFonts w:eastAsiaTheme="minorHAnsi" w:cs="Arial"/>
          <w:sz w:val="22"/>
          <w:szCs w:val="22"/>
        </w:rPr>
        <w:t>“Draft Final Rule – Mitigation of Beyond-Design-Basis Events” (</w:t>
      </w:r>
      <w:r w:rsidR="00F323C6" w:rsidRPr="00BC2728">
        <w:rPr>
          <w:rFonts w:eastAsiaTheme="minorHAnsi" w:cs="Arial"/>
          <w:sz w:val="22"/>
          <w:szCs w:val="22"/>
        </w:rPr>
        <w:t>NRC 2016</w:t>
      </w:r>
      <w:r w:rsidR="00F323C6">
        <w:rPr>
          <w:rFonts w:eastAsiaTheme="minorHAnsi" w:cs="Arial"/>
          <w:sz w:val="22"/>
          <w:szCs w:val="22"/>
        </w:rPr>
        <w:t xml:space="preserve">) </w:t>
      </w:r>
      <w:r>
        <w:rPr>
          <w:rFonts w:eastAsiaTheme="minorHAnsi" w:cs="Arial"/>
          <w:sz w:val="22"/>
          <w:szCs w:val="22"/>
        </w:rPr>
        <w:t>was submitted to the Commission, the NRC staff and the industry have completed most of the actions addressed by the rule and have made substantial process on the remaining issues.  Given the Commission direction</w:t>
      </w:r>
      <w:r w:rsidRPr="00F434AF">
        <w:rPr>
          <w:rFonts w:eastAsiaTheme="minorHAnsi" w:cs="Arial"/>
          <w:sz w:val="22"/>
          <w:szCs w:val="22"/>
        </w:rPr>
        <w:t xml:space="preserve">, this addenda </w:t>
      </w:r>
      <w:r w:rsidR="00E10767">
        <w:rPr>
          <w:rFonts w:eastAsiaTheme="minorHAnsi" w:cs="Arial"/>
          <w:sz w:val="22"/>
          <w:szCs w:val="22"/>
        </w:rPr>
        <w:t xml:space="preserve">to the regulatory analysis </w:t>
      </w:r>
      <w:r w:rsidR="00E10767" w:rsidRPr="001E1061">
        <w:rPr>
          <w:sz w:val="22"/>
          <w:szCs w:val="22"/>
        </w:rPr>
        <w:t>document</w:t>
      </w:r>
      <w:r w:rsidR="00E10767">
        <w:rPr>
          <w:sz w:val="22"/>
          <w:szCs w:val="22"/>
        </w:rPr>
        <w:t>s</w:t>
      </w:r>
      <w:r w:rsidR="00E10767" w:rsidRPr="001E1061">
        <w:rPr>
          <w:sz w:val="22"/>
          <w:szCs w:val="22"/>
        </w:rPr>
        <w:t xml:space="preserve"> the incremental impacts of the </w:t>
      </w:r>
      <w:r w:rsidR="00C8087E">
        <w:rPr>
          <w:rFonts w:eastAsiaTheme="minorHAnsi" w:cs="Arial"/>
          <w:sz w:val="22"/>
          <w:szCs w:val="22"/>
        </w:rPr>
        <w:t xml:space="preserve">Commission approved </w:t>
      </w:r>
      <w:r w:rsidR="001D48D7">
        <w:rPr>
          <w:rFonts w:eastAsiaTheme="minorHAnsi" w:cs="Arial"/>
          <w:sz w:val="22"/>
          <w:szCs w:val="22"/>
        </w:rPr>
        <w:t xml:space="preserve">final </w:t>
      </w:r>
      <w:r w:rsidR="00C8087E">
        <w:rPr>
          <w:rFonts w:eastAsiaTheme="minorHAnsi" w:cs="Arial"/>
          <w:sz w:val="22"/>
          <w:szCs w:val="22"/>
        </w:rPr>
        <w:t>rule.</w:t>
      </w:r>
    </w:p>
    <w:p w14:paraId="480358E8" w14:textId="3AA31C6D" w:rsidR="008B0B61" w:rsidRDefault="005A58C3" w:rsidP="00260D4F">
      <w:pPr>
        <w:pStyle w:val="Heading2"/>
        <w:numPr>
          <w:ilvl w:val="1"/>
          <w:numId w:val="7"/>
        </w:numPr>
      </w:pPr>
      <w:bookmarkStart w:id="53" w:name="_Toc354162806"/>
      <w:bookmarkStart w:id="54" w:name="_Toc377386140"/>
      <w:bookmarkStart w:id="55" w:name="_Toc381266972"/>
      <w:bookmarkStart w:id="56" w:name="_Toc381267316"/>
      <w:bookmarkStart w:id="57" w:name="_Toc404777846"/>
      <w:bookmarkStart w:id="58" w:name="_Toc460911617"/>
      <w:bookmarkStart w:id="59" w:name="_Toc460911659"/>
      <w:bookmarkStart w:id="60" w:name="_Toc460911701"/>
      <w:bookmarkStart w:id="61" w:name="_Toc460911743"/>
      <w:bookmarkStart w:id="62" w:name="_Toc460911785"/>
      <w:bookmarkStart w:id="63" w:name="_Toc460932035"/>
      <w:bookmarkStart w:id="64" w:name="_Toc460932081"/>
      <w:bookmarkStart w:id="65" w:name="_Toc460932127"/>
      <w:bookmarkStart w:id="66" w:name="_Toc460932173"/>
      <w:bookmarkStart w:id="67" w:name="_Toc532457277"/>
      <w:r w:rsidRPr="00ED1D75">
        <w:t xml:space="preserve">Statement of the Problem and </w:t>
      </w:r>
      <w:r w:rsidR="007C23B8">
        <w:t>U.S. </w:t>
      </w:r>
      <w:r w:rsidRPr="00ED1D75">
        <w:t>Nuclear Regulatory Commission Objectives for the Rulemaking</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D33D087" w14:textId="24FBE330" w:rsidR="008612B8" w:rsidRPr="007F7E04" w:rsidRDefault="008612B8" w:rsidP="005D20EF">
      <w:pPr>
        <w:rPr>
          <w:rFonts w:cs="Arial"/>
          <w:bCs/>
          <w:sz w:val="22"/>
          <w:szCs w:val="22"/>
        </w:rPr>
      </w:pPr>
      <w:r w:rsidRPr="007F7E04">
        <w:rPr>
          <w:rFonts w:cs="Arial"/>
          <w:bCs/>
          <w:sz w:val="22"/>
          <w:szCs w:val="22"/>
        </w:rPr>
        <w:t xml:space="preserve">The NRC has developed this </w:t>
      </w:r>
      <w:r w:rsidR="002A0D78">
        <w:rPr>
          <w:rFonts w:cs="Arial"/>
          <w:bCs/>
          <w:sz w:val="22"/>
          <w:szCs w:val="22"/>
        </w:rPr>
        <w:t>final rule</w:t>
      </w:r>
      <w:r w:rsidR="005D20EF">
        <w:rPr>
          <w:rFonts w:cs="Arial"/>
          <w:bCs/>
          <w:sz w:val="22"/>
          <w:szCs w:val="22"/>
        </w:rPr>
        <w:t xml:space="preserve"> </w:t>
      </w:r>
      <w:r w:rsidR="0073315D" w:rsidRPr="007F7E04">
        <w:rPr>
          <w:rFonts w:cs="Arial"/>
          <w:bCs/>
          <w:sz w:val="22"/>
          <w:szCs w:val="22"/>
        </w:rPr>
        <w:t xml:space="preserve">to make </w:t>
      </w:r>
      <w:r w:rsidR="005D20EF">
        <w:rPr>
          <w:rFonts w:eastAsiaTheme="minorHAnsi" w:cs="Arial"/>
          <w:color w:val="000000"/>
          <w:sz w:val="22"/>
          <w:szCs w:val="22"/>
        </w:rPr>
        <w:t>the requirements in</w:t>
      </w:r>
      <w:r w:rsidR="00847899">
        <w:rPr>
          <w:rFonts w:eastAsiaTheme="minorHAnsi" w:cs="Arial"/>
          <w:color w:val="000000"/>
          <w:sz w:val="22"/>
          <w:szCs w:val="22"/>
        </w:rPr>
        <w:t xml:space="preserve"> </w:t>
      </w:r>
      <w:r w:rsidR="005D20EF">
        <w:rPr>
          <w:rFonts w:eastAsiaTheme="minorHAnsi" w:cs="Arial"/>
          <w:color w:val="000000"/>
          <w:sz w:val="22"/>
          <w:szCs w:val="22"/>
        </w:rPr>
        <w:t xml:space="preserve">the Mitigation Strategies and </w:t>
      </w:r>
      <w:r w:rsidR="00301093">
        <w:rPr>
          <w:rFonts w:eastAsiaTheme="minorHAnsi" w:cs="Arial"/>
          <w:color w:val="000000"/>
          <w:sz w:val="22"/>
          <w:szCs w:val="22"/>
        </w:rPr>
        <w:t>Spent Fuel Pool Instrumentation (</w:t>
      </w:r>
      <w:r w:rsidR="005D20EF">
        <w:rPr>
          <w:rFonts w:eastAsiaTheme="minorHAnsi" w:cs="Arial"/>
          <w:color w:val="000000"/>
          <w:sz w:val="22"/>
          <w:szCs w:val="22"/>
        </w:rPr>
        <w:t>SFPI</w:t>
      </w:r>
      <w:r w:rsidR="00301093">
        <w:rPr>
          <w:rFonts w:eastAsiaTheme="minorHAnsi" w:cs="Arial"/>
          <w:color w:val="000000"/>
          <w:sz w:val="22"/>
          <w:szCs w:val="22"/>
        </w:rPr>
        <w:t>)</w:t>
      </w:r>
      <w:r w:rsidR="005D20EF">
        <w:rPr>
          <w:rFonts w:eastAsiaTheme="minorHAnsi" w:cs="Arial"/>
          <w:color w:val="000000"/>
          <w:sz w:val="22"/>
          <w:szCs w:val="22"/>
        </w:rPr>
        <w:t xml:space="preserve"> Orders generically applicable, giving consideration to lessons learned from implementation of the orders and public comment on the MBDBE proposed rule </w:t>
      </w:r>
      <w:r w:rsidR="005D20EF" w:rsidRPr="005D20EF">
        <w:rPr>
          <w:rFonts w:eastAsiaTheme="minorHAnsi" w:cs="Arial"/>
          <w:sz w:val="22"/>
          <w:szCs w:val="22"/>
        </w:rPr>
        <w:t>and addresses</w:t>
      </w:r>
      <w:r w:rsidR="005D20EF">
        <w:rPr>
          <w:rFonts w:eastAsiaTheme="minorHAnsi" w:cs="Arial"/>
          <w:sz w:val="22"/>
          <w:szCs w:val="22"/>
        </w:rPr>
        <w:t xml:space="preserve"> </w:t>
      </w:r>
      <w:r w:rsidR="005D20EF">
        <w:rPr>
          <w:rFonts w:eastAsiaTheme="minorHAnsi" w:cs="Arial"/>
          <w:color w:val="000000"/>
          <w:sz w:val="22"/>
          <w:szCs w:val="22"/>
        </w:rPr>
        <w:t xml:space="preserve">issues raised by </w:t>
      </w:r>
      <w:r w:rsidR="00C4498B" w:rsidRPr="00F167F1">
        <w:rPr>
          <w:rFonts w:cs="Arial"/>
          <w:sz w:val="22"/>
          <w:szCs w:val="22"/>
        </w:rPr>
        <w:t>petition</w:t>
      </w:r>
      <w:r w:rsidR="00C4498B">
        <w:rPr>
          <w:rFonts w:cs="Arial"/>
          <w:sz w:val="22"/>
          <w:szCs w:val="22"/>
        </w:rPr>
        <w:t>s</w:t>
      </w:r>
      <w:r w:rsidR="00C4498B" w:rsidRPr="00F167F1">
        <w:rPr>
          <w:rFonts w:cs="Arial"/>
          <w:sz w:val="22"/>
          <w:szCs w:val="22"/>
        </w:rPr>
        <w:t xml:space="preserve"> for rulemaking</w:t>
      </w:r>
      <w:r w:rsidR="00C4498B">
        <w:rPr>
          <w:rFonts w:eastAsiaTheme="minorHAnsi" w:cs="Arial"/>
          <w:color w:val="000000"/>
          <w:sz w:val="22"/>
          <w:szCs w:val="22"/>
        </w:rPr>
        <w:t xml:space="preserve"> (</w:t>
      </w:r>
      <w:r w:rsidR="005D20EF">
        <w:rPr>
          <w:rFonts w:eastAsiaTheme="minorHAnsi" w:cs="Arial"/>
          <w:color w:val="000000"/>
          <w:sz w:val="22"/>
          <w:szCs w:val="22"/>
        </w:rPr>
        <w:t>PRMs</w:t>
      </w:r>
      <w:r w:rsidR="00C4498B">
        <w:rPr>
          <w:rFonts w:eastAsiaTheme="minorHAnsi" w:cs="Arial"/>
          <w:color w:val="000000"/>
          <w:sz w:val="22"/>
          <w:szCs w:val="22"/>
        </w:rPr>
        <w:t>)</w:t>
      </w:r>
      <w:r w:rsidR="005D20EF">
        <w:rPr>
          <w:rFonts w:eastAsiaTheme="minorHAnsi" w:cs="Arial"/>
          <w:color w:val="000000"/>
          <w:sz w:val="22"/>
          <w:szCs w:val="22"/>
        </w:rPr>
        <w:t xml:space="preserve"> that were submitted to the NRC.</w:t>
      </w:r>
    </w:p>
    <w:p w14:paraId="27D3ACC0" w14:textId="77777777" w:rsidR="00EE4E56" w:rsidRPr="007F7E04" w:rsidRDefault="00EE4E56" w:rsidP="0062754D">
      <w:pPr>
        <w:rPr>
          <w:rFonts w:cs="Arial"/>
          <w:bCs/>
          <w:sz w:val="22"/>
          <w:szCs w:val="22"/>
        </w:rPr>
      </w:pPr>
    </w:p>
    <w:p w14:paraId="7E971631" w14:textId="624C7B0A" w:rsidR="008612B8" w:rsidRPr="005D20EF" w:rsidRDefault="008612B8" w:rsidP="007169D0">
      <w:pPr>
        <w:numPr>
          <w:ilvl w:val="0"/>
          <w:numId w:val="1"/>
        </w:numPr>
        <w:autoSpaceDE/>
        <w:autoSpaceDN/>
        <w:adjustRightInd/>
        <w:rPr>
          <w:rFonts w:cs="Arial"/>
          <w:bCs/>
          <w:sz w:val="22"/>
          <w:szCs w:val="22"/>
          <w:u w:val="single"/>
        </w:rPr>
      </w:pPr>
      <w:r w:rsidRPr="005D20EF">
        <w:rPr>
          <w:rFonts w:cs="Arial"/>
          <w:bCs/>
          <w:sz w:val="22"/>
          <w:szCs w:val="22"/>
          <w:u w:val="single"/>
        </w:rPr>
        <w:t xml:space="preserve">Make the </w:t>
      </w:r>
      <w:r w:rsidR="00D6024F" w:rsidRPr="005D20EF">
        <w:rPr>
          <w:rFonts w:cs="Arial"/>
          <w:bCs/>
          <w:sz w:val="22"/>
          <w:szCs w:val="22"/>
          <w:u w:val="single"/>
        </w:rPr>
        <w:t xml:space="preserve">requirements in Order EA-12-049 and </w:t>
      </w:r>
      <w:r w:rsidR="00370A66" w:rsidRPr="005D20EF">
        <w:rPr>
          <w:rFonts w:cs="Arial"/>
          <w:bCs/>
          <w:sz w:val="22"/>
          <w:szCs w:val="22"/>
          <w:u w:val="single"/>
        </w:rPr>
        <w:t xml:space="preserve">Order EA-12-051 </w:t>
      </w:r>
      <w:r w:rsidRPr="005D20EF">
        <w:rPr>
          <w:rFonts w:cs="Arial"/>
          <w:bCs/>
          <w:sz w:val="22"/>
          <w:szCs w:val="22"/>
          <w:u w:val="single"/>
        </w:rPr>
        <w:t>generically applicable</w:t>
      </w:r>
      <w:r w:rsidRPr="005D20EF">
        <w:rPr>
          <w:rFonts w:cs="Arial"/>
          <w:bCs/>
          <w:sz w:val="22"/>
          <w:szCs w:val="22"/>
        </w:rPr>
        <w:t xml:space="preserve">.  </w:t>
      </w:r>
      <w:r w:rsidR="0080307C" w:rsidRPr="005D20EF">
        <w:rPr>
          <w:rFonts w:cs="Arial"/>
          <w:sz w:val="22"/>
          <w:szCs w:val="22"/>
        </w:rPr>
        <w:t>T</w:t>
      </w:r>
      <w:r w:rsidR="00370A66" w:rsidRPr="005D20EF">
        <w:rPr>
          <w:rFonts w:cs="Arial"/>
          <w:sz w:val="22"/>
          <w:szCs w:val="22"/>
        </w:rPr>
        <w:t xml:space="preserve">he </w:t>
      </w:r>
      <w:r w:rsidR="005D20EF" w:rsidRPr="005D20EF">
        <w:rPr>
          <w:rFonts w:cs="Arial"/>
          <w:sz w:val="22"/>
          <w:szCs w:val="22"/>
        </w:rPr>
        <w:t>rule places</w:t>
      </w:r>
      <w:r w:rsidRPr="005D20EF">
        <w:rPr>
          <w:rFonts w:cs="Arial"/>
          <w:sz w:val="22"/>
          <w:szCs w:val="22"/>
        </w:rPr>
        <w:t xml:space="preserve"> the requirements </w:t>
      </w:r>
      <w:r w:rsidR="00991F29" w:rsidRPr="005D20EF">
        <w:rPr>
          <w:rFonts w:cs="Arial"/>
          <w:sz w:val="22"/>
          <w:szCs w:val="22"/>
        </w:rPr>
        <w:t>of</w:t>
      </w:r>
      <w:r w:rsidRPr="005D20EF">
        <w:rPr>
          <w:rFonts w:cs="Arial"/>
          <w:sz w:val="22"/>
          <w:szCs w:val="22"/>
        </w:rPr>
        <w:t xml:space="preserve"> Order EA-12-049</w:t>
      </w:r>
      <w:r w:rsidR="00825159">
        <w:rPr>
          <w:rFonts w:cs="Arial"/>
          <w:sz w:val="22"/>
          <w:szCs w:val="22"/>
        </w:rPr>
        <w:t>, “</w:t>
      </w:r>
      <w:r w:rsidR="00825159" w:rsidRPr="005F420D">
        <w:rPr>
          <w:rFonts w:cs="Arial"/>
          <w:sz w:val="22"/>
          <w:szCs w:val="22"/>
        </w:rPr>
        <w:t xml:space="preserve">Issuance of </w:t>
      </w:r>
      <w:r w:rsidR="00825159" w:rsidRPr="005F420D">
        <w:rPr>
          <w:rFonts w:cs="Arial"/>
          <w:bCs/>
          <w:sz w:val="22"/>
          <w:szCs w:val="22"/>
        </w:rPr>
        <w:t>Order To Modify Licenses with Regard to Requirements for Mitigation Strategies for Beyond-Design-Basis External Events</w:t>
      </w:r>
      <w:r w:rsidR="00825159">
        <w:rPr>
          <w:rFonts w:cs="Arial"/>
          <w:bCs/>
          <w:sz w:val="22"/>
          <w:szCs w:val="22"/>
        </w:rPr>
        <w:t xml:space="preserve">” </w:t>
      </w:r>
      <w:r w:rsidR="00E10767">
        <w:rPr>
          <w:rFonts w:cs="Arial"/>
          <w:bCs/>
          <w:sz w:val="22"/>
          <w:szCs w:val="22"/>
        </w:rPr>
        <w:t xml:space="preserve">(Mitigation Strategies Order) </w:t>
      </w:r>
      <w:r w:rsidR="00825159">
        <w:rPr>
          <w:rFonts w:cs="Arial"/>
          <w:bCs/>
          <w:sz w:val="22"/>
          <w:szCs w:val="22"/>
        </w:rPr>
        <w:t>(NRC 2012a)</w:t>
      </w:r>
      <w:r w:rsidR="00370A66" w:rsidRPr="005D20EF">
        <w:rPr>
          <w:rFonts w:cs="Arial"/>
          <w:sz w:val="22"/>
          <w:szCs w:val="22"/>
        </w:rPr>
        <w:t xml:space="preserve"> and Order</w:t>
      </w:r>
      <w:r w:rsidR="00297BEE" w:rsidRPr="005D20EF">
        <w:rPr>
          <w:rFonts w:cs="Arial"/>
          <w:sz w:val="22"/>
          <w:szCs w:val="22"/>
        </w:rPr>
        <w:t> </w:t>
      </w:r>
      <w:r w:rsidR="00370A66" w:rsidRPr="005D20EF">
        <w:rPr>
          <w:rFonts w:cs="Arial"/>
          <w:sz w:val="22"/>
          <w:szCs w:val="22"/>
        </w:rPr>
        <w:t>EA</w:t>
      </w:r>
      <w:r w:rsidR="006F57B3" w:rsidRPr="005D20EF">
        <w:rPr>
          <w:rFonts w:cs="Arial"/>
          <w:sz w:val="22"/>
          <w:szCs w:val="22"/>
        </w:rPr>
        <w:noBreakHyphen/>
      </w:r>
      <w:r w:rsidR="00370A66" w:rsidRPr="005D20EF">
        <w:rPr>
          <w:rFonts w:cs="Arial"/>
          <w:sz w:val="22"/>
          <w:szCs w:val="22"/>
        </w:rPr>
        <w:t>12-051</w:t>
      </w:r>
      <w:r w:rsidR="00825159">
        <w:rPr>
          <w:rFonts w:cs="Arial"/>
          <w:sz w:val="22"/>
          <w:szCs w:val="22"/>
        </w:rPr>
        <w:t>, “</w:t>
      </w:r>
      <w:r w:rsidR="00825159" w:rsidRPr="005F420D">
        <w:rPr>
          <w:rFonts w:cs="Arial"/>
          <w:sz w:val="22"/>
          <w:szCs w:val="22"/>
        </w:rPr>
        <w:t>Issuance of Order To Modify Licenses with Regard to Reliable Spent Fuel Pool Instrumentation</w:t>
      </w:r>
      <w:r w:rsidR="00825159">
        <w:rPr>
          <w:rFonts w:cs="Arial"/>
          <w:sz w:val="22"/>
          <w:szCs w:val="22"/>
        </w:rPr>
        <w:t xml:space="preserve">” </w:t>
      </w:r>
      <w:r w:rsidR="00E10767">
        <w:rPr>
          <w:rFonts w:cs="Arial"/>
          <w:sz w:val="22"/>
          <w:szCs w:val="22"/>
        </w:rPr>
        <w:t xml:space="preserve">(SFPI Order) </w:t>
      </w:r>
      <w:r w:rsidR="00825159">
        <w:rPr>
          <w:rFonts w:cs="Arial"/>
          <w:sz w:val="22"/>
          <w:szCs w:val="22"/>
        </w:rPr>
        <w:t>(NRC 2012b)</w:t>
      </w:r>
      <w:r w:rsidRPr="005D20EF">
        <w:rPr>
          <w:rFonts w:cs="Arial"/>
          <w:sz w:val="22"/>
          <w:szCs w:val="22"/>
        </w:rPr>
        <w:t xml:space="preserve"> in the NRC</w:t>
      </w:r>
      <w:r w:rsidR="00D713F8" w:rsidRPr="005D20EF">
        <w:rPr>
          <w:rFonts w:cs="Arial"/>
          <w:sz w:val="22"/>
          <w:szCs w:val="22"/>
        </w:rPr>
        <w:t>’</w:t>
      </w:r>
      <w:r w:rsidRPr="005D20EF">
        <w:rPr>
          <w:rFonts w:cs="Arial"/>
          <w:sz w:val="22"/>
          <w:szCs w:val="22"/>
        </w:rPr>
        <w:t xml:space="preserve">s regulations </w:t>
      </w:r>
      <w:r w:rsidR="005D20EF" w:rsidRPr="005D20EF">
        <w:rPr>
          <w:rFonts w:cs="Arial"/>
          <w:sz w:val="22"/>
          <w:szCs w:val="22"/>
        </w:rPr>
        <w:t>so</w:t>
      </w:r>
      <w:r w:rsidRPr="005D20EF">
        <w:rPr>
          <w:rFonts w:cs="Arial"/>
          <w:sz w:val="22"/>
          <w:szCs w:val="22"/>
        </w:rPr>
        <w:t xml:space="preserve"> that they apply to all </w:t>
      </w:r>
      <w:r w:rsidR="005D20EF" w:rsidRPr="005D20EF">
        <w:rPr>
          <w:rFonts w:cs="Arial"/>
          <w:sz w:val="22"/>
          <w:szCs w:val="22"/>
        </w:rPr>
        <w:t xml:space="preserve">current and </w:t>
      </w:r>
      <w:r w:rsidRPr="005D20EF">
        <w:rPr>
          <w:rFonts w:cs="Arial"/>
          <w:sz w:val="22"/>
          <w:szCs w:val="22"/>
        </w:rPr>
        <w:t>fut</w:t>
      </w:r>
      <w:r w:rsidR="006E6859" w:rsidRPr="005D20EF">
        <w:rPr>
          <w:rFonts w:cs="Arial"/>
          <w:sz w:val="22"/>
          <w:szCs w:val="22"/>
        </w:rPr>
        <w:t>ure power reactor applicants</w:t>
      </w:r>
      <w:r w:rsidR="005D20EF" w:rsidRPr="005D20EF">
        <w:rPr>
          <w:rFonts w:cs="Arial"/>
          <w:sz w:val="22"/>
          <w:szCs w:val="22"/>
        </w:rPr>
        <w:t xml:space="preserve"> and provides regulatory clarity and stability to power reactor licensees</w:t>
      </w:r>
      <w:r w:rsidR="006E6859" w:rsidRPr="005D20EF">
        <w:rPr>
          <w:rFonts w:cs="Arial"/>
          <w:sz w:val="22"/>
          <w:szCs w:val="22"/>
        </w:rPr>
        <w:t>.  All o</w:t>
      </w:r>
      <w:r w:rsidRPr="005D20EF">
        <w:rPr>
          <w:rFonts w:cs="Arial"/>
          <w:sz w:val="22"/>
          <w:szCs w:val="22"/>
        </w:rPr>
        <w:t xml:space="preserve">perating </w:t>
      </w:r>
      <w:r w:rsidR="006E6859" w:rsidRPr="005D20EF">
        <w:rPr>
          <w:rFonts w:cs="Arial"/>
          <w:sz w:val="22"/>
          <w:szCs w:val="22"/>
        </w:rPr>
        <w:t xml:space="preserve">power </w:t>
      </w:r>
      <w:r w:rsidRPr="005D20EF">
        <w:rPr>
          <w:rFonts w:cs="Arial"/>
          <w:sz w:val="22"/>
          <w:szCs w:val="22"/>
        </w:rPr>
        <w:t xml:space="preserve">reactor </w:t>
      </w:r>
      <w:r w:rsidR="00E97B18" w:rsidRPr="005D20EF">
        <w:rPr>
          <w:rFonts w:cs="Arial"/>
          <w:sz w:val="22"/>
          <w:szCs w:val="22"/>
        </w:rPr>
        <w:t xml:space="preserve">licensees and </w:t>
      </w:r>
      <w:r w:rsidR="00EF205E" w:rsidRPr="005D20EF">
        <w:rPr>
          <w:rFonts w:cs="Arial"/>
          <w:sz w:val="22"/>
          <w:szCs w:val="22"/>
        </w:rPr>
        <w:t>11</w:t>
      </w:r>
      <w:r w:rsidR="00E10767">
        <w:rPr>
          <w:rFonts w:cs="Arial"/>
          <w:sz w:val="22"/>
          <w:szCs w:val="22"/>
        </w:rPr>
        <w:t> </w:t>
      </w:r>
      <w:r w:rsidR="00E97B18" w:rsidRPr="005D20EF">
        <w:rPr>
          <w:rFonts w:cs="Arial"/>
          <w:sz w:val="22"/>
          <w:szCs w:val="22"/>
        </w:rPr>
        <w:t>combined license (COL) holder</w:t>
      </w:r>
      <w:r w:rsidR="006F57B3" w:rsidRPr="005D20EF">
        <w:rPr>
          <w:rFonts w:cs="Arial"/>
          <w:sz w:val="22"/>
          <w:szCs w:val="22"/>
        </w:rPr>
        <w:t>s</w:t>
      </w:r>
      <w:r w:rsidR="006F57B3">
        <w:rPr>
          <w:rStyle w:val="FootnoteReference"/>
          <w:rFonts w:cs="Arial"/>
          <w:sz w:val="22"/>
          <w:szCs w:val="22"/>
        </w:rPr>
        <w:footnoteReference w:id="3"/>
      </w:r>
      <w:r w:rsidR="00E97B18" w:rsidRPr="005D20EF">
        <w:rPr>
          <w:rFonts w:cs="Arial"/>
          <w:sz w:val="22"/>
          <w:szCs w:val="22"/>
        </w:rPr>
        <w:t xml:space="preserve"> currently are subject to th</w:t>
      </w:r>
      <w:r w:rsidR="006E6859" w:rsidRPr="005D20EF">
        <w:rPr>
          <w:rFonts w:cs="Arial"/>
          <w:sz w:val="22"/>
          <w:szCs w:val="22"/>
        </w:rPr>
        <w:t>es</w:t>
      </w:r>
      <w:r w:rsidR="00E97B18" w:rsidRPr="005D20EF">
        <w:rPr>
          <w:rFonts w:cs="Arial"/>
          <w:sz w:val="22"/>
          <w:szCs w:val="22"/>
        </w:rPr>
        <w:t xml:space="preserve">e </w:t>
      </w:r>
      <w:r w:rsidR="000B7397" w:rsidRPr="005D20EF">
        <w:rPr>
          <w:rFonts w:cs="Arial"/>
          <w:sz w:val="22"/>
          <w:szCs w:val="22"/>
        </w:rPr>
        <w:t>order</w:t>
      </w:r>
      <w:r w:rsidR="00EF205E" w:rsidRPr="005D20EF">
        <w:rPr>
          <w:rFonts w:cs="Arial"/>
          <w:sz w:val="22"/>
          <w:szCs w:val="22"/>
        </w:rPr>
        <w:t>s’</w:t>
      </w:r>
      <w:r w:rsidR="00E97B18" w:rsidRPr="005D20EF">
        <w:rPr>
          <w:rFonts w:cs="Arial"/>
          <w:sz w:val="22"/>
          <w:szCs w:val="22"/>
        </w:rPr>
        <w:t xml:space="preserve"> requirements</w:t>
      </w:r>
      <w:r w:rsidR="006E6859" w:rsidRPr="005D20EF">
        <w:rPr>
          <w:rFonts w:cs="Arial"/>
          <w:sz w:val="22"/>
          <w:szCs w:val="22"/>
        </w:rPr>
        <w:t xml:space="preserve"> via order or license condition</w:t>
      </w:r>
      <w:r w:rsidR="00E97B18" w:rsidRPr="005D20EF">
        <w:rPr>
          <w:rFonts w:cs="Arial"/>
          <w:sz w:val="22"/>
          <w:szCs w:val="22"/>
        </w:rPr>
        <w:t xml:space="preserve">.  </w:t>
      </w:r>
      <w:r w:rsidRPr="005D20EF">
        <w:rPr>
          <w:rFonts w:cs="Arial"/>
          <w:sz w:val="22"/>
          <w:szCs w:val="22"/>
        </w:rPr>
        <w:t xml:space="preserve">In the absence of </w:t>
      </w:r>
      <w:r w:rsidR="005D20EF" w:rsidRPr="005D20EF">
        <w:rPr>
          <w:rFonts w:cs="Arial"/>
          <w:sz w:val="22"/>
          <w:szCs w:val="22"/>
        </w:rPr>
        <w:t>this</w:t>
      </w:r>
      <w:r w:rsidRPr="005D20EF">
        <w:rPr>
          <w:rFonts w:cs="Arial"/>
          <w:sz w:val="22"/>
          <w:szCs w:val="22"/>
        </w:rPr>
        <w:t xml:space="preserve"> rule</w:t>
      </w:r>
      <w:r w:rsidR="00D713F8" w:rsidRPr="005D20EF">
        <w:rPr>
          <w:rFonts w:cs="Arial"/>
          <w:sz w:val="22"/>
          <w:szCs w:val="22"/>
        </w:rPr>
        <w:t>,</w:t>
      </w:r>
      <w:r w:rsidRPr="005D20EF">
        <w:rPr>
          <w:rFonts w:cs="Arial"/>
          <w:sz w:val="22"/>
          <w:szCs w:val="22"/>
        </w:rPr>
        <w:t xml:space="preserve"> these requirements would need to be</w:t>
      </w:r>
      <w:r w:rsidR="005D20EF" w:rsidRPr="005D20EF">
        <w:rPr>
          <w:rFonts w:cs="Arial"/>
          <w:sz w:val="22"/>
          <w:szCs w:val="22"/>
        </w:rPr>
        <w:t xml:space="preserve"> imposed on new reactor applicants or licensees through additional orders or license conditions as was done for all COLs issued to date.</w:t>
      </w:r>
    </w:p>
    <w:p w14:paraId="053B4AD8" w14:textId="77777777" w:rsidR="00EE4E56" w:rsidRPr="007F7E04" w:rsidRDefault="00EE4E56" w:rsidP="0062754D">
      <w:pPr>
        <w:autoSpaceDE/>
        <w:autoSpaceDN/>
        <w:adjustRightInd/>
        <w:ind w:left="720"/>
        <w:rPr>
          <w:rFonts w:cs="Arial"/>
          <w:bCs/>
          <w:sz w:val="22"/>
          <w:szCs w:val="22"/>
          <w:u w:val="single"/>
        </w:rPr>
      </w:pPr>
    </w:p>
    <w:p w14:paraId="4EB2E974" w14:textId="3F8E9136" w:rsidR="008612B8" w:rsidRPr="007F7E04" w:rsidRDefault="008612B8" w:rsidP="0062754D">
      <w:pPr>
        <w:autoSpaceDE/>
        <w:autoSpaceDN/>
        <w:adjustRightInd/>
        <w:ind w:left="720"/>
        <w:rPr>
          <w:rFonts w:cs="Arial"/>
          <w:sz w:val="22"/>
          <w:szCs w:val="22"/>
        </w:rPr>
      </w:pPr>
      <w:r w:rsidRPr="007F7E04">
        <w:rPr>
          <w:rFonts w:cs="Arial"/>
          <w:sz w:val="22"/>
          <w:szCs w:val="22"/>
        </w:rPr>
        <w:t xml:space="preserve">As part of the rulemaking process to make </w:t>
      </w:r>
      <w:r w:rsidR="00742D0F" w:rsidRPr="007F7E04">
        <w:rPr>
          <w:rFonts w:cs="Arial"/>
          <w:sz w:val="22"/>
          <w:szCs w:val="22"/>
        </w:rPr>
        <w:t>Order EA-12-049 and Order EA-12-051</w:t>
      </w:r>
      <w:r w:rsidRPr="007F7E04">
        <w:rPr>
          <w:rFonts w:cs="Arial"/>
          <w:sz w:val="22"/>
          <w:szCs w:val="22"/>
        </w:rPr>
        <w:t xml:space="preserve"> generically applicable</w:t>
      </w:r>
      <w:r w:rsidR="00D713F8">
        <w:rPr>
          <w:rFonts w:cs="Arial"/>
          <w:sz w:val="22"/>
          <w:szCs w:val="22"/>
        </w:rPr>
        <w:t>,</w:t>
      </w:r>
      <w:r w:rsidRPr="007F7E04">
        <w:rPr>
          <w:rFonts w:cs="Arial"/>
          <w:sz w:val="22"/>
          <w:szCs w:val="22"/>
        </w:rPr>
        <w:t xml:space="preserve"> </w:t>
      </w:r>
      <w:r w:rsidR="0080307C" w:rsidRPr="007F7E04">
        <w:rPr>
          <w:rFonts w:cs="Arial"/>
          <w:sz w:val="22"/>
          <w:szCs w:val="22"/>
        </w:rPr>
        <w:t xml:space="preserve">the </w:t>
      </w:r>
      <w:r w:rsidRPr="007F7E04">
        <w:rPr>
          <w:rFonts w:cs="Arial"/>
          <w:sz w:val="22"/>
          <w:szCs w:val="22"/>
        </w:rPr>
        <w:t>NRC considered stakeholder feedback and lessons</w:t>
      </w:r>
      <w:r w:rsidR="00B02C6D" w:rsidRPr="007F7E04">
        <w:rPr>
          <w:rFonts w:cs="Arial"/>
          <w:sz w:val="22"/>
          <w:szCs w:val="22"/>
        </w:rPr>
        <w:t xml:space="preserve"> </w:t>
      </w:r>
      <w:r w:rsidRPr="007F7E04">
        <w:rPr>
          <w:rFonts w:cs="Arial"/>
          <w:sz w:val="22"/>
          <w:szCs w:val="22"/>
        </w:rPr>
        <w:t xml:space="preserve">learned from the implementation of the </w:t>
      </w:r>
      <w:r w:rsidR="000B7397">
        <w:rPr>
          <w:rFonts w:cs="Arial"/>
          <w:sz w:val="22"/>
          <w:szCs w:val="22"/>
        </w:rPr>
        <w:t>order</w:t>
      </w:r>
      <w:r w:rsidR="00D6024F" w:rsidRPr="007F7E04">
        <w:rPr>
          <w:rFonts w:cs="Arial"/>
          <w:sz w:val="22"/>
          <w:szCs w:val="22"/>
        </w:rPr>
        <w:t>s</w:t>
      </w:r>
      <w:r w:rsidR="00E10767">
        <w:rPr>
          <w:rFonts w:cs="Arial"/>
          <w:sz w:val="22"/>
          <w:szCs w:val="22"/>
        </w:rPr>
        <w:t>, which</w:t>
      </w:r>
      <w:r w:rsidRPr="007F7E04">
        <w:rPr>
          <w:rFonts w:cs="Arial"/>
          <w:sz w:val="22"/>
          <w:szCs w:val="22"/>
        </w:rPr>
        <w:t xml:space="preserve"> </w:t>
      </w:r>
      <w:r w:rsidR="003C087E" w:rsidRPr="007F7E04">
        <w:rPr>
          <w:rFonts w:cs="Arial"/>
          <w:sz w:val="22"/>
          <w:szCs w:val="22"/>
        </w:rPr>
        <w:t xml:space="preserve">are captured in the updated guidance for mitigation strategies.  </w:t>
      </w:r>
      <w:r w:rsidRPr="007F7E04">
        <w:rPr>
          <w:rFonts w:cs="Arial"/>
          <w:sz w:val="22"/>
          <w:szCs w:val="22"/>
        </w:rPr>
        <w:t xml:space="preserve">Pursuing rulemaking allows the NRC to make the </w:t>
      </w:r>
      <w:r w:rsidR="001C1CAF">
        <w:rPr>
          <w:rFonts w:cs="Arial"/>
          <w:sz w:val="22"/>
          <w:szCs w:val="22"/>
        </w:rPr>
        <w:t>o</w:t>
      </w:r>
      <w:r w:rsidRPr="007F7E04">
        <w:rPr>
          <w:rFonts w:cs="Arial"/>
          <w:sz w:val="22"/>
          <w:szCs w:val="22"/>
        </w:rPr>
        <w:t>rder requirements generically applicable with adjustments to account for any lessons</w:t>
      </w:r>
      <w:r w:rsidR="006A6E73" w:rsidRPr="007F7E04">
        <w:rPr>
          <w:rFonts w:cs="Arial"/>
          <w:sz w:val="22"/>
          <w:szCs w:val="22"/>
        </w:rPr>
        <w:t xml:space="preserve"> </w:t>
      </w:r>
      <w:r w:rsidRPr="007F7E04">
        <w:rPr>
          <w:rFonts w:cs="Arial"/>
          <w:sz w:val="22"/>
          <w:szCs w:val="22"/>
        </w:rPr>
        <w:t>learned</w:t>
      </w:r>
      <w:r w:rsidR="000B2D0B" w:rsidRPr="007F7E04">
        <w:rPr>
          <w:rFonts w:cs="Arial"/>
          <w:sz w:val="22"/>
          <w:szCs w:val="22"/>
        </w:rPr>
        <w:t xml:space="preserve">. </w:t>
      </w:r>
      <w:r w:rsidRPr="007F7E04">
        <w:rPr>
          <w:rFonts w:cs="Arial"/>
          <w:sz w:val="22"/>
          <w:szCs w:val="22"/>
        </w:rPr>
        <w:t xml:space="preserve"> </w:t>
      </w:r>
      <w:r w:rsidR="000B2D0B" w:rsidRPr="007F7E04">
        <w:rPr>
          <w:rFonts w:cs="Arial"/>
          <w:sz w:val="22"/>
          <w:szCs w:val="22"/>
        </w:rPr>
        <w:t>T</w:t>
      </w:r>
      <w:r w:rsidRPr="007F7E04">
        <w:rPr>
          <w:rFonts w:cs="Arial"/>
          <w:sz w:val="22"/>
          <w:szCs w:val="22"/>
        </w:rPr>
        <w:t xml:space="preserve">hese adjustments would result in more effective regulation but would not extend beyond the existing scope of </w:t>
      </w:r>
      <w:r w:rsidR="00D6024F" w:rsidRPr="007F7E04">
        <w:rPr>
          <w:rFonts w:cs="Arial"/>
          <w:sz w:val="22"/>
          <w:szCs w:val="22"/>
        </w:rPr>
        <w:t xml:space="preserve">the </w:t>
      </w:r>
      <w:r w:rsidR="00D3534D">
        <w:rPr>
          <w:rFonts w:cs="Arial"/>
          <w:sz w:val="22"/>
          <w:szCs w:val="22"/>
        </w:rPr>
        <w:t>existing o</w:t>
      </w:r>
      <w:r w:rsidRPr="007F7E04">
        <w:rPr>
          <w:rFonts w:cs="Arial"/>
          <w:sz w:val="22"/>
          <w:szCs w:val="22"/>
        </w:rPr>
        <w:t>rder</w:t>
      </w:r>
      <w:r w:rsidR="00D6024F" w:rsidRPr="007F7E04">
        <w:rPr>
          <w:rFonts w:cs="Arial"/>
          <w:sz w:val="22"/>
          <w:szCs w:val="22"/>
        </w:rPr>
        <w:t>s</w:t>
      </w:r>
      <w:r w:rsidRPr="007F7E04">
        <w:rPr>
          <w:rFonts w:cs="Arial"/>
          <w:sz w:val="22"/>
          <w:szCs w:val="22"/>
        </w:rPr>
        <w:t xml:space="preserve">.  </w:t>
      </w:r>
      <w:r w:rsidR="006E6859">
        <w:rPr>
          <w:rFonts w:cs="Arial"/>
          <w:sz w:val="22"/>
          <w:szCs w:val="22"/>
        </w:rPr>
        <w:t>T</w:t>
      </w:r>
      <w:r w:rsidRPr="007F7E04">
        <w:rPr>
          <w:rFonts w:cs="Arial"/>
          <w:sz w:val="22"/>
          <w:szCs w:val="22"/>
        </w:rPr>
        <w:t xml:space="preserve">he </w:t>
      </w:r>
      <w:r w:rsidR="00AF6FC3" w:rsidRPr="007F7E04">
        <w:rPr>
          <w:rFonts w:cs="Arial"/>
          <w:sz w:val="22"/>
          <w:szCs w:val="22"/>
        </w:rPr>
        <w:t xml:space="preserve">final </w:t>
      </w:r>
      <w:r w:rsidRPr="007F7E04">
        <w:rPr>
          <w:rFonts w:cs="Arial"/>
          <w:sz w:val="22"/>
          <w:szCs w:val="22"/>
        </w:rPr>
        <w:t xml:space="preserve">rule </w:t>
      </w:r>
      <w:r w:rsidR="006E6859">
        <w:rPr>
          <w:rFonts w:cs="Arial"/>
          <w:sz w:val="22"/>
          <w:szCs w:val="22"/>
        </w:rPr>
        <w:t xml:space="preserve">contains provisions to </w:t>
      </w:r>
      <w:r w:rsidR="005D20EF">
        <w:rPr>
          <w:rFonts w:cs="Arial"/>
          <w:sz w:val="22"/>
          <w:szCs w:val="22"/>
        </w:rPr>
        <w:t>withdraw</w:t>
      </w:r>
      <w:r w:rsidR="006E6859">
        <w:rPr>
          <w:rFonts w:cs="Arial"/>
          <w:sz w:val="22"/>
          <w:szCs w:val="22"/>
        </w:rPr>
        <w:t xml:space="preserve"> the orders and administratively remove the </w:t>
      </w:r>
      <w:r w:rsidR="001C1CAF">
        <w:rPr>
          <w:rFonts w:cs="Arial"/>
          <w:sz w:val="22"/>
          <w:szCs w:val="22"/>
        </w:rPr>
        <w:t>license conditions</w:t>
      </w:r>
      <w:r w:rsidR="005D20EF">
        <w:rPr>
          <w:rFonts w:cs="Arial"/>
          <w:sz w:val="22"/>
          <w:szCs w:val="22"/>
        </w:rPr>
        <w:t xml:space="preserve"> once a licensee has permanently ceased operation, permanently removed fuel from the reactor vessel, and </w:t>
      </w:r>
      <w:r w:rsidR="00AC4C52">
        <w:rPr>
          <w:rFonts w:cs="Arial"/>
          <w:sz w:val="22"/>
          <w:szCs w:val="22"/>
        </w:rPr>
        <w:t>submitted</w:t>
      </w:r>
      <w:r w:rsidR="005D20EF">
        <w:rPr>
          <w:rFonts w:cs="Arial"/>
          <w:sz w:val="22"/>
          <w:szCs w:val="22"/>
        </w:rPr>
        <w:t xml:space="preserve"> the 10 CFR 50.82(a)(1) or 10 CFR 52.110(a) certifications of permanent cessation of operations and </w:t>
      </w:r>
      <w:r w:rsidR="00AC4C52">
        <w:rPr>
          <w:rFonts w:cs="Arial"/>
          <w:sz w:val="22"/>
          <w:szCs w:val="22"/>
        </w:rPr>
        <w:t>permanent</w:t>
      </w:r>
      <w:r w:rsidR="005D20EF">
        <w:rPr>
          <w:rFonts w:cs="Arial"/>
          <w:sz w:val="22"/>
          <w:szCs w:val="22"/>
        </w:rPr>
        <w:t xml:space="preserve"> </w:t>
      </w:r>
      <w:r w:rsidR="00847899">
        <w:rPr>
          <w:rFonts w:cs="Arial"/>
          <w:sz w:val="22"/>
          <w:szCs w:val="22"/>
        </w:rPr>
        <w:t>removal</w:t>
      </w:r>
      <w:r w:rsidR="005D20EF">
        <w:rPr>
          <w:rFonts w:cs="Arial"/>
          <w:sz w:val="22"/>
          <w:szCs w:val="22"/>
        </w:rPr>
        <w:t xml:space="preserve"> of fuel from the reactor vessel</w:t>
      </w:r>
      <w:r w:rsidRPr="007F7E04">
        <w:rPr>
          <w:rFonts w:cs="Arial"/>
          <w:sz w:val="22"/>
          <w:szCs w:val="22"/>
        </w:rPr>
        <w:t>.</w:t>
      </w:r>
    </w:p>
    <w:p w14:paraId="40B2EEB1" w14:textId="215787FC" w:rsidR="00EE4E56" w:rsidRPr="007F7E04" w:rsidRDefault="00EE4E56" w:rsidP="0062754D">
      <w:pPr>
        <w:autoSpaceDE/>
        <w:autoSpaceDN/>
        <w:adjustRightInd/>
        <w:ind w:left="720"/>
        <w:rPr>
          <w:rFonts w:cs="Arial"/>
          <w:sz w:val="22"/>
          <w:szCs w:val="22"/>
        </w:rPr>
      </w:pPr>
    </w:p>
    <w:p w14:paraId="4CBCED24" w14:textId="026D8F74" w:rsidR="002C346C" w:rsidRPr="00310A29" w:rsidRDefault="00310A29" w:rsidP="00906C2B">
      <w:pPr>
        <w:numPr>
          <w:ilvl w:val="0"/>
          <w:numId w:val="1"/>
        </w:numPr>
        <w:autoSpaceDE/>
        <w:autoSpaceDN/>
        <w:adjustRightInd/>
        <w:ind w:hanging="720"/>
        <w:rPr>
          <w:rFonts w:cs="Arial"/>
          <w:sz w:val="22"/>
          <w:szCs w:val="22"/>
        </w:rPr>
      </w:pPr>
      <w:r>
        <w:rPr>
          <w:rFonts w:cs="Arial"/>
          <w:bCs/>
          <w:sz w:val="22"/>
          <w:szCs w:val="22"/>
          <w:u w:val="single"/>
        </w:rPr>
        <w:t>Address a number of PRMs submitted to the NRC</w:t>
      </w:r>
      <w:r w:rsidRPr="0031052A">
        <w:rPr>
          <w:rFonts w:cs="Arial"/>
          <w:bCs/>
          <w:sz w:val="22"/>
          <w:szCs w:val="22"/>
        </w:rPr>
        <w:t>.</w:t>
      </w:r>
      <w:r w:rsidRPr="00310A29">
        <w:rPr>
          <w:rFonts w:cs="Arial"/>
          <w:bCs/>
          <w:sz w:val="22"/>
          <w:szCs w:val="22"/>
        </w:rPr>
        <w:t xml:space="preserve">  </w:t>
      </w:r>
      <w:r w:rsidR="00847899">
        <w:rPr>
          <w:rFonts w:cs="Arial"/>
          <w:sz w:val="22"/>
          <w:szCs w:val="22"/>
        </w:rPr>
        <w:t>This</w:t>
      </w:r>
      <w:r w:rsidRPr="007F7E04">
        <w:rPr>
          <w:rFonts w:cs="Arial"/>
          <w:sz w:val="22"/>
          <w:szCs w:val="22"/>
        </w:rPr>
        <w:t xml:space="preserve"> </w:t>
      </w:r>
      <w:r w:rsidR="002A0D78">
        <w:rPr>
          <w:rFonts w:cs="Arial"/>
          <w:sz w:val="22"/>
          <w:szCs w:val="22"/>
        </w:rPr>
        <w:t>final rule</w:t>
      </w:r>
      <w:r w:rsidRPr="007F7E04">
        <w:rPr>
          <w:rFonts w:cs="Arial"/>
          <w:sz w:val="22"/>
          <w:szCs w:val="22"/>
        </w:rPr>
        <w:t xml:space="preserve"> </w:t>
      </w:r>
      <w:r w:rsidRPr="00310A29">
        <w:rPr>
          <w:rFonts w:cs="Arial"/>
          <w:sz w:val="22"/>
          <w:szCs w:val="22"/>
        </w:rPr>
        <w:t>address</w:t>
      </w:r>
      <w:r w:rsidR="00847899">
        <w:rPr>
          <w:rFonts w:cs="Arial"/>
          <w:sz w:val="22"/>
          <w:szCs w:val="22"/>
        </w:rPr>
        <w:t>es</w:t>
      </w:r>
      <w:r w:rsidRPr="00310A29">
        <w:rPr>
          <w:rFonts w:cs="Arial"/>
          <w:sz w:val="22"/>
          <w:szCs w:val="22"/>
        </w:rPr>
        <w:t xml:space="preserve"> and complete</w:t>
      </w:r>
      <w:r w:rsidR="00847899">
        <w:rPr>
          <w:rFonts w:cs="Arial"/>
          <w:sz w:val="22"/>
          <w:szCs w:val="22"/>
        </w:rPr>
        <w:t>s</w:t>
      </w:r>
      <w:r w:rsidRPr="00310A29">
        <w:rPr>
          <w:rFonts w:cs="Arial"/>
          <w:sz w:val="22"/>
          <w:szCs w:val="22"/>
        </w:rPr>
        <w:t xml:space="preserve"> the regulatory actions planned for the five PRMs</w:t>
      </w:r>
      <w:r w:rsidR="00A63B3F">
        <w:rPr>
          <w:rStyle w:val="FootnoteReference"/>
          <w:rFonts w:cs="Arial"/>
          <w:sz w:val="22"/>
          <w:szCs w:val="22"/>
        </w:rPr>
        <w:footnoteReference w:id="4"/>
      </w:r>
      <w:r w:rsidRPr="00310A29">
        <w:rPr>
          <w:rFonts w:cs="Arial"/>
          <w:sz w:val="22"/>
          <w:szCs w:val="22"/>
        </w:rPr>
        <w:t xml:space="preserve"> filed by the N</w:t>
      </w:r>
      <w:r w:rsidR="00A70EBF">
        <w:rPr>
          <w:rFonts w:cs="Arial"/>
          <w:sz w:val="22"/>
          <w:szCs w:val="22"/>
        </w:rPr>
        <w:t xml:space="preserve">ational </w:t>
      </w:r>
      <w:r w:rsidRPr="00310A29">
        <w:rPr>
          <w:rFonts w:cs="Arial"/>
          <w:sz w:val="22"/>
          <w:szCs w:val="22"/>
        </w:rPr>
        <w:t>R</w:t>
      </w:r>
      <w:r w:rsidR="00A70EBF">
        <w:rPr>
          <w:rFonts w:cs="Arial"/>
          <w:sz w:val="22"/>
          <w:szCs w:val="22"/>
        </w:rPr>
        <w:t xml:space="preserve">esources </w:t>
      </w:r>
      <w:r w:rsidRPr="00310A29">
        <w:rPr>
          <w:rFonts w:cs="Arial"/>
          <w:sz w:val="22"/>
          <w:szCs w:val="22"/>
        </w:rPr>
        <w:t>D</w:t>
      </w:r>
      <w:r w:rsidR="00A70EBF">
        <w:rPr>
          <w:rFonts w:cs="Arial"/>
          <w:sz w:val="22"/>
          <w:szCs w:val="22"/>
        </w:rPr>
        <w:t xml:space="preserve">efense </w:t>
      </w:r>
      <w:r w:rsidRPr="00D66AD6">
        <w:rPr>
          <w:rFonts w:cs="Arial"/>
          <w:sz w:val="22"/>
          <w:szCs w:val="22"/>
        </w:rPr>
        <w:t>C</w:t>
      </w:r>
      <w:r w:rsidR="00A70EBF" w:rsidRPr="00D66AD6">
        <w:rPr>
          <w:rFonts w:cs="Arial"/>
          <w:sz w:val="22"/>
          <w:szCs w:val="22"/>
        </w:rPr>
        <w:t>ouncil</w:t>
      </w:r>
      <w:r w:rsidR="00D713F8" w:rsidRPr="00D66AD6">
        <w:rPr>
          <w:rFonts w:cs="Arial"/>
          <w:sz w:val="22"/>
          <w:szCs w:val="22"/>
        </w:rPr>
        <w:t>,</w:t>
      </w:r>
      <w:r w:rsidR="00A70EBF" w:rsidRPr="00744873">
        <w:rPr>
          <w:rFonts w:cs="Arial"/>
          <w:sz w:val="22"/>
          <w:szCs w:val="22"/>
        </w:rPr>
        <w:t xml:space="preserve"> Inc.</w:t>
      </w:r>
      <w:r w:rsidR="00AF1DB6">
        <w:rPr>
          <w:rFonts w:cs="Arial"/>
          <w:sz w:val="22"/>
          <w:szCs w:val="22"/>
        </w:rPr>
        <w:t>,</w:t>
      </w:r>
      <w:r w:rsidRPr="00310A29">
        <w:rPr>
          <w:rFonts w:cs="Arial"/>
          <w:sz w:val="22"/>
          <w:szCs w:val="22"/>
        </w:rPr>
        <w:t xml:space="preserve"> that raise issues pertain</w:t>
      </w:r>
      <w:r w:rsidR="00A81FF6">
        <w:rPr>
          <w:rFonts w:cs="Arial"/>
          <w:sz w:val="22"/>
          <w:szCs w:val="22"/>
        </w:rPr>
        <w:t>ing</w:t>
      </w:r>
      <w:r w:rsidRPr="00310A29">
        <w:rPr>
          <w:rFonts w:cs="Arial"/>
          <w:sz w:val="22"/>
          <w:szCs w:val="22"/>
        </w:rPr>
        <w:t xml:space="preserve"> to the technical aspects of this rulemaking.  The petitions rely solely on the </w:t>
      </w:r>
      <w:r w:rsidR="00C4498B">
        <w:rPr>
          <w:rFonts w:cs="Arial"/>
          <w:sz w:val="22"/>
          <w:szCs w:val="22"/>
        </w:rPr>
        <w:t>N</w:t>
      </w:r>
      <w:r w:rsidR="00C4498B" w:rsidRPr="00F167F1">
        <w:rPr>
          <w:rFonts w:cs="Arial"/>
          <w:sz w:val="22"/>
          <w:szCs w:val="22"/>
        </w:rPr>
        <w:t>ear-</w:t>
      </w:r>
      <w:r w:rsidR="00C4498B">
        <w:rPr>
          <w:rFonts w:cs="Arial"/>
          <w:sz w:val="22"/>
          <w:szCs w:val="22"/>
        </w:rPr>
        <w:t>T</w:t>
      </w:r>
      <w:r w:rsidR="00C4498B" w:rsidRPr="00F167F1">
        <w:rPr>
          <w:rFonts w:cs="Arial"/>
          <w:sz w:val="22"/>
          <w:szCs w:val="22"/>
        </w:rPr>
        <w:t xml:space="preserve">erm </w:t>
      </w:r>
      <w:r w:rsidR="00C4498B">
        <w:rPr>
          <w:rFonts w:cs="Arial"/>
          <w:sz w:val="22"/>
          <w:szCs w:val="22"/>
        </w:rPr>
        <w:t>T</w:t>
      </w:r>
      <w:r w:rsidR="00C4498B" w:rsidRPr="00F167F1">
        <w:rPr>
          <w:rFonts w:cs="Arial"/>
          <w:sz w:val="22"/>
          <w:szCs w:val="22"/>
        </w:rPr>
        <w:t xml:space="preserve">ask </w:t>
      </w:r>
      <w:r w:rsidR="00C4498B">
        <w:rPr>
          <w:rFonts w:cs="Arial"/>
          <w:sz w:val="22"/>
          <w:szCs w:val="22"/>
        </w:rPr>
        <w:t>F</w:t>
      </w:r>
      <w:r w:rsidR="00C4498B" w:rsidRPr="00F167F1">
        <w:rPr>
          <w:rFonts w:cs="Arial"/>
          <w:sz w:val="22"/>
          <w:szCs w:val="22"/>
        </w:rPr>
        <w:t>orce</w:t>
      </w:r>
      <w:r w:rsidR="00C4498B" w:rsidRPr="00310A29">
        <w:rPr>
          <w:rFonts w:cs="Arial"/>
          <w:sz w:val="22"/>
          <w:szCs w:val="22"/>
        </w:rPr>
        <w:t xml:space="preserve"> </w:t>
      </w:r>
      <w:r w:rsidR="00C4498B">
        <w:rPr>
          <w:rFonts w:cs="Arial"/>
          <w:sz w:val="22"/>
          <w:szCs w:val="22"/>
        </w:rPr>
        <w:t>(</w:t>
      </w:r>
      <w:r w:rsidRPr="00310A29">
        <w:rPr>
          <w:rFonts w:cs="Arial"/>
          <w:sz w:val="22"/>
          <w:szCs w:val="22"/>
        </w:rPr>
        <w:t>NTTF</w:t>
      </w:r>
      <w:r w:rsidR="00C4498B">
        <w:rPr>
          <w:rFonts w:cs="Arial"/>
          <w:sz w:val="22"/>
          <w:szCs w:val="22"/>
        </w:rPr>
        <w:t>)</w:t>
      </w:r>
      <w:r w:rsidRPr="00310A29">
        <w:rPr>
          <w:rFonts w:cs="Arial"/>
          <w:sz w:val="22"/>
          <w:szCs w:val="22"/>
        </w:rPr>
        <w:t xml:space="preserve"> </w:t>
      </w:r>
      <w:r w:rsidR="00A81FF6">
        <w:rPr>
          <w:rFonts w:cs="Arial"/>
          <w:sz w:val="22"/>
          <w:szCs w:val="22"/>
        </w:rPr>
        <w:t>r</w:t>
      </w:r>
      <w:r w:rsidRPr="00310A29">
        <w:rPr>
          <w:rFonts w:cs="Arial"/>
          <w:sz w:val="22"/>
          <w:szCs w:val="22"/>
        </w:rPr>
        <w:t xml:space="preserve">eport and </w:t>
      </w:r>
      <w:r w:rsidR="00847899">
        <w:rPr>
          <w:rFonts w:cs="Arial"/>
          <w:sz w:val="22"/>
          <w:szCs w:val="22"/>
        </w:rPr>
        <w:t>request that</w:t>
      </w:r>
      <w:r w:rsidRPr="00310A29">
        <w:rPr>
          <w:rFonts w:cs="Arial"/>
          <w:sz w:val="22"/>
          <w:szCs w:val="22"/>
        </w:rPr>
        <w:t xml:space="preserve"> the NRC undertake rulemaking in </w:t>
      </w:r>
      <w:r w:rsidR="00847899">
        <w:rPr>
          <w:rFonts w:cs="Arial"/>
          <w:sz w:val="22"/>
          <w:szCs w:val="22"/>
        </w:rPr>
        <w:t>a number of</w:t>
      </w:r>
      <w:r w:rsidRPr="00310A29">
        <w:rPr>
          <w:rFonts w:cs="Arial"/>
          <w:sz w:val="22"/>
          <w:szCs w:val="22"/>
        </w:rPr>
        <w:t xml:space="preserve"> areas that are addressed by this rule.  This rule also addresses</w:t>
      </w:r>
      <w:r w:rsidR="00D713F8">
        <w:rPr>
          <w:rFonts w:cs="Arial"/>
          <w:sz w:val="22"/>
          <w:szCs w:val="22"/>
        </w:rPr>
        <w:t>,</w:t>
      </w:r>
      <w:r w:rsidRPr="00310A29">
        <w:rPr>
          <w:rFonts w:cs="Arial"/>
          <w:sz w:val="22"/>
          <w:szCs w:val="22"/>
        </w:rPr>
        <w:t xml:space="preserve"> in part</w:t>
      </w:r>
      <w:r w:rsidR="00D713F8">
        <w:rPr>
          <w:rFonts w:cs="Arial"/>
          <w:sz w:val="22"/>
          <w:szCs w:val="22"/>
        </w:rPr>
        <w:t>,</w:t>
      </w:r>
      <w:r w:rsidRPr="00310A29">
        <w:rPr>
          <w:rFonts w:cs="Arial"/>
          <w:sz w:val="22"/>
          <w:szCs w:val="22"/>
        </w:rPr>
        <w:t xml:space="preserve"> PRM</w:t>
      </w:r>
      <w:r w:rsidR="00906C2B">
        <w:rPr>
          <w:rFonts w:cs="Arial"/>
          <w:sz w:val="22"/>
          <w:szCs w:val="22"/>
        </w:rPr>
        <w:noBreakHyphen/>
      </w:r>
      <w:r w:rsidR="00A70EBF">
        <w:rPr>
          <w:rFonts w:cs="Arial"/>
          <w:sz w:val="22"/>
          <w:szCs w:val="22"/>
        </w:rPr>
        <w:t>50</w:t>
      </w:r>
      <w:r w:rsidR="00906C2B">
        <w:rPr>
          <w:rFonts w:cs="Arial"/>
          <w:sz w:val="22"/>
          <w:szCs w:val="22"/>
        </w:rPr>
        <w:noBreakHyphen/>
      </w:r>
      <w:r w:rsidR="00A70EBF">
        <w:rPr>
          <w:rFonts w:cs="Arial"/>
          <w:sz w:val="22"/>
          <w:szCs w:val="22"/>
        </w:rPr>
        <w:t>96</w:t>
      </w:r>
      <w:r w:rsidR="006E6859" w:rsidRPr="006E6859">
        <w:rPr>
          <w:rFonts w:cs="Arial"/>
          <w:sz w:val="22"/>
          <w:szCs w:val="22"/>
        </w:rPr>
        <w:t xml:space="preserve"> </w:t>
      </w:r>
      <w:r w:rsidR="006E6859">
        <w:rPr>
          <w:rFonts w:cs="Arial"/>
          <w:sz w:val="22"/>
          <w:szCs w:val="22"/>
        </w:rPr>
        <w:t xml:space="preserve">submitted by </w:t>
      </w:r>
      <w:r w:rsidR="006E6859" w:rsidRPr="006A0394">
        <w:rPr>
          <w:rFonts w:cs="Arial"/>
          <w:sz w:val="22"/>
          <w:szCs w:val="22"/>
        </w:rPr>
        <w:t>Mr.</w:t>
      </w:r>
      <w:r w:rsidR="000C21E0">
        <w:rPr>
          <w:rFonts w:cs="Arial"/>
          <w:sz w:val="22"/>
          <w:szCs w:val="22"/>
        </w:rPr>
        <w:t> </w:t>
      </w:r>
      <w:r w:rsidR="006E6859" w:rsidRPr="006A0394">
        <w:rPr>
          <w:rFonts w:cs="Arial"/>
          <w:sz w:val="22"/>
          <w:szCs w:val="22"/>
        </w:rPr>
        <w:t>Thomas Popik</w:t>
      </w:r>
      <w:r w:rsidR="00A81FF6">
        <w:rPr>
          <w:rFonts w:cs="Arial"/>
          <w:sz w:val="22"/>
          <w:szCs w:val="22"/>
        </w:rPr>
        <w:t>;</w:t>
      </w:r>
      <w:r w:rsidRPr="00310A29">
        <w:rPr>
          <w:rFonts w:cs="Arial"/>
          <w:sz w:val="22"/>
          <w:szCs w:val="22"/>
        </w:rPr>
        <w:t xml:space="preserve"> however</w:t>
      </w:r>
      <w:r w:rsidR="000C7B1A">
        <w:rPr>
          <w:rFonts w:cs="Arial"/>
          <w:sz w:val="22"/>
          <w:szCs w:val="22"/>
        </w:rPr>
        <w:t>,</w:t>
      </w:r>
      <w:r w:rsidRPr="00310A29">
        <w:rPr>
          <w:rFonts w:cs="Arial"/>
          <w:sz w:val="22"/>
          <w:szCs w:val="22"/>
        </w:rPr>
        <w:t xml:space="preserve"> </w:t>
      </w:r>
      <w:r w:rsidR="00847899">
        <w:rPr>
          <w:rFonts w:cs="Arial"/>
          <w:sz w:val="22"/>
          <w:szCs w:val="22"/>
        </w:rPr>
        <w:t>broader</w:t>
      </w:r>
      <w:r w:rsidRPr="00310A29">
        <w:rPr>
          <w:rFonts w:cs="Arial"/>
          <w:sz w:val="22"/>
          <w:szCs w:val="22"/>
        </w:rPr>
        <w:t xml:space="preserve"> issues raised in that petition </w:t>
      </w:r>
      <w:r w:rsidR="00847899">
        <w:rPr>
          <w:rFonts w:cs="Arial"/>
          <w:sz w:val="22"/>
          <w:szCs w:val="22"/>
        </w:rPr>
        <w:t xml:space="preserve">regarding geomagnetic disturbances are outside the scope of this rule and </w:t>
      </w:r>
      <w:r w:rsidRPr="00310A29">
        <w:rPr>
          <w:rFonts w:cs="Arial"/>
          <w:sz w:val="22"/>
          <w:szCs w:val="22"/>
        </w:rPr>
        <w:t>remain under consideration by the NRC</w:t>
      </w:r>
      <w:r w:rsidR="00587294">
        <w:rPr>
          <w:rFonts w:cs="Arial"/>
          <w:sz w:val="22"/>
          <w:szCs w:val="22"/>
        </w:rPr>
        <w:t>.</w:t>
      </w:r>
    </w:p>
    <w:p w14:paraId="06E26542" w14:textId="1CD770AB" w:rsidR="00EE4E56" w:rsidRPr="007F7E04" w:rsidRDefault="00EE4E56" w:rsidP="0062754D">
      <w:pPr>
        <w:pStyle w:val="ListParagraph"/>
        <w:autoSpaceDE/>
        <w:autoSpaceDN/>
        <w:adjustRightInd/>
        <w:rPr>
          <w:rFonts w:cs="Arial"/>
          <w:sz w:val="22"/>
          <w:szCs w:val="22"/>
        </w:rPr>
      </w:pPr>
    </w:p>
    <w:p w14:paraId="36534D06" w14:textId="6A29CBA7" w:rsidR="008612B8" w:rsidRPr="007F7E04" w:rsidRDefault="008612B8" w:rsidP="0062754D">
      <w:pPr>
        <w:rPr>
          <w:rFonts w:cs="Arial"/>
          <w:sz w:val="22"/>
          <w:szCs w:val="22"/>
        </w:rPr>
      </w:pPr>
      <w:r w:rsidRPr="007F7E04">
        <w:rPr>
          <w:rFonts w:cs="Arial"/>
          <w:sz w:val="22"/>
          <w:szCs w:val="22"/>
        </w:rPr>
        <w:t>To achieve these objectives</w:t>
      </w:r>
      <w:r w:rsidR="00D713F8">
        <w:rPr>
          <w:rFonts w:cs="Arial"/>
          <w:sz w:val="22"/>
          <w:szCs w:val="22"/>
        </w:rPr>
        <w:t>,</w:t>
      </w:r>
      <w:r w:rsidRPr="007F7E04">
        <w:rPr>
          <w:rFonts w:cs="Arial"/>
          <w:sz w:val="22"/>
          <w:szCs w:val="22"/>
        </w:rPr>
        <w:t xml:space="preserve"> the </w:t>
      </w:r>
      <w:r w:rsidR="00AF6FC3" w:rsidRPr="007F7E04">
        <w:rPr>
          <w:rFonts w:cs="Arial"/>
          <w:sz w:val="22"/>
          <w:szCs w:val="22"/>
        </w:rPr>
        <w:t>rule</w:t>
      </w:r>
      <w:r w:rsidRPr="007F7E04">
        <w:rPr>
          <w:rFonts w:cs="Arial"/>
          <w:sz w:val="22"/>
          <w:szCs w:val="22"/>
        </w:rPr>
        <w:t xml:space="preserve"> </w:t>
      </w:r>
      <w:r w:rsidR="00297BEE" w:rsidRPr="007F7E04">
        <w:rPr>
          <w:rFonts w:cs="Arial"/>
          <w:sz w:val="22"/>
          <w:szCs w:val="22"/>
        </w:rPr>
        <w:t>amend</w:t>
      </w:r>
      <w:r w:rsidR="00AF6FC3" w:rsidRPr="007F7E04">
        <w:rPr>
          <w:rFonts w:cs="Arial"/>
          <w:sz w:val="22"/>
          <w:szCs w:val="22"/>
        </w:rPr>
        <w:t>s</w:t>
      </w:r>
      <w:r w:rsidR="00297BEE" w:rsidRPr="007F7E04">
        <w:rPr>
          <w:rFonts w:cs="Arial"/>
          <w:sz w:val="22"/>
          <w:szCs w:val="22"/>
        </w:rPr>
        <w:t xml:space="preserve"> 10 CFR Part</w:t>
      </w:r>
      <w:r w:rsidRPr="007F7E04">
        <w:rPr>
          <w:rFonts w:cs="Arial"/>
          <w:sz w:val="22"/>
          <w:szCs w:val="22"/>
        </w:rPr>
        <w:t xml:space="preserve"> 50 and </w:t>
      </w:r>
      <w:r w:rsidR="00906C2B">
        <w:rPr>
          <w:rFonts w:cs="Arial"/>
          <w:sz w:val="22"/>
          <w:szCs w:val="22"/>
        </w:rPr>
        <w:t>10 CFR </w:t>
      </w:r>
      <w:r w:rsidR="00297BEE" w:rsidRPr="007F7E04">
        <w:rPr>
          <w:rFonts w:cs="Arial"/>
          <w:sz w:val="22"/>
          <w:szCs w:val="22"/>
        </w:rPr>
        <w:t>Part </w:t>
      </w:r>
      <w:r w:rsidRPr="007F7E04">
        <w:rPr>
          <w:rFonts w:cs="Arial"/>
          <w:sz w:val="22"/>
          <w:szCs w:val="22"/>
        </w:rPr>
        <w:t xml:space="preserve">52 to require mitigation strategies for responding to </w:t>
      </w:r>
      <w:r w:rsidR="00847899">
        <w:rPr>
          <w:rFonts w:cs="Arial"/>
          <w:sz w:val="22"/>
          <w:szCs w:val="22"/>
        </w:rPr>
        <w:t>beyond-design-basis event</w:t>
      </w:r>
      <w:r w:rsidR="00E4157D" w:rsidRPr="007F7E04">
        <w:rPr>
          <w:rFonts w:cs="Arial"/>
          <w:sz w:val="22"/>
          <w:szCs w:val="22"/>
        </w:rPr>
        <w:t>s</w:t>
      </w:r>
      <w:r w:rsidRPr="007F7E04">
        <w:rPr>
          <w:rFonts w:cs="Arial"/>
          <w:sz w:val="22"/>
          <w:szCs w:val="22"/>
        </w:rPr>
        <w:t>.</w:t>
      </w:r>
    </w:p>
    <w:p w14:paraId="34BEB3ED" w14:textId="77777777" w:rsidR="00E77D57" w:rsidRDefault="00E77D57" w:rsidP="00906C2B">
      <w:pPr>
        <w:pStyle w:val="Heading1"/>
      </w:pPr>
      <w:bookmarkStart w:id="68" w:name="_Toc381266973"/>
      <w:bookmarkStart w:id="69" w:name="_Toc381267317"/>
      <w:bookmarkStart w:id="70" w:name="_Toc404777847"/>
      <w:bookmarkStart w:id="71" w:name="_Toc460911618"/>
      <w:bookmarkStart w:id="72" w:name="_Toc460911660"/>
      <w:bookmarkStart w:id="73" w:name="_Toc460911702"/>
      <w:bookmarkStart w:id="74" w:name="_Toc460911744"/>
      <w:bookmarkStart w:id="75" w:name="_Toc460911786"/>
      <w:bookmarkStart w:id="76" w:name="_Toc460932036"/>
      <w:bookmarkStart w:id="77" w:name="_Toc460932082"/>
      <w:bookmarkStart w:id="78" w:name="_Toc460932128"/>
      <w:bookmarkStart w:id="79" w:name="_Toc460932174"/>
      <w:bookmarkStart w:id="80" w:name="_Toc532457278"/>
      <w:r w:rsidRPr="00ED1D75">
        <w:t xml:space="preserve">2. </w:t>
      </w:r>
      <w:r w:rsidRPr="00ED1D75">
        <w:tab/>
        <w:t>Identification and Preliminary Analysis of Alternative Approaches</w:t>
      </w:r>
      <w:bookmarkEnd w:id="68"/>
      <w:bookmarkEnd w:id="69"/>
      <w:bookmarkEnd w:id="70"/>
      <w:bookmarkEnd w:id="71"/>
      <w:bookmarkEnd w:id="72"/>
      <w:bookmarkEnd w:id="73"/>
      <w:bookmarkEnd w:id="74"/>
      <w:bookmarkEnd w:id="75"/>
      <w:bookmarkEnd w:id="76"/>
      <w:bookmarkEnd w:id="77"/>
      <w:bookmarkEnd w:id="78"/>
      <w:bookmarkEnd w:id="79"/>
      <w:bookmarkEnd w:id="80"/>
    </w:p>
    <w:p w14:paraId="13094F49" w14:textId="56B3CE43" w:rsidR="008612B8" w:rsidRDefault="00982C3B" w:rsidP="005E477B">
      <w:pPr>
        <w:rPr>
          <w:rFonts w:cs="Arial"/>
          <w:sz w:val="22"/>
          <w:szCs w:val="22"/>
        </w:rPr>
      </w:pPr>
      <w:r>
        <w:rPr>
          <w:rFonts w:cs="Arial"/>
          <w:sz w:val="22"/>
          <w:szCs w:val="22"/>
        </w:rPr>
        <w:t>T</w:t>
      </w:r>
      <w:r w:rsidR="00454EF1">
        <w:rPr>
          <w:rFonts w:cs="Arial"/>
          <w:sz w:val="22"/>
          <w:szCs w:val="22"/>
        </w:rPr>
        <w:t>he</w:t>
      </w:r>
      <w:r w:rsidR="00454EF1" w:rsidRPr="00ED1D75">
        <w:rPr>
          <w:rFonts w:cs="Arial"/>
          <w:sz w:val="22"/>
          <w:szCs w:val="22"/>
        </w:rPr>
        <w:t xml:space="preserve"> </w:t>
      </w:r>
      <w:r w:rsidR="008612B8" w:rsidRPr="00ED1D75">
        <w:rPr>
          <w:rFonts w:cs="Arial"/>
          <w:sz w:val="22"/>
          <w:szCs w:val="22"/>
        </w:rPr>
        <w:t xml:space="preserve">NRC </w:t>
      </w:r>
      <w:r w:rsidR="00847899">
        <w:rPr>
          <w:rFonts w:cs="Arial"/>
          <w:sz w:val="22"/>
          <w:szCs w:val="22"/>
        </w:rPr>
        <w:t>analyzed two</w:t>
      </w:r>
      <w:r w:rsidR="008612B8" w:rsidRPr="00ED1D75">
        <w:rPr>
          <w:rFonts w:cs="Arial"/>
          <w:sz w:val="22"/>
          <w:szCs w:val="22"/>
        </w:rPr>
        <w:t xml:space="preserve"> </w:t>
      </w:r>
      <w:r w:rsidR="000C21E0">
        <w:rPr>
          <w:rFonts w:cs="Arial"/>
          <w:sz w:val="22"/>
          <w:szCs w:val="22"/>
        </w:rPr>
        <w:t>options</w:t>
      </w:r>
      <w:r w:rsidR="008612B8" w:rsidRPr="00ED1D75">
        <w:rPr>
          <w:rFonts w:cs="Arial"/>
          <w:sz w:val="22"/>
          <w:szCs w:val="22"/>
        </w:rPr>
        <w:t xml:space="preserve"> </w:t>
      </w:r>
      <w:r w:rsidR="004D19BD">
        <w:rPr>
          <w:rFonts w:cs="Arial"/>
          <w:sz w:val="22"/>
          <w:szCs w:val="22"/>
        </w:rPr>
        <w:t>consistent with the Commission direction provided in SRM</w:t>
      </w:r>
      <w:r w:rsidR="004D19BD">
        <w:rPr>
          <w:rFonts w:cs="Arial"/>
          <w:sz w:val="22"/>
          <w:szCs w:val="22"/>
        </w:rPr>
        <w:noBreakHyphen/>
        <w:t>SECY-16-0142</w:t>
      </w:r>
      <w:r w:rsidR="00906C2B">
        <w:rPr>
          <w:rFonts w:cs="Arial"/>
          <w:sz w:val="22"/>
          <w:szCs w:val="22"/>
        </w:rPr>
        <w:t>:</w:t>
      </w:r>
    </w:p>
    <w:p w14:paraId="6733623C" w14:textId="77777777" w:rsidR="0035319F" w:rsidRPr="00ED1D75" w:rsidRDefault="0035319F" w:rsidP="005E477B">
      <w:pPr>
        <w:rPr>
          <w:rFonts w:cs="Arial"/>
          <w:sz w:val="22"/>
          <w:szCs w:val="22"/>
        </w:rPr>
      </w:pPr>
    </w:p>
    <w:p w14:paraId="394C72E9" w14:textId="26893373" w:rsidR="008612B8" w:rsidRPr="0031052A" w:rsidRDefault="008612B8" w:rsidP="0031052A">
      <w:pPr>
        <w:pStyle w:val="ListParagraph"/>
        <w:numPr>
          <w:ilvl w:val="0"/>
          <w:numId w:val="44"/>
        </w:numPr>
        <w:tabs>
          <w:tab w:val="left" w:pos="1800"/>
        </w:tabs>
        <w:ind w:hanging="720"/>
        <w:rPr>
          <w:rFonts w:cs="Arial"/>
          <w:sz w:val="22"/>
          <w:szCs w:val="22"/>
        </w:rPr>
      </w:pPr>
      <w:r w:rsidRPr="0031052A">
        <w:rPr>
          <w:rFonts w:cs="Arial"/>
          <w:sz w:val="22"/>
          <w:szCs w:val="22"/>
        </w:rPr>
        <w:t>Option 1:</w:t>
      </w:r>
      <w:r w:rsidR="00847899">
        <w:rPr>
          <w:rFonts w:cs="Arial"/>
          <w:sz w:val="22"/>
          <w:szCs w:val="22"/>
        </w:rPr>
        <w:tab/>
      </w:r>
      <w:r w:rsidRPr="0031052A">
        <w:rPr>
          <w:rFonts w:cs="Arial"/>
          <w:sz w:val="22"/>
          <w:szCs w:val="22"/>
        </w:rPr>
        <w:t>Take no action</w:t>
      </w:r>
      <w:r w:rsidR="00C8598E" w:rsidRPr="0031052A">
        <w:rPr>
          <w:rFonts w:cs="Arial"/>
          <w:sz w:val="22"/>
          <w:szCs w:val="22"/>
        </w:rPr>
        <w:t>.</w:t>
      </w:r>
    </w:p>
    <w:p w14:paraId="44E129B0" w14:textId="77777777" w:rsidR="0035319F" w:rsidRPr="00237075" w:rsidRDefault="0035319F" w:rsidP="00847899">
      <w:pPr>
        <w:rPr>
          <w:rFonts w:cs="Arial"/>
          <w:sz w:val="22"/>
          <w:szCs w:val="22"/>
        </w:rPr>
      </w:pPr>
    </w:p>
    <w:p w14:paraId="4CCCA869" w14:textId="54908DB1" w:rsidR="00982C3B" w:rsidRPr="0031052A" w:rsidRDefault="00847899" w:rsidP="0031052A">
      <w:pPr>
        <w:pStyle w:val="ListParagraph"/>
        <w:numPr>
          <w:ilvl w:val="0"/>
          <w:numId w:val="44"/>
        </w:numPr>
        <w:tabs>
          <w:tab w:val="left" w:pos="720"/>
          <w:tab w:val="left" w:pos="1800"/>
        </w:tabs>
        <w:ind w:left="1800" w:hanging="1800"/>
        <w:rPr>
          <w:rFonts w:cs="Arial"/>
          <w:sz w:val="22"/>
          <w:szCs w:val="22"/>
        </w:rPr>
      </w:pPr>
      <w:r>
        <w:rPr>
          <w:rFonts w:cs="Arial"/>
          <w:sz w:val="22"/>
          <w:szCs w:val="22"/>
        </w:rPr>
        <w:t>Option 2:</w:t>
      </w:r>
      <w:r>
        <w:rPr>
          <w:rFonts w:cs="Arial"/>
          <w:sz w:val="22"/>
          <w:szCs w:val="22"/>
        </w:rPr>
        <w:tab/>
      </w:r>
      <w:r w:rsidR="00982C3B" w:rsidRPr="0031052A">
        <w:rPr>
          <w:rFonts w:cs="Arial"/>
          <w:sz w:val="22"/>
          <w:szCs w:val="22"/>
        </w:rPr>
        <w:t xml:space="preserve">Undertake rulemaking to make </w:t>
      </w:r>
      <w:r>
        <w:rPr>
          <w:rFonts w:eastAsiaTheme="minorHAnsi" w:cs="Arial"/>
          <w:color w:val="000000"/>
          <w:sz w:val="22"/>
          <w:szCs w:val="22"/>
        </w:rPr>
        <w:t>requirements in the Mitigation Strategies and SFPI Orders generically applicable, giving consideration to lessons learned from implementation of the orders and public comment</w:t>
      </w:r>
      <w:r w:rsidR="000C21E0">
        <w:rPr>
          <w:rFonts w:eastAsiaTheme="minorHAnsi" w:cs="Arial"/>
          <w:color w:val="000000"/>
          <w:sz w:val="22"/>
          <w:szCs w:val="22"/>
        </w:rPr>
        <w:t>s</w:t>
      </w:r>
      <w:r>
        <w:rPr>
          <w:rFonts w:eastAsiaTheme="minorHAnsi" w:cs="Arial"/>
          <w:color w:val="000000"/>
          <w:sz w:val="22"/>
          <w:szCs w:val="22"/>
        </w:rPr>
        <w:t xml:space="preserve"> on the MBDBE proposed rule </w:t>
      </w:r>
      <w:r w:rsidRPr="005D20EF">
        <w:rPr>
          <w:rFonts w:eastAsiaTheme="minorHAnsi" w:cs="Arial"/>
          <w:sz w:val="22"/>
          <w:szCs w:val="22"/>
        </w:rPr>
        <w:t xml:space="preserve">and </w:t>
      </w:r>
      <w:r w:rsidR="000C21E0">
        <w:rPr>
          <w:rFonts w:eastAsiaTheme="minorHAnsi" w:cs="Arial"/>
          <w:sz w:val="22"/>
          <w:szCs w:val="22"/>
        </w:rPr>
        <w:t xml:space="preserve">to </w:t>
      </w:r>
      <w:r w:rsidRPr="005D20EF">
        <w:rPr>
          <w:rFonts w:eastAsiaTheme="minorHAnsi" w:cs="Arial"/>
          <w:sz w:val="22"/>
          <w:szCs w:val="22"/>
        </w:rPr>
        <w:t>address</w:t>
      </w:r>
      <w:r>
        <w:rPr>
          <w:rFonts w:eastAsiaTheme="minorHAnsi" w:cs="Arial"/>
          <w:sz w:val="22"/>
          <w:szCs w:val="22"/>
        </w:rPr>
        <w:t xml:space="preserve"> </w:t>
      </w:r>
      <w:r>
        <w:rPr>
          <w:rFonts w:eastAsiaTheme="minorHAnsi" w:cs="Arial"/>
          <w:color w:val="000000"/>
          <w:sz w:val="22"/>
          <w:szCs w:val="22"/>
        </w:rPr>
        <w:t>issues raised by PRMs that were submitted to the NRC</w:t>
      </w:r>
      <w:r w:rsidR="00982C3B" w:rsidRPr="0031052A">
        <w:rPr>
          <w:rFonts w:cs="Arial"/>
          <w:sz w:val="22"/>
          <w:szCs w:val="22"/>
        </w:rPr>
        <w:t>.</w:t>
      </w:r>
    </w:p>
    <w:p w14:paraId="7B294E50" w14:textId="77777777" w:rsidR="0035319F" w:rsidRPr="0035319F" w:rsidRDefault="0035319F" w:rsidP="0062754D">
      <w:pPr>
        <w:tabs>
          <w:tab w:val="left" w:pos="720"/>
        </w:tabs>
        <w:rPr>
          <w:rFonts w:cs="Arial"/>
          <w:sz w:val="22"/>
          <w:szCs w:val="22"/>
        </w:rPr>
      </w:pPr>
    </w:p>
    <w:p w14:paraId="7AAE53C9" w14:textId="6C593C59" w:rsidR="008612B8" w:rsidRPr="004D04F9" w:rsidRDefault="008612B8" w:rsidP="0062754D">
      <w:pPr>
        <w:rPr>
          <w:rFonts w:cs="Arial"/>
          <w:sz w:val="22"/>
          <w:szCs w:val="22"/>
        </w:rPr>
      </w:pPr>
      <w:r w:rsidRPr="00ED1D75">
        <w:rPr>
          <w:rFonts w:cs="Arial"/>
          <w:sz w:val="22"/>
          <w:szCs w:val="22"/>
        </w:rPr>
        <w:t xml:space="preserve">The following sections </w:t>
      </w:r>
      <w:r w:rsidR="005E477B">
        <w:rPr>
          <w:rFonts w:cs="Arial"/>
          <w:sz w:val="22"/>
          <w:szCs w:val="22"/>
        </w:rPr>
        <w:t xml:space="preserve">provides </w:t>
      </w:r>
      <w:r w:rsidR="000C21E0">
        <w:rPr>
          <w:rFonts w:cs="Arial"/>
          <w:sz w:val="22"/>
          <w:szCs w:val="22"/>
        </w:rPr>
        <w:t>the</w:t>
      </w:r>
      <w:r w:rsidRPr="00ED1D75">
        <w:rPr>
          <w:rFonts w:cs="Arial"/>
          <w:sz w:val="22"/>
          <w:szCs w:val="22"/>
        </w:rPr>
        <w:t xml:space="preserve"> analysis of these options.</w:t>
      </w:r>
    </w:p>
    <w:p w14:paraId="0CD1489F" w14:textId="60ED3B43" w:rsidR="00E77D57" w:rsidRDefault="00E77D57" w:rsidP="0062754D">
      <w:pPr>
        <w:pStyle w:val="Heading2"/>
        <w:ind w:left="720" w:hanging="720"/>
      </w:pPr>
      <w:bookmarkStart w:id="81" w:name="_Toc377386142"/>
      <w:bookmarkStart w:id="82" w:name="_Toc381266974"/>
      <w:bookmarkStart w:id="83" w:name="_Toc381267318"/>
      <w:bookmarkStart w:id="84" w:name="_Toc404777848"/>
      <w:bookmarkStart w:id="85" w:name="_Toc460911619"/>
      <w:bookmarkStart w:id="86" w:name="_Toc460911661"/>
      <w:bookmarkStart w:id="87" w:name="_Toc460911703"/>
      <w:bookmarkStart w:id="88" w:name="_Toc460911745"/>
      <w:bookmarkStart w:id="89" w:name="_Toc460911787"/>
      <w:bookmarkStart w:id="90" w:name="_Toc460932037"/>
      <w:bookmarkStart w:id="91" w:name="_Toc460932083"/>
      <w:bookmarkStart w:id="92" w:name="_Toc460932129"/>
      <w:bookmarkStart w:id="93" w:name="_Toc460932175"/>
      <w:bookmarkStart w:id="94" w:name="_Toc532457279"/>
      <w:r w:rsidRPr="00ED1D75">
        <w:t>2.1</w:t>
      </w:r>
      <w:r w:rsidRPr="00ED1D75">
        <w:tab/>
        <w:t xml:space="preserve">Option 1:  </w:t>
      </w:r>
      <w:bookmarkEnd w:id="81"/>
      <w:bookmarkEnd w:id="82"/>
      <w:bookmarkEnd w:id="83"/>
      <w:r w:rsidR="008612B8">
        <w:t>Take No Action</w:t>
      </w:r>
      <w:bookmarkEnd w:id="84"/>
      <w:bookmarkEnd w:id="85"/>
      <w:bookmarkEnd w:id="86"/>
      <w:bookmarkEnd w:id="87"/>
      <w:bookmarkEnd w:id="88"/>
      <w:bookmarkEnd w:id="89"/>
      <w:bookmarkEnd w:id="90"/>
      <w:bookmarkEnd w:id="91"/>
      <w:bookmarkEnd w:id="92"/>
      <w:bookmarkEnd w:id="93"/>
      <w:bookmarkEnd w:id="94"/>
    </w:p>
    <w:p w14:paraId="53DBC651" w14:textId="1B21BA3D" w:rsidR="008612B8" w:rsidRDefault="008612B8" w:rsidP="0062754D">
      <w:pPr>
        <w:rPr>
          <w:sz w:val="22"/>
          <w:szCs w:val="22"/>
        </w:rPr>
      </w:pPr>
      <w:r w:rsidRPr="00ED1D75">
        <w:rPr>
          <w:sz w:val="22"/>
          <w:szCs w:val="22"/>
        </w:rPr>
        <w:t xml:space="preserve">This </w:t>
      </w:r>
      <w:r w:rsidR="000C21E0">
        <w:rPr>
          <w:sz w:val="22"/>
          <w:szCs w:val="22"/>
        </w:rPr>
        <w:t>option</w:t>
      </w:r>
      <w:r w:rsidRPr="00ED1D75">
        <w:rPr>
          <w:sz w:val="22"/>
          <w:szCs w:val="22"/>
        </w:rPr>
        <w:t xml:space="preserve"> entails continuing the implementation of the mitigation strateg</w:t>
      </w:r>
      <w:r w:rsidR="00E77E14">
        <w:rPr>
          <w:sz w:val="22"/>
          <w:szCs w:val="22"/>
        </w:rPr>
        <w:t>y</w:t>
      </w:r>
      <w:r w:rsidR="004D04F9">
        <w:rPr>
          <w:sz w:val="22"/>
          <w:szCs w:val="22"/>
        </w:rPr>
        <w:t xml:space="preserve"> requirements in Order E</w:t>
      </w:r>
      <w:r w:rsidR="00D26D81">
        <w:rPr>
          <w:sz w:val="22"/>
          <w:szCs w:val="22"/>
        </w:rPr>
        <w:t>A</w:t>
      </w:r>
      <w:r w:rsidR="004D04F9">
        <w:rPr>
          <w:sz w:val="22"/>
          <w:szCs w:val="22"/>
        </w:rPr>
        <w:t>-12-049</w:t>
      </w:r>
      <w:r w:rsidR="00D713F8">
        <w:rPr>
          <w:sz w:val="22"/>
          <w:szCs w:val="22"/>
        </w:rPr>
        <w:t>,</w:t>
      </w:r>
      <w:r w:rsidR="004D04F9">
        <w:rPr>
          <w:sz w:val="22"/>
          <w:szCs w:val="22"/>
        </w:rPr>
        <w:t xml:space="preserve"> Order EA</w:t>
      </w:r>
      <w:r w:rsidR="00D26D81">
        <w:rPr>
          <w:sz w:val="22"/>
          <w:szCs w:val="22"/>
        </w:rPr>
        <w:t>-</w:t>
      </w:r>
      <w:r w:rsidR="004D04F9">
        <w:rPr>
          <w:sz w:val="22"/>
          <w:szCs w:val="22"/>
        </w:rPr>
        <w:t>12-051</w:t>
      </w:r>
      <w:r w:rsidR="00D713F8">
        <w:rPr>
          <w:sz w:val="22"/>
          <w:szCs w:val="22"/>
        </w:rPr>
        <w:t>,</w:t>
      </w:r>
      <w:r w:rsidR="004D04F9">
        <w:rPr>
          <w:sz w:val="22"/>
          <w:szCs w:val="22"/>
        </w:rPr>
        <w:t xml:space="preserve"> and other </w:t>
      </w:r>
      <w:r w:rsidR="005A2AD4">
        <w:rPr>
          <w:sz w:val="22"/>
          <w:szCs w:val="22"/>
        </w:rPr>
        <w:t xml:space="preserve">related industry initiatives.  No further </w:t>
      </w:r>
      <w:r w:rsidR="00B36C72">
        <w:rPr>
          <w:sz w:val="22"/>
          <w:szCs w:val="22"/>
        </w:rPr>
        <w:t xml:space="preserve">regulatory </w:t>
      </w:r>
      <w:r w:rsidRPr="00ED1D75">
        <w:rPr>
          <w:sz w:val="22"/>
          <w:szCs w:val="22"/>
        </w:rPr>
        <w:t xml:space="preserve">action </w:t>
      </w:r>
      <w:r w:rsidR="005A2AD4">
        <w:rPr>
          <w:sz w:val="22"/>
          <w:szCs w:val="22"/>
        </w:rPr>
        <w:t xml:space="preserve">would be taken </w:t>
      </w:r>
      <w:r w:rsidRPr="00ED1D75">
        <w:rPr>
          <w:sz w:val="22"/>
          <w:szCs w:val="22"/>
        </w:rPr>
        <w:t xml:space="preserve">to make the </w:t>
      </w:r>
      <w:r w:rsidR="00B808F5">
        <w:rPr>
          <w:sz w:val="22"/>
          <w:szCs w:val="22"/>
        </w:rPr>
        <w:t>o</w:t>
      </w:r>
      <w:r w:rsidRPr="00ED1D75">
        <w:rPr>
          <w:sz w:val="22"/>
          <w:szCs w:val="22"/>
        </w:rPr>
        <w:t xml:space="preserve">rder requirements generically applicable or to </w:t>
      </w:r>
      <w:r w:rsidRPr="00ED1D75">
        <w:rPr>
          <w:rFonts w:cs="Arial"/>
          <w:sz w:val="22"/>
          <w:szCs w:val="22"/>
        </w:rPr>
        <w:t>consider stakeholder feedback and lessons</w:t>
      </w:r>
      <w:r w:rsidR="00416C0A">
        <w:rPr>
          <w:rFonts w:cs="Arial"/>
          <w:sz w:val="22"/>
          <w:szCs w:val="22"/>
        </w:rPr>
        <w:t xml:space="preserve"> </w:t>
      </w:r>
      <w:r w:rsidRPr="00ED1D75">
        <w:rPr>
          <w:rFonts w:cs="Arial"/>
          <w:sz w:val="22"/>
          <w:szCs w:val="22"/>
        </w:rPr>
        <w:t>learned from the implementation of the</w:t>
      </w:r>
      <w:r w:rsidR="000B2D0B">
        <w:rPr>
          <w:rFonts w:cs="Arial"/>
          <w:sz w:val="22"/>
          <w:szCs w:val="22"/>
        </w:rPr>
        <w:t>se</w:t>
      </w:r>
      <w:r w:rsidRPr="00ED1D75">
        <w:rPr>
          <w:rFonts w:cs="Arial"/>
          <w:sz w:val="22"/>
          <w:szCs w:val="22"/>
        </w:rPr>
        <w:t xml:space="preserve"> </w:t>
      </w:r>
      <w:r w:rsidR="00B808F5">
        <w:rPr>
          <w:rFonts w:cs="Arial"/>
          <w:sz w:val="22"/>
          <w:szCs w:val="22"/>
        </w:rPr>
        <w:t>o</w:t>
      </w:r>
      <w:r w:rsidRPr="00ED1D75">
        <w:rPr>
          <w:rFonts w:cs="Arial"/>
          <w:sz w:val="22"/>
          <w:szCs w:val="22"/>
        </w:rPr>
        <w:t>rder</w:t>
      </w:r>
      <w:r w:rsidR="00B40758">
        <w:rPr>
          <w:rFonts w:cs="Arial"/>
          <w:sz w:val="22"/>
          <w:szCs w:val="22"/>
        </w:rPr>
        <w:t>s</w:t>
      </w:r>
      <w:r w:rsidRPr="00ED1D75">
        <w:rPr>
          <w:sz w:val="22"/>
          <w:szCs w:val="22"/>
        </w:rPr>
        <w:t xml:space="preserve">.  </w:t>
      </w:r>
      <w:r w:rsidR="00B808F5">
        <w:rPr>
          <w:sz w:val="22"/>
          <w:szCs w:val="22"/>
        </w:rPr>
        <w:t xml:space="preserve">This </w:t>
      </w:r>
      <w:r w:rsidR="000C21E0">
        <w:rPr>
          <w:sz w:val="22"/>
          <w:szCs w:val="22"/>
        </w:rPr>
        <w:t>option</w:t>
      </w:r>
      <w:r w:rsidR="00B808F5">
        <w:rPr>
          <w:sz w:val="22"/>
          <w:szCs w:val="22"/>
        </w:rPr>
        <w:t xml:space="preserve"> includes that industry will continue </w:t>
      </w:r>
      <w:r w:rsidR="00B808F5" w:rsidRPr="00D47441">
        <w:rPr>
          <w:rFonts w:cs="Arial"/>
          <w:sz w:val="22"/>
          <w:szCs w:val="22"/>
        </w:rPr>
        <w:t xml:space="preserve">to implement and maintain </w:t>
      </w:r>
      <w:r w:rsidR="00AA536A" w:rsidRPr="00F167F1">
        <w:rPr>
          <w:rFonts w:cs="Arial"/>
          <w:sz w:val="22"/>
          <w:szCs w:val="22"/>
        </w:rPr>
        <w:t>severe accident management guideline</w:t>
      </w:r>
      <w:r w:rsidR="00AA536A">
        <w:rPr>
          <w:rFonts w:cs="Arial"/>
          <w:sz w:val="22"/>
          <w:szCs w:val="22"/>
        </w:rPr>
        <w:t>s (</w:t>
      </w:r>
      <w:r w:rsidR="00B808F5">
        <w:rPr>
          <w:rFonts w:cs="Arial"/>
          <w:sz w:val="22"/>
          <w:szCs w:val="22"/>
        </w:rPr>
        <w:t>SAMGs</w:t>
      </w:r>
      <w:r w:rsidR="00AA536A">
        <w:rPr>
          <w:rFonts w:cs="Arial"/>
          <w:sz w:val="22"/>
          <w:szCs w:val="22"/>
        </w:rPr>
        <w:t>)</w:t>
      </w:r>
      <w:r w:rsidR="00B808F5">
        <w:rPr>
          <w:rFonts w:cs="Arial"/>
          <w:sz w:val="22"/>
          <w:szCs w:val="22"/>
        </w:rPr>
        <w:t xml:space="preserve"> </w:t>
      </w:r>
      <w:r w:rsidR="00B808F5" w:rsidRPr="00D47441">
        <w:rPr>
          <w:rFonts w:cs="Arial"/>
          <w:sz w:val="22"/>
          <w:szCs w:val="22"/>
        </w:rPr>
        <w:t xml:space="preserve">through </w:t>
      </w:r>
      <w:r w:rsidR="00B808F5">
        <w:rPr>
          <w:rFonts w:cs="Arial"/>
          <w:sz w:val="22"/>
          <w:szCs w:val="22"/>
        </w:rPr>
        <w:t>a voluntary industry initiative</w:t>
      </w:r>
      <w:r w:rsidR="002726BF">
        <w:rPr>
          <w:rFonts w:cs="Arial"/>
          <w:sz w:val="22"/>
          <w:szCs w:val="22"/>
        </w:rPr>
        <w:t xml:space="preserve"> and </w:t>
      </w:r>
      <w:r w:rsidR="00D8196A" w:rsidRPr="00F167F1">
        <w:rPr>
          <w:rFonts w:cs="Arial"/>
          <w:sz w:val="22"/>
          <w:szCs w:val="22"/>
        </w:rPr>
        <w:t>extensive damage mitigation guideline</w:t>
      </w:r>
      <w:r w:rsidR="00C4498B">
        <w:rPr>
          <w:rFonts w:cs="Arial"/>
          <w:sz w:val="22"/>
          <w:szCs w:val="22"/>
        </w:rPr>
        <w:t>s</w:t>
      </w:r>
      <w:r w:rsidR="00D8196A">
        <w:rPr>
          <w:rFonts w:cs="Arial"/>
          <w:sz w:val="22"/>
          <w:szCs w:val="22"/>
        </w:rPr>
        <w:t xml:space="preserve"> </w:t>
      </w:r>
      <w:r w:rsidR="00C4498B">
        <w:rPr>
          <w:rFonts w:cs="Arial"/>
          <w:sz w:val="22"/>
          <w:szCs w:val="22"/>
        </w:rPr>
        <w:t>(</w:t>
      </w:r>
      <w:r w:rsidR="002726BF">
        <w:rPr>
          <w:rFonts w:cs="Arial"/>
          <w:sz w:val="22"/>
          <w:szCs w:val="22"/>
        </w:rPr>
        <w:t>EDMGs</w:t>
      </w:r>
      <w:r w:rsidR="00C4498B">
        <w:rPr>
          <w:rFonts w:cs="Arial"/>
          <w:sz w:val="22"/>
          <w:szCs w:val="22"/>
        </w:rPr>
        <w:t>)</w:t>
      </w:r>
      <w:r w:rsidR="002726BF">
        <w:rPr>
          <w:rFonts w:cs="Arial"/>
          <w:sz w:val="22"/>
          <w:szCs w:val="22"/>
        </w:rPr>
        <w:t xml:space="preserve"> as required by 10 CFR 50.54(hh)(2)</w:t>
      </w:r>
      <w:r w:rsidR="00B808F5">
        <w:rPr>
          <w:rFonts w:cs="Arial"/>
          <w:sz w:val="22"/>
          <w:szCs w:val="22"/>
        </w:rPr>
        <w:t xml:space="preserve">.  </w:t>
      </w:r>
      <w:r w:rsidRPr="00ED1D75">
        <w:rPr>
          <w:sz w:val="22"/>
          <w:szCs w:val="22"/>
        </w:rPr>
        <w:t xml:space="preserve">This </w:t>
      </w:r>
      <w:r w:rsidR="000C21E0">
        <w:rPr>
          <w:sz w:val="22"/>
          <w:szCs w:val="22"/>
        </w:rPr>
        <w:t>option</w:t>
      </w:r>
      <w:r w:rsidRPr="00ED1D75">
        <w:rPr>
          <w:sz w:val="22"/>
          <w:szCs w:val="22"/>
        </w:rPr>
        <w:t xml:space="preserve"> is equivalent to the status quo and serves as a baseline to measure against the other </w:t>
      </w:r>
      <w:r w:rsidR="005047F0">
        <w:rPr>
          <w:sz w:val="22"/>
          <w:szCs w:val="22"/>
        </w:rPr>
        <w:t>identified</w:t>
      </w:r>
      <w:r w:rsidR="005047F0" w:rsidRPr="00ED1D75">
        <w:rPr>
          <w:sz w:val="22"/>
          <w:szCs w:val="22"/>
        </w:rPr>
        <w:t xml:space="preserve"> </w:t>
      </w:r>
      <w:r w:rsidR="000C21E0">
        <w:rPr>
          <w:sz w:val="22"/>
          <w:szCs w:val="22"/>
        </w:rPr>
        <w:t>option</w:t>
      </w:r>
      <w:r w:rsidR="000B2D0B">
        <w:rPr>
          <w:sz w:val="22"/>
          <w:szCs w:val="22"/>
        </w:rPr>
        <w:t>s</w:t>
      </w:r>
      <w:r w:rsidRPr="00ED1D75">
        <w:rPr>
          <w:sz w:val="22"/>
          <w:szCs w:val="22"/>
        </w:rPr>
        <w:t>.</w:t>
      </w:r>
    </w:p>
    <w:p w14:paraId="3153E100" w14:textId="79A7879F" w:rsidR="0035319F" w:rsidRDefault="0035319F" w:rsidP="0062754D">
      <w:pPr>
        <w:rPr>
          <w:sz w:val="22"/>
          <w:szCs w:val="22"/>
        </w:rPr>
      </w:pPr>
    </w:p>
    <w:p w14:paraId="187EE9C7" w14:textId="18C32317" w:rsidR="00F06C7D" w:rsidRDefault="00F06C7D" w:rsidP="00F06C7D">
      <w:pPr>
        <w:rPr>
          <w:sz w:val="22"/>
          <w:szCs w:val="22"/>
        </w:rPr>
      </w:pPr>
      <w:r>
        <w:rPr>
          <w:rFonts w:cs="Arial"/>
          <w:sz w:val="22"/>
          <w:szCs w:val="22"/>
        </w:rPr>
        <w:t>Consistent with the process described in COMSECY-15-0019</w:t>
      </w:r>
      <w:r w:rsidR="00E77E14">
        <w:rPr>
          <w:rFonts w:cs="Arial"/>
          <w:sz w:val="22"/>
          <w:szCs w:val="22"/>
        </w:rPr>
        <w:t xml:space="preserve">, “Closure Plan for the Reevaluation of Flooding Hazards for Operating Nuclear Power Plants,” dated </w:t>
      </w:r>
      <w:r w:rsidR="0072186D">
        <w:rPr>
          <w:rFonts w:cs="Arial"/>
          <w:sz w:val="22"/>
          <w:szCs w:val="22"/>
        </w:rPr>
        <w:t>June</w:t>
      </w:r>
      <w:r w:rsidR="00744873">
        <w:rPr>
          <w:rFonts w:cs="Arial"/>
          <w:sz w:val="22"/>
          <w:szCs w:val="22"/>
        </w:rPr>
        <w:t> </w:t>
      </w:r>
      <w:r w:rsidR="0072186D">
        <w:rPr>
          <w:rFonts w:cs="Arial"/>
          <w:sz w:val="22"/>
          <w:szCs w:val="22"/>
        </w:rPr>
        <w:t>30</w:t>
      </w:r>
      <w:r w:rsidR="00744873">
        <w:rPr>
          <w:rFonts w:cs="Arial"/>
          <w:sz w:val="22"/>
          <w:szCs w:val="22"/>
        </w:rPr>
        <w:t>, 2015</w:t>
      </w:r>
      <w:r>
        <w:rPr>
          <w:rFonts w:cs="Arial"/>
          <w:sz w:val="22"/>
          <w:szCs w:val="22"/>
        </w:rPr>
        <w:t xml:space="preserve"> (</w:t>
      </w:r>
      <w:r w:rsidR="00833EB3">
        <w:rPr>
          <w:rFonts w:cs="Arial"/>
          <w:sz w:val="22"/>
          <w:szCs w:val="22"/>
        </w:rPr>
        <w:t>NRC 2015</w:t>
      </w:r>
      <w:r w:rsidR="00825159">
        <w:rPr>
          <w:rFonts w:cs="Arial"/>
          <w:sz w:val="22"/>
          <w:szCs w:val="22"/>
        </w:rPr>
        <w:t>a</w:t>
      </w:r>
      <w:r>
        <w:rPr>
          <w:rFonts w:cs="Arial"/>
          <w:sz w:val="22"/>
          <w:szCs w:val="22"/>
        </w:rPr>
        <w:t>), licensees have been acti</w:t>
      </w:r>
      <w:r w:rsidR="00553323">
        <w:rPr>
          <w:rFonts w:cs="Arial"/>
          <w:sz w:val="22"/>
          <w:szCs w:val="22"/>
        </w:rPr>
        <w:t>ng</w:t>
      </w:r>
      <w:r>
        <w:rPr>
          <w:rFonts w:cs="Arial"/>
          <w:sz w:val="22"/>
          <w:szCs w:val="22"/>
        </w:rPr>
        <w:t xml:space="preserve"> to ensure their mitigating strategies are capable of addressing the reevaluated seismic and flooding hazards through the performance of mitigating strategies assessments (MSAs).  </w:t>
      </w:r>
      <w:r w:rsidR="00553323">
        <w:rPr>
          <w:rFonts w:cs="Arial"/>
          <w:sz w:val="22"/>
          <w:szCs w:val="22"/>
        </w:rPr>
        <w:t>Licensees are conducting</w:t>
      </w:r>
      <w:r>
        <w:rPr>
          <w:rFonts w:cs="Arial"/>
          <w:sz w:val="22"/>
          <w:szCs w:val="22"/>
        </w:rPr>
        <w:t xml:space="preserve"> MSAs using NRC-approved industry guidance in </w:t>
      </w:r>
      <w:r w:rsidR="00C4498B" w:rsidRPr="00616064">
        <w:rPr>
          <w:rFonts w:cs="Arial"/>
          <w:sz w:val="22"/>
          <w:szCs w:val="22"/>
        </w:rPr>
        <w:t>Nuclear Energy Institute</w:t>
      </w:r>
      <w:r w:rsidR="00C4498B">
        <w:rPr>
          <w:rFonts w:cs="Arial"/>
          <w:sz w:val="22"/>
          <w:szCs w:val="22"/>
        </w:rPr>
        <w:t xml:space="preserve"> (</w:t>
      </w:r>
      <w:r>
        <w:rPr>
          <w:rFonts w:cs="Arial"/>
          <w:sz w:val="22"/>
          <w:szCs w:val="22"/>
        </w:rPr>
        <w:t>NEI</w:t>
      </w:r>
      <w:r w:rsidR="00C4498B">
        <w:rPr>
          <w:rFonts w:cs="Arial"/>
          <w:sz w:val="22"/>
          <w:szCs w:val="22"/>
        </w:rPr>
        <w:t>)</w:t>
      </w:r>
      <w:r>
        <w:rPr>
          <w:rFonts w:cs="Arial"/>
          <w:sz w:val="22"/>
          <w:szCs w:val="22"/>
        </w:rPr>
        <w:t xml:space="preserve"> 12-06, Rev</w:t>
      </w:r>
      <w:r w:rsidR="00553323">
        <w:rPr>
          <w:rFonts w:cs="Arial"/>
          <w:sz w:val="22"/>
          <w:szCs w:val="22"/>
        </w:rPr>
        <w:t>ision</w:t>
      </w:r>
      <w:r>
        <w:rPr>
          <w:rFonts w:cs="Arial"/>
          <w:sz w:val="22"/>
          <w:szCs w:val="22"/>
        </w:rPr>
        <w:t xml:space="preserve"> </w:t>
      </w:r>
      <w:r w:rsidR="000576E6">
        <w:rPr>
          <w:rFonts w:cs="Arial"/>
          <w:sz w:val="22"/>
          <w:szCs w:val="22"/>
        </w:rPr>
        <w:t>4</w:t>
      </w:r>
      <w:r w:rsidR="00F95E44">
        <w:rPr>
          <w:rFonts w:cs="Arial"/>
          <w:sz w:val="22"/>
          <w:szCs w:val="22"/>
        </w:rPr>
        <w:t xml:space="preserve"> (</w:t>
      </w:r>
      <w:r w:rsidR="00833EB3">
        <w:rPr>
          <w:rFonts w:cs="Arial"/>
          <w:sz w:val="22"/>
          <w:szCs w:val="22"/>
        </w:rPr>
        <w:t>NEI 201</w:t>
      </w:r>
      <w:r w:rsidR="00825159">
        <w:rPr>
          <w:rFonts w:cs="Arial"/>
          <w:sz w:val="22"/>
          <w:szCs w:val="22"/>
        </w:rPr>
        <w:t>6</w:t>
      </w:r>
      <w:r w:rsidR="00F95E44">
        <w:rPr>
          <w:rFonts w:cs="Arial"/>
          <w:sz w:val="22"/>
          <w:szCs w:val="22"/>
        </w:rPr>
        <w:t>)</w:t>
      </w:r>
      <w:r>
        <w:rPr>
          <w:rFonts w:cs="Arial"/>
          <w:sz w:val="22"/>
          <w:szCs w:val="22"/>
        </w:rPr>
        <w:t xml:space="preserve">.  </w:t>
      </w:r>
      <w:r w:rsidR="00E34F00">
        <w:rPr>
          <w:rFonts w:cs="Arial"/>
          <w:sz w:val="22"/>
          <w:szCs w:val="22"/>
        </w:rPr>
        <w:t>These industry voluntary initatives</w:t>
      </w:r>
      <w:r>
        <w:rPr>
          <w:rFonts w:cs="Arial"/>
          <w:sz w:val="22"/>
          <w:szCs w:val="22"/>
        </w:rPr>
        <w:t xml:space="preserve"> being completed as part of NTTF Recommendation 2.1, some of which relate to Order</w:t>
      </w:r>
      <w:r w:rsidR="00553323">
        <w:rPr>
          <w:rFonts w:cs="Arial"/>
          <w:sz w:val="22"/>
          <w:szCs w:val="22"/>
        </w:rPr>
        <w:t> </w:t>
      </w:r>
      <w:r>
        <w:rPr>
          <w:rFonts w:cs="Arial"/>
          <w:sz w:val="22"/>
          <w:szCs w:val="22"/>
        </w:rPr>
        <w:t>EA</w:t>
      </w:r>
      <w:r>
        <w:rPr>
          <w:rFonts w:cs="Arial"/>
          <w:sz w:val="22"/>
          <w:szCs w:val="22"/>
        </w:rPr>
        <w:noBreakHyphen/>
        <w:t>12</w:t>
      </w:r>
      <w:r>
        <w:rPr>
          <w:rFonts w:cs="Arial"/>
          <w:sz w:val="22"/>
          <w:szCs w:val="22"/>
        </w:rPr>
        <w:noBreakHyphen/>
        <w:t>049 through the MSAs, are included as part of the regulatory baseline for Option 1.  For example, one approach for conducting the seismic portion of the MSA involves leveraging risk insights from the seismic probabilistic risk assessments (SPRA</w:t>
      </w:r>
      <w:r w:rsidR="00553323">
        <w:rPr>
          <w:rFonts w:cs="Arial"/>
          <w:sz w:val="22"/>
          <w:szCs w:val="22"/>
        </w:rPr>
        <w:t>s</w:t>
      </w:r>
      <w:r>
        <w:rPr>
          <w:rFonts w:cs="Arial"/>
          <w:sz w:val="22"/>
          <w:szCs w:val="22"/>
        </w:rPr>
        <w:t>), which are being completed by some licensees as part of NTTF Recommendation 2.1, to assess the existing mitigating strategies against the reevaluated seismic hazard.  Costs associated with developing the SPRA are included in Option</w:t>
      </w:r>
      <w:r w:rsidR="000C7B1A">
        <w:rPr>
          <w:rFonts w:cs="Arial"/>
          <w:sz w:val="22"/>
          <w:szCs w:val="22"/>
        </w:rPr>
        <w:t> </w:t>
      </w:r>
      <w:r>
        <w:rPr>
          <w:rFonts w:cs="Arial"/>
          <w:sz w:val="22"/>
          <w:szCs w:val="22"/>
        </w:rPr>
        <w:t>1 because they are being incurred as part of NTTF Recommendation 2.1.</w:t>
      </w:r>
    </w:p>
    <w:p w14:paraId="57DB36AE" w14:textId="77777777" w:rsidR="00F06C7D" w:rsidRPr="00ED1D75" w:rsidRDefault="00F06C7D" w:rsidP="0062754D">
      <w:pPr>
        <w:rPr>
          <w:sz w:val="22"/>
          <w:szCs w:val="22"/>
        </w:rPr>
      </w:pPr>
    </w:p>
    <w:p w14:paraId="79EB9317" w14:textId="51DD4165" w:rsidR="008612B8" w:rsidRPr="008612B8" w:rsidRDefault="00E34F00" w:rsidP="0062754D">
      <w:pPr>
        <w:rPr>
          <w:rFonts w:cs="Arial"/>
          <w:sz w:val="22"/>
          <w:szCs w:val="22"/>
        </w:rPr>
      </w:pPr>
      <w:r>
        <w:rPr>
          <w:rFonts w:cs="Arial"/>
          <w:sz w:val="22"/>
          <w:szCs w:val="22"/>
        </w:rPr>
        <w:t>Under</w:t>
      </w:r>
      <w:r w:rsidR="008612B8" w:rsidRPr="00ED1D75">
        <w:rPr>
          <w:sz w:val="22"/>
          <w:szCs w:val="22"/>
        </w:rPr>
        <w:t xml:space="preserve"> this option</w:t>
      </w:r>
      <w:r w:rsidR="00D713F8">
        <w:rPr>
          <w:sz w:val="22"/>
          <w:szCs w:val="22"/>
        </w:rPr>
        <w:t>,</w:t>
      </w:r>
      <w:r w:rsidR="008612B8" w:rsidRPr="00ED1D75">
        <w:rPr>
          <w:sz w:val="22"/>
          <w:szCs w:val="22"/>
        </w:rPr>
        <w:t xml:space="preserve"> the NRC would need to address mitigation strateg</w:t>
      </w:r>
      <w:r w:rsidR="00BE2C55">
        <w:rPr>
          <w:sz w:val="22"/>
          <w:szCs w:val="22"/>
        </w:rPr>
        <w:t>y</w:t>
      </w:r>
      <w:r w:rsidR="008612B8" w:rsidRPr="00ED1D75">
        <w:rPr>
          <w:sz w:val="22"/>
          <w:szCs w:val="22"/>
        </w:rPr>
        <w:t xml:space="preserve"> requirements for new reactor</w:t>
      </w:r>
      <w:r w:rsidR="00DC05C7">
        <w:rPr>
          <w:sz w:val="22"/>
          <w:szCs w:val="22"/>
        </w:rPr>
        <w:t xml:space="preserve"> sites on a case-by-case basis</w:t>
      </w:r>
      <w:r w:rsidR="00D713F8">
        <w:rPr>
          <w:sz w:val="22"/>
          <w:szCs w:val="22"/>
        </w:rPr>
        <w:t>,</w:t>
      </w:r>
      <w:r w:rsidR="00DC05C7">
        <w:rPr>
          <w:sz w:val="22"/>
          <w:szCs w:val="22"/>
        </w:rPr>
        <w:t xml:space="preserve"> </w:t>
      </w:r>
      <w:r w:rsidR="00DC05C7" w:rsidRPr="00ED1D75">
        <w:rPr>
          <w:sz w:val="22"/>
          <w:szCs w:val="22"/>
        </w:rPr>
        <w:t>through either additional orders or license</w:t>
      </w:r>
      <w:r w:rsidR="008612B8" w:rsidRPr="00ED1D75">
        <w:rPr>
          <w:sz w:val="22"/>
          <w:szCs w:val="22"/>
        </w:rPr>
        <w:t xml:space="preserve"> conditions. </w:t>
      </w:r>
      <w:r w:rsidR="008612B8" w:rsidRPr="00ED1D75">
        <w:rPr>
          <w:rFonts w:cs="Arial"/>
          <w:sz w:val="22"/>
          <w:szCs w:val="22"/>
        </w:rPr>
        <w:t xml:space="preserve"> </w:t>
      </w:r>
      <w:r w:rsidR="009474F1">
        <w:rPr>
          <w:rFonts w:cs="Arial"/>
          <w:sz w:val="22"/>
          <w:szCs w:val="22"/>
        </w:rPr>
        <w:t>In addition, under this option, the NRC would need to undertake separate licensing actions to remove requirements of Order</w:t>
      </w:r>
      <w:r w:rsidR="000C21E0">
        <w:rPr>
          <w:rFonts w:cs="Arial"/>
          <w:sz w:val="22"/>
          <w:szCs w:val="22"/>
        </w:rPr>
        <w:t> </w:t>
      </w:r>
      <w:r w:rsidR="009474F1">
        <w:rPr>
          <w:rFonts w:cs="Arial"/>
          <w:sz w:val="22"/>
          <w:szCs w:val="22"/>
        </w:rPr>
        <w:t>EA</w:t>
      </w:r>
      <w:r w:rsidR="009474F1">
        <w:rPr>
          <w:rFonts w:cs="Arial"/>
          <w:sz w:val="22"/>
          <w:szCs w:val="22"/>
        </w:rPr>
        <w:noBreakHyphen/>
        <w:t>12</w:t>
      </w:r>
      <w:r w:rsidR="009474F1">
        <w:rPr>
          <w:rFonts w:cs="Arial"/>
          <w:sz w:val="22"/>
          <w:szCs w:val="22"/>
        </w:rPr>
        <w:noBreakHyphen/>
        <w:t xml:space="preserve">049 and Order EA-12-051 that are no longer necessary during various stages of decommissioning.  </w:t>
      </w:r>
      <w:r w:rsidR="008612B8" w:rsidRPr="00ED1D75">
        <w:rPr>
          <w:rFonts w:cs="Arial"/>
          <w:sz w:val="22"/>
          <w:szCs w:val="22"/>
        </w:rPr>
        <w:t>As a result</w:t>
      </w:r>
      <w:r w:rsidR="00D713F8">
        <w:rPr>
          <w:rFonts w:cs="Arial"/>
          <w:sz w:val="22"/>
          <w:szCs w:val="22"/>
        </w:rPr>
        <w:t>,</w:t>
      </w:r>
      <w:r w:rsidR="008612B8" w:rsidRPr="00ED1D75">
        <w:rPr>
          <w:rFonts w:cs="Arial"/>
          <w:sz w:val="22"/>
          <w:szCs w:val="22"/>
        </w:rPr>
        <w:t xml:space="preserve"> this option would not achieve the NRC</w:t>
      </w:r>
      <w:r w:rsidR="00D713F8">
        <w:rPr>
          <w:rFonts w:cs="Arial"/>
          <w:sz w:val="22"/>
          <w:szCs w:val="22"/>
        </w:rPr>
        <w:t>’</w:t>
      </w:r>
      <w:r w:rsidR="008612B8" w:rsidRPr="00ED1D75">
        <w:rPr>
          <w:rFonts w:cs="Arial"/>
          <w:sz w:val="22"/>
          <w:szCs w:val="22"/>
        </w:rPr>
        <w:t>s objectives</w:t>
      </w:r>
      <w:r w:rsidR="00641109">
        <w:rPr>
          <w:rFonts w:cs="Arial"/>
          <w:sz w:val="22"/>
          <w:szCs w:val="22"/>
        </w:rPr>
        <w:t xml:space="preserve"> discussed in Section 1.2 of this document</w:t>
      </w:r>
      <w:r w:rsidR="008612B8" w:rsidRPr="00ED1D75">
        <w:rPr>
          <w:rFonts w:cs="Arial"/>
          <w:sz w:val="22"/>
          <w:szCs w:val="22"/>
        </w:rPr>
        <w:t>.</w:t>
      </w:r>
    </w:p>
    <w:p w14:paraId="306998A6" w14:textId="05D434E9" w:rsidR="00E77D57" w:rsidRDefault="00D356EC" w:rsidP="0062754D">
      <w:pPr>
        <w:pStyle w:val="Heading2"/>
        <w:ind w:left="720" w:hanging="720"/>
      </w:pPr>
      <w:bookmarkStart w:id="95" w:name="_Toc404777850"/>
      <w:bookmarkStart w:id="96" w:name="_Toc460911620"/>
      <w:bookmarkStart w:id="97" w:name="_Toc460911662"/>
      <w:bookmarkStart w:id="98" w:name="_Toc460911704"/>
      <w:bookmarkStart w:id="99" w:name="_Toc460911746"/>
      <w:bookmarkStart w:id="100" w:name="_Toc460911788"/>
      <w:bookmarkStart w:id="101" w:name="_Toc460932038"/>
      <w:bookmarkStart w:id="102" w:name="_Toc460932084"/>
      <w:bookmarkStart w:id="103" w:name="_Toc460932130"/>
      <w:bookmarkStart w:id="104" w:name="_Toc460932176"/>
      <w:bookmarkStart w:id="105" w:name="_Toc532457280"/>
      <w:r w:rsidRPr="00A907BC">
        <w:t>2.</w:t>
      </w:r>
      <w:r w:rsidR="00D47441" w:rsidRPr="00A907BC">
        <w:t>2</w:t>
      </w:r>
      <w:r w:rsidRPr="00A907BC">
        <w:tab/>
        <w:t xml:space="preserve">Option </w:t>
      </w:r>
      <w:r w:rsidR="00982C3B" w:rsidRPr="00A907BC">
        <w:t>2</w:t>
      </w:r>
      <w:r w:rsidRPr="00A907BC">
        <w:t xml:space="preserve">:  </w:t>
      </w:r>
      <w:r w:rsidR="008612B8" w:rsidRPr="00A907BC">
        <w:t xml:space="preserve">Undertake Rulemaking </w:t>
      </w:r>
      <w:r w:rsidR="00AC4C52">
        <w:t>to</w:t>
      </w:r>
      <w:r w:rsidR="008612B8" w:rsidRPr="00A907BC">
        <w:t xml:space="preserve"> </w:t>
      </w:r>
      <w:r w:rsidRPr="00A907BC">
        <w:t xml:space="preserve">Make </w:t>
      </w:r>
      <w:r w:rsidR="005A2AD4" w:rsidRPr="00A907BC">
        <w:t>Order EA-12-049</w:t>
      </w:r>
      <w:r w:rsidR="000C21E0">
        <w:t xml:space="preserve"> and</w:t>
      </w:r>
      <w:r w:rsidR="005A2AD4">
        <w:t xml:space="preserve"> Order EA-12-051</w:t>
      </w:r>
      <w:r>
        <w:t xml:space="preserve"> Generically Applicable</w:t>
      </w:r>
      <w:bookmarkEnd w:id="95"/>
      <w:bookmarkEnd w:id="96"/>
      <w:bookmarkEnd w:id="97"/>
      <w:bookmarkEnd w:id="98"/>
      <w:bookmarkEnd w:id="99"/>
      <w:bookmarkEnd w:id="100"/>
      <w:bookmarkEnd w:id="101"/>
      <w:bookmarkEnd w:id="102"/>
      <w:bookmarkEnd w:id="103"/>
      <w:bookmarkEnd w:id="104"/>
      <w:bookmarkEnd w:id="105"/>
    </w:p>
    <w:p w14:paraId="5E11E45B" w14:textId="42DE17CB" w:rsidR="00F47817" w:rsidRDefault="00982C3B" w:rsidP="0062754D">
      <w:pPr>
        <w:rPr>
          <w:sz w:val="22"/>
          <w:szCs w:val="22"/>
        </w:rPr>
      </w:pPr>
      <w:r>
        <w:rPr>
          <w:sz w:val="22"/>
          <w:szCs w:val="22"/>
        </w:rPr>
        <w:t>This option</w:t>
      </w:r>
      <w:r w:rsidR="00116A0A">
        <w:rPr>
          <w:sz w:val="22"/>
          <w:szCs w:val="22"/>
        </w:rPr>
        <w:t xml:space="preserve"> (i.e.</w:t>
      </w:r>
      <w:r w:rsidR="00D713F8">
        <w:rPr>
          <w:sz w:val="22"/>
          <w:szCs w:val="22"/>
        </w:rPr>
        <w:t>,</w:t>
      </w:r>
      <w:r w:rsidR="00DC05C7">
        <w:rPr>
          <w:sz w:val="22"/>
          <w:szCs w:val="22"/>
        </w:rPr>
        <w:t> </w:t>
      </w:r>
      <w:r w:rsidR="00116A0A">
        <w:rPr>
          <w:sz w:val="22"/>
          <w:szCs w:val="22"/>
        </w:rPr>
        <w:t xml:space="preserve">the </w:t>
      </w:r>
      <w:r w:rsidR="00BA2E96">
        <w:rPr>
          <w:sz w:val="22"/>
          <w:szCs w:val="22"/>
        </w:rPr>
        <w:t xml:space="preserve">final </w:t>
      </w:r>
      <w:r w:rsidR="00116A0A">
        <w:rPr>
          <w:sz w:val="22"/>
          <w:szCs w:val="22"/>
        </w:rPr>
        <w:t>rule)</w:t>
      </w:r>
      <w:r w:rsidR="00F47817" w:rsidRPr="00ED1D75">
        <w:rPr>
          <w:sz w:val="22"/>
          <w:szCs w:val="22"/>
        </w:rPr>
        <w:t xml:space="preserve"> would address the NRC</w:t>
      </w:r>
      <w:r w:rsidR="00D713F8">
        <w:rPr>
          <w:sz w:val="22"/>
          <w:szCs w:val="22"/>
        </w:rPr>
        <w:t>’</w:t>
      </w:r>
      <w:r w:rsidR="00F47817" w:rsidRPr="00ED1D75">
        <w:rPr>
          <w:sz w:val="22"/>
          <w:szCs w:val="22"/>
        </w:rPr>
        <w:t>s objective to mak</w:t>
      </w:r>
      <w:r w:rsidR="00F47817">
        <w:rPr>
          <w:sz w:val="22"/>
          <w:szCs w:val="22"/>
        </w:rPr>
        <w:t>e the requirements in</w:t>
      </w:r>
      <w:r w:rsidR="004F22BB">
        <w:rPr>
          <w:sz w:val="22"/>
          <w:szCs w:val="22"/>
        </w:rPr>
        <w:t xml:space="preserve"> Order</w:t>
      </w:r>
      <w:r w:rsidR="00DC05C7">
        <w:rPr>
          <w:sz w:val="22"/>
          <w:szCs w:val="22"/>
        </w:rPr>
        <w:t> </w:t>
      </w:r>
      <w:r w:rsidR="00F47817">
        <w:rPr>
          <w:sz w:val="22"/>
          <w:szCs w:val="22"/>
        </w:rPr>
        <w:t>EA</w:t>
      </w:r>
      <w:r w:rsidR="00DC05C7">
        <w:rPr>
          <w:sz w:val="22"/>
          <w:szCs w:val="22"/>
        </w:rPr>
        <w:noBreakHyphen/>
      </w:r>
      <w:r w:rsidR="00F47817">
        <w:rPr>
          <w:sz w:val="22"/>
          <w:szCs w:val="22"/>
        </w:rPr>
        <w:t>12-049</w:t>
      </w:r>
      <w:r w:rsidR="000C21E0">
        <w:rPr>
          <w:sz w:val="22"/>
          <w:szCs w:val="22"/>
        </w:rPr>
        <w:t xml:space="preserve"> and</w:t>
      </w:r>
      <w:r w:rsidR="00F47817">
        <w:rPr>
          <w:sz w:val="22"/>
          <w:szCs w:val="22"/>
        </w:rPr>
        <w:t xml:space="preserve"> </w:t>
      </w:r>
      <w:r w:rsidR="004F22BB">
        <w:rPr>
          <w:sz w:val="22"/>
          <w:szCs w:val="22"/>
        </w:rPr>
        <w:t xml:space="preserve">Order </w:t>
      </w:r>
      <w:r w:rsidR="003F570A">
        <w:rPr>
          <w:sz w:val="22"/>
          <w:szCs w:val="22"/>
        </w:rPr>
        <w:t>EA-</w:t>
      </w:r>
      <w:r w:rsidR="00F47817">
        <w:rPr>
          <w:sz w:val="22"/>
          <w:szCs w:val="22"/>
        </w:rPr>
        <w:t xml:space="preserve">12-051 </w:t>
      </w:r>
      <w:r w:rsidR="00F47817" w:rsidRPr="00ED1D75">
        <w:rPr>
          <w:sz w:val="22"/>
          <w:szCs w:val="22"/>
        </w:rPr>
        <w:t>generically applicable.</w:t>
      </w:r>
      <w:r w:rsidR="00CF5DA1">
        <w:rPr>
          <w:sz w:val="22"/>
          <w:szCs w:val="22"/>
        </w:rPr>
        <w:t xml:space="preserve">  </w:t>
      </w:r>
      <w:r w:rsidR="0013046A">
        <w:rPr>
          <w:sz w:val="22"/>
          <w:szCs w:val="22"/>
        </w:rPr>
        <w:t xml:space="preserve">The </w:t>
      </w:r>
      <w:r w:rsidR="00BA2E96">
        <w:rPr>
          <w:sz w:val="22"/>
          <w:szCs w:val="22"/>
        </w:rPr>
        <w:t xml:space="preserve">final </w:t>
      </w:r>
      <w:r w:rsidR="0013046A">
        <w:rPr>
          <w:sz w:val="22"/>
          <w:szCs w:val="22"/>
        </w:rPr>
        <w:t>rule</w:t>
      </w:r>
      <w:r w:rsidR="00CF5DA1">
        <w:rPr>
          <w:sz w:val="22"/>
          <w:szCs w:val="22"/>
        </w:rPr>
        <w:t xml:space="preserve"> would </w:t>
      </w:r>
      <w:r w:rsidR="00480181" w:rsidRPr="00ED1D75">
        <w:rPr>
          <w:sz w:val="22"/>
          <w:szCs w:val="22"/>
        </w:rPr>
        <w:t xml:space="preserve">ensure that future </w:t>
      </w:r>
      <w:r w:rsidR="004C4E27">
        <w:rPr>
          <w:sz w:val="22"/>
          <w:szCs w:val="22"/>
        </w:rPr>
        <w:t>nuclear power plant</w:t>
      </w:r>
      <w:r w:rsidR="00480181" w:rsidRPr="00ED1D75">
        <w:rPr>
          <w:sz w:val="22"/>
          <w:szCs w:val="22"/>
        </w:rPr>
        <w:t xml:space="preserve"> licens</w:t>
      </w:r>
      <w:r w:rsidR="00DC05C7">
        <w:rPr>
          <w:sz w:val="22"/>
          <w:szCs w:val="22"/>
        </w:rPr>
        <w:t>e</w:t>
      </w:r>
      <w:r w:rsidR="00480181" w:rsidRPr="00ED1D75">
        <w:rPr>
          <w:sz w:val="22"/>
          <w:szCs w:val="22"/>
        </w:rPr>
        <w:t xml:space="preserve"> applications are subject to the same requirements as current operating sites and COL holders</w:t>
      </w:r>
      <w:r w:rsidR="005A2AD4">
        <w:rPr>
          <w:sz w:val="22"/>
          <w:szCs w:val="22"/>
        </w:rPr>
        <w:t xml:space="preserve"> without the need for additional </w:t>
      </w:r>
      <w:r w:rsidR="008963FD">
        <w:rPr>
          <w:sz w:val="22"/>
          <w:szCs w:val="22"/>
        </w:rPr>
        <w:t xml:space="preserve">orders </w:t>
      </w:r>
      <w:r w:rsidR="005A2AD4">
        <w:rPr>
          <w:sz w:val="22"/>
          <w:szCs w:val="22"/>
        </w:rPr>
        <w:t xml:space="preserve">or license conditions.  </w:t>
      </w:r>
      <w:r>
        <w:rPr>
          <w:sz w:val="22"/>
          <w:szCs w:val="22"/>
        </w:rPr>
        <w:t>This rulemaking option</w:t>
      </w:r>
      <w:r w:rsidR="00EA6726">
        <w:rPr>
          <w:sz w:val="22"/>
          <w:szCs w:val="22"/>
        </w:rPr>
        <w:t xml:space="preserve"> </w:t>
      </w:r>
      <w:r w:rsidR="005A2AD4">
        <w:rPr>
          <w:sz w:val="22"/>
          <w:szCs w:val="22"/>
        </w:rPr>
        <w:t xml:space="preserve">also would allow the NRC to consider stakeholder feedback and lessons learned from the implementation of these </w:t>
      </w:r>
      <w:r w:rsidR="008963FD">
        <w:rPr>
          <w:sz w:val="22"/>
          <w:szCs w:val="22"/>
        </w:rPr>
        <w:t xml:space="preserve">orders </w:t>
      </w:r>
      <w:r w:rsidR="00480181">
        <w:rPr>
          <w:sz w:val="22"/>
          <w:szCs w:val="22"/>
        </w:rPr>
        <w:t>and would</w:t>
      </w:r>
      <w:r w:rsidR="00CF5DA1">
        <w:rPr>
          <w:sz w:val="22"/>
          <w:szCs w:val="22"/>
        </w:rPr>
        <w:t xml:space="preserve"> </w:t>
      </w:r>
      <w:r w:rsidR="00A907BC">
        <w:rPr>
          <w:sz w:val="22"/>
          <w:szCs w:val="22"/>
        </w:rPr>
        <w:t>give</w:t>
      </w:r>
      <w:r w:rsidR="00CF5DA1">
        <w:rPr>
          <w:sz w:val="22"/>
          <w:szCs w:val="22"/>
        </w:rPr>
        <w:t xml:space="preserve"> regulatory clarity to operating reactors.</w:t>
      </w:r>
      <w:r w:rsidR="00F95E44">
        <w:rPr>
          <w:sz w:val="22"/>
          <w:szCs w:val="22"/>
        </w:rPr>
        <w:t xml:space="preserve">  As discussed in Option 1, activities associated with NTTF Recommendation 2.1 (such as the completion of SPRAs by some licensees to inform the MSA for the </w:t>
      </w:r>
      <w:r w:rsidR="00161E3F">
        <w:rPr>
          <w:sz w:val="22"/>
          <w:szCs w:val="22"/>
        </w:rPr>
        <w:t xml:space="preserve">reevaluated seismic </w:t>
      </w:r>
      <w:r w:rsidR="00A11FDE">
        <w:rPr>
          <w:sz w:val="22"/>
          <w:szCs w:val="22"/>
        </w:rPr>
        <w:t>hazard</w:t>
      </w:r>
      <w:r w:rsidR="00F95E44">
        <w:rPr>
          <w:sz w:val="22"/>
          <w:szCs w:val="22"/>
        </w:rPr>
        <w:t>) are considered part of the regulatory baseline, and are not included as a cost for Option</w:t>
      </w:r>
      <w:r w:rsidR="000C21E0">
        <w:rPr>
          <w:sz w:val="22"/>
          <w:szCs w:val="22"/>
        </w:rPr>
        <w:t> </w:t>
      </w:r>
      <w:r w:rsidR="00F95E44">
        <w:rPr>
          <w:sz w:val="22"/>
          <w:szCs w:val="22"/>
        </w:rPr>
        <w:t>2.</w:t>
      </w:r>
      <w:r w:rsidR="004D19BD">
        <w:rPr>
          <w:sz w:val="22"/>
          <w:szCs w:val="22"/>
        </w:rPr>
        <w:t xml:space="preserve">  This option conforms with the Commission direction provided in SRM-SECY-16-0142.</w:t>
      </w:r>
    </w:p>
    <w:p w14:paraId="30EFF5E2" w14:textId="77777777" w:rsidR="0035319F" w:rsidRDefault="0035319F" w:rsidP="0062754D">
      <w:pPr>
        <w:rPr>
          <w:sz w:val="22"/>
          <w:szCs w:val="22"/>
        </w:rPr>
      </w:pPr>
    </w:p>
    <w:p w14:paraId="00B8A05E" w14:textId="435D5380" w:rsidR="005A2AD4" w:rsidRDefault="001A6972" w:rsidP="0062754D">
      <w:pPr>
        <w:rPr>
          <w:sz w:val="22"/>
          <w:szCs w:val="22"/>
        </w:rPr>
      </w:pPr>
      <w:r>
        <w:rPr>
          <w:sz w:val="22"/>
          <w:szCs w:val="22"/>
        </w:rPr>
        <w:t>Section </w:t>
      </w:r>
      <w:r w:rsidR="005A2AD4">
        <w:rPr>
          <w:sz w:val="22"/>
          <w:szCs w:val="22"/>
        </w:rPr>
        <w:t xml:space="preserve">3 </w:t>
      </w:r>
      <w:r w:rsidR="00832A87">
        <w:rPr>
          <w:sz w:val="22"/>
          <w:szCs w:val="22"/>
        </w:rPr>
        <w:t>presents the results of the NRC</w:t>
      </w:r>
      <w:r w:rsidR="00D713F8">
        <w:rPr>
          <w:sz w:val="22"/>
          <w:szCs w:val="22"/>
        </w:rPr>
        <w:t>’</w:t>
      </w:r>
      <w:r w:rsidR="00832A87">
        <w:rPr>
          <w:sz w:val="22"/>
          <w:szCs w:val="22"/>
        </w:rPr>
        <w:t xml:space="preserve">s </w:t>
      </w:r>
      <w:r w:rsidR="005A2AD4">
        <w:rPr>
          <w:sz w:val="22"/>
          <w:szCs w:val="22"/>
        </w:rPr>
        <w:t xml:space="preserve">analysis of </w:t>
      </w:r>
      <w:r w:rsidR="00982C3B">
        <w:rPr>
          <w:sz w:val="22"/>
          <w:szCs w:val="22"/>
        </w:rPr>
        <w:t xml:space="preserve">this option compared to the </w:t>
      </w:r>
      <w:r w:rsidR="0069113F">
        <w:rPr>
          <w:sz w:val="22"/>
          <w:szCs w:val="22"/>
        </w:rPr>
        <w:t>“</w:t>
      </w:r>
      <w:r w:rsidR="00982C3B">
        <w:rPr>
          <w:sz w:val="22"/>
          <w:szCs w:val="22"/>
        </w:rPr>
        <w:t>take no action</w:t>
      </w:r>
      <w:r w:rsidR="0069113F">
        <w:rPr>
          <w:sz w:val="22"/>
          <w:szCs w:val="22"/>
        </w:rPr>
        <w:t>”</w:t>
      </w:r>
      <w:r w:rsidR="00982C3B">
        <w:rPr>
          <w:sz w:val="22"/>
          <w:szCs w:val="22"/>
        </w:rPr>
        <w:t xml:space="preserve"> option</w:t>
      </w:r>
      <w:r w:rsidR="005A2AD4">
        <w:rPr>
          <w:sz w:val="22"/>
          <w:szCs w:val="22"/>
        </w:rPr>
        <w:t>.</w:t>
      </w:r>
    </w:p>
    <w:p w14:paraId="2B216944" w14:textId="77777777" w:rsidR="008A5E13" w:rsidRDefault="008A5E13" w:rsidP="0062754D">
      <w:pPr>
        <w:pStyle w:val="Heading1"/>
      </w:pPr>
      <w:bookmarkStart w:id="106" w:name="_Toc375579802"/>
      <w:bookmarkStart w:id="107" w:name="_Toc381266977"/>
      <w:bookmarkStart w:id="108" w:name="_Toc381267321"/>
      <w:bookmarkStart w:id="109" w:name="_Toc404777852"/>
      <w:bookmarkStart w:id="110" w:name="_Toc460911623"/>
      <w:bookmarkStart w:id="111" w:name="_Toc460911665"/>
      <w:bookmarkStart w:id="112" w:name="_Toc460911707"/>
      <w:bookmarkStart w:id="113" w:name="_Toc460911749"/>
      <w:bookmarkStart w:id="114" w:name="_Toc460911791"/>
      <w:bookmarkStart w:id="115" w:name="_Toc460932041"/>
      <w:bookmarkStart w:id="116" w:name="_Toc460932087"/>
      <w:bookmarkStart w:id="117" w:name="_Toc460932133"/>
      <w:bookmarkStart w:id="118" w:name="_Toc460932179"/>
      <w:bookmarkStart w:id="119" w:name="_Toc532457281"/>
      <w:r w:rsidRPr="00ED1D75">
        <w:t>3.</w:t>
      </w:r>
      <w:r w:rsidRPr="00ED1D75">
        <w:tab/>
        <w:t xml:space="preserve">Estimation and Evaluation of </w:t>
      </w:r>
      <w:r>
        <w:t>Benefits and Costs</w:t>
      </w:r>
      <w:r w:rsidR="002C2FD9">
        <w:t>:</w:t>
      </w:r>
      <w:r w:rsidRPr="00ED1D75">
        <w:t xml:space="preserve"> </w:t>
      </w:r>
      <w:r w:rsidR="00C724CC">
        <w:t xml:space="preserve"> </w:t>
      </w:r>
      <w:r w:rsidRPr="00ED1D75">
        <w:t>Presentation of Results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BD01DA3" w14:textId="5D4395B8" w:rsidR="006C47AA" w:rsidRDefault="000B32CC" w:rsidP="0062754D">
      <w:pPr>
        <w:rPr>
          <w:sz w:val="22"/>
        </w:rPr>
      </w:pPr>
      <w:bookmarkStart w:id="120" w:name="_Toc199932649"/>
      <w:bookmarkStart w:id="121" w:name="_Toc375579803"/>
      <w:bookmarkStart w:id="122" w:name="_Toc381266978"/>
      <w:bookmarkStart w:id="123" w:name="_Toc381267322"/>
      <w:bookmarkStart w:id="124" w:name="_Toc375579804"/>
      <w:bookmarkStart w:id="125" w:name="_Toc381266979"/>
      <w:bookmarkStart w:id="126" w:name="_Toc381267323"/>
      <w:r>
        <w:rPr>
          <w:sz w:val="22"/>
        </w:rPr>
        <w:t xml:space="preserve">To provide additional information on the benefits of proceeding with regulatory action on this issue, the staff has conducted the following supplemental analysis.  The analysis uses the applicable </w:t>
      </w:r>
      <w:r w:rsidR="009030E3">
        <w:rPr>
          <w:sz w:val="22"/>
        </w:rPr>
        <w:t xml:space="preserve">assumptions, inputs, </w:t>
      </w:r>
      <w:r w:rsidR="000C21E0">
        <w:rPr>
          <w:sz w:val="22"/>
        </w:rPr>
        <w:t xml:space="preserve">data, </w:t>
      </w:r>
      <w:r w:rsidR="009030E3">
        <w:rPr>
          <w:sz w:val="22"/>
        </w:rPr>
        <w:t>and methods</w:t>
      </w:r>
      <w:r>
        <w:rPr>
          <w:sz w:val="22"/>
        </w:rPr>
        <w:t xml:space="preserve"> </w:t>
      </w:r>
      <w:r w:rsidR="009030E3">
        <w:rPr>
          <w:sz w:val="22"/>
        </w:rPr>
        <w:t>described</w:t>
      </w:r>
      <w:r>
        <w:rPr>
          <w:sz w:val="22"/>
        </w:rPr>
        <w:t xml:space="preserve"> in enclosure 6 to SECY-16-0142</w:t>
      </w:r>
      <w:r w:rsidR="001D48D7">
        <w:rPr>
          <w:sz w:val="22"/>
        </w:rPr>
        <w:t xml:space="preserve"> </w:t>
      </w:r>
      <w:r>
        <w:rPr>
          <w:sz w:val="22"/>
        </w:rPr>
        <w:t xml:space="preserve">to </w:t>
      </w:r>
      <w:r w:rsidR="009030E3">
        <w:rPr>
          <w:sz w:val="22"/>
        </w:rPr>
        <w:t>determine</w:t>
      </w:r>
      <w:r>
        <w:rPr>
          <w:sz w:val="22"/>
        </w:rPr>
        <w:t xml:space="preserve"> the incremental benefits of the final rule.</w:t>
      </w:r>
    </w:p>
    <w:p w14:paraId="14126799" w14:textId="16DD39B6" w:rsidR="00573DB0" w:rsidRPr="00ED1D75" w:rsidRDefault="00573DB0" w:rsidP="0062754D">
      <w:pPr>
        <w:pStyle w:val="Heading2"/>
      </w:pPr>
      <w:bookmarkStart w:id="127" w:name="_Toc404777856"/>
      <w:bookmarkStart w:id="128" w:name="_Toc460911629"/>
      <w:bookmarkStart w:id="129" w:name="_Toc460911671"/>
      <w:bookmarkStart w:id="130" w:name="_Toc460911713"/>
      <w:bookmarkStart w:id="131" w:name="_Toc460911755"/>
      <w:bookmarkStart w:id="132" w:name="_Toc460911797"/>
      <w:bookmarkStart w:id="133" w:name="_Toc460932047"/>
      <w:bookmarkStart w:id="134" w:name="_Toc460932093"/>
      <w:bookmarkStart w:id="135" w:name="_Toc460932139"/>
      <w:bookmarkStart w:id="136" w:name="_Toc460932185"/>
      <w:bookmarkStart w:id="137" w:name="_Toc532457282"/>
      <w:bookmarkEnd w:id="120"/>
      <w:bookmarkEnd w:id="121"/>
      <w:bookmarkEnd w:id="122"/>
      <w:bookmarkEnd w:id="123"/>
      <w:bookmarkEnd w:id="124"/>
      <w:bookmarkEnd w:id="125"/>
      <w:bookmarkEnd w:id="126"/>
      <w:r>
        <w:t>3.</w:t>
      </w:r>
      <w:r w:rsidR="009030E3">
        <w:t>1</w:t>
      </w:r>
      <w:r>
        <w:tab/>
      </w:r>
      <w:bookmarkEnd w:id="127"/>
      <w:r w:rsidR="00E4157D">
        <w:t xml:space="preserve">Summary of Costs and Benefits of </w:t>
      </w:r>
      <w:r w:rsidR="004A110A">
        <w:t xml:space="preserve">the </w:t>
      </w:r>
      <w:r w:rsidR="00E4157D">
        <w:t>Regulatory Options</w:t>
      </w:r>
      <w:bookmarkEnd w:id="128"/>
      <w:bookmarkEnd w:id="129"/>
      <w:bookmarkEnd w:id="130"/>
      <w:bookmarkEnd w:id="131"/>
      <w:bookmarkEnd w:id="132"/>
      <w:bookmarkEnd w:id="133"/>
      <w:bookmarkEnd w:id="134"/>
      <w:bookmarkEnd w:id="135"/>
      <w:bookmarkEnd w:id="136"/>
      <w:bookmarkEnd w:id="137"/>
    </w:p>
    <w:p w14:paraId="211D1F8B" w14:textId="1C464D62" w:rsidR="00573DB0" w:rsidRPr="00BA2E96" w:rsidRDefault="00573DB0" w:rsidP="0062754D">
      <w:pPr>
        <w:rPr>
          <w:sz w:val="22"/>
          <w:szCs w:val="22"/>
        </w:rPr>
      </w:pPr>
      <w:r>
        <w:rPr>
          <w:sz w:val="22"/>
        </w:rPr>
        <w:t xml:space="preserve">This </w:t>
      </w:r>
      <w:r w:rsidR="001A6972">
        <w:rPr>
          <w:sz w:val="22"/>
        </w:rPr>
        <w:t xml:space="preserve">section </w:t>
      </w:r>
      <w:r>
        <w:rPr>
          <w:sz w:val="22"/>
        </w:rPr>
        <w:t xml:space="preserve">presents the costs </w:t>
      </w:r>
      <w:r w:rsidR="002F4A00">
        <w:rPr>
          <w:sz w:val="22"/>
        </w:rPr>
        <w:t xml:space="preserve">and benefits </w:t>
      </w:r>
      <w:r>
        <w:rPr>
          <w:sz w:val="22"/>
        </w:rPr>
        <w:t xml:space="preserve">of the </w:t>
      </w:r>
      <w:r w:rsidR="00BA2E96">
        <w:rPr>
          <w:sz w:val="22"/>
        </w:rPr>
        <w:t xml:space="preserve">final </w:t>
      </w:r>
      <w:r>
        <w:rPr>
          <w:sz w:val="22"/>
        </w:rPr>
        <w:t xml:space="preserve">rule with respect to </w:t>
      </w:r>
      <w:r w:rsidR="00EA375C">
        <w:rPr>
          <w:sz w:val="22"/>
        </w:rPr>
        <w:t>two</w:t>
      </w:r>
      <w:r>
        <w:rPr>
          <w:sz w:val="22"/>
        </w:rPr>
        <w:t xml:space="preserve"> options:  </w:t>
      </w:r>
      <w:r w:rsidR="002C2FD9">
        <w:rPr>
          <w:sz w:val="22"/>
        </w:rPr>
        <w:t>(</w:t>
      </w:r>
      <w:r>
        <w:rPr>
          <w:sz w:val="22"/>
        </w:rPr>
        <w:t>1)</w:t>
      </w:r>
      <w:r w:rsidR="00567233">
        <w:rPr>
          <w:sz w:val="22"/>
        </w:rPr>
        <w:t> </w:t>
      </w:r>
      <w:r>
        <w:rPr>
          <w:sz w:val="22"/>
        </w:rPr>
        <w:t>take no action</w:t>
      </w:r>
      <w:r w:rsidR="00EA375C">
        <w:rPr>
          <w:sz w:val="22"/>
        </w:rPr>
        <w:t xml:space="preserve"> and </w:t>
      </w:r>
      <w:r w:rsidR="00567233">
        <w:rPr>
          <w:sz w:val="22"/>
        </w:rPr>
        <w:t>(2)</w:t>
      </w:r>
      <w:r w:rsidR="00721274">
        <w:rPr>
          <w:sz w:val="22"/>
        </w:rPr>
        <w:t> </w:t>
      </w:r>
      <w:r w:rsidR="00567233">
        <w:rPr>
          <w:sz w:val="22"/>
        </w:rPr>
        <w:t>undertake a rulemaking to make Order</w:t>
      </w:r>
      <w:r w:rsidR="00721274">
        <w:rPr>
          <w:sz w:val="22"/>
        </w:rPr>
        <w:t> </w:t>
      </w:r>
      <w:r w:rsidR="00567233">
        <w:rPr>
          <w:sz w:val="22"/>
        </w:rPr>
        <w:t>EA</w:t>
      </w:r>
      <w:r w:rsidR="00721274">
        <w:rPr>
          <w:sz w:val="22"/>
        </w:rPr>
        <w:noBreakHyphen/>
      </w:r>
      <w:r w:rsidR="00567233">
        <w:rPr>
          <w:sz w:val="22"/>
        </w:rPr>
        <w:t>12</w:t>
      </w:r>
      <w:r w:rsidR="00721274">
        <w:rPr>
          <w:sz w:val="22"/>
        </w:rPr>
        <w:noBreakHyphen/>
      </w:r>
      <w:r w:rsidR="00567233">
        <w:rPr>
          <w:sz w:val="22"/>
        </w:rPr>
        <w:t>049</w:t>
      </w:r>
      <w:r w:rsidR="000C21E0">
        <w:rPr>
          <w:sz w:val="22"/>
        </w:rPr>
        <w:t xml:space="preserve"> and</w:t>
      </w:r>
      <w:r w:rsidR="00567233">
        <w:rPr>
          <w:sz w:val="22"/>
        </w:rPr>
        <w:t xml:space="preserve"> Order</w:t>
      </w:r>
      <w:r w:rsidR="00721274">
        <w:rPr>
          <w:sz w:val="22"/>
        </w:rPr>
        <w:t> </w:t>
      </w:r>
      <w:r w:rsidR="00567233">
        <w:rPr>
          <w:sz w:val="22"/>
        </w:rPr>
        <w:t>EA</w:t>
      </w:r>
      <w:r w:rsidR="00721274">
        <w:rPr>
          <w:sz w:val="22"/>
        </w:rPr>
        <w:noBreakHyphen/>
      </w:r>
      <w:r w:rsidR="00567233">
        <w:rPr>
          <w:sz w:val="22"/>
        </w:rPr>
        <w:t>12</w:t>
      </w:r>
      <w:r w:rsidR="00721274">
        <w:rPr>
          <w:sz w:val="22"/>
        </w:rPr>
        <w:noBreakHyphen/>
      </w:r>
      <w:r w:rsidR="00567233">
        <w:rPr>
          <w:sz w:val="22"/>
        </w:rPr>
        <w:t>051 generically applicable</w:t>
      </w:r>
      <w:r>
        <w:rPr>
          <w:sz w:val="22"/>
        </w:rPr>
        <w:t>.  Where possible</w:t>
      </w:r>
      <w:r w:rsidR="00D713F8">
        <w:rPr>
          <w:sz w:val="22"/>
        </w:rPr>
        <w:t>,</w:t>
      </w:r>
      <w:r>
        <w:rPr>
          <w:sz w:val="22"/>
        </w:rPr>
        <w:t xml:space="preserve"> the NRC monetizes </w:t>
      </w:r>
      <w:r w:rsidR="00721274">
        <w:rPr>
          <w:sz w:val="22"/>
        </w:rPr>
        <w:t>effects</w:t>
      </w:r>
      <w:r>
        <w:rPr>
          <w:sz w:val="22"/>
        </w:rPr>
        <w:t xml:space="preserve">.  Those </w:t>
      </w:r>
      <w:r w:rsidR="00721274">
        <w:rPr>
          <w:sz w:val="22"/>
        </w:rPr>
        <w:t>effects</w:t>
      </w:r>
      <w:r>
        <w:rPr>
          <w:sz w:val="22"/>
        </w:rPr>
        <w:t xml:space="preserve"> that cannot be monetized are instead described</w:t>
      </w:r>
      <w:r w:rsidR="00D713F8">
        <w:rPr>
          <w:sz w:val="22"/>
        </w:rPr>
        <w:t>,</w:t>
      </w:r>
      <w:r>
        <w:rPr>
          <w:sz w:val="22"/>
        </w:rPr>
        <w:t xml:space="preserve"> to the extent possible</w:t>
      </w:r>
      <w:r w:rsidR="00D713F8">
        <w:rPr>
          <w:sz w:val="22"/>
        </w:rPr>
        <w:t>,</w:t>
      </w:r>
      <w:r>
        <w:rPr>
          <w:sz w:val="22"/>
        </w:rPr>
        <w:t xml:space="preserve"> quantitatively or qualitatively.  </w:t>
      </w:r>
      <w:r w:rsidRPr="00B2062C">
        <w:rPr>
          <w:sz w:val="22"/>
        </w:rPr>
        <w:t xml:space="preserve">This </w:t>
      </w:r>
      <w:r w:rsidR="001A6972">
        <w:rPr>
          <w:sz w:val="22"/>
        </w:rPr>
        <w:t xml:space="preserve">section </w:t>
      </w:r>
      <w:r w:rsidRPr="00B2062C">
        <w:rPr>
          <w:sz w:val="22"/>
        </w:rPr>
        <w:t>summar</w:t>
      </w:r>
      <w:r w:rsidR="00721274">
        <w:rPr>
          <w:sz w:val="22"/>
        </w:rPr>
        <w:t>izes</w:t>
      </w:r>
      <w:r w:rsidR="00430D48">
        <w:rPr>
          <w:sz w:val="22"/>
        </w:rPr>
        <w:t xml:space="preserve"> </w:t>
      </w:r>
      <w:r w:rsidRPr="00B2062C">
        <w:rPr>
          <w:sz w:val="22"/>
        </w:rPr>
        <w:t xml:space="preserve">the total costs and benefits associated with each option. </w:t>
      </w:r>
      <w:r>
        <w:rPr>
          <w:sz w:val="22"/>
        </w:rPr>
        <w:t xml:space="preserve"> </w:t>
      </w:r>
      <w:r w:rsidRPr="004465C9">
        <w:rPr>
          <w:sz w:val="22"/>
        </w:rPr>
        <w:t>Section</w:t>
      </w:r>
      <w:r w:rsidR="00050EDA">
        <w:rPr>
          <w:sz w:val="22"/>
        </w:rPr>
        <w:t>s</w:t>
      </w:r>
      <w:r w:rsidRPr="004465C9">
        <w:rPr>
          <w:sz w:val="22"/>
        </w:rPr>
        <w:t xml:space="preserve"> 3.</w:t>
      </w:r>
      <w:r w:rsidR="002F4A00" w:rsidRPr="004465C9">
        <w:rPr>
          <w:sz w:val="22"/>
        </w:rPr>
        <w:t>3</w:t>
      </w:r>
      <w:r>
        <w:rPr>
          <w:sz w:val="22"/>
        </w:rPr>
        <w:t xml:space="preserve"> </w:t>
      </w:r>
      <w:r w:rsidR="00050EDA">
        <w:rPr>
          <w:sz w:val="22"/>
        </w:rPr>
        <w:t xml:space="preserve">and 3.4 </w:t>
      </w:r>
      <w:r>
        <w:rPr>
          <w:sz w:val="22"/>
        </w:rPr>
        <w:t xml:space="preserve">describe </w:t>
      </w:r>
      <w:r w:rsidR="004A110A">
        <w:rPr>
          <w:sz w:val="22"/>
        </w:rPr>
        <w:t xml:space="preserve">in greater detail </w:t>
      </w:r>
      <w:r>
        <w:rPr>
          <w:sz w:val="22"/>
        </w:rPr>
        <w:t>the</w:t>
      </w:r>
      <w:r w:rsidRPr="00B2062C">
        <w:rPr>
          <w:sz w:val="22"/>
        </w:rPr>
        <w:t xml:space="preserve"> costs and benefits </w:t>
      </w:r>
      <w:r w:rsidR="004A110A">
        <w:rPr>
          <w:sz w:val="22"/>
        </w:rPr>
        <w:t>of the requirements</w:t>
      </w:r>
      <w:r w:rsidR="003375AC">
        <w:rPr>
          <w:sz w:val="22"/>
        </w:rPr>
        <w:t xml:space="preserve"> under Option </w:t>
      </w:r>
      <w:r w:rsidR="008963FD">
        <w:rPr>
          <w:sz w:val="22"/>
        </w:rPr>
        <w:t xml:space="preserve">2 </w:t>
      </w:r>
      <w:r w:rsidR="001B5898">
        <w:rPr>
          <w:sz w:val="22"/>
        </w:rPr>
        <w:t>(</w:t>
      </w:r>
      <w:r w:rsidR="003375AC">
        <w:rPr>
          <w:sz w:val="22"/>
        </w:rPr>
        <w:t xml:space="preserve">the </w:t>
      </w:r>
      <w:r w:rsidR="00BA2E96">
        <w:rPr>
          <w:sz w:val="22"/>
        </w:rPr>
        <w:t xml:space="preserve">final </w:t>
      </w:r>
      <w:r w:rsidR="003375AC">
        <w:rPr>
          <w:sz w:val="22"/>
        </w:rPr>
        <w:t>rule</w:t>
      </w:r>
      <w:r w:rsidR="001B5898">
        <w:rPr>
          <w:sz w:val="22"/>
        </w:rPr>
        <w:t>)</w:t>
      </w:r>
      <w:r w:rsidRPr="00B2062C">
        <w:rPr>
          <w:sz w:val="22"/>
        </w:rPr>
        <w:t xml:space="preserve">. </w:t>
      </w:r>
      <w:r>
        <w:rPr>
          <w:sz w:val="22"/>
        </w:rPr>
        <w:t xml:space="preserve"> </w:t>
      </w:r>
      <w:r w:rsidR="00351356">
        <w:rPr>
          <w:sz w:val="22"/>
        </w:rPr>
        <w:t xml:space="preserve">Note that all costs presented </w:t>
      </w:r>
      <w:r w:rsidR="00351356" w:rsidRPr="00BA2E96">
        <w:rPr>
          <w:sz w:val="22"/>
          <w:szCs w:val="22"/>
        </w:rPr>
        <w:t>in this analysis are round</w:t>
      </w:r>
      <w:r w:rsidR="00EA375C">
        <w:rPr>
          <w:sz w:val="22"/>
          <w:szCs w:val="22"/>
        </w:rPr>
        <w:t>ed to two significant figures.</w:t>
      </w:r>
    </w:p>
    <w:p w14:paraId="754FCB7E" w14:textId="5806EDFB" w:rsidR="00573DB0" w:rsidRPr="00AC30DD" w:rsidRDefault="00573DB0" w:rsidP="00AC30DD">
      <w:pPr>
        <w:rPr>
          <w:sz w:val="22"/>
          <w:szCs w:val="22"/>
        </w:rPr>
      </w:pPr>
    </w:p>
    <w:p w14:paraId="113EA33A" w14:textId="70F39E73" w:rsidR="00573DB0" w:rsidRDefault="00573DB0" w:rsidP="00133329">
      <w:pPr>
        <w:keepNext/>
        <w:keepLines/>
        <w:rPr>
          <w:b/>
          <w:i/>
          <w:sz w:val="22"/>
          <w:szCs w:val="22"/>
        </w:rPr>
      </w:pPr>
      <w:r>
        <w:rPr>
          <w:b/>
          <w:i/>
          <w:sz w:val="22"/>
          <w:szCs w:val="22"/>
        </w:rPr>
        <w:t>Option 1:  Take No Action</w:t>
      </w:r>
    </w:p>
    <w:p w14:paraId="2B08A4B0" w14:textId="77777777" w:rsidR="00573DB0" w:rsidRPr="00AC30DD" w:rsidRDefault="00573DB0" w:rsidP="00AC30DD">
      <w:pPr>
        <w:keepNext/>
        <w:keepLines/>
        <w:rPr>
          <w:sz w:val="22"/>
          <w:szCs w:val="22"/>
        </w:rPr>
      </w:pPr>
    </w:p>
    <w:p w14:paraId="05A2CBC2" w14:textId="4078E2E0" w:rsidR="00573DB0" w:rsidRDefault="00573DB0" w:rsidP="0062754D">
      <w:pPr>
        <w:rPr>
          <w:sz w:val="22"/>
        </w:rPr>
      </w:pPr>
      <w:r>
        <w:rPr>
          <w:sz w:val="22"/>
        </w:rPr>
        <w:t>Under Option 1</w:t>
      </w:r>
      <w:r w:rsidR="00D713F8">
        <w:rPr>
          <w:sz w:val="22"/>
        </w:rPr>
        <w:t>,</w:t>
      </w:r>
      <w:r>
        <w:rPr>
          <w:sz w:val="22"/>
        </w:rPr>
        <w:t xml:space="preserve"> the NRC assume</w:t>
      </w:r>
      <w:r w:rsidR="00430D48">
        <w:rPr>
          <w:sz w:val="22"/>
        </w:rPr>
        <w:t>s</w:t>
      </w:r>
      <w:r>
        <w:rPr>
          <w:sz w:val="22"/>
        </w:rPr>
        <w:t xml:space="preserve"> that the </w:t>
      </w:r>
      <w:r w:rsidR="00BA2E96">
        <w:rPr>
          <w:sz w:val="22"/>
        </w:rPr>
        <w:t xml:space="preserve">final </w:t>
      </w:r>
      <w:r>
        <w:rPr>
          <w:sz w:val="22"/>
        </w:rPr>
        <w:t>rule would not be implemented; however</w:t>
      </w:r>
      <w:r w:rsidR="00D713F8">
        <w:rPr>
          <w:sz w:val="22"/>
        </w:rPr>
        <w:t>,</w:t>
      </w:r>
      <w:r>
        <w:rPr>
          <w:sz w:val="22"/>
        </w:rPr>
        <w:t xml:space="preserve"> existing programs and regulatory </w:t>
      </w:r>
      <w:r w:rsidR="00430D48">
        <w:rPr>
          <w:sz w:val="22"/>
        </w:rPr>
        <w:t>efforts</w:t>
      </w:r>
      <w:r>
        <w:rPr>
          <w:sz w:val="22"/>
        </w:rPr>
        <w:t xml:space="preserve"> would still be in effect.  Therefore</w:t>
      </w:r>
      <w:r w:rsidR="00D713F8">
        <w:rPr>
          <w:sz w:val="22"/>
        </w:rPr>
        <w:t>,</w:t>
      </w:r>
      <w:r>
        <w:rPr>
          <w:sz w:val="22"/>
        </w:rPr>
        <w:t xml:space="preserve"> the NRC assume</w:t>
      </w:r>
      <w:r w:rsidR="00430D48">
        <w:rPr>
          <w:sz w:val="22"/>
        </w:rPr>
        <w:t>s</w:t>
      </w:r>
      <w:r>
        <w:rPr>
          <w:sz w:val="22"/>
        </w:rPr>
        <w:t xml:space="preserve"> that industry would continue with the implementation of </w:t>
      </w:r>
      <w:r w:rsidR="00F71E27">
        <w:rPr>
          <w:sz w:val="22"/>
        </w:rPr>
        <w:t xml:space="preserve">all </w:t>
      </w:r>
      <w:r w:rsidR="000B7397">
        <w:rPr>
          <w:sz w:val="22"/>
        </w:rPr>
        <w:t>order</w:t>
      </w:r>
      <w:r w:rsidR="00F71E27">
        <w:rPr>
          <w:sz w:val="22"/>
        </w:rPr>
        <w:t>s</w:t>
      </w:r>
      <w:r>
        <w:rPr>
          <w:sz w:val="22"/>
        </w:rPr>
        <w:t xml:space="preserve"> </w:t>
      </w:r>
      <w:r w:rsidR="00F71E27">
        <w:rPr>
          <w:sz w:val="22"/>
        </w:rPr>
        <w:t xml:space="preserve">(including </w:t>
      </w:r>
      <w:r w:rsidR="00E15541">
        <w:rPr>
          <w:sz w:val="22"/>
        </w:rPr>
        <w:t>Order</w:t>
      </w:r>
      <w:r w:rsidR="00AC30DD">
        <w:rPr>
          <w:sz w:val="22"/>
        </w:rPr>
        <w:t> </w:t>
      </w:r>
      <w:r>
        <w:rPr>
          <w:sz w:val="22"/>
        </w:rPr>
        <w:t>EA</w:t>
      </w:r>
      <w:r w:rsidR="00D031A5">
        <w:rPr>
          <w:sz w:val="22"/>
        </w:rPr>
        <w:t>-</w:t>
      </w:r>
      <w:r>
        <w:rPr>
          <w:sz w:val="22"/>
        </w:rPr>
        <w:t>12</w:t>
      </w:r>
      <w:r w:rsidR="00D031A5">
        <w:rPr>
          <w:sz w:val="22"/>
        </w:rPr>
        <w:t>-</w:t>
      </w:r>
      <w:r>
        <w:rPr>
          <w:sz w:val="22"/>
        </w:rPr>
        <w:t>049</w:t>
      </w:r>
      <w:r w:rsidR="00E15541">
        <w:rPr>
          <w:sz w:val="22"/>
        </w:rPr>
        <w:t xml:space="preserve"> and</w:t>
      </w:r>
      <w:r>
        <w:rPr>
          <w:sz w:val="22"/>
        </w:rPr>
        <w:t xml:space="preserve"> Order EA-12-051</w:t>
      </w:r>
      <w:r w:rsidR="00F71E27">
        <w:rPr>
          <w:sz w:val="22"/>
        </w:rPr>
        <w:t>)</w:t>
      </w:r>
      <w:r>
        <w:rPr>
          <w:sz w:val="22"/>
        </w:rPr>
        <w:t xml:space="preserve"> as well as industry initiatives undertaken following the Fukushima </w:t>
      </w:r>
      <w:r w:rsidR="00362E52">
        <w:rPr>
          <w:sz w:val="22"/>
        </w:rPr>
        <w:t xml:space="preserve">accident </w:t>
      </w:r>
      <w:r w:rsidR="00B071C5">
        <w:rPr>
          <w:sz w:val="22"/>
        </w:rPr>
        <w:t>(</w:t>
      </w:r>
      <w:r w:rsidR="00941D49">
        <w:rPr>
          <w:sz w:val="22"/>
        </w:rPr>
        <w:t>NRC 2013</w:t>
      </w:r>
      <w:r w:rsidR="00B071C5">
        <w:rPr>
          <w:sz w:val="22"/>
        </w:rPr>
        <w:t>)</w:t>
      </w:r>
      <w:r>
        <w:rPr>
          <w:sz w:val="22"/>
        </w:rPr>
        <w:t xml:space="preserve">.  </w:t>
      </w:r>
      <w:r w:rsidR="00191147">
        <w:rPr>
          <w:rFonts w:cs="Arial"/>
          <w:sz w:val="22"/>
          <w:szCs w:val="22"/>
        </w:rPr>
        <w:t>Activities being completed as part of NTTF Recommendation 2.1, some of which relate to Order EA</w:t>
      </w:r>
      <w:r w:rsidR="00191147">
        <w:rPr>
          <w:rFonts w:cs="Arial"/>
          <w:sz w:val="22"/>
          <w:szCs w:val="22"/>
        </w:rPr>
        <w:noBreakHyphen/>
        <w:t>12</w:t>
      </w:r>
      <w:r w:rsidR="00191147">
        <w:rPr>
          <w:rFonts w:cs="Arial"/>
          <w:sz w:val="22"/>
          <w:szCs w:val="22"/>
        </w:rPr>
        <w:noBreakHyphen/>
        <w:t xml:space="preserve">049 through the MSAs, are included as part of the regulatory baseline for Option 1.  This includes conducting the seismic portion of the MSA, which may involve leveraging risk insights from the SPRAs.  As previously discussed, </w:t>
      </w:r>
      <w:r w:rsidR="00192A08">
        <w:rPr>
          <w:rFonts w:cs="Arial"/>
          <w:sz w:val="22"/>
          <w:szCs w:val="22"/>
        </w:rPr>
        <w:t xml:space="preserve">some licensees are completing </w:t>
      </w:r>
      <w:r w:rsidR="00191147">
        <w:rPr>
          <w:rFonts w:cs="Arial"/>
          <w:sz w:val="22"/>
          <w:szCs w:val="22"/>
        </w:rPr>
        <w:t>SPRAs as part of NTTF Recommendation</w:t>
      </w:r>
      <w:r w:rsidR="00192A08">
        <w:rPr>
          <w:rFonts w:cs="Arial"/>
          <w:sz w:val="22"/>
          <w:szCs w:val="22"/>
        </w:rPr>
        <w:t> </w:t>
      </w:r>
      <w:r w:rsidR="00191147">
        <w:rPr>
          <w:rFonts w:cs="Arial"/>
          <w:sz w:val="22"/>
          <w:szCs w:val="22"/>
        </w:rPr>
        <w:t xml:space="preserve">2.1, to assess the existing mitigating strategies against the reevaluated seismic hazard.  </w:t>
      </w:r>
      <w:r>
        <w:rPr>
          <w:sz w:val="22"/>
        </w:rPr>
        <w:t xml:space="preserve">There </w:t>
      </w:r>
      <w:r w:rsidR="00191147">
        <w:rPr>
          <w:sz w:val="22"/>
        </w:rPr>
        <w:t>are</w:t>
      </w:r>
      <w:r>
        <w:rPr>
          <w:sz w:val="22"/>
        </w:rPr>
        <w:t xml:space="preserve"> no incremental costs associated with this option</w:t>
      </w:r>
      <w:r w:rsidR="00D713F8">
        <w:rPr>
          <w:sz w:val="22"/>
        </w:rPr>
        <w:t>,</w:t>
      </w:r>
      <w:r>
        <w:rPr>
          <w:sz w:val="22"/>
        </w:rPr>
        <w:t xml:space="preserve"> as shown in Exhibit</w:t>
      </w:r>
      <w:r w:rsidR="000C2440">
        <w:rPr>
          <w:sz w:val="22"/>
        </w:rPr>
        <w:t> </w:t>
      </w:r>
      <w:r>
        <w:rPr>
          <w:sz w:val="22"/>
        </w:rPr>
        <w:t>3-</w:t>
      </w:r>
      <w:r w:rsidR="0095574D">
        <w:rPr>
          <w:sz w:val="22"/>
        </w:rPr>
        <w:t>1</w:t>
      </w:r>
      <w:r w:rsidR="000C2440">
        <w:rPr>
          <w:sz w:val="22"/>
        </w:rPr>
        <w:t>.</w:t>
      </w:r>
    </w:p>
    <w:p w14:paraId="516F8075" w14:textId="3ADF931C" w:rsidR="00573DB0" w:rsidRPr="00865EB4" w:rsidRDefault="00573DB0" w:rsidP="007A4E02">
      <w:pPr>
        <w:pStyle w:val="Exhibit"/>
      </w:pPr>
      <w:bookmarkStart w:id="138" w:name="_Toc410920239"/>
      <w:bookmarkStart w:id="139" w:name="_Toc410921152"/>
      <w:bookmarkStart w:id="140" w:name="_Toc532457263"/>
      <w:r w:rsidRPr="00865EB4">
        <w:t>Exhibit 3-</w:t>
      </w:r>
      <w:r w:rsidR="0095574D">
        <w:t>1</w:t>
      </w:r>
      <w:r w:rsidR="000E1083">
        <w:tab/>
      </w:r>
      <w:r w:rsidRPr="00865EB4">
        <w:t xml:space="preserve">Summary of </w:t>
      </w:r>
      <w:r w:rsidR="004A110A" w:rsidRPr="00865EB4">
        <w:t xml:space="preserve">Incremental </w:t>
      </w:r>
      <w:r w:rsidRPr="00865EB4">
        <w:t>Costs and Benefits for Option 1:</w:t>
      </w:r>
      <w:r w:rsidR="00192A08">
        <w:t xml:space="preserve"> </w:t>
      </w:r>
      <w:r w:rsidRPr="00865EB4">
        <w:t xml:space="preserve"> No</w:t>
      </w:r>
      <w:r w:rsidR="00493AD7">
        <w:t>-</w:t>
      </w:r>
      <w:r w:rsidRPr="00865EB4">
        <w:t>Action Baseline</w:t>
      </w:r>
      <w:bookmarkEnd w:id="138"/>
      <w:bookmarkEnd w:id="139"/>
      <w:bookmarkEnd w:id="140"/>
    </w:p>
    <w:tbl>
      <w:tblPr>
        <w:tblW w:w="9360" w:type="dxa"/>
        <w:tblInd w:w="-5" w:type="dxa"/>
        <w:tblLook w:val="04A0" w:firstRow="1" w:lastRow="0" w:firstColumn="1" w:lastColumn="0" w:noHBand="0" w:noVBand="1"/>
      </w:tblPr>
      <w:tblGrid>
        <w:gridCol w:w="3900"/>
        <w:gridCol w:w="5460"/>
      </w:tblGrid>
      <w:tr w:rsidR="003545BF" w:rsidRPr="003545BF" w14:paraId="512AA67B" w14:textId="77777777" w:rsidTr="00394D05">
        <w:trPr>
          <w:trHeight w:val="288"/>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8732E" w14:textId="77777777" w:rsidR="003545BF" w:rsidRPr="003545BF" w:rsidRDefault="003545BF" w:rsidP="003545BF">
            <w:pPr>
              <w:autoSpaceDE/>
              <w:autoSpaceDN/>
              <w:adjustRightInd/>
              <w:jc w:val="center"/>
              <w:rPr>
                <w:rFonts w:cs="Arial"/>
                <w:b/>
                <w:bCs/>
                <w:sz w:val="22"/>
                <w:szCs w:val="22"/>
              </w:rPr>
            </w:pPr>
            <w:r w:rsidRPr="003545BF">
              <w:rPr>
                <w:rFonts w:cs="Arial"/>
                <w:b/>
                <w:bCs/>
                <w:sz w:val="22"/>
                <w:szCs w:val="22"/>
              </w:rPr>
              <w:t>Incremental Costs</w:t>
            </w:r>
          </w:p>
        </w:tc>
        <w:tc>
          <w:tcPr>
            <w:tcW w:w="6600" w:type="dxa"/>
            <w:tcBorders>
              <w:top w:val="single" w:sz="4" w:space="0" w:color="auto"/>
              <w:left w:val="nil"/>
              <w:bottom w:val="single" w:sz="4" w:space="0" w:color="auto"/>
              <w:right w:val="single" w:sz="4" w:space="0" w:color="auto"/>
            </w:tcBorders>
            <w:shd w:val="clear" w:color="auto" w:fill="auto"/>
            <w:vAlign w:val="center"/>
            <w:hideMark/>
          </w:tcPr>
          <w:p w14:paraId="2F0796A3" w14:textId="77777777" w:rsidR="003545BF" w:rsidRPr="003545BF" w:rsidRDefault="003545BF" w:rsidP="003545BF">
            <w:pPr>
              <w:autoSpaceDE/>
              <w:autoSpaceDN/>
              <w:adjustRightInd/>
              <w:jc w:val="center"/>
              <w:rPr>
                <w:rFonts w:cs="Arial"/>
                <w:b/>
                <w:bCs/>
                <w:sz w:val="22"/>
                <w:szCs w:val="22"/>
              </w:rPr>
            </w:pPr>
            <w:r w:rsidRPr="003545BF">
              <w:rPr>
                <w:rFonts w:cs="Arial"/>
                <w:b/>
                <w:bCs/>
                <w:sz w:val="22"/>
                <w:szCs w:val="22"/>
              </w:rPr>
              <w:t>Incremental Benefits</w:t>
            </w:r>
          </w:p>
        </w:tc>
      </w:tr>
      <w:tr w:rsidR="003545BF" w:rsidRPr="003545BF" w14:paraId="26E03239" w14:textId="77777777" w:rsidTr="00394D05">
        <w:trPr>
          <w:trHeight w:val="948"/>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188E2" w14:textId="77777777" w:rsidR="007D12C5" w:rsidRDefault="003545BF" w:rsidP="007D12C5">
            <w:pPr>
              <w:autoSpaceDE/>
              <w:autoSpaceDN/>
              <w:adjustRightInd/>
              <w:rPr>
                <w:rFonts w:cs="Arial"/>
                <w:sz w:val="22"/>
                <w:szCs w:val="22"/>
              </w:rPr>
            </w:pPr>
            <w:r w:rsidRPr="003545BF">
              <w:rPr>
                <w:rFonts w:cs="Arial"/>
                <w:b/>
                <w:bCs/>
                <w:sz w:val="22"/>
                <w:szCs w:val="22"/>
              </w:rPr>
              <w:t>Industry:</w:t>
            </w:r>
          </w:p>
          <w:p w14:paraId="6C41B085" w14:textId="169D3C6B" w:rsidR="003545BF" w:rsidRPr="003545BF" w:rsidRDefault="003545BF" w:rsidP="007D12C5">
            <w:pPr>
              <w:autoSpaceDE/>
              <w:autoSpaceDN/>
              <w:adjustRightInd/>
              <w:rPr>
                <w:rFonts w:cs="Arial"/>
                <w:sz w:val="22"/>
                <w:szCs w:val="22"/>
              </w:rPr>
            </w:pPr>
            <w:r w:rsidRPr="003545BF">
              <w:rPr>
                <w:rFonts w:cs="Arial"/>
                <w:sz w:val="22"/>
                <w:szCs w:val="22"/>
              </w:rPr>
              <w:t>$0 using a 3% discount rate</w:t>
            </w:r>
            <w:r w:rsidRPr="003545BF">
              <w:rPr>
                <w:rFonts w:cs="Arial"/>
                <w:sz w:val="22"/>
                <w:szCs w:val="22"/>
              </w:rPr>
              <w:br/>
              <w:t>$0 using a 7% discount rate</w:t>
            </w:r>
          </w:p>
        </w:tc>
        <w:tc>
          <w:tcPr>
            <w:tcW w:w="66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F1DD77A" w14:textId="2C608625" w:rsidR="003545BF" w:rsidRPr="003545BF" w:rsidRDefault="003545BF" w:rsidP="003545BF">
            <w:pPr>
              <w:autoSpaceDE/>
              <w:autoSpaceDN/>
              <w:adjustRightInd/>
              <w:rPr>
                <w:rFonts w:cs="Arial"/>
                <w:sz w:val="22"/>
                <w:szCs w:val="22"/>
              </w:rPr>
            </w:pPr>
            <w:r w:rsidRPr="003545BF">
              <w:rPr>
                <w:rFonts w:cs="Arial"/>
                <w:b/>
                <w:bCs/>
                <w:sz w:val="22"/>
                <w:szCs w:val="22"/>
              </w:rPr>
              <w:t>Regulatory Efficiency</w:t>
            </w:r>
            <w:r w:rsidR="00EF1D3C">
              <w:rPr>
                <w:rFonts w:cs="Arial"/>
                <w:b/>
                <w:bCs/>
                <w:sz w:val="22"/>
                <w:szCs w:val="22"/>
              </w:rPr>
              <w:t>—</w:t>
            </w:r>
            <w:r w:rsidRPr="003545BF">
              <w:rPr>
                <w:rFonts w:cs="Arial"/>
                <w:sz w:val="22"/>
                <w:szCs w:val="22"/>
              </w:rPr>
              <w:t xml:space="preserve">The quantitative benefit of this </w:t>
            </w:r>
            <w:r w:rsidR="000C21E0">
              <w:rPr>
                <w:rFonts w:cs="Arial"/>
                <w:sz w:val="22"/>
                <w:szCs w:val="22"/>
              </w:rPr>
              <w:t>option</w:t>
            </w:r>
            <w:r w:rsidRPr="003545BF">
              <w:rPr>
                <w:rFonts w:cs="Arial"/>
                <w:sz w:val="22"/>
                <w:szCs w:val="22"/>
              </w:rPr>
              <w:t xml:space="preserve"> related to regulatory efficiency is reflected in no additional costs to the NRC and the industry.</w:t>
            </w:r>
          </w:p>
        </w:tc>
      </w:tr>
      <w:tr w:rsidR="003545BF" w:rsidRPr="003545BF" w14:paraId="3B9BB7CD" w14:textId="77777777" w:rsidTr="00394D05">
        <w:trPr>
          <w:trHeight w:val="84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BBC8C" w14:textId="77777777" w:rsidR="007D12C5" w:rsidRDefault="003545BF" w:rsidP="007D12C5">
            <w:pPr>
              <w:autoSpaceDE/>
              <w:autoSpaceDN/>
              <w:adjustRightInd/>
              <w:rPr>
                <w:rFonts w:cs="Arial"/>
                <w:sz w:val="22"/>
                <w:szCs w:val="22"/>
              </w:rPr>
            </w:pPr>
            <w:r w:rsidRPr="003545BF">
              <w:rPr>
                <w:rFonts w:cs="Arial"/>
                <w:b/>
                <w:bCs/>
                <w:sz w:val="22"/>
                <w:szCs w:val="22"/>
              </w:rPr>
              <w:t>NRC:</w:t>
            </w:r>
          </w:p>
          <w:p w14:paraId="01F37274" w14:textId="0D1D305D" w:rsidR="003545BF" w:rsidRPr="003545BF" w:rsidRDefault="003545BF" w:rsidP="007D12C5">
            <w:pPr>
              <w:autoSpaceDE/>
              <w:autoSpaceDN/>
              <w:adjustRightInd/>
              <w:rPr>
                <w:rFonts w:cs="Arial"/>
                <w:sz w:val="22"/>
                <w:szCs w:val="22"/>
              </w:rPr>
            </w:pPr>
            <w:r w:rsidRPr="003545BF">
              <w:rPr>
                <w:rFonts w:cs="Arial"/>
                <w:sz w:val="22"/>
                <w:szCs w:val="22"/>
              </w:rPr>
              <w:t>$0 using a 3% discount rate</w:t>
            </w:r>
            <w:r w:rsidRPr="003545BF">
              <w:rPr>
                <w:rFonts w:cs="Arial"/>
                <w:sz w:val="22"/>
                <w:szCs w:val="22"/>
              </w:rPr>
              <w:br/>
              <w:t>$0 using a 7% discount rate</w:t>
            </w:r>
          </w:p>
        </w:tc>
        <w:tc>
          <w:tcPr>
            <w:tcW w:w="6600" w:type="dxa"/>
            <w:vMerge/>
            <w:tcBorders>
              <w:top w:val="single" w:sz="4" w:space="0" w:color="auto"/>
              <w:left w:val="single" w:sz="4" w:space="0" w:color="auto"/>
              <w:bottom w:val="single" w:sz="4" w:space="0" w:color="000000"/>
              <w:right w:val="single" w:sz="4" w:space="0" w:color="000000"/>
            </w:tcBorders>
            <w:vAlign w:val="center"/>
            <w:hideMark/>
          </w:tcPr>
          <w:p w14:paraId="737A7307" w14:textId="77777777" w:rsidR="003545BF" w:rsidRPr="003545BF" w:rsidRDefault="003545BF" w:rsidP="003545BF">
            <w:pPr>
              <w:autoSpaceDE/>
              <w:autoSpaceDN/>
              <w:adjustRightInd/>
              <w:rPr>
                <w:rFonts w:cs="Arial"/>
                <w:sz w:val="22"/>
                <w:szCs w:val="22"/>
              </w:rPr>
            </w:pPr>
          </w:p>
        </w:tc>
      </w:tr>
    </w:tbl>
    <w:p w14:paraId="6982761F" w14:textId="77777777" w:rsidR="003545BF" w:rsidRDefault="003545BF" w:rsidP="003545BF">
      <w:pPr>
        <w:rPr>
          <w:b/>
          <w:i/>
          <w:sz w:val="22"/>
          <w:szCs w:val="22"/>
        </w:rPr>
      </w:pPr>
    </w:p>
    <w:p w14:paraId="09514F0E" w14:textId="2E73D9F5" w:rsidR="00573DB0" w:rsidRPr="00DA28F9" w:rsidRDefault="00573DB0" w:rsidP="0062754D">
      <w:pPr>
        <w:keepNext/>
        <w:keepLines/>
        <w:rPr>
          <w:b/>
          <w:i/>
          <w:sz w:val="22"/>
          <w:szCs w:val="22"/>
        </w:rPr>
      </w:pPr>
      <w:r>
        <w:rPr>
          <w:b/>
          <w:i/>
          <w:sz w:val="22"/>
          <w:szCs w:val="22"/>
        </w:rPr>
        <w:t xml:space="preserve">Option </w:t>
      </w:r>
      <w:r w:rsidR="00567233">
        <w:rPr>
          <w:b/>
          <w:i/>
          <w:sz w:val="22"/>
          <w:szCs w:val="22"/>
        </w:rPr>
        <w:t>2</w:t>
      </w:r>
      <w:r>
        <w:rPr>
          <w:b/>
          <w:i/>
          <w:sz w:val="22"/>
          <w:szCs w:val="22"/>
        </w:rPr>
        <w:t xml:space="preserve">:  Undertake Rulemaking </w:t>
      </w:r>
      <w:r w:rsidR="00AC4C52">
        <w:rPr>
          <w:b/>
          <w:i/>
          <w:sz w:val="22"/>
          <w:szCs w:val="22"/>
        </w:rPr>
        <w:t>to</w:t>
      </w:r>
      <w:r>
        <w:rPr>
          <w:b/>
          <w:i/>
          <w:sz w:val="22"/>
          <w:szCs w:val="22"/>
        </w:rPr>
        <w:t xml:space="preserve"> Make the </w:t>
      </w:r>
      <w:r w:rsidR="007D12C5">
        <w:rPr>
          <w:b/>
          <w:i/>
          <w:sz w:val="22"/>
          <w:szCs w:val="22"/>
        </w:rPr>
        <w:t xml:space="preserve">Mitigation Strategies and SFPI </w:t>
      </w:r>
      <w:r>
        <w:rPr>
          <w:b/>
          <w:i/>
          <w:sz w:val="22"/>
          <w:szCs w:val="22"/>
        </w:rPr>
        <w:t>Orders Generically Applicable</w:t>
      </w:r>
    </w:p>
    <w:p w14:paraId="0F5275E6" w14:textId="77777777" w:rsidR="00573DB0" w:rsidRDefault="00573DB0" w:rsidP="0062754D">
      <w:pPr>
        <w:rPr>
          <w:sz w:val="22"/>
          <w:szCs w:val="22"/>
        </w:rPr>
      </w:pPr>
    </w:p>
    <w:p w14:paraId="6981B9AA" w14:textId="46243F48" w:rsidR="00573DB0" w:rsidRDefault="00573DB0" w:rsidP="00CC571E">
      <w:pPr>
        <w:tabs>
          <w:tab w:val="left" w:pos="721"/>
        </w:tabs>
        <w:rPr>
          <w:sz w:val="22"/>
          <w:szCs w:val="22"/>
        </w:rPr>
      </w:pPr>
      <w:r w:rsidRPr="00DA28F9">
        <w:rPr>
          <w:sz w:val="22"/>
          <w:szCs w:val="22"/>
        </w:rPr>
        <w:t xml:space="preserve">Under </w:t>
      </w:r>
      <w:r w:rsidR="009B71D9">
        <w:rPr>
          <w:sz w:val="22"/>
          <w:szCs w:val="22"/>
        </w:rPr>
        <w:t>this option</w:t>
      </w:r>
      <w:r w:rsidR="00D713F8">
        <w:rPr>
          <w:sz w:val="22"/>
          <w:szCs w:val="22"/>
        </w:rPr>
        <w:t>,</w:t>
      </w:r>
      <w:r w:rsidRPr="00DA28F9">
        <w:rPr>
          <w:sz w:val="22"/>
          <w:szCs w:val="22"/>
        </w:rPr>
        <w:t xml:space="preserve"> the NRC would</w:t>
      </w:r>
      <w:r>
        <w:rPr>
          <w:sz w:val="22"/>
          <w:szCs w:val="22"/>
        </w:rPr>
        <w:t xml:space="preserve"> </w:t>
      </w:r>
      <w:r w:rsidR="007D12C5">
        <w:rPr>
          <w:sz w:val="22"/>
          <w:szCs w:val="22"/>
        </w:rPr>
        <w:t>prepare a</w:t>
      </w:r>
      <w:r w:rsidRPr="00DA28F9">
        <w:rPr>
          <w:sz w:val="22"/>
          <w:szCs w:val="22"/>
        </w:rPr>
        <w:t xml:space="preserve"> </w:t>
      </w:r>
      <w:r w:rsidR="002A0D78">
        <w:rPr>
          <w:sz w:val="22"/>
          <w:szCs w:val="22"/>
        </w:rPr>
        <w:t>final rule</w:t>
      </w:r>
      <w:r w:rsidRPr="00DA28F9">
        <w:rPr>
          <w:sz w:val="22"/>
          <w:szCs w:val="22"/>
        </w:rPr>
        <w:t xml:space="preserve"> to </w:t>
      </w:r>
      <w:r>
        <w:rPr>
          <w:sz w:val="22"/>
          <w:szCs w:val="22"/>
        </w:rPr>
        <w:t xml:space="preserve">make </w:t>
      </w:r>
      <w:r w:rsidRPr="00DA28F9">
        <w:rPr>
          <w:sz w:val="22"/>
          <w:szCs w:val="22"/>
        </w:rPr>
        <w:t>Order EA-12-049</w:t>
      </w:r>
      <w:r w:rsidR="007D12C5">
        <w:rPr>
          <w:sz w:val="22"/>
          <w:szCs w:val="22"/>
        </w:rPr>
        <w:t xml:space="preserve"> and</w:t>
      </w:r>
      <w:r w:rsidRPr="00DA28F9">
        <w:rPr>
          <w:sz w:val="22"/>
          <w:szCs w:val="22"/>
        </w:rPr>
        <w:t xml:space="preserve"> </w:t>
      </w:r>
      <w:r w:rsidR="004F22BB">
        <w:rPr>
          <w:sz w:val="22"/>
          <w:szCs w:val="22"/>
        </w:rPr>
        <w:t>Order</w:t>
      </w:r>
      <w:r w:rsidR="00EA375C">
        <w:rPr>
          <w:sz w:val="22"/>
          <w:szCs w:val="22"/>
        </w:rPr>
        <w:t> </w:t>
      </w:r>
      <w:r w:rsidRPr="00DA28F9">
        <w:rPr>
          <w:sz w:val="22"/>
          <w:szCs w:val="22"/>
        </w:rPr>
        <w:t>EA</w:t>
      </w:r>
      <w:r w:rsidR="00EA375C">
        <w:rPr>
          <w:sz w:val="22"/>
          <w:szCs w:val="22"/>
        </w:rPr>
        <w:noBreakHyphen/>
      </w:r>
      <w:r w:rsidRPr="00DA28F9">
        <w:rPr>
          <w:sz w:val="22"/>
          <w:szCs w:val="22"/>
        </w:rPr>
        <w:t>12-051</w:t>
      </w:r>
      <w:r>
        <w:rPr>
          <w:sz w:val="22"/>
          <w:szCs w:val="22"/>
        </w:rPr>
        <w:t xml:space="preserve"> generically applicable</w:t>
      </w:r>
      <w:r w:rsidR="00EA375C">
        <w:rPr>
          <w:sz w:val="22"/>
          <w:szCs w:val="22"/>
        </w:rPr>
        <w:t xml:space="preserve">, </w:t>
      </w:r>
      <w:r w:rsidR="007D12C5">
        <w:rPr>
          <w:sz w:val="22"/>
          <w:szCs w:val="22"/>
        </w:rPr>
        <w:t xml:space="preserve">to </w:t>
      </w:r>
      <w:r w:rsidR="00EA375C">
        <w:rPr>
          <w:sz w:val="22"/>
          <w:szCs w:val="22"/>
        </w:rPr>
        <w:t xml:space="preserve">establish regulatory requirements for documentation of changes, and </w:t>
      </w:r>
      <w:r w:rsidR="007D12C5">
        <w:rPr>
          <w:sz w:val="22"/>
          <w:szCs w:val="22"/>
        </w:rPr>
        <w:t xml:space="preserve">to </w:t>
      </w:r>
      <w:r w:rsidR="00EA375C">
        <w:rPr>
          <w:sz w:val="22"/>
          <w:szCs w:val="22"/>
        </w:rPr>
        <w:t>address a number of PRMs submitted to the NRC following the March 2011 Fukushima Dai-ichi event</w:t>
      </w:r>
      <w:r w:rsidR="00567233">
        <w:rPr>
          <w:sz w:val="22"/>
          <w:szCs w:val="22"/>
        </w:rPr>
        <w:t xml:space="preserve">.  </w:t>
      </w:r>
      <w:r w:rsidR="009B71D9">
        <w:rPr>
          <w:sz w:val="22"/>
          <w:szCs w:val="22"/>
        </w:rPr>
        <w:t>T</w:t>
      </w:r>
      <w:r>
        <w:rPr>
          <w:sz w:val="22"/>
          <w:szCs w:val="22"/>
        </w:rPr>
        <w:t xml:space="preserve">he NRC estimates the costs and benefits of </w:t>
      </w:r>
      <w:r w:rsidR="009B71D9">
        <w:rPr>
          <w:sz w:val="22"/>
          <w:szCs w:val="22"/>
        </w:rPr>
        <w:t>this option</w:t>
      </w:r>
      <w:r>
        <w:rPr>
          <w:sz w:val="22"/>
          <w:szCs w:val="22"/>
        </w:rPr>
        <w:t xml:space="preserve"> relative to </w:t>
      </w:r>
      <w:r w:rsidR="00567233">
        <w:rPr>
          <w:sz w:val="22"/>
          <w:szCs w:val="22"/>
        </w:rPr>
        <w:t>the</w:t>
      </w:r>
      <w:r w:rsidR="005039F6">
        <w:rPr>
          <w:sz w:val="22"/>
          <w:szCs w:val="22"/>
        </w:rPr>
        <w:t xml:space="preserve"> no</w:t>
      </w:r>
      <w:r w:rsidR="00493AD7">
        <w:rPr>
          <w:sz w:val="22"/>
          <w:szCs w:val="22"/>
        </w:rPr>
        <w:noBreakHyphen/>
      </w:r>
      <w:r w:rsidR="005039F6">
        <w:rPr>
          <w:sz w:val="22"/>
          <w:szCs w:val="22"/>
        </w:rPr>
        <w:t>action baseline</w:t>
      </w:r>
      <w:r>
        <w:rPr>
          <w:sz w:val="22"/>
          <w:szCs w:val="22"/>
        </w:rPr>
        <w:t xml:space="preserve">.  </w:t>
      </w:r>
      <w:r w:rsidR="009B71D9">
        <w:rPr>
          <w:sz w:val="22"/>
          <w:szCs w:val="22"/>
        </w:rPr>
        <w:t>This option</w:t>
      </w:r>
      <w:r w:rsidR="00BE10D7">
        <w:rPr>
          <w:sz w:val="22"/>
          <w:szCs w:val="22"/>
        </w:rPr>
        <w:t xml:space="preserve"> </w:t>
      </w:r>
      <w:r>
        <w:rPr>
          <w:sz w:val="22"/>
          <w:szCs w:val="22"/>
        </w:rPr>
        <w:t xml:space="preserve">would result in incremental </w:t>
      </w:r>
      <w:r w:rsidR="00EA375C">
        <w:rPr>
          <w:sz w:val="22"/>
          <w:szCs w:val="22"/>
        </w:rPr>
        <w:t xml:space="preserve">one-time </w:t>
      </w:r>
      <w:r>
        <w:rPr>
          <w:sz w:val="22"/>
          <w:szCs w:val="22"/>
        </w:rPr>
        <w:t xml:space="preserve">costs of </w:t>
      </w:r>
      <w:r w:rsidR="00FF2FE4">
        <w:rPr>
          <w:sz w:val="22"/>
          <w:szCs w:val="22"/>
        </w:rPr>
        <w:t>(</w:t>
      </w:r>
      <w:r w:rsidRPr="00FF2FE4">
        <w:rPr>
          <w:sz w:val="22"/>
          <w:szCs w:val="22"/>
        </w:rPr>
        <w:t>$</w:t>
      </w:r>
      <w:r w:rsidR="00EA375C">
        <w:rPr>
          <w:sz w:val="22"/>
          <w:szCs w:val="22"/>
        </w:rPr>
        <w:t>7.2</w:t>
      </w:r>
      <w:r w:rsidR="00B24B4A" w:rsidRPr="00FF2FE4">
        <w:rPr>
          <w:sz w:val="22"/>
          <w:szCs w:val="22"/>
        </w:rPr>
        <w:t xml:space="preserve"> million</w:t>
      </w:r>
      <w:r w:rsidR="00FF2FE4">
        <w:rPr>
          <w:sz w:val="22"/>
          <w:szCs w:val="22"/>
        </w:rPr>
        <w:t>)</w:t>
      </w:r>
      <w:r w:rsidR="0070460D">
        <w:rPr>
          <w:sz w:val="22"/>
          <w:szCs w:val="22"/>
        </w:rPr>
        <w:t>.  These costs result from the</w:t>
      </w:r>
      <w:r>
        <w:rPr>
          <w:sz w:val="22"/>
          <w:szCs w:val="22"/>
        </w:rPr>
        <w:t xml:space="preserve"> </w:t>
      </w:r>
      <w:r w:rsidR="00B24B4A">
        <w:rPr>
          <w:sz w:val="22"/>
          <w:szCs w:val="22"/>
        </w:rPr>
        <w:t>industry</w:t>
      </w:r>
      <w:r w:rsidR="00D713F8">
        <w:rPr>
          <w:sz w:val="22"/>
          <w:szCs w:val="22"/>
        </w:rPr>
        <w:t>’</w:t>
      </w:r>
      <w:r w:rsidR="00B24B4A">
        <w:rPr>
          <w:sz w:val="22"/>
          <w:szCs w:val="22"/>
        </w:rPr>
        <w:t xml:space="preserve">s review of the </w:t>
      </w:r>
      <w:r w:rsidR="007D12C5">
        <w:rPr>
          <w:sz w:val="22"/>
          <w:szCs w:val="22"/>
        </w:rPr>
        <w:t xml:space="preserve">final </w:t>
      </w:r>
      <w:r w:rsidR="00B24B4A">
        <w:rPr>
          <w:sz w:val="22"/>
          <w:szCs w:val="22"/>
        </w:rPr>
        <w:t>rule requirements</w:t>
      </w:r>
      <w:r>
        <w:rPr>
          <w:sz w:val="22"/>
          <w:szCs w:val="22"/>
        </w:rPr>
        <w:t>.  Exhibit 3</w:t>
      </w:r>
      <w:r w:rsidR="00A00026">
        <w:rPr>
          <w:sz w:val="22"/>
          <w:szCs w:val="22"/>
        </w:rPr>
        <w:t>-</w:t>
      </w:r>
      <w:r w:rsidR="0095574D">
        <w:rPr>
          <w:sz w:val="22"/>
          <w:szCs w:val="22"/>
        </w:rPr>
        <w:t>2</w:t>
      </w:r>
      <w:r w:rsidR="00A21419">
        <w:rPr>
          <w:sz w:val="22"/>
          <w:szCs w:val="22"/>
        </w:rPr>
        <w:t xml:space="preserve"> </w:t>
      </w:r>
      <w:r>
        <w:rPr>
          <w:sz w:val="22"/>
          <w:szCs w:val="22"/>
        </w:rPr>
        <w:t xml:space="preserve">presents the total costs associated with </w:t>
      </w:r>
      <w:r w:rsidR="009B71D9">
        <w:rPr>
          <w:sz w:val="22"/>
          <w:szCs w:val="22"/>
        </w:rPr>
        <w:t>this option</w:t>
      </w:r>
      <w:r>
        <w:rPr>
          <w:sz w:val="22"/>
          <w:szCs w:val="22"/>
        </w:rPr>
        <w:t>.</w:t>
      </w:r>
    </w:p>
    <w:p w14:paraId="784958F5" w14:textId="77777777" w:rsidR="00CC2C26" w:rsidRDefault="00CC2C26" w:rsidP="00CC571E">
      <w:pPr>
        <w:tabs>
          <w:tab w:val="left" w:pos="721"/>
        </w:tabs>
        <w:rPr>
          <w:sz w:val="22"/>
          <w:szCs w:val="22"/>
        </w:rPr>
      </w:pPr>
    </w:p>
    <w:p w14:paraId="30BCA90B" w14:textId="6FCA183B" w:rsidR="00573DB0" w:rsidRPr="00C16489" w:rsidRDefault="00573DB0" w:rsidP="00F731E1">
      <w:pPr>
        <w:pStyle w:val="Exhibit"/>
      </w:pPr>
      <w:bookmarkStart w:id="141" w:name="_Toc410920242"/>
      <w:bookmarkStart w:id="142" w:name="_Toc410921155"/>
      <w:bookmarkStart w:id="143" w:name="_Toc532457264"/>
      <w:r>
        <w:t>Exhibit 3-</w:t>
      </w:r>
      <w:r w:rsidR="0095574D">
        <w:t>2</w:t>
      </w:r>
      <w:r w:rsidR="000E1083">
        <w:tab/>
      </w:r>
      <w:r>
        <w:t xml:space="preserve">Summary of Total Costs for </w:t>
      </w:r>
      <w:r w:rsidR="009B71D9">
        <w:t>Undertaking</w:t>
      </w:r>
      <w:r>
        <w:t xml:space="preserve"> Rulemaking </w:t>
      </w:r>
      <w:r w:rsidR="00AC4C52">
        <w:t>to</w:t>
      </w:r>
      <w:r>
        <w:t xml:space="preserve"> Make the Orders and Industry Initiatives Generically Applicable</w:t>
      </w:r>
      <w:bookmarkEnd w:id="141"/>
      <w:bookmarkEnd w:id="142"/>
      <w:bookmarkEnd w:id="143"/>
    </w:p>
    <w:tbl>
      <w:tblPr>
        <w:tblW w:w="10479" w:type="dxa"/>
        <w:jc w:val="center"/>
        <w:tblLook w:val="04A0" w:firstRow="1" w:lastRow="0" w:firstColumn="1" w:lastColumn="0" w:noHBand="0" w:noVBand="1"/>
      </w:tblPr>
      <w:tblGrid>
        <w:gridCol w:w="1170"/>
        <w:gridCol w:w="1237"/>
        <w:gridCol w:w="1087"/>
        <w:gridCol w:w="1437"/>
        <w:gridCol w:w="1237"/>
        <w:gridCol w:w="1437"/>
        <w:gridCol w:w="1437"/>
        <w:gridCol w:w="1437"/>
      </w:tblGrid>
      <w:tr w:rsidR="00FF2FE4" w:rsidRPr="000B228E" w14:paraId="11143F1C" w14:textId="77777777" w:rsidTr="0031052A">
        <w:trPr>
          <w:trHeight w:val="288"/>
          <w:tblHeader/>
          <w:jc w:val="center"/>
        </w:trPr>
        <w:tc>
          <w:tcPr>
            <w:tcW w:w="117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6899C44" w14:textId="77777777" w:rsidR="00FF2FE4" w:rsidRPr="000B228E" w:rsidRDefault="00FF2FE4" w:rsidP="00F731E1">
            <w:pPr>
              <w:keepNext/>
              <w:jc w:val="center"/>
              <w:rPr>
                <w:rFonts w:cs="Arial"/>
                <w:b/>
                <w:bCs/>
                <w:color w:val="000000"/>
                <w:sz w:val="17"/>
                <w:szCs w:val="17"/>
              </w:rPr>
            </w:pPr>
            <w:r w:rsidRPr="000B228E">
              <w:rPr>
                <w:rFonts w:cs="Arial"/>
                <w:b/>
                <w:bCs/>
                <w:color w:val="000000"/>
                <w:sz w:val="17"/>
                <w:szCs w:val="17"/>
              </w:rPr>
              <w:t>Activity</w:t>
            </w:r>
          </w:p>
        </w:tc>
        <w:tc>
          <w:tcPr>
            <w:tcW w:w="232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3C99B1" w14:textId="77777777" w:rsidR="00FF2FE4" w:rsidRPr="000B228E" w:rsidRDefault="00FF2FE4" w:rsidP="00F731E1">
            <w:pPr>
              <w:keepNext/>
              <w:jc w:val="center"/>
              <w:rPr>
                <w:rFonts w:cs="Arial"/>
                <w:b/>
                <w:bCs/>
                <w:color w:val="000000"/>
                <w:sz w:val="17"/>
                <w:szCs w:val="17"/>
              </w:rPr>
            </w:pPr>
            <w:r w:rsidRPr="000B228E">
              <w:rPr>
                <w:rFonts w:cs="Arial"/>
                <w:b/>
                <w:bCs/>
                <w:color w:val="000000"/>
                <w:sz w:val="17"/>
                <w:szCs w:val="17"/>
              </w:rPr>
              <w:t>Average Cost Per Site</w:t>
            </w:r>
          </w:p>
        </w:tc>
        <w:tc>
          <w:tcPr>
            <w:tcW w:w="698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77E115F5" w14:textId="77777777" w:rsidR="00FF2FE4" w:rsidRPr="000B228E" w:rsidRDefault="00FF2FE4" w:rsidP="00F731E1">
            <w:pPr>
              <w:keepNext/>
              <w:jc w:val="center"/>
              <w:rPr>
                <w:rFonts w:cs="Arial"/>
                <w:b/>
                <w:bCs/>
                <w:color w:val="000000"/>
                <w:sz w:val="17"/>
                <w:szCs w:val="17"/>
              </w:rPr>
            </w:pPr>
            <w:r w:rsidRPr="000B228E">
              <w:rPr>
                <w:rFonts w:cs="Arial"/>
                <w:b/>
                <w:bCs/>
                <w:color w:val="000000"/>
                <w:sz w:val="17"/>
                <w:szCs w:val="17"/>
              </w:rPr>
              <w:t>Total Costs</w:t>
            </w:r>
          </w:p>
        </w:tc>
      </w:tr>
      <w:tr w:rsidR="00FF2FE4" w:rsidRPr="000B228E" w14:paraId="6BD34B4A" w14:textId="77777777" w:rsidTr="0031052A">
        <w:trPr>
          <w:trHeight w:val="480"/>
          <w:tblHeader/>
          <w:jc w:val="center"/>
        </w:trPr>
        <w:tc>
          <w:tcPr>
            <w:tcW w:w="1170" w:type="dxa"/>
            <w:vMerge/>
            <w:tcBorders>
              <w:top w:val="single" w:sz="4" w:space="0" w:color="auto"/>
              <w:left w:val="single" w:sz="4" w:space="0" w:color="auto"/>
              <w:bottom w:val="single" w:sz="4" w:space="0" w:color="000000"/>
              <w:right w:val="single" w:sz="4" w:space="0" w:color="auto"/>
            </w:tcBorders>
            <w:vAlign w:val="center"/>
            <w:hideMark/>
          </w:tcPr>
          <w:p w14:paraId="50C5C640" w14:textId="77777777" w:rsidR="00FF2FE4" w:rsidRPr="000B228E" w:rsidRDefault="00FF2FE4" w:rsidP="00F167F1">
            <w:pPr>
              <w:keepNext/>
              <w:rPr>
                <w:rFonts w:cs="Arial"/>
                <w:b/>
                <w:bCs/>
                <w:color w:val="000000"/>
                <w:sz w:val="17"/>
                <w:szCs w:val="17"/>
              </w:rPr>
            </w:pPr>
          </w:p>
        </w:tc>
        <w:tc>
          <w:tcPr>
            <w:tcW w:w="1237" w:type="dxa"/>
            <w:tcBorders>
              <w:top w:val="nil"/>
              <w:left w:val="nil"/>
              <w:bottom w:val="single" w:sz="4" w:space="0" w:color="auto"/>
              <w:right w:val="single" w:sz="4" w:space="0" w:color="auto"/>
            </w:tcBorders>
            <w:shd w:val="clear" w:color="000000" w:fill="FFFFFF"/>
            <w:vAlign w:val="center"/>
            <w:hideMark/>
          </w:tcPr>
          <w:p w14:paraId="4E535E1D" w14:textId="77777777" w:rsidR="00FF2FE4" w:rsidRPr="000B228E" w:rsidRDefault="00FF2FE4" w:rsidP="00F167F1">
            <w:pPr>
              <w:keepNext/>
              <w:jc w:val="center"/>
              <w:rPr>
                <w:rFonts w:cs="Arial"/>
                <w:b/>
                <w:bCs/>
                <w:color w:val="000000"/>
                <w:sz w:val="17"/>
                <w:szCs w:val="17"/>
              </w:rPr>
            </w:pPr>
            <w:r w:rsidRPr="000B228E">
              <w:rPr>
                <w:rFonts w:cs="Arial"/>
                <w:b/>
                <w:bCs/>
                <w:color w:val="000000"/>
                <w:sz w:val="17"/>
                <w:szCs w:val="17"/>
              </w:rPr>
              <w:t>One-Time Costs</w:t>
            </w:r>
          </w:p>
        </w:tc>
        <w:tc>
          <w:tcPr>
            <w:tcW w:w="1087" w:type="dxa"/>
            <w:tcBorders>
              <w:top w:val="nil"/>
              <w:left w:val="nil"/>
              <w:bottom w:val="single" w:sz="4" w:space="0" w:color="auto"/>
              <w:right w:val="single" w:sz="4" w:space="0" w:color="auto"/>
            </w:tcBorders>
            <w:shd w:val="clear" w:color="000000" w:fill="FFFFFF"/>
            <w:vAlign w:val="center"/>
            <w:hideMark/>
          </w:tcPr>
          <w:p w14:paraId="6F4E68B5" w14:textId="77777777" w:rsidR="00FF2FE4" w:rsidRPr="000B228E" w:rsidRDefault="00FF2FE4" w:rsidP="00F167F1">
            <w:pPr>
              <w:keepNext/>
              <w:jc w:val="center"/>
              <w:rPr>
                <w:rFonts w:cs="Arial"/>
                <w:b/>
                <w:bCs/>
                <w:color w:val="000000"/>
                <w:sz w:val="17"/>
                <w:szCs w:val="17"/>
              </w:rPr>
            </w:pPr>
            <w:r w:rsidRPr="000B228E">
              <w:rPr>
                <w:rFonts w:cs="Arial"/>
                <w:b/>
                <w:bCs/>
                <w:color w:val="000000"/>
                <w:sz w:val="17"/>
                <w:szCs w:val="17"/>
              </w:rPr>
              <w:t>Annual Costs</w:t>
            </w:r>
          </w:p>
        </w:tc>
        <w:tc>
          <w:tcPr>
            <w:tcW w:w="1437" w:type="dxa"/>
            <w:tcBorders>
              <w:top w:val="nil"/>
              <w:left w:val="nil"/>
              <w:bottom w:val="single" w:sz="4" w:space="0" w:color="auto"/>
              <w:right w:val="single" w:sz="4" w:space="0" w:color="auto"/>
            </w:tcBorders>
            <w:shd w:val="clear" w:color="000000" w:fill="FFFFFF"/>
            <w:vAlign w:val="center"/>
            <w:hideMark/>
          </w:tcPr>
          <w:p w14:paraId="2E13D05B" w14:textId="77777777" w:rsidR="00FF2FE4" w:rsidRPr="000B228E" w:rsidRDefault="00FF2FE4" w:rsidP="00F167F1">
            <w:pPr>
              <w:keepNext/>
              <w:jc w:val="center"/>
              <w:rPr>
                <w:rFonts w:cs="Arial"/>
                <w:b/>
                <w:bCs/>
                <w:color w:val="000000"/>
                <w:sz w:val="17"/>
                <w:szCs w:val="17"/>
              </w:rPr>
            </w:pPr>
            <w:r w:rsidRPr="000B228E">
              <w:rPr>
                <w:rFonts w:cs="Arial"/>
                <w:b/>
                <w:bCs/>
                <w:color w:val="000000"/>
                <w:sz w:val="17"/>
                <w:szCs w:val="17"/>
              </w:rPr>
              <w:t>One-Time Costs</w:t>
            </w:r>
          </w:p>
        </w:tc>
        <w:tc>
          <w:tcPr>
            <w:tcW w:w="1237" w:type="dxa"/>
            <w:tcBorders>
              <w:top w:val="nil"/>
              <w:left w:val="nil"/>
              <w:bottom w:val="single" w:sz="4" w:space="0" w:color="auto"/>
              <w:right w:val="single" w:sz="4" w:space="0" w:color="auto"/>
            </w:tcBorders>
            <w:shd w:val="clear" w:color="000000" w:fill="FFFFFF"/>
            <w:vAlign w:val="center"/>
            <w:hideMark/>
          </w:tcPr>
          <w:p w14:paraId="492CFC6A" w14:textId="77777777" w:rsidR="00FF2FE4" w:rsidRPr="000B228E" w:rsidRDefault="00FF2FE4" w:rsidP="00F167F1">
            <w:pPr>
              <w:keepNext/>
              <w:jc w:val="center"/>
              <w:rPr>
                <w:rFonts w:cs="Arial"/>
                <w:b/>
                <w:bCs/>
                <w:color w:val="000000"/>
                <w:sz w:val="17"/>
                <w:szCs w:val="17"/>
              </w:rPr>
            </w:pPr>
            <w:r w:rsidRPr="000B228E">
              <w:rPr>
                <w:rFonts w:cs="Arial"/>
                <w:b/>
                <w:bCs/>
                <w:color w:val="000000"/>
                <w:sz w:val="17"/>
                <w:szCs w:val="17"/>
              </w:rPr>
              <w:t xml:space="preserve">Annual Costs </w:t>
            </w:r>
          </w:p>
        </w:tc>
        <w:tc>
          <w:tcPr>
            <w:tcW w:w="1437" w:type="dxa"/>
            <w:tcBorders>
              <w:top w:val="nil"/>
              <w:left w:val="nil"/>
              <w:bottom w:val="single" w:sz="4" w:space="0" w:color="auto"/>
              <w:right w:val="single" w:sz="4" w:space="0" w:color="auto"/>
            </w:tcBorders>
            <w:shd w:val="clear" w:color="000000" w:fill="FFFFFF"/>
            <w:vAlign w:val="center"/>
            <w:hideMark/>
          </w:tcPr>
          <w:p w14:paraId="5DDC41AD" w14:textId="77777777" w:rsidR="00FF2FE4" w:rsidRPr="000B228E" w:rsidRDefault="00FF2FE4" w:rsidP="00F167F1">
            <w:pPr>
              <w:keepNext/>
              <w:jc w:val="center"/>
              <w:rPr>
                <w:rFonts w:cs="Arial"/>
                <w:b/>
                <w:bCs/>
                <w:color w:val="000000"/>
                <w:sz w:val="17"/>
                <w:szCs w:val="17"/>
              </w:rPr>
            </w:pPr>
            <w:r w:rsidRPr="000B228E">
              <w:rPr>
                <w:rFonts w:cs="Arial"/>
                <w:b/>
                <w:bCs/>
                <w:color w:val="000000"/>
                <w:sz w:val="17"/>
                <w:szCs w:val="17"/>
              </w:rPr>
              <w:t>Undiscounted Value</w:t>
            </w:r>
          </w:p>
        </w:tc>
        <w:tc>
          <w:tcPr>
            <w:tcW w:w="1437" w:type="dxa"/>
            <w:tcBorders>
              <w:top w:val="nil"/>
              <w:left w:val="nil"/>
              <w:bottom w:val="single" w:sz="4" w:space="0" w:color="auto"/>
              <w:right w:val="single" w:sz="4" w:space="0" w:color="auto"/>
            </w:tcBorders>
            <w:shd w:val="clear" w:color="000000" w:fill="FFFFFF"/>
            <w:vAlign w:val="center"/>
            <w:hideMark/>
          </w:tcPr>
          <w:p w14:paraId="65D07B83" w14:textId="77777777" w:rsidR="00FF2FE4" w:rsidRPr="000B228E" w:rsidRDefault="00FF2FE4" w:rsidP="00F167F1">
            <w:pPr>
              <w:keepNext/>
              <w:jc w:val="center"/>
              <w:rPr>
                <w:rFonts w:cs="Arial"/>
                <w:b/>
                <w:bCs/>
                <w:color w:val="000000"/>
                <w:sz w:val="17"/>
                <w:szCs w:val="17"/>
              </w:rPr>
            </w:pPr>
            <w:r w:rsidRPr="000B228E">
              <w:rPr>
                <w:rFonts w:cs="Arial"/>
                <w:b/>
                <w:bCs/>
                <w:color w:val="000000"/>
                <w:sz w:val="17"/>
                <w:szCs w:val="17"/>
              </w:rPr>
              <w:t>Present Value</w:t>
            </w:r>
            <w:r w:rsidRPr="000B228E">
              <w:rPr>
                <w:rFonts w:cs="Arial"/>
                <w:b/>
                <w:bCs/>
                <w:color w:val="000000"/>
                <w:sz w:val="17"/>
                <w:szCs w:val="17"/>
              </w:rPr>
              <w:br/>
              <w:t>(7 percent)</w:t>
            </w:r>
          </w:p>
        </w:tc>
        <w:tc>
          <w:tcPr>
            <w:tcW w:w="1437" w:type="dxa"/>
            <w:tcBorders>
              <w:top w:val="nil"/>
              <w:left w:val="nil"/>
              <w:bottom w:val="single" w:sz="4" w:space="0" w:color="auto"/>
              <w:right w:val="single" w:sz="4" w:space="0" w:color="auto"/>
            </w:tcBorders>
            <w:shd w:val="clear" w:color="000000" w:fill="FFFFFF"/>
            <w:vAlign w:val="center"/>
            <w:hideMark/>
          </w:tcPr>
          <w:p w14:paraId="0A1F3F7D" w14:textId="77777777" w:rsidR="00FF2FE4" w:rsidRPr="000B228E" w:rsidRDefault="00FF2FE4" w:rsidP="00F167F1">
            <w:pPr>
              <w:keepNext/>
              <w:jc w:val="center"/>
              <w:rPr>
                <w:rFonts w:cs="Arial"/>
                <w:b/>
                <w:bCs/>
                <w:color w:val="000000"/>
                <w:sz w:val="17"/>
                <w:szCs w:val="17"/>
              </w:rPr>
            </w:pPr>
            <w:r w:rsidRPr="000B228E">
              <w:rPr>
                <w:rFonts w:cs="Arial"/>
                <w:b/>
                <w:bCs/>
                <w:color w:val="000000"/>
                <w:sz w:val="17"/>
                <w:szCs w:val="17"/>
              </w:rPr>
              <w:t>Present Value</w:t>
            </w:r>
            <w:r w:rsidRPr="000B228E">
              <w:rPr>
                <w:rFonts w:cs="Arial"/>
                <w:b/>
                <w:bCs/>
                <w:color w:val="000000"/>
                <w:sz w:val="17"/>
                <w:szCs w:val="17"/>
              </w:rPr>
              <w:br/>
              <w:t>(3 percent)</w:t>
            </w:r>
          </w:p>
        </w:tc>
      </w:tr>
      <w:tr w:rsidR="00FF2FE4" w:rsidRPr="000B228E" w14:paraId="215D08E1" w14:textId="77777777" w:rsidTr="00FF2FE4">
        <w:trPr>
          <w:trHeight w:val="288"/>
          <w:jc w:val="center"/>
        </w:trPr>
        <w:tc>
          <w:tcPr>
            <w:tcW w:w="10479"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C4E85" w14:textId="77777777" w:rsidR="00FF2FE4" w:rsidRPr="000B228E" w:rsidRDefault="00FF2FE4" w:rsidP="00F731E1">
            <w:pPr>
              <w:keepNext/>
              <w:rPr>
                <w:rFonts w:cs="Arial"/>
                <w:b/>
                <w:bCs/>
                <w:i/>
                <w:iCs/>
                <w:color w:val="000000"/>
                <w:sz w:val="17"/>
                <w:szCs w:val="17"/>
                <w:u w:val="single"/>
              </w:rPr>
            </w:pPr>
            <w:r w:rsidRPr="000B228E">
              <w:rPr>
                <w:rFonts w:cs="Arial"/>
                <w:b/>
                <w:bCs/>
                <w:i/>
                <w:iCs/>
                <w:color w:val="000000"/>
                <w:sz w:val="17"/>
                <w:szCs w:val="17"/>
                <w:u w:val="single"/>
              </w:rPr>
              <w:t>Review Rule Requirements</w:t>
            </w:r>
          </w:p>
        </w:tc>
      </w:tr>
      <w:tr w:rsidR="00FF2FE4" w:rsidRPr="000B228E" w14:paraId="3AA56115"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92A5AEF" w14:textId="77777777" w:rsidR="00FF2FE4" w:rsidRPr="000B228E" w:rsidRDefault="00FF2FE4" w:rsidP="00F731E1">
            <w:pPr>
              <w:keepNext/>
              <w:rPr>
                <w:rFonts w:cs="Arial"/>
                <w:color w:val="000000"/>
                <w:sz w:val="17"/>
                <w:szCs w:val="17"/>
              </w:rPr>
            </w:pPr>
            <w:r w:rsidRPr="000B228E">
              <w:rPr>
                <w:rFonts w:cs="Arial"/>
                <w:color w:val="000000"/>
                <w:sz w:val="17"/>
                <w:szCs w:val="17"/>
              </w:rPr>
              <w:t>Industry</w:t>
            </w:r>
          </w:p>
        </w:tc>
        <w:tc>
          <w:tcPr>
            <w:tcW w:w="1237" w:type="dxa"/>
            <w:tcBorders>
              <w:top w:val="nil"/>
              <w:left w:val="nil"/>
              <w:bottom w:val="single" w:sz="4" w:space="0" w:color="auto"/>
              <w:right w:val="single" w:sz="4" w:space="0" w:color="auto"/>
            </w:tcBorders>
            <w:shd w:val="clear" w:color="000000" w:fill="FFFFFF"/>
            <w:vAlign w:val="center"/>
            <w:hideMark/>
          </w:tcPr>
          <w:p w14:paraId="38EF4955" w14:textId="21ED484A" w:rsidR="00FF2FE4" w:rsidRPr="000B228E" w:rsidRDefault="00FF2FE4" w:rsidP="000D27B7">
            <w:pPr>
              <w:keepNext/>
              <w:jc w:val="center"/>
              <w:rPr>
                <w:rFonts w:cs="Arial"/>
                <w:color w:val="000000"/>
                <w:sz w:val="17"/>
                <w:szCs w:val="17"/>
              </w:rPr>
            </w:pPr>
            <w:r w:rsidRPr="000B228E">
              <w:rPr>
                <w:rFonts w:cs="Arial"/>
                <w:color w:val="000000"/>
                <w:sz w:val="17"/>
                <w:szCs w:val="17"/>
              </w:rPr>
              <w:t>($110</w:t>
            </w:r>
            <w:r w:rsidR="00D713F8">
              <w:rPr>
                <w:rFonts w:cs="Arial"/>
                <w:color w:val="000000"/>
                <w:sz w:val="17"/>
                <w:szCs w:val="17"/>
              </w:rPr>
              <w:t>,</w:t>
            </w:r>
            <w:r w:rsidRPr="000B228E">
              <w:rPr>
                <w:rFonts w:cs="Arial"/>
                <w:color w:val="000000"/>
                <w:sz w:val="17"/>
                <w:szCs w:val="17"/>
              </w:rPr>
              <w:t>000)</w:t>
            </w:r>
          </w:p>
        </w:tc>
        <w:tc>
          <w:tcPr>
            <w:tcW w:w="1087" w:type="dxa"/>
            <w:tcBorders>
              <w:top w:val="nil"/>
              <w:left w:val="nil"/>
              <w:bottom w:val="single" w:sz="4" w:space="0" w:color="auto"/>
              <w:right w:val="single" w:sz="4" w:space="0" w:color="auto"/>
            </w:tcBorders>
            <w:shd w:val="clear" w:color="000000" w:fill="FFFFFF"/>
            <w:vAlign w:val="center"/>
            <w:hideMark/>
          </w:tcPr>
          <w:p w14:paraId="4EDD18CC" w14:textId="77777777" w:rsidR="00FF2FE4" w:rsidRPr="000B228E" w:rsidRDefault="00FF2FE4" w:rsidP="00B23420">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30D1890" w14:textId="7A361B73" w:rsidR="00FF2FE4" w:rsidRPr="000B228E" w:rsidRDefault="00FF2FE4" w:rsidP="00F167F1">
            <w:pPr>
              <w:keepNext/>
              <w:jc w:val="center"/>
              <w:rPr>
                <w:rFonts w:cs="Arial"/>
                <w:color w:val="000000"/>
                <w:sz w:val="17"/>
                <w:szCs w:val="17"/>
              </w:rPr>
            </w:pPr>
            <w:r w:rsidRPr="000B228E">
              <w:rPr>
                <w:rFonts w:cs="Arial"/>
                <w:color w:val="000000"/>
                <w:sz w:val="17"/>
                <w:szCs w:val="17"/>
              </w:rPr>
              <w:t>($7</w:t>
            </w:r>
            <w:r w:rsidR="00D713F8">
              <w:rPr>
                <w:rFonts w:cs="Arial"/>
                <w:color w:val="000000"/>
                <w:sz w:val="17"/>
                <w:szCs w:val="17"/>
              </w:rPr>
              <w:t>,</w:t>
            </w:r>
            <w:r w:rsidRPr="000B228E">
              <w:rPr>
                <w:rFonts w:cs="Arial"/>
                <w:color w:val="000000"/>
                <w:sz w:val="17"/>
                <w:szCs w:val="17"/>
              </w:rPr>
              <w:t>200</w:t>
            </w:r>
            <w:r w:rsidR="00D713F8">
              <w:rPr>
                <w:rFonts w:cs="Arial"/>
                <w:color w:val="000000"/>
                <w:sz w:val="17"/>
                <w:szCs w:val="17"/>
              </w:rPr>
              <w:t>,</w:t>
            </w:r>
            <w:r w:rsidRPr="000B228E">
              <w:rPr>
                <w:rFonts w:cs="Arial"/>
                <w:color w:val="000000"/>
                <w:sz w:val="17"/>
                <w:szCs w:val="17"/>
              </w:rPr>
              <w:t>000)</w:t>
            </w:r>
          </w:p>
        </w:tc>
        <w:tc>
          <w:tcPr>
            <w:tcW w:w="1237" w:type="dxa"/>
            <w:tcBorders>
              <w:top w:val="nil"/>
              <w:left w:val="nil"/>
              <w:bottom w:val="single" w:sz="4" w:space="0" w:color="auto"/>
              <w:right w:val="single" w:sz="4" w:space="0" w:color="auto"/>
            </w:tcBorders>
            <w:shd w:val="clear" w:color="000000" w:fill="FFFFFF"/>
            <w:vAlign w:val="center"/>
            <w:hideMark/>
          </w:tcPr>
          <w:p w14:paraId="7874069B" w14:textId="77777777" w:rsidR="00FF2FE4" w:rsidRPr="000B228E" w:rsidRDefault="00FF2FE4" w:rsidP="00F167F1">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62E4E4A" w14:textId="32D05F75" w:rsidR="00FF2FE4" w:rsidRPr="000B228E" w:rsidRDefault="00FF2FE4" w:rsidP="00F167F1">
            <w:pPr>
              <w:keepNext/>
              <w:jc w:val="center"/>
              <w:rPr>
                <w:rFonts w:cs="Arial"/>
                <w:color w:val="000000"/>
                <w:sz w:val="17"/>
                <w:szCs w:val="17"/>
              </w:rPr>
            </w:pPr>
            <w:r w:rsidRPr="000B228E">
              <w:rPr>
                <w:rFonts w:cs="Arial"/>
                <w:color w:val="000000"/>
                <w:sz w:val="17"/>
                <w:szCs w:val="17"/>
              </w:rPr>
              <w:t>($7</w:t>
            </w:r>
            <w:r w:rsidR="00D713F8">
              <w:rPr>
                <w:rFonts w:cs="Arial"/>
                <w:color w:val="000000"/>
                <w:sz w:val="17"/>
                <w:szCs w:val="17"/>
              </w:rPr>
              <w:t>,</w:t>
            </w:r>
            <w:r w:rsidRPr="000B228E">
              <w:rPr>
                <w:rFonts w:cs="Arial"/>
                <w:color w:val="000000"/>
                <w:sz w:val="17"/>
                <w:szCs w:val="17"/>
              </w:rPr>
              <w:t>200</w:t>
            </w:r>
            <w:r w:rsidR="00D713F8">
              <w:rPr>
                <w:rFonts w:cs="Arial"/>
                <w:color w:val="000000"/>
                <w:sz w:val="17"/>
                <w:szCs w:val="17"/>
              </w:rPr>
              <w:t>,</w:t>
            </w:r>
            <w:r w:rsidRPr="000B228E">
              <w:rPr>
                <w:rFonts w:cs="Arial"/>
                <w:color w:val="000000"/>
                <w:sz w:val="17"/>
                <w:szCs w:val="17"/>
              </w:rPr>
              <w:t>000)</w:t>
            </w:r>
          </w:p>
        </w:tc>
        <w:tc>
          <w:tcPr>
            <w:tcW w:w="1437" w:type="dxa"/>
            <w:tcBorders>
              <w:top w:val="nil"/>
              <w:left w:val="nil"/>
              <w:bottom w:val="single" w:sz="4" w:space="0" w:color="auto"/>
              <w:right w:val="single" w:sz="4" w:space="0" w:color="auto"/>
            </w:tcBorders>
            <w:shd w:val="clear" w:color="000000" w:fill="FFFFFF"/>
            <w:vAlign w:val="center"/>
            <w:hideMark/>
          </w:tcPr>
          <w:p w14:paraId="097E289B" w14:textId="083797C3" w:rsidR="00FF2FE4" w:rsidRPr="000B228E" w:rsidRDefault="00FF2FE4" w:rsidP="00F167F1">
            <w:pPr>
              <w:keepNext/>
              <w:jc w:val="center"/>
              <w:rPr>
                <w:rFonts w:cs="Arial"/>
                <w:color w:val="000000"/>
                <w:sz w:val="17"/>
                <w:szCs w:val="17"/>
              </w:rPr>
            </w:pPr>
            <w:r w:rsidRPr="000B228E">
              <w:rPr>
                <w:rFonts w:cs="Arial"/>
                <w:color w:val="000000"/>
                <w:sz w:val="17"/>
                <w:szCs w:val="17"/>
              </w:rPr>
              <w:t>($7</w:t>
            </w:r>
            <w:r w:rsidR="00D713F8">
              <w:rPr>
                <w:rFonts w:cs="Arial"/>
                <w:color w:val="000000"/>
                <w:sz w:val="17"/>
                <w:szCs w:val="17"/>
              </w:rPr>
              <w:t>,</w:t>
            </w:r>
            <w:r w:rsidRPr="000B228E">
              <w:rPr>
                <w:rFonts w:cs="Arial"/>
                <w:color w:val="000000"/>
                <w:sz w:val="17"/>
                <w:szCs w:val="17"/>
              </w:rPr>
              <w:t>200</w:t>
            </w:r>
            <w:r w:rsidR="00D713F8">
              <w:rPr>
                <w:rFonts w:cs="Arial"/>
                <w:color w:val="000000"/>
                <w:sz w:val="17"/>
                <w:szCs w:val="17"/>
              </w:rPr>
              <w:t>,</w:t>
            </w:r>
            <w:r w:rsidRPr="000B228E">
              <w:rPr>
                <w:rFonts w:cs="Arial"/>
                <w:color w:val="000000"/>
                <w:sz w:val="17"/>
                <w:szCs w:val="17"/>
              </w:rPr>
              <w:t>000)</w:t>
            </w:r>
          </w:p>
        </w:tc>
        <w:tc>
          <w:tcPr>
            <w:tcW w:w="1437" w:type="dxa"/>
            <w:tcBorders>
              <w:top w:val="nil"/>
              <w:left w:val="nil"/>
              <w:bottom w:val="single" w:sz="4" w:space="0" w:color="auto"/>
              <w:right w:val="single" w:sz="4" w:space="0" w:color="auto"/>
            </w:tcBorders>
            <w:shd w:val="clear" w:color="000000" w:fill="FFFFFF"/>
            <w:vAlign w:val="center"/>
            <w:hideMark/>
          </w:tcPr>
          <w:p w14:paraId="47E86CDE" w14:textId="275BB924" w:rsidR="00FF2FE4" w:rsidRPr="000B228E" w:rsidRDefault="00FF2FE4" w:rsidP="00F167F1">
            <w:pPr>
              <w:keepNext/>
              <w:jc w:val="center"/>
              <w:rPr>
                <w:rFonts w:cs="Arial"/>
                <w:color w:val="000000"/>
                <w:sz w:val="17"/>
                <w:szCs w:val="17"/>
              </w:rPr>
            </w:pPr>
            <w:r w:rsidRPr="000B228E">
              <w:rPr>
                <w:rFonts w:cs="Arial"/>
                <w:color w:val="000000"/>
                <w:sz w:val="17"/>
                <w:szCs w:val="17"/>
              </w:rPr>
              <w:t>($7</w:t>
            </w:r>
            <w:r w:rsidR="00D713F8">
              <w:rPr>
                <w:rFonts w:cs="Arial"/>
                <w:color w:val="000000"/>
                <w:sz w:val="17"/>
                <w:szCs w:val="17"/>
              </w:rPr>
              <w:t>,</w:t>
            </w:r>
            <w:r w:rsidRPr="000B228E">
              <w:rPr>
                <w:rFonts w:cs="Arial"/>
                <w:color w:val="000000"/>
                <w:sz w:val="17"/>
                <w:szCs w:val="17"/>
              </w:rPr>
              <w:t>200</w:t>
            </w:r>
            <w:r w:rsidR="00D713F8">
              <w:rPr>
                <w:rFonts w:cs="Arial"/>
                <w:color w:val="000000"/>
                <w:sz w:val="17"/>
                <w:szCs w:val="17"/>
              </w:rPr>
              <w:t>,</w:t>
            </w:r>
            <w:r w:rsidRPr="000B228E">
              <w:rPr>
                <w:rFonts w:cs="Arial"/>
                <w:color w:val="000000"/>
                <w:sz w:val="17"/>
                <w:szCs w:val="17"/>
              </w:rPr>
              <w:t>000)</w:t>
            </w:r>
          </w:p>
        </w:tc>
      </w:tr>
      <w:tr w:rsidR="00FF2FE4" w:rsidRPr="000B228E" w14:paraId="6357C5B3"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58A33B3" w14:textId="77777777" w:rsidR="00FF2FE4" w:rsidRPr="000B228E" w:rsidRDefault="00FF2FE4" w:rsidP="00F731E1">
            <w:pPr>
              <w:keepNext/>
              <w:rPr>
                <w:rFonts w:cs="Arial"/>
                <w:color w:val="000000"/>
                <w:sz w:val="17"/>
                <w:szCs w:val="17"/>
              </w:rPr>
            </w:pPr>
            <w:r w:rsidRPr="000B228E">
              <w:rPr>
                <w:rFonts w:cs="Arial"/>
                <w:color w:val="000000"/>
                <w:sz w:val="17"/>
                <w:szCs w:val="17"/>
              </w:rPr>
              <w:t>NRC</w:t>
            </w:r>
          </w:p>
        </w:tc>
        <w:tc>
          <w:tcPr>
            <w:tcW w:w="1237" w:type="dxa"/>
            <w:tcBorders>
              <w:top w:val="nil"/>
              <w:left w:val="nil"/>
              <w:bottom w:val="single" w:sz="4" w:space="0" w:color="auto"/>
              <w:right w:val="single" w:sz="4" w:space="0" w:color="auto"/>
            </w:tcBorders>
            <w:shd w:val="clear" w:color="000000" w:fill="FFFFFF"/>
            <w:vAlign w:val="center"/>
            <w:hideMark/>
          </w:tcPr>
          <w:p w14:paraId="51EE4865" w14:textId="77777777" w:rsidR="00FF2FE4" w:rsidRPr="000B228E" w:rsidRDefault="00FF2FE4" w:rsidP="000D27B7">
            <w:pPr>
              <w:keepNext/>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3D5C39F6" w14:textId="77777777" w:rsidR="00FF2FE4" w:rsidRPr="000B228E" w:rsidRDefault="00FF2FE4" w:rsidP="00B23420">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6286218" w14:textId="77777777" w:rsidR="00FF2FE4" w:rsidRPr="000B228E" w:rsidRDefault="00FF2FE4" w:rsidP="00F167F1">
            <w:pPr>
              <w:keepNext/>
              <w:jc w:val="center"/>
              <w:rPr>
                <w:rFonts w:cs="Arial"/>
                <w:color w:val="000000"/>
                <w:sz w:val="17"/>
                <w:szCs w:val="17"/>
              </w:rPr>
            </w:pPr>
            <w:r w:rsidRPr="000B228E">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2647F063" w14:textId="77777777" w:rsidR="00FF2FE4" w:rsidRPr="000B228E" w:rsidRDefault="00FF2FE4" w:rsidP="00F167F1">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0DDCC40" w14:textId="77777777" w:rsidR="00FF2FE4" w:rsidRPr="000B228E" w:rsidRDefault="00FF2FE4" w:rsidP="00F167F1">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47F17543" w14:textId="77777777" w:rsidR="00FF2FE4" w:rsidRPr="000B228E" w:rsidRDefault="00FF2FE4" w:rsidP="00F167F1">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52C6628" w14:textId="77777777" w:rsidR="00FF2FE4" w:rsidRPr="000B228E" w:rsidRDefault="00FF2FE4" w:rsidP="00F167F1">
            <w:pPr>
              <w:keepNext/>
              <w:jc w:val="center"/>
              <w:rPr>
                <w:rFonts w:cs="Arial"/>
                <w:color w:val="000000"/>
                <w:sz w:val="17"/>
                <w:szCs w:val="17"/>
              </w:rPr>
            </w:pPr>
            <w:r w:rsidRPr="000B228E">
              <w:rPr>
                <w:rFonts w:cs="Arial"/>
                <w:color w:val="000000"/>
                <w:sz w:val="17"/>
                <w:szCs w:val="17"/>
              </w:rPr>
              <w:t>N/A</w:t>
            </w:r>
          </w:p>
        </w:tc>
      </w:tr>
      <w:tr w:rsidR="00FF2FE4" w:rsidRPr="000B228E" w14:paraId="22CEF9C9"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9485492" w14:textId="77777777" w:rsidR="00FF2FE4" w:rsidRPr="000B228E" w:rsidRDefault="00FF2FE4" w:rsidP="00F731E1">
            <w:pPr>
              <w:keepNext/>
              <w:rPr>
                <w:rFonts w:cs="Arial"/>
                <w:i/>
                <w:iCs/>
                <w:color w:val="000000"/>
                <w:sz w:val="17"/>
                <w:szCs w:val="17"/>
              </w:rPr>
            </w:pPr>
            <w:r w:rsidRPr="000B228E">
              <w:rPr>
                <w:rFonts w:cs="Arial"/>
                <w:i/>
                <w:iCs/>
                <w:color w:val="000000"/>
                <w:sz w:val="17"/>
                <w:szCs w:val="17"/>
              </w:rPr>
              <w:t>Subtotal</w:t>
            </w:r>
          </w:p>
        </w:tc>
        <w:tc>
          <w:tcPr>
            <w:tcW w:w="1237" w:type="dxa"/>
            <w:tcBorders>
              <w:top w:val="nil"/>
              <w:left w:val="nil"/>
              <w:bottom w:val="single" w:sz="4" w:space="0" w:color="auto"/>
              <w:right w:val="single" w:sz="4" w:space="0" w:color="auto"/>
            </w:tcBorders>
            <w:shd w:val="clear" w:color="000000" w:fill="FFFFFF"/>
            <w:vAlign w:val="center"/>
            <w:hideMark/>
          </w:tcPr>
          <w:p w14:paraId="26E13823" w14:textId="4B3654B3" w:rsidR="00FF2FE4" w:rsidRPr="000B228E" w:rsidRDefault="00FF2FE4" w:rsidP="000D27B7">
            <w:pPr>
              <w:keepNext/>
              <w:jc w:val="center"/>
              <w:rPr>
                <w:rFonts w:cs="Arial"/>
                <w:i/>
                <w:iCs/>
                <w:color w:val="000000"/>
                <w:sz w:val="17"/>
                <w:szCs w:val="17"/>
              </w:rPr>
            </w:pPr>
            <w:r w:rsidRPr="000B228E">
              <w:rPr>
                <w:rFonts w:cs="Arial"/>
                <w:i/>
                <w:iCs/>
                <w:color w:val="000000"/>
                <w:sz w:val="17"/>
                <w:szCs w:val="17"/>
              </w:rPr>
              <w:t>($110</w:t>
            </w:r>
            <w:r w:rsidR="00D713F8">
              <w:rPr>
                <w:rFonts w:cs="Arial"/>
                <w:i/>
                <w:iCs/>
                <w:color w:val="000000"/>
                <w:sz w:val="17"/>
                <w:szCs w:val="17"/>
              </w:rPr>
              <w:t>,</w:t>
            </w:r>
            <w:r w:rsidRPr="000B228E">
              <w:rPr>
                <w:rFonts w:cs="Arial"/>
                <w:i/>
                <w:iCs/>
                <w:color w:val="000000"/>
                <w:sz w:val="17"/>
                <w:szCs w:val="17"/>
              </w:rPr>
              <w:t>000)</w:t>
            </w:r>
          </w:p>
        </w:tc>
        <w:tc>
          <w:tcPr>
            <w:tcW w:w="1087" w:type="dxa"/>
            <w:tcBorders>
              <w:top w:val="nil"/>
              <w:left w:val="nil"/>
              <w:bottom w:val="single" w:sz="4" w:space="0" w:color="auto"/>
              <w:right w:val="single" w:sz="4" w:space="0" w:color="auto"/>
            </w:tcBorders>
            <w:shd w:val="clear" w:color="000000" w:fill="FFFFFF"/>
            <w:vAlign w:val="center"/>
            <w:hideMark/>
          </w:tcPr>
          <w:p w14:paraId="29335B0D" w14:textId="77777777" w:rsidR="00FF2FE4" w:rsidRPr="000B228E" w:rsidRDefault="00FF2FE4" w:rsidP="00B23420">
            <w:pPr>
              <w:keepNext/>
              <w:jc w:val="center"/>
              <w:rPr>
                <w:rFonts w:cs="Arial"/>
                <w:i/>
                <w:iCs/>
                <w:color w:val="000000"/>
                <w:sz w:val="17"/>
                <w:szCs w:val="17"/>
              </w:rPr>
            </w:pPr>
            <w:r w:rsidRPr="000B228E">
              <w:rPr>
                <w:rFonts w:cs="Arial"/>
                <w:i/>
                <w:iCs/>
                <w:color w:val="000000"/>
                <w:sz w:val="17"/>
                <w:szCs w:val="17"/>
              </w:rPr>
              <w:t xml:space="preserve">$0 </w:t>
            </w:r>
          </w:p>
        </w:tc>
        <w:tc>
          <w:tcPr>
            <w:tcW w:w="1437" w:type="dxa"/>
            <w:tcBorders>
              <w:top w:val="nil"/>
              <w:left w:val="nil"/>
              <w:bottom w:val="single" w:sz="4" w:space="0" w:color="auto"/>
              <w:right w:val="single" w:sz="4" w:space="0" w:color="auto"/>
            </w:tcBorders>
            <w:shd w:val="clear" w:color="000000" w:fill="FFFFFF"/>
            <w:vAlign w:val="center"/>
            <w:hideMark/>
          </w:tcPr>
          <w:p w14:paraId="3238CE60" w14:textId="0F1270EF" w:rsidR="00FF2FE4" w:rsidRPr="000B228E" w:rsidRDefault="00FF2FE4" w:rsidP="00F731E1">
            <w:pPr>
              <w:keepNext/>
              <w:jc w:val="center"/>
              <w:rPr>
                <w:rFonts w:cs="Arial"/>
                <w:i/>
                <w:iCs/>
                <w:color w:val="000000"/>
                <w:sz w:val="17"/>
                <w:szCs w:val="17"/>
              </w:rPr>
            </w:pPr>
            <w:r w:rsidRPr="000B228E">
              <w:rPr>
                <w:rFonts w:cs="Arial"/>
                <w:i/>
                <w:iCs/>
                <w:color w:val="000000"/>
                <w:sz w:val="17"/>
                <w:szCs w:val="17"/>
              </w:rPr>
              <w:t>($7</w:t>
            </w:r>
            <w:r w:rsidR="00D713F8">
              <w:rPr>
                <w:rFonts w:cs="Arial"/>
                <w:i/>
                <w:iCs/>
                <w:color w:val="000000"/>
                <w:sz w:val="17"/>
                <w:szCs w:val="17"/>
              </w:rPr>
              <w:t>,</w:t>
            </w:r>
            <w:r w:rsidRPr="000B228E">
              <w:rPr>
                <w:rFonts w:cs="Arial"/>
                <w:i/>
                <w:iCs/>
                <w:color w:val="000000"/>
                <w:sz w:val="17"/>
                <w:szCs w:val="17"/>
              </w:rPr>
              <w:t>200</w:t>
            </w:r>
            <w:r w:rsidR="00D713F8">
              <w:rPr>
                <w:rFonts w:cs="Arial"/>
                <w:i/>
                <w:iCs/>
                <w:color w:val="000000"/>
                <w:sz w:val="17"/>
                <w:szCs w:val="17"/>
              </w:rPr>
              <w:t>,</w:t>
            </w:r>
            <w:r w:rsidRPr="000B228E">
              <w:rPr>
                <w:rFonts w:cs="Arial"/>
                <w:i/>
                <w:iCs/>
                <w:color w:val="000000"/>
                <w:sz w:val="17"/>
                <w:szCs w:val="17"/>
              </w:rPr>
              <w:t>000)</w:t>
            </w:r>
          </w:p>
        </w:tc>
        <w:tc>
          <w:tcPr>
            <w:tcW w:w="1237" w:type="dxa"/>
            <w:tcBorders>
              <w:top w:val="nil"/>
              <w:left w:val="nil"/>
              <w:bottom w:val="single" w:sz="4" w:space="0" w:color="auto"/>
              <w:right w:val="single" w:sz="4" w:space="0" w:color="auto"/>
            </w:tcBorders>
            <w:shd w:val="clear" w:color="000000" w:fill="FFFFFF"/>
            <w:vAlign w:val="center"/>
            <w:hideMark/>
          </w:tcPr>
          <w:p w14:paraId="48520BBF" w14:textId="77777777" w:rsidR="00FF2FE4" w:rsidRPr="000B228E" w:rsidRDefault="00FF2FE4" w:rsidP="00F731E1">
            <w:pPr>
              <w:keepNext/>
              <w:jc w:val="center"/>
              <w:rPr>
                <w:rFonts w:cs="Arial"/>
                <w:i/>
                <w:iCs/>
                <w:color w:val="000000"/>
                <w:sz w:val="17"/>
                <w:szCs w:val="17"/>
              </w:rPr>
            </w:pPr>
            <w:r w:rsidRPr="000B228E">
              <w:rPr>
                <w:rFonts w:cs="Arial"/>
                <w:i/>
                <w:iCs/>
                <w:color w:val="000000"/>
                <w:sz w:val="17"/>
                <w:szCs w:val="17"/>
              </w:rPr>
              <w:t xml:space="preserve">$0 </w:t>
            </w:r>
          </w:p>
        </w:tc>
        <w:tc>
          <w:tcPr>
            <w:tcW w:w="1437" w:type="dxa"/>
            <w:tcBorders>
              <w:top w:val="nil"/>
              <w:left w:val="nil"/>
              <w:bottom w:val="single" w:sz="4" w:space="0" w:color="auto"/>
              <w:right w:val="single" w:sz="4" w:space="0" w:color="auto"/>
            </w:tcBorders>
            <w:shd w:val="clear" w:color="000000" w:fill="FFFFFF"/>
            <w:vAlign w:val="center"/>
            <w:hideMark/>
          </w:tcPr>
          <w:p w14:paraId="0E99742F" w14:textId="750CB54E" w:rsidR="00FF2FE4" w:rsidRPr="000B228E" w:rsidRDefault="00FF2FE4" w:rsidP="000D27B7">
            <w:pPr>
              <w:keepNext/>
              <w:jc w:val="center"/>
              <w:rPr>
                <w:rFonts w:cs="Arial"/>
                <w:i/>
                <w:iCs/>
                <w:color w:val="000000"/>
                <w:sz w:val="17"/>
                <w:szCs w:val="17"/>
              </w:rPr>
            </w:pPr>
            <w:r w:rsidRPr="000B228E">
              <w:rPr>
                <w:rFonts w:cs="Arial"/>
                <w:i/>
                <w:iCs/>
                <w:color w:val="000000"/>
                <w:sz w:val="17"/>
                <w:szCs w:val="17"/>
              </w:rPr>
              <w:t>($7</w:t>
            </w:r>
            <w:r w:rsidR="00D713F8">
              <w:rPr>
                <w:rFonts w:cs="Arial"/>
                <w:i/>
                <w:iCs/>
                <w:color w:val="000000"/>
                <w:sz w:val="17"/>
                <w:szCs w:val="17"/>
              </w:rPr>
              <w:t>,</w:t>
            </w:r>
            <w:r w:rsidRPr="000B228E">
              <w:rPr>
                <w:rFonts w:cs="Arial"/>
                <w:i/>
                <w:iCs/>
                <w:color w:val="000000"/>
                <w:sz w:val="17"/>
                <w:szCs w:val="17"/>
              </w:rPr>
              <w:t>200</w:t>
            </w:r>
            <w:r w:rsidR="00D713F8">
              <w:rPr>
                <w:rFonts w:cs="Arial"/>
                <w:i/>
                <w:iCs/>
                <w:color w:val="000000"/>
                <w:sz w:val="17"/>
                <w:szCs w:val="17"/>
              </w:rPr>
              <w:t>,</w:t>
            </w:r>
            <w:r w:rsidRPr="000B228E">
              <w:rPr>
                <w:rFonts w:cs="Arial"/>
                <w:i/>
                <w:iCs/>
                <w:color w:val="000000"/>
                <w:sz w:val="17"/>
                <w:szCs w:val="17"/>
              </w:rPr>
              <w:t>000)</w:t>
            </w:r>
          </w:p>
        </w:tc>
        <w:tc>
          <w:tcPr>
            <w:tcW w:w="1437" w:type="dxa"/>
            <w:tcBorders>
              <w:top w:val="nil"/>
              <w:left w:val="nil"/>
              <w:bottom w:val="single" w:sz="4" w:space="0" w:color="auto"/>
              <w:right w:val="single" w:sz="4" w:space="0" w:color="auto"/>
            </w:tcBorders>
            <w:shd w:val="clear" w:color="000000" w:fill="FFFFFF"/>
            <w:vAlign w:val="center"/>
            <w:hideMark/>
          </w:tcPr>
          <w:p w14:paraId="300AE1BA" w14:textId="5BF6E5D9" w:rsidR="00FF2FE4" w:rsidRPr="000B228E" w:rsidRDefault="00FF2FE4" w:rsidP="00B23420">
            <w:pPr>
              <w:keepNext/>
              <w:jc w:val="center"/>
              <w:rPr>
                <w:rFonts w:cs="Arial"/>
                <w:i/>
                <w:iCs/>
                <w:color w:val="000000"/>
                <w:sz w:val="17"/>
                <w:szCs w:val="17"/>
              </w:rPr>
            </w:pPr>
            <w:r w:rsidRPr="000B228E">
              <w:rPr>
                <w:rFonts w:cs="Arial"/>
                <w:i/>
                <w:iCs/>
                <w:color w:val="000000"/>
                <w:sz w:val="17"/>
                <w:szCs w:val="17"/>
              </w:rPr>
              <w:t>($7</w:t>
            </w:r>
            <w:r w:rsidR="00D713F8">
              <w:rPr>
                <w:rFonts w:cs="Arial"/>
                <w:i/>
                <w:iCs/>
                <w:color w:val="000000"/>
                <w:sz w:val="17"/>
                <w:szCs w:val="17"/>
              </w:rPr>
              <w:t>,</w:t>
            </w:r>
            <w:r w:rsidRPr="000B228E">
              <w:rPr>
                <w:rFonts w:cs="Arial"/>
                <w:i/>
                <w:iCs/>
                <w:color w:val="000000"/>
                <w:sz w:val="17"/>
                <w:szCs w:val="17"/>
              </w:rPr>
              <w:t>200</w:t>
            </w:r>
            <w:r w:rsidR="00D713F8">
              <w:rPr>
                <w:rFonts w:cs="Arial"/>
                <w:i/>
                <w:iCs/>
                <w:color w:val="000000"/>
                <w:sz w:val="17"/>
                <w:szCs w:val="17"/>
              </w:rPr>
              <w:t>,</w:t>
            </w:r>
            <w:r w:rsidRPr="000B228E">
              <w:rPr>
                <w:rFonts w:cs="Arial"/>
                <w:i/>
                <w:iCs/>
                <w:color w:val="000000"/>
                <w:sz w:val="17"/>
                <w:szCs w:val="17"/>
              </w:rPr>
              <w:t>000)</w:t>
            </w:r>
          </w:p>
        </w:tc>
        <w:tc>
          <w:tcPr>
            <w:tcW w:w="1437" w:type="dxa"/>
            <w:tcBorders>
              <w:top w:val="nil"/>
              <w:left w:val="nil"/>
              <w:bottom w:val="single" w:sz="4" w:space="0" w:color="auto"/>
              <w:right w:val="single" w:sz="4" w:space="0" w:color="auto"/>
            </w:tcBorders>
            <w:shd w:val="clear" w:color="000000" w:fill="FFFFFF"/>
            <w:vAlign w:val="center"/>
            <w:hideMark/>
          </w:tcPr>
          <w:p w14:paraId="2C826E52" w14:textId="6C5AC8CC" w:rsidR="00FF2FE4" w:rsidRPr="000B228E" w:rsidRDefault="00FF2FE4" w:rsidP="00F167F1">
            <w:pPr>
              <w:keepNext/>
              <w:jc w:val="center"/>
              <w:rPr>
                <w:rFonts w:cs="Arial"/>
                <w:i/>
                <w:iCs/>
                <w:color w:val="000000"/>
                <w:sz w:val="17"/>
                <w:szCs w:val="17"/>
              </w:rPr>
            </w:pPr>
            <w:r w:rsidRPr="000B228E">
              <w:rPr>
                <w:rFonts w:cs="Arial"/>
                <w:i/>
                <w:iCs/>
                <w:color w:val="000000"/>
                <w:sz w:val="17"/>
                <w:szCs w:val="17"/>
              </w:rPr>
              <w:t>($7</w:t>
            </w:r>
            <w:r w:rsidR="00D713F8">
              <w:rPr>
                <w:rFonts w:cs="Arial"/>
                <w:i/>
                <w:iCs/>
                <w:color w:val="000000"/>
                <w:sz w:val="17"/>
                <w:szCs w:val="17"/>
              </w:rPr>
              <w:t>,</w:t>
            </w:r>
            <w:r w:rsidRPr="000B228E">
              <w:rPr>
                <w:rFonts w:cs="Arial"/>
                <w:i/>
                <w:iCs/>
                <w:color w:val="000000"/>
                <w:sz w:val="17"/>
                <w:szCs w:val="17"/>
              </w:rPr>
              <w:t>200</w:t>
            </w:r>
            <w:r w:rsidR="00D713F8">
              <w:rPr>
                <w:rFonts w:cs="Arial"/>
                <w:i/>
                <w:iCs/>
                <w:color w:val="000000"/>
                <w:sz w:val="17"/>
                <w:szCs w:val="17"/>
              </w:rPr>
              <w:t>,</w:t>
            </w:r>
            <w:r w:rsidRPr="000B228E">
              <w:rPr>
                <w:rFonts w:cs="Arial"/>
                <w:i/>
                <w:iCs/>
                <w:color w:val="000000"/>
                <w:sz w:val="17"/>
                <w:szCs w:val="17"/>
              </w:rPr>
              <w:t>000)</w:t>
            </w:r>
          </w:p>
        </w:tc>
      </w:tr>
      <w:tr w:rsidR="00FF2FE4" w:rsidRPr="000B228E" w14:paraId="4194BDC1" w14:textId="77777777" w:rsidTr="00FF2FE4">
        <w:trPr>
          <w:trHeight w:val="288"/>
          <w:jc w:val="center"/>
        </w:trPr>
        <w:tc>
          <w:tcPr>
            <w:tcW w:w="10479"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15E1F" w14:textId="77777777" w:rsidR="00FF2FE4" w:rsidRPr="000B228E" w:rsidRDefault="00FF2FE4" w:rsidP="00F731E1">
            <w:pPr>
              <w:keepNext/>
              <w:rPr>
                <w:rFonts w:cs="Arial"/>
                <w:b/>
                <w:bCs/>
                <w:i/>
                <w:iCs/>
                <w:color w:val="000000"/>
                <w:sz w:val="17"/>
                <w:szCs w:val="17"/>
                <w:u w:val="single"/>
              </w:rPr>
            </w:pPr>
            <w:r w:rsidRPr="000B228E">
              <w:rPr>
                <w:rFonts w:cs="Arial"/>
                <w:b/>
                <w:bCs/>
                <w:i/>
                <w:iCs/>
                <w:color w:val="000000"/>
                <w:sz w:val="17"/>
                <w:szCs w:val="17"/>
                <w:u w:val="single"/>
              </w:rPr>
              <w:t>Staffing Capabilities</w:t>
            </w:r>
          </w:p>
        </w:tc>
      </w:tr>
      <w:tr w:rsidR="00116F89" w:rsidRPr="00394D05" w14:paraId="13746710" w14:textId="77777777" w:rsidTr="00116F89">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2405D93" w14:textId="77777777" w:rsidR="00116F89" w:rsidRPr="000B228E" w:rsidRDefault="00116F89" w:rsidP="00116F89">
            <w:pPr>
              <w:keepNext/>
              <w:rPr>
                <w:rFonts w:cs="Arial"/>
                <w:color w:val="000000"/>
                <w:sz w:val="17"/>
                <w:szCs w:val="17"/>
              </w:rPr>
            </w:pPr>
            <w:r w:rsidRPr="000B228E">
              <w:rPr>
                <w:rFonts w:cs="Arial"/>
                <w:color w:val="000000"/>
                <w:sz w:val="17"/>
                <w:szCs w:val="17"/>
              </w:rPr>
              <w:t>Industry</w:t>
            </w:r>
          </w:p>
        </w:tc>
        <w:tc>
          <w:tcPr>
            <w:tcW w:w="1237" w:type="dxa"/>
            <w:tcBorders>
              <w:top w:val="nil"/>
              <w:left w:val="nil"/>
              <w:bottom w:val="single" w:sz="4" w:space="0" w:color="auto"/>
              <w:right w:val="single" w:sz="4" w:space="0" w:color="auto"/>
            </w:tcBorders>
            <w:shd w:val="clear" w:color="000000" w:fill="FFFFFF"/>
            <w:vAlign w:val="center"/>
            <w:hideMark/>
          </w:tcPr>
          <w:p w14:paraId="7A527650" w14:textId="77777777" w:rsidR="00116F89" w:rsidRPr="000B228E" w:rsidRDefault="00116F89" w:rsidP="00116F89">
            <w:pPr>
              <w:keepNext/>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4891D7D2" w14:textId="663AA372" w:rsidR="00116F89" w:rsidRPr="000B228E"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E116E54" w14:textId="1332ED62" w:rsidR="00116F89" w:rsidRPr="000B228E" w:rsidRDefault="00116F89" w:rsidP="00116F89">
            <w:pPr>
              <w:keepNext/>
              <w:jc w:val="center"/>
              <w:rPr>
                <w:rFonts w:cs="Arial"/>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1DC25A98" w14:textId="02622BAF" w:rsidR="00116F89" w:rsidRPr="000B228E"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441A3709" w14:textId="2E8C90E1" w:rsidR="00116F89" w:rsidRPr="00394D05"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CBE287D" w14:textId="2582D483" w:rsidR="00116F89" w:rsidRPr="00394D05"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624238B" w14:textId="79A88756" w:rsidR="00116F89" w:rsidRPr="00394D05" w:rsidRDefault="00116F89" w:rsidP="00116F89">
            <w:pPr>
              <w:keepNext/>
              <w:jc w:val="center"/>
              <w:rPr>
                <w:rFonts w:cs="Arial"/>
                <w:color w:val="000000"/>
                <w:sz w:val="17"/>
                <w:szCs w:val="17"/>
              </w:rPr>
            </w:pPr>
            <w:r w:rsidRPr="00116F89">
              <w:rPr>
                <w:rFonts w:cs="Arial"/>
                <w:color w:val="000000"/>
                <w:sz w:val="17"/>
                <w:szCs w:val="17"/>
              </w:rPr>
              <w:t>N/A</w:t>
            </w:r>
          </w:p>
        </w:tc>
      </w:tr>
      <w:tr w:rsidR="00FF2FE4" w:rsidRPr="000B228E" w14:paraId="7D4C6588"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3A282F0" w14:textId="77777777" w:rsidR="00FF2FE4" w:rsidRPr="000B228E" w:rsidRDefault="00FF2FE4" w:rsidP="00763BA9">
            <w:pPr>
              <w:keepNext/>
              <w:rPr>
                <w:rFonts w:cs="Arial"/>
                <w:color w:val="000000"/>
                <w:sz w:val="17"/>
                <w:szCs w:val="17"/>
              </w:rPr>
            </w:pPr>
            <w:r w:rsidRPr="000B228E">
              <w:rPr>
                <w:rFonts w:cs="Arial"/>
                <w:color w:val="000000"/>
                <w:sz w:val="17"/>
                <w:szCs w:val="17"/>
              </w:rPr>
              <w:t>NRC</w:t>
            </w:r>
          </w:p>
        </w:tc>
        <w:tc>
          <w:tcPr>
            <w:tcW w:w="1237" w:type="dxa"/>
            <w:tcBorders>
              <w:top w:val="nil"/>
              <w:left w:val="nil"/>
              <w:bottom w:val="single" w:sz="4" w:space="0" w:color="auto"/>
              <w:right w:val="single" w:sz="4" w:space="0" w:color="auto"/>
            </w:tcBorders>
            <w:shd w:val="clear" w:color="000000" w:fill="FFFFFF"/>
            <w:vAlign w:val="center"/>
            <w:hideMark/>
          </w:tcPr>
          <w:p w14:paraId="3C861EE2" w14:textId="77777777" w:rsidR="00FF2FE4" w:rsidRPr="000B228E" w:rsidRDefault="00FF2FE4" w:rsidP="00763BA9">
            <w:pPr>
              <w:keepNext/>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005B9AF3" w14:textId="77777777" w:rsidR="00FF2FE4" w:rsidRPr="000B228E" w:rsidRDefault="00FF2FE4" w:rsidP="00763BA9">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553FD65" w14:textId="77777777" w:rsidR="00FF2FE4" w:rsidRPr="000B228E" w:rsidRDefault="00FF2FE4" w:rsidP="00763BA9">
            <w:pPr>
              <w:keepNext/>
              <w:jc w:val="center"/>
              <w:rPr>
                <w:rFonts w:cs="Arial"/>
                <w:color w:val="000000"/>
                <w:sz w:val="17"/>
                <w:szCs w:val="17"/>
              </w:rPr>
            </w:pPr>
            <w:r w:rsidRPr="000B228E">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122CF079" w14:textId="77777777" w:rsidR="00FF2FE4" w:rsidRPr="000B228E" w:rsidRDefault="00FF2FE4" w:rsidP="00763BA9">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1121F95" w14:textId="77777777" w:rsidR="00FF2FE4" w:rsidRPr="000B228E" w:rsidRDefault="00FF2FE4" w:rsidP="00763BA9">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F5277DD" w14:textId="77777777" w:rsidR="00FF2FE4" w:rsidRPr="000B228E" w:rsidRDefault="00FF2FE4" w:rsidP="00763BA9">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9CD1FDE" w14:textId="77777777" w:rsidR="00FF2FE4" w:rsidRPr="000B228E" w:rsidRDefault="00FF2FE4" w:rsidP="00763BA9">
            <w:pPr>
              <w:keepNext/>
              <w:jc w:val="center"/>
              <w:rPr>
                <w:rFonts w:cs="Arial"/>
                <w:color w:val="000000"/>
                <w:sz w:val="17"/>
                <w:szCs w:val="17"/>
              </w:rPr>
            </w:pPr>
            <w:r w:rsidRPr="000B228E">
              <w:rPr>
                <w:rFonts w:cs="Arial"/>
                <w:color w:val="000000"/>
                <w:sz w:val="17"/>
                <w:szCs w:val="17"/>
              </w:rPr>
              <w:t>N/A</w:t>
            </w:r>
          </w:p>
        </w:tc>
      </w:tr>
      <w:tr w:rsidR="00116F89" w:rsidRPr="000B228E" w14:paraId="64DD0889"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6E00318" w14:textId="77777777" w:rsidR="00116F89" w:rsidRPr="000B228E" w:rsidRDefault="00116F89" w:rsidP="00116F89">
            <w:pPr>
              <w:keepNext/>
              <w:rPr>
                <w:rFonts w:cs="Arial"/>
                <w:i/>
                <w:iCs/>
                <w:color w:val="000000"/>
                <w:sz w:val="17"/>
                <w:szCs w:val="17"/>
              </w:rPr>
            </w:pPr>
            <w:r w:rsidRPr="000B228E">
              <w:rPr>
                <w:rFonts w:cs="Arial"/>
                <w:i/>
                <w:iCs/>
                <w:color w:val="000000"/>
                <w:sz w:val="17"/>
                <w:szCs w:val="17"/>
              </w:rPr>
              <w:t>Subtotal</w:t>
            </w:r>
          </w:p>
        </w:tc>
        <w:tc>
          <w:tcPr>
            <w:tcW w:w="1237" w:type="dxa"/>
            <w:tcBorders>
              <w:top w:val="nil"/>
              <w:left w:val="nil"/>
              <w:bottom w:val="single" w:sz="4" w:space="0" w:color="auto"/>
              <w:right w:val="single" w:sz="4" w:space="0" w:color="auto"/>
            </w:tcBorders>
            <w:shd w:val="clear" w:color="000000" w:fill="FFFFFF"/>
            <w:vAlign w:val="center"/>
            <w:hideMark/>
          </w:tcPr>
          <w:p w14:paraId="0AE3B71E" w14:textId="67C013F5" w:rsidR="00116F89" w:rsidRPr="000B228E" w:rsidRDefault="00116F89" w:rsidP="00116F89">
            <w:pPr>
              <w:keepNext/>
              <w:jc w:val="center"/>
              <w:rPr>
                <w:rFonts w:cs="Arial"/>
                <w:i/>
                <w:iCs/>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5CF4B610" w14:textId="49DCFA33" w:rsidR="00116F89" w:rsidRPr="000B228E" w:rsidRDefault="00116F89" w:rsidP="00116F89">
            <w:pPr>
              <w:keepNext/>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2F97E8C" w14:textId="24D75D62" w:rsidR="00116F89" w:rsidRPr="000B228E" w:rsidRDefault="00116F89" w:rsidP="00116F89">
            <w:pPr>
              <w:keepNext/>
              <w:jc w:val="center"/>
              <w:rPr>
                <w:rFonts w:cs="Arial"/>
                <w:i/>
                <w:iCs/>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28788891" w14:textId="57F3C4B7" w:rsidR="00116F89" w:rsidRPr="000B228E" w:rsidRDefault="00116F89" w:rsidP="00116F89">
            <w:pPr>
              <w:keepNext/>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31BF5FF" w14:textId="389006EC" w:rsidR="00116F89" w:rsidRPr="00394D05" w:rsidRDefault="00116F89" w:rsidP="00116F89">
            <w:pPr>
              <w:keepNext/>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2B910E0" w14:textId="5B310BA0" w:rsidR="00116F89" w:rsidRPr="00394D05" w:rsidRDefault="00116F89" w:rsidP="00116F89">
            <w:pPr>
              <w:keepNext/>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20C94807" w14:textId="741D4D09" w:rsidR="00116F89" w:rsidRPr="00394D05" w:rsidRDefault="00116F89" w:rsidP="00116F89">
            <w:pPr>
              <w:keepNext/>
              <w:jc w:val="center"/>
              <w:rPr>
                <w:rFonts w:cs="Arial"/>
                <w:i/>
                <w:iCs/>
                <w:color w:val="000000"/>
                <w:sz w:val="17"/>
                <w:szCs w:val="17"/>
              </w:rPr>
            </w:pPr>
            <w:r w:rsidRPr="00116F89">
              <w:rPr>
                <w:rFonts w:cs="Arial"/>
                <w:color w:val="000000"/>
                <w:sz w:val="17"/>
                <w:szCs w:val="17"/>
              </w:rPr>
              <w:t>N/A</w:t>
            </w:r>
          </w:p>
        </w:tc>
      </w:tr>
      <w:tr w:rsidR="00FF2FE4" w:rsidRPr="000B228E" w14:paraId="46ACEE59" w14:textId="77777777" w:rsidTr="00FF2FE4">
        <w:trPr>
          <w:trHeight w:val="288"/>
          <w:jc w:val="center"/>
        </w:trPr>
        <w:tc>
          <w:tcPr>
            <w:tcW w:w="10479"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D615D" w14:textId="4ACEF769" w:rsidR="00FF2FE4" w:rsidRPr="000B228E" w:rsidRDefault="00FF2FE4" w:rsidP="00763BA9">
            <w:pPr>
              <w:keepNext/>
              <w:rPr>
                <w:rFonts w:cs="Arial"/>
                <w:b/>
                <w:bCs/>
                <w:i/>
                <w:iCs/>
                <w:color w:val="000000"/>
                <w:sz w:val="17"/>
                <w:szCs w:val="17"/>
                <w:u w:val="single"/>
              </w:rPr>
            </w:pPr>
            <w:r w:rsidRPr="000B228E">
              <w:rPr>
                <w:rFonts w:cs="Arial"/>
                <w:b/>
                <w:bCs/>
                <w:i/>
                <w:iCs/>
                <w:color w:val="000000"/>
                <w:sz w:val="17"/>
                <w:szCs w:val="17"/>
                <w:u w:val="single"/>
              </w:rPr>
              <w:t>Communication Capabilities</w:t>
            </w:r>
          </w:p>
        </w:tc>
      </w:tr>
      <w:tr w:rsidR="00116F89" w:rsidRPr="000B228E" w14:paraId="664F86EC"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340A3B2" w14:textId="77777777" w:rsidR="00116F89" w:rsidRPr="000B228E" w:rsidRDefault="00116F89" w:rsidP="00116F89">
            <w:pPr>
              <w:keepNext/>
              <w:rPr>
                <w:rFonts w:cs="Arial"/>
                <w:color w:val="000000"/>
                <w:sz w:val="17"/>
                <w:szCs w:val="17"/>
              </w:rPr>
            </w:pPr>
            <w:r w:rsidRPr="000B228E">
              <w:rPr>
                <w:rFonts w:cs="Arial"/>
                <w:color w:val="000000"/>
                <w:sz w:val="17"/>
                <w:szCs w:val="17"/>
              </w:rPr>
              <w:t>Industry</w:t>
            </w:r>
          </w:p>
        </w:tc>
        <w:tc>
          <w:tcPr>
            <w:tcW w:w="1237" w:type="dxa"/>
            <w:tcBorders>
              <w:top w:val="nil"/>
              <w:left w:val="nil"/>
              <w:bottom w:val="single" w:sz="4" w:space="0" w:color="auto"/>
              <w:right w:val="single" w:sz="4" w:space="0" w:color="auto"/>
            </w:tcBorders>
            <w:shd w:val="clear" w:color="000000" w:fill="FFFFFF"/>
            <w:vAlign w:val="center"/>
            <w:hideMark/>
          </w:tcPr>
          <w:p w14:paraId="11D4DBED" w14:textId="3351771E" w:rsidR="00116F89" w:rsidRPr="000B228E" w:rsidRDefault="00116F89" w:rsidP="00116F89">
            <w:pPr>
              <w:keepNext/>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2E05DB1B" w14:textId="3C602AF2" w:rsidR="00116F89" w:rsidRPr="000B228E"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1B363A4" w14:textId="00E6B6E7" w:rsidR="00116F89" w:rsidRPr="000B228E" w:rsidRDefault="00116F89" w:rsidP="00116F89">
            <w:pPr>
              <w:keepNext/>
              <w:jc w:val="center"/>
              <w:rPr>
                <w:rFonts w:cs="Arial"/>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4A025355" w14:textId="56E34FB2" w:rsidR="00116F89" w:rsidRPr="000B228E"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643CC07" w14:textId="54CAE1CA" w:rsidR="00116F89" w:rsidRPr="00394D05"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1F714D2" w14:textId="1C36F792" w:rsidR="00116F89" w:rsidRPr="00394D05"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7EE65B75" w14:textId="1D4DCB13" w:rsidR="00116F89" w:rsidRPr="00394D05" w:rsidRDefault="00116F89" w:rsidP="00116F89">
            <w:pPr>
              <w:keepNext/>
              <w:jc w:val="center"/>
              <w:rPr>
                <w:rFonts w:cs="Arial"/>
                <w:color w:val="000000"/>
                <w:sz w:val="17"/>
                <w:szCs w:val="17"/>
              </w:rPr>
            </w:pPr>
            <w:r w:rsidRPr="00116F89">
              <w:rPr>
                <w:rFonts w:cs="Arial"/>
                <w:color w:val="000000"/>
                <w:sz w:val="17"/>
                <w:szCs w:val="17"/>
              </w:rPr>
              <w:t>N/A</w:t>
            </w:r>
          </w:p>
        </w:tc>
      </w:tr>
      <w:tr w:rsidR="00FF2FE4" w:rsidRPr="000B228E" w14:paraId="55AAA080"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13F80067" w14:textId="77777777" w:rsidR="00FF2FE4" w:rsidRPr="000B228E" w:rsidRDefault="00FF2FE4" w:rsidP="00FF2FE4">
            <w:pPr>
              <w:rPr>
                <w:rFonts w:cs="Arial"/>
                <w:color w:val="000000"/>
                <w:sz w:val="17"/>
                <w:szCs w:val="17"/>
              </w:rPr>
            </w:pPr>
            <w:r w:rsidRPr="000B228E">
              <w:rPr>
                <w:rFonts w:cs="Arial"/>
                <w:color w:val="000000"/>
                <w:sz w:val="17"/>
                <w:szCs w:val="17"/>
              </w:rPr>
              <w:t>NRC</w:t>
            </w:r>
          </w:p>
        </w:tc>
        <w:tc>
          <w:tcPr>
            <w:tcW w:w="1237" w:type="dxa"/>
            <w:tcBorders>
              <w:top w:val="nil"/>
              <w:left w:val="nil"/>
              <w:bottom w:val="single" w:sz="4" w:space="0" w:color="auto"/>
              <w:right w:val="single" w:sz="4" w:space="0" w:color="auto"/>
            </w:tcBorders>
            <w:shd w:val="clear" w:color="000000" w:fill="FFFFFF"/>
            <w:vAlign w:val="center"/>
            <w:hideMark/>
          </w:tcPr>
          <w:p w14:paraId="2C341BC7"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661A6926"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E40B810"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33E20ED0"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25F029B"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1F39AE6"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498A31F0"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r>
      <w:tr w:rsidR="00116F89" w:rsidRPr="000B228E" w14:paraId="3FB6BBE0"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DDC1FF3" w14:textId="77777777" w:rsidR="00116F89" w:rsidRPr="000B228E" w:rsidRDefault="00116F89" w:rsidP="00116F89">
            <w:pPr>
              <w:rPr>
                <w:rFonts w:cs="Arial"/>
                <w:i/>
                <w:iCs/>
                <w:color w:val="000000"/>
                <w:sz w:val="17"/>
                <w:szCs w:val="17"/>
              </w:rPr>
            </w:pPr>
            <w:r w:rsidRPr="000B228E">
              <w:rPr>
                <w:rFonts w:cs="Arial"/>
                <w:i/>
                <w:iCs/>
                <w:color w:val="000000"/>
                <w:sz w:val="17"/>
                <w:szCs w:val="17"/>
              </w:rPr>
              <w:t>Subtotal</w:t>
            </w:r>
          </w:p>
        </w:tc>
        <w:tc>
          <w:tcPr>
            <w:tcW w:w="1237" w:type="dxa"/>
            <w:tcBorders>
              <w:top w:val="nil"/>
              <w:left w:val="nil"/>
              <w:bottom w:val="single" w:sz="4" w:space="0" w:color="auto"/>
              <w:right w:val="single" w:sz="4" w:space="0" w:color="auto"/>
            </w:tcBorders>
            <w:shd w:val="clear" w:color="000000" w:fill="FFFFFF"/>
            <w:vAlign w:val="center"/>
            <w:hideMark/>
          </w:tcPr>
          <w:p w14:paraId="50C271C3" w14:textId="28508A63" w:rsidR="00116F89" w:rsidRPr="000B228E" w:rsidRDefault="00116F89" w:rsidP="00116F89">
            <w:pPr>
              <w:jc w:val="center"/>
              <w:rPr>
                <w:rFonts w:cs="Arial"/>
                <w:i/>
                <w:iCs/>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4E93206D" w14:textId="226F87BA"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7D4FE696" w14:textId="1A94849C"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7D4E0565" w14:textId="518BD31B"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531EC1A" w14:textId="22B69862"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73B7763" w14:textId="7C94DC92"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F5FF7EB" w14:textId="00940858"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r>
      <w:tr w:rsidR="00FF2FE4" w:rsidRPr="000B228E" w14:paraId="5372951B" w14:textId="77777777" w:rsidTr="00FF2FE4">
        <w:trPr>
          <w:trHeight w:val="288"/>
          <w:jc w:val="center"/>
        </w:trPr>
        <w:tc>
          <w:tcPr>
            <w:tcW w:w="10479"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2617B" w14:textId="77777777" w:rsidR="00FF2FE4" w:rsidRPr="000B228E" w:rsidRDefault="00FF2FE4" w:rsidP="00FF2FE4">
            <w:pPr>
              <w:rPr>
                <w:rFonts w:cs="Arial"/>
                <w:b/>
                <w:bCs/>
                <w:i/>
                <w:iCs/>
                <w:color w:val="000000"/>
                <w:sz w:val="17"/>
                <w:szCs w:val="17"/>
                <w:u w:val="single"/>
              </w:rPr>
            </w:pPr>
            <w:r w:rsidRPr="000B228E">
              <w:rPr>
                <w:rFonts w:cs="Arial"/>
                <w:b/>
                <w:bCs/>
                <w:i/>
                <w:iCs/>
                <w:color w:val="000000"/>
                <w:sz w:val="17"/>
                <w:szCs w:val="17"/>
                <w:u w:val="single"/>
              </w:rPr>
              <w:t>Command and Control Procedures</w:t>
            </w:r>
          </w:p>
        </w:tc>
      </w:tr>
      <w:tr w:rsidR="00394D05" w:rsidRPr="000B228E" w14:paraId="413DFA25"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6DCF1C73" w14:textId="77777777" w:rsidR="00394D05" w:rsidRPr="000B228E" w:rsidRDefault="00394D05" w:rsidP="00394D05">
            <w:pPr>
              <w:rPr>
                <w:rFonts w:cs="Arial"/>
                <w:color w:val="000000"/>
                <w:sz w:val="17"/>
                <w:szCs w:val="17"/>
              </w:rPr>
            </w:pPr>
            <w:r w:rsidRPr="000B228E">
              <w:rPr>
                <w:rFonts w:cs="Arial"/>
                <w:color w:val="000000"/>
                <w:sz w:val="17"/>
                <w:szCs w:val="17"/>
              </w:rPr>
              <w:t>Industry</w:t>
            </w:r>
          </w:p>
        </w:tc>
        <w:tc>
          <w:tcPr>
            <w:tcW w:w="1237" w:type="dxa"/>
            <w:tcBorders>
              <w:top w:val="nil"/>
              <w:left w:val="nil"/>
              <w:bottom w:val="single" w:sz="4" w:space="0" w:color="auto"/>
              <w:right w:val="single" w:sz="4" w:space="0" w:color="auto"/>
            </w:tcBorders>
            <w:shd w:val="clear" w:color="000000" w:fill="FFFFFF"/>
            <w:vAlign w:val="center"/>
            <w:hideMark/>
          </w:tcPr>
          <w:p w14:paraId="3D835A58" w14:textId="77777777" w:rsidR="00394D05" w:rsidRPr="00F434AF" w:rsidRDefault="00394D05" w:rsidP="00394D05">
            <w:pPr>
              <w:jc w:val="center"/>
              <w:rPr>
                <w:rFonts w:cs="Arial"/>
                <w:color w:val="000000"/>
                <w:sz w:val="17"/>
                <w:szCs w:val="17"/>
              </w:rPr>
            </w:pPr>
            <w:r w:rsidRPr="00F434AF">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732DB177" w14:textId="0CBCA884" w:rsidR="00394D05" w:rsidRPr="00F434AF" w:rsidRDefault="00F434AF" w:rsidP="00394D05">
            <w:pPr>
              <w:jc w:val="center"/>
              <w:rPr>
                <w:rFonts w:cs="Arial"/>
                <w:color w:val="000000"/>
                <w:sz w:val="17"/>
                <w:szCs w:val="17"/>
              </w:rPr>
            </w:pPr>
            <w:r w:rsidRPr="00F434AF">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AFE17B8" w14:textId="77777777" w:rsidR="00394D05" w:rsidRPr="00F434AF" w:rsidRDefault="00394D05" w:rsidP="00394D05">
            <w:pPr>
              <w:jc w:val="center"/>
              <w:rPr>
                <w:rFonts w:cs="Arial"/>
                <w:color w:val="000000"/>
                <w:sz w:val="17"/>
                <w:szCs w:val="17"/>
              </w:rPr>
            </w:pPr>
            <w:r w:rsidRPr="00F434AF">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40E0C07D" w14:textId="79C130CB" w:rsidR="00394D05" w:rsidRPr="00F434AF" w:rsidRDefault="00F434AF" w:rsidP="00394D05">
            <w:pPr>
              <w:autoSpaceDE/>
              <w:autoSpaceDN/>
              <w:adjustRightInd/>
              <w:jc w:val="center"/>
              <w:rPr>
                <w:rFonts w:cs="Arial"/>
                <w:iCs/>
                <w:color w:val="000000"/>
                <w:sz w:val="17"/>
                <w:szCs w:val="17"/>
              </w:rPr>
            </w:pPr>
            <w:r w:rsidRPr="00F434AF">
              <w:rPr>
                <w:rFonts w:cs="Arial"/>
                <w:iCs/>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94562AA" w14:textId="4BAA476E" w:rsidR="00394D05" w:rsidRPr="00F434AF" w:rsidRDefault="00F434AF" w:rsidP="00394D05">
            <w:pPr>
              <w:jc w:val="center"/>
              <w:rPr>
                <w:rFonts w:cs="Arial"/>
                <w:color w:val="000000"/>
                <w:sz w:val="17"/>
                <w:szCs w:val="17"/>
              </w:rPr>
            </w:pPr>
            <w:r w:rsidRPr="00F434AF">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45E6D2C6" w14:textId="0D0D4E66" w:rsidR="00394D05" w:rsidRPr="00F434AF" w:rsidRDefault="00F434AF" w:rsidP="00394D05">
            <w:pPr>
              <w:jc w:val="center"/>
              <w:rPr>
                <w:rFonts w:cs="Arial"/>
                <w:color w:val="000000"/>
                <w:sz w:val="17"/>
                <w:szCs w:val="17"/>
              </w:rPr>
            </w:pPr>
            <w:r w:rsidRPr="00F434AF">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4330C68D" w14:textId="22C6EA6B" w:rsidR="00394D05" w:rsidRPr="00394D05" w:rsidRDefault="00F434AF" w:rsidP="00394D05">
            <w:pPr>
              <w:jc w:val="center"/>
              <w:rPr>
                <w:rFonts w:cs="Arial"/>
                <w:color w:val="000000"/>
                <w:sz w:val="17"/>
                <w:szCs w:val="17"/>
              </w:rPr>
            </w:pPr>
            <w:r>
              <w:rPr>
                <w:rFonts w:cs="Arial"/>
                <w:color w:val="000000"/>
                <w:sz w:val="17"/>
                <w:szCs w:val="17"/>
              </w:rPr>
              <w:t>N/A</w:t>
            </w:r>
          </w:p>
        </w:tc>
      </w:tr>
      <w:tr w:rsidR="00FF2FE4" w:rsidRPr="000B228E" w14:paraId="6DCEFA28"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1B23F01" w14:textId="77777777" w:rsidR="00FF2FE4" w:rsidRPr="000B228E" w:rsidRDefault="00FF2FE4" w:rsidP="00FF2FE4">
            <w:pPr>
              <w:rPr>
                <w:rFonts w:cs="Arial"/>
                <w:color w:val="000000"/>
                <w:sz w:val="17"/>
                <w:szCs w:val="17"/>
              </w:rPr>
            </w:pPr>
            <w:r w:rsidRPr="000B228E">
              <w:rPr>
                <w:rFonts w:cs="Arial"/>
                <w:color w:val="000000"/>
                <w:sz w:val="17"/>
                <w:szCs w:val="17"/>
              </w:rPr>
              <w:t>NRC</w:t>
            </w:r>
          </w:p>
        </w:tc>
        <w:tc>
          <w:tcPr>
            <w:tcW w:w="1237" w:type="dxa"/>
            <w:tcBorders>
              <w:top w:val="nil"/>
              <w:left w:val="nil"/>
              <w:bottom w:val="single" w:sz="4" w:space="0" w:color="auto"/>
              <w:right w:val="single" w:sz="4" w:space="0" w:color="auto"/>
            </w:tcBorders>
            <w:shd w:val="clear" w:color="000000" w:fill="FFFFFF"/>
            <w:vAlign w:val="center"/>
            <w:hideMark/>
          </w:tcPr>
          <w:p w14:paraId="2E27A982"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429EB725"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DE4EBE5"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323A87C9"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A77EA76"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56A6C70"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4ECEC7AC"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r>
      <w:tr w:rsidR="00116F89" w:rsidRPr="000B228E" w14:paraId="3822A6C5"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85FC738" w14:textId="77777777" w:rsidR="00116F89" w:rsidRPr="000B228E" w:rsidRDefault="00116F89" w:rsidP="00116F89">
            <w:pPr>
              <w:rPr>
                <w:rFonts w:cs="Arial"/>
                <w:i/>
                <w:iCs/>
                <w:color w:val="000000"/>
                <w:sz w:val="17"/>
                <w:szCs w:val="17"/>
              </w:rPr>
            </w:pPr>
            <w:r w:rsidRPr="000B228E">
              <w:rPr>
                <w:rFonts w:cs="Arial"/>
                <w:i/>
                <w:iCs/>
                <w:color w:val="000000"/>
                <w:sz w:val="17"/>
                <w:szCs w:val="17"/>
              </w:rPr>
              <w:t>Subtotal</w:t>
            </w:r>
          </w:p>
        </w:tc>
        <w:tc>
          <w:tcPr>
            <w:tcW w:w="1237" w:type="dxa"/>
            <w:tcBorders>
              <w:top w:val="nil"/>
              <w:left w:val="nil"/>
              <w:bottom w:val="single" w:sz="4" w:space="0" w:color="auto"/>
              <w:right w:val="single" w:sz="4" w:space="0" w:color="auto"/>
            </w:tcBorders>
            <w:shd w:val="clear" w:color="000000" w:fill="FFFFFF"/>
            <w:vAlign w:val="center"/>
            <w:hideMark/>
          </w:tcPr>
          <w:p w14:paraId="4D6A7E65" w14:textId="3E5077AB" w:rsidR="00116F89" w:rsidRPr="000B228E" w:rsidRDefault="00116F89" w:rsidP="00116F89">
            <w:pPr>
              <w:jc w:val="center"/>
              <w:rPr>
                <w:rFonts w:cs="Arial"/>
                <w:i/>
                <w:iCs/>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097FB45F" w14:textId="4B9779A2"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3376586" w14:textId="7255FA10"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7F3E8451" w14:textId="79EBD084"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C6711F0" w14:textId="549E7CA8"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927EDFE" w14:textId="141CD855"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4BE1FFE4" w14:textId="78749876"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r>
      <w:tr w:rsidR="00FF2FE4" w:rsidRPr="000B228E" w14:paraId="431B7A73" w14:textId="77777777" w:rsidTr="00FF2FE4">
        <w:trPr>
          <w:trHeight w:val="288"/>
          <w:jc w:val="center"/>
        </w:trPr>
        <w:tc>
          <w:tcPr>
            <w:tcW w:w="10479"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49E59" w14:textId="77777777" w:rsidR="00FF2FE4" w:rsidRPr="000B228E" w:rsidRDefault="00FF2FE4" w:rsidP="00FF2FE4">
            <w:pPr>
              <w:rPr>
                <w:rFonts w:cs="Arial"/>
                <w:b/>
                <w:bCs/>
                <w:i/>
                <w:iCs/>
                <w:color w:val="000000"/>
                <w:sz w:val="17"/>
                <w:szCs w:val="17"/>
                <w:u w:val="single"/>
              </w:rPr>
            </w:pPr>
            <w:r w:rsidRPr="000B228E">
              <w:rPr>
                <w:rFonts w:cs="Arial"/>
                <w:b/>
                <w:bCs/>
                <w:i/>
                <w:iCs/>
                <w:color w:val="000000"/>
                <w:sz w:val="17"/>
                <w:szCs w:val="17"/>
                <w:u w:val="single"/>
              </w:rPr>
              <w:t>Reevaluated Hazard Evaluation</w:t>
            </w:r>
          </w:p>
        </w:tc>
      </w:tr>
      <w:tr w:rsidR="00116F89" w:rsidRPr="000B228E" w14:paraId="60F74042"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10355783" w14:textId="77777777" w:rsidR="00116F89" w:rsidRPr="000B228E" w:rsidRDefault="00116F89" w:rsidP="00116F89">
            <w:pPr>
              <w:rPr>
                <w:rFonts w:cs="Arial"/>
                <w:color w:val="000000"/>
                <w:sz w:val="17"/>
                <w:szCs w:val="17"/>
              </w:rPr>
            </w:pPr>
            <w:r w:rsidRPr="000B228E">
              <w:rPr>
                <w:rFonts w:cs="Arial"/>
                <w:color w:val="000000"/>
                <w:sz w:val="17"/>
                <w:szCs w:val="17"/>
              </w:rPr>
              <w:t>Industry</w:t>
            </w:r>
          </w:p>
        </w:tc>
        <w:tc>
          <w:tcPr>
            <w:tcW w:w="1237" w:type="dxa"/>
            <w:tcBorders>
              <w:top w:val="nil"/>
              <w:left w:val="nil"/>
              <w:bottom w:val="single" w:sz="4" w:space="0" w:color="auto"/>
              <w:right w:val="single" w:sz="4" w:space="0" w:color="auto"/>
            </w:tcBorders>
            <w:shd w:val="clear" w:color="000000" w:fill="FFFFFF"/>
            <w:vAlign w:val="center"/>
            <w:hideMark/>
          </w:tcPr>
          <w:p w14:paraId="696AE5E0" w14:textId="7BDD4B11" w:rsidR="00116F89" w:rsidRPr="00394D05" w:rsidRDefault="00116F89" w:rsidP="00116F89">
            <w:pPr>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45019F70" w14:textId="55C4AD41"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A4E5617" w14:textId="6F03B438"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5A49985B" w14:textId="4D72184D"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466B964" w14:textId="02FE5823"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3E32579" w14:textId="62727402"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C2134E6" w14:textId="3DF6C158" w:rsidR="00116F89" w:rsidRPr="00394D05" w:rsidRDefault="00116F89" w:rsidP="00116F89">
            <w:pPr>
              <w:jc w:val="center"/>
              <w:rPr>
                <w:rFonts w:cs="Arial"/>
                <w:color w:val="000000"/>
                <w:sz w:val="17"/>
                <w:szCs w:val="17"/>
              </w:rPr>
            </w:pPr>
            <w:r w:rsidRPr="00116F89">
              <w:rPr>
                <w:rFonts w:cs="Arial"/>
                <w:color w:val="000000"/>
                <w:sz w:val="17"/>
                <w:szCs w:val="17"/>
              </w:rPr>
              <w:t>N/A</w:t>
            </w:r>
          </w:p>
        </w:tc>
      </w:tr>
      <w:tr w:rsidR="00116F89" w:rsidRPr="000B228E" w14:paraId="72200FDF"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869029D" w14:textId="77777777" w:rsidR="00116F89" w:rsidRPr="000B228E" w:rsidRDefault="00116F89" w:rsidP="00116F89">
            <w:pPr>
              <w:rPr>
                <w:rFonts w:cs="Arial"/>
                <w:color w:val="000000"/>
                <w:sz w:val="17"/>
                <w:szCs w:val="17"/>
              </w:rPr>
            </w:pPr>
            <w:r w:rsidRPr="000B228E">
              <w:rPr>
                <w:rFonts w:cs="Arial"/>
                <w:color w:val="000000"/>
                <w:sz w:val="17"/>
                <w:szCs w:val="17"/>
              </w:rPr>
              <w:t>NRC</w:t>
            </w:r>
          </w:p>
        </w:tc>
        <w:tc>
          <w:tcPr>
            <w:tcW w:w="1237" w:type="dxa"/>
            <w:tcBorders>
              <w:top w:val="nil"/>
              <w:left w:val="nil"/>
              <w:bottom w:val="single" w:sz="4" w:space="0" w:color="auto"/>
              <w:right w:val="single" w:sz="4" w:space="0" w:color="auto"/>
            </w:tcBorders>
            <w:shd w:val="clear" w:color="000000" w:fill="FFFFFF"/>
            <w:vAlign w:val="center"/>
            <w:hideMark/>
          </w:tcPr>
          <w:p w14:paraId="3F960452" w14:textId="7B951B89" w:rsidR="00116F89" w:rsidRPr="00394D05" w:rsidRDefault="00116F89" w:rsidP="00116F89">
            <w:pPr>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79309BF9" w14:textId="3442CAFF"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8DC85A8" w14:textId="1C0C419C"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1F0074F2" w14:textId="6623150D"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F932581" w14:textId="650C2C8D"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7B12AB8A" w14:textId="2DF535F6"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64BB9B5" w14:textId="04522DD0" w:rsidR="00116F89" w:rsidRPr="00394D05" w:rsidRDefault="00116F89" w:rsidP="00116F89">
            <w:pPr>
              <w:jc w:val="center"/>
              <w:rPr>
                <w:rFonts w:cs="Arial"/>
                <w:color w:val="000000"/>
                <w:sz w:val="17"/>
                <w:szCs w:val="17"/>
              </w:rPr>
            </w:pPr>
            <w:r w:rsidRPr="00116F89">
              <w:rPr>
                <w:rFonts w:cs="Arial"/>
                <w:color w:val="000000"/>
                <w:sz w:val="17"/>
                <w:szCs w:val="17"/>
              </w:rPr>
              <w:t>N/A</w:t>
            </w:r>
          </w:p>
        </w:tc>
      </w:tr>
      <w:tr w:rsidR="00116F89" w:rsidRPr="000B228E" w14:paraId="3CFE6482"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530DC3EA" w14:textId="77777777" w:rsidR="00116F89" w:rsidRPr="000B228E" w:rsidRDefault="00116F89" w:rsidP="00116F89">
            <w:pPr>
              <w:rPr>
                <w:rFonts w:cs="Arial"/>
                <w:i/>
                <w:iCs/>
                <w:color w:val="000000"/>
                <w:sz w:val="17"/>
                <w:szCs w:val="17"/>
              </w:rPr>
            </w:pPr>
            <w:r w:rsidRPr="000B228E">
              <w:rPr>
                <w:rFonts w:cs="Arial"/>
                <w:i/>
                <w:iCs/>
                <w:color w:val="000000"/>
                <w:sz w:val="17"/>
                <w:szCs w:val="17"/>
              </w:rPr>
              <w:t>Subtotal</w:t>
            </w:r>
          </w:p>
        </w:tc>
        <w:tc>
          <w:tcPr>
            <w:tcW w:w="1237" w:type="dxa"/>
            <w:tcBorders>
              <w:top w:val="nil"/>
              <w:left w:val="nil"/>
              <w:bottom w:val="single" w:sz="4" w:space="0" w:color="auto"/>
              <w:right w:val="single" w:sz="4" w:space="0" w:color="auto"/>
            </w:tcBorders>
            <w:shd w:val="clear" w:color="000000" w:fill="FFFFFF"/>
            <w:vAlign w:val="center"/>
            <w:hideMark/>
          </w:tcPr>
          <w:p w14:paraId="5221C30B" w14:textId="6E0B460E" w:rsidR="00116F89" w:rsidRPr="00394D05" w:rsidRDefault="00116F89" w:rsidP="00116F89">
            <w:pPr>
              <w:jc w:val="center"/>
              <w:rPr>
                <w:rFonts w:cs="Arial"/>
                <w:i/>
                <w:iCs/>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7444716F" w14:textId="1C00CB30"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0C09382" w14:textId="6F411CD6"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76E79028" w14:textId="7B121C62"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2C9235A3" w14:textId="7506D4EC"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0206AD6" w14:textId="3F3256C6"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76AF4531" w14:textId="3B66CDDA"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r>
      <w:tr w:rsidR="00FF2FE4" w:rsidRPr="000B228E" w14:paraId="1383B143" w14:textId="77777777" w:rsidTr="00FF2FE4">
        <w:trPr>
          <w:trHeight w:val="288"/>
          <w:jc w:val="center"/>
        </w:trPr>
        <w:tc>
          <w:tcPr>
            <w:tcW w:w="10479"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2B342" w14:textId="77777777" w:rsidR="00FF2FE4" w:rsidRPr="000B228E" w:rsidRDefault="00FF2FE4" w:rsidP="00FF2FE4">
            <w:pPr>
              <w:rPr>
                <w:rFonts w:cs="Arial"/>
                <w:b/>
                <w:bCs/>
                <w:i/>
                <w:iCs/>
                <w:color w:val="000000"/>
                <w:sz w:val="17"/>
                <w:szCs w:val="17"/>
                <w:u w:val="single"/>
              </w:rPr>
            </w:pPr>
            <w:r w:rsidRPr="000B228E">
              <w:rPr>
                <w:rFonts w:cs="Arial"/>
                <w:b/>
                <w:bCs/>
                <w:i/>
                <w:iCs/>
                <w:color w:val="000000"/>
                <w:sz w:val="17"/>
                <w:szCs w:val="17"/>
                <w:u w:val="single"/>
              </w:rPr>
              <w:t>Reevaluated Hazards Change Management</w:t>
            </w:r>
          </w:p>
        </w:tc>
      </w:tr>
      <w:tr w:rsidR="00116F89" w:rsidRPr="000B228E" w14:paraId="4CF3F208"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E34195A" w14:textId="77777777" w:rsidR="00116F89" w:rsidRPr="000B228E" w:rsidRDefault="00116F89" w:rsidP="00116F89">
            <w:pPr>
              <w:rPr>
                <w:rFonts w:cs="Arial"/>
                <w:color w:val="000000"/>
                <w:sz w:val="17"/>
                <w:szCs w:val="17"/>
              </w:rPr>
            </w:pPr>
            <w:r w:rsidRPr="000B228E">
              <w:rPr>
                <w:rFonts w:cs="Arial"/>
                <w:color w:val="000000"/>
                <w:sz w:val="17"/>
                <w:szCs w:val="17"/>
              </w:rPr>
              <w:t>Industry</w:t>
            </w:r>
          </w:p>
        </w:tc>
        <w:tc>
          <w:tcPr>
            <w:tcW w:w="1237" w:type="dxa"/>
            <w:tcBorders>
              <w:top w:val="nil"/>
              <w:left w:val="nil"/>
              <w:bottom w:val="single" w:sz="4" w:space="0" w:color="auto"/>
              <w:right w:val="single" w:sz="4" w:space="0" w:color="auto"/>
            </w:tcBorders>
            <w:shd w:val="clear" w:color="000000" w:fill="FFFFFF"/>
            <w:vAlign w:val="center"/>
            <w:hideMark/>
          </w:tcPr>
          <w:p w14:paraId="6FBD6C81" w14:textId="24EE1E48" w:rsidR="00116F89" w:rsidRPr="00394D05" w:rsidRDefault="00116F89" w:rsidP="00116F89">
            <w:pPr>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50F896C2" w14:textId="1F64EC59"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BBC8117" w14:textId="11DCF4EB"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39B14FC9" w14:textId="4EC24088"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24E9262" w14:textId="675B12C7"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7B529490" w14:textId="22526C17"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2A1A45C9" w14:textId="3A7E8610" w:rsidR="00116F89" w:rsidRPr="00394D05" w:rsidRDefault="00116F89" w:rsidP="00116F89">
            <w:pPr>
              <w:jc w:val="center"/>
              <w:rPr>
                <w:rFonts w:cs="Arial"/>
                <w:color w:val="000000"/>
                <w:sz w:val="17"/>
                <w:szCs w:val="17"/>
              </w:rPr>
            </w:pPr>
            <w:r w:rsidRPr="00116F89">
              <w:rPr>
                <w:rFonts w:cs="Arial"/>
                <w:color w:val="000000"/>
                <w:sz w:val="17"/>
                <w:szCs w:val="17"/>
              </w:rPr>
              <w:t>N/A</w:t>
            </w:r>
          </w:p>
        </w:tc>
      </w:tr>
      <w:tr w:rsidR="00394D05" w:rsidRPr="000B228E" w14:paraId="57D446CF"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4598F7B8" w14:textId="77777777" w:rsidR="00394D05" w:rsidRPr="000B228E" w:rsidRDefault="00394D05" w:rsidP="00394D05">
            <w:pPr>
              <w:rPr>
                <w:rFonts w:cs="Arial"/>
                <w:color w:val="000000"/>
                <w:sz w:val="17"/>
                <w:szCs w:val="17"/>
              </w:rPr>
            </w:pPr>
            <w:r w:rsidRPr="000B228E">
              <w:rPr>
                <w:rFonts w:cs="Arial"/>
                <w:color w:val="000000"/>
                <w:sz w:val="17"/>
                <w:szCs w:val="17"/>
              </w:rPr>
              <w:t>NRC</w:t>
            </w:r>
          </w:p>
        </w:tc>
        <w:tc>
          <w:tcPr>
            <w:tcW w:w="1237" w:type="dxa"/>
            <w:tcBorders>
              <w:top w:val="nil"/>
              <w:left w:val="nil"/>
              <w:bottom w:val="single" w:sz="4" w:space="0" w:color="auto"/>
              <w:right w:val="single" w:sz="4" w:space="0" w:color="auto"/>
            </w:tcBorders>
            <w:shd w:val="clear" w:color="000000" w:fill="FFFFFF"/>
            <w:vAlign w:val="center"/>
            <w:hideMark/>
          </w:tcPr>
          <w:p w14:paraId="18642D61" w14:textId="60D0A47F" w:rsidR="00394D05" w:rsidRPr="00394D05" w:rsidRDefault="00394D05" w:rsidP="00394D05">
            <w:pPr>
              <w:jc w:val="center"/>
              <w:rPr>
                <w:rFonts w:cs="Arial"/>
                <w:color w:val="000000"/>
                <w:sz w:val="17"/>
                <w:szCs w:val="17"/>
              </w:rPr>
            </w:pPr>
            <w:r w:rsidRPr="00394D05">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562DAC6B" w14:textId="1E3E6170" w:rsidR="00394D05" w:rsidRPr="00394D05" w:rsidRDefault="00394D05" w:rsidP="00394D05">
            <w:pPr>
              <w:jc w:val="center"/>
              <w:rPr>
                <w:rFonts w:cs="Arial"/>
                <w:color w:val="000000"/>
                <w:sz w:val="17"/>
                <w:szCs w:val="17"/>
              </w:rPr>
            </w:pPr>
            <w:r w:rsidRPr="00394D05">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13C57F8" w14:textId="015AEB57" w:rsidR="00394D05" w:rsidRPr="00394D05" w:rsidRDefault="00394D05" w:rsidP="00394D05">
            <w:pPr>
              <w:jc w:val="center"/>
              <w:rPr>
                <w:rFonts w:cs="Arial"/>
                <w:color w:val="000000"/>
                <w:sz w:val="17"/>
                <w:szCs w:val="17"/>
              </w:rPr>
            </w:pPr>
            <w:r w:rsidRPr="00394D05">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7307896D" w14:textId="4787A3C3" w:rsidR="00394D05" w:rsidRPr="00394D05" w:rsidRDefault="00394D05" w:rsidP="00394D05">
            <w:pPr>
              <w:jc w:val="center"/>
              <w:rPr>
                <w:rFonts w:cs="Arial"/>
                <w:color w:val="000000"/>
                <w:sz w:val="17"/>
                <w:szCs w:val="17"/>
              </w:rPr>
            </w:pPr>
            <w:r w:rsidRPr="00394D05">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3300D9E" w14:textId="2362C93B" w:rsidR="00394D05" w:rsidRPr="00394D05" w:rsidRDefault="00394D05" w:rsidP="00394D05">
            <w:pPr>
              <w:jc w:val="center"/>
              <w:rPr>
                <w:rFonts w:cs="Arial"/>
                <w:color w:val="000000"/>
                <w:sz w:val="17"/>
                <w:szCs w:val="17"/>
              </w:rPr>
            </w:pPr>
            <w:r w:rsidRPr="00394D05">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58712FB" w14:textId="52FDA91C" w:rsidR="00394D05" w:rsidRPr="00394D05" w:rsidRDefault="00394D05" w:rsidP="00394D05">
            <w:pPr>
              <w:jc w:val="center"/>
              <w:rPr>
                <w:rFonts w:cs="Arial"/>
                <w:color w:val="000000"/>
                <w:sz w:val="17"/>
                <w:szCs w:val="17"/>
              </w:rPr>
            </w:pPr>
            <w:r w:rsidRPr="00394D05">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9F003F3" w14:textId="7CFE1CE1" w:rsidR="00394D05" w:rsidRPr="00394D05" w:rsidRDefault="00394D05" w:rsidP="00394D05">
            <w:pPr>
              <w:jc w:val="center"/>
              <w:rPr>
                <w:rFonts w:cs="Arial"/>
                <w:color w:val="000000"/>
                <w:sz w:val="17"/>
                <w:szCs w:val="17"/>
              </w:rPr>
            </w:pPr>
            <w:r w:rsidRPr="00394D05">
              <w:rPr>
                <w:rFonts w:cs="Arial"/>
                <w:color w:val="000000"/>
                <w:sz w:val="17"/>
                <w:szCs w:val="17"/>
              </w:rPr>
              <w:t>N/A</w:t>
            </w:r>
          </w:p>
        </w:tc>
      </w:tr>
      <w:tr w:rsidR="00116F89" w:rsidRPr="000B228E" w14:paraId="20052D7E"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5AD629F" w14:textId="77777777" w:rsidR="00116F89" w:rsidRPr="000B228E" w:rsidRDefault="00116F89" w:rsidP="00116F89">
            <w:pPr>
              <w:rPr>
                <w:rFonts w:cs="Arial"/>
                <w:i/>
                <w:iCs/>
                <w:color w:val="000000"/>
                <w:sz w:val="17"/>
                <w:szCs w:val="17"/>
              </w:rPr>
            </w:pPr>
            <w:r w:rsidRPr="000B228E">
              <w:rPr>
                <w:rFonts w:cs="Arial"/>
                <w:i/>
                <w:iCs/>
                <w:color w:val="000000"/>
                <w:sz w:val="17"/>
                <w:szCs w:val="17"/>
              </w:rPr>
              <w:t>Subtotal</w:t>
            </w:r>
          </w:p>
        </w:tc>
        <w:tc>
          <w:tcPr>
            <w:tcW w:w="1237" w:type="dxa"/>
            <w:tcBorders>
              <w:top w:val="nil"/>
              <w:left w:val="nil"/>
              <w:bottom w:val="single" w:sz="4" w:space="0" w:color="auto"/>
              <w:right w:val="single" w:sz="4" w:space="0" w:color="auto"/>
            </w:tcBorders>
            <w:shd w:val="clear" w:color="000000" w:fill="FFFFFF"/>
            <w:vAlign w:val="center"/>
            <w:hideMark/>
          </w:tcPr>
          <w:p w14:paraId="67AD250F" w14:textId="2478D223" w:rsidR="00116F89" w:rsidRPr="00394D05" w:rsidRDefault="00116F89" w:rsidP="00116F89">
            <w:pPr>
              <w:jc w:val="center"/>
              <w:rPr>
                <w:rFonts w:cs="Arial"/>
                <w:i/>
                <w:iCs/>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78738C3C" w14:textId="1FA82740"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3D7C732" w14:textId="5B0C26DC"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08018423" w14:textId="19806A14"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D36E451" w14:textId="318E89F8"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7DE1DAB4" w14:textId="40E56CA3"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C901F14" w14:textId="6B012ABC"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r>
      <w:tr w:rsidR="00FF2FE4" w:rsidRPr="000B228E" w14:paraId="7AD5F0A2" w14:textId="77777777" w:rsidTr="00FF2FE4">
        <w:trPr>
          <w:trHeight w:val="288"/>
          <w:jc w:val="center"/>
        </w:trPr>
        <w:tc>
          <w:tcPr>
            <w:tcW w:w="10479"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60B42AAC" w14:textId="0E30743B" w:rsidR="00FF2FE4" w:rsidRPr="000B228E" w:rsidRDefault="00FF2FE4" w:rsidP="00FF2FE4">
            <w:pPr>
              <w:rPr>
                <w:rFonts w:cs="Arial"/>
                <w:b/>
                <w:bCs/>
                <w:i/>
                <w:color w:val="000000"/>
                <w:sz w:val="17"/>
                <w:szCs w:val="17"/>
                <w:u w:val="single"/>
              </w:rPr>
            </w:pPr>
            <w:r w:rsidRPr="000B228E">
              <w:rPr>
                <w:rFonts w:cs="Arial"/>
                <w:b/>
                <w:bCs/>
                <w:i/>
                <w:color w:val="000000"/>
                <w:sz w:val="17"/>
                <w:szCs w:val="17"/>
                <w:u w:val="single"/>
              </w:rPr>
              <w:t>Total</w:t>
            </w:r>
          </w:p>
        </w:tc>
      </w:tr>
      <w:tr w:rsidR="00F434AF" w:rsidRPr="000B228E" w14:paraId="694E1DBB"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C7D631F" w14:textId="77777777" w:rsidR="00F434AF" w:rsidRPr="000B228E" w:rsidRDefault="00F434AF" w:rsidP="00F434AF">
            <w:pPr>
              <w:rPr>
                <w:rFonts w:cs="Arial"/>
                <w:color w:val="000000"/>
                <w:sz w:val="17"/>
                <w:szCs w:val="17"/>
              </w:rPr>
            </w:pPr>
            <w:r w:rsidRPr="000B228E">
              <w:rPr>
                <w:rFonts w:cs="Arial"/>
                <w:color w:val="000000"/>
                <w:sz w:val="17"/>
                <w:szCs w:val="17"/>
              </w:rPr>
              <w:t>Industry</w:t>
            </w:r>
          </w:p>
        </w:tc>
        <w:tc>
          <w:tcPr>
            <w:tcW w:w="1237" w:type="dxa"/>
            <w:tcBorders>
              <w:top w:val="nil"/>
              <w:left w:val="nil"/>
              <w:bottom w:val="single" w:sz="4" w:space="0" w:color="auto"/>
              <w:right w:val="single" w:sz="4" w:space="0" w:color="auto"/>
            </w:tcBorders>
            <w:shd w:val="clear" w:color="000000" w:fill="FFFFFF"/>
            <w:noWrap/>
            <w:vAlign w:val="center"/>
            <w:hideMark/>
          </w:tcPr>
          <w:p w14:paraId="7150883B" w14:textId="4D2A2825" w:rsidR="00F434AF" w:rsidRPr="00394D05" w:rsidRDefault="00F434AF" w:rsidP="00F434AF">
            <w:pPr>
              <w:jc w:val="center"/>
              <w:rPr>
                <w:rFonts w:cs="Arial"/>
                <w:i/>
                <w:iCs/>
                <w:color w:val="000000"/>
                <w:sz w:val="17"/>
                <w:szCs w:val="17"/>
              </w:rPr>
            </w:pPr>
            <w:r w:rsidRPr="000B228E">
              <w:rPr>
                <w:rFonts w:cs="Arial"/>
                <w:color w:val="000000"/>
                <w:sz w:val="17"/>
                <w:szCs w:val="17"/>
              </w:rPr>
              <w:t>($110</w:t>
            </w:r>
            <w:r>
              <w:rPr>
                <w:rFonts w:cs="Arial"/>
                <w:color w:val="000000"/>
                <w:sz w:val="17"/>
                <w:szCs w:val="17"/>
              </w:rPr>
              <w:t>,</w:t>
            </w:r>
            <w:r w:rsidRPr="000B228E">
              <w:rPr>
                <w:rFonts w:cs="Arial"/>
                <w:color w:val="000000"/>
                <w:sz w:val="17"/>
                <w:szCs w:val="17"/>
              </w:rPr>
              <w:t>000)</w:t>
            </w:r>
          </w:p>
        </w:tc>
        <w:tc>
          <w:tcPr>
            <w:tcW w:w="1087" w:type="dxa"/>
            <w:tcBorders>
              <w:top w:val="nil"/>
              <w:left w:val="nil"/>
              <w:bottom w:val="single" w:sz="4" w:space="0" w:color="auto"/>
              <w:right w:val="single" w:sz="4" w:space="0" w:color="auto"/>
            </w:tcBorders>
            <w:shd w:val="clear" w:color="000000" w:fill="FFFFFF"/>
            <w:noWrap/>
            <w:vAlign w:val="center"/>
            <w:hideMark/>
          </w:tcPr>
          <w:p w14:paraId="398735E5" w14:textId="381563F6"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noWrap/>
            <w:vAlign w:val="center"/>
            <w:hideMark/>
          </w:tcPr>
          <w:p w14:paraId="132B72C7" w14:textId="0AA37649" w:rsidR="00F434AF" w:rsidRPr="00394D05" w:rsidRDefault="00F434AF" w:rsidP="00F434AF">
            <w:pPr>
              <w:jc w:val="center"/>
              <w:rPr>
                <w:rFonts w:cs="Arial"/>
                <w:i/>
                <w:iCs/>
                <w:color w:val="000000"/>
                <w:sz w:val="17"/>
                <w:szCs w:val="17"/>
              </w:rPr>
            </w:pPr>
            <w:r w:rsidRPr="000B228E">
              <w:rPr>
                <w:rFonts w:cs="Arial"/>
                <w:color w:val="000000"/>
                <w:sz w:val="17"/>
                <w:szCs w:val="17"/>
              </w:rPr>
              <w:t>($7</w:t>
            </w:r>
            <w:r>
              <w:rPr>
                <w:rFonts w:cs="Arial"/>
                <w:color w:val="000000"/>
                <w:sz w:val="17"/>
                <w:szCs w:val="17"/>
              </w:rPr>
              <w:t>,</w:t>
            </w:r>
            <w:r w:rsidRPr="000B228E">
              <w:rPr>
                <w:rFonts w:cs="Arial"/>
                <w:color w:val="000000"/>
                <w:sz w:val="17"/>
                <w:szCs w:val="17"/>
              </w:rPr>
              <w:t>200</w:t>
            </w:r>
            <w:r>
              <w:rPr>
                <w:rFonts w:cs="Arial"/>
                <w:color w:val="000000"/>
                <w:sz w:val="17"/>
                <w:szCs w:val="17"/>
              </w:rPr>
              <w:t>,</w:t>
            </w:r>
            <w:r w:rsidRPr="000B228E">
              <w:rPr>
                <w:rFonts w:cs="Arial"/>
                <w:color w:val="000000"/>
                <w:sz w:val="17"/>
                <w:szCs w:val="17"/>
              </w:rPr>
              <w:t>000)</w:t>
            </w:r>
          </w:p>
        </w:tc>
        <w:tc>
          <w:tcPr>
            <w:tcW w:w="1237" w:type="dxa"/>
            <w:tcBorders>
              <w:top w:val="nil"/>
              <w:left w:val="nil"/>
              <w:bottom w:val="single" w:sz="4" w:space="0" w:color="auto"/>
              <w:right w:val="single" w:sz="4" w:space="0" w:color="auto"/>
            </w:tcBorders>
            <w:shd w:val="clear" w:color="000000" w:fill="FFFFFF"/>
            <w:noWrap/>
            <w:vAlign w:val="center"/>
            <w:hideMark/>
          </w:tcPr>
          <w:p w14:paraId="04DEF4F1" w14:textId="0995EC9C"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noWrap/>
            <w:vAlign w:val="center"/>
            <w:hideMark/>
          </w:tcPr>
          <w:p w14:paraId="78678150" w14:textId="1ECCD450" w:rsidR="00F434AF" w:rsidRPr="00394D05" w:rsidRDefault="00F434AF" w:rsidP="00F434AF">
            <w:pPr>
              <w:jc w:val="center"/>
              <w:rPr>
                <w:rFonts w:cs="Arial"/>
                <w:i/>
                <w:iCs/>
                <w:color w:val="000000"/>
                <w:sz w:val="17"/>
                <w:szCs w:val="17"/>
              </w:rPr>
            </w:pPr>
            <w:r w:rsidRPr="000B228E">
              <w:rPr>
                <w:rFonts w:cs="Arial"/>
                <w:color w:val="000000"/>
                <w:sz w:val="17"/>
                <w:szCs w:val="17"/>
              </w:rPr>
              <w:t>($7</w:t>
            </w:r>
            <w:r>
              <w:rPr>
                <w:rFonts w:cs="Arial"/>
                <w:color w:val="000000"/>
                <w:sz w:val="17"/>
                <w:szCs w:val="17"/>
              </w:rPr>
              <w:t>,</w:t>
            </w:r>
            <w:r w:rsidRPr="000B228E">
              <w:rPr>
                <w:rFonts w:cs="Arial"/>
                <w:color w:val="000000"/>
                <w:sz w:val="17"/>
                <w:szCs w:val="17"/>
              </w:rPr>
              <w:t>200</w:t>
            </w:r>
            <w:r>
              <w:rPr>
                <w:rFonts w:cs="Arial"/>
                <w:color w:val="000000"/>
                <w:sz w:val="17"/>
                <w:szCs w:val="17"/>
              </w:rPr>
              <w:t>,</w:t>
            </w:r>
            <w:r w:rsidRPr="000B228E">
              <w:rPr>
                <w:rFonts w:cs="Arial"/>
                <w:color w:val="000000"/>
                <w:sz w:val="17"/>
                <w:szCs w:val="17"/>
              </w:rPr>
              <w:t>000)</w:t>
            </w:r>
          </w:p>
        </w:tc>
        <w:tc>
          <w:tcPr>
            <w:tcW w:w="1437" w:type="dxa"/>
            <w:tcBorders>
              <w:top w:val="nil"/>
              <w:left w:val="nil"/>
              <w:bottom w:val="single" w:sz="4" w:space="0" w:color="auto"/>
              <w:right w:val="single" w:sz="4" w:space="0" w:color="auto"/>
            </w:tcBorders>
            <w:shd w:val="clear" w:color="000000" w:fill="FFFFFF"/>
            <w:noWrap/>
            <w:vAlign w:val="center"/>
            <w:hideMark/>
          </w:tcPr>
          <w:p w14:paraId="35D8CA02" w14:textId="31227D36" w:rsidR="00F434AF" w:rsidRPr="00394D05" w:rsidRDefault="00F434AF" w:rsidP="00F434AF">
            <w:pPr>
              <w:jc w:val="center"/>
              <w:rPr>
                <w:rFonts w:cs="Arial"/>
                <w:i/>
                <w:iCs/>
                <w:color w:val="000000"/>
                <w:sz w:val="17"/>
                <w:szCs w:val="17"/>
              </w:rPr>
            </w:pPr>
            <w:r w:rsidRPr="000B228E">
              <w:rPr>
                <w:rFonts w:cs="Arial"/>
                <w:color w:val="000000"/>
                <w:sz w:val="17"/>
                <w:szCs w:val="17"/>
              </w:rPr>
              <w:t>($7</w:t>
            </w:r>
            <w:r>
              <w:rPr>
                <w:rFonts w:cs="Arial"/>
                <w:color w:val="000000"/>
                <w:sz w:val="17"/>
                <w:szCs w:val="17"/>
              </w:rPr>
              <w:t>,</w:t>
            </w:r>
            <w:r w:rsidRPr="000B228E">
              <w:rPr>
                <w:rFonts w:cs="Arial"/>
                <w:color w:val="000000"/>
                <w:sz w:val="17"/>
                <w:szCs w:val="17"/>
              </w:rPr>
              <w:t>200</w:t>
            </w:r>
            <w:r>
              <w:rPr>
                <w:rFonts w:cs="Arial"/>
                <w:color w:val="000000"/>
                <w:sz w:val="17"/>
                <w:szCs w:val="17"/>
              </w:rPr>
              <w:t>,</w:t>
            </w:r>
            <w:r w:rsidRPr="000B228E">
              <w:rPr>
                <w:rFonts w:cs="Arial"/>
                <w:color w:val="000000"/>
                <w:sz w:val="17"/>
                <w:szCs w:val="17"/>
              </w:rPr>
              <w:t>000)</w:t>
            </w:r>
          </w:p>
        </w:tc>
        <w:tc>
          <w:tcPr>
            <w:tcW w:w="1437" w:type="dxa"/>
            <w:tcBorders>
              <w:top w:val="nil"/>
              <w:left w:val="nil"/>
              <w:bottom w:val="single" w:sz="4" w:space="0" w:color="auto"/>
              <w:right w:val="single" w:sz="4" w:space="0" w:color="auto"/>
            </w:tcBorders>
            <w:shd w:val="clear" w:color="000000" w:fill="FFFFFF"/>
            <w:noWrap/>
            <w:vAlign w:val="center"/>
            <w:hideMark/>
          </w:tcPr>
          <w:p w14:paraId="58CA7096" w14:textId="580B8CA3" w:rsidR="00F434AF" w:rsidRPr="00394D05" w:rsidRDefault="00F434AF" w:rsidP="00F434AF">
            <w:pPr>
              <w:jc w:val="center"/>
              <w:rPr>
                <w:rFonts w:cs="Arial"/>
                <w:i/>
                <w:iCs/>
                <w:color w:val="000000"/>
                <w:sz w:val="17"/>
                <w:szCs w:val="17"/>
              </w:rPr>
            </w:pPr>
            <w:r w:rsidRPr="000B228E">
              <w:rPr>
                <w:rFonts w:cs="Arial"/>
                <w:color w:val="000000"/>
                <w:sz w:val="17"/>
                <w:szCs w:val="17"/>
              </w:rPr>
              <w:t>($7</w:t>
            </w:r>
            <w:r>
              <w:rPr>
                <w:rFonts w:cs="Arial"/>
                <w:color w:val="000000"/>
                <w:sz w:val="17"/>
                <w:szCs w:val="17"/>
              </w:rPr>
              <w:t>,</w:t>
            </w:r>
            <w:r w:rsidRPr="000B228E">
              <w:rPr>
                <w:rFonts w:cs="Arial"/>
                <w:color w:val="000000"/>
                <w:sz w:val="17"/>
                <w:szCs w:val="17"/>
              </w:rPr>
              <w:t>200</w:t>
            </w:r>
            <w:r>
              <w:rPr>
                <w:rFonts w:cs="Arial"/>
                <w:color w:val="000000"/>
                <w:sz w:val="17"/>
                <w:szCs w:val="17"/>
              </w:rPr>
              <w:t>,</w:t>
            </w:r>
            <w:r w:rsidRPr="000B228E">
              <w:rPr>
                <w:rFonts w:cs="Arial"/>
                <w:color w:val="000000"/>
                <w:sz w:val="17"/>
                <w:szCs w:val="17"/>
              </w:rPr>
              <w:t>000)</w:t>
            </w:r>
          </w:p>
        </w:tc>
      </w:tr>
      <w:tr w:rsidR="00F434AF" w:rsidRPr="000B228E" w14:paraId="478BFF8C"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4D776B5" w14:textId="77777777" w:rsidR="00F434AF" w:rsidRPr="000B228E" w:rsidRDefault="00F434AF" w:rsidP="00F434AF">
            <w:pPr>
              <w:rPr>
                <w:rFonts w:cs="Arial"/>
                <w:color w:val="000000"/>
                <w:sz w:val="17"/>
                <w:szCs w:val="17"/>
              </w:rPr>
            </w:pPr>
            <w:r w:rsidRPr="000B228E">
              <w:rPr>
                <w:rFonts w:cs="Arial"/>
                <w:color w:val="000000"/>
                <w:sz w:val="17"/>
                <w:szCs w:val="17"/>
              </w:rPr>
              <w:t>NRC</w:t>
            </w:r>
          </w:p>
        </w:tc>
        <w:tc>
          <w:tcPr>
            <w:tcW w:w="1237" w:type="dxa"/>
            <w:tcBorders>
              <w:top w:val="nil"/>
              <w:left w:val="nil"/>
              <w:bottom w:val="single" w:sz="4" w:space="0" w:color="auto"/>
              <w:right w:val="single" w:sz="4" w:space="0" w:color="auto"/>
            </w:tcBorders>
            <w:shd w:val="clear" w:color="000000" w:fill="FFFFFF"/>
            <w:noWrap/>
            <w:vAlign w:val="center"/>
            <w:hideMark/>
          </w:tcPr>
          <w:p w14:paraId="08F1ED8D" w14:textId="1B48C4FE"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noWrap/>
            <w:vAlign w:val="center"/>
            <w:hideMark/>
          </w:tcPr>
          <w:p w14:paraId="4432EE00" w14:textId="6A4205CD"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noWrap/>
            <w:vAlign w:val="center"/>
            <w:hideMark/>
          </w:tcPr>
          <w:p w14:paraId="70E13D2E" w14:textId="5D75284E"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noWrap/>
            <w:vAlign w:val="center"/>
            <w:hideMark/>
          </w:tcPr>
          <w:p w14:paraId="0BF4FCFC" w14:textId="4EC7937B"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noWrap/>
            <w:vAlign w:val="center"/>
            <w:hideMark/>
          </w:tcPr>
          <w:p w14:paraId="5099F8FB" w14:textId="783C86CC"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noWrap/>
            <w:vAlign w:val="center"/>
            <w:hideMark/>
          </w:tcPr>
          <w:p w14:paraId="3DF1A02F" w14:textId="02F7C435"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noWrap/>
            <w:vAlign w:val="center"/>
            <w:hideMark/>
          </w:tcPr>
          <w:p w14:paraId="799AED3C" w14:textId="005117B0"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r>
      <w:tr w:rsidR="00F434AF" w:rsidRPr="000B228E" w14:paraId="612A7178"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60D7754D" w14:textId="77777777" w:rsidR="00F434AF" w:rsidRPr="000B228E" w:rsidRDefault="00F434AF" w:rsidP="00F434AF">
            <w:pPr>
              <w:rPr>
                <w:rFonts w:cs="Arial"/>
                <w:b/>
                <w:bCs/>
                <w:color w:val="000000"/>
                <w:sz w:val="17"/>
                <w:szCs w:val="17"/>
              </w:rPr>
            </w:pPr>
            <w:r w:rsidRPr="000B228E">
              <w:rPr>
                <w:rFonts w:cs="Arial"/>
                <w:b/>
                <w:bCs/>
                <w:color w:val="000000"/>
                <w:sz w:val="17"/>
                <w:szCs w:val="17"/>
              </w:rPr>
              <w:t>Total</w:t>
            </w:r>
          </w:p>
        </w:tc>
        <w:tc>
          <w:tcPr>
            <w:tcW w:w="1237" w:type="dxa"/>
            <w:tcBorders>
              <w:top w:val="nil"/>
              <w:left w:val="nil"/>
              <w:bottom w:val="single" w:sz="4" w:space="0" w:color="auto"/>
              <w:right w:val="single" w:sz="4" w:space="0" w:color="auto"/>
            </w:tcBorders>
            <w:shd w:val="clear" w:color="000000" w:fill="FFFFFF"/>
            <w:noWrap/>
            <w:vAlign w:val="center"/>
            <w:hideMark/>
          </w:tcPr>
          <w:p w14:paraId="44BBE3D6" w14:textId="0A22FD11" w:rsidR="00F434AF" w:rsidRPr="00394D05" w:rsidRDefault="00F434AF" w:rsidP="00F434AF">
            <w:pPr>
              <w:jc w:val="center"/>
              <w:rPr>
                <w:rFonts w:cs="Arial"/>
                <w:b/>
                <w:bCs/>
                <w:color w:val="000000"/>
                <w:sz w:val="17"/>
                <w:szCs w:val="17"/>
              </w:rPr>
            </w:pPr>
            <w:r w:rsidRPr="000B228E">
              <w:rPr>
                <w:rFonts w:cs="Arial"/>
                <w:i/>
                <w:iCs/>
                <w:color w:val="000000"/>
                <w:sz w:val="17"/>
                <w:szCs w:val="17"/>
              </w:rPr>
              <w:t>($110</w:t>
            </w:r>
            <w:r>
              <w:rPr>
                <w:rFonts w:cs="Arial"/>
                <w:i/>
                <w:iCs/>
                <w:color w:val="000000"/>
                <w:sz w:val="17"/>
                <w:szCs w:val="17"/>
              </w:rPr>
              <w:t>,</w:t>
            </w:r>
            <w:r w:rsidRPr="000B228E">
              <w:rPr>
                <w:rFonts w:cs="Arial"/>
                <w:i/>
                <w:iCs/>
                <w:color w:val="000000"/>
                <w:sz w:val="17"/>
                <w:szCs w:val="17"/>
              </w:rPr>
              <w:t>000)</w:t>
            </w:r>
          </w:p>
        </w:tc>
        <w:tc>
          <w:tcPr>
            <w:tcW w:w="1087" w:type="dxa"/>
            <w:tcBorders>
              <w:top w:val="nil"/>
              <w:left w:val="nil"/>
              <w:bottom w:val="single" w:sz="4" w:space="0" w:color="auto"/>
              <w:right w:val="single" w:sz="4" w:space="0" w:color="auto"/>
            </w:tcBorders>
            <w:shd w:val="clear" w:color="000000" w:fill="FFFFFF"/>
            <w:noWrap/>
            <w:vAlign w:val="center"/>
            <w:hideMark/>
          </w:tcPr>
          <w:p w14:paraId="772072EA" w14:textId="40905D3C" w:rsidR="00F434AF" w:rsidRPr="00394D05" w:rsidRDefault="00F434AF" w:rsidP="00F434AF">
            <w:pPr>
              <w:jc w:val="center"/>
              <w:rPr>
                <w:rFonts w:cs="Arial"/>
                <w:b/>
                <w:bCs/>
                <w:color w:val="000000"/>
                <w:sz w:val="17"/>
                <w:szCs w:val="17"/>
              </w:rPr>
            </w:pPr>
            <w:r w:rsidRPr="000B228E">
              <w:rPr>
                <w:rFonts w:cs="Arial"/>
                <w:i/>
                <w:iCs/>
                <w:color w:val="000000"/>
                <w:sz w:val="17"/>
                <w:szCs w:val="17"/>
              </w:rPr>
              <w:t xml:space="preserve">$0 </w:t>
            </w:r>
          </w:p>
        </w:tc>
        <w:tc>
          <w:tcPr>
            <w:tcW w:w="1437" w:type="dxa"/>
            <w:tcBorders>
              <w:top w:val="nil"/>
              <w:left w:val="nil"/>
              <w:bottom w:val="single" w:sz="4" w:space="0" w:color="auto"/>
              <w:right w:val="single" w:sz="4" w:space="0" w:color="auto"/>
            </w:tcBorders>
            <w:shd w:val="clear" w:color="000000" w:fill="FFFFFF"/>
            <w:noWrap/>
            <w:vAlign w:val="center"/>
            <w:hideMark/>
          </w:tcPr>
          <w:p w14:paraId="32E5639C" w14:textId="5B61C378" w:rsidR="00F434AF" w:rsidRPr="00394D05" w:rsidRDefault="00F434AF" w:rsidP="00F434AF">
            <w:pPr>
              <w:jc w:val="center"/>
              <w:rPr>
                <w:rFonts w:cs="Arial"/>
                <w:b/>
                <w:bCs/>
                <w:color w:val="000000"/>
                <w:sz w:val="17"/>
                <w:szCs w:val="17"/>
              </w:rPr>
            </w:pPr>
            <w:r w:rsidRPr="000B228E">
              <w:rPr>
                <w:rFonts w:cs="Arial"/>
                <w:i/>
                <w:iCs/>
                <w:color w:val="000000"/>
                <w:sz w:val="17"/>
                <w:szCs w:val="17"/>
              </w:rPr>
              <w:t>($7</w:t>
            </w:r>
            <w:r>
              <w:rPr>
                <w:rFonts w:cs="Arial"/>
                <w:i/>
                <w:iCs/>
                <w:color w:val="000000"/>
                <w:sz w:val="17"/>
                <w:szCs w:val="17"/>
              </w:rPr>
              <w:t>,</w:t>
            </w:r>
            <w:r w:rsidRPr="000B228E">
              <w:rPr>
                <w:rFonts w:cs="Arial"/>
                <w:i/>
                <w:iCs/>
                <w:color w:val="000000"/>
                <w:sz w:val="17"/>
                <w:szCs w:val="17"/>
              </w:rPr>
              <w:t>200</w:t>
            </w:r>
            <w:r>
              <w:rPr>
                <w:rFonts w:cs="Arial"/>
                <w:i/>
                <w:iCs/>
                <w:color w:val="000000"/>
                <w:sz w:val="17"/>
                <w:szCs w:val="17"/>
              </w:rPr>
              <w:t>,</w:t>
            </w:r>
            <w:r w:rsidRPr="000B228E">
              <w:rPr>
                <w:rFonts w:cs="Arial"/>
                <w:i/>
                <w:iCs/>
                <w:color w:val="000000"/>
                <w:sz w:val="17"/>
                <w:szCs w:val="17"/>
              </w:rPr>
              <w:t>000)</w:t>
            </w:r>
          </w:p>
        </w:tc>
        <w:tc>
          <w:tcPr>
            <w:tcW w:w="1237" w:type="dxa"/>
            <w:tcBorders>
              <w:top w:val="nil"/>
              <w:left w:val="nil"/>
              <w:bottom w:val="single" w:sz="4" w:space="0" w:color="auto"/>
              <w:right w:val="single" w:sz="4" w:space="0" w:color="auto"/>
            </w:tcBorders>
            <w:shd w:val="clear" w:color="000000" w:fill="FFFFFF"/>
            <w:noWrap/>
            <w:vAlign w:val="center"/>
            <w:hideMark/>
          </w:tcPr>
          <w:p w14:paraId="252B2107" w14:textId="73E9E182" w:rsidR="00F434AF" w:rsidRPr="00394D05" w:rsidRDefault="00F434AF" w:rsidP="00F434AF">
            <w:pPr>
              <w:jc w:val="center"/>
              <w:rPr>
                <w:rFonts w:cs="Arial"/>
                <w:b/>
                <w:bCs/>
                <w:color w:val="000000"/>
                <w:sz w:val="17"/>
                <w:szCs w:val="17"/>
              </w:rPr>
            </w:pPr>
            <w:r w:rsidRPr="000B228E">
              <w:rPr>
                <w:rFonts w:cs="Arial"/>
                <w:i/>
                <w:iCs/>
                <w:color w:val="000000"/>
                <w:sz w:val="17"/>
                <w:szCs w:val="17"/>
              </w:rPr>
              <w:t xml:space="preserve">$0 </w:t>
            </w:r>
          </w:p>
        </w:tc>
        <w:tc>
          <w:tcPr>
            <w:tcW w:w="1437" w:type="dxa"/>
            <w:tcBorders>
              <w:top w:val="nil"/>
              <w:left w:val="nil"/>
              <w:bottom w:val="single" w:sz="4" w:space="0" w:color="auto"/>
              <w:right w:val="single" w:sz="4" w:space="0" w:color="auto"/>
            </w:tcBorders>
            <w:shd w:val="clear" w:color="000000" w:fill="FFFFFF"/>
            <w:noWrap/>
            <w:vAlign w:val="center"/>
            <w:hideMark/>
          </w:tcPr>
          <w:p w14:paraId="029EDCB8" w14:textId="54AB688D" w:rsidR="00F434AF" w:rsidRPr="00394D05" w:rsidRDefault="00F434AF" w:rsidP="00F434AF">
            <w:pPr>
              <w:jc w:val="center"/>
              <w:rPr>
                <w:rFonts w:cs="Arial"/>
                <w:b/>
                <w:bCs/>
                <w:color w:val="000000"/>
                <w:sz w:val="17"/>
                <w:szCs w:val="17"/>
              </w:rPr>
            </w:pPr>
            <w:r w:rsidRPr="000B228E">
              <w:rPr>
                <w:rFonts w:cs="Arial"/>
                <w:i/>
                <w:iCs/>
                <w:color w:val="000000"/>
                <w:sz w:val="17"/>
                <w:szCs w:val="17"/>
              </w:rPr>
              <w:t>($7</w:t>
            </w:r>
            <w:r>
              <w:rPr>
                <w:rFonts w:cs="Arial"/>
                <w:i/>
                <w:iCs/>
                <w:color w:val="000000"/>
                <w:sz w:val="17"/>
                <w:szCs w:val="17"/>
              </w:rPr>
              <w:t>,</w:t>
            </w:r>
            <w:r w:rsidRPr="000B228E">
              <w:rPr>
                <w:rFonts w:cs="Arial"/>
                <w:i/>
                <w:iCs/>
                <w:color w:val="000000"/>
                <w:sz w:val="17"/>
                <w:szCs w:val="17"/>
              </w:rPr>
              <w:t>200</w:t>
            </w:r>
            <w:r>
              <w:rPr>
                <w:rFonts w:cs="Arial"/>
                <w:i/>
                <w:iCs/>
                <w:color w:val="000000"/>
                <w:sz w:val="17"/>
                <w:szCs w:val="17"/>
              </w:rPr>
              <w:t>,</w:t>
            </w:r>
            <w:r w:rsidRPr="000B228E">
              <w:rPr>
                <w:rFonts w:cs="Arial"/>
                <w:i/>
                <w:iCs/>
                <w:color w:val="000000"/>
                <w:sz w:val="17"/>
                <w:szCs w:val="17"/>
              </w:rPr>
              <w:t>000)</w:t>
            </w:r>
          </w:p>
        </w:tc>
        <w:tc>
          <w:tcPr>
            <w:tcW w:w="1437" w:type="dxa"/>
            <w:tcBorders>
              <w:top w:val="nil"/>
              <w:left w:val="nil"/>
              <w:bottom w:val="single" w:sz="4" w:space="0" w:color="auto"/>
              <w:right w:val="single" w:sz="4" w:space="0" w:color="auto"/>
            </w:tcBorders>
            <w:shd w:val="clear" w:color="000000" w:fill="FFFFFF"/>
            <w:noWrap/>
            <w:vAlign w:val="center"/>
            <w:hideMark/>
          </w:tcPr>
          <w:p w14:paraId="238623C9" w14:textId="2319AB0D" w:rsidR="00F434AF" w:rsidRPr="00394D05" w:rsidRDefault="00F434AF" w:rsidP="00F434AF">
            <w:pPr>
              <w:jc w:val="center"/>
              <w:rPr>
                <w:rFonts w:cs="Arial"/>
                <w:b/>
                <w:bCs/>
                <w:color w:val="000000"/>
                <w:sz w:val="17"/>
                <w:szCs w:val="17"/>
              </w:rPr>
            </w:pPr>
            <w:r w:rsidRPr="000B228E">
              <w:rPr>
                <w:rFonts w:cs="Arial"/>
                <w:i/>
                <w:iCs/>
                <w:color w:val="000000"/>
                <w:sz w:val="17"/>
                <w:szCs w:val="17"/>
              </w:rPr>
              <w:t>($7</w:t>
            </w:r>
            <w:r>
              <w:rPr>
                <w:rFonts w:cs="Arial"/>
                <w:i/>
                <w:iCs/>
                <w:color w:val="000000"/>
                <w:sz w:val="17"/>
                <w:szCs w:val="17"/>
              </w:rPr>
              <w:t>,</w:t>
            </w:r>
            <w:r w:rsidRPr="000B228E">
              <w:rPr>
                <w:rFonts w:cs="Arial"/>
                <w:i/>
                <w:iCs/>
                <w:color w:val="000000"/>
                <w:sz w:val="17"/>
                <w:szCs w:val="17"/>
              </w:rPr>
              <w:t>200</w:t>
            </w:r>
            <w:r>
              <w:rPr>
                <w:rFonts w:cs="Arial"/>
                <w:i/>
                <w:iCs/>
                <w:color w:val="000000"/>
                <w:sz w:val="17"/>
                <w:szCs w:val="17"/>
              </w:rPr>
              <w:t>,</w:t>
            </w:r>
            <w:r w:rsidRPr="000B228E">
              <w:rPr>
                <w:rFonts w:cs="Arial"/>
                <w:i/>
                <w:iCs/>
                <w:color w:val="000000"/>
                <w:sz w:val="17"/>
                <w:szCs w:val="17"/>
              </w:rPr>
              <w:t>000)</w:t>
            </w:r>
          </w:p>
        </w:tc>
        <w:tc>
          <w:tcPr>
            <w:tcW w:w="1437" w:type="dxa"/>
            <w:tcBorders>
              <w:top w:val="nil"/>
              <w:left w:val="nil"/>
              <w:bottom w:val="single" w:sz="4" w:space="0" w:color="auto"/>
              <w:right w:val="single" w:sz="4" w:space="0" w:color="auto"/>
            </w:tcBorders>
            <w:shd w:val="clear" w:color="000000" w:fill="FFFFFF"/>
            <w:noWrap/>
            <w:vAlign w:val="center"/>
            <w:hideMark/>
          </w:tcPr>
          <w:p w14:paraId="6C179E8D" w14:textId="36A16279" w:rsidR="00F434AF" w:rsidRPr="00394D05" w:rsidRDefault="00F434AF" w:rsidP="00F434AF">
            <w:pPr>
              <w:jc w:val="center"/>
              <w:rPr>
                <w:rFonts w:cs="Arial"/>
                <w:b/>
                <w:bCs/>
                <w:color w:val="000000"/>
                <w:sz w:val="17"/>
                <w:szCs w:val="17"/>
              </w:rPr>
            </w:pPr>
            <w:r w:rsidRPr="000B228E">
              <w:rPr>
                <w:rFonts w:cs="Arial"/>
                <w:i/>
                <w:iCs/>
                <w:color w:val="000000"/>
                <w:sz w:val="17"/>
                <w:szCs w:val="17"/>
              </w:rPr>
              <w:t>($7</w:t>
            </w:r>
            <w:r>
              <w:rPr>
                <w:rFonts w:cs="Arial"/>
                <w:i/>
                <w:iCs/>
                <w:color w:val="000000"/>
                <w:sz w:val="17"/>
                <w:szCs w:val="17"/>
              </w:rPr>
              <w:t>,</w:t>
            </w:r>
            <w:r w:rsidRPr="000B228E">
              <w:rPr>
                <w:rFonts w:cs="Arial"/>
                <w:i/>
                <w:iCs/>
                <w:color w:val="000000"/>
                <w:sz w:val="17"/>
                <w:szCs w:val="17"/>
              </w:rPr>
              <w:t>200</w:t>
            </w:r>
            <w:r>
              <w:rPr>
                <w:rFonts w:cs="Arial"/>
                <w:i/>
                <w:iCs/>
                <w:color w:val="000000"/>
                <w:sz w:val="17"/>
                <w:szCs w:val="17"/>
              </w:rPr>
              <w:t>,</w:t>
            </w:r>
            <w:r w:rsidRPr="000B228E">
              <w:rPr>
                <w:rFonts w:cs="Arial"/>
                <w:i/>
                <w:iCs/>
                <w:color w:val="000000"/>
                <w:sz w:val="17"/>
                <w:szCs w:val="17"/>
              </w:rPr>
              <w:t>000)</w:t>
            </w:r>
          </w:p>
        </w:tc>
      </w:tr>
    </w:tbl>
    <w:p w14:paraId="7F0AE051" w14:textId="15D577A3" w:rsidR="00573DB0" w:rsidRPr="00766388" w:rsidRDefault="00573DB0" w:rsidP="00C5197B">
      <w:pPr>
        <w:numPr>
          <w:ilvl w:val="12"/>
          <w:numId w:val="0"/>
        </w:numPr>
        <w:tabs>
          <w:tab w:val="left" w:pos="721"/>
        </w:tabs>
        <w:ind w:left="-180" w:hanging="360"/>
        <w:rPr>
          <w:sz w:val="18"/>
          <w:szCs w:val="18"/>
        </w:rPr>
      </w:pPr>
      <w:r w:rsidRPr="00766388">
        <w:rPr>
          <w:sz w:val="18"/>
          <w:szCs w:val="18"/>
        </w:rPr>
        <w:t>*</w:t>
      </w:r>
      <w:r w:rsidR="007E77E4">
        <w:rPr>
          <w:sz w:val="18"/>
          <w:szCs w:val="18"/>
        </w:rPr>
        <w:tab/>
      </w:r>
      <w:r w:rsidR="00E63B63" w:rsidRPr="00766388">
        <w:rPr>
          <w:sz w:val="18"/>
          <w:szCs w:val="18"/>
        </w:rPr>
        <w:t>Results are rounded</w:t>
      </w:r>
      <w:r w:rsidRPr="00766388">
        <w:rPr>
          <w:sz w:val="18"/>
          <w:szCs w:val="18"/>
        </w:rPr>
        <w:t>.</w:t>
      </w:r>
    </w:p>
    <w:p w14:paraId="5F4C837A" w14:textId="77777777" w:rsidR="00A00026" w:rsidRDefault="00A00026" w:rsidP="0062754D">
      <w:pPr>
        <w:numPr>
          <w:ilvl w:val="12"/>
          <w:numId w:val="0"/>
        </w:numPr>
        <w:tabs>
          <w:tab w:val="left" w:pos="721"/>
        </w:tabs>
        <w:rPr>
          <w:szCs w:val="22"/>
        </w:rPr>
      </w:pPr>
    </w:p>
    <w:p w14:paraId="155CC97F" w14:textId="28641E5C" w:rsidR="00A00026" w:rsidRPr="00B56F2B" w:rsidRDefault="00B56F2B" w:rsidP="00EA375C">
      <w:pPr>
        <w:keepNext/>
        <w:tabs>
          <w:tab w:val="left" w:pos="721"/>
        </w:tabs>
        <w:rPr>
          <w:rFonts w:eastAsiaTheme="minorEastAsia" w:cs="Arial"/>
          <w:sz w:val="22"/>
          <w:szCs w:val="22"/>
          <w:lang w:eastAsia="ja-JP"/>
        </w:rPr>
      </w:pPr>
      <w:r w:rsidRPr="00B56F2B">
        <w:rPr>
          <w:sz w:val="22"/>
          <w:szCs w:val="22"/>
        </w:rPr>
        <w:t>Exhibit 3-</w:t>
      </w:r>
      <w:r w:rsidR="0095574D">
        <w:rPr>
          <w:sz w:val="22"/>
          <w:szCs w:val="22"/>
        </w:rPr>
        <w:t>3</w:t>
      </w:r>
      <w:r w:rsidRPr="00B56F2B">
        <w:rPr>
          <w:sz w:val="22"/>
          <w:szCs w:val="22"/>
        </w:rPr>
        <w:t xml:space="preserve"> </w:t>
      </w:r>
      <w:r w:rsidR="00CC571E" w:rsidRPr="00B56F2B">
        <w:rPr>
          <w:rFonts w:eastAsiaTheme="minorEastAsia" w:cs="Arial"/>
          <w:sz w:val="22"/>
          <w:szCs w:val="22"/>
          <w:lang w:eastAsia="ja-JP"/>
        </w:rPr>
        <w:t xml:space="preserve">summarizes the incremental costs and benefits of </w:t>
      </w:r>
      <w:r w:rsidR="00EB4899" w:rsidRPr="00B56F2B">
        <w:rPr>
          <w:rFonts w:eastAsiaTheme="minorEastAsia" w:cs="Arial"/>
          <w:sz w:val="22"/>
          <w:szCs w:val="22"/>
          <w:lang w:eastAsia="ja-JP"/>
        </w:rPr>
        <w:t xml:space="preserve">Option </w:t>
      </w:r>
      <w:r w:rsidR="008963FD">
        <w:rPr>
          <w:rFonts w:eastAsiaTheme="minorEastAsia" w:cs="Arial"/>
          <w:sz w:val="22"/>
          <w:szCs w:val="22"/>
          <w:lang w:eastAsia="ja-JP"/>
        </w:rPr>
        <w:t>2</w:t>
      </w:r>
      <w:r w:rsidR="00EB4899" w:rsidRPr="00B56F2B">
        <w:rPr>
          <w:rFonts w:eastAsiaTheme="minorEastAsia" w:cs="Arial"/>
          <w:sz w:val="22"/>
          <w:szCs w:val="22"/>
          <w:lang w:eastAsia="ja-JP"/>
        </w:rPr>
        <w:t>.</w:t>
      </w:r>
    </w:p>
    <w:p w14:paraId="6A3C9628" w14:textId="62C271DD" w:rsidR="00341077" w:rsidRPr="00A02A87" w:rsidRDefault="00341077" w:rsidP="00FF2FE4">
      <w:pPr>
        <w:pStyle w:val="Exhibit"/>
      </w:pPr>
      <w:bookmarkStart w:id="144" w:name="_Toc532457265"/>
      <w:r>
        <w:t>Exhibit 3-</w:t>
      </w:r>
      <w:r w:rsidR="0095574D">
        <w:t>3</w:t>
      </w:r>
      <w:r w:rsidR="000E1083">
        <w:tab/>
      </w:r>
      <w:r>
        <w:t xml:space="preserve">Summary of Incremental Costs and Benefits for </w:t>
      </w:r>
      <w:r w:rsidR="008963FD">
        <w:t>the Rulemaking Option</w:t>
      </w:r>
      <w:bookmarkEnd w:id="144"/>
    </w:p>
    <w:tbl>
      <w:tblPr>
        <w:tblW w:w="9360" w:type="dxa"/>
        <w:tblInd w:w="-5" w:type="dxa"/>
        <w:tblLook w:val="04A0" w:firstRow="1" w:lastRow="0" w:firstColumn="1" w:lastColumn="0" w:noHBand="0" w:noVBand="1"/>
      </w:tblPr>
      <w:tblGrid>
        <w:gridCol w:w="3420"/>
        <w:gridCol w:w="5940"/>
      </w:tblGrid>
      <w:tr w:rsidR="00BE0384" w:rsidRPr="00BE0384" w14:paraId="39F73BC2" w14:textId="77777777" w:rsidTr="00BE0384">
        <w:trPr>
          <w:trHeight w:val="288"/>
          <w:tblHeader/>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CCE25" w14:textId="77777777" w:rsidR="00BE0384" w:rsidRPr="00BE0384" w:rsidRDefault="00BE0384" w:rsidP="00BE0384">
            <w:pPr>
              <w:autoSpaceDE/>
              <w:autoSpaceDN/>
              <w:adjustRightInd/>
              <w:rPr>
                <w:rFonts w:cs="Arial"/>
                <w:b/>
                <w:bCs/>
                <w:sz w:val="18"/>
                <w:szCs w:val="18"/>
              </w:rPr>
            </w:pPr>
            <w:r w:rsidRPr="00BE0384">
              <w:rPr>
                <w:rFonts w:cs="Arial"/>
                <w:b/>
                <w:bCs/>
                <w:sz w:val="18"/>
                <w:szCs w:val="18"/>
              </w:rPr>
              <w:t>Incremental Costs</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14:paraId="673D6922" w14:textId="77777777" w:rsidR="00BE0384" w:rsidRPr="00BE0384" w:rsidRDefault="00BE0384" w:rsidP="00BE0384">
            <w:pPr>
              <w:autoSpaceDE/>
              <w:autoSpaceDN/>
              <w:adjustRightInd/>
              <w:rPr>
                <w:rFonts w:cs="Arial"/>
                <w:b/>
                <w:bCs/>
                <w:sz w:val="18"/>
                <w:szCs w:val="18"/>
              </w:rPr>
            </w:pPr>
            <w:r w:rsidRPr="00BE0384">
              <w:rPr>
                <w:rFonts w:cs="Arial"/>
                <w:b/>
                <w:bCs/>
                <w:sz w:val="18"/>
                <w:szCs w:val="18"/>
              </w:rPr>
              <w:t>Incremental Benefits</w:t>
            </w:r>
          </w:p>
        </w:tc>
      </w:tr>
      <w:tr w:rsidR="00BE0384" w:rsidRPr="00BE0384" w14:paraId="34FADA82" w14:textId="77777777" w:rsidTr="005B7C12">
        <w:trPr>
          <w:trHeight w:val="3545"/>
        </w:trPr>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0AF9D13D" w14:textId="11B21264" w:rsidR="00BE0384" w:rsidRDefault="00BE0384" w:rsidP="00BE0384">
            <w:pPr>
              <w:autoSpaceDE/>
              <w:autoSpaceDN/>
              <w:adjustRightInd/>
              <w:rPr>
                <w:rFonts w:cs="Arial"/>
                <w:sz w:val="18"/>
                <w:szCs w:val="18"/>
              </w:rPr>
            </w:pPr>
            <w:r w:rsidRPr="00BE0384">
              <w:rPr>
                <w:rFonts w:cs="Arial"/>
                <w:b/>
                <w:bCs/>
                <w:sz w:val="18"/>
                <w:szCs w:val="18"/>
              </w:rPr>
              <w:t>Industry:</w:t>
            </w:r>
          </w:p>
          <w:p w14:paraId="10D7E62A" w14:textId="5CB38DB5" w:rsidR="00BE0384" w:rsidRDefault="00BE0384" w:rsidP="00BE0384">
            <w:pPr>
              <w:autoSpaceDE/>
              <w:autoSpaceDN/>
              <w:adjustRightInd/>
              <w:rPr>
                <w:rFonts w:cs="Arial"/>
                <w:sz w:val="18"/>
                <w:szCs w:val="18"/>
              </w:rPr>
            </w:pPr>
            <w:r w:rsidRPr="00BE0384">
              <w:rPr>
                <w:rFonts w:cs="Arial"/>
                <w:sz w:val="18"/>
                <w:szCs w:val="18"/>
              </w:rPr>
              <w:t>($</w:t>
            </w:r>
            <w:r w:rsidR="00116F89">
              <w:rPr>
                <w:rFonts w:cs="Arial"/>
                <w:sz w:val="18"/>
                <w:szCs w:val="18"/>
              </w:rPr>
              <w:t>7.2</w:t>
            </w:r>
            <w:r w:rsidRPr="00BE0384">
              <w:rPr>
                <w:rFonts w:cs="Arial"/>
                <w:sz w:val="18"/>
                <w:szCs w:val="18"/>
              </w:rPr>
              <w:t xml:space="preserve"> million) </w:t>
            </w:r>
            <w:r w:rsidR="00116F89">
              <w:rPr>
                <w:rFonts w:cs="Arial"/>
                <w:sz w:val="18"/>
                <w:szCs w:val="18"/>
              </w:rPr>
              <w:t>one-time implementation cost</w:t>
            </w:r>
          </w:p>
          <w:p w14:paraId="1C49372E" w14:textId="77777777" w:rsidR="00BE0384" w:rsidRDefault="00BE0384" w:rsidP="00BE0384">
            <w:pPr>
              <w:autoSpaceDE/>
              <w:autoSpaceDN/>
              <w:adjustRightInd/>
              <w:rPr>
                <w:rFonts w:cs="Arial"/>
                <w:sz w:val="18"/>
                <w:szCs w:val="18"/>
              </w:rPr>
            </w:pPr>
          </w:p>
          <w:p w14:paraId="49F20C7D" w14:textId="77777777" w:rsidR="00BE0384" w:rsidRDefault="00BE0384" w:rsidP="00BE0384">
            <w:pPr>
              <w:autoSpaceDE/>
              <w:autoSpaceDN/>
              <w:adjustRightInd/>
              <w:rPr>
                <w:rFonts w:cs="Arial"/>
                <w:sz w:val="18"/>
                <w:szCs w:val="18"/>
              </w:rPr>
            </w:pPr>
            <w:r w:rsidRPr="00BE0384">
              <w:rPr>
                <w:rFonts w:cs="Arial"/>
                <w:b/>
                <w:bCs/>
                <w:sz w:val="18"/>
                <w:szCs w:val="18"/>
              </w:rPr>
              <w:t>NRC:</w:t>
            </w:r>
          </w:p>
          <w:p w14:paraId="746DE114" w14:textId="775DA933" w:rsidR="00BE0384" w:rsidRDefault="00116F89" w:rsidP="00BE0384">
            <w:pPr>
              <w:autoSpaceDE/>
              <w:autoSpaceDN/>
              <w:adjustRightInd/>
              <w:rPr>
                <w:rFonts w:cs="Arial"/>
                <w:sz w:val="18"/>
                <w:szCs w:val="18"/>
              </w:rPr>
            </w:pPr>
            <w:r>
              <w:rPr>
                <w:rFonts w:cs="Arial"/>
                <w:sz w:val="18"/>
                <w:szCs w:val="18"/>
              </w:rPr>
              <w:t>No incremental cost.</w:t>
            </w:r>
          </w:p>
          <w:p w14:paraId="3660C277" w14:textId="77777777" w:rsidR="00191147" w:rsidRDefault="00191147" w:rsidP="00BE0384">
            <w:pPr>
              <w:autoSpaceDE/>
              <w:autoSpaceDN/>
              <w:adjustRightInd/>
              <w:rPr>
                <w:rFonts w:cs="Arial"/>
                <w:sz w:val="18"/>
                <w:szCs w:val="18"/>
              </w:rPr>
            </w:pPr>
          </w:p>
          <w:p w14:paraId="39110EFF" w14:textId="77777777" w:rsidR="00191147" w:rsidRPr="00EA375C" w:rsidRDefault="00191147" w:rsidP="00BE0384">
            <w:pPr>
              <w:autoSpaceDE/>
              <w:autoSpaceDN/>
              <w:adjustRightInd/>
              <w:rPr>
                <w:rFonts w:cs="Arial"/>
                <w:b/>
                <w:sz w:val="18"/>
                <w:szCs w:val="18"/>
              </w:rPr>
            </w:pPr>
            <w:r w:rsidRPr="00EA375C">
              <w:rPr>
                <w:rFonts w:cs="Arial"/>
                <w:b/>
                <w:sz w:val="18"/>
                <w:szCs w:val="18"/>
              </w:rPr>
              <w:t>Total:</w:t>
            </w:r>
          </w:p>
          <w:p w14:paraId="5CBC455C" w14:textId="0BDD1F6F" w:rsidR="00191147" w:rsidRPr="00BE0384" w:rsidRDefault="00191147" w:rsidP="007169D0">
            <w:pPr>
              <w:autoSpaceDE/>
              <w:autoSpaceDN/>
              <w:adjustRightInd/>
              <w:rPr>
                <w:rFonts w:cs="Arial"/>
                <w:sz w:val="18"/>
                <w:szCs w:val="18"/>
              </w:rPr>
            </w:pPr>
            <w:r>
              <w:rPr>
                <w:rFonts w:cs="Arial"/>
                <w:sz w:val="18"/>
                <w:szCs w:val="18"/>
              </w:rPr>
              <w:t>($</w:t>
            </w:r>
            <w:r w:rsidR="00116F89">
              <w:rPr>
                <w:rFonts w:cs="Arial"/>
                <w:sz w:val="18"/>
                <w:szCs w:val="18"/>
              </w:rPr>
              <w:t>7.2</w:t>
            </w:r>
            <w:r w:rsidR="007169D0">
              <w:rPr>
                <w:rFonts w:cs="Arial"/>
                <w:sz w:val="18"/>
                <w:szCs w:val="18"/>
              </w:rPr>
              <w:t xml:space="preserve"> million)</w:t>
            </w:r>
          </w:p>
        </w:tc>
        <w:tc>
          <w:tcPr>
            <w:tcW w:w="5940" w:type="dxa"/>
            <w:tcBorders>
              <w:top w:val="single" w:sz="4" w:space="0" w:color="auto"/>
              <w:left w:val="single" w:sz="4" w:space="0" w:color="auto"/>
              <w:bottom w:val="single" w:sz="4" w:space="0" w:color="auto"/>
              <w:right w:val="single" w:sz="4" w:space="0" w:color="000000"/>
            </w:tcBorders>
            <w:shd w:val="clear" w:color="auto" w:fill="auto"/>
            <w:hideMark/>
          </w:tcPr>
          <w:p w14:paraId="21BC6776" w14:textId="78B5538B" w:rsidR="00BE0384" w:rsidRPr="00BE0384" w:rsidRDefault="00D74234" w:rsidP="00BE0384">
            <w:pPr>
              <w:autoSpaceDE/>
              <w:autoSpaceDN/>
              <w:adjustRightInd/>
              <w:rPr>
                <w:rFonts w:cs="Arial"/>
                <w:color w:val="000000"/>
                <w:sz w:val="18"/>
                <w:szCs w:val="18"/>
              </w:rPr>
            </w:pPr>
            <w:r>
              <w:rPr>
                <w:rFonts w:cs="Arial"/>
                <w:color w:val="000000"/>
                <w:sz w:val="18"/>
                <w:szCs w:val="18"/>
              </w:rPr>
              <w:t>Increases r</w:t>
            </w:r>
            <w:r w:rsidR="00BE0384" w:rsidRPr="00BE0384">
              <w:rPr>
                <w:rFonts w:cs="Arial"/>
                <w:color w:val="000000"/>
                <w:sz w:val="18"/>
                <w:szCs w:val="18"/>
              </w:rPr>
              <w:t>egulatory efficiency</w:t>
            </w:r>
            <w:r>
              <w:rPr>
                <w:rFonts w:cs="Arial"/>
                <w:color w:val="000000"/>
                <w:sz w:val="18"/>
                <w:szCs w:val="18"/>
              </w:rPr>
              <w:t>.</w:t>
            </w:r>
          </w:p>
          <w:p w14:paraId="2B82A2FB" w14:textId="77777777" w:rsidR="00BE0384" w:rsidRPr="00BE0384" w:rsidRDefault="00BE0384" w:rsidP="00BE0384">
            <w:pPr>
              <w:autoSpaceDE/>
              <w:autoSpaceDN/>
              <w:adjustRightInd/>
              <w:rPr>
                <w:rFonts w:cs="Arial"/>
                <w:color w:val="000000"/>
                <w:sz w:val="18"/>
                <w:szCs w:val="18"/>
              </w:rPr>
            </w:pPr>
          </w:p>
          <w:p w14:paraId="6E9ABA00" w14:textId="30AFDE4A" w:rsidR="00BE0384" w:rsidRPr="00BE0384" w:rsidRDefault="007D12C5" w:rsidP="00BE0384">
            <w:pPr>
              <w:autoSpaceDE/>
              <w:autoSpaceDN/>
              <w:adjustRightInd/>
              <w:rPr>
                <w:rFonts w:cs="Arial"/>
                <w:color w:val="000000"/>
                <w:sz w:val="18"/>
                <w:szCs w:val="18"/>
              </w:rPr>
            </w:pPr>
            <w:r>
              <w:rPr>
                <w:rFonts w:cs="Arial"/>
                <w:color w:val="000000"/>
                <w:sz w:val="18"/>
                <w:szCs w:val="18"/>
              </w:rPr>
              <w:t>Provides for</w:t>
            </w:r>
            <w:r w:rsidR="00BE0384" w:rsidRPr="00BE0384">
              <w:rPr>
                <w:rFonts w:cs="Arial"/>
                <w:color w:val="000000"/>
                <w:sz w:val="18"/>
                <w:szCs w:val="18"/>
              </w:rPr>
              <w:t xml:space="preserve"> strategies and guidelines </w:t>
            </w:r>
            <w:r>
              <w:rPr>
                <w:rFonts w:cs="Arial"/>
                <w:color w:val="000000"/>
                <w:sz w:val="18"/>
                <w:szCs w:val="18"/>
              </w:rPr>
              <w:t xml:space="preserve">that </w:t>
            </w:r>
            <w:r w:rsidR="00BE0384" w:rsidRPr="00BE0384">
              <w:rPr>
                <w:rFonts w:cs="Arial"/>
                <w:color w:val="000000"/>
                <w:sz w:val="18"/>
                <w:szCs w:val="18"/>
              </w:rPr>
              <w:t xml:space="preserve">are useable and cohesive to address </w:t>
            </w:r>
            <w:r>
              <w:rPr>
                <w:rFonts w:cs="Arial"/>
                <w:color w:val="000000"/>
                <w:sz w:val="18"/>
                <w:szCs w:val="18"/>
              </w:rPr>
              <w:t>beyond-design-basis event scenarios</w:t>
            </w:r>
            <w:r w:rsidR="00BE0384" w:rsidRPr="00BE0384">
              <w:rPr>
                <w:rFonts w:cs="Arial"/>
                <w:color w:val="000000"/>
                <w:sz w:val="18"/>
                <w:szCs w:val="18"/>
              </w:rPr>
              <w:t>.</w:t>
            </w:r>
          </w:p>
          <w:p w14:paraId="44DED9AE" w14:textId="77777777" w:rsidR="00BE0384" w:rsidRPr="00BE0384" w:rsidRDefault="00BE0384" w:rsidP="00BE0384">
            <w:pPr>
              <w:autoSpaceDE/>
              <w:autoSpaceDN/>
              <w:adjustRightInd/>
              <w:rPr>
                <w:rFonts w:cs="Arial"/>
                <w:color w:val="000000"/>
                <w:sz w:val="18"/>
                <w:szCs w:val="18"/>
              </w:rPr>
            </w:pPr>
          </w:p>
          <w:p w14:paraId="4090F2C1" w14:textId="0B2D6F32" w:rsidR="00BE0384" w:rsidRPr="00BE0384" w:rsidRDefault="00BE0384" w:rsidP="00BE0384">
            <w:pPr>
              <w:autoSpaceDE/>
              <w:autoSpaceDN/>
              <w:adjustRightInd/>
              <w:rPr>
                <w:rFonts w:cs="Arial"/>
                <w:color w:val="000000"/>
                <w:sz w:val="18"/>
                <w:szCs w:val="18"/>
              </w:rPr>
            </w:pPr>
            <w:r w:rsidRPr="00BE0384">
              <w:rPr>
                <w:rFonts w:cs="Arial"/>
                <w:color w:val="000000"/>
                <w:sz w:val="18"/>
                <w:szCs w:val="18"/>
              </w:rPr>
              <w:t>Address</w:t>
            </w:r>
            <w:r w:rsidR="00D74234">
              <w:rPr>
                <w:rFonts w:cs="Arial"/>
                <w:color w:val="000000"/>
                <w:sz w:val="18"/>
                <w:szCs w:val="18"/>
              </w:rPr>
              <w:t>es</w:t>
            </w:r>
            <w:r w:rsidRPr="00BE0384">
              <w:rPr>
                <w:rFonts w:cs="Arial"/>
                <w:color w:val="000000"/>
                <w:sz w:val="18"/>
                <w:szCs w:val="18"/>
              </w:rPr>
              <w:t xml:space="preserve"> lessons learned from the Fukushima accident and </w:t>
            </w:r>
            <w:r w:rsidR="00F731E1">
              <w:rPr>
                <w:rFonts w:cs="Arial"/>
                <w:color w:val="000000"/>
                <w:sz w:val="18"/>
                <w:szCs w:val="18"/>
              </w:rPr>
              <w:t>o</w:t>
            </w:r>
            <w:r w:rsidRPr="00BE0384">
              <w:rPr>
                <w:rFonts w:cs="Arial"/>
                <w:color w:val="000000"/>
                <w:sz w:val="18"/>
                <w:szCs w:val="18"/>
              </w:rPr>
              <w:t>rders implementation</w:t>
            </w:r>
            <w:r w:rsidR="00D74234">
              <w:rPr>
                <w:rFonts w:cs="Arial"/>
                <w:color w:val="000000"/>
                <w:sz w:val="18"/>
                <w:szCs w:val="18"/>
              </w:rPr>
              <w:t>.</w:t>
            </w:r>
          </w:p>
          <w:p w14:paraId="70EB601A" w14:textId="77777777" w:rsidR="00BE0384" w:rsidRPr="00BE0384" w:rsidRDefault="00BE0384" w:rsidP="00BE0384">
            <w:pPr>
              <w:autoSpaceDE/>
              <w:autoSpaceDN/>
              <w:adjustRightInd/>
              <w:rPr>
                <w:rFonts w:cs="Arial"/>
                <w:color w:val="000000"/>
                <w:sz w:val="18"/>
                <w:szCs w:val="18"/>
              </w:rPr>
            </w:pPr>
          </w:p>
          <w:p w14:paraId="7D57ACB1" w14:textId="7D32D41B" w:rsidR="00BE0384" w:rsidRPr="00BE0384" w:rsidRDefault="007D12C5" w:rsidP="00BE0384">
            <w:pPr>
              <w:autoSpaceDE/>
              <w:autoSpaceDN/>
              <w:adjustRightInd/>
              <w:rPr>
                <w:rFonts w:cs="Arial"/>
                <w:color w:val="000000"/>
                <w:sz w:val="18"/>
                <w:szCs w:val="18"/>
              </w:rPr>
            </w:pPr>
            <w:r>
              <w:rPr>
                <w:rFonts w:cs="Arial"/>
                <w:color w:val="000000"/>
                <w:sz w:val="18"/>
                <w:szCs w:val="18"/>
              </w:rPr>
              <w:t>Provides for</w:t>
            </w:r>
            <w:r w:rsidR="00BE0384" w:rsidRPr="00BE0384">
              <w:rPr>
                <w:rFonts w:cs="Arial"/>
                <w:color w:val="000000"/>
                <w:sz w:val="18"/>
                <w:szCs w:val="18"/>
              </w:rPr>
              <w:t xml:space="preserve"> adequate staffing, command and control, and communication capabilities for severe external and multiunit events.</w:t>
            </w:r>
          </w:p>
          <w:p w14:paraId="4CD05071" w14:textId="77777777" w:rsidR="00BE0384" w:rsidRPr="00BE0384" w:rsidRDefault="00BE0384" w:rsidP="00BE0384">
            <w:pPr>
              <w:autoSpaceDE/>
              <w:autoSpaceDN/>
              <w:adjustRightInd/>
              <w:rPr>
                <w:rFonts w:cs="Arial"/>
                <w:color w:val="000000"/>
                <w:sz w:val="18"/>
                <w:szCs w:val="18"/>
              </w:rPr>
            </w:pPr>
          </w:p>
          <w:p w14:paraId="2C77872E" w14:textId="13873F07" w:rsidR="00BE0384" w:rsidRPr="00BE0384" w:rsidRDefault="00BE0384" w:rsidP="00BE0384">
            <w:pPr>
              <w:autoSpaceDE/>
              <w:autoSpaceDN/>
              <w:adjustRightInd/>
              <w:rPr>
                <w:rFonts w:cs="Arial"/>
                <w:color w:val="000000"/>
                <w:sz w:val="18"/>
                <w:szCs w:val="18"/>
              </w:rPr>
            </w:pPr>
            <w:r w:rsidRPr="00BE0384">
              <w:rPr>
                <w:rFonts w:cs="Arial"/>
                <w:color w:val="000000"/>
                <w:sz w:val="18"/>
                <w:szCs w:val="18"/>
              </w:rPr>
              <w:t>Meets the intent of the Consolidated Appropriations Act</w:t>
            </w:r>
            <w:r w:rsidR="00D74234">
              <w:rPr>
                <w:rFonts w:cs="Arial"/>
                <w:color w:val="000000"/>
                <w:sz w:val="18"/>
                <w:szCs w:val="18"/>
              </w:rPr>
              <w:t>.</w:t>
            </w:r>
          </w:p>
          <w:p w14:paraId="4098BCCF" w14:textId="77777777" w:rsidR="00BE0384" w:rsidRPr="00BE0384" w:rsidRDefault="00BE0384" w:rsidP="00BE0384">
            <w:pPr>
              <w:autoSpaceDE/>
              <w:autoSpaceDN/>
              <w:adjustRightInd/>
              <w:rPr>
                <w:rFonts w:cs="Arial"/>
                <w:color w:val="000000"/>
                <w:sz w:val="18"/>
                <w:szCs w:val="18"/>
              </w:rPr>
            </w:pPr>
          </w:p>
          <w:p w14:paraId="3DBDC9FE" w14:textId="779C7A41" w:rsidR="00BE0384" w:rsidRPr="00BE0384" w:rsidRDefault="00BE0384" w:rsidP="007D12C5">
            <w:pPr>
              <w:autoSpaceDE/>
              <w:autoSpaceDN/>
              <w:adjustRightInd/>
              <w:rPr>
                <w:rFonts w:cs="Arial"/>
                <w:color w:val="000000"/>
                <w:sz w:val="18"/>
                <w:szCs w:val="18"/>
              </w:rPr>
            </w:pPr>
            <w:r w:rsidRPr="00BE0384">
              <w:rPr>
                <w:rFonts w:cs="Arial"/>
                <w:color w:val="000000"/>
                <w:sz w:val="18"/>
                <w:szCs w:val="18"/>
              </w:rPr>
              <w:t>Provides defense</w:t>
            </w:r>
            <w:r w:rsidR="00C56679">
              <w:rPr>
                <w:rFonts w:cs="Arial"/>
                <w:color w:val="000000"/>
                <w:sz w:val="18"/>
                <w:szCs w:val="18"/>
              </w:rPr>
              <w:t xml:space="preserve"> </w:t>
            </w:r>
            <w:r w:rsidRPr="00BE0384">
              <w:rPr>
                <w:rFonts w:cs="Arial"/>
                <w:color w:val="000000"/>
                <w:sz w:val="18"/>
                <w:szCs w:val="18"/>
              </w:rPr>
              <w:t>in</w:t>
            </w:r>
            <w:r w:rsidR="00C56679">
              <w:rPr>
                <w:rFonts w:cs="Arial"/>
                <w:color w:val="000000"/>
                <w:sz w:val="18"/>
                <w:szCs w:val="18"/>
              </w:rPr>
              <w:t xml:space="preserve"> </w:t>
            </w:r>
            <w:r w:rsidRPr="00BE0384">
              <w:rPr>
                <w:rFonts w:cs="Arial"/>
                <w:color w:val="000000"/>
                <w:sz w:val="18"/>
                <w:szCs w:val="18"/>
              </w:rPr>
              <w:t xml:space="preserve">depth by </w:t>
            </w:r>
            <w:r w:rsidR="00D74234">
              <w:rPr>
                <w:rFonts w:cs="Arial"/>
                <w:color w:val="000000"/>
                <w:sz w:val="18"/>
                <w:szCs w:val="18"/>
              </w:rPr>
              <w:t>giving</w:t>
            </w:r>
            <w:r w:rsidRPr="00BE0384">
              <w:rPr>
                <w:rFonts w:cs="Arial"/>
                <w:color w:val="000000"/>
                <w:sz w:val="18"/>
                <w:szCs w:val="18"/>
              </w:rPr>
              <w:t xml:space="preserve"> confidence in the availability of mitigating strategies equipment following severe external flooding and seismic events</w:t>
            </w:r>
            <w:r w:rsidR="00D74234">
              <w:rPr>
                <w:rFonts w:cs="Arial"/>
                <w:color w:val="000000"/>
                <w:sz w:val="18"/>
                <w:szCs w:val="18"/>
              </w:rPr>
              <w:t>.</w:t>
            </w:r>
          </w:p>
        </w:tc>
      </w:tr>
    </w:tbl>
    <w:p w14:paraId="6687D1D5" w14:textId="6C99E3DF" w:rsidR="00E4157D" w:rsidRDefault="00E4157D" w:rsidP="0062754D">
      <w:pPr>
        <w:pStyle w:val="Heading2"/>
      </w:pPr>
      <w:bookmarkStart w:id="145" w:name="_Toc460911630"/>
      <w:bookmarkStart w:id="146" w:name="_Toc460911672"/>
      <w:bookmarkStart w:id="147" w:name="_Toc460911714"/>
      <w:bookmarkStart w:id="148" w:name="_Toc460911756"/>
      <w:bookmarkStart w:id="149" w:name="_Toc460911798"/>
      <w:bookmarkStart w:id="150" w:name="_Toc460932048"/>
      <w:bookmarkStart w:id="151" w:name="_Toc460932094"/>
      <w:bookmarkStart w:id="152" w:name="_Toc460932140"/>
      <w:bookmarkStart w:id="153" w:name="_Toc460932186"/>
      <w:bookmarkStart w:id="154" w:name="_Toc532457283"/>
      <w:r>
        <w:t>3.</w:t>
      </w:r>
      <w:r w:rsidR="00F434AF">
        <w:t>2</w:t>
      </w:r>
      <w:r>
        <w:tab/>
        <w:t xml:space="preserve">Costs of the </w:t>
      </w:r>
      <w:r w:rsidR="00B56F2B">
        <w:t xml:space="preserve">Final </w:t>
      </w:r>
      <w:r>
        <w:t>Rule</w:t>
      </w:r>
      <w:bookmarkEnd w:id="145"/>
      <w:bookmarkEnd w:id="146"/>
      <w:bookmarkEnd w:id="147"/>
      <w:bookmarkEnd w:id="148"/>
      <w:bookmarkEnd w:id="149"/>
      <w:bookmarkEnd w:id="150"/>
      <w:bookmarkEnd w:id="151"/>
      <w:bookmarkEnd w:id="152"/>
      <w:bookmarkEnd w:id="153"/>
      <w:bookmarkEnd w:id="154"/>
    </w:p>
    <w:p w14:paraId="64AEE03E" w14:textId="21AF7F89" w:rsidR="00C66AFB" w:rsidRDefault="00BE10D7" w:rsidP="0063464D">
      <w:pPr>
        <w:rPr>
          <w:sz w:val="22"/>
          <w:szCs w:val="22"/>
        </w:rPr>
      </w:pPr>
      <w:r>
        <w:rPr>
          <w:sz w:val="22"/>
          <w:szCs w:val="22"/>
        </w:rPr>
        <w:t xml:space="preserve">This </w:t>
      </w:r>
      <w:r w:rsidR="001A6972">
        <w:rPr>
          <w:sz w:val="22"/>
          <w:szCs w:val="22"/>
        </w:rPr>
        <w:t xml:space="preserve">section </w:t>
      </w:r>
      <w:r>
        <w:rPr>
          <w:sz w:val="22"/>
          <w:szCs w:val="22"/>
        </w:rPr>
        <w:t>details the estimated cost</w:t>
      </w:r>
      <w:r w:rsidR="00C737BF">
        <w:rPr>
          <w:sz w:val="22"/>
          <w:szCs w:val="22"/>
        </w:rPr>
        <w:t>s</w:t>
      </w:r>
      <w:r>
        <w:rPr>
          <w:sz w:val="22"/>
          <w:szCs w:val="22"/>
        </w:rPr>
        <w:t xml:space="preserve"> of </w:t>
      </w:r>
      <w:r w:rsidR="008963FD">
        <w:rPr>
          <w:sz w:val="22"/>
          <w:szCs w:val="22"/>
        </w:rPr>
        <w:t>the final rule (</w:t>
      </w:r>
      <w:r>
        <w:rPr>
          <w:sz w:val="22"/>
          <w:szCs w:val="22"/>
        </w:rPr>
        <w:t xml:space="preserve">Option </w:t>
      </w:r>
      <w:r w:rsidR="008963FD">
        <w:rPr>
          <w:sz w:val="22"/>
          <w:szCs w:val="22"/>
        </w:rPr>
        <w:t>2)</w:t>
      </w:r>
      <w:r>
        <w:rPr>
          <w:sz w:val="22"/>
          <w:szCs w:val="22"/>
        </w:rPr>
        <w:t xml:space="preserve">.  </w:t>
      </w:r>
      <w:r w:rsidR="00D44119">
        <w:rPr>
          <w:sz w:val="22"/>
          <w:szCs w:val="22"/>
        </w:rPr>
        <w:t xml:space="preserve">Under </w:t>
      </w:r>
      <w:r w:rsidR="001D70CA">
        <w:rPr>
          <w:sz w:val="22"/>
          <w:szCs w:val="22"/>
        </w:rPr>
        <w:t xml:space="preserve">the </w:t>
      </w:r>
      <w:r w:rsidR="0088603D">
        <w:rPr>
          <w:sz w:val="22"/>
          <w:szCs w:val="22"/>
        </w:rPr>
        <w:t xml:space="preserve">final </w:t>
      </w:r>
      <w:r w:rsidR="001D70CA">
        <w:rPr>
          <w:sz w:val="22"/>
          <w:szCs w:val="22"/>
        </w:rPr>
        <w:t>rule</w:t>
      </w:r>
      <w:r w:rsidR="007F1AEA">
        <w:rPr>
          <w:sz w:val="22"/>
          <w:szCs w:val="22"/>
        </w:rPr>
        <w:t xml:space="preserve"> op</w:t>
      </w:r>
      <w:r w:rsidR="00C45F2E">
        <w:rPr>
          <w:sz w:val="22"/>
          <w:szCs w:val="22"/>
        </w:rPr>
        <w:t>t</w:t>
      </w:r>
      <w:r w:rsidR="007F1AEA">
        <w:rPr>
          <w:sz w:val="22"/>
          <w:szCs w:val="22"/>
        </w:rPr>
        <w:t>ion</w:t>
      </w:r>
      <w:r w:rsidR="00D713F8">
        <w:rPr>
          <w:sz w:val="22"/>
          <w:szCs w:val="22"/>
        </w:rPr>
        <w:t>,</w:t>
      </w:r>
      <w:r w:rsidR="001D70CA">
        <w:rPr>
          <w:sz w:val="22"/>
          <w:szCs w:val="22"/>
        </w:rPr>
        <w:t xml:space="preserve"> </w:t>
      </w:r>
      <w:r w:rsidR="00B574A1">
        <w:rPr>
          <w:sz w:val="22"/>
          <w:szCs w:val="22"/>
        </w:rPr>
        <w:t>t</w:t>
      </w:r>
      <w:r w:rsidR="00C66AFB">
        <w:rPr>
          <w:sz w:val="22"/>
          <w:szCs w:val="22"/>
        </w:rPr>
        <w:t xml:space="preserve">he </w:t>
      </w:r>
      <w:r w:rsidR="0088603D">
        <w:rPr>
          <w:sz w:val="22"/>
          <w:szCs w:val="22"/>
        </w:rPr>
        <w:t xml:space="preserve">final </w:t>
      </w:r>
      <w:r w:rsidR="00C66AFB">
        <w:rPr>
          <w:sz w:val="22"/>
          <w:szCs w:val="22"/>
        </w:rPr>
        <w:t>rule include</w:t>
      </w:r>
      <w:r w:rsidR="002F3DBA">
        <w:rPr>
          <w:sz w:val="22"/>
          <w:szCs w:val="22"/>
        </w:rPr>
        <w:t>s</w:t>
      </w:r>
      <w:r w:rsidR="00C66AFB">
        <w:rPr>
          <w:sz w:val="22"/>
          <w:szCs w:val="22"/>
        </w:rPr>
        <w:t xml:space="preserve"> the following requirements</w:t>
      </w:r>
      <w:r w:rsidR="00546F31">
        <w:rPr>
          <w:sz w:val="22"/>
          <w:szCs w:val="22"/>
        </w:rPr>
        <w:t xml:space="preserve"> </w:t>
      </w:r>
      <w:r w:rsidR="00DE20FC">
        <w:rPr>
          <w:sz w:val="22"/>
          <w:szCs w:val="22"/>
        </w:rPr>
        <w:t>that were imposed under</w:t>
      </w:r>
      <w:r w:rsidR="00546F31">
        <w:rPr>
          <w:sz w:val="22"/>
          <w:szCs w:val="22"/>
        </w:rPr>
        <w:t xml:space="preserve"> Order EA</w:t>
      </w:r>
      <w:r w:rsidR="00DE20FC">
        <w:rPr>
          <w:sz w:val="22"/>
          <w:szCs w:val="22"/>
        </w:rPr>
        <w:noBreakHyphen/>
      </w:r>
      <w:r w:rsidR="00546F31">
        <w:rPr>
          <w:sz w:val="22"/>
          <w:szCs w:val="22"/>
        </w:rPr>
        <w:t>12</w:t>
      </w:r>
      <w:r w:rsidR="00DE20FC">
        <w:rPr>
          <w:sz w:val="22"/>
          <w:szCs w:val="22"/>
        </w:rPr>
        <w:noBreakHyphen/>
      </w:r>
      <w:r w:rsidR="00546F31">
        <w:rPr>
          <w:sz w:val="22"/>
          <w:szCs w:val="22"/>
        </w:rPr>
        <w:t>049</w:t>
      </w:r>
      <w:r w:rsidR="00D713F8">
        <w:rPr>
          <w:sz w:val="22"/>
          <w:szCs w:val="22"/>
        </w:rPr>
        <w:t>,</w:t>
      </w:r>
      <w:r w:rsidR="00C66AFB">
        <w:rPr>
          <w:sz w:val="22"/>
          <w:szCs w:val="22"/>
        </w:rPr>
        <w:t xml:space="preserve"> which are </w:t>
      </w:r>
      <w:r w:rsidR="00DE20FC">
        <w:rPr>
          <w:sz w:val="22"/>
          <w:szCs w:val="22"/>
        </w:rPr>
        <w:t xml:space="preserve">sunk costs and </w:t>
      </w:r>
      <w:r w:rsidR="00C66AFB">
        <w:rPr>
          <w:sz w:val="22"/>
          <w:szCs w:val="22"/>
        </w:rPr>
        <w:t>not analyzed in this regulatory analysis:</w:t>
      </w:r>
    </w:p>
    <w:p w14:paraId="23DDA0C3" w14:textId="55F78DE8" w:rsidR="00C66AFB" w:rsidRPr="00C66AFB" w:rsidRDefault="00C66AFB" w:rsidP="00DE20FC">
      <w:pPr>
        <w:rPr>
          <w:sz w:val="22"/>
          <w:szCs w:val="22"/>
        </w:rPr>
      </w:pPr>
    </w:p>
    <w:p w14:paraId="086D2472" w14:textId="3DF3FABB" w:rsidR="00C66AFB" w:rsidRPr="00431AFA" w:rsidRDefault="00785156" w:rsidP="00785156">
      <w:pPr>
        <w:pStyle w:val="ListParagraph"/>
        <w:numPr>
          <w:ilvl w:val="0"/>
          <w:numId w:val="9"/>
        </w:numPr>
        <w:ind w:hanging="720"/>
        <w:rPr>
          <w:sz w:val="22"/>
          <w:szCs w:val="22"/>
        </w:rPr>
      </w:pPr>
      <w:r>
        <w:rPr>
          <w:sz w:val="22"/>
          <w:szCs w:val="22"/>
        </w:rPr>
        <w:t>Paragraph</w:t>
      </w:r>
      <w:r w:rsidR="001A6972">
        <w:rPr>
          <w:sz w:val="22"/>
          <w:szCs w:val="22"/>
        </w:rPr>
        <w:t> </w:t>
      </w:r>
      <w:r w:rsidR="002F3DBA">
        <w:rPr>
          <w:sz w:val="22"/>
          <w:szCs w:val="22"/>
        </w:rPr>
        <w:t>50.155(a)(2</w:t>
      </w:r>
      <w:r w:rsidR="00C66AFB">
        <w:rPr>
          <w:sz w:val="22"/>
          <w:szCs w:val="22"/>
        </w:rPr>
        <w:t xml:space="preserve">) </w:t>
      </w:r>
      <w:r w:rsidR="006D128D">
        <w:rPr>
          <w:sz w:val="22"/>
          <w:szCs w:val="22"/>
        </w:rPr>
        <w:t>allow</w:t>
      </w:r>
      <w:r w:rsidR="002F3DBA">
        <w:rPr>
          <w:sz w:val="22"/>
          <w:szCs w:val="22"/>
        </w:rPr>
        <w:t>s</w:t>
      </w:r>
      <w:r w:rsidR="00C66AFB">
        <w:rPr>
          <w:sz w:val="22"/>
          <w:szCs w:val="22"/>
        </w:rPr>
        <w:t xml:space="preserve"> licensees to prepare and </w:t>
      </w:r>
      <w:r w:rsidR="00896233">
        <w:rPr>
          <w:sz w:val="22"/>
          <w:szCs w:val="22"/>
        </w:rPr>
        <w:t xml:space="preserve">retain </w:t>
      </w:r>
      <w:r w:rsidR="006D128D">
        <w:rPr>
          <w:sz w:val="22"/>
          <w:szCs w:val="22"/>
        </w:rPr>
        <w:t>an analysis</w:t>
      </w:r>
      <w:r w:rsidR="00C66AFB">
        <w:rPr>
          <w:sz w:val="22"/>
          <w:szCs w:val="22"/>
        </w:rPr>
        <w:t xml:space="preserve"> to </w:t>
      </w:r>
      <w:r w:rsidR="00896233" w:rsidRPr="00896233">
        <w:rPr>
          <w:sz w:val="22"/>
          <w:szCs w:val="22"/>
        </w:rPr>
        <w:t xml:space="preserve">enable decommissioning licensees to discontinue compliance with portions of the </w:t>
      </w:r>
      <w:r w:rsidR="0088603D">
        <w:rPr>
          <w:sz w:val="22"/>
          <w:szCs w:val="22"/>
        </w:rPr>
        <w:t>final</w:t>
      </w:r>
      <w:r w:rsidR="0088603D" w:rsidRPr="00896233">
        <w:rPr>
          <w:sz w:val="22"/>
          <w:szCs w:val="22"/>
        </w:rPr>
        <w:t xml:space="preserve"> </w:t>
      </w:r>
      <w:r w:rsidR="00896233" w:rsidRPr="00896233">
        <w:rPr>
          <w:sz w:val="22"/>
          <w:szCs w:val="22"/>
        </w:rPr>
        <w:t>rule</w:t>
      </w:r>
      <w:r w:rsidR="00D713F8">
        <w:rPr>
          <w:sz w:val="22"/>
          <w:szCs w:val="22"/>
        </w:rPr>
        <w:t>,</w:t>
      </w:r>
      <w:r w:rsidR="00C66AFB">
        <w:rPr>
          <w:sz w:val="22"/>
          <w:szCs w:val="22"/>
        </w:rPr>
        <w:t xml:space="preserve"> with the exception of </w:t>
      </w:r>
      <w:r w:rsidR="00EF1D3C">
        <w:rPr>
          <w:sz w:val="22"/>
          <w:szCs w:val="22"/>
        </w:rPr>
        <w:t>10 CFR </w:t>
      </w:r>
      <w:r w:rsidR="00C66AFB">
        <w:rPr>
          <w:sz w:val="22"/>
          <w:szCs w:val="22"/>
        </w:rPr>
        <w:t>50.155(b)(</w:t>
      </w:r>
      <w:r w:rsidR="002A646C">
        <w:rPr>
          <w:sz w:val="22"/>
          <w:szCs w:val="22"/>
        </w:rPr>
        <w:t>2</w:t>
      </w:r>
      <w:r w:rsidR="00C66AFB">
        <w:rPr>
          <w:sz w:val="22"/>
          <w:szCs w:val="22"/>
        </w:rPr>
        <w:t xml:space="preserve">).  The costs associated with this rule provision are </w:t>
      </w:r>
      <w:r w:rsidR="0091248A">
        <w:rPr>
          <w:sz w:val="22"/>
          <w:szCs w:val="22"/>
        </w:rPr>
        <w:t>treated as</w:t>
      </w:r>
      <w:r w:rsidR="00C66AFB">
        <w:rPr>
          <w:sz w:val="22"/>
          <w:szCs w:val="22"/>
        </w:rPr>
        <w:t xml:space="preserve"> </w:t>
      </w:r>
      <w:r w:rsidR="00DE20FC">
        <w:rPr>
          <w:sz w:val="22"/>
          <w:szCs w:val="22"/>
        </w:rPr>
        <w:t xml:space="preserve">sunk </w:t>
      </w:r>
      <w:r w:rsidR="0091248A">
        <w:rPr>
          <w:sz w:val="22"/>
          <w:szCs w:val="22"/>
        </w:rPr>
        <w:t xml:space="preserve">costs </w:t>
      </w:r>
      <w:r w:rsidR="006D128D">
        <w:rPr>
          <w:sz w:val="22"/>
          <w:szCs w:val="22"/>
        </w:rPr>
        <w:t>because currently decommissioning sites are preparing these analyses in the baseline to be exempted from Orde</w:t>
      </w:r>
      <w:r w:rsidR="0091248A">
        <w:rPr>
          <w:sz w:val="22"/>
          <w:szCs w:val="22"/>
        </w:rPr>
        <w:t>r</w:t>
      </w:r>
      <w:r>
        <w:rPr>
          <w:sz w:val="22"/>
          <w:szCs w:val="22"/>
        </w:rPr>
        <w:t> </w:t>
      </w:r>
      <w:r w:rsidR="0091248A">
        <w:rPr>
          <w:sz w:val="22"/>
          <w:szCs w:val="22"/>
        </w:rPr>
        <w:t>EA</w:t>
      </w:r>
      <w:r>
        <w:rPr>
          <w:sz w:val="22"/>
          <w:szCs w:val="22"/>
        </w:rPr>
        <w:noBreakHyphen/>
      </w:r>
      <w:r w:rsidR="0091248A">
        <w:rPr>
          <w:sz w:val="22"/>
          <w:szCs w:val="22"/>
        </w:rPr>
        <w:t>12</w:t>
      </w:r>
      <w:r>
        <w:rPr>
          <w:sz w:val="22"/>
          <w:szCs w:val="22"/>
        </w:rPr>
        <w:noBreakHyphen/>
      </w:r>
      <w:r w:rsidR="0091248A">
        <w:rPr>
          <w:sz w:val="22"/>
          <w:szCs w:val="22"/>
        </w:rPr>
        <w:t>049 and Order EA-12-051</w:t>
      </w:r>
      <w:r w:rsidR="00C66AFB" w:rsidRPr="00431AFA">
        <w:rPr>
          <w:sz w:val="22"/>
          <w:szCs w:val="22"/>
        </w:rPr>
        <w:t>.</w:t>
      </w:r>
    </w:p>
    <w:p w14:paraId="5E1BE774" w14:textId="637EAC6E" w:rsidR="00C66AFB" w:rsidRPr="00431AFA" w:rsidRDefault="00C66AFB" w:rsidP="00785156">
      <w:pPr>
        <w:pStyle w:val="ListParagraph"/>
        <w:ind w:hanging="720"/>
        <w:rPr>
          <w:sz w:val="22"/>
          <w:szCs w:val="22"/>
        </w:rPr>
      </w:pPr>
    </w:p>
    <w:p w14:paraId="6F8B3643" w14:textId="5D3B0984" w:rsidR="00C66AFB" w:rsidRDefault="00785156" w:rsidP="00785156">
      <w:pPr>
        <w:pStyle w:val="ListParagraph"/>
        <w:numPr>
          <w:ilvl w:val="0"/>
          <w:numId w:val="9"/>
        </w:numPr>
        <w:ind w:hanging="720"/>
        <w:rPr>
          <w:sz w:val="22"/>
          <w:szCs w:val="22"/>
        </w:rPr>
      </w:pPr>
      <w:r>
        <w:rPr>
          <w:sz w:val="22"/>
          <w:szCs w:val="22"/>
        </w:rPr>
        <w:t>Paragraph</w:t>
      </w:r>
      <w:r w:rsidR="001A6972">
        <w:rPr>
          <w:sz w:val="22"/>
          <w:szCs w:val="22"/>
        </w:rPr>
        <w:t> </w:t>
      </w:r>
      <w:r w:rsidR="00C66AFB">
        <w:rPr>
          <w:sz w:val="22"/>
          <w:szCs w:val="22"/>
        </w:rPr>
        <w:t xml:space="preserve">50.155(b)(1) </w:t>
      </w:r>
      <w:r w:rsidR="002F3DBA">
        <w:rPr>
          <w:sz w:val="22"/>
          <w:szCs w:val="22"/>
        </w:rPr>
        <w:t>requires</w:t>
      </w:r>
      <w:r w:rsidR="00C66AFB">
        <w:rPr>
          <w:sz w:val="22"/>
          <w:szCs w:val="22"/>
        </w:rPr>
        <w:t xml:space="preserve"> strategies and guidelines to mitigate </w:t>
      </w:r>
      <w:r w:rsidR="00D8196A" w:rsidRPr="000C7B1A">
        <w:rPr>
          <w:rFonts w:cs="Arial"/>
          <w:sz w:val="22"/>
          <w:szCs w:val="22"/>
        </w:rPr>
        <w:t>beyond</w:t>
      </w:r>
      <w:r w:rsidR="007D12C5">
        <w:rPr>
          <w:rFonts w:cs="Arial"/>
          <w:sz w:val="22"/>
          <w:szCs w:val="22"/>
        </w:rPr>
        <w:noBreakHyphen/>
      </w:r>
      <w:r w:rsidR="00D8196A" w:rsidRPr="000C7B1A">
        <w:rPr>
          <w:rFonts w:cs="Arial"/>
          <w:sz w:val="22"/>
          <w:szCs w:val="22"/>
        </w:rPr>
        <w:t>design</w:t>
      </w:r>
      <w:r w:rsidR="007D12C5">
        <w:rPr>
          <w:rFonts w:cs="Arial"/>
          <w:sz w:val="22"/>
          <w:szCs w:val="22"/>
        </w:rPr>
        <w:noBreakHyphen/>
      </w:r>
      <w:r w:rsidR="00D8196A" w:rsidRPr="000C7B1A">
        <w:rPr>
          <w:rFonts w:cs="Arial"/>
          <w:sz w:val="22"/>
          <w:szCs w:val="22"/>
        </w:rPr>
        <w:t>basis external event</w:t>
      </w:r>
      <w:r w:rsidR="007D12C5">
        <w:rPr>
          <w:rFonts w:cs="Arial"/>
          <w:sz w:val="22"/>
          <w:szCs w:val="22"/>
        </w:rPr>
        <w:t>s</w:t>
      </w:r>
      <w:r w:rsidR="00C66AFB">
        <w:rPr>
          <w:sz w:val="22"/>
          <w:szCs w:val="22"/>
        </w:rPr>
        <w:t xml:space="preserve"> from natural phenomena that result</w:t>
      </w:r>
      <w:r w:rsidR="002F3DBA">
        <w:rPr>
          <w:sz w:val="22"/>
          <w:szCs w:val="22"/>
        </w:rPr>
        <w:t xml:space="preserve"> in a loss of all a</w:t>
      </w:r>
      <w:r w:rsidR="007D12C5">
        <w:rPr>
          <w:sz w:val="22"/>
          <w:szCs w:val="22"/>
        </w:rPr>
        <w:t xml:space="preserve">lternating </w:t>
      </w:r>
      <w:r w:rsidR="002F3DBA">
        <w:rPr>
          <w:sz w:val="22"/>
          <w:szCs w:val="22"/>
        </w:rPr>
        <w:t>c</w:t>
      </w:r>
      <w:r w:rsidR="007D12C5">
        <w:rPr>
          <w:sz w:val="22"/>
          <w:szCs w:val="22"/>
        </w:rPr>
        <w:t>urrent</w:t>
      </w:r>
      <w:r w:rsidR="002F3DBA">
        <w:rPr>
          <w:sz w:val="22"/>
          <w:szCs w:val="22"/>
        </w:rPr>
        <w:t xml:space="preserve"> power </w:t>
      </w:r>
      <w:r w:rsidR="00C66AFB">
        <w:rPr>
          <w:sz w:val="22"/>
          <w:szCs w:val="22"/>
        </w:rPr>
        <w:t xml:space="preserve">concurrent with either a </w:t>
      </w:r>
      <w:r w:rsidR="00DE20FC">
        <w:rPr>
          <w:sz w:val="22"/>
          <w:szCs w:val="22"/>
        </w:rPr>
        <w:t>loss of normal access to the ultimate heat sink or, for passive reactor designs,</w:t>
      </w:r>
      <w:r w:rsidR="00C66AFB">
        <w:rPr>
          <w:sz w:val="22"/>
          <w:szCs w:val="22"/>
        </w:rPr>
        <w:t xml:space="preserve"> a loss of normal access to the normal heat sink.  These strategies and guidelines are consistent with the existing </w:t>
      </w:r>
      <w:r w:rsidR="00C4498B" w:rsidRPr="00F167F1">
        <w:rPr>
          <w:rFonts w:cs="Arial"/>
          <w:sz w:val="22"/>
          <w:szCs w:val="22"/>
        </w:rPr>
        <w:t>diverse and flexible coping strategies</w:t>
      </w:r>
      <w:r w:rsidR="00C4498B">
        <w:rPr>
          <w:sz w:val="22"/>
          <w:szCs w:val="22"/>
        </w:rPr>
        <w:t xml:space="preserve"> (</w:t>
      </w:r>
      <w:r w:rsidR="00C66AFB">
        <w:rPr>
          <w:sz w:val="22"/>
          <w:szCs w:val="22"/>
        </w:rPr>
        <w:t>F</w:t>
      </w:r>
      <w:r w:rsidR="00DD1DA9">
        <w:rPr>
          <w:sz w:val="22"/>
          <w:szCs w:val="22"/>
        </w:rPr>
        <w:t>LEX</w:t>
      </w:r>
      <w:r w:rsidR="00C4498B">
        <w:rPr>
          <w:sz w:val="22"/>
          <w:szCs w:val="22"/>
        </w:rPr>
        <w:t>)</w:t>
      </w:r>
      <w:r w:rsidR="00DD1DA9">
        <w:rPr>
          <w:sz w:val="22"/>
          <w:szCs w:val="22"/>
        </w:rPr>
        <w:t xml:space="preserve"> support guidelines</w:t>
      </w:r>
      <w:r w:rsidR="00C66AFB">
        <w:rPr>
          <w:sz w:val="22"/>
          <w:szCs w:val="22"/>
        </w:rPr>
        <w:t xml:space="preserve">.  The costs associated with this rule provision are </w:t>
      </w:r>
      <w:r w:rsidR="0009573E">
        <w:rPr>
          <w:sz w:val="22"/>
          <w:szCs w:val="22"/>
        </w:rPr>
        <w:t xml:space="preserve">being incurred </w:t>
      </w:r>
      <w:r w:rsidR="0009573E" w:rsidRPr="001C2C00">
        <w:rPr>
          <w:sz w:val="22"/>
          <w:szCs w:val="22"/>
        </w:rPr>
        <w:t>as a result of</w:t>
      </w:r>
      <w:r w:rsidR="005A64C6">
        <w:rPr>
          <w:sz w:val="22"/>
          <w:szCs w:val="22"/>
        </w:rPr>
        <w:t xml:space="preserve"> the requirements of Order EA-12-049</w:t>
      </w:r>
      <w:r w:rsidR="00C66AFB">
        <w:rPr>
          <w:sz w:val="22"/>
          <w:szCs w:val="22"/>
        </w:rPr>
        <w:t xml:space="preserve"> and are </w:t>
      </w:r>
      <w:r w:rsidR="00B60AB3">
        <w:rPr>
          <w:sz w:val="22"/>
          <w:szCs w:val="22"/>
        </w:rPr>
        <w:t>treated as sunk costs.</w:t>
      </w:r>
      <w:r w:rsidR="00DD1DA9">
        <w:rPr>
          <w:sz w:val="22"/>
          <w:szCs w:val="22"/>
        </w:rPr>
        <w:t xml:space="preserve">  These costs include maintaining documentation (i.e., </w:t>
      </w:r>
      <w:r w:rsidR="00DD1DA9" w:rsidRPr="00CE2971">
        <w:rPr>
          <w:sz w:val="22"/>
          <w:szCs w:val="22"/>
        </w:rPr>
        <w:t>updates to procedures</w:t>
      </w:r>
      <w:r w:rsidR="00DD1DA9">
        <w:rPr>
          <w:sz w:val="22"/>
          <w:szCs w:val="22"/>
        </w:rPr>
        <w:t>,</w:t>
      </w:r>
      <w:r w:rsidR="00DD1DA9" w:rsidRPr="00CE2971">
        <w:rPr>
          <w:sz w:val="22"/>
          <w:szCs w:val="22"/>
        </w:rPr>
        <w:t xml:space="preserve"> programs</w:t>
      </w:r>
      <w:r w:rsidR="00DD1DA9">
        <w:rPr>
          <w:sz w:val="22"/>
          <w:szCs w:val="22"/>
        </w:rPr>
        <w:t>,</w:t>
      </w:r>
      <w:r w:rsidR="00DD1DA9" w:rsidRPr="00CE2971">
        <w:rPr>
          <w:sz w:val="22"/>
          <w:szCs w:val="22"/>
        </w:rPr>
        <w:t xml:space="preserve"> or plans)</w:t>
      </w:r>
      <w:r w:rsidR="00DD1DA9">
        <w:rPr>
          <w:sz w:val="22"/>
          <w:szCs w:val="22"/>
        </w:rPr>
        <w:t>, training, and plant configuration control</w:t>
      </w:r>
      <w:r w:rsidR="00DD1DA9" w:rsidRPr="00CE2971">
        <w:rPr>
          <w:sz w:val="22"/>
          <w:szCs w:val="22"/>
        </w:rPr>
        <w:t xml:space="preserve"> to </w:t>
      </w:r>
      <w:r w:rsidR="00DD1DA9">
        <w:rPr>
          <w:sz w:val="22"/>
          <w:szCs w:val="22"/>
        </w:rPr>
        <w:t>remain in</w:t>
      </w:r>
      <w:r w:rsidR="00DD1DA9" w:rsidRPr="00CE2971">
        <w:rPr>
          <w:sz w:val="22"/>
          <w:szCs w:val="22"/>
        </w:rPr>
        <w:t xml:space="preserve"> compliance with the final rule</w:t>
      </w:r>
      <w:r w:rsidR="00DD1DA9">
        <w:rPr>
          <w:sz w:val="22"/>
          <w:szCs w:val="22"/>
        </w:rPr>
        <w:t>.</w:t>
      </w:r>
    </w:p>
    <w:p w14:paraId="5EC09B27" w14:textId="641B6482" w:rsidR="004C034E" w:rsidRPr="004C034E" w:rsidRDefault="004C034E" w:rsidP="00785156">
      <w:pPr>
        <w:pStyle w:val="ListParagraph"/>
        <w:ind w:hanging="720"/>
        <w:rPr>
          <w:sz w:val="22"/>
          <w:szCs w:val="22"/>
        </w:rPr>
      </w:pPr>
    </w:p>
    <w:p w14:paraId="5B8D79DD" w14:textId="4615AA74" w:rsidR="00D217AB" w:rsidRPr="005835B2" w:rsidRDefault="00785156" w:rsidP="00825159">
      <w:pPr>
        <w:pStyle w:val="ListParagraph"/>
        <w:numPr>
          <w:ilvl w:val="0"/>
          <w:numId w:val="9"/>
        </w:numPr>
        <w:rPr>
          <w:sz w:val="22"/>
          <w:szCs w:val="22"/>
        </w:rPr>
      </w:pPr>
      <w:r w:rsidRPr="005835B2">
        <w:rPr>
          <w:sz w:val="22"/>
          <w:szCs w:val="22"/>
        </w:rPr>
        <w:t>Paragraph</w:t>
      </w:r>
      <w:r w:rsidR="00D217AB" w:rsidRPr="005835B2">
        <w:rPr>
          <w:sz w:val="22"/>
          <w:szCs w:val="22"/>
        </w:rPr>
        <w:t xml:space="preserve"> 50.155(b)(2) </w:t>
      </w:r>
      <w:r w:rsidR="00EF55FB" w:rsidRPr="005835B2">
        <w:rPr>
          <w:sz w:val="22"/>
          <w:szCs w:val="22"/>
        </w:rPr>
        <w:t>contains the requirements for EDMGs that previously existed in 10 CFR 50.54(hh)(2) and are described in the Power Reactor Security Requirements final rule (</w:t>
      </w:r>
      <w:r w:rsidR="001A7723">
        <w:rPr>
          <w:sz w:val="22"/>
          <w:szCs w:val="22"/>
        </w:rPr>
        <w:t>74 FR 13925, March 27, 2009</w:t>
      </w:r>
      <w:r w:rsidR="00EF55FB" w:rsidRPr="005835B2">
        <w:rPr>
          <w:sz w:val="22"/>
          <w:szCs w:val="22"/>
        </w:rPr>
        <w:t>)</w:t>
      </w:r>
      <w:r w:rsidR="00D217AB" w:rsidRPr="005835B2">
        <w:rPr>
          <w:sz w:val="22"/>
          <w:szCs w:val="22"/>
        </w:rPr>
        <w:t xml:space="preserve">.  </w:t>
      </w:r>
      <w:r w:rsidR="00EF55FB" w:rsidRPr="005835B2">
        <w:rPr>
          <w:sz w:val="22"/>
          <w:szCs w:val="22"/>
        </w:rPr>
        <w:t>The movement of these requirements consolidates the requirements for beyond-design-basis strategies and guidance into a single section to promote efficiency in their consideration and allow for better integration.</w:t>
      </w:r>
      <w:r w:rsidR="002A646C" w:rsidRPr="005835B2">
        <w:rPr>
          <w:sz w:val="22"/>
          <w:szCs w:val="22"/>
        </w:rPr>
        <w:t xml:space="preserve">  </w:t>
      </w:r>
      <w:r w:rsidR="005835B2" w:rsidRPr="005835B2">
        <w:rPr>
          <w:sz w:val="22"/>
          <w:szCs w:val="22"/>
        </w:rPr>
        <w:t>Currently operating power reactor licensees have all achieved compliance with these requirements.</w:t>
      </w:r>
      <w:r w:rsidR="009A4C9E">
        <w:rPr>
          <w:sz w:val="22"/>
          <w:szCs w:val="22"/>
        </w:rPr>
        <w:t xml:space="preserve">  </w:t>
      </w:r>
      <w:r w:rsidR="00D217AB" w:rsidRPr="005835B2">
        <w:rPr>
          <w:sz w:val="22"/>
          <w:szCs w:val="22"/>
        </w:rPr>
        <w:t xml:space="preserve">The costs associated with this rule provision </w:t>
      </w:r>
      <w:r w:rsidR="002A646C" w:rsidRPr="005835B2">
        <w:rPr>
          <w:sz w:val="22"/>
          <w:szCs w:val="22"/>
        </w:rPr>
        <w:t>were</w:t>
      </w:r>
      <w:r w:rsidR="00D217AB" w:rsidRPr="005835B2">
        <w:rPr>
          <w:sz w:val="22"/>
          <w:szCs w:val="22"/>
        </w:rPr>
        <w:t xml:space="preserve"> </w:t>
      </w:r>
      <w:r w:rsidR="00EF55FB" w:rsidRPr="005835B2">
        <w:rPr>
          <w:sz w:val="22"/>
          <w:szCs w:val="22"/>
        </w:rPr>
        <w:t xml:space="preserve">previously </w:t>
      </w:r>
      <w:r w:rsidR="00D217AB" w:rsidRPr="005835B2">
        <w:rPr>
          <w:sz w:val="22"/>
          <w:szCs w:val="22"/>
        </w:rPr>
        <w:t xml:space="preserve">incurred as a result of the requirements </w:t>
      </w:r>
      <w:r w:rsidR="002A646C" w:rsidRPr="005835B2">
        <w:rPr>
          <w:sz w:val="22"/>
          <w:szCs w:val="22"/>
        </w:rPr>
        <w:t>promulgated under 10 CFR 50.54(hh)(2)</w:t>
      </w:r>
      <w:r w:rsidR="00D217AB" w:rsidRPr="005835B2">
        <w:rPr>
          <w:sz w:val="22"/>
          <w:szCs w:val="22"/>
        </w:rPr>
        <w:t xml:space="preserve"> and are treated as </w:t>
      </w:r>
      <w:r w:rsidR="00B60AB3" w:rsidRPr="005835B2">
        <w:rPr>
          <w:sz w:val="22"/>
          <w:szCs w:val="22"/>
        </w:rPr>
        <w:t>sunk</w:t>
      </w:r>
      <w:r w:rsidR="002A646C" w:rsidRPr="005835B2">
        <w:rPr>
          <w:sz w:val="22"/>
          <w:szCs w:val="22"/>
        </w:rPr>
        <w:t xml:space="preserve"> costs.</w:t>
      </w:r>
    </w:p>
    <w:p w14:paraId="427D0535" w14:textId="3359FE3F" w:rsidR="0088603D" w:rsidRPr="00D217AB" w:rsidRDefault="0088603D" w:rsidP="00785156">
      <w:pPr>
        <w:pStyle w:val="ListParagraph"/>
        <w:ind w:hanging="720"/>
        <w:rPr>
          <w:sz w:val="22"/>
          <w:szCs w:val="22"/>
        </w:rPr>
      </w:pPr>
    </w:p>
    <w:p w14:paraId="023ED8CC" w14:textId="3CE8E8F7" w:rsidR="00B15F79" w:rsidRDefault="00EC6A4F" w:rsidP="00785156">
      <w:pPr>
        <w:pStyle w:val="ListParagraph"/>
        <w:numPr>
          <w:ilvl w:val="0"/>
          <w:numId w:val="9"/>
        </w:numPr>
        <w:ind w:hanging="720"/>
        <w:rPr>
          <w:sz w:val="22"/>
          <w:szCs w:val="22"/>
        </w:rPr>
      </w:pPr>
      <w:r>
        <w:rPr>
          <w:sz w:val="22"/>
          <w:szCs w:val="22"/>
        </w:rPr>
        <w:t>P</w:t>
      </w:r>
      <w:r w:rsidR="005114F2">
        <w:rPr>
          <w:sz w:val="22"/>
          <w:szCs w:val="22"/>
        </w:rPr>
        <w:t>a</w:t>
      </w:r>
      <w:r>
        <w:rPr>
          <w:sz w:val="22"/>
          <w:szCs w:val="22"/>
        </w:rPr>
        <w:t>ragraph</w:t>
      </w:r>
      <w:r w:rsidR="001A6972" w:rsidRPr="0088603D">
        <w:rPr>
          <w:sz w:val="22"/>
          <w:szCs w:val="22"/>
        </w:rPr>
        <w:t> </w:t>
      </w:r>
      <w:r w:rsidR="00B15F79" w:rsidRPr="0088603D">
        <w:rPr>
          <w:sz w:val="22"/>
          <w:szCs w:val="22"/>
        </w:rPr>
        <w:t>50.155</w:t>
      </w:r>
      <w:r w:rsidR="0088603D" w:rsidRPr="0088603D">
        <w:rPr>
          <w:sz w:val="22"/>
          <w:szCs w:val="22"/>
        </w:rPr>
        <w:t xml:space="preserve">(c)(2) </w:t>
      </w:r>
      <w:r w:rsidR="002F3DBA">
        <w:rPr>
          <w:sz w:val="22"/>
          <w:szCs w:val="22"/>
        </w:rPr>
        <w:t>require</w:t>
      </w:r>
      <w:r w:rsidR="00EF55FB">
        <w:rPr>
          <w:sz w:val="22"/>
          <w:szCs w:val="22"/>
        </w:rPr>
        <w:t>s</w:t>
      </w:r>
      <w:r w:rsidR="00F32892">
        <w:rPr>
          <w:sz w:val="22"/>
          <w:szCs w:val="22"/>
        </w:rPr>
        <w:t xml:space="preserve"> licensees</w:t>
      </w:r>
      <w:r w:rsidR="007D12C5">
        <w:rPr>
          <w:sz w:val="22"/>
          <w:szCs w:val="22"/>
        </w:rPr>
        <w:t xml:space="preserve"> to</w:t>
      </w:r>
      <w:r w:rsidR="00F32892">
        <w:rPr>
          <w:sz w:val="22"/>
          <w:szCs w:val="22"/>
        </w:rPr>
        <w:t xml:space="preserve"> provide reasonable protection of the equipment relied on for mitigation strategies</w:t>
      </w:r>
      <w:r w:rsidR="00D713F8">
        <w:rPr>
          <w:sz w:val="22"/>
          <w:szCs w:val="22"/>
        </w:rPr>
        <w:t>,</w:t>
      </w:r>
      <w:r w:rsidR="00FB461F">
        <w:rPr>
          <w:sz w:val="22"/>
          <w:szCs w:val="22"/>
        </w:rPr>
        <w:t xml:space="preserve"> as previously required by Order EA</w:t>
      </w:r>
      <w:r w:rsidR="00DB770D">
        <w:rPr>
          <w:sz w:val="22"/>
          <w:szCs w:val="22"/>
        </w:rPr>
        <w:t>-</w:t>
      </w:r>
      <w:r w:rsidR="00FB461F">
        <w:rPr>
          <w:sz w:val="22"/>
          <w:szCs w:val="22"/>
        </w:rPr>
        <w:t>12</w:t>
      </w:r>
      <w:r w:rsidR="00DB770D">
        <w:rPr>
          <w:sz w:val="22"/>
          <w:szCs w:val="22"/>
        </w:rPr>
        <w:t>-</w:t>
      </w:r>
      <w:r w:rsidR="00FB461F">
        <w:rPr>
          <w:sz w:val="22"/>
          <w:szCs w:val="22"/>
        </w:rPr>
        <w:t>049</w:t>
      </w:r>
      <w:r w:rsidR="00F32892">
        <w:rPr>
          <w:sz w:val="22"/>
          <w:szCs w:val="22"/>
        </w:rPr>
        <w:t xml:space="preserve">.  </w:t>
      </w:r>
      <w:r w:rsidR="00EC41E6">
        <w:rPr>
          <w:sz w:val="22"/>
          <w:szCs w:val="22"/>
        </w:rPr>
        <w:t xml:space="preserve">The costs associated with this rule provision are being incurred </w:t>
      </w:r>
      <w:r w:rsidR="00EC41E6" w:rsidRPr="001C2C00">
        <w:rPr>
          <w:sz w:val="22"/>
          <w:szCs w:val="22"/>
        </w:rPr>
        <w:t>as a result of</w:t>
      </w:r>
      <w:r w:rsidR="00EC41E6">
        <w:rPr>
          <w:sz w:val="22"/>
          <w:szCs w:val="22"/>
        </w:rPr>
        <w:t xml:space="preserve"> the requirements of Order EA-12-049 and are treated as sunk costs</w:t>
      </w:r>
      <w:r w:rsidR="00FB461F">
        <w:rPr>
          <w:sz w:val="22"/>
          <w:szCs w:val="22"/>
        </w:rPr>
        <w:t>.</w:t>
      </w:r>
    </w:p>
    <w:p w14:paraId="400FBF9C" w14:textId="77777777" w:rsidR="00C66AFB" w:rsidRPr="00C66AFB" w:rsidRDefault="00C66AFB" w:rsidP="00785156">
      <w:pPr>
        <w:pStyle w:val="ListParagraph"/>
        <w:ind w:hanging="720"/>
        <w:rPr>
          <w:sz w:val="22"/>
          <w:szCs w:val="22"/>
        </w:rPr>
      </w:pPr>
    </w:p>
    <w:p w14:paraId="0B9E8435" w14:textId="45371EE8" w:rsidR="00EC41E6" w:rsidRDefault="00EC41E6" w:rsidP="00785156">
      <w:pPr>
        <w:pStyle w:val="ListParagraph"/>
        <w:numPr>
          <w:ilvl w:val="0"/>
          <w:numId w:val="9"/>
        </w:numPr>
        <w:ind w:hanging="720"/>
        <w:rPr>
          <w:sz w:val="22"/>
          <w:szCs w:val="22"/>
        </w:rPr>
      </w:pPr>
      <w:r>
        <w:rPr>
          <w:sz w:val="22"/>
          <w:szCs w:val="22"/>
        </w:rPr>
        <w:t xml:space="preserve">Paragraph 50.155(d) requires licensees to provide for the training of personnel that perform activities in accordance with the capabilities required by 10 CFR 50.155(b)(1) and (b)(2).  This </w:t>
      </w:r>
      <w:r w:rsidR="000401EB">
        <w:rPr>
          <w:sz w:val="22"/>
          <w:szCs w:val="22"/>
        </w:rPr>
        <w:t xml:space="preserve">training </w:t>
      </w:r>
      <w:r>
        <w:rPr>
          <w:sz w:val="22"/>
          <w:szCs w:val="22"/>
        </w:rPr>
        <w:t xml:space="preserve">requirement </w:t>
      </w:r>
      <w:r w:rsidR="00E34F00">
        <w:rPr>
          <w:sz w:val="22"/>
          <w:szCs w:val="22"/>
        </w:rPr>
        <w:t>was</w:t>
      </w:r>
      <w:r>
        <w:rPr>
          <w:sz w:val="22"/>
          <w:szCs w:val="22"/>
        </w:rPr>
        <w:t xml:space="preserve"> previously required by Order EA-12-049</w:t>
      </w:r>
      <w:r w:rsidR="000401EB">
        <w:rPr>
          <w:sz w:val="22"/>
          <w:szCs w:val="22"/>
        </w:rPr>
        <w:t>.  Regulatory guidance for this order (</w:t>
      </w:r>
      <w:r w:rsidR="000576E6">
        <w:rPr>
          <w:sz w:val="22"/>
          <w:szCs w:val="22"/>
        </w:rPr>
        <w:t>NEI 2016)</w:t>
      </w:r>
      <w:r w:rsidR="000401EB">
        <w:rPr>
          <w:sz w:val="22"/>
          <w:szCs w:val="22"/>
        </w:rPr>
        <w:t xml:space="preserve">) provides acceptable methods to comply with this training requirement.  The costs associated with this rule provision are being incurred </w:t>
      </w:r>
      <w:r w:rsidR="000401EB" w:rsidRPr="001C2C00">
        <w:rPr>
          <w:sz w:val="22"/>
          <w:szCs w:val="22"/>
        </w:rPr>
        <w:t>as a result of</w:t>
      </w:r>
      <w:r w:rsidR="000401EB">
        <w:rPr>
          <w:sz w:val="22"/>
          <w:szCs w:val="22"/>
        </w:rPr>
        <w:t xml:space="preserve"> the requirements of Order EA-12-049 and are treated as sunk costs.</w:t>
      </w:r>
    </w:p>
    <w:p w14:paraId="5B428EEA" w14:textId="77777777" w:rsidR="00EC41E6" w:rsidRPr="00EC41E6" w:rsidRDefault="00EC41E6" w:rsidP="00EC41E6">
      <w:pPr>
        <w:pStyle w:val="ListParagraph"/>
        <w:rPr>
          <w:sz w:val="22"/>
          <w:szCs w:val="22"/>
        </w:rPr>
      </w:pPr>
    </w:p>
    <w:p w14:paraId="373691AD" w14:textId="5418DD10" w:rsidR="00C66AFB" w:rsidRDefault="00EC6A4F" w:rsidP="00785156">
      <w:pPr>
        <w:pStyle w:val="ListParagraph"/>
        <w:numPr>
          <w:ilvl w:val="0"/>
          <w:numId w:val="9"/>
        </w:numPr>
        <w:ind w:hanging="720"/>
        <w:rPr>
          <w:sz w:val="22"/>
          <w:szCs w:val="22"/>
        </w:rPr>
      </w:pPr>
      <w:r>
        <w:rPr>
          <w:sz w:val="22"/>
          <w:szCs w:val="22"/>
        </w:rPr>
        <w:t>Paragraph</w:t>
      </w:r>
      <w:r w:rsidR="001A6972">
        <w:rPr>
          <w:sz w:val="22"/>
          <w:szCs w:val="22"/>
        </w:rPr>
        <w:t> </w:t>
      </w:r>
      <w:r w:rsidR="00C66AFB">
        <w:rPr>
          <w:sz w:val="22"/>
          <w:szCs w:val="22"/>
        </w:rPr>
        <w:t>50.155(</w:t>
      </w:r>
      <w:r w:rsidR="00EC41E6">
        <w:rPr>
          <w:sz w:val="22"/>
          <w:szCs w:val="22"/>
        </w:rPr>
        <w:t>e</w:t>
      </w:r>
      <w:r w:rsidR="00C66AFB">
        <w:rPr>
          <w:sz w:val="22"/>
          <w:szCs w:val="22"/>
        </w:rPr>
        <w:t xml:space="preserve">) </w:t>
      </w:r>
      <w:r w:rsidR="002F3DBA">
        <w:rPr>
          <w:sz w:val="22"/>
          <w:szCs w:val="22"/>
        </w:rPr>
        <w:t>requires</w:t>
      </w:r>
      <w:r w:rsidR="00C66AFB">
        <w:rPr>
          <w:sz w:val="22"/>
          <w:szCs w:val="22"/>
        </w:rPr>
        <w:t xml:space="preserve"> licensees to install SFP level instrumentation</w:t>
      </w:r>
      <w:r w:rsidR="00D713F8">
        <w:rPr>
          <w:sz w:val="22"/>
          <w:szCs w:val="22"/>
        </w:rPr>
        <w:t>,</w:t>
      </w:r>
      <w:r w:rsidR="00C66AFB">
        <w:rPr>
          <w:sz w:val="22"/>
          <w:szCs w:val="22"/>
        </w:rPr>
        <w:t xml:space="preserve"> as required by Order EA-12-</w:t>
      </w:r>
      <w:r w:rsidR="005A64C6">
        <w:rPr>
          <w:sz w:val="22"/>
          <w:szCs w:val="22"/>
        </w:rPr>
        <w:t>051</w:t>
      </w:r>
      <w:r w:rsidR="00C66AFB">
        <w:rPr>
          <w:sz w:val="22"/>
          <w:szCs w:val="22"/>
        </w:rPr>
        <w:t>.  The costs associated with this rule provision are</w:t>
      </w:r>
      <w:r w:rsidR="009E09FC">
        <w:rPr>
          <w:sz w:val="22"/>
          <w:szCs w:val="22"/>
        </w:rPr>
        <w:t xml:space="preserve"> being incurred </w:t>
      </w:r>
      <w:r w:rsidR="009E09FC" w:rsidRPr="001C2C00">
        <w:rPr>
          <w:sz w:val="22"/>
          <w:szCs w:val="22"/>
        </w:rPr>
        <w:t>as a result of</w:t>
      </w:r>
      <w:r w:rsidR="009E09FC">
        <w:rPr>
          <w:sz w:val="22"/>
          <w:szCs w:val="22"/>
        </w:rPr>
        <w:t xml:space="preserve"> the requirements of Order EA-12-051</w:t>
      </w:r>
      <w:r w:rsidR="00C66AFB">
        <w:rPr>
          <w:sz w:val="22"/>
          <w:szCs w:val="22"/>
        </w:rPr>
        <w:t xml:space="preserve"> and are </w:t>
      </w:r>
      <w:r w:rsidR="000401EB">
        <w:rPr>
          <w:sz w:val="22"/>
          <w:szCs w:val="22"/>
        </w:rPr>
        <w:t>treated as sunk costs</w:t>
      </w:r>
      <w:r w:rsidR="00C66AFB">
        <w:rPr>
          <w:sz w:val="22"/>
          <w:szCs w:val="22"/>
        </w:rPr>
        <w:t>.</w:t>
      </w:r>
    </w:p>
    <w:p w14:paraId="52791218" w14:textId="77777777" w:rsidR="00EC41E6" w:rsidRPr="00EC41E6" w:rsidRDefault="00EC41E6" w:rsidP="00EC41E6">
      <w:pPr>
        <w:pStyle w:val="ListParagraph"/>
        <w:rPr>
          <w:sz w:val="22"/>
          <w:szCs w:val="22"/>
        </w:rPr>
      </w:pPr>
    </w:p>
    <w:p w14:paraId="7F3C96FB" w14:textId="3B852FB6" w:rsidR="00EC41E6" w:rsidRPr="00262F0D" w:rsidRDefault="00EC41E6" w:rsidP="00825159">
      <w:pPr>
        <w:pStyle w:val="ListParagraph"/>
        <w:numPr>
          <w:ilvl w:val="0"/>
          <w:numId w:val="9"/>
        </w:numPr>
        <w:rPr>
          <w:sz w:val="22"/>
          <w:szCs w:val="22"/>
        </w:rPr>
      </w:pPr>
      <w:r w:rsidRPr="00262F0D">
        <w:rPr>
          <w:sz w:val="22"/>
          <w:szCs w:val="22"/>
        </w:rPr>
        <w:t xml:space="preserve">Paragraph 50.155(f) requires licenses </w:t>
      </w:r>
      <w:r w:rsidR="00262F0D" w:rsidRPr="00262F0D">
        <w:rPr>
          <w:sz w:val="22"/>
          <w:szCs w:val="22"/>
        </w:rPr>
        <w:t>to perform evaluations of proposed changes sufficient to reach a conclusion that the MBDBE rule requirements continue to be met, and to document and maintain this evaluation to support NRC oversight of these activities.</w:t>
      </w:r>
    </w:p>
    <w:p w14:paraId="3EBC3BB8" w14:textId="77777777" w:rsidR="00573DB0" w:rsidRPr="00B2062C" w:rsidRDefault="00573DB0" w:rsidP="0062754D">
      <w:pPr>
        <w:rPr>
          <w:sz w:val="22"/>
          <w:szCs w:val="22"/>
        </w:rPr>
      </w:pPr>
    </w:p>
    <w:p w14:paraId="3EDD4DEA" w14:textId="6C542A5E" w:rsidR="004A2F8E" w:rsidRDefault="006C287D" w:rsidP="00DB770D">
      <w:pPr>
        <w:autoSpaceDE/>
        <w:autoSpaceDN/>
        <w:adjustRightInd/>
        <w:spacing w:after="200"/>
        <w:rPr>
          <w:rFonts w:eastAsiaTheme="minorEastAsia" w:cs="Arial"/>
          <w:sz w:val="22"/>
          <w:szCs w:val="22"/>
          <w:lang w:eastAsia="ja-JP"/>
        </w:rPr>
      </w:pPr>
      <w:r w:rsidRPr="00371E57">
        <w:rPr>
          <w:sz w:val="22"/>
          <w:szCs w:val="22"/>
        </w:rPr>
        <w:t>This option result</w:t>
      </w:r>
      <w:r w:rsidR="002F3DBA" w:rsidRPr="00371E57">
        <w:rPr>
          <w:sz w:val="22"/>
          <w:szCs w:val="22"/>
        </w:rPr>
        <w:t>s</w:t>
      </w:r>
      <w:r w:rsidRPr="00371E57">
        <w:rPr>
          <w:sz w:val="22"/>
          <w:szCs w:val="22"/>
        </w:rPr>
        <w:t xml:space="preserve"> in incremental costs of ($</w:t>
      </w:r>
      <w:r w:rsidR="006562A0" w:rsidRPr="00371E57">
        <w:rPr>
          <w:sz w:val="22"/>
          <w:szCs w:val="22"/>
        </w:rPr>
        <w:t>7.2</w:t>
      </w:r>
      <w:r w:rsidRPr="00371E57">
        <w:rPr>
          <w:sz w:val="22"/>
          <w:szCs w:val="22"/>
        </w:rPr>
        <w:t xml:space="preserve"> million)</w:t>
      </w:r>
      <w:r w:rsidR="00D713F8" w:rsidRPr="00371E57">
        <w:rPr>
          <w:rFonts w:eastAsiaTheme="minorEastAsia" w:cs="Arial"/>
          <w:sz w:val="22"/>
          <w:szCs w:val="22"/>
          <w:lang w:eastAsia="ja-JP"/>
        </w:rPr>
        <w:t>,</w:t>
      </w:r>
      <w:r w:rsidR="00FB7DF4" w:rsidRPr="00371E57">
        <w:rPr>
          <w:rFonts w:eastAsiaTheme="minorEastAsia" w:cs="Arial"/>
          <w:sz w:val="22"/>
          <w:szCs w:val="22"/>
          <w:lang w:eastAsia="ja-JP"/>
        </w:rPr>
        <w:t xml:space="preserve"> as shown in Exhibit 3-</w:t>
      </w:r>
      <w:r w:rsidR="006562A0" w:rsidRPr="00371E57">
        <w:rPr>
          <w:rFonts w:eastAsiaTheme="minorEastAsia" w:cs="Arial"/>
          <w:sz w:val="22"/>
          <w:szCs w:val="22"/>
          <w:lang w:eastAsia="ja-JP"/>
        </w:rPr>
        <w:t>3</w:t>
      </w:r>
      <w:r w:rsidR="00DB770D" w:rsidRPr="00371E57">
        <w:rPr>
          <w:rFonts w:eastAsiaTheme="minorEastAsia" w:cs="Arial"/>
          <w:sz w:val="22"/>
          <w:szCs w:val="22"/>
          <w:lang w:eastAsia="ja-JP"/>
        </w:rPr>
        <w:t xml:space="preserve">.  </w:t>
      </w:r>
      <w:r w:rsidR="008516D3" w:rsidRPr="00371E57">
        <w:rPr>
          <w:rFonts w:eastAsiaTheme="minorEastAsia" w:cs="Arial"/>
          <w:sz w:val="22"/>
          <w:szCs w:val="22"/>
          <w:lang w:eastAsia="ja-JP"/>
        </w:rPr>
        <w:t>The sections below describe t</w:t>
      </w:r>
      <w:r w:rsidR="00DB770D" w:rsidRPr="00371E57">
        <w:rPr>
          <w:rFonts w:eastAsiaTheme="minorEastAsia" w:cs="Arial"/>
          <w:sz w:val="22"/>
          <w:szCs w:val="22"/>
          <w:lang w:eastAsia="ja-JP"/>
        </w:rPr>
        <w:t>hese monetized costs in more detail.</w:t>
      </w:r>
    </w:p>
    <w:p w14:paraId="71496EF6" w14:textId="7E7AACC5" w:rsidR="00573DB0" w:rsidRPr="00DD52ED" w:rsidRDefault="00573DB0" w:rsidP="0062754D">
      <w:pPr>
        <w:pStyle w:val="Heading3"/>
      </w:pPr>
      <w:bookmarkStart w:id="155" w:name="_Toc460911631"/>
      <w:bookmarkStart w:id="156" w:name="_Toc460911673"/>
      <w:bookmarkStart w:id="157" w:name="_Toc460911715"/>
      <w:bookmarkStart w:id="158" w:name="_Toc460911757"/>
      <w:bookmarkStart w:id="159" w:name="_Toc460911799"/>
      <w:bookmarkStart w:id="160" w:name="_Toc460932049"/>
      <w:bookmarkStart w:id="161" w:name="_Toc460932095"/>
      <w:bookmarkStart w:id="162" w:name="_Toc460932141"/>
      <w:bookmarkStart w:id="163" w:name="_Toc460932187"/>
      <w:bookmarkStart w:id="164" w:name="_Toc532457284"/>
      <w:r w:rsidRPr="00DD52ED">
        <w:t>3.</w:t>
      </w:r>
      <w:r w:rsidR="00F434AF">
        <w:t>2</w:t>
      </w:r>
      <w:r w:rsidR="000E1083">
        <w:t>.1</w:t>
      </w:r>
      <w:r w:rsidR="000E1083">
        <w:tab/>
      </w:r>
      <w:r w:rsidRPr="00DD52ED">
        <w:t>Industry Implementation</w:t>
      </w:r>
      <w:bookmarkEnd w:id="155"/>
      <w:bookmarkEnd w:id="156"/>
      <w:bookmarkEnd w:id="157"/>
      <w:bookmarkEnd w:id="158"/>
      <w:bookmarkEnd w:id="159"/>
      <w:bookmarkEnd w:id="160"/>
      <w:bookmarkEnd w:id="161"/>
      <w:bookmarkEnd w:id="162"/>
      <w:bookmarkEnd w:id="163"/>
      <w:bookmarkEnd w:id="164"/>
    </w:p>
    <w:p w14:paraId="2932C496" w14:textId="75795E47" w:rsidR="00CC1A02" w:rsidRPr="00CE2971" w:rsidRDefault="00CC1A02" w:rsidP="00831804">
      <w:pPr>
        <w:rPr>
          <w:sz w:val="22"/>
          <w:szCs w:val="22"/>
        </w:rPr>
      </w:pPr>
      <w:r w:rsidRPr="00CE2971">
        <w:rPr>
          <w:sz w:val="22"/>
          <w:szCs w:val="22"/>
        </w:rPr>
        <w:t xml:space="preserve">This section presents the industry implementation costs resulting from Option </w:t>
      </w:r>
      <w:r w:rsidR="00E6708D" w:rsidRPr="00CE2971">
        <w:rPr>
          <w:sz w:val="22"/>
          <w:szCs w:val="22"/>
        </w:rPr>
        <w:t>2</w:t>
      </w:r>
      <w:r w:rsidRPr="00CE2971">
        <w:rPr>
          <w:sz w:val="22"/>
          <w:szCs w:val="22"/>
        </w:rPr>
        <w:t>.</w:t>
      </w:r>
    </w:p>
    <w:p w14:paraId="1168920D" w14:textId="77777777" w:rsidR="00ED043D" w:rsidRPr="00CE2971" w:rsidRDefault="00ED043D" w:rsidP="00E6708D">
      <w:pPr>
        <w:rPr>
          <w:sz w:val="22"/>
          <w:szCs w:val="22"/>
        </w:rPr>
      </w:pPr>
    </w:p>
    <w:p w14:paraId="7EC8CBA5" w14:textId="14044F04" w:rsidR="008808AB" w:rsidRPr="00FF628F" w:rsidRDefault="008808AB" w:rsidP="00763BA9">
      <w:pPr>
        <w:pStyle w:val="Heading4"/>
      </w:pPr>
      <w:r>
        <w:t>Review Rule Requirements</w:t>
      </w:r>
    </w:p>
    <w:p w14:paraId="6FD921A0" w14:textId="77777777" w:rsidR="008808AB" w:rsidRDefault="008808AB" w:rsidP="00ED043D">
      <w:pPr>
        <w:tabs>
          <w:tab w:val="left" w:pos="721"/>
        </w:tabs>
        <w:rPr>
          <w:sz w:val="22"/>
          <w:szCs w:val="22"/>
        </w:rPr>
      </w:pPr>
    </w:p>
    <w:p w14:paraId="73B7C780" w14:textId="7F693095" w:rsidR="00ED043D" w:rsidRDefault="00ED043D" w:rsidP="00ED043D">
      <w:pPr>
        <w:tabs>
          <w:tab w:val="left" w:pos="721"/>
        </w:tabs>
        <w:rPr>
          <w:sz w:val="22"/>
          <w:szCs w:val="22"/>
        </w:rPr>
      </w:pPr>
      <w:r w:rsidRPr="00CE2971">
        <w:rPr>
          <w:sz w:val="22"/>
          <w:szCs w:val="22"/>
        </w:rPr>
        <w:t xml:space="preserve">The </w:t>
      </w:r>
      <w:r w:rsidR="0088603D" w:rsidRPr="00CE2971">
        <w:rPr>
          <w:sz w:val="22"/>
          <w:szCs w:val="22"/>
        </w:rPr>
        <w:t xml:space="preserve">final </w:t>
      </w:r>
      <w:r w:rsidRPr="00CE2971">
        <w:rPr>
          <w:sz w:val="22"/>
          <w:szCs w:val="22"/>
        </w:rPr>
        <w:t xml:space="preserve">rule </w:t>
      </w:r>
      <w:r w:rsidR="004F72A3" w:rsidRPr="00CE2971">
        <w:rPr>
          <w:sz w:val="22"/>
          <w:szCs w:val="22"/>
        </w:rPr>
        <w:t>result</w:t>
      </w:r>
      <w:r w:rsidR="002F3DBA">
        <w:rPr>
          <w:sz w:val="22"/>
          <w:szCs w:val="22"/>
        </w:rPr>
        <w:t>s</w:t>
      </w:r>
      <w:r w:rsidR="004F72A3" w:rsidRPr="00CE2971">
        <w:rPr>
          <w:sz w:val="22"/>
          <w:szCs w:val="22"/>
        </w:rPr>
        <w:t xml:space="preserve"> in </w:t>
      </w:r>
      <w:r w:rsidR="00131882" w:rsidRPr="00CE2971">
        <w:rPr>
          <w:sz w:val="22"/>
          <w:szCs w:val="22"/>
        </w:rPr>
        <w:t>industry</w:t>
      </w:r>
      <w:r w:rsidR="004F72A3" w:rsidRPr="00CE2971">
        <w:rPr>
          <w:sz w:val="22"/>
          <w:szCs w:val="22"/>
        </w:rPr>
        <w:t xml:space="preserve"> implementation costs </w:t>
      </w:r>
      <w:r w:rsidR="00131882" w:rsidRPr="00CE2971">
        <w:rPr>
          <w:sz w:val="22"/>
          <w:szCs w:val="22"/>
        </w:rPr>
        <w:t>associated with</w:t>
      </w:r>
      <w:r w:rsidR="004F72A3" w:rsidRPr="00CE2971">
        <w:rPr>
          <w:sz w:val="22"/>
          <w:szCs w:val="22"/>
        </w:rPr>
        <w:t xml:space="preserve"> reviewing the rule requirements</w:t>
      </w:r>
      <w:r w:rsidR="00131882" w:rsidRPr="00CE2971">
        <w:rPr>
          <w:sz w:val="22"/>
          <w:szCs w:val="22"/>
        </w:rPr>
        <w:t xml:space="preserve"> to </w:t>
      </w:r>
      <w:r w:rsidR="00E70A86">
        <w:rPr>
          <w:sz w:val="22"/>
          <w:szCs w:val="22"/>
        </w:rPr>
        <w:t>(1) </w:t>
      </w:r>
      <w:r w:rsidR="00131882" w:rsidRPr="00CE2971">
        <w:rPr>
          <w:sz w:val="22"/>
          <w:szCs w:val="22"/>
        </w:rPr>
        <w:t>confirm compliance with the final rule</w:t>
      </w:r>
      <w:r w:rsidR="00475B6B" w:rsidRPr="00CE2971">
        <w:rPr>
          <w:sz w:val="22"/>
          <w:szCs w:val="22"/>
        </w:rPr>
        <w:t xml:space="preserve"> (i.e.</w:t>
      </w:r>
      <w:r w:rsidR="00D713F8">
        <w:rPr>
          <w:sz w:val="22"/>
          <w:szCs w:val="22"/>
        </w:rPr>
        <w:t>,</w:t>
      </w:r>
      <w:r w:rsidR="00475B6B" w:rsidRPr="00CE2971">
        <w:rPr>
          <w:sz w:val="22"/>
          <w:szCs w:val="22"/>
        </w:rPr>
        <w:t xml:space="preserve"> a comparison of the rule requirements with the </w:t>
      </w:r>
      <w:r w:rsidR="000B7397">
        <w:rPr>
          <w:sz w:val="22"/>
          <w:szCs w:val="22"/>
        </w:rPr>
        <w:t>order</w:t>
      </w:r>
      <w:r w:rsidR="00475B6B" w:rsidRPr="00CE2971">
        <w:rPr>
          <w:sz w:val="22"/>
          <w:szCs w:val="22"/>
        </w:rPr>
        <w:t>s and related industry initiatives and updates to procedures</w:t>
      </w:r>
      <w:r w:rsidR="00D713F8">
        <w:rPr>
          <w:sz w:val="22"/>
          <w:szCs w:val="22"/>
        </w:rPr>
        <w:t>,</w:t>
      </w:r>
      <w:r w:rsidR="00475B6B" w:rsidRPr="00CE2971">
        <w:rPr>
          <w:sz w:val="22"/>
          <w:szCs w:val="22"/>
        </w:rPr>
        <w:t xml:space="preserve"> programs</w:t>
      </w:r>
      <w:r w:rsidR="00D713F8">
        <w:rPr>
          <w:sz w:val="22"/>
          <w:szCs w:val="22"/>
        </w:rPr>
        <w:t>,</w:t>
      </w:r>
      <w:r w:rsidR="00475B6B" w:rsidRPr="00CE2971">
        <w:rPr>
          <w:sz w:val="22"/>
          <w:szCs w:val="22"/>
        </w:rPr>
        <w:t xml:space="preserve"> or plans)</w:t>
      </w:r>
      <w:r w:rsidR="00106302">
        <w:rPr>
          <w:sz w:val="22"/>
          <w:szCs w:val="22"/>
        </w:rPr>
        <w:t xml:space="preserve"> and </w:t>
      </w:r>
      <w:r w:rsidR="00E70A86">
        <w:rPr>
          <w:sz w:val="22"/>
          <w:szCs w:val="22"/>
        </w:rPr>
        <w:t>(2) </w:t>
      </w:r>
      <w:r w:rsidR="00106302">
        <w:rPr>
          <w:sz w:val="22"/>
          <w:szCs w:val="22"/>
        </w:rPr>
        <w:t>consider the reevaluated hazards</w:t>
      </w:r>
      <w:r w:rsidR="00131882" w:rsidRPr="00CE2971">
        <w:rPr>
          <w:sz w:val="22"/>
          <w:szCs w:val="22"/>
        </w:rPr>
        <w:t xml:space="preserve">.  </w:t>
      </w:r>
      <w:r w:rsidR="0088603D" w:rsidRPr="00CE2971">
        <w:rPr>
          <w:sz w:val="22"/>
          <w:szCs w:val="22"/>
        </w:rPr>
        <w:t>The</w:t>
      </w:r>
      <w:r w:rsidR="00131882" w:rsidRPr="00CE2971">
        <w:rPr>
          <w:sz w:val="22"/>
          <w:szCs w:val="22"/>
        </w:rPr>
        <w:t xml:space="preserve"> NRC assumes that each of the </w:t>
      </w:r>
      <w:r w:rsidR="002A1C72" w:rsidRPr="00CE2971">
        <w:rPr>
          <w:sz w:val="22"/>
          <w:szCs w:val="22"/>
        </w:rPr>
        <w:t>55</w:t>
      </w:r>
      <w:r w:rsidR="00131882" w:rsidRPr="00CE2971">
        <w:rPr>
          <w:sz w:val="22"/>
          <w:szCs w:val="22"/>
        </w:rPr>
        <w:t xml:space="preserve"> operating sites (including the </w:t>
      </w:r>
      <w:r w:rsidR="003D1591">
        <w:rPr>
          <w:sz w:val="22"/>
          <w:szCs w:val="22"/>
        </w:rPr>
        <w:t>two</w:t>
      </w:r>
      <w:r w:rsidR="00E6708D" w:rsidRPr="00CE2971">
        <w:rPr>
          <w:sz w:val="22"/>
          <w:szCs w:val="22"/>
        </w:rPr>
        <w:t> </w:t>
      </w:r>
      <w:r w:rsidR="00131882" w:rsidRPr="00CE2971">
        <w:rPr>
          <w:sz w:val="22"/>
          <w:szCs w:val="22"/>
        </w:rPr>
        <w:t xml:space="preserve">AP1000 COL sites) and the </w:t>
      </w:r>
      <w:r w:rsidR="00E54027">
        <w:rPr>
          <w:sz w:val="22"/>
          <w:szCs w:val="22"/>
        </w:rPr>
        <w:t>10</w:t>
      </w:r>
      <w:r w:rsidR="002F3DBA">
        <w:rPr>
          <w:sz w:val="22"/>
          <w:szCs w:val="22"/>
        </w:rPr>
        <w:t xml:space="preserve"> decommissioning sites will</w:t>
      </w:r>
      <w:r w:rsidR="00131882" w:rsidRPr="00CE2971">
        <w:rPr>
          <w:sz w:val="22"/>
          <w:szCs w:val="22"/>
        </w:rPr>
        <w:t xml:space="preserve"> review the final rule and make limited updates to procedures</w:t>
      </w:r>
      <w:r w:rsidR="00D713F8">
        <w:rPr>
          <w:sz w:val="22"/>
          <w:szCs w:val="22"/>
        </w:rPr>
        <w:t>,</w:t>
      </w:r>
      <w:r w:rsidR="00E2453B" w:rsidRPr="00CE2971">
        <w:rPr>
          <w:sz w:val="22"/>
          <w:szCs w:val="22"/>
        </w:rPr>
        <w:t xml:space="preserve"> p</w:t>
      </w:r>
      <w:r w:rsidR="00CE6BD5" w:rsidRPr="00CE2971">
        <w:rPr>
          <w:sz w:val="22"/>
          <w:szCs w:val="22"/>
        </w:rPr>
        <w:t>rograms</w:t>
      </w:r>
      <w:r w:rsidR="00D713F8">
        <w:rPr>
          <w:sz w:val="22"/>
          <w:szCs w:val="22"/>
        </w:rPr>
        <w:t>,</w:t>
      </w:r>
      <w:r w:rsidR="00E2453B" w:rsidRPr="00CE2971">
        <w:rPr>
          <w:sz w:val="22"/>
          <w:szCs w:val="22"/>
        </w:rPr>
        <w:t xml:space="preserve"> </w:t>
      </w:r>
      <w:r w:rsidR="00CE6BD5" w:rsidRPr="00CE2971">
        <w:rPr>
          <w:sz w:val="22"/>
          <w:szCs w:val="22"/>
        </w:rPr>
        <w:t>or</w:t>
      </w:r>
      <w:r w:rsidR="00E2453B" w:rsidRPr="00CE2971">
        <w:rPr>
          <w:sz w:val="22"/>
          <w:szCs w:val="22"/>
        </w:rPr>
        <w:t xml:space="preserve"> p</w:t>
      </w:r>
      <w:r w:rsidR="00CE6BD5" w:rsidRPr="00CE2971">
        <w:rPr>
          <w:sz w:val="22"/>
          <w:szCs w:val="22"/>
        </w:rPr>
        <w:t>lans</w:t>
      </w:r>
      <w:r w:rsidR="00131882" w:rsidRPr="00CE2971">
        <w:rPr>
          <w:sz w:val="22"/>
          <w:szCs w:val="22"/>
        </w:rPr>
        <w:t xml:space="preserve"> to reflect the rule requirements.  </w:t>
      </w:r>
      <w:r w:rsidR="004F72A3" w:rsidRPr="00CE2971">
        <w:rPr>
          <w:sz w:val="22"/>
          <w:szCs w:val="22"/>
        </w:rPr>
        <w:t>One-time industry implementation costs are assumed to begin in 201</w:t>
      </w:r>
      <w:r w:rsidR="006562A0">
        <w:rPr>
          <w:sz w:val="22"/>
          <w:szCs w:val="22"/>
        </w:rPr>
        <w:t>9</w:t>
      </w:r>
      <w:r w:rsidR="004F72A3" w:rsidRPr="00CE2971">
        <w:rPr>
          <w:sz w:val="22"/>
          <w:szCs w:val="22"/>
        </w:rPr>
        <w:t xml:space="preserve"> (the </w:t>
      </w:r>
      <w:r w:rsidR="00131882" w:rsidRPr="00CE2971">
        <w:rPr>
          <w:sz w:val="22"/>
          <w:szCs w:val="22"/>
        </w:rPr>
        <w:t xml:space="preserve">year the rule is </w:t>
      </w:r>
      <w:r w:rsidR="004F72A3" w:rsidRPr="00CE2971">
        <w:rPr>
          <w:sz w:val="22"/>
          <w:szCs w:val="22"/>
        </w:rPr>
        <w:t xml:space="preserve">expected </w:t>
      </w:r>
      <w:r w:rsidR="00131882" w:rsidRPr="00CE2971">
        <w:rPr>
          <w:sz w:val="22"/>
          <w:szCs w:val="22"/>
        </w:rPr>
        <w:t xml:space="preserve">to be </w:t>
      </w:r>
      <w:r w:rsidR="004F72A3" w:rsidRPr="00CE2971">
        <w:rPr>
          <w:sz w:val="22"/>
          <w:szCs w:val="22"/>
        </w:rPr>
        <w:t>effective).</w:t>
      </w:r>
    </w:p>
    <w:p w14:paraId="7F1CE32C" w14:textId="792F7C59" w:rsidR="00573DB0" w:rsidRDefault="00573DB0" w:rsidP="0062754D">
      <w:pPr>
        <w:pStyle w:val="Heading3"/>
      </w:pPr>
      <w:bookmarkStart w:id="165" w:name="_Toc460911632"/>
      <w:bookmarkStart w:id="166" w:name="_Toc460911674"/>
      <w:bookmarkStart w:id="167" w:name="_Toc460911716"/>
      <w:bookmarkStart w:id="168" w:name="_Toc460911758"/>
      <w:bookmarkStart w:id="169" w:name="_Toc460911800"/>
      <w:bookmarkStart w:id="170" w:name="_Toc460932050"/>
      <w:bookmarkStart w:id="171" w:name="_Toc460932096"/>
      <w:bookmarkStart w:id="172" w:name="_Toc460932142"/>
      <w:bookmarkStart w:id="173" w:name="_Toc460932188"/>
      <w:bookmarkStart w:id="174" w:name="_Toc532457285"/>
      <w:r w:rsidRPr="00DD52ED">
        <w:t>3.</w:t>
      </w:r>
      <w:r w:rsidR="0095574D">
        <w:t>2</w:t>
      </w:r>
      <w:r w:rsidRPr="00DD52ED">
        <w:t>.</w:t>
      </w:r>
      <w:r w:rsidR="00864E85">
        <w:t>2</w:t>
      </w:r>
      <w:r w:rsidR="000E1083">
        <w:tab/>
      </w:r>
      <w:r w:rsidRPr="00DD52ED">
        <w:t>Industry Operation</w:t>
      </w:r>
      <w:bookmarkEnd w:id="165"/>
      <w:bookmarkEnd w:id="166"/>
      <w:bookmarkEnd w:id="167"/>
      <w:bookmarkEnd w:id="168"/>
      <w:bookmarkEnd w:id="169"/>
      <w:bookmarkEnd w:id="170"/>
      <w:bookmarkEnd w:id="171"/>
      <w:bookmarkEnd w:id="172"/>
      <w:bookmarkEnd w:id="173"/>
      <w:bookmarkEnd w:id="174"/>
    </w:p>
    <w:p w14:paraId="797E8B6C" w14:textId="62759371" w:rsidR="00262F0D" w:rsidRDefault="00262F0D" w:rsidP="00262F0D">
      <w:pPr>
        <w:tabs>
          <w:tab w:val="left" w:pos="721"/>
        </w:tabs>
        <w:rPr>
          <w:sz w:val="22"/>
          <w:szCs w:val="22"/>
        </w:rPr>
      </w:pPr>
      <w:bookmarkStart w:id="175" w:name="_Toc460911633"/>
      <w:bookmarkStart w:id="176" w:name="_Toc460911675"/>
      <w:bookmarkStart w:id="177" w:name="_Toc460911717"/>
      <w:bookmarkStart w:id="178" w:name="_Toc460911759"/>
      <w:bookmarkStart w:id="179" w:name="_Toc460911801"/>
      <w:bookmarkStart w:id="180" w:name="_Toc460932051"/>
      <w:bookmarkStart w:id="181" w:name="_Toc460932097"/>
      <w:bookmarkStart w:id="182" w:name="_Toc460932143"/>
      <w:bookmarkStart w:id="183" w:name="_Toc460932189"/>
      <w:r w:rsidRPr="00ED1D75">
        <w:rPr>
          <w:sz w:val="22"/>
          <w:szCs w:val="22"/>
        </w:rPr>
        <w:t xml:space="preserve">The </w:t>
      </w:r>
      <w:r>
        <w:rPr>
          <w:sz w:val="22"/>
          <w:szCs w:val="22"/>
        </w:rPr>
        <w:t xml:space="preserve">NRC estimates that the final rule would not impose any incremental industry operation </w:t>
      </w:r>
      <w:r w:rsidRPr="00B93840">
        <w:rPr>
          <w:sz w:val="22"/>
          <w:szCs w:val="22"/>
        </w:rPr>
        <w:t>costs.</w:t>
      </w:r>
    </w:p>
    <w:p w14:paraId="544E051F" w14:textId="12AD31BA" w:rsidR="00573DB0" w:rsidRDefault="00573DB0" w:rsidP="00263CFE">
      <w:pPr>
        <w:pStyle w:val="Heading3"/>
      </w:pPr>
      <w:bookmarkStart w:id="184" w:name="_Toc532457286"/>
      <w:r w:rsidRPr="00DD52ED">
        <w:t>3.</w:t>
      </w:r>
      <w:r w:rsidR="0095574D">
        <w:t>2</w:t>
      </w:r>
      <w:r w:rsidRPr="00DD52ED">
        <w:t>.</w:t>
      </w:r>
      <w:r w:rsidR="00864E85">
        <w:t>3</w:t>
      </w:r>
      <w:r w:rsidR="000E1083">
        <w:tab/>
      </w:r>
      <w:r w:rsidRPr="00DD52ED">
        <w:t>NRC Implementation</w:t>
      </w:r>
      <w:bookmarkEnd w:id="175"/>
      <w:bookmarkEnd w:id="176"/>
      <w:bookmarkEnd w:id="177"/>
      <w:bookmarkEnd w:id="178"/>
      <w:bookmarkEnd w:id="179"/>
      <w:bookmarkEnd w:id="180"/>
      <w:bookmarkEnd w:id="181"/>
      <w:bookmarkEnd w:id="182"/>
      <w:bookmarkEnd w:id="183"/>
      <w:bookmarkEnd w:id="184"/>
    </w:p>
    <w:p w14:paraId="141525A6" w14:textId="1EF4D679" w:rsidR="00507837" w:rsidRDefault="00507837" w:rsidP="00507837">
      <w:pPr>
        <w:tabs>
          <w:tab w:val="left" w:pos="721"/>
        </w:tabs>
        <w:rPr>
          <w:sz w:val="22"/>
          <w:szCs w:val="22"/>
        </w:rPr>
      </w:pPr>
      <w:r w:rsidRPr="00ED1D75">
        <w:rPr>
          <w:sz w:val="22"/>
          <w:szCs w:val="22"/>
        </w:rPr>
        <w:t xml:space="preserve">The </w:t>
      </w:r>
      <w:r w:rsidR="00E6708D">
        <w:rPr>
          <w:sz w:val="22"/>
          <w:szCs w:val="22"/>
        </w:rPr>
        <w:t xml:space="preserve">NRC </w:t>
      </w:r>
      <w:r w:rsidR="0095574D">
        <w:rPr>
          <w:sz w:val="22"/>
          <w:szCs w:val="22"/>
        </w:rPr>
        <w:t>estimates that the final rule would not impose any incremental</w:t>
      </w:r>
      <w:r w:rsidR="00B93840">
        <w:rPr>
          <w:sz w:val="22"/>
          <w:szCs w:val="22"/>
        </w:rPr>
        <w:t xml:space="preserve"> NRC implementation </w:t>
      </w:r>
      <w:r w:rsidR="00B93840" w:rsidRPr="00B93840">
        <w:rPr>
          <w:sz w:val="22"/>
          <w:szCs w:val="22"/>
        </w:rPr>
        <w:t>costs</w:t>
      </w:r>
      <w:r w:rsidR="00406BED" w:rsidRPr="00B93840">
        <w:rPr>
          <w:sz w:val="22"/>
          <w:szCs w:val="22"/>
        </w:rPr>
        <w:t>.</w:t>
      </w:r>
    </w:p>
    <w:p w14:paraId="08A7F1A8" w14:textId="16F704D1" w:rsidR="00573DB0" w:rsidRDefault="00573DB0" w:rsidP="0062754D">
      <w:pPr>
        <w:pStyle w:val="Heading3"/>
      </w:pPr>
      <w:bookmarkStart w:id="185" w:name="_Toc460911634"/>
      <w:bookmarkStart w:id="186" w:name="_Toc460911676"/>
      <w:bookmarkStart w:id="187" w:name="_Toc460911718"/>
      <w:bookmarkStart w:id="188" w:name="_Toc460911760"/>
      <w:bookmarkStart w:id="189" w:name="_Toc460911802"/>
      <w:bookmarkStart w:id="190" w:name="_Toc460932052"/>
      <w:bookmarkStart w:id="191" w:name="_Toc460932098"/>
      <w:bookmarkStart w:id="192" w:name="_Toc460932144"/>
      <w:bookmarkStart w:id="193" w:name="_Toc460932190"/>
      <w:bookmarkStart w:id="194" w:name="_Toc532457287"/>
      <w:r w:rsidRPr="00DD52ED">
        <w:t>3.</w:t>
      </w:r>
      <w:r w:rsidR="0095574D">
        <w:t>2</w:t>
      </w:r>
      <w:r w:rsidRPr="00DD52ED">
        <w:t>.</w:t>
      </w:r>
      <w:r w:rsidR="00864E85">
        <w:t>4</w:t>
      </w:r>
      <w:r w:rsidR="000E1083">
        <w:tab/>
      </w:r>
      <w:r w:rsidRPr="00DD52ED">
        <w:t>NRC Operation</w:t>
      </w:r>
      <w:bookmarkEnd w:id="185"/>
      <w:bookmarkEnd w:id="186"/>
      <w:bookmarkEnd w:id="187"/>
      <w:bookmarkEnd w:id="188"/>
      <w:bookmarkEnd w:id="189"/>
      <w:bookmarkEnd w:id="190"/>
      <w:bookmarkEnd w:id="191"/>
      <w:bookmarkEnd w:id="192"/>
      <w:bookmarkEnd w:id="193"/>
      <w:bookmarkEnd w:id="194"/>
    </w:p>
    <w:p w14:paraId="39273D40" w14:textId="7212DA7C" w:rsidR="00C3626E" w:rsidRDefault="00C3626E" w:rsidP="00C3626E">
      <w:pPr>
        <w:tabs>
          <w:tab w:val="left" w:pos="721"/>
        </w:tabs>
        <w:rPr>
          <w:sz w:val="22"/>
          <w:szCs w:val="22"/>
        </w:rPr>
      </w:pPr>
      <w:r w:rsidRPr="0070751D">
        <w:rPr>
          <w:sz w:val="22"/>
          <w:szCs w:val="22"/>
        </w:rPr>
        <w:t xml:space="preserve">The </w:t>
      </w:r>
      <w:r>
        <w:rPr>
          <w:sz w:val="22"/>
          <w:szCs w:val="22"/>
        </w:rPr>
        <w:t xml:space="preserve">NRC estimates that the </w:t>
      </w:r>
      <w:r w:rsidR="005425F7">
        <w:rPr>
          <w:sz w:val="22"/>
          <w:szCs w:val="22"/>
        </w:rPr>
        <w:t>final</w:t>
      </w:r>
      <w:r w:rsidR="005425F7" w:rsidRPr="0070751D">
        <w:rPr>
          <w:sz w:val="22"/>
          <w:szCs w:val="22"/>
        </w:rPr>
        <w:t xml:space="preserve"> </w:t>
      </w:r>
      <w:r w:rsidRPr="0070751D">
        <w:rPr>
          <w:sz w:val="22"/>
          <w:szCs w:val="22"/>
        </w:rPr>
        <w:t xml:space="preserve">rule would </w:t>
      </w:r>
      <w:r>
        <w:rPr>
          <w:sz w:val="22"/>
          <w:szCs w:val="22"/>
        </w:rPr>
        <w:t xml:space="preserve">not </w:t>
      </w:r>
      <w:r w:rsidRPr="0070751D">
        <w:rPr>
          <w:sz w:val="22"/>
          <w:szCs w:val="22"/>
        </w:rPr>
        <w:t>impose</w:t>
      </w:r>
      <w:r>
        <w:rPr>
          <w:sz w:val="22"/>
          <w:szCs w:val="22"/>
        </w:rPr>
        <w:t xml:space="preserve"> </w:t>
      </w:r>
      <w:r w:rsidR="00E32634">
        <w:rPr>
          <w:sz w:val="22"/>
          <w:szCs w:val="22"/>
        </w:rPr>
        <w:t>any incremental NRC</w:t>
      </w:r>
      <w:r>
        <w:rPr>
          <w:sz w:val="22"/>
          <w:szCs w:val="22"/>
        </w:rPr>
        <w:t xml:space="preserve"> operations</w:t>
      </w:r>
      <w:r w:rsidRPr="0070751D">
        <w:rPr>
          <w:sz w:val="22"/>
          <w:szCs w:val="22"/>
        </w:rPr>
        <w:t xml:space="preserve"> costs </w:t>
      </w:r>
      <w:r>
        <w:rPr>
          <w:sz w:val="22"/>
          <w:szCs w:val="22"/>
        </w:rPr>
        <w:t xml:space="preserve">because </w:t>
      </w:r>
      <w:r w:rsidR="00EC7F34">
        <w:rPr>
          <w:sz w:val="22"/>
          <w:szCs w:val="22"/>
        </w:rPr>
        <w:t xml:space="preserve">the NRC does not plan any special inspections for this rule.  </w:t>
      </w:r>
      <w:r w:rsidR="00E32634">
        <w:rPr>
          <w:sz w:val="22"/>
          <w:szCs w:val="22"/>
        </w:rPr>
        <w:t xml:space="preserve">NRC oversight </w:t>
      </w:r>
      <w:r w:rsidR="00EC7F34">
        <w:rPr>
          <w:sz w:val="22"/>
          <w:szCs w:val="22"/>
        </w:rPr>
        <w:t>of the licensees</w:t>
      </w:r>
      <w:r w:rsidR="00D713F8">
        <w:rPr>
          <w:sz w:val="22"/>
          <w:szCs w:val="22"/>
        </w:rPr>
        <w:t>’</w:t>
      </w:r>
      <w:r w:rsidR="00EC7F34">
        <w:rPr>
          <w:sz w:val="22"/>
          <w:szCs w:val="22"/>
        </w:rPr>
        <w:t xml:space="preserve"> compliance with</w:t>
      </w:r>
      <w:r w:rsidR="00E32634">
        <w:rPr>
          <w:sz w:val="22"/>
          <w:szCs w:val="22"/>
        </w:rPr>
        <w:t xml:space="preserve"> the </w:t>
      </w:r>
      <w:r w:rsidR="005425F7">
        <w:rPr>
          <w:sz w:val="22"/>
          <w:szCs w:val="22"/>
        </w:rPr>
        <w:t xml:space="preserve">final </w:t>
      </w:r>
      <w:r>
        <w:rPr>
          <w:sz w:val="22"/>
          <w:szCs w:val="22"/>
        </w:rPr>
        <w:t xml:space="preserve">rule requirements </w:t>
      </w:r>
      <w:r w:rsidR="00E32634">
        <w:rPr>
          <w:sz w:val="22"/>
          <w:szCs w:val="22"/>
        </w:rPr>
        <w:t>will be performed under the</w:t>
      </w:r>
      <w:r w:rsidR="00514E5C">
        <w:rPr>
          <w:sz w:val="22"/>
          <w:szCs w:val="22"/>
        </w:rPr>
        <w:t xml:space="preserve"> Reactor Oversight Process</w:t>
      </w:r>
      <w:r w:rsidR="00E84E70">
        <w:rPr>
          <w:sz w:val="22"/>
          <w:szCs w:val="22"/>
        </w:rPr>
        <w:t xml:space="preserve"> (ROP)</w:t>
      </w:r>
      <w:r w:rsidR="00514E5C">
        <w:rPr>
          <w:sz w:val="22"/>
          <w:szCs w:val="22"/>
        </w:rPr>
        <w:t xml:space="preserve">.  </w:t>
      </w:r>
      <w:r w:rsidR="00E32634">
        <w:rPr>
          <w:sz w:val="22"/>
          <w:szCs w:val="22"/>
        </w:rPr>
        <w:t xml:space="preserve">The ROP costs </w:t>
      </w:r>
      <w:r>
        <w:rPr>
          <w:sz w:val="22"/>
          <w:szCs w:val="22"/>
        </w:rPr>
        <w:t xml:space="preserve">are </w:t>
      </w:r>
      <w:r w:rsidR="00B3653C">
        <w:rPr>
          <w:sz w:val="22"/>
          <w:szCs w:val="22"/>
        </w:rPr>
        <w:t>included</w:t>
      </w:r>
      <w:r>
        <w:rPr>
          <w:sz w:val="22"/>
          <w:szCs w:val="22"/>
        </w:rPr>
        <w:t xml:space="preserve"> in the baseline of the analysis</w:t>
      </w:r>
      <w:r w:rsidRPr="0070751D">
        <w:rPr>
          <w:sz w:val="22"/>
          <w:szCs w:val="22"/>
        </w:rPr>
        <w:t>.</w:t>
      </w:r>
    </w:p>
    <w:p w14:paraId="764CAE8A" w14:textId="7DAF511B" w:rsidR="00685591" w:rsidRDefault="00685591" w:rsidP="00C3626E">
      <w:pPr>
        <w:tabs>
          <w:tab w:val="left" w:pos="721"/>
        </w:tabs>
        <w:rPr>
          <w:sz w:val="22"/>
          <w:szCs w:val="22"/>
        </w:rPr>
      </w:pPr>
    </w:p>
    <w:p w14:paraId="65941E8B" w14:textId="50561229" w:rsidR="0013754A" w:rsidRDefault="0013754A" w:rsidP="00B93840">
      <w:pPr>
        <w:rPr>
          <w:sz w:val="22"/>
          <w:szCs w:val="22"/>
        </w:rPr>
      </w:pPr>
      <w:r>
        <w:rPr>
          <w:sz w:val="22"/>
          <w:szCs w:val="22"/>
        </w:rPr>
        <w:t>Furthermore</w:t>
      </w:r>
      <w:r w:rsidR="00D713F8">
        <w:rPr>
          <w:sz w:val="22"/>
          <w:szCs w:val="22"/>
        </w:rPr>
        <w:t>,</w:t>
      </w:r>
      <w:r>
        <w:rPr>
          <w:sz w:val="22"/>
          <w:szCs w:val="22"/>
        </w:rPr>
        <w:t xml:space="preserve"> the NRC is </w:t>
      </w:r>
      <w:r w:rsidRPr="0013754A">
        <w:rPr>
          <w:sz w:val="22"/>
          <w:szCs w:val="22"/>
        </w:rPr>
        <w:t xml:space="preserve">including in the final rule specific terms that </w:t>
      </w:r>
      <w:r w:rsidR="00B93840">
        <w:rPr>
          <w:sz w:val="22"/>
          <w:szCs w:val="22"/>
        </w:rPr>
        <w:t>withdraw</w:t>
      </w:r>
      <w:r w:rsidRPr="0013754A">
        <w:rPr>
          <w:sz w:val="22"/>
          <w:szCs w:val="22"/>
        </w:rPr>
        <w:t xml:space="preserve"> orders and remove license conditions</w:t>
      </w:r>
      <w:r>
        <w:rPr>
          <w:rStyle w:val="FootnoteReference"/>
          <w:sz w:val="22"/>
          <w:szCs w:val="22"/>
        </w:rPr>
        <w:footnoteReference w:id="5"/>
      </w:r>
      <w:r w:rsidRPr="0013754A">
        <w:rPr>
          <w:sz w:val="22"/>
          <w:szCs w:val="22"/>
        </w:rPr>
        <w:t xml:space="preserve"> that are substantively redundant with provisions in the final rule.  </w:t>
      </w:r>
      <w:r>
        <w:rPr>
          <w:sz w:val="22"/>
          <w:szCs w:val="22"/>
        </w:rPr>
        <w:t>A</w:t>
      </w:r>
      <w:r w:rsidRPr="0013754A">
        <w:rPr>
          <w:sz w:val="22"/>
          <w:szCs w:val="22"/>
        </w:rPr>
        <w:t xml:space="preserve"> primary objective of this rulemaking is to make the requirements of </w:t>
      </w:r>
      <w:r w:rsidR="00FC529B">
        <w:rPr>
          <w:sz w:val="22"/>
          <w:szCs w:val="22"/>
        </w:rPr>
        <w:t>NRC Order EA</w:t>
      </w:r>
      <w:r w:rsidR="00FC529B">
        <w:rPr>
          <w:sz w:val="22"/>
          <w:szCs w:val="22"/>
        </w:rPr>
        <w:noBreakHyphen/>
        <w:t>12</w:t>
      </w:r>
      <w:r w:rsidR="00FC529B">
        <w:rPr>
          <w:sz w:val="22"/>
          <w:szCs w:val="22"/>
        </w:rPr>
        <w:noBreakHyphen/>
        <w:t>049 and Order EA</w:t>
      </w:r>
      <w:r w:rsidR="00FC529B">
        <w:rPr>
          <w:sz w:val="22"/>
          <w:szCs w:val="22"/>
        </w:rPr>
        <w:noBreakHyphen/>
        <w:t>12</w:t>
      </w:r>
      <w:r w:rsidR="00FC529B">
        <w:rPr>
          <w:sz w:val="22"/>
          <w:szCs w:val="22"/>
        </w:rPr>
        <w:noBreakHyphen/>
        <w:t>051</w:t>
      </w:r>
      <w:r w:rsidRPr="0013754A">
        <w:rPr>
          <w:sz w:val="22"/>
          <w:szCs w:val="22"/>
        </w:rPr>
        <w:t xml:space="preserve"> generically applicable to power reactor licensees and applicants</w:t>
      </w:r>
      <w:r w:rsidR="00D713F8">
        <w:rPr>
          <w:sz w:val="22"/>
          <w:szCs w:val="22"/>
        </w:rPr>
        <w:t>,</w:t>
      </w:r>
      <w:r w:rsidRPr="0013754A">
        <w:rPr>
          <w:sz w:val="22"/>
          <w:szCs w:val="22"/>
        </w:rPr>
        <w:t xml:space="preserve"> taking into account lessons learned in the orders</w:t>
      </w:r>
      <w:r w:rsidR="00D713F8">
        <w:rPr>
          <w:sz w:val="22"/>
          <w:szCs w:val="22"/>
        </w:rPr>
        <w:t>’</w:t>
      </w:r>
      <w:r w:rsidRPr="0013754A">
        <w:rPr>
          <w:sz w:val="22"/>
          <w:szCs w:val="22"/>
        </w:rPr>
        <w:t xml:space="preserve"> implementation and stakeholder feedback received through the regulatory process.  As such</w:t>
      </w:r>
      <w:r w:rsidR="00D713F8">
        <w:rPr>
          <w:sz w:val="22"/>
          <w:szCs w:val="22"/>
        </w:rPr>
        <w:t>,</w:t>
      </w:r>
      <w:r w:rsidRPr="0013754A">
        <w:rPr>
          <w:sz w:val="22"/>
          <w:szCs w:val="22"/>
        </w:rPr>
        <w:t xml:space="preserve"> the requirements of </w:t>
      </w:r>
      <w:r w:rsidR="00807C2B">
        <w:rPr>
          <w:sz w:val="22"/>
          <w:szCs w:val="22"/>
        </w:rPr>
        <w:t>10 CFR</w:t>
      </w:r>
      <w:r w:rsidRPr="0013754A">
        <w:rPr>
          <w:sz w:val="22"/>
          <w:szCs w:val="22"/>
        </w:rPr>
        <w:t xml:space="preserve"> 50.155 fully replace the requirements of those orders.  Although the orders provide for their relaxation or </w:t>
      </w:r>
      <w:r w:rsidR="000576E6">
        <w:rPr>
          <w:sz w:val="22"/>
          <w:szCs w:val="22"/>
        </w:rPr>
        <w:t>withdrawal</w:t>
      </w:r>
      <w:r w:rsidRPr="0013754A">
        <w:rPr>
          <w:sz w:val="22"/>
          <w:szCs w:val="22"/>
        </w:rPr>
        <w:t xml:space="preserve"> on a licensee</w:t>
      </w:r>
      <w:r w:rsidR="00807C2B">
        <w:rPr>
          <w:sz w:val="22"/>
          <w:szCs w:val="22"/>
        </w:rPr>
        <w:noBreakHyphen/>
      </w:r>
      <w:r w:rsidRPr="0013754A">
        <w:rPr>
          <w:sz w:val="22"/>
          <w:szCs w:val="22"/>
        </w:rPr>
        <w:t>specific basis</w:t>
      </w:r>
      <w:r w:rsidR="00D713F8">
        <w:rPr>
          <w:sz w:val="22"/>
          <w:szCs w:val="22"/>
        </w:rPr>
        <w:t>,</w:t>
      </w:r>
      <w:r w:rsidRPr="0013754A">
        <w:rPr>
          <w:sz w:val="22"/>
          <w:szCs w:val="22"/>
        </w:rPr>
        <w:t xml:space="preserve"> use of that process would be an inefficient and unnecessary administrative burden on licensees and the NRC—with no impact on public health and safety—because the final rule simultaneously replaces the orders in their entirety for all applicable licensees.  Therefore</w:t>
      </w:r>
      <w:r w:rsidR="00D713F8">
        <w:rPr>
          <w:sz w:val="22"/>
          <w:szCs w:val="22"/>
        </w:rPr>
        <w:t>,</w:t>
      </w:r>
      <w:r w:rsidRPr="0013754A">
        <w:rPr>
          <w:sz w:val="22"/>
          <w:szCs w:val="22"/>
        </w:rPr>
        <w:t xml:space="preserve"> the NRC finds that good cause is shown to </w:t>
      </w:r>
      <w:r w:rsidR="00B93840">
        <w:rPr>
          <w:sz w:val="22"/>
          <w:szCs w:val="22"/>
        </w:rPr>
        <w:t>withdraw</w:t>
      </w:r>
      <w:r w:rsidRPr="0013754A">
        <w:rPr>
          <w:sz w:val="22"/>
          <w:szCs w:val="22"/>
        </w:rPr>
        <w:t xml:space="preserve"> </w:t>
      </w:r>
      <w:r w:rsidR="00444FEA">
        <w:rPr>
          <w:sz w:val="22"/>
          <w:szCs w:val="22"/>
        </w:rPr>
        <w:t>Order EA</w:t>
      </w:r>
      <w:r w:rsidR="00444FEA">
        <w:rPr>
          <w:sz w:val="22"/>
          <w:szCs w:val="22"/>
        </w:rPr>
        <w:noBreakHyphen/>
        <w:t>12</w:t>
      </w:r>
      <w:r w:rsidR="00444FEA">
        <w:rPr>
          <w:sz w:val="22"/>
          <w:szCs w:val="22"/>
        </w:rPr>
        <w:noBreakHyphen/>
        <w:t>049 and Order EA</w:t>
      </w:r>
      <w:r w:rsidR="00444FEA">
        <w:rPr>
          <w:sz w:val="22"/>
          <w:szCs w:val="22"/>
        </w:rPr>
        <w:noBreakHyphen/>
        <w:t>12</w:t>
      </w:r>
      <w:r w:rsidR="00444FEA">
        <w:rPr>
          <w:sz w:val="22"/>
          <w:szCs w:val="22"/>
        </w:rPr>
        <w:noBreakHyphen/>
        <w:t>051</w:t>
      </w:r>
      <w:r w:rsidRPr="0013754A">
        <w:rPr>
          <w:sz w:val="22"/>
          <w:szCs w:val="22"/>
        </w:rPr>
        <w:t xml:space="preserve"> for all licensees that received those orders</w:t>
      </w:r>
      <w:r w:rsidR="00B93840" w:rsidRPr="00B93840">
        <w:rPr>
          <w:rFonts w:eastAsiaTheme="minorHAnsi" w:cs="Arial"/>
          <w:sz w:val="22"/>
          <w:szCs w:val="22"/>
        </w:rPr>
        <w:t xml:space="preserve"> </w:t>
      </w:r>
      <w:r w:rsidR="00B93840">
        <w:rPr>
          <w:rFonts w:eastAsiaTheme="minorHAnsi" w:cs="Arial"/>
          <w:sz w:val="22"/>
          <w:szCs w:val="22"/>
        </w:rPr>
        <w:t>once the MBDBE rule goes into effect and licensees are in compliance with it.</w:t>
      </w:r>
      <w:r w:rsidR="00807C2B">
        <w:rPr>
          <w:sz w:val="22"/>
          <w:szCs w:val="22"/>
        </w:rPr>
        <w:t xml:space="preserve">  Based on this approach</w:t>
      </w:r>
      <w:r w:rsidR="00D713F8">
        <w:rPr>
          <w:sz w:val="22"/>
          <w:szCs w:val="22"/>
        </w:rPr>
        <w:t>,</w:t>
      </w:r>
      <w:r w:rsidR="00807C2B">
        <w:rPr>
          <w:sz w:val="22"/>
          <w:szCs w:val="22"/>
        </w:rPr>
        <w:t xml:space="preserve"> the NRC will not incur additional administrative burden following the promulgation of this rule to resolve inconsistencies with or </w:t>
      </w:r>
      <w:r w:rsidR="000C21E0">
        <w:rPr>
          <w:sz w:val="22"/>
          <w:szCs w:val="22"/>
        </w:rPr>
        <w:t>withdraws</w:t>
      </w:r>
      <w:r w:rsidR="00807C2B">
        <w:rPr>
          <w:sz w:val="22"/>
          <w:szCs w:val="22"/>
        </w:rPr>
        <w:t xml:space="preserve"> redundant orders or </w:t>
      </w:r>
      <w:r w:rsidR="000C21E0">
        <w:rPr>
          <w:sz w:val="22"/>
          <w:szCs w:val="22"/>
        </w:rPr>
        <w:t xml:space="preserve">remove </w:t>
      </w:r>
      <w:r w:rsidR="00807C2B">
        <w:rPr>
          <w:sz w:val="22"/>
          <w:szCs w:val="22"/>
        </w:rPr>
        <w:t>license conditions once the final rule goes into effect.</w:t>
      </w:r>
    </w:p>
    <w:p w14:paraId="20FABFDC" w14:textId="5F3FC82C" w:rsidR="00A35023" w:rsidRDefault="00A35023" w:rsidP="0062754D">
      <w:pPr>
        <w:pStyle w:val="Heading2"/>
        <w:rPr>
          <w:szCs w:val="22"/>
        </w:rPr>
      </w:pPr>
      <w:bookmarkStart w:id="195" w:name="_Toc460911635"/>
      <w:bookmarkStart w:id="196" w:name="_Toc460911677"/>
      <w:bookmarkStart w:id="197" w:name="_Toc460911719"/>
      <w:bookmarkStart w:id="198" w:name="_Toc460911761"/>
      <w:bookmarkStart w:id="199" w:name="_Toc460911803"/>
      <w:bookmarkStart w:id="200" w:name="_Toc460932053"/>
      <w:bookmarkStart w:id="201" w:name="_Toc460932099"/>
      <w:bookmarkStart w:id="202" w:name="_Toc460932145"/>
      <w:bookmarkStart w:id="203" w:name="_Toc460932191"/>
      <w:bookmarkStart w:id="204" w:name="_Toc532457288"/>
      <w:bookmarkStart w:id="205" w:name="_Toc404777857"/>
      <w:r>
        <w:rPr>
          <w:szCs w:val="22"/>
        </w:rPr>
        <w:t>3.</w:t>
      </w:r>
      <w:r w:rsidR="0095574D">
        <w:rPr>
          <w:szCs w:val="22"/>
        </w:rPr>
        <w:t>3</w:t>
      </w:r>
      <w:r>
        <w:rPr>
          <w:szCs w:val="22"/>
        </w:rPr>
        <w:tab/>
        <w:t xml:space="preserve">Benefits of the </w:t>
      </w:r>
      <w:r w:rsidR="005425F7">
        <w:rPr>
          <w:szCs w:val="22"/>
        </w:rPr>
        <w:t xml:space="preserve">Final </w:t>
      </w:r>
      <w:r>
        <w:rPr>
          <w:szCs w:val="22"/>
        </w:rPr>
        <w:t>Rule</w:t>
      </w:r>
      <w:bookmarkEnd w:id="195"/>
      <w:bookmarkEnd w:id="196"/>
      <w:bookmarkEnd w:id="197"/>
      <w:bookmarkEnd w:id="198"/>
      <w:bookmarkEnd w:id="199"/>
      <w:bookmarkEnd w:id="200"/>
      <w:bookmarkEnd w:id="201"/>
      <w:bookmarkEnd w:id="202"/>
      <w:bookmarkEnd w:id="203"/>
      <w:bookmarkEnd w:id="204"/>
    </w:p>
    <w:p w14:paraId="4E9F143E" w14:textId="4660B6C5" w:rsidR="00670CEF" w:rsidRDefault="00670CEF" w:rsidP="0062754D">
      <w:pPr>
        <w:contextualSpacing/>
        <w:rPr>
          <w:rFonts w:cs="Arial"/>
          <w:sz w:val="22"/>
          <w:szCs w:val="22"/>
        </w:rPr>
      </w:pPr>
      <w:r w:rsidRPr="00A447D2">
        <w:rPr>
          <w:rFonts w:cs="Arial"/>
          <w:sz w:val="22"/>
          <w:szCs w:val="22"/>
        </w:rPr>
        <w:t>Relative to the no</w:t>
      </w:r>
      <w:r w:rsidR="00493AD7">
        <w:rPr>
          <w:rFonts w:cs="Arial"/>
          <w:sz w:val="22"/>
          <w:szCs w:val="22"/>
        </w:rPr>
        <w:t>-</w:t>
      </w:r>
      <w:r w:rsidRPr="00A447D2">
        <w:rPr>
          <w:rFonts w:cs="Arial"/>
          <w:sz w:val="22"/>
          <w:szCs w:val="22"/>
        </w:rPr>
        <w:t>action baseline</w:t>
      </w:r>
      <w:r w:rsidR="00D713F8">
        <w:rPr>
          <w:rFonts w:cs="Arial"/>
          <w:sz w:val="22"/>
          <w:szCs w:val="22"/>
        </w:rPr>
        <w:t>,</w:t>
      </w:r>
      <w:r w:rsidRPr="00A447D2">
        <w:rPr>
          <w:rFonts w:cs="Arial"/>
          <w:sz w:val="22"/>
          <w:szCs w:val="22"/>
        </w:rPr>
        <w:t xml:space="preserve"> which </w:t>
      </w:r>
      <w:r w:rsidR="0079473D">
        <w:rPr>
          <w:rFonts w:cs="Arial"/>
          <w:sz w:val="22"/>
          <w:szCs w:val="22"/>
        </w:rPr>
        <w:t>includes</w:t>
      </w:r>
      <w:r w:rsidRPr="00A447D2">
        <w:rPr>
          <w:rFonts w:cs="Arial"/>
          <w:sz w:val="22"/>
          <w:szCs w:val="22"/>
        </w:rPr>
        <w:t xml:space="preserve"> the benefits from Order EA-12-049 </w:t>
      </w:r>
      <w:r w:rsidR="000576E6">
        <w:rPr>
          <w:rFonts w:cs="Arial"/>
          <w:sz w:val="22"/>
          <w:szCs w:val="22"/>
        </w:rPr>
        <w:t xml:space="preserve">and </w:t>
      </w:r>
      <w:r w:rsidRPr="00A447D2">
        <w:rPr>
          <w:rFonts w:cs="Arial"/>
          <w:sz w:val="22"/>
          <w:szCs w:val="22"/>
        </w:rPr>
        <w:t>Order</w:t>
      </w:r>
      <w:r w:rsidR="000D27B7">
        <w:rPr>
          <w:rFonts w:cs="Arial"/>
          <w:sz w:val="22"/>
          <w:szCs w:val="22"/>
        </w:rPr>
        <w:t> </w:t>
      </w:r>
      <w:r w:rsidRPr="00A447D2">
        <w:rPr>
          <w:rFonts w:cs="Arial"/>
          <w:sz w:val="22"/>
          <w:szCs w:val="22"/>
        </w:rPr>
        <w:t>EA</w:t>
      </w:r>
      <w:r w:rsidR="000D27B7">
        <w:rPr>
          <w:rFonts w:cs="Arial"/>
          <w:sz w:val="22"/>
          <w:szCs w:val="22"/>
        </w:rPr>
        <w:noBreakHyphen/>
      </w:r>
      <w:r w:rsidRPr="00A447D2">
        <w:rPr>
          <w:rFonts w:cs="Arial"/>
          <w:sz w:val="22"/>
          <w:szCs w:val="22"/>
        </w:rPr>
        <w:t>12</w:t>
      </w:r>
      <w:r w:rsidR="000D27B7">
        <w:rPr>
          <w:rFonts w:cs="Arial"/>
          <w:sz w:val="22"/>
          <w:szCs w:val="22"/>
        </w:rPr>
        <w:noBreakHyphen/>
      </w:r>
      <w:r w:rsidRPr="00A447D2">
        <w:rPr>
          <w:rFonts w:cs="Arial"/>
          <w:sz w:val="22"/>
          <w:szCs w:val="22"/>
        </w:rPr>
        <w:t>051</w:t>
      </w:r>
      <w:r w:rsidR="00D713F8">
        <w:rPr>
          <w:rFonts w:cs="Arial"/>
          <w:sz w:val="22"/>
          <w:szCs w:val="22"/>
        </w:rPr>
        <w:t>,</w:t>
      </w:r>
      <w:r w:rsidRPr="00A447D2">
        <w:rPr>
          <w:rFonts w:cs="Arial"/>
          <w:sz w:val="22"/>
          <w:szCs w:val="22"/>
        </w:rPr>
        <w:t xml:space="preserve"> the options u</w:t>
      </w:r>
      <w:r>
        <w:rPr>
          <w:rFonts w:cs="Arial"/>
          <w:sz w:val="22"/>
          <w:szCs w:val="22"/>
        </w:rPr>
        <w:t>nder consider</w:t>
      </w:r>
      <w:r w:rsidR="0079473D">
        <w:rPr>
          <w:rFonts w:cs="Arial"/>
          <w:sz w:val="22"/>
          <w:szCs w:val="22"/>
        </w:rPr>
        <w:t>ation</w:t>
      </w:r>
      <w:r>
        <w:rPr>
          <w:rFonts w:cs="Arial"/>
          <w:sz w:val="22"/>
          <w:szCs w:val="22"/>
        </w:rPr>
        <w:t xml:space="preserve"> </w:t>
      </w:r>
      <w:r w:rsidR="00C56679">
        <w:rPr>
          <w:rFonts w:cs="Arial"/>
          <w:sz w:val="22"/>
          <w:szCs w:val="22"/>
        </w:rPr>
        <w:t xml:space="preserve">have the following </w:t>
      </w:r>
      <w:r w:rsidR="00C56679" w:rsidRPr="00A447D2">
        <w:rPr>
          <w:rFonts w:cs="Arial"/>
          <w:sz w:val="22"/>
          <w:szCs w:val="22"/>
        </w:rPr>
        <w:t>incremental benefits</w:t>
      </w:r>
      <w:r>
        <w:rPr>
          <w:rFonts w:cs="Arial"/>
          <w:sz w:val="22"/>
          <w:szCs w:val="22"/>
        </w:rPr>
        <w:t>:</w:t>
      </w:r>
    </w:p>
    <w:p w14:paraId="47D866A4" w14:textId="77777777" w:rsidR="00670CEF" w:rsidRDefault="00670CEF" w:rsidP="0062754D">
      <w:pPr>
        <w:contextualSpacing/>
        <w:rPr>
          <w:rFonts w:cs="Arial"/>
          <w:sz w:val="22"/>
          <w:szCs w:val="22"/>
        </w:rPr>
      </w:pPr>
    </w:p>
    <w:p w14:paraId="53E66C6E" w14:textId="07508820" w:rsidR="00670CEF" w:rsidRDefault="00670CEF" w:rsidP="00444FEA">
      <w:pPr>
        <w:pStyle w:val="ListParagraph"/>
        <w:numPr>
          <w:ilvl w:val="0"/>
          <w:numId w:val="11"/>
        </w:numPr>
        <w:ind w:hanging="720"/>
        <w:rPr>
          <w:rFonts w:cs="Arial"/>
          <w:sz w:val="22"/>
          <w:szCs w:val="22"/>
        </w:rPr>
      </w:pPr>
      <w:r w:rsidRPr="004C3A4E">
        <w:rPr>
          <w:rFonts w:cs="Arial"/>
          <w:sz w:val="22"/>
          <w:szCs w:val="22"/>
        </w:rPr>
        <w:t>Option 1</w:t>
      </w:r>
      <w:r>
        <w:rPr>
          <w:rFonts w:cs="Arial"/>
          <w:sz w:val="22"/>
          <w:szCs w:val="22"/>
        </w:rPr>
        <w:t>:</w:t>
      </w:r>
      <w:r w:rsidRPr="004C3A4E">
        <w:rPr>
          <w:rFonts w:cs="Arial"/>
          <w:sz w:val="22"/>
          <w:szCs w:val="22"/>
        </w:rPr>
        <w:t xml:space="preserve"> </w:t>
      </w:r>
      <w:r w:rsidR="00C724CC">
        <w:rPr>
          <w:rFonts w:cs="Arial"/>
          <w:sz w:val="22"/>
          <w:szCs w:val="22"/>
        </w:rPr>
        <w:t xml:space="preserve"> </w:t>
      </w:r>
      <w:r>
        <w:rPr>
          <w:rFonts w:cs="Arial"/>
          <w:sz w:val="22"/>
          <w:szCs w:val="22"/>
        </w:rPr>
        <w:t>N</w:t>
      </w:r>
      <w:r w:rsidRPr="004C3A4E">
        <w:rPr>
          <w:rFonts w:cs="Arial"/>
          <w:sz w:val="22"/>
          <w:szCs w:val="22"/>
        </w:rPr>
        <w:t>o</w:t>
      </w:r>
      <w:r w:rsidR="00493AD7">
        <w:rPr>
          <w:rFonts w:cs="Arial"/>
          <w:sz w:val="22"/>
          <w:szCs w:val="22"/>
        </w:rPr>
        <w:t>-</w:t>
      </w:r>
      <w:r w:rsidRPr="004C3A4E">
        <w:rPr>
          <w:rFonts w:cs="Arial"/>
          <w:sz w:val="22"/>
          <w:szCs w:val="22"/>
        </w:rPr>
        <w:t xml:space="preserve">action </w:t>
      </w:r>
      <w:r w:rsidR="000C21E0">
        <w:rPr>
          <w:rFonts w:cs="Arial"/>
          <w:sz w:val="22"/>
          <w:szCs w:val="22"/>
        </w:rPr>
        <w:t>option</w:t>
      </w:r>
      <w:r>
        <w:rPr>
          <w:rFonts w:cs="Arial"/>
          <w:sz w:val="22"/>
          <w:szCs w:val="22"/>
        </w:rPr>
        <w:t xml:space="preserve">.  This option would not result in any incremental benefits above those resulting from the </w:t>
      </w:r>
      <w:r w:rsidR="000B7397">
        <w:rPr>
          <w:rFonts w:cs="Arial"/>
          <w:sz w:val="22"/>
          <w:szCs w:val="22"/>
        </w:rPr>
        <w:t>order</w:t>
      </w:r>
      <w:r>
        <w:rPr>
          <w:rFonts w:cs="Arial"/>
          <w:sz w:val="22"/>
          <w:szCs w:val="22"/>
        </w:rPr>
        <w:t>s.</w:t>
      </w:r>
    </w:p>
    <w:p w14:paraId="49DAA368" w14:textId="77777777" w:rsidR="00670CEF" w:rsidRDefault="00670CEF" w:rsidP="00444FEA">
      <w:pPr>
        <w:pStyle w:val="ListParagraph"/>
        <w:ind w:hanging="720"/>
        <w:rPr>
          <w:rFonts w:cs="Arial"/>
          <w:sz w:val="22"/>
          <w:szCs w:val="22"/>
        </w:rPr>
      </w:pPr>
    </w:p>
    <w:p w14:paraId="585EDC41" w14:textId="708BFAB8" w:rsidR="00670CEF" w:rsidRPr="002376A2" w:rsidRDefault="00670CEF" w:rsidP="00444FEA">
      <w:pPr>
        <w:pStyle w:val="ListParagraph"/>
        <w:numPr>
          <w:ilvl w:val="0"/>
          <w:numId w:val="11"/>
        </w:numPr>
        <w:ind w:hanging="720"/>
        <w:rPr>
          <w:rFonts w:cs="Arial"/>
          <w:sz w:val="22"/>
          <w:szCs w:val="22"/>
        </w:rPr>
      </w:pPr>
      <w:r w:rsidRPr="002376A2">
        <w:rPr>
          <w:rFonts w:cs="Arial"/>
          <w:sz w:val="22"/>
          <w:szCs w:val="22"/>
        </w:rPr>
        <w:t xml:space="preserve">Option </w:t>
      </w:r>
      <w:r w:rsidR="00E6708D">
        <w:rPr>
          <w:rFonts w:cs="Arial"/>
          <w:sz w:val="22"/>
          <w:szCs w:val="22"/>
        </w:rPr>
        <w:t>2</w:t>
      </w:r>
      <w:r w:rsidRPr="002376A2">
        <w:rPr>
          <w:rFonts w:cs="Arial"/>
          <w:sz w:val="22"/>
          <w:szCs w:val="22"/>
        </w:rPr>
        <w:t>:  Undertake rulemaking to make Order EA-12-049</w:t>
      </w:r>
      <w:r w:rsidR="000576E6">
        <w:rPr>
          <w:rFonts w:cs="Arial"/>
          <w:sz w:val="22"/>
          <w:szCs w:val="22"/>
        </w:rPr>
        <w:t xml:space="preserve"> and</w:t>
      </w:r>
      <w:r w:rsidRPr="002376A2">
        <w:rPr>
          <w:rFonts w:cs="Arial"/>
          <w:sz w:val="22"/>
          <w:szCs w:val="22"/>
        </w:rPr>
        <w:t xml:space="preserve"> Order EA-12-051 generically applicable. </w:t>
      </w:r>
      <w:r w:rsidR="00636C52">
        <w:rPr>
          <w:rFonts w:cs="Arial"/>
          <w:sz w:val="22"/>
          <w:szCs w:val="22"/>
        </w:rPr>
        <w:t xml:space="preserve"> </w:t>
      </w:r>
      <w:r w:rsidR="00E6708D">
        <w:rPr>
          <w:rFonts w:cs="Arial"/>
          <w:sz w:val="22"/>
          <w:szCs w:val="22"/>
        </w:rPr>
        <w:t>This option</w:t>
      </w:r>
      <w:r w:rsidRPr="002376A2">
        <w:rPr>
          <w:rFonts w:cs="Arial"/>
          <w:sz w:val="22"/>
          <w:szCs w:val="22"/>
        </w:rPr>
        <w:t xml:space="preserve"> </w:t>
      </w:r>
      <w:r w:rsidR="00B5729C">
        <w:rPr>
          <w:rFonts w:cs="Arial"/>
          <w:sz w:val="22"/>
          <w:szCs w:val="22"/>
        </w:rPr>
        <w:t>(i.e.</w:t>
      </w:r>
      <w:r w:rsidR="00D713F8">
        <w:rPr>
          <w:rFonts w:cs="Arial"/>
          <w:sz w:val="22"/>
          <w:szCs w:val="22"/>
        </w:rPr>
        <w:t>,</w:t>
      </w:r>
      <w:r w:rsidR="00B5729C">
        <w:rPr>
          <w:rFonts w:cs="Arial"/>
          <w:sz w:val="22"/>
          <w:szCs w:val="22"/>
        </w:rPr>
        <w:t xml:space="preserve"> the </w:t>
      </w:r>
      <w:r w:rsidR="005425F7">
        <w:rPr>
          <w:rFonts w:cs="Arial"/>
          <w:sz w:val="22"/>
          <w:szCs w:val="22"/>
        </w:rPr>
        <w:t xml:space="preserve">final </w:t>
      </w:r>
      <w:r w:rsidR="00B5729C">
        <w:rPr>
          <w:rFonts w:cs="Arial"/>
          <w:sz w:val="22"/>
          <w:szCs w:val="22"/>
        </w:rPr>
        <w:t xml:space="preserve">rule) </w:t>
      </w:r>
      <w:r w:rsidRPr="002376A2">
        <w:rPr>
          <w:sz w:val="22"/>
          <w:szCs w:val="22"/>
        </w:rPr>
        <w:t xml:space="preserve">would result in </w:t>
      </w:r>
      <w:r w:rsidR="00597575">
        <w:rPr>
          <w:sz w:val="22"/>
          <w:szCs w:val="22"/>
        </w:rPr>
        <w:t xml:space="preserve">regulatory efficiency </w:t>
      </w:r>
      <w:r w:rsidRPr="002376A2">
        <w:rPr>
          <w:sz w:val="22"/>
          <w:szCs w:val="22"/>
        </w:rPr>
        <w:t>improvements</w:t>
      </w:r>
      <w:r w:rsidR="00D713F8">
        <w:rPr>
          <w:sz w:val="22"/>
          <w:szCs w:val="22"/>
        </w:rPr>
        <w:t>,</w:t>
      </w:r>
      <w:r w:rsidR="00597575">
        <w:rPr>
          <w:sz w:val="22"/>
          <w:szCs w:val="22"/>
        </w:rPr>
        <w:t xml:space="preserve"> which are</w:t>
      </w:r>
      <w:r w:rsidRPr="002376A2">
        <w:rPr>
          <w:sz w:val="22"/>
          <w:szCs w:val="22"/>
        </w:rPr>
        <w:t xml:space="preserve"> discussed </w:t>
      </w:r>
      <w:r w:rsidR="00106302">
        <w:rPr>
          <w:sz w:val="22"/>
          <w:szCs w:val="22"/>
        </w:rPr>
        <w:t xml:space="preserve">in </w:t>
      </w:r>
      <w:r w:rsidR="009D7BEC">
        <w:rPr>
          <w:sz w:val="22"/>
          <w:szCs w:val="22"/>
        </w:rPr>
        <w:t>S</w:t>
      </w:r>
      <w:r w:rsidR="00106302">
        <w:rPr>
          <w:sz w:val="22"/>
          <w:szCs w:val="22"/>
        </w:rPr>
        <w:t>ections 3.</w:t>
      </w:r>
      <w:r w:rsidR="000576E6">
        <w:rPr>
          <w:sz w:val="22"/>
          <w:szCs w:val="22"/>
        </w:rPr>
        <w:t>3</w:t>
      </w:r>
      <w:r w:rsidR="00106302">
        <w:rPr>
          <w:sz w:val="22"/>
          <w:szCs w:val="22"/>
        </w:rPr>
        <w:t>.1 and 3.</w:t>
      </w:r>
      <w:r w:rsidR="000576E6">
        <w:rPr>
          <w:sz w:val="22"/>
          <w:szCs w:val="22"/>
        </w:rPr>
        <w:t>3</w:t>
      </w:r>
      <w:r w:rsidR="00106302">
        <w:rPr>
          <w:sz w:val="22"/>
          <w:szCs w:val="22"/>
        </w:rPr>
        <w:t>.2</w:t>
      </w:r>
      <w:r w:rsidRPr="002376A2">
        <w:rPr>
          <w:sz w:val="22"/>
          <w:szCs w:val="22"/>
        </w:rPr>
        <w:t>.</w:t>
      </w:r>
    </w:p>
    <w:p w14:paraId="4A3485C6" w14:textId="64FA935F" w:rsidR="00670CEF" w:rsidRPr="004C3A4E" w:rsidRDefault="00670CEF" w:rsidP="000D27B7">
      <w:pPr>
        <w:pStyle w:val="Heading3"/>
        <w:ind w:left="720" w:hanging="720"/>
      </w:pPr>
      <w:bookmarkStart w:id="206" w:name="_Toc460911636"/>
      <w:bookmarkStart w:id="207" w:name="_Toc460911678"/>
      <w:bookmarkStart w:id="208" w:name="_Toc460911720"/>
      <w:bookmarkStart w:id="209" w:name="_Toc460911762"/>
      <w:bookmarkStart w:id="210" w:name="_Toc460911804"/>
      <w:bookmarkStart w:id="211" w:name="_Toc460932054"/>
      <w:bookmarkStart w:id="212" w:name="_Toc460932100"/>
      <w:bookmarkStart w:id="213" w:name="_Toc460932146"/>
      <w:bookmarkStart w:id="214" w:name="_Toc460932192"/>
      <w:bookmarkStart w:id="215" w:name="_Toc532457289"/>
      <w:r w:rsidRPr="004C3A4E">
        <w:t>3.</w:t>
      </w:r>
      <w:r w:rsidR="0095574D">
        <w:t>3</w:t>
      </w:r>
      <w:r w:rsidR="000E1083">
        <w:t>.1</w:t>
      </w:r>
      <w:r w:rsidR="000E1083">
        <w:tab/>
      </w:r>
      <w:r w:rsidRPr="004C3A4E">
        <w:t>Benefits Associated with Public Health (Accident)</w:t>
      </w:r>
      <w:r w:rsidR="00D713F8">
        <w:t>,</w:t>
      </w:r>
      <w:r w:rsidRPr="004C3A4E">
        <w:t xml:space="preserve"> Occupational Health (Accident)</w:t>
      </w:r>
      <w:r w:rsidR="00D713F8">
        <w:t>,</w:t>
      </w:r>
      <w:r w:rsidRPr="004C3A4E">
        <w:t xml:space="preserve"> Offsite Property</w:t>
      </w:r>
      <w:r w:rsidR="00D713F8">
        <w:t>,</w:t>
      </w:r>
      <w:r w:rsidRPr="004C3A4E">
        <w:t xml:space="preserve"> Onsite Property</w:t>
      </w:r>
      <w:r w:rsidR="00D713F8">
        <w:t>,</w:t>
      </w:r>
      <w:r w:rsidRPr="004C3A4E">
        <w:t xml:space="preserve"> and Environmental Considerations</w:t>
      </w:r>
      <w:bookmarkEnd w:id="206"/>
      <w:bookmarkEnd w:id="207"/>
      <w:bookmarkEnd w:id="208"/>
      <w:bookmarkEnd w:id="209"/>
      <w:bookmarkEnd w:id="210"/>
      <w:bookmarkEnd w:id="211"/>
      <w:bookmarkEnd w:id="212"/>
      <w:bookmarkEnd w:id="213"/>
      <w:bookmarkEnd w:id="214"/>
      <w:bookmarkEnd w:id="215"/>
    </w:p>
    <w:p w14:paraId="3FF7671D" w14:textId="4168EE40" w:rsidR="00D7546D" w:rsidRDefault="00D7546D" w:rsidP="00371E57">
      <w:pPr>
        <w:tabs>
          <w:tab w:val="left" w:pos="721"/>
        </w:tabs>
        <w:rPr>
          <w:sz w:val="22"/>
          <w:szCs w:val="22"/>
        </w:rPr>
      </w:pPr>
      <w:r w:rsidRPr="0070751D">
        <w:rPr>
          <w:sz w:val="22"/>
          <w:szCs w:val="22"/>
        </w:rPr>
        <w:t xml:space="preserve">The </w:t>
      </w:r>
      <w:r>
        <w:rPr>
          <w:sz w:val="22"/>
          <w:szCs w:val="22"/>
        </w:rPr>
        <w:t xml:space="preserve">NRC estimates that the </w:t>
      </w:r>
      <w:r w:rsidR="004B2436">
        <w:rPr>
          <w:sz w:val="22"/>
          <w:szCs w:val="22"/>
        </w:rPr>
        <w:t xml:space="preserve">MBDBE </w:t>
      </w:r>
      <w:r w:rsidR="005425F7">
        <w:rPr>
          <w:sz w:val="22"/>
          <w:szCs w:val="22"/>
        </w:rPr>
        <w:t>final</w:t>
      </w:r>
      <w:r w:rsidR="005425F7" w:rsidRPr="0070751D">
        <w:rPr>
          <w:sz w:val="22"/>
          <w:szCs w:val="22"/>
        </w:rPr>
        <w:t xml:space="preserve"> </w:t>
      </w:r>
      <w:r w:rsidRPr="0070751D">
        <w:rPr>
          <w:sz w:val="22"/>
          <w:szCs w:val="22"/>
        </w:rPr>
        <w:t xml:space="preserve">rule </w:t>
      </w:r>
      <w:r>
        <w:rPr>
          <w:sz w:val="22"/>
          <w:szCs w:val="22"/>
        </w:rPr>
        <w:t xml:space="preserve">(Option </w:t>
      </w:r>
      <w:r w:rsidR="002738D5">
        <w:rPr>
          <w:sz w:val="22"/>
          <w:szCs w:val="22"/>
        </w:rPr>
        <w:t>2</w:t>
      </w:r>
      <w:r>
        <w:rPr>
          <w:sz w:val="22"/>
          <w:szCs w:val="22"/>
        </w:rPr>
        <w:t xml:space="preserve">) </w:t>
      </w:r>
      <w:r w:rsidRPr="0070751D">
        <w:rPr>
          <w:sz w:val="22"/>
          <w:szCs w:val="22"/>
        </w:rPr>
        <w:t xml:space="preserve">would </w:t>
      </w:r>
      <w:r w:rsidR="00371E57">
        <w:rPr>
          <w:sz w:val="22"/>
          <w:szCs w:val="22"/>
        </w:rPr>
        <w:t>continue to maintain the</w:t>
      </w:r>
      <w:r>
        <w:rPr>
          <w:sz w:val="22"/>
          <w:szCs w:val="22"/>
        </w:rPr>
        <w:t xml:space="preserve"> benefits to </w:t>
      </w:r>
      <w:r w:rsidR="00A16A31">
        <w:rPr>
          <w:sz w:val="22"/>
          <w:szCs w:val="22"/>
        </w:rPr>
        <w:t>p</w:t>
      </w:r>
      <w:r w:rsidRPr="002376A2">
        <w:rPr>
          <w:sz w:val="22"/>
          <w:szCs w:val="22"/>
        </w:rPr>
        <w:t xml:space="preserve">ublic </w:t>
      </w:r>
      <w:r w:rsidR="00A16A31">
        <w:rPr>
          <w:sz w:val="22"/>
          <w:szCs w:val="22"/>
        </w:rPr>
        <w:t>h</w:t>
      </w:r>
      <w:r w:rsidRPr="002376A2">
        <w:rPr>
          <w:sz w:val="22"/>
          <w:szCs w:val="22"/>
        </w:rPr>
        <w:t>ealth (</w:t>
      </w:r>
      <w:r w:rsidR="00A16A31">
        <w:rPr>
          <w:sz w:val="22"/>
          <w:szCs w:val="22"/>
        </w:rPr>
        <w:t>a</w:t>
      </w:r>
      <w:r w:rsidRPr="002376A2">
        <w:rPr>
          <w:sz w:val="22"/>
          <w:szCs w:val="22"/>
        </w:rPr>
        <w:t>ccident)</w:t>
      </w:r>
      <w:r w:rsidR="00D713F8">
        <w:rPr>
          <w:sz w:val="22"/>
          <w:szCs w:val="22"/>
        </w:rPr>
        <w:t>,</w:t>
      </w:r>
      <w:r w:rsidRPr="002376A2">
        <w:rPr>
          <w:sz w:val="22"/>
          <w:szCs w:val="22"/>
        </w:rPr>
        <w:t xml:space="preserve"> </w:t>
      </w:r>
      <w:r w:rsidR="00A16A31">
        <w:rPr>
          <w:sz w:val="22"/>
          <w:szCs w:val="22"/>
        </w:rPr>
        <w:t>o</w:t>
      </w:r>
      <w:r w:rsidRPr="002376A2">
        <w:rPr>
          <w:sz w:val="22"/>
          <w:szCs w:val="22"/>
        </w:rPr>
        <w:t xml:space="preserve">ccupational </w:t>
      </w:r>
      <w:r w:rsidR="00A16A31">
        <w:rPr>
          <w:sz w:val="22"/>
          <w:szCs w:val="22"/>
        </w:rPr>
        <w:t>h</w:t>
      </w:r>
      <w:r w:rsidRPr="002376A2">
        <w:rPr>
          <w:sz w:val="22"/>
          <w:szCs w:val="22"/>
        </w:rPr>
        <w:t>ealth (</w:t>
      </w:r>
      <w:r w:rsidR="00A16A31">
        <w:rPr>
          <w:sz w:val="22"/>
          <w:szCs w:val="22"/>
        </w:rPr>
        <w:t>a</w:t>
      </w:r>
      <w:r w:rsidRPr="002376A2">
        <w:rPr>
          <w:sz w:val="22"/>
          <w:szCs w:val="22"/>
        </w:rPr>
        <w:t>ccident)</w:t>
      </w:r>
      <w:r w:rsidR="00D713F8">
        <w:rPr>
          <w:sz w:val="22"/>
          <w:szCs w:val="22"/>
        </w:rPr>
        <w:t>,</w:t>
      </w:r>
      <w:r w:rsidRPr="002376A2">
        <w:rPr>
          <w:sz w:val="22"/>
          <w:szCs w:val="22"/>
        </w:rPr>
        <w:t xml:space="preserve"> </w:t>
      </w:r>
      <w:r w:rsidR="00A16A31">
        <w:rPr>
          <w:sz w:val="22"/>
          <w:szCs w:val="22"/>
        </w:rPr>
        <w:t>o</w:t>
      </w:r>
      <w:r w:rsidRPr="002376A2">
        <w:rPr>
          <w:sz w:val="22"/>
          <w:szCs w:val="22"/>
        </w:rPr>
        <w:t xml:space="preserve">ffsite </w:t>
      </w:r>
      <w:r w:rsidR="00A16A31">
        <w:rPr>
          <w:sz w:val="22"/>
          <w:szCs w:val="22"/>
        </w:rPr>
        <w:t>p</w:t>
      </w:r>
      <w:r w:rsidRPr="002376A2">
        <w:rPr>
          <w:sz w:val="22"/>
          <w:szCs w:val="22"/>
        </w:rPr>
        <w:t>roperty</w:t>
      </w:r>
      <w:r w:rsidR="00D713F8">
        <w:rPr>
          <w:sz w:val="22"/>
          <w:szCs w:val="22"/>
        </w:rPr>
        <w:t>,</w:t>
      </w:r>
      <w:r w:rsidRPr="002376A2">
        <w:rPr>
          <w:sz w:val="22"/>
          <w:szCs w:val="22"/>
        </w:rPr>
        <w:t xml:space="preserve"> </w:t>
      </w:r>
      <w:r w:rsidR="00A16A31">
        <w:rPr>
          <w:sz w:val="22"/>
          <w:szCs w:val="22"/>
        </w:rPr>
        <w:t>o</w:t>
      </w:r>
      <w:r w:rsidRPr="002376A2">
        <w:rPr>
          <w:sz w:val="22"/>
          <w:szCs w:val="22"/>
        </w:rPr>
        <w:t xml:space="preserve">nsite </w:t>
      </w:r>
      <w:r w:rsidR="00A16A31">
        <w:rPr>
          <w:sz w:val="22"/>
          <w:szCs w:val="22"/>
        </w:rPr>
        <w:t>p</w:t>
      </w:r>
      <w:r w:rsidRPr="002376A2">
        <w:rPr>
          <w:sz w:val="22"/>
          <w:szCs w:val="22"/>
        </w:rPr>
        <w:t>roperty</w:t>
      </w:r>
      <w:r w:rsidR="00D713F8">
        <w:rPr>
          <w:sz w:val="22"/>
          <w:szCs w:val="22"/>
        </w:rPr>
        <w:t>,</w:t>
      </w:r>
      <w:r w:rsidRPr="002376A2">
        <w:rPr>
          <w:sz w:val="22"/>
          <w:szCs w:val="22"/>
        </w:rPr>
        <w:t xml:space="preserve"> and</w:t>
      </w:r>
      <w:r>
        <w:rPr>
          <w:sz w:val="22"/>
          <w:szCs w:val="22"/>
        </w:rPr>
        <w:t xml:space="preserve"> </w:t>
      </w:r>
      <w:r w:rsidR="00A16A31">
        <w:rPr>
          <w:sz w:val="22"/>
          <w:szCs w:val="22"/>
        </w:rPr>
        <w:t>e</w:t>
      </w:r>
      <w:r>
        <w:rPr>
          <w:sz w:val="22"/>
          <w:szCs w:val="22"/>
        </w:rPr>
        <w:t xml:space="preserve">nvironmental </w:t>
      </w:r>
      <w:r w:rsidR="00A16A31">
        <w:rPr>
          <w:sz w:val="22"/>
          <w:szCs w:val="22"/>
        </w:rPr>
        <w:t>c</w:t>
      </w:r>
      <w:r>
        <w:rPr>
          <w:sz w:val="22"/>
          <w:szCs w:val="22"/>
        </w:rPr>
        <w:t>onsiderations</w:t>
      </w:r>
      <w:r w:rsidRPr="0070751D">
        <w:rPr>
          <w:sz w:val="22"/>
          <w:szCs w:val="22"/>
        </w:rPr>
        <w:t xml:space="preserve"> </w:t>
      </w:r>
      <w:r w:rsidR="00371E57">
        <w:rPr>
          <w:sz w:val="22"/>
          <w:szCs w:val="22"/>
        </w:rPr>
        <w:t xml:space="preserve">resulting from </w:t>
      </w:r>
      <w:r w:rsidR="00371E57" w:rsidRPr="00760B6E">
        <w:rPr>
          <w:rFonts w:cs="Arial"/>
          <w:sz w:val="22"/>
          <w:szCs w:val="22"/>
        </w:rPr>
        <w:t>Order EA-12-049 and Order EA-12-051</w:t>
      </w:r>
      <w:r w:rsidRPr="0070751D">
        <w:rPr>
          <w:sz w:val="22"/>
          <w:szCs w:val="22"/>
        </w:rPr>
        <w:t>.</w:t>
      </w:r>
    </w:p>
    <w:p w14:paraId="07B78AAB" w14:textId="71AFA6DE" w:rsidR="00670CEF" w:rsidRDefault="00670CEF" w:rsidP="005437C9">
      <w:pPr>
        <w:pStyle w:val="Heading3"/>
      </w:pPr>
      <w:bookmarkStart w:id="216" w:name="_Toc460911637"/>
      <w:bookmarkStart w:id="217" w:name="_Toc460911679"/>
      <w:bookmarkStart w:id="218" w:name="_Toc460911721"/>
      <w:bookmarkStart w:id="219" w:name="_Toc460911763"/>
      <w:bookmarkStart w:id="220" w:name="_Toc460911805"/>
      <w:bookmarkStart w:id="221" w:name="_Toc460932055"/>
      <w:bookmarkStart w:id="222" w:name="_Toc460932101"/>
      <w:bookmarkStart w:id="223" w:name="_Toc460932147"/>
      <w:bookmarkStart w:id="224" w:name="_Toc460932193"/>
      <w:bookmarkStart w:id="225" w:name="_Toc532457290"/>
      <w:r w:rsidRPr="00947186">
        <w:t>3.</w:t>
      </w:r>
      <w:r w:rsidR="0095574D">
        <w:t>3</w:t>
      </w:r>
      <w:r>
        <w:t>.2</w:t>
      </w:r>
      <w:r w:rsidR="000E1083">
        <w:tab/>
      </w:r>
      <w:r w:rsidRPr="00947186">
        <w:t xml:space="preserve">Benefits Associated with </w:t>
      </w:r>
      <w:r>
        <w:t>Regulatory Efficiency</w:t>
      </w:r>
      <w:bookmarkEnd w:id="216"/>
      <w:bookmarkEnd w:id="217"/>
      <w:bookmarkEnd w:id="218"/>
      <w:bookmarkEnd w:id="219"/>
      <w:bookmarkEnd w:id="220"/>
      <w:bookmarkEnd w:id="221"/>
      <w:bookmarkEnd w:id="222"/>
      <w:bookmarkEnd w:id="223"/>
      <w:bookmarkEnd w:id="224"/>
      <w:bookmarkEnd w:id="225"/>
    </w:p>
    <w:p w14:paraId="19971C3C" w14:textId="7188EA75" w:rsidR="00760B6E" w:rsidRPr="00760B6E" w:rsidRDefault="00597575" w:rsidP="0062754D">
      <w:pPr>
        <w:rPr>
          <w:rFonts w:cs="Arial"/>
          <w:sz w:val="22"/>
          <w:szCs w:val="22"/>
        </w:rPr>
      </w:pPr>
      <w:r w:rsidRPr="00760B6E">
        <w:rPr>
          <w:rFonts w:cs="Arial"/>
          <w:sz w:val="22"/>
          <w:szCs w:val="22"/>
        </w:rPr>
        <w:t>T</w:t>
      </w:r>
      <w:r w:rsidR="00670CEF" w:rsidRPr="00760B6E">
        <w:rPr>
          <w:rFonts w:cs="Arial"/>
          <w:sz w:val="22"/>
          <w:szCs w:val="22"/>
        </w:rPr>
        <w:t xml:space="preserve">he NRC anticipates that the </w:t>
      </w:r>
      <w:r w:rsidR="000B7397" w:rsidRPr="00760B6E">
        <w:rPr>
          <w:rFonts w:cs="Arial"/>
          <w:sz w:val="22"/>
          <w:szCs w:val="22"/>
        </w:rPr>
        <w:t>order</w:t>
      </w:r>
      <w:r w:rsidR="00670CEF" w:rsidRPr="00760B6E">
        <w:rPr>
          <w:rFonts w:cs="Arial"/>
          <w:sz w:val="22"/>
          <w:szCs w:val="22"/>
        </w:rPr>
        <w:t xml:space="preserve">-related requirements would result in regulatory efficiency benefits.  </w:t>
      </w:r>
      <w:r w:rsidR="00A16A31">
        <w:rPr>
          <w:rFonts w:cs="Arial"/>
          <w:sz w:val="22"/>
          <w:szCs w:val="22"/>
        </w:rPr>
        <w:t>P</w:t>
      </w:r>
      <w:r w:rsidR="00670CEF" w:rsidRPr="00760B6E">
        <w:rPr>
          <w:rFonts w:cs="Arial"/>
          <w:sz w:val="22"/>
          <w:szCs w:val="22"/>
        </w:rPr>
        <w:t xml:space="preserve">lacing the requirements </w:t>
      </w:r>
      <w:r w:rsidR="00A16A31">
        <w:rPr>
          <w:rFonts w:cs="Arial"/>
          <w:sz w:val="22"/>
          <w:szCs w:val="22"/>
        </w:rPr>
        <w:t>of</w:t>
      </w:r>
      <w:r w:rsidR="00670CEF" w:rsidRPr="00760B6E">
        <w:rPr>
          <w:rFonts w:cs="Arial"/>
          <w:sz w:val="22"/>
          <w:szCs w:val="22"/>
        </w:rPr>
        <w:t xml:space="preserve"> Order EA-12-049 and Order</w:t>
      </w:r>
      <w:r w:rsidR="008B0955" w:rsidRPr="00760B6E">
        <w:rPr>
          <w:rFonts w:cs="Arial"/>
          <w:sz w:val="22"/>
          <w:szCs w:val="22"/>
        </w:rPr>
        <w:t> </w:t>
      </w:r>
      <w:r w:rsidR="00670CEF" w:rsidRPr="00760B6E">
        <w:rPr>
          <w:rFonts w:cs="Arial"/>
          <w:sz w:val="22"/>
          <w:szCs w:val="22"/>
        </w:rPr>
        <w:t>EA</w:t>
      </w:r>
      <w:r w:rsidR="00CA1AB6" w:rsidRPr="00760B6E">
        <w:rPr>
          <w:rFonts w:cs="Arial"/>
          <w:sz w:val="22"/>
          <w:szCs w:val="22"/>
        </w:rPr>
        <w:t>-</w:t>
      </w:r>
      <w:r w:rsidR="00670CEF" w:rsidRPr="00760B6E">
        <w:rPr>
          <w:rFonts w:cs="Arial"/>
          <w:sz w:val="22"/>
          <w:szCs w:val="22"/>
        </w:rPr>
        <w:t>12-051 in the NRC</w:t>
      </w:r>
      <w:r w:rsidR="00D713F8">
        <w:rPr>
          <w:rFonts w:cs="Arial"/>
          <w:sz w:val="22"/>
          <w:szCs w:val="22"/>
        </w:rPr>
        <w:t>’</w:t>
      </w:r>
      <w:r w:rsidR="00670CEF" w:rsidRPr="00760B6E">
        <w:rPr>
          <w:rFonts w:cs="Arial"/>
          <w:sz w:val="22"/>
          <w:szCs w:val="22"/>
        </w:rPr>
        <w:t>s regulations would enhance regulatory efficiency by applying the requirements to all current and future power reactor applicants</w:t>
      </w:r>
      <w:r w:rsidR="00A16A31">
        <w:rPr>
          <w:sz w:val="22"/>
          <w:szCs w:val="22"/>
        </w:rPr>
        <w:t>.</w:t>
      </w:r>
    </w:p>
    <w:p w14:paraId="3758A38A" w14:textId="77777777" w:rsidR="00760B6E" w:rsidRPr="00760B6E" w:rsidRDefault="00760B6E" w:rsidP="0062754D">
      <w:pPr>
        <w:rPr>
          <w:rFonts w:cs="Arial"/>
          <w:sz w:val="22"/>
          <w:szCs w:val="22"/>
        </w:rPr>
      </w:pPr>
    </w:p>
    <w:p w14:paraId="3406CF3F" w14:textId="5E1C7139" w:rsidR="00106F3C" w:rsidRDefault="00670CEF" w:rsidP="0062754D">
      <w:pPr>
        <w:rPr>
          <w:rFonts w:cs="Arial"/>
          <w:sz w:val="22"/>
          <w:szCs w:val="22"/>
        </w:rPr>
      </w:pPr>
      <w:r w:rsidRPr="007374D9">
        <w:rPr>
          <w:rFonts w:cs="Arial"/>
          <w:sz w:val="22"/>
          <w:szCs w:val="22"/>
        </w:rPr>
        <w:t>Operating reactor licensees and t</w:t>
      </w:r>
      <w:r w:rsidR="00527F8F">
        <w:rPr>
          <w:rFonts w:cs="Arial"/>
          <w:sz w:val="22"/>
          <w:szCs w:val="22"/>
        </w:rPr>
        <w:t>hree</w:t>
      </w:r>
      <w:r w:rsidRPr="007374D9">
        <w:rPr>
          <w:rFonts w:cs="Arial"/>
          <w:sz w:val="22"/>
          <w:szCs w:val="22"/>
        </w:rPr>
        <w:t xml:space="preserve"> COL holder reactor sites currently are subject to </w:t>
      </w:r>
      <w:r w:rsidR="00A16A31">
        <w:rPr>
          <w:sz w:val="22"/>
          <w:szCs w:val="22"/>
        </w:rPr>
        <w:t>O</w:t>
      </w:r>
      <w:r w:rsidR="00A16A31" w:rsidRPr="00760B6E">
        <w:rPr>
          <w:sz w:val="22"/>
          <w:szCs w:val="22"/>
        </w:rPr>
        <w:t>rder</w:t>
      </w:r>
      <w:r w:rsidR="00A16A31">
        <w:rPr>
          <w:sz w:val="22"/>
          <w:szCs w:val="22"/>
        </w:rPr>
        <w:t> EA</w:t>
      </w:r>
      <w:r w:rsidR="00A16A31">
        <w:rPr>
          <w:sz w:val="22"/>
          <w:szCs w:val="22"/>
        </w:rPr>
        <w:noBreakHyphen/>
        <w:t>12</w:t>
      </w:r>
      <w:r w:rsidR="00A16A31">
        <w:rPr>
          <w:sz w:val="22"/>
          <w:szCs w:val="22"/>
        </w:rPr>
        <w:noBreakHyphen/>
        <w:t>049</w:t>
      </w:r>
      <w:r w:rsidRPr="007374D9">
        <w:rPr>
          <w:rFonts w:cs="Arial"/>
          <w:sz w:val="22"/>
          <w:szCs w:val="22"/>
        </w:rPr>
        <w:t xml:space="preserve"> requirements.  Any future licensees would not be covered by the </w:t>
      </w:r>
      <w:r w:rsidR="000B7397">
        <w:rPr>
          <w:rFonts w:cs="Arial"/>
          <w:sz w:val="22"/>
          <w:szCs w:val="22"/>
        </w:rPr>
        <w:t>order</w:t>
      </w:r>
      <w:r w:rsidRPr="007374D9">
        <w:rPr>
          <w:rFonts w:cs="Arial"/>
          <w:sz w:val="22"/>
          <w:szCs w:val="22"/>
        </w:rPr>
        <w:t xml:space="preserve"> requirements</w:t>
      </w:r>
      <w:r w:rsidR="00760B6E">
        <w:rPr>
          <w:rFonts w:cs="Arial"/>
          <w:sz w:val="22"/>
          <w:szCs w:val="22"/>
        </w:rPr>
        <w:t xml:space="preserve"> unless license conditions or separate orders are issued that contain these </w:t>
      </w:r>
      <w:r w:rsidR="00256DAA">
        <w:rPr>
          <w:rFonts w:cs="Arial"/>
          <w:sz w:val="22"/>
          <w:szCs w:val="22"/>
        </w:rPr>
        <w:t>requirements</w:t>
      </w:r>
      <w:r w:rsidRPr="007374D9">
        <w:rPr>
          <w:rFonts w:cs="Arial"/>
          <w:sz w:val="22"/>
          <w:szCs w:val="22"/>
        </w:rPr>
        <w:t>.  In the absence of th</w:t>
      </w:r>
      <w:r w:rsidR="00106F3C">
        <w:rPr>
          <w:rFonts w:cs="Arial"/>
          <w:sz w:val="22"/>
          <w:szCs w:val="22"/>
        </w:rPr>
        <w:t>e</w:t>
      </w:r>
      <w:r w:rsidRPr="007374D9">
        <w:rPr>
          <w:rFonts w:cs="Arial"/>
          <w:sz w:val="22"/>
          <w:szCs w:val="22"/>
        </w:rPr>
        <w:t xml:space="preserve"> </w:t>
      </w:r>
      <w:r w:rsidR="005425F7">
        <w:rPr>
          <w:rFonts w:cs="Arial"/>
          <w:sz w:val="22"/>
          <w:szCs w:val="22"/>
        </w:rPr>
        <w:t>final</w:t>
      </w:r>
      <w:r w:rsidR="005425F7" w:rsidRPr="007374D9">
        <w:rPr>
          <w:rFonts w:cs="Arial"/>
          <w:sz w:val="22"/>
          <w:szCs w:val="22"/>
        </w:rPr>
        <w:t xml:space="preserve"> </w:t>
      </w:r>
      <w:r w:rsidRPr="007374D9">
        <w:rPr>
          <w:rFonts w:cs="Arial"/>
          <w:sz w:val="22"/>
          <w:szCs w:val="22"/>
        </w:rPr>
        <w:t>rule</w:t>
      </w:r>
      <w:r w:rsidR="00D713F8">
        <w:rPr>
          <w:rFonts w:cs="Arial"/>
          <w:sz w:val="22"/>
          <w:szCs w:val="22"/>
        </w:rPr>
        <w:t>,</w:t>
      </w:r>
      <w:r w:rsidRPr="007374D9">
        <w:rPr>
          <w:rFonts w:cs="Arial"/>
          <w:sz w:val="22"/>
          <w:szCs w:val="22"/>
        </w:rPr>
        <w:t xml:space="preserve"> these requirements would need to be implemented for new reactor sites through additional </w:t>
      </w:r>
      <w:r w:rsidR="000B7397">
        <w:rPr>
          <w:rFonts w:cs="Arial"/>
          <w:sz w:val="22"/>
          <w:szCs w:val="22"/>
        </w:rPr>
        <w:t>order</w:t>
      </w:r>
      <w:r w:rsidRPr="007374D9">
        <w:rPr>
          <w:rFonts w:cs="Arial"/>
          <w:sz w:val="22"/>
          <w:szCs w:val="22"/>
        </w:rPr>
        <w:t xml:space="preserve">s or license conditions (as was done for the </w:t>
      </w:r>
      <w:r w:rsidR="00CB1108">
        <w:rPr>
          <w:rFonts w:cs="Arial"/>
          <w:sz w:val="22"/>
          <w:szCs w:val="22"/>
        </w:rPr>
        <w:t>Fermi</w:t>
      </w:r>
      <w:r w:rsidR="00D713F8">
        <w:rPr>
          <w:rFonts w:cs="Arial"/>
          <w:sz w:val="22"/>
          <w:szCs w:val="22"/>
        </w:rPr>
        <w:t>,</w:t>
      </w:r>
      <w:r w:rsidR="00CB1108">
        <w:rPr>
          <w:rFonts w:cs="Arial"/>
          <w:sz w:val="22"/>
          <w:szCs w:val="22"/>
        </w:rPr>
        <w:t xml:space="preserve"> </w:t>
      </w:r>
      <w:r w:rsidR="00BA52B8" w:rsidRPr="007374D9">
        <w:rPr>
          <w:rFonts w:cs="Arial"/>
          <w:sz w:val="22"/>
          <w:szCs w:val="22"/>
        </w:rPr>
        <w:t>Summer</w:t>
      </w:r>
      <w:r w:rsidR="00D713F8">
        <w:rPr>
          <w:rFonts w:cs="Arial"/>
          <w:sz w:val="22"/>
          <w:szCs w:val="22"/>
        </w:rPr>
        <w:t>,</w:t>
      </w:r>
      <w:r w:rsidR="00CB1108">
        <w:rPr>
          <w:rFonts w:cs="Arial"/>
          <w:sz w:val="22"/>
          <w:szCs w:val="22"/>
        </w:rPr>
        <w:t xml:space="preserve"> and</w:t>
      </w:r>
      <w:r w:rsidR="009C2772">
        <w:rPr>
          <w:rFonts w:cs="Arial"/>
          <w:sz w:val="22"/>
          <w:szCs w:val="22"/>
        </w:rPr>
        <w:t xml:space="preserve"> </w:t>
      </w:r>
      <w:r w:rsidRPr="007374D9">
        <w:rPr>
          <w:rFonts w:cs="Arial"/>
          <w:sz w:val="22"/>
          <w:szCs w:val="22"/>
        </w:rPr>
        <w:t>Vogtle COLs)</w:t>
      </w:r>
      <w:r w:rsidR="00D713F8">
        <w:rPr>
          <w:rFonts w:cs="Arial"/>
          <w:sz w:val="22"/>
          <w:szCs w:val="22"/>
        </w:rPr>
        <w:t>,</w:t>
      </w:r>
      <w:r>
        <w:rPr>
          <w:rFonts w:cs="Arial"/>
          <w:sz w:val="22"/>
          <w:szCs w:val="22"/>
        </w:rPr>
        <w:t xml:space="preserve"> which would impose additional costs on the NRC</w:t>
      </w:r>
      <w:r w:rsidRPr="007374D9">
        <w:rPr>
          <w:rFonts w:cs="Arial"/>
          <w:sz w:val="22"/>
          <w:szCs w:val="22"/>
        </w:rPr>
        <w:t xml:space="preserve">. </w:t>
      </w:r>
      <w:r>
        <w:rPr>
          <w:rFonts w:cs="Arial"/>
          <w:sz w:val="22"/>
          <w:szCs w:val="22"/>
        </w:rPr>
        <w:t xml:space="preserve"> </w:t>
      </w:r>
      <w:r w:rsidR="00F11BEF">
        <w:rPr>
          <w:rFonts w:cs="Arial"/>
          <w:sz w:val="22"/>
          <w:szCs w:val="22"/>
        </w:rPr>
        <w:t>In addition, in the absence of the final rule, the NRC would need to undertake separate licensing actions to remove requirements of Order EA</w:t>
      </w:r>
      <w:r w:rsidR="00F11BEF">
        <w:rPr>
          <w:rFonts w:cs="Arial"/>
          <w:sz w:val="22"/>
          <w:szCs w:val="22"/>
        </w:rPr>
        <w:noBreakHyphen/>
        <w:t>12</w:t>
      </w:r>
      <w:r w:rsidR="00F11BEF">
        <w:rPr>
          <w:rFonts w:cs="Arial"/>
          <w:sz w:val="22"/>
          <w:szCs w:val="22"/>
        </w:rPr>
        <w:noBreakHyphen/>
        <w:t>049 and Order EA-12-051 that are no longer necessary during various stages of decommissioning</w:t>
      </w:r>
      <w:r w:rsidR="0029138E">
        <w:rPr>
          <w:rFonts w:cs="Arial"/>
          <w:sz w:val="22"/>
          <w:szCs w:val="22"/>
        </w:rPr>
        <w:t>, which would impose additional costs on licensees and the NRC</w:t>
      </w:r>
      <w:r w:rsidR="00F11BEF">
        <w:rPr>
          <w:rFonts w:cs="Arial"/>
          <w:sz w:val="22"/>
          <w:szCs w:val="22"/>
        </w:rPr>
        <w:t xml:space="preserve">.  </w:t>
      </w:r>
      <w:r>
        <w:rPr>
          <w:rFonts w:cs="Arial"/>
          <w:sz w:val="22"/>
          <w:szCs w:val="22"/>
        </w:rPr>
        <w:t>The</w:t>
      </w:r>
      <w:r w:rsidR="00BA52B8">
        <w:rPr>
          <w:rFonts w:cs="Arial"/>
          <w:sz w:val="22"/>
          <w:szCs w:val="22"/>
        </w:rPr>
        <w:t xml:space="preserve"> </w:t>
      </w:r>
      <w:r w:rsidR="002A0D78">
        <w:rPr>
          <w:rFonts w:cs="Arial"/>
          <w:sz w:val="22"/>
          <w:szCs w:val="22"/>
        </w:rPr>
        <w:t>final rule</w:t>
      </w:r>
      <w:r>
        <w:rPr>
          <w:rFonts w:cs="Arial"/>
          <w:sz w:val="22"/>
          <w:szCs w:val="22"/>
        </w:rPr>
        <w:t xml:space="preserve"> also would enhance regulatory efficiency by reflecting</w:t>
      </w:r>
      <w:r w:rsidRPr="007374D9">
        <w:rPr>
          <w:rFonts w:cs="Arial"/>
          <w:sz w:val="22"/>
          <w:szCs w:val="22"/>
        </w:rPr>
        <w:t xml:space="preserve"> stakeholder feedback and lessons</w:t>
      </w:r>
      <w:r w:rsidR="006A6E73">
        <w:rPr>
          <w:rFonts w:cs="Arial"/>
          <w:sz w:val="22"/>
          <w:szCs w:val="22"/>
        </w:rPr>
        <w:t xml:space="preserve"> </w:t>
      </w:r>
      <w:r w:rsidRPr="007374D9">
        <w:rPr>
          <w:rFonts w:cs="Arial"/>
          <w:sz w:val="22"/>
          <w:szCs w:val="22"/>
        </w:rPr>
        <w:t xml:space="preserve">learned from the implementation of the </w:t>
      </w:r>
      <w:r w:rsidR="000B7397">
        <w:rPr>
          <w:rFonts w:cs="Arial"/>
          <w:sz w:val="22"/>
          <w:szCs w:val="22"/>
        </w:rPr>
        <w:t>order</w:t>
      </w:r>
      <w:r w:rsidRPr="007374D9">
        <w:rPr>
          <w:rFonts w:cs="Arial"/>
          <w:sz w:val="22"/>
          <w:szCs w:val="22"/>
        </w:rPr>
        <w:t>s</w:t>
      </w:r>
      <w:r w:rsidR="00D713F8">
        <w:rPr>
          <w:rFonts w:cs="Arial"/>
          <w:sz w:val="22"/>
          <w:szCs w:val="22"/>
        </w:rPr>
        <w:t>,</w:t>
      </w:r>
      <w:r w:rsidRPr="007374D9">
        <w:rPr>
          <w:rFonts w:cs="Arial"/>
          <w:sz w:val="22"/>
          <w:szCs w:val="22"/>
        </w:rPr>
        <w:t xml:space="preserve"> including any challenges or unintended consequences a</w:t>
      </w:r>
      <w:r>
        <w:rPr>
          <w:rFonts w:cs="Arial"/>
          <w:sz w:val="22"/>
          <w:szCs w:val="22"/>
        </w:rPr>
        <w:t>s</w:t>
      </w:r>
      <w:r w:rsidR="00B60BB1">
        <w:rPr>
          <w:rFonts w:cs="Arial"/>
          <w:sz w:val="22"/>
          <w:szCs w:val="22"/>
        </w:rPr>
        <w:t>sociated with</w:t>
      </w:r>
      <w:r w:rsidR="00A1656B">
        <w:rPr>
          <w:rFonts w:cs="Arial"/>
          <w:sz w:val="22"/>
          <w:szCs w:val="22"/>
        </w:rPr>
        <w:t xml:space="preserve"> the</w:t>
      </w:r>
      <w:r w:rsidR="00B60BB1">
        <w:rPr>
          <w:rFonts w:cs="Arial"/>
          <w:sz w:val="22"/>
          <w:szCs w:val="22"/>
        </w:rPr>
        <w:t xml:space="preserve"> implementation</w:t>
      </w:r>
      <w:r w:rsidR="00A1656B">
        <w:rPr>
          <w:rFonts w:cs="Arial"/>
          <w:sz w:val="22"/>
          <w:szCs w:val="22"/>
        </w:rPr>
        <w:t xml:space="preserve"> of Order</w:t>
      </w:r>
      <w:r w:rsidR="005D0F15">
        <w:rPr>
          <w:rFonts w:cs="Arial"/>
          <w:sz w:val="22"/>
          <w:szCs w:val="22"/>
        </w:rPr>
        <w:t> </w:t>
      </w:r>
      <w:r w:rsidR="00A1656B">
        <w:rPr>
          <w:rFonts w:cs="Arial"/>
          <w:sz w:val="22"/>
          <w:szCs w:val="22"/>
        </w:rPr>
        <w:t>EA</w:t>
      </w:r>
      <w:r w:rsidR="005D0F15">
        <w:rPr>
          <w:rFonts w:cs="Arial"/>
          <w:sz w:val="22"/>
          <w:szCs w:val="22"/>
        </w:rPr>
        <w:noBreakHyphen/>
      </w:r>
      <w:r w:rsidR="00A1656B">
        <w:rPr>
          <w:rFonts w:cs="Arial"/>
          <w:sz w:val="22"/>
          <w:szCs w:val="22"/>
        </w:rPr>
        <w:t>12</w:t>
      </w:r>
      <w:r w:rsidR="005D0F15">
        <w:rPr>
          <w:rFonts w:cs="Arial"/>
          <w:sz w:val="22"/>
          <w:szCs w:val="22"/>
        </w:rPr>
        <w:noBreakHyphen/>
      </w:r>
      <w:r w:rsidR="00A1656B">
        <w:rPr>
          <w:rFonts w:cs="Arial"/>
          <w:sz w:val="22"/>
          <w:szCs w:val="22"/>
        </w:rPr>
        <w:t>049 and Order EA-12-051</w:t>
      </w:r>
      <w:r w:rsidR="00B60BB1">
        <w:rPr>
          <w:rFonts w:cs="Arial"/>
          <w:sz w:val="22"/>
          <w:szCs w:val="22"/>
        </w:rPr>
        <w:t>.</w:t>
      </w:r>
    </w:p>
    <w:p w14:paraId="3352D38B" w14:textId="1F7A2385" w:rsidR="007221C7" w:rsidRPr="007221C7" w:rsidRDefault="007221C7" w:rsidP="007221C7">
      <w:pPr>
        <w:pStyle w:val="Heading2"/>
        <w:rPr>
          <w:szCs w:val="22"/>
        </w:rPr>
      </w:pPr>
      <w:bookmarkStart w:id="226" w:name="_Toc460911639"/>
      <w:bookmarkStart w:id="227" w:name="_Toc460911681"/>
      <w:bookmarkStart w:id="228" w:name="_Toc460911723"/>
      <w:bookmarkStart w:id="229" w:name="_Toc460911765"/>
      <w:bookmarkStart w:id="230" w:name="_Toc460911807"/>
      <w:bookmarkStart w:id="231" w:name="_Toc460932057"/>
      <w:bookmarkStart w:id="232" w:name="_Toc460932103"/>
      <w:bookmarkStart w:id="233" w:name="_Toc460932149"/>
      <w:bookmarkStart w:id="234" w:name="_Toc460932195"/>
      <w:bookmarkStart w:id="235" w:name="_Toc532457291"/>
      <w:r>
        <w:rPr>
          <w:szCs w:val="22"/>
        </w:rPr>
        <w:t>3.</w:t>
      </w:r>
      <w:r w:rsidR="0095574D">
        <w:rPr>
          <w:szCs w:val="22"/>
        </w:rPr>
        <w:t>4</w:t>
      </w:r>
      <w:r>
        <w:rPr>
          <w:szCs w:val="22"/>
        </w:rPr>
        <w:tab/>
      </w:r>
      <w:r w:rsidR="00283162">
        <w:rPr>
          <w:szCs w:val="22"/>
        </w:rPr>
        <w:t>Uncertainty</w:t>
      </w:r>
      <w:r>
        <w:rPr>
          <w:szCs w:val="22"/>
        </w:rPr>
        <w:t xml:space="preserve"> Analysis</w:t>
      </w:r>
      <w:bookmarkEnd w:id="226"/>
      <w:bookmarkEnd w:id="227"/>
      <w:bookmarkEnd w:id="228"/>
      <w:bookmarkEnd w:id="229"/>
      <w:bookmarkEnd w:id="230"/>
      <w:bookmarkEnd w:id="231"/>
      <w:bookmarkEnd w:id="232"/>
      <w:bookmarkEnd w:id="233"/>
      <w:bookmarkEnd w:id="234"/>
      <w:bookmarkEnd w:id="235"/>
    </w:p>
    <w:p w14:paraId="33E5F3FE" w14:textId="2DBFFD2C" w:rsidR="00FA66F0" w:rsidRDefault="005D0F15" w:rsidP="00FA66F0">
      <w:pPr>
        <w:rPr>
          <w:sz w:val="22"/>
          <w:szCs w:val="22"/>
        </w:rPr>
      </w:pPr>
      <w:r>
        <w:rPr>
          <w:rFonts w:cs="Arial"/>
          <w:sz w:val="22"/>
          <w:szCs w:val="22"/>
        </w:rPr>
        <w:t>T</w:t>
      </w:r>
      <w:r w:rsidR="00FA66F0" w:rsidRPr="00BF5AC4">
        <w:rPr>
          <w:rFonts w:cs="Arial"/>
          <w:sz w:val="22"/>
          <w:szCs w:val="22"/>
        </w:rPr>
        <w:t xml:space="preserve">he NRC staff examined how </w:t>
      </w:r>
      <w:r w:rsidR="00FA66F0">
        <w:rPr>
          <w:rFonts w:cs="Arial"/>
          <w:sz w:val="22"/>
          <w:szCs w:val="22"/>
        </w:rPr>
        <w:t>the industry</w:t>
      </w:r>
      <w:r w:rsidR="00FA66F0" w:rsidRPr="00BF5AC4">
        <w:rPr>
          <w:rFonts w:cs="Arial"/>
          <w:sz w:val="22"/>
          <w:szCs w:val="22"/>
        </w:rPr>
        <w:t xml:space="preserve"> and the NRC costs change </w:t>
      </w:r>
      <w:r w:rsidR="00FA66F0">
        <w:rPr>
          <w:rFonts w:cs="Arial"/>
          <w:sz w:val="22"/>
          <w:szCs w:val="22"/>
        </w:rPr>
        <w:t>as a result of</w:t>
      </w:r>
      <w:r w:rsidR="00FA66F0" w:rsidRPr="00BF5AC4">
        <w:rPr>
          <w:rFonts w:cs="Arial"/>
          <w:sz w:val="22"/>
          <w:szCs w:val="22"/>
        </w:rPr>
        <w:t xml:space="preserve"> uncertainties associated with the </w:t>
      </w:r>
      <w:r w:rsidR="00FA66F0">
        <w:rPr>
          <w:rFonts w:cs="Arial"/>
          <w:sz w:val="22"/>
          <w:szCs w:val="22"/>
        </w:rPr>
        <w:t xml:space="preserve">NRC </w:t>
      </w:r>
      <w:r w:rsidR="00FA66F0" w:rsidRPr="00BF5AC4">
        <w:rPr>
          <w:rFonts w:cs="Arial"/>
          <w:sz w:val="22"/>
          <w:szCs w:val="22"/>
        </w:rPr>
        <w:t>staff</w:t>
      </w:r>
      <w:r w:rsidR="00D713F8">
        <w:rPr>
          <w:rFonts w:cs="Arial"/>
          <w:sz w:val="22"/>
          <w:szCs w:val="22"/>
        </w:rPr>
        <w:t>’</w:t>
      </w:r>
      <w:r w:rsidR="00FA66F0" w:rsidRPr="00BF5AC4">
        <w:rPr>
          <w:rFonts w:cs="Arial"/>
          <w:sz w:val="22"/>
          <w:szCs w:val="22"/>
        </w:rPr>
        <w:t>s analytical assumptions</w:t>
      </w:r>
      <w:r w:rsidR="00CB6B27">
        <w:rPr>
          <w:rFonts w:cs="Arial"/>
          <w:sz w:val="22"/>
          <w:szCs w:val="22"/>
        </w:rPr>
        <w:t xml:space="preserve"> and</w:t>
      </w:r>
      <w:r w:rsidR="00FA66F0" w:rsidRPr="00BF5AC4">
        <w:rPr>
          <w:rFonts w:cs="Arial"/>
          <w:sz w:val="22"/>
          <w:szCs w:val="22"/>
        </w:rPr>
        <w:t xml:space="preserve"> input data.  </w:t>
      </w:r>
      <w:r w:rsidR="00CB6B27">
        <w:rPr>
          <w:rFonts w:cs="Arial"/>
          <w:sz w:val="22"/>
          <w:szCs w:val="22"/>
        </w:rPr>
        <w:t>T</w:t>
      </w:r>
      <w:r w:rsidR="00FA66F0" w:rsidRPr="00BF5AC4">
        <w:rPr>
          <w:rFonts w:cs="Arial"/>
          <w:sz w:val="22"/>
          <w:szCs w:val="22"/>
        </w:rPr>
        <w:t>he NRC</w:t>
      </w:r>
      <w:r w:rsidR="00FA66F0">
        <w:rPr>
          <w:rFonts w:cs="Arial"/>
          <w:sz w:val="22"/>
          <w:szCs w:val="22"/>
        </w:rPr>
        <w:t xml:space="preserve"> staff</w:t>
      </w:r>
      <w:r w:rsidR="00FA66F0" w:rsidRPr="00BF5AC4">
        <w:rPr>
          <w:rFonts w:cs="Arial"/>
          <w:sz w:val="22"/>
          <w:szCs w:val="22"/>
        </w:rPr>
        <w:t xml:space="preserve"> used Monte Carlo simulation to examine the impact of uncertainty on the estimated net benefits of the </w:t>
      </w:r>
      <w:r w:rsidR="009555F2">
        <w:rPr>
          <w:rFonts w:cs="Arial"/>
          <w:sz w:val="22"/>
          <w:szCs w:val="22"/>
        </w:rPr>
        <w:t>MBDBE final</w:t>
      </w:r>
      <w:r w:rsidR="00FA66F0" w:rsidRPr="00BF5AC4">
        <w:rPr>
          <w:rFonts w:cs="Arial"/>
          <w:sz w:val="22"/>
          <w:szCs w:val="22"/>
        </w:rPr>
        <w:t xml:space="preserve"> rule.  These Monte Carlo simulations were </w:t>
      </w:r>
      <w:r w:rsidR="00FA66F0">
        <w:rPr>
          <w:sz w:val="22"/>
          <w:szCs w:val="22"/>
        </w:rPr>
        <w:t>performed using the</w:t>
      </w:r>
      <w:r w:rsidR="00FA66F0" w:rsidRPr="00AC791B">
        <w:rPr>
          <w:sz w:val="22"/>
          <w:szCs w:val="22"/>
        </w:rPr>
        <w:t xml:space="preserve"> </w:t>
      </w:r>
      <w:r w:rsidR="00FA66F0">
        <w:rPr>
          <w:sz w:val="22"/>
          <w:szCs w:val="22"/>
        </w:rPr>
        <w:t>@RISK</w:t>
      </w:r>
      <w:r w:rsidR="00FA66F0" w:rsidRPr="00763EF4">
        <w:rPr>
          <w:rFonts w:cs="Arial"/>
          <w:sz w:val="22"/>
          <w:szCs w:val="22"/>
          <w:vertAlign w:val="superscript"/>
        </w:rPr>
        <w:t>®</w:t>
      </w:r>
      <w:r w:rsidR="00FA66F0" w:rsidRPr="00AC791B">
        <w:rPr>
          <w:sz w:val="22"/>
          <w:szCs w:val="22"/>
        </w:rPr>
        <w:t xml:space="preserve"> software program.</w:t>
      </w:r>
      <w:r w:rsidR="00FA66F0">
        <w:rPr>
          <w:rStyle w:val="FootnoteReference"/>
          <w:sz w:val="22"/>
          <w:szCs w:val="22"/>
        </w:rPr>
        <w:footnoteReference w:id="6"/>
      </w:r>
    </w:p>
    <w:p w14:paraId="17CE2FFE" w14:textId="77777777" w:rsidR="00FA66F0" w:rsidRDefault="00FA66F0" w:rsidP="00FA66F0">
      <w:pPr>
        <w:rPr>
          <w:sz w:val="22"/>
          <w:szCs w:val="22"/>
        </w:rPr>
      </w:pPr>
    </w:p>
    <w:p w14:paraId="5C13D925" w14:textId="69087194" w:rsidR="00FA66F0" w:rsidRDefault="00FA66F0" w:rsidP="00FA66F0">
      <w:pPr>
        <w:rPr>
          <w:rFonts w:cs="Arial"/>
          <w:sz w:val="22"/>
          <w:szCs w:val="22"/>
        </w:rPr>
      </w:pPr>
      <w:r w:rsidRPr="00BF5AC4">
        <w:rPr>
          <w:rFonts w:cs="Arial"/>
          <w:sz w:val="22"/>
          <w:szCs w:val="22"/>
        </w:rPr>
        <w:t xml:space="preserve">Monte Carlo simulations involve introducing uncertainty into the analysis by replacing the point estimates of the variables used to estimate </w:t>
      </w:r>
      <w:r>
        <w:rPr>
          <w:rFonts w:cs="Arial"/>
          <w:sz w:val="22"/>
          <w:szCs w:val="22"/>
        </w:rPr>
        <w:t xml:space="preserve">base case </w:t>
      </w:r>
      <w:r w:rsidRPr="00BF5AC4">
        <w:rPr>
          <w:rFonts w:cs="Arial"/>
          <w:sz w:val="22"/>
          <w:szCs w:val="22"/>
        </w:rPr>
        <w:t xml:space="preserve">costs and benefits with probability distributions.  By defining input variables as probability distributions </w:t>
      </w:r>
      <w:r>
        <w:rPr>
          <w:rFonts w:cs="Arial"/>
          <w:sz w:val="22"/>
          <w:szCs w:val="22"/>
        </w:rPr>
        <w:t>instead of</w:t>
      </w:r>
      <w:r w:rsidRPr="00BF5AC4">
        <w:rPr>
          <w:rFonts w:cs="Arial"/>
          <w:sz w:val="22"/>
          <w:szCs w:val="22"/>
        </w:rPr>
        <w:t xml:space="preserve"> </w:t>
      </w:r>
      <w:r>
        <w:rPr>
          <w:rFonts w:cs="Arial"/>
          <w:sz w:val="22"/>
          <w:szCs w:val="22"/>
        </w:rPr>
        <w:t xml:space="preserve">as </w:t>
      </w:r>
      <w:r w:rsidRPr="00BF5AC4">
        <w:rPr>
          <w:rFonts w:cs="Arial"/>
          <w:sz w:val="22"/>
          <w:szCs w:val="22"/>
        </w:rPr>
        <w:t>point estimates</w:t>
      </w:r>
      <w:r w:rsidR="00D713F8">
        <w:rPr>
          <w:rFonts w:cs="Arial"/>
          <w:sz w:val="22"/>
          <w:szCs w:val="22"/>
        </w:rPr>
        <w:t>,</w:t>
      </w:r>
      <w:r w:rsidRPr="00BF5AC4">
        <w:rPr>
          <w:rFonts w:cs="Arial"/>
          <w:sz w:val="22"/>
          <w:szCs w:val="22"/>
        </w:rPr>
        <w:t xml:space="preserve"> the </w:t>
      </w:r>
      <w:r w:rsidR="00CB6B27">
        <w:rPr>
          <w:rFonts w:cs="Arial"/>
          <w:sz w:val="22"/>
          <w:szCs w:val="22"/>
        </w:rPr>
        <w:t>analyst</w:t>
      </w:r>
      <w:r>
        <w:rPr>
          <w:rFonts w:cs="Arial"/>
          <w:sz w:val="22"/>
          <w:szCs w:val="22"/>
        </w:rPr>
        <w:t xml:space="preserve"> can effectively model the </w:t>
      </w:r>
      <w:r w:rsidRPr="00BF5AC4">
        <w:rPr>
          <w:rFonts w:cs="Arial"/>
          <w:sz w:val="22"/>
          <w:szCs w:val="22"/>
        </w:rPr>
        <w:t>effect of uncertainty on the results of the analysis (i.e.</w:t>
      </w:r>
      <w:r w:rsidR="00D713F8">
        <w:rPr>
          <w:rFonts w:cs="Arial"/>
          <w:sz w:val="22"/>
          <w:szCs w:val="22"/>
        </w:rPr>
        <w:t>,</w:t>
      </w:r>
      <w:r>
        <w:rPr>
          <w:rFonts w:cs="Arial"/>
          <w:sz w:val="22"/>
          <w:szCs w:val="22"/>
        </w:rPr>
        <w:t> </w:t>
      </w:r>
      <w:r w:rsidRPr="00BF5AC4">
        <w:rPr>
          <w:rFonts w:cs="Arial"/>
          <w:sz w:val="22"/>
          <w:szCs w:val="22"/>
        </w:rPr>
        <w:t>the net benefit</w:t>
      </w:r>
      <w:r>
        <w:rPr>
          <w:rFonts w:cs="Arial"/>
          <w:sz w:val="22"/>
          <w:szCs w:val="22"/>
        </w:rPr>
        <w:t>s).</w:t>
      </w:r>
    </w:p>
    <w:p w14:paraId="007E514A" w14:textId="77777777" w:rsidR="00FA66F0" w:rsidRPr="00BF5AC4" w:rsidRDefault="00FA66F0" w:rsidP="00FA66F0">
      <w:pPr>
        <w:rPr>
          <w:rFonts w:cs="Arial"/>
          <w:sz w:val="22"/>
          <w:szCs w:val="22"/>
        </w:rPr>
      </w:pPr>
    </w:p>
    <w:p w14:paraId="1C94D673" w14:textId="402486DA" w:rsidR="00FA66F0" w:rsidRDefault="00FA66F0" w:rsidP="00CB6B27">
      <w:pPr>
        <w:rPr>
          <w:sz w:val="22"/>
          <w:szCs w:val="22"/>
        </w:rPr>
      </w:pPr>
      <w:r w:rsidRPr="00BF5AC4">
        <w:rPr>
          <w:rFonts w:cs="Arial"/>
          <w:sz w:val="22"/>
          <w:szCs w:val="22"/>
        </w:rPr>
        <w:t>The probability distributions chosen to represent the different variables in the analysis were bounded by the range</w:t>
      </w:r>
      <w:r>
        <w:rPr>
          <w:rFonts w:cs="Arial"/>
          <w:sz w:val="22"/>
          <w:szCs w:val="22"/>
        </w:rPr>
        <w:noBreakHyphen/>
        <w:t>referenced</w:t>
      </w:r>
      <w:r w:rsidRPr="00BF5AC4">
        <w:rPr>
          <w:rFonts w:cs="Arial"/>
          <w:sz w:val="22"/>
          <w:szCs w:val="22"/>
        </w:rPr>
        <w:t xml:space="preserve"> input</w:t>
      </w:r>
      <w:r>
        <w:rPr>
          <w:rFonts w:cs="Arial"/>
          <w:sz w:val="22"/>
          <w:szCs w:val="22"/>
        </w:rPr>
        <w:t xml:space="preserve"> </w:t>
      </w:r>
      <w:r w:rsidRPr="00BF5AC4">
        <w:rPr>
          <w:rFonts w:cs="Arial"/>
          <w:sz w:val="22"/>
          <w:szCs w:val="22"/>
        </w:rPr>
        <w:t>and the NRC staff</w:t>
      </w:r>
      <w:r w:rsidR="00D713F8">
        <w:rPr>
          <w:rFonts w:cs="Arial"/>
          <w:sz w:val="22"/>
          <w:szCs w:val="22"/>
        </w:rPr>
        <w:t>’</w:t>
      </w:r>
      <w:r w:rsidRPr="00BF5AC4">
        <w:rPr>
          <w:rFonts w:cs="Arial"/>
          <w:sz w:val="22"/>
          <w:szCs w:val="22"/>
        </w:rPr>
        <w:t>s professional judgment.  When defining the probability distributions for use in the Monte Carlo simulation</w:t>
      </w:r>
      <w:r w:rsidR="00D713F8">
        <w:rPr>
          <w:rFonts w:cs="Arial"/>
          <w:sz w:val="22"/>
          <w:szCs w:val="22"/>
        </w:rPr>
        <w:t>,</w:t>
      </w:r>
      <w:r w:rsidR="00EF4659">
        <w:rPr>
          <w:rFonts w:cs="Arial"/>
          <w:sz w:val="22"/>
          <w:szCs w:val="22"/>
        </w:rPr>
        <w:t xml:space="preserve"> the analyst needs</w:t>
      </w:r>
      <w:r w:rsidRPr="00BF5AC4">
        <w:rPr>
          <w:rFonts w:cs="Arial"/>
          <w:sz w:val="22"/>
          <w:szCs w:val="22"/>
        </w:rPr>
        <w:t xml:space="preserve"> summary statistics to characterize the distributions.  These summary statistics include the minimum</w:t>
      </w:r>
      <w:r w:rsidR="00D713F8">
        <w:rPr>
          <w:rFonts w:cs="Arial"/>
          <w:sz w:val="22"/>
          <w:szCs w:val="22"/>
        </w:rPr>
        <w:t>,</w:t>
      </w:r>
      <w:r>
        <w:rPr>
          <w:rFonts w:cs="Arial"/>
          <w:sz w:val="22"/>
          <w:szCs w:val="22"/>
        </w:rPr>
        <w:t xml:space="preserve"> most likely</w:t>
      </w:r>
      <w:r w:rsidR="00D713F8">
        <w:rPr>
          <w:rFonts w:cs="Arial"/>
          <w:sz w:val="22"/>
          <w:szCs w:val="22"/>
        </w:rPr>
        <w:t>,</w:t>
      </w:r>
      <w:r w:rsidRPr="00BF5AC4">
        <w:rPr>
          <w:rFonts w:cs="Arial"/>
          <w:sz w:val="22"/>
          <w:szCs w:val="22"/>
        </w:rPr>
        <w:t xml:space="preserve"> and maximum </w:t>
      </w:r>
      <w:r>
        <w:rPr>
          <w:rFonts w:cs="Arial"/>
          <w:sz w:val="22"/>
          <w:szCs w:val="22"/>
        </w:rPr>
        <w:t xml:space="preserve">values </w:t>
      </w:r>
      <w:r w:rsidRPr="00BF5AC4">
        <w:rPr>
          <w:rFonts w:cs="Arial"/>
          <w:sz w:val="22"/>
          <w:szCs w:val="22"/>
        </w:rPr>
        <w:t xml:space="preserve">of a </w:t>
      </w:r>
      <w:r>
        <w:rPr>
          <w:sz w:val="22"/>
          <w:szCs w:val="22"/>
        </w:rPr>
        <w:t>program evaluation and review technique</w:t>
      </w:r>
      <w:r w:rsidRPr="00BF5AC4">
        <w:rPr>
          <w:rFonts w:cs="Arial"/>
          <w:sz w:val="22"/>
          <w:szCs w:val="22"/>
        </w:rPr>
        <w:t xml:space="preserve"> </w:t>
      </w:r>
      <w:r>
        <w:rPr>
          <w:rFonts w:cs="Arial"/>
          <w:sz w:val="22"/>
          <w:szCs w:val="22"/>
        </w:rPr>
        <w:t>(PERT) distribution</w:t>
      </w:r>
      <w:r w:rsidR="00EF4659">
        <w:rPr>
          <w:rFonts w:cs="Arial"/>
          <w:sz w:val="22"/>
          <w:szCs w:val="22"/>
        </w:rPr>
        <w:t>.</w:t>
      </w:r>
      <w:r>
        <w:rPr>
          <w:rStyle w:val="FootnoteReference"/>
          <w:rFonts w:cs="Arial"/>
          <w:sz w:val="22"/>
          <w:szCs w:val="22"/>
        </w:rPr>
        <w:footnoteReference w:id="7"/>
      </w:r>
      <w:r w:rsidR="00CB6B27">
        <w:rPr>
          <w:rFonts w:cs="Arial"/>
          <w:sz w:val="22"/>
          <w:szCs w:val="22"/>
        </w:rPr>
        <w:t xml:space="preserve">  T</w:t>
      </w:r>
      <w:r>
        <w:rPr>
          <w:sz w:val="22"/>
          <w:szCs w:val="22"/>
        </w:rPr>
        <w:t xml:space="preserve">he PERT distribution </w:t>
      </w:r>
      <w:r w:rsidR="00CB6B27">
        <w:rPr>
          <w:sz w:val="22"/>
          <w:szCs w:val="22"/>
        </w:rPr>
        <w:t xml:space="preserve">is used </w:t>
      </w:r>
      <w:r>
        <w:rPr>
          <w:sz w:val="22"/>
          <w:szCs w:val="22"/>
        </w:rPr>
        <w:t>to reflect the relative spread and skewness of the distribution defined by the three estimates.</w:t>
      </w:r>
    </w:p>
    <w:p w14:paraId="67662038" w14:textId="77777777" w:rsidR="00CB6B27" w:rsidRDefault="00CB6B27" w:rsidP="00CB6B27">
      <w:pPr>
        <w:rPr>
          <w:sz w:val="22"/>
          <w:szCs w:val="22"/>
        </w:rPr>
      </w:pPr>
    </w:p>
    <w:p w14:paraId="14F3CE13" w14:textId="4CACFC06" w:rsidR="00FA66F0" w:rsidRDefault="00FA66F0" w:rsidP="00FA66F0">
      <w:pPr>
        <w:rPr>
          <w:sz w:val="22"/>
          <w:szCs w:val="22"/>
        </w:rPr>
      </w:pPr>
      <w:r w:rsidRPr="00E83CE9">
        <w:rPr>
          <w:sz w:val="22"/>
          <w:szCs w:val="22"/>
        </w:rPr>
        <w:t xml:space="preserve">Exhibit </w:t>
      </w:r>
      <w:r w:rsidR="00796625">
        <w:rPr>
          <w:sz w:val="22"/>
          <w:szCs w:val="22"/>
        </w:rPr>
        <w:t>A-1</w:t>
      </w:r>
      <w:r w:rsidR="00D27C88">
        <w:rPr>
          <w:sz w:val="22"/>
          <w:szCs w:val="22"/>
        </w:rPr>
        <w:t xml:space="preserve"> in Appendix A</w:t>
      </w:r>
      <w:r w:rsidR="00CB6B27">
        <w:rPr>
          <w:sz w:val="22"/>
          <w:szCs w:val="22"/>
        </w:rPr>
        <w:t xml:space="preserve"> </w:t>
      </w:r>
      <w:r>
        <w:rPr>
          <w:sz w:val="22"/>
          <w:szCs w:val="22"/>
        </w:rPr>
        <w:t>identifies the data elements</w:t>
      </w:r>
      <w:r w:rsidR="00E83CE9">
        <w:rPr>
          <w:sz w:val="22"/>
          <w:szCs w:val="22"/>
        </w:rPr>
        <w:t xml:space="preserve"> and the</w:t>
      </w:r>
      <w:r>
        <w:rPr>
          <w:sz w:val="22"/>
          <w:szCs w:val="22"/>
        </w:rPr>
        <w:t xml:space="preserve"> distribution that the staff used in the uncertainty analysis.</w:t>
      </w:r>
    </w:p>
    <w:p w14:paraId="436A552A" w14:textId="6D1E6E21" w:rsidR="00FA66F0" w:rsidRPr="009B527F" w:rsidRDefault="0095574D" w:rsidP="0095574D">
      <w:pPr>
        <w:pStyle w:val="Heading3"/>
        <w:tabs>
          <w:tab w:val="left" w:pos="6480"/>
        </w:tabs>
        <w:ind w:left="720" w:hanging="720"/>
      </w:pPr>
      <w:bookmarkStart w:id="236" w:name="_Toc532457292"/>
      <w:r>
        <w:t>3.4.1</w:t>
      </w:r>
      <w:r>
        <w:tab/>
      </w:r>
      <w:r w:rsidR="00FA66F0" w:rsidRPr="009B527F">
        <w:t>Uncertainty Analysis Results</w:t>
      </w:r>
      <w:bookmarkEnd w:id="236"/>
    </w:p>
    <w:p w14:paraId="4F78D0A0" w14:textId="3962372E" w:rsidR="00FA66F0" w:rsidRPr="00FA66F0" w:rsidRDefault="00FA66F0" w:rsidP="00FA66F0">
      <w:pPr>
        <w:autoSpaceDE/>
        <w:autoSpaceDN/>
        <w:adjustRightInd/>
        <w:rPr>
          <w:rFonts w:eastAsiaTheme="minorEastAsia" w:cs="Arial"/>
          <w:sz w:val="22"/>
          <w:szCs w:val="22"/>
          <w:lang w:eastAsia="ja-JP"/>
        </w:rPr>
      </w:pPr>
      <w:r w:rsidRPr="00FA66F0">
        <w:rPr>
          <w:rFonts w:eastAsiaTheme="minorEastAsia" w:cs="Arial"/>
          <w:sz w:val="22"/>
          <w:szCs w:val="22"/>
          <w:lang w:eastAsia="ja-JP"/>
        </w:rPr>
        <w:t xml:space="preserve">For each </w:t>
      </w:r>
      <w:r w:rsidR="00365E81">
        <w:rPr>
          <w:rFonts w:eastAsiaTheme="minorEastAsia" w:cs="Arial"/>
          <w:sz w:val="22"/>
          <w:szCs w:val="22"/>
          <w:lang w:eastAsia="ja-JP"/>
        </w:rPr>
        <w:t>exhibit</w:t>
      </w:r>
      <w:r w:rsidRPr="00FA66F0">
        <w:rPr>
          <w:rFonts w:eastAsiaTheme="minorEastAsia" w:cs="Arial"/>
          <w:sz w:val="22"/>
          <w:szCs w:val="22"/>
          <w:lang w:eastAsia="ja-JP"/>
        </w:rPr>
        <w:t xml:space="preserve"> below</w:t>
      </w:r>
      <w:r w:rsidR="00D713F8">
        <w:rPr>
          <w:rFonts w:eastAsiaTheme="minorEastAsia" w:cs="Arial"/>
          <w:sz w:val="22"/>
          <w:szCs w:val="22"/>
          <w:lang w:eastAsia="ja-JP"/>
        </w:rPr>
        <w:t>,</w:t>
      </w:r>
      <w:r w:rsidRPr="00FA66F0">
        <w:rPr>
          <w:rFonts w:eastAsiaTheme="minorEastAsia" w:cs="Arial"/>
          <w:sz w:val="22"/>
          <w:szCs w:val="22"/>
          <w:lang w:eastAsia="ja-JP"/>
        </w:rPr>
        <w:t xml:space="preserve"> </w:t>
      </w:r>
      <w:r w:rsidR="009B527F">
        <w:rPr>
          <w:rFonts w:eastAsiaTheme="minorEastAsia" w:cs="Arial"/>
          <w:sz w:val="22"/>
          <w:szCs w:val="22"/>
          <w:lang w:eastAsia="ja-JP"/>
        </w:rPr>
        <w:t xml:space="preserve">the NRC staff ran </w:t>
      </w:r>
      <w:r w:rsidR="005D0F15">
        <w:rPr>
          <w:rFonts w:eastAsiaTheme="minorEastAsia" w:cs="Arial"/>
          <w:sz w:val="22"/>
          <w:szCs w:val="22"/>
          <w:lang w:eastAsia="ja-JP"/>
        </w:rPr>
        <w:t>10</w:t>
      </w:r>
      <w:r w:rsidR="00D713F8">
        <w:rPr>
          <w:rFonts w:eastAsiaTheme="minorEastAsia" w:cs="Arial"/>
          <w:sz w:val="22"/>
          <w:szCs w:val="22"/>
          <w:lang w:eastAsia="ja-JP"/>
        </w:rPr>
        <w:t>,</w:t>
      </w:r>
      <w:r w:rsidR="000576E6">
        <w:rPr>
          <w:rFonts w:eastAsiaTheme="minorEastAsia" w:cs="Arial"/>
          <w:sz w:val="22"/>
          <w:szCs w:val="22"/>
          <w:lang w:eastAsia="ja-JP"/>
        </w:rPr>
        <w:t xml:space="preserve">000 </w:t>
      </w:r>
      <w:r w:rsidRPr="00FA66F0">
        <w:rPr>
          <w:rFonts w:eastAsiaTheme="minorEastAsia" w:cs="Arial"/>
          <w:sz w:val="22"/>
          <w:szCs w:val="22"/>
          <w:lang w:eastAsia="ja-JP"/>
        </w:rPr>
        <w:t xml:space="preserve">Monte Carlo simulations in which the key variables were changed to assess the resulting effect on costs.  The cost distributions illustrated in </w:t>
      </w:r>
      <w:r w:rsidR="00E83CE9">
        <w:rPr>
          <w:rFonts w:eastAsiaTheme="minorEastAsia" w:cs="Arial"/>
          <w:sz w:val="22"/>
          <w:szCs w:val="22"/>
          <w:lang w:eastAsia="ja-JP"/>
        </w:rPr>
        <w:t>Exhibits </w:t>
      </w:r>
      <w:r w:rsidR="009859AC">
        <w:rPr>
          <w:rFonts w:eastAsiaTheme="minorEastAsia" w:cs="Arial"/>
          <w:sz w:val="22"/>
          <w:szCs w:val="22"/>
          <w:lang w:eastAsia="ja-JP"/>
        </w:rPr>
        <w:t>3</w:t>
      </w:r>
      <w:r w:rsidR="009859AC">
        <w:rPr>
          <w:rFonts w:eastAsiaTheme="minorEastAsia" w:cs="Arial"/>
          <w:sz w:val="22"/>
          <w:szCs w:val="22"/>
          <w:lang w:eastAsia="ja-JP"/>
        </w:rPr>
        <w:noBreakHyphen/>
      </w:r>
      <w:r w:rsidR="0095574D">
        <w:rPr>
          <w:rFonts w:eastAsiaTheme="minorEastAsia" w:cs="Arial"/>
          <w:sz w:val="22"/>
          <w:szCs w:val="22"/>
          <w:lang w:eastAsia="ja-JP"/>
        </w:rPr>
        <w:t>4</w:t>
      </w:r>
      <w:r w:rsidRPr="00FA66F0">
        <w:rPr>
          <w:rFonts w:eastAsiaTheme="minorEastAsia" w:cs="Arial"/>
          <w:sz w:val="22"/>
          <w:szCs w:val="22"/>
          <w:lang w:eastAsia="ja-JP"/>
        </w:rPr>
        <w:t xml:space="preserve"> </w:t>
      </w:r>
      <w:r w:rsidR="005D0F15">
        <w:rPr>
          <w:rFonts w:eastAsiaTheme="minorEastAsia" w:cs="Arial"/>
          <w:sz w:val="22"/>
          <w:szCs w:val="22"/>
          <w:lang w:eastAsia="ja-JP"/>
        </w:rPr>
        <w:t xml:space="preserve">and </w:t>
      </w:r>
      <w:r w:rsidR="009859AC">
        <w:rPr>
          <w:rFonts w:eastAsiaTheme="minorEastAsia" w:cs="Arial"/>
          <w:sz w:val="22"/>
          <w:szCs w:val="22"/>
          <w:lang w:eastAsia="ja-JP"/>
        </w:rPr>
        <w:t>3-</w:t>
      </w:r>
      <w:r w:rsidR="00B84A00">
        <w:rPr>
          <w:rFonts w:eastAsiaTheme="minorEastAsia" w:cs="Arial"/>
          <w:sz w:val="22"/>
          <w:szCs w:val="22"/>
          <w:lang w:eastAsia="ja-JP"/>
        </w:rPr>
        <w:t>5</w:t>
      </w:r>
      <w:r w:rsidRPr="00FA66F0">
        <w:rPr>
          <w:rFonts w:eastAsiaTheme="minorEastAsia" w:cs="Arial"/>
          <w:sz w:val="22"/>
          <w:szCs w:val="22"/>
          <w:lang w:eastAsia="ja-JP"/>
        </w:rPr>
        <w:t xml:space="preserve"> represent the incremental costs from the regulatory baseline of </w:t>
      </w:r>
      <w:r w:rsidR="00365E81">
        <w:rPr>
          <w:rFonts w:eastAsiaTheme="minorEastAsia" w:cs="Arial"/>
          <w:sz w:val="22"/>
          <w:szCs w:val="22"/>
          <w:lang w:eastAsia="ja-JP"/>
        </w:rPr>
        <w:t>Option</w:t>
      </w:r>
      <w:r w:rsidRPr="00FA66F0">
        <w:rPr>
          <w:rFonts w:eastAsiaTheme="minorEastAsia" w:cs="Arial"/>
          <w:sz w:val="22"/>
          <w:szCs w:val="22"/>
          <w:lang w:eastAsia="ja-JP"/>
        </w:rPr>
        <w:t> 1 (</w:t>
      </w:r>
      <w:r w:rsidR="00365E81">
        <w:rPr>
          <w:rFonts w:eastAsiaTheme="minorEastAsia" w:cs="Arial"/>
          <w:sz w:val="22"/>
          <w:szCs w:val="22"/>
          <w:lang w:eastAsia="ja-JP"/>
        </w:rPr>
        <w:t>t</w:t>
      </w:r>
      <w:r w:rsidRPr="00FA66F0">
        <w:rPr>
          <w:rFonts w:eastAsiaTheme="minorEastAsia" w:cs="Arial"/>
          <w:sz w:val="22"/>
          <w:szCs w:val="22"/>
          <w:lang w:eastAsia="ja-JP"/>
        </w:rPr>
        <w:t xml:space="preserve">ake </w:t>
      </w:r>
      <w:r w:rsidR="00365E81">
        <w:rPr>
          <w:rFonts w:eastAsiaTheme="minorEastAsia" w:cs="Arial"/>
          <w:sz w:val="22"/>
          <w:szCs w:val="22"/>
          <w:lang w:eastAsia="ja-JP"/>
        </w:rPr>
        <w:t>n</w:t>
      </w:r>
      <w:r w:rsidRPr="00FA66F0">
        <w:rPr>
          <w:rFonts w:eastAsiaTheme="minorEastAsia" w:cs="Arial"/>
          <w:sz w:val="22"/>
          <w:szCs w:val="22"/>
          <w:lang w:eastAsia="ja-JP"/>
        </w:rPr>
        <w:t xml:space="preserve">o </w:t>
      </w:r>
      <w:r w:rsidR="00365E81">
        <w:rPr>
          <w:rFonts w:eastAsiaTheme="minorEastAsia" w:cs="Arial"/>
          <w:sz w:val="22"/>
          <w:szCs w:val="22"/>
          <w:lang w:eastAsia="ja-JP"/>
        </w:rPr>
        <w:t>a</w:t>
      </w:r>
      <w:r w:rsidRPr="00FA66F0">
        <w:rPr>
          <w:rFonts w:eastAsiaTheme="minorEastAsia" w:cs="Arial"/>
          <w:sz w:val="22"/>
          <w:szCs w:val="22"/>
          <w:lang w:eastAsia="ja-JP"/>
        </w:rPr>
        <w:t xml:space="preserve">ction).  As can be seen from </w:t>
      </w:r>
      <w:r w:rsidR="009859AC">
        <w:rPr>
          <w:rFonts w:eastAsiaTheme="minorEastAsia" w:cs="Arial"/>
          <w:sz w:val="22"/>
          <w:szCs w:val="22"/>
          <w:lang w:eastAsia="ja-JP"/>
        </w:rPr>
        <w:t>these exhibits</w:t>
      </w:r>
      <w:r w:rsidR="00D713F8">
        <w:rPr>
          <w:rFonts w:eastAsiaTheme="minorEastAsia" w:cs="Arial"/>
          <w:sz w:val="22"/>
          <w:szCs w:val="22"/>
          <w:lang w:eastAsia="ja-JP"/>
        </w:rPr>
        <w:t>,</w:t>
      </w:r>
      <w:r w:rsidRPr="00FA66F0">
        <w:rPr>
          <w:rFonts w:eastAsiaTheme="minorEastAsia" w:cs="Arial"/>
          <w:sz w:val="22"/>
          <w:szCs w:val="22"/>
          <w:lang w:eastAsia="ja-JP"/>
        </w:rPr>
        <w:t xml:space="preserve"> none of the curves are net beneficial</w:t>
      </w:r>
      <w:r w:rsidR="00E83CE9">
        <w:rPr>
          <w:rFonts w:eastAsiaTheme="minorEastAsia" w:cs="Arial"/>
          <w:sz w:val="22"/>
          <w:szCs w:val="22"/>
          <w:lang w:eastAsia="ja-JP"/>
        </w:rPr>
        <w:t xml:space="preserve"> </w:t>
      </w:r>
      <w:r w:rsidR="00E83CE9">
        <w:rPr>
          <w:sz w:val="22"/>
          <w:szCs w:val="22"/>
        </w:rPr>
        <w:t>because of the inability to monetize the benefits of this rule</w:t>
      </w:r>
      <w:r w:rsidRPr="00FA66F0">
        <w:rPr>
          <w:rFonts w:eastAsiaTheme="minorEastAsia" w:cs="Arial"/>
          <w:sz w:val="22"/>
          <w:szCs w:val="22"/>
          <w:lang w:eastAsia="ja-JP"/>
        </w:rPr>
        <w:t>.</w:t>
      </w:r>
    </w:p>
    <w:p w14:paraId="338381D8" w14:textId="37C00ADD" w:rsidR="003B707C" w:rsidRDefault="00FF39E4" w:rsidP="008A2805">
      <w:pPr>
        <w:pStyle w:val="Exhibit"/>
        <w:keepNext w:val="0"/>
      </w:pPr>
      <w:bookmarkStart w:id="237" w:name="_Toc532457266"/>
      <w:r>
        <w:t>Exhibit 3-</w:t>
      </w:r>
      <w:r w:rsidR="0095574D">
        <w:t>4</w:t>
      </w:r>
      <w:r w:rsidR="000E1083">
        <w:tab/>
      </w:r>
      <w:r w:rsidR="00F93FFD">
        <w:t>Industry Implementation Costs</w:t>
      </w:r>
      <w:bookmarkEnd w:id="237"/>
    </w:p>
    <w:p w14:paraId="0444C842" w14:textId="6F447240" w:rsidR="00F93FFD" w:rsidRDefault="00FA6922" w:rsidP="0031052A">
      <w:r w:rsidRPr="00FA6922">
        <w:rPr>
          <w:noProof/>
        </w:rPr>
        <w:drawing>
          <wp:inline distT="0" distB="0" distL="0" distR="0" wp14:anchorId="1342833F" wp14:editId="3EC6AC47">
            <wp:extent cx="5943600" cy="314171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41716"/>
                    </a:xfrm>
                    <a:prstGeom prst="rect">
                      <a:avLst/>
                    </a:prstGeom>
                    <a:noFill/>
                    <a:ln>
                      <a:noFill/>
                    </a:ln>
                  </pic:spPr>
                </pic:pic>
              </a:graphicData>
            </a:graphic>
          </wp:inline>
        </w:drawing>
      </w:r>
    </w:p>
    <w:p w14:paraId="19BF9912" w14:textId="265DE05A" w:rsidR="00E83CE9" w:rsidRDefault="00E83CE9" w:rsidP="00E83CE9">
      <w:pPr>
        <w:rPr>
          <w:sz w:val="22"/>
        </w:rPr>
      </w:pPr>
      <w:r>
        <w:rPr>
          <w:sz w:val="22"/>
        </w:rPr>
        <w:t>In addition to estimating the probability distributions for the net benefits of this rule</w:t>
      </w:r>
      <w:r w:rsidR="00D713F8">
        <w:rPr>
          <w:sz w:val="22"/>
        </w:rPr>
        <w:t>,</w:t>
      </w:r>
      <w:r>
        <w:rPr>
          <w:sz w:val="22"/>
        </w:rPr>
        <w:t xml:space="preserve"> the staff used the Monte Carlo simulation to determine the variables with the greatest impact on the resulting net benefits.  Variables shown to have a large effect on the resulting net benefits may deserve more attention and scrutiny than variables shown to have a small or minimal effect.</w:t>
      </w:r>
    </w:p>
    <w:p w14:paraId="666014DD" w14:textId="77777777" w:rsidR="00E83CE9" w:rsidRDefault="00E83CE9" w:rsidP="00E83CE9">
      <w:pPr>
        <w:rPr>
          <w:sz w:val="22"/>
        </w:rPr>
      </w:pPr>
    </w:p>
    <w:p w14:paraId="0F0D4D83" w14:textId="22BF99EA" w:rsidR="00E83CE9" w:rsidRDefault="00E83CE9" w:rsidP="00E83CE9">
      <w:pPr>
        <w:rPr>
          <w:sz w:val="22"/>
        </w:rPr>
      </w:pPr>
      <w:r>
        <w:rPr>
          <w:sz w:val="22"/>
        </w:rPr>
        <w:t>To estimate the effect of each variable on the net benefits</w:t>
      </w:r>
      <w:r w:rsidR="00D713F8">
        <w:rPr>
          <w:sz w:val="22"/>
        </w:rPr>
        <w:t>,</w:t>
      </w:r>
      <w:r>
        <w:rPr>
          <w:sz w:val="22"/>
        </w:rPr>
        <w:t xml:space="preserve"> the staff performed a regression</w:t>
      </w:r>
      <w:r w:rsidR="00D713F8">
        <w:rPr>
          <w:sz w:val="22"/>
        </w:rPr>
        <w:t>,</w:t>
      </w:r>
      <w:r>
        <w:rPr>
          <w:sz w:val="22"/>
        </w:rPr>
        <w:t xml:space="preserve"> with the net benefits modeled as the dependent variable and the inputs as the independent variables.  The result of this regression</w:t>
      </w:r>
      <w:r w:rsidR="009B527F">
        <w:rPr>
          <w:sz w:val="22"/>
        </w:rPr>
        <w:t>,</w:t>
      </w:r>
      <w:r>
        <w:rPr>
          <w:sz w:val="22"/>
        </w:rPr>
        <w:t xml:space="preserve"> called a tornado diagram</w:t>
      </w:r>
      <w:r w:rsidR="00D713F8">
        <w:rPr>
          <w:sz w:val="22"/>
        </w:rPr>
        <w:t>,</w:t>
      </w:r>
      <w:r>
        <w:rPr>
          <w:sz w:val="22"/>
        </w:rPr>
        <w:t xml:space="preserve"> represents in vertical order the variables with the greatest influence on the net benefits.  The tornado diagram also displays the resulting </w:t>
      </w:r>
      <w:r w:rsidR="00F92EB8">
        <w:rPr>
          <w:sz w:val="22"/>
        </w:rPr>
        <w:t>effect</w:t>
      </w:r>
      <w:r>
        <w:rPr>
          <w:sz w:val="22"/>
        </w:rPr>
        <w:t xml:space="preserve"> on the calculated mean value for each of the input </w:t>
      </w:r>
      <w:r w:rsidRPr="00502384">
        <w:rPr>
          <w:sz w:val="22"/>
        </w:rPr>
        <w:t>variables.  Exhibit 3-</w:t>
      </w:r>
      <w:r w:rsidR="0095574D">
        <w:rPr>
          <w:sz w:val="22"/>
        </w:rPr>
        <w:t>5</w:t>
      </w:r>
      <w:r>
        <w:rPr>
          <w:sz w:val="22"/>
        </w:rPr>
        <w:t xml:space="preserve"> presents the tornado diagram for the total cost of the final rule</w:t>
      </w:r>
      <w:r w:rsidR="0095574D">
        <w:rPr>
          <w:sz w:val="22"/>
        </w:rPr>
        <w:t>.</w:t>
      </w:r>
    </w:p>
    <w:p w14:paraId="7545CA89" w14:textId="77777777" w:rsidR="00196A60" w:rsidRDefault="00196A60" w:rsidP="00E83CE9">
      <w:pPr>
        <w:rPr>
          <w:sz w:val="22"/>
        </w:rPr>
      </w:pPr>
    </w:p>
    <w:p w14:paraId="1177E062" w14:textId="4E2F2CC8" w:rsidR="00196A60" w:rsidRDefault="00196A60" w:rsidP="007671BB">
      <w:pPr>
        <w:pStyle w:val="Exhibit"/>
      </w:pPr>
      <w:bookmarkStart w:id="238" w:name="_Toc532457267"/>
      <w:r>
        <w:t>Exhibit 3-</w:t>
      </w:r>
      <w:r w:rsidR="0095574D">
        <w:t>5</w:t>
      </w:r>
      <w:r w:rsidR="000E1083">
        <w:tab/>
      </w:r>
      <w:r w:rsidR="006B6A7D">
        <w:t xml:space="preserve">Key Variables </w:t>
      </w:r>
      <w:r w:rsidR="00F92EB8">
        <w:t>W</w:t>
      </w:r>
      <w:r w:rsidR="006B6A7D">
        <w:t>hose Uncertainty Drives the Largest Impact on Costs</w:t>
      </w:r>
      <w:bookmarkEnd w:id="238"/>
    </w:p>
    <w:p w14:paraId="11BF5C10" w14:textId="7CBFEEE0" w:rsidR="006B6A7D" w:rsidRDefault="009022C9" w:rsidP="007671BB">
      <w:pPr>
        <w:keepNext/>
        <w:rPr>
          <w:sz w:val="22"/>
        </w:rPr>
      </w:pPr>
      <w:r w:rsidRPr="009022C9">
        <w:rPr>
          <w:noProof/>
          <w:sz w:val="22"/>
        </w:rPr>
        <w:drawing>
          <wp:inline distT="0" distB="0" distL="0" distR="0" wp14:anchorId="20F18412" wp14:editId="5CD54AF0">
            <wp:extent cx="5943600" cy="31417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141716"/>
                    </a:xfrm>
                    <a:prstGeom prst="rect">
                      <a:avLst/>
                    </a:prstGeom>
                    <a:noFill/>
                    <a:ln>
                      <a:noFill/>
                    </a:ln>
                  </pic:spPr>
                </pic:pic>
              </a:graphicData>
            </a:graphic>
          </wp:inline>
        </w:drawing>
      </w:r>
    </w:p>
    <w:p w14:paraId="584C58A2" w14:textId="08229315" w:rsidR="00E83CE9" w:rsidRDefault="00E83CE9" w:rsidP="00E83CE9">
      <w:pPr>
        <w:rPr>
          <w:sz w:val="22"/>
        </w:rPr>
      </w:pPr>
      <w:r w:rsidRPr="00FA6922">
        <w:rPr>
          <w:sz w:val="22"/>
        </w:rPr>
        <w:t xml:space="preserve">Examining the tornado diagrams </w:t>
      </w:r>
      <w:r w:rsidR="00F92EB8" w:rsidRPr="00FA6922">
        <w:rPr>
          <w:sz w:val="22"/>
        </w:rPr>
        <w:t>gives</w:t>
      </w:r>
      <w:r w:rsidRPr="00FA6922">
        <w:rPr>
          <w:sz w:val="22"/>
        </w:rPr>
        <w:t xml:space="preserve"> insight into which inputs have the largest </w:t>
      </w:r>
      <w:r w:rsidR="00F92EB8" w:rsidRPr="00FA6922">
        <w:rPr>
          <w:sz w:val="22"/>
        </w:rPr>
        <w:t>effects</w:t>
      </w:r>
      <w:r w:rsidRPr="00FA6922">
        <w:rPr>
          <w:sz w:val="22"/>
        </w:rPr>
        <w:t xml:space="preserve"> on the </w:t>
      </w:r>
      <w:r w:rsidR="004E7CAA" w:rsidRPr="00FA6922">
        <w:rPr>
          <w:sz w:val="22"/>
        </w:rPr>
        <w:t>output mean</w:t>
      </w:r>
      <w:r w:rsidRPr="00FA6922">
        <w:rPr>
          <w:sz w:val="22"/>
        </w:rPr>
        <w:t xml:space="preserve"> of this quantitative analysis.  </w:t>
      </w:r>
      <w:r w:rsidR="009E0A7A" w:rsidRPr="00FA6922">
        <w:rPr>
          <w:sz w:val="22"/>
        </w:rPr>
        <w:t>Exhibit 3-</w:t>
      </w:r>
      <w:r w:rsidR="0095574D" w:rsidRPr="00FA6922">
        <w:rPr>
          <w:sz w:val="22"/>
        </w:rPr>
        <w:t>5</w:t>
      </w:r>
      <w:r w:rsidRPr="00FA6922">
        <w:rPr>
          <w:sz w:val="22"/>
        </w:rPr>
        <w:t xml:space="preserve"> shows that the parameter</w:t>
      </w:r>
      <w:r w:rsidR="00462183" w:rsidRPr="00FA6922">
        <w:rPr>
          <w:sz w:val="22"/>
        </w:rPr>
        <w:t xml:space="preserve"> that has</w:t>
      </w:r>
      <w:r w:rsidRPr="00FA6922">
        <w:rPr>
          <w:sz w:val="22"/>
        </w:rPr>
        <w:t xml:space="preserve"> the </w:t>
      </w:r>
      <w:r w:rsidR="00462183" w:rsidRPr="00FA6922">
        <w:rPr>
          <w:sz w:val="22"/>
        </w:rPr>
        <w:t>highest sensitivity ranking</w:t>
      </w:r>
      <w:r w:rsidRPr="00FA6922">
        <w:rPr>
          <w:sz w:val="22"/>
        </w:rPr>
        <w:t xml:space="preserve"> </w:t>
      </w:r>
      <w:r w:rsidR="00462183" w:rsidRPr="00FA6922">
        <w:rPr>
          <w:sz w:val="22"/>
        </w:rPr>
        <w:t xml:space="preserve">and is the most important is </w:t>
      </w:r>
      <w:r w:rsidR="007671BB" w:rsidRPr="00FA6922">
        <w:rPr>
          <w:sz w:val="22"/>
        </w:rPr>
        <w:t xml:space="preserve">the </w:t>
      </w:r>
      <w:r w:rsidR="00E17427" w:rsidRPr="00FA6922">
        <w:rPr>
          <w:sz w:val="22"/>
        </w:rPr>
        <w:t>number of hours expended by industry in reviewing the final rule requirements</w:t>
      </w:r>
      <w:r w:rsidR="004E7CAA" w:rsidRPr="00FA6922">
        <w:rPr>
          <w:sz w:val="22"/>
        </w:rPr>
        <w:t xml:space="preserve">.  </w:t>
      </w:r>
      <w:r w:rsidRPr="00FA6922">
        <w:rPr>
          <w:sz w:val="22"/>
        </w:rPr>
        <w:t xml:space="preserve">The influence of a variable on the </w:t>
      </w:r>
      <w:r w:rsidR="004E7CAA" w:rsidRPr="00FA6922">
        <w:rPr>
          <w:sz w:val="22"/>
        </w:rPr>
        <w:t xml:space="preserve">mean </w:t>
      </w:r>
      <w:r w:rsidRPr="00FA6922">
        <w:rPr>
          <w:sz w:val="22"/>
        </w:rPr>
        <w:t xml:space="preserve">output </w:t>
      </w:r>
      <w:r w:rsidR="004E7CAA" w:rsidRPr="00FA6922">
        <w:rPr>
          <w:sz w:val="22"/>
        </w:rPr>
        <w:t xml:space="preserve">value </w:t>
      </w:r>
      <w:r w:rsidRPr="00FA6922">
        <w:rPr>
          <w:sz w:val="22"/>
        </w:rPr>
        <w:t>is not only a function of that variable but also the spread of its distribution</w:t>
      </w:r>
      <w:r w:rsidR="0095574D" w:rsidRPr="00FA6922">
        <w:rPr>
          <w:sz w:val="22"/>
        </w:rPr>
        <w:t>.</w:t>
      </w:r>
    </w:p>
    <w:p w14:paraId="18F62640" w14:textId="5114398B" w:rsidR="00D3063B" w:rsidRDefault="0095574D" w:rsidP="0095574D">
      <w:pPr>
        <w:pStyle w:val="Heading3"/>
        <w:tabs>
          <w:tab w:val="left" w:pos="6480"/>
        </w:tabs>
        <w:ind w:left="720" w:hanging="720"/>
      </w:pPr>
      <w:bookmarkStart w:id="239" w:name="_Toc532457293"/>
      <w:r>
        <w:t>3.4.2</w:t>
      </w:r>
      <w:r>
        <w:tab/>
      </w:r>
      <w:r w:rsidR="00D3063B">
        <w:t>Summary of Uncertainty Analysis</w:t>
      </w:r>
      <w:bookmarkEnd w:id="239"/>
    </w:p>
    <w:p w14:paraId="2465BE16" w14:textId="5A9351E0" w:rsidR="00D3063B" w:rsidRDefault="00D3063B" w:rsidP="00D3063B">
      <w:pPr>
        <w:spacing w:after="220"/>
        <w:rPr>
          <w:sz w:val="22"/>
          <w:szCs w:val="22"/>
        </w:rPr>
      </w:pPr>
      <w:r w:rsidRPr="00FA6922">
        <w:rPr>
          <w:sz w:val="22"/>
          <w:szCs w:val="22"/>
        </w:rPr>
        <w:t xml:space="preserve">The simulation analysis shows that the estimated mean cost for </w:t>
      </w:r>
      <w:r w:rsidR="009555F2" w:rsidRPr="00FA6922">
        <w:rPr>
          <w:sz w:val="22"/>
          <w:szCs w:val="22"/>
        </w:rPr>
        <w:t>the MBDBE final</w:t>
      </w:r>
      <w:r w:rsidRPr="00FA6922">
        <w:rPr>
          <w:sz w:val="22"/>
          <w:szCs w:val="22"/>
        </w:rPr>
        <w:t xml:space="preserve"> rule is ($</w:t>
      </w:r>
      <w:r w:rsidR="00FA6922" w:rsidRPr="00FA6922">
        <w:rPr>
          <w:sz w:val="22"/>
          <w:szCs w:val="22"/>
        </w:rPr>
        <w:t>7.2</w:t>
      </w:r>
      <w:r w:rsidRPr="00FA6922">
        <w:rPr>
          <w:sz w:val="22"/>
          <w:szCs w:val="22"/>
        </w:rPr>
        <w:t> million)</w:t>
      </w:r>
      <w:r w:rsidR="00D713F8" w:rsidRPr="00FA6922">
        <w:rPr>
          <w:sz w:val="22"/>
          <w:szCs w:val="22"/>
        </w:rPr>
        <w:t>,</w:t>
      </w:r>
      <w:r w:rsidRPr="00FA6922">
        <w:rPr>
          <w:sz w:val="22"/>
          <w:szCs w:val="22"/>
        </w:rPr>
        <w:t xml:space="preserve"> with 90</w:t>
      </w:r>
      <w:r w:rsidRPr="00FA6922">
        <w:rPr>
          <w:sz w:val="22"/>
          <w:szCs w:val="22"/>
        </w:rPr>
        <w:noBreakHyphen/>
        <w:t>percent confidence that the cost is between ($</w:t>
      </w:r>
      <w:r w:rsidR="009022C9">
        <w:rPr>
          <w:sz w:val="22"/>
          <w:szCs w:val="22"/>
        </w:rPr>
        <w:t>8.5</w:t>
      </w:r>
      <w:r w:rsidRPr="00FA6922">
        <w:rPr>
          <w:sz w:val="22"/>
          <w:szCs w:val="22"/>
        </w:rPr>
        <w:t xml:space="preserve"> million) and ($</w:t>
      </w:r>
      <w:r w:rsidR="009022C9">
        <w:rPr>
          <w:sz w:val="22"/>
          <w:szCs w:val="22"/>
        </w:rPr>
        <w:t>5.8</w:t>
      </w:r>
      <w:r w:rsidRPr="00FA6922">
        <w:rPr>
          <w:sz w:val="22"/>
          <w:szCs w:val="22"/>
        </w:rPr>
        <w:t> million).</w:t>
      </w:r>
    </w:p>
    <w:p w14:paraId="6E3A1F9E" w14:textId="56862BCA" w:rsidR="00D3063B" w:rsidRPr="00FA6922" w:rsidRDefault="00D3063B" w:rsidP="00D3063B">
      <w:pPr>
        <w:rPr>
          <w:sz w:val="22"/>
          <w:szCs w:val="22"/>
        </w:rPr>
      </w:pPr>
      <w:r w:rsidRPr="00FA6922">
        <w:rPr>
          <w:sz w:val="22"/>
        </w:rPr>
        <w:t xml:space="preserve">The NRC staff assessed which variables have the largest impact on total costs for this </w:t>
      </w:r>
      <w:r w:rsidR="002A0D78" w:rsidRPr="00FA6922">
        <w:rPr>
          <w:sz w:val="22"/>
        </w:rPr>
        <w:t>final rule</w:t>
      </w:r>
      <w:r w:rsidRPr="00FA6922">
        <w:rPr>
          <w:sz w:val="22"/>
        </w:rPr>
        <w:t>.  As shown in Exhibit 3-</w:t>
      </w:r>
      <w:r w:rsidR="00FA6922">
        <w:rPr>
          <w:sz w:val="22"/>
        </w:rPr>
        <w:t>5</w:t>
      </w:r>
      <w:r w:rsidR="00D713F8" w:rsidRPr="00FA6922">
        <w:rPr>
          <w:sz w:val="22"/>
        </w:rPr>
        <w:t>,</w:t>
      </w:r>
      <w:r w:rsidRPr="00FA6922">
        <w:rPr>
          <w:sz w:val="22"/>
        </w:rPr>
        <w:t xml:space="preserve"> the </w:t>
      </w:r>
      <w:r w:rsidR="003B217E" w:rsidRPr="00FA6922">
        <w:rPr>
          <w:sz w:val="22"/>
        </w:rPr>
        <w:t xml:space="preserve">parameters that have the highest sensitivity ranking are the </w:t>
      </w:r>
      <w:r w:rsidR="00FA6922">
        <w:rPr>
          <w:sz w:val="22"/>
        </w:rPr>
        <w:t>number of hours expended by in reviewing the final rule requirements</w:t>
      </w:r>
      <w:r w:rsidRPr="00FA6922">
        <w:rPr>
          <w:sz w:val="22"/>
          <w:szCs w:val="22"/>
        </w:rPr>
        <w:t>.</w:t>
      </w:r>
    </w:p>
    <w:p w14:paraId="2EAA3DA2" w14:textId="1736285A" w:rsidR="0007700A" w:rsidRDefault="0007700A" w:rsidP="0007700A">
      <w:pPr>
        <w:pStyle w:val="Heading2"/>
        <w:rPr>
          <w:szCs w:val="22"/>
        </w:rPr>
      </w:pPr>
      <w:bookmarkStart w:id="240" w:name="_Toc460911638"/>
      <w:bookmarkStart w:id="241" w:name="_Toc460911680"/>
      <w:bookmarkStart w:id="242" w:name="_Toc460911722"/>
      <w:bookmarkStart w:id="243" w:name="_Toc460911764"/>
      <w:bookmarkStart w:id="244" w:name="_Toc460911806"/>
      <w:bookmarkStart w:id="245" w:name="_Toc460932056"/>
      <w:bookmarkStart w:id="246" w:name="_Toc460932102"/>
      <w:bookmarkStart w:id="247" w:name="_Toc460932148"/>
      <w:bookmarkStart w:id="248" w:name="_Toc460932194"/>
      <w:bookmarkStart w:id="249" w:name="_Toc532457294"/>
      <w:bookmarkStart w:id="250" w:name="_Toc460911640"/>
      <w:bookmarkStart w:id="251" w:name="_Toc460911682"/>
      <w:bookmarkStart w:id="252" w:name="_Toc460911724"/>
      <w:bookmarkStart w:id="253" w:name="_Toc460911766"/>
      <w:bookmarkStart w:id="254" w:name="_Toc460911808"/>
      <w:bookmarkStart w:id="255" w:name="_Toc460932058"/>
      <w:bookmarkStart w:id="256" w:name="_Toc460932104"/>
      <w:bookmarkStart w:id="257" w:name="_Toc460932150"/>
      <w:bookmarkStart w:id="258" w:name="_Toc460932196"/>
      <w:r>
        <w:rPr>
          <w:szCs w:val="22"/>
        </w:rPr>
        <w:t>3.</w:t>
      </w:r>
      <w:r w:rsidR="0095574D">
        <w:rPr>
          <w:szCs w:val="22"/>
        </w:rPr>
        <w:t>5</w:t>
      </w:r>
      <w:r>
        <w:rPr>
          <w:szCs w:val="22"/>
        </w:rPr>
        <w:t>.</w:t>
      </w:r>
      <w:r>
        <w:rPr>
          <w:szCs w:val="22"/>
        </w:rPr>
        <w:tab/>
        <w:t>Disaggregation</w:t>
      </w:r>
      <w:bookmarkEnd w:id="240"/>
      <w:bookmarkEnd w:id="241"/>
      <w:bookmarkEnd w:id="242"/>
      <w:bookmarkEnd w:id="243"/>
      <w:bookmarkEnd w:id="244"/>
      <w:bookmarkEnd w:id="245"/>
      <w:bookmarkEnd w:id="246"/>
      <w:bookmarkEnd w:id="247"/>
      <w:bookmarkEnd w:id="248"/>
      <w:bookmarkEnd w:id="249"/>
    </w:p>
    <w:p w14:paraId="7AE7D37F" w14:textId="78D83C68" w:rsidR="00A443A8" w:rsidRDefault="00A443A8" w:rsidP="00FA66F0">
      <w:pPr>
        <w:rPr>
          <w:sz w:val="22"/>
          <w:szCs w:val="22"/>
        </w:rPr>
      </w:pPr>
      <w:r w:rsidRPr="00E97915">
        <w:rPr>
          <w:sz w:val="22"/>
          <w:szCs w:val="22"/>
        </w:rPr>
        <w:t xml:space="preserve">The NRC </w:t>
      </w:r>
      <w:r>
        <w:rPr>
          <w:sz w:val="22"/>
          <w:szCs w:val="22"/>
        </w:rPr>
        <w:t xml:space="preserve">staff </w:t>
      </w:r>
      <w:r w:rsidRPr="00E97915">
        <w:rPr>
          <w:sz w:val="22"/>
          <w:szCs w:val="22"/>
        </w:rPr>
        <w:t xml:space="preserve">performed a screening review to determine </w:t>
      </w:r>
      <w:r>
        <w:rPr>
          <w:sz w:val="22"/>
          <w:szCs w:val="22"/>
        </w:rPr>
        <w:t>whether</w:t>
      </w:r>
      <w:r w:rsidRPr="00E97915">
        <w:rPr>
          <w:sz w:val="22"/>
          <w:szCs w:val="22"/>
        </w:rPr>
        <w:t xml:space="preserve"> any of the individual requirements (or set of integrated requirements) of the rule would be unnecessary to achieve the objectives of the rulemaking.  The NRC</w:t>
      </w:r>
      <w:r>
        <w:rPr>
          <w:sz w:val="22"/>
          <w:szCs w:val="22"/>
        </w:rPr>
        <w:t xml:space="preserve"> staff</w:t>
      </w:r>
      <w:r w:rsidRPr="00E97915">
        <w:rPr>
          <w:sz w:val="22"/>
          <w:szCs w:val="22"/>
        </w:rPr>
        <w:t xml:space="preserve"> concludes that each of the </w:t>
      </w:r>
      <w:r w:rsidR="00511D76">
        <w:rPr>
          <w:sz w:val="22"/>
          <w:szCs w:val="22"/>
        </w:rPr>
        <w:t xml:space="preserve">MBDBE </w:t>
      </w:r>
      <w:r w:rsidR="00194F5A">
        <w:rPr>
          <w:sz w:val="22"/>
          <w:szCs w:val="22"/>
        </w:rPr>
        <w:t xml:space="preserve">final </w:t>
      </w:r>
      <w:r>
        <w:rPr>
          <w:sz w:val="22"/>
          <w:szCs w:val="22"/>
        </w:rPr>
        <w:t xml:space="preserve">rule changes </w:t>
      </w:r>
      <w:r w:rsidRPr="00E97915">
        <w:rPr>
          <w:sz w:val="22"/>
          <w:szCs w:val="22"/>
        </w:rPr>
        <w:t xml:space="preserve">would be necessary to achieve one or more </w:t>
      </w:r>
      <w:r>
        <w:rPr>
          <w:sz w:val="22"/>
          <w:szCs w:val="22"/>
        </w:rPr>
        <w:t xml:space="preserve">of </w:t>
      </w:r>
      <w:r w:rsidRPr="00E97915">
        <w:rPr>
          <w:sz w:val="22"/>
          <w:szCs w:val="22"/>
        </w:rPr>
        <w:t>the objectives of the rulemaking</w:t>
      </w:r>
      <w:r w:rsidR="00D713F8">
        <w:rPr>
          <w:sz w:val="22"/>
          <w:szCs w:val="22"/>
        </w:rPr>
        <w:t>,</w:t>
      </w:r>
      <w:r>
        <w:rPr>
          <w:sz w:val="22"/>
          <w:szCs w:val="22"/>
        </w:rPr>
        <w:t xml:space="preserve"> as described in Section 1.2 and summarized in </w:t>
      </w:r>
      <w:r w:rsidR="00F8336B">
        <w:rPr>
          <w:sz w:val="22"/>
          <w:szCs w:val="22"/>
        </w:rPr>
        <w:t>Exhibit 3-</w:t>
      </w:r>
      <w:r w:rsidR="00194DB1">
        <w:rPr>
          <w:sz w:val="22"/>
          <w:szCs w:val="22"/>
        </w:rPr>
        <w:t>6</w:t>
      </w:r>
      <w:r w:rsidR="00F8336B">
        <w:rPr>
          <w:sz w:val="22"/>
          <w:szCs w:val="22"/>
        </w:rPr>
        <w:t>.</w:t>
      </w:r>
    </w:p>
    <w:p w14:paraId="6293CD82" w14:textId="6222CFFE" w:rsidR="00F8336B" w:rsidRDefault="00F8336B" w:rsidP="005547CF">
      <w:pPr>
        <w:pStyle w:val="Exhibit"/>
      </w:pPr>
      <w:bookmarkStart w:id="259" w:name="_Toc532457268"/>
      <w:r>
        <w:t>Exhibit 3-</w:t>
      </w:r>
      <w:r w:rsidR="00194DB1">
        <w:t>6</w:t>
      </w:r>
      <w:r w:rsidR="000E1083">
        <w:tab/>
      </w:r>
      <w:r>
        <w:t>Disaggregated Requirements</w:t>
      </w:r>
      <w:bookmarkEnd w:id="259"/>
    </w:p>
    <w:tbl>
      <w:tblPr>
        <w:tblStyle w:val="TableGrid"/>
        <w:tblW w:w="0" w:type="auto"/>
        <w:jc w:val="center"/>
        <w:tblLook w:val="04A0" w:firstRow="1" w:lastRow="0" w:firstColumn="1" w:lastColumn="0" w:noHBand="0" w:noVBand="1"/>
      </w:tblPr>
      <w:tblGrid>
        <w:gridCol w:w="6210"/>
        <w:gridCol w:w="1431"/>
        <w:gridCol w:w="1167"/>
      </w:tblGrid>
      <w:tr w:rsidR="009022C9" w:rsidRPr="00F8336B" w14:paraId="6B6CEBB1" w14:textId="77777777" w:rsidTr="009022C9">
        <w:trPr>
          <w:tblHeader/>
          <w:jc w:val="center"/>
        </w:trPr>
        <w:tc>
          <w:tcPr>
            <w:tcW w:w="6210" w:type="dxa"/>
            <w:vAlign w:val="center"/>
          </w:tcPr>
          <w:p w14:paraId="59CB1B6D" w14:textId="115C0B10" w:rsidR="009022C9" w:rsidRPr="00F8336B" w:rsidRDefault="009022C9" w:rsidP="00BE4586">
            <w:pPr>
              <w:keepNext/>
              <w:rPr>
                <w:rFonts w:cs="Arial"/>
                <w:b/>
                <w:sz w:val="18"/>
              </w:rPr>
            </w:pPr>
            <w:r>
              <w:rPr>
                <w:rFonts w:cs="Arial"/>
                <w:b/>
                <w:sz w:val="18"/>
              </w:rPr>
              <w:t xml:space="preserve">New or </w:t>
            </w:r>
            <w:r w:rsidRPr="00F8336B">
              <w:rPr>
                <w:rFonts w:cs="Arial"/>
                <w:b/>
                <w:sz w:val="18"/>
              </w:rPr>
              <w:t xml:space="preserve">Revised </w:t>
            </w:r>
            <w:r>
              <w:rPr>
                <w:rFonts w:cs="Arial"/>
                <w:b/>
                <w:sz w:val="18"/>
              </w:rPr>
              <w:t xml:space="preserve">10 CFR </w:t>
            </w:r>
            <w:r w:rsidRPr="00F8336B">
              <w:rPr>
                <w:rFonts w:cs="Arial"/>
                <w:b/>
                <w:sz w:val="18"/>
              </w:rPr>
              <w:t>Requirement</w:t>
            </w:r>
          </w:p>
        </w:tc>
        <w:tc>
          <w:tcPr>
            <w:tcW w:w="1431" w:type="dxa"/>
            <w:vAlign w:val="center"/>
          </w:tcPr>
          <w:p w14:paraId="5FE8015B" w14:textId="295FBA73" w:rsidR="009022C9" w:rsidRPr="00F8336B" w:rsidRDefault="009022C9" w:rsidP="00BE4586">
            <w:pPr>
              <w:keepNext/>
              <w:rPr>
                <w:rFonts w:cs="Arial"/>
                <w:b/>
                <w:sz w:val="18"/>
              </w:rPr>
            </w:pPr>
            <w:r w:rsidRPr="00F8336B">
              <w:rPr>
                <w:rFonts w:cs="Arial"/>
                <w:b/>
                <w:sz w:val="18"/>
              </w:rPr>
              <w:t>Generically Applicable Requirements</w:t>
            </w:r>
          </w:p>
        </w:tc>
        <w:tc>
          <w:tcPr>
            <w:tcW w:w="1167" w:type="dxa"/>
            <w:vAlign w:val="center"/>
          </w:tcPr>
          <w:p w14:paraId="3C1E248C" w14:textId="2FB8F1E0" w:rsidR="009022C9" w:rsidRPr="00F8336B" w:rsidRDefault="009022C9" w:rsidP="00BE4586">
            <w:pPr>
              <w:keepNext/>
              <w:rPr>
                <w:rFonts w:cs="Arial"/>
                <w:b/>
                <w:sz w:val="18"/>
              </w:rPr>
            </w:pPr>
            <w:r w:rsidRPr="00F8336B">
              <w:rPr>
                <w:rFonts w:cs="Arial"/>
                <w:b/>
                <w:sz w:val="18"/>
              </w:rPr>
              <w:t>Address Fukushima Dai</w:t>
            </w:r>
            <w:r w:rsidRPr="00F8336B">
              <w:rPr>
                <w:rFonts w:cs="Arial"/>
                <w:b/>
                <w:sz w:val="18"/>
              </w:rPr>
              <w:noBreakHyphen/>
              <w:t>ichi</w:t>
            </w:r>
            <w:r>
              <w:rPr>
                <w:rFonts w:cs="Arial"/>
                <w:b/>
                <w:sz w:val="18"/>
              </w:rPr>
              <w:t>-Related PRM</w:t>
            </w:r>
            <w:r w:rsidRPr="00F8336B">
              <w:rPr>
                <w:rFonts w:cs="Arial"/>
                <w:b/>
                <w:sz w:val="18"/>
              </w:rPr>
              <w:t>s</w:t>
            </w:r>
          </w:p>
        </w:tc>
      </w:tr>
      <w:tr w:rsidR="009022C9" w:rsidRPr="008C72FC" w14:paraId="3F55AB20" w14:textId="77777777" w:rsidTr="009022C9">
        <w:trPr>
          <w:jc w:val="center"/>
        </w:trPr>
        <w:tc>
          <w:tcPr>
            <w:tcW w:w="6210" w:type="dxa"/>
          </w:tcPr>
          <w:p w14:paraId="4C9AE787" w14:textId="63A64980" w:rsidR="009022C9" w:rsidRPr="002A7F45" w:rsidRDefault="009022C9" w:rsidP="00BE4586">
            <w:pPr>
              <w:keepNext/>
              <w:rPr>
                <w:rFonts w:cs="Arial"/>
                <w:sz w:val="18"/>
                <w:szCs w:val="18"/>
              </w:rPr>
            </w:pPr>
            <w:r w:rsidRPr="002A7F45">
              <w:rPr>
                <w:rFonts w:eastAsia="Calibri"/>
                <w:i/>
                <w:sz w:val="18"/>
                <w:szCs w:val="18"/>
              </w:rPr>
              <w:t>Section 50.8</w:t>
            </w:r>
            <w:r>
              <w:rPr>
                <w:rFonts w:eastAsia="Calibri"/>
                <w:i/>
                <w:sz w:val="18"/>
                <w:szCs w:val="18"/>
              </w:rPr>
              <w:t>,</w:t>
            </w:r>
            <w:r w:rsidRPr="002A7F45">
              <w:rPr>
                <w:rFonts w:eastAsia="Calibri"/>
                <w:i/>
                <w:sz w:val="18"/>
                <w:szCs w:val="18"/>
              </w:rPr>
              <w:t xml:space="preserve"> </w:t>
            </w:r>
            <w:r>
              <w:rPr>
                <w:rFonts w:eastAsia="Calibri"/>
                <w:i/>
                <w:sz w:val="18"/>
                <w:szCs w:val="18"/>
              </w:rPr>
              <w:t>“</w:t>
            </w:r>
            <w:r w:rsidRPr="002A7F45">
              <w:rPr>
                <w:rFonts w:eastAsia="Calibri"/>
                <w:i/>
                <w:sz w:val="18"/>
                <w:szCs w:val="18"/>
              </w:rPr>
              <w:t>Information Collection Requirements:  OMB Approval</w:t>
            </w:r>
            <w:r>
              <w:rPr>
                <w:rFonts w:eastAsia="Calibri"/>
                <w:i/>
                <w:sz w:val="18"/>
                <w:szCs w:val="18"/>
              </w:rPr>
              <w:t>”</w:t>
            </w:r>
          </w:p>
        </w:tc>
        <w:tc>
          <w:tcPr>
            <w:tcW w:w="1431" w:type="dxa"/>
          </w:tcPr>
          <w:p w14:paraId="6DB0F431" w14:textId="110CA291"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436CC887" w14:textId="2A02F419" w:rsidR="009022C9" w:rsidRPr="002A7F45" w:rsidRDefault="009022C9" w:rsidP="00BE4586">
            <w:pPr>
              <w:keepNext/>
              <w:jc w:val="center"/>
              <w:rPr>
                <w:rFonts w:cs="Arial"/>
                <w:sz w:val="18"/>
                <w:szCs w:val="18"/>
              </w:rPr>
            </w:pPr>
            <w:r w:rsidRPr="002A7F45">
              <w:rPr>
                <w:rFonts w:cs="Arial"/>
                <w:sz w:val="18"/>
                <w:szCs w:val="18"/>
              </w:rPr>
              <w:t>X</w:t>
            </w:r>
          </w:p>
        </w:tc>
      </w:tr>
      <w:tr w:rsidR="009022C9" w:rsidRPr="008C72FC" w14:paraId="3361D968" w14:textId="77777777" w:rsidTr="009022C9">
        <w:trPr>
          <w:jc w:val="center"/>
        </w:trPr>
        <w:tc>
          <w:tcPr>
            <w:tcW w:w="6210" w:type="dxa"/>
          </w:tcPr>
          <w:p w14:paraId="5492BA6C" w14:textId="7BF201B0" w:rsidR="009022C9" w:rsidRPr="002A7F45" w:rsidRDefault="009022C9" w:rsidP="00BE4586">
            <w:pPr>
              <w:keepNext/>
              <w:rPr>
                <w:rFonts w:cs="Arial"/>
                <w:sz w:val="18"/>
                <w:szCs w:val="18"/>
              </w:rPr>
            </w:pPr>
            <w:r w:rsidRPr="002A7F45">
              <w:rPr>
                <w:rFonts w:eastAsia="Calibri"/>
                <w:i/>
                <w:sz w:val="18"/>
                <w:szCs w:val="18"/>
              </w:rPr>
              <w:t>Section 50.34</w:t>
            </w:r>
            <w:r>
              <w:rPr>
                <w:rFonts w:eastAsia="Calibri"/>
                <w:i/>
                <w:sz w:val="18"/>
                <w:szCs w:val="18"/>
              </w:rPr>
              <w:t>,</w:t>
            </w:r>
            <w:r w:rsidRPr="002A7F45">
              <w:rPr>
                <w:rFonts w:eastAsia="Calibri"/>
                <w:i/>
                <w:sz w:val="18"/>
                <w:szCs w:val="18"/>
              </w:rPr>
              <w:t xml:space="preserve"> </w:t>
            </w:r>
            <w:r>
              <w:rPr>
                <w:rFonts w:eastAsia="Calibri"/>
                <w:i/>
                <w:sz w:val="18"/>
                <w:szCs w:val="18"/>
              </w:rPr>
              <w:t>“</w:t>
            </w:r>
            <w:r w:rsidRPr="002A7F45">
              <w:rPr>
                <w:rFonts w:eastAsia="Calibri"/>
                <w:i/>
                <w:sz w:val="18"/>
                <w:szCs w:val="18"/>
              </w:rPr>
              <w:t>Contents of Applications; Technical Information</w:t>
            </w:r>
            <w:r>
              <w:rPr>
                <w:rFonts w:eastAsia="Calibri"/>
                <w:i/>
                <w:sz w:val="18"/>
                <w:szCs w:val="18"/>
              </w:rPr>
              <w:t>”</w:t>
            </w:r>
          </w:p>
        </w:tc>
        <w:tc>
          <w:tcPr>
            <w:tcW w:w="1431" w:type="dxa"/>
          </w:tcPr>
          <w:p w14:paraId="1C06AC3C" w14:textId="2E5E8198"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6EAB0EC0" w14:textId="1C06AAE9" w:rsidR="009022C9" w:rsidRPr="002A7F45" w:rsidRDefault="009022C9" w:rsidP="00BE4586">
            <w:pPr>
              <w:keepNext/>
              <w:jc w:val="center"/>
              <w:rPr>
                <w:rFonts w:cs="Arial"/>
                <w:sz w:val="18"/>
                <w:szCs w:val="18"/>
              </w:rPr>
            </w:pPr>
            <w:r>
              <w:rPr>
                <w:rFonts w:cs="Arial"/>
                <w:sz w:val="18"/>
                <w:szCs w:val="18"/>
              </w:rPr>
              <w:t>X</w:t>
            </w:r>
          </w:p>
        </w:tc>
      </w:tr>
      <w:tr w:rsidR="009022C9" w:rsidRPr="008C72FC" w14:paraId="7411EF1C" w14:textId="77777777" w:rsidTr="009022C9">
        <w:trPr>
          <w:jc w:val="center"/>
        </w:trPr>
        <w:tc>
          <w:tcPr>
            <w:tcW w:w="6210" w:type="dxa"/>
          </w:tcPr>
          <w:p w14:paraId="729DE55D" w14:textId="183095FB" w:rsidR="009022C9" w:rsidRPr="002A7F45" w:rsidRDefault="009022C9" w:rsidP="00BE4586">
            <w:pPr>
              <w:keepNext/>
              <w:rPr>
                <w:rFonts w:eastAsia="Calibri"/>
                <w:i/>
                <w:sz w:val="18"/>
                <w:szCs w:val="18"/>
              </w:rPr>
            </w:pPr>
            <w:r w:rsidRPr="002A7F45">
              <w:rPr>
                <w:rFonts w:eastAsia="Calibri"/>
                <w:i/>
                <w:sz w:val="18"/>
                <w:szCs w:val="18"/>
              </w:rPr>
              <w:t>Section 50.54</w:t>
            </w:r>
            <w:r>
              <w:rPr>
                <w:rFonts w:eastAsia="Calibri"/>
                <w:i/>
                <w:sz w:val="18"/>
                <w:szCs w:val="18"/>
              </w:rPr>
              <w:t>,</w:t>
            </w:r>
            <w:r w:rsidRPr="002A7F45">
              <w:rPr>
                <w:rFonts w:eastAsia="Calibri"/>
                <w:i/>
                <w:sz w:val="18"/>
                <w:szCs w:val="18"/>
              </w:rPr>
              <w:t xml:space="preserve"> </w:t>
            </w:r>
            <w:r>
              <w:rPr>
                <w:rFonts w:eastAsia="Calibri"/>
                <w:i/>
                <w:sz w:val="18"/>
                <w:szCs w:val="18"/>
              </w:rPr>
              <w:t>“</w:t>
            </w:r>
            <w:r w:rsidRPr="002A7F45">
              <w:rPr>
                <w:rFonts w:eastAsia="Calibri"/>
                <w:i/>
                <w:sz w:val="18"/>
                <w:szCs w:val="18"/>
              </w:rPr>
              <w:t>Conditions of Licenses</w:t>
            </w:r>
            <w:r>
              <w:rPr>
                <w:rFonts w:eastAsia="Calibri"/>
                <w:i/>
                <w:sz w:val="18"/>
                <w:szCs w:val="18"/>
              </w:rPr>
              <w:t>”</w:t>
            </w:r>
          </w:p>
        </w:tc>
        <w:tc>
          <w:tcPr>
            <w:tcW w:w="1431" w:type="dxa"/>
          </w:tcPr>
          <w:p w14:paraId="2E75081D" w14:textId="0120B074"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539AC8B0" w14:textId="46D76D15" w:rsidR="009022C9" w:rsidRPr="002A7F45" w:rsidRDefault="009022C9" w:rsidP="00BE4586">
            <w:pPr>
              <w:keepNext/>
              <w:jc w:val="center"/>
              <w:rPr>
                <w:rFonts w:cs="Arial"/>
                <w:sz w:val="18"/>
                <w:szCs w:val="18"/>
              </w:rPr>
            </w:pPr>
            <w:r>
              <w:rPr>
                <w:rFonts w:cs="Arial"/>
                <w:sz w:val="18"/>
                <w:szCs w:val="18"/>
              </w:rPr>
              <w:t>X</w:t>
            </w:r>
          </w:p>
        </w:tc>
      </w:tr>
      <w:tr w:rsidR="00684780" w:rsidRPr="008C72FC" w14:paraId="54EC6B28" w14:textId="77777777" w:rsidTr="009022C9">
        <w:trPr>
          <w:jc w:val="center"/>
        </w:trPr>
        <w:tc>
          <w:tcPr>
            <w:tcW w:w="6210" w:type="dxa"/>
          </w:tcPr>
          <w:p w14:paraId="4C7835EF" w14:textId="6F4D04A7" w:rsidR="00684780" w:rsidRDefault="00684780" w:rsidP="00BE4586">
            <w:pPr>
              <w:keepNext/>
              <w:rPr>
                <w:rFonts w:eastAsia="Calibri"/>
                <w:i/>
                <w:sz w:val="18"/>
                <w:szCs w:val="18"/>
              </w:rPr>
            </w:pPr>
            <w:r>
              <w:rPr>
                <w:rFonts w:eastAsia="Calibri"/>
                <w:i/>
                <w:sz w:val="18"/>
                <w:szCs w:val="18"/>
              </w:rPr>
              <w:t>Section 50.155, “Mitigation of Beyond-Design-Basis Events</w:t>
            </w:r>
          </w:p>
        </w:tc>
        <w:tc>
          <w:tcPr>
            <w:tcW w:w="1431" w:type="dxa"/>
          </w:tcPr>
          <w:p w14:paraId="3AB9E392" w14:textId="78B8782B" w:rsidR="00684780" w:rsidRPr="002A7F45" w:rsidRDefault="00684780" w:rsidP="00BE4586">
            <w:pPr>
              <w:keepNext/>
              <w:jc w:val="center"/>
              <w:rPr>
                <w:rFonts w:cs="Arial"/>
                <w:sz w:val="18"/>
                <w:szCs w:val="18"/>
              </w:rPr>
            </w:pPr>
            <w:r>
              <w:rPr>
                <w:rFonts w:cs="Arial"/>
                <w:sz w:val="18"/>
                <w:szCs w:val="18"/>
              </w:rPr>
              <w:t>X</w:t>
            </w:r>
          </w:p>
        </w:tc>
        <w:tc>
          <w:tcPr>
            <w:tcW w:w="1167" w:type="dxa"/>
          </w:tcPr>
          <w:p w14:paraId="085C3867" w14:textId="57E7136A" w:rsidR="00684780" w:rsidRPr="002A7F45" w:rsidRDefault="00684780" w:rsidP="00BE4586">
            <w:pPr>
              <w:keepNext/>
              <w:jc w:val="center"/>
              <w:rPr>
                <w:rFonts w:cs="Arial"/>
                <w:sz w:val="18"/>
                <w:szCs w:val="18"/>
              </w:rPr>
            </w:pPr>
            <w:r>
              <w:rPr>
                <w:rFonts w:cs="Arial"/>
                <w:sz w:val="18"/>
                <w:szCs w:val="18"/>
              </w:rPr>
              <w:t>X</w:t>
            </w:r>
          </w:p>
        </w:tc>
      </w:tr>
      <w:tr w:rsidR="009022C9" w:rsidRPr="008C72FC" w14:paraId="74CDAF46" w14:textId="77777777" w:rsidTr="009022C9">
        <w:trPr>
          <w:jc w:val="center"/>
        </w:trPr>
        <w:tc>
          <w:tcPr>
            <w:tcW w:w="6210" w:type="dxa"/>
          </w:tcPr>
          <w:p w14:paraId="6ECED63B" w14:textId="101FAEBC" w:rsidR="009022C9" w:rsidRPr="002A7F45" w:rsidRDefault="009022C9" w:rsidP="00BE4586">
            <w:pPr>
              <w:keepNext/>
              <w:rPr>
                <w:rFonts w:eastAsia="Calibri"/>
                <w:i/>
                <w:sz w:val="18"/>
                <w:szCs w:val="18"/>
              </w:rPr>
            </w:pPr>
            <w:r>
              <w:rPr>
                <w:rFonts w:eastAsia="Calibri"/>
                <w:i/>
                <w:sz w:val="18"/>
                <w:szCs w:val="18"/>
              </w:rPr>
              <w:t>Paragraph</w:t>
            </w:r>
            <w:r w:rsidRPr="002A7F45">
              <w:rPr>
                <w:rFonts w:eastAsia="Calibri"/>
                <w:i/>
                <w:sz w:val="18"/>
                <w:szCs w:val="18"/>
              </w:rPr>
              <w:t xml:space="preserve"> 50.155(a)</w:t>
            </w:r>
            <w:r>
              <w:rPr>
                <w:rFonts w:eastAsia="Calibri"/>
                <w:i/>
                <w:sz w:val="18"/>
                <w:szCs w:val="18"/>
              </w:rPr>
              <w:t>,</w:t>
            </w:r>
            <w:r w:rsidRPr="002A7F45">
              <w:rPr>
                <w:rFonts w:eastAsia="Calibri"/>
                <w:i/>
                <w:sz w:val="18"/>
                <w:szCs w:val="18"/>
              </w:rPr>
              <w:t xml:space="preserve"> </w:t>
            </w:r>
            <w:r>
              <w:rPr>
                <w:rFonts w:eastAsia="Calibri"/>
                <w:i/>
                <w:sz w:val="18"/>
                <w:szCs w:val="18"/>
              </w:rPr>
              <w:t>“</w:t>
            </w:r>
            <w:r w:rsidRPr="002A7F45">
              <w:rPr>
                <w:rFonts w:eastAsia="Calibri"/>
                <w:i/>
                <w:sz w:val="18"/>
                <w:szCs w:val="18"/>
              </w:rPr>
              <w:t>Applicability</w:t>
            </w:r>
            <w:r>
              <w:rPr>
                <w:rFonts w:eastAsia="Calibri"/>
                <w:i/>
                <w:sz w:val="18"/>
                <w:szCs w:val="18"/>
              </w:rPr>
              <w:t>”</w:t>
            </w:r>
          </w:p>
        </w:tc>
        <w:tc>
          <w:tcPr>
            <w:tcW w:w="1431" w:type="dxa"/>
          </w:tcPr>
          <w:p w14:paraId="0FFD800F" w14:textId="585A93AA"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5FD12036" w14:textId="16D4C56A" w:rsidR="009022C9" w:rsidRPr="002A7F45" w:rsidRDefault="009022C9" w:rsidP="00BE4586">
            <w:pPr>
              <w:keepNext/>
              <w:jc w:val="center"/>
              <w:rPr>
                <w:rFonts w:cs="Arial"/>
                <w:sz w:val="18"/>
                <w:szCs w:val="18"/>
              </w:rPr>
            </w:pPr>
            <w:r w:rsidRPr="002A7F45">
              <w:rPr>
                <w:rFonts w:cs="Arial"/>
                <w:sz w:val="18"/>
                <w:szCs w:val="18"/>
              </w:rPr>
              <w:t>X</w:t>
            </w:r>
          </w:p>
        </w:tc>
      </w:tr>
      <w:tr w:rsidR="009022C9" w:rsidRPr="008C72FC" w14:paraId="5171ABD4" w14:textId="77777777" w:rsidTr="009022C9">
        <w:trPr>
          <w:jc w:val="center"/>
        </w:trPr>
        <w:tc>
          <w:tcPr>
            <w:tcW w:w="6210" w:type="dxa"/>
          </w:tcPr>
          <w:p w14:paraId="6E866F70" w14:textId="2F70203B" w:rsidR="009022C9" w:rsidRPr="002A7F45" w:rsidRDefault="009022C9" w:rsidP="00684780">
            <w:pPr>
              <w:keepNext/>
              <w:rPr>
                <w:rFonts w:eastAsia="Calibri"/>
                <w:i/>
                <w:sz w:val="18"/>
                <w:szCs w:val="18"/>
              </w:rPr>
            </w:pPr>
            <w:r>
              <w:rPr>
                <w:rFonts w:eastAsia="Calibri"/>
                <w:i/>
                <w:sz w:val="18"/>
                <w:szCs w:val="18"/>
              </w:rPr>
              <w:t>Paragraph</w:t>
            </w:r>
            <w:r w:rsidRPr="002A7F45">
              <w:rPr>
                <w:rFonts w:eastAsia="Calibri"/>
                <w:i/>
                <w:sz w:val="18"/>
                <w:szCs w:val="18"/>
              </w:rPr>
              <w:t xml:space="preserve"> 50.155(b)</w:t>
            </w:r>
            <w:r>
              <w:rPr>
                <w:rFonts w:eastAsia="Calibri"/>
                <w:i/>
                <w:sz w:val="18"/>
                <w:szCs w:val="18"/>
              </w:rPr>
              <w:t>,</w:t>
            </w:r>
            <w:r w:rsidRPr="002A7F45">
              <w:rPr>
                <w:rFonts w:eastAsia="Calibri"/>
                <w:i/>
                <w:sz w:val="18"/>
                <w:szCs w:val="18"/>
              </w:rPr>
              <w:t xml:space="preserve"> </w:t>
            </w:r>
            <w:r>
              <w:rPr>
                <w:rFonts w:eastAsia="Calibri"/>
                <w:i/>
                <w:sz w:val="18"/>
                <w:szCs w:val="18"/>
              </w:rPr>
              <w:t>“</w:t>
            </w:r>
            <w:r w:rsidR="00703ABD">
              <w:rPr>
                <w:rFonts w:eastAsia="Calibri"/>
                <w:i/>
                <w:sz w:val="18"/>
                <w:szCs w:val="18"/>
              </w:rPr>
              <w:t xml:space="preserve">Strategies and </w:t>
            </w:r>
            <w:r w:rsidR="00684780">
              <w:rPr>
                <w:rFonts w:eastAsia="Calibri"/>
                <w:i/>
                <w:sz w:val="18"/>
                <w:szCs w:val="18"/>
              </w:rPr>
              <w:t>guidelines</w:t>
            </w:r>
            <w:r>
              <w:rPr>
                <w:rFonts w:eastAsia="Calibri"/>
                <w:i/>
                <w:sz w:val="18"/>
                <w:szCs w:val="18"/>
              </w:rPr>
              <w:t>”</w:t>
            </w:r>
          </w:p>
        </w:tc>
        <w:tc>
          <w:tcPr>
            <w:tcW w:w="1431" w:type="dxa"/>
          </w:tcPr>
          <w:p w14:paraId="366E0018" w14:textId="1075A7D3"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4FF05174" w14:textId="5180A08F" w:rsidR="009022C9" w:rsidRPr="002A7F45" w:rsidRDefault="009022C9" w:rsidP="00BE4586">
            <w:pPr>
              <w:keepNext/>
              <w:jc w:val="center"/>
              <w:rPr>
                <w:rFonts w:cs="Arial"/>
                <w:sz w:val="18"/>
                <w:szCs w:val="18"/>
              </w:rPr>
            </w:pPr>
            <w:r>
              <w:rPr>
                <w:rFonts w:cs="Arial"/>
                <w:sz w:val="18"/>
                <w:szCs w:val="18"/>
              </w:rPr>
              <w:t>X</w:t>
            </w:r>
          </w:p>
        </w:tc>
      </w:tr>
      <w:tr w:rsidR="009022C9" w:rsidRPr="008C72FC" w14:paraId="77F2050A" w14:textId="77777777" w:rsidTr="009022C9">
        <w:trPr>
          <w:jc w:val="center"/>
        </w:trPr>
        <w:tc>
          <w:tcPr>
            <w:tcW w:w="6210" w:type="dxa"/>
          </w:tcPr>
          <w:p w14:paraId="3B51F0E4" w14:textId="187F3866" w:rsidR="009022C9" w:rsidRPr="002A7F45" w:rsidRDefault="009022C9" w:rsidP="00BE4586">
            <w:pPr>
              <w:keepNext/>
              <w:rPr>
                <w:rFonts w:eastAsia="Calibri"/>
                <w:i/>
                <w:sz w:val="18"/>
                <w:szCs w:val="18"/>
              </w:rPr>
            </w:pPr>
            <w:r>
              <w:rPr>
                <w:rFonts w:eastAsia="Calibri"/>
                <w:i/>
                <w:sz w:val="18"/>
                <w:szCs w:val="18"/>
              </w:rPr>
              <w:t>Paragraph</w:t>
            </w:r>
            <w:r w:rsidRPr="002A7F45">
              <w:rPr>
                <w:rFonts w:eastAsia="Calibri"/>
                <w:i/>
                <w:sz w:val="18"/>
                <w:szCs w:val="18"/>
              </w:rPr>
              <w:t xml:space="preserve"> 50.155(c)</w:t>
            </w:r>
            <w:r>
              <w:rPr>
                <w:rFonts w:eastAsia="Calibri"/>
                <w:i/>
                <w:sz w:val="18"/>
                <w:szCs w:val="18"/>
              </w:rPr>
              <w:t>,</w:t>
            </w:r>
            <w:r w:rsidRPr="002A7F45">
              <w:rPr>
                <w:rFonts w:eastAsia="Calibri"/>
                <w:i/>
                <w:sz w:val="18"/>
                <w:szCs w:val="18"/>
              </w:rPr>
              <w:t xml:space="preserve"> </w:t>
            </w:r>
            <w:r>
              <w:rPr>
                <w:rFonts w:eastAsia="Calibri"/>
                <w:i/>
                <w:sz w:val="18"/>
                <w:szCs w:val="18"/>
              </w:rPr>
              <w:t>“</w:t>
            </w:r>
            <w:r w:rsidR="00684780">
              <w:rPr>
                <w:rFonts w:eastAsia="Calibri"/>
                <w:i/>
                <w:sz w:val="18"/>
                <w:szCs w:val="18"/>
              </w:rPr>
              <w:t>Equipment</w:t>
            </w:r>
            <w:r>
              <w:rPr>
                <w:rFonts w:eastAsia="Calibri"/>
                <w:i/>
                <w:sz w:val="18"/>
                <w:szCs w:val="18"/>
              </w:rPr>
              <w:t>”</w:t>
            </w:r>
          </w:p>
        </w:tc>
        <w:tc>
          <w:tcPr>
            <w:tcW w:w="1431" w:type="dxa"/>
          </w:tcPr>
          <w:p w14:paraId="51932C93" w14:textId="20D5BAB9"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2D2B79F2" w14:textId="4E9C774C" w:rsidR="009022C9" w:rsidRPr="002A7F45" w:rsidRDefault="009022C9" w:rsidP="00BE4586">
            <w:pPr>
              <w:keepNext/>
              <w:jc w:val="center"/>
              <w:rPr>
                <w:rFonts w:cs="Arial"/>
                <w:sz w:val="18"/>
                <w:szCs w:val="18"/>
              </w:rPr>
            </w:pPr>
            <w:r>
              <w:rPr>
                <w:rFonts w:cs="Arial"/>
                <w:sz w:val="18"/>
                <w:szCs w:val="18"/>
              </w:rPr>
              <w:t>X</w:t>
            </w:r>
          </w:p>
        </w:tc>
      </w:tr>
      <w:tr w:rsidR="009022C9" w:rsidRPr="008C72FC" w14:paraId="60833A0D" w14:textId="77777777" w:rsidTr="009022C9">
        <w:trPr>
          <w:jc w:val="center"/>
        </w:trPr>
        <w:tc>
          <w:tcPr>
            <w:tcW w:w="6210" w:type="dxa"/>
          </w:tcPr>
          <w:p w14:paraId="1AF42401" w14:textId="0E363CD4" w:rsidR="009022C9" w:rsidRPr="002A7F45" w:rsidRDefault="009022C9" w:rsidP="00684780">
            <w:pPr>
              <w:keepNext/>
              <w:rPr>
                <w:rFonts w:eastAsia="Calibri"/>
                <w:i/>
                <w:sz w:val="18"/>
                <w:szCs w:val="18"/>
              </w:rPr>
            </w:pPr>
            <w:r>
              <w:rPr>
                <w:rFonts w:eastAsia="Calibri"/>
                <w:i/>
                <w:sz w:val="18"/>
                <w:szCs w:val="18"/>
              </w:rPr>
              <w:t>Paragraph</w:t>
            </w:r>
            <w:r w:rsidRPr="002A7F45">
              <w:rPr>
                <w:rFonts w:eastAsia="Calibri"/>
                <w:i/>
                <w:sz w:val="18"/>
                <w:szCs w:val="18"/>
              </w:rPr>
              <w:t xml:space="preserve"> 50.155(d)</w:t>
            </w:r>
            <w:r>
              <w:rPr>
                <w:rFonts w:eastAsia="Calibri"/>
                <w:i/>
                <w:sz w:val="18"/>
                <w:szCs w:val="18"/>
              </w:rPr>
              <w:t>,</w:t>
            </w:r>
            <w:r w:rsidRPr="002A7F45">
              <w:rPr>
                <w:rFonts w:eastAsia="Calibri"/>
                <w:i/>
                <w:sz w:val="18"/>
                <w:szCs w:val="18"/>
              </w:rPr>
              <w:t xml:space="preserve"> </w:t>
            </w:r>
            <w:r>
              <w:rPr>
                <w:rFonts w:eastAsia="Calibri"/>
                <w:i/>
                <w:sz w:val="18"/>
                <w:szCs w:val="18"/>
              </w:rPr>
              <w:t>“</w:t>
            </w:r>
            <w:r w:rsidRPr="002A7F45">
              <w:rPr>
                <w:rFonts w:eastAsia="Calibri"/>
                <w:i/>
                <w:sz w:val="18"/>
                <w:szCs w:val="18"/>
              </w:rPr>
              <w:t xml:space="preserve">Training </w:t>
            </w:r>
            <w:r w:rsidR="00684780">
              <w:rPr>
                <w:rFonts w:eastAsia="Calibri"/>
                <w:i/>
                <w:sz w:val="18"/>
                <w:szCs w:val="18"/>
              </w:rPr>
              <w:t>r</w:t>
            </w:r>
            <w:r w:rsidRPr="002A7F45">
              <w:rPr>
                <w:rFonts w:eastAsia="Calibri"/>
                <w:i/>
                <w:sz w:val="18"/>
                <w:szCs w:val="18"/>
              </w:rPr>
              <w:t>equirements</w:t>
            </w:r>
            <w:r>
              <w:rPr>
                <w:rFonts w:eastAsia="Calibri"/>
                <w:i/>
                <w:sz w:val="18"/>
                <w:szCs w:val="18"/>
              </w:rPr>
              <w:t>”</w:t>
            </w:r>
          </w:p>
        </w:tc>
        <w:tc>
          <w:tcPr>
            <w:tcW w:w="1431" w:type="dxa"/>
          </w:tcPr>
          <w:p w14:paraId="2315FA21" w14:textId="1FED0BE7"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5E28DBC0" w14:textId="63998748" w:rsidR="009022C9" w:rsidRPr="002A7F45" w:rsidRDefault="009022C9" w:rsidP="00BE4586">
            <w:pPr>
              <w:keepNext/>
              <w:jc w:val="center"/>
              <w:rPr>
                <w:rFonts w:cs="Arial"/>
                <w:sz w:val="18"/>
                <w:szCs w:val="18"/>
              </w:rPr>
            </w:pPr>
            <w:r>
              <w:rPr>
                <w:rFonts w:cs="Arial"/>
                <w:sz w:val="18"/>
                <w:szCs w:val="18"/>
              </w:rPr>
              <w:t>X</w:t>
            </w:r>
          </w:p>
        </w:tc>
      </w:tr>
      <w:tr w:rsidR="009022C9" w:rsidRPr="008C72FC" w14:paraId="238CCD68" w14:textId="77777777" w:rsidTr="009022C9">
        <w:trPr>
          <w:jc w:val="center"/>
        </w:trPr>
        <w:tc>
          <w:tcPr>
            <w:tcW w:w="6210" w:type="dxa"/>
          </w:tcPr>
          <w:p w14:paraId="3C1B6EB6" w14:textId="38BF05AE" w:rsidR="009022C9" w:rsidRPr="002A7F45" w:rsidRDefault="009022C9" w:rsidP="00703ABD">
            <w:pPr>
              <w:keepNext/>
              <w:rPr>
                <w:rFonts w:eastAsia="Calibri"/>
                <w:i/>
                <w:sz w:val="18"/>
                <w:szCs w:val="18"/>
              </w:rPr>
            </w:pPr>
            <w:r>
              <w:rPr>
                <w:rFonts w:eastAsia="Calibri"/>
                <w:i/>
                <w:sz w:val="18"/>
                <w:szCs w:val="18"/>
              </w:rPr>
              <w:t>Paragraph</w:t>
            </w:r>
            <w:r w:rsidRPr="002A7F45">
              <w:rPr>
                <w:rFonts w:eastAsia="Calibri"/>
                <w:i/>
                <w:sz w:val="18"/>
                <w:szCs w:val="18"/>
              </w:rPr>
              <w:t xml:space="preserve"> 50.155(</w:t>
            </w:r>
            <w:r w:rsidR="00703ABD">
              <w:rPr>
                <w:rFonts w:eastAsia="Calibri"/>
                <w:i/>
                <w:sz w:val="18"/>
                <w:szCs w:val="18"/>
              </w:rPr>
              <w:t>e</w:t>
            </w:r>
            <w:r w:rsidRPr="002A7F45">
              <w:rPr>
                <w:rFonts w:eastAsia="Calibri"/>
                <w:i/>
                <w:sz w:val="18"/>
                <w:szCs w:val="18"/>
              </w:rPr>
              <w:t>)</w:t>
            </w:r>
            <w:r>
              <w:rPr>
                <w:rFonts w:eastAsia="Calibri"/>
                <w:i/>
                <w:sz w:val="18"/>
                <w:szCs w:val="18"/>
              </w:rPr>
              <w:t>,</w:t>
            </w:r>
            <w:r w:rsidRPr="002A7F45">
              <w:rPr>
                <w:rFonts w:eastAsia="Calibri"/>
                <w:i/>
                <w:sz w:val="18"/>
                <w:szCs w:val="18"/>
              </w:rPr>
              <w:t xml:space="preserve"> </w:t>
            </w:r>
            <w:r>
              <w:rPr>
                <w:rFonts w:eastAsia="Calibri"/>
                <w:i/>
                <w:sz w:val="18"/>
                <w:szCs w:val="18"/>
              </w:rPr>
              <w:t>“</w:t>
            </w:r>
            <w:r w:rsidRPr="002A7F45">
              <w:rPr>
                <w:rFonts w:eastAsia="Calibri"/>
                <w:i/>
                <w:sz w:val="18"/>
                <w:szCs w:val="18"/>
              </w:rPr>
              <w:t xml:space="preserve">Spent </w:t>
            </w:r>
            <w:r w:rsidR="00703ABD" w:rsidRPr="002A7F45">
              <w:rPr>
                <w:rFonts w:eastAsia="Calibri"/>
                <w:i/>
                <w:sz w:val="18"/>
                <w:szCs w:val="18"/>
              </w:rPr>
              <w:t>fuel pool monitoring</w:t>
            </w:r>
            <w:r>
              <w:rPr>
                <w:rFonts w:eastAsia="Calibri"/>
                <w:i/>
                <w:sz w:val="18"/>
                <w:szCs w:val="18"/>
              </w:rPr>
              <w:t>”</w:t>
            </w:r>
          </w:p>
        </w:tc>
        <w:tc>
          <w:tcPr>
            <w:tcW w:w="1431" w:type="dxa"/>
          </w:tcPr>
          <w:p w14:paraId="03731476" w14:textId="25356191"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0FB1656D" w14:textId="77777777" w:rsidR="009022C9" w:rsidRPr="002A7F45" w:rsidRDefault="009022C9" w:rsidP="00BE4586">
            <w:pPr>
              <w:keepNext/>
              <w:jc w:val="center"/>
              <w:rPr>
                <w:rFonts w:cs="Arial"/>
                <w:sz w:val="18"/>
                <w:szCs w:val="18"/>
              </w:rPr>
            </w:pPr>
          </w:p>
        </w:tc>
      </w:tr>
      <w:tr w:rsidR="009022C9" w:rsidRPr="008C72FC" w14:paraId="12C1C267" w14:textId="77777777" w:rsidTr="009022C9">
        <w:trPr>
          <w:jc w:val="center"/>
        </w:trPr>
        <w:tc>
          <w:tcPr>
            <w:tcW w:w="6210" w:type="dxa"/>
          </w:tcPr>
          <w:p w14:paraId="76E2B70A" w14:textId="7F39C810" w:rsidR="009022C9" w:rsidRPr="002A7F45" w:rsidRDefault="009022C9" w:rsidP="00703ABD">
            <w:pPr>
              <w:keepNext/>
              <w:rPr>
                <w:rFonts w:eastAsia="Calibri"/>
                <w:i/>
                <w:sz w:val="18"/>
                <w:szCs w:val="18"/>
              </w:rPr>
            </w:pPr>
            <w:r>
              <w:rPr>
                <w:rFonts w:eastAsia="Calibri"/>
                <w:i/>
                <w:sz w:val="18"/>
                <w:szCs w:val="18"/>
              </w:rPr>
              <w:t>Paragraph</w:t>
            </w:r>
            <w:r w:rsidRPr="002A7F45">
              <w:rPr>
                <w:rFonts w:eastAsia="Calibri"/>
                <w:i/>
                <w:sz w:val="18"/>
                <w:szCs w:val="18"/>
              </w:rPr>
              <w:t xml:space="preserve"> 50.155(</w:t>
            </w:r>
            <w:r w:rsidR="00703ABD">
              <w:rPr>
                <w:rFonts w:eastAsia="Calibri"/>
                <w:i/>
                <w:sz w:val="18"/>
                <w:szCs w:val="18"/>
              </w:rPr>
              <w:t>f</w:t>
            </w:r>
            <w:r w:rsidRPr="002A7F45">
              <w:rPr>
                <w:rFonts w:eastAsia="Calibri"/>
                <w:i/>
                <w:sz w:val="18"/>
                <w:szCs w:val="18"/>
              </w:rPr>
              <w:t>)</w:t>
            </w:r>
            <w:r>
              <w:rPr>
                <w:rFonts w:eastAsia="Calibri"/>
                <w:i/>
                <w:sz w:val="18"/>
                <w:szCs w:val="18"/>
              </w:rPr>
              <w:t>,</w:t>
            </w:r>
            <w:r w:rsidRPr="002A7F45">
              <w:rPr>
                <w:rFonts w:eastAsia="Calibri"/>
                <w:i/>
                <w:sz w:val="18"/>
                <w:szCs w:val="18"/>
              </w:rPr>
              <w:t xml:space="preserve"> </w:t>
            </w:r>
            <w:r>
              <w:rPr>
                <w:rFonts w:eastAsia="Calibri"/>
                <w:i/>
                <w:sz w:val="18"/>
                <w:szCs w:val="18"/>
              </w:rPr>
              <w:t>“</w:t>
            </w:r>
            <w:r w:rsidRPr="002A7F45">
              <w:rPr>
                <w:rFonts w:eastAsia="Calibri"/>
                <w:i/>
                <w:sz w:val="18"/>
                <w:szCs w:val="18"/>
              </w:rPr>
              <w:t xml:space="preserve">Documentation of </w:t>
            </w:r>
            <w:r w:rsidR="00703ABD">
              <w:rPr>
                <w:rFonts w:eastAsia="Calibri"/>
                <w:i/>
                <w:sz w:val="18"/>
                <w:szCs w:val="18"/>
              </w:rPr>
              <w:t>c</w:t>
            </w:r>
            <w:r w:rsidRPr="002A7F45">
              <w:rPr>
                <w:rFonts w:eastAsia="Calibri"/>
                <w:i/>
                <w:sz w:val="18"/>
                <w:szCs w:val="18"/>
              </w:rPr>
              <w:t>hanges</w:t>
            </w:r>
            <w:r>
              <w:rPr>
                <w:rFonts w:eastAsia="Calibri"/>
                <w:i/>
                <w:sz w:val="18"/>
                <w:szCs w:val="18"/>
              </w:rPr>
              <w:t>”</w:t>
            </w:r>
          </w:p>
        </w:tc>
        <w:tc>
          <w:tcPr>
            <w:tcW w:w="1431" w:type="dxa"/>
          </w:tcPr>
          <w:p w14:paraId="7294F18B" w14:textId="702B8905" w:rsidR="009022C9" w:rsidRPr="002A7F45" w:rsidRDefault="00703ABD" w:rsidP="00BE4586">
            <w:pPr>
              <w:keepNext/>
              <w:jc w:val="center"/>
              <w:rPr>
                <w:rFonts w:cs="Arial"/>
                <w:sz w:val="18"/>
                <w:szCs w:val="18"/>
              </w:rPr>
            </w:pPr>
            <w:r>
              <w:rPr>
                <w:rFonts w:cs="Arial"/>
                <w:sz w:val="18"/>
                <w:szCs w:val="18"/>
              </w:rPr>
              <w:t>X</w:t>
            </w:r>
          </w:p>
        </w:tc>
        <w:tc>
          <w:tcPr>
            <w:tcW w:w="1167" w:type="dxa"/>
          </w:tcPr>
          <w:p w14:paraId="338F1267" w14:textId="77777777" w:rsidR="009022C9" w:rsidRPr="002A7F45" w:rsidRDefault="009022C9" w:rsidP="00BE4586">
            <w:pPr>
              <w:keepNext/>
              <w:jc w:val="center"/>
              <w:rPr>
                <w:rFonts w:cs="Arial"/>
                <w:sz w:val="18"/>
                <w:szCs w:val="18"/>
              </w:rPr>
            </w:pPr>
          </w:p>
        </w:tc>
      </w:tr>
      <w:tr w:rsidR="009022C9" w:rsidRPr="008C72FC" w14:paraId="1B3F9D00" w14:textId="77777777" w:rsidTr="009022C9">
        <w:trPr>
          <w:jc w:val="center"/>
        </w:trPr>
        <w:tc>
          <w:tcPr>
            <w:tcW w:w="6210" w:type="dxa"/>
          </w:tcPr>
          <w:p w14:paraId="7055B25C" w14:textId="7D8D6419" w:rsidR="009022C9" w:rsidRPr="00E63128" w:rsidRDefault="009022C9" w:rsidP="00703ABD">
            <w:pPr>
              <w:keepNext/>
              <w:rPr>
                <w:rFonts w:eastAsia="Calibri"/>
                <w:i/>
                <w:sz w:val="18"/>
                <w:szCs w:val="18"/>
              </w:rPr>
            </w:pPr>
            <w:r w:rsidRPr="00E63128">
              <w:rPr>
                <w:rFonts w:eastAsia="Calibri"/>
                <w:i/>
                <w:sz w:val="18"/>
                <w:szCs w:val="18"/>
              </w:rPr>
              <w:t>Paragraph 50.155(</w:t>
            </w:r>
            <w:r w:rsidR="00703ABD">
              <w:rPr>
                <w:rFonts w:eastAsia="Calibri"/>
                <w:i/>
                <w:sz w:val="18"/>
                <w:szCs w:val="18"/>
              </w:rPr>
              <w:t>g</w:t>
            </w:r>
            <w:r w:rsidRPr="00E63128">
              <w:rPr>
                <w:rFonts w:eastAsia="Calibri"/>
                <w:i/>
                <w:sz w:val="18"/>
                <w:szCs w:val="18"/>
              </w:rPr>
              <w:t>), “Implementation”</w:t>
            </w:r>
          </w:p>
        </w:tc>
        <w:tc>
          <w:tcPr>
            <w:tcW w:w="1431" w:type="dxa"/>
          </w:tcPr>
          <w:p w14:paraId="22A8580D" w14:textId="40908CC4" w:rsidR="009022C9" w:rsidRPr="00E63128" w:rsidRDefault="009022C9" w:rsidP="00BE4586">
            <w:pPr>
              <w:keepNext/>
              <w:jc w:val="center"/>
              <w:rPr>
                <w:rFonts w:cs="Arial"/>
                <w:sz w:val="18"/>
                <w:szCs w:val="18"/>
              </w:rPr>
            </w:pPr>
            <w:r w:rsidRPr="00E63128">
              <w:rPr>
                <w:rFonts w:cs="Arial"/>
                <w:sz w:val="18"/>
                <w:szCs w:val="18"/>
              </w:rPr>
              <w:t>X</w:t>
            </w:r>
          </w:p>
        </w:tc>
        <w:tc>
          <w:tcPr>
            <w:tcW w:w="1167" w:type="dxa"/>
          </w:tcPr>
          <w:p w14:paraId="489F1D9B" w14:textId="18F1CCFA" w:rsidR="009022C9" w:rsidRPr="00E63128" w:rsidRDefault="009022C9" w:rsidP="00BE4586">
            <w:pPr>
              <w:keepNext/>
              <w:jc w:val="center"/>
              <w:rPr>
                <w:rFonts w:cs="Arial"/>
                <w:sz w:val="18"/>
                <w:szCs w:val="18"/>
              </w:rPr>
            </w:pPr>
            <w:r w:rsidRPr="00E63128">
              <w:rPr>
                <w:rFonts w:cs="Arial"/>
                <w:sz w:val="18"/>
                <w:szCs w:val="18"/>
              </w:rPr>
              <w:t>X</w:t>
            </w:r>
          </w:p>
        </w:tc>
      </w:tr>
      <w:tr w:rsidR="009022C9" w:rsidRPr="008C72FC" w14:paraId="2B4D9EC1" w14:textId="77777777" w:rsidTr="009022C9">
        <w:trPr>
          <w:jc w:val="center"/>
        </w:trPr>
        <w:tc>
          <w:tcPr>
            <w:tcW w:w="6210" w:type="dxa"/>
          </w:tcPr>
          <w:p w14:paraId="73582E24" w14:textId="3F81C33B" w:rsidR="009022C9" w:rsidRPr="00E63128" w:rsidRDefault="009022C9" w:rsidP="00703ABD">
            <w:pPr>
              <w:keepNext/>
              <w:rPr>
                <w:rFonts w:eastAsia="Calibri"/>
                <w:i/>
                <w:sz w:val="18"/>
                <w:szCs w:val="18"/>
              </w:rPr>
            </w:pPr>
            <w:r w:rsidRPr="00E63128">
              <w:rPr>
                <w:rFonts w:eastAsia="Calibri"/>
                <w:i/>
                <w:sz w:val="18"/>
                <w:szCs w:val="18"/>
              </w:rPr>
              <w:t>Paragraph 50.155(</w:t>
            </w:r>
            <w:r w:rsidR="00703ABD">
              <w:rPr>
                <w:rFonts w:eastAsia="Calibri"/>
                <w:i/>
                <w:sz w:val="18"/>
                <w:szCs w:val="18"/>
              </w:rPr>
              <w:t>h</w:t>
            </w:r>
            <w:r w:rsidRPr="00E63128">
              <w:rPr>
                <w:rFonts w:eastAsia="Calibri"/>
                <w:i/>
                <w:sz w:val="18"/>
                <w:szCs w:val="18"/>
              </w:rPr>
              <w:t>)</w:t>
            </w:r>
            <w:r>
              <w:rPr>
                <w:rFonts w:eastAsia="Calibri"/>
                <w:i/>
                <w:sz w:val="18"/>
                <w:szCs w:val="18"/>
              </w:rPr>
              <w:t>,</w:t>
            </w:r>
            <w:r w:rsidRPr="00E63128">
              <w:rPr>
                <w:i/>
                <w:sz w:val="18"/>
                <w:szCs w:val="18"/>
              </w:rPr>
              <w:t xml:space="preserve"> </w:t>
            </w:r>
            <w:r>
              <w:rPr>
                <w:i/>
                <w:sz w:val="18"/>
                <w:szCs w:val="18"/>
              </w:rPr>
              <w:t>“</w:t>
            </w:r>
            <w:r w:rsidR="00703ABD">
              <w:rPr>
                <w:rFonts w:eastAsia="Calibri"/>
                <w:i/>
                <w:sz w:val="18"/>
                <w:szCs w:val="18"/>
              </w:rPr>
              <w:t>Withdrawal</w:t>
            </w:r>
            <w:r w:rsidRPr="00E63128">
              <w:rPr>
                <w:rFonts w:eastAsia="Calibri"/>
                <w:i/>
                <w:sz w:val="18"/>
                <w:szCs w:val="18"/>
              </w:rPr>
              <w:t xml:space="preserve"> of orders and removal of license conditions</w:t>
            </w:r>
            <w:r>
              <w:rPr>
                <w:rFonts w:eastAsia="Calibri"/>
                <w:i/>
                <w:sz w:val="18"/>
                <w:szCs w:val="18"/>
              </w:rPr>
              <w:t>”</w:t>
            </w:r>
          </w:p>
        </w:tc>
        <w:tc>
          <w:tcPr>
            <w:tcW w:w="1431" w:type="dxa"/>
          </w:tcPr>
          <w:p w14:paraId="18EF1F41" w14:textId="4E8DBB09" w:rsidR="009022C9" w:rsidRPr="00E63128" w:rsidRDefault="009022C9" w:rsidP="00BE4586">
            <w:pPr>
              <w:keepNext/>
              <w:jc w:val="center"/>
              <w:rPr>
                <w:rFonts w:cs="Arial"/>
                <w:sz w:val="18"/>
                <w:szCs w:val="18"/>
              </w:rPr>
            </w:pPr>
            <w:r w:rsidRPr="00E63128">
              <w:rPr>
                <w:rFonts w:cs="Arial"/>
                <w:sz w:val="18"/>
                <w:szCs w:val="18"/>
              </w:rPr>
              <w:t>X</w:t>
            </w:r>
          </w:p>
        </w:tc>
        <w:tc>
          <w:tcPr>
            <w:tcW w:w="1167" w:type="dxa"/>
          </w:tcPr>
          <w:p w14:paraId="08010C9D" w14:textId="77777777" w:rsidR="009022C9" w:rsidRPr="00E63128" w:rsidRDefault="009022C9" w:rsidP="00BE4586">
            <w:pPr>
              <w:keepNext/>
              <w:jc w:val="center"/>
              <w:rPr>
                <w:rFonts w:cs="Arial"/>
                <w:sz w:val="18"/>
                <w:szCs w:val="18"/>
              </w:rPr>
            </w:pPr>
          </w:p>
        </w:tc>
      </w:tr>
      <w:tr w:rsidR="009022C9" w:rsidRPr="008C72FC" w14:paraId="4FA5C1BD" w14:textId="77777777" w:rsidTr="009022C9">
        <w:trPr>
          <w:jc w:val="center"/>
        </w:trPr>
        <w:tc>
          <w:tcPr>
            <w:tcW w:w="6210" w:type="dxa"/>
          </w:tcPr>
          <w:p w14:paraId="295E09D9" w14:textId="53F0DB37" w:rsidR="009022C9" w:rsidRPr="00E63128" w:rsidRDefault="009022C9" w:rsidP="00703ABD">
            <w:pPr>
              <w:keepNext/>
              <w:rPr>
                <w:rFonts w:eastAsia="Calibri"/>
                <w:i/>
                <w:sz w:val="18"/>
                <w:szCs w:val="18"/>
              </w:rPr>
            </w:pPr>
            <w:r w:rsidRPr="00E63128">
              <w:rPr>
                <w:rFonts w:eastAsia="Calibri"/>
                <w:i/>
                <w:sz w:val="18"/>
                <w:szCs w:val="18"/>
              </w:rPr>
              <w:t>10 CFR Part 50, Appendix E, Section IV</w:t>
            </w:r>
            <w:r>
              <w:rPr>
                <w:rFonts w:eastAsia="Calibri"/>
                <w:i/>
                <w:sz w:val="18"/>
                <w:szCs w:val="18"/>
              </w:rPr>
              <w:t>.F</w:t>
            </w:r>
            <w:r w:rsidRPr="00E63128">
              <w:rPr>
                <w:rFonts w:eastAsia="Calibri"/>
                <w:i/>
                <w:sz w:val="18"/>
                <w:szCs w:val="18"/>
              </w:rPr>
              <w:t>, “Training”</w:t>
            </w:r>
            <w:r>
              <w:rPr>
                <w:rFonts w:eastAsia="Calibri"/>
                <w:i/>
                <w:sz w:val="18"/>
                <w:szCs w:val="18"/>
              </w:rPr>
              <w:t xml:space="preserve"> (moved EDMG training requirement element to 10 CFR 50.155(</w:t>
            </w:r>
            <w:r w:rsidR="00703ABD">
              <w:rPr>
                <w:rFonts w:eastAsia="Calibri"/>
                <w:i/>
                <w:sz w:val="18"/>
                <w:szCs w:val="18"/>
              </w:rPr>
              <w:t>d</w:t>
            </w:r>
            <w:r>
              <w:rPr>
                <w:rFonts w:eastAsia="Calibri"/>
                <w:i/>
                <w:sz w:val="18"/>
                <w:szCs w:val="18"/>
              </w:rPr>
              <w:t>))</w:t>
            </w:r>
          </w:p>
        </w:tc>
        <w:tc>
          <w:tcPr>
            <w:tcW w:w="1431" w:type="dxa"/>
          </w:tcPr>
          <w:p w14:paraId="17AC8D6C" w14:textId="513475CF" w:rsidR="009022C9" w:rsidRPr="00E63128" w:rsidRDefault="00703ABD" w:rsidP="00BE4586">
            <w:pPr>
              <w:keepNext/>
              <w:jc w:val="center"/>
              <w:rPr>
                <w:rFonts w:cs="Arial"/>
                <w:sz w:val="18"/>
                <w:szCs w:val="18"/>
              </w:rPr>
            </w:pPr>
            <w:r>
              <w:rPr>
                <w:rFonts w:cs="Arial"/>
                <w:sz w:val="18"/>
                <w:szCs w:val="18"/>
              </w:rPr>
              <w:t>X</w:t>
            </w:r>
          </w:p>
        </w:tc>
        <w:tc>
          <w:tcPr>
            <w:tcW w:w="1167" w:type="dxa"/>
          </w:tcPr>
          <w:p w14:paraId="6ADA3164" w14:textId="77777777" w:rsidR="009022C9" w:rsidRPr="00E63128" w:rsidRDefault="009022C9" w:rsidP="00BE4586">
            <w:pPr>
              <w:keepNext/>
              <w:jc w:val="center"/>
              <w:rPr>
                <w:rFonts w:cs="Arial"/>
                <w:sz w:val="18"/>
                <w:szCs w:val="18"/>
              </w:rPr>
            </w:pPr>
          </w:p>
        </w:tc>
      </w:tr>
      <w:tr w:rsidR="009022C9" w:rsidRPr="008C72FC" w14:paraId="2B01B6FF" w14:textId="77777777" w:rsidTr="009022C9">
        <w:trPr>
          <w:jc w:val="center"/>
        </w:trPr>
        <w:tc>
          <w:tcPr>
            <w:tcW w:w="6210" w:type="dxa"/>
          </w:tcPr>
          <w:p w14:paraId="6EAE4A95" w14:textId="32BD389D" w:rsidR="009022C9" w:rsidRPr="00E63128" w:rsidRDefault="009022C9" w:rsidP="00703ABD">
            <w:pPr>
              <w:rPr>
                <w:rFonts w:eastAsia="Calibri"/>
                <w:i/>
                <w:sz w:val="18"/>
                <w:szCs w:val="18"/>
              </w:rPr>
            </w:pPr>
            <w:r w:rsidRPr="00E63128">
              <w:rPr>
                <w:rFonts w:eastAsia="Calibri"/>
                <w:i/>
                <w:sz w:val="18"/>
                <w:szCs w:val="18"/>
              </w:rPr>
              <w:t>10 CFR Part 50, Appendix E, Section VI, “Emergency Response Data System”</w:t>
            </w:r>
            <w:r>
              <w:rPr>
                <w:rFonts w:eastAsia="Calibri"/>
                <w:i/>
                <w:sz w:val="18"/>
                <w:szCs w:val="18"/>
              </w:rPr>
              <w:t xml:space="preserve"> (administratively </w:t>
            </w:r>
            <w:r w:rsidR="00703ABD">
              <w:rPr>
                <w:rFonts w:eastAsia="Calibri"/>
                <w:i/>
                <w:sz w:val="18"/>
                <w:szCs w:val="18"/>
              </w:rPr>
              <w:t>replaced</w:t>
            </w:r>
            <w:r>
              <w:rPr>
                <w:rFonts w:eastAsia="Calibri"/>
                <w:i/>
                <w:sz w:val="18"/>
                <w:szCs w:val="18"/>
              </w:rPr>
              <w:t xml:space="preserve"> the </w:t>
            </w:r>
            <w:r w:rsidR="00703ABD">
              <w:rPr>
                <w:rFonts w:eastAsia="Calibri"/>
                <w:i/>
                <w:sz w:val="18"/>
                <w:szCs w:val="18"/>
              </w:rPr>
              <w:t>phrase</w:t>
            </w:r>
            <w:r>
              <w:rPr>
                <w:rFonts w:eastAsia="Calibri"/>
                <w:i/>
                <w:sz w:val="18"/>
                <w:szCs w:val="18"/>
              </w:rPr>
              <w:t xml:space="preserve"> “</w:t>
            </w:r>
            <w:r w:rsidR="00703ABD">
              <w:rPr>
                <w:rFonts w:eastAsia="Calibri"/>
                <w:i/>
                <w:sz w:val="18"/>
                <w:szCs w:val="18"/>
              </w:rPr>
              <w:t xml:space="preserve">onsite </w:t>
            </w:r>
            <w:r>
              <w:rPr>
                <w:rFonts w:eastAsia="Calibri"/>
                <w:i/>
                <w:sz w:val="18"/>
                <w:szCs w:val="18"/>
              </w:rPr>
              <w:t>modem”</w:t>
            </w:r>
            <w:r w:rsidR="00703ABD">
              <w:rPr>
                <w:rFonts w:eastAsia="Calibri"/>
                <w:i/>
                <w:sz w:val="18"/>
                <w:szCs w:val="18"/>
              </w:rPr>
              <w:t xml:space="preserve"> and removed the word “unit”</w:t>
            </w:r>
            <w:r>
              <w:rPr>
                <w:rFonts w:eastAsia="Calibri"/>
                <w:i/>
                <w:sz w:val="18"/>
                <w:szCs w:val="18"/>
              </w:rPr>
              <w:t>)</w:t>
            </w:r>
          </w:p>
        </w:tc>
        <w:tc>
          <w:tcPr>
            <w:tcW w:w="1431" w:type="dxa"/>
          </w:tcPr>
          <w:p w14:paraId="2F701C68" w14:textId="64985CBD" w:rsidR="009022C9" w:rsidRPr="00E63128" w:rsidRDefault="00703ABD" w:rsidP="008C72FC">
            <w:pPr>
              <w:jc w:val="center"/>
              <w:rPr>
                <w:rFonts w:cs="Arial"/>
                <w:sz w:val="18"/>
                <w:szCs w:val="18"/>
              </w:rPr>
            </w:pPr>
            <w:r>
              <w:rPr>
                <w:rFonts w:cs="Arial"/>
                <w:sz w:val="18"/>
                <w:szCs w:val="18"/>
              </w:rPr>
              <w:t>X</w:t>
            </w:r>
          </w:p>
        </w:tc>
        <w:tc>
          <w:tcPr>
            <w:tcW w:w="1167" w:type="dxa"/>
          </w:tcPr>
          <w:p w14:paraId="144EB851" w14:textId="77777777" w:rsidR="009022C9" w:rsidRPr="00E63128" w:rsidRDefault="009022C9" w:rsidP="008C72FC">
            <w:pPr>
              <w:jc w:val="center"/>
              <w:rPr>
                <w:rFonts w:cs="Arial"/>
                <w:sz w:val="18"/>
                <w:szCs w:val="18"/>
              </w:rPr>
            </w:pPr>
          </w:p>
        </w:tc>
      </w:tr>
      <w:tr w:rsidR="009022C9" w:rsidRPr="008C72FC" w14:paraId="0DB0FD9E" w14:textId="77777777" w:rsidTr="009022C9">
        <w:trPr>
          <w:jc w:val="center"/>
        </w:trPr>
        <w:tc>
          <w:tcPr>
            <w:tcW w:w="6210" w:type="dxa"/>
          </w:tcPr>
          <w:p w14:paraId="4652BAC0" w14:textId="21FC21CA" w:rsidR="009022C9" w:rsidRPr="00E63128" w:rsidRDefault="009022C9" w:rsidP="00FA66F0">
            <w:pPr>
              <w:rPr>
                <w:rFonts w:eastAsia="Calibri"/>
                <w:i/>
                <w:sz w:val="18"/>
                <w:szCs w:val="18"/>
              </w:rPr>
            </w:pPr>
            <w:r w:rsidRPr="00E63128">
              <w:rPr>
                <w:rFonts w:eastAsia="Calibri"/>
                <w:i/>
                <w:sz w:val="18"/>
                <w:szCs w:val="18"/>
              </w:rPr>
              <w:t>Section 52.80, “Contents of Applications; Additional Technical Information”</w:t>
            </w:r>
          </w:p>
        </w:tc>
        <w:tc>
          <w:tcPr>
            <w:tcW w:w="1431" w:type="dxa"/>
          </w:tcPr>
          <w:p w14:paraId="6ED32692" w14:textId="6523F836" w:rsidR="009022C9" w:rsidRPr="00E63128" w:rsidRDefault="009022C9" w:rsidP="008C72FC">
            <w:pPr>
              <w:jc w:val="center"/>
              <w:rPr>
                <w:rFonts w:cs="Arial"/>
                <w:sz w:val="18"/>
                <w:szCs w:val="18"/>
              </w:rPr>
            </w:pPr>
            <w:r>
              <w:rPr>
                <w:rFonts w:cs="Arial"/>
                <w:sz w:val="18"/>
                <w:szCs w:val="18"/>
              </w:rPr>
              <w:t>X</w:t>
            </w:r>
          </w:p>
        </w:tc>
        <w:tc>
          <w:tcPr>
            <w:tcW w:w="1167" w:type="dxa"/>
          </w:tcPr>
          <w:p w14:paraId="657D2994" w14:textId="2FF627A7" w:rsidR="009022C9" w:rsidRPr="00E63128" w:rsidRDefault="009022C9" w:rsidP="008C72FC">
            <w:pPr>
              <w:jc w:val="center"/>
              <w:rPr>
                <w:rFonts w:cs="Arial"/>
                <w:sz w:val="18"/>
                <w:szCs w:val="18"/>
              </w:rPr>
            </w:pPr>
            <w:r>
              <w:rPr>
                <w:rFonts w:cs="Arial"/>
                <w:sz w:val="18"/>
                <w:szCs w:val="18"/>
              </w:rPr>
              <w:t>X</w:t>
            </w:r>
          </w:p>
        </w:tc>
      </w:tr>
    </w:tbl>
    <w:p w14:paraId="1DF534B9" w14:textId="156FABEE" w:rsidR="0007700A" w:rsidRDefault="0007700A" w:rsidP="0007700A">
      <w:pPr>
        <w:rPr>
          <w:rFonts w:cs="Arial"/>
          <w:sz w:val="22"/>
        </w:rPr>
      </w:pPr>
    </w:p>
    <w:p w14:paraId="00CE8C0E" w14:textId="3EF96C96" w:rsidR="00C93E42" w:rsidRPr="00AE33E8" w:rsidRDefault="00A02947" w:rsidP="0007700A">
      <w:pPr>
        <w:rPr>
          <w:rFonts w:cs="Arial"/>
          <w:sz w:val="22"/>
        </w:rPr>
      </w:pPr>
      <w:r>
        <w:rPr>
          <w:rFonts w:cs="Arial"/>
          <w:sz w:val="22"/>
        </w:rPr>
        <w:t>Exhibit 3-</w:t>
      </w:r>
      <w:r w:rsidR="00194DB1">
        <w:rPr>
          <w:rFonts w:cs="Arial"/>
          <w:sz w:val="22"/>
        </w:rPr>
        <w:t>7</w:t>
      </w:r>
      <w:r>
        <w:rPr>
          <w:rFonts w:cs="Arial"/>
          <w:sz w:val="22"/>
        </w:rPr>
        <w:t xml:space="preserve"> summarizes t</w:t>
      </w:r>
      <w:r w:rsidR="00C93E42">
        <w:rPr>
          <w:rFonts w:cs="Arial"/>
          <w:sz w:val="22"/>
        </w:rPr>
        <w:t>he estimated total costs to implement each of the stated regulatory objectives.</w:t>
      </w:r>
    </w:p>
    <w:p w14:paraId="7F9819A5" w14:textId="3FAFA4F7" w:rsidR="00A70EBF" w:rsidRDefault="00A70EBF" w:rsidP="005547CF">
      <w:pPr>
        <w:pStyle w:val="Exhibit"/>
      </w:pPr>
      <w:bookmarkStart w:id="260" w:name="_Toc532457269"/>
      <w:r>
        <w:t>Exhibit 3-</w:t>
      </w:r>
      <w:r w:rsidR="00194DB1">
        <w:t>7</w:t>
      </w:r>
      <w:r w:rsidR="000E1083">
        <w:tab/>
      </w:r>
      <w:r>
        <w:t>Disaggregated Cost-Benefit of the Final Rule</w:t>
      </w:r>
      <w:r w:rsidR="00A443A8">
        <w:t xml:space="preserve"> Regulatory </w:t>
      </w:r>
      <w:r w:rsidR="004A317A">
        <w:t>Objectives</w:t>
      </w:r>
      <w:bookmarkEnd w:id="260"/>
    </w:p>
    <w:tbl>
      <w:tblPr>
        <w:tblStyle w:val="TableGrid"/>
        <w:tblW w:w="9887" w:type="dxa"/>
        <w:tblInd w:w="-95" w:type="dxa"/>
        <w:tblLayout w:type="fixed"/>
        <w:tblLook w:val="04A0" w:firstRow="1" w:lastRow="0" w:firstColumn="1" w:lastColumn="0" w:noHBand="0" w:noVBand="1"/>
      </w:tblPr>
      <w:tblGrid>
        <w:gridCol w:w="2250"/>
        <w:gridCol w:w="1440"/>
        <w:gridCol w:w="1440"/>
        <w:gridCol w:w="1530"/>
        <w:gridCol w:w="3227"/>
      </w:tblGrid>
      <w:tr w:rsidR="00A70EBF" w:rsidRPr="00BC7151" w14:paraId="65ABD9AB" w14:textId="77777777" w:rsidTr="008A2805">
        <w:trPr>
          <w:trHeight w:val="341"/>
          <w:tblHeader/>
        </w:trPr>
        <w:tc>
          <w:tcPr>
            <w:tcW w:w="2250" w:type="dxa"/>
            <w:vMerge w:val="restart"/>
            <w:vAlign w:val="center"/>
          </w:tcPr>
          <w:p w14:paraId="1589E205" w14:textId="52869CD4" w:rsidR="00A70EBF" w:rsidRPr="00A970D4" w:rsidDel="003A6696" w:rsidRDefault="00A70EBF" w:rsidP="00BE4586">
            <w:pPr>
              <w:keepNext/>
              <w:widowControl w:val="0"/>
              <w:jc w:val="center"/>
              <w:rPr>
                <w:b/>
                <w:sz w:val="18"/>
                <w:szCs w:val="18"/>
              </w:rPr>
            </w:pPr>
            <w:r w:rsidRPr="00A970D4">
              <w:rPr>
                <w:b/>
                <w:sz w:val="18"/>
                <w:szCs w:val="18"/>
              </w:rPr>
              <w:t xml:space="preserve">Regulatory </w:t>
            </w:r>
            <w:r w:rsidR="004A317A" w:rsidRPr="00A970D4">
              <w:rPr>
                <w:b/>
                <w:sz w:val="18"/>
                <w:szCs w:val="18"/>
              </w:rPr>
              <w:t>Objective</w:t>
            </w:r>
          </w:p>
        </w:tc>
        <w:tc>
          <w:tcPr>
            <w:tcW w:w="4410" w:type="dxa"/>
            <w:gridSpan w:val="3"/>
            <w:vAlign w:val="center"/>
          </w:tcPr>
          <w:p w14:paraId="403D9286" w14:textId="175C6B3A" w:rsidR="00A70EBF" w:rsidRPr="00A970D4" w:rsidRDefault="00FA6922" w:rsidP="00BE4586">
            <w:pPr>
              <w:keepNext/>
              <w:widowControl w:val="0"/>
              <w:jc w:val="center"/>
              <w:rPr>
                <w:b/>
                <w:sz w:val="18"/>
                <w:szCs w:val="18"/>
              </w:rPr>
            </w:pPr>
            <w:r>
              <w:rPr>
                <w:b/>
                <w:sz w:val="18"/>
                <w:szCs w:val="18"/>
              </w:rPr>
              <w:t>Current Dollars</w:t>
            </w:r>
          </w:p>
        </w:tc>
        <w:tc>
          <w:tcPr>
            <w:tcW w:w="3227" w:type="dxa"/>
            <w:vMerge w:val="restart"/>
            <w:vAlign w:val="center"/>
          </w:tcPr>
          <w:p w14:paraId="2B61E571" w14:textId="4E919EB1" w:rsidR="00A70EBF" w:rsidRPr="00A970D4" w:rsidRDefault="00A70EBF" w:rsidP="00BE4586">
            <w:pPr>
              <w:keepNext/>
              <w:widowControl w:val="0"/>
              <w:jc w:val="center"/>
              <w:rPr>
                <w:b/>
                <w:sz w:val="18"/>
                <w:szCs w:val="18"/>
              </w:rPr>
            </w:pPr>
            <w:r w:rsidRPr="00A970D4">
              <w:rPr>
                <w:b/>
                <w:sz w:val="18"/>
                <w:szCs w:val="18"/>
              </w:rPr>
              <w:t>Estimated Benefit</w:t>
            </w:r>
          </w:p>
        </w:tc>
      </w:tr>
      <w:tr w:rsidR="00A70EBF" w:rsidRPr="00061014" w14:paraId="1B40ED19" w14:textId="77777777" w:rsidTr="008A2805">
        <w:trPr>
          <w:trHeight w:val="341"/>
          <w:tblHeader/>
        </w:trPr>
        <w:tc>
          <w:tcPr>
            <w:tcW w:w="2250" w:type="dxa"/>
            <w:vMerge/>
            <w:vAlign w:val="center"/>
          </w:tcPr>
          <w:p w14:paraId="0CCA691D" w14:textId="77777777" w:rsidR="00A70EBF" w:rsidRPr="00A970D4" w:rsidRDefault="00A70EBF" w:rsidP="0031052A">
            <w:pPr>
              <w:keepNext/>
              <w:widowControl w:val="0"/>
              <w:rPr>
                <w:b/>
                <w:sz w:val="18"/>
                <w:szCs w:val="18"/>
              </w:rPr>
            </w:pPr>
          </w:p>
        </w:tc>
        <w:tc>
          <w:tcPr>
            <w:tcW w:w="1440" w:type="dxa"/>
            <w:vAlign w:val="center"/>
          </w:tcPr>
          <w:p w14:paraId="4C2F37E7" w14:textId="77777777" w:rsidR="00A70EBF" w:rsidRPr="003A3F88" w:rsidRDefault="00A70EBF" w:rsidP="0031052A">
            <w:pPr>
              <w:keepNext/>
              <w:widowControl w:val="0"/>
              <w:jc w:val="center"/>
              <w:rPr>
                <w:b/>
                <w:sz w:val="18"/>
                <w:szCs w:val="18"/>
              </w:rPr>
            </w:pPr>
            <w:r w:rsidRPr="003A3F88">
              <w:rPr>
                <w:b/>
                <w:sz w:val="18"/>
                <w:szCs w:val="18"/>
              </w:rPr>
              <w:t>5%</w:t>
            </w:r>
          </w:p>
        </w:tc>
        <w:tc>
          <w:tcPr>
            <w:tcW w:w="1440" w:type="dxa"/>
            <w:vAlign w:val="center"/>
          </w:tcPr>
          <w:p w14:paraId="4A8085DD" w14:textId="77777777" w:rsidR="00A70EBF" w:rsidRPr="003A3F88" w:rsidRDefault="00A70EBF" w:rsidP="0031052A">
            <w:pPr>
              <w:keepNext/>
              <w:widowControl w:val="0"/>
              <w:jc w:val="center"/>
              <w:rPr>
                <w:b/>
                <w:sz w:val="18"/>
                <w:szCs w:val="18"/>
              </w:rPr>
            </w:pPr>
            <w:r w:rsidRPr="003A3F88">
              <w:rPr>
                <w:b/>
                <w:sz w:val="18"/>
                <w:szCs w:val="18"/>
              </w:rPr>
              <w:t>Mean</w:t>
            </w:r>
          </w:p>
        </w:tc>
        <w:tc>
          <w:tcPr>
            <w:tcW w:w="1530" w:type="dxa"/>
            <w:vAlign w:val="center"/>
          </w:tcPr>
          <w:p w14:paraId="3F9C4D2C" w14:textId="77777777" w:rsidR="00A70EBF" w:rsidRPr="003A3F88" w:rsidRDefault="00A70EBF" w:rsidP="0031052A">
            <w:pPr>
              <w:keepNext/>
              <w:widowControl w:val="0"/>
              <w:jc w:val="center"/>
              <w:rPr>
                <w:b/>
                <w:sz w:val="18"/>
                <w:szCs w:val="18"/>
              </w:rPr>
            </w:pPr>
            <w:r w:rsidRPr="003A3F88">
              <w:rPr>
                <w:b/>
                <w:sz w:val="18"/>
                <w:szCs w:val="18"/>
              </w:rPr>
              <w:t>95%</w:t>
            </w:r>
          </w:p>
        </w:tc>
        <w:tc>
          <w:tcPr>
            <w:tcW w:w="3227" w:type="dxa"/>
            <w:vMerge/>
            <w:vAlign w:val="center"/>
          </w:tcPr>
          <w:p w14:paraId="6A495B50" w14:textId="77777777" w:rsidR="00A70EBF" w:rsidRPr="00A970D4" w:rsidRDefault="00A70EBF" w:rsidP="0031052A">
            <w:pPr>
              <w:keepNext/>
              <w:widowControl w:val="0"/>
              <w:jc w:val="center"/>
              <w:rPr>
                <w:b/>
                <w:sz w:val="18"/>
                <w:szCs w:val="18"/>
              </w:rPr>
            </w:pPr>
          </w:p>
        </w:tc>
      </w:tr>
      <w:tr w:rsidR="00A970D4" w:rsidRPr="00061014" w14:paraId="3CC03AA2" w14:textId="77777777" w:rsidTr="008A2805">
        <w:trPr>
          <w:trHeight w:val="1032"/>
        </w:trPr>
        <w:tc>
          <w:tcPr>
            <w:tcW w:w="2250" w:type="dxa"/>
            <w:shd w:val="clear" w:color="auto" w:fill="auto"/>
            <w:vAlign w:val="center"/>
          </w:tcPr>
          <w:p w14:paraId="24D4942D" w14:textId="2FA694D9" w:rsidR="00A970D4" w:rsidRPr="00A970D4" w:rsidRDefault="00A970D4" w:rsidP="00BE4586">
            <w:pPr>
              <w:pStyle w:val="ListParagraph"/>
              <w:keepNext/>
              <w:numPr>
                <w:ilvl w:val="0"/>
                <w:numId w:val="25"/>
              </w:numPr>
              <w:ind w:left="337" w:hanging="337"/>
              <w:rPr>
                <w:rFonts w:cs="Arial"/>
                <w:bCs/>
                <w:sz w:val="18"/>
                <w:szCs w:val="18"/>
              </w:rPr>
            </w:pPr>
            <w:r w:rsidRPr="00A970D4">
              <w:rPr>
                <w:rFonts w:cs="Arial"/>
                <w:bCs/>
                <w:sz w:val="18"/>
                <w:szCs w:val="18"/>
              </w:rPr>
              <w:t>Make the requirements in Order EA-12-049 and Order</w:t>
            </w:r>
            <w:r w:rsidR="00A02947">
              <w:rPr>
                <w:rFonts w:cs="Arial"/>
                <w:bCs/>
                <w:sz w:val="18"/>
                <w:szCs w:val="18"/>
              </w:rPr>
              <w:t> </w:t>
            </w:r>
            <w:r w:rsidRPr="00A970D4">
              <w:rPr>
                <w:rFonts w:cs="Arial"/>
                <w:bCs/>
                <w:sz w:val="18"/>
                <w:szCs w:val="18"/>
              </w:rPr>
              <w:t>EA</w:t>
            </w:r>
            <w:r w:rsidR="00A02947">
              <w:rPr>
                <w:rFonts w:cs="Arial"/>
                <w:bCs/>
                <w:sz w:val="18"/>
                <w:szCs w:val="18"/>
              </w:rPr>
              <w:noBreakHyphen/>
            </w:r>
            <w:r w:rsidRPr="00A970D4">
              <w:rPr>
                <w:rFonts w:cs="Arial"/>
                <w:bCs/>
                <w:sz w:val="18"/>
                <w:szCs w:val="18"/>
              </w:rPr>
              <w:t>12</w:t>
            </w:r>
            <w:r w:rsidR="00A02947">
              <w:rPr>
                <w:rFonts w:cs="Arial"/>
                <w:bCs/>
                <w:sz w:val="18"/>
                <w:szCs w:val="18"/>
              </w:rPr>
              <w:noBreakHyphen/>
            </w:r>
            <w:r w:rsidRPr="00A970D4">
              <w:rPr>
                <w:rFonts w:cs="Arial"/>
                <w:bCs/>
                <w:sz w:val="18"/>
                <w:szCs w:val="18"/>
              </w:rPr>
              <w:t>051 generically applicable</w:t>
            </w:r>
          </w:p>
        </w:tc>
        <w:tc>
          <w:tcPr>
            <w:tcW w:w="1440" w:type="dxa"/>
            <w:vAlign w:val="center"/>
          </w:tcPr>
          <w:p w14:paraId="0A454FC1" w14:textId="40D09937" w:rsidR="00A970D4" w:rsidRPr="00A970D4" w:rsidRDefault="00A970D4" w:rsidP="009022C9">
            <w:pPr>
              <w:keepNext/>
              <w:widowControl w:val="0"/>
              <w:jc w:val="center"/>
              <w:rPr>
                <w:sz w:val="18"/>
                <w:szCs w:val="18"/>
              </w:rPr>
            </w:pPr>
            <w:r w:rsidRPr="00A970D4">
              <w:rPr>
                <w:rFonts w:cs="Arial"/>
                <w:sz w:val="18"/>
                <w:szCs w:val="18"/>
              </w:rPr>
              <w:t>($</w:t>
            </w:r>
            <w:r w:rsidR="009022C9">
              <w:rPr>
                <w:rFonts w:cs="Arial"/>
                <w:sz w:val="18"/>
                <w:szCs w:val="18"/>
              </w:rPr>
              <w:t>8,5</w:t>
            </w:r>
            <w:r w:rsidRPr="00A970D4">
              <w:rPr>
                <w:rFonts w:cs="Arial"/>
                <w:sz w:val="18"/>
                <w:szCs w:val="18"/>
              </w:rPr>
              <w:t>00</w:t>
            </w:r>
            <w:r w:rsidR="00D713F8">
              <w:rPr>
                <w:rFonts w:cs="Arial"/>
                <w:sz w:val="18"/>
                <w:szCs w:val="18"/>
              </w:rPr>
              <w:t>,</w:t>
            </w:r>
            <w:r w:rsidRPr="00A970D4">
              <w:rPr>
                <w:rFonts w:cs="Arial"/>
                <w:sz w:val="18"/>
                <w:szCs w:val="18"/>
              </w:rPr>
              <w:t>000)</w:t>
            </w:r>
          </w:p>
        </w:tc>
        <w:tc>
          <w:tcPr>
            <w:tcW w:w="1440" w:type="dxa"/>
            <w:shd w:val="clear" w:color="auto" w:fill="auto"/>
            <w:vAlign w:val="center"/>
          </w:tcPr>
          <w:p w14:paraId="20114494" w14:textId="5FA27293" w:rsidR="00A970D4" w:rsidRPr="00A970D4" w:rsidRDefault="00A970D4" w:rsidP="00FA6922">
            <w:pPr>
              <w:keepNext/>
              <w:widowControl w:val="0"/>
              <w:jc w:val="center"/>
              <w:rPr>
                <w:sz w:val="18"/>
                <w:szCs w:val="18"/>
              </w:rPr>
            </w:pPr>
            <w:r w:rsidRPr="00A970D4">
              <w:rPr>
                <w:rFonts w:cs="Arial"/>
                <w:sz w:val="18"/>
                <w:szCs w:val="18"/>
              </w:rPr>
              <w:t>($7</w:t>
            </w:r>
            <w:r w:rsidR="00D713F8">
              <w:rPr>
                <w:rFonts w:cs="Arial"/>
                <w:sz w:val="18"/>
                <w:szCs w:val="18"/>
              </w:rPr>
              <w:t>,</w:t>
            </w:r>
            <w:r w:rsidR="00FA6922">
              <w:rPr>
                <w:rFonts w:cs="Arial"/>
                <w:sz w:val="18"/>
                <w:szCs w:val="18"/>
              </w:rPr>
              <w:t>2</w:t>
            </w:r>
            <w:r>
              <w:rPr>
                <w:rFonts w:cs="Arial"/>
                <w:sz w:val="18"/>
                <w:szCs w:val="18"/>
              </w:rPr>
              <w:t>0</w:t>
            </w:r>
            <w:r w:rsidR="00272931">
              <w:rPr>
                <w:rFonts w:cs="Arial"/>
                <w:sz w:val="18"/>
                <w:szCs w:val="18"/>
              </w:rPr>
              <w:t>0</w:t>
            </w:r>
            <w:r w:rsidR="00D713F8">
              <w:rPr>
                <w:rFonts w:cs="Arial"/>
                <w:sz w:val="18"/>
                <w:szCs w:val="18"/>
              </w:rPr>
              <w:t>,</w:t>
            </w:r>
            <w:r>
              <w:rPr>
                <w:rFonts w:cs="Arial"/>
                <w:sz w:val="18"/>
                <w:szCs w:val="18"/>
              </w:rPr>
              <w:t>000</w:t>
            </w:r>
            <w:r w:rsidRPr="00A970D4">
              <w:rPr>
                <w:rFonts w:cs="Arial"/>
                <w:sz w:val="18"/>
                <w:szCs w:val="18"/>
              </w:rPr>
              <w:t>)</w:t>
            </w:r>
          </w:p>
        </w:tc>
        <w:tc>
          <w:tcPr>
            <w:tcW w:w="1530" w:type="dxa"/>
            <w:shd w:val="clear" w:color="auto" w:fill="auto"/>
            <w:vAlign w:val="center"/>
          </w:tcPr>
          <w:p w14:paraId="5180B4B6" w14:textId="2DAD44FF" w:rsidR="00A970D4" w:rsidRPr="00A970D4" w:rsidRDefault="00A970D4" w:rsidP="00BE4586">
            <w:pPr>
              <w:keepNext/>
              <w:widowControl w:val="0"/>
              <w:jc w:val="center"/>
              <w:rPr>
                <w:sz w:val="18"/>
                <w:szCs w:val="18"/>
              </w:rPr>
            </w:pPr>
            <w:r w:rsidRPr="00A970D4">
              <w:rPr>
                <w:rFonts w:cs="Arial"/>
                <w:sz w:val="18"/>
                <w:szCs w:val="18"/>
              </w:rPr>
              <w:t>($5</w:t>
            </w:r>
            <w:r w:rsidR="00D713F8">
              <w:rPr>
                <w:rFonts w:cs="Arial"/>
                <w:sz w:val="18"/>
                <w:szCs w:val="18"/>
              </w:rPr>
              <w:t>,</w:t>
            </w:r>
            <w:r w:rsidRPr="00A970D4">
              <w:rPr>
                <w:rFonts w:cs="Arial"/>
                <w:sz w:val="18"/>
                <w:szCs w:val="18"/>
              </w:rPr>
              <w:t>800</w:t>
            </w:r>
            <w:r w:rsidR="00D713F8">
              <w:rPr>
                <w:rFonts w:cs="Arial"/>
                <w:sz w:val="18"/>
                <w:szCs w:val="18"/>
              </w:rPr>
              <w:t>,</w:t>
            </w:r>
            <w:r w:rsidRPr="00A970D4">
              <w:rPr>
                <w:rFonts w:cs="Arial"/>
                <w:sz w:val="18"/>
                <w:szCs w:val="18"/>
              </w:rPr>
              <w:t>000)</w:t>
            </w:r>
          </w:p>
        </w:tc>
        <w:tc>
          <w:tcPr>
            <w:tcW w:w="3227" w:type="dxa"/>
            <w:shd w:val="clear" w:color="auto" w:fill="auto"/>
            <w:vAlign w:val="center"/>
          </w:tcPr>
          <w:p w14:paraId="51A186E1" w14:textId="23BB0C7C" w:rsidR="00A970D4" w:rsidRPr="00A970D4" w:rsidRDefault="00A970D4" w:rsidP="00BE4586">
            <w:pPr>
              <w:keepNext/>
              <w:widowControl w:val="0"/>
              <w:rPr>
                <w:sz w:val="18"/>
                <w:szCs w:val="18"/>
              </w:rPr>
            </w:pPr>
            <w:r w:rsidRPr="00A970D4">
              <w:rPr>
                <w:sz w:val="18"/>
                <w:szCs w:val="18"/>
              </w:rPr>
              <w:t>Regulatory efficiency</w:t>
            </w:r>
          </w:p>
        </w:tc>
      </w:tr>
      <w:tr w:rsidR="00AE33E8" w:rsidRPr="00061014" w14:paraId="2F842AB6" w14:textId="77777777" w:rsidTr="008A2805">
        <w:trPr>
          <w:trHeight w:val="1230"/>
        </w:trPr>
        <w:tc>
          <w:tcPr>
            <w:tcW w:w="2250" w:type="dxa"/>
            <w:shd w:val="clear" w:color="auto" w:fill="auto"/>
            <w:vAlign w:val="center"/>
          </w:tcPr>
          <w:p w14:paraId="77062C02" w14:textId="757A1E62" w:rsidR="00AE33E8" w:rsidRPr="00A970D4" w:rsidRDefault="00AE33E8" w:rsidP="009B308C">
            <w:pPr>
              <w:pStyle w:val="ListParagraph"/>
              <w:widowControl w:val="0"/>
              <w:numPr>
                <w:ilvl w:val="0"/>
                <w:numId w:val="25"/>
              </w:numPr>
              <w:ind w:left="337"/>
              <w:rPr>
                <w:rFonts w:cs="Arial"/>
                <w:sz w:val="18"/>
                <w:szCs w:val="18"/>
              </w:rPr>
            </w:pPr>
            <w:r w:rsidRPr="00A970D4">
              <w:rPr>
                <w:rFonts w:cs="Arial"/>
                <w:sz w:val="18"/>
                <w:szCs w:val="18"/>
              </w:rPr>
              <w:t>Address a number of petitions for rulemaking submitted to the NRC following the March 2011 Fukushima Dai-ichi event</w:t>
            </w:r>
          </w:p>
        </w:tc>
        <w:tc>
          <w:tcPr>
            <w:tcW w:w="4410" w:type="dxa"/>
            <w:gridSpan w:val="3"/>
            <w:vAlign w:val="center"/>
          </w:tcPr>
          <w:p w14:paraId="2D1387D7" w14:textId="1389ACE8" w:rsidR="00AE33E8" w:rsidRPr="00A970D4" w:rsidRDefault="00AE33E8" w:rsidP="008C72FC">
            <w:pPr>
              <w:widowControl w:val="0"/>
              <w:jc w:val="center"/>
              <w:rPr>
                <w:sz w:val="18"/>
                <w:szCs w:val="18"/>
              </w:rPr>
            </w:pPr>
            <w:r w:rsidRPr="00A970D4">
              <w:rPr>
                <w:sz w:val="18"/>
                <w:szCs w:val="18"/>
              </w:rPr>
              <w:t>Same as regulatory objective 1</w:t>
            </w:r>
          </w:p>
        </w:tc>
        <w:tc>
          <w:tcPr>
            <w:tcW w:w="3227" w:type="dxa"/>
            <w:shd w:val="clear" w:color="auto" w:fill="auto"/>
            <w:vAlign w:val="center"/>
          </w:tcPr>
          <w:p w14:paraId="614F051E" w14:textId="59DAC078" w:rsidR="00AE33E8" w:rsidRPr="00A970D4" w:rsidRDefault="00AE33E8" w:rsidP="008C72FC">
            <w:pPr>
              <w:widowControl w:val="0"/>
              <w:rPr>
                <w:sz w:val="18"/>
                <w:szCs w:val="18"/>
              </w:rPr>
            </w:pPr>
            <w:r w:rsidRPr="00A970D4">
              <w:rPr>
                <w:sz w:val="18"/>
                <w:szCs w:val="18"/>
              </w:rPr>
              <w:t>Regulatory efficiency</w:t>
            </w:r>
          </w:p>
        </w:tc>
      </w:tr>
      <w:tr w:rsidR="00F5600C" w:rsidRPr="00061014" w14:paraId="09BD80FB" w14:textId="77777777" w:rsidTr="008A2805">
        <w:trPr>
          <w:trHeight w:val="528"/>
        </w:trPr>
        <w:tc>
          <w:tcPr>
            <w:tcW w:w="2250" w:type="dxa"/>
            <w:shd w:val="clear" w:color="auto" w:fill="auto"/>
            <w:vAlign w:val="center"/>
          </w:tcPr>
          <w:p w14:paraId="79091D6F" w14:textId="018B5488" w:rsidR="00F5600C" w:rsidRPr="00A970D4" w:rsidRDefault="009022C9" w:rsidP="009022C9">
            <w:pPr>
              <w:rPr>
                <w:rFonts w:cs="Arial"/>
                <w:b/>
                <w:sz w:val="18"/>
                <w:szCs w:val="18"/>
              </w:rPr>
            </w:pPr>
            <w:r>
              <w:rPr>
                <w:rFonts w:cs="Arial"/>
                <w:b/>
                <w:sz w:val="18"/>
                <w:szCs w:val="18"/>
              </w:rPr>
              <w:t>Final Rule Statistics</w:t>
            </w:r>
            <w:r w:rsidR="00E63128">
              <w:rPr>
                <w:rFonts w:cs="Arial"/>
                <w:b/>
                <w:sz w:val="18"/>
                <w:szCs w:val="18"/>
              </w:rPr>
              <w:t>*</w:t>
            </w:r>
          </w:p>
        </w:tc>
        <w:tc>
          <w:tcPr>
            <w:tcW w:w="1440" w:type="dxa"/>
            <w:vAlign w:val="center"/>
          </w:tcPr>
          <w:p w14:paraId="6DBB363D" w14:textId="7621D68F" w:rsidR="00F5600C" w:rsidRPr="00F5600C" w:rsidRDefault="00F5600C" w:rsidP="009022C9">
            <w:pPr>
              <w:widowControl w:val="0"/>
              <w:jc w:val="center"/>
              <w:rPr>
                <w:rFonts w:cs="Arial"/>
                <w:sz w:val="18"/>
                <w:szCs w:val="18"/>
              </w:rPr>
            </w:pPr>
            <w:r w:rsidRPr="00F5600C">
              <w:rPr>
                <w:rFonts w:cs="Arial"/>
                <w:color w:val="000000"/>
                <w:sz w:val="18"/>
              </w:rPr>
              <w:t>($</w:t>
            </w:r>
            <w:r w:rsidR="009022C9">
              <w:rPr>
                <w:rFonts w:cs="Arial"/>
                <w:color w:val="000000"/>
                <w:sz w:val="18"/>
              </w:rPr>
              <w:t>8,5</w:t>
            </w:r>
            <w:r w:rsidRPr="00F5600C">
              <w:rPr>
                <w:rFonts w:cs="Arial"/>
                <w:color w:val="000000"/>
                <w:sz w:val="18"/>
              </w:rPr>
              <w:t>00,000)</w:t>
            </w:r>
          </w:p>
        </w:tc>
        <w:tc>
          <w:tcPr>
            <w:tcW w:w="1440" w:type="dxa"/>
            <w:shd w:val="clear" w:color="auto" w:fill="auto"/>
            <w:vAlign w:val="center"/>
          </w:tcPr>
          <w:p w14:paraId="421CB95F" w14:textId="77CB2DAC" w:rsidR="00F5600C" w:rsidRPr="00F5600C" w:rsidRDefault="00F5600C" w:rsidP="009022C9">
            <w:pPr>
              <w:widowControl w:val="0"/>
              <w:jc w:val="center"/>
              <w:rPr>
                <w:rFonts w:cs="Arial"/>
                <w:sz w:val="18"/>
                <w:szCs w:val="18"/>
              </w:rPr>
            </w:pPr>
            <w:r w:rsidRPr="00F5600C">
              <w:rPr>
                <w:rFonts w:cs="Arial"/>
                <w:color w:val="000000"/>
                <w:sz w:val="18"/>
              </w:rPr>
              <w:t>($</w:t>
            </w:r>
            <w:r w:rsidR="007169D0">
              <w:rPr>
                <w:rFonts w:cs="Arial"/>
                <w:color w:val="000000"/>
                <w:sz w:val="18"/>
              </w:rPr>
              <w:t>7,</w:t>
            </w:r>
            <w:r w:rsidR="009022C9">
              <w:rPr>
                <w:rFonts w:cs="Arial"/>
                <w:color w:val="000000"/>
                <w:sz w:val="18"/>
              </w:rPr>
              <w:t>2</w:t>
            </w:r>
            <w:r w:rsidRPr="00F5600C">
              <w:rPr>
                <w:rFonts w:cs="Arial"/>
                <w:color w:val="000000"/>
                <w:sz w:val="18"/>
              </w:rPr>
              <w:t>00,000)</w:t>
            </w:r>
          </w:p>
        </w:tc>
        <w:tc>
          <w:tcPr>
            <w:tcW w:w="1530" w:type="dxa"/>
            <w:shd w:val="clear" w:color="auto" w:fill="auto"/>
            <w:vAlign w:val="center"/>
          </w:tcPr>
          <w:p w14:paraId="63004B0D" w14:textId="34ACB2C3" w:rsidR="00F5600C" w:rsidRPr="00F5600C" w:rsidRDefault="00F5600C" w:rsidP="007169D0">
            <w:pPr>
              <w:widowControl w:val="0"/>
              <w:jc w:val="center"/>
              <w:rPr>
                <w:rFonts w:cs="Arial"/>
                <w:sz w:val="18"/>
                <w:szCs w:val="18"/>
              </w:rPr>
            </w:pPr>
            <w:r w:rsidRPr="00F5600C">
              <w:rPr>
                <w:rFonts w:cs="Arial"/>
                <w:color w:val="000000"/>
                <w:sz w:val="18"/>
              </w:rPr>
              <w:t>($</w:t>
            </w:r>
            <w:r w:rsidR="007169D0">
              <w:rPr>
                <w:rFonts w:cs="Arial"/>
                <w:color w:val="000000"/>
                <w:sz w:val="18"/>
              </w:rPr>
              <w:t>5,8</w:t>
            </w:r>
            <w:r w:rsidRPr="00F5600C">
              <w:rPr>
                <w:rFonts w:cs="Arial"/>
                <w:color w:val="000000"/>
                <w:sz w:val="18"/>
              </w:rPr>
              <w:t>00,000)</w:t>
            </w:r>
          </w:p>
        </w:tc>
        <w:tc>
          <w:tcPr>
            <w:tcW w:w="3227" w:type="dxa"/>
            <w:shd w:val="clear" w:color="auto" w:fill="BFBFBF" w:themeFill="background1" w:themeFillShade="BF"/>
            <w:vAlign w:val="center"/>
          </w:tcPr>
          <w:p w14:paraId="1D4C0DE3" w14:textId="77777777" w:rsidR="00F5600C" w:rsidRPr="00A970D4" w:rsidRDefault="00F5600C" w:rsidP="00F5600C">
            <w:pPr>
              <w:widowControl w:val="0"/>
              <w:rPr>
                <w:sz w:val="18"/>
                <w:szCs w:val="18"/>
              </w:rPr>
            </w:pPr>
          </w:p>
        </w:tc>
      </w:tr>
    </w:tbl>
    <w:p w14:paraId="670B8BEF" w14:textId="6052AA9F" w:rsidR="006F2096" w:rsidRPr="003D5FC6" w:rsidRDefault="006F2096" w:rsidP="007E77E4">
      <w:pPr>
        <w:ind w:left="540" w:hanging="540"/>
        <w:rPr>
          <w:sz w:val="18"/>
          <w:szCs w:val="18"/>
        </w:rPr>
      </w:pPr>
      <w:r w:rsidRPr="003D5FC6">
        <w:rPr>
          <w:rFonts w:cs="Arial"/>
          <w:sz w:val="18"/>
          <w:szCs w:val="18"/>
        </w:rPr>
        <w:t>*</w:t>
      </w:r>
      <w:r w:rsidRPr="003D5FC6">
        <w:rPr>
          <w:rFonts w:cs="Arial"/>
          <w:sz w:val="18"/>
          <w:szCs w:val="18"/>
        </w:rPr>
        <w:tab/>
      </w:r>
      <w:r w:rsidR="00CF4BA2" w:rsidRPr="003D5FC6">
        <w:rPr>
          <w:sz w:val="18"/>
          <w:szCs w:val="18"/>
        </w:rPr>
        <w:t>The final rule statistics are the statistics from the simulation curve.</w:t>
      </w:r>
    </w:p>
    <w:p w14:paraId="2F1DFA5F" w14:textId="6656840A" w:rsidR="00885AB6" w:rsidRPr="00817444" w:rsidRDefault="00885AB6" w:rsidP="00885AB6">
      <w:pPr>
        <w:pStyle w:val="Heading2"/>
        <w:rPr>
          <w:szCs w:val="22"/>
        </w:rPr>
      </w:pPr>
      <w:bookmarkStart w:id="261" w:name="_Toc532457295"/>
      <w:r>
        <w:rPr>
          <w:szCs w:val="22"/>
        </w:rPr>
        <w:t>3.</w:t>
      </w:r>
      <w:r w:rsidR="0095574D">
        <w:rPr>
          <w:szCs w:val="22"/>
        </w:rPr>
        <w:t>6</w:t>
      </w:r>
      <w:r>
        <w:rPr>
          <w:szCs w:val="22"/>
        </w:rPr>
        <w:tab/>
      </w:r>
      <w:r w:rsidRPr="00817444">
        <w:rPr>
          <w:szCs w:val="22"/>
        </w:rPr>
        <w:t>Backfitting and Issue Finality</w:t>
      </w:r>
      <w:bookmarkEnd w:id="261"/>
    </w:p>
    <w:p w14:paraId="2C1AD46C" w14:textId="42DECBC4" w:rsidR="00885AB6" w:rsidRPr="00817444" w:rsidRDefault="00885AB6" w:rsidP="00885A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rPr>
          <w:sz w:val="22"/>
          <w:szCs w:val="22"/>
        </w:rPr>
      </w:pPr>
      <w:r w:rsidRPr="00817444">
        <w:rPr>
          <w:sz w:val="22"/>
          <w:szCs w:val="22"/>
        </w:rPr>
        <w:t xml:space="preserve">As required by </w:t>
      </w:r>
      <w:r>
        <w:rPr>
          <w:sz w:val="22"/>
          <w:szCs w:val="22"/>
        </w:rPr>
        <w:t>10 CFR</w:t>
      </w:r>
      <w:r w:rsidRPr="00817444">
        <w:rPr>
          <w:sz w:val="22"/>
          <w:szCs w:val="22"/>
        </w:rPr>
        <w:t xml:space="preserve"> 50.109 and </w:t>
      </w:r>
      <w:r>
        <w:rPr>
          <w:sz w:val="22"/>
          <w:szCs w:val="22"/>
        </w:rPr>
        <w:t xml:space="preserve">10 CFR </w:t>
      </w:r>
      <w:r w:rsidRPr="00817444">
        <w:rPr>
          <w:sz w:val="22"/>
          <w:szCs w:val="22"/>
        </w:rPr>
        <w:t>52.98,</w:t>
      </w:r>
      <w:r w:rsidR="00394308">
        <w:rPr>
          <w:sz w:val="22"/>
          <w:szCs w:val="22"/>
        </w:rPr>
        <w:t xml:space="preserve"> “Finality of Combined Licenses; Information Requests,”</w:t>
      </w:r>
      <w:r w:rsidRPr="00817444">
        <w:rPr>
          <w:sz w:val="22"/>
          <w:szCs w:val="22"/>
        </w:rPr>
        <w:t xml:space="preserve"> the Commission has completed a backfitting and issue finality assessment</w:t>
      </w:r>
      <w:r>
        <w:rPr>
          <w:sz w:val="22"/>
          <w:szCs w:val="22"/>
        </w:rPr>
        <w:t xml:space="preserve"> (</w:t>
      </w:r>
      <w:r w:rsidR="00941D49">
        <w:rPr>
          <w:sz w:val="22"/>
          <w:szCs w:val="22"/>
        </w:rPr>
        <w:t>NRC 2017a</w:t>
      </w:r>
      <w:r>
        <w:rPr>
          <w:sz w:val="22"/>
          <w:szCs w:val="22"/>
        </w:rPr>
        <w:t>)</w:t>
      </w:r>
      <w:r w:rsidRPr="00817444">
        <w:rPr>
          <w:sz w:val="22"/>
          <w:szCs w:val="22"/>
        </w:rPr>
        <w:t xml:space="preserve">.  </w:t>
      </w:r>
      <w:r>
        <w:rPr>
          <w:sz w:val="22"/>
          <w:szCs w:val="22"/>
        </w:rPr>
        <w:t>This document presents the reasons why Option 2,</w:t>
      </w:r>
      <w:r w:rsidRPr="00817444">
        <w:rPr>
          <w:sz w:val="22"/>
          <w:szCs w:val="22"/>
        </w:rPr>
        <w:t xml:space="preserve"> the </w:t>
      </w:r>
      <w:r>
        <w:rPr>
          <w:sz w:val="22"/>
          <w:szCs w:val="22"/>
        </w:rPr>
        <w:t>rulemaking option,</w:t>
      </w:r>
      <w:r w:rsidRPr="00817444">
        <w:rPr>
          <w:sz w:val="22"/>
          <w:szCs w:val="22"/>
        </w:rPr>
        <w:t xml:space="preserve"> does not contain any backfits.</w:t>
      </w:r>
    </w:p>
    <w:p w14:paraId="003006DF" w14:textId="2FBC74C4" w:rsidR="00D5075A" w:rsidRPr="00ED1D75" w:rsidRDefault="00D5075A" w:rsidP="00696B13">
      <w:pPr>
        <w:pStyle w:val="Heading1"/>
      </w:pPr>
      <w:bookmarkStart w:id="262" w:name="_Toc532457296"/>
      <w:r w:rsidRPr="00ED1D75">
        <w:t>4.</w:t>
      </w:r>
      <w:r w:rsidRPr="00ED1D75">
        <w:tab/>
      </w:r>
      <w:bookmarkEnd w:id="205"/>
      <w:bookmarkEnd w:id="250"/>
      <w:bookmarkEnd w:id="251"/>
      <w:bookmarkEnd w:id="252"/>
      <w:bookmarkEnd w:id="253"/>
      <w:bookmarkEnd w:id="254"/>
      <w:bookmarkEnd w:id="255"/>
      <w:bookmarkEnd w:id="256"/>
      <w:bookmarkEnd w:id="257"/>
      <w:bookmarkEnd w:id="258"/>
      <w:r w:rsidR="009022C9">
        <w:t>Conclusion</w:t>
      </w:r>
      <w:bookmarkEnd w:id="262"/>
    </w:p>
    <w:p w14:paraId="1730F79D" w14:textId="6BD8564C" w:rsidR="00CC0D01" w:rsidRDefault="009022C9" w:rsidP="006275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rPr>
          <w:sz w:val="22"/>
          <w:szCs w:val="22"/>
        </w:rPr>
      </w:pPr>
      <w:r w:rsidRPr="001E1061">
        <w:rPr>
          <w:sz w:val="22"/>
          <w:szCs w:val="22"/>
        </w:rPr>
        <w:t>The staff prepared this addendum to the regulatory analysis in SECY-16-0142 to document the incremental impacts of the Commission approved rule</w:t>
      </w:r>
      <w:r>
        <w:rPr>
          <w:sz w:val="22"/>
          <w:szCs w:val="22"/>
        </w:rPr>
        <w:t xml:space="preserve">.  </w:t>
      </w:r>
      <w:r w:rsidR="00CC0D01">
        <w:rPr>
          <w:sz w:val="22"/>
          <w:szCs w:val="22"/>
        </w:rPr>
        <w:t xml:space="preserve">The </w:t>
      </w:r>
      <w:r>
        <w:rPr>
          <w:sz w:val="22"/>
          <w:szCs w:val="22"/>
        </w:rPr>
        <w:t>conclusion</w:t>
      </w:r>
      <w:r w:rsidR="00CC0D01">
        <w:rPr>
          <w:sz w:val="22"/>
          <w:szCs w:val="22"/>
        </w:rPr>
        <w:t xml:space="preserve"> is based on the quantitative (monetized) and qualitative (nonmonetized) benefits and costs.  Option 1 is defined as the regulatory baseline</w:t>
      </w:r>
      <w:r w:rsidR="00D713F8">
        <w:rPr>
          <w:sz w:val="22"/>
          <w:szCs w:val="22"/>
        </w:rPr>
        <w:t>,</w:t>
      </w:r>
      <w:r w:rsidR="00CC0D01">
        <w:rPr>
          <w:sz w:val="22"/>
          <w:szCs w:val="22"/>
        </w:rPr>
        <w:t xml:space="preserve"> and the benefits and costs of Option 2</w:t>
      </w:r>
      <w:r w:rsidR="00D713F8">
        <w:rPr>
          <w:sz w:val="22"/>
          <w:szCs w:val="22"/>
        </w:rPr>
        <w:t>,</w:t>
      </w:r>
      <w:r w:rsidR="00CC0D01">
        <w:rPr>
          <w:sz w:val="22"/>
          <w:szCs w:val="22"/>
        </w:rPr>
        <w:t xml:space="preserve"> the rulemaking option</w:t>
      </w:r>
      <w:r w:rsidR="00D713F8">
        <w:rPr>
          <w:sz w:val="22"/>
          <w:szCs w:val="22"/>
        </w:rPr>
        <w:t>,</w:t>
      </w:r>
      <w:r w:rsidR="00CC0D01">
        <w:rPr>
          <w:sz w:val="22"/>
          <w:szCs w:val="22"/>
        </w:rPr>
        <w:t xml:space="preserve"> </w:t>
      </w:r>
      <w:r w:rsidR="00B23420">
        <w:rPr>
          <w:sz w:val="22"/>
          <w:szCs w:val="22"/>
        </w:rPr>
        <w:t>are</w:t>
      </w:r>
      <w:r w:rsidR="00CC0D01">
        <w:rPr>
          <w:sz w:val="22"/>
          <w:szCs w:val="22"/>
        </w:rPr>
        <w:t xml:space="preserve"> evaluated relative to the Option 1 baseline</w:t>
      </w:r>
      <w:r w:rsidR="00B40114">
        <w:rPr>
          <w:sz w:val="22"/>
          <w:szCs w:val="22"/>
        </w:rPr>
        <w:t>.</w:t>
      </w:r>
    </w:p>
    <w:p w14:paraId="7BD2FE34" w14:textId="72C17009" w:rsidR="00B40114" w:rsidRDefault="00B40114" w:rsidP="00B40114">
      <w:pPr>
        <w:pStyle w:val="Heading2"/>
        <w:ind w:left="720" w:hanging="720"/>
      </w:pPr>
      <w:bookmarkStart w:id="263" w:name="_Toc532457297"/>
      <w:r w:rsidRPr="00B40114">
        <w:t>4.1</w:t>
      </w:r>
      <w:r w:rsidRPr="00B40114">
        <w:tab/>
        <w:t xml:space="preserve">Make the </w:t>
      </w:r>
      <w:r>
        <w:t>Order R</w:t>
      </w:r>
      <w:r w:rsidRPr="00B40114">
        <w:t xml:space="preserve">equirements </w:t>
      </w:r>
      <w:r>
        <w:t>G</w:t>
      </w:r>
      <w:r w:rsidRPr="00B40114">
        <w:t xml:space="preserve">enerically </w:t>
      </w:r>
      <w:r>
        <w:t>A</w:t>
      </w:r>
      <w:r w:rsidRPr="00B40114">
        <w:t>pplicable</w:t>
      </w:r>
      <w:bookmarkEnd w:id="263"/>
    </w:p>
    <w:p w14:paraId="53E2CB5F" w14:textId="156B502A" w:rsidR="00D96F8F" w:rsidRDefault="00B40114" w:rsidP="00D96F8F">
      <w:pPr>
        <w:autoSpaceDE/>
        <w:autoSpaceDN/>
        <w:adjustRightInd/>
        <w:rPr>
          <w:rFonts w:cs="Arial"/>
          <w:sz w:val="22"/>
          <w:szCs w:val="22"/>
        </w:rPr>
      </w:pPr>
      <w:r>
        <w:rPr>
          <w:rFonts w:cs="Arial"/>
          <w:sz w:val="22"/>
          <w:szCs w:val="24"/>
        </w:rPr>
        <w:t xml:space="preserve">This analysis describes the cost-benefits of placing </w:t>
      </w:r>
      <w:r w:rsidRPr="007F7E04">
        <w:rPr>
          <w:rFonts w:cs="Arial"/>
          <w:sz w:val="22"/>
          <w:szCs w:val="22"/>
        </w:rPr>
        <w:t>the requirements in Order EA-12-049 and Order EA</w:t>
      </w:r>
      <w:r>
        <w:rPr>
          <w:rFonts w:cs="Arial"/>
          <w:sz w:val="22"/>
          <w:szCs w:val="22"/>
        </w:rPr>
        <w:noBreakHyphen/>
      </w:r>
      <w:r w:rsidRPr="007F7E04">
        <w:rPr>
          <w:rFonts w:cs="Arial"/>
          <w:sz w:val="22"/>
          <w:szCs w:val="22"/>
        </w:rPr>
        <w:t>12-051 in the NRC</w:t>
      </w:r>
      <w:r w:rsidR="00D713F8">
        <w:rPr>
          <w:rFonts w:cs="Arial"/>
          <w:sz w:val="22"/>
          <w:szCs w:val="22"/>
        </w:rPr>
        <w:t>’</w:t>
      </w:r>
      <w:r w:rsidRPr="007F7E04">
        <w:rPr>
          <w:rFonts w:cs="Arial"/>
          <w:sz w:val="22"/>
          <w:szCs w:val="22"/>
        </w:rPr>
        <w:t xml:space="preserve">s regulations to </w:t>
      </w:r>
      <w:r w:rsidR="005F6E9D">
        <w:rPr>
          <w:rFonts w:cs="Arial"/>
          <w:sz w:val="22"/>
          <w:szCs w:val="22"/>
        </w:rPr>
        <w:t>give</w:t>
      </w:r>
      <w:r w:rsidRPr="007F7E04">
        <w:rPr>
          <w:rFonts w:cs="Arial"/>
          <w:sz w:val="22"/>
          <w:szCs w:val="22"/>
        </w:rPr>
        <w:t xml:space="preserve"> regulatory clarity to operating reactors and to ensure that they apply to all future power reactor applicants.  As part of the rulemaking process to make Order EA-12-049 and Order EA-12-051 generically applicable</w:t>
      </w:r>
      <w:r w:rsidR="00D713F8">
        <w:rPr>
          <w:rFonts w:cs="Arial"/>
          <w:sz w:val="22"/>
          <w:szCs w:val="22"/>
        </w:rPr>
        <w:t>,</w:t>
      </w:r>
      <w:r w:rsidRPr="007F7E04">
        <w:rPr>
          <w:rFonts w:cs="Arial"/>
          <w:sz w:val="22"/>
          <w:szCs w:val="22"/>
        </w:rPr>
        <w:t xml:space="preserve"> the NRC considered stakeholder feedback and lessons learned from the implementation of the </w:t>
      </w:r>
      <w:r>
        <w:rPr>
          <w:rFonts w:cs="Arial"/>
          <w:sz w:val="22"/>
          <w:szCs w:val="22"/>
        </w:rPr>
        <w:t>order</w:t>
      </w:r>
      <w:r w:rsidRPr="007F7E04">
        <w:rPr>
          <w:rFonts w:cs="Arial"/>
          <w:sz w:val="22"/>
          <w:szCs w:val="22"/>
        </w:rPr>
        <w:t>s.  As a result</w:t>
      </w:r>
      <w:r w:rsidR="00D713F8">
        <w:rPr>
          <w:rFonts w:cs="Arial"/>
          <w:sz w:val="22"/>
          <w:szCs w:val="22"/>
        </w:rPr>
        <w:t>,</w:t>
      </w:r>
      <w:r w:rsidRPr="007F7E04">
        <w:rPr>
          <w:rFonts w:cs="Arial"/>
          <w:sz w:val="22"/>
          <w:szCs w:val="22"/>
        </w:rPr>
        <w:t xml:space="preserve"> the NRC considered unintended consequences or challenges associated with implementation of the mitigation strategies (consistent with Commission direction in an August</w:t>
      </w:r>
      <w:r w:rsidR="00AC49B6">
        <w:rPr>
          <w:rFonts w:cs="Arial"/>
          <w:sz w:val="22"/>
          <w:szCs w:val="22"/>
        </w:rPr>
        <w:t> </w:t>
      </w:r>
      <w:r w:rsidRPr="007F7E04">
        <w:rPr>
          <w:rFonts w:cs="Arial"/>
          <w:sz w:val="22"/>
          <w:szCs w:val="22"/>
        </w:rPr>
        <w:t>201</w:t>
      </w:r>
      <w:r w:rsidR="00C07FB6">
        <w:rPr>
          <w:rFonts w:cs="Arial"/>
          <w:sz w:val="22"/>
          <w:szCs w:val="22"/>
        </w:rPr>
        <w:t>5</w:t>
      </w:r>
      <w:r w:rsidRPr="007F7E04">
        <w:rPr>
          <w:rFonts w:cs="Arial"/>
          <w:sz w:val="22"/>
          <w:szCs w:val="22"/>
        </w:rPr>
        <w:t xml:space="preserve"> SRM</w:t>
      </w:r>
      <w:r w:rsidR="00C07FB6">
        <w:rPr>
          <w:rFonts w:cs="Arial"/>
          <w:sz w:val="22"/>
          <w:szCs w:val="22"/>
        </w:rPr>
        <w:t xml:space="preserve"> (</w:t>
      </w:r>
      <w:r w:rsidR="00EC56A7">
        <w:rPr>
          <w:rFonts w:cs="Arial"/>
          <w:sz w:val="22"/>
          <w:szCs w:val="22"/>
        </w:rPr>
        <w:t>NRC 2015</w:t>
      </w:r>
      <w:r w:rsidR="00825159">
        <w:rPr>
          <w:rFonts w:cs="Arial"/>
          <w:sz w:val="22"/>
          <w:szCs w:val="22"/>
        </w:rPr>
        <w:t>b</w:t>
      </w:r>
      <w:r w:rsidRPr="007F7E04">
        <w:rPr>
          <w:rFonts w:cs="Arial"/>
          <w:sz w:val="22"/>
          <w:szCs w:val="22"/>
        </w:rPr>
        <w:t>)</w:t>
      </w:r>
      <w:r w:rsidR="00C07FB6">
        <w:rPr>
          <w:rFonts w:cs="Arial"/>
          <w:sz w:val="22"/>
          <w:szCs w:val="22"/>
        </w:rPr>
        <w:t>)</w:t>
      </w:r>
      <w:r w:rsidRPr="007F7E04">
        <w:rPr>
          <w:rFonts w:cs="Arial"/>
          <w:sz w:val="22"/>
          <w:szCs w:val="22"/>
        </w:rPr>
        <w:t xml:space="preserve">.  These are captured in the updated guidance for mitigation strategies.  </w:t>
      </w:r>
      <w:r>
        <w:rPr>
          <w:rFonts w:cs="Arial"/>
          <w:sz w:val="22"/>
          <w:szCs w:val="22"/>
        </w:rPr>
        <w:t xml:space="preserve">Option 2 is superior to the regulatory baseline because </w:t>
      </w:r>
      <w:r w:rsidRPr="007F7E04">
        <w:rPr>
          <w:rFonts w:cs="Arial"/>
          <w:sz w:val="22"/>
          <w:szCs w:val="22"/>
        </w:rPr>
        <w:t xml:space="preserve">rulemaking allows the NRC to make the </w:t>
      </w:r>
      <w:r>
        <w:rPr>
          <w:rFonts w:cs="Arial"/>
          <w:sz w:val="22"/>
          <w:szCs w:val="22"/>
        </w:rPr>
        <w:t>o</w:t>
      </w:r>
      <w:r w:rsidRPr="007F7E04">
        <w:rPr>
          <w:rFonts w:cs="Arial"/>
          <w:sz w:val="22"/>
          <w:szCs w:val="22"/>
        </w:rPr>
        <w:t xml:space="preserve">rder requirements generically applicable with adjustments to account for any lessons learned.  These adjustments would </w:t>
      </w:r>
      <w:r w:rsidR="00B23420">
        <w:rPr>
          <w:rFonts w:cs="Arial"/>
          <w:sz w:val="22"/>
          <w:szCs w:val="22"/>
        </w:rPr>
        <w:t>(1) </w:t>
      </w:r>
      <w:r w:rsidRPr="007F7E04">
        <w:rPr>
          <w:rFonts w:cs="Arial"/>
          <w:sz w:val="22"/>
          <w:szCs w:val="22"/>
        </w:rPr>
        <w:t>result in more effective regulation</w:t>
      </w:r>
      <w:r w:rsidR="00D713F8">
        <w:rPr>
          <w:rFonts w:cs="Arial"/>
          <w:sz w:val="22"/>
          <w:szCs w:val="22"/>
        </w:rPr>
        <w:t>,</w:t>
      </w:r>
      <w:r w:rsidRPr="007F7E04">
        <w:rPr>
          <w:rFonts w:cs="Arial"/>
          <w:sz w:val="22"/>
          <w:szCs w:val="22"/>
        </w:rPr>
        <w:t xml:space="preserve"> </w:t>
      </w:r>
      <w:r w:rsidR="00B23420">
        <w:rPr>
          <w:rFonts w:cs="Arial"/>
          <w:sz w:val="22"/>
          <w:szCs w:val="22"/>
        </w:rPr>
        <w:t>(2) </w:t>
      </w:r>
      <w:r w:rsidRPr="007F7E04">
        <w:rPr>
          <w:rFonts w:cs="Arial"/>
          <w:sz w:val="22"/>
          <w:szCs w:val="22"/>
        </w:rPr>
        <w:t xml:space="preserve">not extend beyond the existing scope of the </w:t>
      </w:r>
      <w:r>
        <w:rPr>
          <w:rFonts w:cs="Arial"/>
          <w:sz w:val="22"/>
          <w:szCs w:val="22"/>
        </w:rPr>
        <w:t>existing o</w:t>
      </w:r>
      <w:r w:rsidRPr="007F7E04">
        <w:rPr>
          <w:rFonts w:cs="Arial"/>
          <w:sz w:val="22"/>
          <w:szCs w:val="22"/>
        </w:rPr>
        <w:t>rders</w:t>
      </w:r>
      <w:r w:rsidR="00D713F8">
        <w:rPr>
          <w:rFonts w:cs="Arial"/>
          <w:sz w:val="22"/>
          <w:szCs w:val="22"/>
        </w:rPr>
        <w:t>,</w:t>
      </w:r>
      <w:r>
        <w:rPr>
          <w:rFonts w:cs="Arial"/>
          <w:sz w:val="22"/>
          <w:szCs w:val="22"/>
        </w:rPr>
        <w:t xml:space="preserve"> and </w:t>
      </w:r>
      <w:r w:rsidR="00B23420">
        <w:rPr>
          <w:rFonts w:cs="Arial"/>
          <w:sz w:val="22"/>
          <w:szCs w:val="22"/>
        </w:rPr>
        <w:t>(3) </w:t>
      </w:r>
      <w:r>
        <w:rPr>
          <w:rFonts w:cs="Arial"/>
          <w:sz w:val="22"/>
          <w:szCs w:val="22"/>
        </w:rPr>
        <w:t>provide a mechanism t</w:t>
      </w:r>
      <w:r w:rsidRPr="007F7E04">
        <w:rPr>
          <w:rFonts w:cs="Arial"/>
          <w:sz w:val="22"/>
          <w:szCs w:val="22"/>
        </w:rPr>
        <w:t xml:space="preserve">o </w:t>
      </w:r>
      <w:r w:rsidR="00272931">
        <w:rPr>
          <w:rFonts w:cs="Arial"/>
          <w:sz w:val="22"/>
          <w:szCs w:val="22"/>
        </w:rPr>
        <w:t xml:space="preserve">withdraw </w:t>
      </w:r>
      <w:r w:rsidRPr="007F7E04">
        <w:rPr>
          <w:rFonts w:cs="Arial"/>
          <w:sz w:val="22"/>
          <w:szCs w:val="22"/>
        </w:rPr>
        <w:t>Order EA-12-049 and Order EA-12-051</w:t>
      </w:r>
      <w:r>
        <w:rPr>
          <w:rFonts w:cs="Arial"/>
          <w:sz w:val="22"/>
          <w:szCs w:val="22"/>
        </w:rPr>
        <w:t xml:space="preserve"> and </w:t>
      </w:r>
      <w:r w:rsidR="00272931">
        <w:rPr>
          <w:rFonts w:cs="Arial"/>
          <w:sz w:val="22"/>
          <w:szCs w:val="22"/>
        </w:rPr>
        <w:t xml:space="preserve">remove </w:t>
      </w:r>
      <w:r>
        <w:rPr>
          <w:rFonts w:cs="Arial"/>
          <w:sz w:val="22"/>
          <w:szCs w:val="22"/>
        </w:rPr>
        <w:t>associated license conditions</w:t>
      </w:r>
      <w:r w:rsidR="00892E7C">
        <w:rPr>
          <w:rFonts w:cs="Arial"/>
          <w:sz w:val="22"/>
          <w:szCs w:val="22"/>
        </w:rPr>
        <w:t xml:space="preserve">.  The net cost to achieve this objective ranges between </w:t>
      </w:r>
      <w:r w:rsidR="00B40909">
        <w:rPr>
          <w:rFonts w:cs="Arial"/>
          <w:sz w:val="22"/>
          <w:szCs w:val="22"/>
        </w:rPr>
        <w:t>(</w:t>
      </w:r>
      <w:r w:rsidR="00892E7C">
        <w:rPr>
          <w:rFonts w:cs="Arial"/>
          <w:sz w:val="22"/>
          <w:szCs w:val="22"/>
        </w:rPr>
        <w:t>$</w:t>
      </w:r>
      <w:r w:rsidR="00272931">
        <w:rPr>
          <w:rFonts w:cs="Arial"/>
          <w:sz w:val="22"/>
          <w:szCs w:val="22"/>
        </w:rPr>
        <w:t>8.5</w:t>
      </w:r>
      <w:r w:rsidR="00B23420">
        <w:rPr>
          <w:rFonts w:cs="Arial"/>
          <w:sz w:val="22"/>
          <w:szCs w:val="22"/>
        </w:rPr>
        <w:t> </w:t>
      </w:r>
      <w:r w:rsidR="00892E7C">
        <w:rPr>
          <w:rFonts w:cs="Arial"/>
          <w:sz w:val="22"/>
          <w:szCs w:val="22"/>
        </w:rPr>
        <w:t>million</w:t>
      </w:r>
      <w:r w:rsidR="00B40909">
        <w:rPr>
          <w:rFonts w:cs="Arial"/>
          <w:sz w:val="22"/>
          <w:szCs w:val="22"/>
        </w:rPr>
        <w:t>)</w:t>
      </w:r>
      <w:r w:rsidR="00892E7C">
        <w:rPr>
          <w:rFonts w:cs="Arial"/>
          <w:sz w:val="22"/>
          <w:szCs w:val="22"/>
        </w:rPr>
        <w:t xml:space="preserve"> and </w:t>
      </w:r>
      <w:r w:rsidR="00B40909">
        <w:rPr>
          <w:rFonts w:cs="Arial"/>
          <w:sz w:val="22"/>
          <w:szCs w:val="22"/>
        </w:rPr>
        <w:t>(</w:t>
      </w:r>
      <w:r w:rsidR="00892E7C">
        <w:rPr>
          <w:rFonts w:cs="Arial"/>
          <w:sz w:val="22"/>
          <w:szCs w:val="22"/>
        </w:rPr>
        <w:t>$</w:t>
      </w:r>
      <w:r w:rsidR="00272931">
        <w:rPr>
          <w:rFonts w:cs="Arial"/>
          <w:sz w:val="22"/>
          <w:szCs w:val="22"/>
        </w:rPr>
        <w:t>5.8</w:t>
      </w:r>
      <w:r w:rsidR="00892E7C">
        <w:rPr>
          <w:rFonts w:cs="Arial"/>
          <w:sz w:val="22"/>
          <w:szCs w:val="22"/>
        </w:rPr>
        <w:t xml:space="preserve"> million</w:t>
      </w:r>
      <w:r w:rsidR="00B40909">
        <w:rPr>
          <w:rFonts w:cs="Arial"/>
          <w:sz w:val="22"/>
          <w:szCs w:val="22"/>
        </w:rPr>
        <w:t>)</w:t>
      </w:r>
      <w:r w:rsidR="00892E7C">
        <w:rPr>
          <w:rFonts w:cs="Arial"/>
          <w:sz w:val="22"/>
          <w:szCs w:val="22"/>
        </w:rPr>
        <w:t xml:space="preserve"> with a mean value of </w:t>
      </w:r>
      <w:r w:rsidR="00B40909">
        <w:rPr>
          <w:rFonts w:cs="Arial"/>
          <w:sz w:val="22"/>
          <w:szCs w:val="22"/>
        </w:rPr>
        <w:t>(</w:t>
      </w:r>
      <w:r w:rsidR="005F6E9D">
        <w:rPr>
          <w:rFonts w:cs="Arial"/>
          <w:sz w:val="22"/>
          <w:szCs w:val="22"/>
        </w:rPr>
        <w:t>$</w:t>
      </w:r>
      <w:r w:rsidR="00892E7C">
        <w:rPr>
          <w:rFonts w:cs="Arial"/>
          <w:sz w:val="22"/>
          <w:szCs w:val="22"/>
        </w:rPr>
        <w:t>7.</w:t>
      </w:r>
      <w:r w:rsidR="00272931">
        <w:rPr>
          <w:rFonts w:cs="Arial"/>
          <w:sz w:val="22"/>
          <w:szCs w:val="22"/>
        </w:rPr>
        <w:t>2</w:t>
      </w:r>
      <w:r w:rsidR="00892E7C">
        <w:rPr>
          <w:rFonts w:cs="Arial"/>
          <w:sz w:val="22"/>
          <w:szCs w:val="22"/>
        </w:rPr>
        <w:t> million</w:t>
      </w:r>
      <w:r w:rsidR="00B40909">
        <w:rPr>
          <w:rFonts w:cs="Arial"/>
          <w:sz w:val="22"/>
          <w:szCs w:val="22"/>
        </w:rPr>
        <w:t>)</w:t>
      </w:r>
      <w:r w:rsidR="00892E7C">
        <w:rPr>
          <w:rFonts w:cs="Arial"/>
          <w:sz w:val="22"/>
          <w:szCs w:val="22"/>
        </w:rPr>
        <w:t>.</w:t>
      </w:r>
      <w:r w:rsidR="00927511">
        <w:rPr>
          <w:rFonts w:cs="Arial"/>
          <w:sz w:val="22"/>
          <w:szCs w:val="22"/>
        </w:rPr>
        <w:t xml:space="preserve">  These costs also achieve the objective described in Section</w:t>
      </w:r>
      <w:r w:rsidR="00B23420">
        <w:rPr>
          <w:rFonts w:cs="Arial"/>
          <w:sz w:val="22"/>
          <w:szCs w:val="22"/>
        </w:rPr>
        <w:t> </w:t>
      </w:r>
      <w:r w:rsidR="00272931">
        <w:rPr>
          <w:rFonts w:cs="Arial"/>
          <w:sz w:val="22"/>
          <w:szCs w:val="22"/>
        </w:rPr>
        <w:t>1.2</w:t>
      </w:r>
      <w:r w:rsidR="00927511">
        <w:rPr>
          <w:rFonts w:cs="Arial"/>
          <w:sz w:val="22"/>
          <w:szCs w:val="22"/>
        </w:rPr>
        <w:t>.</w:t>
      </w:r>
    </w:p>
    <w:p w14:paraId="79117A24" w14:textId="77777777" w:rsidR="00272931" w:rsidRDefault="00272931" w:rsidP="00D96F8F">
      <w:pPr>
        <w:autoSpaceDE/>
        <w:autoSpaceDN/>
        <w:adjustRightInd/>
        <w:rPr>
          <w:rFonts w:cs="Arial"/>
          <w:sz w:val="22"/>
          <w:szCs w:val="22"/>
        </w:rPr>
      </w:pPr>
    </w:p>
    <w:p w14:paraId="28B729A9" w14:textId="77777777" w:rsidR="00272931" w:rsidRDefault="00272931" w:rsidP="00272931">
      <w:pPr>
        <w:rPr>
          <w:rFonts w:eastAsiaTheme="minorHAnsi" w:cs="Arial"/>
          <w:color w:val="000000"/>
          <w:sz w:val="22"/>
          <w:szCs w:val="22"/>
        </w:rPr>
      </w:pPr>
      <w:r>
        <w:rPr>
          <w:rFonts w:eastAsiaTheme="minorHAnsi" w:cs="Arial"/>
          <w:color w:val="000000"/>
          <w:sz w:val="22"/>
          <w:szCs w:val="22"/>
        </w:rPr>
        <w:t xml:space="preserve">The final rule encompasses provisions that are either completed or being implemented at this time under the Mitigation Strategies Order and the SFPI Order.  Because the NRC uses a no action baseline to estimate incremental costs, the total cost of the rule is estimated to be </w:t>
      </w:r>
      <w:r w:rsidRPr="00194F5A">
        <w:rPr>
          <w:rFonts w:eastAsiaTheme="minorHAnsi" w:cs="Arial"/>
          <w:sz w:val="22"/>
          <w:szCs w:val="22"/>
        </w:rPr>
        <w:t>approximately $110,000 per site.</w:t>
      </w:r>
      <w:r>
        <w:rPr>
          <w:rFonts w:eastAsiaTheme="minorHAnsi" w:cs="Arial"/>
          <w:color w:val="000000"/>
          <w:sz w:val="22"/>
          <w:szCs w:val="22"/>
        </w:rPr>
        <w:t xml:space="preserve">  This incremental cost is primarily attributed to licensees’ efforts to review the rule against the previous implementation of the Mitigation Strategies and SFPI Orders and make any additional changes to plant programs and procedures.  The final rule is expected to result in a total one-time cost of </w:t>
      </w:r>
      <w:r w:rsidRPr="00272931">
        <w:rPr>
          <w:rFonts w:eastAsiaTheme="minorHAnsi" w:cs="Arial"/>
          <w:sz w:val="22"/>
          <w:szCs w:val="22"/>
        </w:rPr>
        <w:t xml:space="preserve">approximately </w:t>
      </w:r>
      <w:r>
        <w:rPr>
          <w:rFonts w:eastAsiaTheme="minorHAnsi" w:cs="Arial"/>
          <w:sz w:val="22"/>
          <w:szCs w:val="22"/>
        </w:rPr>
        <w:t>(</w:t>
      </w:r>
      <w:r w:rsidRPr="00272931">
        <w:rPr>
          <w:rFonts w:eastAsiaTheme="minorHAnsi" w:cs="Arial"/>
          <w:sz w:val="22"/>
          <w:szCs w:val="22"/>
        </w:rPr>
        <w:t>$7.2 million</w:t>
      </w:r>
      <w:r>
        <w:rPr>
          <w:rFonts w:eastAsiaTheme="minorHAnsi" w:cs="Arial"/>
          <w:sz w:val="22"/>
          <w:szCs w:val="22"/>
        </w:rPr>
        <w:t>)</w:t>
      </w:r>
      <w:r w:rsidRPr="00272931">
        <w:rPr>
          <w:rFonts w:eastAsiaTheme="minorHAnsi" w:cs="Arial"/>
          <w:sz w:val="22"/>
          <w:szCs w:val="22"/>
        </w:rPr>
        <w:t xml:space="preserve"> even though the MBDBE requirements have largely been </w:t>
      </w:r>
      <w:r>
        <w:rPr>
          <w:rFonts w:eastAsiaTheme="minorHAnsi" w:cs="Arial"/>
          <w:color w:val="000000"/>
          <w:sz w:val="22"/>
          <w:szCs w:val="22"/>
        </w:rPr>
        <w:t>implemented prior to the effective date of the rule under the requirements in the Mitigation Strategies Order and the SFPI Order.</w:t>
      </w:r>
    </w:p>
    <w:p w14:paraId="66BD2FE8" w14:textId="0602F437" w:rsidR="00D96F8F" w:rsidRDefault="00D96F8F" w:rsidP="00D96F8F">
      <w:pPr>
        <w:autoSpaceDE/>
        <w:autoSpaceDN/>
        <w:adjustRightInd/>
        <w:rPr>
          <w:rFonts w:cs="Arial"/>
          <w:sz w:val="22"/>
          <w:szCs w:val="22"/>
        </w:rPr>
      </w:pPr>
    </w:p>
    <w:p w14:paraId="28ED6720" w14:textId="020385BC" w:rsidR="00B40114" w:rsidRDefault="00D96F8F" w:rsidP="00B40114">
      <w:pPr>
        <w:autoSpaceDE/>
        <w:autoSpaceDN/>
        <w:adjustRightInd/>
        <w:rPr>
          <w:rFonts w:cs="Arial"/>
          <w:sz w:val="22"/>
          <w:szCs w:val="22"/>
        </w:rPr>
      </w:pPr>
      <w:r>
        <w:rPr>
          <w:rFonts w:cs="Arial"/>
          <w:sz w:val="22"/>
          <w:szCs w:val="22"/>
        </w:rPr>
        <w:t xml:space="preserve">Furthermore, the requirements in Option 2 </w:t>
      </w:r>
      <w:r w:rsidRPr="006B7560">
        <w:rPr>
          <w:rFonts w:cs="Arial"/>
          <w:sz w:val="22"/>
          <w:szCs w:val="22"/>
        </w:rPr>
        <w:t xml:space="preserve">that make </w:t>
      </w:r>
      <w:r w:rsidR="005F6E9D" w:rsidRPr="007F7E04">
        <w:rPr>
          <w:rFonts w:cs="Arial"/>
          <w:sz w:val="22"/>
          <w:szCs w:val="22"/>
        </w:rPr>
        <w:t>Order EA-12-049 and Order EA-12-051</w:t>
      </w:r>
      <w:r w:rsidRPr="006B7560">
        <w:rPr>
          <w:rFonts w:cs="Arial"/>
          <w:sz w:val="22"/>
          <w:szCs w:val="22"/>
        </w:rPr>
        <w:t xml:space="preserve"> generically applicable do not qualify as backfitting as that term is defined in 10 CFR 50.109 or violate the pertinent issue finality provisions in 10 CFR Part 52</w:t>
      </w:r>
      <w:r w:rsidR="005F6E9D">
        <w:rPr>
          <w:rFonts w:cs="Arial"/>
          <w:sz w:val="22"/>
          <w:szCs w:val="22"/>
        </w:rPr>
        <w:t>,</w:t>
      </w:r>
      <w:r w:rsidRPr="006B7560">
        <w:rPr>
          <w:rFonts w:cs="Arial"/>
          <w:sz w:val="22"/>
          <w:szCs w:val="22"/>
        </w:rPr>
        <w:t xml:space="preserve"> as discussed in the backfitting and issue finality assessment (</w:t>
      </w:r>
      <w:r w:rsidR="00EC56A7">
        <w:rPr>
          <w:rFonts w:cs="Arial"/>
          <w:sz w:val="22"/>
          <w:szCs w:val="22"/>
        </w:rPr>
        <w:t>NRC 2017a</w:t>
      </w:r>
      <w:r w:rsidRPr="006B7560">
        <w:rPr>
          <w:rFonts w:cs="Arial"/>
          <w:sz w:val="22"/>
          <w:szCs w:val="22"/>
        </w:rPr>
        <w:t>)</w:t>
      </w:r>
      <w:r>
        <w:rPr>
          <w:rFonts w:cs="Arial"/>
          <w:sz w:val="22"/>
          <w:szCs w:val="22"/>
        </w:rPr>
        <w:t>.</w:t>
      </w:r>
    </w:p>
    <w:p w14:paraId="0A69D54A" w14:textId="679F77D7" w:rsidR="00B40114" w:rsidRDefault="00DF1331" w:rsidP="00DF1331">
      <w:pPr>
        <w:pStyle w:val="Heading2"/>
      </w:pPr>
      <w:bookmarkStart w:id="264" w:name="_Toc532457298"/>
      <w:r>
        <w:t>4.</w:t>
      </w:r>
      <w:r w:rsidR="007169D0">
        <w:t>2</w:t>
      </w:r>
      <w:r>
        <w:tab/>
        <w:t>Addresses a Number of Petitions for Rulemaking</w:t>
      </w:r>
      <w:bookmarkEnd w:id="264"/>
    </w:p>
    <w:p w14:paraId="4B0F8606" w14:textId="757F5FB5" w:rsidR="00DF1331" w:rsidRDefault="00D713F8" w:rsidP="00DF1331">
      <w:pPr>
        <w:autoSpaceDE/>
        <w:autoSpaceDN/>
        <w:adjustRightInd/>
        <w:rPr>
          <w:rFonts w:cs="Arial"/>
          <w:sz w:val="22"/>
          <w:szCs w:val="22"/>
        </w:rPr>
      </w:pPr>
      <w:r>
        <w:rPr>
          <w:rFonts w:cs="Arial"/>
          <w:sz w:val="22"/>
          <w:szCs w:val="24"/>
        </w:rPr>
        <w:t xml:space="preserve">Relative to the regulatory baseline, </w:t>
      </w:r>
      <w:r w:rsidR="00DF1331">
        <w:rPr>
          <w:rFonts w:cs="Arial"/>
          <w:sz w:val="22"/>
          <w:szCs w:val="24"/>
        </w:rPr>
        <w:t xml:space="preserve">Option 2 would </w:t>
      </w:r>
      <w:r w:rsidR="00DF1331" w:rsidRPr="00310A29">
        <w:rPr>
          <w:rFonts w:cs="Arial"/>
          <w:sz w:val="22"/>
          <w:szCs w:val="22"/>
        </w:rPr>
        <w:t>address</w:t>
      </w:r>
      <w:r>
        <w:rPr>
          <w:rFonts w:cs="Arial"/>
          <w:sz w:val="22"/>
          <w:szCs w:val="22"/>
        </w:rPr>
        <w:t>,</w:t>
      </w:r>
      <w:r w:rsidR="00DF1331" w:rsidRPr="00310A29">
        <w:rPr>
          <w:rFonts w:cs="Arial"/>
          <w:sz w:val="22"/>
          <w:szCs w:val="22"/>
        </w:rPr>
        <w:t xml:space="preserve"> and complete the regulatory actions planned for</w:t>
      </w:r>
      <w:r>
        <w:rPr>
          <w:rFonts w:cs="Arial"/>
          <w:sz w:val="22"/>
          <w:szCs w:val="22"/>
        </w:rPr>
        <w:t>,</w:t>
      </w:r>
      <w:r w:rsidR="00DF1331" w:rsidRPr="00310A29">
        <w:rPr>
          <w:rFonts w:cs="Arial"/>
          <w:sz w:val="22"/>
          <w:szCs w:val="22"/>
        </w:rPr>
        <w:t xml:space="preserve"> the five PRMs filed by the N</w:t>
      </w:r>
      <w:r w:rsidR="00DF1331">
        <w:rPr>
          <w:rFonts w:cs="Arial"/>
          <w:sz w:val="22"/>
          <w:szCs w:val="22"/>
        </w:rPr>
        <w:t xml:space="preserve">ational </w:t>
      </w:r>
      <w:r w:rsidR="00DF1331" w:rsidRPr="00310A29">
        <w:rPr>
          <w:rFonts w:cs="Arial"/>
          <w:sz w:val="22"/>
          <w:szCs w:val="22"/>
        </w:rPr>
        <w:t>R</w:t>
      </w:r>
      <w:r w:rsidR="00DF1331">
        <w:rPr>
          <w:rFonts w:cs="Arial"/>
          <w:sz w:val="22"/>
          <w:szCs w:val="22"/>
        </w:rPr>
        <w:t xml:space="preserve">esources </w:t>
      </w:r>
      <w:r w:rsidR="00DF1331" w:rsidRPr="00310A29">
        <w:rPr>
          <w:rFonts w:cs="Arial"/>
          <w:sz w:val="22"/>
          <w:szCs w:val="22"/>
        </w:rPr>
        <w:t>D</w:t>
      </w:r>
      <w:r w:rsidR="00DF1331">
        <w:rPr>
          <w:rFonts w:cs="Arial"/>
          <w:sz w:val="22"/>
          <w:szCs w:val="22"/>
        </w:rPr>
        <w:t xml:space="preserve">efense </w:t>
      </w:r>
      <w:r w:rsidR="00DF1331" w:rsidRPr="00310A29">
        <w:rPr>
          <w:rFonts w:cs="Arial"/>
          <w:sz w:val="22"/>
          <w:szCs w:val="22"/>
        </w:rPr>
        <w:t>C</w:t>
      </w:r>
      <w:r w:rsidR="00DF1331">
        <w:rPr>
          <w:rFonts w:cs="Arial"/>
          <w:sz w:val="22"/>
          <w:szCs w:val="22"/>
        </w:rPr>
        <w:t>ouncil</w:t>
      </w:r>
      <w:r>
        <w:rPr>
          <w:rFonts w:cs="Arial"/>
          <w:sz w:val="22"/>
          <w:szCs w:val="22"/>
        </w:rPr>
        <w:t>,</w:t>
      </w:r>
      <w:r w:rsidR="00DF1331">
        <w:rPr>
          <w:rFonts w:cs="Arial"/>
          <w:sz w:val="22"/>
          <w:szCs w:val="22"/>
        </w:rPr>
        <w:t xml:space="preserve"> Inc.</w:t>
      </w:r>
      <w:r w:rsidR="00DF1331" w:rsidRPr="00310A29">
        <w:rPr>
          <w:rFonts w:cs="Arial"/>
          <w:sz w:val="22"/>
          <w:szCs w:val="22"/>
        </w:rPr>
        <w:t xml:space="preserve"> that raise issues pertain</w:t>
      </w:r>
      <w:r w:rsidR="007315DB">
        <w:rPr>
          <w:rFonts w:cs="Arial"/>
          <w:sz w:val="22"/>
          <w:szCs w:val="22"/>
        </w:rPr>
        <w:t>ing</w:t>
      </w:r>
      <w:r w:rsidR="00DF1331" w:rsidRPr="00310A29">
        <w:rPr>
          <w:rFonts w:cs="Arial"/>
          <w:sz w:val="22"/>
          <w:szCs w:val="22"/>
        </w:rPr>
        <w:t xml:space="preserve"> to the technical aspects of this rulemaking.  The petitions rely solely on the NTTF </w:t>
      </w:r>
      <w:r w:rsidR="007315DB">
        <w:rPr>
          <w:rFonts w:cs="Arial"/>
          <w:sz w:val="22"/>
          <w:szCs w:val="22"/>
        </w:rPr>
        <w:t>r</w:t>
      </w:r>
      <w:r w:rsidR="00DF1331" w:rsidRPr="00310A29">
        <w:rPr>
          <w:rFonts w:cs="Arial"/>
          <w:sz w:val="22"/>
          <w:szCs w:val="22"/>
        </w:rPr>
        <w:t xml:space="preserve">eport and request that the NRC undertake rulemaking in </w:t>
      </w:r>
      <w:r w:rsidR="00B23420">
        <w:rPr>
          <w:rFonts w:cs="Arial"/>
          <w:sz w:val="22"/>
          <w:szCs w:val="22"/>
        </w:rPr>
        <w:t>several</w:t>
      </w:r>
      <w:r w:rsidR="00DF1331" w:rsidRPr="00310A29">
        <w:rPr>
          <w:rFonts w:cs="Arial"/>
          <w:sz w:val="22"/>
          <w:szCs w:val="22"/>
        </w:rPr>
        <w:t xml:space="preserve"> areas that are addressed by this rule.  This rule also addresses</w:t>
      </w:r>
      <w:r>
        <w:rPr>
          <w:rFonts w:cs="Arial"/>
          <w:sz w:val="22"/>
          <w:szCs w:val="22"/>
        </w:rPr>
        <w:t>,</w:t>
      </w:r>
      <w:r w:rsidR="00DF1331" w:rsidRPr="00310A29">
        <w:rPr>
          <w:rFonts w:cs="Arial"/>
          <w:sz w:val="22"/>
          <w:szCs w:val="22"/>
        </w:rPr>
        <w:t xml:space="preserve"> in part</w:t>
      </w:r>
      <w:r>
        <w:rPr>
          <w:rFonts w:cs="Arial"/>
          <w:sz w:val="22"/>
          <w:szCs w:val="22"/>
        </w:rPr>
        <w:t>,</w:t>
      </w:r>
      <w:r w:rsidR="00DF1331" w:rsidRPr="00310A29">
        <w:rPr>
          <w:rFonts w:cs="Arial"/>
          <w:sz w:val="22"/>
          <w:szCs w:val="22"/>
        </w:rPr>
        <w:t xml:space="preserve"> PRM</w:t>
      </w:r>
      <w:r w:rsidR="00DF1331">
        <w:rPr>
          <w:rFonts w:cs="Arial"/>
          <w:sz w:val="22"/>
          <w:szCs w:val="22"/>
        </w:rPr>
        <w:t>-50-96</w:t>
      </w:r>
      <w:r w:rsidR="007315DB">
        <w:rPr>
          <w:rFonts w:cs="Arial"/>
          <w:sz w:val="22"/>
          <w:szCs w:val="22"/>
        </w:rPr>
        <w:t>;</w:t>
      </w:r>
      <w:r w:rsidR="00DF1331" w:rsidRPr="00310A29">
        <w:rPr>
          <w:rFonts w:cs="Arial"/>
          <w:sz w:val="22"/>
          <w:szCs w:val="22"/>
        </w:rPr>
        <w:t xml:space="preserve"> however</w:t>
      </w:r>
      <w:r w:rsidR="00B23420">
        <w:rPr>
          <w:rFonts w:cs="Arial"/>
          <w:sz w:val="22"/>
          <w:szCs w:val="22"/>
        </w:rPr>
        <w:t>,</w:t>
      </w:r>
      <w:r w:rsidR="00DF1331" w:rsidRPr="00310A29">
        <w:rPr>
          <w:rFonts w:cs="Arial"/>
          <w:sz w:val="22"/>
          <w:szCs w:val="22"/>
        </w:rPr>
        <w:t xml:space="preserve"> the issues raised in that petition remain under consideration by the NRC</w:t>
      </w:r>
      <w:r>
        <w:rPr>
          <w:rFonts w:cs="Arial"/>
          <w:sz w:val="22"/>
          <w:szCs w:val="22"/>
        </w:rPr>
        <w:t>.</w:t>
      </w:r>
      <w:r w:rsidR="00892E7C">
        <w:rPr>
          <w:rFonts w:cs="Arial"/>
          <w:sz w:val="22"/>
          <w:szCs w:val="22"/>
        </w:rPr>
        <w:t xml:space="preserve">  </w:t>
      </w:r>
      <w:r w:rsidR="00927511">
        <w:rPr>
          <w:rFonts w:cs="Arial"/>
          <w:sz w:val="22"/>
          <w:szCs w:val="22"/>
        </w:rPr>
        <w:t>The net cost to achieve this objective is included in the costs discussed in Section 4.1.</w:t>
      </w:r>
    </w:p>
    <w:p w14:paraId="15C5F6E3" w14:textId="77777777" w:rsidR="00272931" w:rsidRDefault="00272931" w:rsidP="00DF1331">
      <w:pPr>
        <w:autoSpaceDE/>
        <w:autoSpaceDN/>
        <w:adjustRightInd/>
        <w:rPr>
          <w:rFonts w:cs="Arial"/>
          <w:sz w:val="22"/>
          <w:szCs w:val="22"/>
        </w:rPr>
      </w:pPr>
    </w:p>
    <w:p w14:paraId="669D28AC" w14:textId="079197BB" w:rsidR="00272931" w:rsidRPr="00272931" w:rsidRDefault="00272931" w:rsidP="00272931">
      <w:pPr>
        <w:pStyle w:val="Heading2"/>
      </w:pPr>
      <w:bookmarkStart w:id="265" w:name="_Toc532457299"/>
      <w:r>
        <w:t>4.3</w:t>
      </w:r>
      <w:r>
        <w:tab/>
      </w:r>
      <w:r w:rsidRPr="00272931">
        <w:t>Summary</w:t>
      </w:r>
      <w:bookmarkEnd w:id="265"/>
    </w:p>
    <w:p w14:paraId="48A410ED" w14:textId="77777777" w:rsidR="009022C9" w:rsidRDefault="00194F5A" w:rsidP="00194F5A">
      <w:pPr>
        <w:rPr>
          <w:rFonts w:eastAsiaTheme="minorHAnsi" w:cs="Arial"/>
          <w:color w:val="000000"/>
          <w:sz w:val="22"/>
          <w:szCs w:val="22"/>
        </w:rPr>
      </w:pPr>
      <w:r>
        <w:rPr>
          <w:rFonts w:eastAsiaTheme="minorHAnsi" w:cs="Arial"/>
          <w:color w:val="000000"/>
          <w:sz w:val="22"/>
          <w:szCs w:val="22"/>
        </w:rPr>
        <w:t>Based on the NRC’s assessment of the costs and benefits of the rule, the NRC has concluded that the MBDBE final rule is justified.</w:t>
      </w:r>
      <w:bookmarkStart w:id="266" w:name="_Toc359999634"/>
      <w:bookmarkStart w:id="267" w:name="_Toc381266985"/>
      <w:bookmarkStart w:id="268" w:name="_Toc381267328"/>
      <w:bookmarkStart w:id="269" w:name="_Toc404777860"/>
    </w:p>
    <w:p w14:paraId="74BD5A51" w14:textId="592A2E3C" w:rsidR="008A2805" w:rsidRDefault="008A2805" w:rsidP="00194F5A">
      <w:pPr>
        <w:rPr>
          <w:b/>
          <w:sz w:val="22"/>
        </w:rPr>
      </w:pPr>
      <w:r>
        <w:rPr>
          <w:b/>
          <w:sz w:val="22"/>
        </w:rPr>
        <w:br w:type="page"/>
      </w:r>
    </w:p>
    <w:p w14:paraId="1F3ED508" w14:textId="65D046FA" w:rsidR="00A367CB" w:rsidRPr="00ED1D75" w:rsidRDefault="00A367CB" w:rsidP="00195CD6">
      <w:pPr>
        <w:pStyle w:val="Heading1"/>
      </w:pPr>
      <w:bookmarkStart w:id="270" w:name="_Toc460911643"/>
      <w:bookmarkStart w:id="271" w:name="_Toc460911685"/>
      <w:bookmarkStart w:id="272" w:name="_Toc460911727"/>
      <w:bookmarkStart w:id="273" w:name="_Toc460911769"/>
      <w:bookmarkStart w:id="274" w:name="_Toc460911811"/>
      <w:bookmarkStart w:id="275" w:name="_Toc460932061"/>
      <w:bookmarkStart w:id="276" w:name="_Toc460932107"/>
      <w:bookmarkStart w:id="277" w:name="_Toc460932153"/>
      <w:bookmarkStart w:id="278" w:name="_Toc460932199"/>
      <w:bookmarkStart w:id="279" w:name="_Toc532457300"/>
      <w:r w:rsidRPr="00ED1D75">
        <w:t>References</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4621FD3" w14:textId="03596E8A" w:rsidR="0055624D" w:rsidRDefault="005F420D" w:rsidP="005F420D">
      <w:pPr>
        <w:autoSpaceDE/>
        <w:autoSpaceDN/>
        <w:adjustRightInd/>
        <w:rPr>
          <w:rFonts w:cs="Arial"/>
          <w:sz w:val="22"/>
          <w:szCs w:val="22"/>
        </w:rPr>
      </w:pPr>
      <w:r w:rsidRPr="005F420D">
        <w:rPr>
          <w:rFonts w:cs="Arial"/>
          <w:i/>
          <w:iCs/>
          <w:sz w:val="22"/>
          <w:szCs w:val="22"/>
        </w:rPr>
        <w:t>Code of Federal Regulations</w:t>
      </w:r>
      <w:r w:rsidR="0055624D">
        <w:rPr>
          <w:rFonts w:cs="Arial"/>
          <w:iCs/>
          <w:sz w:val="22"/>
          <w:szCs w:val="22"/>
        </w:rPr>
        <w:t xml:space="preserve"> (CFR)</w:t>
      </w:r>
      <w:r w:rsidRPr="005F420D">
        <w:rPr>
          <w:rFonts w:cs="Arial"/>
          <w:sz w:val="22"/>
          <w:szCs w:val="22"/>
        </w:rPr>
        <w:t xml:space="preserve">, </w:t>
      </w:r>
      <w:r w:rsidR="0055624D" w:rsidRPr="005F420D">
        <w:rPr>
          <w:rFonts w:cs="Arial"/>
          <w:sz w:val="22"/>
          <w:szCs w:val="22"/>
        </w:rPr>
        <w:t xml:space="preserve">Title 10, </w:t>
      </w:r>
      <w:r w:rsidR="0055624D" w:rsidRPr="0055624D">
        <w:rPr>
          <w:rFonts w:cs="Arial"/>
          <w:i/>
          <w:sz w:val="22"/>
          <w:szCs w:val="22"/>
        </w:rPr>
        <w:t>Energy</w:t>
      </w:r>
      <w:r w:rsidR="0055624D">
        <w:rPr>
          <w:rFonts w:cs="Arial"/>
          <w:sz w:val="22"/>
          <w:szCs w:val="22"/>
        </w:rPr>
        <w:t xml:space="preserve">, </w:t>
      </w:r>
      <w:r w:rsidR="0055624D" w:rsidRPr="005F420D">
        <w:rPr>
          <w:rFonts w:cs="Arial"/>
          <w:sz w:val="22"/>
          <w:szCs w:val="22"/>
        </w:rPr>
        <w:t>Part 50</w:t>
      </w:r>
      <w:r w:rsidR="0055624D">
        <w:rPr>
          <w:rFonts w:cs="Arial"/>
          <w:sz w:val="22"/>
          <w:szCs w:val="22"/>
        </w:rPr>
        <w:t>,</w:t>
      </w:r>
      <w:r w:rsidR="0055624D" w:rsidRPr="005F420D">
        <w:rPr>
          <w:rFonts w:cs="Arial"/>
          <w:sz w:val="22"/>
          <w:szCs w:val="22"/>
        </w:rPr>
        <w:t xml:space="preserve"> </w:t>
      </w:r>
      <w:r w:rsidRPr="005F420D">
        <w:rPr>
          <w:rFonts w:cs="Arial"/>
          <w:sz w:val="22"/>
          <w:szCs w:val="22"/>
        </w:rPr>
        <w:t>“Domestic Licensing of Production and Utilization Facilities</w:t>
      </w:r>
      <w:r w:rsidR="0055624D">
        <w:rPr>
          <w:rFonts w:cs="Arial"/>
          <w:sz w:val="22"/>
          <w:szCs w:val="22"/>
        </w:rPr>
        <w:t>.</w:t>
      </w:r>
      <w:r w:rsidRPr="005F420D">
        <w:rPr>
          <w:rFonts w:cs="Arial"/>
          <w:sz w:val="22"/>
          <w:szCs w:val="22"/>
        </w:rPr>
        <w:t>”</w:t>
      </w:r>
      <w:r w:rsidR="0055624D">
        <w:rPr>
          <w:rFonts w:cs="Arial"/>
          <w:sz w:val="22"/>
          <w:szCs w:val="22"/>
        </w:rPr>
        <w:t xml:space="preserve">  </w:t>
      </w:r>
      <w:r w:rsidR="0055624D" w:rsidRPr="0055624D">
        <w:rPr>
          <w:rFonts w:cs="Arial"/>
          <w:sz w:val="22"/>
          <w:szCs w:val="22"/>
        </w:rPr>
        <w:t xml:space="preserve">Available at </w:t>
      </w:r>
      <w:hyperlink r:id="rId17" w:history="1">
        <w:r w:rsidR="0055624D" w:rsidRPr="00F26068">
          <w:rPr>
            <w:rStyle w:val="Hyperlink"/>
            <w:rFonts w:cs="Arial"/>
            <w:sz w:val="22"/>
            <w:szCs w:val="22"/>
          </w:rPr>
          <w:t>http://www.nrc.gov/reading-rm/doc-collections/cfr/part050/</w:t>
        </w:r>
      </w:hyperlink>
      <w:r w:rsidR="0055624D">
        <w:rPr>
          <w:rFonts w:cs="Arial"/>
          <w:sz w:val="22"/>
          <w:szCs w:val="22"/>
        </w:rPr>
        <w:t>.</w:t>
      </w:r>
    </w:p>
    <w:p w14:paraId="5993779A" w14:textId="77777777" w:rsidR="0055624D" w:rsidRDefault="0055624D" w:rsidP="005F420D">
      <w:pPr>
        <w:autoSpaceDE/>
        <w:autoSpaceDN/>
        <w:adjustRightInd/>
        <w:rPr>
          <w:rFonts w:cs="Arial"/>
          <w:sz w:val="22"/>
          <w:szCs w:val="22"/>
        </w:rPr>
      </w:pPr>
    </w:p>
    <w:p w14:paraId="58BECEF0" w14:textId="087CBB60" w:rsidR="005F420D" w:rsidRPr="005F420D" w:rsidRDefault="0055624D" w:rsidP="005F420D">
      <w:pPr>
        <w:autoSpaceDE/>
        <w:autoSpaceDN/>
        <w:adjustRightInd/>
        <w:rPr>
          <w:rFonts w:cs="Arial"/>
          <w:sz w:val="22"/>
          <w:szCs w:val="22"/>
        </w:rPr>
      </w:pPr>
      <w:r>
        <w:rPr>
          <w:rFonts w:cs="Arial"/>
          <w:iCs/>
          <w:sz w:val="22"/>
          <w:szCs w:val="22"/>
        </w:rPr>
        <w:t>CFR</w:t>
      </w:r>
      <w:r w:rsidRPr="005F420D">
        <w:rPr>
          <w:rFonts w:cs="Arial"/>
          <w:sz w:val="22"/>
          <w:szCs w:val="22"/>
        </w:rPr>
        <w:t xml:space="preserve">, Title 10, </w:t>
      </w:r>
      <w:r w:rsidRPr="0055624D">
        <w:rPr>
          <w:rFonts w:cs="Arial"/>
          <w:i/>
          <w:sz w:val="22"/>
          <w:szCs w:val="22"/>
        </w:rPr>
        <w:t>Energy</w:t>
      </w:r>
      <w:r>
        <w:rPr>
          <w:rFonts w:cs="Arial"/>
          <w:sz w:val="22"/>
          <w:szCs w:val="22"/>
        </w:rPr>
        <w:t>,</w:t>
      </w:r>
      <w:r w:rsidR="005F420D" w:rsidRPr="005F420D">
        <w:rPr>
          <w:rFonts w:cs="Arial"/>
          <w:sz w:val="22"/>
          <w:szCs w:val="22"/>
        </w:rPr>
        <w:t xml:space="preserve"> </w:t>
      </w:r>
      <w:r w:rsidRPr="005F420D">
        <w:rPr>
          <w:rFonts w:cs="Arial"/>
          <w:sz w:val="22"/>
          <w:szCs w:val="22"/>
        </w:rPr>
        <w:t xml:space="preserve">Part 52 </w:t>
      </w:r>
      <w:r w:rsidR="005F420D" w:rsidRPr="005F420D">
        <w:rPr>
          <w:rFonts w:cs="Arial"/>
          <w:sz w:val="22"/>
          <w:szCs w:val="22"/>
        </w:rPr>
        <w:t>“Licenses, Certifications, and Approvals for Nuclear Power Plants</w:t>
      </w:r>
      <w:r>
        <w:rPr>
          <w:rFonts w:cs="Arial"/>
          <w:sz w:val="22"/>
          <w:szCs w:val="22"/>
        </w:rPr>
        <w:t>.</w:t>
      </w:r>
      <w:r w:rsidR="005F420D" w:rsidRPr="005F420D">
        <w:rPr>
          <w:rFonts w:cs="Arial"/>
          <w:sz w:val="22"/>
          <w:szCs w:val="22"/>
        </w:rPr>
        <w:t>”</w:t>
      </w:r>
      <w:r>
        <w:rPr>
          <w:rFonts w:cs="Arial"/>
          <w:sz w:val="22"/>
          <w:szCs w:val="22"/>
        </w:rPr>
        <w:t xml:space="preserve">  </w:t>
      </w:r>
      <w:r>
        <w:rPr>
          <w:rFonts w:eastAsiaTheme="minorHAnsi" w:cs="Arial"/>
          <w:color w:val="000000"/>
          <w:sz w:val="22"/>
          <w:szCs w:val="22"/>
        </w:rPr>
        <w:t xml:space="preserve">Available at </w:t>
      </w:r>
      <w:r>
        <w:rPr>
          <w:rFonts w:eastAsiaTheme="minorHAnsi" w:cs="Arial"/>
          <w:color w:val="0000FF"/>
          <w:sz w:val="22"/>
          <w:szCs w:val="22"/>
        </w:rPr>
        <w:t>https://www.nrc.gov/reading-rm/doc-collections/cfr/part052/</w:t>
      </w:r>
      <w:r>
        <w:rPr>
          <w:rFonts w:eastAsiaTheme="minorHAnsi" w:cs="Arial"/>
          <w:color w:val="000000"/>
          <w:sz w:val="22"/>
          <w:szCs w:val="22"/>
        </w:rPr>
        <w:t>.</w:t>
      </w:r>
    </w:p>
    <w:p w14:paraId="2B15AE12" w14:textId="77777777" w:rsidR="005F420D" w:rsidRPr="0055427F" w:rsidRDefault="005F420D" w:rsidP="005F420D">
      <w:pPr>
        <w:pStyle w:val="ListParagraph"/>
        <w:autoSpaceDE/>
        <w:autoSpaceDN/>
        <w:adjustRightInd/>
        <w:ind w:left="0"/>
        <w:contextualSpacing w:val="0"/>
        <w:rPr>
          <w:rFonts w:cs="Arial"/>
          <w:sz w:val="22"/>
          <w:szCs w:val="22"/>
        </w:rPr>
      </w:pPr>
    </w:p>
    <w:p w14:paraId="290E8A28" w14:textId="0F3FFFD3" w:rsidR="005F420D" w:rsidRPr="005F420D" w:rsidRDefault="005F420D" w:rsidP="005F420D">
      <w:pPr>
        <w:rPr>
          <w:rFonts w:cs="Arial"/>
          <w:sz w:val="22"/>
          <w:szCs w:val="22"/>
        </w:rPr>
      </w:pPr>
      <w:r w:rsidRPr="005F420D">
        <w:rPr>
          <w:rFonts w:cs="Arial"/>
          <w:sz w:val="22"/>
          <w:szCs w:val="22"/>
        </w:rPr>
        <w:t>Consolidated Appropriations Act, Pub. L. No. 112-074, Sec. 402, 2012.</w:t>
      </w:r>
    </w:p>
    <w:p w14:paraId="3D651306" w14:textId="77777777" w:rsidR="00833EB3" w:rsidRPr="0055427F" w:rsidRDefault="00833EB3" w:rsidP="00833EB3">
      <w:pPr>
        <w:pStyle w:val="ListParagraph"/>
        <w:ind w:left="0"/>
        <w:rPr>
          <w:rFonts w:cs="Arial"/>
          <w:sz w:val="22"/>
          <w:szCs w:val="22"/>
        </w:rPr>
      </w:pPr>
    </w:p>
    <w:p w14:paraId="5818AB6E" w14:textId="2008DAEF" w:rsidR="005F420D" w:rsidRPr="005F420D" w:rsidRDefault="000576E6" w:rsidP="005F420D">
      <w:pPr>
        <w:rPr>
          <w:rFonts w:eastAsiaTheme="minorHAnsi" w:cs="Arial"/>
          <w:color w:val="000000"/>
          <w:sz w:val="22"/>
          <w:szCs w:val="22"/>
        </w:rPr>
      </w:pPr>
      <w:r>
        <w:rPr>
          <w:rFonts w:cs="Arial"/>
          <w:sz w:val="22"/>
          <w:szCs w:val="22"/>
        </w:rPr>
        <w:t>Nuclear Energy Institute (</w:t>
      </w:r>
      <w:r w:rsidR="008A288F">
        <w:rPr>
          <w:rFonts w:cs="Arial"/>
          <w:sz w:val="22"/>
          <w:szCs w:val="22"/>
        </w:rPr>
        <w:t>NEI</w:t>
      </w:r>
      <w:r>
        <w:rPr>
          <w:rFonts w:cs="Arial"/>
          <w:sz w:val="22"/>
          <w:szCs w:val="22"/>
        </w:rPr>
        <w:t>)</w:t>
      </w:r>
      <w:r w:rsidR="005F420D" w:rsidRPr="005F420D">
        <w:rPr>
          <w:rFonts w:cs="Arial"/>
          <w:sz w:val="22"/>
          <w:szCs w:val="22"/>
        </w:rPr>
        <w:t xml:space="preserve">, “Diverse and Flexible Coping Strategies (FLEX) Implementation Guide,” NEI 12-06, Rev. </w:t>
      </w:r>
      <w:r>
        <w:rPr>
          <w:rFonts w:cs="Arial"/>
          <w:sz w:val="22"/>
          <w:szCs w:val="22"/>
        </w:rPr>
        <w:t>4</w:t>
      </w:r>
      <w:r w:rsidR="005F420D" w:rsidRPr="005F420D">
        <w:rPr>
          <w:rFonts w:cs="Arial"/>
          <w:sz w:val="22"/>
          <w:szCs w:val="22"/>
        </w:rPr>
        <w:t xml:space="preserve">, </w:t>
      </w:r>
      <w:r>
        <w:rPr>
          <w:rFonts w:cs="Arial"/>
          <w:sz w:val="22"/>
          <w:szCs w:val="22"/>
        </w:rPr>
        <w:t>December</w:t>
      </w:r>
      <w:r w:rsidR="008A288F">
        <w:rPr>
          <w:rFonts w:cs="Arial"/>
          <w:sz w:val="22"/>
          <w:szCs w:val="22"/>
        </w:rPr>
        <w:t xml:space="preserve"> 2016, </w:t>
      </w:r>
      <w:r w:rsidR="001A7723" w:rsidRPr="00616064">
        <w:rPr>
          <w:rFonts w:cs="Arial"/>
          <w:sz w:val="22"/>
          <w:szCs w:val="22"/>
        </w:rPr>
        <w:t>Agencywide Documents Access and Management System</w:t>
      </w:r>
      <w:r w:rsidR="001A7723" w:rsidRPr="005F420D">
        <w:rPr>
          <w:rFonts w:cs="Arial"/>
          <w:sz w:val="22"/>
          <w:szCs w:val="22"/>
        </w:rPr>
        <w:t xml:space="preserve"> </w:t>
      </w:r>
      <w:r w:rsidR="001A7723">
        <w:rPr>
          <w:rFonts w:cs="Arial"/>
          <w:sz w:val="22"/>
          <w:szCs w:val="22"/>
        </w:rPr>
        <w:t>(</w:t>
      </w:r>
      <w:r w:rsidR="005F420D" w:rsidRPr="005F420D">
        <w:rPr>
          <w:rFonts w:cs="Arial"/>
          <w:sz w:val="22"/>
          <w:szCs w:val="22"/>
        </w:rPr>
        <w:t>ADAMS</w:t>
      </w:r>
      <w:r w:rsidR="001A7723">
        <w:rPr>
          <w:rFonts w:cs="Arial"/>
          <w:sz w:val="22"/>
          <w:szCs w:val="22"/>
        </w:rPr>
        <w:t>)</w:t>
      </w:r>
      <w:r w:rsidR="005F420D" w:rsidRPr="005F420D">
        <w:rPr>
          <w:rFonts w:cs="Arial"/>
          <w:sz w:val="22"/>
          <w:szCs w:val="22"/>
        </w:rPr>
        <w:t xml:space="preserve"> Accession No. ML16267A274.</w:t>
      </w:r>
    </w:p>
    <w:p w14:paraId="1DE73526" w14:textId="77777777" w:rsidR="008A288F" w:rsidRDefault="008A288F" w:rsidP="008A288F">
      <w:pPr>
        <w:rPr>
          <w:rFonts w:cs="Arial"/>
          <w:sz w:val="22"/>
          <w:szCs w:val="22"/>
        </w:rPr>
      </w:pPr>
    </w:p>
    <w:p w14:paraId="382EBFBC" w14:textId="2856425B" w:rsidR="001A7723" w:rsidRDefault="001A7723" w:rsidP="008A288F">
      <w:pPr>
        <w:rPr>
          <w:rFonts w:cs="Arial"/>
          <w:sz w:val="22"/>
          <w:szCs w:val="22"/>
        </w:rPr>
      </w:pPr>
      <w:r>
        <w:rPr>
          <w:rFonts w:cs="Arial"/>
          <w:sz w:val="22"/>
          <w:szCs w:val="22"/>
        </w:rPr>
        <w:t xml:space="preserve">U.S. Nuclear Regulatory Commission (NRC), “Power Reactor Security Requirements,” </w:t>
      </w:r>
      <w:r>
        <w:rPr>
          <w:rFonts w:cs="Arial"/>
          <w:i/>
          <w:sz w:val="22"/>
          <w:szCs w:val="22"/>
        </w:rPr>
        <w:t xml:space="preserve">Federal </w:t>
      </w:r>
      <w:r w:rsidRPr="000576E6">
        <w:rPr>
          <w:rFonts w:cs="Arial"/>
          <w:i/>
          <w:sz w:val="22"/>
          <w:szCs w:val="22"/>
        </w:rPr>
        <w:t>Register</w:t>
      </w:r>
      <w:r>
        <w:rPr>
          <w:rFonts w:cs="Arial"/>
          <w:sz w:val="22"/>
          <w:szCs w:val="22"/>
        </w:rPr>
        <w:t xml:space="preserve"> Volume</w:t>
      </w:r>
      <w:r w:rsidR="00BC2728">
        <w:rPr>
          <w:rFonts w:cs="Arial"/>
          <w:sz w:val="22"/>
          <w:szCs w:val="22"/>
        </w:rPr>
        <w:t xml:space="preserve"> </w:t>
      </w:r>
      <w:r w:rsidRPr="001A7723">
        <w:rPr>
          <w:rFonts w:cs="Arial"/>
          <w:sz w:val="22"/>
          <w:szCs w:val="22"/>
        </w:rPr>
        <w:t>74</w:t>
      </w:r>
      <w:r>
        <w:rPr>
          <w:rFonts w:cs="Arial"/>
          <w:sz w:val="22"/>
          <w:szCs w:val="22"/>
        </w:rPr>
        <w:t>, Issue</w:t>
      </w:r>
      <w:r w:rsidR="00BC2728">
        <w:rPr>
          <w:rFonts w:cs="Arial"/>
          <w:sz w:val="22"/>
          <w:szCs w:val="22"/>
        </w:rPr>
        <w:t xml:space="preserve"> 58, Page </w:t>
      </w:r>
      <w:r>
        <w:rPr>
          <w:rFonts w:cs="Arial"/>
          <w:sz w:val="22"/>
          <w:szCs w:val="22"/>
        </w:rPr>
        <w:t>13925</w:t>
      </w:r>
      <w:r w:rsidR="00BC2728">
        <w:rPr>
          <w:rFonts w:cs="Arial"/>
          <w:sz w:val="22"/>
          <w:szCs w:val="22"/>
        </w:rPr>
        <w:t xml:space="preserve"> (74 FR 13925)</w:t>
      </w:r>
      <w:r>
        <w:rPr>
          <w:rFonts w:cs="Arial"/>
          <w:sz w:val="22"/>
          <w:szCs w:val="22"/>
        </w:rPr>
        <w:t>, March</w:t>
      </w:r>
      <w:r w:rsidR="00BC2728">
        <w:rPr>
          <w:rFonts w:cs="Arial"/>
          <w:sz w:val="22"/>
          <w:szCs w:val="22"/>
        </w:rPr>
        <w:t xml:space="preserve"> 27, 2009.</w:t>
      </w:r>
    </w:p>
    <w:p w14:paraId="747E579A" w14:textId="77777777" w:rsidR="001A7723" w:rsidRPr="0055427F" w:rsidRDefault="001A7723" w:rsidP="008A288F">
      <w:pPr>
        <w:rPr>
          <w:rFonts w:cs="Arial"/>
          <w:sz w:val="22"/>
          <w:szCs w:val="22"/>
        </w:rPr>
      </w:pPr>
    </w:p>
    <w:p w14:paraId="7559D2CD" w14:textId="020F30A0" w:rsidR="005F420D" w:rsidRPr="005F420D" w:rsidRDefault="005F420D" w:rsidP="005F420D">
      <w:pPr>
        <w:rPr>
          <w:rFonts w:cs="Arial"/>
          <w:sz w:val="22"/>
          <w:szCs w:val="22"/>
        </w:rPr>
      </w:pPr>
      <w:r w:rsidRPr="005F420D">
        <w:rPr>
          <w:rFonts w:cs="Arial"/>
          <w:sz w:val="22"/>
          <w:szCs w:val="22"/>
        </w:rPr>
        <w:t xml:space="preserve">NRC, “Issuance of </w:t>
      </w:r>
      <w:r w:rsidRPr="005F420D">
        <w:rPr>
          <w:rFonts w:cs="Arial"/>
          <w:bCs/>
          <w:sz w:val="22"/>
          <w:szCs w:val="22"/>
        </w:rPr>
        <w:t xml:space="preserve">Order To Modify Licenses with Regard to Requirements for Mitigation Strategies for Beyond-Design-Basis External Events,” </w:t>
      </w:r>
      <w:r w:rsidRPr="005F420D">
        <w:rPr>
          <w:rFonts w:cs="Arial"/>
          <w:sz w:val="22"/>
          <w:szCs w:val="22"/>
        </w:rPr>
        <w:t xml:space="preserve">Order EA-12-049, </w:t>
      </w:r>
      <w:r w:rsidRPr="005F420D">
        <w:rPr>
          <w:rFonts w:cs="Arial"/>
          <w:bCs/>
          <w:sz w:val="22"/>
          <w:szCs w:val="22"/>
        </w:rPr>
        <w:t xml:space="preserve">March 12, 2012a, </w:t>
      </w:r>
      <w:r w:rsidRPr="005F420D">
        <w:rPr>
          <w:rFonts w:cs="Arial"/>
          <w:sz w:val="22"/>
          <w:szCs w:val="22"/>
        </w:rPr>
        <w:t xml:space="preserve">ADAMS Accession No. </w:t>
      </w:r>
      <w:r w:rsidRPr="005F420D">
        <w:rPr>
          <w:rFonts w:cs="Arial"/>
          <w:bCs/>
          <w:sz w:val="22"/>
          <w:szCs w:val="22"/>
        </w:rPr>
        <w:t>ML12054A736.</w:t>
      </w:r>
    </w:p>
    <w:p w14:paraId="11F8EED2" w14:textId="77777777" w:rsidR="005F420D" w:rsidRPr="0055427F" w:rsidRDefault="005F420D" w:rsidP="005F420D">
      <w:pPr>
        <w:pStyle w:val="ListParagraph"/>
        <w:ind w:left="0"/>
        <w:rPr>
          <w:rFonts w:cs="Arial"/>
          <w:sz w:val="22"/>
          <w:szCs w:val="22"/>
        </w:rPr>
      </w:pPr>
    </w:p>
    <w:p w14:paraId="15EEBAF2" w14:textId="3B8394F6" w:rsidR="005F420D" w:rsidRPr="005F420D" w:rsidRDefault="005F420D" w:rsidP="005F420D">
      <w:pPr>
        <w:rPr>
          <w:rFonts w:cs="Arial"/>
          <w:sz w:val="22"/>
          <w:szCs w:val="22"/>
        </w:rPr>
      </w:pPr>
      <w:r w:rsidRPr="005F420D">
        <w:rPr>
          <w:rFonts w:cs="Arial"/>
          <w:sz w:val="22"/>
          <w:szCs w:val="22"/>
        </w:rPr>
        <w:t>NRC, “Issuance of Order To Modify Licenses with Regard to Reliable Spent Fuel Pool Instrumentation,” Order EA-12-051, March 12, 2012b, ADAMS Accession No. ML12054A682.</w:t>
      </w:r>
    </w:p>
    <w:p w14:paraId="0286826D" w14:textId="77777777" w:rsidR="005F420D" w:rsidRPr="0055427F" w:rsidRDefault="005F420D" w:rsidP="005F420D">
      <w:pPr>
        <w:pStyle w:val="ListParagraph"/>
        <w:ind w:left="0"/>
        <w:rPr>
          <w:rFonts w:cs="Arial"/>
          <w:sz w:val="22"/>
          <w:szCs w:val="22"/>
        </w:rPr>
      </w:pPr>
    </w:p>
    <w:p w14:paraId="37A7ABE5" w14:textId="19CF97B5" w:rsidR="00BB3D5C" w:rsidRPr="005F420D" w:rsidRDefault="00BB3D5C" w:rsidP="00BB3D5C">
      <w:pPr>
        <w:rPr>
          <w:rFonts w:cs="Arial"/>
          <w:sz w:val="22"/>
          <w:szCs w:val="22"/>
        </w:rPr>
      </w:pPr>
      <w:r>
        <w:rPr>
          <w:rFonts w:cs="Arial"/>
          <w:sz w:val="22"/>
          <w:szCs w:val="22"/>
        </w:rPr>
        <w:t>NRC</w:t>
      </w:r>
      <w:r w:rsidRPr="005F420D">
        <w:rPr>
          <w:rFonts w:cs="Arial"/>
          <w:sz w:val="22"/>
          <w:szCs w:val="22"/>
        </w:rPr>
        <w:t>, “Closure Plan for the Reevaluation of Flooding Hazards for Operating Nuclear Power Plants,” Commission Paper COMSECY</w:t>
      </w:r>
      <w:r w:rsidRPr="005F420D">
        <w:rPr>
          <w:rFonts w:cs="Arial"/>
          <w:sz w:val="22"/>
          <w:szCs w:val="22"/>
        </w:rPr>
        <w:noBreakHyphen/>
        <w:t>15-0019, June</w:t>
      </w:r>
      <w:r>
        <w:rPr>
          <w:rFonts w:cs="Arial"/>
          <w:sz w:val="22"/>
          <w:szCs w:val="22"/>
        </w:rPr>
        <w:t> </w:t>
      </w:r>
      <w:r w:rsidRPr="005F420D">
        <w:rPr>
          <w:rFonts w:cs="Arial"/>
          <w:sz w:val="22"/>
          <w:szCs w:val="22"/>
        </w:rPr>
        <w:t>30, 2015</w:t>
      </w:r>
      <w:r w:rsidR="00825159">
        <w:rPr>
          <w:rFonts w:cs="Arial"/>
          <w:sz w:val="22"/>
          <w:szCs w:val="22"/>
        </w:rPr>
        <w:t>a</w:t>
      </w:r>
      <w:r w:rsidRPr="005F420D">
        <w:rPr>
          <w:rFonts w:cs="Arial"/>
          <w:sz w:val="22"/>
          <w:szCs w:val="22"/>
        </w:rPr>
        <w:t>, ADAMS Accession No. ML15153A105.</w:t>
      </w:r>
    </w:p>
    <w:p w14:paraId="367A47C9" w14:textId="77777777" w:rsidR="00BB3D5C" w:rsidRPr="0055427F" w:rsidRDefault="00BB3D5C" w:rsidP="00BB3D5C">
      <w:pPr>
        <w:pStyle w:val="ListParagraph"/>
        <w:rPr>
          <w:rFonts w:cs="Arial"/>
          <w:sz w:val="22"/>
          <w:szCs w:val="22"/>
        </w:rPr>
      </w:pPr>
    </w:p>
    <w:p w14:paraId="3893010C" w14:textId="15B1DA03" w:rsidR="005F420D" w:rsidRPr="005F420D" w:rsidRDefault="00BB3D5C" w:rsidP="005F420D">
      <w:pPr>
        <w:rPr>
          <w:rFonts w:eastAsiaTheme="minorHAnsi" w:cs="Arial"/>
          <w:color w:val="000000"/>
          <w:sz w:val="22"/>
          <w:szCs w:val="22"/>
        </w:rPr>
      </w:pPr>
      <w:r>
        <w:rPr>
          <w:rFonts w:cs="Arial"/>
          <w:sz w:val="22"/>
          <w:szCs w:val="22"/>
        </w:rPr>
        <w:t>NRC</w:t>
      </w:r>
      <w:r w:rsidR="005F420D" w:rsidRPr="005F420D">
        <w:rPr>
          <w:rFonts w:cs="Arial"/>
          <w:sz w:val="22"/>
          <w:szCs w:val="22"/>
        </w:rPr>
        <w:t>, “Staff Requirements—SECY</w:t>
      </w:r>
      <w:r w:rsidR="005F420D" w:rsidRPr="005F420D">
        <w:rPr>
          <w:rFonts w:cs="Arial"/>
          <w:sz w:val="22"/>
          <w:szCs w:val="22"/>
        </w:rPr>
        <w:noBreakHyphen/>
        <w:t>15-0065— Proposed Rule:  Mitigation of Beyond</w:t>
      </w:r>
      <w:r w:rsidR="000576E6">
        <w:rPr>
          <w:rFonts w:cs="Arial"/>
          <w:sz w:val="22"/>
          <w:szCs w:val="22"/>
        </w:rPr>
        <w:noBreakHyphen/>
      </w:r>
      <w:r w:rsidR="005F420D" w:rsidRPr="005F420D">
        <w:rPr>
          <w:rFonts w:cs="Arial"/>
          <w:sz w:val="22"/>
          <w:szCs w:val="22"/>
        </w:rPr>
        <w:t>Design</w:t>
      </w:r>
      <w:r w:rsidR="000576E6">
        <w:rPr>
          <w:rFonts w:cs="Arial"/>
          <w:sz w:val="22"/>
          <w:szCs w:val="22"/>
        </w:rPr>
        <w:noBreakHyphen/>
      </w:r>
      <w:r w:rsidR="005F420D" w:rsidRPr="005F420D">
        <w:rPr>
          <w:rFonts w:cs="Arial"/>
          <w:sz w:val="22"/>
          <w:szCs w:val="22"/>
        </w:rPr>
        <w:t>Basis Events,” dated August 27, 2015</w:t>
      </w:r>
      <w:r w:rsidR="00825159">
        <w:rPr>
          <w:rFonts w:cs="Arial"/>
          <w:sz w:val="22"/>
          <w:szCs w:val="22"/>
        </w:rPr>
        <w:t>b</w:t>
      </w:r>
      <w:r w:rsidR="005F420D" w:rsidRPr="005F420D">
        <w:rPr>
          <w:rFonts w:cs="Arial"/>
          <w:sz w:val="22"/>
          <w:szCs w:val="22"/>
        </w:rPr>
        <w:t xml:space="preserve">, </w:t>
      </w:r>
      <w:r w:rsidR="005F420D" w:rsidRPr="005F420D">
        <w:rPr>
          <w:rFonts w:eastAsiaTheme="minorHAnsi" w:cs="Arial"/>
          <w:sz w:val="22"/>
          <w:szCs w:val="22"/>
        </w:rPr>
        <w:t>ADAMS Accession No. ML15239A767.</w:t>
      </w:r>
    </w:p>
    <w:p w14:paraId="7A9BEEF7" w14:textId="77777777" w:rsidR="005F420D" w:rsidRPr="0055427F" w:rsidRDefault="005F420D" w:rsidP="005F420D">
      <w:pPr>
        <w:pStyle w:val="ListParagraph"/>
        <w:ind w:left="0"/>
        <w:rPr>
          <w:rFonts w:eastAsiaTheme="minorHAnsi" w:cs="Arial"/>
          <w:color w:val="000000"/>
          <w:sz w:val="22"/>
          <w:szCs w:val="22"/>
        </w:rPr>
      </w:pPr>
    </w:p>
    <w:p w14:paraId="4A557E9A" w14:textId="5EDBD16E" w:rsidR="00F323C6" w:rsidRPr="00F323C6" w:rsidRDefault="00F323C6" w:rsidP="00F323C6">
      <w:pPr>
        <w:rPr>
          <w:rFonts w:cs="Arial"/>
          <w:sz w:val="22"/>
          <w:szCs w:val="22"/>
        </w:rPr>
      </w:pPr>
      <w:r w:rsidRPr="00F323C6">
        <w:rPr>
          <w:rFonts w:eastAsiaTheme="minorHAnsi" w:cs="Arial"/>
          <w:sz w:val="22"/>
          <w:szCs w:val="22"/>
        </w:rPr>
        <w:t>NRC, “Draft Final Rule – Mitigation of Beyond-Design-Basis Events (RIN 3150-AJ49),” SECY</w:t>
      </w:r>
      <w:r w:rsidR="009D4546">
        <w:rPr>
          <w:rFonts w:eastAsiaTheme="minorHAnsi" w:cs="Arial"/>
          <w:sz w:val="22"/>
          <w:szCs w:val="22"/>
        </w:rPr>
        <w:noBreakHyphen/>
      </w:r>
      <w:r w:rsidRPr="00F323C6">
        <w:rPr>
          <w:rFonts w:eastAsiaTheme="minorHAnsi" w:cs="Arial"/>
          <w:sz w:val="22"/>
          <w:szCs w:val="22"/>
        </w:rPr>
        <w:t>16-0142, December 15, 2016, ADAMS Accession No. ML16301A005.</w:t>
      </w:r>
    </w:p>
    <w:p w14:paraId="21CE4565" w14:textId="77777777" w:rsidR="00BB3D5C" w:rsidRPr="0055427F" w:rsidRDefault="00BB3D5C" w:rsidP="00BB3D5C">
      <w:pPr>
        <w:pStyle w:val="ListParagraph"/>
        <w:ind w:left="0"/>
        <w:rPr>
          <w:rFonts w:cs="Arial"/>
          <w:sz w:val="22"/>
          <w:szCs w:val="22"/>
        </w:rPr>
      </w:pPr>
    </w:p>
    <w:p w14:paraId="3C9B75B9" w14:textId="6B26E645" w:rsidR="00BB3D5C" w:rsidRPr="005F420D" w:rsidRDefault="000B32CC" w:rsidP="00BB3D5C">
      <w:pPr>
        <w:rPr>
          <w:rFonts w:cs="Arial"/>
          <w:sz w:val="22"/>
          <w:szCs w:val="22"/>
        </w:rPr>
      </w:pPr>
      <w:r>
        <w:rPr>
          <w:rFonts w:cs="Arial"/>
          <w:sz w:val="22"/>
          <w:szCs w:val="22"/>
        </w:rPr>
        <w:t>NRC</w:t>
      </w:r>
      <w:r w:rsidR="00BB3D5C" w:rsidRPr="005F420D">
        <w:rPr>
          <w:rFonts w:cs="Arial"/>
          <w:sz w:val="22"/>
          <w:szCs w:val="22"/>
        </w:rPr>
        <w:t>, “Backfitting and Issue Finality Assessment Supporting the Mitigation of Beyond</w:t>
      </w:r>
      <w:r w:rsidR="009D4546">
        <w:rPr>
          <w:rFonts w:cs="Arial"/>
          <w:sz w:val="22"/>
          <w:szCs w:val="22"/>
        </w:rPr>
        <w:noBreakHyphen/>
      </w:r>
      <w:r w:rsidR="00BB3D5C" w:rsidRPr="005F420D">
        <w:rPr>
          <w:rFonts w:cs="Arial"/>
          <w:sz w:val="22"/>
          <w:szCs w:val="22"/>
        </w:rPr>
        <w:t>Design</w:t>
      </w:r>
      <w:r w:rsidR="009D4546">
        <w:rPr>
          <w:rFonts w:cs="Arial"/>
          <w:sz w:val="22"/>
          <w:szCs w:val="22"/>
        </w:rPr>
        <w:noBreakHyphen/>
      </w:r>
      <w:r w:rsidR="00BB3D5C" w:rsidRPr="005F420D">
        <w:rPr>
          <w:rFonts w:cs="Arial"/>
          <w:sz w:val="22"/>
          <w:szCs w:val="22"/>
        </w:rPr>
        <w:t xml:space="preserve">Basis Events Final Rule,” </w:t>
      </w:r>
      <w:r w:rsidR="00BB3D5C">
        <w:rPr>
          <w:rFonts w:cs="Arial"/>
          <w:sz w:val="22"/>
          <w:szCs w:val="22"/>
        </w:rPr>
        <w:t xml:space="preserve">January 5, 2017a, </w:t>
      </w:r>
      <w:r w:rsidR="00BB3D5C" w:rsidRPr="005F420D">
        <w:rPr>
          <w:rFonts w:cs="Arial"/>
          <w:sz w:val="22"/>
          <w:szCs w:val="22"/>
        </w:rPr>
        <w:t>ADAMS Accession No. ML16273A010.</w:t>
      </w:r>
    </w:p>
    <w:p w14:paraId="33001BD7" w14:textId="77777777" w:rsidR="00BB3D5C" w:rsidRPr="006B76A6" w:rsidRDefault="00BB3D5C" w:rsidP="00BB3D5C">
      <w:pPr>
        <w:pStyle w:val="ListParagraph"/>
        <w:rPr>
          <w:rFonts w:cs="Arial"/>
          <w:sz w:val="22"/>
          <w:szCs w:val="22"/>
        </w:rPr>
      </w:pPr>
    </w:p>
    <w:p w14:paraId="058FE3E0" w14:textId="0D120530" w:rsidR="005F420D" w:rsidRPr="005F420D" w:rsidRDefault="005F420D" w:rsidP="005F420D">
      <w:pPr>
        <w:rPr>
          <w:rFonts w:cs="Arial"/>
          <w:sz w:val="24"/>
          <w:szCs w:val="22"/>
        </w:rPr>
      </w:pPr>
      <w:r w:rsidRPr="005F420D">
        <w:rPr>
          <w:rFonts w:eastAsiaTheme="minorHAnsi" w:cs="Arial"/>
          <w:color w:val="000000"/>
          <w:sz w:val="22"/>
          <w:szCs w:val="22"/>
        </w:rPr>
        <w:t xml:space="preserve">NRC, </w:t>
      </w:r>
      <w:r w:rsidRPr="005F420D">
        <w:rPr>
          <w:rFonts w:eastAsia="Calibri" w:cs="Arial"/>
          <w:sz w:val="22"/>
          <w:szCs w:val="22"/>
        </w:rPr>
        <w:t>Regulatory Guide (RG) 1.226, “Flexible Mitigation Strategies for Beyond</w:t>
      </w:r>
      <w:r w:rsidRPr="005F420D">
        <w:rPr>
          <w:rFonts w:eastAsia="Calibri" w:cs="Arial"/>
          <w:sz w:val="22"/>
          <w:szCs w:val="22"/>
        </w:rPr>
        <w:noBreakHyphen/>
        <w:t>Design</w:t>
      </w:r>
      <w:r w:rsidRPr="005F420D">
        <w:rPr>
          <w:rFonts w:eastAsia="Calibri" w:cs="Arial"/>
          <w:sz w:val="22"/>
          <w:szCs w:val="22"/>
        </w:rPr>
        <w:noBreakHyphen/>
        <w:t xml:space="preserve">Basis Events,” Rev. 0, </w:t>
      </w:r>
      <w:r w:rsidR="00BB3D5C">
        <w:rPr>
          <w:rFonts w:eastAsia="Calibri" w:cs="Arial"/>
          <w:sz w:val="22"/>
          <w:szCs w:val="22"/>
        </w:rPr>
        <w:t>January 18, 2017</w:t>
      </w:r>
      <w:r w:rsidR="0055624D">
        <w:rPr>
          <w:rFonts w:eastAsia="Calibri" w:cs="Arial"/>
          <w:sz w:val="22"/>
          <w:szCs w:val="22"/>
        </w:rPr>
        <w:t>b</w:t>
      </w:r>
      <w:r w:rsidR="00BB3D5C">
        <w:rPr>
          <w:rFonts w:eastAsia="Calibri" w:cs="Arial"/>
          <w:sz w:val="22"/>
          <w:szCs w:val="22"/>
        </w:rPr>
        <w:t xml:space="preserve">, </w:t>
      </w:r>
      <w:r w:rsidRPr="005F420D">
        <w:rPr>
          <w:rFonts w:eastAsia="Calibri" w:cs="Arial"/>
          <w:sz w:val="22"/>
          <w:szCs w:val="22"/>
        </w:rPr>
        <w:t>ADAMS Accession No. ML16301A128).</w:t>
      </w:r>
    </w:p>
    <w:p w14:paraId="7C25A96A" w14:textId="77777777" w:rsidR="005F420D" w:rsidRPr="00C07FB6" w:rsidRDefault="005F420D" w:rsidP="005F420D">
      <w:pPr>
        <w:pStyle w:val="ListParagraph"/>
        <w:rPr>
          <w:rFonts w:cs="Arial"/>
          <w:sz w:val="24"/>
          <w:szCs w:val="22"/>
        </w:rPr>
      </w:pPr>
    </w:p>
    <w:p w14:paraId="7826AAD6" w14:textId="57C6D402" w:rsidR="005F420D" w:rsidRPr="005F420D" w:rsidRDefault="005F420D" w:rsidP="005F420D">
      <w:pPr>
        <w:rPr>
          <w:rFonts w:cs="Arial"/>
          <w:sz w:val="22"/>
          <w:szCs w:val="22"/>
        </w:rPr>
      </w:pPr>
      <w:r w:rsidRPr="005F420D">
        <w:rPr>
          <w:rFonts w:cs="Arial"/>
          <w:sz w:val="22"/>
          <w:szCs w:val="22"/>
        </w:rPr>
        <w:t>NRC, Regulatory Guide (RG) 1.227, “</w:t>
      </w:r>
      <w:r w:rsidRPr="005F420D">
        <w:rPr>
          <w:rFonts w:eastAsiaTheme="minorHAnsi" w:cs="Arial"/>
          <w:sz w:val="22"/>
          <w:szCs w:val="22"/>
        </w:rPr>
        <w:t>Wide-Range Spent Fuel Pool Level Instrumentation,” Rev.</w:t>
      </w:r>
      <w:r w:rsidR="009D4546">
        <w:rPr>
          <w:rFonts w:eastAsiaTheme="minorHAnsi" w:cs="Arial"/>
          <w:sz w:val="22"/>
          <w:szCs w:val="22"/>
        </w:rPr>
        <w:t> </w:t>
      </w:r>
      <w:r w:rsidRPr="005F420D">
        <w:rPr>
          <w:rFonts w:eastAsiaTheme="minorHAnsi" w:cs="Arial"/>
          <w:sz w:val="22"/>
          <w:szCs w:val="22"/>
        </w:rPr>
        <w:t>0, January 18, 2017</w:t>
      </w:r>
      <w:r w:rsidR="0055624D">
        <w:rPr>
          <w:rFonts w:eastAsiaTheme="minorHAnsi" w:cs="Arial"/>
          <w:sz w:val="22"/>
          <w:szCs w:val="22"/>
        </w:rPr>
        <w:t>c</w:t>
      </w:r>
      <w:r w:rsidRPr="005F420D">
        <w:rPr>
          <w:rFonts w:eastAsiaTheme="minorHAnsi" w:cs="Arial"/>
          <w:sz w:val="22"/>
          <w:szCs w:val="22"/>
        </w:rPr>
        <w:t>, ADAMS Accession No. ML16211A167.</w:t>
      </w:r>
    </w:p>
    <w:p w14:paraId="7E74DA89" w14:textId="77777777" w:rsidR="005F420D" w:rsidRPr="00376C50" w:rsidRDefault="005F420D" w:rsidP="005F420D">
      <w:pPr>
        <w:pStyle w:val="ListParagraph"/>
        <w:rPr>
          <w:rFonts w:cs="Arial"/>
          <w:sz w:val="22"/>
          <w:szCs w:val="22"/>
        </w:rPr>
      </w:pPr>
    </w:p>
    <w:p w14:paraId="18E48E6C" w14:textId="471C0C98" w:rsidR="0055624D" w:rsidRPr="005F420D" w:rsidRDefault="0055624D" w:rsidP="0055624D">
      <w:pPr>
        <w:rPr>
          <w:rFonts w:cs="Arial"/>
          <w:sz w:val="22"/>
          <w:szCs w:val="22"/>
        </w:rPr>
      </w:pPr>
      <w:r>
        <w:rPr>
          <w:rFonts w:eastAsiaTheme="minorHAnsi" w:cs="Arial"/>
          <w:color w:val="000000"/>
          <w:sz w:val="22"/>
          <w:szCs w:val="22"/>
        </w:rPr>
        <w:t>NRC</w:t>
      </w:r>
      <w:r w:rsidRPr="005F420D">
        <w:rPr>
          <w:rFonts w:eastAsiaTheme="minorHAnsi" w:cs="Arial"/>
          <w:color w:val="000000"/>
          <w:sz w:val="22"/>
          <w:szCs w:val="22"/>
        </w:rPr>
        <w:t xml:space="preserve">, </w:t>
      </w:r>
      <w:r w:rsidRPr="005F420D">
        <w:rPr>
          <w:rFonts w:eastAsia="Calibri" w:cs="Arial"/>
          <w:sz w:val="22"/>
          <w:szCs w:val="22"/>
        </w:rPr>
        <w:t>Regulatory Guide (RG) 1.228, “Integrated Response Capabilities for Beyond</w:t>
      </w:r>
      <w:r w:rsidRPr="005F420D">
        <w:rPr>
          <w:rFonts w:eastAsia="Calibri" w:cs="Arial"/>
          <w:sz w:val="22"/>
          <w:szCs w:val="22"/>
        </w:rPr>
        <w:noBreakHyphen/>
        <w:t>Design</w:t>
      </w:r>
      <w:r w:rsidR="009D4546">
        <w:rPr>
          <w:rFonts w:eastAsia="Calibri" w:cs="Arial"/>
          <w:sz w:val="22"/>
          <w:szCs w:val="22"/>
        </w:rPr>
        <w:noBreakHyphen/>
      </w:r>
      <w:r w:rsidRPr="005F420D">
        <w:rPr>
          <w:rFonts w:eastAsia="Calibri" w:cs="Arial"/>
          <w:sz w:val="22"/>
          <w:szCs w:val="22"/>
        </w:rPr>
        <w:t>Basis Events,” Rev. 0, January 18, 2017</w:t>
      </w:r>
      <w:r>
        <w:rPr>
          <w:rFonts w:eastAsia="Calibri" w:cs="Arial"/>
          <w:sz w:val="22"/>
          <w:szCs w:val="22"/>
        </w:rPr>
        <w:t>d</w:t>
      </w:r>
      <w:r w:rsidRPr="005F420D">
        <w:rPr>
          <w:rFonts w:eastAsia="Calibri" w:cs="Arial"/>
          <w:sz w:val="22"/>
          <w:szCs w:val="22"/>
        </w:rPr>
        <w:t>, ADAMS Accession No. ML16218A236).</w:t>
      </w:r>
    </w:p>
    <w:p w14:paraId="13389137" w14:textId="77777777" w:rsidR="0055624D" w:rsidRPr="006E5170" w:rsidRDefault="0055624D" w:rsidP="0055624D">
      <w:pPr>
        <w:pStyle w:val="ListParagraph"/>
        <w:rPr>
          <w:rFonts w:cs="Arial"/>
          <w:sz w:val="22"/>
          <w:szCs w:val="22"/>
        </w:rPr>
      </w:pPr>
    </w:p>
    <w:p w14:paraId="73980652" w14:textId="5C2A988C" w:rsidR="00DA6B95" w:rsidRPr="005F420D" w:rsidRDefault="00DA6B95" w:rsidP="00DA6B95">
      <w:pPr>
        <w:rPr>
          <w:rFonts w:cs="Arial"/>
          <w:sz w:val="22"/>
          <w:szCs w:val="22"/>
        </w:rPr>
      </w:pPr>
      <w:r>
        <w:rPr>
          <w:rFonts w:cs="Arial"/>
          <w:sz w:val="22"/>
          <w:szCs w:val="22"/>
        </w:rPr>
        <w:t>NRC, “</w:t>
      </w:r>
      <w:r w:rsidRPr="005F420D">
        <w:rPr>
          <w:sz w:val="22"/>
          <w:szCs w:val="22"/>
        </w:rPr>
        <w:t>Mitigation of Beyond-Design-Basis Events, Fin</w:t>
      </w:r>
      <w:r>
        <w:rPr>
          <w:sz w:val="22"/>
          <w:szCs w:val="22"/>
        </w:rPr>
        <w:t xml:space="preserve">al Rule,” draft final </w:t>
      </w:r>
      <w:r w:rsidRPr="005F420D">
        <w:rPr>
          <w:rFonts w:cs="Arial"/>
          <w:i/>
          <w:sz w:val="22"/>
          <w:szCs w:val="22"/>
        </w:rPr>
        <w:t>Federal Register</w:t>
      </w:r>
      <w:r w:rsidRPr="005F420D">
        <w:rPr>
          <w:rFonts w:cs="Arial"/>
          <w:sz w:val="22"/>
          <w:szCs w:val="22"/>
        </w:rPr>
        <w:t xml:space="preserve"> Notice</w:t>
      </w:r>
      <w:r>
        <w:rPr>
          <w:rFonts w:cs="Arial"/>
          <w:sz w:val="22"/>
          <w:szCs w:val="22"/>
        </w:rPr>
        <w:t>,</w:t>
      </w:r>
      <w:r>
        <w:rPr>
          <w:sz w:val="22"/>
          <w:szCs w:val="22"/>
        </w:rPr>
        <w:t xml:space="preserve"> July 30, 2018</w:t>
      </w:r>
      <w:r w:rsidR="00D8196A">
        <w:rPr>
          <w:sz w:val="22"/>
          <w:szCs w:val="22"/>
        </w:rPr>
        <w:t>a</w:t>
      </w:r>
      <w:r>
        <w:rPr>
          <w:sz w:val="22"/>
          <w:szCs w:val="22"/>
        </w:rPr>
        <w:t>, ADAMS Accession No. ML</w:t>
      </w:r>
      <w:r w:rsidRPr="005F420D">
        <w:rPr>
          <w:sz w:val="22"/>
          <w:szCs w:val="22"/>
        </w:rPr>
        <w:t>16292A026.</w:t>
      </w:r>
    </w:p>
    <w:p w14:paraId="3A406451" w14:textId="77777777" w:rsidR="008A288F" w:rsidRPr="00F323C6" w:rsidRDefault="008A288F" w:rsidP="008A288F">
      <w:pPr>
        <w:rPr>
          <w:rFonts w:cs="Arial"/>
          <w:sz w:val="22"/>
          <w:szCs w:val="22"/>
        </w:rPr>
      </w:pPr>
    </w:p>
    <w:p w14:paraId="23CDE635" w14:textId="69C70C41" w:rsidR="005F420D" w:rsidRPr="009D4546" w:rsidRDefault="00833EB3" w:rsidP="00F323C6">
      <w:pPr>
        <w:rPr>
          <w:rFonts w:cs="Arial"/>
          <w:sz w:val="22"/>
          <w:szCs w:val="22"/>
        </w:rPr>
      </w:pPr>
      <w:r w:rsidRPr="00A91024">
        <w:rPr>
          <w:rFonts w:cs="Arial"/>
          <w:sz w:val="22"/>
          <w:szCs w:val="22"/>
        </w:rPr>
        <w:t xml:space="preserve">NRC, </w:t>
      </w:r>
      <w:r w:rsidR="00F323C6" w:rsidRPr="00A91024">
        <w:rPr>
          <w:rFonts w:eastAsiaTheme="minorHAnsi" w:cs="Arial"/>
          <w:sz w:val="22"/>
          <w:szCs w:val="22"/>
        </w:rPr>
        <w:t>“Draft Final Rule – Mitigation of Beyond-Design-Basis Events (RIN 3150-AJ49),”</w:t>
      </w:r>
      <w:r w:rsidRPr="00A91024">
        <w:rPr>
          <w:rFonts w:cs="Arial"/>
          <w:sz w:val="22"/>
          <w:szCs w:val="22"/>
        </w:rPr>
        <w:t xml:space="preserve"> SRM</w:t>
      </w:r>
      <w:r w:rsidR="00F323C6" w:rsidRPr="00A91024">
        <w:rPr>
          <w:rFonts w:cs="Arial"/>
          <w:sz w:val="22"/>
          <w:szCs w:val="22"/>
        </w:rPr>
        <w:noBreakHyphen/>
      </w:r>
      <w:r w:rsidRPr="00A91024">
        <w:rPr>
          <w:rFonts w:cs="Arial"/>
          <w:sz w:val="22"/>
          <w:szCs w:val="22"/>
        </w:rPr>
        <w:t xml:space="preserve">SECY-16-0142, </w:t>
      </w:r>
      <w:r w:rsidR="00F323C6" w:rsidRPr="00A91024">
        <w:rPr>
          <w:rFonts w:cs="Arial"/>
          <w:sz w:val="22"/>
          <w:szCs w:val="22"/>
        </w:rPr>
        <w:t>Add date</w:t>
      </w:r>
      <w:r w:rsidRPr="00A91024">
        <w:rPr>
          <w:rFonts w:cs="Arial"/>
          <w:sz w:val="22"/>
          <w:szCs w:val="22"/>
        </w:rPr>
        <w:t>, 2018</w:t>
      </w:r>
      <w:r w:rsidR="009D4546" w:rsidRPr="00A91024">
        <w:rPr>
          <w:rFonts w:cs="Arial"/>
          <w:sz w:val="22"/>
          <w:szCs w:val="22"/>
        </w:rPr>
        <w:t>b</w:t>
      </w:r>
      <w:r w:rsidRPr="00A91024">
        <w:rPr>
          <w:rFonts w:cs="Arial"/>
          <w:sz w:val="22"/>
          <w:szCs w:val="22"/>
        </w:rPr>
        <w:t>, ADAMS Accession No. MLxxxxxxxxx.</w:t>
      </w:r>
    </w:p>
    <w:p w14:paraId="2D054AEF" w14:textId="77777777" w:rsidR="005F420D" w:rsidRPr="00F323C6" w:rsidRDefault="005F420D" w:rsidP="005F420D">
      <w:pPr>
        <w:rPr>
          <w:rFonts w:cs="Arial"/>
          <w:sz w:val="22"/>
          <w:szCs w:val="22"/>
        </w:rPr>
      </w:pPr>
    </w:p>
    <w:p w14:paraId="1C5009F5" w14:textId="3DF21078" w:rsidR="00F7180D" w:rsidRPr="00B60BB1" w:rsidRDefault="00DB642D" w:rsidP="004E2975">
      <w:pPr>
        <w:pStyle w:val="AppendixHeader1"/>
        <w:keepNext w:val="0"/>
        <w:rPr>
          <w:u w:val="single"/>
        </w:rPr>
      </w:pPr>
      <w:r w:rsidRPr="004E2975">
        <w:rPr>
          <w:b w:val="0"/>
        </w:rPr>
        <w:br w:type="page"/>
      </w:r>
      <w:bookmarkStart w:id="280" w:name="_Toc388881016"/>
      <w:bookmarkStart w:id="281" w:name="_Toc460911644"/>
      <w:bookmarkStart w:id="282" w:name="_Toc460911686"/>
      <w:bookmarkStart w:id="283" w:name="_Toc460911728"/>
      <w:bookmarkStart w:id="284" w:name="_Toc460911770"/>
      <w:bookmarkStart w:id="285" w:name="_Toc460911812"/>
      <w:bookmarkStart w:id="286" w:name="_Toc460932062"/>
      <w:bookmarkStart w:id="287" w:name="_Toc460932108"/>
      <w:bookmarkStart w:id="288" w:name="_Toc460932154"/>
      <w:bookmarkStart w:id="289" w:name="_Toc460932200"/>
      <w:r w:rsidR="00F7180D" w:rsidRPr="00B60BB1">
        <w:t>Appendix A</w:t>
      </w:r>
      <w:bookmarkEnd w:id="280"/>
      <w:bookmarkEnd w:id="281"/>
      <w:bookmarkEnd w:id="282"/>
      <w:bookmarkEnd w:id="283"/>
      <w:bookmarkEnd w:id="284"/>
      <w:bookmarkEnd w:id="285"/>
      <w:bookmarkEnd w:id="286"/>
      <w:bookmarkEnd w:id="287"/>
      <w:bookmarkEnd w:id="288"/>
      <w:bookmarkEnd w:id="289"/>
      <w:r w:rsidR="000E1083">
        <w:tab/>
        <w:t>Supplementary Exhibit</w:t>
      </w:r>
    </w:p>
    <w:p w14:paraId="427D6853" w14:textId="4E9A29DA" w:rsidR="00D27C88" w:rsidRDefault="00D27C88" w:rsidP="00D27C88">
      <w:pPr>
        <w:pStyle w:val="Exhibit"/>
      </w:pPr>
      <w:bookmarkStart w:id="290" w:name="_Toc532457270"/>
      <w:r>
        <w:t xml:space="preserve">Exhibit </w:t>
      </w:r>
      <w:r w:rsidR="00796625">
        <w:t>A-1</w:t>
      </w:r>
      <w:r w:rsidR="000E1083">
        <w:tab/>
      </w:r>
      <w:r>
        <w:t>Variables Used in the Uncertainty Analysis</w:t>
      </w:r>
      <w:bookmarkEnd w:id="290"/>
    </w:p>
    <w:tbl>
      <w:tblPr>
        <w:tblStyle w:val="TableGrid2"/>
        <w:tblW w:w="0" w:type="auto"/>
        <w:tblLook w:val="04A0" w:firstRow="1" w:lastRow="0" w:firstColumn="1" w:lastColumn="0" w:noHBand="0" w:noVBand="1"/>
      </w:tblPr>
      <w:tblGrid>
        <w:gridCol w:w="2980"/>
        <w:gridCol w:w="1294"/>
        <w:gridCol w:w="1298"/>
        <w:gridCol w:w="1254"/>
        <w:gridCol w:w="1254"/>
        <w:gridCol w:w="1270"/>
      </w:tblGrid>
      <w:tr w:rsidR="00D27C88" w:rsidRPr="00760B6E" w14:paraId="12C9C032" w14:textId="77777777" w:rsidTr="002C79DD">
        <w:trPr>
          <w:tblHeader/>
        </w:trPr>
        <w:tc>
          <w:tcPr>
            <w:tcW w:w="2980" w:type="dxa"/>
            <w:vAlign w:val="center"/>
          </w:tcPr>
          <w:p w14:paraId="6017FDAF" w14:textId="77777777" w:rsidR="00D27C88" w:rsidRPr="000E1083" w:rsidRDefault="00D27C88" w:rsidP="00D27C88">
            <w:pPr>
              <w:autoSpaceDE/>
              <w:autoSpaceDN/>
              <w:adjustRightInd/>
              <w:jc w:val="center"/>
              <w:rPr>
                <w:rFonts w:eastAsiaTheme="minorHAnsi" w:cs="Arial"/>
                <w:b/>
                <w:sz w:val="18"/>
                <w:szCs w:val="18"/>
              </w:rPr>
            </w:pPr>
            <w:r w:rsidRPr="000E1083">
              <w:rPr>
                <w:rFonts w:eastAsiaTheme="minorHAnsi" w:cs="Arial"/>
                <w:b/>
                <w:sz w:val="18"/>
                <w:szCs w:val="18"/>
              </w:rPr>
              <w:t>Data Element</w:t>
            </w:r>
          </w:p>
        </w:tc>
        <w:tc>
          <w:tcPr>
            <w:tcW w:w="1294" w:type="dxa"/>
            <w:vAlign w:val="center"/>
          </w:tcPr>
          <w:p w14:paraId="136C11FF" w14:textId="20CF4BBB" w:rsidR="00D27C88" w:rsidRPr="000E1083" w:rsidRDefault="00D27C88" w:rsidP="00D27C88">
            <w:pPr>
              <w:autoSpaceDE/>
              <w:autoSpaceDN/>
              <w:adjustRightInd/>
              <w:jc w:val="center"/>
              <w:rPr>
                <w:rFonts w:eastAsiaTheme="minorHAnsi" w:cs="Arial"/>
                <w:b/>
                <w:sz w:val="18"/>
                <w:szCs w:val="18"/>
              </w:rPr>
            </w:pPr>
            <w:r w:rsidRPr="000E1083">
              <w:rPr>
                <w:rFonts w:eastAsiaTheme="minorHAnsi" w:cs="Arial"/>
                <w:b/>
                <w:sz w:val="18"/>
                <w:szCs w:val="18"/>
              </w:rPr>
              <w:t>Mean Estimate</w:t>
            </w:r>
          </w:p>
        </w:tc>
        <w:tc>
          <w:tcPr>
            <w:tcW w:w="1298" w:type="dxa"/>
            <w:vAlign w:val="center"/>
          </w:tcPr>
          <w:p w14:paraId="33FB1AEF" w14:textId="77777777" w:rsidR="00D27C88" w:rsidRPr="000E1083" w:rsidRDefault="00D27C88" w:rsidP="00D27C88">
            <w:pPr>
              <w:autoSpaceDE/>
              <w:autoSpaceDN/>
              <w:adjustRightInd/>
              <w:jc w:val="center"/>
              <w:rPr>
                <w:rFonts w:eastAsiaTheme="minorHAnsi" w:cs="Arial"/>
                <w:b/>
                <w:sz w:val="18"/>
                <w:szCs w:val="18"/>
              </w:rPr>
            </w:pPr>
            <w:r w:rsidRPr="000E1083">
              <w:rPr>
                <w:rFonts w:eastAsiaTheme="minorHAnsi" w:cs="Arial"/>
                <w:b/>
                <w:sz w:val="18"/>
                <w:szCs w:val="18"/>
              </w:rPr>
              <w:t>Distribution</w:t>
            </w:r>
          </w:p>
        </w:tc>
        <w:tc>
          <w:tcPr>
            <w:tcW w:w="1254" w:type="dxa"/>
            <w:vAlign w:val="center"/>
          </w:tcPr>
          <w:p w14:paraId="43451E9D" w14:textId="77777777" w:rsidR="00D27C88" w:rsidRPr="000E1083" w:rsidRDefault="00D27C88" w:rsidP="00D27C88">
            <w:pPr>
              <w:autoSpaceDE/>
              <w:autoSpaceDN/>
              <w:adjustRightInd/>
              <w:jc w:val="center"/>
              <w:rPr>
                <w:rFonts w:eastAsiaTheme="minorHAnsi" w:cs="Arial"/>
                <w:b/>
                <w:sz w:val="18"/>
                <w:szCs w:val="18"/>
              </w:rPr>
            </w:pPr>
            <w:r w:rsidRPr="000E1083">
              <w:rPr>
                <w:rFonts w:eastAsiaTheme="minorHAnsi" w:cs="Arial"/>
                <w:b/>
                <w:sz w:val="18"/>
                <w:szCs w:val="18"/>
              </w:rPr>
              <w:t>Low Estimate</w:t>
            </w:r>
          </w:p>
        </w:tc>
        <w:tc>
          <w:tcPr>
            <w:tcW w:w="1254" w:type="dxa"/>
            <w:vAlign w:val="center"/>
          </w:tcPr>
          <w:p w14:paraId="4DB43411" w14:textId="77777777" w:rsidR="00D27C88" w:rsidRPr="000E1083" w:rsidRDefault="00D27C88" w:rsidP="00D27C88">
            <w:pPr>
              <w:autoSpaceDE/>
              <w:autoSpaceDN/>
              <w:adjustRightInd/>
              <w:jc w:val="center"/>
              <w:rPr>
                <w:rFonts w:eastAsiaTheme="minorHAnsi" w:cs="Arial"/>
                <w:b/>
                <w:sz w:val="18"/>
                <w:szCs w:val="18"/>
              </w:rPr>
            </w:pPr>
            <w:r w:rsidRPr="000E1083">
              <w:rPr>
                <w:rFonts w:eastAsiaTheme="minorHAnsi" w:cs="Arial"/>
                <w:b/>
                <w:sz w:val="18"/>
                <w:szCs w:val="18"/>
              </w:rPr>
              <w:t>Best Estimate</w:t>
            </w:r>
          </w:p>
        </w:tc>
        <w:tc>
          <w:tcPr>
            <w:tcW w:w="1270" w:type="dxa"/>
            <w:vAlign w:val="center"/>
          </w:tcPr>
          <w:p w14:paraId="153E5183" w14:textId="77777777" w:rsidR="00D27C88" w:rsidRPr="000E1083" w:rsidRDefault="00D27C88" w:rsidP="00D27C88">
            <w:pPr>
              <w:autoSpaceDE/>
              <w:autoSpaceDN/>
              <w:adjustRightInd/>
              <w:jc w:val="center"/>
              <w:rPr>
                <w:rFonts w:eastAsiaTheme="minorHAnsi" w:cs="Arial"/>
                <w:b/>
                <w:sz w:val="18"/>
                <w:szCs w:val="18"/>
              </w:rPr>
            </w:pPr>
            <w:r w:rsidRPr="000E1083">
              <w:rPr>
                <w:rFonts w:eastAsiaTheme="minorHAnsi" w:cs="Arial"/>
                <w:b/>
                <w:sz w:val="18"/>
                <w:szCs w:val="18"/>
              </w:rPr>
              <w:t>High Estimate</w:t>
            </w:r>
          </w:p>
        </w:tc>
      </w:tr>
      <w:tr w:rsidR="00BC2728" w:rsidRPr="00760B6E" w14:paraId="5D3A5ABC" w14:textId="77777777" w:rsidTr="002C79DD">
        <w:tc>
          <w:tcPr>
            <w:tcW w:w="9350" w:type="dxa"/>
            <w:gridSpan w:val="6"/>
            <w:vAlign w:val="center"/>
          </w:tcPr>
          <w:p w14:paraId="78E3FBA8" w14:textId="302B4E0B" w:rsidR="00BC2728" w:rsidRPr="000E1083" w:rsidRDefault="000E1083" w:rsidP="00D27C88">
            <w:pPr>
              <w:autoSpaceDE/>
              <w:autoSpaceDN/>
              <w:adjustRightInd/>
              <w:rPr>
                <w:rFonts w:cs="Arial"/>
                <w:b/>
                <w:bCs/>
                <w:sz w:val="18"/>
                <w:szCs w:val="18"/>
              </w:rPr>
            </w:pPr>
            <w:r w:rsidRPr="000E1083">
              <w:rPr>
                <w:rFonts w:cs="Arial"/>
                <w:b/>
                <w:bCs/>
                <w:sz w:val="18"/>
                <w:szCs w:val="18"/>
              </w:rPr>
              <w:t>Site Inputs</w:t>
            </w:r>
          </w:p>
        </w:tc>
      </w:tr>
      <w:tr w:rsidR="00BC2728" w:rsidRPr="00760B6E" w14:paraId="7E05DE0A" w14:textId="77777777" w:rsidTr="000E1083">
        <w:tc>
          <w:tcPr>
            <w:tcW w:w="2980" w:type="dxa"/>
            <w:vAlign w:val="center"/>
          </w:tcPr>
          <w:p w14:paraId="35ADABF4" w14:textId="1D012DCD" w:rsidR="00BC2728" w:rsidRPr="000E1083" w:rsidRDefault="000E1083" w:rsidP="00D27C88">
            <w:pPr>
              <w:autoSpaceDE/>
              <w:autoSpaceDN/>
              <w:adjustRightInd/>
              <w:rPr>
                <w:rFonts w:cs="Arial"/>
                <w:b/>
                <w:bCs/>
                <w:sz w:val="18"/>
                <w:szCs w:val="18"/>
              </w:rPr>
            </w:pPr>
            <w:r w:rsidRPr="000E1083">
              <w:rPr>
                <w:rFonts w:eastAsiaTheme="minorHAnsi" w:cs="Arial"/>
                <w:sz w:val="18"/>
                <w:szCs w:val="18"/>
              </w:rPr>
              <w:t>Total number of operating sites</w:t>
            </w:r>
          </w:p>
        </w:tc>
        <w:tc>
          <w:tcPr>
            <w:tcW w:w="1294" w:type="dxa"/>
            <w:vAlign w:val="center"/>
          </w:tcPr>
          <w:p w14:paraId="62AA87AE" w14:textId="3524AD3B" w:rsidR="00BC2728" w:rsidRPr="000E1083" w:rsidRDefault="000E1083" w:rsidP="000E1083">
            <w:pPr>
              <w:autoSpaceDE/>
              <w:autoSpaceDN/>
              <w:adjustRightInd/>
              <w:jc w:val="center"/>
              <w:rPr>
                <w:rFonts w:cs="Arial"/>
                <w:bCs/>
                <w:sz w:val="18"/>
                <w:szCs w:val="18"/>
              </w:rPr>
            </w:pPr>
            <w:r w:rsidRPr="000E1083">
              <w:rPr>
                <w:rFonts w:cs="Arial"/>
                <w:bCs/>
                <w:sz w:val="18"/>
                <w:szCs w:val="18"/>
              </w:rPr>
              <w:t>55</w:t>
            </w:r>
          </w:p>
        </w:tc>
        <w:tc>
          <w:tcPr>
            <w:tcW w:w="1298" w:type="dxa"/>
            <w:shd w:val="clear" w:color="auto" w:fill="D9D9D9" w:themeFill="background1" w:themeFillShade="D9"/>
            <w:vAlign w:val="center"/>
          </w:tcPr>
          <w:p w14:paraId="43240876" w14:textId="77777777" w:rsidR="00BC2728" w:rsidRPr="000E1083" w:rsidRDefault="00BC2728" w:rsidP="00D27C88">
            <w:pPr>
              <w:autoSpaceDE/>
              <w:autoSpaceDN/>
              <w:adjustRightInd/>
              <w:rPr>
                <w:rFonts w:cs="Arial"/>
                <w:bCs/>
                <w:sz w:val="18"/>
                <w:szCs w:val="18"/>
              </w:rPr>
            </w:pPr>
          </w:p>
        </w:tc>
        <w:tc>
          <w:tcPr>
            <w:tcW w:w="1254" w:type="dxa"/>
            <w:shd w:val="clear" w:color="auto" w:fill="D9D9D9" w:themeFill="background1" w:themeFillShade="D9"/>
            <w:vAlign w:val="center"/>
          </w:tcPr>
          <w:p w14:paraId="58656012" w14:textId="77777777" w:rsidR="00BC2728" w:rsidRPr="000E1083" w:rsidRDefault="00BC2728" w:rsidP="00D27C88">
            <w:pPr>
              <w:autoSpaceDE/>
              <w:autoSpaceDN/>
              <w:adjustRightInd/>
              <w:rPr>
                <w:rFonts w:cs="Arial"/>
                <w:bCs/>
                <w:sz w:val="18"/>
                <w:szCs w:val="18"/>
              </w:rPr>
            </w:pPr>
          </w:p>
        </w:tc>
        <w:tc>
          <w:tcPr>
            <w:tcW w:w="1254" w:type="dxa"/>
            <w:shd w:val="clear" w:color="auto" w:fill="D9D9D9" w:themeFill="background1" w:themeFillShade="D9"/>
            <w:vAlign w:val="center"/>
          </w:tcPr>
          <w:p w14:paraId="44237E23" w14:textId="77777777" w:rsidR="00BC2728" w:rsidRPr="000E1083" w:rsidRDefault="00BC2728" w:rsidP="00D27C88">
            <w:pPr>
              <w:autoSpaceDE/>
              <w:autoSpaceDN/>
              <w:adjustRightInd/>
              <w:rPr>
                <w:rFonts w:cs="Arial"/>
                <w:bCs/>
                <w:sz w:val="18"/>
                <w:szCs w:val="18"/>
              </w:rPr>
            </w:pPr>
          </w:p>
        </w:tc>
        <w:tc>
          <w:tcPr>
            <w:tcW w:w="1270" w:type="dxa"/>
            <w:shd w:val="clear" w:color="auto" w:fill="D9D9D9" w:themeFill="background1" w:themeFillShade="D9"/>
            <w:vAlign w:val="center"/>
          </w:tcPr>
          <w:p w14:paraId="22B7BE22" w14:textId="6D8C2D2B" w:rsidR="00BC2728" w:rsidRPr="000E1083" w:rsidRDefault="00BC2728" w:rsidP="00D27C88">
            <w:pPr>
              <w:autoSpaceDE/>
              <w:autoSpaceDN/>
              <w:adjustRightInd/>
              <w:rPr>
                <w:rFonts w:cs="Arial"/>
                <w:bCs/>
                <w:sz w:val="18"/>
                <w:szCs w:val="18"/>
              </w:rPr>
            </w:pPr>
          </w:p>
        </w:tc>
      </w:tr>
      <w:tr w:rsidR="00BC2728" w:rsidRPr="00760B6E" w14:paraId="3D98B305" w14:textId="77777777" w:rsidTr="000E1083">
        <w:tc>
          <w:tcPr>
            <w:tcW w:w="2980" w:type="dxa"/>
            <w:vAlign w:val="center"/>
          </w:tcPr>
          <w:p w14:paraId="20937B0C" w14:textId="1F8E677B" w:rsidR="00BC2728" w:rsidRPr="000E1083" w:rsidRDefault="000E1083" w:rsidP="00D27C88">
            <w:pPr>
              <w:autoSpaceDE/>
              <w:autoSpaceDN/>
              <w:adjustRightInd/>
              <w:rPr>
                <w:rFonts w:cs="Arial"/>
                <w:bCs/>
                <w:sz w:val="18"/>
                <w:szCs w:val="18"/>
              </w:rPr>
            </w:pPr>
            <w:r w:rsidRPr="000E1083">
              <w:rPr>
                <w:rFonts w:cs="Arial"/>
                <w:bCs/>
                <w:sz w:val="18"/>
                <w:szCs w:val="18"/>
              </w:rPr>
              <w:t>Number of decommissioning sites with fuel remaining in SFP</w:t>
            </w:r>
          </w:p>
        </w:tc>
        <w:tc>
          <w:tcPr>
            <w:tcW w:w="1294" w:type="dxa"/>
            <w:vAlign w:val="center"/>
          </w:tcPr>
          <w:p w14:paraId="54E436ED" w14:textId="5B167837" w:rsidR="00BC2728" w:rsidRPr="000E1083" w:rsidRDefault="000E1083" w:rsidP="000E1083">
            <w:pPr>
              <w:autoSpaceDE/>
              <w:autoSpaceDN/>
              <w:adjustRightInd/>
              <w:jc w:val="center"/>
              <w:rPr>
                <w:rFonts w:cs="Arial"/>
                <w:bCs/>
                <w:sz w:val="18"/>
                <w:szCs w:val="18"/>
              </w:rPr>
            </w:pPr>
            <w:r w:rsidRPr="000E1083">
              <w:rPr>
                <w:rFonts w:cs="Arial"/>
                <w:bCs/>
                <w:sz w:val="18"/>
                <w:szCs w:val="18"/>
              </w:rPr>
              <w:t>10</w:t>
            </w:r>
          </w:p>
        </w:tc>
        <w:tc>
          <w:tcPr>
            <w:tcW w:w="1298" w:type="dxa"/>
            <w:shd w:val="clear" w:color="auto" w:fill="D9D9D9" w:themeFill="background1" w:themeFillShade="D9"/>
            <w:vAlign w:val="center"/>
          </w:tcPr>
          <w:p w14:paraId="521C0B72" w14:textId="77777777" w:rsidR="00BC2728" w:rsidRPr="000E1083" w:rsidRDefault="00BC2728" w:rsidP="00D27C88">
            <w:pPr>
              <w:autoSpaceDE/>
              <w:autoSpaceDN/>
              <w:adjustRightInd/>
              <w:rPr>
                <w:rFonts w:cs="Arial"/>
                <w:bCs/>
                <w:sz w:val="18"/>
                <w:szCs w:val="18"/>
              </w:rPr>
            </w:pPr>
          </w:p>
        </w:tc>
        <w:tc>
          <w:tcPr>
            <w:tcW w:w="1254" w:type="dxa"/>
            <w:shd w:val="clear" w:color="auto" w:fill="D9D9D9" w:themeFill="background1" w:themeFillShade="D9"/>
            <w:vAlign w:val="center"/>
          </w:tcPr>
          <w:p w14:paraId="18EFFD17" w14:textId="77777777" w:rsidR="00BC2728" w:rsidRPr="000E1083" w:rsidRDefault="00BC2728" w:rsidP="00D27C88">
            <w:pPr>
              <w:autoSpaceDE/>
              <w:autoSpaceDN/>
              <w:adjustRightInd/>
              <w:rPr>
                <w:rFonts w:cs="Arial"/>
                <w:bCs/>
                <w:sz w:val="18"/>
                <w:szCs w:val="18"/>
              </w:rPr>
            </w:pPr>
          </w:p>
        </w:tc>
        <w:tc>
          <w:tcPr>
            <w:tcW w:w="1254" w:type="dxa"/>
            <w:shd w:val="clear" w:color="auto" w:fill="D9D9D9" w:themeFill="background1" w:themeFillShade="D9"/>
            <w:vAlign w:val="center"/>
          </w:tcPr>
          <w:p w14:paraId="49CD2BAE" w14:textId="77777777" w:rsidR="00BC2728" w:rsidRPr="000E1083" w:rsidRDefault="00BC2728" w:rsidP="00D27C88">
            <w:pPr>
              <w:autoSpaceDE/>
              <w:autoSpaceDN/>
              <w:adjustRightInd/>
              <w:rPr>
                <w:rFonts w:cs="Arial"/>
                <w:bCs/>
                <w:sz w:val="18"/>
                <w:szCs w:val="18"/>
              </w:rPr>
            </w:pPr>
          </w:p>
        </w:tc>
        <w:tc>
          <w:tcPr>
            <w:tcW w:w="1270" w:type="dxa"/>
            <w:shd w:val="clear" w:color="auto" w:fill="D9D9D9" w:themeFill="background1" w:themeFillShade="D9"/>
            <w:vAlign w:val="center"/>
          </w:tcPr>
          <w:p w14:paraId="5F118142" w14:textId="77777777" w:rsidR="00BC2728" w:rsidRPr="000E1083" w:rsidRDefault="00BC2728" w:rsidP="00D27C88">
            <w:pPr>
              <w:autoSpaceDE/>
              <w:autoSpaceDN/>
              <w:adjustRightInd/>
              <w:rPr>
                <w:rFonts w:cs="Arial"/>
                <w:bCs/>
                <w:sz w:val="18"/>
                <w:szCs w:val="18"/>
              </w:rPr>
            </w:pPr>
          </w:p>
        </w:tc>
      </w:tr>
      <w:tr w:rsidR="00D27C88" w:rsidRPr="00760B6E" w14:paraId="655321F4" w14:textId="77777777" w:rsidTr="002C79DD">
        <w:tc>
          <w:tcPr>
            <w:tcW w:w="9350" w:type="dxa"/>
            <w:gridSpan w:val="6"/>
            <w:vAlign w:val="center"/>
          </w:tcPr>
          <w:p w14:paraId="60DEFB14" w14:textId="77777777" w:rsidR="00D27C88" w:rsidRPr="000E1083" w:rsidRDefault="00D27C88" w:rsidP="00D27C88">
            <w:pPr>
              <w:autoSpaceDE/>
              <w:autoSpaceDN/>
              <w:adjustRightInd/>
              <w:rPr>
                <w:rFonts w:eastAsiaTheme="minorHAnsi" w:cs="Arial"/>
                <w:sz w:val="18"/>
                <w:szCs w:val="18"/>
              </w:rPr>
            </w:pPr>
            <w:r w:rsidRPr="000E1083">
              <w:rPr>
                <w:rFonts w:cs="Arial"/>
                <w:b/>
                <w:bCs/>
                <w:sz w:val="18"/>
                <w:szCs w:val="18"/>
              </w:rPr>
              <w:t>Review Rule Requirements</w:t>
            </w:r>
          </w:p>
        </w:tc>
      </w:tr>
      <w:tr w:rsidR="00D27C88" w:rsidRPr="00760B6E" w14:paraId="51E03717" w14:textId="77777777" w:rsidTr="002C79DD">
        <w:tc>
          <w:tcPr>
            <w:tcW w:w="2980" w:type="dxa"/>
            <w:vAlign w:val="center"/>
          </w:tcPr>
          <w:p w14:paraId="414A78DD" w14:textId="77777777" w:rsidR="00D27C88" w:rsidRPr="000E1083" w:rsidRDefault="00D27C88" w:rsidP="00D27C88">
            <w:pPr>
              <w:autoSpaceDE/>
              <w:autoSpaceDN/>
              <w:adjustRightInd/>
              <w:rPr>
                <w:rFonts w:eastAsiaTheme="minorHAnsi" w:cs="Arial"/>
                <w:sz w:val="18"/>
                <w:szCs w:val="18"/>
              </w:rPr>
            </w:pPr>
            <w:r w:rsidRPr="000E1083">
              <w:rPr>
                <w:rFonts w:eastAsiaTheme="minorHAnsi" w:cs="Arial"/>
                <w:sz w:val="18"/>
                <w:szCs w:val="18"/>
              </w:rPr>
              <w:t>Number of executive hours per site to review the rule requirements</w:t>
            </w:r>
          </w:p>
        </w:tc>
        <w:tc>
          <w:tcPr>
            <w:tcW w:w="1294" w:type="dxa"/>
            <w:vAlign w:val="center"/>
          </w:tcPr>
          <w:p w14:paraId="610B8D5A" w14:textId="368D1C30" w:rsidR="00D27C88" w:rsidRPr="000E1083" w:rsidRDefault="00D27C88" w:rsidP="000E1083">
            <w:pPr>
              <w:autoSpaceDE/>
              <w:autoSpaceDN/>
              <w:adjustRightInd/>
              <w:jc w:val="center"/>
              <w:rPr>
                <w:rFonts w:eastAsiaTheme="minorHAnsi" w:cs="Arial"/>
                <w:sz w:val="18"/>
                <w:szCs w:val="18"/>
              </w:rPr>
            </w:pPr>
            <w:r w:rsidRPr="000E1083">
              <w:rPr>
                <w:rFonts w:eastAsiaTheme="minorHAnsi" w:cs="Arial"/>
                <w:sz w:val="18"/>
                <w:szCs w:val="18"/>
              </w:rPr>
              <w:t>8</w:t>
            </w:r>
            <w:r w:rsidR="000E1083" w:rsidRPr="000E1083">
              <w:rPr>
                <w:rFonts w:eastAsiaTheme="minorHAnsi" w:cs="Arial"/>
                <w:sz w:val="18"/>
                <w:szCs w:val="18"/>
              </w:rPr>
              <w:t>3</w:t>
            </w:r>
            <w:r w:rsidRPr="000E1083">
              <w:rPr>
                <w:rFonts w:eastAsiaTheme="minorHAnsi" w:cs="Arial"/>
                <w:sz w:val="18"/>
                <w:szCs w:val="18"/>
              </w:rPr>
              <w:t xml:space="preserve"> hrs/site</w:t>
            </w:r>
          </w:p>
        </w:tc>
        <w:tc>
          <w:tcPr>
            <w:tcW w:w="1298" w:type="dxa"/>
            <w:vAlign w:val="center"/>
          </w:tcPr>
          <w:p w14:paraId="133A9216"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PERT</w:t>
            </w:r>
          </w:p>
        </w:tc>
        <w:tc>
          <w:tcPr>
            <w:tcW w:w="1254" w:type="dxa"/>
            <w:vAlign w:val="center"/>
          </w:tcPr>
          <w:p w14:paraId="4903080B"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40 hrs/site</w:t>
            </w:r>
          </w:p>
        </w:tc>
        <w:tc>
          <w:tcPr>
            <w:tcW w:w="1254" w:type="dxa"/>
            <w:vAlign w:val="center"/>
          </w:tcPr>
          <w:p w14:paraId="145874BA"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80 hrs/site</w:t>
            </w:r>
          </w:p>
        </w:tc>
        <w:tc>
          <w:tcPr>
            <w:tcW w:w="1270" w:type="dxa"/>
            <w:vAlign w:val="center"/>
          </w:tcPr>
          <w:p w14:paraId="2082B82C" w14:textId="213483DC" w:rsidR="00D27C88" w:rsidRPr="000E1083" w:rsidRDefault="00D27C88" w:rsidP="000E1083">
            <w:pPr>
              <w:autoSpaceDE/>
              <w:autoSpaceDN/>
              <w:adjustRightInd/>
              <w:jc w:val="center"/>
              <w:rPr>
                <w:rFonts w:eastAsiaTheme="minorHAnsi" w:cs="Arial"/>
                <w:sz w:val="18"/>
                <w:szCs w:val="18"/>
              </w:rPr>
            </w:pPr>
            <w:r w:rsidRPr="000E1083">
              <w:rPr>
                <w:rFonts w:eastAsiaTheme="minorHAnsi" w:cs="Arial"/>
                <w:sz w:val="18"/>
                <w:szCs w:val="18"/>
              </w:rPr>
              <w:t>1</w:t>
            </w:r>
            <w:r w:rsidR="000E1083" w:rsidRPr="000E1083">
              <w:rPr>
                <w:rFonts w:eastAsiaTheme="minorHAnsi" w:cs="Arial"/>
                <w:sz w:val="18"/>
                <w:szCs w:val="18"/>
              </w:rPr>
              <w:t>4</w:t>
            </w:r>
            <w:r w:rsidRPr="000E1083">
              <w:rPr>
                <w:rFonts w:eastAsiaTheme="minorHAnsi" w:cs="Arial"/>
                <w:sz w:val="18"/>
                <w:szCs w:val="18"/>
              </w:rPr>
              <w:t>0 hrs/site</w:t>
            </w:r>
          </w:p>
        </w:tc>
      </w:tr>
      <w:tr w:rsidR="00D27C88" w:rsidRPr="00760B6E" w14:paraId="2F4F7A04" w14:textId="77777777" w:rsidTr="002C79DD">
        <w:tc>
          <w:tcPr>
            <w:tcW w:w="2980" w:type="dxa"/>
            <w:vAlign w:val="center"/>
          </w:tcPr>
          <w:p w14:paraId="21AE55A8" w14:textId="77777777" w:rsidR="00D27C88" w:rsidRPr="000E1083" w:rsidRDefault="00D27C88" w:rsidP="00D27C88">
            <w:pPr>
              <w:autoSpaceDE/>
              <w:autoSpaceDN/>
              <w:adjustRightInd/>
              <w:rPr>
                <w:rFonts w:eastAsiaTheme="minorHAnsi" w:cs="Arial"/>
                <w:sz w:val="18"/>
                <w:szCs w:val="18"/>
              </w:rPr>
            </w:pPr>
            <w:r w:rsidRPr="000E1083">
              <w:rPr>
                <w:rFonts w:eastAsiaTheme="minorHAnsi" w:cs="Arial"/>
                <w:sz w:val="18"/>
                <w:szCs w:val="18"/>
              </w:rPr>
              <w:t>Number of manager hours per site to review the rule requirements</w:t>
            </w:r>
          </w:p>
        </w:tc>
        <w:tc>
          <w:tcPr>
            <w:tcW w:w="1294" w:type="dxa"/>
            <w:vAlign w:val="center"/>
          </w:tcPr>
          <w:p w14:paraId="3818E1E0" w14:textId="4DB29BEB" w:rsidR="00D27C88" w:rsidRPr="000E1083" w:rsidRDefault="00D27C88" w:rsidP="000E1083">
            <w:pPr>
              <w:autoSpaceDE/>
              <w:autoSpaceDN/>
              <w:adjustRightInd/>
              <w:jc w:val="center"/>
              <w:rPr>
                <w:rFonts w:eastAsiaTheme="minorHAnsi" w:cs="Arial"/>
                <w:sz w:val="18"/>
                <w:szCs w:val="18"/>
              </w:rPr>
            </w:pPr>
            <w:r w:rsidRPr="000E1083">
              <w:rPr>
                <w:rFonts w:eastAsiaTheme="minorHAnsi" w:cs="Arial"/>
                <w:sz w:val="18"/>
                <w:szCs w:val="18"/>
              </w:rPr>
              <w:t>16</w:t>
            </w:r>
            <w:r w:rsidR="000E1083" w:rsidRPr="000E1083">
              <w:rPr>
                <w:rFonts w:eastAsiaTheme="minorHAnsi" w:cs="Arial"/>
                <w:sz w:val="18"/>
                <w:szCs w:val="18"/>
              </w:rPr>
              <w:t>2</w:t>
            </w:r>
            <w:r w:rsidRPr="000E1083">
              <w:rPr>
                <w:rFonts w:eastAsiaTheme="minorHAnsi" w:cs="Arial"/>
                <w:sz w:val="18"/>
                <w:szCs w:val="18"/>
              </w:rPr>
              <w:t xml:space="preserve"> hrs/site</w:t>
            </w:r>
          </w:p>
        </w:tc>
        <w:tc>
          <w:tcPr>
            <w:tcW w:w="1298" w:type="dxa"/>
            <w:vAlign w:val="center"/>
          </w:tcPr>
          <w:p w14:paraId="2D9E3208"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PERT</w:t>
            </w:r>
          </w:p>
        </w:tc>
        <w:tc>
          <w:tcPr>
            <w:tcW w:w="1254" w:type="dxa"/>
            <w:vAlign w:val="center"/>
          </w:tcPr>
          <w:p w14:paraId="28F226B6"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80 hrs/site</w:t>
            </w:r>
          </w:p>
        </w:tc>
        <w:tc>
          <w:tcPr>
            <w:tcW w:w="1254" w:type="dxa"/>
            <w:vAlign w:val="center"/>
          </w:tcPr>
          <w:p w14:paraId="6CC3EABB"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160 hrs/site</w:t>
            </w:r>
          </w:p>
        </w:tc>
        <w:tc>
          <w:tcPr>
            <w:tcW w:w="1270" w:type="dxa"/>
            <w:vAlign w:val="center"/>
          </w:tcPr>
          <w:p w14:paraId="3311073D" w14:textId="03CFEA6F" w:rsidR="00D27C88" w:rsidRPr="000E1083" w:rsidRDefault="000E1083" w:rsidP="00D27C88">
            <w:pPr>
              <w:autoSpaceDE/>
              <w:autoSpaceDN/>
              <w:adjustRightInd/>
              <w:jc w:val="center"/>
              <w:rPr>
                <w:rFonts w:eastAsiaTheme="minorHAnsi" w:cs="Arial"/>
                <w:sz w:val="18"/>
                <w:szCs w:val="18"/>
              </w:rPr>
            </w:pPr>
            <w:r w:rsidRPr="000E1083">
              <w:rPr>
                <w:rFonts w:eastAsiaTheme="minorHAnsi" w:cs="Arial"/>
                <w:sz w:val="18"/>
                <w:szCs w:val="18"/>
              </w:rPr>
              <w:t>25</w:t>
            </w:r>
            <w:r w:rsidR="00D27C88" w:rsidRPr="000E1083">
              <w:rPr>
                <w:rFonts w:eastAsiaTheme="minorHAnsi" w:cs="Arial"/>
                <w:sz w:val="18"/>
                <w:szCs w:val="18"/>
              </w:rPr>
              <w:t>0 hrs/site</w:t>
            </w:r>
          </w:p>
        </w:tc>
      </w:tr>
      <w:tr w:rsidR="00D27C88" w:rsidRPr="00760B6E" w14:paraId="227E51CA" w14:textId="77777777" w:rsidTr="002C79DD">
        <w:tc>
          <w:tcPr>
            <w:tcW w:w="2980" w:type="dxa"/>
            <w:vAlign w:val="center"/>
          </w:tcPr>
          <w:p w14:paraId="1708B08A" w14:textId="77777777" w:rsidR="00D27C88" w:rsidRPr="000E1083" w:rsidRDefault="00D27C88" w:rsidP="00D27C88">
            <w:pPr>
              <w:autoSpaceDE/>
              <w:autoSpaceDN/>
              <w:adjustRightInd/>
              <w:rPr>
                <w:rFonts w:eastAsiaTheme="minorHAnsi" w:cs="Arial"/>
                <w:sz w:val="18"/>
                <w:szCs w:val="18"/>
              </w:rPr>
            </w:pPr>
            <w:r w:rsidRPr="000E1083">
              <w:rPr>
                <w:rFonts w:eastAsiaTheme="minorHAnsi" w:cs="Arial"/>
                <w:sz w:val="18"/>
                <w:szCs w:val="18"/>
              </w:rPr>
              <w:t>Number of staff hours per site to review the rule requirements</w:t>
            </w:r>
          </w:p>
        </w:tc>
        <w:tc>
          <w:tcPr>
            <w:tcW w:w="1294" w:type="dxa"/>
            <w:vAlign w:val="center"/>
          </w:tcPr>
          <w:p w14:paraId="436963BE"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1,000 hrs/site</w:t>
            </w:r>
          </w:p>
        </w:tc>
        <w:tc>
          <w:tcPr>
            <w:tcW w:w="1298" w:type="dxa"/>
            <w:vAlign w:val="center"/>
          </w:tcPr>
          <w:p w14:paraId="3D24400C"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PERT</w:t>
            </w:r>
          </w:p>
        </w:tc>
        <w:tc>
          <w:tcPr>
            <w:tcW w:w="1254" w:type="dxa"/>
            <w:vAlign w:val="center"/>
          </w:tcPr>
          <w:p w14:paraId="32B9E5E6"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600 hrs/site</w:t>
            </w:r>
          </w:p>
        </w:tc>
        <w:tc>
          <w:tcPr>
            <w:tcW w:w="1254" w:type="dxa"/>
            <w:vAlign w:val="center"/>
          </w:tcPr>
          <w:p w14:paraId="20B584B8"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1,000 hrs/site</w:t>
            </w:r>
          </w:p>
        </w:tc>
        <w:tc>
          <w:tcPr>
            <w:tcW w:w="1270" w:type="dxa"/>
            <w:vAlign w:val="center"/>
          </w:tcPr>
          <w:p w14:paraId="6EB14A5A" w14:textId="7577BB02" w:rsidR="00D27C88" w:rsidRPr="000E1083" w:rsidRDefault="000E1083" w:rsidP="00D27C88">
            <w:pPr>
              <w:autoSpaceDE/>
              <w:autoSpaceDN/>
              <w:adjustRightInd/>
              <w:jc w:val="center"/>
              <w:rPr>
                <w:rFonts w:eastAsiaTheme="minorHAnsi" w:cs="Arial"/>
                <w:sz w:val="18"/>
                <w:szCs w:val="18"/>
              </w:rPr>
            </w:pPr>
            <w:r w:rsidRPr="000E1083">
              <w:rPr>
                <w:rFonts w:eastAsiaTheme="minorHAnsi" w:cs="Arial"/>
                <w:sz w:val="18"/>
                <w:szCs w:val="18"/>
              </w:rPr>
              <w:t>1,4</w:t>
            </w:r>
            <w:r w:rsidR="00D27C88" w:rsidRPr="000E1083">
              <w:rPr>
                <w:rFonts w:eastAsiaTheme="minorHAnsi" w:cs="Arial"/>
                <w:sz w:val="18"/>
                <w:szCs w:val="18"/>
              </w:rPr>
              <w:t>00 hrs/site</w:t>
            </w:r>
          </w:p>
        </w:tc>
      </w:tr>
      <w:tr w:rsidR="000E1083" w:rsidRPr="00760B6E" w14:paraId="499D34BC" w14:textId="77777777" w:rsidTr="00D40FEF">
        <w:tc>
          <w:tcPr>
            <w:tcW w:w="9350" w:type="dxa"/>
            <w:gridSpan w:val="6"/>
            <w:vAlign w:val="center"/>
          </w:tcPr>
          <w:p w14:paraId="522752B8" w14:textId="270CEDF1" w:rsidR="000E1083" w:rsidRPr="000E1083" w:rsidRDefault="000E1083" w:rsidP="000E1083">
            <w:pPr>
              <w:autoSpaceDE/>
              <w:autoSpaceDN/>
              <w:adjustRightInd/>
              <w:rPr>
                <w:rFonts w:eastAsiaTheme="minorHAnsi" w:cs="Arial"/>
                <w:b/>
                <w:sz w:val="18"/>
                <w:szCs w:val="18"/>
              </w:rPr>
            </w:pPr>
            <w:r w:rsidRPr="000E1083">
              <w:rPr>
                <w:rFonts w:eastAsiaTheme="minorHAnsi" w:cs="Arial"/>
                <w:b/>
                <w:sz w:val="18"/>
                <w:szCs w:val="18"/>
              </w:rPr>
              <w:t>Labor Rates</w:t>
            </w:r>
          </w:p>
        </w:tc>
      </w:tr>
      <w:tr w:rsidR="000E1083" w:rsidRPr="00760B6E" w14:paraId="4C55EF90" w14:textId="77777777" w:rsidTr="000E1083">
        <w:tc>
          <w:tcPr>
            <w:tcW w:w="2980" w:type="dxa"/>
            <w:vAlign w:val="center"/>
          </w:tcPr>
          <w:p w14:paraId="269E1AC3" w14:textId="3611005B" w:rsidR="000E1083" w:rsidRPr="000E1083" w:rsidRDefault="000E1083" w:rsidP="00D27C88">
            <w:pPr>
              <w:autoSpaceDE/>
              <w:autoSpaceDN/>
              <w:adjustRightInd/>
              <w:rPr>
                <w:rFonts w:eastAsiaTheme="minorHAnsi" w:cs="Arial"/>
                <w:sz w:val="18"/>
                <w:szCs w:val="18"/>
              </w:rPr>
            </w:pPr>
            <w:r w:rsidRPr="000E1083">
              <w:rPr>
                <w:rFonts w:eastAsiaTheme="minorHAnsi" w:cs="Arial"/>
                <w:sz w:val="18"/>
                <w:szCs w:val="18"/>
              </w:rPr>
              <w:t>Industry executives</w:t>
            </w:r>
          </w:p>
        </w:tc>
        <w:tc>
          <w:tcPr>
            <w:tcW w:w="1294" w:type="dxa"/>
            <w:vAlign w:val="center"/>
          </w:tcPr>
          <w:p w14:paraId="1A7579E4" w14:textId="454779AD" w:rsidR="000E1083" w:rsidRPr="000E1083" w:rsidRDefault="000E1083" w:rsidP="00D27C88">
            <w:pPr>
              <w:autoSpaceDE/>
              <w:autoSpaceDN/>
              <w:adjustRightInd/>
              <w:jc w:val="center"/>
              <w:rPr>
                <w:rFonts w:eastAsiaTheme="minorHAnsi" w:cs="Arial"/>
                <w:sz w:val="18"/>
                <w:szCs w:val="18"/>
              </w:rPr>
            </w:pPr>
            <w:r w:rsidRPr="000E1083">
              <w:rPr>
                <w:rFonts w:eastAsiaTheme="minorHAnsi" w:cs="Arial"/>
                <w:sz w:val="18"/>
                <w:szCs w:val="18"/>
              </w:rPr>
              <w:t>$166.69</w:t>
            </w:r>
          </w:p>
        </w:tc>
        <w:tc>
          <w:tcPr>
            <w:tcW w:w="1298" w:type="dxa"/>
            <w:shd w:val="clear" w:color="auto" w:fill="D9D9D9" w:themeFill="background1" w:themeFillShade="D9"/>
            <w:vAlign w:val="center"/>
          </w:tcPr>
          <w:p w14:paraId="27D1EB82" w14:textId="77777777" w:rsidR="000E1083" w:rsidRPr="000E1083" w:rsidRDefault="000E1083" w:rsidP="00D27C88">
            <w:pPr>
              <w:autoSpaceDE/>
              <w:autoSpaceDN/>
              <w:adjustRightInd/>
              <w:jc w:val="center"/>
              <w:rPr>
                <w:rFonts w:eastAsiaTheme="minorHAnsi" w:cs="Arial"/>
                <w:sz w:val="18"/>
                <w:szCs w:val="18"/>
              </w:rPr>
            </w:pPr>
          </w:p>
        </w:tc>
        <w:tc>
          <w:tcPr>
            <w:tcW w:w="1254" w:type="dxa"/>
            <w:shd w:val="clear" w:color="auto" w:fill="D9D9D9" w:themeFill="background1" w:themeFillShade="D9"/>
            <w:vAlign w:val="center"/>
          </w:tcPr>
          <w:p w14:paraId="3B449F3C" w14:textId="77777777" w:rsidR="000E1083" w:rsidRPr="000E1083" w:rsidRDefault="000E1083" w:rsidP="00D27C88">
            <w:pPr>
              <w:autoSpaceDE/>
              <w:autoSpaceDN/>
              <w:adjustRightInd/>
              <w:jc w:val="center"/>
              <w:rPr>
                <w:rFonts w:eastAsiaTheme="minorHAnsi" w:cs="Arial"/>
                <w:sz w:val="18"/>
                <w:szCs w:val="18"/>
              </w:rPr>
            </w:pPr>
          </w:p>
        </w:tc>
        <w:tc>
          <w:tcPr>
            <w:tcW w:w="1254" w:type="dxa"/>
            <w:shd w:val="clear" w:color="auto" w:fill="D9D9D9" w:themeFill="background1" w:themeFillShade="D9"/>
            <w:vAlign w:val="center"/>
          </w:tcPr>
          <w:p w14:paraId="529DA5CD" w14:textId="77777777" w:rsidR="000E1083" w:rsidRPr="000E1083" w:rsidRDefault="000E1083" w:rsidP="00D27C88">
            <w:pPr>
              <w:autoSpaceDE/>
              <w:autoSpaceDN/>
              <w:adjustRightInd/>
              <w:jc w:val="center"/>
              <w:rPr>
                <w:rFonts w:eastAsiaTheme="minorHAnsi" w:cs="Arial"/>
                <w:sz w:val="18"/>
                <w:szCs w:val="18"/>
              </w:rPr>
            </w:pPr>
          </w:p>
        </w:tc>
        <w:tc>
          <w:tcPr>
            <w:tcW w:w="1270" w:type="dxa"/>
            <w:shd w:val="clear" w:color="auto" w:fill="D9D9D9" w:themeFill="background1" w:themeFillShade="D9"/>
            <w:vAlign w:val="center"/>
          </w:tcPr>
          <w:p w14:paraId="04EE7D9F" w14:textId="77777777" w:rsidR="000E1083" w:rsidRPr="000E1083" w:rsidRDefault="000E1083" w:rsidP="00D27C88">
            <w:pPr>
              <w:autoSpaceDE/>
              <w:autoSpaceDN/>
              <w:adjustRightInd/>
              <w:jc w:val="center"/>
              <w:rPr>
                <w:rFonts w:eastAsiaTheme="minorHAnsi" w:cs="Arial"/>
                <w:sz w:val="18"/>
                <w:szCs w:val="18"/>
              </w:rPr>
            </w:pPr>
          </w:p>
        </w:tc>
      </w:tr>
      <w:tr w:rsidR="000E1083" w:rsidRPr="00760B6E" w14:paraId="6844CAE3" w14:textId="77777777" w:rsidTr="000E1083">
        <w:tc>
          <w:tcPr>
            <w:tcW w:w="2980" w:type="dxa"/>
            <w:vAlign w:val="center"/>
          </w:tcPr>
          <w:p w14:paraId="6212A11A" w14:textId="6213BAC9" w:rsidR="000E1083" w:rsidRPr="000E1083" w:rsidRDefault="000E1083" w:rsidP="00D27C88">
            <w:pPr>
              <w:autoSpaceDE/>
              <w:autoSpaceDN/>
              <w:adjustRightInd/>
              <w:rPr>
                <w:rFonts w:eastAsiaTheme="minorHAnsi" w:cs="Arial"/>
                <w:sz w:val="18"/>
                <w:szCs w:val="18"/>
              </w:rPr>
            </w:pPr>
            <w:r w:rsidRPr="000E1083">
              <w:rPr>
                <w:rFonts w:eastAsiaTheme="minorHAnsi" w:cs="Arial"/>
                <w:sz w:val="18"/>
                <w:szCs w:val="18"/>
              </w:rPr>
              <w:t>Industry managers</w:t>
            </w:r>
          </w:p>
        </w:tc>
        <w:tc>
          <w:tcPr>
            <w:tcW w:w="1294" w:type="dxa"/>
            <w:vAlign w:val="center"/>
          </w:tcPr>
          <w:p w14:paraId="7FBB3E9B" w14:textId="29F1A22A" w:rsidR="000E1083" w:rsidRPr="000E1083" w:rsidRDefault="000E1083" w:rsidP="00D27C88">
            <w:pPr>
              <w:autoSpaceDE/>
              <w:autoSpaceDN/>
              <w:adjustRightInd/>
              <w:jc w:val="center"/>
              <w:rPr>
                <w:rFonts w:eastAsiaTheme="minorHAnsi" w:cs="Arial"/>
                <w:sz w:val="18"/>
                <w:szCs w:val="18"/>
              </w:rPr>
            </w:pPr>
            <w:r w:rsidRPr="000E1083">
              <w:rPr>
                <w:rFonts w:eastAsiaTheme="minorHAnsi" w:cs="Arial"/>
                <w:sz w:val="18"/>
                <w:szCs w:val="18"/>
              </w:rPr>
              <w:t>$110.37</w:t>
            </w:r>
          </w:p>
        </w:tc>
        <w:tc>
          <w:tcPr>
            <w:tcW w:w="1298" w:type="dxa"/>
            <w:shd w:val="clear" w:color="auto" w:fill="D9D9D9" w:themeFill="background1" w:themeFillShade="D9"/>
            <w:vAlign w:val="center"/>
          </w:tcPr>
          <w:p w14:paraId="4D5DAA2F" w14:textId="77777777" w:rsidR="000E1083" w:rsidRPr="000E1083" w:rsidRDefault="000E1083" w:rsidP="00D27C88">
            <w:pPr>
              <w:autoSpaceDE/>
              <w:autoSpaceDN/>
              <w:adjustRightInd/>
              <w:jc w:val="center"/>
              <w:rPr>
                <w:rFonts w:eastAsiaTheme="minorHAnsi" w:cs="Arial"/>
                <w:sz w:val="18"/>
                <w:szCs w:val="18"/>
              </w:rPr>
            </w:pPr>
          </w:p>
        </w:tc>
        <w:tc>
          <w:tcPr>
            <w:tcW w:w="1254" w:type="dxa"/>
            <w:shd w:val="clear" w:color="auto" w:fill="D9D9D9" w:themeFill="background1" w:themeFillShade="D9"/>
            <w:vAlign w:val="center"/>
          </w:tcPr>
          <w:p w14:paraId="1D5699E1" w14:textId="77777777" w:rsidR="000E1083" w:rsidRPr="000E1083" w:rsidRDefault="000E1083" w:rsidP="00D27C88">
            <w:pPr>
              <w:autoSpaceDE/>
              <w:autoSpaceDN/>
              <w:adjustRightInd/>
              <w:jc w:val="center"/>
              <w:rPr>
                <w:rFonts w:eastAsiaTheme="minorHAnsi" w:cs="Arial"/>
                <w:sz w:val="18"/>
                <w:szCs w:val="18"/>
              </w:rPr>
            </w:pPr>
          </w:p>
        </w:tc>
        <w:tc>
          <w:tcPr>
            <w:tcW w:w="1254" w:type="dxa"/>
            <w:shd w:val="clear" w:color="auto" w:fill="D9D9D9" w:themeFill="background1" w:themeFillShade="D9"/>
            <w:vAlign w:val="center"/>
          </w:tcPr>
          <w:p w14:paraId="1E5A072F" w14:textId="77777777" w:rsidR="000E1083" w:rsidRPr="000E1083" w:rsidRDefault="000E1083" w:rsidP="00D27C88">
            <w:pPr>
              <w:autoSpaceDE/>
              <w:autoSpaceDN/>
              <w:adjustRightInd/>
              <w:jc w:val="center"/>
              <w:rPr>
                <w:rFonts w:eastAsiaTheme="minorHAnsi" w:cs="Arial"/>
                <w:sz w:val="18"/>
                <w:szCs w:val="18"/>
              </w:rPr>
            </w:pPr>
          </w:p>
        </w:tc>
        <w:tc>
          <w:tcPr>
            <w:tcW w:w="1270" w:type="dxa"/>
            <w:shd w:val="clear" w:color="auto" w:fill="D9D9D9" w:themeFill="background1" w:themeFillShade="D9"/>
            <w:vAlign w:val="center"/>
          </w:tcPr>
          <w:p w14:paraId="7ED2639F" w14:textId="77777777" w:rsidR="000E1083" w:rsidRPr="000E1083" w:rsidRDefault="000E1083" w:rsidP="00D27C88">
            <w:pPr>
              <w:autoSpaceDE/>
              <w:autoSpaceDN/>
              <w:adjustRightInd/>
              <w:jc w:val="center"/>
              <w:rPr>
                <w:rFonts w:eastAsiaTheme="minorHAnsi" w:cs="Arial"/>
                <w:sz w:val="18"/>
                <w:szCs w:val="18"/>
              </w:rPr>
            </w:pPr>
          </w:p>
        </w:tc>
      </w:tr>
      <w:tr w:rsidR="000E1083" w:rsidRPr="00760B6E" w14:paraId="1383209B" w14:textId="77777777" w:rsidTr="000E1083">
        <w:tc>
          <w:tcPr>
            <w:tcW w:w="2980" w:type="dxa"/>
            <w:vAlign w:val="center"/>
          </w:tcPr>
          <w:p w14:paraId="57D3BFEC" w14:textId="35E6E360" w:rsidR="000E1083" w:rsidRPr="000E1083" w:rsidRDefault="000E1083" w:rsidP="00D27C88">
            <w:pPr>
              <w:autoSpaceDE/>
              <w:autoSpaceDN/>
              <w:adjustRightInd/>
              <w:rPr>
                <w:rFonts w:eastAsiaTheme="minorHAnsi" w:cs="Arial"/>
                <w:sz w:val="18"/>
                <w:szCs w:val="18"/>
              </w:rPr>
            </w:pPr>
            <w:r w:rsidRPr="000E1083">
              <w:rPr>
                <w:rFonts w:eastAsiaTheme="minorHAnsi" w:cs="Arial"/>
                <w:sz w:val="18"/>
                <w:szCs w:val="18"/>
              </w:rPr>
              <w:t>Industry staff</w:t>
            </w:r>
          </w:p>
        </w:tc>
        <w:tc>
          <w:tcPr>
            <w:tcW w:w="1294" w:type="dxa"/>
            <w:vAlign w:val="center"/>
          </w:tcPr>
          <w:p w14:paraId="7176AFB3" w14:textId="75ADA39A" w:rsidR="000E1083" w:rsidRPr="000E1083" w:rsidRDefault="000E1083" w:rsidP="00D27C88">
            <w:pPr>
              <w:autoSpaceDE/>
              <w:autoSpaceDN/>
              <w:adjustRightInd/>
              <w:jc w:val="center"/>
              <w:rPr>
                <w:rFonts w:eastAsiaTheme="minorHAnsi" w:cs="Arial"/>
                <w:sz w:val="18"/>
                <w:szCs w:val="18"/>
              </w:rPr>
            </w:pPr>
            <w:r w:rsidRPr="000E1083">
              <w:rPr>
                <w:rFonts w:eastAsiaTheme="minorHAnsi" w:cs="Arial"/>
                <w:sz w:val="18"/>
                <w:szCs w:val="18"/>
              </w:rPr>
              <w:t>$78.60</w:t>
            </w:r>
          </w:p>
        </w:tc>
        <w:tc>
          <w:tcPr>
            <w:tcW w:w="1298" w:type="dxa"/>
            <w:shd w:val="clear" w:color="auto" w:fill="D9D9D9" w:themeFill="background1" w:themeFillShade="D9"/>
            <w:vAlign w:val="center"/>
          </w:tcPr>
          <w:p w14:paraId="713F669A" w14:textId="77777777" w:rsidR="000E1083" w:rsidRPr="000E1083" w:rsidRDefault="000E1083" w:rsidP="00D27C88">
            <w:pPr>
              <w:autoSpaceDE/>
              <w:autoSpaceDN/>
              <w:adjustRightInd/>
              <w:jc w:val="center"/>
              <w:rPr>
                <w:rFonts w:eastAsiaTheme="minorHAnsi" w:cs="Arial"/>
                <w:sz w:val="18"/>
                <w:szCs w:val="18"/>
              </w:rPr>
            </w:pPr>
          </w:p>
        </w:tc>
        <w:tc>
          <w:tcPr>
            <w:tcW w:w="1254" w:type="dxa"/>
            <w:shd w:val="clear" w:color="auto" w:fill="D9D9D9" w:themeFill="background1" w:themeFillShade="D9"/>
            <w:vAlign w:val="center"/>
          </w:tcPr>
          <w:p w14:paraId="28501676" w14:textId="77777777" w:rsidR="000E1083" w:rsidRPr="000E1083" w:rsidRDefault="000E1083" w:rsidP="00D27C88">
            <w:pPr>
              <w:autoSpaceDE/>
              <w:autoSpaceDN/>
              <w:adjustRightInd/>
              <w:jc w:val="center"/>
              <w:rPr>
                <w:rFonts w:eastAsiaTheme="minorHAnsi" w:cs="Arial"/>
                <w:sz w:val="18"/>
                <w:szCs w:val="18"/>
              </w:rPr>
            </w:pPr>
          </w:p>
        </w:tc>
        <w:tc>
          <w:tcPr>
            <w:tcW w:w="1254" w:type="dxa"/>
            <w:shd w:val="clear" w:color="auto" w:fill="D9D9D9" w:themeFill="background1" w:themeFillShade="D9"/>
            <w:vAlign w:val="center"/>
          </w:tcPr>
          <w:p w14:paraId="237A71BA" w14:textId="77777777" w:rsidR="000E1083" w:rsidRPr="000E1083" w:rsidRDefault="000E1083" w:rsidP="00D27C88">
            <w:pPr>
              <w:autoSpaceDE/>
              <w:autoSpaceDN/>
              <w:adjustRightInd/>
              <w:jc w:val="center"/>
              <w:rPr>
                <w:rFonts w:eastAsiaTheme="minorHAnsi" w:cs="Arial"/>
                <w:sz w:val="18"/>
                <w:szCs w:val="18"/>
              </w:rPr>
            </w:pPr>
          </w:p>
        </w:tc>
        <w:tc>
          <w:tcPr>
            <w:tcW w:w="1270" w:type="dxa"/>
            <w:shd w:val="clear" w:color="auto" w:fill="D9D9D9" w:themeFill="background1" w:themeFillShade="D9"/>
            <w:vAlign w:val="center"/>
          </w:tcPr>
          <w:p w14:paraId="2B69C3A3" w14:textId="77777777" w:rsidR="000E1083" w:rsidRPr="000E1083" w:rsidRDefault="000E1083" w:rsidP="00D27C88">
            <w:pPr>
              <w:autoSpaceDE/>
              <w:autoSpaceDN/>
              <w:adjustRightInd/>
              <w:jc w:val="center"/>
              <w:rPr>
                <w:rFonts w:eastAsiaTheme="minorHAnsi" w:cs="Arial"/>
                <w:sz w:val="18"/>
                <w:szCs w:val="18"/>
              </w:rPr>
            </w:pPr>
          </w:p>
        </w:tc>
      </w:tr>
    </w:tbl>
    <w:p w14:paraId="229746A1" w14:textId="77777777" w:rsidR="008F7215" w:rsidRPr="00105292" w:rsidRDefault="008F7215" w:rsidP="0062754D">
      <w:pPr>
        <w:rPr>
          <w:rFonts w:cs="Arial"/>
          <w:sz w:val="22"/>
          <w:szCs w:val="22"/>
        </w:rPr>
      </w:pPr>
    </w:p>
    <w:sectPr w:rsidR="008F7215" w:rsidRPr="00105292" w:rsidSect="000B32CC">
      <w:footerReference w:type="default" r:id="rId18"/>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A0C44" w14:textId="77777777" w:rsidR="00C6293B" w:rsidRDefault="00C6293B" w:rsidP="008B0B61">
      <w:r>
        <w:separator/>
      </w:r>
    </w:p>
    <w:p w14:paraId="089551CA" w14:textId="77777777" w:rsidR="00C6293B" w:rsidRDefault="00C6293B"/>
  </w:endnote>
  <w:endnote w:type="continuationSeparator" w:id="0">
    <w:p w14:paraId="465B1B4C" w14:textId="77777777" w:rsidR="00C6293B" w:rsidRDefault="00C6293B" w:rsidP="008B0B61">
      <w:r>
        <w:continuationSeparator/>
      </w:r>
    </w:p>
    <w:p w14:paraId="30330C26" w14:textId="77777777" w:rsidR="00C6293B" w:rsidRDefault="00C6293B"/>
  </w:endnote>
  <w:endnote w:type="continuationNotice" w:id="1">
    <w:p w14:paraId="2DCD929B" w14:textId="77777777" w:rsidR="00C6293B" w:rsidRDefault="00C6293B"/>
    <w:p w14:paraId="427E1109" w14:textId="77777777" w:rsidR="00C6293B" w:rsidRDefault="00C62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767D7" w14:textId="1E321254" w:rsidR="00D40FEF" w:rsidRPr="0031052A" w:rsidRDefault="00D40FEF">
    <w:pPr>
      <w:pStyle w:val="Footer"/>
      <w:rPr>
        <w:rFonts w:ascii="Arial" w:hAnsi="Arial" w:cs="Arial"/>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9FED" w14:textId="77777777" w:rsidR="00D40FEF" w:rsidRPr="0031052A" w:rsidRDefault="00D40FEF">
    <w:pPr>
      <w:pStyle w:val="Footer"/>
      <w:rPr>
        <w:rFonts w:ascii="Arial" w:hAnsi="Arial" w:cs="Arial"/>
      </w:rPr>
    </w:pPr>
    <w:r>
      <w:tab/>
    </w:r>
    <w:r w:rsidRPr="0031052A">
      <w:rPr>
        <w:rFonts w:ascii="Arial" w:hAnsi="Arial" w:cs="Arial"/>
      </w:rPr>
      <w:fldChar w:fldCharType="begin"/>
    </w:r>
    <w:r w:rsidRPr="0031052A">
      <w:rPr>
        <w:rFonts w:ascii="Arial" w:hAnsi="Arial" w:cs="Arial"/>
      </w:rPr>
      <w:instrText xml:space="preserve"> PAGE   \* MERGEFORMAT </w:instrText>
    </w:r>
    <w:r w:rsidRPr="0031052A">
      <w:rPr>
        <w:rFonts w:ascii="Arial" w:hAnsi="Arial" w:cs="Arial"/>
      </w:rPr>
      <w:fldChar w:fldCharType="separate"/>
    </w:r>
    <w:r w:rsidR="00C75241">
      <w:rPr>
        <w:rFonts w:ascii="Arial" w:hAnsi="Arial" w:cs="Arial"/>
        <w:noProof/>
      </w:rPr>
      <w:t>iii</w:t>
    </w:r>
    <w:r w:rsidRPr="0031052A">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76ABC" w14:textId="086CF061" w:rsidR="00D40FEF" w:rsidRPr="00BF1AF2" w:rsidRDefault="00D40FEF" w:rsidP="00E62C22">
    <w:pPr>
      <w:pStyle w:val="Footer"/>
      <w:jc w:val="center"/>
      <w:rPr>
        <w:rFonts w:ascii="Arial" w:hAnsi="Arial" w:cs="Arial"/>
      </w:rPr>
    </w:pPr>
    <w:r w:rsidRPr="00BF1AF2">
      <w:rPr>
        <w:rFonts w:ascii="Arial" w:hAnsi="Arial" w:cs="Arial"/>
      </w:rPr>
      <w:fldChar w:fldCharType="begin"/>
    </w:r>
    <w:r w:rsidRPr="00BF1AF2">
      <w:rPr>
        <w:rFonts w:ascii="Arial" w:hAnsi="Arial" w:cs="Arial"/>
      </w:rPr>
      <w:instrText xml:space="preserve"> PAGE   \* MERGEFORMAT </w:instrText>
    </w:r>
    <w:r w:rsidRPr="00BF1AF2">
      <w:rPr>
        <w:rFonts w:ascii="Arial" w:hAnsi="Arial" w:cs="Arial"/>
      </w:rPr>
      <w:fldChar w:fldCharType="separate"/>
    </w:r>
    <w:r w:rsidR="00C75241">
      <w:rPr>
        <w:rFonts w:ascii="Arial" w:hAnsi="Arial" w:cs="Arial"/>
        <w:noProof/>
      </w:rPr>
      <w:t>18</w:t>
    </w:r>
    <w:r w:rsidRPr="00BF1AF2">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C0055" w14:textId="77777777" w:rsidR="00C6293B" w:rsidRDefault="00C6293B" w:rsidP="008B0B61">
      <w:r>
        <w:separator/>
      </w:r>
    </w:p>
    <w:p w14:paraId="5985C77F" w14:textId="77777777" w:rsidR="00C6293B" w:rsidRDefault="00C6293B"/>
  </w:footnote>
  <w:footnote w:type="continuationSeparator" w:id="0">
    <w:p w14:paraId="385AC1E8" w14:textId="77777777" w:rsidR="00C6293B" w:rsidRDefault="00C6293B" w:rsidP="008B0B61">
      <w:r>
        <w:continuationSeparator/>
      </w:r>
    </w:p>
    <w:p w14:paraId="0CCDB521" w14:textId="77777777" w:rsidR="00C6293B" w:rsidRDefault="00C6293B"/>
  </w:footnote>
  <w:footnote w:type="continuationNotice" w:id="1">
    <w:p w14:paraId="07A243F7" w14:textId="77777777" w:rsidR="00C6293B" w:rsidRDefault="00C6293B"/>
    <w:p w14:paraId="77160AFB" w14:textId="77777777" w:rsidR="00C6293B" w:rsidRDefault="00C6293B"/>
  </w:footnote>
  <w:footnote w:id="2">
    <w:p w14:paraId="275A7D8C" w14:textId="27D887AE" w:rsidR="00D40FEF" w:rsidRPr="009571CD" w:rsidRDefault="00D40FEF" w:rsidP="00194DB1">
      <w:pPr>
        <w:pStyle w:val="FootnoteText"/>
        <w:ind w:left="360" w:hanging="360"/>
        <w:rPr>
          <w:sz w:val="18"/>
        </w:rPr>
      </w:pPr>
      <w:r w:rsidRPr="009571CD">
        <w:rPr>
          <w:rStyle w:val="FootnoteReference"/>
          <w:sz w:val="18"/>
        </w:rPr>
        <w:footnoteRef/>
      </w:r>
      <w:r w:rsidRPr="009571CD">
        <w:rPr>
          <w:sz w:val="18"/>
        </w:rPr>
        <w:t xml:space="preserve"> </w:t>
      </w:r>
      <w:r w:rsidRPr="009571CD">
        <w:rPr>
          <w:sz w:val="18"/>
        </w:rPr>
        <w:tab/>
        <w:t>The three regulatory guides are RG 1.226, “Flexible Mitigation Strategies for Beyond-Design-Basis Events” (</w:t>
      </w:r>
      <w:r>
        <w:rPr>
          <w:sz w:val="18"/>
        </w:rPr>
        <w:t>NRC</w:t>
      </w:r>
      <w:r w:rsidR="00E54BD2">
        <w:rPr>
          <w:sz w:val="18"/>
        </w:rPr>
        <w:t> </w:t>
      </w:r>
      <w:r>
        <w:rPr>
          <w:sz w:val="18"/>
        </w:rPr>
        <w:t>2017b</w:t>
      </w:r>
      <w:r w:rsidRPr="009571CD">
        <w:rPr>
          <w:sz w:val="18"/>
        </w:rPr>
        <w:t>), RG 1.227, “Wide-Range Spent Fuel Pool Level Instrumentation” (</w:t>
      </w:r>
      <w:r>
        <w:rPr>
          <w:sz w:val="18"/>
        </w:rPr>
        <w:t>NRC 2017c</w:t>
      </w:r>
      <w:r w:rsidRPr="009571CD">
        <w:rPr>
          <w:sz w:val="18"/>
        </w:rPr>
        <w:t>), and RG 1.228, “Integrated Response Capabilities for Beyond-Design-Basis Events” (</w:t>
      </w:r>
      <w:r>
        <w:rPr>
          <w:sz w:val="18"/>
        </w:rPr>
        <w:t>NRC 2017d</w:t>
      </w:r>
      <w:r w:rsidRPr="009571CD">
        <w:rPr>
          <w:sz w:val="18"/>
        </w:rPr>
        <w:t>).</w:t>
      </w:r>
    </w:p>
  </w:footnote>
  <w:footnote w:id="3">
    <w:p w14:paraId="0055AB95" w14:textId="7A3BBD91" w:rsidR="00D40FEF" w:rsidRPr="006F57B3" w:rsidRDefault="00D40FEF" w:rsidP="005E477B">
      <w:pPr>
        <w:pStyle w:val="FootnoteText"/>
        <w:ind w:left="360" w:hanging="360"/>
        <w:rPr>
          <w:sz w:val="18"/>
          <w:szCs w:val="18"/>
        </w:rPr>
      </w:pPr>
      <w:r w:rsidRPr="006F57B3">
        <w:rPr>
          <w:rStyle w:val="FootnoteReference"/>
          <w:sz w:val="18"/>
          <w:szCs w:val="18"/>
        </w:rPr>
        <w:footnoteRef/>
      </w:r>
      <w:r w:rsidRPr="006F57B3">
        <w:rPr>
          <w:sz w:val="18"/>
          <w:szCs w:val="18"/>
        </w:rPr>
        <w:t xml:space="preserve"> </w:t>
      </w:r>
      <w:r w:rsidRPr="006F57B3">
        <w:rPr>
          <w:sz w:val="18"/>
          <w:szCs w:val="18"/>
        </w:rPr>
        <w:tab/>
        <w:t xml:space="preserve">The </w:t>
      </w:r>
      <w:r>
        <w:rPr>
          <w:sz w:val="18"/>
          <w:szCs w:val="18"/>
        </w:rPr>
        <w:t>11 COL holders</w:t>
      </w:r>
      <w:r w:rsidR="00E10767">
        <w:rPr>
          <w:sz w:val="18"/>
          <w:szCs w:val="18"/>
        </w:rPr>
        <w:t>,</w:t>
      </w:r>
      <w:r>
        <w:rPr>
          <w:sz w:val="18"/>
          <w:szCs w:val="18"/>
        </w:rPr>
        <w:t xml:space="preserve"> </w:t>
      </w:r>
      <w:r w:rsidR="00E54BD2">
        <w:rPr>
          <w:sz w:val="18"/>
          <w:szCs w:val="18"/>
        </w:rPr>
        <w:t>when the regulatory analysis was prepared in 2016</w:t>
      </w:r>
      <w:r w:rsidR="00E10767">
        <w:rPr>
          <w:sz w:val="18"/>
          <w:szCs w:val="18"/>
        </w:rPr>
        <w:t>,</w:t>
      </w:r>
      <w:r w:rsidR="00E54BD2">
        <w:rPr>
          <w:sz w:val="18"/>
          <w:szCs w:val="18"/>
        </w:rPr>
        <w:t xml:space="preserve"> </w:t>
      </w:r>
      <w:r w:rsidRPr="00991F29">
        <w:rPr>
          <w:sz w:val="18"/>
          <w:szCs w:val="18"/>
        </w:rPr>
        <w:t>are Fermi Unit 3, Lee Nuclear Station Units 3 and 4, Levy County Units 1 and 2, South Texas Project Units 3 and 4, Virgil C. Summer Nuclear Station Units 2 and 3, and Vogtle Electric Generating Plant Units 3 and 4.</w:t>
      </w:r>
    </w:p>
  </w:footnote>
  <w:footnote w:id="4">
    <w:p w14:paraId="5A955BEE" w14:textId="13B1AF2B" w:rsidR="00D40FEF" w:rsidRPr="00A63B3F" w:rsidRDefault="00D40FEF" w:rsidP="005E477B">
      <w:pPr>
        <w:pStyle w:val="FootnoteText"/>
        <w:ind w:left="360" w:hanging="360"/>
        <w:rPr>
          <w:sz w:val="18"/>
          <w:szCs w:val="18"/>
        </w:rPr>
      </w:pPr>
      <w:r w:rsidRPr="00A63B3F">
        <w:rPr>
          <w:rStyle w:val="FootnoteReference"/>
          <w:sz w:val="18"/>
          <w:szCs w:val="18"/>
        </w:rPr>
        <w:footnoteRef/>
      </w:r>
      <w:r w:rsidRPr="00A63B3F">
        <w:rPr>
          <w:sz w:val="18"/>
          <w:szCs w:val="18"/>
        </w:rPr>
        <w:t xml:space="preserve"> </w:t>
      </w:r>
      <w:r w:rsidRPr="00A63B3F">
        <w:rPr>
          <w:sz w:val="18"/>
          <w:szCs w:val="18"/>
        </w:rPr>
        <w:tab/>
      </w:r>
      <w:r w:rsidRPr="00A63B3F">
        <w:rPr>
          <w:rFonts w:cs="Arial"/>
          <w:sz w:val="18"/>
          <w:szCs w:val="18"/>
        </w:rPr>
        <w:t>The five PRMs are (1) PRM 50-97, “NRDC’s Petition for Rulemaking To Require Emergency Preparedness Enhancements for Prolonged Station Blackouts,” (2) PRM-50-98, “NRDC’s Petition for Rulemaking To Require Emergency Preparedness Enhancements for Multiunit Events,” (3) PRM</w:t>
      </w:r>
      <w:r w:rsidRPr="00A63B3F">
        <w:rPr>
          <w:rFonts w:cs="Arial"/>
          <w:sz w:val="18"/>
          <w:szCs w:val="18"/>
        </w:rPr>
        <w:noBreakHyphen/>
        <w:t>50</w:t>
      </w:r>
      <w:r w:rsidRPr="00A63B3F">
        <w:rPr>
          <w:rFonts w:cs="Arial"/>
          <w:sz w:val="18"/>
          <w:szCs w:val="18"/>
        </w:rPr>
        <w:noBreakHyphen/>
        <w:t>100, “NRDC’s Petition for Rulemaking To Require Licensees To Improve Spent Nuclear Fuel Pool Safety,” (4) PRM-50-101, “NRDC’s Petition for Rulemaking To Revise 10 CFR § 50.63,” and (5) PRM 50-102, “NRDC’s Petition for Rulemaking To Require More Realistic Training on Severe Accident Mitigation Guidelines.”</w:t>
      </w:r>
    </w:p>
  </w:footnote>
  <w:footnote w:id="5">
    <w:p w14:paraId="579DE7B7" w14:textId="241033D2" w:rsidR="00D40FEF" w:rsidRPr="00C62DDF" w:rsidRDefault="00D40FEF" w:rsidP="00262F0D">
      <w:pPr>
        <w:pStyle w:val="FootnoteText"/>
        <w:ind w:left="360" w:hanging="360"/>
        <w:rPr>
          <w:sz w:val="18"/>
          <w:szCs w:val="18"/>
        </w:rPr>
      </w:pPr>
      <w:r w:rsidRPr="00C62DDF">
        <w:rPr>
          <w:rStyle w:val="FootnoteReference"/>
          <w:sz w:val="18"/>
          <w:szCs w:val="18"/>
        </w:rPr>
        <w:footnoteRef/>
      </w:r>
      <w:r w:rsidRPr="00C62DDF">
        <w:rPr>
          <w:sz w:val="18"/>
          <w:szCs w:val="18"/>
        </w:rPr>
        <w:t xml:space="preserve"> </w:t>
      </w:r>
      <w:r w:rsidRPr="00C62DDF">
        <w:rPr>
          <w:sz w:val="18"/>
          <w:szCs w:val="18"/>
        </w:rPr>
        <w:tab/>
        <w:t xml:space="preserve">These orders and license conditions are discussed under “Order Rescission and Removal of License Conditions” in the </w:t>
      </w:r>
      <w:r w:rsidRPr="00973601">
        <w:rPr>
          <w:sz w:val="18"/>
          <w:szCs w:val="18"/>
        </w:rPr>
        <w:t>“</w:t>
      </w:r>
      <w:r w:rsidRPr="00C62DDF">
        <w:rPr>
          <w:sz w:val="18"/>
          <w:szCs w:val="18"/>
        </w:rPr>
        <w:t>Mitigation of Beyond-Design-Basis Events</w:t>
      </w:r>
      <w:r w:rsidRPr="00973601">
        <w:rPr>
          <w:sz w:val="18"/>
          <w:szCs w:val="18"/>
        </w:rPr>
        <w:t>”</w:t>
      </w:r>
      <w:r w:rsidRPr="00C62DDF">
        <w:rPr>
          <w:sz w:val="18"/>
          <w:szCs w:val="18"/>
        </w:rPr>
        <w:t xml:space="preserve"> </w:t>
      </w:r>
      <w:r>
        <w:rPr>
          <w:sz w:val="18"/>
          <w:szCs w:val="18"/>
        </w:rPr>
        <w:t xml:space="preserve">Final Rule </w:t>
      </w:r>
      <w:r w:rsidRPr="00C62DDF">
        <w:rPr>
          <w:i/>
          <w:sz w:val="18"/>
          <w:szCs w:val="18"/>
        </w:rPr>
        <w:t>Federal Register</w:t>
      </w:r>
      <w:r w:rsidRPr="00C62DDF">
        <w:rPr>
          <w:sz w:val="18"/>
          <w:szCs w:val="18"/>
        </w:rPr>
        <w:t xml:space="preserve"> notice</w:t>
      </w:r>
      <w:r>
        <w:rPr>
          <w:sz w:val="18"/>
          <w:szCs w:val="18"/>
        </w:rPr>
        <w:t xml:space="preserve"> (NRC 2018a)</w:t>
      </w:r>
      <w:r w:rsidRPr="00C62DDF">
        <w:rPr>
          <w:sz w:val="18"/>
          <w:szCs w:val="18"/>
        </w:rPr>
        <w:t>.</w:t>
      </w:r>
    </w:p>
  </w:footnote>
  <w:footnote w:id="6">
    <w:p w14:paraId="72705DE8" w14:textId="77777777" w:rsidR="00D40FEF" w:rsidRPr="00E17427" w:rsidRDefault="00D40FEF" w:rsidP="00262F0D">
      <w:pPr>
        <w:pStyle w:val="FootnoteText"/>
        <w:ind w:left="360" w:hanging="360"/>
        <w:rPr>
          <w:sz w:val="18"/>
          <w:szCs w:val="18"/>
        </w:rPr>
      </w:pPr>
      <w:r w:rsidRPr="00E17427">
        <w:rPr>
          <w:rStyle w:val="FootnoteReference"/>
          <w:sz w:val="18"/>
          <w:szCs w:val="18"/>
        </w:rPr>
        <w:footnoteRef/>
      </w:r>
      <w:r w:rsidRPr="00E17427">
        <w:rPr>
          <w:sz w:val="18"/>
          <w:szCs w:val="18"/>
        </w:rPr>
        <w:t xml:space="preserve"> </w:t>
      </w:r>
      <w:r w:rsidRPr="00E17427">
        <w:rPr>
          <w:sz w:val="18"/>
          <w:szCs w:val="18"/>
        </w:rPr>
        <w:tab/>
        <w:t xml:space="preserve">Information about this software is available online at </w:t>
      </w:r>
      <w:hyperlink r:id="rId1" w:history="1">
        <w:r w:rsidRPr="00E17427">
          <w:rPr>
            <w:rStyle w:val="Hyperlink"/>
            <w:sz w:val="18"/>
            <w:szCs w:val="18"/>
          </w:rPr>
          <w:t>www.palisade.com</w:t>
        </w:r>
      </w:hyperlink>
      <w:r w:rsidRPr="00E17427">
        <w:rPr>
          <w:sz w:val="18"/>
          <w:szCs w:val="18"/>
        </w:rPr>
        <w:t>.</w:t>
      </w:r>
    </w:p>
    <w:p w14:paraId="5BCF841E" w14:textId="77777777" w:rsidR="00D40FEF" w:rsidRPr="00E17427" w:rsidRDefault="00D40FEF" w:rsidP="00CB6B27">
      <w:pPr>
        <w:pStyle w:val="FootnoteText"/>
        <w:ind w:left="360" w:hanging="360"/>
        <w:rPr>
          <w:sz w:val="18"/>
          <w:szCs w:val="18"/>
        </w:rPr>
      </w:pPr>
    </w:p>
  </w:footnote>
  <w:footnote w:id="7">
    <w:p w14:paraId="430C5009" w14:textId="4D482538" w:rsidR="00D40FEF" w:rsidRPr="00E17427" w:rsidRDefault="00D40FEF" w:rsidP="00262F0D">
      <w:pPr>
        <w:pStyle w:val="FootnoteText"/>
        <w:ind w:left="360" w:hanging="360"/>
        <w:rPr>
          <w:rFonts w:cs="Arial"/>
          <w:sz w:val="18"/>
          <w:szCs w:val="18"/>
        </w:rPr>
      </w:pPr>
      <w:r w:rsidRPr="00E17427">
        <w:rPr>
          <w:rStyle w:val="FootnoteReference"/>
          <w:sz w:val="18"/>
          <w:szCs w:val="18"/>
        </w:rPr>
        <w:footnoteRef/>
      </w:r>
      <w:r w:rsidRPr="00E17427">
        <w:rPr>
          <w:sz w:val="18"/>
          <w:szCs w:val="18"/>
        </w:rPr>
        <w:t xml:space="preserve"> </w:t>
      </w:r>
      <w:r w:rsidRPr="00E17427">
        <w:rPr>
          <w:sz w:val="18"/>
          <w:szCs w:val="18"/>
        </w:rPr>
        <w:tab/>
      </w:r>
      <w:r w:rsidRPr="00E17427">
        <w:rPr>
          <w:rFonts w:cs="Arial"/>
          <w:sz w:val="18"/>
          <w:szCs w:val="18"/>
        </w:rPr>
        <w:t xml:space="preserve">A PERT distribution is a special form of the beta distribution with a minimum and maximum value specified.  The shape parameter is calculated from the defined </w:t>
      </w:r>
      <w:r w:rsidRPr="00E17427">
        <w:rPr>
          <w:rFonts w:cs="Arial"/>
          <w:iCs/>
          <w:sz w:val="18"/>
          <w:szCs w:val="18"/>
        </w:rPr>
        <w:t>most likely</w:t>
      </w:r>
      <w:r w:rsidRPr="00E17427">
        <w:rPr>
          <w:rFonts w:cs="Arial"/>
          <w:i/>
          <w:iCs/>
          <w:sz w:val="18"/>
          <w:szCs w:val="18"/>
        </w:rPr>
        <w:t xml:space="preserve"> </w:t>
      </w:r>
      <w:r w:rsidRPr="00E17427">
        <w:rPr>
          <w:rFonts w:cs="Arial"/>
          <w:sz w:val="18"/>
          <w:szCs w:val="18"/>
        </w:rPr>
        <w:t>value.  The PERT distribution is similar to a triangular distribution in that it has the same set of three parameters.  Technically, it is a special case of a scaled beta (or beta general) distribution.  It can generally be considered to be superior to the triangular distribution when the parameters result in a skewed distribution, as the smooth shape of the curve places less emphasis in the direction of skew.  Similar to the triangular distribution, the PERT distribution is bounded on both sides and, therefore, may not be adequate for some modeling purposes, such as those intended to capture tail or extreme events.</w:t>
      </w:r>
    </w:p>
    <w:p w14:paraId="4A673AA4" w14:textId="77777777" w:rsidR="00D40FEF" w:rsidRDefault="00D40FEF" w:rsidP="00CB6B27">
      <w:pPr>
        <w:pStyle w:val="FootnoteText"/>
        <w:ind w:left="360" w:hanging="3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BD98" w14:textId="77777777" w:rsidR="00D40FEF" w:rsidRPr="005045EF" w:rsidRDefault="00D40FEF" w:rsidP="004F0BD0">
    <w:pPr>
      <w:pStyle w:val="Header"/>
      <w:rPr>
        <w:rFonts w:ascii="Arial Narrow" w:hAnsi="Arial Narrow"/>
      </w:rPr>
    </w:pPr>
    <w:r w:rsidRPr="000A28DC">
      <w:rPr>
        <w:rFonts w:ascii="Arial Narrow" w:hAnsi="Arial Narrow"/>
        <w:i/>
      </w:rPr>
      <w:t xml:space="preserve">Regulatory Analysis: Proposed Rulemaking to Address </w:t>
    </w:r>
    <w:r>
      <w:rPr>
        <w:rFonts w:ascii="Arial Narrow" w:hAnsi="Arial Narrow"/>
        <w:i/>
      </w:rPr>
      <w:t>Mitigation of Beyond-Design-Basis Events</w:t>
    </w:r>
    <w:r w:rsidRPr="005045EF">
      <w:rPr>
        <w:rFonts w:ascii="Arial Narrow" w:hAnsi="Arial Narrow"/>
      </w:rPr>
      <w:tab/>
      <w:t xml:space="preserve">Page </w:t>
    </w:r>
    <w:r w:rsidRPr="005045EF">
      <w:rPr>
        <w:rFonts w:ascii="Arial Narrow" w:hAnsi="Arial Narrow"/>
      </w:rPr>
      <w:fldChar w:fldCharType="begin"/>
    </w:r>
    <w:r w:rsidRPr="005045EF">
      <w:rPr>
        <w:rFonts w:ascii="Arial Narrow" w:hAnsi="Arial Narrow"/>
      </w:rPr>
      <w:instrText xml:space="preserve"> PAGE   \* MERGEFORMAT </w:instrText>
    </w:r>
    <w:r w:rsidRPr="005045EF">
      <w:rPr>
        <w:rFonts w:ascii="Arial Narrow" w:hAnsi="Arial Narrow"/>
      </w:rPr>
      <w:fldChar w:fldCharType="separate"/>
    </w:r>
    <w:r>
      <w:rPr>
        <w:rFonts w:ascii="Arial Narrow" w:hAnsi="Arial Narrow"/>
        <w:noProof/>
      </w:rPr>
      <w:t>vi</w:t>
    </w:r>
    <w:r w:rsidRPr="005045EF">
      <w:rPr>
        <w:rFonts w:ascii="Arial Narrow" w:hAnsi="Arial Narrow"/>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6B30C" w14:textId="77777777" w:rsidR="00D40FEF" w:rsidRPr="00493A8F" w:rsidRDefault="00D40FEF" w:rsidP="00493A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48A0B" w14:textId="36143809" w:rsidR="00D40FEF" w:rsidRDefault="00D40FEF" w:rsidP="0026736A">
    <w:pPr>
      <w:pStyle w:val="Header"/>
      <w:tabs>
        <w:tab w:val="clear" w:pos="4680"/>
        <w:tab w:val="right" w:pos="12960"/>
      </w:tabs>
      <w:rPr>
        <w:rFonts w:ascii="Arial Narrow" w:hAnsi="Arial Narrow"/>
        <w:noProof/>
      </w:rPr>
    </w:pPr>
    <w:r w:rsidRPr="000A28DC">
      <w:rPr>
        <w:rFonts w:ascii="Arial Narrow" w:hAnsi="Arial Narrow"/>
        <w:i/>
      </w:rPr>
      <w:t>Regulatory Analysis</w:t>
    </w:r>
    <w:r>
      <w:rPr>
        <w:rFonts w:ascii="Arial Narrow" w:hAnsi="Arial Narrow"/>
        <w:i/>
      </w:rPr>
      <w:t xml:space="preserve"> Addenda</w:t>
    </w:r>
    <w:r w:rsidRPr="000A28DC">
      <w:rPr>
        <w:rFonts w:ascii="Arial Narrow" w:hAnsi="Arial Narrow"/>
        <w:i/>
      </w:rPr>
      <w:t>:</w:t>
    </w:r>
  </w:p>
  <w:p w14:paraId="58B0ABF3" w14:textId="5B5657A6" w:rsidR="00D40FEF" w:rsidRPr="005045EF" w:rsidRDefault="00D40FEF" w:rsidP="0026736A">
    <w:pPr>
      <w:pStyle w:val="Header"/>
      <w:tabs>
        <w:tab w:val="clear" w:pos="4680"/>
        <w:tab w:val="clear" w:pos="9360"/>
        <w:tab w:val="right" w:pos="12960"/>
      </w:tabs>
      <w:rPr>
        <w:rFonts w:ascii="Arial Narrow" w:hAnsi="Arial Narrow"/>
      </w:rPr>
    </w:pPr>
    <w:r>
      <w:rPr>
        <w:rFonts w:ascii="Arial Narrow" w:hAnsi="Arial Narrow"/>
        <w:i/>
      </w:rPr>
      <w:t>Final Rule</w:t>
    </w:r>
    <w:r w:rsidRPr="000A28DC">
      <w:rPr>
        <w:rFonts w:ascii="Arial Narrow" w:hAnsi="Arial Narrow"/>
        <w:i/>
      </w:rPr>
      <w:t xml:space="preserve"> to Address </w:t>
    </w:r>
    <w:r>
      <w:rPr>
        <w:rFonts w:ascii="Arial Narrow" w:hAnsi="Arial Narrow"/>
        <w:i/>
      </w:rPr>
      <w:t>Mitigation of Beyond-Design-Basis Events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BAA"/>
    <w:multiLevelType w:val="hybridMultilevel"/>
    <w:tmpl w:val="1A904D1C"/>
    <w:lvl w:ilvl="0" w:tplc="B9CAEC7C">
      <w:start w:val="1"/>
      <w:numFmt w:val="decimal"/>
      <w:lvlText w:val="B.%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A0DA6"/>
    <w:multiLevelType w:val="hybridMultilevel"/>
    <w:tmpl w:val="A03A6F3E"/>
    <w:lvl w:ilvl="0" w:tplc="0409000F">
      <w:start w:val="1"/>
      <w:numFmt w:val="decimal"/>
      <w:lvlText w:val="%1."/>
      <w:lvlJc w:val="left"/>
      <w:pPr>
        <w:ind w:left="145" w:hanging="197"/>
      </w:pPr>
      <w:rPr>
        <w:rFonts w:hint="default"/>
        <w:spacing w:val="-1"/>
        <w:w w:val="101"/>
        <w:sz w:val="13"/>
        <w:szCs w:val="13"/>
      </w:rPr>
    </w:lvl>
    <w:lvl w:ilvl="1" w:tplc="0FA8FA9C">
      <w:start w:val="1"/>
      <w:numFmt w:val="bullet"/>
      <w:lvlText w:val="•"/>
      <w:lvlJc w:val="left"/>
      <w:pPr>
        <w:ind w:left="1173" w:hanging="197"/>
      </w:pPr>
      <w:rPr>
        <w:rFonts w:hint="default"/>
      </w:rPr>
    </w:lvl>
    <w:lvl w:ilvl="2" w:tplc="F8A2214E">
      <w:start w:val="1"/>
      <w:numFmt w:val="bullet"/>
      <w:lvlText w:val="•"/>
      <w:lvlJc w:val="left"/>
      <w:pPr>
        <w:ind w:left="2200" w:hanging="197"/>
      </w:pPr>
      <w:rPr>
        <w:rFonts w:hint="default"/>
      </w:rPr>
    </w:lvl>
    <w:lvl w:ilvl="3" w:tplc="F4EEF4D8">
      <w:start w:val="1"/>
      <w:numFmt w:val="bullet"/>
      <w:lvlText w:val="•"/>
      <w:lvlJc w:val="left"/>
      <w:pPr>
        <w:ind w:left="3227" w:hanging="197"/>
      </w:pPr>
      <w:rPr>
        <w:rFonts w:hint="default"/>
      </w:rPr>
    </w:lvl>
    <w:lvl w:ilvl="4" w:tplc="C53890A4">
      <w:start w:val="1"/>
      <w:numFmt w:val="bullet"/>
      <w:lvlText w:val="•"/>
      <w:lvlJc w:val="left"/>
      <w:pPr>
        <w:ind w:left="4255" w:hanging="197"/>
      </w:pPr>
      <w:rPr>
        <w:rFonts w:hint="default"/>
      </w:rPr>
    </w:lvl>
    <w:lvl w:ilvl="5" w:tplc="7908B644">
      <w:start w:val="1"/>
      <w:numFmt w:val="bullet"/>
      <w:lvlText w:val="•"/>
      <w:lvlJc w:val="left"/>
      <w:pPr>
        <w:ind w:left="5282" w:hanging="197"/>
      </w:pPr>
      <w:rPr>
        <w:rFonts w:hint="default"/>
      </w:rPr>
    </w:lvl>
    <w:lvl w:ilvl="6" w:tplc="CFF22804">
      <w:start w:val="1"/>
      <w:numFmt w:val="bullet"/>
      <w:lvlText w:val="•"/>
      <w:lvlJc w:val="left"/>
      <w:pPr>
        <w:ind w:left="6310" w:hanging="197"/>
      </w:pPr>
      <w:rPr>
        <w:rFonts w:hint="default"/>
      </w:rPr>
    </w:lvl>
    <w:lvl w:ilvl="7" w:tplc="ABC67F74">
      <w:start w:val="1"/>
      <w:numFmt w:val="bullet"/>
      <w:lvlText w:val="•"/>
      <w:lvlJc w:val="left"/>
      <w:pPr>
        <w:ind w:left="7337" w:hanging="197"/>
      </w:pPr>
      <w:rPr>
        <w:rFonts w:hint="default"/>
      </w:rPr>
    </w:lvl>
    <w:lvl w:ilvl="8" w:tplc="149271EE">
      <w:start w:val="1"/>
      <w:numFmt w:val="bullet"/>
      <w:lvlText w:val="•"/>
      <w:lvlJc w:val="left"/>
      <w:pPr>
        <w:ind w:left="8365" w:hanging="197"/>
      </w:pPr>
      <w:rPr>
        <w:rFonts w:hint="default"/>
      </w:rPr>
    </w:lvl>
  </w:abstractNum>
  <w:abstractNum w:abstractNumId="2">
    <w:nsid w:val="08A72A09"/>
    <w:multiLevelType w:val="hybridMultilevel"/>
    <w:tmpl w:val="C728CF98"/>
    <w:lvl w:ilvl="0" w:tplc="0409000F">
      <w:start w:val="1"/>
      <w:numFmt w:val="decimal"/>
      <w:lvlText w:val="%1."/>
      <w:lvlJc w:val="left"/>
      <w:pPr>
        <w:ind w:left="145" w:hanging="197"/>
      </w:pPr>
      <w:rPr>
        <w:rFonts w:hint="default"/>
        <w:spacing w:val="-1"/>
        <w:w w:val="101"/>
        <w:sz w:val="13"/>
        <w:szCs w:val="13"/>
      </w:rPr>
    </w:lvl>
    <w:lvl w:ilvl="1" w:tplc="B3E6ED9A">
      <w:start w:val="1"/>
      <w:numFmt w:val="bullet"/>
      <w:lvlText w:val="•"/>
      <w:lvlJc w:val="left"/>
      <w:pPr>
        <w:ind w:left="1173" w:hanging="197"/>
      </w:pPr>
      <w:rPr>
        <w:rFonts w:hint="default"/>
      </w:rPr>
    </w:lvl>
    <w:lvl w:ilvl="2" w:tplc="F60845B2">
      <w:start w:val="1"/>
      <w:numFmt w:val="bullet"/>
      <w:lvlText w:val="•"/>
      <w:lvlJc w:val="left"/>
      <w:pPr>
        <w:ind w:left="2200" w:hanging="197"/>
      </w:pPr>
      <w:rPr>
        <w:rFonts w:hint="default"/>
      </w:rPr>
    </w:lvl>
    <w:lvl w:ilvl="3" w:tplc="4B044136">
      <w:start w:val="1"/>
      <w:numFmt w:val="bullet"/>
      <w:lvlText w:val="•"/>
      <w:lvlJc w:val="left"/>
      <w:pPr>
        <w:ind w:left="3227" w:hanging="197"/>
      </w:pPr>
      <w:rPr>
        <w:rFonts w:hint="default"/>
      </w:rPr>
    </w:lvl>
    <w:lvl w:ilvl="4" w:tplc="28ACBD64">
      <w:start w:val="1"/>
      <w:numFmt w:val="bullet"/>
      <w:lvlText w:val="•"/>
      <w:lvlJc w:val="left"/>
      <w:pPr>
        <w:ind w:left="4255" w:hanging="197"/>
      </w:pPr>
      <w:rPr>
        <w:rFonts w:hint="default"/>
      </w:rPr>
    </w:lvl>
    <w:lvl w:ilvl="5" w:tplc="36E2D626">
      <w:start w:val="1"/>
      <w:numFmt w:val="bullet"/>
      <w:lvlText w:val="•"/>
      <w:lvlJc w:val="left"/>
      <w:pPr>
        <w:ind w:left="5282" w:hanging="197"/>
      </w:pPr>
      <w:rPr>
        <w:rFonts w:hint="default"/>
      </w:rPr>
    </w:lvl>
    <w:lvl w:ilvl="6" w:tplc="F6AE367C">
      <w:start w:val="1"/>
      <w:numFmt w:val="bullet"/>
      <w:lvlText w:val="•"/>
      <w:lvlJc w:val="left"/>
      <w:pPr>
        <w:ind w:left="6310" w:hanging="197"/>
      </w:pPr>
      <w:rPr>
        <w:rFonts w:hint="default"/>
      </w:rPr>
    </w:lvl>
    <w:lvl w:ilvl="7" w:tplc="A8929998">
      <w:start w:val="1"/>
      <w:numFmt w:val="bullet"/>
      <w:lvlText w:val="•"/>
      <w:lvlJc w:val="left"/>
      <w:pPr>
        <w:ind w:left="7337" w:hanging="197"/>
      </w:pPr>
      <w:rPr>
        <w:rFonts w:hint="default"/>
      </w:rPr>
    </w:lvl>
    <w:lvl w:ilvl="8" w:tplc="CA2EDB38">
      <w:start w:val="1"/>
      <w:numFmt w:val="bullet"/>
      <w:lvlText w:val="•"/>
      <w:lvlJc w:val="left"/>
      <w:pPr>
        <w:ind w:left="8365" w:hanging="197"/>
      </w:pPr>
      <w:rPr>
        <w:rFonts w:hint="default"/>
      </w:rPr>
    </w:lvl>
  </w:abstractNum>
  <w:abstractNum w:abstractNumId="3">
    <w:nsid w:val="10EF4D06"/>
    <w:multiLevelType w:val="hybridMultilevel"/>
    <w:tmpl w:val="F51A7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283BC1"/>
    <w:multiLevelType w:val="hybridMultilevel"/>
    <w:tmpl w:val="55981A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A3858"/>
    <w:multiLevelType w:val="hybridMultilevel"/>
    <w:tmpl w:val="EF261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5337A"/>
    <w:multiLevelType w:val="hybridMultilevel"/>
    <w:tmpl w:val="7BB8D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07A6"/>
    <w:multiLevelType w:val="multilevel"/>
    <w:tmpl w:val="1760351A"/>
    <w:lvl w:ilvl="0">
      <w:start w:val="3"/>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3A6095D"/>
    <w:multiLevelType w:val="hybridMultilevel"/>
    <w:tmpl w:val="C05AC64A"/>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F73045"/>
    <w:multiLevelType w:val="hybridMultilevel"/>
    <w:tmpl w:val="0FDCBE98"/>
    <w:lvl w:ilvl="0" w:tplc="0409000F">
      <w:start w:val="1"/>
      <w:numFmt w:val="decimal"/>
      <w:lvlText w:val="%1."/>
      <w:lvlJc w:val="left"/>
      <w:pPr>
        <w:ind w:left="145" w:hanging="197"/>
      </w:pPr>
      <w:rPr>
        <w:rFonts w:hint="default"/>
        <w:spacing w:val="-1"/>
        <w:w w:val="101"/>
        <w:sz w:val="13"/>
        <w:szCs w:val="13"/>
      </w:rPr>
    </w:lvl>
    <w:lvl w:ilvl="1" w:tplc="7004DE38">
      <w:start w:val="1"/>
      <w:numFmt w:val="lowerLetter"/>
      <w:lvlText w:val="%2)"/>
      <w:lvlJc w:val="left"/>
      <w:pPr>
        <w:ind w:left="643" w:hanging="132"/>
      </w:pPr>
      <w:rPr>
        <w:rFonts w:ascii="Calibri" w:eastAsia="Calibri" w:hAnsi="Calibri" w:hint="default"/>
        <w:spacing w:val="-1"/>
        <w:w w:val="101"/>
        <w:sz w:val="13"/>
        <w:szCs w:val="13"/>
      </w:rPr>
    </w:lvl>
    <w:lvl w:ilvl="2" w:tplc="9FFAAF7A">
      <w:start w:val="1"/>
      <w:numFmt w:val="bullet"/>
      <w:lvlText w:val="•"/>
      <w:lvlJc w:val="left"/>
      <w:pPr>
        <w:ind w:left="1582" w:hanging="132"/>
      </w:pPr>
      <w:rPr>
        <w:rFonts w:hint="default"/>
      </w:rPr>
    </w:lvl>
    <w:lvl w:ilvl="3" w:tplc="8B32786E">
      <w:start w:val="1"/>
      <w:numFmt w:val="bullet"/>
      <w:lvlText w:val="•"/>
      <w:lvlJc w:val="left"/>
      <w:pPr>
        <w:ind w:left="2522" w:hanging="132"/>
      </w:pPr>
      <w:rPr>
        <w:rFonts w:hint="default"/>
      </w:rPr>
    </w:lvl>
    <w:lvl w:ilvl="4" w:tplc="778CC094">
      <w:start w:val="1"/>
      <w:numFmt w:val="bullet"/>
      <w:lvlText w:val="•"/>
      <w:lvlJc w:val="left"/>
      <w:pPr>
        <w:ind w:left="3462" w:hanging="132"/>
      </w:pPr>
      <w:rPr>
        <w:rFonts w:hint="default"/>
      </w:rPr>
    </w:lvl>
    <w:lvl w:ilvl="5" w:tplc="8AA2C8D2">
      <w:start w:val="1"/>
      <w:numFmt w:val="bullet"/>
      <w:lvlText w:val="•"/>
      <w:lvlJc w:val="left"/>
      <w:pPr>
        <w:ind w:left="4401" w:hanging="132"/>
      </w:pPr>
      <w:rPr>
        <w:rFonts w:hint="default"/>
      </w:rPr>
    </w:lvl>
    <w:lvl w:ilvl="6" w:tplc="A73666DE">
      <w:start w:val="1"/>
      <w:numFmt w:val="bullet"/>
      <w:lvlText w:val="•"/>
      <w:lvlJc w:val="left"/>
      <w:pPr>
        <w:ind w:left="5341" w:hanging="132"/>
      </w:pPr>
      <w:rPr>
        <w:rFonts w:hint="default"/>
      </w:rPr>
    </w:lvl>
    <w:lvl w:ilvl="7" w:tplc="B5E45E7C">
      <w:start w:val="1"/>
      <w:numFmt w:val="bullet"/>
      <w:lvlText w:val="•"/>
      <w:lvlJc w:val="left"/>
      <w:pPr>
        <w:ind w:left="6281" w:hanging="132"/>
      </w:pPr>
      <w:rPr>
        <w:rFonts w:hint="default"/>
      </w:rPr>
    </w:lvl>
    <w:lvl w:ilvl="8" w:tplc="43986CC0">
      <w:start w:val="1"/>
      <w:numFmt w:val="bullet"/>
      <w:lvlText w:val="•"/>
      <w:lvlJc w:val="left"/>
      <w:pPr>
        <w:ind w:left="7221" w:hanging="132"/>
      </w:pPr>
      <w:rPr>
        <w:rFonts w:hint="default"/>
      </w:rPr>
    </w:lvl>
  </w:abstractNum>
  <w:abstractNum w:abstractNumId="10">
    <w:nsid w:val="149B23CB"/>
    <w:multiLevelType w:val="hybridMultilevel"/>
    <w:tmpl w:val="69764D96"/>
    <w:lvl w:ilvl="0" w:tplc="1DEC5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367EEF"/>
    <w:multiLevelType w:val="hybridMultilevel"/>
    <w:tmpl w:val="A92227B2"/>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7C4F13"/>
    <w:multiLevelType w:val="hybridMultilevel"/>
    <w:tmpl w:val="98B60004"/>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4C750F"/>
    <w:multiLevelType w:val="hybridMultilevel"/>
    <w:tmpl w:val="2D161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DAD1C7A"/>
    <w:multiLevelType w:val="hybridMultilevel"/>
    <w:tmpl w:val="5FFA801A"/>
    <w:lvl w:ilvl="0" w:tplc="0409000F">
      <w:start w:val="1"/>
      <w:numFmt w:val="decimal"/>
      <w:lvlText w:val="%1."/>
      <w:lvlJc w:val="left"/>
      <w:pPr>
        <w:ind w:left="145" w:hanging="197"/>
      </w:pPr>
      <w:rPr>
        <w:rFonts w:hint="default"/>
        <w:spacing w:val="-1"/>
        <w:w w:val="101"/>
        <w:sz w:val="13"/>
        <w:szCs w:val="13"/>
      </w:rPr>
    </w:lvl>
    <w:lvl w:ilvl="1" w:tplc="BF745ED2">
      <w:start w:val="1"/>
      <w:numFmt w:val="bullet"/>
      <w:lvlText w:val="•"/>
      <w:lvlJc w:val="left"/>
      <w:pPr>
        <w:ind w:left="1173" w:hanging="197"/>
      </w:pPr>
      <w:rPr>
        <w:rFonts w:hint="default"/>
      </w:rPr>
    </w:lvl>
    <w:lvl w:ilvl="2" w:tplc="0DCCD09E">
      <w:start w:val="1"/>
      <w:numFmt w:val="bullet"/>
      <w:lvlText w:val="•"/>
      <w:lvlJc w:val="left"/>
      <w:pPr>
        <w:ind w:left="2200" w:hanging="197"/>
      </w:pPr>
      <w:rPr>
        <w:rFonts w:hint="default"/>
      </w:rPr>
    </w:lvl>
    <w:lvl w:ilvl="3" w:tplc="C6F4389E">
      <w:start w:val="1"/>
      <w:numFmt w:val="bullet"/>
      <w:lvlText w:val="•"/>
      <w:lvlJc w:val="left"/>
      <w:pPr>
        <w:ind w:left="3227" w:hanging="197"/>
      </w:pPr>
      <w:rPr>
        <w:rFonts w:hint="default"/>
      </w:rPr>
    </w:lvl>
    <w:lvl w:ilvl="4" w:tplc="96BA077C">
      <w:start w:val="1"/>
      <w:numFmt w:val="bullet"/>
      <w:lvlText w:val="•"/>
      <w:lvlJc w:val="left"/>
      <w:pPr>
        <w:ind w:left="4255" w:hanging="197"/>
      </w:pPr>
      <w:rPr>
        <w:rFonts w:hint="default"/>
      </w:rPr>
    </w:lvl>
    <w:lvl w:ilvl="5" w:tplc="9DE4D10E">
      <w:start w:val="1"/>
      <w:numFmt w:val="bullet"/>
      <w:lvlText w:val="•"/>
      <w:lvlJc w:val="left"/>
      <w:pPr>
        <w:ind w:left="5282" w:hanging="197"/>
      </w:pPr>
      <w:rPr>
        <w:rFonts w:hint="default"/>
      </w:rPr>
    </w:lvl>
    <w:lvl w:ilvl="6" w:tplc="B728F926">
      <w:start w:val="1"/>
      <w:numFmt w:val="bullet"/>
      <w:lvlText w:val="•"/>
      <w:lvlJc w:val="left"/>
      <w:pPr>
        <w:ind w:left="6310" w:hanging="197"/>
      </w:pPr>
      <w:rPr>
        <w:rFonts w:hint="default"/>
      </w:rPr>
    </w:lvl>
    <w:lvl w:ilvl="7" w:tplc="DCD8D666">
      <w:start w:val="1"/>
      <w:numFmt w:val="bullet"/>
      <w:lvlText w:val="•"/>
      <w:lvlJc w:val="left"/>
      <w:pPr>
        <w:ind w:left="7337" w:hanging="197"/>
      </w:pPr>
      <w:rPr>
        <w:rFonts w:hint="default"/>
      </w:rPr>
    </w:lvl>
    <w:lvl w:ilvl="8" w:tplc="A9325E2A">
      <w:start w:val="1"/>
      <w:numFmt w:val="bullet"/>
      <w:lvlText w:val="•"/>
      <w:lvlJc w:val="left"/>
      <w:pPr>
        <w:ind w:left="8365" w:hanging="197"/>
      </w:pPr>
      <w:rPr>
        <w:rFonts w:hint="default"/>
      </w:rPr>
    </w:lvl>
  </w:abstractNum>
  <w:abstractNum w:abstractNumId="15">
    <w:nsid w:val="1DC83D08"/>
    <w:multiLevelType w:val="multilevel"/>
    <w:tmpl w:val="B3509996"/>
    <w:lvl w:ilvl="0">
      <w:start w:val="3"/>
      <w:numFmt w:val="upperLetter"/>
      <w:lvlText w:val="%1"/>
      <w:lvlJc w:val="left"/>
      <w:pPr>
        <w:ind w:left="4028" w:hanging="308"/>
      </w:pPr>
      <w:rPr>
        <w:rFonts w:hint="default"/>
      </w:rPr>
    </w:lvl>
    <w:lvl w:ilvl="1">
      <w:start w:val="1"/>
      <w:numFmt w:val="decimal"/>
      <w:lvlText w:val="%1.%2"/>
      <w:lvlJc w:val="left"/>
      <w:pPr>
        <w:ind w:left="4028" w:hanging="308"/>
        <w:jc w:val="right"/>
      </w:pPr>
      <w:rPr>
        <w:rFonts w:ascii="Arial" w:eastAsia="Arial" w:hAnsi="Arial" w:hint="default"/>
        <w:b/>
        <w:bCs/>
        <w:spacing w:val="1"/>
        <w:w w:val="105"/>
        <w:sz w:val="16"/>
        <w:szCs w:val="16"/>
      </w:rPr>
    </w:lvl>
    <w:lvl w:ilvl="2">
      <w:start w:val="1"/>
      <w:numFmt w:val="bullet"/>
      <w:lvlText w:val="•"/>
      <w:lvlJc w:val="left"/>
      <w:pPr>
        <w:ind w:left="5307" w:hanging="308"/>
      </w:pPr>
      <w:rPr>
        <w:rFonts w:hint="default"/>
      </w:rPr>
    </w:lvl>
    <w:lvl w:ilvl="3">
      <w:start w:val="1"/>
      <w:numFmt w:val="bullet"/>
      <w:lvlText w:val="•"/>
      <w:lvlJc w:val="left"/>
      <w:pPr>
        <w:ind w:left="5946" w:hanging="308"/>
      </w:pPr>
      <w:rPr>
        <w:rFonts w:hint="default"/>
      </w:rPr>
    </w:lvl>
    <w:lvl w:ilvl="4">
      <w:start w:val="1"/>
      <w:numFmt w:val="bullet"/>
      <w:lvlText w:val="•"/>
      <w:lvlJc w:val="left"/>
      <w:pPr>
        <w:ind w:left="6585" w:hanging="308"/>
      </w:pPr>
      <w:rPr>
        <w:rFonts w:hint="default"/>
      </w:rPr>
    </w:lvl>
    <w:lvl w:ilvl="5">
      <w:start w:val="1"/>
      <w:numFmt w:val="bullet"/>
      <w:lvlText w:val="•"/>
      <w:lvlJc w:val="left"/>
      <w:pPr>
        <w:ind w:left="7224" w:hanging="308"/>
      </w:pPr>
      <w:rPr>
        <w:rFonts w:hint="default"/>
      </w:rPr>
    </w:lvl>
    <w:lvl w:ilvl="6">
      <w:start w:val="1"/>
      <w:numFmt w:val="bullet"/>
      <w:lvlText w:val="•"/>
      <w:lvlJc w:val="left"/>
      <w:pPr>
        <w:ind w:left="7863" w:hanging="308"/>
      </w:pPr>
      <w:rPr>
        <w:rFonts w:hint="default"/>
      </w:rPr>
    </w:lvl>
    <w:lvl w:ilvl="7">
      <w:start w:val="1"/>
      <w:numFmt w:val="bullet"/>
      <w:lvlText w:val="•"/>
      <w:lvlJc w:val="left"/>
      <w:pPr>
        <w:ind w:left="8502" w:hanging="308"/>
      </w:pPr>
      <w:rPr>
        <w:rFonts w:hint="default"/>
      </w:rPr>
    </w:lvl>
    <w:lvl w:ilvl="8">
      <w:start w:val="1"/>
      <w:numFmt w:val="bullet"/>
      <w:lvlText w:val="•"/>
      <w:lvlJc w:val="left"/>
      <w:pPr>
        <w:ind w:left="9141" w:hanging="308"/>
      </w:pPr>
      <w:rPr>
        <w:rFonts w:hint="default"/>
      </w:rPr>
    </w:lvl>
  </w:abstractNum>
  <w:abstractNum w:abstractNumId="16">
    <w:nsid w:val="1E3A5A13"/>
    <w:multiLevelType w:val="hybridMultilevel"/>
    <w:tmpl w:val="87F43416"/>
    <w:lvl w:ilvl="0" w:tplc="09C63A0E">
      <w:start w:val="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8A7CD6"/>
    <w:multiLevelType w:val="hybridMultilevel"/>
    <w:tmpl w:val="F89E5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E4631C"/>
    <w:multiLevelType w:val="hybridMultilevel"/>
    <w:tmpl w:val="05D2C0FC"/>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7E3F39"/>
    <w:multiLevelType w:val="hybridMultilevel"/>
    <w:tmpl w:val="40F4572A"/>
    <w:lvl w:ilvl="0" w:tplc="0409000F">
      <w:start w:val="1"/>
      <w:numFmt w:val="decimal"/>
      <w:lvlText w:val="%1."/>
      <w:lvlJc w:val="left"/>
      <w:pPr>
        <w:ind w:left="145" w:hanging="197"/>
      </w:pPr>
      <w:rPr>
        <w:rFonts w:hint="default"/>
        <w:spacing w:val="-1"/>
        <w:w w:val="101"/>
        <w:sz w:val="13"/>
        <w:szCs w:val="13"/>
      </w:rPr>
    </w:lvl>
    <w:lvl w:ilvl="1" w:tplc="7F52E124">
      <w:start w:val="1"/>
      <w:numFmt w:val="bullet"/>
      <w:lvlText w:val="•"/>
      <w:lvlJc w:val="left"/>
      <w:pPr>
        <w:ind w:left="1173" w:hanging="197"/>
      </w:pPr>
      <w:rPr>
        <w:rFonts w:hint="default"/>
      </w:rPr>
    </w:lvl>
    <w:lvl w:ilvl="2" w:tplc="C6D2E0E8">
      <w:start w:val="1"/>
      <w:numFmt w:val="bullet"/>
      <w:lvlText w:val="•"/>
      <w:lvlJc w:val="left"/>
      <w:pPr>
        <w:ind w:left="2200" w:hanging="197"/>
      </w:pPr>
      <w:rPr>
        <w:rFonts w:hint="default"/>
      </w:rPr>
    </w:lvl>
    <w:lvl w:ilvl="3" w:tplc="D910F9C8">
      <w:start w:val="1"/>
      <w:numFmt w:val="bullet"/>
      <w:lvlText w:val="•"/>
      <w:lvlJc w:val="left"/>
      <w:pPr>
        <w:ind w:left="3227" w:hanging="197"/>
      </w:pPr>
      <w:rPr>
        <w:rFonts w:hint="default"/>
      </w:rPr>
    </w:lvl>
    <w:lvl w:ilvl="4" w:tplc="FBA0CC82">
      <w:start w:val="1"/>
      <w:numFmt w:val="bullet"/>
      <w:lvlText w:val="•"/>
      <w:lvlJc w:val="left"/>
      <w:pPr>
        <w:ind w:left="4255" w:hanging="197"/>
      </w:pPr>
      <w:rPr>
        <w:rFonts w:hint="default"/>
      </w:rPr>
    </w:lvl>
    <w:lvl w:ilvl="5" w:tplc="114262E4">
      <w:start w:val="1"/>
      <w:numFmt w:val="bullet"/>
      <w:lvlText w:val="•"/>
      <w:lvlJc w:val="left"/>
      <w:pPr>
        <w:ind w:left="5282" w:hanging="197"/>
      </w:pPr>
      <w:rPr>
        <w:rFonts w:hint="default"/>
      </w:rPr>
    </w:lvl>
    <w:lvl w:ilvl="6" w:tplc="1E0E7A90">
      <w:start w:val="1"/>
      <w:numFmt w:val="bullet"/>
      <w:lvlText w:val="•"/>
      <w:lvlJc w:val="left"/>
      <w:pPr>
        <w:ind w:left="6310" w:hanging="197"/>
      </w:pPr>
      <w:rPr>
        <w:rFonts w:hint="default"/>
      </w:rPr>
    </w:lvl>
    <w:lvl w:ilvl="7" w:tplc="5434C99A">
      <w:start w:val="1"/>
      <w:numFmt w:val="bullet"/>
      <w:lvlText w:val="•"/>
      <w:lvlJc w:val="left"/>
      <w:pPr>
        <w:ind w:left="7337" w:hanging="197"/>
      </w:pPr>
      <w:rPr>
        <w:rFonts w:hint="default"/>
      </w:rPr>
    </w:lvl>
    <w:lvl w:ilvl="8" w:tplc="ADEEFF90">
      <w:start w:val="1"/>
      <w:numFmt w:val="bullet"/>
      <w:lvlText w:val="•"/>
      <w:lvlJc w:val="left"/>
      <w:pPr>
        <w:ind w:left="8365" w:hanging="197"/>
      </w:pPr>
      <w:rPr>
        <w:rFonts w:hint="default"/>
      </w:rPr>
    </w:lvl>
  </w:abstractNum>
  <w:abstractNum w:abstractNumId="20">
    <w:nsid w:val="2490581B"/>
    <w:multiLevelType w:val="hybridMultilevel"/>
    <w:tmpl w:val="9064E972"/>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2213D4"/>
    <w:multiLevelType w:val="multilevel"/>
    <w:tmpl w:val="BF58414C"/>
    <w:lvl w:ilvl="0">
      <w:start w:val="4"/>
      <w:numFmt w:val="upperLetter"/>
      <w:lvlText w:val="%1"/>
      <w:lvlJc w:val="left"/>
      <w:pPr>
        <w:ind w:left="4532" w:hanging="308"/>
      </w:pPr>
      <w:rPr>
        <w:rFonts w:hint="default"/>
      </w:rPr>
    </w:lvl>
    <w:lvl w:ilvl="1">
      <w:start w:val="1"/>
      <w:numFmt w:val="decimal"/>
      <w:lvlText w:val="%1.%2"/>
      <w:lvlJc w:val="left"/>
      <w:pPr>
        <w:ind w:left="4532" w:hanging="308"/>
        <w:jc w:val="right"/>
      </w:pPr>
      <w:rPr>
        <w:rFonts w:ascii="Arial" w:eastAsia="Arial" w:hAnsi="Arial" w:hint="default"/>
        <w:b/>
        <w:bCs/>
        <w:spacing w:val="1"/>
        <w:w w:val="105"/>
        <w:sz w:val="16"/>
        <w:szCs w:val="16"/>
      </w:rPr>
    </w:lvl>
    <w:lvl w:ilvl="2">
      <w:start w:val="1"/>
      <w:numFmt w:val="bullet"/>
      <w:lvlText w:val="•"/>
      <w:lvlJc w:val="left"/>
      <w:pPr>
        <w:ind w:left="5710" w:hanging="308"/>
      </w:pPr>
      <w:rPr>
        <w:rFonts w:hint="default"/>
      </w:rPr>
    </w:lvl>
    <w:lvl w:ilvl="3">
      <w:start w:val="1"/>
      <w:numFmt w:val="bullet"/>
      <w:lvlText w:val="•"/>
      <w:lvlJc w:val="left"/>
      <w:pPr>
        <w:ind w:left="6298" w:hanging="308"/>
      </w:pPr>
      <w:rPr>
        <w:rFonts w:hint="default"/>
      </w:rPr>
    </w:lvl>
    <w:lvl w:ilvl="4">
      <w:start w:val="1"/>
      <w:numFmt w:val="bullet"/>
      <w:lvlText w:val="•"/>
      <w:lvlJc w:val="left"/>
      <w:pPr>
        <w:ind w:left="6887" w:hanging="308"/>
      </w:pPr>
      <w:rPr>
        <w:rFonts w:hint="default"/>
      </w:rPr>
    </w:lvl>
    <w:lvl w:ilvl="5">
      <w:start w:val="1"/>
      <w:numFmt w:val="bullet"/>
      <w:lvlText w:val="•"/>
      <w:lvlJc w:val="left"/>
      <w:pPr>
        <w:ind w:left="7476" w:hanging="308"/>
      </w:pPr>
      <w:rPr>
        <w:rFonts w:hint="default"/>
      </w:rPr>
    </w:lvl>
    <w:lvl w:ilvl="6">
      <w:start w:val="1"/>
      <w:numFmt w:val="bullet"/>
      <w:lvlText w:val="•"/>
      <w:lvlJc w:val="left"/>
      <w:pPr>
        <w:ind w:left="8065" w:hanging="308"/>
      </w:pPr>
      <w:rPr>
        <w:rFonts w:hint="default"/>
      </w:rPr>
    </w:lvl>
    <w:lvl w:ilvl="7">
      <w:start w:val="1"/>
      <w:numFmt w:val="bullet"/>
      <w:lvlText w:val="•"/>
      <w:lvlJc w:val="left"/>
      <w:pPr>
        <w:ind w:left="8653" w:hanging="308"/>
      </w:pPr>
      <w:rPr>
        <w:rFonts w:hint="default"/>
      </w:rPr>
    </w:lvl>
    <w:lvl w:ilvl="8">
      <w:start w:val="1"/>
      <w:numFmt w:val="bullet"/>
      <w:lvlText w:val="•"/>
      <w:lvlJc w:val="left"/>
      <w:pPr>
        <w:ind w:left="9242" w:hanging="308"/>
      </w:pPr>
      <w:rPr>
        <w:rFonts w:hint="default"/>
      </w:rPr>
    </w:lvl>
  </w:abstractNum>
  <w:abstractNum w:abstractNumId="22">
    <w:nsid w:val="265378F5"/>
    <w:multiLevelType w:val="hybridMultilevel"/>
    <w:tmpl w:val="34BA127C"/>
    <w:lvl w:ilvl="0" w:tplc="0409000F">
      <w:start w:val="1"/>
      <w:numFmt w:val="decimal"/>
      <w:lvlText w:val="%1."/>
      <w:lvlJc w:val="left"/>
      <w:pPr>
        <w:ind w:left="145" w:hanging="197"/>
      </w:pPr>
      <w:rPr>
        <w:rFonts w:hint="default"/>
        <w:spacing w:val="-1"/>
        <w:w w:val="101"/>
        <w:sz w:val="13"/>
        <w:szCs w:val="13"/>
      </w:rPr>
    </w:lvl>
    <w:lvl w:ilvl="1" w:tplc="71B81EC8">
      <w:start w:val="1"/>
      <w:numFmt w:val="bullet"/>
      <w:lvlText w:val="•"/>
      <w:lvlJc w:val="left"/>
      <w:pPr>
        <w:ind w:left="1173" w:hanging="197"/>
      </w:pPr>
      <w:rPr>
        <w:rFonts w:hint="default"/>
      </w:rPr>
    </w:lvl>
    <w:lvl w:ilvl="2" w:tplc="57663990">
      <w:start w:val="1"/>
      <w:numFmt w:val="bullet"/>
      <w:lvlText w:val="•"/>
      <w:lvlJc w:val="left"/>
      <w:pPr>
        <w:ind w:left="2200" w:hanging="197"/>
      </w:pPr>
      <w:rPr>
        <w:rFonts w:hint="default"/>
      </w:rPr>
    </w:lvl>
    <w:lvl w:ilvl="3" w:tplc="A8F06944">
      <w:start w:val="1"/>
      <w:numFmt w:val="bullet"/>
      <w:lvlText w:val="•"/>
      <w:lvlJc w:val="left"/>
      <w:pPr>
        <w:ind w:left="3227" w:hanging="197"/>
      </w:pPr>
      <w:rPr>
        <w:rFonts w:hint="default"/>
      </w:rPr>
    </w:lvl>
    <w:lvl w:ilvl="4" w:tplc="D11CB5B2">
      <w:start w:val="1"/>
      <w:numFmt w:val="bullet"/>
      <w:lvlText w:val="•"/>
      <w:lvlJc w:val="left"/>
      <w:pPr>
        <w:ind w:left="4255" w:hanging="197"/>
      </w:pPr>
      <w:rPr>
        <w:rFonts w:hint="default"/>
      </w:rPr>
    </w:lvl>
    <w:lvl w:ilvl="5" w:tplc="F1922110">
      <w:start w:val="1"/>
      <w:numFmt w:val="bullet"/>
      <w:lvlText w:val="•"/>
      <w:lvlJc w:val="left"/>
      <w:pPr>
        <w:ind w:left="5282" w:hanging="197"/>
      </w:pPr>
      <w:rPr>
        <w:rFonts w:hint="default"/>
      </w:rPr>
    </w:lvl>
    <w:lvl w:ilvl="6" w:tplc="AB58E786">
      <w:start w:val="1"/>
      <w:numFmt w:val="bullet"/>
      <w:lvlText w:val="•"/>
      <w:lvlJc w:val="left"/>
      <w:pPr>
        <w:ind w:left="6310" w:hanging="197"/>
      </w:pPr>
      <w:rPr>
        <w:rFonts w:hint="default"/>
      </w:rPr>
    </w:lvl>
    <w:lvl w:ilvl="7" w:tplc="846C9102">
      <w:start w:val="1"/>
      <w:numFmt w:val="bullet"/>
      <w:lvlText w:val="•"/>
      <w:lvlJc w:val="left"/>
      <w:pPr>
        <w:ind w:left="7337" w:hanging="197"/>
      </w:pPr>
      <w:rPr>
        <w:rFonts w:hint="default"/>
      </w:rPr>
    </w:lvl>
    <w:lvl w:ilvl="8" w:tplc="A246E194">
      <w:start w:val="1"/>
      <w:numFmt w:val="bullet"/>
      <w:lvlText w:val="•"/>
      <w:lvlJc w:val="left"/>
      <w:pPr>
        <w:ind w:left="8365" w:hanging="197"/>
      </w:pPr>
      <w:rPr>
        <w:rFonts w:hint="default"/>
      </w:rPr>
    </w:lvl>
  </w:abstractNum>
  <w:abstractNum w:abstractNumId="23">
    <w:nsid w:val="27C9032D"/>
    <w:multiLevelType w:val="hybridMultilevel"/>
    <w:tmpl w:val="7C3CA920"/>
    <w:lvl w:ilvl="0" w:tplc="BEA0A5D0">
      <w:start w:val="1"/>
      <w:numFmt w:val="decimal"/>
      <w:lvlText w:val="%1."/>
      <w:lvlJc w:val="left"/>
      <w:pPr>
        <w:ind w:left="3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A1667C"/>
    <w:multiLevelType w:val="hybridMultilevel"/>
    <w:tmpl w:val="FC18B8B6"/>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4F5FD6"/>
    <w:multiLevelType w:val="hybridMultilevel"/>
    <w:tmpl w:val="CFDCA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D803DD"/>
    <w:multiLevelType w:val="hybridMultilevel"/>
    <w:tmpl w:val="E41E0DF6"/>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C33217"/>
    <w:multiLevelType w:val="hybridMultilevel"/>
    <w:tmpl w:val="FCECA720"/>
    <w:lvl w:ilvl="0" w:tplc="8A80DD4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2166CB"/>
    <w:multiLevelType w:val="hybridMultilevel"/>
    <w:tmpl w:val="B112AD26"/>
    <w:lvl w:ilvl="0" w:tplc="7F8201C6">
      <w:start w:val="3"/>
      <w:numFmt w:val="decimal"/>
      <w:lvlText w:val="(%1)"/>
      <w:lvlJc w:val="left"/>
      <w:pPr>
        <w:ind w:left="145" w:hanging="197"/>
      </w:pPr>
      <w:rPr>
        <w:rFonts w:ascii="Arial" w:eastAsia="Arial" w:hAnsi="Arial" w:hint="default"/>
        <w:spacing w:val="-1"/>
        <w:w w:val="101"/>
        <w:sz w:val="13"/>
        <w:szCs w:val="13"/>
      </w:rPr>
    </w:lvl>
    <w:lvl w:ilvl="1" w:tplc="4D2E6E50">
      <w:start w:val="1"/>
      <w:numFmt w:val="lowerRoman"/>
      <w:lvlText w:val="(%2)"/>
      <w:lvlJc w:val="left"/>
      <w:pPr>
        <w:ind w:left="145" w:hanging="149"/>
      </w:pPr>
      <w:rPr>
        <w:rFonts w:ascii="Arial" w:eastAsia="Arial" w:hAnsi="Arial" w:hint="default"/>
        <w:spacing w:val="-1"/>
        <w:w w:val="101"/>
        <w:sz w:val="13"/>
        <w:szCs w:val="13"/>
      </w:rPr>
    </w:lvl>
    <w:lvl w:ilvl="2" w:tplc="0409000F">
      <w:start w:val="1"/>
      <w:numFmt w:val="decimal"/>
      <w:lvlText w:val="%3."/>
      <w:lvlJc w:val="left"/>
      <w:pPr>
        <w:ind w:left="145" w:hanging="197"/>
      </w:pPr>
      <w:rPr>
        <w:rFonts w:hint="default"/>
        <w:spacing w:val="-1"/>
        <w:w w:val="101"/>
        <w:sz w:val="13"/>
        <w:szCs w:val="13"/>
      </w:rPr>
    </w:lvl>
    <w:lvl w:ilvl="3" w:tplc="2B5A90AA">
      <w:start w:val="1"/>
      <w:numFmt w:val="bullet"/>
      <w:lvlText w:val="•"/>
      <w:lvlJc w:val="left"/>
      <w:pPr>
        <w:ind w:left="3227" w:hanging="197"/>
      </w:pPr>
      <w:rPr>
        <w:rFonts w:hint="default"/>
      </w:rPr>
    </w:lvl>
    <w:lvl w:ilvl="4" w:tplc="374AA0B6">
      <w:start w:val="1"/>
      <w:numFmt w:val="bullet"/>
      <w:lvlText w:val="•"/>
      <w:lvlJc w:val="left"/>
      <w:pPr>
        <w:ind w:left="4255" w:hanging="197"/>
      </w:pPr>
      <w:rPr>
        <w:rFonts w:hint="default"/>
      </w:rPr>
    </w:lvl>
    <w:lvl w:ilvl="5" w:tplc="D0640A30">
      <w:start w:val="1"/>
      <w:numFmt w:val="bullet"/>
      <w:lvlText w:val="•"/>
      <w:lvlJc w:val="left"/>
      <w:pPr>
        <w:ind w:left="5282" w:hanging="197"/>
      </w:pPr>
      <w:rPr>
        <w:rFonts w:hint="default"/>
      </w:rPr>
    </w:lvl>
    <w:lvl w:ilvl="6" w:tplc="33E0896E">
      <w:start w:val="1"/>
      <w:numFmt w:val="bullet"/>
      <w:lvlText w:val="•"/>
      <w:lvlJc w:val="left"/>
      <w:pPr>
        <w:ind w:left="6310" w:hanging="197"/>
      </w:pPr>
      <w:rPr>
        <w:rFonts w:hint="default"/>
      </w:rPr>
    </w:lvl>
    <w:lvl w:ilvl="7" w:tplc="A678E43E">
      <w:start w:val="1"/>
      <w:numFmt w:val="bullet"/>
      <w:lvlText w:val="•"/>
      <w:lvlJc w:val="left"/>
      <w:pPr>
        <w:ind w:left="7337" w:hanging="197"/>
      </w:pPr>
      <w:rPr>
        <w:rFonts w:hint="default"/>
      </w:rPr>
    </w:lvl>
    <w:lvl w:ilvl="8" w:tplc="B5642D10">
      <w:start w:val="1"/>
      <w:numFmt w:val="bullet"/>
      <w:lvlText w:val="•"/>
      <w:lvlJc w:val="left"/>
      <w:pPr>
        <w:ind w:left="8365" w:hanging="197"/>
      </w:pPr>
      <w:rPr>
        <w:rFonts w:hint="default"/>
      </w:rPr>
    </w:lvl>
  </w:abstractNum>
  <w:abstractNum w:abstractNumId="29">
    <w:nsid w:val="3649572E"/>
    <w:multiLevelType w:val="hybridMultilevel"/>
    <w:tmpl w:val="96DAD70A"/>
    <w:lvl w:ilvl="0" w:tplc="5C76786E">
      <w:start w:val="1"/>
      <w:numFmt w:val="bullet"/>
      <w:pStyle w:val="Reference"/>
      <w:lvlText w:val=""/>
      <w:lvlJc w:val="left"/>
      <w:pPr>
        <w:ind w:left="720" w:hanging="360"/>
      </w:pPr>
      <w:rPr>
        <w:rFonts w:ascii="Symbol" w:hAnsi="Symbol" w:hint="default"/>
      </w:rPr>
    </w:lvl>
    <w:lvl w:ilvl="1" w:tplc="D23E2BE0">
      <w:start w:val="1"/>
      <w:numFmt w:val="bullet"/>
      <w:pStyle w:val="NUREGBulletsecond-level"/>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713D29"/>
    <w:multiLevelType w:val="hybridMultilevel"/>
    <w:tmpl w:val="DE8C4238"/>
    <w:lvl w:ilvl="0" w:tplc="04090001">
      <w:start w:val="1"/>
      <w:numFmt w:val="bullet"/>
      <w:lvlText w:val=""/>
      <w:lvlJc w:val="left"/>
      <w:pPr>
        <w:ind w:left="4435" w:hanging="360"/>
      </w:pPr>
      <w:rPr>
        <w:rFonts w:ascii="Symbol" w:hAnsi="Symbol" w:hint="default"/>
      </w:rPr>
    </w:lvl>
    <w:lvl w:ilvl="1" w:tplc="04090003" w:tentative="1">
      <w:start w:val="1"/>
      <w:numFmt w:val="bullet"/>
      <w:lvlText w:val="o"/>
      <w:lvlJc w:val="left"/>
      <w:pPr>
        <w:ind w:left="5155" w:hanging="360"/>
      </w:pPr>
      <w:rPr>
        <w:rFonts w:ascii="Courier New" w:hAnsi="Courier New" w:cs="Courier New" w:hint="default"/>
      </w:rPr>
    </w:lvl>
    <w:lvl w:ilvl="2" w:tplc="04090005" w:tentative="1">
      <w:start w:val="1"/>
      <w:numFmt w:val="bullet"/>
      <w:lvlText w:val=""/>
      <w:lvlJc w:val="left"/>
      <w:pPr>
        <w:ind w:left="5875" w:hanging="360"/>
      </w:pPr>
      <w:rPr>
        <w:rFonts w:ascii="Wingdings" w:hAnsi="Wingdings" w:hint="default"/>
      </w:rPr>
    </w:lvl>
    <w:lvl w:ilvl="3" w:tplc="04090001" w:tentative="1">
      <w:start w:val="1"/>
      <w:numFmt w:val="bullet"/>
      <w:lvlText w:val=""/>
      <w:lvlJc w:val="left"/>
      <w:pPr>
        <w:ind w:left="6595" w:hanging="360"/>
      </w:pPr>
      <w:rPr>
        <w:rFonts w:ascii="Symbol" w:hAnsi="Symbol" w:hint="default"/>
      </w:rPr>
    </w:lvl>
    <w:lvl w:ilvl="4" w:tplc="04090003" w:tentative="1">
      <w:start w:val="1"/>
      <w:numFmt w:val="bullet"/>
      <w:lvlText w:val="o"/>
      <w:lvlJc w:val="left"/>
      <w:pPr>
        <w:ind w:left="7315" w:hanging="360"/>
      </w:pPr>
      <w:rPr>
        <w:rFonts w:ascii="Courier New" w:hAnsi="Courier New" w:cs="Courier New" w:hint="default"/>
      </w:rPr>
    </w:lvl>
    <w:lvl w:ilvl="5" w:tplc="04090005" w:tentative="1">
      <w:start w:val="1"/>
      <w:numFmt w:val="bullet"/>
      <w:lvlText w:val=""/>
      <w:lvlJc w:val="left"/>
      <w:pPr>
        <w:ind w:left="8035" w:hanging="360"/>
      </w:pPr>
      <w:rPr>
        <w:rFonts w:ascii="Wingdings" w:hAnsi="Wingdings" w:hint="default"/>
      </w:rPr>
    </w:lvl>
    <w:lvl w:ilvl="6" w:tplc="04090001" w:tentative="1">
      <w:start w:val="1"/>
      <w:numFmt w:val="bullet"/>
      <w:lvlText w:val=""/>
      <w:lvlJc w:val="left"/>
      <w:pPr>
        <w:ind w:left="8755" w:hanging="360"/>
      </w:pPr>
      <w:rPr>
        <w:rFonts w:ascii="Symbol" w:hAnsi="Symbol" w:hint="default"/>
      </w:rPr>
    </w:lvl>
    <w:lvl w:ilvl="7" w:tplc="04090003" w:tentative="1">
      <w:start w:val="1"/>
      <w:numFmt w:val="bullet"/>
      <w:lvlText w:val="o"/>
      <w:lvlJc w:val="left"/>
      <w:pPr>
        <w:ind w:left="9475" w:hanging="360"/>
      </w:pPr>
      <w:rPr>
        <w:rFonts w:ascii="Courier New" w:hAnsi="Courier New" w:cs="Courier New" w:hint="default"/>
      </w:rPr>
    </w:lvl>
    <w:lvl w:ilvl="8" w:tplc="04090005" w:tentative="1">
      <w:start w:val="1"/>
      <w:numFmt w:val="bullet"/>
      <w:lvlText w:val=""/>
      <w:lvlJc w:val="left"/>
      <w:pPr>
        <w:ind w:left="10195" w:hanging="360"/>
      </w:pPr>
      <w:rPr>
        <w:rFonts w:ascii="Wingdings" w:hAnsi="Wingdings" w:hint="default"/>
      </w:rPr>
    </w:lvl>
  </w:abstractNum>
  <w:abstractNum w:abstractNumId="31">
    <w:nsid w:val="376C7061"/>
    <w:multiLevelType w:val="hybridMultilevel"/>
    <w:tmpl w:val="14F2D0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D11245D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5C12C5"/>
    <w:multiLevelType w:val="hybridMultilevel"/>
    <w:tmpl w:val="6A02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4049C0"/>
    <w:multiLevelType w:val="hybridMultilevel"/>
    <w:tmpl w:val="36B0784C"/>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205CCF"/>
    <w:multiLevelType w:val="hybridMultilevel"/>
    <w:tmpl w:val="E5BCE2C0"/>
    <w:lvl w:ilvl="0" w:tplc="65CA6A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11245D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785F2A"/>
    <w:multiLevelType w:val="hybridMultilevel"/>
    <w:tmpl w:val="E196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EE49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93116C5"/>
    <w:multiLevelType w:val="hybridMultilevel"/>
    <w:tmpl w:val="60447036"/>
    <w:lvl w:ilvl="0" w:tplc="1DEC5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726C11"/>
    <w:multiLevelType w:val="hybridMultilevel"/>
    <w:tmpl w:val="5552ADC0"/>
    <w:lvl w:ilvl="0" w:tplc="3B9E9C14">
      <w:start w:val="1"/>
      <w:numFmt w:val="lowerLetter"/>
      <w:lvlText w:val="%1."/>
      <w:lvlJc w:val="left"/>
      <w:pPr>
        <w:ind w:left="1080" w:hanging="360"/>
      </w:pPr>
      <w:rPr>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AC9536A"/>
    <w:multiLevelType w:val="hybridMultilevel"/>
    <w:tmpl w:val="CCD45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1109D2"/>
    <w:multiLevelType w:val="hybridMultilevel"/>
    <w:tmpl w:val="D90051C6"/>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676B73"/>
    <w:multiLevelType w:val="hybridMultilevel"/>
    <w:tmpl w:val="E436878C"/>
    <w:lvl w:ilvl="0" w:tplc="1DEC5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8551FF"/>
    <w:multiLevelType w:val="hybridMultilevel"/>
    <w:tmpl w:val="4976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3636BE"/>
    <w:multiLevelType w:val="multilevel"/>
    <w:tmpl w:val="CA9C7C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FF05703"/>
    <w:multiLevelType w:val="hybridMultilevel"/>
    <w:tmpl w:val="8D9AF3C0"/>
    <w:lvl w:ilvl="0" w:tplc="C6CC3792">
      <w:start w:val="1"/>
      <w:numFmt w:val="decimal"/>
      <w:lvlText w:val="%1."/>
      <w:lvlJc w:val="left"/>
      <w:pPr>
        <w:ind w:left="145" w:hanging="147"/>
      </w:pPr>
      <w:rPr>
        <w:rFonts w:ascii="Arial" w:eastAsia="Arial" w:hAnsi="Arial" w:hint="default"/>
        <w:spacing w:val="1"/>
        <w:w w:val="101"/>
        <w:sz w:val="13"/>
        <w:szCs w:val="13"/>
      </w:rPr>
    </w:lvl>
    <w:lvl w:ilvl="1" w:tplc="24C84F44">
      <w:start w:val="1"/>
      <w:numFmt w:val="bullet"/>
      <w:lvlText w:val="•"/>
      <w:lvlJc w:val="left"/>
      <w:pPr>
        <w:ind w:left="1173" w:hanging="147"/>
      </w:pPr>
      <w:rPr>
        <w:rFonts w:hint="default"/>
      </w:rPr>
    </w:lvl>
    <w:lvl w:ilvl="2" w:tplc="51EE8988">
      <w:start w:val="1"/>
      <w:numFmt w:val="bullet"/>
      <w:lvlText w:val="•"/>
      <w:lvlJc w:val="left"/>
      <w:pPr>
        <w:ind w:left="2200" w:hanging="147"/>
      </w:pPr>
      <w:rPr>
        <w:rFonts w:hint="default"/>
      </w:rPr>
    </w:lvl>
    <w:lvl w:ilvl="3" w:tplc="B00098C0">
      <w:start w:val="1"/>
      <w:numFmt w:val="bullet"/>
      <w:lvlText w:val="•"/>
      <w:lvlJc w:val="left"/>
      <w:pPr>
        <w:ind w:left="3227" w:hanging="147"/>
      </w:pPr>
      <w:rPr>
        <w:rFonts w:hint="default"/>
      </w:rPr>
    </w:lvl>
    <w:lvl w:ilvl="4" w:tplc="A2D68C16">
      <w:start w:val="1"/>
      <w:numFmt w:val="bullet"/>
      <w:lvlText w:val="•"/>
      <w:lvlJc w:val="left"/>
      <w:pPr>
        <w:ind w:left="4255" w:hanging="147"/>
      </w:pPr>
      <w:rPr>
        <w:rFonts w:hint="default"/>
      </w:rPr>
    </w:lvl>
    <w:lvl w:ilvl="5" w:tplc="8CC4AB0A">
      <w:start w:val="1"/>
      <w:numFmt w:val="bullet"/>
      <w:lvlText w:val="•"/>
      <w:lvlJc w:val="left"/>
      <w:pPr>
        <w:ind w:left="5282" w:hanging="147"/>
      </w:pPr>
      <w:rPr>
        <w:rFonts w:hint="default"/>
      </w:rPr>
    </w:lvl>
    <w:lvl w:ilvl="6" w:tplc="1568AA74">
      <w:start w:val="1"/>
      <w:numFmt w:val="bullet"/>
      <w:lvlText w:val="•"/>
      <w:lvlJc w:val="left"/>
      <w:pPr>
        <w:ind w:left="6310" w:hanging="147"/>
      </w:pPr>
      <w:rPr>
        <w:rFonts w:hint="default"/>
      </w:rPr>
    </w:lvl>
    <w:lvl w:ilvl="7" w:tplc="98A6A5D8">
      <w:start w:val="1"/>
      <w:numFmt w:val="bullet"/>
      <w:lvlText w:val="•"/>
      <w:lvlJc w:val="left"/>
      <w:pPr>
        <w:ind w:left="7337" w:hanging="147"/>
      </w:pPr>
      <w:rPr>
        <w:rFonts w:hint="default"/>
      </w:rPr>
    </w:lvl>
    <w:lvl w:ilvl="8" w:tplc="FA30CB48">
      <w:start w:val="1"/>
      <w:numFmt w:val="bullet"/>
      <w:lvlText w:val="•"/>
      <w:lvlJc w:val="left"/>
      <w:pPr>
        <w:ind w:left="8365" w:hanging="147"/>
      </w:pPr>
      <w:rPr>
        <w:rFonts w:hint="default"/>
      </w:rPr>
    </w:lvl>
  </w:abstractNum>
  <w:abstractNum w:abstractNumId="45">
    <w:nsid w:val="61886C87"/>
    <w:multiLevelType w:val="multilevel"/>
    <w:tmpl w:val="432C3F9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64044B23"/>
    <w:multiLevelType w:val="hybridMultilevel"/>
    <w:tmpl w:val="98F6859E"/>
    <w:lvl w:ilvl="0" w:tplc="7F8201C6">
      <w:start w:val="3"/>
      <w:numFmt w:val="decimal"/>
      <w:lvlText w:val="(%1)"/>
      <w:lvlJc w:val="left"/>
      <w:pPr>
        <w:ind w:left="145" w:hanging="197"/>
      </w:pPr>
      <w:rPr>
        <w:rFonts w:ascii="Arial" w:eastAsia="Arial" w:hAnsi="Arial" w:hint="default"/>
        <w:spacing w:val="-1"/>
        <w:w w:val="101"/>
        <w:sz w:val="13"/>
        <w:szCs w:val="13"/>
      </w:rPr>
    </w:lvl>
    <w:lvl w:ilvl="1" w:tplc="4D2E6E50">
      <w:start w:val="1"/>
      <w:numFmt w:val="lowerRoman"/>
      <w:lvlText w:val="(%2)"/>
      <w:lvlJc w:val="left"/>
      <w:pPr>
        <w:ind w:left="145" w:hanging="149"/>
      </w:pPr>
      <w:rPr>
        <w:rFonts w:ascii="Arial" w:eastAsia="Arial" w:hAnsi="Arial" w:hint="default"/>
        <w:spacing w:val="-1"/>
        <w:w w:val="101"/>
        <w:sz w:val="13"/>
        <w:szCs w:val="13"/>
      </w:rPr>
    </w:lvl>
    <w:lvl w:ilvl="2" w:tplc="9670CB06">
      <w:start w:val="1"/>
      <w:numFmt w:val="decimal"/>
      <w:lvlText w:val="(%3)"/>
      <w:lvlJc w:val="left"/>
      <w:pPr>
        <w:ind w:left="145" w:hanging="197"/>
      </w:pPr>
      <w:rPr>
        <w:rFonts w:ascii="Arial" w:eastAsia="Arial" w:hAnsi="Arial" w:hint="default"/>
        <w:spacing w:val="-1"/>
        <w:w w:val="101"/>
        <w:sz w:val="13"/>
        <w:szCs w:val="13"/>
      </w:rPr>
    </w:lvl>
    <w:lvl w:ilvl="3" w:tplc="2B5A90AA">
      <w:start w:val="1"/>
      <w:numFmt w:val="bullet"/>
      <w:lvlText w:val="•"/>
      <w:lvlJc w:val="left"/>
      <w:pPr>
        <w:ind w:left="3227" w:hanging="197"/>
      </w:pPr>
      <w:rPr>
        <w:rFonts w:hint="default"/>
      </w:rPr>
    </w:lvl>
    <w:lvl w:ilvl="4" w:tplc="374AA0B6">
      <w:start w:val="1"/>
      <w:numFmt w:val="bullet"/>
      <w:lvlText w:val="•"/>
      <w:lvlJc w:val="left"/>
      <w:pPr>
        <w:ind w:left="4255" w:hanging="197"/>
      </w:pPr>
      <w:rPr>
        <w:rFonts w:hint="default"/>
      </w:rPr>
    </w:lvl>
    <w:lvl w:ilvl="5" w:tplc="D0640A30">
      <w:start w:val="1"/>
      <w:numFmt w:val="bullet"/>
      <w:lvlText w:val="•"/>
      <w:lvlJc w:val="left"/>
      <w:pPr>
        <w:ind w:left="5282" w:hanging="197"/>
      </w:pPr>
      <w:rPr>
        <w:rFonts w:hint="default"/>
      </w:rPr>
    </w:lvl>
    <w:lvl w:ilvl="6" w:tplc="33E0896E">
      <w:start w:val="1"/>
      <w:numFmt w:val="bullet"/>
      <w:lvlText w:val="•"/>
      <w:lvlJc w:val="left"/>
      <w:pPr>
        <w:ind w:left="6310" w:hanging="197"/>
      </w:pPr>
      <w:rPr>
        <w:rFonts w:hint="default"/>
      </w:rPr>
    </w:lvl>
    <w:lvl w:ilvl="7" w:tplc="A678E43E">
      <w:start w:val="1"/>
      <w:numFmt w:val="bullet"/>
      <w:lvlText w:val="•"/>
      <w:lvlJc w:val="left"/>
      <w:pPr>
        <w:ind w:left="7337" w:hanging="197"/>
      </w:pPr>
      <w:rPr>
        <w:rFonts w:hint="default"/>
      </w:rPr>
    </w:lvl>
    <w:lvl w:ilvl="8" w:tplc="B5642D10">
      <w:start w:val="1"/>
      <w:numFmt w:val="bullet"/>
      <w:lvlText w:val="•"/>
      <w:lvlJc w:val="left"/>
      <w:pPr>
        <w:ind w:left="8365" w:hanging="197"/>
      </w:pPr>
      <w:rPr>
        <w:rFonts w:hint="default"/>
      </w:rPr>
    </w:lvl>
  </w:abstractNum>
  <w:abstractNum w:abstractNumId="47">
    <w:nsid w:val="64140EAF"/>
    <w:multiLevelType w:val="hybridMultilevel"/>
    <w:tmpl w:val="5022A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B83AB3"/>
    <w:multiLevelType w:val="hybridMultilevel"/>
    <w:tmpl w:val="AC50222E"/>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F015D7"/>
    <w:multiLevelType w:val="hybridMultilevel"/>
    <w:tmpl w:val="A7A01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95F1C50"/>
    <w:multiLevelType w:val="hybridMultilevel"/>
    <w:tmpl w:val="5C54593E"/>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DB3499"/>
    <w:multiLevelType w:val="hybridMultilevel"/>
    <w:tmpl w:val="11E84BB8"/>
    <w:lvl w:ilvl="0" w:tplc="09C63A0E">
      <w:start w:val="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CB23894"/>
    <w:multiLevelType w:val="hybridMultilevel"/>
    <w:tmpl w:val="ABC2CDB2"/>
    <w:lvl w:ilvl="0" w:tplc="0409000F">
      <w:start w:val="1"/>
      <w:numFmt w:val="decimal"/>
      <w:lvlText w:val="%1."/>
      <w:lvlJc w:val="left"/>
      <w:pPr>
        <w:ind w:left="145" w:hanging="197"/>
      </w:pPr>
      <w:rPr>
        <w:rFonts w:hint="default"/>
        <w:spacing w:val="-1"/>
        <w:w w:val="101"/>
        <w:sz w:val="13"/>
        <w:szCs w:val="13"/>
      </w:rPr>
    </w:lvl>
    <w:lvl w:ilvl="1" w:tplc="BDF8536A">
      <w:start w:val="1"/>
      <w:numFmt w:val="bullet"/>
      <w:lvlText w:val="•"/>
      <w:lvlJc w:val="left"/>
      <w:pPr>
        <w:ind w:left="1173" w:hanging="197"/>
      </w:pPr>
      <w:rPr>
        <w:rFonts w:hint="default"/>
      </w:rPr>
    </w:lvl>
    <w:lvl w:ilvl="2" w:tplc="98DA7B16">
      <w:start w:val="1"/>
      <w:numFmt w:val="bullet"/>
      <w:lvlText w:val="•"/>
      <w:lvlJc w:val="left"/>
      <w:pPr>
        <w:ind w:left="2200" w:hanging="197"/>
      </w:pPr>
      <w:rPr>
        <w:rFonts w:hint="default"/>
      </w:rPr>
    </w:lvl>
    <w:lvl w:ilvl="3" w:tplc="86E6970C">
      <w:start w:val="1"/>
      <w:numFmt w:val="bullet"/>
      <w:lvlText w:val="•"/>
      <w:lvlJc w:val="left"/>
      <w:pPr>
        <w:ind w:left="3227" w:hanging="197"/>
      </w:pPr>
      <w:rPr>
        <w:rFonts w:hint="default"/>
      </w:rPr>
    </w:lvl>
    <w:lvl w:ilvl="4" w:tplc="373C64BE">
      <w:start w:val="1"/>
      <w:numFmt w:val="bullet"/>
      <w:lvlText w:val="•"/>
      <w:lvlJc w:val="left"/>
      <w:pPr>
        <w:ind w:left="4255" w:hanging="197"/>
      </w:pPr>
      <w:rPr>
        <w:rFonts w:hint="default"/>
      </w:rPr>
    </w:lvl>
    <w:lvl w:ilvl="5" w:tplc="6234D78A">
      <w:start w:val="1"/>
      <w:numFmt w:val="bullet"/>
      <w:lvlText w:val="•"/>
      <w:lvlJc w:val="left"/>
      <w:pPr>
        <w:ind w:left="5282" w:hanging="197"/>
      </w:pPr>
      <w:rPr>
        <w:rFonts w:hint="default"/>
      </w:rPr>
    </w:lvl>
    <w:lvl w:ilvl="6" w:tplc="4356CFA0">
      <w:start w:val="1"/>
      <w:numFmt w:val="bullet"/>
      <w:lvlText w:val="•"/>
      <w:lvlJc w:val="left"/>
      <w:pPr>
        <w:ind w:left="6310" w:hanging="197"/>
      </w:pPr>
      <w:rPr>
        <w:rFonts w:hint="default"/>
      </w:rPr>
    </w:lvl>
    <w:lvl w:ilvl="7" w:tplc="E70EB968">
      <w:start w:val="1"/>
      <w:numFmt w:val="bullet"/>
      <w:lvlText w:val="•"/>
      <w:lvlJc w:val="left"/>
      <w:pPr>
        <w:ind w:left="7337" w:hanging="197"/>
      </w:pPr>
      <w:rPr>
        <w:rFonts w:hint="default"/>
      </w:rPr>
    </w:lvl>
    <w:lvl w:ilvl="8" w:tplc="5B7CFDFC">
      <w:start w:val="1"/>
      <w:numFmt w:val="bullet"/>
      <w:lvlText w:val="•"/>
      <w:lvlJc w:val="left"/>
      <w:pPr>
        <w:ind w:left="8365" w:hanging="197"/>
      </w:pPr>
      <w:rPr>
        <w:rFonts w:hint="default"/>
      </w:rPr>
    </w:lvl>
  </w:abstractNum>
  <w:abstractNum w:abstractNumId="53">
    <w:nsid w:val="6CE42FDE"/>
    <w:multiLevelType w:val="hybridMultilevel"/>
    <w:tmpl w:val="4774C43E"/>
    <w:lvl w:ilvl="0" w:tplc="09C63A0E">
      <w:start w:val="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8651C66"/>
    <w:multiLevelType w:val="hybridMultilevel"/>
    <w:tmpl w:val="4B3E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3C34EC"/>
    <w:multiLevelType w:val="hybridMultilevel"/>
    <w:tmpl w:val="13B6B2B4"/>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3"/>
  </w:num>
  <w:num w:numId="4">
    <w:abstractNumId w:val="27"/>
  </w:num>
  <w:num w:numId="5">
    <w:abstractNumId w:val="35"/>
  </w:num>
  <w:num w:numId="6">
    <w:abstractNumId w:val="39"/>
  </w:num>
  <w:num w:numId="7">
    <w:abstractNumId w:val="43"/>
  </w:num>
  <w:num w:numId="8">
    <w:abstractNumId w:val="34"/>
  </w:num>
  <w:num w:numId="9">
    <w:abstractNumId w:val="42"/>
  </w:num>
  <w:num w:numId="10">
    <w:abstractNumId w:val="29"/>
  </w:num>
  <w:num w:numId="11">
    <w:abstractNumId w:val="54"/>
  </w:num>
  <w:num w:numId="12">
    <w:abstractNumId w:val="32"/>
  </w:num>
  <w:num w:numId="13">
    <w:abstractNumId w:val="49"/>
  </w:num>
  <w:num w:numId="14">
    <w:abstractNumId w:val="13"/>
  </w:num>
  <w:num w:numId="15">
    <w:abstractNumId w:val="38"/>
  </w:num>
  <w:num w:numId="16">
    <w:abstractNumId w:val="0"/>
  </w:num>
  <w:num w:numId="17">
    <w:abstractNumId w:val="47"/>
  </w:num>
  <w:num w:numId="18">
    <w:abstractNumId w:val="10"/>
  </w:num>
  <w:num w:numId="19">
    <w:abstractNumId w:val="25"/>
  </w:num>
  <w:num w:numId="20">
    <w:abstractNumId w:val="3"/>
  </w:num>
  <w:num w:numId="21">
    <w:abstractNumId w:val="45"/>
  </w:num>
  <w:num w:numId="22">
    <w:abstractNumId w:val="5"/>
  </w:num>
  <w:num w:numId="23">
    <w:abstractNumId w:val="7"/>
  </w:num>
  <w:num w:numId="24">
    <w:abstractNumId w:val="30"/>
  </w:num>
  <w:num w:numId="25">
    <w:abstractNumId w:val="11"/>
  </w:num>
  <w:num w:numId="26">
    <w:abstractNumId w:val="15"/>
  </w:num>
  <w:num w:numId="27">
    <w:abstractNumId w:val="46"/>
  </w:num>
  <w:num w:numId="28">
    <w:abstractNumId w:val="21"/>
  </w:num>
  <w:num w:numId="29">
    <w:abstractNumId w:val="44"/>
  </w:num>
  <w:num w:numId="30">
    <w:abstractNumId w:val="36"/>
  </w:num>
  <w:num w:numId="31">
    <w:abstractNumId w:val="52"/>
  </w:num>
  <w:num w:numId="32">
    <w:abstractNumId w:val="22"/>
  </w:num>
  <w:num w:numId="33">
    <w:abstractNumId w:val="14"/>
  </w:num>
  <w:num w:numId="34">
    <w:abstractNumId w:val="19"/>
  </w:num>
  <w:num w:numId="35">
    <w:abstractNumId w:val="2"/>
  </w:num>
  <w:num w:numId="36">
    <w:abstractNumId w:val="28"/>
  </w:num>
  <w:num w:numId="37">
    <w:abstractNumId w:val="1"/>
  </w:num>
  <w:num w:numId="38">
    <w:abstractNumId w:val="9"/>
  </w:num>
  <w:num w:numId="39">
    <w:abstractNumId w:val="17"/>
  </w:num>
  <w:num w:numId="40">
    <w:abstractNumId w:val="41"/>
  </w:num>
  <w:num w:numId="41">
    <w:abstractNumId w:val="31"/>
  </w:num>
  <w:num w:numId="42">
    <w:abstractNumId w:val="48"/>
  </w:num>
  <w:num w:numId="43">
    <w:abstractNumId w:val="16"/>
  </w:num>
  <w:num w:numId="44">
    <w:abstractNumId w:val="37"/>
  </w:num>
  <w:num w:numId="45">
    <w:abstractNumId w:val="51"/>
  </w:num>
  <w:num w:numId="46">
    <w:abstractNumId w:val="53"/>
  </w:num>
  <w:num w:numId="47">
    <w:abstractNumId w:val="12"/>
  </w:num>
  <w:num w:numId="48">
    <w:abstractNumId w:val="50"/>
  </w:num>
  <w:num w:numId="49">
    <w:abstractNumId w:val="26"/>
  </w:num>
  <w:num w:numId="50">
    <w:abstractNumId w:val="8"/>
  </w:num>
  <w:num w:numId="51">
    <w:abstractNumId w:val="18"/>
  </w:num>
  <w:num w:numId="52">
    <w:abstractNumId w:val="20"/>
  </w:num>
  <w:num w:numId="53">
    <w:abstractNumId w:val="33"/>
  </w:num>
  <w:num w:numId="54">
    <w:abstractNumId w:val="24"/>
  </w:num>
  <w:num w:numId="55">
    <w:abstractNumId w:val="40"/>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61"/>
    <w:rsid w:val="000002C9"/>
    <w:rsid w:val="00000793"/>
    <w:rsid w:val="0000132A"/>
    <w:rsid w:val="00002B99"/>
    <w:rsid w:val="00002F69"/>
    <w:rsid w:val="0000433F"/>
    <w:rsid w:val="00004422"/>
    <w:rsid w:val="000051E7"/>
    <w:rsid w:val="000055C5"/>
    <w:rsid w:val="000056DA"/>
    <w:rsid w:val="00006F45"/>
    <w:rsid w:val="000072F3"/>
    <w:rsid w:val="00007E40"/>
    <w:rsid w:val="00010226"/>
    <w:rsid w:val="00010492"/>
    <w:rsid w:val="00011933"/>
    <w:rsid w:val="00012C7D"/>
    <w:rsid w:val="0001308E"/>
    <w:rsid w:val="00014169"/>
    <w:rsid w:val="00015754"/>
    <w:rsid w:val="00015D62"/>
    <w:rsid w:val="0002013C"/>
    <w:rsid w:val="0002140F"/>
    <w:rsid w:val="00021660"/>
    <w:rsid w:val="000229E1"/>
    <w:rsid w:val="00022B79"/>
    <w:rsid w:val="00022F31"/>
    <w:rsid w:val="00023566"/>
    <w:rsid w:val="00025915"/>
    <w:rsid w:val="00025C53"/>
    <w:rsid w:val="00026AAF"/>
    <w:rsid w:val="00026C2C"/>
    <w:rsid w:val="00027289"/>
    <w:rsid w:val="00027A9D"/>
    <w:rsid w:val="000302C4"/>
    <w:rsid w:val="000308C8"/>
    <w:rsid w:val="000321B0"/>
    <w:rsid w:val="00032BDF"/>
    <w:rsid w:val="00033C7B"/>
    <w:rsid w:val="000340B3"/>
    <w:rsid w:val="00034A5F"/>
    <w:rsid w:val="000369D6"/>
    <w:rsid w:val="000401EB"/>
    <w:rsid w:val="000418B1"/>
    <w:rsid w:val="00041A3F"/>
    <w:rsid w:val="00041B1F"/>
    <w:rsid w:val="00041D6B"/>
    <w:rsid w:val="00041F16"/>
    <w:rsid w:val="0004216F"/>
    <w:rsid w:val="00042993"/>
    <w:rsid w:val="00043334"/>
    <w:rsid w:val="000438BA"/>
    <w:rsid w:val="00043C10"/>
    <w:rsid w:val="00043EA6"/>
    <w:rsid w:val="00044731"/>
    <w:rsid w:val="00044C26"/>
    <w:rsid w:val="00044CA2"/>
    <w:rsid w:val="00045225"/>
    <w:rsid w:val="00046040"/>
    <w:rsid w:val="00046290"/>
    <w:rsid w:val="0004631A"/>
    <w:rsid w:val="0004631D"/>
    <w:rsid w:val="00046441"/>
    <w:rsid w:val="000466E7"/>
    <w:rsid w:val="00047B30"/>
    <w:rsid w:val="00047C56"/>
    <w:rsid w:val="00050EDA"/>
    <w:rsid w:val="00053427"/>
    <w:rsid w:val="000554E3"/>
    <w:rsid w:val="0005605F"/>
    <w:rsid w:val="00056310"/>
    <w:rsid w:val="00056B4A"/>
    <w:rsid w:val="00056DB9"/>
    <w:rsid w:val="000575F9"/>
    <w:rsid w:val="000576E6"/>
    <w:rsid w:val="000602FD"/>
    <w:rsid w:val="00060E18"/>
    <w:rsid w:val="00061028"/>
    <w:rsid w:val="000614A8"/>
    <w:rsid w:val="0006155E"/>
    <w:rsid w:val="00061E01"/>
    <w:rsid w:val="000626D7"/>
    <w:rsid w:val="00062DA4"/>
    <w:rsid w:val="000630E9"/>
    <w:rsid w:val="000644F5"/>
    <w:rsid w:val="00064BFC"/>
    <w:rsid w:val="0006529B"/>
    <w:rsid w:val="000656C4"/>
    <w:rsid w:val="0006599A"/>
    <w:rsid w:val="000660FA"/>
    <w:rsid w:val="00066A9B"/>
    <w:rsid w:val="000679B0"/>
    <w:rsid w:val="00067FD8"/>
    <w:rsid w:val="00070107"/>
    <w:rsid w:val="00070159"/>
    <w:rsid w:val="0007128F"/>
    <w:rsid w:val="00072754"/>
    <w:rsid w:val="000735FE"/>
    <w:rsid w:val="00074A81"/>
    <w:rsid w:val="00074A89"/>
    <w:rsid w:val="00074AD4"/>
    <w:rsid w:val="00076950"/>
    <w:rsid w:val="0007700A"/>
    <w:rsid w:val="000779D4"/>
    <w:rsid w:val="00077C10"/>
    <w:rsid w:val="00077CB2"/>
    <w:rsid w:val="0008032D"/>
    <w:rsid w:val="0008064D"/>
    <w:rsid w:val="00080BCD"/>
    <w:rsid w:val="00081236"/>
    <w:rsid w:val="00081B25"/>
    <w:rsid w:val="00082603"/>
    <w:rsid w:val="000833C9"/>
    <w:rsid w:val="00083853"/>
    <w:rsid w:val="00083BDC"/>
    <w:rsid w:val="00083F5A"/>
    <w:rsid w:val="00084327"/>
    <w:rsid w:val="00084349"/>
    <w:rsid w:val="0008635B"/>
    <w:rsid w:val="000863D3"/>
    <w:rsid w:val="0008726A"/>
    <w:rsid w:val="000875E7"/>
    <w:rsid w:val="000910BB"/>
    <w:rsid w:val="000918F5"/>
    <w:rsid w:val="00091A77"/>
    <w:rsid w:val="00091C50"/>
    <w:rsid w:val="00093321"/>
    <w:rsid w:val="00094B5C"/>
    <w:rsid w:val="0009548A"/>
    <w:rsid w:val="0009573E"/>
    <w:rsid w:val="00095A36"/>
    <w:rsid w:val="000960F6"/>
    <w:rsid w:val="000961C1"/>
    <w:rsid w:val="000966CB"/>
    <w:rsid w:val="00096DED"/>
    <w:rsid w:val="00097E9C"/>
    <w:rsid w:val="000A0EEC"/>
    <w:rsid w:val="000A130C"/>
    <w:rsid w:val="000A1598"/>
    <w:rsid w:val="000A1758"/>
    <w:rsid w:val="000A2835"/>
    <w:rsid w:val="000A28DC"/>
    <w:rsid w:val="000A3DF3"/>
    <w:rsid w:val="000A49F1"/>
    <w:rsid w:val="000A5A3A"/>
    <w:rsid w:val="000A6F93"/>
    <w:rsid w:val="000A71BE"/>
    <w:rsid w:val="000B1224"/>
    <w:rsid w:val="000B183D"/>
    <w:rsid w:val="000B2941"/>
    <w:rsid w:val="000B2D0B"/>
    <w:rsid w:val="000B2FCD"/>
    <w:rsid w:val="000B32CC"/>
    <w:rsid w:val="000B4204"/>
    <w:rsid w:val="000B4639"/>
    <w:rsid w:val="000B6786"/>
    <w:rsid w:val="000B6790"/>
    <w:rsid w:val="000B6928"/>
    <w:rsid w:val="000B6DDE"/>
    <w:rsid w:val="000B6E21"/>
    <w:rsid w:val="000B6E92"/>
    <w:rsid w:val="000B7397"/>
    <w:rsid w:val="000B73E0"/>
    <w:rsid w:val="000B7DAD"/>
    <w:rsid w:val="000C049F"/>
    <w:rsid w:val="000C18C8"/>
    <w:rsid w:val="000C1F31"/>
    <w:rsid w:val="000C21E0"/>
    <w:rsid w:val="000C2440"/>
    <w:rsid w:val="000C2711"/>
    <w:rsid w:val="000C2E05"/>
    <w:rsid w:val="000C32ED"/>
    <w:rsid w:val="000C39CA"/>
    <w:rsid w:val="000C4512"/>
    <w:rsid w:val="000C4718"/>
    <w:rsid w:val="000C4FAC"/>
    <w:rsid w:val="000C5A7E"/>
    <w:rsid w:val="000C6273"/>
    <w:rsid w:val="000C6568"/>
    <w:rsid w:val="000C7273"/>
    <w:rsid w:val="000C72A5"/>
    <w:rsid w:val="000C7453"/>
    <w:rsid w:val="000C7B1A"/>
    <w:rsid w:val="000D037D"/>
    <w:rsid w:val="000D0B9A"/>
    <w:rsid w:val="000D1246"/>
    <w:rsid w:val="000D126C"/>
    <w:rsid w:val="000D14E3"/>
    <w:rsid w:val="000D19B3"/>
    <w:rsid w:val="000D219E"/>
    <w:rsid w:val="000D27B7"/>
    <w:rsid w:val="000D297F"/>
    <w:rsid w:val="000D2F0F"/>
    <w:rsid w:val="000D2FD2"/>
    <w:rsid w:val="000D342A"/>
    <w:rsid w:val="000D3B1B"/>
    <w:rsid w:val="000D3E8D"/>
    <w:rsid w:val="000D4243"/>
    <w:rsid w:val="000D428D"/>
    <w:rsid w:val="000D4336"/>
    <w:rsid w:val="000D4F8A"/>
    <w:rsid w:val="000D5BCE"/>
    <w:rsid w:val="000D5EF5"/>
    <w:rsid w:val="000D673D"/>
    <w:rsid w:val="000D6C4D"/>
    <w:rsid w:val="000D6F48"/>
    <w:rsid w:val="000D7383"/>
    <w:rsid w:val="000D75A7"/>
    <w:rsid w:val="000D76C6"/>
    <w:rsid w:val="000D78DC"/>
    <w:rsid w:val="000D79DE"/>
    <w:rsid w:val="000D7A1B"/>
    <w:rsid w:val="000E0AF8"/>
    <w:rsid w:val="000E0DF4"/>
    <w:rsid w:val="000E1083"/>
    <w:rsid w:val="000E2E5B"/>
    <w:rsid w:val="000E321A"/>
    <w:rsid w:val="000E3C8A"/>
    <w:rsid w:val="000E3CD8"/>
    <w:rsid w:val="000E5183"/>
    <w:rsid w:val="000E5878"/>
    <w:rsid w:val="000E5BAD"/>
    <w:rsid w:val="000E67DF"/>
    <w:rsid w:val="000E6C4E"/>
    <w:rsid w:val="000E716E"/>
    <w:rsid w:val="000E78C5"/>
    <w:rsid w:val="000F0448"/>
    <w:rsid w:val="000F0779"/>
    <w:rsid w:val="000F1B58"/>
    <w:rsid w:val="000F1C1F"/>
    <w:rsid w:val="000F230E"/>
    <w:rsid w:val="000F2416"/>
    <w:rsid w:val="000F313C"/>
    <w:rsid w:val="000F4307"/>
    <w:rsid w:val="000F4324"/>
    <w:rsid w:val="000F4840"/>
    <w:rsid w:val="000F4F00"/>
    <w:rsid w:val="000F4F71"/>
    <w:rsid w:val="000F597B"/>
    <w:rsid w:val="000F6289"/>
    <w:rsid w:val="000F72B7"/>
    <w:rsid w:val="000F78C0"/>
    <w:rsid w:val="000F78CF"/>
    <w:rsid w:val="000F7C4E"/>
    <w:rsid w:val="0010127D"/>
    <w:rsid w:val="00101340"/>
    <w:rsid w:val="00101A07"/>
    <w:rsid w:val="001027AD"/>
    <w:rsid w:val="00103BF4"/>
    <w:rsid w:val="00104994"/>
    <w:rsid w:val="00104FB5"/>
    <w:rsid w:val="0010515F"/>
    <w:rsid w:val="0010528A"/>
    <w:rsid w:val="00105342"/>
    <w:rsid w:val="0010551C"/>
    <w:rsid w:val="00106302"/>
    <w:rsid w:val="00106F3C"/>
    <w:rsid w:val="00107271"/>
    <w:rsid w:val="0010790B"/>
    <w:rsid w:val="00110AE3"/>
    <w:rsid w:val="00110EAF"/>
    <w:rsid w:val="00111777"/>
    <w:rsid w:val="00113ED6"/>
    <w:rsid w:val="0011413F"/>
    <w:rsid w:val="00114739"/>
    <w:rsid w:val="00114CC8"/>
    <w:rsid w:val="00115A9F"/>
    <w:rsid w:val="00115B76"/>
    <w:rsid w:val="00116A0A"/>
    <w:rsid w:val="00116F89"/>
    <w:rsid w:val="00120325"/>
    <w:rsid w:val="00120A6C"/>
    <w:rsid w:val="00121622"/>
    <w:rsid w:val="00121AA2"/>
    <w:rsid w:val="0012256F"/>
    <w:rsid w:val="00123B62"/>
    <w:rsid w:val="001240D7"/>
    <w:rsid w:val="0012544C"/>
    <w:rsid w:val="001258E5"/>
    <w:rsid w:val="00125D55"/>
    <w:rsid w:val="00125EE7"/>
    <w:rsid w:val="00126DF0"/>
    <w:rsid w:val="00126EC0"/>
    <w:rsid w:val="00127C89"/>
    <w:rsid w:val="00127E6D"/>
    <w:rsid w:val="00130222"/>
    <w:rsid w:val="0013046A"/>
    <w:rsid w:val="001304CF"/>
    <w:rsid w:val="00130657"/>
    <w:rsid w:val="00131294"/>
    <w:rsid w:val="001315CE"/>
    <w:rsid w:val="00131882"/>
    <w:rsid w:val="001323B5"/>
    <w:rsid w:val="00132D09"/>
    <w:rsid w:val="00133329"/>
    <w:rsid w:val="00133D09"/>
    <w:rsid w:val="0013439A"/>
    <w:rsid w:val="00134674"/>
    <w:rsid w:val="00135BA7"/>
    <w:rsid w:val="00136055"/>
    <w:rsid w:val="001362E0"/>
    <w:rsid w:val="001368F4"/>
    <w:rsid w:val="001369F1"/>
    <w:rsid w:val="00136DC5"/>
    <w:rsid w:val="00136E7C"/>
    <w:rsid w:val="0013754A"/>
    <w:rsid w:val="001405F2"/>
    <w:rsid w:val="00140E8C"/>
    <w:rsid w:val="001411C5"/>
    <w:rsid w:val="00141861"/>
    <w:rsid w:val="00142508"/>
    <w:rsid w:val="00142B93"/>
    <w:rsid w:val="0014359B"/>
    <w:rsid w:val="00145924"/>
    <w:rsid w:val="0014663A"/>
    <w:rsid w:val="0014675E"/>
    <w:rsid w:val="0014783F"/>
    <w:rsid w:val="0014784F"/>
    <w:rsid w:val="00150A99"/>
    <w:rsid w:val="00151CB6"/>
    <w:rsid w:val="00151EA5"/>
    <w:rsid w:val="001522AD"/>
    <w:rsid w:val="001543C8"/>
    <w:rsid w:val="0015450F"/>
    <w:rsid w:val="00155336"/>
    <w:rsid w:val="00155FF3"/>
    <w:rsid w:val="001565AD"/>
    <w:rsid w:val="001567E1"/>
    <w:rsid w:val="0015727B"/>
    <w:rsid w:val="001573B6"/>
    <w:rsid w:val="00157964"/>
    <w:rsid w:val="0016052B"/>
    <w:rsid w:val="001608EE"/>
    <w:rsid w:val="00160C3B"/>
    <w:rsid w:val="0016171B"/>
    <w:rsid w:val="00161925"/>
    <w:rsid w:val="00161E3F"/>
    <w:rsid w:val="00162152"/>
    <w:rsid w:val="00162466"/>
    <w:rsid w:val="00162A72"/>
    <w:rsid w:val="00163AC2"/>
    <w:rsid w:val="00165514"/>
    <w:rsid w:val="0016646A"/>
    <w:rsid w:val="001665E0"/>
    <w:rsid w:val="00166D61"/>
    <w:rsid w:val="00166F67"/>
    <w:rsid w:val="001671E3"/>
    <w:rsid w:val="00167A2D"/>
    <w:rsid w:val="00167E4C"/>
    <w:rsid w:val="00170B01"/>
    <w:rsid w:val="00171658"/>
    <w:rsid w:val="001722DD"/>
    <w:rsid w:val="0017335C"/>
    <w:rsid w:val="00173674"/>
    <w:rsid w:val="0017376F"/>
    <w:rsid w:val="0017695B"/>
    <w:rsid w:val="00177A33"/>
    <w:rsid w:val="00180238"/>
    <w:rsid w:val="001809C7"/>
    <w:rsid w:val="00182AB3"/>
    <w:rsid w:val="00182B87"/>
    <w:rsid w:val="00182F6D"/>
    <w:rsid w:val="001840AB"/>
    <w:rsid w:val="001847E7"/>
    <w:rsid w:val="00184DC8"/>
    <w:rsid w:val="00185B13"/>
    <w:rsid w:val="00185F8E"/>
    <w:rsid w:val="00190292"/>
    <w:rsid w:val="00191147"/>
    <w:rsid w:val="001923FD"/>
    <w:rsid w:val="00192A08"/>
    <w:rsid w:val="00193A1D"/>
    <w:rsid w:val="00194DB1"/>
    <w:rsid w:val="00194F5A"/>
    <w:rsid w:val="00195CD6"/>
    <w:rsid w:val="0019644E"/>
    <w:rsid w:val="00196A60"/>
    <w:rsid w:val="00197407"/>
    <w:rsid w:val="001978E3"/>
    <w:rsid w:val="00197DBF"/>
    <w:rsid w:val="00197E19"/>
    <w:rsid w:val="001A0078"/>
    <w:rsid w:val="001A0249"/>
    <w:rsid w:val="001A0E98"/>
    <w:rsid w:val="001A0F0A"/>
    <w:rsid w:val="001A127C"/>
    <w:rsid w:val="001A2737"/>
    <w:rsid w:val="001A3624"/>
    <w:rsid w:val="001A4E1F"/>
    <w:rsid w:val="001A57E1"/>
    <w:rsid w:val="001A5F78"/>
    <w:rsid w:val="001A684B"/>
    <w:rsid w:val="001A6972"/>
    <w:rsid w:val="001A6B15"/>
    <w:rsid w:val="001A7723"/>
    <w:rsid w:val="001B02D8"/>
    <w:rsid w:val="001B1834"/>
    <w:rsid w:val="001B240B"/>
    <w:rsid w:val="001B26EB"/>
    <w:rsid w:val="001B2753"/>
    <w:rsid w:val="001B276B"/>
    <w:rsid w:val="001B31E7"/>
    <w:rsid w:val="001B349A"/>
    <w:rsid w:val="001B4210"/>
    <w:rsid w:val="001B4AA9"/>
    <w:rsid w:val="001B4B92"/>
    <w:rsid w:val="001B529B"/>
    <w:rsid w:val="001B5522"/>
    <w:rsid w:val="001B5898"/>
    <w:rsid w:val="001B5960"/>
    <w:rsid w:val="001B69A9"/>
    <w:rsid w:val="001B6E00"/>
    <w:rsid w:val="001C024E"/>
    <w:rsid w:val="001C1CAF"/>
    <w:rsid w:val="001C2C00"/>
    <w:rsid w:val="001C2F1F"/>
    <w:rsid w:val="001C3E44"/>
    <w:rsid w:val="001C5064"/>
    <w:rsid w:val="001C5BA5"/>
    <w:rsid w:val="001C6221"/>
    <w:rsid w:val="001C7B5B"/>
    <w:rsid w:val="001C7B90"/>
    <w:rsid w:val="001C7C0B"/>
    <w:rsid w:val="001D1F61"/>
    <w:rsid w:val="001D1FA8"/>
    <w:rsid w:val="001D28ED"/>
    <w:rsid w:val="001D30E4"/>
    <w:rsid w:val="001D4874"/>
    <w:rsid w:val="001D48D7"/>
    <w:rsid w:val="001D498D"/>
    <w:rsid w:val="001D4C9E"/>
    <w:rsid w:val="001D4DC1"/>
    <w:rsid w:val="001D6990"/>
    <w:rsid w:val="001D70CA"/>
    <w:rsid w:val="001D7687"/>
    <w:rsid w:val="001D7706"/>
    <w:rsid w:val="001E0190"/>
    <w:rsid w:val="001E0265"/>
    <w:rsid w:val="001E1061"/>
    <w:rsid w:val="001E15ED"/>
    <w:rsid w:val="001E1B3A"/>
    <w:rsid w:val="001E2629"/>
    <w:rsid w:val="001E3970"/>
    <w:rsid w:val="001E403C"/>
    <w:rsid w:val="001E412E"/>
    <w:rsid w:val="001E4599"/>
    <w:rsid w:val="001E45E3"/>
    <w:rsid w:val="001E5B50"/>
    <w:rsid w:val="001F044F"/>
    <w:rsid w:val="001F0F27"/>
    <w:rsid w:val="001F1483"/>
    <w:rsid w:val="001F269E"/>
    <w:rsid w:val="001F4487"/>
    <w:rsid w:val="001F46D7"/>
    <w:rsid w:val="001F4C92"/>
    <w:rsid w:val="001F6104"/>
    <w:rsid w:val="001F65EA"/>
    <w:rsid w:val="001F6A4B"/>
    <w:rsid w:val="001F756B"/>
    <w:rsid w:val="001F77C2"/>
    <w:rsid w:val="001F7A93"/>
    <w:rsid w:val="001F7C09"/>
    <w:rsid w:val="00200470"/>
    <w:rsid w:val="00200475"/>
    <w:rsid w:val="002010A5"/>
    <w:rsid w:val="00201164"/>
    <w:rsid w:val="002017D1"/>
    <w:rsid w:val="00201AFE"/>
    <w:rsid w:val="0020268D"/>
    <w:rsid w:val="00202B7E"/>
    <w:rsid w:val="0020538F"/>
    <w:rsid w:val="002055B6"/>
    <w:rsid w:val="00206536"/>
    <w:rsid w:val="002068D3"/>
    <w:rsid w:val="00207D10"/>
    <w:rsid w:val="00210895"/>
    <w:rsid w:val="00211CAF"/>
    <w:rsid w:val="00212155"/>
    <w:rsid w:val="0021274D"/>
    <w:rsid w:val="00214422"/>
    <w:rsid w:val="00214ECA"/>
    <w:rsid w:val="0021506F"/>
    <w:rsid w:val="002155A0"/>
    <w:rsid w:val="00215B6F"/>
    <w:rsid w:val="00215BAF"/>
    <w:rsid w:val="0021621A"/>
    <w:rsid w:val="00217AA4"/>
    <w:rsid w:val="0022002B"/>
    <w:rsid w:val="0022046B"/>
    <w:rsid w:val="002221FA"/>
    <w:rsid w:val="0022247A"/>
    <w:rsid w:val="00222822"/>
    <w:rsid w:val="00223061"/>
    <w:rsid w:val="00224652"/>
    <w:rsid w:val="00224FBD"/>
    <w:rsid w:val="002259DF"/>
    <w:rsid w:val="00225B3C"/>
    <w:rsid w:val="00226052"/>
    <w:rsid w:val="00226162"/>
    <w:rsid w:val="002264BF"/>
    <w:rsid w:val="0022690D"/>
    <w:rsid w:val="00227563"/>
    <w:rsid w:val="002301B9"/>
    <w:rsid w:val="00232007"/>
    <w:rsid w:val="00234359"/>
    <w:rsid w:val="00234DBB"/>
    <w:rsid w:val="002357C1"/>
    <w:rsid w:val="00235A91"/>
    <w:rsid w:val="00235B84"/>
    <w:rsid w:val="00236DF3"/>
    <w:rsid w:val="00237075"/>
    <w:rsid w:val="00237380"/>
    <w:rsid w:val="0023763B"/>
    <w:rsid w:val="0023774F"/>
    <w:rsid w:val="00240BA3"/>
    <w:rsid w:val="00240F83"/>
    <w:rsid w:val="002411AF"/>
    <w:rsid w:val="00241358"/>
    <w:rsid w:val="00241EA9"/>
    <w:rsid w:val="00243B5F"/>
    <w:rsid w:val="002442A2"/>
    <w:rsid w:val="00244652"/>
    <w:rsid w:val="00245556"/>
    <w:rsid w:val="002459F2"/>
    <w:rsid w:val="00245AA0"/>
    <w:rsid w:val="002478C9"/>
    <w:rsid w:val="00251426"/>
    <w:rsid w:val="0025176F"/>
    <w:rsid w:val="00251983"/>
    <w:rsid w:val="0025208F"/>
    <w:rsid w:val="0025349D"/>
    <w:rsid w:val="00253B9F"/>
    <w:rsid w:val="00253D25"/>
    <w:rsid w:val="00254243"/>
    <w:rsid w:val="0025427A"/>
    <w:rsid w:val="0025450B"/>
    <w:rsid w:val="00254A07"/>
    <w:rsid w:val="00255B8F"/>
    <w:rsid w:val="0025604E"/>
    <w:rsid w:val="00256DAA"/>
    <w:rsid w:val="00257033"/>
    <w:rsid w:val="00257B20"/>
    <w:rsid w:val="00260D4F"/>
    <w:rsid w:val="00262550"/>
    <w:rsid w:val="00262D76"/>
    <w:rsid w:val="00262F0D"/>
    <w:rsid w:val="00263CFE"/>
    <w:rsid w:val="00264762"/>
    <w:rsid w:val="002664FA"/>
    <w:rsid w:val="0026736A"/>
    <w:rsid w:val="002675DA"/>
    <w:rsid w:val="00267B32"/>
    <w:rsid w:val="00267CF5"/>
    <w:rsid w:val="00270DB3"/>
    <w:rsid w:val="00271048"/>
    <w:rsid w:val="00271B49"/>
    <w:rsid w:val="002726BF"/>
    <w:rsid w:val="00272834"/>
    <w:rsid w:val="00272931"/>
    <w:rsid w:val="00272A1F"/>
    <w:rsid w:val="002738D5"/>
    <w:rsid w:val="00273A54"/>
    <w:rsid w:val="0027469C"/>
    <w:rsid w:val="00274A13"/>
    <w:rsid w:val="00274D37"/>
    <w:rsid w:val="002753B0"/>
    <w:rsid w:val="002761A4"/>
    <w:rsid w:val="002768CB"/>
    <w:rsid w:val="002779DA"/>
    <w:rsid w:val="0028000F"/>
    <w:rsid w:val="00281FDE"/>
    <w:rsid w:val="00282A14"/>
    <w:rsid w:val="00282E41"/>
    <w:rsid w:val="00283162"/>
    <w:rsid w:val="0028470F"/>
    <w:rsid w:val="00284CDE"/>
    <w:rsid w:val="002858BA"/>
    <w:rsid w:val="00285B6B"/>
    <w:rsid w:val="00291174"/>
    <w:rsid w:val="0029138E"/>
    <w:rsid w:val="00292F8B"/>
    <w:rsid w:val="0029358D"/>
    <w:rsid w:val="00293877"/>
    <w:rsid w:val="002960F8"/>
    <w:rsid w:val="0029696B"/>
    <w:rsid w:val="00297226"/>
    <w:rsid w:val="0029766D"/>
    <w:rsid w:val="002977AE"/>
    <w:rsid w:val="002978BC"/>
    <w:rsid w:val="00297BEE"/>
    <w:rsid w:val="002A028B"/>
    <w:rsid w:val="002A0C21"/>
    <w:rsid w:val="002A0D78"/>
    <w:rsid w:val="002A1570"/>
    <w:rsid w:val="002A1C72"/>
    <w:rsid w:val="002A35BF"/>
    <w:rsid w:val="002A370B"/>
    <w:rsid w:val="002A41EA"/>
    <w:rsid w:val="002A4BA1"/>
    <w:rsid w:val="002A4CFD"/>
    <w:rsid w:val="002A5590"/>
    <w:rsid w:val="002A646C"/>
    <w:rsid w:val="002A6667"/>
    <w:rsid w:val="002A6774"/>
    <w:rsid w:val="002A72D5"/>
    <w:rsid w:val="002A7F45"/>
    <w:rsid w:val="002B1C4E"/>
    <w:rsid w:val="002B2457"/>
    <w:rsid w:val="002B2AFD"/>
    <w:rsid w:val="002B365F"/>
    <w:rsid w:val="002B36C4"/>
    <w:rsid w:val="002B3AFB"/>
    <w:rsid w:val="002B62E1"/>
    <w:rsid w:val="002B6F55"/>
    <w:rsid w:val="002C1265"/>
    <w:rsid w:val="002C15DA"/>
    <w:rsid w:val="002C15FC"/>
    <w:rsid w:val="002C175D"/>
    <w:rsid w:val="002C1E29"/>
    <w:rsid w:val="002C2FD9"/>
    <w:rsid w:val="002C346C"/>
    <w:rsid w:val="002C3A4A"/>
    <w:rsid w:val="002C410A"/>
    <w:rsid w:val="002C427E"/>
    <w:rsid w:val="002C4297"/>
    <w:rsid w:val="002C483B"/>
    <w:rsid w:val="002C4CB6"/>
    <w:rsid w:val="002C4D7D"/>
    <w:rsid w:val="002C74FD"/>
    <w:rsid w:val="002C79DD"/>
    <w:rsid w:val="002C7D71"/>
    <w:rsid w:val="002C7DAD"/>
    <w:rsid w:val="002C7E7C"/>
    <w:rsid w:val="002C7FC8"/>
    <w:rsid w:val="002D0BCB"/>
    <w:rsid w:val="002D0E2C"/>
    <w:rsid w:val="002D1D5B"/>
    <w:rsid w:val="002D1D7E"/>
    <w:rsid w:val="002D2004"/>
    <w:rsid w:val="002D2925"/>
    <w:rsid w:val="002D2A25"/>
    <w:rsid w:val="002D3133"/>
    <w:rsid w:val="002D3DBB"/>
    <w:rsid w:val="002D3ED5"/>
    <w:rsid w:val="002D45A2"/>
    <w:rsid w:val="002D4C9F"/>
    <w:rsid w:val="002D4D65"/>
    <w:rsid w:val="002D560E"/>
    <w:rsid w:val="002D6206"/>
    <w:rsid w:val="002D6B81"/>
    <w:rsid w:val="002D6BE8"/>
    <w:rsid w:val="002D78D6"/>
    <w:rsid w:val="002D7AF1"/>
    <w:rsid w:val="002E0A35"/>
    <w:rsid w:val="002E354D"/>
    <w:rsid w:val="002E3C80"/>
    <w:rsid w:val="002E49CF"/>
    <w:rsid w:val="002E4D7A"/>
    <w:rsid w:val="002E502F"/>
    <w:rsid w:val="002E522F"/>
    <w:rsid w:val="002E6CDE"/>
    <w:rsid w:val="002E77AD"/>
    <w:rsid w:val="002F0BA8"/>
    <w:rsid w:val="002F0C13"/>
    <w:rsid w:val="002F2008"/>
    <w:rsid w:val="002F2E0B"/>
    <w:rsid w:val="002F2F59"/>
    <w:rsid w:val="002F3219"/>
    <w:rsid w:val="002F3DBA"/>
    <w:rsid w:val="002F4A00"/>
    <w:rsid w:val="002F7064"/>
    <w:rsid w:val="002F7401"/>
    <w:rsid w:val="002F7D9B"/>
    <w:rsid w:val="002F7DED"/>
    <w:rsid w:val="00300441"/>
    <w:rsid w:val="003005F0"/>
    <w:rsid w:val="00301093"/>
    <w:rsid w:val="0030164D"/>
    <w:rsid w:val="0030196E"/>
    <w:rsid w:val="00301C16"/>
    <w:rsid w:val="0030310F"/>
    <w:rsid w:val="00303C76"/>
    <w:rsid w:val="00303DDA"/>
    <w:rsid w:val="00303E51"/>
    <w:rsid w:val="00304A6C"/>
    <w:rsid w:val="0030511B"/>
    <w:rsid w:val="003075BB"/>
    <w:rsid w:val="00307C57"/>
    <w:rsid w:val="0031019E"/>
    <w:rsid w:val="0031052A"/>
    <w:rsid w:val="00310A29"/>
    <w:rsid w:val="003113EF"/>
    <w:rsid w:val="003119C2"/>
    <w:rsid w:val="00311DC8"/>
    <w:rsid w:val="003122D3"/>
    <w:rsid w:val="00313577"/>
    <w:rsid w:val="00314331"/>
    <w:rsid w:val="0031490E"/>
    <w:rsid w:val="00314998"/>
    <w:rsid w:val="00315A3A"/>
    <w:rsid w:val="00315D8F"/>
    <w:rsid w:val="00315E9F"/>
    <w:rsid w:val="003161C6"/>
    <w:rsid w:val="00316929"/>
    <w:rsid w:val="003172C1"/>
    <w:rsid w:val="003178A2"/>
    <w:rsid w:val="00317E4F"/>
    <w:rsid w:val="003202C7"/>
    <w:rsid w:val="003207E7"/>
    <w:rsid w:val="003209DE"/>
    <w:rsid w:val="00320D71"/>
    <w:rsid w:val="0032118B"/>
    <w:rsid w:val="00323033"/>
    <w:rsid w:val="00323950"/>
    <w:rsid w:val="00324964"/>
    <w:rsid w:val="00324A63"/>
    <w:rsid w:val="00325B26"/>
    <w:rsid w:val="00326EDF"/>
    <w:rsid w:val="00327499"/>
    <w:rsid w:val="003274C6"/>
    <w:rsid w:val="0032752C"/>
    <w:rsid w:val="00327BD1"/>
    <w:rsid w:val="00331F84"/>
    <w:rsid w:val="00332C93"/>
    <w:rsid w:val="0033354A"/>
    <w:rsid w:val="00333FD6"/>
    <w:rsid w:val="00334004"/>
    <w:rsid w:val="00334091"/>
    <w:rsid w:val="00334BB3"/>
    <w:rsid w:val="00334E54"/>
    <w:rsid w:val="003353B8"/>
    <w:rsid w:val="0033700E"/>
    <w:rsid w:val="003375AC"/>
    <w:rsid w:val="003379A7"/>
    <w:rsid w:val="00337F5A"/>
    <w:rsid w:val="003400D9"/>
    <w:rsid w:val="00340548"/>
    <w:rsid w:val="00341077"/>
    <w:rsid w:val="00342B49"/>
    <w:rsid w:val="00343CBF"/>
    <w:rsid w:val="0034564A"/>
    <w:rsid w:val="00345E6A"/>
    <w:rsid w:val="0034712D"/>
    <w:rsid w:val="00347D4F"/>
    <w:rsid w:val="003503A2"/>
    <w:rsid w:val="00350C9E"/>
    <w:rsid w:val="00351356"/>
    <w:rsid w:val="0035189B"/>
    <w:rsid w:val="00351A99"/>
    <w:rsid w:val="00351C3E"/>
    <w:rsid w:val="0035207D"/>
    <w:rsid w:val="00352819"/>
    <w:rsid w:val="00352904"/>
    <w:rsid w:val="0035319F"/>
    <w:rsid w:val="0035325A"/>
    <w:rsid w:val="00354089"/>
    <w:rsid w:val="0035448E"/>
    <w:rsid w:val="003544CB"/>
    <w:rsid w:val="003545BF"/>
    <w:rsid w:val="003549E2"/>
    <w:rsid w:val="003557E0"/>
    <w:rsid w:val="00355D8F"/>
    <w:rsid w:val="003567B7"/>
    <w:rsid w:val="00357A51"/>
    <w:rsid w:val="00357CFF"/>
    <w:rsid w:val="003602D9"/>
    <w:rsid w:val="003606C1"/>
    <w:rsid w:val="00361312"/>
    <w:rsid w:val="00361517"/>
    <w:rsid w:val="00362A5A"/>
    <w:rsid w:val="00362B17"/>
    <w:rsid w:val="00362C20"/>
    <w:rsid w:val="00362E52"/>
    <w:rsid w:val="003631F7"/>
    <w:rsid w:val="0036373E"/>
    <w:rsid w:val="00363855"/>
    <w:rsid w:val="00363DB1"/>
    <w:rsid w:val="00364B62"/>
    <w:rsid w:val="003653CE"/>
    <w:rsid w:val="00365DD7"/>
    <w:rsid w:val="00365E81"/>
    <w:rsid w:val="00365EEC"/>
    <w:rsid w:val="00365FD6"/>
    <w:rsid w:val="0036715A"/>
    <w:rsid w:val="00367230"/>
    <w:rsid w:val="0036766C"/>
    <w:rsid w:val="00367B17"/>
    <w:rsid w:val="00367DC4"/>
    <w:rsid w:val="003704AD"/>
    <w:rsid w:val="00370618"/>
    <w:rsid w:val="00370A66"/>
    <w:rsid w:val="00371181"/>
    <w:rsid w:val="003714DC"/>
    <w:rsid w:val="00371E57"/>
    <w:rsid w:val="00371E7A"/>
    <w:rsid w:val="00371F80"/>
    <w:rsid w:val="00372581"/>
    <w:rsid w:val="00372AFE"/>
    <w:rsid w:val="00372D36"/>
    <w:rsid w:val="00373D99"/>
    <w:rsid w:val="003747C2"/>
    <w:rsid w:val="0037533B"/>
    <w:rsid w:val="00375464"/>
    <w:rsid w:val="00376C50"/>
    <w:rsid w:val="00377BCA"/>
    <w:rsid w:val="00377C2C"/>
    <w:rsid w:val="00380374"/>
    <w:rsid w:val="00380F21"/>
    <w:rsid w:val="0038108D"/>
    <w:rsid w:val="003812CE"/>
    <w:rsid w:val="00381317"/>
    <w:rsid w:val="003817DD"/>
    <w:rsid w:val="00381E61"/>
    <w:rsid w:val="003822E0"/>
    <w:rsid w:val="0038350A"/>
    <w:rsid w:val="0038397D"/>
    <w:rsid w:val="00384F76"/>
    <w:rsid w:val="00385D5E"/>
    <w:rsid w:val="0038644F"/>
    <w:rsid w:val="003869E1"/>
    <w:rsid w:val="0038739C"/>
    <w:rsid w:val="00390E98"/>
    <w:rsid w:val="003928F7"/>
    <w:rsid w:val="00392ED2"/>
    <w:rsid w:val="003932C5"/>
    <w:rsid w:val="00394308"/>
    <w:rsid w:val="00394461"/>
    <w:rsid w:val="00394A47"/>
    <w:rsid w:val="00394D05"/>
    <w:rsid w:val="0039682F"/>
    <w:rsid w:val="003968C6"/>
    <w:rsid w:val="00396A08"/>
    <w:rsid w:val="00397257"/>
    <w:rsid w:val="00397F29"/>
    <w:rsid w:val="003A0EC7"/>
    <w:rsid w:val="003A0F45"/>
    <w:rsid w:val="003A1BC4"/>
    <w:rsid w:val="003A2E8A"/>
    <w:rsid w:val="003A3E47"/>
    <w:rsid w:val="003A3F88"/>
    <w:rsid w:val="003A43F5"/>
    <w:rsid w:val="003A4C77"/>
    <w:rsid w:val="003A4EB2"/>
    <w:rsid w:val="003A547A"/>
    <w:rsid w:val="003A706F"/>
    <w:rsid w:val="003A7CED"/>
    <w:rsid w:val="003B041C"/>
    <w:rsid w:val="003B0AF9"/>
    <w:rsid w:val="003B0D8D"/>
    <w:rsid w:val="003B156A"/>
    <w:rsid w:val="003B1CA8"/>
    <w:rsid w:val="003B2174"/>
    <w:rsid w:val="003B217E"/>
    <w:rsid w:val="003B21C0"/>
    <w:rsid w:val="003B24D1"/>
    <w:rsid w:val="003B2BBC"/>
    <w:rsid w:val="003B2CBF"/>
    <w:rsid w:val="003B3809"/>
    <w:rsid w:val="003B3FDB"/>
    <w:rsid w:val="003B4DF5"/>
    <w:rsid w:val="003B5D0B"/>
    <w:rsid w:val="003B603F"/>
    <w:rsid w:val="003B707C"/>
    <w:rsid w:val="003B73B1"/>
    <w:rsid w:val="003C0427"/>
    <w:rsid w:val="003C087E"/>
    <w:rsid w:val="003C2499"/>
    <w:rsid w:val="003C2B7D"/>
    <w:rsid w:val="003C4B38"/>
    <w:rsid w:val="003C72BC"/>
    <w:rsid w:val="003C7AD2"/>
    <w:rsid w:val="003C7F8F"/>
    <w:rsid w:val="003D00DA"/>
    <w:rsid w:val="003D06B8"/>
    <w:rsid w:val="003D0D2E"/>
    <w:rsid w:val="003D0D93"/>
    <w:rsid w:val="003D11FA"/>
    <w:rsid w:val="003D1591"/>
    <w:rsid w:val="003D1E8D"/>
    <w:rsid w:val="003D385E"/>
    <w:rsid w:val="003D3AB1"/>
    <w:rsid w:val="003D43F4"/>
    <w:rsid w:val="003D49C7"/>
    <w:rsid w:val="003D572B"/>
    <w:rsid w:val="003D5FC6"/>
    <w:rsid w:val="003D65A7"/>
    <w:rsid w:val="003D7370"/>
    <w:rsid w:val="003E0746"/>
    <w:rsid w:val="003E1E84"/>
    <w:rsid w:val="003E21F6"/>
    <w:rsid w:val="003E28CD"/>
    <w:rsid w:val="003E3217"/>
    <w:rsid w:val="003E3911"/>
    <w:rsid w:val="003E4333"/>
    <w:rsid w:val="003E56AF"/>
    <w:rsid w:val="003E7385"/>
    <w:rsid w:val="003E786D"/>
    <w:rsid w:val="003E7BE4"/>
    <w:rsid w:val="003E7D34"/>
    <w:rsid w:val="003F010C"/>
    <w:rsid w:val="003F06DA"/>
    <w:rsid w:val="003F09BD"/>
    <w:rsid w:val="003F0AB9"/>
    <w:rsid w:val="003F0D12"/>
    <w:rsid w:val="003F1121"/>
    <w:rsid w:val="003F1EEE"/>
    <w:rsid w:val="003F20D8"/>
    <w:rsid w:val="003F2478"/>
    <w:rsid w:val="003F2AA7"/>
    <w:rsid w:val="003F2D2C"/>
    <w:rsid w:val="003F3F4E"/>
    <w:rsid w:val="003F4732"/>
    <w:rsid w:val="003F570A"/>
    <w:rsid w:val="003F5B13"/>
    <w:rsid w:val="003F5D18"/>
    <w:rsid w:val="003F635E"/>
    <w:rsid w:val="003F665A"/>
    <w:rsid w:val="003F6FCB"/>
    <w:rsid w:val="003F76E8"/>
    <w:rsid w:val="003F7ACF"/>
    <w:rsid w:val="00400E22"/>
    <w:rsid w:val="00400F52"/>
    <w:rsid w:val="00401A61"/>
    <w:rsid w:val="00401B65"/>
    <w:rsid w:val="00402213"/>
    <w:rsid w:val="00402A2D"/>
    <w:rsid w:val="00402E1E"/>
    <w:rsid w:val="00403522"/>
    <w:rsid w:val="00403841"/>
    <w:rsid w:val="00403B98"/>
    <w:rsid w:val="00403DFE"/>
    <w:rsid w:val="0040458A"/>
    <w:rsid w:val="00404C4C"/>
    <w:rsid w:val="00405B98"/>
    <w:rsid w:val="00405C6F"/>
    <w:rsid w:val="00405FD6"/>
    <w:rsid w:val="00406183"/>
    <w:rsid w:val="0040642B"/>
    <w:rsid w:val="0040676F"/>
    <w:rsid w:val="00406B7F"/>
    <w:rsid w:val="00406BED"/>
    <w:rsid w:val="00407E6D"/>
    <w:rsid w:val="00410428"/>
    <w:rsid w:val="00411762"/>
    <w:rsid w:val="00412D3D"/>
    <w:rsid w:val="004133F7"/>
    <w:rsid w:val="0041403E"/>
    <w:rsid w:val="00414DBE"/>
    <w:rsid w:val="00415319"/>
    <w:rsid w:val="0041541C"/>
    <w:rsid w:val="00416476"/>
    <w:rsid w:val="00416C0A"/>
    <w:rsid w:val="004173C9"/>
    <w:rsid w:val="00420E02"/>
    <w:rsid w:val="004216D0"/>
    <w:rsid w:val="00423686"/>
    <w:rsid w:val="00423913"/>
    <w:rsid w:val="00424040"/>
    <w:rsid w:val="004243AA"/>
    <w:rsid w:val="00425EBA"/>
    <w:rsid w:val="0042787F"/>
    <w:rsid w:val="00427FA7"/>
    <w:rsid w:val="00430D48"/>
    <w:rsid w:val="0043151D"/>
    <w:rsid w:val="00431676"/>
    <w:rsid w:val="00431AC9"/>
    <w:rsid w:val="00431AFA"/>
    <w:rsid w:val="00431B1A"/>
    <w:rsid w:val="00431D84"/>
    <w:rsid w:val="004325A5"/>
    <w:rsid w:val="004334DD"/>
    <w:rsid w:val="004337C6"/>
    <w:rsid w:val="004339DF"/>
    <w:rsid w:val="004339F4"/>
    <w:rsid w:val="00434A96"/>
    <w:rsid w:val="00435CD7"/>
    <w:rsid w:val="00437171"/>
    <w:rsid w:val="00437314"/>
    <w:rsid w:val="00437697"/>
    <w:rsid w:val="00437898"/>
    <w:rsid w:val="00437B68"/>
    <w:rsid w:val="00440BCD"/>
    <w:rsid w:val="00441076"/>
    <w:rsid w:val="004429C6"/>
    <w:rsid w:val="004430FB"/>
    <w:rsid w:val="00443F23"/>
    <w:rsid w:val="0044424C"/>
    <w:rsid w:val="00444FEA"/>
    <w:rsid w:val="004453F3"/>
    <w:rsid w:val="0044617B"/>
    <w:rsid w:val="004465C9"/>
    <w:rsid w:val="00446B20"/>
    <w:rsid w:val="00447992"/>
    <w:rsid w:val="004507A8"/>
    <w:rsid w:val="00452C13"/>
    <w:rsid w:val="00452F66"/>
    <w:rsid w:val="00454EF1"/>
    <w:rsid w:val="00455115"/>
    <w:rsid w:val="004552F0"/>
    <w:rsid w:val="004558D2"/>
    <w:rsid w:val="00455C44"/>
    <w:rsid w:val="00456F7D"/>
    <w:rsid w:val="004578CE"/>
    <w:rsid w:val="004579F2"/>
    <w:rsid w:val="00460757"/>
    <w:rsid w:val="00461DAE"/>
    <w:rsid w:val="00462183"/>
    <w:rsid w:val="00463AB1"/>
    <w:rsid w:val="00463CA8"/>
    <w:rsid w:val="00463E20"/>
    <w:rsid w:val="004657B7"/>
    <w:rsid w:val="00465851"/>
    <w:rsid w:val="00465A1D"/>
    <w:rsid w:val="004671FF"/>
    <w:rsid w:val="00467F2E"/>
    <w:rsid w:val="004705C6"/>
    <w:rsid w:val="0047134D"/>
    <w:rsid w:val="004714BE"/>
    <w:rsid w:val="004723B9"/>
    <w:rsid w:val="00473AF9"/>
    <w:rsid w:val="00473F46"/>
    <w:rsid w:val="004757FE"/>
    <w:rsid w:val="00475B6B"/>
    <w:rsid w:val="00477D08"/>
    <w:rsid w:val="00477F96"/>
    <w:rsid w:val="00480097"/>
    <w:rsid w:val="00480181"/>
    <w:rsid w:val="00480384"/>
    <w:rsid w:val="0048169D"/>
    <w:rsid w:val="00481A91"/>
    <w:rsid w:val="00481B69"/>
    <w:rsid w:val="00482043"/>
    <w:rsid w:val="004824BC"/>
    <w:rsid w:val="00482920"/>
    <w:rsid w:val="00483734"/>
    <w:rsid w:val="004838E7"/>
    <w:rsid w:val="004840B5"/>
    <w:rsid w:val="0048594C"/>
    <w:rsid w:val="00485AF1"/>
    <w:rsid w:val="004868D4"/>
    <w:rsid w:val="00486F46"/>
    <w:rsid w:val="0048733F"/>
    <w:rsid w:val="0048760D"/>
    <w:rsid w:val="00487632"/>
    <w:rsid w:val="00487B2B"/>
    <w:rsid w:val="0049027A"/>
    <w:rsid w:val="0049092D"/>
    <w:rsid w:val="00490A8B"/>
    <w:rsid w:val="00490ABE"/>
    <w:rsid w:val="00490B2E"/>
    <w:rsid w:val="00491B31"/>
    <w:rsid w:val="00491B55"/>
    <w:rsid w:val="00491F7E"/>
    <w:rsid w:val="004924FD"/>
    <w:rsid w:val="00492AD8"/>
    <w:rsid w:val="00492B24"/>
    <w:rsid w:val="00492D9D"/>
    <w:rsid w:val="00493564"/>
    <w:rsid w:val="004939E3"/>
    <w:rsid w:val="00493A8F"/>
    <w:rsid w:val="00493AD7"/>
    <w:rsid w:val="00494F2C"/>
    <w:rsid w:val="00495802"/>
    <w:rsid w:val="004977A9"/>
    <w:rsid w:val="004A0577"/>
    <w:rsid w:val="004A0AB3"/>
    <w:rsid w:val="004A0B45"/>
    <w:rsid w:val="004A101D"/>
    <w:rsid w:val="004A110A"/>
    <w:rsid w:val="004A114E"/>
    <w:rsid w:val="004A1774"/>
    <w:rsid w:val="004A2129"/>
    <w:rsid w:val="004A2AF2"/>
    <w:rsid w:val="004A2C65"/>
    <w:rsid w:val="004A2D10"/>
    <w:rsid w:val="004A2F8E"/>
    <w:rsid w:val="004A317A"/>
    <w:rsid w:val="004A36D3"/>
    <w:rsid w:val="004A3CE7"/>
    <w:rsid w:val="004A3FCB"/>
    <w:rsid w:val="004A42D3"/>
    <w:rsid w:val="004A4CA5"/>
    <w:rsid w:val="004A59A4"/>
    <w:rsid w:val="004A7BB4"/>
    <w:rsid w:val="004A7FA2"/>
    <w:rsid w:val="004B0DD9"/>
    <w:rsid w:val="004B0EC6"/>
    <w:rsid w:val="004B15F0"/>
    <w:rsid w:val="004B1819"/>
    <w:rsid w:val="004B2436"/>
    <w:rsid w:val="004B2663"/>
    <w:rsid w:val="004B3058"/>
    <w:rsid w:val="004B3343"/>
    <w:rsid w:val="004B3D83"/>
    <w:rsid w:val="004B4437"/>
    <w:rsid w:val="004B4D05"/>
    <w:rsid w:val="004B5AD7"/>
    <w:rsid w:val="004B6621"/>
    <w:rsid w:val="004B67C4"/>
    <w:rsid w:val="004B684F"/>
    <w:rsid w:val="004B6A02"/>
    <w:rsid w:val="004B6B97"/>
    <w:rsid w:val="004B76C1"/>
    <w:rsid w:val="004B790D"/>
    <w:rsid w:val="004B7A57"/>
    <w:rsid w:val="004C034E"/>
    <w:rsid w:val="004C0D0C"/>
    <w:rsid w:val="004C0D3E"/>
    <w:rsid w:val="004C278E"/>
    <w:rsid w:val="004C288E"/>
    <w:rsid w:val="004C2C20"/>
    <w:rsid w:val="004C2D60"/>
    <w:rsid w:val="004C3070"/>
    <w:rsid w:val="004C3F4E"/>
    <w:rsid w:val="004C441E"/>
    <w:rsid w:val="004C4600"/>
    <w:rsid w:val="004C4E27"/>
    <w:rsid w:val="004C50EF"/>
    <w:rsid w:val="004C6873"/>
    <w:rsid w:val="004C6A10"/>
    <w:rsid w:val="004C6B63"/>
    <w:rsid w:val="004C7816"/>
    <w:rsid w:val="004C7F11"/>
    <w:rsid w:val="004D0039"/>
    <w:rsid w:val="004D04F9"/>
    <w:rsid w:val="004D0B63"/>
    <w:rsid w:val="004D0DC7"/>
    <w:rsid w:val="004D1266"/>
    <w:rsid w:val="004D154D"/>
    <w:rsid w:val="004D19BD"/>
    <w:rsid w:val="004D24C4"/>
    <w:rsid w:val="004D2C35"/>
    <w:rsid w:val="004D2CBF"/>
    <w:rsid w:val="004D2DF7"/>
    <w:rsid w:val="004D3F4A"/>
    <w:rsid w:val="004D4D95"/>
    <w:rsid w:val="004D5C1D"/>
    <w:rsid w:val="004D7145"/>
    <w:rsid w:val="004D79DA"/>
    <w:rsid w:val="004E0174"/>
    <w:rsid w:val="004E17C6"/>
    <w:rsid w:val="004E1EF6"/>
    <w:rsid w:val="004E21C4"/>
    <w:rsid w:val="004E2975"/>
    <w:rsid w:val="004E2EAA"/>
    <w:rsid w:val="004E3157"/>
    <w:rsid w:val="004E3372"/>
    <w:rsid w:val="004E370E"/>
    <w:rsid w:val="004E3E20"/>
    <w:rsid w:val="004E400A"/>
    <w:rsid w:val="004E4A69"/>
    <w:rsid w:val="004E5261"/>
    <w:rsid w:val="004E56DD"/>
    <w:rsid w:val="004E5A9A"/>
    <w:rsid w:val="004E7C9D"/>
    <w:rsid w:val="004E7CAA"/>
    <w:rsid w:val="004E7F40"/>
    <w:rsid w:val="004F02CB"/>
    <w:rsid w:val="004F07BB"/>
    <w:rsid w:val="004F0BD0"/>
    <w:rsid w:val="004F0C3D"/>
    <w:rsid w:val="004F22BB"/>
    <w:rsid w:val="004F2437"/>
    <w:rsid w:val="004F33D7"/>
    <w:rsid w:val="004F386E"/>
    <w:rsid w:val="004F3E86"/>
    <w:rsid w:val="004F3E8C"/>
    <w:rsid w:val="004F3FDB"/>
    <w:rsid w:val="004F436D"/>
    <w:rsid w:val="004F43F8"/>
    <w:rsid w:val="004F5672"/>
    <w:rsid w:val="004F60D6"/>
    <w:rsid w:val="004F61A2"/>
    <w:rsid w:val="004F695C"/>
    <w:rsid w:val="004F6DD5"/>
    <w:rsid w:val="004F72A3"/>
    <w:rsid w:val="004F7CEF"/>
    <w:rsid w:val="00501C4B"/>
    <w:rsid w:val="00502384"/>
    <w:rsid w:val="0050368F"/>
    <w:rsid w:val="005039F6"/>
    <w:rsid w:val="00503D16"/>
    <w:rsid w:val="005045EF"/>
    <w:rsid w:val="005047F0"/>
    <w:rsid w:val="00504BD3"/>
    <w:rsid w:val="0050583C"/>
    <w:rsid w:val="0050675D"/>
    <w:rsid w:val="00506D00"/>
    <w:rsid w:val="00506E4B"/>
    <w:rsid w:val="00507837"/>
    <w:rsid w:val="00507AD5"/>
    <w:rsid w:val="00507CFC"/>
    <w:rsid w:val="00510731"/>
    <w:rsid w:val="00510A28"/>
    <w:rsid w:val="005114F2"/>
    <w:rsid w:val="005118C3"/>
    <w:rsid w:val="00511A05"/>
    <w:rsid w:val="00511D76"/>
    <w:rsid w:val="00511DF4"/>
    <w:rsid w:val="00511FC5"/>
    <w:rsid w:val="005127FC"/>
    <w:rsid w:val="0051399A"/>
    <w:rsid w:val="00513F25"/>
    <w:rsid w:val="00514845"/>
    <w:rsid w:val="00514E5C"/>
    <w:rsid w:val="005154C9"/>
    <w:rsid w:val="00515C84"/>
    <w:rsid w:val="00515DAA"/>
    <w:rsid w:val="00517463"/>
    <w:rsid w:val="005178A9"/>
    <w:rsid w:val="00520D56"/>
    <w:rsid w:val="005227DC"/>
    <w:rsid w:val="00523E76"/>
    <w:rsid w:val="00524140"/>
    <w:rsid w:val="00524D38"/>
    <w:rsid w:val="00524DF1"/>
    <w:rsid w:val="005265A6"/>
    <w:rsid w:val="00526648"/>
    <w:rsid w:val="005268BF"/>
    <w:rsid w:val="00526ABA"/>
    <w:rsid w:val="005276AF"/>
    <w:rsid w:val="005278C6"/>
    <w:rsid w:val="00527F8F"/>
    <w:rsid w:val="00530520"/>
    <w:rsid w:val="00530C71"/>
    <w:rsid w:val="005325B7"/>
    <w:rsid w:val="00532F3F"/>
    <w:rsid w:val="0053368C"/>
    <w:rsid w:val="00533C75"/>
    <w:rsid w:val="0053449E"/>
    <w:rsid w:val="0053519C"/>
    <w:rsid w:val="00535B6B"/>
    <w:rsid w:val="005364FD"/>
    <w:rsid w:val="00537291"/>
    <w:rsid w:val="00537300"/>
    <w:rsid w:val="00541BCA"/>
    <w:rsid w:val="00542560"/>
    <w:rsid w:val="005425F7"/>
    <w:rsid w:val="00542CA0"/>
    <w:rsid w:val="00543545"/>
    <w:rsid w:val="0054372E"/>
    <w:rsid w:val="005437C9"/>
    <w:rsid w:val="00545500"/>
    <w:rsid w:val="0054632B"/>
    <w:rsid w:val="005464B5"/>
    <w:rsid w:val="0054669C"/>
    <w:rsid w:val="00546F31"/>
    <w:rsid w:val="005470FD"/>
    <w:rsid w:val="0054715C"/>
    <w:rsid w:val="00551B51"/>
    <w:rsid w:val="0055261C"/>
    <w:rsid w:val="005526F5"/>
    <w:rsid w:val="00552F0F"/>
    <w:rsid w:val="00553323"/>
    <w:rsid w:val="0055427F"/>
    <w:rsid w:val="005547CF"/>
    <w:rsid w:val="005547F9"/>
    <w:rsid w:val="00554BF9"/>
    <w:rsid w:val="005551AD"/>
    <w:rsid w:val="00555C53"/>
    <w:rsid w:val="0055624D"/>
    <w:rsid w:val="00556CF3"/>
    <w:rsid w:val="00557809"/>
    <w:rsid w:val="00557B32"/>
    <w:rsid w:val="005603F4"/>
    <w:rsid w:val="0056092C"/>
    <w:rsid w:val="00560DEC"/>
    <w:rsid w:val="005627DD"/>
    <w:rsid w:val="00562CB4"/>
    <w:rsid w:val="00562D5B"/>
    <w:rsid w:val="00562D8C"/>
    <w:rsid w:val="00564F82"/>
    <w:rsid w:val="00564F8C"/>
    <w:rsid w:val="00565290"/>
    <w:rsid w:val="00565792"/>
    <w:rsid w:val="005664BC"/>
    <w:rsid w:val="0056676E"/>
    <w:rsid w:val="00566835"/>
    <w:rsid w:val="00566C28"/>
    <w:rsid w:val="00566C95"/>
    <w:rsid w:val="00567233"/>
    <w:rsid w:val="00567328"/>
    <w:rsid w:val="005679D2"/>
    <w:rsid w:val="00567FB2"/>
    <w:rsid w:val="00570601"/>
    <w:rsid w:val="00570F1E"/>
    <w:rsid w:val="00571CE6"/>
    <w:rsid w:val="005720F1"/>
    <w:rsid w:val="00573331"/>
    <w:rsid w:val="00573DB0"/>
    <w:rsid w:val="0057493B"/>
    <w:rsid w:val="0057565D"/>
    <w:rsid w:val="00575B11"/>
    <w:rsid w:val="00576316"/>
    <w:rsid w:val="00576AD7"/>
    <w:rsid w:val="00577013"/>
    <w:rsid w:val="00577BD0"/>
    <w:rsid w:val="00580B17"/>
    <w:rsid w:val="005814BB"/>
    <w:rsid w:val="00581522"/>
    <w:rsid w:val="005822E0"/>
    <w:rsid w:val="005826D2"/>
    <w:rsid w:val="00582DD9"/>
    <w:rsid w:val="00583085"/>
    <w:rsid w:val="005835B2"/>
    <w:rsid w:val="005836B6"/>
    <w:rsid w:val="005841BA"/>
    <w:rsid w:val="00584223"/>
    <w:rsid w:val="00584F90"/>
    <w:rsid w:val="005860B6"/>
    <w:rsid w:val="005866E9"/>
    <w:rsid w:val="005867A8"/>
    <w:rsid w:val="00586B7A"/>
    <w:rsid w:val="00587294"/>
    <w:rsid w:val="00590332"/>
    <w:rsid w:val="00590E9E"/>
    <w:rsid w:val="00590EFA"/>
    <w:rsid w:val="00591FA8"/>
    <w:rsid w:val="00592DFB"/>
    <w:rsid w:val="00593157"/>
    <w:rsid w:val="00594610"/>
    <w:rsid w:val="0059463A"/>
    <w:rsid w:val="00594EBE"/>
    <w:rsid w:val="00595426"/>
    <w:rsid w:val="005954FD"/>
    <w:rsid w:val="005957D0"/>
    <w:rsid w:val="00595B11"/>
    <w:rsid w:val="00595D3B"/>
    <w:rsid w:val="00595F71"/>
    <w:rsid w:val="00596486"/>
    <w:rsid w:val="00596EBF"/>
    <w:rsid w:val="00597227"/>
    <w:rsid w:val="00597575"/>
    <w:rsid w:val="00597751"/>
    <w:rsid w:val="005A0C20"/>
    <w:rsid w:val="005A1956"/>
    <w:rsid w:val="005A244C"/>
    <w:rsid w:val="005A2AD4"/>
    <w:rsid w:val="005A3C93"/>
    <w:rsid w:val="005A4BC1"/>
    <w:rsid w:val="005A4D03"/>
    <w:rsid w:val="005A56A8"/>
    <w:rsid w:val="005A58C3"/>
    <w:rsid w:val="005A5AEF"/>
    <w:rsid w:val="005A64C6"/>
    <w:rsid w:val="005A6648"/>
    <w:rsid w:val="005A72BA"/>
    <w:rsid w:val="005A7950"/>
    <w:rsid w:val="005A7C95"/>
    <w:rsid w:val="005B121E"/>
    <w:rsid w:val="005B20FF"/>
    <w:rsid w:val="005B26F8"/>
    <w:rsid w:val="005B292E"/>
    <w:rsid w:val="005B3007"/>
    <w:rsid w:val="005B3F50"/>
    <w:rsid w:val="005B40B5"/>
    <w:rsid w:val="005B41C5"/>
    <w:rsid w:val="005B447A"/>
    <w:rsid w:val="005B52F9"/>
    <w:rsid w:val="005B5956"/>
    <w:rsid w:val="005B5C4B"/>
    <w:rsid w:val="005B684A"/>
    <w:rsid w:val="005B700A"/>
    <w:rsid w:val="005B7175"/>
    <w:rsid w:val="005B7392"/>
    <w:rsid w:val="005B7C12"/>
    <w:rsid w:val="005B7E6A"/>
    <w:rsid w:val="005C3286"/>
    <w:rsid w:val="005C3CCA"/>
    <w:rsid w:val="005C4ABB"/>
    <w:rsid w:val="005C51CA"/>
    <w:rsid w:val="005C528F"/>
    <w:rsid w:val="005C653F"/>
    <w:rsid w:val="005C6F64"/>
    <w:rsid w:val="005C753D"/>
    <w:rsid w:val="005D0195"/>
    <w:rsid w:val="005D0594"/>
    <w:rsid w:val="005D0628"/>
    <w:rsid w:val="005D0F15"/>
    <w:rsid w:val="005D104A"/>
    <w:rsid w:val="005D15B5"/>
    <w:rsid w:val="005D1B7C"/>
    <w:rsid w:val="005D20EF"/>
    <w:rsid w:val="005D2DA5"/>
    <w:rsid w:val="005D31FB"/>
    <w:rsid w:val="005D4140"/>
    <w:rsid w:val="005D44B8"/>
    <w:rsid w:val="005D62C5"/>
    <w:rsid w:val="005D6733"/>
    <w:rsid w:val="005D6A05"/>
    <w:rsid w:val="005D7CC7"/>
    <w:rsid w:val="005E0420"/>
    <w:rsid w:val="005E1486"/>
    <w:rsid w:val="005E1DEC"/>
    <w:rsid w:val="005E262E"/>
    <w:rsid w:val="005E2E4C"/>
    <w:rsid w:val="005E3309"/>
    <w:rsid w:val="005E477B"/>
    <w:rsid w:val="005E5592"/>
    <w:rsid w:val="005E58F7"/>
    <w:rsid w:val="005E6681"/>
    <w:rsid w:val="005E7A0C"/>
    <w:rsid w:val="005F07FD"/>
    <w:rsid w:val="005F0B33"/>
    <w:rsid w:val="005F0E06"/>
    <w:rsid w:val="005F11F3"/>
    <w:rsid w:val="005F2294"/>
    <w:rsid w:val="005F2F5A"/>
    <w:rsid w:val="005F420D"/>
    <w:rsid w:val="005F42FC"/>
    <w:rsid w:val="005F4369"/>
    <w:rsid w:val="005F6E9D"/>
    <w:rsid w:val="00600064"/>
    <w:rsid w:val="006008EF"/>
    <w:rsid w:val="006009CF"/>
    <w:rsid w:val="00600EC5"/>
    <w:rsid w:val="00600F30"/>
    <w:rsid w:val="006011D1"/>
    <w:rsid w:val="00601EB6"/>
    <w:rsid w:val="00602B9B"/>
    <w:rsid w:val="00603EC5"/>
    <w:rsid w:val="006043F0"/>
    <w:rsid w:val="00605490"/>
    <w:rsid w:val="00605C65"/>
    <w:rsid w:val="00605E7C"/>
    <w:rsid w:val="006061EC"/>
    <w:rsid w:val="006067A7"/>
    <w:rsid w:val="00606B77"/>
    <w:rsid w:val="00606C89"/>
    <w:rsid w:val="00607ADA"/>
    <w:rsid w:val="00612436"/>
    <w:rsid w:val="00612B78"/>
    <w:rsid w:val="00612C93"/>
    <w:rsid w:val="00613562"/>
    <w:rsid w:val="00613ACC"/>
    <w:rsid w:val="00613FB8"/>
    <w:rsid w:val="00614046"/>
    <w:rsid w:val="00614925"/>
    <w:rsid w:val="00616064"/>
    <w:rsid w:val="00616065"/>
    <w:rsid w:val="006161AE"/>
    <w:rsid w:val="006161C1"/>
    <w:rsid w:val="00616FB4"/>
    <w:rsid w:val="006176FD"/>
    <w:rsid w:val="00620F95"/>
    <w:rsid w:val="006212C4"/>
    <w:rsid w:val="00621BB3"/>
    <w:rsid w:val="00621D04"/>
    <w:rsid w:val="0062248E"/>
    <w:rsid w:val="006226A4"/>
    <w:rsid w:val="00622D1E"/>
    <w:rsid w:val="0062432E"/>
    <w:rsid w:val="00624695"/>
    <w:rsid w:val="00624A8A"/>
    <w:rsid w:val="00625277"/>
    <w:rsid w:val="0062571C"/>
    <w:rsid w:val="006261E5"/>
    <w:rsid w:val="00626CF8"/>
    <w:rsid w:val="0062754D"/>
    <w:rsid w:val="0062790C"/>
    <w:rsid w:val="00627D4A"/>
    <w:rsid w:val="00627DFC"/>
    <w:rsid w:val="0063013C"/>
    <w:rsid w:val="006301CA"/>
    <w:rsid w:val="006308A7"/>
    <w:rsid w:val="00630A9C"/>
    <w:rsid w:val="006311F1"/>
    <w:rsid w:val="00631471"/>
    <w:rsid w:val="0063147E"/>
    <w:rsid w:val="00633F14"/>
    <w:rsid w:val="006341B1"/>
    <w:rsid w:val="0063464D"/>
    <w:rsid w:val="00634B19"/>
    <w:rsid w:val="006357C1"/>
    <w:rsid w:val="00636C52"/>
    <w:rsid w:val="006376DE"/>
    <w:rsid w:val="00637E84"/>
    <w:rsid w:val="00641109"/>
    <w:rsid w:val="00641E28"/>
    <w:rsid w:val="00641F93"/>
    <w:rsid w:val="00642B42"/>
    <w:rsid w:val="00643524"/>
    <w:rsid w:val="006441B6"/>
    <w:rsid w:val="006446B9"/>
    <w:rsid w:val="006457B1"/>
    <w:rsid w:val="006459E1"/>
    <w:rsid w:val="00645FD9"/>
    <w:rsid w:val="006467A8"/>
    <w:rsid w:val="00650493"/>
    <w:rsid w:val="00650DC1"/>
    <w:rsid w:val="00651428"/>
    <w:rsid w:val="0065288E"/>
    <w:rsid w:val="00653A0B"/>
    <w:rsid w:val="00654027"/>
    <w:rsid w:val="00655606"/>
    <w:rsid w:val="006557E7"/>
    <w:rsid w:val="00655A4C"/>
    <w:rsid w:val="006562A0"/>
    <w:rsid w:val="00656C5F"/>
    <w:rsid w:val="00657996"/>
    <w:rsid w:val="00657D44"/>
    <w:rsid w:val="00657F49"/>
    <w:rsid w:val="0066044B"/>
    <w:rsid w:val="006604BE"/>
    <w:rsid w:val="00661008"/>
    <w:rsid w:val="00661185"/>
    <w:rsid w:val="00663B43"/>
    <w:rsid w:val="006655BA"/>
    <w:rsid w:val="00666676"/>
    <w:rsid w:val="0066753F"/>
    <w:rsid w:val="00667E6F"/>
    <w:rsid w:val="006700B3"/>
    <w:rsid w:val="006706B8"/>
    <w:rsid w:val="00670C52"/>
    <w:rsid w:val="00670CEF"/>
    <w:rsid w:val="00671150"/>
    <w:rsid w:val="00671757"/>
    <w:rsid w:val="00672381"/>
    <w:rsid w:val="00672604"/>
    <w:rsid w:val="006726E1"/>
    <w:rsid w:val="00672BAE"/>
    <w:rsid w:val="0067476B"/>
    <w:rsid w:val="00674E42"/>
    <w:rsid w:val="00674E60"/>
    <w:rsid w:val="00675164"/>
    <w:rsid w:val="0067593F"/>
    <w:rsid w:val="00675C41"/>
    <w:rsid w:val="00675E29"/>
    <w:rsid w:val="006779AA"/>
    <w:rsid w:val="00677B68"/>
    <w:rsid w:val="006809E9"/>
    <w:rsid w:val="00680A20"/>
    <w:rsid w:val="00680F25"/>
    <w:rsid w:val="00680FAA"/>
    <w:rsid w:val="0068244B"/>
    <w:rsid w:val="0068251B"/>
    <w:rsid w:val="0068347C"/>
    <w:rsid w:val="006835D2"/>
    <w:rsid w:val="00684780"/>
    <w:rsid w:val="00684D94"/>
    <w:rsid w:val="00685591"/>
    <w:rsid w:val="00685B42"/>
    <w:rsid w:val="00686473"/>
    <w:rsid w:val="006868AD"/>
    <w:rsid w:val="00686B5A"/>
    <w:rsid w:val="00686DB9"/>
    <w:rsid w:val="006876BF"/>
    <w:rsid w:val="00687767"/>
    <w:rsid w:val="00687BD7"/>
    <w:rsid w:val="006904BC"/>
    <w:rsid w:val="00690BBD"/>
    <w:rsid w:val="0069113F"/>
    <w:rsid w:val="006914A5"/>
    <w:rsid w:val="006917B8"/>
    <w:rsid w:val="00691E10"/>
    <w:rsid w:val="0069255E"/>
    <w:rsid w:val="00692590"/>
    <w:rsid w:val="0069374B"/>
    <w:rsid w:val="00695097"/>
    <w:rsid w:val="006951E6"/>
    <w:rsid w:val="006967E6"/>
    <w:rsid w:val="00696906"/>
    <w:rsid w:val="006969E6"/>
    <w:rsid w:val="00696AE4"/>
    <w:rsid w:val="00696B13"/>
    <w:rsid w:val="006A003A"/>
    <w:rsid w:val="006A1AEC"/>
    <w:rsid w:val="006A62F2"/>
    <w:rsid w:val="006A69E4"/>
    <w:rsid w:val="006A6E73"/>
    <w:rsid w:val="006A6EC7"/>
    <w:rsid w:val="006B02F3"/>
    <w:rsid w:val="006B05B0"/>
    <w:rsid w:val="006B34D2"/>
    <w:rsid w:val="006B4F87"/>
    <w:rsid w:val="006B529D"/>
    <w:rsid w:val="006B552E"/>
    <w:rsid w:val="006B5DF8"/>
    <w:rsid w:val="006B6305"/>
    <w:rsid w:val="006B6A7D"/>
    <w:rsid w:val="006B6C78"/>
    <w:rsid w:val="006B76A6"/>
    <w:rsid w:val="006B7904"/>
    <w:rsid w:val="006C166D"/>
    <w:rsid w:val="006C1A56"/>
    <w:rsid w:val="006C287D"/>
    <w:rsid w:val="006C368E"/>
    <w:rsid w:val="006C47AA"/>
    <w:rsid w:val="006C54D9"/>
    <w:rsid w:val="006C7A98"/>
    <w:rsid w:val="006D0171"/>
    <w:rsid w:val="006D07B5"/>
    <w:rsid w:val="006D1263"/>
    <w:rsid w:val="006D128D"/>
    <w:rsid w:val="006D15CA"/>
    <w:rsid w:val="006D184D"/>
    <w:rsid w:val="006D262F"/>
    <w:rsid w:val="006D2DD3"/>
    <w:rsid w:val="006D3AF5"/>
    <w:rsid w:val="006D4EEF"/>
    <w:rsid w:val="006D5075"/>
    <w:rsid w:val="006D5623"/>
    <w:rsid w:val="006D57A8"/>
    <w:rsid w:val="006D5CC9"/>
    <w:rsid w:val="006D6559"/>
    <w:rsid w:val="006D69FC"/>
    <w:rsid w:val="006D7123"/>
    <w:rsid w:val="006E04EB"/>
    <w:rsid w:val="006E082A"/>
    <w:rsid w:val="006E1120"/>
    <w:rsid w:val="006E119C"/>
    <w:rsid w:val="006E1FFC"/>
    <w:rsid w:val="006E2D9E"/>
    <w:rsid w:val="006E3233"/>
    <w:rsid w:val="006E375D"/>
    <w:rsid w:val="006E3837"/>
    <w:rsid w:val="006E39B7"/>
    <w:rsid w:val="006E421B"/>
    <w:rsid w:val="006E5170"/>
    <w:rsid w:val="006E5AD7"/>
    <w:rsid w:val="006E6859"/>
    <w:rsid w:val="006E6899"/>
    <w:rsid w:val="006E7160"/>
    <w:rsid w:val="006E785C"/>
    <w:rsid w:val="006E7D04"/>
    <w:rsid w:val="006F15DB"/>
    <w:rsid w:val="006F2096"/>
    <w:rsid w:val="006F265E"/>
    <w:rsid w:val="006F2A13"/>
    <w:rsid w:val="006F2FF0"/>
    <w:rsid w:val="006F3DD3"/>
    <w:rsid w:val="006F40E9"/>
    <w:rsid w:val="006F41D1"/>
    <w:rsid w:val="006F441F"/>
    <w:rsid w:val="006F47D3"/>
    <w:rsid w:val="006F4F4F"/>
    <w:rsid w:val="006F4FB0"/>
    <w:rsid w:val="006F57B3"/>
    <w:rsid w:val="006F5982"/>
    <w:rsid w:val="006F68AB"/>
    <w:rsid w:val="006F6B04"/>
    <w:rsid w:val="006F6F5F"/>
    <w:rsid w:val="006F7388"/>
    <w:rsid w:val="006F771F"/>
    <w:rsid w:val="007001DA"/>
    <w:rsid w:val="0070031C"/>
    <w:rsid w:val="00700879"/>
    <w:rsid w:val="00701C93"/>
    <w:rsid w:val="007033A1"/>
    <w:rsid w:val="007033C1"/>
    <w:rsid w:val="00703454"/>
    <w:rsid w:val="00703AA3"/>
    <w:rsid w:val="00703ABD"/>
    <w:rsid w:val="0070413E"/>
    <w:rsid w:val="00704280"/>
    <w:rsid w:val="0070460D"/>
    <w:rsid w:val="007060FF"/>
    <w:rsid w:val="00706671"/>
    <w:rsid w:val="00707573"/>
    <w:rsid w:val="00707B4C"/>
    <w:rsid w:val="00710895"/>
    <w:rsid w:val="007112E0"/>
    <w:rsid w:val="00711E63"/>
    <w:rsid w:val="00712749"/>
    <w:rsid w:val="00712BCA"/>
    <w:rsid w:val="0071311F"/>
    <w:rsid w:val="0071319F"/>
    <w:rsid w:val="00713938"/>
    <w:rsid w:val="007140FB"/>
    <w:rsid w:val="007144E1"/>
    <w:rsid w:val="007155BC"/>
    <w:rsid w:val="00715701"/>
    <w:rsid w:val="007158E3"/>
    <w:rsid w:val="00715D2F"/>
    <w:rsid w:val="007164CB"/>
    <w:rsid w:val="00716678"/>
    <w:rsid w:val="00716772"/>
    <w:rsid w:val="007169D0"/>
    <w:rsid w:val="00716A8C"/>
    <w:rsid w:val="00716D65"/>
    <w:rsid w:val="00717141"/>
    <w:rsid w:val="007178B4"/>
    <w:rsid w:val="00717A9A"/>
    <w:rsid w:val="00717EC2"/>
    <w:rsid w:val="00720D32"/>
    <w:rsid w:val="00721274"/>
    <w:rsid w:val="0072186D"/>
    <w:rsid w:val="00721FE1"/>
    <w:rsid w:val="007221C7"/>
    <w:rsid w:val="00722504"/>
    <w:rsid w:val="00723104"/>
    <w:rsid w:val="00723195"/>
    <w:rsid w:val="007238ED"/>
    <w:rsid w:val="00723C56"/>
    <w:rsid w:val="0072418A"/>
    <w:rsid w:val="007243C9"/>
    <w:rsid w:val="00724B6C"/>
    <w:rsid w:val="00724C21"/>
    <w:rsid w:val="00725789"/>
    <w:rsid w:val="00725F83"/>
    <w:rsid w:val="00726E24"/>
    <w:rsid w:val="007272BC"/>
    <w:rsid w:val="007274FA"/>
    <w:rsid w:val="0073074D"/>
    <w:rsid w:val="00730B0F"/>
    <w:rsid w:val="00730D28"/>
    <w:rsid w:val="007315DB"/>
    <w:rsid w:val="007319DB"/>
    <w:rsid w:val="00731A95"/>
    <w:rsid w:val="00732488"/>
    <w:rsid w:val="0073315D"/>
    <w:rsid w:val="007339EE"/>
    <w:rsid w:val="007339F2"/>
    <w:rsid w:val="00733A84"/>
    <w:rsid w:val="00733BAB"/>
    <w:rsid w:val="00733D02"/>
    <w:rsid w:val="007342B0"/>
    <w:rsid w:val="00734E03"/>
    <w:rsid w:val="00735A10"/>
    <w:rsid w:val="00735FC4"/>
    <w:rsid w:val="00740F4D"/>
    <w:rsid w:val="00741381"/>
    <w:rsid w:val="007417D5"/>
    <w:rsid w:val="00741DAE"/>
    <w:rsid w:val="00742181"/>
    <w:rsid w:val="007421B4"/>
    <w:rsid w:val="00742D0F"/>
    <w:rsid w:val="00742FF3"/>
    <w:rsid w:val="0074365C"/>
    <w:rsid w:val="00743926"/>
    <w:rsid w:val="007439D2"/>
    <w:rsid w:val="00743DB0"/>
    <w:rsid w:val="00744678"/>
    <w:rsid w:val="00744873"/>
    <w:rsid w:val="00745D65"/>
    <w:rsid w:val="0074603A"/>
    <w:rsid w:val="00746372"/>
    <w:rsid w:val="007466CD"/>
    <w:rsid w:val="00746F95"/>
    <w:rsid w:val="0074722F"/>
    <w:rsid w:val="00752324"/>
    <w:rsid w:val="007529C4"/>
    <w:rsid w:val="007530D9"/>
    <w:rsid w:val="00753C41"/>
    <w:rsid w:val="00754398"/>
    <w:rsid w:val="0075454B"/>
    <w:rsid w:val="0075466B"/>
    <w:rsid w:val="00754B71"/>
    <w:rsid w:val="00754D7E"/>
    <w:rsid w:val="00755118"/>
    <w:rsid w:val="00755673"/>
    <w:rsid w:val="00755A5E"/>
    <w:rsid w:val="00755B97"/>
    <w:rsid w:val="00756FF6"/>
    <w:rsid w:val="00757AAF"/>
    <w:rsid w:val="007606BB"/>
    <w:rsid w:val="00760B6E"/>
    <w:rsid w:val="00761805"/>
    <w:rsid w:val="00762534"/>
    <w:rsid w:val="0076282E"/>
    <w:rsid w:val="00762CC0"/>
    <w:rsid w:val="00763BA9"/>
    <w:rsid w:val="00763C8E"/>
    <w:rsid w:val="00763C99"/>
    <w:rsid w:val="007646CB"/>
    <w:rsid w:val="007661EC"/>
    <w:rsid w:val="00766388"/>
    <w:rsid w:val="00767129"/>
    <w:rsid w:val="007671BB"/>
    <w:rsid w:val="00767383"/>
    <w:rsid w:val="00767DED"/>
    <w:rsid w:val="0077011A"/>
    <w:rsid w:val="00770689"/>
    <w:rsid w:val="00770F6B"/>
    <w:rsid w:val="0077197F"/>
    <w:rsid w:val="00771CEE"/>
    <w:rsid w:val="00772119"/>
    <w:rsid w:val="0077267D"/>
    <w:rsid w:val="00772930"/>
    <w:rsid w:val="00773035"/>
    <w:rsid w:val="0077313A"/>
    <w:rsid w:val="007759BB"/>
    <w:rsid w:val="007774E6"/>
    <w:rsid w:val="0078005D"/>
    <w:rsid w:val="00780C38"/>
    <w:rsid w:val="00780C78"/>
    <w:rsid w:val="00780EFE"/>
    <w:rsid w:val="007816DC"/>
    <w:rsid w:val="00781EC1"/>
    <w:rsid w:val="0078245D"/>
    <w:rsid w:val="00782DB9"/>
    <w:rsid w:val="00783FC8"/>
    <w:rsid w:val="0078404B"/>
    <w:rsid w:val="0078467F"/>
    <w:rsid w:val="00785156"/>
    <w:rsid w:val="00785518"/>
    <w:rsid w:val="00785BF0"/>
    <w:rsid w:val="00785BFC"/>
    <w:rsid w:val="00786583"/>
    <w:rsid w:val="007875E6"/>
    <w:rsid w:val="00787684"/>
    <w:rsid w:val="00787D4F"/>
    <w:rsid w:val="00790CF0"/>
    <w:rsid w:val="00791D63"/>
    <w:rsid w:val="00791FC7"/>
    <w:rsid w:val="00792824"/>
    <w:rsid w:val="007929E2"/>
    <w:rsid w:val="0079312D"/>
    <w:rsid w:val="00793153"/>
    <w:rsid w:val="00793A0D"/>
    <w:rsid w:val="00794041"/>
    <w:rsid w:val="00794331"/>
    <w:rsid w:val="0079473D"/>
    <w:rsid w:val="0079556C"/>
    <w:rsid w:val="00796043"/>
    <w:rsid w:val="00796625"/>
    <w:rsid w:val="007969FF"/>
    <w:rsid w:val="00796B27"/>
    <w:rsid w:val="007A00B2"/>
    <w:rsid w:val="007A0553"/>
    <w:rsid w:val="007A0E49"/>
    <w:rsid w:val="007A157B"/>
    <w:rsid w:val="007A1AF5"/>
    <w:rsid w:val="007A1D3A"/>
    <w:rsid w:val="007A2815"/>
    <w:rsid w:val="007A2889"/>
    <w:rsid w:val="007A495C"/>
    <w:rsid w:val="007A4E02"/>
    <w:rsid w:val="007A6E2F"/>
    <w:rsid w:val="007B062C"/>
    <w:rsid w:val="007B086B"/>
    <w:rsid w:val="007B1057"/>
    <w:rsid w:val="007B2D1D"/>
    <w:rsid w:val="007B3113"/>
    <w:rsid w:val="007B3474"/>
    <w:rsid w:val="007B413A"/>
    <w:rsid w:val="007B41F7"/>
    <w:rsid w:val="007B4CBA"/>
    <w:rsid w:val="007B5D06"/>
    <w:rsid w:val="007B7807"/>
    <w:rsid w:val="007C1754"/>
    <w:rsid w:val="007C1EF9"/>
    <w:rsid w:val="007C23B8"/>
    <w:rsid w:val="007C29E7"/>
    <w:rsid w:val="007C356F"/>
    <w:rsid w:val="007C40EF"/>
    <w:rsid w:val="007C4521"/>
    <w:rsid w:val="007C4BF3"/>
    <w:rsid w:val="007C5045"/>
    <w:rsid w:val="007C5439"/>
    <w:rsid w:val="007C5654"/>
    <w:rsid w:val="007C5C14"/>
    <w:rsid w:val="007C60C7"/>
    <w:rsid w:val="007C71DF"/>
    <w:rsid w:val="007C7C59"/>
    <w:rsid w:val="007C7FAB"/>
    <w:rsid w:val="007D004C"/>
    <w:rsid w:val="007D0472"/>
    <w:rsid w:val="007D0F3E"/>
    <w:rsid w:val="007D12C5"/>
    <w:rsid w:val="007D1BE1"/>
    <w:rsid w:val="007D3143"/>
    <w:rsid w:val="007D3C8C"/>
    <w:rsid w:val="007D3FC9"/>
    <w:rsid w:val="007D40E2"/>
    <w:rsid w:val="007D49B0"/>
    <w:rsid w:val="007D49E3"/>
    <w:rsid w:val="007D50B6"/>
    <w:rsid w:val="007D5C73"/>
    <w:rsid w:val="007D65C3"/>
    <w:rsid w:val="007D7152"/>
    <w:rsid w:val="007D77F9"/>
    <w:rsid w:val="007D7B6F"/>
    <w:rsid w:val="007D7CE7"/>
    <w:rsid w:val="007E10EA"/>
    <w:rsid w:val="007E1106"/>
    <w:rsid w:val="007E1E7A"/>
    <w:rsid w:val="007E39FF"/>
    <w:rsid w:val="007E45CB"/>
    <w:rsid w:val="007E48B4"/>
    <w:rsid w:val="007E6520"/>
    <w:rsid w:val="007E77E4"/>
    <w:rsid w:val="007E78D6"/>
    <w:rsid w:val="007E7E4C"/>
    <w:rsid w:val="007F00EF"/>
    <w:rsid w:val="007F11B1"/>
    <w:rsid w:val="007F150B"/>
    <w:rsid w:val="007F179B"/>
    <w:rsid w:val="007F1AEA"/>
    <w:rsid w:val="007F1F02"/>
    <w:rsid w:val="007F227E"/>
    <w:rsid w:val="007F261F"/>
    <w:rsid w:val="007F2C40"/>
    <w:rsid w:val="007F4338"/>
    <w:rsid w:val="007F53E6"/>
    <w:rsid w:val="007F57C1"/>
    <w:rsid w:val="007F6BF4"/>
    <w:rsid w:val="007F6FF1"/>
    <w:rsid w:val="007F7E04"/>
    <w:rsid w:val="0080091B"/>
    <w:rsid w:val="008012CB"/>
    <w:rsid w:val="00801CD8"/>
    <w:rsid w:val="00801D01"/>
    <w:rsid w:val="008023C5"/>
    <w:rsid w:val="00802887"/>
    <w:rsid w:val="00802A06"/>
    <w:rsid w:val="0080307C"/>
    <w:rsid w:val="00803376"/>
    <w:rsid w:val="00803724"/>
    <w:rsid w:val="00803A60"/>
    <w:rsid w:val="00803FF5"/>
    <w:rsid w:val="0080485D"/>
    <w:rsid w:val="0080490E"/>
    <w:rsid w:val="00804CA6"/>
    <w:rsid w:val="00805345"/>
    <w:rsid w:val="00805D01"/>
    <w:rsid w:val="0080613C"/>
    <w:rsid w:val="00807062"/>
    <w:rsid w:val="00807B12"/>
    <w:rsid w:val="00807BEE"/>
    <w:rsid w:val="00807C2B"/>
    <w:rsid w:val="00810908"/>
    <w:rsid w:val="008134E3"/>
    <w:rsid w:val="0081404E"/>
    <w:rsid w:val="0081482E"/>
    <w:rsid w:val="008154C0"/>
    <w:rsid w:val="00815F86"/>
    <w:rsid w:val="0081673E"/>
    <w:rsid w:val="008205D3"/>
    <w:rsid w:val="00820DC5"/>
    <w:rsid w:val="0082320D"/>
    <w:rsid w:val="00823DFE"/>
    <w:rsid w:val="00824556"/>
    <w:rsid w:val="00824CA1"/>
    <w:rsid w:val="00824D43"/>
    <w:rsid w:val="00824E21"/>
    <w:rsid w:val="00825159"/>
    <w:rsid w:val="00825D82"/>
    <w:rsid w:val="008261A5"/>
    <w:rsid w:val="00827325"/>
    <w:rsid w:val="00827C5C"/>
    <w:rsid w:val="0083017F"/>
    <w:rsid w:val="00831369"/>
    <w:rsid w:val="00831804"/>
    <w:rsid w:val="008319A8"/>
    <w:rsid w:val="00831AF5"/>
    <w:rsid w:val="00831BBC"/>
    <w:rsid w:val="008323AE"/>
    <w:rsid w:val="00832A87"/>
    <w:rsid w:val="00832D96"/>
    <w:rsid w:val="00833B49"/>
    <w:rsid w:val="00833BBA"/>
    <w:rsid w:val="00833EB3"/>
    <w:rsid w:val="00834DE1"/>
    <w:rsid w:val="00835C80"/>
    <w:rsid w:val="0083785E"/>
    <w:rsid w:val="00837E92"/>
    <w:rsid w:val="00840611"/>
    <w:rsid w:val="00840D76"/>
    <w:rsid w:val="0084320E"/>
    <w:rsid w:val="00843359"/>
    <w:rsid w:val="008434D6"/>
    <w:rsid w:val="00843672"/>
    <w:rsid w:val="008453F5"/>
    <w:rsid w:val="00845A8D"/>
    <w:rsid w:val="00846E8A"/>
    <w:rsid w:val="00847006"/>
    <w:rsid w:val="0084777C"/>
    <w:rsid w:val="00847899"/>
    <w:rsid w:val="008478D1"/>
    <w:rsid w:val="00850D9D"/>
    <w:rsid w:val="008516D3"/>
    <w:rsid w:val="00853EBA"/>
    <w:rsid w:val="008540E4"/>
    <w:rsid w:val="008553D0"/>
    <w:rsid w:val="008556B3"/>
    <w:rsid w:val="00855E5E"/>
    <w:rsid w:val="0086064C"/>
    <w:rsid w:val="0086073D"/>
    <w:rsid w:val="0086117F"/>
    <w:rsid w:val="008612B8"/>
    <w:rsid w:val="00861412"/>
    <w:rsid w:val="00861A47"/>
    <w:rsid w:val="008620B2"/>
    <w:rsid w:val="0086213F"/>
    <w:rsid w:val="00863CB6"/>
    <w:rsid w:val="00864988"/>
    <w:rsid w:val="008649C8"/>
    <w:rsid w:val="00864E85"/>
    <w:rsid w:val="008656C4"/>
    <w:rsid w:val="00865EB4"/>
    <w:rsid w:val="00866B50"/>
    <w:rsid w:val="00867A97"/>
    <w:rsid w:val="00867EAE"/>
    <w:rsid w:val="00872F36"/>
    <w:rsid w:val="00873929"/>
    <w:rsid w:val="0087502F"/>
    <w:rsid w:val="0087514D"/>
    <w:rsid w:val="00875513"/>
    <w:rsid w:val="00877128"/>
    <w:rsid w:val="008771D2"/>
    <w:rsid w:val="008808AB"/>
    <w:rsid w:val="00881B88"/>
    <w:rsid w:val="00881DCA"/>
    <w:rsid w:val="00882546"/>
    <w:rsid w:val="0088257B"/>
    <w:rsid w:val="00882925"/>
    <w:rsid w:val="008839AE"/>
    <w:rsid w:val="00883CD0"/>
    <w:rsid w:val="00884631"/>
    <w:rsid w:val="00885325"/>
    <w:rsid w:val="00885575"/>
    <w:rsid w:val="00885AB6"/>
    <w:rsid w:val="0088603D"/>
    <w:rsid w:val="008879A0"/>
    <w:rsid w:val="00887D37"/>
    <w:rsid w:val="008900FD"/>
    <w:rsid w:val="0089083A"/>
    <w:rsid w:val="0089171E"/>
    <w:rsid w:val="008917A1"/>
    <w:rsid w:val="00892E7C"/>
    <w:rsid w:val="00893A3D"/>
    <w:rsid w:val="00893B67"/>
    <w:rsid w:val="00895A17"/>
    <w:rsid w:val="00895C29"/>
    <w:rsid w:val="00896233"/>
    <w:rsid w:val="008963FD"/>
    <w:rsid w:val="00897013"/>
    <w:rsid w:val="00897407"/>
    <w:rsid w:val="008A0778"/>
    <w:rsid w:val="008A0864"/>
    <w:rsid w:val="008A1FB7"/>
    <w:rsid w:val="008A1FE2"/>
    <w:rsid w:val="008A2484"/>
    <w:rsid w:val="008A2805"/>
    <w:rsid w:val="008A288F"/>
    <w:rsid w:val="008A2B69"/>
    <w:rsid w:val="008A3FC0"/>
    <w:rsid w:val="008A4517"/>
    <w:rsid w:val="008A4596"/>
    <w:rsid w:val="008A5E13"/>
    <w:rsid w:val="008A6778"/>
    <w:rsid w:val="008A7352"/>
    <w:rsid w:val="008A77F9"/>
    <w:rsid w:val="008B0307"/>
    <w:rsid w:val="008B0955"/>
    <w:rsid w:val="008B09FC"/>
    <w:rsid w:val="008B0B61"/>
    <w:rsid w:val="008B0D27"/>
    <w:rsid w:val="008B11E4"/>
    <w:rsid w:val="008B1741"/>
    <w:rsid w:val="008B1A34"/>
    <w:rsid w:val="008B2DB0"/>
    <w:rsid w:val="008B2F82"/>
    <w:rsid w:val="008B3530"/>
    <w:rsid w:val="008B3D1B"/>
    <w:rsid w:val="008B4988"/>
    <w:rsid w:val="008B4B32"/>
    <w:rsid w:val="008B6CE1"/>
    <w:rsid w:val="008B70E5"/>
    <w:rsid w:val="008B75E4"/>
    <w:rsid w:val="008C0A1A"/>
    <w:rsid w:val="008C17B1"/>
    <w:rsid w:val="008C1CA6"/>
    <w:rsid w:val="008C255D"/>
    <w:rsid w:val="008C2A25"/>
    <w:rsid w:val="008C2CF7"/>
    <w:rsid w:val="008C340A"/>
    <w:rsid w:val="008C3538"/>
    <w:rsid w:val="008C4683"/>
    <w:rsid w:val="008C538B"/>
    <w:rsid w:val="008C5D22"/>
    <w:rsid w:val="008C6DA7"/>
    <w:rsid w:val="008C72FC"/>
    <w:rsid w:val="008D0370"/>
    <w:rsid w:val="008D0AEB"/>
    <w:rsid w:val="008D15CB"/>
    <w:rsid w:val="008D1798"/>
    <w:rsid w:val="008D270A"/>
    <w:rsid w:val="008D295A"/>
    <w:rsid w:val="008D414F"/>
    <w:rsid w:val="008D45D2"/>
    <w:rsid w:val="008D5501"/>
    <w:rsid w:val="008D5CB0"/>
    <w:rsid w:val="008D6BE1"/>
    <w:rsid w:val="008D761A"/>
    <w:rsid w:val="008D791F"/>
    <w:rsid w:val="008D79F9"/>
    <w:rsid w:val="008D7D5D"/>
    <w:rsid w:val="008E03F8"/>
    <w:rsid w:val="008E21D3"/>
    <w:rsid w:val="008E2A2B"/>
    <w:rsid w:val="008E3717"/>
    <w:rsid w:val="008E3CAB"/>
    <w:rsid w:val="008E5360"/>
    <w:rsid w:val="008E5A64"/>
    <w:rsid w:val="008E5AED"/>
    <w:rsid w:val="008E5FEB"/>
    <w:rsid w:val="008E620F"/>
    <w:rsid w:val="008E692B"/>
    <w:rsid w:val="008E7490"/>
    <w:rsid w:val="008E76DC"/>
    <w:rsid w:val="008F01E8"/>
    <w:rsid w:val="008F0282"/>
    <w:rsid w:val="008F062B"/>
    <w:rsid w:val="008F0979"/>
    <w:rsid w:val="008F0C01"/>
    <w:rsid w:val="008F188A"/>
    <w:rsid w:val="008F1C27"/>
    <w:rsid w:val="008F1DAF"/>
    <w:rsid w:val="008F26D9"/>
    <w:rsid w:val="008F27D4"/>
    <w:rsid w:val="008F2A80"/>
    <w:rsid w:val="008F34F8"/>
    <w:rsid w:val="008F4B40"/>
    <w:rsid w:val="008F5096"/>
    <w:rsid w:val="008F62D8"/>
    <w:rsid w:val="008F68CB"/>
    <w:rsid w:val="008F6FF2"/>
    <w:rsid w:val="008F7215"/>
    <w:rsid w:val="008F764F"/>
    <w:rsid w:val="008F7665"/>
    <w:rsid w:val="008F78F8"/>
    <w:rsid w:val="009013E4"/>
    <w:rsid w:val="00901868"/>
    <w:rsid w:val="009022C9"/>
    <w:rsid w:val="0090295A"/>
    <w:rsid w:val="0090301D"/>
    <w:rsid w:val="009030E3"/>
    <w:rsid w:val="00904CBF"/>
    <w:rsid w:val="00904F0D"/>
    <w:rsid w:val="00904FF5"/>
    <w:rsid w:val="00905032"/>
    <w:rsid w:val="009052CF"/>
    <w:rsid w:val="009057F4"/>
    <w:rsid w:val="00906C2B"/>
    <w:rsid w:val="009072B8"/>
    <w:rsid w:val="00910158"/>
    <w:rsid w:val="0091071A"/>
    <w:rsid w:val="0091089F"/>
    <w:rsid w:val="00911BA2"/>
    <w:rsid w:val="00912110"/>
    <w:rsid w:val="0091248A"/>
    <w:rsid w:val="00912796"/>
    <w:rsid w:val="00913335"/>
    <w:rsid w:val="0091386C"/>
    <w:rsid w:val="00914F34"/>
    <w:rsid w:val="009152B3"/>
    <w:rsid w:val="00915587"/>
    <w:rsid w:val="009159E2"/>
    <w:rsid w:val="00916236"/>
    <w:rsid w:val="009205BD"/>
    <w:rsid w:val="00920AED"/>
    <w:rsid w:val="00921A5B"/>
    <w:rsid w:val="00924329"/>
    <w:rsid w:val="00924AA9"/>
    <w:rsid w:val="00924BD9"/>
    <w:rsid w:val="00924C2A"/>
    <w:rsid w:val="00925F52"/>
    <w:rsid w:val="00927511"/>
    <w:rsid w:val="00927CFD"/>
    <w:rsid w:val="00930787"/>
    <w:rsid w:val="00930C11"/>
    <w:rsid w:val="00931896"/>
    <w:rsid w:val="00931DCD"/>
    <w:rsid w:val="00931EB0"/>
    <w:rsid w:val="00932B39"/>
    <w:rsid w:val="0093316D"/>
    <w:rsid w:val="00933958"/>
    <w:rsid w:val="009345A7"/>
    <w:rsid w:val="00934F14"/>
    <w:rsid w:val="0093524F"/>
    <w:rsid w:val="009356B4"/>
    <w:rsid w:val="009370E8"/>
    <w:rsid w:val="00940A4A"/>
    <w:rsid w:val="0094178D"/>
    <w:rsid w:val="00941D49"/>
    <w:rsid w:val="009422E4"/>
    <w:rsid w:val="009432E2"/>
    <w:rsid w:val="009436FF"/>
    <w:rsid w:val="00943A3B"/>
    <w:rsid w:val="00944972"/>
    <w:rsid w:val="0094688D"/>
    <w:rsid w:val="00946A8E"/>
    <w:rsid w:val="009474F1"/>
    <w:rsid w:val="00950FC6"/>
    <w:rsid w:val="00951C71"/>
    <w:rsid w:val="009528D1"/>
    <w:rsid w:val="009536FE"/>
    <w:rsid w:val="00953910"/>
    <w:rsid w:val="009539F1"/>
    <w:rsid w:val="00953E01"/>
    <w:rsid w:val="00954CE4"/>
    <w:rsid w:val="0095514D"/>
    <w:rsid w:val="009555F2"/>
    <w:rsid w:val="0095574D"/>
    <w:rsid w:val="00956537"/>
    <w:rsid w:val="009571CD"/>
    <w:rsid w:val="0095752B"/>
    <w:rsid w:val="009579B7"/>
    <w:rsid w:val="00957EFC"/>
    <w:rsid w:val="00960A58"/>
    <w:rsid w:val="00961495"/>
    <w:rsid w:val="00961685"/>
    <w:rsid w:val="00961F2D"/>
    <w:rsid w:val="0096225D"/>
    <w:rsid w:val="00963415"/>
    <w:rsid w:val="009639D2"/>
    <w:rsid w:val="00963F26"/>
    <w:rsid w:val="00964184"/>
    <w:rsid w:val="00964285"/>
    <w:rsid w:val="009650C5"/>
    <w:rsid w:val="00966202"/>
    <w:rsid w:val="00966310"/>
    <w:rsid w:val="00966661"/>
    <w:rsid w:val="00966CD5"/>
    <w:rsid w:val="0096726F"/>
    <w:rsid w:val="0096733B"/>
    <w:rsid w:val="009675B4"/>
    <w:rsid w:val="0096774E"/>
    <w:rsid w:val="009700DD"/>
    <w:rsid w:val="009706F6"/>
    <w:rsid w:val="0097190E"/>
    <w:rsid w:val="0097241F"/>
    <w:rsid w:val="00973601"/>
    <w:rsid w:val="00975F95"/>
    <w:rsid w:val="009761A3"/>
    <w:rsid w:val="00976388"/>
    <w:rsid w:val="0097639B"/>
    <w:rsid w:val="00977D49"/>
    <w:rsid w:val="009807AB"/>
    <w:rsid w:val="009808D0"/>
    <w:rsid w:val="00980C07"/>
    <w:rsid w:val="00980FDF"/>
    <w:rsid w:val="009812A6"/>
    <w:rsid w:val="009813EF"/>
    <w:rsid w:val="009815CB"/>
    <w:rsid w:val="00981756"/>
    <w:rsid w:val="0098178A"/>
    <w:rsid w:val="00982929"/>
    <w:rsid w:val="00982C3B"/>
    <w:rsid w:val="0098330D"/>
    <w:rsid w:val="0098373B"/>
    <w:rsid w:val="00983812"/>
    <w:rsid w:val="00983A27"/>
    <w:rsid w:val="009857BE"/>
    <w:rsid w:val="009859AC"/>
    <w:rsid w:val="00985C28"/>
    <w:rsid w:val="009906F7"/>
    <w:rsid w:val="00990F90"/>
    <w:rsid w:val="00991A90"/>
    <w:rsid w:val="00991B2F"/>
    <w:rsid w:val="00991F29"/>
    <w:rsid w:val="0099322F"/>
    <w:rsid w:val="009933A7"/>
    <w:rsid w:val="009941E0"/>
    <w:rsid w:val="00994325"/>
    <w:rsid w:val="009944AB"/>
    <w:rsid w:val="00994EEF"/>
    <w:rsid w:val="00995BC3"/>
    <w:rsid w:val="00996443"/>
    <w:rsid w:val="0099733E"/>
    <w:rsid w:val="009A2A68"/>
    <w:rsid w:val="009A31B9"/>
    <w:rsid w:val="009A4643"/>
    <w:rsid w:val="009A4C9E"/>
    <w:rsid w:val="009A6F07"/>
    <w:rsid w:val="009A7B62"/>
    <w:rsid w:val="009B19DC"/>
    <w:rsid w:val="009B1C77"/>
    <w:rsid w:val="009B28C6"/>
    <w:rsid w:val="009B308C"/>
    <w:rsid w:val="009B4A9F"/>
    <w:rsid w:val="009B527F"/>
    <w:rsid w:val="009B6939"/>
    <w:rsid w:val="009B6E55"/>
    <w:rsid w:val="009B71D9"/>
    <w:rsid w:val="009B792B"/>
    <w:rsid w:val="009C08A5"/>
    <w:rsid w:val="009C0CEF"/>
    <w:rsid w:val="009C1C31"/>
    <w:rsid w:val="009C1F1A"/>
    <w:rsid w:val="009C2772"/>
    <w:rsid w:val="009C48C2"/>
    <w:rsid w:val="009C4BDB"/>
    <w:rsid w:val="009C524B"/>
    <w:rsid w:val="009C569F"/>
    <w:rsid w:val="009C5B07"/>
    <w:rsid w:val="009C64A5"/>
    <w:rsid w:val="009C6661"/>
    <w:rsid w:val="009C6D32"/>
    <w:rsid w:val="009C7199"/>
    <w:rsid w:val="009C77CA"/>
    <w:rsid w:val="009C7896"/>
    <w:rsid w:val="009D0701"/>
    <w:rsid w:val="009D0CA7"/>
    <w:rsid w:val="009D10AE"/>
    <w:rsid w:val="009D18D1"/>
    <w:rsid w:val="009D2094"/>
    <w:rsid w:val="009D2CB9"/>
    <w:rsid w:val="009D37A4"/>
    <w:rsid w:val="009D4546"/>
    <w:rsid w:val="009D49AE"/>
    <w:rsid w:val="009D4FC8"/>
    <w:rsid w:val="009D56F3"/>
    <w:rsid w:val="009D5B39"/>
    <w:rsid w:val="009D5F1C"/>
    <w:rsid w:val="009D61F0"/>
    <w:rsid w:val="009D6708"/>
    <w:rsid w:val="009D6E4C"/>
    <w:rsid w:val="009D7BEC"/>
    <w:rsid w:val="009E0154"/>
    <w:rsid w:val="009E01F3"/>
    <w:rsid w:val="009E03BB"/>
    <w:rsid w:val="009E09FC"/>
    <w:rsid w:val="009E0A7A"/>
    <w:rsid w:val="009E34D9"/>
    <w:rsid w:val="009E47FB"/>
    <w:rsid w:val="009E5B4A"/>
    <w:rsid w:val="009E5BEF"/>
    <w:rsid w:val="009E5FF8"/>
    <w:rsid w:val="009E71B3"/>
    <w:rsid w:val="009E75DE"/>
    <w:rsid w:val="009F0127"/>
    <w:rsid w:val="009F153F"/>
    <w:rsid w:val="009F1F2A"/>
    <w:rsid w:val="009F1F84"/>
    <w:rsid w:val="009F315D"/>
    <w:rsid w:val="009F46C8"/>
    <w:rsid w:val="009F4C81"/>
    <w:rsid w:val="009F6140"/>
    <w:rsid w:val="009F6A48"/>
    <w:rsid w:val="009F75EF"/>
    <w:rsid w:val="00A00026"/>
    <w:rsid w:val="00A00667"/>
    <w:rsid w:val="00A00BB4"/>
    <w:rsid w:val="00A00C0E"/>
    <w:rsid w:val="00A018D8"/>
    <w:rsid w:val="00A01B8F"/>
    <w:rsid w:val="00A02947"/>
    <w:rsid w:val="00A02F32"/>
    <w:rsid w:val="00A03617"/>
    <w:rsid w:val="00A03EC0"/>
    <w:rsid w:val="00A0552A"/>
    <w:rsid w:val="00A05F10"/>
    <w:rsid w:val="00A06545"/>
    <w:rsid w:val="00A07591"/>
    <w:rsid w:val="00A10F57"/>
    <w:rsid w:val="00A1162A"/>
    <w:rsid w:val="00A11719"/>
    <w:rsid w:val="00A11FDE"/>
    <w:rsid w:val="00A12345"/>
    <w:rsid w:val="00A12DBF"/>
    <w:rsid w:val="00A1322F"/>
    <w:rsid w:val="00A1362F"/>
    <w:rsid w:val="00A13CFD"/>
    <w:rsid w:val="00A1429B"/>
    <w:rsid w:val="00A14AF2"/>
    <w:rsid w:val="00A15119"/>
    <w:rsid w:val="00A154A5"/>
    <w:rsid w:val="00A159E3"/>
    <w:rsid w:val="00A15E97"/>
    <w:rsid w:val="00A15F58"/>
    <w:rsid w:val="00A1656B"/>
    <w:rsid w:val="00A16A31"/>
    <w:rsid w:val="00A17341"/>
    <w:rsid w:val="00A17576"/>
    <w:rsid w:val="00A21419"/>
    <w:rsid w:val="00A219EC"/>
    <w:rsid w:val="00A23FF8"/>
    <w:rsid w:val="00A243DE"/>
    <w:rsid w:val="00A25E39"/>
    <w:rsid w:val="00A262BD"/>
    <w:rsid w:val="00A266AD"/>
    <w:rsid w:val="00A2748C"/>
    <w:rsid w:val="00A27946"/>
    <w:rsid w:val="00A27A5D"/>
    <w:rsid w:val="00A27DA0"/>
    <w:rsid w:val="00A30FC4"/>
    <w:rsid w:val="00A312A7"/>
    <w:rsid w:val="00A3130A"/>
    <w:rsid w:val="00A31BA9"/>
    <w:rsid w:val="00A33423"/>
    <w:rsid w:val="00A33DB0"/>
    <w:rsid w:val="00A34334"/>
    <w:rsid w:val="00A34476"/>
    <w:rsid w:val="00A35023"/>
    <w:rsid w:val="00A35345"/>
    <w:rsid w:val="00A357D4"/>
    <w:rsid w:val="00A36053"/>
    <w:rsid w:val="00A36402"/>
    <w:rsid w:val="00A365DB"/>
    <w:rsid w:val="00A367CB"/>
    <w:rsid w:val="00A36B4D"/>
    <w:rsid w:val="00A370C9"/>
    <w:rsid w:val="00A37C55"/>
    <w:rsid w:val="00A404CB"/>
    <w:rsid w:val="00A416DD"/>
    <w:rsid w:val="00A4245E"/>
    <w:rsid w:val="00A42CB8"/>
    <w:rsid w:val="00A436AD"/>
    <w:rsid w:val="00A443A8"/>
    <w:rsid w:val="00A45FF5"/>
    <w:rsid w:val="00A4719A"/>
    <w:rsid w:val="00A47607"/>
    <w:rsid w:val="00A477B2"/>
    <w:rsid w:val="00A500E7"/>
    <w:rsid w:val="00A513F2"/>
    <w:rsid w:val="00A51721"/>
    <w:rsid w:val="00A522BE"/>
    <w:rsid w:val="00A526E7"/>
    <w:rsid w:val="00A5320E"/>
    <w:rsid w:val="00A53411"/>
    <w:rsid w:val="00A53758"/>
    <w:rsid w:val="00A53768"/>
    <w:rsid w:val="00A53A1A"/>
    <w:rsid w:val="00A54881"/>
    <w:rsid w:val="00A548C9"/>
    <w:rsid w:val="00A54BC4"/>
    <w:rsid w:val="00A55059"/>
    <w:rsid w:val="00A57673"/>
    <w:rsid w:val="00A57D6F"/>
    <w:rsid w:val="00A6062F"/>
    <w:rsid w:val="00A606C0"/>
    <w:rsid w:val="00A61248"/>
    <w:rsid w:val="00A61FEE"/>
    <w:rsid w:val="00A63047"/>
    <w:rsid w:val="00A63371"/>
    <w:rsid w:val="00A63B3F"/>
    <w:rsid w:val="00A63BF3"/>
    <w:rsid w:val="00A64276"/>
    <w:rsid w:val="00A650F4"/>
    <w:rsid w:val="00A65953"/>
    <w:rsid w:val="00A66072"/>
    <w:rsid w:val="00A664C5"/>
    <w:rsid w:val="00A6687A"/>
    <w:rsid w:val="00A67520"/>
    <w:rsid w:val="00A70AA9"/>
    <w:rsid w:val="00A70EBF"/>
    <w:rsid w:val="00A719A3"/>
    <w:rsid w:val="00A71D8B"/>
    <w:rsid w:val="00A737A4"/>
    <w:rsid w:val="00A7463E"/>
    <w:rsid w:val="00A75267"/>
    <w:rsid w:val="00A75DA3"/>
    <w:rsid w:val="00A810B8"/>
    <w:rsid w:val="00A811D6"/>
    <w:rsid w:val="00A816BF"/>
    <w:rsid w:val="00A81FF6"/>
    <w:rsid w:val="00A82195"/>
    <w:rsid w:val="00A829EA"/>
    <w:rsid w:val="00A83BB7"/>
    <w:rsid w:val="00A84646"/>
    <w:rsid w:val="00A84CA0"/>
    <w:rsid w:val="00A852C6"/>
    <w:rsid w:val="00A85595"/>
    <w:rsid w:val="00A8610D"/>
    <w:rsid w:val="00A90310"/>
    <w:rsid w:val="00A90335"/>
    <w:rsid w:val="00A90342"/>
    <w:rsid w:val="00A907BC"/>
    <w:rsid w:val="00A90946"/>
    <w:rsid w:val="00A91024"/>
    <w:rsid w:val="00A914CF"/>
    <w:rsid w:val="00A917AF"/>
    <w:rsid w:val="00A91F27"/>
    <w:rsid w:val="00A92742"/>
    <w:rsid w:val="00A92D06"/>
    <w:rsid w:val="00A92D7F"/>
    <w:rsid w:val="00A965BF"/>
    <w:rsid w:val="00A96FEE"/>
    <w:rsid w:val="00A970D4"/>
    <w:rsid w:val="00AA06F9"/>
    <w:rsid w:val="00AA0F0A"/>
    <w:rsid w:val="00AA1128"/>
    <w:rsid w:val="00AA124A"/>
    <w:rsid w:val="00AA14D8"/>
    <w:rsid w:val="00AA17FD"/>
    <w:rsid w:val="00AA1C14"/>
    <w:rsid w:val="00AA2B64"/>
    <w:rsid w:val="00AA318E"/>
    <w:rsid w:val="00AA3805"/>
    <w:rsid w:val="00AA536A"/>
    <w:rsid w:val="00AA6473"/>
    <w:rsid w:val="00AA6B77"/>
    <w:rsid w:val="00AA7751"/>
    <w:rsid w:val="00AB11A2"/>
    <w:rsid w:val="00AB2439"/>
    <w:rsid w:val="00AB316C"/>
    <w:rsid w:val="00AB3596"/>
    <w:rsid w:val="00AB3A1E"/>
    <w:rsid w:val="00AB63D6"/>
    <w:rsid w:val="00AB646C"/>
    <w:rsid w:val="00AC0819"/>
    <w:rsid w:val="00AC1250"/>
    <w:rsid w:val="00AC1FA3"/>
    <w:rsid w:val="00AC20CB"/>
    <w:rsid w:val="00AC237C"/>
    <w:rsid w:val="00AC23C3"/>
    <w:rsid w:val="00AC30DD"/>
    <w:rsid w:val="00AC49B6"/>
    <w:rsid w:val="00AC4C52"/>
    <w:rsid w:val="00AC5571"/>
    <w:rsid w:val="00AC5AD2"/>
    <w:rsid w:val="00AC5B4D"/>
    <w:rsid w:val="00AC5D66"/>
    <w:rsid w:val="00AC690A"/>
    <w:rsid w:val="00AD0591"/>
    <w:rsid w:val="00AD0839"/>
    <w:rsid w:val="00AD086F"/>
    <w:rsid w:val="00AD2A87"/>
    <w:rsid w:val="00AD34AB"/>
    <w:rsid w:val="00AD3679"/>
    <w:rsid w:val="00AD3A0D"/>
    <w:rsid w:val="00AD3EE9"/>
    <w:rsid w:val="00AD407D"/>
    <w:rsid w:val="00AD4C4F"/>
    <w:rsid w:val="00AD5456"/>
    <w:rsid w:val="00AD5BEC"/>
    <w:rsid w:val="00AD5D53"/>
    <w:rsid w:val="00AD5E8F"/>
    <w:rsid w:val="00AD672D"/>
    <w:rsid w:val="00AD69CB"/>
    <w:rsid w:val="00AD6FA3"/>
    <w:rsid w:val="00AD70F1"/>
    <w:rsid w:val="00AE0A1D"/>
    <w:rsid w:val="00AE2B96"/>
    <w:rsid w:val="00AE33E8"/>
    <w:rsid w:val="00AE3E27"/>
    <w:rsid w:val="00AE3F65"/>
    <w:rsid w:val="00AE48C3"/>
    <w:rsid w:val="00AE4C09"/>
    <w:rsid w:val="00AE5D28"/>
    <w:rsid w:val="00AE5D8D"/>
    <w:rsid w:val="00AE609B"/>
    <w:rsid w:val="00AE6E97"/>
    <w:rsid w:val="00AE7C36"/>
    <w:rsid w:val="00AF0188"/>
    <w:rsid w:val="00AF0E26"/>
    <w:rsid w:val="00AF1DB6"/>
    <w:rsid w:val="00AF22F4"/>
    <w:rsid w:val="00AF2519"/>
    <w:rsid w:val="00AF2798"/>
    <w:rsid w:val="00AF3273"/>
    <w:rsid w:val="00AF3600"/>
    <w:rsid w:val="00AF37A1"/>
    <w:rsid w:val="00AF4494"/>
    <w:rsid w:val="00AF47BC"/>
    <w:rsid w:val="00AF4A72"/>
    <w:rsid w:val="00AF4D90"/>
    <w:rsid w:val="00AF568B"/>
    <w:rsid w:val="00AF5C21"/>
    <w:rsid w:val="00AF6FC3"/>
    <w:rsid w:val="00B001B4"/>
    <w:rsid w:val="00B01337"/>
    <w:rsid w:val="00B01348"/>
    <w:rsid w:val="00B01615"/>
    <w:rsid w:val="00B017E7"/>
    <w:rsid w:val="00B01F34"/>
    <w:rsid w:val="00B02543"/>
    <w:rsid w:val="00B0259A"/>
    <w:rsid w:val="00B02A17"/>
    <w:rsid w:val="00B02C6D"/>
    <w:rsid w:val="00B02F88"/>
    <w:rsid w:val="00B02FDD"/>
    <w:rsid w:val="00B03047"/>
    <w:rsid w:val="00B03117"/>
    <w:rsid w:val="00B037D6"/>
    <w:rsid w:val="00B044EE"/>
    <w:rsid w:val="00B05998"/>
    <w:rsid w:val="00B06BD8"/>
    <w:rsid w:val="00B071C5"/>
    <w:rsid w:val="00B104DD"/>
    <w:rsid w:val="00B116B1"/>
    <w:rsid w:val="00B121E6"/>
    <w:rsid w:val="00B12244"/>
    <w:rsid w:val="00B12256"/>
    <w:rsid w:val="00B137C4"/>
    <w:rsid w:val="00B137D0"/>
    <w:rsid w:val="00B13A70"/>
    <w:rsid w:val="00B13D2E"/>
    <w:rsid w:val="00B14240"/>
    <w:rsid w:val="00B146F8"/>
    <w:rsid w:val="00B14C99"/>
    <w:rsid w:val="00B15F79"/>
    <w:rsid w:val="00B167B9"/>
    <w:rsid w:val="00B168F1"/>
    <w:rsid w:val="00B20847"/>
    <w:rsid w:val="00B20D0A"/>
    <w:rsid w:val="00B20EE4"/>
    <w:rsid w:val="00B2166C"/>
    <w:rsid w:val="00B21EBC"/>
    <w:rsid w:val="00B22A0F"/>
    <w:rsid w:val="00B2304A"/>
    <w:rsid w:val="00B231D0"/>
    <w:rsid w:val="00B23420"/>
    <w:rsid w:val="00B239DD"/>
    <w:rsid w:val="00B24B4A"/>
    <w:rsid w:val="00B24DF7"/>
    <w:rsid w:val="00B25334"/>
    <w:rsid w:val="00B25FAD"/>
    <w:rsid w:val="00B26957"/>
    <w:rsid w:val="00B26962"/>
    <w:rsid w:val="00B2776B"/>
    <w:rsid w:val="00B27DBE"/>
    <w:rsid w:val="00B304B4"/>
    <w:rsid w:val="00B30582"/>
    <w:rsid w:val="00B319D6"/>
    <w:rsid w:val="00B32201"/>
    <w:rsid w:val="00B343C1"/>
    <w:rsid w:val="00B3509D"/>
    <w:rsid w:val="00B35647"/>
    <w:rsid w:val="00B3653C"/>
    <w:rsid w:val="00B36C72"/>
    <w:rsid w:val="00B40114"/>
    <w:rsid w:val="00B40758"/>
    <w:rsid w:val="00B40798"/>
    <w:rsid w:val="00B40909"/>
    <w:rsid w:val="00B40CEA"/>
    <w:rsid w:val="00B41E39"/>
    <w:rsid w:val="00B42F43"/>
    <w:rsid w:val="00B43007"/>
    <w:rsid w:val="00B4400C"/>
    <w:rsid w:val="00B44F21"/>
    <w:rsid w:val="00B451AC"/>
    <w:rsid w:val="00B462FD"/>
    <w:rsid w:val="00B4639B"/>
    <w:rsid w:val="00B464D6"/>
    <w:rsid w:val="00B46C62"/>
    <w:rsid w:val="00B47D82"/>
    <w:rsid w:val="00B50869"/>
    <w:rsid w:val="00B50DBB"/>
    <w:rsid w:val="00B50E70"/>
    <w:rsid w:val="00B51631"/>
    <w:rsid w:val="00B51DCA"/>
    <w:rsid w:val="00B520A2"/>
    <w:rsid w:val="00B54CE2"/>
    <w:rsid w:val="00B554CB"/>
    <w:rsid w:val="00B5613C"/>
    <w:rsid w:val="00B5655E"/>
    <w:rsid w:val="00B568E9"/>
    <w:rsid w:val="00B56F2B"/>
    <w:rsid w:val="00B5729C"/>
    <w:rsid w:val="00B574A1"/>
    <w:rsid w:val="00B57E8E"/>
    <w:rsid w:val="00B57F72"/>
    <w:rsid w:val="00B57FBA"/>
    <w:rsid w:val="00B60991"/>
    <w:rsid w:val="00B60AB3"/>
    <w:rsid w:val="00B60BB1"/>
    <w:rsid w:val="00B61351"/>
    <w:rsid w:val="00B62847"/>
    <w:rsid w:val="00B63BA7"/>
    <w:rsid w:val="00B63D3D"/>
    <w:rsid w:val="00B64066"/>
    <w:rsid w:val="00B66B96"/>
    <w:rsid w:val="00B66EF9"/>
    <w:rsid w:val="00B66FA7"/>
    <w:rsid w:val="00B6779A"/>
    <w:rsid w:val="00B732BC"/>
    <w:rsid w:val="00B73314"/>
    <w:rsid w:val="00B741D3"/>
    <w:rsid w:val="00B74473"/>
    <w:rsid w:val="00B747C1"/>
    <w:rsid w:val="00B74DAC"/>
    <w:rsid w:val="00B75C9C"/>
    <w:rsid w:val="00B75F72"/>
    <w:rsid w:val="00B777B6"/>
    <w:rsid w:val="00B77E67"/>
    <w:rsid w:val="00B80182"/>
    <w:rsid w:val="00B808F5"/>
    <w:rsid w:val="00B81381"/>
    <w:rsid w:val="00B82180"/>
    <w:rsid w:val="00B8304B"/>
    <w:rsid w:val="00B83171"/>
    <w:rsid w:val="00B83389"/>
    <w:rsid w:val="00B8338F"/>
    <w:rsid w:val="00B83E39"/>
    <w:rsid w:val="00B8489E"/>
    <w:rsid w:val="00B84A00"/>
    <w:rsid w:val="00B84A45"/>
    <w:rsid w:val="00B84E36"/>
    <w:rsid w:val="00B85E9C"/>
    <w:rsid w:val="00B86975"/>
    <w:rsid w:val="00B86AB9"/>
    <w:rsid w:val="00B86C55"/>
    <w:rsid w:val="00B87533"/>
    <w:rsid w:val="00B912B8"/>
    <w:rsid w:val="00B92341"/>
    <w:rsid w:val="00B9260A"/>
    <w:rsid w:val="00B927F6"/>
    <w:rsid w:val="00B928E9"/>
    <w:rsid w:val="00B93110"/>
    <w:rsid w:val="00B93532"/>
    <w:rsid w:val="00B93840"/>
    <w:rsid w:val="00B93A65"/>
    <w:rsid w:val="00B94541"/>
    <w:rsid w:val="00B94932"/>
    <w:rsid w:val="00B949B2"/>
    <w:rsid w:val="00B95FB1"/>
    <w:rsid w:val="00B965DD"/>
    <w:rsid w:val="00B97677"/>
    <w:rsid w:val="00BA0E45"/>
    <w:rsid w:val="00BA1449"/>
    <w:rsid w:val="00BA1511"/>
    <w:rsid w:val="00BA1D84"/>
    <w:rsid w:val="00BA2809"/>
    <w:rsid w:val="00BA2E96"/>
    <w:rsid w:val="00BA37FB"/>
    <w:rsid w:val="00BA40EA"/>
    <w:rsid w:val="00BA4665"/>
    <w:rsid w:val="00BA4CC6"/>
    <w:rsid w:val="00BA52B8"/>
    <w:rsid w:val="00BA6C71"/>
    <w:rsid w:val="00BA7C73"/>
    <w:rsid w:val="00BB06AD"/>
    <w:rsid w:val="00BB0B8A"/>
    <w:rsid w:val="00BB15DA"/>
    <w:rsid w:val="00BB1E18"/>
    <w:rsid w:val="00BB2063"/>
    <w:rsid w:val="00BB224B"/>
    <w:rsid w:val="00BB2C33"/>
    <w:rsid w:val="00BB2FF3"/>
    <w:rsid w:val="00BB33EA"/>
    <w:rsid w:val="00BB39A9"/>
    <w:rsid w:val="00BB3D5C"/>
    <w:rsid w:val="00BB475E"/>
    <w:rsid w:val="00BB5101"/>
    <w:rsid w:val="00BB5B31"/>
    <w:rsid w:val="00BB5CDB"/>
    <w:rsid w:val="00BB60B6"/>
    <w:rsid w:val="00BB770B"/>
    <w:rsid w:val="00BC09DB"/>
    <w:rsid w:val="00BC0F74"/>
    <w:rsid w:val="00BC1C1A"/>
    <w:rsid w:val="00BC1D7A"/>
    <w:rsid w:val="00BC2728"/>
    <w:rsid w:val="00BC2B52"/>
    <w:rsid w:val="00BC3F59"/>
    <w:rsid w:val="00BC4E4F"/>
    <w:rsid w:val="00BC5174"/>
    <w:rsid w:val="00BC570D"/>
    <w:rsid w:val="00BC58EA"/>
    <w:rsid w:val="00BC5C3F"/>
    <w:rsid w:val="00BC5FB7"/>
    <w:rsid w:val="00BC67F5"/>
    <w:rsid w:val="00BC692C"/>
    <w:rsid w:val="00BC6A1F"/>
    <w:rsid w:val="00BC6D56"/>
    <w:rsid w:val="00BC7F17"/>
    <w:rsid w:val="00BD0201"/>
    <w:rsid w:val="00BD1973"/>
    <w:rsid w:val="00BD1FC4"/>
    <w:rsid w:val="00BD2187"/>
    <w:rsid w:val="00BD26A8"/>
    <w:rsid w:val="00BD2D6A"/>
    <w:rsid w:val="00BD2E61"/>
    <w:rsid w:val="00BD2EEF"/>
    <w:rsid w:val="00BD3195"/>
    <w:rsid w:val="00BD37CC"/>
    <w:rsid w:val="00BD393D"/>
    <w:rsid w:val="00BD3F19"/>
    <w:rsid w:val="00BD3F66"/>
    <w:rsid w:val="00BD435A"/>
    <w:rsid w:val="00BD4880"/>
    <w:rsid w:val="00BD4CF8"/>
    <w:rsid w:val="00BD6DBF"/>
    <w:rsid w:val="00BD7022"/>
    <w:rsid w:val="00BD7809"/>
    <w:rsid w:val="00BD7AD2"/>
    <w:rsid w:val="00BE0050"/>
    <w:rsid w:val="00BE0384"/>
    <w:rsid w:val="00BE076C"/>
    <w:rsid w:val="00BE0BA5"/>
    <w:rsid w:val="00BE0D0C"/>
    <w:rsid w:val="00BE0ED4"/>
    <w:rsid w:val="00BE10AC"/>
    <w:rsid w:val="00BE10D7"/>
    <w:rsid w:val="00BE1135"/>
    <w:rsid w:val="00BE205A"/>
    <w:rsid w:val="00BE2760"/>
    <w:rsid w:val="00BE2C55"/>
    <w:rsid w:val="00BE4586"/>
    <w:rsid w:val="00BE5386"/>
    <w:rsid w:val="00BE5420"/>
    <w:rsid w:val="00BE5712"/>
    <w:rsid w:val="00BE5904"/>
    <w:rsid w:val="00BE73E4"/>
    <w:rsid w:val="00BE79A7"/>
    <w:rsid w:val="00BF058F"/>
    <w:rsid w:val="00BF0AD3"/>
    <w:rsid w:val="00BF0D2D"/>
    <w:rsid w:val="00BF13D3"/>
    <w:rsid w:val="00BF1ADB"/>
    <w:rsid w:val="00BF1AF2"/>
    <w:rsid w:val="00BF1E32"/>
    <w:rsid w:val="00BF2A45"/>
    <w:rsid w:val="00BF2B0A"/>
    <w:rsid w:val="00BF3CDB"/>
    <w:rsid w:val="00BF3ECD"/>
    <w:rsid w:val="00BF419F"/>
    <w:rsid w:val="00BF4C73"/>
    <w:rsid w:val="00BF7643"/>
    <w:rsid w:val="00C001AF"/>
    <w:rsid w:val="00C00AD8"/>
    <w:rsid w:val="00C01208"/>
    <w:rsid w:val="00C02E75"/>
    <w:rsid w:val="00C03003"/>
    <w:rsid w:val="00C03929"/>
    <w:rsid w:val="00C052FD"/>
    <w:rsid w:val="00C057C5"/>
    <w:rsid w:val="00C07FB6"/>
    <w:rsid w:val="00C1143E"/>
    <w:rsid w:val="00C12236"/>
    <w:rsid w:val="00C1267A"/>
    <w:rsid w:val="00C13373"/>
    <w:rsid w:val="00C13DE2"/>
    <w:rsid w:val="00C143A2"/>
    <w:rsid w:val="00C14634"/>
    <w:rsid w:val="00C154C7"/>
    <w:rsid w:val="00C1603C"/>
    <w:rsid w:val="00C17401"/>
    <w:rsid w:val="00C17BFA"/>
    <w:rsid w:val="00C20288"/>
    <w:rsid w:val="00C2074D"/>
    <w:rsid w:val="00C20A99"/>
    <w:rsid w:val="00C20CBB"/>
    <w:rsid w:val="00C21112"/>
    <w:rsid w:val="00C21595"/>
    <w:rsid w:val="00C21EA6"/>
    <w:rsid w:val="00C2293C"/>
    <w:rsid w:val="00C22D50"/>
    <w:rsid w:val="00C22D9D"/>
    <w:rsid w:val="00C22EFA"/>
    <w:rsid w:val="00C23110"/>
    <w:rsid w:val="00C233F4"/>
    <w:rsid w:val="00C23BB4"/>
    <w:rsid w:val="00C24A9C"/>
    <w:rsid w:val="00C25472"/>
    <w:rsid w:val="00C25A5E"/>
    <w:rsid w:val="00C25B3B"/>
    <w:rsid w:val="00C2643E"/>
    <w:rsid w:val="00C27A17"/>
    <w:rsid w:val="00C27C7D"/>
    <w:rsid w:val="00C30803"/>
    <w:rsid w:val="00C30D41"/>
    <w:rsid w:val="00C312A0"/>
    <w:rsid w:val="00C31523"/>
    <w:rsid w:val="00C319A9"/>
    <w:rsid w:val="00C31CF6"/>
    <w:rsid w:val="00C32FC7"/>
    <w:rsid w:val="00C33B4D"/>
    <w:rsid w:val="00C34425"/>
    <w:rsid w:val="00C3450C"/>
    <w:rsid w:val="00C34FCD"/>
    <w:rsid w:val="00C34FD3"/>
    <w:rsid w:val="00C3528C"/>
    <w:rsid w:val="00C35964"/>
    <w:rsid w:val="00C35986"/>
    <w:rsid w:val="00C3626E"/>
    <w:rsid w:val="00C362B4"/>
    <w:rsid w:val="00C3681E"/>
    <w:rsid w:val="00C3732D"/>
    <w:rsid w:val="00C37B49"/>
    <w:rsid w:val="00C40AAD"/>
    <w:rsid w:val="00C40ACC"/>
    <w:rsid w:val="00C40EDE"/>
    <w:rsid w:val="00C41385"/>
    <w:rsid w:val="00C4149E"/>
    <w:rsid w:val="00C41931"/>
    <w:rsid w:val="00C41EE1"/>
    <w:rsid w:val="00C4498B"/>
    <w:rsid w:val="00C44C08"/>
    <w:rsid w:val="00C44FD1"/>
    <w:rsid w:val="00C45F2E"/>
    <w:rsid w:val="00C467C9"/>
    <w:rsid w:val="00C4700F"/>
    <w:rsid w:val="00C4771D"/>
    <w:rsid w:val="00C47C2D"/>
    <w:rsid w:val="00C5002A"/>
    <w:rsid w:val="00C5006B"/>
    <w:rsid w:val="00C50E6F"/>
    <w:rsid w:val="00C5197B"/>
    <w:rsid w:val="00C544B4"/>
    <w:rsid w:val="00C54829"/>
    <w:rsid w:val="00C54AC3"/>
    <w:rsid w:val="00C555B5"/>
    <w:rsid w:val="00C55777"/>
    <w:rsid w:val="00C559CF"/>
    <w:rsid w:val="00C56679"/>
    <w:rsid w:val="00C5755A"/>
    <w:rsid w:val="00C57849"/>
    <w:rsid w:val="00C60FEC"/>
    <w:rsid w:val="00C6126A"/>
    <w:rsid w:val="00C61DB6"/>
    <w:rsid w:val="00C62039"/>
    <w:rsid w:val="00C62775"/>
    <w:rsid w:val="00C6293B"/>
    <w:rsid w:val="00C62DDF"/>
    <w:rsid w:val="00C62E67"/>
    <w:rsid w:val="00C62F52"/>
    <w:rsid w:val="00C6518C"/>
    <w:rsid w:val="00C66AFB"/>
    <w:rsid w:val="00C66D3A"/>
    <w:rsid w:val="00C66F04"/>
    <w:rsid w:val="00C67405"/>
    <w:rsid w:val="00C6740C"/>
    <w:rsid w:val="00C677B2"/>
    <w:rsid w:val="00C678A4"/>
    <w:rsid w:val="00C67B6B"/>
    <w:rsid w:val="00C67CE0"/>
    <w:rsid w:val="00C67E3F"/>
    <w:rsid w:val="00C67ED4"/>
    <w:rsid w:val="00C703B1"/>
    <w:rsid w:val="00C7078E"/>
    <w:rsid w:val="00C70820"/>
    <w:rsid w:val="00C7149F"/>
    <w:rsid w:val="00C71C5F"/>
    <w:rsid w:val="00C71DE6"/>
    <w:rsid w:val="00C71ED9"/>
    <w:rsid w:val="00C724CC"/>
    <w:rsid w:val="00C73362"/>
    <w:rsid w:val="00C737BF"/>
    <w:rsid w:val="00C7395D"/>
    <w:rsid w:val="00C73DC4"/>
    <w:rsid w:val="00C741DE"/>
    <w:rsid w:val="00C742F1"/>
    <w:rsid w:val="00C74BFC"/>
    <w:rsid w:val="00C750AA"/>
    <w:rsid w:val="00C75241"/>
    <w:rsid w:val="00C7563D"/>
    <w:rsid w:val="00C75FF8"/>
    <w:rsid w:val="00C771AC"/>
    <w:rsid w:val="00C77D10"/>
    <w:rsid w:val="00C8087E"/>
    <w:rsid w:val="00C82720"/>
    <w:rsid w:val="00C82756"/>
    <w:rsid w:val="00C82844"/>
    <w:rsid w:val="00C82D25"/>
    <w:rsid w:val="00C83F13"/>
    <w:rsid w:val="00C8598E"/>
    <w:rsid w:val="00C85D75"/>
    <w:rsid w:val="00C86F97"/>
    <w:rsid w:val="00C87BFC"/>
    <w:rsid w:val="00C907F4"/>
    <w:rsid w:val="00C9093E"/>
    <w:rsid w:val="00C90FED"/>
    <w:rsid w:val="00C91A1A"/>
    <w:rsid w:val="00C91C4C"/>
    <w:rsid w:val="00C9294E"/>
    <w:rsid w:val="00C93E42"/>
    <w:rsid w:val="00C940F4"/>
    <w:rsid w:val="00C94156"/>
    <w:rsid w:val="00C94D50"/>
    <w:rsid w:val="00C952DF"/>
    <w:rsid w:val="00C955D8"/>
    <w:rsid w:val="00C95778"/>
    <w:rsid w:val="00C95DD5"/>
    <w:rsid w:val="00C96B95"/>
    <w:rsid w:val="00C96DE6"/>
    <w:rsid w:val="00CA0BCD"/>
    <w:rsid w:val="00CA1244"/>
    <w:rsid w:val="00CA1AB6"/>
    <w:rsid w:val="00CA23A4"/>
    <w:rsid w:val="00CA27CA"/>
    <w:rsid w:val="00CA45EE"/>
    <w:rsid w:val="00CA4E43"/>
    <w:rsid w:val="00CA4F2E"/>
    <w:rsid w:val="00CA5099"/>
    <w:rsid w:val="00CA68C1"/>
    <w:rsid w:val="00CA7347"/>
    <w:rsid w:val="00CA7545"/>
    <w:rsid w:val="00CB0F9B"/>
    <w:rsid w:val="00CB1108"/>
    <w:rsid w:val="00CB1ADB"/>
    <w:rsid w:val="00CB1C1F"/>
    <w:rsid w:val="00CB27C3"/>
    <w:rsid w:val="00CB32C9"/>
    <w:rsid w:val="00CB44FE"/>
    <w:rsid w:val="00CB4690"/>
    <w:rsid w:val="00CB48D5"/>
    <w:rsid w:val="00CB505A"/>
    <w:rsid w:val="00CB5961"/>
    <w:rsid w:val="00CB596B"/>
    <w:rsid w:val="00CB5E2A"/>
    <w:rsid w:val="00CB5E4E"/>
    <w:rsid w:val="00CB6B27"/>
    <w:rsid w:val="00CB742C"/>
    <w:rsid w:val="00CB75DF"/>
    <w:rsid w:val="00CB7855"/>
    <w:rsid w:val="00CC0D01"/>
    <w:rsid w:val="00CC0DDE"/>
    <w:rsid w:val="00CC1A02"/>
    <w:rsid w:val="00CC2C26"/>
    <w:rsid w:val="00CC3C15"/>
    <w:rsid w:val="00CC44CC"/>
    <w:rsid w:val="00CC4BC3"/>
    <w:rsid w:val="00CC4D3B"/>
    <w:rsid w:val="00CC5340"/>
    <w:rsid w:val="00CC571E"/>
    <w:rsid w:val="00CC71DE"/>
    <w:rsid w:val="00CC7784"/>
    <w:rsid w:val="00CC79D8"/>
    <w:rsid w:val="00CC7DC3"/>
    <w:rsid w:val="00CD0AB6"/>
    <w:rsid w:val="00CD1127"/>
    <w:rsid w:val="00CD2C6C"/>
    <w:rsid w:val="00CD37A5"/>
    <w:rsid w:val="00CD3FF2"/>
    <w:rsid w:val="00CD437C"/>
    <w:rsid w:val="00CD4874"/>
    <w:rsid w:val="00CD6208"/>
    <w:rsid w:val="00CD749E"/>
    <w:rsid w:val="00CD7523"/>
    <w:rsid w:val="00CD7F53"/>
    <w:rsid w:val="00CE0193"/>
    <w:rsid w:val="00CE22E8"/>
    <w:rsid w:val="00CE263D"/>
    <w:rsid w:val="00CE28ED"/>
    <w:rsid w:val="00CE2971"/>
    <w:rsid w:val="00CE377A"/>
    <w:rsid w:val="00CE462B"/>
    <w:rsid w:val="00CE57B3"/>
    <w:rsid w:val="00CE6BD5"/>
    <w:rsid w:val="00CF0B59"/>
    <w:rsid w:val="00CF0C5B"/>
    <w:rsid w:val="00CF0D04"/>
    <w:rsid w:val="00CF116E"/>
    <w:rsid w:val="00CF1222"/>
    <w:rsid w:val="00CF1F83"/>
    <w:rsid w:val="00CF20D7"/>
    <w:rsid w:val="00CF20D9"/>
    <w:rsid w:val="00CF4BA2"/>
    <w:rsid w:val="00CF5DA1"/>
    <w:rsid w:val="00CF6034"/>
    <w:rsid w:val="00CF6513"/>
    <w:rsid w:val="00CF6E2F"/>
    <w:rsid w:val="00CF7C10"/>
    <w:rsid w:val="00D01008"/>
    <w:rsid w:val="00D01317"/>
    <w:rsid w:val="00D015F8"/>
    <w:rsid w:val="00D02249"/>
    <w:rsid w:val="00D030BB"/>
    <w:rsid w:val="00D031A5"/>
    <w:rsid w:val="00D032D1"/>
    <w:rsid w:val="00D03B42"/>
    <w:rsid w:val="00D03BEC"/>
    <w:rsid w:val="00D042B3"/>
    <w:rsid w:val="00D060AF"/>
    <w:rsid w:val="00D06AD5"/>
    <w:rsid w:val="00D06AF7"/>
    <w:rsid w:val="00D07F0B"/>
    <w:rsid w:val="00D07F50"/>
    <w:rsid w:val="00D11602"/>
    <w:rsid w:val="00D11EC3"/>
    <w:rsid w:val="00D1239A"/>
    <w:rsid w:val="00D127B8"/>
    <w:rsid w:val="00D1381F"/>
    <w:rsid w:val="00D13E5E"/>
    <w:rsid w:val="00D14BAC"/>
    <w:rsid w:val="00D157F5"/>
    <w:rsid w:val="00D15A25"/>
    <w:rsid w:val="00D16457"/>
    <w:rsid w:val="00D17202"/>
    <w:rsid w:val="00D178D1"/>
    <w:rsid w:val="00D20291"/>
    <w:rsid w:val="00D20EAE"/>
    <w:rsid w:val="00D20EC9"/>
    <w:rsid w:val="00D21015"/>
    <w:rsid w:val="00D217AB"/>
    <w:rsid w:val="00D217EC"/>
    <w:rsid w:val="00D21878"/>
    <w:rsid w:val="00D2213C"/>
    <w:rsid w:val="00D231E1"/>
    <w:rsid w:val="00D23411"/>
    <w:rsid w:val="00D23CCA"/>
    <w:rsid w:val="00D25F6D"/>
    <w:rsid w:val="00D26063"/>
    <w:rsid w:val="00D262B4"/>
    <w:rsid w:val="00D26D81"/>
    <w:rsid w:val="00D27614"/>
    <w:rsid w:val="00D278FC"/>
    <w:rsid w:val="00D27C88"/>
    <w:rsid w:val="00D30199"/>
    <w:rsid w:val="00D302F9"/>
    <w:rsid w:val="00D3063B"/>
    <w:rsid w:val="00D30DE7"/>
    <w:rsid w:val="00D31224"/>
    <w:rsid w:val="00D31E1A"/>
    <w:rsid w:val="00D33B3D"/>
    <w:rsid w:val="00D33EFB"/>
    <w:rsid w:val="00D3458F"/>
    <w:rsid w:val="00D3534D"/>
    <w:rsid w:val="00D3554E"/>
    <w:rsid w:val="00D356EC"/>
    <w:rsid w:val="00D35BFB"/>
    <w:rsid w:val="00D37950"/>
    <w:rsid w:val="00D37AD7"/>
    <w:rsid w:val="00D37E07"/>
    <w:rsid w:val="00D37F97"/>
    <w:rsid w:val="00D40DA9"/>
    <w:rsid w:val="00D40FA0"/>
    <w:rsid w:val="00D40FEF"/>
    <w:rsid w:val="00D42491"/>
    <w:rsid w:val="00D42A9C"/>
    <w:rsid w:val="00D42FE2"/>
    <w:rsid w:val="00D43739"/>
    <w:rsid w:val="00D44119"/>
    <w:rsid w:val="00D442C8"/>
    <w:rsid w:val="00D4560C"/>
    <w:rsid w:val="00D46022"/>
    <w:rsid w:val="00D460B0"/>
    <w:rsid w:val="00D47441"/>
    <w:rsid w:val="00D47D03"/>
    <w:rsid w:val="00D5034E"/>
    <w:rsid w:val="00D5075A"/>
    <w:rsid w:val="00D50D26"/>
    <w:rsid w:val="00D50F3C"/>
    <w:rsid w:val="00D50F47"/>
    <w:rsid w:val="00D51145"/>
    <w:rsid w:val="00D51193"/>
    <w:rsid w:val="00D52238"/>
    <w:rsid w:val="00D53205"/>
    <w:rsid w:val="00D5358C"/>
    <w:rsid w:val="00D53598"/>
    <w:rsid w:val="00D540CF"/>
    <w:rsid w:val="00D55DF4"/>
    <w:rsid w:val="00D56AAD"/>
    <w:rsid w:val="00D601E3"/>
    <w:rsid w:val="00D6024F"/>
    <w:rsid w:val="00D60A07"/>
    <w:rsid w:val="00D6212E"/>
    <w:rsid w:val="00D6381C"/>
    <w:rsid w:val="00D6433B"/>
    <w:rsid w:val="00D647D4"/>
    <w:rsid w:val="00D65408"/>
    <w:rsid w:val="00D656AB"/>
    <w:rsid w:val="00D66AD6"/>
    <w:rsid w:val="00D66E7B"/>
    <w:rsid w:val="00D66E7F"/>
    <w:rsid w:val="00D678CE"/>
    <w:rsid w:val="00D709B8"/>
    <w:rsid w:val="00D713F8"/>
    <w:rsid w:val="00D716F7"/>
    <w:rsid w:val="00D7212E"/>
    <w:rsid w:val="00D72408"/>
    <w:rsid w:val="00D724A5"/>
    <w:rsid w:val="00D72E58"/>
    <w:rsid w:val="00D73518"/>
    <w:rsid w:val="00D73D11"/>
    <w:rsid w:val="00D73F7B"/>
    <w:rsid w:val="00D74234"/>
    <w:rsid w:val="00D75025"/>
    <w:rsid w:val="00D7546D"/>
    <w:rsid w:val="00D75D61"/>
    <w:rsid w:val="00D76B46"/>
    <w:rsid w:val="00D76C4C"/>
    <w:rsid w:val="00D8196A"/>
    <w:rsid w:val="00D82644"/>
    <w:rsid w:val="00D82B64"/>
    <w:rsid w:val="00D82F33"/>
    <w:rsid w:val="00D83956"/>
    <w:rsid w:val="00D84DD7"/>
    <w:rsid w:val="00D84F00"/>
    <w:rsid w:val="00D85DC7"/>
    <w:rsid w:val="00D86A09"/>
    <w:rsid w:val="00D90897"/>
    <w:rsid w:val="00D913E9"/>
    <w:rsid w:val="00D9345A"/>
    <w:rsid w:val="00D942FA"/>
    <w:rsid w:val="00D94964"/>
    <w:rsid w:val="00D94AA6"/>
    <w:rsid w:val="00D9536D"/>
    <w:rsid w:val="00D956EA"/>
    <w:rsid w:val="00D96DC7"/>
    <w:rsid w:val="00D96F8F"/>
    <w:rsid w:val="00D9713D"/>
    <w:rsid w:val="00D971F5"/>
    <w:rsid w:val="00DA1168"/>
    <w:rsid w:val="00DA1DFF"/>
    <w:rsid w:val="00DA21C7"/>
    <w:rsid w:val="00DA3091"/>
    <w:rsid w:val="00DA31DF"/>
    <w:rsid w:val="00DA33F4"/>
    <w:rsid w:val="00DA34F4"/>
    <w:rsid w:val="00DA393F"/>
    <w:rsid w:val="00DA476D"/>
    <w:rsid w:val="00DA4AB8"/>
    <w:rsid w:val="00DA4BB3"/>
    <w:rsid w:val="00DA4C4C"/>
    <w:rsid w:val="00DA5D9B"/>
    <w:rsid w:val="00DA6B95"/>
    <w:rsid w:val="00DA6DB1"/>
    <w:rsid w:val="00DA7369"/>
    <w:rsid w:val="00DB28D1"/>
    <w:rsid w:val="00DB298E"/>
    <w:rsid w:val="00DB3612"/>
    <w:rsid w:val="00DB3A52"/>
    <w:rsid w:val="00DB3BD1"/>
    <w:rsid w:val="00DB3E5E"/>
    <w:rsid w:val="00DB3F30"/>
    <w:rsid w:val="00DB4741"/>
    <w:rsid w:val="00DB48F7"/>
    <w:rsid w:val="00DB5276"/>
    <w:rsid w:val="00DB5D0E"/>
    <w:rsid w:val="00DB5F24"/>
    <w:rsid w:val="00DB642D"/>
    <w:rsid w:val="00DB6457"/>
    <w:rsid w:val="00DB770D"/>
    <w:rsid w:val="00DB7D25"/>
    <w:rsid w:val="00DC00CB"/>
    <w:rsid w:val="00DC05C7"/>
    <w:rsid w:val="00DC0AD3"/>
    <w:rsid w:val="00DC118D"/>
    <w:rsid w:val="00DC25C0"/>
    <w:rsid w:val="00DC34BD"/>
    <w:rsid w:val="00DC3D7E"/>
    <w:rsid w:val="00DC3DED"/>
    <w:rsid w:val="00DC4931"/>
    <w:rsid w:val="00DC553A"/>
    <w:rsid w:val="00DC67C8"/>
    <w:rsid w:val="00DC6CD5"/>
    <w:rsid w:val="00DC7421"/>
    <w:rsid w:val="00DC779C"/>
    <w:rsid w:val="00DD1059"/>
    <w:rsid w:val="00DD1BDB"/>
    <w:rsid w:val="00DD1DA9"/>
    <w:rsid w:val="00DD2A77"/>
    <w:rsid w:val="00DD32FB"/>
    <w:rsid w:val="00DD35F5"/>
    <w:rsid w:val="00DD38C9"/>
    <w:rsid w:val="00DD3C45"/>
    <w:rsid w:val="00DD3DA9"/>
    <w:rsid w:val="00DD52ED"/>
    <w:rsid w:val="00DD53B6"/>
    <w:rsid w:val="00DD5934"/>
    <w:rsid w:val="00DD5A98"/>
    <w:rsid w:val="00DD5FC2"/>
    <w:rsid w:val="00DD62A9"/>
    <w:rsid w:val="00DD6BC7"/>
    <w:rsid w:val="00DD6DBD"/>
    <w:rsid w:val="00DD700B"/>
    <w:rsid w:val="00DD7090"/>
    <w:rsid w:val="00DE0BA3"/>
    <w:rsid w:val="00DE0BC5"/>
    <w:rsid w:val="00DE1299"/>
    <w:rsid w:val="00DE18D2"/>
    <w:rsid w:val="00DE20FC"/>
    <w:rsid w:val="00DE3F3A"/>
    <w:rsid w:val="00DE5230"/>
    <w:rsid w:val="00DE57F1"/>
    <w:rsid w:val="00DE638B"/>
    <w:rsid w:val="00DE749F"/>
    <w:rsid w:val="00DF0A29"/>
    <w:rsid w:val="00DF1331"/>
    <w:rsid w:val="00DF1ACF"/>
    <w:rsid w:val="00DF1B85"/>
    <w:rsid w:val="00DF2AED"/>
    <w:rsid w:val="00DF3A07"/>
    <w:rsid w:val="00DF41A6"/>
    <w:rsid w:val="00DF45A1"/>
    <w:rsid w:val="00DF4983"/>
    <w:rsid w:val="00DF4A19"/>
    <w:rsid w:val="00DF521D"/>
    <w:rsid w:val="00DF6083"/>
    <w:rsid w:val="00DF6E4C"/>
    <w:rsid w:val="00DF7CBE"/>
    <w:rsid w:val="00DF7CF9"/>
    <w:rsid w:val="00E01567"/>
    <w:rsid w:val="00E015BB"/>
    <w:rsid w:val="00E01722"/>
    <w:rsid w:val="00E01FE7"/>
    <w:rsid w:val="00E03221"/>
    <w:rsid w:val="00E03898"/>
    <w:rsid w:val="00E0404E"/>
    <w:rsid w:val="00E04912"/>
    <w:rsid w:val="00E04DF3"/>
    <w:rsid w:val="00E05C7E"/>
    <w:rsid w:val="00E05CB9"/>
    <w:rsid w:val="00E06196"/>
    <w:rsid w:val="00E061CD"/>
    <w:rsid w:val="00E06329"/>
    <w:rsid w:val="00E06393"/>
    <w:rsid w:val="00E067D9"/>
    <w:rsid w:val="00E1020A"/>
    <w:rsid w:val="00E10767"/>
    <w:rsid w:val="00E10B74"/>
    <w:rsid w:val="00E1270A"/>
    <w:rsid w:val="00E15541"/>
    <w:rsid w:val="00E15EE3"/>
    <w:rsid w:val="00E16242"/>
    <w:rsid w:val="00E16503"/>
    <w:rsid w:val="00E165B0"/>
    <w:rsid w:val="00E17427"/>
    <w:rsid w:val="00E17DE0"/>
    <w:rsid w:val="00E17EB9"/>
    <w:rsid w:val="00E17EFD"/>
    <w:rsid w:val="00E20BEE"/>
    <w:rsid w:val="00E221D8"/>
    <w:rsid w:val="00E22AE6"/>
    <w:rsid w:val="00E2453B"/>
    <w:rsid w:val="00E2464E"/>
    <w:rsid w:val="00E24706"/>
    <w:rsid w:val="00E24EEA"/>
    <w:rsid w:val="00E25CF0"/>
    <w:rsid w:val="00E303F5"/>
    <w:rsid w:val="00E30820"/>
    <w:rsid w:val="00E31402"/>
    <w:rsid w:val="00E32634"/>
    <w:rsid w:val="00E33040"/>
    <w:rsid w:val="00E33A54"/>
    <w:rsid w:val="00E33EB9"/>
    <w:rsid w:val="00E33F55"/>
    <w:rsid w:val="00E34950"/>
    <w:rsid w:val="00E34EFD"/>
    <w:rsid w:val="00E34F00"/>
    <w:rsid w:val="00E35B40"/>
    <w:rsid w:val="00E35E78"/>
    <w:rsid w:val="00E3649E"/>
    <w:rsid w:val="00E368C9"/>
    <w:rsid w:val="00E369BC"/>
    <w:rsid w:val="00E36EB0"/>
    <w:rsid w:val="00E36F07"/>
    <w:rsid w:val="00E37228"/>
    <w:rsid w:val="00E37704"/>
    <w:rsid w:val="00E41277"/>
    <w:rsid w:val="00E4157D"/>
    <w:rsid w:val="00E421A1"/>
    <w:rsid w:val="00E425DE"/>
    <w:rsid w:val="00E42719"/>
    <w:rsid w:val="00E4347F"/>
    <w:rsid w:val="00E45B22"/>
    <w:rsid w:val="00E45DB0"/>
    <w:rsid w:val="00E46A84"/>
    <w:rsid w:val="00E46B33"/>
    <w:rsid w:val="00E46F2B"/>
    <w:rsid w:val="00E51627"/>
    <w:rsid w:val="00E51FB9"/>
    <w:rsid w:val="00E52491"/>
    <w:rsid w:val="00E530E0"/>
    <w:rsid w:val="00E5322B"/>
    <w:rsid w:val="00E538EF"/>
    <w:rsid w:val="00E54027"/>
    <w:rsid w:val="00E54585"/>
    <w:rsid w:val="00E54B9C"/>
    <w:rsid w:val="00E54BD2"/>
    <w:rsid w:val="00E56A4F"/>
    <w:rsid w:val="00E5728D"/>
    <w:rsid w:val="00E576F9"/>
    <w:rsid w:val="00E60D4A"/>
    <w:rsid w:val="00E61CF2"/>
    <w:rsid w:val="00E621E0"/>
    <w:rsid w:val="00E626EB"/>
    <w:rsid w:val="00E62C22"/>
    <w:rsid w:val="00E63128"/>
    <w:rsid w:val="00E63713"/>
    <w:rsid w:val="00E6376C"/>
    <w:rsid w:val="00E63B63"/>
    <w:rsid w:val="00E64572"/>
    <w:rsid w:val="00E64BE5"/>
    <w:rsid w:val="00E65039"/>
    <w:rsid w:val="00E65044"/>
    <w:rsid w:val="00E6507F"/>
    <w:rsid w:val="00E6554E"/>
    <w:rsid w:val="00E6669F"/>
    <w:rsid w:val="00E666B2"/>
    <w:rsid w:val="00E6708D"/>
    <w:rsid w:val="00E6796D"/>
    <w:rsid w:val="00E67AFB"/>
    <w:rsid w:val="00E70A86"/>
    <w:rsid w:val="00E70FFA"/>
    <w:rsid w:val="00E71865"/>
    <w:rsid w:val="00E71D68"/>
    <w:rsid w:val="00E72B74"/>
    <w:rsid w:val="00E73379"/>
    <w:rsid w:val="00E73DFF"/>
    <w:rsid w:val="00E74596"/>
    <w:rsid w:val="00E750A8"/>
    <w:rsid w:val="00E75A80"/>
    <w:rsid w:val="00E761F6"/>
    <w:rsid w:val="00E7708E"/>
    <w:rsid w:val="00E77D57"/>
    <w:rsid w:val="00E77E14"/>
    <w:rsid w:val="00E83A93"/>
    <w:rsid w:val="00E83CE9"/>
    <w:rsid w:val="00E8496F"/>
    <w:rsid w:val="00E84AA0"/>
    <w:rsid w:val="00E84CAC"/>
    <w:rsid w:val="00E84E70"/>
    <w:rsid w:val="00E85626"/>
    <w:rsid w:val="00E868D4"/>
    <w:rsid w:val="00E87192"/>
    <w:rsid w:val="00E8737F"/>
    <w:rsid w:val="00E87E93"/>
    <w:rsid w:val="00E92117"/>
    <w:rsid w:val="00E93908"/>
    <w:rsid w:val="00E95347"/>
    <w:rsid w:val="00E974F0"/>
    <w:rsid w:val="00E97B18"/>
    <w:rsid w:val="00EA0A53"/>
    <w:rsid w:val="00EA12DE"/>
    <w:rsid w:val="00EA14A8"/>
    <w:rsid w:val="00EA30DF"/>
    <w:rsid w:val="00EA375C"/>
    <w:rsid w:val="00EA3C6D"/>
    <w:rsid w:val="00EA55A1"/>
    <w:rsid w:val="00EA6193"/>
    <w:rsid w:val="00EA6726"/>
    <w:rsid w:val="00EB05E4"/>
    <w:rsid w:val="00EB06B0"/>
    <w:rsid w:val="00EB0A4C"/>
    <w:rsid w:val="00EB20B2"/>
    <w:rsid w:val="00EB27DD"/>
    <w:rsid w:val="00EB29B3"/>
    <w:rsid w:val="00EB30BF"/>
    <w:rsid w:val="00EB3A6B"/>
    <w:rsid w:val="00EB3F1F"/>
    <w:rsid w:val="00EB3FAD"/>
    <w:rsid w:val="00EB4899"/>
    <w:rsid w:val="00EB4AFB"/>
    <w:rsid w:val="00EB5724"/>
    <w:rsid w:val="00EB57CB"/>
    <w:rsid w:val="00EB5E8C"/>
    <w:rsid w:val="00EB6879"/>
    <w:rsid w:val="00EB6889"/>
    <w:rsid w:val="00EB7148"/>
    <w:rsid w:val="00EB71E0"/>
    <w:rsid w:val="00EB737C"/>
    <w:rsid w:val="00EB756B"/>
    <w:rsid w:val="00EC0583"/>
    <w:rsid w:val="00EC101F"/>
    <w:rsid w:val="00EC41E6"/>
    <w:rsid w:val="00EC48F2"/>
    <w:rsid w:val="00EC56A7"/>
    <w:rsid w:val="00EC6A4F"/>
    <w:rsid w:val="00EC6F81"/>
    <w:rsid w:val="00EC7F34"/>
    <w:rsid w:val="00ED043D"/>
    <w:rsid w:val="00ED0C08"/>
    <w:rsid w:val="00ED1032"/>
    <w:rsid w:val="00ED1302"/>
    <w:rsid w:val="00ED1BDA"/>
    <w:rsid w:val="00ED1D75"/>
    <w:rsid w:val="00ED29E0"/>
    <w:rsid w:val="00ED2A11"/>
    <w:rsid w:val="00ED2CD2"/>
    <w:rsid w:val="00ED3D49"/>
    <w:rsid w:val="00ED6285"/>
    <w:rsid w:val="00ED6411"/>
    <w:rsid w:val="00ED673D"/>
    <w:rsid w:val="00ED68D6"/>
    <w:rsid w:val="00ED72A7"/>
    <w:rsid w:val="00ED74B8"/>
    <w:rsid w:val="00ED78B7"/>
    <w:rsid w:val="00ED7B77"/>
    <w:rsid w:val="00EE0286"/>
    <w:rsid w:val="00EE0AD5"/>
    <w:rsid w:val="00EE19CF"/>
    <w:rsid w:val="00EE3014"/>
    <w:rsid w:val="00EE4036"/>
    <w:rsid w:val="00EE4E56"/>
    <w:rsid w:val="00EE502F"/>
    <w:rsid w:val="00EE5165"/>
    <w:rsid w:val="00EE5E11"/>
    <w:rsid w:val="00EE5E89"/>
    <w:rsid w:val="00EF0A04"/>
    <w:rsid w:val="00EF12D4"/>
    <w:rsid w:val="00EF1D3C"/>
    <w:rsid w:val="00EF1DA3"/>
    <w:rsid w:val="00EF205E"/>
    <w:rsid w:val="00EF262D"/>
    <w:rsid w:val="00EF2A25"/>
    <w:rsid w:val="00EF3571"/>
    <w:rsid w:val="00EF3918"/>
    <w:rsid w:val="00EF4174"/>
    <w:rsid w:val="00EF4659"/>
    <w:rsid w:val="00EF4BAC"/>
    <w:rsid w:val="00EF4C5C"/>
    <w:rsid w:val="00EF4E25"/>
    <w:rsid w:val="00EF55FB"/>
    <w:rsid w:val="00EF5C4F"/>
    <w:rsid w:val="00EF6938"/>
    <w:rsid w:val="00EF720D"/>
    <w:rsid w:val="00EF7350"/>
    <w:rsid w:val="00EF7DC7"/>
    <w:rsid w:val="00EF7F8F"/>
    <w:rsid w:val="00F001A0"/>
    <w:rsid w:val="00F01040"/>
    <w:rsid w:val="00F01AEE"/>
    <w:rsid w:val="00F02D13"/>
    <w:rsid w:val="00F03DB4"/>
    <w:rsid w:val="00F04116"/>
    <w:rsid w:val="00F04169"/>
    <w:rsid w:val="00F0462B"/>
    <w:rsid w:val="00F05E52"/>
    <w:rsid w:val="00F06C7D"/>
    <w:rsid w:val="00F06E0B"/>
    <w:rsid w:val="00F0767B"/>
    <w:rsid w:val="00F07BE3"/>
    <w:rsid w:val="00F10AE2"/>
    <w:rsid w:val="00F1100A"/>
    <w:rsid w:val="00F111E4"/>
    <w:rsid w:val="00F11BEF"/>
    <w:rsid w:val="00F12DB5"/>
    <w:rsid w:val="00F140EF"/>
    <w:rsid w:val="00F146E7"/>
    <w:rsid w:val="00F14A89"/>
    <w:rsid w:val="00F167F1"/>
    <w:rsid w:val="00F16C03"/>
    <w:rsid w:val="00F1767A"/>
    <w:rsid w:val="00F17D17"/>
    <w:rsid w:val="00F21638"/>
    <w:rsid w:val="00F23D5F"/>
    <w:rsid w:val="00F249AA"/>
    <w:rsid w:val="00F25AD6"/>
    <w:rsid w:val="00F262B6"/>
    <w:rsid w:val="00F274C4"/>
    <w:rsid w:val="00F27962"/>
    <w:rsid w:val="00F309B9"/>
    <w:rsid w:val="00F3171B"/>
    <w:rsid w:val="00F31989"/>
    <w:rsid w:val="00F31D79"/>
    <w:rsid w:val="00F323C6"/>
    <w:rsid w:val="00F32892"/>
    <w:rsid w:val="00F32DD3"/>
    <w:rsid w:val="00F338AF"/>
    <w:rsid w:val="00F33C54"/>
    <w:rsid w:val="00F34506"/>
    <w:rsid w:val="00F3463D"/>
    <w:rsid w:val="00F35B11"/>
    <w:rsid w:val="00F35BA6"/>
    <w:rsid w:val="00F366E7"/>
    <w:rsid w:val="00F36E16"/>
    <w:rsid w:val="00F37824"/>
    <w:rsid w:val="00F37D08"/>
    <w:rsid w:val="00F400CF"/>
    <w:rsid w:val="00F40434"/>
    <w:rsid w:val="00F4063A"/>
    <w:rsid w:val="00F40FC7"/>
    <w:rsid w:val="00F40FDF"/>
    <w:rsid w:val="00F41D68"/>
    <w:rsid w:val="00F42610"/>
    <w:rsid w:val="00F429FB"/>
    <w:rsid w:val="00F43430"/>
    <w:rsid w:val="00F434AF"/>
    <w:rsid w:val="00F44145"/>
    <w:rsid w:val="00F4482B"/>
    <w:rsid w:val="00F44CD4"/>
    <w:rsid w:val="00F450E1"/>
    <w:rsid w:val="00F45EA8"/>
    <w:rsid w:val="00F47817"/>
    <w:rsid w:val="00F47B6D"/>
    <w:rsid w:val="00F50A4E"/>
    <w:rsid w:val="00F51E29"/>
    <w:rsid w:val="00F5241A"/>
    <w:rsid w:val="00F52828"/>
    <w:rsid w:val="00F52D60"/>
    <w:rsid w:val="00F52F47"/>
    <w:rsid w:val="00F534B2"/>
    <w:rsid w:val="00F5387C"/>
    <w:rsid w:val="00F54067"/>
    <w:rsid w:val="00F5461C"/>
    <w:rsid w:val="00F5547A"/>
    <w:rsid w:val="00F5550F"/>
    <w:rsid w:val="00F55628"/>
    <w:rsid w:val="00F5600C"/>
    <w:rsid w:val="00F5621D"/>
    <w:rsid w:val="00F56D92"/>
    <w:rsid w:val="00F56F63"/>
    <w:rsid w:val="00F60FEC"/>
    <w:rsid w:val="00F61220"/>
    <w:rsid w:val="00F612B7"/>
    <w:rsid w:val="00F618BA"/>
    <w:rsid w:val="00F61ACF"/>
    <w:rsid w:val="00F62412"/>
    <w:rsid w:val="00F62786"/>
    <w:rsid w:val="00F62956"/>
    <w:rsid w:val="00F636CC"/>
    <w:rsid w:val="00F64559"/>
    <w:rsid w:val="00F66058"/>
    <w:rsid w:val="00F66261"/>
    <w:rsid w:val="00F67C03"/>
    <w:rsid w:val="00F67CF8"/>
    <w:rsid w:val="00F70AF2"/>
    <w:rsid w:val="00F7180D"/>
    <w:rsid w:val="00F71A13"/>
    <w:rsid w:val="00F71E27"/>
    <w:rsid w:val="00F71F9A"/>
    <w:rsid w:val="00F73069"/>
    <w:rsid w:val="00F731E1"/>
    <w:rsid w:val="00F7357C"/>
    <w:rsid w:val="00F737D7"/>
    <w:rsid w:val="00F73FC2"/>
    <w:rsid w:val="00F74366"/>
    <w:rsid w:val="00F74BCD"/>
    <w:rsid w:val="00F75623"/>
    <w:rsid w:val="00F76D81"/>
    <w:rsid w:val="00F773EA"/>
    <w:rsid w:val="00F7764B"/>
    <w:rsid w:val="00F77721"/>
    <w:rsid w:val="00F77E92"/>
    <w:rsid w:val="00F77F0E"/>
    <w:rsid w:val="00F81533"/>
    <w:rsid w:val="00F81C8E"/>
    <w:rsid w:val="00F81DDB"/>
    <w:rsid w:val="00F8248D"/>
    <w:rsid w:val="00F82A69"/>
    <w:rsid w:val="00F8336B"/>
    <w:rsid w:val="00F858E0"/>
    <w:rsid w:val="00F903FB"/>
    <w:rsid w:val="00F90ABB"/>
    <w:rsid w:val="00F91E41"/>
    <w:rsid w:val="00F91FEB"/>
    <w:rsid w:val="00F929EF"/>
    <w:rsid w:val="00F92E5D"/>
    <w:rsid w:val="00F92EB8"/>
    <w:rsid w:val="00F92EC4"/>
    <w:rsid w:val="00F9303E"/>
    <w:rsid w:val="00F9395C"/>
    <w:rsid w:val="00F93FFD"/>
    <w:rsid w:val="00F94DD7"/>
    <w:rsid w:val="00F950C2"/>
    <w:rsid w:val="00F959F8"/>
    <w:rsid w:val="00F95E44"/>
    <w:rsid w:val="00F960D8"/>
    <w:rsid w:val="00F961A5"/>
    <w:rsid w:val="00F96241"/>
    <w:rsid w:val="00F967BC"/>
    <w:rsid w:val="00F96E2E"/>
    <w:rsid w:val="00FA025F"/>
    <w:rsid w:val="00FA075F"/>
    <w:rsid w:val="00FA209D"/>
    <w:rsid w:val="00FA26E4"/>
    <w:rsid w:val="00FA288A"/>
    <w:rsid w:val="00FA3E03"/>
    <w:rsid w:val="00FA66F0"/>
    <w:rsid w:val="00FA6922"/>
    <w:rsid w:val="00FA73A4"/>
    <w:rsid w:val="00FA797A"/>
    <w:rsid w:val="00FA7BE9"/>
    <w:rsid w:val="00FB03A7"/>
    <w:rsid w:val="00FB10E8"/>
    <w:rsid w:val="00FB1611"/>
    <w:rsid w:val="00FB171E"/>
    <w:rsid w:val="00FB2270"/>
    <w:rsid w:val="00FB2951"/>
    <w:rsid w:val="00FB2E38"/>
    <w:rsid w:val="00FB3763"/>
    <w:rsid w:val="00FB4289"/>
    <w:rsid w:val="00FB461F"/>
    <w:rsid w:val="00FB4B8C"/>
    <w:rsid w:val="00FB53AB"/>
    <w:rsid w:val="00FB541D"/>
    <w:rsid w:val="00FB5922"/>
    <w:rsid w:val="00FB595E"/>
    <w:rsid w:val="00FB5982"/>
    <w:rsid w:val="00FB5F61"/>
    <w:rsid w:val="00FB6411"/>
    <w:rsid w:val="00FB64F8"/>
    <w:rsid w:val="00FB6B54"/>
    <w:rsid w:val="00FB7DF4"/>
    <w:rsid w:val="00FC0090"/>
    <w:rsid w:val="00FC0349"/>
    <w:rsid w:val="00FC0837"/>
    <w:rsid w:val="00FC0E6A"/>
    <w:rsid w:val="00FC10D5"/>
    <w:rsid w:val="00FC129A"/>
    <w:rsid w:val="00FC1EEB"/>
    <w:rsid w:val="00FC1F64"/>
    <w:rsid w:val="00FC344B"/>
    <w:rsid w:val="00FC355A"/>
    <w:rsid w:val="00FC46AE"/>
    <w:rsid w:val="00FC4704"/>
    <w:rsid w:val="00FC4BCD"/>
    <w:rsid w:val="00FC529B"/>
    <w:rsid w:val="00FC5FD7"/>
    <w:rsid w:val="00FC636C"/>
    <w:rsid w:val="00FC676B"/>
    <w:rsid w:val="00FD1057"/>
    <w:rsid w:val="00FD1410"/>
    <w:rsid w:val="00FD16E2"/>
    <w:rsid w:val="00FD1C73"/>
    <w:rsid w:val="00FD2710"/>
    <w:rsid w:val="00FD287F"/>
    <w:rsid w:val="00FD31E6"/>
    <w:rsid w:val="00FD4602"/>
    <w:rsid w:val="00FD46FB"/>
    <w:rsid w:val="00FD4CB8"/>
    <w:rsid w:val="00FD54F2"/>
    <w:rsid w:val="00FD77A0"/>
    <w:rsid w:val="00FD78D1"/>
    <w:rsid w:val="00FE0863"/>
    <w:rsid w:val="00FE0B67"/>
    <w:rsid w:val="00FE1163"/>
    <w:rsid w:val="00FE166C"/>
    <w:rsid w:val="00FE19A5"/>
    <w:rsid w:val="00FE1E04"/>
    <w:rsid w:val="00FE313B"/>
    <w:rsid w:val="00FE45B3"/>
    <w:rsid w:val="00FE4E2B"/>
    <w:rsid w:val="00FE6A7F"/>
    <w:rsid w:val="00FE6D9D"/>
    <w:rsid w:val="00FE7765"/>
    <w:rsid w:val="00FE7A4B"/>
    <w:rsid w:val="00FE7BE5"/>
    <w:rsid w:val="00FF069E"/>
    <w:rsid w:val="00FF0934"/>
    <w:rsid w:val="00FF0F6B"/>
    <w:rsid w:val="00FF213B"/>
    <w:rsid w:val="00FF2FE4"/>
    <w:rsid w:val="00FF3550"/>
    <w:rsid w:val="00FF35C6"/>
    <w:rsid w:val="00FF39E4"/>
    <w:rsid w:val="00FF3A65"/>
    <w:rsid w:val="00FF3E9C"/>
    <w:rsid w:val="00FF4505"/>
    <w:rsid w:val="00FF493C"/>
    <w:rsid w:val="00FF4E90"/>
    <w:rsid w:val="00FF5E8B"/>
    <w:rsid w:val="00FF628F"/>
    <w:rsid w:val="00FF6C9F"/>
    <w:rsid w:val="00FF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D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E0"/>
    <w:pPr>
      <w:autoSpaceDE w:val="0"/>
      <w:autoSpaceDN w:val="0"/>
      <w:adjustRightInd w:val="0"/>
      <w:spacing w:after="0" w:line="240" w:lineRule="auto"/>
    </w:pPr>
    <w:rPr>
      <w:rFonts w:ascii="Arial" w:eastAsia="Times New Roman" w:hAnsi="Arial" w:cs="Times New Roman"/>
      <w:sz w:val="20"/>
      <w:szCs w:val="20"/>
    </w:rPr>
  </w:style>
  <w:style w:type="paragraph" w:styleId="Heading1">
    <w:name w:val="heading 1"/>
    <w:aliases w:val="NUREG_Heading 1"/>
    <w:basedOn w:val="Normal"/>
    <w:next w:val="Normal"/>
    <w:link w:val="Heading1Char"/>
    <w:uiPriority w:val="1"/>
    <w:qFormat/>
    <w:rsid w:val="00BF0D2D"/>
    <w:pPr>
      <w:keepNext/>
      <w:spacing w:before="240" w:after="120"/>
      <w:ind w:left="806" w:hanging="806"/>
      <w:outlineLvl w:val="0"/>
    </w:pPr>
    <w:rPr>
      <w:rFonts w:cs="Arial"/>
      <w:b/>
      <w:bCs/>
      <w:kern w:val="32"/>
      <w:sz w:val="32"/>
      <w:szCs w:val="32"/>
    </w:rPr>
  </w:style>
  <w:style w:type="paragraph" w:styleId="Heading2">
    <w:name w:val="heading 2"/>
    <w:basedOn w:val="Normal"/>
    <w:next w:val="Normal"/>
    <w:link w:val="Heading2Char"/>
    <w:uiPriority w:val="1"/>
    <w:qFormat/>
    <w:rsid w:val="00BF0D2D"/>
    <w:pPr>
      <w:keepNext/>
      <w:spacing w:before="240" w:after="120"/>
      <w:outlineLvl w:val="1"/>
    </w:pPr>
    <w:rPr>
      <w:rFonts w:cs="Arial"/>
      <w:b/>
      <w:bCs/>
      <w:i/>
      <w:iCs/>
      <w:sz w:val="28"/>
      <w:szCs w:val="28"/>
    </w:rPr>
  </w:style>
  <w:style w:type="paragraph" w:styleId="Heading3">
    <w:name w:val="heading 3"/>
    <w:basedOn w:val="Normal"/>
    <w:next w:val="Normal"/>
    <w:link w:val="Heading3Char"/>
    <w:uiPriority w:val="1"/>
    <w:unhideWhenUsed/>
    <w:qFormat/>
    <w:rsid w:val="006B552E"/>
    <w:pPr>
      <w:keepNext/>
      <w:spacing w:before="240" w:after="120"/>
      <w:outlineLvl w:val="2"/>
    </w:pPr>
    <w:rPr>
      <w:rFonts w:cs="Arial"/>
      <w:b/>
      <w:bCs/>
      <w:sz w:val="26"/>
      <w:szCs w:val="26"/>
    </w:rPr>
  </w:style>
  <w:style w:type="paragraph" w:styleId="Heading4">
    <w:name w:val="heading 4"/>
    <w:basedOn w:val="Normal"/>
    <w:next w:val="Normal"/>
    <w:link w:val="Heading4Char"/>
    <w:autoRedefine/>
    <w:uiPriority w:val="1"/>
    <w:unhideWhenUsed/>
    <w:qFormat/>
    <w:rsid w:val="00763BA9"/>
    <w:pPr>
      <w:keepNext/>
      <w:ind w:left="1080" w:hanging="1080"/>
      <w:outlineLvl w:val="3"/>
    </w:pPr>
    <w:rPr>
      <w:sz w:val="22"/>
      <w:szCs w:val="22"/>
      <w:u w:val="single"/>
    </w:rPr>
  </w:style>
  <w:style w:type="paragraph" w:styleId="Heading5">
    <w:name w:val="heading 5"/>
    <w:basedOn w:val="Normal"/>
    <w:next w:val="Normal"/>
    <w:link w:val="Heading5Char"/>
    <w:uiPriority w:val="1"/>
    <w:unhideWhenUsed/>
    <w:qFormat/>
    <w:rsid w:val="00CE377A"/>
    <w:pPr>
      <w:keepNext/>
      <w:keepLines/>
      <w:spacing w:before="200"/>
      <w:outlineLvl w:val="4"/>
    </w:pPr>
    <w:rPr>
      <w:rFonts w:asciiTheme="majorHAnsi" w:eastAsiaTheme="majorEastAsia" w:hAnsiTheme="majorHAnsi" w:cstheme="majorBidi"/>
      <w:b/>
      <w:sz w:val="22"/>
    </w:rPr>
  </w:style>
  <w:style w:type="paragraph" w:styleId="Heading6">
    <w:name w:val="heading 6"/>
    <w:basedOn w:val="Normal"/>
    <w:next w:val="Normal"/>
    <w:link w:val="Heading6Char"/>
    <w:uiPriority w:val="1"/>
    <w:unhideWhenUsed/>
    <w:qFormat/>
    <w:rsid w:val="00670CEF"/>
    <w:pPr>
      <w:keepNext/>
      <w:keepLines/>
      <w:autoSpaceDE/>
      <w:autoSpaceDN/>
      <w:adjustRightInd/>
      <w:spacing w:after="600"/>
      <w:jc w:val="center"/>
      <w:outlineLvl w:val="5"/>
    </w:pPr>
    <w:rPr>
      <w:b/>
      <w:color w:val="365F91"/>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REG_Heading 1 Char"/>
    <w:basedOn w:val="DefaultParagraphFont"/>
    <w:link w:val="Heading1"/>
    <w:uiPriority w:val="1"/>
    <w:rsid w:val="00BF0D2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BF0D2D"/>
    <w:rPr>
      <w:rFonts w:ascii="Arial" w:eastAsia="Times New Roman" w:hAnsi="Arial" w:cs="Arial"/>
      <w:b/>
      <w:bCs/>
      <w:i/>
      <w:iCs/>
      <w:sz w:val="28"/>
      <w:szCs w:val="28"/>
    </w:rPr>
  </w:style>
  <w:style w:type="paragraph" w:styleId="FootnoteText">
    <w:name w:val="footnote text"/>
    <w:basedOn w:val="Normal"/>
    <w:link w:val="FootnoteTextChar"/>
    <w:rsid w:val="008B0B61"/>
  </w:style>
  <w:style w:type="character" w:customStyle="1" w:styleId="FootnoteTextChar">
    <w:name w:val="Footnote Text Char"/>
    <w:basedOn w:val="DefaultParagraphFont"/>
    <w:link w:val="FootnoteText"/>
    <w:rsid w:val="008B0B61"/>
    <w:rPr>
      <w:rFonts w:ascii="Arial" w:eastAsia="Times New Roman" w:hAnsi="Arial" w:cs="Times New Roman"/>
      <w:sz w:val="20"/>
      <w:szCs w:val="20"/>
    </w:rPr>
  </w:style>
  <w:style w:type="character" w:styleId="FootnoteReference">
    <w:name w:val="footnote reference"/>
    <w:basedOn w:val="DefaultParagraphFont"/>
    <w:rsid w:val="008B0B61"/>
    <w:rPr>
      <w:vertAlign w:val="superscript"/>
    </w:rPr>
  </w:style>
  <w:style w:type="character" w:styleId="CommentReference">
    <w:name w:val="annotation reference"/>
    <w:basedOn w:val="DefaultParagraphFont"/>
    <w:uiPriority w:val="99"/>
    <w:unhideWhenUsed/>
    <w:rsid w:val="002264BF"/>
    <w:rPr>
      <w:sz w:val="16"/>
      <w:szCs w:val="16"/>
    </w:rPr>
  </w:style>
  <w:style w:type="paragraph" w:styleId="CommentText">
    <w:name w:val="annotation text"/>
    <w:basedOn w:val="Normal"/>
    <w:link w:val="CommentTextChar"/>
    <w:uiPriority w:val="99"/>
    <w:unhideWhenUsed/>
    <w:rsid w:val="002264BF"/>
  </w:style>
  <w:style w:type="character" w:customStyle="1" w:styleId="CommentTextChar">
    <w:name w:val="Comment Text Char"/>
    <w:basedOn w:val="DefaultParagraphFont"/>
    <w:link w:val="CommentText"/>
    <w:uiPriority w:val="99"/>
    <w:rsid w:val="002264B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264BF"/>
    <w:rPr>
      <w:b/>
      <w:bCs/>
    </w:rPr>
  </w:style>
  <w:style w:type="character" w:customStyle="1" w:styleId="CommentSubjectChar">
    <w:name w:val="Comment Subject Char"/>
    <w:basedOn w:val="CommentTextChar"/>
    <w:link w:val="CommentSubject"/>
    <w:uiPriority w:val="99"/>
    <w:semiHidden/>
    <w:rsid w:val="002264B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264BF"/>
    <w:rPr>
      <w:rFonts w:ascii="Tahoma" w:hAnsi="Tahoma" w:cs="Tahoma"/>
      <w:sz w:val="16"/>
      <w:szCs w:val="16"/>
    </w:rPr>
  </w:style>
  <w:style w:type="character" w:customStyle="1" w:styleId="BalloonTextChar">
    <w:name w:val="Balloon Text Char"/>
    <w:basedOn w:val="DefaultParagraphFont"/>
    <w:link w:val="BalloonText"/>
    <w:uiPriority w:val="99"/>
    <w:semiHidden/>
    <w:rsid w:val="002264BF"/>
    <w:rPr>
      <w:rFonts w:ascii="Tahoma" w:eastAsia="Times New Roman" w:hAnsi="Tahoma" w:cs="Tahoma"/>
      <w:sz w:val="16"/>
      <w:szCs w:val="16"/>
    </w:rPr>
  </w:style>
  <w:style w:type="paragraph" w:styleId="ListParagraph">
    <w:name w:val="List Paragraph"/>
    <w:basedOn w:val="Normal"/>
    <w:link w:val="ListParagraphChar"/>
    <w:uiPriority w:val="34"/>
    <w:qFormat/>
    <w:rsid w:val="006061EC"/>
    <w:pPr>
      <w:ind w:left="720"/>
      <w:contextualSpacing/>
    </w:pPr>
  </w:style>
  <w:style w:type="numbering" w:customStyle="1" w:styleId="NoList1">
    <w:name w:val="No List1"/>
    <w:next w:val="NoList"/>
    <w:uiPriority w:val="99"/>
    <w:semiHidden/>
    <w:unhideWhenUsed/>
    <w:rsid w:val="005D4140"/>
  </w:style>
  <w:style w:type="table" w:styleId="TableGrid">
    <w:name w:val="Table Grid"/>
    <w:basedOn w:val="TableNormal"/>
    <w:uiPriority w:val="59"/>
    <w:rsid w:val="005D4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140"/>
    <w:pPr>
      <w:tabs>
        <w:tab w:val="center" w:pos="4680"/>
        <w:tab w:val="right" w:pos="9360"/>
      </w:tabs>
      <w:autoSpaceDE/>
      <w:autoSpaceDN/>
      <w:adjustRightInd/>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5D4140"/>
    <w:rPr>
      <w:rFonts w:eastAsiaTheme="minorEastAsia"/>
      <w:lang w:eastAsia="ja-JP"/>
    </w:rPr>
  </w:style>
  <w:style w:type="paragraph" w:styleId="Footer">
    <w:name w:val="footer"/>
    <w:basedOn w:val="Normal"/>
    <w:link w:val="FooterChar"/>
    <w:uiPriority w:val="99"/>
    <w:unhideWhenUsed/>
    <w:rsid w:val="005D4140"/>
    <w:pPr>
      <w:tabs>
        <w:tab w:val="center" w:pos="4680"/>
        <w:tab w:val="right" w:pos="9360"/>
      </w:tabs>
      <w:autoSpaceDE/>
      <w:autoSpaceDN/>
      <w:adjustRightInd/>
    </w:pPr>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5D4140"/>
    <w:rPr>
      <w:rFonts w:eastAsiaTheme="minorEastAsia"/>
      <w:lang w:eastAsia="ja-JP"/>
    </w:rPr>
  </w:style>
  <w:style w:type="paragraph" w:styleId="Revision">
    <w:name w:val="Revision"/>
    <w:hidden/>
    <w:uiPriority w:val="99"/>
    <w:semiHidden/>
    <w:rsid w:val="005D4140"/>
    <w:pPr>
      <w:spacing w:after="0" w:line="240" w:lineRule="auto"/>
    </w:pPr>
    <w:rPr>
      <w:rFonts w:eastAsiaTheme="minorEastAsia"/>
      <w:lang w:eastAsia="ja-JP"/>
    </w:rPr>
  </w:style>
  <w:style w:type="character" w:styleId="Hyperlink">
    <w:name w:val="Hyperlink"/>
    <w:basedOn w:val="DefaultParagraphFont"/>
    <w:uiPriority w:val="99"/>
    <w:unhideWhenUsed/>
    <w:rsid w:val="00A367CB"/>
    <w:rPr>
      <w:color w:val="0000FF" w:themeColor="hyperlink"/>
      <w:u w:val="single"/>
    </w:rPr>
  </w:style>
  <w:style w:type="paragraph" w:styleId="TOC1">
    <w:name w:val="toc 1"/>
    <w:basedOn w:val="Normal"/>
    <w:next w:val="Normal"/>
    <w:autoRedefine/>
    <w:uiPriority w:val="39"/>
    <w:unhideWhenUsed/>
    <w:rsid w:val="001E1061"/>
    <w:pPr>
      <w:tabs>
        <w:tab w:val="left" w:pos="540"/>
        <w:tab w:val="right" w:leader="dot" w:pos="9350"/>
      </w:tabs>
      <w:spacing w:after="100"/>
    </w:pPr>
  </w:style>
  <w:style w:type="paragraph" w:styleId="TOC2">
    <w:name w:val="toc 2"/>
    <w:basedOn w:val="Normal"/>
    <w:next w:val="Normal"/>
    <w:autoRedefine/>
    <w:uiPriority w:val="39"/>
    <w:unhideWhenUsed/>
    <w:rsid w:val="00431AC9"/>
    <w:pPr>
      <w:tabs>
        <w:tab w:val="left" w:pos="360"/>
        <w:tab w:val="left" w:pos="720"/>
        <w:tab w:val="right" w:leader="dot" w:pos="9350"/>
      </w:tabs>
      <w:spacing w:after="100"/>
      <w:ind w:left="200"/>
    </w:pPr>
  </w:style>
  <w:style w:type="paragraph" w:styleId="TOC3">
    <w:name w:val="toc 3"/>
    <w:basedOn w:val="Normal"/>
    <w:next w:val="Normal"/>
    <w:autoRedefine/>
    <w:uiPriority w:val="39"/>
    <w:unhideWhenUsed/>
    <w:rsid w:val="00DF521D"/>
    <w:pPr>
      <w:spacing w:after="100"/>
      <w:ind w:left="400"/>
    </w:pPr>
  </w:style>
  <w:style w:type="character" w:customStyle="1" w:styleId="Heading3Char">
    <w:name w:val="Heading 3 Char"/>
    <w:basedOn w:val="DefaultParagraphFont"/>
    <w:link w:val="Heading3"/>
    <w:uiPriority w:val="1"/>
    <w:rsid w:val="006B552E"/>
    <w:rPr>
      <w:rFonts w:ascii="Arial" w:eastAsia="Times New Roman" w:hAnsi="Arial" w:cs="Arial"/>
      <w:b/>
      <w:bCs/>
      <w:sz w:val="26"/>
      <w:szCs w:val="26"/>
    </w:rPr>
  </w:style>
  <w:style w:type="paragraph" w:customStyle="1" w:styleId="Exhibit">
    <w:name w:val="Exhibit"/>
    <w:basedOn w:val="Normal"/>
    <w:qFormat/>
    <w:rsid w:val="008D270A"/>
    <w:pPr>
      <w:keepNext/>
      <w:autoSpaceDE/>
      <w:autoSpaceDN/>
      <w:adjustRightInd/>
      <w:spacing w:before="240" w:after="120"/>
      <w:jc w:val="center"/>
    </w:pPr>
    <w:rPr>
      <w:rFonts w:eastAsiaTheme="minorEastAsia" w:cs="Arial"/>
      <w:b/>
      <w:sz w:val="22"/>
      <w:szCs w:val="22"/>
      <w:lang w:eastAsia="ja-JP"/>
    </w:rPr>
  </w:style>
  <w:style w:type="paragraph" w:customStyle="1" w:styleId="Appendix">
    <w:name w:val="Appendix"/>
    <w:basedOn w:val="Normal"/>
    <w:qFormat/>
    <w:rsid w:val="00BF0D2D"/>
    <w:rPr>
      <w:b/>
      <w:i/>
      <w:sz w:val="28"/>
      <w:szCs w:val="28"/>
    </w:rPr>
  </w:style>
  <w:style w:type="character" w:customStyle="1" w:styleId="Heading4Char">
    <w:name w:val="Heading 4 Char"/>
    <w:basedOn w:val="DefaultParagraphFont"/>
    <w:link w:val="Heading4"/>
    <w:uiPriority w:val="1"/>
    <w:rsid w:val="00763BA9"/>
    <w:rPr>
      <w:rFonts w:ascii="Arial" w:eastAsia="Times New Roman" w:hAnsi="Arial" w:cs="Times New Roman"/>
      <w:u w:val="single"/>
    </w:rPr>
  </w:style>
  <w:style w:type="character" w:styleId="FollowedHyperlink">
    <w:name w:val="FollowedHyperlink"/>
    <w:basedOn w:val="DefaultParagraphFont"/>
    <w:uiPriority w:val="99"/>
    <w:semiHidden/>
    <w:unhideWhenUsed/>
    <w:rsid w:val="00B4400C"/>
    <w:rPr>
      <w:color w:val="800080"/>
      <w:u w:val="single"/>
    </w:rPr>
  </w:style>
  <w:style w:type="paragraph" w:customStyle="1" w:styleId="xl98">
    <w:name w:val="xl98"/>
    <w:basedOn w:val="Normal"/>
    <w:rsid w:val="00B4400C"/>
    <w:pPr>
      <w:pBdr>
        <w:bottom w:val="single" w:sz="4" w:space="0" w:color="auto"/>
        <w:right w:val="single" w:sz="4" w:space="0" w:color="auto"/>
      </w:pBdr>
      <w:shd w:val="clear" w:color="000000" w:fill="4E5A7A"/>
      <w:autoSpaceDE/>
      <w:autoSpaceDN/>
      <w:adjustRightInd/>
      <w:spacing w:before="100" w:beforeAutospacing="1" w:after="100" w:afterAutospacing="1"/>
    </w:pPr>
    <w:rPr>
      <w:rFonts w:cs="Arial"/>
      <w:color w:val="FFFFFF"/>
      <w:sz w:val="24"/>
      <w:szCs w:val="24"/>
    </w:rPr>
  </w:style>
  <w:style w:type="paragraph" w:customStyle="1" w:styleId="xl99">
    <w:name w:val="xl99"/>
    <w:basedOn w:val="Normal"/>
    <w:rsid w:val="00B4400C"/>
    <w:pPr>
      <w:pBdr>
        <w:left w:val="single" w:sz="4" w:space="0" w:color="auto"/>
        <w:bottom w:val="single" w:sz="4"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0">
    <w:name w:val="xl100"/>
    <w:basedOn w:val="Normal"/>
    <w:rsid w:val="00B4400C"/>
    <w:pPr>
      <w:pBdr>
        <w:bottom w:val="single" w:sz="8"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1">
    <w:name w:val="xl101"/>
    <w:basedOn w:val="Normal"/>
    <w:rsid w:val="00B4400C"/>
    <w:pPr>
      <w:pBdr>
        <w:bottom w:val="single" w:sz="4"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2">
    <w:name w:val="xl102"/>
    <w:basedOn w:val="Normal"/>
    <w:rsid w:val="00B4400C"/>
    <w:pPr>
      <w:pBdr>
        <w:left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3">
    <w:name w:val="xl103"/>
    <w:basedOn w:val="Normal"/>
    <w:rsid w:val="00B4400C"/>
    <w:pP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4">
    <w:name w:val="xl104"/>
    <w:basedOn w:val="Normal"/>
    <w:rsid w:val="00B4400C"/>
    <w:pPr>
      <w:pBdr>
        <w:left w:val="single" w:sz="8" w:space="0" w:color="auto"/>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5">
    <w:name w:val="xl105"/>
    <w:basedOn w:val="Normal"/>
    <w:rsid w:val="00B4400C"/>
    <w:pPr>
      <w:pBdr>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6">
    <w:name w:val="xl106"/>
    <w:basedOn w:val="Normal"/>
    <w:rsid w:val="00B4400C"/>
    <w:pP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7">
    <w:name w:val="xl107"/>
    <w:basedOn w:val="Normal"/>
    <w:rsid w:val="00B4400C"/>
    <w:pPr>
      <w:pBdr>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8">
    <w:name w:val="xl108"/>
    <w:basedOn w:val="Normal"/>
    <w:rsid w:val="00B4400C"/>
    <w:pPr>
      <w:pBdr>
        <w:top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09">
    <w:name w:val="xl109"/>
    <w:basedOn w:val="Normal"/>
    <w:rsid w:val="00B4400C"/>
    <w:pPr>
      <w:pBdr>
        <w:top w:val="single" w:sz="8" w:space="0" w:color="auto"/>
      </w:pBd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10">
    <w:name w:val="xl110"/>
    <w:basedOn w:val="Normal"/>
    <w:rsid w:val="00B4400C"/>
    <w:pPr>
      <w:pBdr>
        <w:top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11">
    <w:name w:val="xl111"/>
    <w:basedOn w:val="Normal"/>
    <w:rsid w:val="00B4400C"/>
    <w:pPr>
      <w:pBdr>
        <w:top w:val="single" w:sz="8" w:space="0" w:color="auto"/>
        <w:left w:val="single" w:sz="4" w:space="0" w:color="auto"/>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12">
    <w:name w:val="xl112"/>
    <w:basedOn w:val="Normal"/>
    <w:rsid w:val="00B4400C"/>
    <w:pPr>
      <w:pBdr>
        <w:top w:val="single" w:sz="8"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13">
    <w:name w:val="xl113"/>
    <w:basedOn w:val="Normal"/>
    <w:rsid w:val="00B4400C"/>
    <w:pPr>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14">
    <w:name w:val="xl114"/>
    <w:basedOn w:val="Normal"/>
    <w:rsid w:val="00B4400C"/>
    <w:pPr>
      <w:pBdr>
        <w:top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15">
    <w:name w:val="xl115"/>
    <w:basedOn w:val="Normal"/>
    <w:rsid w:val="00B4400C"/>
    <w:pPr>
      <w:shd w:val="clear" w:color="000000" w:fill="D9D9D9"/>
      <w:autoSpaceDE/>
      <w:autoSpaceDN/>
      <w:adjustRightInd/>
      <w:spacing w:before="100" w:beforeAutospacing="1" w:after="100" w:afterAutospacing="1"/>
      <w:jc w:val="right"/>
      <w:textAlignment w:val="center"/>
    </w:pPr>
    <w:rPr>
      <w:rFonts w:cs="Arial"/>
      <w:sz w:val="24"/>
      <w:szCs w:val="24"/>
    </w:rPr>
  </w:style>
  <w:style w:type="paragraph" w:customStyle="1" w:styleId="xl116">
    <w:name w:val="xl116"/>
    <w:basedOn w:val="Normal"/>
    <w:rsid w:val="00B4400C"/>
    <w:pP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17">
    <w:name w:val="xl117"/>
    <w:basedOn w:val="Normal"/>
    <w:rsid w:val="00B4400C"/>
    <w:pP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18">
    <w:name w:val="xl118"/>
    <w:basedOn w:val="Normal"/>
    <w:rsid w:val="00B4400C"/>
    <w:pP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19">
    <w:name w:val="xl119"/>
    <w:basedOn w:val="Normal"/>
    <w:rsid w:val="00B4400C"/>
    <w:pPr>
      <w:pBdr>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20">
    <w:name w:val="xl120"/>
    <w:basedOn w:val="Normal"/>
    <w:rsid w:val="00B4400C"/>
    <w:pPr>
      <w:pBdr>
        <w:bottom w:val="single" w:sz="8" w:space="0" w:color="auto"/>
      </w:pBdr>
      <w:shd w:val="clear" w:color="000000" w:fill="D9D9D9"/>
      <w:autoSpaceDE/>
      <w:autoSpaceDN/>
      <w:adjustRightInd/>
      <w:spacing w:before="100" w:beforeAutospacing="1" w:after="100" w:afterAutospacing="1"/>
      <w:jc w:val="right"/>
      <w:textAlignment w:val="center"/>
    </w:pPr>
    <w:rPr>
      <w:rFonts w:cs="Arial"/>
      <w:sz w:val="24"/>
      <w:szCs w:val="24"/>
    </w:rPr>
  </w:style>
  <w:style w:type="paragraph" w:customStyle="1" w:styleId="xl121">
    <w:name w:val="xl121"/>
    <w:basedOn w:val="Normal"/>
    <w:rsid w:val="00B4400C"/>
    <w:pPr>
      <w:pBdr>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22">
    <w:name w:val="xl122"/>
    <w:basedOn w:val="Normal"/>
    <w:rsid w:val="00B4400C"/>
    <w:pPr>
      <w:pBdr>
        <w:top w:val="single" w:sz="8" w:space="0" w:color="auto"/>
        <w:left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3">
    <w:name w:val="xl123"/>
    <w:basedOn w:val="Normal"/>
    <w:rsid w:val="00B4400C"/>
    <w:pPr>
      <w:pBdr>
        <w:top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24">
    <w:name w:val="xl124"/>
    <w:basedOn w:val="Normal"/>
    <w:rsid w:val="00B4400C"/>
    <w:pPr>
      <w:pBdr>
        <w:top w:val="single" w:sz="8" w:space="0" w:color="auto"/>
      </w:pBdr>
      <w:shd w:val="clear" w:color="000000" w:fill="BFBFBF"/>
      <w:autoSpaceDE/>
      <w:autoSpaceDN/>
      <w:adjustRightInd/>
      <w:spacing w:before="100" w:beforeAutospacing="1" w:after="100" w:afterAutospacing="1"/>
      <w:textAlignment w:val="center"/>
    </w:pPr>
    <w:rPr>
      <w:rFonts w:cs="Arial"/>
      <w:i/>
      <w:iCs/>
      <w:sz w:val="24"/>
      <w:szCs w:val="24"/>
    </w:rPr>
  </w:style>
  <w:style w:type="paragraph" w:customStyle="1" w:styleId="xl125">
    <w:name w:val="xl125"/>
    <w:basedOn w:val="Normal"/>
    <w:rsid w:val="00B4400C"/>
    <w:pPr>
      <w:pBdr>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6">
    <w:name w:val="xl126"/>
    <w:basedOn w:val="Normal"/>
    <w:rsid w:val="00B4400C"/>
    <w:pPr>
      <w:pBdr>
        <w:top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27">
    <w:name w:val="xl127"/>
    <w:basedOn w:val="Normal"/>
    <w:rsid w:val="00B4400C"/>
    <w:pPr>
      <w:pBdr>
        <w:top w:val="single" w:sz="8" w:space="0" w:color="auto"/>
        <w:left w:val="single" w:sz="4"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28">
    <w:name w:val="xl128"/>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9">
    <w:name w:val="xl129"/>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i/>
      <w:iCs/>
      <w:sz w:val="24"/>
      <w:szCs w:val="24"/>
    </w:rPr>
  </w:style>
  <w:style w:type="paragraph" w:customStyle="1" w:styleId="xl130">
    <w:name w:val="xl130"/>
    <w:basedOn w:val="Normal"/>
    <w:rsid w:val="00B4400C"/>
    <w:pPr>
      <w:pBdr>
        <w:top w:val="single" w:sz="8" w:space="0" w:color="auto"/>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31">
    <w:name w:val="xl131"/>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32">
    <w:name w:val="xl132"/>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33">
    <w:name w:val="xl133"/>
    <w:basedOn w:val="Normal"/>
    <w:rsid w:val="00B4400C"/>
    <w:pPr>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34">
    <w:name w:val="xl134"/>
    <w:basedOn w:val="Normal"/>
    <w:rsid w:val="00B4400C"/>
    <w:pPr>
      <w:pBdr>
        <w:top w:val="single" w:sz="8" w:space="0" w:color="auto"/>
        <w:bottom w:val="single" w:sz="8" w:space="0" w:color="auto"/>
      </w:pBd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35">
    <w:name w:val="xl135"/>
    <w:basedOn w:val="Normal"/>
    <w:rsid w:val="00B4400C"/>
    <w:pPr>
      <w:pBdr>
        <w:top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36">
    <w:name w:val="xl136"/>
    <w:basedOn w:val="Normal"/>
    <w:rsid w:val="00B4400C"/>
    <w:pPr>
      <w:pBdr>
        <w:top w:val="single" w:sz="8"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37">
    <w:name w:val="xl137"/>
    <w:basedOn w:val="Normal"/>
    <w:rsid w:val="00B4400C"/>
    <w:pPr>
      <w:pBdr>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38">
    <w:name w:val="xl138"/>
    <w:basedOn w:val="Normal"/>
    <w:rsid w:val="00B4400C"/>
    <w:pPr>
      <w:pBdr>
        <w:top w:val="single" w:sz="8" w:space="0" w:color="auto"/>
        <w:left w:val="single" w:sz="8" w:space="0" w:color="auto"/>
        <w:bottom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39">
    <w:name w:val="xl139"/>
    <w:basedOn w:val="Normal"/>
    <w:rsid w:val="00B4400C"/>
    <w:pPr>
      <w:pBdr>
        <w:bottom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40">
    <w:name w:val="xl140"/>
    <w:basedOn w:val="Normal"/>
    <w:rsid w:val="00B4400C"/>
    <w:pPr>
      <w:pBdr>
        <w:bottom w:val="single" w:sz="8" w:space="0" w:color="auto"/>
      </w:pBdr>
      <w:shd w:val="clear" w:color="000000" w:fill="BFBFBF"/>
      <w:autoSpaceDE/>
      <w:autoSpaceDN/>
      <w:adjustRightInd/>
      <w:spacing w:before="100" w:beforeAutospacing="1" w:after="100" w:afterAutospacing="1"/>
      <w:textAlignment w:val="center"/>
    </w:pPr>
    <w:rPr>
      <w:rFonts w:cs="Arial"/>
      <w:i/>
      <w:iCs/>
      <w:sz w:val="24"/>
      <w:szCs w:val="24"/>
    </w:rPr>
  </w:style>
  <w:style w:type="paragraph" w:customStyle="1" w:styleId="xl141">
    <w:name w:val="xl141"/>
    <w:basedOn w:val="Normal"/>
    <w:rsid w:val="00B4400C"/>
    <w:pPr>
      <w:pBdr>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42">
    <w:name w:val="xl142"/>
    <w:basedOn w:val="Normal"/>
    <w:rsid w:val="00B4400C"/>
    <w:pPr>
      <w:pBdr>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43">
    <w:name w:val="xl143"/>
    <w:basedOn w:val="Normal"/>
    <w:rsid w:val="00B4400C"/>
    <w:pPr>
      <w:pBdr>
        <w:bottom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44">
    <w:name w:val="xl144"/>
    <w:basedOn w:val="Normal"/>
    <w:rsid w:val="00B4400C"/>
    <w:pPr>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45">
    <w:name w:val="xl145"/>
    <w:basedOn w:val="Normal"/>
    <w:rsid w:val="00B4400C"/>
    <w:pPr>
      <w:pBdr>
        <w:top w:val="single" w:sz="8" w:space="0" w:color="auto"/>
      </w:pBdr>
      <w:shd w:val="clear" w:color="000000" w:fill="FFFFFF"/>
      <w:autoSpaceDE/>
      <w:autoSpaceDN/>
      <w:adjustRightInd/>
      <w:spacing w:before="100" w:beforeAutospacing="1" w:after="100" w:afterAutospacing="1"/>
      <w:textAlignment w:val="center"/>
    </w:pPr>
    <w:rPr>
      <w:rFonts w:cs="Arial"/>
      <w:b/>
      <w:bCs/>
      <w:i/>
      <w:iCs/>
      <w:sz w:val="24"/>
      <w:szCs w:val="24"/>
    </w:rPr>
  </w:style>
  <w:style w:type="paragraph" w:customStyle="1" w:styleId="xl146">
    <w:name w:val="xl146"/>
    <w:basedOn w:val="Normal"/>
    <w:rsid w:val="00B4400C"/>
    <w:pPr>
      <w:pBdr>
        <w:top w:val="single" w:sz="8"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47">
    <w:name w:val="xl147"/>
    <w:basedOn w:val="Normal"/>
    <w:rsid w:val="00B4400C"/>
    <w:pPr>
      <w:pBdr>
        <w:top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48">
    <w:name w:val="xl148"/>
    <w:basedOn w:val="Normal"/>
    <w:rsid w:val="00B4400C"/>
    <w:pPr>
      <w:pBdr>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49">
    <w:name w:val="xl149"/>
    <w:basedOn w:val="Normal"/>
    <w:rsid w:val="00B4400C"/>
    <w:pP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50">
    <w:name w:val="xl150"/>
    <w:basedOn w:val="Normal"/>
    <w:rsid w:val="00B4400C"/>
    <w:pPr>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51">
    <w:name w:val="xl151"/>
    <w:basedOn w:val="Normal"/>
    <w:rsid w:val="00B4400C"/>
    <w:pPr>
      <w:pBdr>
        <w:bottom w:val="single" w:sz="8"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52">
    <w:name w:val="xl152"/>
    <w:basedOn w:val="Normal"/>
    <w:rsid w:val="00B4400C"/>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3">
    <w:name w:val="xl153"/>
    <w:basedOn w:val="Normal"/>
    <w:rsid w:val="00B4400C"/>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4">
    <w:name w:val="xl154"/>
    <w:basedOn w:val="Normal"/>
    <w:rsid w:val="00B4400C"/>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5">
    <w:name w:val="xl155"/>
    <w:basedOn w:val="Normal"/>
    <w:rsid w:val="00B4400C"/>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6">
    <w:name w:val="xl156"/>
    <w:basedOn w:val="Normal"/>
    <w:rsid w:val="00B4400C"/>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7">
    <w:name w:val="xl157"/>
    <w:basedOn w:val="Normal"/>
    <w:rsid w:val="00B4400C"/>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8">
    <w:name w:val="xl158"/>
    <w:basedOn w:val="Normal"/>
    <w:rsid w:val="00B4400C"/>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59">
    <w:name w:val="xl159"/>
    <w:basedOn w:val="Normal"/>
    <w:rsid w:val="00B4400C"/>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0">
    <w:name w:val="xl160"/>
    <w:basedOn w:val="Normal"/>
    <w:rsid w:val="00B4400C"/>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1">
    <w:name w:val="xl161"/>
    <w:basedOn w:val="Normal"/>
    <w:rsid w:val="00EB3FAD"/>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2">
    <w:name w:val="xl162"/>
    <w:basedOn w:val="Normal"/>
    <w:rsid w:val="00EB3FAD"/>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3">
    <w:name w:val="xl163"/>
    <w:basedOn w:val="Normal"/>
    <w:rsid w:val="00EB3FAD"/>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4">
    <w:name w:val="xl164"/>
    <w:basedOn w:val="Normal"/>
    <w:rsid w:val="00EB3FAD"/>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5">
    <w:name w:val="xl165"/>
    <w:basedOn w:val="Normal"/>
    <w:rsid w:val="00EB3FAD"/>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6">
    <w:name w:val="xl166"/>
    <w:basedOn w:val="Normal"/>
    <w:rsid w:val="00EB3FAD"/>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7">
    <w:name w:val="xl167"/>
    <w:basedOn w:val="Normal"/>
    <w:rsid w:val="00EB3FAD"/>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8">
    <w:name w:val="xl168"/>
    <w:basedOn w:val="Normal"/>
    <w:rsid w:val="00EB3FAD"/>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9">
    <w:name w:val="xl169"/>
    <w:basedOn w:val="Normal"/>
    <w:rsid w:val="00EB3FAD"/>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0">
    <w:name w:val="xl170"/>
    <w:basedOn w:val="Normal"/>
    <w:rsid w:val="001C024E"/>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1">
    <w:name w:val="xl171"/>
    <w:basedOn w:val="Normal"/>
    <w:rsid w:val="001C024E"/>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2">
    <w:name w:val="xl172"/>
    <w:basedOn w:val="Normal"/>
    <w:rsid w:val="001C024E"/>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3">
    <w:name w:val="xl173"/>
    <w:basedOn w:val="Normal"/>
    <w:rsid w:val="001C024E"/>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4">
    <w:name w:val="xl174"/>
    <w:basedOn w:val="Normal"/>
    <w:rsid w:val="001C024E"/>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5">
    <w:name w:val="xl175"/>
    <w:basedOn w:val="Normal"/>
    <w:rsid w:val="007D49E3"/>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6">
    <w:name w:val="xl176"/>
    <w:basedOn w:val="Normal"/>
    <w:rsid w:val="007D49E3"/>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7">
    <w:name w:val="xl177"/>
    <w:basedOn w:val="Normal"/>
    <w:rsid w:val="007D49E3"/>
    <w:pPr>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paragraph" w:customStyle="1" w:styleId="xl178">
    <w:name w:val="xl178"/>
    <w:basedOn w:val="Normal"/>
    <w:rsid w:val="007D49E3"/>
    <w:pPr>
      <w:pBdr>
        <w:left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paragraph" w:customStyle="1" w:styleId="xl179">
    <w:name w:val="xl179"/>
    <w:basedOn w:val="Normal"/>
    <w:rsid w:val="007D49E3"/>
    <w:pPr>
      <w:pBdr>
        <w:left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character" w:styleId="PlaceholderText">
    <w:name w:val="Placeholder Text"/>
    <w:basedOn w:val="DefaultParagraphFont"/>
    <w:uiPriority w:val="99"/>
    <w:semiHidden/>
    <w:rsid w:val="006F441F"/>
    <w:rPr>
      <w:color w:val="808080"/>
    </w:rPr>
  </w:style>
  <w:style w:type="paragraph" w:customStyle="1" w:styleId="xl97">
    <w:name w:val="xl97"/>
    <w:basedOn w:val="Normal"/>
    <w:rsid w:val="007855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4"/>
      <w:szCs w:val="24"/>
    </w:rPr>
  </w:style>
  <w:style w:type="paragraph" w:customStyle="1" w:styleId="Default">
    <w:name w:val="Default"/>
    <w:rsid w:val="003869E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1"/>
    <w:rsid w:val="00CE377A"/>
    <w:rPr>
      <w:rFonts w:asciiTheme="majorHAnsi" w:eastAsiaTheme="majorEastAsia" w:hAnsiTheme="majorHAnsi" w:cstheme="majorBidi"/>
      <w:b/>
      <w:szCs w:val="20"/>
    </w:rPr>
  </w:style>
  <w:style w:type="paragraph" w:customStyle="1" w:styleId="Level1">
    <w:name w:val="Level 1"/>
    <w:rsid w:val="002858BA"/>
    <w:pPr>
      <w:autoSpaceDE w:val="0"/>
      <w:autoSpaceDN w:val="0"/>
      <w:adjustRightInd w:val="0"/>
      <w:spacing w:after="0" w:line="240" w:lineRule="auto"/>
      <w:ind w:left="720"/>
    </w:pPr>
    <w:rPr>
      <w:rFonts w:ascii="Arial" w:eastAsia="Times New Roman" w:hAnsi="Arial" w:cs="Times New Roman"/>
      <w:sz w:val="24"/>
      <w:szCs w:val="24"/>
    </w:rPr>
  </w:style>
  <w:style w:type="character" w:customStyle="1" w:styleId="Heading6Char">
    <w:name w:val="Heading 6 Char"/>
    <w:basedOn w:val="DefaultParagraphFont"/>
    <w:link w:val="Heading6"/>
    <w:uiPriority w:val="1"/>
    <w:rsid w:val="00670CEF"/>
    <w:rPr>
      <w:rFonts w:ascii="Arial" w:eastAsia="Times New Roman" w:hAnsi="Arial" w:cs="Times New Roman"/>
      <w:b/>
      <w:color w:val="365F91"/>
      <w:sz w:val="32"/>
    </w:rPr>
  </w:style>
  <w:style w:type="character" w:customStyle="1" w:styleId="ListParagraphChar">
    <w:name w:val="List Paragraph Char"/>
    <w:link w:val="ListParagraph"/>
    <w:uiPriority w:val="34"/>
    <w:locked/>
    <w:rsid w:val="00670CEF"/>
    <w:rPr>
      <w:rFonts w:ascii="Arial" w:eastAsia="Times New Roman" w:hAnsi="Arial" w:cs="Times New Roman"/>
      <w:sz w:val="20"/>
      <w:szCs w:val="20"/>
    </w:rPr>
  </w:style>
  <w:style w:type="paragraph" w:customStyle="1" w:styleId="Reference">
    <w:name w:val="Reference"/>
    <w:basedOn w:val="ListParagraph"/>
    <w:rsid w:val="00670CEF"/>
    <w:pPr>
      <w:numPr>
        <w:numId w:val="10"/>
      </w:numPr>
      <w:autoSpaceDE/>
      <w:autoSpaceDN/>
      <w:adjustRightInd/>
      <w:spacing w:after="200" w:line="276" w:lineRule="auto"/>
      <w:contextualSpacing w:val="0"/>
    </w:pPr>
    <w:rPr>
      <w:sz w:val="22"/>
      <w:szCs w:val="22"/>
    </w:rPr>
  </w:style>
  <w:style w:type="paragraph" w:customStyle="1" w:styleId="NUREGBullet">
    <w:name w:val="NUREG_Bullet"/>
    <w:basedOn w:val="Reference"/>
    <w:link w:val="NUREGBulletChar"/>
    <w:qFormat/>
    <w:rsid w:val="00670CEF"/>
    <w:pPr>
      <w:spacing w:line="259" w:lineRule="auto"/>
    </w:pPr>
  </w:style>
  <w:style w:type="character" w:customStyle="1" w:styleId="NUREGBulletChar">
    <w:name w:val="NUREG_Bullet Char"/>
    <w:link w:val="NUREGBullet"/>
    <w:locked/>
    <w:rsid w:val="00670CEF"/>
    <w:rPr>
      <w:rFonts w:ascii="Arial" w:eastAsia="Times New Roman" w:hAnsi="Arial" w:cs="Times New Roman"/>
    </w:rPr>
  </w:style>
  <w:style w:type="paragraph" w:customStyle="1" w:styleId="NUREGBulletsecond-level">
    <w:name w:val="NUREG_Bullet_second-level"/>
    <w:basedOn w:val="NUREGBullet"/>
    <w:link w:val="NUREGBulletsecond-levelChar"/>
    <w:qFormat/>
    <w:rsid w:val="00670CEF"/>
    <w:pPr>
      <w:numPr>
        <w:ilvl w:val="1"/>
      </w:numPr>
    </w:pPr>
  </w:style>
  <w:style w:type="character" w:customStyle="1" w:styleId="NUREGBulletsecond-levelChar">
    <w:name w:val="NUREG_Bullet_second-level Char"/>
    <w:link w:val="NUREGBulletsecond-level"/>
    <w:locked/>
    <w:rsid w:val="00670CEF"/>
    <w:rPr>
      <w:rFonts w:ascii="Arial" w:eastAsia="Times New Roman" w:hAnsi="Arial" w:cs="Times New Roman"/>
    </w:rPr>
  </w:style>
  <w:style w:type="paragraph" w:styleId="TOC4">
    <w:name w:val="toc 4"/>
    <w:basedOn w:val="Normal"/>
    <w:next w:val="Normal"/>
    <w:autoRedefine/>
    <w:uiPriority w:val="39"/>
    <w:unhideWhenUsed/>
    <w:rsid w:val="00F40434"/>
    <w:pPr>
      <w:autoSpaceDE/>
      <w:autoSpaceDN/>
      <w:adjustRightInd/>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40434"/>
    <w:pPr>
      <w:autoSpaceDE/>
      <w:autoSpaceDN/>
      <w:adjustRightInd/>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40434"/>
    <w:pPr>
      <w:autoSpaceDE/>
      <w:autoSpaceDN/>
      <w:adjustRightInd/>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40434"/>
    <w:pPr>
      <w:autoSpaceDE/>
      <w:autoSpaceDN/>
      <w:adjustRightInd/>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40434"/>
    <w:pPr>
      <w:autoSpaceDE/>
      <w:autoSpaceDN/>
      <w:adjustRightInd/>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40434"/>
    <w:pPr>
      <w:autoSpaceDE/>
      <w:autoSpaceDN/>
      <w:adjustRightInd/>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E73DFF"/>
    <w:pPr>
      <w:autoSpaceDE/>
      <w:autoSpaceDN/>
      <w:adjustRightInd/>
      <w:spacing w:before="100" w:beforeAutospacing="1" w:after="100" w:afterAutospacing="1"/>
    </w:pPr>
    <w:rPr>
      <w:rFonts w:ascii="Times New Roman" w:hAnsi="Times New Roman"/>
      <w:sz w:val="24"/>
      <w:szCs w:val="24"/>
    </w:rPr>
  </w:style>
  <w:style w:type="paragraph" w:styleId="TableofFigures">
    <w:name w:val="table of figures"/>
    <w:basedOn w:val="Normal"/>
    <w:next w:val="Normal"/>
    <w:uiPriority w:val="99"/>
    <w:unhideWhenUsed/>
    <w:rsid w:val="00367230"/>
  </w:style>
  <w:style w:type="paragraph" w:customStyle="1" w:styleId="FigureHeading">
    <w:name w:val="Figure_Heading"/>
    <w:basedOn w:val="Exhibit"/>
    <w:qFormat/>
    <w:rsid w:val="00D33B3D"/>
    <w:pPr>
      <w:spacing w:after="240"/>
    </w:pPr>
    <w:rPr>
      <w:bCs/>
    </w:rPr>
  </w:style>
  <w:style w:type="paragraph" w:customStyle="1" w:styleId="AppendixHeader1">
    <w:name w:val="Appendix_Header_1"/>
    <w:basedOn w:val="Heading1"/>
    <w:qFormat/>
    <w:rsid w:val="006043F0"/>
  </w:style>
  <w:style w:type="paragraph" w:customStyle="1" w:styleId="AppendixHeader2">
    <w:name w:val="Appendix_Header_2"/>
    <w:basedOn w:val="Heading2"/>
    <w:qFormat/>
    <w:rsid w:val="006043F0"/>
    <w:pPr>
      <w:ind w:left="720" w:hanging="720"/>
    </w:pPr>
  </w:style>
  <w:style w:type="paragraph" w:customStyle="1" w:styleId="AppendixHeader3">
    <w:name w:val="Appendix_Header_3"/>
    <w:basedOn w:val="Heading3"/>
    <w:qFormat/>
    <w:rsid w:val="006043F0"/>
    <w:rPr>
      <w:sz w:val="24"/>
    </w:rPr>
  </w:style>
  <w:style w:type="table" w:customStyle="1" w:styleId="TableGrid1">
    <w:name w:val="Table Grid1"/>
    <w:basedOn w:val="TableNormal"/>
    <w:next w:val="TableGrid"/>
    <w:uiPriority w:val="59"/>
    <w:rsid w:val="00DD6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51426"/>
    <w:pPr>
      <w:spacing w:after="200"/>
    </w:pPr>
    <w:rPr>
      <w:i/>
      <w:iCs/>
      <w:color w:val="1F497D" w:themeColor="text2"/>
      <w:sz w:val="18"/>
      <w:szCs w:val="18"/>
    </w:rPr>
  </w:style>
  <w:style w:type="table" w:customStyle="1" w:styleId="TableGrid2">
    <w:name w:val="Table Grid2"/>
    <w:basedOn w:val="TableNormal"/>
    <w:next w:val="TableGrid"/>
    <w:uiPriority w:val="59"/>
    <w:rsid w:val="00C93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308C"/>
    <w:pPr>
      <w:widowControl w:val="0"/>
      <w:autoSpaceDE/>
      <w:autoSpaceDN/>
      <w:adjustRightInd/>
      <w:ind w:left="145"/>
    </w:pPr>
    <w:rPr>
      <w:rFonts w:eastAsia="Arial" w:cstheme="minorBidi"/>
      <w:sz w:val="13"/>
      <w:szCs w:val="13"/>
    </w:rPr>
  </w:style>
  <w:style w:type="character" w:customStyle="1" w:styleId="BodyTextChar">
    <w:name w:val="Body Text Char"/>
    <w:basedOn w:val="DefaultParagraphFont"/>
    <w:link w:val="BodyText"/>
    <w:uiPriority w:val="1"/>
    <w:rsid w:val="009B308C"/>
    <w:rPr>
      <w:rFonts w:ascii="Arial" w:eastAsia="Arial" w:hAnsi="Arial"/>
      <w:sz w:val="13"/>
      <w:szCs w:val="13"/>
    </w:rPr>
  </w:style>
  <w:style w:type="paragraph" w:customStyle="1" w:styleId="TableParagraph">
    <w:name w:val="Table Paragraph"/>
    <w:basedOn w:val="Normal"/>
    <w:uiPriority w:val="1"/>
    <w:qFormat/>
    <w:rsid w:val="009B308C"/>
    <w:pPr>
      <w:widowControl w:val="0"/>
      <w:autoSpaceDE/>
      <w:autoSpaceDN/>
      <w:adjustRightInd/>
    </w:pPr>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A1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E0"/>
    <w:pPr>
      <w:autoSpaceDE w:val="0"/>
      <w:autoSpaceDN w:val="0"/>
      <w:adjustRightInd w:val="0"/>
      <w:spacing w:after="0" w:line="240" w:lineRule="auto"/>
    </w:pPr>
    <w:rPr>
      <w:rFonts w:ascii="Arial" w:eastAsia="Times New Roman" w:hAnsi="Arial" w:cs="Times New Roman"/>
      <w:sz w:val="20"/>
      <w:szCs w:val="20"/>
    </w:rPr>
  </w:style>
  <w:style w:type="paragraph" w:styleId="Heading1">
    <w:name w:val="heading 1"/>
    <w:aliases w:val="NUREG_Heading 1"/>
    <w:basedOn w:val="Normal"/>
    <w:next w:val="Normal"/>
    <w:link w:val="Heading1Char"/>
    <w:uiPriority w:val="1"/>
    <w:qFormat/>
    <w:rsid w:val="00BF0D2D"/>
    <w:pPr>
      <w:keepNext/>
      <w:spacing w:before="240" w:after="120"/>
      <w:ind w:left="806" w:hanging="806"/>
      <w:outlineLvl w:val="0"/>
    </w:pPr>
    <w:rPr>
      <w:rFonts w:cs="Arial"/>
      <w:b/>
      <w:bCs/>
      <w:kern w:val="32"/>
      <w:sz w:val="32"/>
      <w:szCs w:val="32"/>
    </w:rPr>
  </w:style>
  <w:style w:type="paragraph" w:styleId="Heading2">
    <w:name w:val="heading 2"/>
    <w:basedOn w:val="Normal"/>
    <w:next w:val="Normal"/>
    <w:link w:val="Heading2Char"/>
    <w:uiPriority w:val="1"/>
    <w:qFormat/>
    <w:rsid w:val="00BF0D2D"/>
    <w:pPr>
      <w:keepNext/>
      <w:spacing w:before="240" w:after="120"/>
      <w:outlineLvl w:val="1"/>
    </w:pPr>
    <w:rPr>
      <w:rFonts w:cs="Arial"/>
      <w:b/>
      <w:bCs/>
      <w:i/>
      <w:iCs/>
      <w:sz w:val="28"/>
      <w:szCs w:val="28"/>
    </w:rPr>
  </w:style>
  <w:style w:type="paragraph" w:styleId="Heading3">
    <w:name w:val="heading 3"/>
    <w:basedOn w:val="Normal"/>
    <w:next w:val="Normal"/>
    <w:link w:val="Heading3Char"/>
    <w:uiPriority w:val="1"/>
    <w:unhideWhenUsed/>
    <w:qFormat/>
    <w:rsid w:val="006B552E"/>
    <w:pPr>
      <w:keepNext/>
      <w:spacing w:before="240" w:after="120"/>
      <w:outlineLvl w:val="2"/>
    </w:pPr>
    <w:rPr>
      <w:rFonts w:cs="Arial"/>
      <w:b/>
      <w:bCs/>
      <w:sz w:val="26"/>
      <w:szCs w:val="26"/>
    </w:rPr>
  </w:style>
  <w:style w:type="paragraph" w:styleId="Heading4">
    <w:name w:val="heading 4"/>
    <w:basedOn w:val="Normal"/>
    <w:next w:val="Normal"/>
    <w:link w:val="Heading4Char"/>
    <w:autoRedefine/>
    <w:uiPriority w:val="1"/>
    <w:unhideWhenUsed/>
    <w:qFormat/>
    <w:rsid w:val="00763BA9"/>
    <w:pPr>
      <w:keepNext/>
      <w:ind w:left="1080" w:hanging="1080"/>
      <w:outlineLvl w:val="3"/>
    </w:pPr>
    <w:rPr>
      <w:sz w:val="22"/>
      <w:szCs w:val="22"/>
      <w:u w:val="single"/>
    </w:rPr>
  </w:style>
  <w:style w:type="paragraph" w:styleId="Heading5">
    <w:name w:val="heading 5"/>
    <w:basedOn w:val="Normal"/>
    <w:next w:val="Normal"/>
    <w:link w:val="Heading5Char"/>
    <w:uiPriority w:val="1"/>
    <w:unhideWhenUsed/>
    <w:qFormat/>
    <w:rsid w:val="00CE377A"/>
    <w:pPr>
      <w:keepNext/>
      <w:keepLines/>
      <w:spacing w:before="200"/>
      <w:outlineLvl w:val="4"/>
    </w:pPr>
    <w:rPr>
      <w:rFonts w:asciiTheme="majorHAnsi" w:eastAsiaTheme="majorEastAsia" w:hAnsiTheme="majorHAnsi" w:cstheme="majorBidi"/>
      <w:b/>
      <w:sz w:val="22"/>
    </w:rPr>
  </w:style>
  <w:style w:type="paragraph" w:styleId="Heading6">
    <w:name w:val="heading 6"/>
    <w:basedOn w:val="Normal"/>
    <w:next w:val="Normal"/>
    <w:link w:val="Heading6Char"/>
    <w:uiPriority w:val="1"/>
    <w:unhideWhenUsed/>
    <w:qFormat/>
    <w:rsid w:val="00670CEF"/>
    <w:pPr>
      <w:keepNext/>
      <w:keepLines/>
      <w:autoSpaceDE/>
      <w:autoSpaceDN/>
      <w:adjustRightInd/>
      <w:spacing w:after="600"/>
      <w:jc w:val="center"/>
      <w:outlineLvl w:val="5"/>
    </w:pPr>
    <w:rPr>
      <w:b/>
      <w:color w:val="365F91"/>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REG_Heading 1 Char"/>
    <w:basedOn w:val="DefaultParagraphFont"/>
    <w:link w:val="Heading1"/>
    <w:uiPriority w:val="1"/>
    <w:rsid w:val="00BF0D2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BF0D2D"/>
    <w:rPr>
      <w:rFonts w:ascii="Arial" w:eastAsia="Times New Roman" w:hAnsi="Arial" w:cs="Arial"/>
      <w:b/>
      <w:bCs/>
      <w:i/>
      <w:iCs/>
      <w:sz w:val="28"/>
      <w:szCs w:val="28"/>
    </w:rPr>
  </w:style>
  <w:style w:type="paragraph" w:styleId="FootnoteText">
    <w:name w:val="footnote text"/>
    <w:basedOn w:val="Normal"/>
    <w:link w:val="FootnoteTextChar"/>
    <w:rsid w:val="008B0B61"/>
  </w:style>
  <w:style w:type="character" w:customStyle="1" w:styleId="FootnoteTextChar">
    <w:name w:val="Footnote Text Char"/>
    <w:basedOn w:val="DefaultParagraphFont"/>
    <w:link w:val="FootnoteText"/>
    <w:rsid w:val="008B0B61"/>
    <w:rPr>
      <w:rFonts w:ascii="Arial" w:eastAsia="Times New Roman" w:hAnsi="Arial" w:cs="Times New Roman"/>
      <w:sz w:val="20"/>
      <w:szCs w:val="20"/>
    </w:rPr>
  </w:style>
  <w:style w:type="character" w:styleId="FootnoteReference">
    <w:name w:val="footnote reference"/>
    <w:basedOn w:val="DefaultParagraphFont"/>
    <w:rsid w:val="008B0B61"/>
    <w:rPr>
      <w:vertAlign w:val="superscript"/>
    </w:rPr>
  </w:style>
  <w:style w:type="character" w:styleId="CommentReference">
    <w:name w:val="annotation reference"/>
    <w:basedOn w:val="DefaultParagraphFont"/>
    <w:uiPriority w:val="99"/>
    <w:unhideWhenUsed/>
    <w:rsid w:val="002264BF"/>
    <w:rPr>
      <w:sz w:val="16"/>
      <w:szCs w:val="16"/>
    </w:rPr>
  </w:style>
  <w:style w:type="paragraph" w:styleId="CommentText">
    <w:name w:val="annotation text"/>
    <w:basedOn w:val="Normal"/>
    <w:link w:val="CommentTextChar"/>
    <w:uiPriority w:val="99"/>
    <w:unhideWhenUsed/>
    <w:rsid w:val="002264BF"/>
  </w:style>
  <w:style w:type="character" w:customStyle="1" w:styleId="CommentTextChar">
    <w:name w:val="Comment Text Char"/>
    <w:basedOn w:val="DefaultParagraphFont"/>
    <w:link w:val="CommentText"/>
    <w:uiPriority w:val="99"/>
    <w:rsid w:val="002264B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264BF"/>
    <w:rPr>
      <w:b/>
      <w:bCs/>
    </w:rPr>
  </w:style>
  <w:style w:type="character" w:customStyle="1" w:styleId="CommentSubjectChar">
    <w:name w:val="Comment Subject Char"/>
    <w:basedOn w:val="CommentTextChar"/>
    <w:link w:val="CommentSubject"/>
    <w:uiPriority w:val="99"/>
    <w:semiHidden/>
    <w:rsid w:val="002264B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264BF"/>
    <w:rPr>
      <w:rFonts w:ascii="Tahoma" w:hAnsi="Tahoma" w:cs="Tahoma"/>
      <w:sz w:val="16"/>
      <w:szCs w:val="16"/>
    </w:rPr>
  </w:style>
  <w:style w:type="character" w:customStyle="1" w:styleId="BalloonTextChar">
    <w:name w:val="Balloon Text Char"/>
    <w:basedOn w:val="DefaultParagraphFont"/>
    <w:link w:val="BalloonText"/>
    <w:uiPriority w:val="99"/>
    <w:semiHidden/>
    <w:rsid w:val="002264BF"/>
    <w:rPr>
      <w:rFonts w:ascii="Tahoma" w:eastAsia="Times New Roman" w:hAnsi="Tahoma" w:cs="Tahoma"/>
      <w:sz w:val="16"/>
      <w:szCs w:val="16"/>
    </w:rPr>
  </w:style>
  <w:style w:type="paragraph" w:styleId="ListParagraph">
    <w:name w:val="List Paragraph"/>
    <w:basedOn w:val="Normal"/>
    <w:link w:val="ListParagraphChar"/>
    <w:uiPriority w:val="34"/>
    <w:qFormat/>
    <w:rsid w:val="006061EC"/>
    <w:pPr>
      <w:ind w:left="720"/>
      <w:contextualSpacing/>
    </w:pPr>
  </w:style>
  <w:style w:type="numbering" w:customStyle="1" w:styleId="NoList1">
    <w:name w:val="No List1"/>
    <w:next w:val="NoList"/>
    <w:uiPriority w:val="99"/>
    <w:semiHidden/>
    <w:unhideWhenUsed/>
    <w:rsid w:val="005D4140"/>
  </w:style>
  <w:style w:type="table" w:styleId="TableGrid">
    <w:name w:val="Table Grid"/>
    <w:basedOn w:val="TableNormal"/>
    <w:uiPriority w:val="59"/>
    <w:rsid w:val="005D4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140"/>
    <w:pPr>
      <w:tabs>
        <w:tab w:val="center" w:pos="4680"/>
        <w:tab w:val="right" w:pos="9360"/>
      </w:tabs>
      <w:autoSpaceDE/>
      <w:autoSpaceDN/>
      <w:adjustRightInd/>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5D4140"/>
    <w:rPr>
      <w:rFonts w:eastAsiaTheme="minorEastAsia"/>
      <w:lang w:eastAsia="ja-JP"/>
    </w:rPr>
  </w:style>
  <w:style w:type="paragraph" w:styleId="Footer">
    <w:name w:val="footer"/>
    <w:basedOn w:val="Normal"/>
    <w:link w:val="FooterChar"/>
    <w:uiPriority w:val="99"/>
    <w:unhideWhenUsed/>
    <w:rsid w:val="005D4140"/>
    <w:pPr>
      <w:tabs>
        <w:tab w:val="center" w:pos="4680"/>
        <w:tab w:val="right" w:pos="9360"/>
      </w:tabs>
      <w:autoSpaceDE/>
      <w:autoSpaceDN/>
      <w:adjustRightInd/>
    </w:pPr>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5D4140"/>
    <w:rPr>
      <w:rFonts w:eastAsiaTheme="minorEastAsia"/>
      <w:lang w:eastAsia="ja-JP"/>
    </w:rPr>
  </w:style>
  <w:style w:type="paragraph" w:styleId="Revision">
    <w:name w:val="Revision"/>
    <w:hidden/>
    <w:uiPriority w:val="99"/>
    <w:semiHidden/>
    <w:rsid w:val="005D4140"/>
    <w:pPr>
      <w:spacing w:after="0" w:line="240" w:lineRule="auto"/>
    </w:pPr>
    <w:rPr>
      <w:rFonts w:eastAsiaTheme="minorEastAsia"/>
      <w:lang w:eastAsia="ja-JP"/>
    </w:rPr>
  </w:style>
  <w:style w:type="character" w:styleId="Hyperlink">
    <w:name w:val="Hyperlink"/>
    <w:basedOn w:val="DefaultParagraphFont"/>
    <w:uiPriority w:val="99"/>
    <w:unhideWhenUsed/>
    <w:rsid w:val="00A367CB"/>
    <w:rPr>
      <w:color w:val="0000FF" w:themeColor="hyperlink"/>
      <w:u w:val="single"/>
    </w:rPr>
  </w:style>
  <w:style w:type="paragraph" w:styleId="TOC1">
    <w:name w:val="toc 1"/>
    <w:basedOn w:val="Normal"/>
    <w:next w:val="Normal"/>
    <w:autoRedefine/>
    <w:uiPriority w:val="39"/>
    <w:unhideWhenUsed/>
    <w:rsid w:val="001E1061"/>
    <w:pPr>
      <w:tabs>
        <w:tab w:val="left" w:pos="540"/>
        <w:tab w:val="right" w:leader="dot" w:pos="9350"/>
      </w:tabs>
      <w:spacing w:after="100"/>
    </w:pPr>
  </w:style>
  <w:style w:type="paragraph" w:styleId="TOC2">
    <w:name w:val="toc 2"/>
    <w:basedOn w:val="Normal"/>
    <w:next w:val="Normal"/>
    <w:autoRedefine/>
    <w:uiPriority w:val="39"/>
    <w:unhideWhenUsed/>
    <w:rsid w:val="00431AC9"/>
    <w:pPr>
      <w:tabs>
        <w:tab w:val="left" w:pos="360"/>
        <w:tab w:val="left" w:pos="720"/>
        <w:tab w:val="right" w:leader="dot" w:pos="9350"/>
      </w:tabs>
      <w:spacing w:after="100"/>
      <w:ind w:left="200"/>
    </w:pPr>
  </w:style>
  <w:style w:type="paragraph" w:styleId="TOC3">
    <w:name w:val="toc 3"/>
    <w:basedOn w:val="Normal"/>
    <w:next w:val="Normal"/>
    <w:autoRedefine/>
    <w:uiPriority w:val="39"/>
    <w:unhideWhenUsed/>
    <w:rsid w:val="00DF521D"/>
    <w:pPr>
      <w:spacing w:after="100"/>
      <w:ind w:left="400"/>
    </w:pPr>
  </w:style>
  <w:style w:type="character" w:customStyle="1" w:styleId="Heading3Char">
    <w:name w:val="Heading 3 Char"/>
    <w:basedOn w:val="DefaultParagraphFont"/>
    <w:link w:val="Heading3"/>
    <w:uiPriority w:val="1"/>
    <w:rsid w:val="006B552E"/>
    <w:rPr>
      <w:rFonts w:ascii="Arial" w:eastAsia="Times New Roman" w:hAnsi="Arial" w:cs="Arial"/>
      <w:b/>
      <w:bCs/>
      <w:sz w:val="26"/>
      <w:szCs w:val="26"/>
    </w:rPr>
  </w:style>
  <w:style w:type="paragraph" w:customStyle="1" w:styleId="Exhibit">
    <w:name w:val="Exhibit"/>
    <w:basedOn w:val="Normal"/>
    <w:qFormat/>
    <w:rsid w:val="008D270A"/>
    <w:pPr>
      <w:keepNext/>
      <w:autoSpaceDE/>
      <w:autoSpaceDN/>
      <w:adjustRightInd/>
      <w:spacing w:before="240" w:after="120"/>
      <w:jc w:val="center"/>
    </w:pPr>
    <w:rPr>
      <w:rFonts w:eastAsiaTheme="minorEastAsia" w:cs="Arial"/>
      <w:b/>
      <w:sz w:val="22"/>
      <w:szCs w:val="22"/>
      <w:lang w:eastAsia="ja-JP"/>
    </w:rPr>
  </w:style>
  <w:style w:type="paragraph" w:customStyle="1" w:styleId="Appendix">
    <w:name w:val="Appendix"/>
    <w:basedOn w:val="Normal"/>
    <w:qFormat/>
    <w:rsid w:val="00BF0D2D"/>
    <w:rPr>
      <w:b/>
      <w:i/>
      <w:sz w:val="28"/>
      <w:szCs w:val="28"/>
    </w:rPr>
  </w:style>
  <w:style w:type="character" w:customStyle="1" w:styleId="Heading4Char">
    <w:name w:val="Heading 4 Char"/>
    <w:basedOn w:val="DefaultParagraphFont"/>
    <w:link w:val="Heading4"/>
    <w:uiPriority w:val="1"/>
    <w:rsid w:val="00763BA9"/>
    <w:rPr>
      <w:rFonts w:ascii="Arial" w:eastAsia="Times New Roman" w:hAnsi="Arial" w:cs="Times New Roman"/>
      <w:u w:val="single"/>
    </w:rPr>
  </w:style>
  <w:style w:type="character" w:styleId="FollowedHyperlink">
    <w:name w:val="FollowedHyperlink"/>
    <w:basedOn w:val="DefaultParagraphFont"/>
    <w:uiPriority w:val="99"/>
    <w:semiHidden/>
    <w:unhideWhenUsed/>
    <w:rsid w:val="00B4400C"/>
    <w:rPr>
      <w:color w:val="800080"/>
      <w:u w:val="single"/>
    </w:rPr>
  </w:style>
  <w:style w:type="paragraph" w:customStyle="1" w:styleId="xl98">
    <w:name w:val="xl98"/>
    <w:basedOn w:val="Normal"/>
    <w:rsid w:val="00B4400C"/>
    <w:pPr>
      <w:pBdr>
        <w:bottom w:val="single" w:sz="4" w:space="0" w:color="auto"/>
        <w:right w:val="single" w:sz="4" w:space="0" w:color="auto"/>
      </w:pBdr>
      <w:shd w:val="clear" w:color="000000" w:fill="4E5A7A"/>
      <w:autoSpaceDE/>
      <w:autoSpaceDN/>
      <w:adjustRightInd/>
      <w:spacing w:before="100" w:beforeAutospacing="1" w:after="100" w:afterAutospacing="1"/>
    </w:pPr>
    <w:rPr>
      <w:rFonts w:cs="Arial"/>
      <w:color w:val="FFFFFF"/>
      <w:sz w:val="24"/>
      <w:szCs w:val="24"/>
    </w:rPr>
  </w:style>
  <w:style w:type="paragraph" w:customStyle="1" w:styleId="xl99">
    <w:name w:val="xl99"/>
    <w:basedOn w:val="Normal"/>
    <w:rsid w:val="00B4400C"/>
    <w:pPr>
      <w:pBdr>
        <w:left w:val="single" w:sz="4" w:space="0" w:color="auto"/>
        <w:bottom w:val="single" w:sz="4"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0">
    <w:name w:val="xl100"/>
    <w:basedOn w:val="Normal"/>
    <w:rsid w:val="00B4400C"/>
    <w:pPr>
      <w:pBdr>
        <w:bottom w:val="single" w:sz="8"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1">
    <w:name w:val="xl101"/>
    <w:basedOn w:val="Normal"/>
    <w:rsid w:val="00B4400C"/>
    <w:pPr>
      <w:pBdr>
        <w:bottom w:val="single" w:sz="4"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2">
    <w:name w:val="xl102"/>
    <w:basedOn w:val="Normal"/>
    <w:rsid w:val="00B4400C"/>
    <w:pPr>
      <w:pBdr>
        <w:left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3">
    <w:name w:val="xl103"/>
    <w:basedOn w:val="Normal"/>
    <w:rsid w:val="00B4400C"/>
    <w:pP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4">
    <w:name w:val="xl104"/>
    <w:basedOn w:val="Normal"/>
    <w:rsid w:val="00B4400C"/>
    <w:pPr>
      <w:pBdr>
        <w:left w:val="single" w:sz="8" w:space="0" w:color="auto"/>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5">
    <w:name w:val="xl105"/>
    <w:basedOn w:val="Normal"/>
    <w:rsid w:val="00B4400C"/>
    <w:pPr>
      <w:pBdr>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6">
    <w:name w:val="xl106"/>
    <w:basedOn w:val="Normal"/>
    <w:rsid w:val="00B4400C"/>
    <w:pP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7">
    <w:name w:val="xl107"/>
    <w:basedOn w:val="Normal"/>
    <w:rsid w:val="00B4400C"/>
    <w:pPr>
      <w:pBdr>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8">
    <w:name w:val="xl108"/>
    <w:basedOn w:val="Normal"/>
    <w:rsid w:val="00B4400C"/>
    <w:pPr>
      <w:pBdr>
        <w:top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09">
    <w:name w:val="xl109"/>
    <w:basedOn w:val="Normal"/>
    <w:rsid w:val="00B4400C"/>
    <w:pPr>
      <w:pBdr>
        <w:top w:val="single" w:sz="8" w:space="0" w:color="auto"/>
      </w:pBd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10">
    <w:name w:val="xl110"/>
    <w:basedOn w:val="Normal"/>
    <w:rsid w:val="00B4400C"/>
    <w:pPr>
      <w:pBdr>
        <w:top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11">
    <w:name w:val="xl111"/>
    <w:basedOn w:val="Normal"/>
    <w:rsid w:val="00B4400C"/>
    <w:pPr>
      <w:pBdr>
        <w:top w:val="single" w:sz="8" w:space="0" w:color="auto"/>
        <w:left w:val="single" w:sz="4" w:space="0" w:color="auto"/>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12">
    <w:name w:val="xl112"/>
    <w:basedOn w:val="Normal"/>
    <w:rsid w:val="00B4400C"/>
    <w:pPr>
      <w:pBdr>
        <w:top w:val="single" w:sz="8"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13">
    <w:name w:val="xl113"/>
    <w:basedOn w:val="Normal"/>
    <w:rsid w:val="00B4400C"/>
    <w:pPr>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14">
    <w:name w:val="xl114"/>
    <w:basedOn w:val="Normal"/>
    <w:rsid w:val="00B4400C"/>
    <w:pPr>
      <w:pBdr>
        <w:top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15">
    <w:name w:val="xl115"/>
    <w:basedOn w:val="Normal"/>
    <w:rsid w:val="00B4400C"/>
    <w:pPr>
      <w:shd w:val="clear" w:color="000000" w:fill="D9D9D9"/>
      <w:autoSpaceDE/>
      <w:autoSpaceDN/>
      <w:adjustRightInd/>
      <w:spacing w:before="100" w:beforeAutospacing="1" w:after="100" w:afterAutospacing="1"/>
      <w:jc w:val="right"/>
      <w:textAlignment w:val="center"/>
    </w:pPr>
    <w:rPr>
      <w:rFonts w:cs="Arial"/>
      <w:sz w:val="24"/>
      <w:szCs w:val="24"/>
    </w:rPr>
  </w:style>
  <w:style w:type="paragraph" w:customStyle="1" w:styleId="xl116">
    <w:name w:val="xl116"/>
    <w:basedOn w:val="Normal"/>
    <w:rsid w:val="00B4400C"/>
    <w:pP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17">
    <w:name w:val="xl117"/>
    <w:basedOn w:val="Normal"/>
    <w:rsid w:val="00B4400C"/>
    <w:pP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18">
    <w:name w:val="xl118"/>
    <w:basedOn w:val="Normal"/>
    <w:rsid w:val="00B4400C"/>
    <w:pP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19">
    <w:name w:val="xl119"/>
    <w:basedOn w:val="Normal"/>
    <w:rsid w:val="00B4400C"/>
    <w:pPr>
      <w:pBdr>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20">
    <w:name w:val="xl120"/>
    <w:basedOn w:val="Normal"/>
    <w:rsid w:val="00B4400C"/>
    <w:pPr>
      <w:pBdr>
        <w:bottom w:val="single" w:sz="8" w:space="0" w:color="auto"/>
      </w:pBdr>
      <w:shd w:val="clear" w:color="000000" w:fill="D9D9D9"/>
      <w:autoSpaceDE/>
      <w:autoSpaceDN/>
      <w:adjustRightInd/>
      <w:spacing w:before="100" w:beforeAutospacing="1" w:after="100" w:afterAutospacing="1"/>
      <w:jc w:val="right"/>
      <w:textAlignment w:val="center"/>
    </w:pPr>
    <w:rPr>
      <w:rFonts w:cs="Arial"/>
      <w:sz w:val="24"/>
      <w:szCs w:val="24"/>
    </w:rPr>
  </w:style>
  <w:style w:type="paragraph" w:customStyle="1" w:styleId="xl121">
    <w:name w:val="xl121"/>
    <w:basedOn w:val="Normal"/>
    <w:rsid w:val="00B4400C"/>
    <w:pPr>
      <w:pBdr>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22">
    <w:name w:val="xl122"/>
    <w:basedOn w:val="Normal"/>
    <w:rsid w:val="00B4400C"/>
    <w:pPr>
      <w:pBdr>
        <w:top w:val="single" w:sz="8" w:space="0" w:color="auto"/>
        <w:left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3">
    <w:name w:val="xl123"/>
    <w:basedOn w:val="Normal"/>
    <w:rsid w:val="00B4400C"/>
    <w:pPr>
      <w:pBdr>
        <w:top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24">
    <w:name w:val="xl124"/>
    <w:basedOn w:val="Normal"/>
    <w:rsid w:val="00B4400C"/>
    <w:pPr>
      <w:pBdr>
        <w:top w:val="single" w:sz="8" w:space="0" w:color="auto"/>
      </w:pBdr>
      <w:shd w:val="clear" w:color="000000" w:fill="BFBFBF"/>
      <w:autoSpaceDE/>
      <w:autoSpaceDN/>
      <w:adjustRightInd/>
      <w:spacing w:before="100" w:beforeAutospacing="1" w:after="100" w:afterAutospacing="1"/>
      <w:textAlignment w:val="center"/>
    </w:pPr>
    <w:rPr>
      <w:rFonts w:cs="Arial"/>
      <w:i/>
      <w:iCs/>
      <w:sz w:val="24"/>
      <w:szCs w:val="24"/>
    </w:rPr>
  </w:style>
  <w:style w:type="paragraph" w:customStyle="1" w:styleId="xl125">
    <w:name w:val="xl125"/>
    <w:basedOn w:val="Normal"/>
    <w:rsid w:val="00B4400C"/>
    <w:pPr>
      <w:pBdr>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6">
    <w:name w:val="xl126"/>
    <w:basedOn w:val="Normal"/>
    <w:rsid w:val="00B4400C"/>
    <w:pPr>
      <w:pBdr>
        <w:top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27">
    <w:name w:val="xl127"/>
    <w:basedOn w:val="Normal"/>
    <w:rsid w:val="00B4400C"/>
    <w:pPr>
      <w:pBdr>
        <w:top w:val="single" w:sz="8" w:space="0" w:color="auto"/>
        <w:left w:val="single" w:sz="4"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28">
    <w:name w:val="xl128"/>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9">
    <w:name w:val="xl129"/>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i/>
      <w:iCs/>
      <w:sz w:val="24"/>
      <w:szCs w:val="24"/>
    </w:rPr>
  </w:style>
  <w:style w:type="paragraph" w:customStyle="1" w:styleId="xl130">
    <w:name w:val="xl130"/>
    <w:basedOn w:val="Normal"/>
    <w:rsid w:val="00B4400C"/>
    <w:pPr>
      <w:pBdr>
        <w:top w:val="single" w:sz="8" w:space="0" w:color="auto"/>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31">
    <w:name w:val="xl131"/>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32">
    <w:name w:val="xl132"/>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33">
    <w:name w:val="xl133"/>
    <w:basedOn w:val="Normal"/>
    <w:rsid w:val="00B4400C"/>
    <w:pPr>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34">
    <w:name w:val="xl134"/>
    <w:basedOn w:val="Normal"/>
    <w:rsid w:val="00B4400C"/>
    <w:pPr>
      <w:pBdr>
        <w:top w:val="single" w:sz="8" w:space="0" w:color="auto"/>
        <w:bottom w:val="single" w:sz="8" w:space="0" w:color="auto"/>
      </w:pBd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35">
    <w:name w:val="xl135"/>
    <w:basedOn w:val="Normal"/>
    <w:rsid w:val="00B4400C"/>
    <w:pPr>
      <w:pBdr>
        <w:top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36">
    <w:name w:val="xl136"/>
    <w:basedOn w:val="Normal"/>
    <w:rsid w:val="00B4400C"/>
    <w:pPr>
      <w:pBdr>
        <w:top w:val="single" w:sz="8"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37">
    <w:name w:val="xl137"/>
    <w:basedOn w:val="Normal"/>
    <w:rsid w:val="00B4400C"/>
    <w:pPr>
      <w:pBdr>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38">
    <w:name w:val="xl138"/>
    <w:basedOn w:val="Normal"/>
    <w:rsid w:val="00B4400C"/>
    <w:pPr>
      <w:pBdr>
        <w:top w:val="single" w:sz="8" w:space="0" w:color="auto"/>
        <w:left w:val="single" w:sz="8" w:space="0" w:color="auto"/>
        <w:bottom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39">
    <w:name w:val="xl139"/>
    <w:basedOn w:val="Normal"/>
    <w:rsid w:val="00B4400C"/>
    <w:pPr>
      <w:pBdr>
        <w:bottom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40">
    <w:name w:val="xl140"/>
    <w:basedOn w:val="Normal"/>
    <w:rsid w:val="00B4400C"/>
    <w:pPr>
      <w:pBdr>
        <w:bottom w:val="single" w:sz="8" w:space="0" w:color="auto"/>
      </w:pBdr>
      <w:shd w:val="clear" w:color="000000" w:fill="BFBFBF"/>
      <w:autoSpaceDE/>
      <w:autoSpaceDN/>
      <w:adjustRightInd/>
      <w:spacing w:before="100" w:beforeAutospacing="1" w:after="100" w:afterAutospacing="1"/>
      <w:textAlignment w:val="center"/>
    </w:pPr>
    <w:rPr>
      <w:rFonts w:cs="Arial"/>
      <w:i/>
      <w:iCs/>
      <w:sz w:val="24"/>
      <w:szCs w:val="24"/>
    </w:rPr>
  </w:style>
  <w:style w:type="paragraph" w:customStyle="1" w:styleId="xl141">
    <w:name w:val="xl141"/>
    <w:basedOn w:val="Normal"/>
    <w:rsid w:val="00B4400C"/>
    <w:pPr>
      <w:pBdr>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42">
    <w:name w:val="xl142"/>
    <w:basedOn w:val="Normal"/>
    <w:rsid w:val="00B4400C"/>
    <w:pPr>
      <w:pBdr>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43">
    <w:name w:val="xl143"/>
    <w:basedOn w:val="Normal"/>
    <w:rsid w:val="00B4400C"/>
    <w:pPr>
      <w:pBdr>
        <w:bottom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44">
    <w:name w:val="xl144"/>
    <w:basedOn w:val="Normal"/>
    <w:rsid w:val="00B4400C"/>
    <w:pPr>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45">
    <w:name w:val="xl145"/>
    <w:basedOn w:val="Normal"/>
    <w:rsid w:val="00B4400C"/>
    <w:pPr>
      <w:pBdr>
        <w:top w:val="single" w:sz="8" w:space="0" w:color="auto"/>
      </w:pBdr>
      <w:shd w:val="clear" w:color="000000" w:fill="FFFFFF"/>
      <w:autoSpaceDE/>
      <w:autoSpaceDN/>
      <w:adjustRightInd/>
      <w:spacing w:before="100" w:beforeAutospacing="1" w:after="100" w:afterAutospacing="1"/>
      <w:textAlignment w:val="center"/>
    </w:pPr>
    <w:rPr>
      <w:rFonts w:cs="Arial"/>
      <w:b/>
      <w:bCs/>
      <w:i/>
      <w:iCs/>
      <w:sz w:val="24"/>
      <w:szCs w:val="24"/>
    </w:rPr>
  </w:style>
  <w:style w:type="paragraph" w:customStyle="1" w:styleId="xl146">
    <w:name w:val="xl146"/>
    <w:basedOn w:val="Normal"/>
    <w:rsid w:val="00B4400C"/>
    <w:pPr>
      <w:pBdr>
        <w:top w:val="single" w:sz="8"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47">
    <w:name w:val="xl147"/>
    <w:basedOn w:val="Normal"/>
    <w:rsid w:val="00B4400C"/>
    <w:pPr>
      <w:pBdr>
        <w:top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48">
    <w:name w:val="xl148"/>
    <w:basedOn w:val="Normal"/>
    <w:rsid w:val="00B4400C"/>
    <w:pPr>
      <w:pBdr>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49">
    <w:name w:val="xl149"/>
    <w:basedOn w:val="Normal"/>
    <w:rsid w:val="00B4400C"/>
    <w:pP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50">
    <w:name w:val="xl150"/>
    <w:basedOn w:val="Normal"/>
    <w:rsid w:val="00B4400C"/>
    <w:pPr>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51">
    <w:name w:val="xl151"/>
    <w:basedOn w:val="Normal"/>
    <w:rsid w:val="00B4400C"/>
    <w:pPr>
      <w:pBdr>
        <w:bottom w:val="single" w:sz="8"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52">
    <w:name w:val="xl152"/>
    <w:basedOn w:val="Normal"/>
    <w:rsid w:val="00B4400C"/>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3">
    <w:name w:val="xl153"/>
    <w:basedOn w:val="Normal"/>
    <w:rsid w:val="00B4400C"/>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4">
    <w:name w:val="xl154"/>
    <w:basedOn w:val="Normal"/>
    <w:rsid w:val="00B4400C"/>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5">
    <w:name w:val="xl155"/>
    <w:basedOn w:val="Normal"/>
    <w:rsid w:val="00B4400C"/>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6">
    <w:name w:val="xl156"/>
    <w:basedOn w:val="Normal"/>
    <w:rsid w:val="00B4400C"/>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7">
    <w:name w:val="xl157"/>
    <w:basedOn w:val="Normal"/>
    <w:rsid w:val="00B4400C"/>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8">
    <w:name w:val="xl158"/>
    <w:basedOn w:val="Normal"/>
    <w:rsid w:val="00B4400C"/>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59">
    <w:name w:val="xl159"/>
    <w:basedOn w:val="Normal"/>
    <w:rsid w:val="00B4400C"/>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0">
    <w:name w:val="xl160"/>
    <w:basedOn w:val="Normal"/>
    <w:rsid w:val="00B4400C"/>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1">
    <w:name w:val="xl161"/>
    <w:basedOn w:val="Normal"/>
    <w:rsid w:val="00EB3FAD"/>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2">
    <w:name w:val="xl162"/>
    <w:basedOn w:val="Normal"/>
    <w:rsid w:val="00EB3FAD"/>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3">
    <w:name w:val="xl163"/>
    <w:basedOn w:val="Normal"/>
    <w:rsid w:val="00EB3FAD"/>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4">
    <w:name w:val="xl164"/>
    <w:basedOn w:val="Normal"/>
    <w:rsid w:val="00EB3FAD"/>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5">
    <w:name w:val="xl165"/>
    <w:basedOn w:val="Normal"/>
    <w:rsid w:val="00EB3FAD"/>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6">
    <w:name w:val="xl166"/>
    <w:basedOn w:val="Normal"/>
    <w:rsid w:val="00EB3FAD"/>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7">
    <w:name w:val="xl167"/>
    <w:basedOn w:val="Normal"/>
    <w:rsid w:val="00EB3FAD"/>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8">
    <w:name w:val="xl168"/>
    <w:basedOn w:val="Normal"/>
    <w:rsid w:val="00EB3FAD"/>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9">
    <w:name w:val="xl169"/>
    <w:basedOn w:val="Normal"/>
    <w:rsid w:val="00EB3FAD"/>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0">
    <w:name w:val="xl170"/>
    <w:basedOn w:val="Normal"/>
    <w:rsid w:val="001C024E"/>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1">
    <w:name w:val="xl171"/>
    <w:basedOn w:val="Normal"/>
    <w:rsid w:val="001C024E"/>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2">
    <w:name w:val="xl172"/>
    <w:basedOn w:val="Normal"/>
    <w:rsid w:val="001C024E"/>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3">
    <w:name w:val="xl173"/>
    <w:basedOn w:val="Normal"/>
    <w:rsid w:val="001C024E"/>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4">
    <w:name w:val="xl174"/>
    <w:basedOn w:val="Normal"/>
    <w:rsid w:val="001C024E"/>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5">
    <w:name w:val="xl175"/>
    <w:basedOn w:val="Normal"/>
    <w:rsid w:val="007D49E3"/>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6">
    <w:name w:val="xl176"/>
    <w:basedOn w:val="Normal"/>
    <w:rsid w:val="007D49E3"/>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7">
    <w:name w:val="xl177"/>
    <w:basedOn w:val="Normal"/>
    <w:rsid w:val="007D49E3"/>
    <w:pPr>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paragraph" w:customStyle="1" w:styleId="xl178">
    <w:name w:val="xl178"/>
    <w:basedOn w:val="Normal"/>
    <w:rsid w:val="007D49E3"/>
    <w:pPr>
      <w:pBdr>
        <w:left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paragraph" w:customStyle="1" w:styleId="xl179">
    <w:name w:val="xl179"/>
    <w:basedOn w:val="Normal"/>
    <w:rsid w:val="007D49E3"/>
    <w:pPr>
      <w:pBdr>
        <w:left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character" w:styleId="PlaceholderText">
    <w:name w:val="Placeholder Text"/>
    <w:basedOn w:val="DefaultParagraphFont"/>
    <w:uiPriority w:val="99"/>
    <w:semiHidden/>
    <w:rsid w:val="006F441F"/>
    <w:rPr>
      <w:color w:val="808080"/>
    </w:rPr>
  </w:style>
  <w:style w:type="paragraph" w:customStyle="1" w:styleId="xl97">
    <w:name w:val="xl97"/>
    <w:basedOn w:val="Normal"/>
    <w:rsid w:val="007855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4"/>
      <w:szCs w:val="24"/>
    </w:rPr>
  </w:style>
  <w:style w:type="paragraph" w:customStyle="1" w:styleId="Default">
    <w:name w:val="Default"/>
    <w:rsid w:val="003869E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1"/>
    <w:rsid w:val="00CE377A"/>
    <w:rPr>
      <w:rFonts w:asciiTheme="majorHAnsi" w:eastAsiaTheme="majorEastAsia" w:hAnsiTheme="majorHAnsi" w:cstheme="majorBidi"/>
      <w:b/>
      <w:szCs w:val="20"/>
    </w:rPr>
  </w:style>
  <w:style w:type="paragraph" w:customStyle="1" w:styleId="Level1">
    <w:name w:val="Level 1"/>
    <w:rsid w:val="002858BA"/>
    <w:pPr>
      <w:autoSpaceDE w:val="0"/>
      <w:autoSpaceDN w:val="0"/>
      <w:adjustRightInd w:val="0"/>
      <w:spacing w:after="0" w:line="240" w:lineRule="auto"/>
      <w:ind w:left="720"/>
    </w:pPr>
    <w:rPr>
      <w:rFonts w:ascii="Arial" w:eastAsia="Times New Roman" w:hAnsi="Arial" w:cs="Times New Roman"/>
      <w:sz w:val="24"/>
      <w:szCs w:val="24"/>
    </w:rPr>
  </w:style>
  <w:style w:type="character" w:customStyle="1" w:styleId="Heading6Char">
    <w:name w:val="Heading 6 Char"/>
    <w:basedOn w:val="DefaultParagraphFont"/>
    <w:link w:val="Heading6"/>
    <w:uiPriority w:val="1"/>
    <w:rsid w:val="00670CEF"/>
    <w:rPr>
      <w:rFonts w:ascii="Arial" w:eastAsia="Times New Roman" w:hAnsi="Arial" w:cs="Times New Roman"/>
      <w:b/>
      <w:color w:val="365F91"/>
      <w:sz w:val="32"/>
    </w:rPr>
  </w:style>
  <w:style w:type="character" w:customStyle="1" w:styleId="ListParagraphChar">
    <w:name w:val="List Paragraph Char"/>
    <w:link w:val="ListParagraph"/>
    <w:uiPriority w:val="34"/>
    <w:locked/>
    <w:rsid w:val="00670CEF"/>
    <w:rPr>
      <w:rFonts w:ascii="Arial" w:eastAsia="Times New Roman" w:hAnsi="Arial" w:cs="Times New Roman"/>
      <w:sz w:val="20"/>
      <w:szCs w:val="20"/>
    </w:rPr>
  </w:style>
  <w:style w:type="paragraph" w:customStyle="1" w:styleId="Reference">
    <w:name w:val="Reference"/>
    <w:basedOn w:val="ListParagraph"/>
    <w:rsid w:val="00670CEF"/>
    <w:pPr>
      <w:numPr>
        <w:numId w:val="10"/>
      </w:numPr>
      <w:autoSpaceDE/>
      <w:autoSpaceDN/>
      <w:adjustRightInd/>
      <w:spacing w:after="200" w:line="276" w:lineRule="auto"/>
      <w:contextualSpacing w:val="0"/>
    </w:pPr>
    <w:rPr>
      <w:sz w:val="22"/>
      <w:szCs w:val="22"/>
    </w:rPr>
  </w:style>
  <w:style w:type="paragraph" w:customStyle="1" w:styleId="NUREGBullet">
    <w:name w:val="NUREG_Bullet"/>
    <w:basedOn w:val="Reference"/>
    <w:link w:val="NUREGBulletChar"/>
    <w:qFormat/>
    <w:rsid w:val="00670CEF"/>
    <w:pPr>
      <w:spacing w:line="259" w:lineRule="auto"/>
    </w:pPr>
  </w:style>
  <w:style w:type="character" w:customStyle="1" w:styleId="NUREGBulletChar">
    <w:name w:val="NUREG_Bullet Char"/>
    <w:link w:val="NUREGBullet"/>
    <w:locked/>
    <w:rsid w:val="00670CEF"/>
    <w:rPr>
      <w:rFonts w:ascii="Arial" w:eastAsia="Times New Roman" w:hAnsi="Arial" w:cs="Times New Roman"/>
    </w:rPr>
  </w:style>
  <w:style w:type="paragraph" w:customStyle="1" w:styleId="NUREGBulletsecond-level">
    <w:name w:val="NUREG_Bullet_second-level"/>
    <w:basedOn w:val="NUREGBullet"/>
    <w:link w:val="NUREGBulletsecond-levelChar"/>
    <w:qFormat/>
    <w:rsid w:val="00670CEF"/>
    <w:pPr>
      <w:numPr>
        <w:ilvl w:val="1"/>
      </w:numPr>
    </w:pPr>
  </w:style>
  <w:style w:type="character" w:customStyle="1" w:styleId="NUREGBulletsecond-levelChar">
    <w:name w:val="NUREG_Bullet_second-level Char"/>
    <w:link w:val="NUREGBulletsecond-level"/>
    <w:locked/>
    <w:rsid w:val="00670CEF"/>
    <w:rPr>
      <w:rFonts w:ascii="Arial" w:eastAsia="Times New Roman" w:hAnsi="Arial" w:cs="Times New Roman"/>
    </w:rPr>
  </w:style>
  <w:style w:type="paragraph" w:styleId="TOC4">
    <w:name w:val="toc 4"/>
    <w:basedOn w:val="Normal"/>
    <w:next w:val="Normal"/>
    <w:autoRedefine/>
    <w:uiPriority w:val="39"/>
    <w:unhideWhenUsed/>
    <w:rsid w:val="00F40434"/>
    <w:pPr>
      <w:autoSpaceDE/>
      <w:autoSpaceDN/>
      <w:adjustRightInd/>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40434"/>
    <w:pPr>
      <w:autoSpaceDE/>
      <w:autoSpaceDN/>
      <w:adjustRightInd/>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40434"/>
    <w:pPr>
      <w:autoSpaceDE/>
      <w:autoSpaceDN/>
      <w:adjustRightInd/>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40434"/>
    <w:pPr>
      <w:autoSpaceDE/>
      <w:autoSpaceDN/>
      <w:adjustRightInd/>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40434"/>
    <w:pPr>
      <w:autoSpaceDE/>
      <w:autoSpaceDN/>
      <w:adjustRightInd/>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40434"/>
    <w:pPr>
      <w:autoSpaceDE/>
      <w:autoSpaceDN/>
      <w:adjustRightInd/>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E73DFF"/>
    <w:pPr>
      <w:autoSpaceDE/>
      <w:autoSpaceDN/>
      <w:adjustRightInd/>
      <w:spacing w:before="100" w:beforeAutospacing="1" w:after="100" w:afterAutospacing="1"/>
    </w:pPr>
    <w:rPr>
      <w:rFonts w:ascii="Times New Roman" w:hAnsi="Times New Roman"/>
      <w:sz w:val="24"/>
      <w:szCs w:val="24"/>
    </w:rPr>
  </w:style>
  <w:style w:type="paragraph" w:styleId="TableofFigures">
    <w:name w:val="table of figures"/>
    <w:basedOn w:val="Normal"/>
    <w:next w:val="Normal"/>
    <w:uiPriority w:val="99"/>
    <w:unhideWhenUsed/>
    <w:rsid w:val="00367230"/>
  </w:style>
  <w:style w:type="paragraph" w:customStyle="1" w:styleId="FigureHeading">
    <w:name w:val="Figure_Heading"/>
    <w:basedOn w:val="Exhibit"/>
    <w:qFormat/>
    <w:rsid w:val="00D33B3D"/>
    <w:pPr>
      <w:spacing w:after="240"/>
    </w:pPr>
    <w:rPr>
      <w:bCs/>
    </w:rPr>
  </w:style>
  <w:style w:type="paragraph" w:customStyle="1" w:styleId="AppendixHeader1">
    <w:name w:val="Appendix_Header_1"/>
    <w:basedOn w:val="Heading1"/>
    <w:qFormat/>
    <w:rsid w:val="006043F0"/>
  </w:style>
  <w:style w:type="paragraph" w:customStyle="1" w:styleId="AppendixHeader2">
    <w:name w:val="Appendix_Header_2"/>
    <w:basedOn w:val="Heading2"/>
    <w:qFormat/>
    <w:rsid w:val="006043F0"/>
    <w:pPr>
      <w:ind w:left="720" w:hanging="720"/>
    </w:pPr>
  </w:style>
  <w:style w:type="paragraph" w:customStyle="1" w:styleId="AppendixHeader3">
    <w:name w:val="Appendix_Header_3"/>
    <w:basedOn w:val="Heading3"/>
    <w:qFormat/>
    <w:rsid w:val="006043F0"/>
    <w:rPr>
      <w:sz w:val="24"/>
    </w:rPr>
  </w:style>
  <w:style w:type="table" w:customStyle="1" w:styleId="TableGrid1">
    <w:name w:val="Table Grid1"/>
    <w:basedOn w:val="TableNormal"/>
    <w:next w:val="TableGrid"/>
    <w:uiPriority w:val="59"/>
    <w:rsid w:val="00DD6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51426"/>
    <w:pPr>
      <w:spacing w:after="200"/>
    </w:pPr>
    <w:rPr>
      <w:i/>
      <w:iCs/>
      <w:color w:val="1F497D" w:themeColor="text2"/>
      <w:sz w:val="18"/>
      <w:szCs w:val="18"/>
    </w:rPr>
  </w:style>
  <w:style w:type="table" w:customStyle="1" w:styleId="TableGrid2">
    <w:name w:val="Table Grid2"/>
    <w:basedOn w:val="TableNormal"/>
    <w:next w:val="TableGrid"/>
    <w:uiPriority w:val="59"/>
    <w:rsid w:val="00C93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308C"/>
    <w:pPr>
      <w:widowControl w:val="0"/>
      <w:autoSpaceDE/>
      <w:autoSpaceDN/>
      <w:adjustRightInd/>
      <w:ind w:left="145"/>
    </w:pPr>
    <w:rPr>
      <w:rFonts w:eastAsia="Arial" w:cstheme="minorBidi"/>
      <w:sz w:val="13"/>
      <w:szCs w:val="13"/>
    </w:rPr>
  </w:style>
  <w:style w:type="character" w:customStyle="1" w:styleId="BodyTextChar">
    <w:name w:val="Body Text Char"/>
    <w:basedOn w:val="DefaultParagraphFont"/>
    <w:link w:val="BodyText"/>
    <w:uiPriority w:val="1"/>
    <w:rsid w:val="009B308C"/>
    <w:rPr>
      <w:rFonts w:ascii="Arial" w:eastAsia="Arial" w:hAnsi="Arial"/>
      <w:sz w:val="13"/>
      <w:szCs w:val="13"/>
    </w:rPr>
  </w:style>
  <w:style w:type="paragraph" w:customStyle="1" w:styleId="TableParagraph">
    <w:name w:val="Table Paragraph"/>
    <w:basedOn w:val="Normal"/>
    <w:uiPriority w:val="1"/>
    <w:qFormat/>
    <w:rsid w:val="009B308C"/>
    <w:pPr>
      <w:widowControl w:val="0"/>
      <w:autoSpaceDE/>
      <w:autoSpaceDN/>
      <w:adjustRightInd/>
    </w:pPr>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A1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257">
      <w:bodyDiv w:val="1"/>
      <w:marLeft w:val="0"/>
      <w:marRight w:val="0"/>
      <w:marTop w:val="0"/>
      <w:marBottom w:val="0"/>
      <w:divBdr>
        <w:top w:val="none" w:sz="0" w:space="0" w:color="auto"/>
        <w:left w:val="none" w:sz="0" w:space="0" w:color="auto"/>
        <w:bottom w:val="none" w:sz="0" w:space="0" w:color="auto"/>
        <w:right w:val="none" w:sz="0" w:space="0" w:color="auto"/>
      </w:divBdr>
    </w:div>
    <w:div w:id="23948235">
      <w:bodyDiv w:val="1"/>
      <w:marLeft w:val="0"/>
      <w:marRight w:val="0"/>
      <w:marTop w:val="0"/>
      <w:marBottom w:val="0"/>
      <w:divBdr>
        <w:top w:val="none" w:sz="0" w:space="0" w:color="auto"/>
        <w:left w:val="none" w:sz="0" w:space="0" w:color="auto"/>
        <w:bottom w:val="none" w:sz="0" w:space="0" w:color="auto"/>
        <w:right w:val="none" w:sz="0" w:space="0" w:color="auto"/>
      </w:divBdr>
    </w:div>
    <w:div w:id="31268581">
      <w:bodyDiv w:val="1"/>
      <w:marLeft w:val="0"/>
      <w:marRight w:val="0"/>
      <w:marTop w:val="0"/>
      <w:marBottom w:val="0"/>
      <w:divBdr>
        <w:top w:val="none" w:sz="0" w:space="0" w:color="auto"/>
        <w:left w:val="none" w:sz="0" w:space="0" w:color="auto"/>
        <w:bottom w:val="none" w:sz="0" w:space="0" w:color="auto"/>
        <w:right w:val="none" w:sz="0" w:space="0" w:color="auto"/>
      </w:divBdr>
    </w:div>
    <w:div w:id="31659837">
      <w:bodyDiv w:val="1"/>
      <w:marLeft w:val="0"/>
      <w:marRight w:val="0"/>
      <w:marTop w:val="0"/>
      <w:marBottom w:val="0"/>
      <w:divBdr>
        <w:top w:val="none" w:sz="0" w:space="0" w:color="auto"/>
        <w:left w:val="none" w:sz="0" w:space="0" w:color="auto"/>
        <w:bottom w:val="none" w:sz="0" w:space="0" w:color="auto"/>
        <w:right w:val="none" w:sz="0" w:space="0" w:color="auto"/>
      </w:divBdr>
    </w:div>
    <w:div w:id="77018020">
      <w:bodyDiv w:val="1"/>
      <w:marLeft w:val="0"/>
      <w:marRight w:val="0"/>
      <w:marTop w:val="0"/>
      <w:marBottom w:val="0"/>
      <w:divBdr>
        <w:top w:val="none" w:sz="0" w:space="0" w:color="auto"/>
        <w:left w:val="none" w:sz="0" w:space="0" w:color="auto"/>
        <w:bottom w:val="none" w:sz="0" w:space="0" w:color="auto"/>
        <w:right w:val="none" w:sz="0" w:space="0" w:color="auto"/>
      </w:divBdr>
    </w:div>
    <w:div w:id="98642148">
      <w:bodyDiv w:val="1"/>
      <w:marLeft w:val="0"/>
      <w:marRight w:val="0"/>
      <w:marTop w:val="0"/>
      <w:marBottom w:val="0"/>
      <w:divBdr>
        <w:top w:val="none" w:sz="0" w:space="0" w:color="auto"/>
        <w:left w:val="none" w:sz="0" w:space="0" w:color="auto"/>
        <w:bottom w:val="none" w:sz="0" w:space="0" w:color="auto"/>
        <w:right w:val="none" w:sz="0" w:space="0" w:color="auto"/>
      </w:divBdr>
    </w:div>
    <w:div w:id="102264206">
      <w:bodyDiv w:val="1"/>
      <w:marLeft w:val="0"/>
      <w:marRight w:val="0"/>
      <w:marTop w:val="0"/>
      <w:marBottom w:val="0"/>
      <w:divBdr>
        <w:top w:val="none" w:sz="0" w:space="0" w:color="auto"/>
        <w:left w:val="none" w:sz="0" w:space="0" w:color="auto"/>
        <w:bottom w:val="none" w:sz="0" w:space="0" w:color="auto"/>
        <w:right w:val="none" w:sz="0" w:space="0" w:color="auto"/>
      </w:divBdr>
    </w:div>
    <w:div w:id="122773207">
      <w:bodyDiv w:val="1"/>
      <w:marLeft w:val="0"/>
      <w:marRight w:val="0"/>
      <w:marTop w:val="0"/>
      <w:marBottom w:val="0"/>
      <w:divBdr>
        <w:top w:val="none" w:sz="0" w:space="0" w:color="auto"/>
        <w:left w:val="none" w:sz="0" w:space="0" w:color="auto"/>
        <w:bottom w:val="none" w:sz="0" w:space="0" w:color="auto"/>
        <w:right w:val="none" w:sz="0" w:space="0" w:color="auto"/>
      </w:divBdr>
    </w:div>
    <w:div w:id="152525323">
      <w:bodyDiv w:val="1"/>
      <w:marLeft w:val="0"/>
      <w:marRight w:val="0"/>
      <w:marTop w:val="0"/>
      <w:marBottom w:val="0"/>
      <w:divBdr>
        <w:top w:val="none" w:sz="0" w:space="0" w:color="auto"/>
        <w:left w:val="none" w:sz="0" w:space="0" w:color="auto"/>
        <w:bottom w:val="none" w:sz="0" w:space="0" w:color="auto"/>
        <w:right w:val="none" w:sz="0" w:space="0" w:color="auto"/>
      </w:divBdr>
    </w:div>
    <w:div w:id="176162279">
      <w:bodyDiv w:val="1"/>
      <w:marLeft w:val="0"/>
      <w:marRight w:val="0"/>
      <w:marTop w:val="0"/>
      <w:marBottom w:val="0"/>
      <w:divBdr>
        <w:top w:val="none" w:sz="0" w:space="0" w:color="auto"/>
        <w:left w:val="none" w:sz="0" w:space="0" w:color="auto"/>
        <w:bottom w:val="none" w:sz="0" w:space="0" w:color="auto"/>
        <w:right w:val="none" w:sz="0" w:space="0" w:color="auto"/>
      </w:divBdr>
    </w:div>
    <w:div w:id="177014647">
      <w:bodyDiv w:val="1"/>
      <w:marLeft w:val="0"/>
      <w:marRight w:val="0"/>
      <w:marTop w:val="0"/>
      <w:marBottom w:val="0"/>
      <w:divBdr>
        <w:top w:val="none" w:sz="0" w:space="0" w:color="auto"/>
        <w:left w:val="none" w:sz="0" w:space="0" w:color="auto"/>
        <w:bottom w:val="none" w:sz="0" w:space="0" w:color="auto"/>
        <w:right w:val="none" w:sz="0" w:space="0" w:color="auto"/>
      </w:divBdr>
    </w:div>
    <w:div w:id="182327734">
      <w:bodyDiv w:val="1"/>
      <w:marLeft w:val="0"/>
      <w:marRight w:val="0"/>
      <w:marTop w:val="0"/>
      <w:marBottom w:val="0"/>
      <w:divBdr>
        <w:top w:val="none" w:sz="0" w:space="0" w:color="auto"/>
        <w:left w:val="none" w:sz="0" w:space="0" w:color="auto"/>
        <w:bottom w:val="none" w:sz="0" w:space="0" w:color="auto"/>
        <w:right w:val="none" w:sz="0" w:space="0" w:color="auto"/>
      </w:divBdr>
    </w:div>
    <w:div w:id="189270606">
      <w:bodyDiv w:val="1"/>
      <w:marLeft w:val="0"/>
      <w:marRight w:val="0"/>
      <w:marTop w:val="0"/>
      <w:marBottom w:val="0"/>
      <w:divBdr>
        <w:top w:val="none" w:sz="0" w:space="0" w:color="auto"/>
        <w:left w:val="none" w:sz="0" w:space="0" w:color="auto"/>
        <w:bottom w:val="none" w:sz="0" w:space="0" w:color="auto"/>
        <w:right w:val="none" w:sz="0" w:space="0" w:color="auto"/>
      </w:divBdr>
    </w:div>
    <w:div w:id="191575966">
      <w:bodyDiv w:val="1"/>
      <w:marLeft w:val="0"/>
      <w:marRight w:val="0"/>
      <w:marTop w:val="0"/>
      <w:marBottom w:val="0"/>
      <w:divBdr>
        <w:top w:val="none" w:sz="0" w:space="0" w:color="auto"/>
        <w:left w:val="none" w:sz="0" w:space="0" w:color="auto"/>
        <w:bottom w:val="none" w:sz="0" w:space="0" w:color="auto"/>
        <w:right w:val="none" w:sz="0" w:space="0" w:color="auto"/>
      </w:divBdr>
    </w:div>
    <w:div w:id="194122945">
      <w:bodyDiv w:val="1"/>
      <w:marLeft w:val="0"/>
      <w:marRight w:val="0"/>
      <w:marTop w:val="0"/>
      <w:marBottom w:val="0"/>
      <w:divBdr>
        <w:top w:val="none" w:sz="0" w:space="0" w:color="auto"/>
        <w:left w:val="none" w:sz="0" w:space="0" w:color="auto"/>
        <w:bottom w:val="none" w:sz="0" w:space="0" w:color="auto"/>
        <w:right w:val="none" w:sz="0" w:space="0" w:color="auto"/>
      </w:divBdr>
    </w:div>
    <w:div w:id="206914159">
      <w:bodyDiv w:val="1"/>
      <w:marLeft w:val="0"/>
      <w:marRight w:val="0"/>
      <w:marTop w:val="0"/>
      <w:marBottom w:val="0"/>
      <w:divBdr>
        <w:top w:val="none" w:sz="0" w:space="0" w:color="auto"/>
        <w:left w:val="none" w:sz="0" w:space="0" w:color="auto"/>
        <w:bottom w:val="none" w:sz="0" w:space="0" w:color="auto"/>
        <w:right w:val="none" w:sz="0" w:space="0" w:color="auto"/>
      </w:divBdr>
    </w:div>
    <w:div w:id="213660563">
      <w:bodyDiv w:val="1"/>
      <w:marLeft w:val="0"/>
      <w:marRight w:val="0"/>
      <w:marTop w:val="0"/>
      <w:marBottom w:val="0"/>
      <w:divBdr>
        <w:top w:val="none" w:sz="0" w:space="0" w:color="auto"/>
        <w:left w:val="none" w:sz="0" w:space="0" w:color="auto"/>
        <w:bottom w:val="none" w:sz="0" w:space="0" w:color="auto"/>
        <w:right w:val="none" w:sz="0" w:space="0" w:color="auto"/>
      </w:divBdr>
    </w:div>
    <w:div w:id="221988139">
      <w:bodyDiv w:val="1"/>
      <w:marLeft w:val="0"/>
      <w:marRight w:val="0"/>
      <w:marTop w:val="0"/>
      <w:marBottom w:val="0"/>
      <w:divBdr>
        <w:top w:val="none" w:sz="0" w:space="0" w:color="auto"/>
        <w:left w:val="none" w:sz="0" w:space="0" w:color="auto"/>
        <w:bottom w:val="none" w:sz="0" w:space="0" w:color="auto"/>
        <w:right w:val="none" w:sz="0" w:space="0" w:color="auto"/>
      </w:divBdr>
    </w:div>
    <w:div w:id="229770747">
      <w:bodyDiv w:val="1"/>
      <w:marLeft w:val="0"/>
      <w:marRight w:val="0"/>
      <w:marTop w:val="0"/>
      <w:marBottom w:val="0"/>
      <w:divBdr>
        <w:top w:val="none" w:sz="0" w:space="0" w:color="auto"/>
        <w:left w:val="none" w:sz="0" w:space="0" w:color="auto"/>
        <w:bottom w:val="none" w:sz="0" w:space="0" w:color="auto"/>
        <w:right w:val="none" w:sz="0" w:space="0" w:color="auto"/>
      </w:divBdr>
    </w:div>
    <w:div w:id="236549427">
      <w:bodyDiv w:val="1"/>
      <w:marLeft w:val="0"/>
      <w:marRight w:val="0"/>
      <w:marTop w:val="0"/>
      <w:marBottom w:val="0"/>
      <w:divBdr>
        <w:top w:val="none" w:sz="0" w:space="0" w:color="auto"/>
        <w:left w:val="none" w:sz="0" w:space="0" w:color="auto"/>
        <w:bottom w:val="none" w:sz="0" w:space="0" w:color="auto"/>
        <w:right w:val="none" w:sz="0" w:space="0" w:color="auto"/>
      </w:divBdr>
    </w:div>
    <w:div w:id="242691487">
      <w:bodyDiv w:val="1"/>
      <w:marLeft w:val="0"/>
      <w:marRight w:val="0"/>
      <w:marTop w:val="0"/>
      <w:marBottom w:val="0"/>
      <w:divBdr>
        <w:top w:val="none" w:sz="0" w:space="0" w:color="auto"/>
        <w:left w:val="none" w:sz="0" w:space="0" w:color="auto"/>
        <w:bottom w:val="none" w:sz="0" w:space="0" w:color="auto"/>
        <w:right w:val="none" w:sz="0" w:space="0" w:color="auto"/>
      </w:divBdr>
    </w:div>
    <w:div w:id="307514202">
      <w:bodyDiv w:val="1"/>
      <w:marLeft w:val="0"/>
      <w:marRight w:val="0"/>
      <w:marTop w:val="0"/>
      <w:marBottom w:val="0"/>
      <w:divBdr>
        <w:top w:val="none" w:sz="0" w:space="0" w:color="auto"/>
        <w:left w:val="none" w:sz="0" w:space="0" w:color="auto"/>
        <w:bottom w:val="none" w:sz="0" w:space="0" w:color="auto"/>
        <w:right w:val="none" w:sz="0" w:space="0" w:color="auto"/>
      </w:divBdr>
    </w:div>
    <w:div w:id="317730209">
      <w:bodyDiv w:val="1"/>
      <w:marLeft w:val="0"/>
      <w:marRight w:val="0"/>
      <w:marTop w:val="0"/>
      <w:marBottom w:val="0"/>
      <w:divBdr>
        <w:top w:val="none" w:sz="0" w:space="0" w:color="auto"/>
        <w:left w:val="none" w:sz="0" w:space="0" w:color="auto"/>
        <w:bottom w:val="none" w:sz="0" w:space="0" w:color="auto"/>
        <w:right w:val="none" w:sz="0" w:space="0" w:color="auto"/>
      </w:divBdr>
    </w:div>
    <w:div w:id="328798158">
      <w:bodyDiv w:val="1"/>
      <w:marLeft w:val="0"/>
      <w:marRight w:val="0"/>
      <w:marTop w:val="0"/>
      <w:marBottom w:val="0"/>
      <w:divBdr>
        <w:top w:val="none" w:sz="0" w:space="0" w:color="auto"/>
        <w:left w:val="none" w:sz="0" w:space="0" w:color="auto"/>
        <w:bottom w:val="none" w:sz="0" w:space="0" w:color="auto"/>
        <w:right w:val="none" w:sz="0" w:space="0" w:color="auto"/>
      </w:divBdr>
    </w:div>
    <w:div w:id="358438366">
      <w:bodyDiv w:val="1"/>
      <w:marLeft w:val="0"/>
      <w:marRight w:val="0"/>
      <w:marTop w:val="0"/>
      <w:marBottom w:val="0"/>
      <w:divBdr>
        <w:top w:val="none" w:sz="0" w:space="0" w:color="auto"/>
        <w:left w:val="none" w:sz="0" w:space="0" w:color="auto"/>
        <w:bottom w:val="none" w:sz="0" w:space="0" w:color="auto"/>
        <w:right w:val="none" w:sz="0" w:space="0" w:color="auto"/>
      </w:divBdr>
    </w:div>
    <w:div w:id="366301245">
      <w:bodyDiv w:val="1"/>
      <w:marLeft w:val="0"/>
      <w:marRight w:val="0"/>
      <w:marTop w:val="0"/>
      <w:marBottom w:val="0"/>
      <w:divBdr>
        <w:top w:val="none" w:sz="0" w:space="0" w:color="auto"/>
        <w:left w:val="none" w:sz="0" w:space="0" w:color="auto"/>
        <w:bottom w:val="none" w:sz="0" w:space="0" w:color="auto"/>
        <w:right w:val="none" w:sz="0" w:space="0" w:color="auto"/>
      </w:divBdr>
    </w:div>
    <w:div w:id="379860113">
      <w:bodyDiv w:val="1"/>
      <w:marLeft w:val="0"/>
      <w:marRight w:val="0"/>
      <w:marTop w:val="0"/>
      <w:marBottom w:val="0"/>
      <w:divBdr>
        <w:top w:val="none" w:sz="0" w:space="0" w:color="auto"/>
        <w:left w:val="none" w:sz="0" w:space="0" w:color="auto"/>
        <w:bottom w:val="none" w:sz="0" w:space="0" w:color="auto"/>
        <w:right w:val="none" w:sz="0" w:space="0" w:color="auto"/>
      </w:divBdr>
    </w:div>
    <w:div w:id="387143846">
      <w:bodyDiv w:val="1"/>
      <w:marLeft w:val="0"/>
      <w:marRight w:val="0"/>
      <w:marTop w:val="0"/>
      <w:marBottom w:val="0"/>
      <w:divBdr>
        <w:top w:val="none" w:sz="0" w:space="0" w:color="auto"/>
        <w:left w:val="none" w:sz="0" w:space="0" w:color="auto"/>
        <w:bottom w:val="none" w:sz="0" w:space="0" w:color="auto"/>
        <w:right w:val="none" w:sz="0" w:space="0" w:color="auto"/>
      </w:divBdr>
    </w:div>
    <w:div w:id="425614597">
      <w:bodyDiv w:val="1"/>
      <w:marLeft w:val="0"/>
      <w:marRight w:val="0"/>
      <w:marTop w:val="0"/>
      <w:marBottom w:val="0"/>
      <w:divBdr>
        <w:top w:val="none" w:sz="0" w:space="0" w:color="auto"/>
        <w:left w:val="none" w:sz="0" w:space="0" w:color="auto"/>
        <w:bottom w:val="none" w:sz="0" w:space="0" w:color="auto"/>
        <w:right w:val="none" w:sz="0" w:space="0" w:color="auto"/>
      </w:divBdr>
    </w:div>
    <w:div w:id="440877725">
      <w:bodyDiv w:val="1"/>
      <w:marLeft w:val="0"/>
      <w:marRight w:val="0"/>
      <w:marTop w:val="0"/>
      <w:marBottom w:val="0"/>
      <w:divBdr>
        <w:top w:val="none" w:sz="0" w:space="0" w:color="auto"/>
        <w:left w:val="none" w:sz="0" w:space="0" w:color="auto"/>
        <w:bottom w:val="none" w:sz="0" w:space="0" w:color="auto"/>
        <w:right w:val="none" w:sz="0" w:space="0" w:color="auto"/>
      </w:divBdr>
    </w:div>
    <w:div w:id="446587669">
      <w:bodyDiv w:val="1"/>
      <w:marLeft w:val="0"/>
      <w:marRight w:val="0"/>
      <w:marTop w:val="0"/>
      <w:marBottom w:val="0"/>
      <w:divBdr>
        <w:top w:val="none" w:sz="0" w:space="0" w:color="auto"/>
        <w:left w:val="none" w:sz="0" w:space="0" w:color="auto"/>
        <w:bottom w:val="none" w:sz="0" w:space="0" w:color="auto"/>
        <w:right w:val="none" w:sz="0" w:space="0" w:color="auto"/>
      </w:divBdr>
    </w:div>
    <w:div w:id="454786747">
      <w:bodyDiv w:val="1"/>
      <w:marLeft w:val="0"/>
      <w:marRight w:val="0"/>
      <w:marTop w:val="0"/>
      <w:marBottom w:val="0"/>
      <w:divBdr>
        <w:top w:val="none" w:sz="0" w:space="0" w:color="auto"/>
        <w:left w:val="none" w:sz="0" w:space="0" w:color="auto"/>
        <w:bottom w:val="none" w:sz="0" w:space="0" w:color="auto"/>
        <w:right w:val="none" w:sz="0" w:space="0" w:color="auto"/>
      </w:divBdr>
    </w:div>
    <w:div w:id="484049692">
      <w:bodyDiv w:val="1"/>
      <w:marLeft w:val="0"/>
      <w:marRight w:val="0"/>
      <w:marTop w:val="0"/>
      <w:marBottom w:val="0"/>
      <w:divBdr>
        <w:top w:val="none" w:sz="0" w:space="0" w:color="auto"/>
        <w:left w:val="none" w:sz="0" w:space="0" w:color="auto"/>
        <w:bottom w:val="none" w:sz="0" w:space="0" w:color="auto"/>
        <w:right w:val="none" w:sz="0" w:space="0" w:color="auto"/>
      </w:divBdr>
    </w:div>
    <w:div w:id="491868935">
      <w:bodyDiv w:val="1"/>
      <w:marLeft w:val="0"/>
      <w:marRight w:val="0"/>
      <w:marTop w:val="0"/>
      <w:marBottom w:val="0"/>
      <w:divBdr>
        <w:top w:val="none" w:sz="0" w:space="0" w:color="auto"/>
        <w:left w:val="none" w:sz="0" w:space="0" w:color="auto"/>
        <w:bottom w:val="none" w:sz="0" w:space="0" w:color="auto"/>
        <w:right w:val="none" w:sz="0" w:space="0" w:color="auto"/>
      </w:divBdr>
    </w:div>
    <w:div w:id="493686221">
      <w:bodyDiv w:val="1"/>
      <w:marLeft w:val="0"/>
      <w:marRight w:val="0"/>
      <w:marTop w:val="0"/>
      <w:marBottom w:val="0"/>
      <w:divBdr>
        <w:top w:val="none" w:sz="0" w:space="0" w:color="auto"/>
        <w:left w:val="none" w:sz="0" w:space="0" w:color="auto"/>
        <w:bottom w:val="none" w:sz="0" w:space="0" w:color="auto"/>
        <w:right w:val="none" w:sz="0" w:space="0" w:color="auto"/>
      </w:divBdr>
    </w:div>
    <w:div w:id="502860597">
      <w:bodyDiv w:val="1"/>
      <w:marLeft w:val="0"/>
      <w:marRight w:val="0"/>
      <w:marTop w:val="0"/>
      <w:marBottom w:val="0"/>
      <w:divBdr>
        <w:top w:val="none" w:sz="0" w:space="0" w:color="auto"/>
        <w:left w:val="none" w:sz="0" w:space="0" w:color="auto"/>
        <w:bottom w:val="none" w:sz="0" w:space="0" w:color="auto"/>
        <w:right w:val="none" w:sz="0" w:space="0" w:color="auto"/>
      </w:divBdr>
    </w:div>
    <w:div w:id="506603425">
      <w:bodyDiv w:val="1"/>
      <w:marLeft w:val="0"/>
      <w:marRight w:val="0"/>
      <w:marTop w:val="0"/>
      <w:marBottom w:val="0"/>
      <w:divBdr>
        <w:top w:val="none" w:sz="0" w:space="0" w:color="auto"/>
        <w:left w:val="none" w:sz="0" w:space="0" w:color="auto"/>
        <w:bottom w:val="none" w:sz="0" w:space="0" w:color="auto"/>
        <w:right w:val="none" w:sz="0" w:space="0" w:color="auto"/>
      </w:divBdr>
    </w:div>
    <w:div w:id="508104196">
      <w:bodyDiv w:val="1"/>
      <w:marLeft w:val="0"/>
      <w:marRight w:val="0"/>
      <w:marTop w:val="0"/>
      <w:marBottom w:val="0"/>
      <w:divBdr>
        <w:top w:val="none" w:sz="0" w:space="0" w:color="auto"/>
        <w:left w:val="none" w:sz="0" w:space="0" w:color="auto"/>
        <w:bottom w:val="none" w:sz="0" w:space="0" w:color="auto"/>
        <w:right w:val="none" w:sz="0" w:space="0" w:color="auto"/>
      </w:divBdr>
    </w:div>
    <w:div w:id="513813144">
      <w:bodyDiv w:val="1"/>
      <w:marLeft w:val="0"/>
      <w:marRight w:val="0"/>
      <w:marTop w:val="0"/>
      <w:marBottom w:val="0"/>
      <w:divBdr>
        <w:top w:val="none" w:sz="0" w:space="0" w:color="auto"/>
        <w:left w:val="none" w:sz="0" w:space="0" w:color="auto"/>
        <w:bottom w:val="none" w:sz="0" w:space="0" w:color="auto"/>
        <w:right w:val="none" w:sz="0" w:space="0" w:color="auto"/>
      </w:divBdr>
    </w:div>
    <w:div w:id="522939314">
      <w:bodyDiv w:val="1"/>
      <w:marLeft w:val="0"/>
      <w:marRight w:val="0"/>
      <w:marTop w:val="0"/>
      <w:marBottom w:val="0"/>
      <w:divBdr>
        <w:top w:val="none" w:sz="0" w:space="0" w:color="auto"/>
        <w:left w:val="none" w:sz="0" w:space="0" w:color="auto"/>
        <w:bottom w:val="none" w:sz="0" w:space="0" w:color="auto"/>
        <w:right w:val="none" w:sz="0" w:space="0" w:color="auto"/>
      </w:divBdr>
    </w:div>
    <w:div w:id="525219922">
      <w:bodyDiv w:val="1"/>
      <w:marLeft w:val="0"/>
      <w:marRight w:val="0"/>
      <w:marTop w:val="0"/>
      <w:marBottom w:val="0"/>
      <w:divBdr>
        <w:top w:val="none" w:sz="0" w:space="0" w:color="auto"/>
        <w:left w:val="none" w:sz="0" w:space="0" w:color="auto"/>
        <w:bottom w:val="none" w:sz="0" w:space="0" w:color="auto"/>
        <w:right w:val="none" w:sz="0" w:space="0" w:color="auto"/>
      </w:divBdr>
    </w:div>
    <w:div w:id="529494842">
      <w:bodyDiv w:val="1"/>
      <w:marLeft w:val="0"/>
      <w:marRight w:val="0"/>
      <w:marTop w:val="0"/>
      <w:marBottom w:val="0"/>
      <w:divBdr>
        <w:top w:val="none" w:sz="0" w:space="0" w:color="auto"/>
        <w:left w:val="none" w:sz="0" w:space="0" w:color="auto"/>
        <w:bottom w:val="none" w:sz="0" w:space="0" w:color="auto"/>
        <w:right w:val="none" w:sz="0" w:space="0" w:color="auto"/>
      </w:divBdr>
    </w:div>
    <w:div w:id="531843965">
      <w:bodyDiv w:val="1"/>
      <w:marLeft w:val="0"/>
      <w:marRight w:val="0"/>
      <w:marTop w:val="0"/>
      <w:marBottom w:val="0"/>
      <w:divBdr>
        <w:top w:val="none" w:sz="0" w:space="0" w:color="auto"/>
        <w:left w:val="none" w:sz="0" w:space="0" w:color="auto"/>
        <w:bottom w:val="none" w:sz="0" w:space="0" w:color="auto"/>
        <w:right w:val="none" w:sz="0" w:space="0" w:color="auto"/>
      </w:divBdr>
    </w:div>
    <w:div w:id="539174013">
      <w:bodyDiv w:val="1"/>
      <w:marLeft w:val="0"/>
      <w:marRight w:val="0"/>
      <w:marTop w:val="0"/>
      <w:marBottom w:val="0"/>
      <w:divBdr>
        <w:top w:val="none" w:sz="0" w:space="0" w:color="auto"/>
        <w:left w:val="none" w:sz="0" w:space="0" w:color="auto"/>
        <w:bottom w:val="none" w:sz="0" w:space="0" w:color="auto"/>
        <w:right w:val="none" w:sz="0" w:space="0" w:color="auto"/>
      </w:divBdr>
    </w:div>
    <w:div w:id="539784712">
      <w:bodyDiv w:val="1"/>
      <w:marLeft w:val="0"/>
      <w:marRight w:val="0"/>
      <w:marTop w:val="0"/>
      <w:marBottom w:val="0"/>
      <w:divBdr>
        <w:top w:val="none" w:sz="0" w:space="0" w:color="auto"/>
        <w:left w:val="none" w:sz="0" w:space="0" w:color="auto"/>
        <w:bottom w:val="none" w:sz="0" w:space="0" w:color="auto"/>
        <w:right w:val="none" w:sz="0" w:space="0" w:color="auto"/>
      </w:divBdr>
    </w:div>
    <w:div w:id="548298822">
      <w:bodyDiv w:val="1"/>
      <w:marLeft w:val="0"/>
      <w:marRight w:val="0"/>
      <w:marTop w:val="0"/>
      <w:marBottom w:val="0"/>
      <w:divBdr>
        <w:top w:val="none" w:sz="0" w:space="0" w:color="auto"/>
        <w:left w:val="none" w:sz="0" w:space="0" w:color="auto"/>
        <w:bottom w:val="none" w:sz="0" w:space="0" w:color="auto"/>
        <w:right w:val="none" w:sz="0" w:space="0" w:color="auto"/>
      </w:divBdr>
    </w:div>
    <w:div w:id="556476142">
      <w:bodyDiv w:val="1"/>
      <w:marLeft w:val="0"/>
      <w:marRight w:val="0"/>
      <w:marTop w:val="0"/>
      <w:marBottom w:val="0"/>
      <w:divBdr>
        <w:top w:val="none" w:sz="0" w:space="0" w:color="auto"/>
        <w:left w:val="none" w:sz="0" w:space="0" w:color="auto"/>
        <w:bottom w:val="none" w:sz="0" w:space="0" w:color="auto"/>
        <w:right w:val="none" w:sz="0" w:space="0" w:color="auto"/>
      </w:divBdr>
    </w:div>
    <w:div w:id="556863231">
      <w:bodyDiv w:val="1"/>
      <w:marLeft w:val="0"/>
      <w:marRight w:val="0"/>
      <w:marTop w:val="0"/>
      <w:marBottom w:val="0"/>
      <w:divBdr>
        <w:top w:val="none" w:sz="0" w:space="0" w:color="auto"/>
        <w:left w:val="none" w:sz="0" w:space="0" w:color="auto"/>
        <w:bottom w:val="none" w:sz="0" w:space="0" w:color="auto"/>
        <w:right w:val="none" w:sz="0" w:space="0" w:color="auto"/>
      </w:divBdr>
    </w:div>
    <w:div w:id="559219527">
      <w:bodyDiv w:val="1"/>
      <w:marLeft w:val="0"/>
      <w:marRight w:val="0"/>
      <w:marTop w:val="0"/>
      <w:marBottom w:val="0"/>
      <w:divBdr>
        <w:top w:val="none" w:sz="0" w:space="0" w:color="auto"/>
        <w:left w:val="none" w:sz="0" w:space="0" w:color="auto"/>
        <w:bottom w:val="none" w:sz="0" w:space="0" w:color="auto"/>
        <w:right w:val="none" w:sz="0" w:space="0" w:color="auto"/>
      </w:divBdr>
    </w:div>
    <w:div w:id="561402165">
      <w:bodyDiv w:val="1"/>
      <w:marLeft w:val="0"/>
      <w:marRight w:val="0"/>
      <w:marTop w:val="0"/>
      <w:marBottom w:val="0"/>
      <w:divBdr>
        <w:top w:val="none" w:sz="0" w:space="0" w:color="auto"/>
        <w:left w:val="none" w:sz="0" w:space="0" w:color="auto"/>
        <w:bottom w:val="none" w:sz="0" w:space="0" w:color="auto"/>
        <w:right w:val="none" w:sz="0" w:space="0" w:color="auto"/>
      </w:divBdr>
    </w:div>
    <w:div w:id="567155564">
      <w:bodyDiv w:val="1"/>
      <w:marLeft w:val="0"/>
      <w:marRight w:val="0"/>
      <w:marTop w:val="0"/>
      <w:marBottom w:val="0"/>
      <w:divBdr>
        <w:top w:val="none" w:sz="0" w:space="0" w:color="auto"/>
        <w:left w:val="none" w:sz="0" w:space="0" w:color="auto"/>
        <w:bottom w:val="none" w:sz="0" w:space="0" w:color="auto"/>
        <w:right w:val="none" w:sz="0" w:space="0" w:color="auto"/>
      </w:divBdr>
    </w:div>
    <w:div w:id="569771090">
      <w:bodyDiv w:val="1"/>
      <w:marLeft w:val="0"/>
      <w:marRight w:val="0"/>
      <w:marTop w:val="0"/>
      <w:marBottom w:val="0"/>
      <w:divBdr>
        <w:top w:val="none" w:sz="0" w:space="0" w:color="auto"/>
        <w:left w:val="none" w:sz="0" w:space="0" w:color="auto"/>
        <w:bottom w:val="none" w:sz="0" w:space="0" w:color="auto"/>
        <w:right w:val="none" w:sz="0" w:space="0" w:color="auto"/>
      </w:divBdr>
    </w:div>
    <w:div w:id="573315077">
      <w:bodyDiv w:val="1"/>
      <w:marLeft w:val="0"/>
      <w:marRight w:val="0"/>
      <w:marTop w:val="0"/>
      <w:marBottom w:val="0"/>
      <w:divBdr>
        <w:top w:val="none" w:sz="0" w:space="0" w:color="auto"/>
        <w:left w:val="none" w:sz="0" w:space="0" w:color="auto"/>
        <w:bottom w:val="none" w:sz="0" w:space="0" w:color="auto"/>
        <w:right w:val="none" w:sz="0" w:space="0" w:color="auto"/>
      </w:divBdr>
    </w:div>
    <w:div w:id="575167204">
      <w:bodyDiv w:val="1"/>
      <w:marLeft w:val="0"/>
      <w:marRight w:val="0"/>
      <w:marTop w:val="0"/>
      <w:marBottom w:val="0"/>
      <w:divBdr>
        <w:top w:val="none" w:sz="0" w:space="0" w:color="auto"/>
        <w:left w:val="none" w:sz="0" w:space="0" w:color="auto"/>
        <w:bottom w:val="none" w:sz="0" w:space="0" w:color="auto"/>
        <w:right w:val="none" w:sz="0" w:space="0" w:color="auto"/>
      </w:divBdr>
    </w:div>
    <w:div w:id="586039190">
      <w:bodyDiv w:val="1"/>
      <w:marLeft w:val="0"/>
      <w:marRight w:val="0"/>
      <w:marTop w:val="0"/>
      <w:marBottom w:val="0"/>
      <w:divBdr>
        <w:top w:val="none" w:sz="0" w:space="0" w:color="auto"/>
        <w:left w:val="none" w:sz="0" w:space="0" w:color="auto"/>
        <w:bottom w:val="none" w:sz="0" w:space="0" w:color="auto"/>
        <w:right w:val="none" w:sz="0" w:space="0" w:color="auto"/>
      </w:divBdr>
    </w:div>
    <w:div w:id="592595672">
      <w:bodyDiv w:val="1"/>
      <w:marLeft w:val="0"/>
      <w:marRight w:val="0"/>
      <w:marTop w:val="0"/>
      <w:marBottom w:val="0"/>
      <w:divBdr>
        <w:top w:val="none" w:sz="0" w:space="0" w:color="auto"/>
        <w:left w:val="none" w:sz="0" w:space="0" w:color="auto"/>
        <w:bottom w:val="none" w:sz="0" w:space="0" w:color="auto"/>
        <w:right w:val="none" w:sz="0" w:space="0" w:color="auto"/>
      </w:divBdr>
    </w:div>
    <w:div w:id="613367488">
      <w:bodyDiv w:val="1"/>
      <w:marLeft w:val="0"/>
      <w:marRight w:val="0"/>
      <w:marTop w:val="0"/>
      <w:marBottom w:val="0"/>
      <w:divBdr>
        <w:top w:val="none" w:sz="0" w:space="0" w:color="auto"/>
        <w:left w:val="none" w:sz="0" w:space="0" w:color="auto"/>
        <w:bottom w:val="none" w:sz="0" w:space="0" w:color="auto"/>
        <w:right w:val="none" w:sz="0" w:space="0" w:color="auto"/>
      </w:divBdr>
    </w:div>
    <w:div w:id="630285504">
      <w:bodyDiv w:val="1"/>
      <w:marLeft w:val="0"/>
      <w:marRight w:val="0"/>
      <w:marTop w:val="0"/>
      <w:marBottom w:val="0"/>
      <w:divBdr>
        <w:top w:val="none" w:sz="0" w:space="0" w:color="auto"/>
        <w:left w:val="none" w:sz="0" w:space="0" w:color="auto"/>
        <w:bottom w:val="none" w:sz="0" w:space="0" w:color="auto"/>
        <w:right w:val="none" w:sz="0" w:space="0" w:color="auto"/>
      </w:divBdr>
    </w:div>
    <w:div w:id="638537466">
      <w:bodyDiv w:val="1"/>
      <w:marLeft w:val="0"/>
      <w:marRight w:val="0"/>
      <w:marTop w:val="0"/>
      <w:marBottom w:val="0"/>
      <w:divBdr>
        <w:top w:val="none" w:sz="0" w:space="0" w:color="auto"/>
        <w:left w:val="none" w:sz="0" w:space="0" w:color="auto"/>
        <w:bottom w:val="none" w:sz="0" w:space="0" w:color="auto"/>
        <w:right w:val="none" w:sz="0" w:space="0" w:color="auto"/>
      </w:divBdr>
    </w:div>
    <w:div w:id="639270098">
      <w:bodyDiv w:val="1"/>
      <w:marLeft w:val="0"/>
      <w:marRight w:val="0"/>
      <w:marTop w:val="0"/>
      <w:marBottom w:val="0"/>
      <w:divBdr>
        <w:top w:val="none" w:sz="0" w:space="0" w:color="auto"/>
        <w:left w:val="none" w:sz="0" w:space="0" w:color="auto"/>
        <w:bottom w:val="none" w:sz="0" w:space="0" w:color="auto"/>
        <w:right w:val="none" w:sz="0" w:space="0" w:color="auto"/>
      </w:divBdr>
    </w:div>
    <w:div w:id="651837979">
      <w:bodyDiv w:val="1"/>
      <w:marLeft w:val="0"/>
      <w:marRight w:val="0"/>
      <w:marTop w:val="0"/>
      <w:marBottom w:val="0"/>
      <w:divBdr>
        <w:top w:val="none" w:sz="0" w:space="0" w:color="auto"/>
        <w:left w:val="none" w:sz="0" w:space="0" w:color="auto"/>
        <w:bottom w:val="none" w:sz="0" w:space="0" w:color="auto"/>
        <w:right w:val="none" w:sz="0" w:space="0" w:color="auto"/>
      </w:divBdr>
    </w:div>
    <w:div w:id="675232998">
      <w:bodyDiv w:val="1"/>
      <w:marLeft w:val="0"/>
      <w:marRight w:val="0"/>
      <w:marTop w:val="0"/>
      <w:marBottom w:val="0"/>
      <w:divBdr>
        <w:top w:val="none" w:sz="0" w:space="0" w:color="auto"/>
        <w:left w:val="none" w:sz="0" w:space="0" w:color="auto"/>
        <w:bottom w:val="none" w:sz="0" w:space="0" w:color="auto"/>
        <w:right w:val="none" w:sz="0" w:space="0" w:color="auto"/>
      </w:divBdr>
    </w:div>
    <w:div w:id="680544801">
      <w:bodyDiv w:val="1"/>
      <w:marLeft w:val="0"/>
      <w:marRight w:val="0"/>
      <w:marTop w:val="0"/>
      <w:marBottom w:val="0"/>
      <w:divBdr>
        <w:top w:val="none" w:sz="0" w:space="0" w:color="auto"/>
        <w:left w:val="none" w:sz="0" w:space="0" w:color="auto"/>
        <w:bottom w:val="none" w:sz="0" w:space="0" w:color="auto"/>
        <w:right w:val="none" w:sz="0" w:space="0" w:color="auto"/>
      </w:divBdr>
    </w:div>
    <w:div w:id="683435264">
      <w:bodyDiv w:val="1"/>
      <w:marLeft w:val="0"/>
      <w:marRight w:val="0"/>
      <w:marTop w:val="0"/>
      <w:marBottom w:val="0"/>
      <w:divBdr>
        <w:top w:val="none" w:sz="0" w:space="0" w:color="auto"/>
        <w:left w:val="none" w:sz="0" w:space="0" w:color="auto"/>
        <w:bottom w:val="none" w:sz="0" w:space="0" w:color="auto"/>
        <w:right w:val="none" w:sz="0" w:space="0" w:color="auto"/>
      </w:divBdr>
    </w:div>
    <w:div w:id="690449980">
      <w:bodyDiv w:val="1"/>
      <w:marLeft w:val="0"/>
      <w:marRight w:val="0"/>
      <w:marTop w:val="0"/>
      <w:marBottom w:val="0"/>
      <w:divBdr>
        <w:top w:val="none" w:sz="0" w:space="0" w:color="auto"/>
        <w:left w:val="none" w:sz="0" w:space="0" w:color="auto"/>
        <w:bottom w:val="none" w:sz="0" w:space="0" w:color="auto"/>
        <w:right w:val="none" w:sz="0" w:space="0" w:color="auto"/>
      </w:divBdr>
    </w:div>
    <w:div w:id="714355082">
      <w:bodyDiv w:val="1"/>
      <w:marLeft w:val="0"/>
      <w:marRight w:val="0"/>
      <w:marTop w:val="0"/>
      <w:marBottom w:val="0"/>
      <w:divBdr>
        <w:top w:val="none" w:sz="0" w:space="0" w:color="auto"/>
        <w:left w:val="none" w:sz="0" w:space="0" w:color="auto"/>
        <w:bottom w:val="none" w:sz="0" w:space="0" w:color="auto"/>
        <w:right w:val="none" w:sz="0" w:space="0" w:color="auto"/>
      </w:divBdr>
    </w:div>
    <w:div w:id="722600678">
      <w:bodyDiv w:val="1"/>
      <w:marLeft w:val="0"/>
      <w:marRight w:val="0"/>
      <w:marTop w:val="0"/>
      <w:marBottom w:val="0"/>
      <w:divBdr>
        <w:top w:val="none" w:sz="0" w:space="0" w:color="auto"/>
        <w:left w:val="none" w:sz="0" w:space="0" w:color="auto"/>
        <w:bottom w:val="none" w:sz="0" w:space="0" w:color="auto"/>
        <w:right w:val="none" w:sz="0" w:space="0" w:color="auto"/>
      </w:divBdr>
    </w:div>
    <w:div w:id="755178001">
      <w:bodyDiv w:val="1"/>
      <w:marLeft w:val="0"/>
      <w:marRight w:val="0"/>
      <w:marTop w:val="0"/>
      <w:marBottom w:val="0"/>
      <w:divBdr>
        <w:top w:val="none" w:sz="0" w:space="0" w:color="auto"/>
        <w:left w:val="none" w:sz="0" w:space="0" w:color="auto"/>
        <w:bottom w:val="none" w:sz="0" w:space="0" w:color="auto"/>
        <w:right w:val="none" w:sz="0" w:space="0" w:color="auto"/>
      </w:divBdr>
    </w:div>
    <w:div w:id="757559534">
      <w:bodyDiv w:val="1"/>
      <w:marLeft w:val="0"/>
      <w:marRight w:val="0"/>
      <w:marTop w:val="0"/>
      <w:marBottom w:val="0"/>
      <w:divBdr>
        <w:top w:val="none" w:sz="0" w:space="0" w:color="auto"/>
        <w:left w:val="none" w:sz="0" w:space="0" w:color="auto"/>
        <w:bottom w:val="none" w:sz="0" w:space="0" w:color="auto"/>
        <w:right w:val="none" w:sz="0" w:space="0" w:color="auto"/>
      </w:divBdr>
    </w:div>
    <w:div w:id="774137300">
      <w:bodyDiv w:val="1"/>
      <w:marLeft w:val="0"/>
      <w:marRight w:val="0"/>
      <w:marTop w:val="0"/>
      <w:marBottom w:val="0"/>
      <w:divBdr>
        <w:top w:val="none" w:sz="0" w:space="0" w:color="auto"/>
        <w:left w:val="none" w:sz="0" w:space="0" w:color="auto"/>
        <w:bottom w:val="none" w:sz="0" w:space="0" w:color="auto"/>
        <w:right w:val="none" w:sz="0" w:space="0" w:color="auto"/>
      </w:divBdr>
    </w:div>
    <w:div w:id="784420152">
      <w:bodyDiv w:val="1"/>
      <w:marLeft w:val="0"/>
      <w:marRight w:val="0"/>
      <w:marTop w:val="0"/>
      <w:marBottom w:val="0"/>
      <w:divBdr>
        <w:top w:val="none" w:sz="0" w:space="0" w:color="auto"/>
        <w:left w:val="none" w:sz="0" w:space="0" w:color="auto"/>
        <w:bottom w:val="none" w:sz="0" w:space="0" w:color="auto"/>
        <w:right w:val="none" w:sz="0" w:space="0" w:color="auto"/>
      </w:divBdr>
    </w:div>
    <w:div w:id="802427451">
      <w:bodyDiv w:val="1"/>
      <w:marLeft w:val="0"/>
      <w:marRight w:val="0"/>
      <w:marTop w:val="0"/>
      <w:marBottom w:val="0"/>
      <w:divBdr>
        <w:top w:val="none" w:sz="0" w:space="0" w:color="auto"/>
        <w:left w:val="none" w:sz="0" w:space="0" w:color="auto"/>
        <w:bottom w:val="none" w:sz="0" w:space="0" w:color="auto"/>
        <w:right w:val="none" w:sz="0" w:space="0" w:color="auto"/>
      </w:divBdr>
    </w:div>
    <w:div w:id="802846467">
      <w:bodyDiv w:val="1"/>
      <w:marLeft w:val="0"/>
      <w:marRight w:val="0"/>
      <w:marTop w:val="0"/>
      <w:marBottom w:val="0"/>
      <w:divBdr>
        <w:top w:val="none" w:sz="0" w:space="0" w:color="auto"/>
        <w:left w:val="none" w:sz="0" w:space="0" w:color="auto"/>
        <w:bottom w:val="none" w:sz="0" w:space="0" w:color="auto"/>
        <w:right w:val="none" w:sz="0" w:space="0" w:color="auto"/>
      </w:divBdr>
    </w:div>
    <w:div w:id="804616180">
      <w:bodyDiv w:val="1"/>
      <w:marLeft w:val="0"/>
      <w:marRight w:val="0"/>
      <w:marTop w:val="0"/>
      <w:marBottom w:val="0"/>
      <w:divBdr>
        <w:top w:val="none" w:sz="0" w:space="0" w:color="auto"/>
        <w:left w:val="none" w:sz="0" w:space="0" w:color="auto"/>
        <w:bottom w:val="none" w:sz="0" w:space="0" w:color="auto"/>
        <w:right w:val="none" w:sz="0" w:space="0" w:color="auto"/>
      </w:divBdr>
    </w:div>
    <w:div w:id="824128791">
      <w:bodyDiv w:val="1"/>
      <w:marLeft w:val="0"/>
      <w:marRight w:val="0"/>
      <w:marTop w:val="0"/>
      <w:marBottom w:val="0"/>
      <w:divBdr>
        <w:top w:val="none" w:sz="0" w:space="0" w:color="auto"/>
        <w:left w:val="none" w:sz="0" w:space="0" w:color="auto"/>
        <w:bottom w:val="none" w:sz="0" w:space="0" w:color="auto"/>
        <w:right w:val="none" w:sz="0" w:space="0" w:color="auto"/>
      </w:divBdr>
    </w:div>
    <w:div w:id="838884123">
      <w:bodyDiv w:val="1"/>
      <w:marLeft w:val="0"/>
      <w:marRight w:val="0"/>
      <w:marTop w:val="0"/>
      <w:marBottom w:val="0"/>
      <w:divBdr>
        <w:top w:val="none" w:sz="0" w:space="0" w:color="auto"/>
        <w:left w:val="none" w:sz="0" w:space="0" w:color="auto"/>
        <w:bottom w:val="none" w:sz="0" w:space="0" w:color="auto"/>
        <w:right w:val="none" w:sz="0" w:space="0" w:color="auto"/>
      </w:divBdr>
    </w:div>
    <w:div w:id="839656533">
      <w:bodyDiv w:val="1"/>
      <w:marLeft w:val="0"/>
      <w:marRight w:val="0"/>
      <w:marTop w:val="0"/>
      <w:marBottom w:val="0"/>
      <w:divBdr>
        <w:top w:val="none" w:sz="0" w:space="0" w:color="auto"/>
        <w:left w:val="none" w:sz="0" w:space="0" w:color="auto"/>
        <w:bottom w:val="none" w:sz="0" w:space="0" w:color="auto"/>
        <w:right w:val="none" w:sz="0" w:space="0" w:color="auto"/>
      </w:divBdr>
    </w:div>
    <w:div w:id="846864173">
      <w:bodyDiv w:val="1"/>
      <w:marLeft w:val="0"/>
      <w:marRight w:val="0"/>
      <w:marTop w:val="0"/>
      <w:marBottom w:val="0"/>
      <w:divBdr>
        <w:top w:val="none" w:sz="0" w:space="0" w:color="auto"/>
        <w:left w:val="none" w:sz="0" w:space="0" w:color="auto"/>
        <w:bottom w:val="none" w:sz="0" w:space="0" w:color="auto"/>
        <w:right w:val="none" w:sz="0" w:space="0" w:color="auto"/>
      </w:divBdr>
    </w:div>
    <w:div w:id="853766755">
      <w:bodyDiv w:val="1"/>
      <w:marLeft w:val="0"/>
      <w:marRight w:val="0"/>
      <w:marTop w:val="0"/>
      <w:marBottom w:val="0"/>
      <w:divBdr>
        <w:top w:val="none" w:sz="0" w:space="0" w:color="auto"/>
        <w:left w:val="none" w:sz="0" w:space="0" w:color="auto"/>
        <w:bottom w:val="none" w:sz="0" w:space="0" w:color="auto"/>
        <w:right w:val="none" w:sz="0" w:space="0" w:color="auto"/>
      </w:divBdr>
    </w:div>
    <w:div w:id="873427129">
      <w:bodyDiv w:val="1"/>
      <w:marLeft w:val="0"/>
      <w:marRight w:val="0"/>
      <w:marTop w:val="0"/>
      <w:marBottom w:val="0"/>
      <w:divBdr>
        <w:top w:val="none" w:sz="0" w:space="0" w:color="auto"/>
        <w:left w:val="none" w:sz="0" w:space="0" w:color="auto"/>
        <w:bottom w:val="none" w:sz="0" w:space="0" w:color="auto"/>
        <w:right w:val="none" w:sz="0" w:space="0" w:color="auto"/>
      </w:divBdr>
    </w:div>
    <w:div w:id="874124089">
      <w:bodyDiv w:val="1"/>
      <w:marLeft w:val="0"/>
      <w:marRight w:val="0"/>
      <w:marTop w:val="0"/>
      <w:marBottom w:val="0"/>
      <w:divBdr>
        <w:top w:val="none" w:sz="0" w:space="0" w:color="auto"/>
        <w:left w:val="none" w:sz="0" w:space="0" w:color="auto"/>
        <w:bottom w:val="none" w:sz="0" w:space="0" w:color="auto"/>
        <w:right w:val="none" w:sz="0" w:space="0" w:color="auto"/>
      </w:divBdr>
    </w:div>
    <w:div w:id="874276524">
      <w:bodyDiv w:val="1"/>
      <w:marLeft w:val="0"/>
      <w:marRight w:val="0"/>
      <w:marTop w:val="0"/>
      <w:marBottom w:val="0"/>
      <w:divBdr>
        <w:top w:val="none" w:sz="0" w:space="0" w:color="auto"/>
        <w:left w:val="none" w:sz="0" w:space="0" w:color="auto"/>
        <w:bottom w:val="none" w:sz="0" w:space="0" w:color="auto"/>
        <w:right w:val="none" w:sz="0" w:space="0" w:color="auto"/>
      </w:divBdr>
    </w:div>
    <w:div w:id="890389233">
      <w:bodyDiv w:val="1"/>
      <w:marLeft w:val="0"/>
      <w:marRight w:val="0"/>
      <w:marTop w:val="0"/>
      <w:marBottom w:val="0"/>
      <w:divBdr>
        <w:top w:val="none" w:sz="0" w:space="0" w:color="auto"/>
        <w:left w:val="none" w:sz="0" w:space="0" w:color="auto"/>
        <w:bottom w:val="none" w:sz="0" w:space="0" w:color="auto"/>
        <w:right w:val="none" w:sz="0" w:space="0" w:color="auto"/>
      </w:divBdr>
    </w:div>
    <w:div w:id="893736030">
      <w:bodyDiv w:val="1"/>
      <w:marLeft w:val="0"/>
      <w:marRight w:val="0"/>
      <w:marTop w:val="0"/>
      <w:marBottom w:val="0"/>
      <w:divBdr>
        <w:top w:val="none" w:sz="0" w:space="0" w:color="auto"/>
        <w:left w:val="none" w:sz="0" w:space="0" w:color="auto"/>
        <w:bottom w:val="none" w:sz="0" w:space="0" w:color="auto"/>
        <w:right w:val="none" w:sz="0" w:space="0" w:color="auto"/>
      </w:divBdr>
    </w:div>
    <w:div w:id="895242344">
      <w:bodyDiv w:val="1"/>
      <w:marLeft w:val="0"/>
      <w:marRight w:val="0"/>
      <w:marTop w:val="0"/>
      <w:marBottom w:val="0"/>
      <w:divBdr>
        <w:top w:val="none" w:sz="0" w:space="0" w:color="auto"/>
        <w:left w:val="none" w:sz="0" w:space="0" w:color="auto"/>
        <w:bottom w:val="none" w:sz="0" w:space="0" w:color="auto"/>
        <w:right w:val="none" w:sz="0" w:space="0" w:color="auto"/>
      </w:divBdr>
    </w:div>
    <w:div w:id="897672056">
      <w:bodyDiv w:val="1"/>
      <w:marLeft w:val="0"/>
      <w:marRight w:val="0"/>
      <w:marTop w:val="0"/>
      <w:marBottom w:val="0"/>
      <w:divBdr>
        <w:top w:val="none" w:sz="0" w:space="0" w:color="auto"/>
        <w:left w:val="none" w:sz="0" w:space="0" w:color="auto"/>
        <w:bottom w:val="none" w:sz="0" w:space="0" w:color="auto"/>
        <w:right w:val="none" w:sz="0" w:space="0" w:color="auto"/>
      </w:divBdr>
    </w:div>
    <w:div w:id="929460921">
      <w:bodyDiv w:val="1"/>
      <w:marLeft w:val="0"/>
      <w:marRight w:val="0"/>
      <w:marTop w:val="0"/>
      <w:marBottom w:val="0"/>
      <w:divBdr>
        <w:top w:val="none" w:sz="0" w:space="0" w:color="auto"/>
        <w:left w:val="none" w:sz="0" w:space="0" w:color="auto"/>
        <w:bottom w:val="none" w:sz="0" w:space="0" w:color="auto"/>
        <w:right w:val="none" w:sz="0" w:space="0" w:color="auto"/>
      </w:divBdr>
    </w:div>
    <w:div w:id="937638457">
      <w:bodyDiv w:val="1"/>
      <w:marLeft w:val="0"/>
      <w:marRight w:val="0"/>
      <w:marTop w:val="0"/>
      <w:marBottom w:val="0"/>
      <w:divBdr>
        <w:top w:val="none" w:sz="0" w:space="0" w:color="auto"/>
        <w:left w:val="none" w:sz="0" w:space="0" w:color="auto"/>
        <w:bottom w:val="none" w:sz="0" w:space="0" w:color="auto"/>
        <w:right w:val="none" w:sz="0" w:space="0" w:color="auto"/>
      </w:divBdr>
    </w:div>
    <w:div w:id="946304884">
      <w:bodyDiv w:val="1"/>
      <w:marLeft w:val="0"/>
      <w:marRight w:val="0"/>
      <w:marTop w:val="0"/>
      <w:marBottom w:val="0"/>
      <w:divBdr>
        <w:top w:val="none" w:sz="0" w:space="0" w:color="auto"/>
        <w:left w:val="none" w:sz="0" w:space="0" w:color="auto"/>
        <w:bottom w:val="none" w:sz="0" w:space="0" w:color="auto"/>
        <w:right w:val="none" w:sz="0" w:space="0" w:color="auto"/>
      </w:divBdr>
    </w:div>
    <w:div w:id="947077998">
      <w:bodyDiv w:val="1"/>
      <w:marLeft w:val="0"/>
      <w:marRight w:val="0"/>
      <w:marTop w:val="0"/>
      <w:marBottom w:val="0"/>
      <w:divBdr>
        <w:top w:val="none" w:sz="0" w:space="0" w:color="auto"/>
        <w:left w:val="none" w:sz="0" w:space="0" w:color="auto"/>
        <w:bottom w:val="none" w:sz="0" w:space="0" w:color="auto"/>
        <w:right w:val="none" w:sz="0" w:space="0" w:color="auto"/>
      </w:divBdr>
    </w:div>
    <w:div w:id="948972235">
      <w:bodyDiv w:val="1"/>
      <w:marLeft w:val="0"/>
      <w:marRight w:val="0"/>
      <w:marTop w:val="0"/>
      <w:marBottom w:val="0"/>
      <w:divBdr>
        <w:top w:val="none" w:sz="0" w:space="0" w:color="auto"/>
        <w:left w:val="none" w:sz="0" w:space="0" w:color="auto"/>
        <w:bottom w:val="none" w:sz="0" w:space="0" w:color="auto"/>
        <w:right w:val="none" w:sz="0" w:space="0" w:color="auto"/>
      </w:divBdr>
    </w:div>
    <w:div w:id="955521861">
      <w:bodyDiv w:val="1"/>
      <w:marLeft w:val="0"/>
      <w:marRight w:val="0"/>
      <w:marTop w:val="0"/>
      <w:marBottom w:val="0"/>
      <w:divBdr>
        <w:top w:val="none" w:sz="0" w:space="0" w:color="auto"/>
        <w:left w:val="none" w:sz="0" w:space="0" w:color="auto"/>
        <w:bottom w:val="none" w:sz="0" w:space="0" w:color="auto"/>
        <w:right w:val="none" w:sz="0" w:space="0" w:color="auto"/>
      </w:divBdr>
    </w:div>
    <w:div w:id="963275257">
      <w:bodyDiv w:val="1"/>
      <w:marLeft w:val="0"/>
      <w:marRight w:val="0"/>
      <w:marTop w:val="0"/>
      <w:marBottom w:val="0"/>
      <w:divBdr>
        <w:top w:val="none" w:sz="0" w:space="0" w:color="auto"/>
        <w:left w:val="none" w:sz="0" w:space="0" w:color="auto"/>
        <w:bottom w:val="none" w:sz="0" w:space="0" w:color="auto"/>
        <w:right w:val="none" w:sz="0" w:space="0" w:color="auto"/>
      </w:divBdr>
    </w:div>
    <w:div w:id="970668740">
      <w:bodyDiv w:val="1"/>
      <w:marLeft w:val="0"/>
      <w:marRight w:val="0"/>
      <w:marTop w:val="0"/>
      <w:marBottom w:val="0"/>
      <w:divBdr>
        <w:top w:val="none" w:sz="0" w:space="0" w:color="auto"/>
        <w:left w:val="none" w:sz="0" w:space="0" w:color="auto"/>
        <w:bottom w:val="none" w:sz="0" w:space="0" w:color="auto"/>
        <w:right w:val="none" w:sz="0" w:space="0" w:color="auto"/>
      </w:divBdr>
    </w:div>
    <w:div w:id="984163762">
      <w:bodyDiv w:val="1"/>
      <w:marLeft w:val="0"/>
      <w:marRight w:val="0"/>
      <w:marTop w:val="0"/>
      <w:marBottom w:val="0"/>
      <w:divBdr>
        <w:top w:val="none" w:sz="0" w:space="0" w:color="auto"/>
        <w:left w:val="none" w:sz="0" w:space="0" w:color="auto"/>
        <w:bottom w:val="none" w:sz="0" w:space="0" w:color="auto"/>
        <w:right w:val="none" w:sz="0" w:space="0" w:color="auto"/>
      </w:divBdr>
    </w:div>
    <w:div w:id="1005935417">
      <w:bodyDiv w:val="1"/>
      <w:marLeft w:val="0"/>
      <w:marRight w:val="0"/>
      <w:marTop w:val="0"/>
      <w:marBottom w:val="0"/>
      <w:divBdr>
        <w:top w:val="none" w:sz="0" w:space="0" w:color="auto"/>
        <w:left w:val="none" w:sz="0" w:space="0" w:color="auto"/>
        <w:bottom w:val="none" w:sz="0" w:space="0" w:color="auto"/>
        <w:right w:val="none" w:sz="0" w:space="0" w:color="auto"/>
      </w:divBdr>
    </w:div>
    <w:div w:id="1035079224">
      <w:bodyDiv w:val="1"/>
      <w:marLeft w:val="0"/>
      <w:marRight w:val="0"/>
      <w:marTop w:val="0"/>
      <w:marBottom w:val="0"/>
      <w:divBdr>
        <w:top w:val="none" w:sz="0" w:space="0" w:color="auto"/>
        <w:left w:val="none" w:sz="0" w:space="0" w:color="auto"/>
        <w:bottom w:val="none" w:sz="0" w:space="0" w:color="auto"/>
        <w:right w:val="none" w:sz="0" w:space="0" w:color="auto"/>
      </w:divBdr>
    </w:div>
    <w:div w:id="1044599027">
      <w:bodyDiv w:val="1"/>
      <w:marLeft w:val="0"/>
      <w:marRight w:val="0"/>
      <w:marTop w:val="0"/>
      <w:marBottom w:val="0"/>
      <w:divBdr>
        <w:top w:val="none" w:sz="0" w:space="0" w:color="auto"/>
        <w:left w:val="none" w:sz="0" w:space="0" w:color="auto"/>
        <w:bottom w:val="none" w:sz="0" w:space="0" w:color="auto"/>
        <w:right w:val="none" w:sz="0" w:space="0" w:color="auto"/>
      </w:divBdr>
    </w:div>
    <w:div w:id="1047022550">
      <w:bodyDiv w:val="1"/>
      <w:marLeft w:val="0"/>
      <w:marRight w:val="0"/>
      <w:marTop w:val="0"/>
      <w:marBottom w:val="0"/>
      <w:divBdr>
        <w:top w:val="none" w:sz="0" w:space="0" w:color="auto"/>
        <w:left w:val="none" w:sz="0" w:space="0" w:color="auto"/>
        <w:bottom w:val="none" w:sz="0" w:space="0" w:color="auto"/>
        <w:right w:val="none" w:sz="0" w:space="0" w:color="auto"/>
      </w:divBdr>
    </w:div>
    <w:div w:id="1057515048">
      <w:bodyDiv w:val="1"/>
      <w:marLeft w:val="0"/>
      <w:marRight w:val="0"/>
      <w:marTop w:val="0"/>
      <w:marBottom w:val="0"/>
      <w:divBdr>
        <w:top w:val="none" w:sz="0" w:space="0" w:color="auto"/>
        <w:left w:val="none" w:sz="0" w:space="0" w:color="auto"/>
        <w:bottom w:val="none" w:sz="0" w:space="0" w:color="auto"/>
        <w:right w:val="none" w:sz="0" w:space="0" w:color="auto"/>
      </w:divBdr>
    </w:div>
    <w:div w:id="1063063070">
      <w:bodyDiv w:val="1"/>
      <w:marLeft w:val="0"/>
      <w:marRight w:val="0"/>
      <w:marTop w:val="0"/>
      <w:marBottom w:val="0"/>
      <w:divBdr>
        <w:top w:val="none" w:sz="0" w:space="0" w:color="auto"/>
        <w:left w:val="none" w:sz="0" w:space="0" w:color="auto"/>
        <w:bottom w:val="none" w:sz="0" w:space="0" w:color="auto"/>
        <w:right w:val="none" w:sz="0" w:space="0" w:color="auto"/>
      </w:divBdr>
    </w:div>
    <w:div w:id="1084037946">
      <w:bodyDiv w:val="1"/>
      <w:marLeft w:val="0"/>
      <w:marRight w:val="0"/>
      <w:marTop w:val="0"/>
      <w:marBottom w:val="0"/>
      <w:divBdr>
        <w:top w:val="none" w:sz="0" w:space="0" w:color="auto"/>
        <w:left w:val="none" w:sz="0" w:space="0" w:color="auto"/>
        <w:bottom w:val="none" w:sz="0" w:space="0" w:color="auto"/>
        <w:right w:val="none" w:sz="0" w:space="0" w:color="auto"/>
      </w:divBdr>
    </w:div>
    <w:div w:id="1084645872">
      <w:bodyDiv w:val="1"/>
      <w:marLeft w:val="0"/>
      <w:marRight w:val="0"/>
      <w:marTop w:val="0"/>
      <w:marBottom w:val="0"/>
      <w:divBdr>
        <w:top w:val="none" w:sz="0" w:space="0" w:color="auto"/>
        <w:left w:val="none" w:sz="0" w:space="0" w:color="auto"/>
        <w:bottom w:val="none" w:sz="0" w:space="0" w:color="auto"/>
        <w:right w:val="none" w:sz="0" w:space="0" w:color="auto"/>
      </w:divBdr>
    </w:div>
    <w:div w:id="1088618595">
      <w:bodyDiv w:val="1"/>
      <w:marLeft w:val="0"/>
      <w:marRight w:val="0"/>
      <w:marTop w:val="0"/>
      <w:marBottom w:val="0"/>
      <w:divBdr>
        <w:top w:val="none" w:sz="0" w:space="0" w:color="auto"/>
        <w:left w:val="none" w:sz="0" w:space="0" w:color="auto"/>
        <w:bottom w:val="none" w:sz="0" w:space="0" w:color="auto"/>
        <w:right w:val="none" w:sz="0" w:space="0" w:color="auto"/>
      </w:divBdr>
    </w:div>
    <w:div w:id="1092163644">
      <w:bodyDiv w:val="1"/>
      <w:marLeft w:val="0"/>
      <w:marRight w:val="0"/>
      <w:marTop w:val="0"/>
      <w:marBottom w:val="0"/>
      <w:divBdr>
        <w:top w:val="none" w:sz="0" w:space="0" w:color="auto"/>
        <w:left w:val="none" w:sz="0" w:space="0" w:color="auto"/>
        <w:bottom w:val="none" w:sz="0" w:space="0" w:color="auto"/>
        <w:right w:val="none" w:sz="0" w:space="0" w:color="auto"/>
      </w:divBdr>
    </w:div>
    <w:div w:id="1094398225">
      <w:bodyDiv w:val="1"/>
      <w:marLeft w:val="0"/>
      <w:marRight w:val="0"/>
      <w:marTop w:val="0"/>
      <w:marBottom w:val="0"/>
      <w:divBdr>
        <w:top w:val="none" w:sz="0" w:space="0" w:color="auto"/>
        <w:left w:val="none" w:sz="0" w:space="0" w:color="auto"/>
        <w:bottom w:val="none" w:sz="0" w:space="0" w:color="auto"/>
        <w:right w:val="none" w:sz="0" w:space="0" w:color="auto"/>
      </w:divBdr>
    </w:div>
    <w:div w:id="1099449543">
      <w:bodyDiv w:val="1"/>
      <w:marLeft w:val="0"/>
      <w:marRight w:val="0"/>
      <w:marTop w:val="0"/>
      <w:marBottom w:val="0"/>
      <w:divBdr>
        <w:top w:val="none" w:sz="0" w:space="0" w:color="auto"/>
        <w:left w:val="none" w:sz="0" w:space="0" w:color="auto"/>
        <w:bottom w:val="none" w:sz="0" w:space="0" w:color="auto"/>
        <w:right w:val="none" w:sz="0" w:space="0" w:color="auto"/>
      </w:divBdr>
    </w:div>
    <w:div w:id="1103301052">
      <w:bodyDiv w:val="1"/>
      <w:marLeft w:val="0"/>
      <w:marRight w:val="0"/>
      <w:marTop w:val="0"/>
      <w:marBottom w:val="0"/>
      <w:divBdr>
        <w:top w:val="none" w:sz="0" w:space="0" w:color="auto"/>
        <w:left w:val="none" w:sz="0" w:space="0" w:color="auto"/>
        <w:bottom w:val="none" w:sz="0" w:space="0" w:color="auto"/>
        <w:right w:val="none" w:sz="0" w:space="0" w:color="auto"/>
      </w:divBdr>
    </w:div>
    <w:div w:id="1107311367">
      <w:bodyDiv w:val="1"/>
      <w:marLeft w:val="0"/>
      <w:marRight w:val="0"/>
      <w:marTop w:val="0"/>
      <w:marBottom w:val="0"/>
      <w:divBdr>
        <w:top w:val="none" w:sz="0" w:space="0" w:color="auto"/>
        <w:left w:val="none" w:sz="0" w:space="0" w:color="auto"/>
        <w:bottom w:val="none" w:sz="0" w:space="0" w:color="auto"/>
        <w:right w:val="none" w:sz="0" w:space="0" w:color="auto"/>
      </w:divBdr>
    </w:div>
    <w:div w:id="1109591858">
      <w:bodyDiv w:val="1"/>
      <w:marLeft w:val="0"/>
      <w:marRight w:val="0"/>
      <w:marTop w:val="0"/>
      <w:marBottom w:val="0"/>
      <w:divBdr>
        <w:top w:val="none" w:sz="0" w:space="0" w:color="auto"/>
        <w:left w:val="none" w:sz="0" w:space="0" w:color="auto"/>
        <w:bottom w:val="none" w:sz="0" w:space="0" w:color="auto"/>
        <w:right w:val="none" w:sz="0" w:space="0" w:color="auto"/>
      </w:divBdr>
    </w:div>
    <w:div w:id="1117135773">
      <w:bodyDiv w:val="1"/>
      <w:marLeft w:val="0"/>
      <w:marRight w:val="0"/>
      <w:marTop w:val="0"/>
      <w:marBottom w:val="0"/>
      <w:divBdr>
        <w:top w:val="none" w:sz="0" w:space="0" w:color="auto"/>
        <w:left w:val="none" w:sz="0" w:space="0" w:color="auto"/>
        <w:bottom w:val="none" w:sz="0" w:space="0" w:color="auto"/>
        <w:right w:val="none" w:sz="0" w:space="0" w:color="auto"/>
      </w:divBdr>
    </w:div>
    <w:div w:id="1122844131">
      <w:bodyDiv w:val="1"/>
      <w:marLeft w:val="0"/>
      <w:marRight w:val="0"/>
      <w:marTop w:val="0"/>
      <w:marBottom w:val="0"/>
      <w:divBdr>
        <w:top w:val="none" w:sz="0" w:space="0" w:color="auto"/>
        <w:left w:val="none" w:sz="0" w:space="0" w:color="auto"/>
        <w:bottom w:val="none" w:sz="0" w:space="0" w:color="auto"/>
        <w:right w:val="none" w:sz="0" w:space="0" w:color="auto"/>
      </w:divBdr>
    </w:div>
    <w:div w:id="1124234381">
      <w:bodyDiv w:val="1"/>
      <w:marLeft w:val="0"/>
      <w:marRight w:val="0"/>
      <w:marTop w:val="0"/>
      <w:marBottom w:val="0"/>
      <w:divBdr>
        <w:top w:val="none" w:sz="0" w:space="0" w:color="auto"/>
        <w:left w:val="none" w:sz="0" w:space="0" w:color="auto"/>
        <w:bottom w:val="none" w:sz="0" w:space="0" w:color="auto"/>
        <w:right w:val="none" w:sz="0" w:space="0" w:color="auto"/>
      </w:divBdr>
    </w:div>
    <w:div w:id="1125854978">
      <w:bodyDiv w:val="1"/>
      <w:marLeft w:val="0"/>
      <w:marRight w:val="0"/>
      <w:marTop w:val="0"/>
      <w:marBottom w:val="0"/>
      <w:divBdr>
        <w:top w:val="none" w:sz="0" w:space="0" w:color="auto"/>
        <w:left w:val="none" w:sz="0" w:space="0" w:color="auto"/>
        <w:bottom w:val="none" w:sz="0" w:space="0" w:color="auto"/>
        <w:right w:val="none" w:sz="0" w:space="0" w:color="auto"/>
      </w:divBdr>
    </w:div>
    <w:div w:id="1133056006">
      <w:bodyDiv w:val="1"/>
      <w:marLeft w:val="0"/>
      <w:marRight w:val="0"/>
      <w:marTop w:val="0"/>
      <w:marBottom w:val="0"/>
      <w:divBdr>
        <w:top w:val="none" w:sz="0" w:space="0" w:color="auto"/>
        <w:left w:val="none" w:sz="0" w:space="0" w:color="auto"/>
        <w:bottom w:val="none" w:sz="0" w:space="0" w:color="auto"/>
        <w:right w:val="none" w:sz="0" w:space="0" w:color="auto"/>
      </w:divBdr>
    </w:div>
    <w:div w:id="1133601902">
      <w:bodyDiv w:val="1"/>
      <w:marLeft w:val="0"/>
      <w:marRight w:val="0"/>
      <w:marTop w:val="0"/>
      <w:marBottom w:val="0"/>
      <w:divBdr>
        <w:top w:val="none" w:sz="0" w:space="0" w:color="auto"/>
        <w:left w:val="none" w:sz="0" w:space="0" w:color="auto"/>
        <w:bottom w:val="none" w:sz="0" w:space="0" w:color="auto"/>
        <w:right w:val="none" w:sz="0" w:space="0" w:color="auto"/>
      </w:divBdr>
    </w:div>
    <w:div w:id="1147278227">
      <w:bodyDiv w:val="1"/>
      <w:marLeft w:val="0"/>
      <w:marRight w:val="0"/>
      <w:marTop w:val="0"/>
      <w:marBottom w:val="0"/>
      <w:divBdr>
        <w:top w:val="none" w:sz="0" w:space="0" w:color="auto"/>
        <w:left w:val="none" w:sz="0" w:space="0" w:color="auto"/>
        <w:bottom w:val="none" w:sz="0" w:space="0" w:color="auto"/>
        <w:right w:val="none" w:sz="0" w:space="0" w:color="auto"/>
      </w:divBdr>
    </w:div>
    <w:div w:id="1153718011">
      <w:bodyDiv w:val="1"/>
      <w:marLeft w:val="0"/>
      <w:marRight w:val="0"/>
      <w:marTop w:val="0"/>
      <w:marBottom w:val="0"/>
      <w:divBdr>
        <w:top w:val="none" w:sz="0" w:space="0" w:color="auto"/>
        <w:left w:val="none" w:sz="0" w:space="0" w:color="auto"/>
        <w:bottom w:val="none" w:sz="0" w:space="0" w:color="auto"/>
        <w:right w:val="none" w:sz="0" w:space="0" w:color="auto"/>
      </w:divBdr>
    </w:div>
    <w:div w:id="1158956385">
      <w:bodyDiv w:val="1"/>
      <w:marLeft w:val="0"/>
      <w:marRight w:val="0"/>
      <w:marTop w:val="0"/>
      <w:marBottom w:val="0"/>
      <w:divBdr>
        <w:top w:val="none" w:sz="0" w:space="0" w:color="auto"/>
        <w:left w:val="none" w:sz="0" w:space="0" w:color="auto"/>
        <w:bottom w:val="none" w:sz="0" w:space="0" w:color="auto"/>
        <w:right w:val="none" w:sz="0" w:space="0" w:color="auto"/>
      </w:divBdr>
    </w:div>
    <w:div w:id="1191988639">
      <w:bodyDiv w:val="1"/>
      <w:marLeft w:val="0"/>
      <w:marRight w:val="0"/>
      <w:marTop w:val="0"/>
      <w:marBottom w:val="0"/>
      <w:divBdr>
        <w:top w:val="none" w:sz="0" w:space="0" w:color="auto"/>
        <w:left w:val="none" w:sz="0" w:space="0" w:color="auto"/>
        <w:bottom w:val="none" w:sz="0" w:space="0" w:color="auto"/>
        <w:right w:val="none" w:sz="0" w:space="0" w:color="auto"/>
      </w:divBdr>
    </w:div>
    <w:div w:id="1233852172">
      <w:bodyDiv w:val="1"/>
      <w:marLeft w:val="0"/>
      <w:marRight w:val="0"/>
      <w:marTop w:val="0"/>
      <w:marBottom w:val="0"/>
      <w:divBdr>
        <w:top w:val="none" w:sz="0" w:space="0" w:color="auto"/>
        <w:left w:val="none" w:sz="0" w:space="0" w:color="auto"/>
        <w:bottom w:val="none" w:sz="0" w:space="0" w:color="auto"/>
        <w:right w:val="none" w:sz="0" w:space="0" w:color="auto"/>
      </w:divBdr>
    </w:div>
    <w:div w:id="1235316876">
      <w:bodyDiv w:val="1"/>
      <w:marLeft w:val="0"/>
      <w:marRight w:val="0"/>
      <w:marTop w:val="0"/>
      <w:marBottom w:val="0"/>
      <w:divBdr>
        <w:top w:val="none" w:sz="0" w:space="0" w:color="auto"/>
        <w:left w:val="none" w:sz="0" w:space="0" w:color="auto"/>
        <w:bottom w:val="none" w:sz="0" w:space="0" w:color="auto"/>
        <w:right w:val="none" w:sz="0" w:space="0" w:color="auto"/>
      </w:divBdr>
    </w:div>
    <w:div w:id="1236820863">
      <w:bodyDiv w:val="1"/>
      <w:marLeft w:val="0"/>
      <w:marRight w:val="0"/>
      <w:marTop w:val="0"/>
      <w:marBottom w:val="0"/>
      <w:divBdr>
        <w:top w:val="none" w:sz="0" w:space="0" w:color="auto"/>
        <w:left w:val="none" w:sz="0" w:space="0" w:color="auto"/>
        <w:bottom w:val="none" w:sz="0" w:space="0" w:color="auto"/>
        <w:right w:val="none" w:sz="0" w:space="0" w:color="auto"/>
      </w:divBdr>
    </w:div>
    <w:div w:id="1273323934">
      <w:bodyDiv w:val="1"/>
      <w:marLeft w:val="0"/>
      <w:marRight w:val="0"/>
      <w:marTop w:val="0"/>
      <w:marBottom w:val="0"/>
      <w:divBdr>
        <w:top w:val="none" w:sz="0" w:space="0" w:color="auto"/>
        <w:left w:val="none" w:sz="0" w:space="0" w:color="auto"/>
        <w:bottom w:val="none" w:sz="0" w:space="0" w:color="auto"/>
        <w:right w:val="none" w:sz="0" w:space="0" w:color="auto"/>
      </w:divBdr>
    </w:div>
    <w:div w:id="1274049627">
      <w:bodyDiv w:val="1"/>
      <w:marLeft w:val="0"/>
      <w:marRight w:val="0"/>
      <w:marTop w:val="0"/>
      <w:marBottom w:val="0"/>
      <w:divBdr>
        <w:top w:val="none" w:sz="0" w:space="0" w:color="auto"/>
        <w:left w:val="none" w:sz="0" w:space="0" w:color="auto"/>
        <w:bottom w:val="none" w:sz="0" w:space="0" w:color="auto"/>
        <w:right w:val="none" w:sz="0" w:space="0" w:color="auto"/>
      </w:divBdr>
    </w:div>
    <w:div w:id="1312948311">
      <w:bodyDiv w:val="1"/>
      <w:marLeft w:val="0"/>
      <w:marRight w:val="0"/>
      <w:marTop w:val="0"/>
      <w:marBottom w:val="0"/>
      <w:divBdr>
        <w:top w:val="none" w:sz="0" w:space="0" w:color="auto"/>
        <w:left w:val="none" w:sz="0" w:space="0" w:color="auto"/>
        <w:bottom w:val="none" w:sz="0" w:space="0" w:color="auto"/>
        <w:right w:val="none" w:sz="0" w:space="0" w:color="auto"/>
      </w:divBdr>
    </w:div>
    <w:div w:id="1315602166">
      <w:bodyDiv w:val="1"/>
      <w:marLeft w:val="0"/>
      <w:marRight w:val="0"/>
      <w:marTop w:val="0"/>
      <w:marBottom w:val="0"/>
      <w:divBdr>
        <w:top w:val="none" w:sz="0" w:space="0" w:color="auto"/>
        <w:left w:val="none" w:sz="0" w:space="0" w:color="auto"/>
        <w:bottom w:val="none" w:sz="0" w:space="0" w:color="auto"/>
        <w:right w:val="none" w:sz="0" w:space="0" w:color="auto"/>
      </w:divBdr>
    </w:div>
    <w:div w:id="1327200357">
      <w:bodyDiv w:val="1"/>
      <w:marLeft w:val="0"/>
      <w:marRight w:val="0"/>
      <w:marTop w:val="0"/>
      <w:marBottom w:val="0"/>
      <w:divBdr>
        <w:top w:val="none" w:sz="0" w:space="0" w:color="auto"/>
        <w:left w:val="none" w:sz="0" w:space="0" w:color="auto"/>
        <w:bottom w:val="none" w:sz="0" w:space="0" w:color="auto"/>
        <w:right w:val="none" w:sz="0" w:space="0" w:color="auto"/>
      </w:divBdr>
    </w:div>
    <w:div w:id="1348555684">
      <w:bodyDiv w:val="1"/>
      <w:marLeft w:val="0"/>
      <w:marRight w:val="0"/>
      <w:marTop w:val="0"/>
      <w:marBottom w:val="0"/>
      <w:divBdr>
        <w:top w:val="none" w:sz="0" w:space="0" w:color="auto"/>
        <w:left w:val="none" w:sz="0" w:space="0" w:color="auto"/>
        <w:bottom w:val="none" w:sz="0" w:space="0" w:color="auto"/>
        <w:right w:val="none" w:sz="0" w:space="0" w:color="auto"/>
      </w:divBdr>
    </w:div>
    <w:div w:id="1368985985">
      <w:bodyDiv w:val="1"/>
      <w:marLeft w:val="0"/>
      <w:marRight w:val="0"/>
      <w:marTop w:val="0"/>
      <w:marBottom w:val="0"/>
      <w:divBdr>
        <w:top w:val="none" w:sz="0" w:space="0" w:color="auto"/>
        <w:left w:val="none" w:sz="0" w:space="0" w:color="auto"/>
        <w:bottom w:val="none" w:sz="0" w:space="0" w:color="auto"/>
        <w:right w:val="none" w:sz="0" w:space="0" w:color="auto"/>
      </w:divBdr>
    </w:div>
    <w:div w:id="1406806418">
      <w:bodyDiv w:val="1"/>
      <w:marLeft w:val="0"/>
      <w:marRight w:val="0"/>
      <w:marTop w:val="0"/>
      <w:marBottom w:val="0"/>
      <w:divBdr>
        <w:top w:val="none" w:sz="0" w:space="0" w:color="auto"/>
        <w:left w:val="none" w:sz="0" w:space="0" w:color="auto"/>
        <w:bottom w:val="none" w:sz="0" w:space="0" w:color="auto"/>
        <w:right w:val="none" w:sz="0" w:space="0" w:color="auto"/>
      </w:divBdr>
    </w:div>
    <w:div w:id="1425684827">
      <w:bodyDiv w:val="1"/>
      <w:marLeft w:val="0"/>
      <w:marRight w:val="0"/>
      <w:marTop w:val="0"/>
      <w:marBottom w:val="0"/>
      <w:divBdr>
        <w:top w:val="none" w:sz="0" w:space="0" w:color="auto"/>
        <w:left w:val="none" w:sz="0" w:space="0" w:color="auto"/>
        <w:bottom w:val="none" w:sz="0" w:space="0" w:color="auto"/>
        <w:right w:val="none" w:sz="0" w:space="0" w:color="auto"/>
      </w:divBdr>
    </w:div>
    <w:div w:id="1429621211">
      <w:bodyDiv w:val="1"/>
      <w:marLeft w:val="0"/>
      <w:marRight w:val="0"/>
      <w:marTop w:val="0"/>
      <w:marBottom w:val="0"/>
      <w:divBdr>
        <w:top w:val="none" w:sz="0" w:space="0" w:color="auto"/>
        <w:left w:val="none" w:sz="0" w:space="0" w:color="auto"/>
        <w:bottom w:val="none" w:sz="0" w:space="0" w:color="auto"/>
        <w:right w:val="none" w:sz="0" w:space="0" w:color="auto"/>
      </w:divBdr>
    </w:div>
    <w:div w:id="1461453681">
      <w:bodyDiv w:val="1"/>
      <w:marLeft w:val="0"/>
      <w:marRight w:val="0"/>
      <w:marTop w:val="0"/>
      <w:marBottom w:val="0"/>
      <w:divBdr>
        <w:top w:val="none" w:sz="0" w:space="0" w:color="auto"/>
        <w:left w:val="none" w:sz="0" w:space="0" w:color="auto"/>
        <w:bottom w:val="none" w:sz="0" w:space="0" w:color="auto"/>
        <w:right w:val="none" w:sz="0" w:space="0" w:color="auto"/>
      </w:divBdr>
    </w:div>
    <w:div w:id="1462577139">
      <w:bodyDiv w:val="1"/>
      <w:marLeft w:val="0"/>
      <w:marRight w:val="0"/>
      <w:marTop w:val="0"/>
      <w:marBottom w:val="0"/>
      <w:divBdr>
        <w:top w:val="none" w:sz="0" w:space="0" w:color="auto"/>
        <w:left w:val="none" w:sz="0" w:space="0" w:color="auto"/>
        <w:bottom w:val="none" w:sz="0" w:space="0" w:color="auto"/>
        <w:right w:val="none" w:sz="0" w:space="0" w:color="auto"/>
      </w:divBdr>
    </w:div>
    <w:div w:id="1465153890">
      <w:bodyDiv w:val="1"/>
      <w:marLeft w:val="0"/>
      <w:marRight w:val="0"/>
      <w:marTop w:val="0"/>
      <w:marBottom w:val="0"/>
      <w:divBdr>
        <w:top w:val="none" w:sz="0" w:space="0" w:color="auto"/>
        <w:left w:val="none" w:sz="0" w:space="0" w:color="auto"/>
        <w:bottom w:val="none" w:sz="0" w:space="0" w:color="auto"/>
        <w:right w:val="none" w:sz="0" w:space="0" w:color="auto"/>
      </w:divBdr>
    </w:div>
    <w:div w:id="1476095498">
      <w:bodyDiv w:val="1"/>
      <w:marLeft w:val="0"/>
      <w:marRight w:val="0"/>
      <w:marTop w:val="0"/>
      <w:marBottom w:val="0"/>
      <w:divBdr>
        <w:top w:val="none" w:sz="0" w:space="0" w:color="auto"/>
        <w:left w:val="none" w:sz="0" w:space="0" w:color="auto"/>
        <w:bottom w:val="none" w:sz="0" w:space="0" w:color="auto"/>
        <w:right w:val="none" w:sz="0" w:space="0" w:color="auto"/>
      </w:divBdr>
    </w:div>
    <w:div w:id="1481073411">
      <w:bodyDiv w:val="1"/>
      <w:marLeft w:val="0"/>
      <w:marRight w:val="0"/>
      <w:marTop w:val="0"/>
      <w:marBottom w:val="0"/>
      <w:divBdr>
        <w:top w:val="none" w:sz="0" w:space="0" w:color="auto"/>
        <w:left w:val="none" w:sz="0" w:space="0" w:color="auto"/>
        <w:bottom w:val="none" w:sz="0" w:space="0" w:color="auto"/>
        <w:right w:val="none" w:sz="0" w:space="0" w:color="auto"/>
      </w:divBdr>
    </w:div>
    <w:div w:id="1493643768">
      <w:bodyDiv w:val="1"/>
      <w:marLeft w:val="0"/>
      <w:marRight w:val="0"/>
      <w:marTop w:val="0"/>
      <w:marBottom w:val="0"/>
      <w:divBdr>
        <w:top w:val="none" w:sz="0" w:space="0" w:color="auto"/>
        <w:left w:val="none" w:sz="0" w:space="0" w:color="auto"/>
        <w:bottom w:val="none" w:sz="0" w:space="0" w:color="auto"/>
        <w:right w:val="none" w:sz="0" w:space="0" w:color="auto"/>
      </w:divBdr>
    </w:div>
    <w:div w:id="1495803110">
      <w:bodyDiv w:val="1"/>
      <w:marLeft w:val="0"/>
      <w:marRight w:val="0"/>
      <w:marTop w:val="0"/>
      <w:marBottom w:val="0"/>
      <w:divBdr>
        <w:top w:val="none" w:sz="0" w:space="0" w:color="auto"/>
        <w:left w:val="none" w:sz="0" w:space="0" w:color="auto"/>
        <w:bottom w:val="none" w:sz="0" w:space="0" w:color="auto"/>
        <w:right w:val="none" w:sz="0" w:space="0" w:color="auto"/>
      </w:divBdr>
    </w:div>
    <w:div w:id="1517233932">
      <w:bodyDiv w:val="1"/>
      <w:marLeft w:val="0"/>
      <w:marRight w:val="0"/>
      <w:marTop w:val="0"/>
      <w:marBottom w:val="0"/>
      <w:divBdr>
        <w:top w:val="none" w:sz="0" w:space="0" w:color="auto"/>
        <w:left w:val="none" w:sz="0" w:space="0" w:color="auto"/>
        <w:bottom w:val="none" w:sz="0" w:space="0" w:color="auto"/>
        <w:right w:val="none" w:sz="0" w:space="0" w:color="auto"/>
      </w:divBdr>
    </w:div>
    <w:div w:id="1563711649">
      <w:bodyDiv w:val="1"/>
      <w:marLeft w:val="0"/>
      <w:marRight w:val="0"/>
      <w:marTop w:val="0"/>
      <w:marBottom w:val="0"/>
      <w:divBdr>
        <w:top w:val="none" w:sz="0" w:space="0" w:color="auto"/>
        <w:left w:val="none" w:sz="0" w:space="0" w:color="auto"/>
        <w:bottom w:val="none" w:sz="0" w:space="0" w:color="auto"/>
        <w:right w:val="none" w:sz="0" w:space="0" w:color="auto"/>
      </w:divBdr>
    </w:div>
    <w:div w:id="1579248412">
      <w:bodyDiv w:val="1"/>
      <w:marLeft w:val="0"/>
      <w:marRight w:val="0"/>
      <w:marTop w:val="0"/>
      <w:marBottom w:val="0"/>
      <w:divBdr>
        <w:top w:val="none" w:sz="0" w:space="0" w:color="auto"/>
        <w:left w:val="none" w:sz="0" w:space="0" w:color="auto"/>
        <w:bottom w:val="none" w:sz="0" w:space="0" w:color="auto"/>
        <w:right w:val="none" w:sz="0" w:space="0" w:color="auto"/>
      </w:divBdr>
    </w:div>
    <w:div w:id="1580820757">
      <w:bodyDiv w:val="1"/>
      <w:marLeft w:val="0"/>
      <w:marRight w:val="0"/>
      <w:marTop w:val="0"/>
      <w:marBottom w:val="0"/>
      <w:divBdr>
        <w:top w:val="none" w:sz="0" w:space="0" w:color="auto"/>
        <w:left w:val="none" w:sz="0" w:space="0" w:color="auto"/>
        <w:bottom w:val="none" w:sz="0" w:space="0" w:color="auto"/>
        <w:right w:val="none" w:sz="0" w:space="0" w:color="auto"/>
      </w:divBdr>
    </w:div>
    <w:div w:id="1580866725">
      <w:bodyDiv w:val="1"/>
      <w:marLeft w:val="0"/>
      <w:marRight w:val="0"/>
      <w:marTop w:val="0"/>
      <w:marBottom w:val="0"/>
      <w:divBdr>
        <w:top w:val="none" w:sz="0" w:space="0" w:color="auto"/>
        <w:left w:val="none" w:sz="0" w:space="0" w:color="auto"/>
        <w:bottom w:val="none" w:sz="0" w:space="0" w:color="auto"/>
        <w:right w:val="none" w:sz="0" w:space="0" w:color="auto"/>
      </w:divBdr>
    </w:div>
    <w:div w:id="1584490036">
      <w:bodyDiv w:val="1"/>
      <w:marLeft w:val="0"/>
      <w:marRight w:val="0"/>
      <w:marTop w:val="0"/>
      <w:marBottom w:val="0"/>
      <w:divBdr>
        <w:top w:val="none" w:sz="0" w:space="0" w:color="auto"/>
        <w:left w:val="none" w:sz="0" w:space="0" w:color="auto"/>
        <w:bottom w:val="none" w:sz="0" w:space="0" w:color="auto"/>
        <w:right w:val="none" w:sz="0" w:space="0" w:color="auto"/>
      </w:divBdr>
    </w:div>
    <w:div w:id="1614169717">
      <w:bodyDiv w:val="1"/>
      <w:marLeft w:val="0"/>
      <w:marRight w:val="0"/>
      <w:marTop w:val="0"/>
      <w:marBottom w:val="0"/>
      <w:divBdr>
        <w:top w:val="none" w:sz="0" w:space="0" w:color="auto"/>
        <w:left w:val="none" w:sz="0" w:space="0" w:color="auto"/>
        <w:bottom w:val="none" w:sz="0" w:space="0" w:color="auto"/>
        <w:right w:val="none" w:sz="0" w:space="0" w:color="auto"/>
      </w:divBdr>
    </w:div>
    <w:div w:id="1617834293">
      <w:bodyDiv w:val="1"/>
      <w:marLeft w:val="0"/>
      <w:marRight w:val="0"/>
      <w:marTop w:val="0"/>
      <w:marBottom w:val="0"/>
      <w:divBdr>
        <w:top w:val="none" w:sz="0" w:space="0" w:color="auto"/>
        <w:left w:val="none" w:sz="0" w:space="0" w:color="auto"/>
        <w:bottom w:val="none" w:sz="0" w:space="0" w:color="auto"/>
        <w:right w:val="none" w:sz="0" w:space="0" w:color="auto"/>
      </w:divBdr>
    </w:div>
    <w:div w:id="1622375095">
      <w:bodyDiv w:val="1"/>
      <w:marLeft w:val="0"/>
      <w:marRight w:val="0"/>
      <w:marTop w:val="0"/>
      <w:marBottom w:val="0"/>
      <w:divBdr>
        <w:top w:val="none" w:sz="0" w:space="0" w:color="auto"/>
        <w:left w:val="none" w:sz="0" w:space="0" w:color="auto"/>
        <w:bottom w:val="none" w:sz="0" w:space="0" w:color="auto"/>
        <w:right w:val="none" w:sz="0" w:space="0" w:color="auto"/>
      </w:divBdr>
    </w:div>
    <w:div w:id="1628126952">
      <w:bodyDiv w:val="1"/>
      <w:marLeft w:val="0"/>
      <w:marRight w:val="0"/>
      <w:marTop w:val="0"/>
      <w:marBottom w:val="0"/>
      <w:divBdr>
        <w:top w:val="none" w:sz="0" w:space="0" w:color="auto"/>
        <w:left w:val="none" w:sz="0" w:space="0" w:color="auto"/>
        <w:bottom w:val="none" w:sz="0" w:space="0" w:color="auto"/>
        <w:right w:val="none" w:sz="0" w:space="0" w:color="auto"/>
      </w:divBdr>
    </w:div>
    <w:div w:id="1631203181">
      <w:bodyDiv w:val="1"/>
      <w:marLeft w:val="0"/>
      <w:marRight w:val="0"/>
      <w:marTop w:val="0"/>
      <w:marBottom w:val="0"/>
      <w:divBdr>
        <w:top w:val="none" w:sz="0" w:space="0" w:color="auto"/>
        <w:left w:val="none" w:sz="0" w:space="0" w:color="auto"/>
        <w:bottom w:val="none" w:sz="0" w:space="0" w:color="auto"/>
        <w:right w:val="none" w:sz="0" w:space="0" w:color="auto"/>
      </w:divBdr>
    </w:div>
    <w:div w:id="1655648172">
      <w:bodyDiv w:val="1"/>
      <w:marLeft w:val="0"/>
      <w:marRight w:val="0"/>
      <w:marTop w:val="0"/>
      <w:marBottom w:val="0"/>
      <w:divBdr>
        <w:top w:val="none" w:sz="0" w:space="0" w:color="auto"/>
        <w:left w:val="none" w:sz="0" w:space="0" w:color="auto"/>
        <w:bottom w:val="none" w:sz="0" w:space="0" w:color="auto"/>
        <w:right w:val="none" w:sz="0" w:space="0" w:color="auto"/>
      </w:divBdr>
    </w:div>
    <w:div w:id="1657877130">
      <w:bodyDiv w:val="1"/>
      <w:marLeft w:val="0"/>
      <w:marRight w:val="0"/>
      <w:marTop w:val="0"/>
      <w:marBottom w:val="0"/>
      <w:divBdr>
        <w:top w:val="none" w:sz="0" w:space="0" w:color="auto"/>
        <w:left w:val="none" w:sz="0" w:space="0" w:color="auto"/>
        <w:bottom w:val="none" w:sz="0" w:space="0" w:color="auto"/>
        <w:right w:val="none" w:sz="0" w:space="0" w:color="auto"/>
      </w:divBdr>
    </w:div>
    <w:div w:id="1661736935">
      <w:bodyDiv w:val="1"/>
      <w:marLeft w:val="0"/>
      <w:marRight w:val="0"/>
      <w:marTop w:val="0"/>
      <w:marBottom w:val="0"/>
      <w:divBdr>
        <w:top w:val="none" w:sz="0" w:space="0" w:color="auto"/>
        <w:left w:val="none" w:sz="0" w:space="0" w:color="auto"/>
        <w:bottom w:val="none" w:sz="0" w:space="0" w:color="auto"/>
        <w:right w:val="none" w:sz="0" w:space="0" w:color="auto"/>
      </w:divBdr>
    </w:div>
    <w:div w:id="1664235904">
      <w:bodyDiv w:val="1"/>
      <w:marLeft w:val="0"/>
      <w:marRight w:val="0"/>
      <w:marTop w:val="0"/>
      <w:marBottom w:val="0"/>
      <w:divBdr>
        <w:top w:val="none" w:sz="0" w:space="0" w:color="auto"/>
        <w:left w:val="none" w:sz="0" w:space="0" w:color="auto"/>
        <w:bottom w:val="none" w:sz="0" w:space="0" w:color="auto"/>
        <w:right w:val="none" w:sz="0" w:space="0" w:color="auto"/>
      </w:divBdr>
    </w:div>
    <w:div w:id="1669677049">
      <w:bodyDiv w:val="1"/>
      <w:marLeft w:val="0"/>
      <w:marRight w:val="0"/>
      <w:marTop w:val="0"/>
      <w:marBottom w:val="0"/>
      <w:divBdr>
        <w:top w:val="none" w:sz="0" w:space="0" w:color="auto"/>
        <w:left w:val="none" w:sz="0" w:space="0" w:color="auto"/>
        <w:bottom w:val="none" w:sz="0" w:space="0" w:color="auto"/>
        <w:right w:val="none" w:sz="0" w:space="0" w:color="auto"/>
      </w:divBdr>
    </w:div>
    <w:div w:id="1674407019">
      <w:bodyDiv w:val="1"/>
      <w:marLeft w:val="0"/>
      <w:marRight w:val="0"/>
      <w:marTop w:val="0"/>
      <w:marBottom w:val="0"/>
      <w:divBdr>
        <w:top w:val="none" w:sz="0" w:space="0" w:color="auto"/>
        <w:left w:val="none" w:sz="0" w:space="0" w:color="auto"/>
        <w:bottom w:val="none" w:sz="0" w:space="0" w:color="auto"/>
        <w:right w:val="none" w:sz="0" w:space="0" w:color="auto"/>
      </w:divBdr>
    </w:div>
    <w:div w:id="1690372109">
      <w:bodyDiv w:val="1"/>
      <w:marLeft w:val="0"/>
      <w:marRight w:val="0"/>
      <w:marTop w:val="0"/>
      <w:marBottom w:val="0"/>
      <w:divBdr>
        <w:top w:val="none" w:sz="0" w:space="0" w:color="auto"/>
        <w:left w:val="none" w:sz="0" w:space="0" w:color="auto"/>
        <w:bottom w:val="none" w:sz="0" w:space="0" w:color="auto"/>
        <w:right w:val="none" w:sz="0" w:space="0" w:color="auto"/>
      </w:divBdr>
    </w:div>
    <w:div w:id="1700930212">
      <w:bodyDiv w:val="1"/>
      <w:marLeft w:val="0"/>
      <w:marRight w:val="0"/>
      <w:marTop w:val="0"/>
      <w:marBottom w:val="0"/>
      <w:divBdr>
        <w:top w:val="none" w:sz="0" w:space="0" w:color="auto"/>
        <w:left w:val="none" w:sz="0" w:space="0" w:color="auto"/>
        <w:bottom w:val="none" w:sz="0" w:space="0" w:color="auto"/>
        <w:right w:val="none" w:sz="0" w:space="0" w:color="auto"/>
      </w:divBdr>
    </w:div>
    <w:div w:id="1701316356">
      <w:bodyDiv w:val="1"/>
      <w:marLeft w:val="0"/>
      <w:marRight w:val="0"/>
      <w:marTop w:val="0"/>
      <w:marBottom w:val="0"/>
      <w:divBdr>
        <w:top w:val="none" w:sz="0" w:space="0" w:color="auto"/>
        <w:left w:val="none" w:sz="0" w:space="0" w:color="auto"/>
        <w:bottom w:val="none" w:sz="0" w:space="0" w:color="auto"/>
        <w:right w:val="none" w:sz="0" w:space="0" w:color="auto"/>
      </w:divBdr>
    </w:div>
    <w:div w:id="1703019328">
      <w:bodyDiv w:val="1"/>
      <w:marLeft w:val="0"/>
      <w:marRight w:val="0"/>
      <w:marTop w:val="0"/>
      <w:marBottom w:val="0"/>
      <w:divBdr>
        <w:top w:val="none" w:sz="0" w:space="0" w:color="auto"/>
        <w:left w:val="none" w:sz="0" w:space="0" w:color="auto"/>
        <w:bottom w:val="none" w:sz="0" w:space="0" w:color="auto"/>
        <w:right w:val="none" w:sz="0" w:space="0" w:color="auto"/>
      </w:divBdr>
    </w:div>
    <w:div w:id="1704208345">
      <w:bodyDiv w:val="1"/>
      <w:marLeft w:val="0"/>
      <w:marRight w:val="0"/>
      <w:marTop w:val="0"/>
      <w:marBottom w:val="0"/>
      <w:divBdr>
        <w:top w:val="none" w:sz="0" w:space="0" w:color="auto"/>
        <w:left w:val="none" w:sz="0" w:space="0" w:color="auto"/>
        <w:bottom w:val="none" w:sz="0" w:space="0" w:color="auto"/>
        <w:right w:val="none" w:sz="0" w:space="0" w:color="auto"/>
      </w:divBdr>
    </w:div>
    <w:div w:id="1720206196">
      <w:bodyDiv w:val="1"/>
      <w:marLeft w:val="0"/>
      <w:marRight w:val="0"/>
      <w:marTop w:val="0"/>
      <w:marBottom w:val="0"/>
      <w:divBdr>
        <w:top w:val="none" w:sz="0" w:space="0" w:color="auto"/>
        <w:left w:val="none" w:sz="0" w:space="0" w:color="auto"/>
        <w:bottom w:val="none" w:sz="0" w:space="0" w:color="auto"/>
        <w:right w:val="none" w:sz="0" w:space="0" w:color="auto"/>
      </w:divBdr>
    </w:div>
    <w:div w:id="1724791652">
      <w:bodyDiv w:val="1"/>
      <w:marLeft w:val="0"/>
      <w:marRight w:val="0"/>
      <w:marTop w:val="0"/>
      <w:marBottom w:val="0"/>
      <w:divBdr>
        <w:top w:val="none" w:sz="0" w:space="0" w:color="auto"/>
        <w:left w:val="none" w:sz="0" w:space="0" w:color="auto"/>
        <w:bottom w:val="none" w:sz="0" w:space="0" w:color="auto"/>
        <w:right w:val="none" w:sz="0" w:space="0" w:color="auto"/>
      </w:divBdr>
    </w:div>
    <w:div w:id="1729256838">
      <w:bodyDiv w:val="1"/>
      <w:marLeft w:val="0"/>
      <w:marRight w:val="0"/>
      <w:marTop w:val="0"/>
      <w:marBottom w:val="0"/>
      <w:divBdr>
        <w:top w:val="none" w:sz="0" w:space="0" w:color="auto"/>
        <w:left w:val="none" w:sz="0" w:space="0" w:color="auto"/>
        <w:bottom w:val="none" w:sz="0" w:space="0" w:color="auto"/>
        <w:right w:val="none" w:sz="0" w:space="0" w:color="auto"/>
      </w:divBdr>
    </w:div>
    <w:div w:id="1735614810">
      <w:bodyDiv w:val="1"/>
      <w:marLeft w:val="0"/>
      <w:marRight w:val="0"/>
      <w:marTop w:val="0"/>
      <w:marBottom w:val="0"/>
      <w:divBdr>
        <w:top w:val="none" w:sz="0" w:space="0" w:color="auto"/>
        <w:left w:val="none" w:sz="0" w:space="0" w:color="auto"/>
        <w:bottom w:val="none" w:sz="0" w:space="0" w:color="auto"/>
        <w:right w:val="none" w:sz="0" w:space="0" w:color="auto"/>
      </w:divBdr>
    </w:div>
    <w:div w:id="1735812384">
      <w:bodyDiv w:val="1"/>
      <w:marLeft w:val="0"/>
      <w:marRight w:val="0"/>
      <w:marTop w:val="0"/>
      <w:marBottom w:val="0"/>
      <w:divBdr>
        <w:top w:val="none" w:sz="0" w:space="0" w:color="auto"/>
        <w:left w:val="none" w:sz="0" w:space="0" w:color="auto"/>
        <w:bottom w:val="none" w:sz="0" w:space="0" w:color="auto"/>
        <w:right w:val="none" w:sz="0" w:space="0" w:color="auto"/>
      </w:divBdr>
    </w:div>
    <w:div w:id="1763254411">
      <w:bodyDiv w:val="1"/>
      <w:marLeft w:val="0"/>
      <w:marRight w:val="0"/>
      <w:marTop w:val="0"/>
      <w:marBottom w:val="0"/>
      <w:divBdr>
        <w:top w:val="none" w:sz="0" w:space="0" w:color="auto"/>
        <w:left w:val="none" w:sz="0" w:space="0" w:color="auto"/>
        <w:bottom w:val="none" w:sz="0" w:space="0" w:color="auto"/>
        <w:right w:val="none" w:sz="0" w:space="0" w:color="auto"/>
      </w:divBdr>
    </w:div>
    <w:div w:id="1769157214">
      <w:bodyDiv w:val="1"/>
      <w:marLeft w:val="0"/>
      <w:marRight w:val="0"/>
      <w:marTop w:val="0"/>
      <w:marBottom w:val="0"/>
      <w:divBdr>
        <w:top w:val="none" w:sz="0" w:space="0" w:color="auto"/>
        <w:left w:val="none" w:sz="0" w:space="0" w:color="auto"/>
        <w:bottom w:val="none" w:sz="0" w:space="0" w:color="auto"/>
        <w:right w:val="none" w:sz="0" w:space="0" w:color="auto"/>
      </w:divBdr>
    </w:div>
    <w:div w:id="1782382822">
      <w:bodyDiv w:val="1"/>
      <w:marLeft w:val="0"/>
      <w:marRight w:val="0"/>
      <w:marTop w:val="0"/>
      <w:marBottom w:val="0"/>
      <w:divBdr>
        <w:top w:val="none" w:sz="0" w:space="0" w:color="auto"/>
        <w:left w:val="none" w:sz="0" w:space="0" w:color="auto"/>
        <w:bottom w:val="none" w:sz="0" w:space="0" w:color="auto"/>
        <w:right w:val="none" w:sz="0" w:space="0" w:color="auto"/>
      </w:divBdr>
    </w:div>
    <w:div w:id="1797412125">
      <w:bodyDiv w:val="1"/>
      <w:marLeft w:val="0"/>
      <w:marRight w:val="0"/>
      <w:marTop w:val="0"/>
      <w:marBottom w:val="0"/>
      <w:divBdr>
        <w:top w:val="none" w:sz="0" w:space="0" w:color="auto"/>
        <w:left w:val="none" w:sz="0" w:space="0" w:color="auto"/>
        <w:bottom w:val="none" w:sz="0" w:space="0" w:color="auto"/>
        <w:right w:val="none" w:sz="0" w:space="0" w:color="auto"/>
      </w:divBdr>
    </w:div>
    <w:div w:id="1809711487">
      <w:bodyDiv w:val="1"/>
      <w:marLeft w:val="0"/>
      <w:marRight w:val="0"/>
      <w:marTop w:val="0"/>
      <w:marBottom w:val="0"/>
      <w:divBdr>
        <w:top w:val="none" w:sz="0" w:space="0" w:color="auto"/>
        <w:left w:val="none" w:sz="0" w:space="0" w:color="auto"/>
        <w:bottom w:val="none" w:sz="0" w:space="0" w:color="auto"/>
        <w:right w:val="none" w:sz="0" w:space="0" w:color="auto"/>
      </w:divBdr>
    </w:div>
    <w:div w:id="1812137644">
      <w:bodyDiv w:val="1"/>
      <w:marLeft w:val="0"/>
      <w:marRight w:val="0"/>
      <w:marTop w:val="0"/>
      <w:marBottom w:val="0"/>
      <w:divBdr>
        <w:top w:val="none" w:sz="0" w:space="0" w:color="auto"/>
        <w:left w:val="none" w:sz="0" w:space="0" w:color="auto"/>
        <w:bottom w:val="none" w:sz="0" w:space="0" w:color="auto"/>
        <w:right w:val="none" w:sz="0" w:space="0" w:color="auto"/>
      </w:divBdr>
    </w:div>
    <w:div w:id="1812288514">
      <w:bodyDiv w:val="1"/>
      <w:marLeft w:val="0"/>
      <w:marRight w:val="0"/>
      <w:marTop w:val="0"/>
      <w:marBottom w:val="0"/>
      <w:divBdr>
        <w:top w:val="none" w:sz="0" w:space="0" w:color="auto"/>
        <w:left w:val="none" w:sz="0" w:space="0" w:color="auto"/>
        <w:bottom w:val="none" w:sz="0" w:space="0" w:color="auto"/>
        <w:right w:val="none" w:sz="0" w:space="0" w:color="auto"/>
      </w:divBdr>
    </w:div>
    <w:div w:id="1835679421">
      <w:bodyDiv w:val="1"/>
      <w:marLeft w:val="0"/>
      <w:marRight w:val="0"/>
      <w:marTop w:val="0"/>
      <w:marBottom w:val="0"/>
      <w:divBdr>
        <w:top w:val="none" w:sz="0" w:space="0" w:color="auto"/>
        <w:left w:val="none" w:sz="0" w:space="0" w:color="auto"/>
        <w:bottom w:val="none" w:sz="0" w:space="0" w:color="auto"/>
        <w:right w:val="none" w:sz="0" w:space="0" w:color="auto"/>
      </w:divBdr>
    </w:div>
    <w:div w:id="1835878523">
      <w:bodyDiv w:val="1"/>
      <w:marLeft w:val="0"/>
      <w:marRight w:val="0"/>
      <w:marTop w:val="0"/>
      <w:marBottom w:val="0"/>
      <w:divBdr>
        <w:top w:val="none" w:sz="0" w:space="0" w:color="auto"/>
        <w:left w:val="none" w:sz="0" w:space="0" w:color="auto"/>
        <w:bottom w:val="none" w:sz="0" w:space="0" w:color="auto"/>
        <w:right w:val="none" w:sz="0" w:space="0" w:color="auto"/>
      </w:divBdr>
    </w:div>
    <w:div w:id="1841654245">
      <w:bodyDiv w:val="1"/>
      <w:marLeft w:val="0"/>
      <w:marRight w:val="0"/>
      <w:marTop w:val="0"/>
      <w:marBottom w:val="0"/>
      <w:divBdr>
        <w:top w:val="none" w:sz="0" w:space="0" w:color="auto"/>
        <w:left w:val="none" w:sz="0" w:space="0" w:color="auto"/>
        <w:bottom w:val="none" w:sz="0" w:space="0" w:color="auto"/>
        <w:right w:val="none" w:sz="0" w:space="0" w:color="auto"/>
      </w:divBdr>
    </w:div>
    <w:div w:id="1849982097">
      <w:bodyDiv w:val="1"/>
      <w:marLeft w:val="0"/>
      <w:marRight w:val="0"/>
      <w:marTop w:val="0"/>
      <w:marBottom w:val="0"/>
      <w:divBdr>
        <w:top w:val="none" w:sz="0" w:space="0" w:color="auto"/>
        <w:left w:val="none" w:sz="0" w:space="0" w:color="auto"/>
        <w:bottom w:val="none" w:sz="0" w:space="0" w:color="auto"/>
        <w:right w:val="none" w:sz="0" w:space="0" w:color="auto"/>
      </w:divBdr>
    </w:div>
    <w:div w:id="1855150782">
      <w:bodyDiv w:val="1"/>
      <w:marLeft w:val="0"/>
      <w:marRight w:val="0"/>
      <w:marTop w:val="0"/>
      <w:marBottom w:val="0"/>
      <w:divBdr>
        <w:top w:val="none" w:sz="0" w:space="0" w:color="auto"/>
        <w:left w:val="none" w:sz="0" w:space="0" w:color="auto"/>
        <w:bottom w:val="none" w:sz="0" w:space="0" w:color="auto"/>
        <w:right w:val="none" w:sz="0" w:space="0" w:color="auto"/>
      </w:divBdr>
    </w:div>
    <w:div w:id="1864905164">
      <w:bodyDiv w:val="1"/>
      <w:marLeft w:val="0"/>
      <w:marRight w:val="0"/>
      <w:marTop w:val="0"/>
      <w:marBottom w:val="0"/>
      <w:divBdr>
        <w:top w:val="none" w:sz="0" w:space="0" w:color="auto"/>
        <w:left w:val="none" w:sz="0" w:space="0" w:color="auto"/>
        <w:bottom w:val="none" w:sz="0" w:space="0" w:color="auto"/>
        <w:right w:val="none" w:sz="0" w:space="0" w:color="auto"/>
      </w:divBdr>
    </w:div>
    <w:div w:id="1883128858">
      <w:bodyDiv w:val="1"/>
      <w:marLeft w:val="0"/>
      <w:marRight w:val="0"/>
      <w:marTop w:val="0"/>
      <w:marBottom w:val="0"/>
      <w:divBdr>
        <w:top w:val="none" w:sz="0" w:space="0" w:color="auto"/>
        <w:left w:val="none" w:sz="0" w:space="0" w:color="auto"/>
        <w:bottom w:val="none" w:sz="0" w:space="0" w:color="auto"/>
        <w:right w:val="none" w:sz="0" w:space="0" w:color="auto"/>
      </w:divBdr>
    </w:div>
    <w:div w:id="1886794256">
      <w:bodyDiv w:val="1"/>
      <w:marLeft w:val="0"/>
      <w:marRight w:val="0"/>
      <w:marTop w:val="0"/>
      <w:marBottom w:val="0"/>
      <w:divBdr>
        <w:top w:val="none" w:sz="0" w:space="0" w:color="auto"/>
        <w:left w:val="none" w:sz="0" w:space="0" w:color="auto"/>
        <w:bottom w:val="none" w:sz="0" w:space="0" w:color="auto"/>
        <w:right w:val="none" w:sz="0" w:space="0" w:color="auto"/>
      </w:divBdr>
    </w:div>
    <w:div w:id="1909917915">
      <w:bodyDiv w:val="1"/>
      <w:marLeft w:val="0"/>
      <w:marRight w:val="0"/>
      <w:marTop w:val="0"/>
      <w:marBottom w:val="0"/>
      <w:divBdr>
        <w:top w:val="none" w:sz="0" w:space="0" w:color="auto"/>
        <w:left w:val="none" w:sz="0" w:space="0" w:color="auto"/>
        <w:bottom w:val="none" w:sz="0" w:space="0" w:color="auto"/>
        <w:right w:val="none" w:sz="0" w:space="0" w:color="auto"/>
      </w:divBdr>
    </w:div>
    <w:div w:id="1919368046">
      <w:bodyDiv w:val="1"/>
      <w:marLeft w:val="0"/>
      <w:marRight w:val="0"/>
      <w:marTop w:val="0"/>
      <w:marBottom w:val="0"/>
      <w:divBdr>
        <w:top w:val="none" w:sz="0" w:space="0" w:color="auto"/>
        <w:left w:val="none" w:sz="0" w:space="0" w:color="auto"/>
        <w:bottom w:val="none" w:sz="0" w:space="0" w:color="auto"/>
        <w:right w:val="none" w:sz="0" w:space="0" w:color="auto"/>
      </w:divBdr>
    </w:div>
    <w:div w:id="1923758881">
      <w:bodyDiv w:val="1"/>
      <w:marLeft w:val="0"/>
      <w:marRight w:val="0"/>
      <w:marTop w:val="0"/>
      <w:marBottom w:val="0"/>
      <w:divBdr>
        <w:top w:val="none" w:sz="0" w:space="0" w:color="auto"/>
        <w:left w:val="none" w:sz="0" w:space="0" w:color="auto"/>
        <w:bottom w:val="none" w:sz="0" w:space="0" w:color="auto"/>
        <w:right w:val="none" w:sz="0" w:space="0" w:color="auto"/>
      </w:divBdr>
    </w:div>
    <w:div w:id="1924875113">
      <w:bodyDiv w:val="1"/>
      <w:marLeft w:val="0"/>
      <w:marRight w:val="0"/>
      <w:marTop w:val="0"/>
      <w:marBottom w:val="0"/>
      <w:divBdr>
        <w:top w:val="none" w:sz="0" w:space="0" w:color="auto"/>
        <w:left w:val="none" w:sz="0" w:space="0" w:color="auto"/>
        <w:bottom w:val="none" w:sz="0" w:space="0" w:color="auto"/>
        <w:right w:val="none" w:sz="0" w:space="0" w:color="auto"/>
      </w:divBdr>
    </w:div>
    <w:div w:id="1934240217">
      <w:bodyDiv w:val="1"/>
      <w:marLeft w:val="0"/>
      <w:marRight w:val="0"/>
      <w:marTop w:val="0"/>
      <w:marBottom w:val="0"/>
      <w:divBdr>
        <w:top w:val="none" w:sz="0" w:space="0" w:color="auto"/>
        <w:left w:val="none" w:sz="0" w:space="0" w:color="auto"/>
        <w:bottom w:val="none" w:sz="0" w:space="0" w:color="auto"/>
        <w:right w:val="none" w:sz="0" w:space="0" w:color="auto"/>
      </w:divBdr>
    </w:div>
    <w:div w:id="1934432605">
      <w:bodyDiv w:val="1"/>
      <w:marLeft w:val="0"/>
      <w:marRight w:val="0"/>
      <w:marTop w:val="0"/>
      <w:marBottom w:val="0"/>
      <w:divBdr>
        <w:top w:val="none" w:sz="0" w:space="0" w:color="auto"/>
        <w:left w:val="none" w:sz="0" w:space="0" w:color="auto"/>
        <w:bottom w:val="none" w:sz="0" w:space="0" w:color="auto"/>
        <w:right w:val="none" w:sz="0" w:space="0" w:color="auto"/>
      </w:divBdr>
    </w:div>
    <w:div w:id="1939753595">
      <w:bodyDiv w:val="1"/>
      <w:marLeft w:val="0"/>
      <w:marRight w:val="0"/>
      <w:marTop w:val="0"/>
      <w:marBottom w:val="0"/>
      <w:divBdr>
        <w:top w:val="none" w:sz="0" w:space="0" w:color="auto"/>
        <w:left w:val="none" w:sz="0" w:space="0" w:color="auto"/>
        <w:bottom w:val="none" w:sz="0" w:space="0" w:color="auto"/>
        <w:right w:val="none" w:sz="0" w:space="0" w:color="auto"/>
      </w:divBdr>
    </w:div>
    <w:div w:id="1943226777">
      <w:bodyDiv w:val="1"/>
      <w:marLeft w:val="0"/>
      <w:marRight w:val="0"/>
      <w:marTop w:val="0"/>
      <w:marBottom w:val="0"/>
      <w:divBdr>
        <w:top w:val="none" w:sz="0" w:space="0" w:color="auto"/>
        <w:left w:val="none" w:sz="0" w:space="0" w:color="auto"/>
        <w:bottom w:val="none" w:sz="0" w:space="0" w:color="auto"/>
        <w:right w:val="none" w:sz="0" w:space="0" w:color="auto"/>
      </w:divBdr>
    </w:div>
    <w:div w:id="1954902759">
      <w:bodyDiv w:val="1"/>
      <w:marLeft w:val="0"/>
      <w:marRight w:val="0"/>
      <w:marTop w:val="0"/>
      <w:marBottom w:val="0"/>
      <w:divBdr>
        <w:top w:val="none" w:sz="0" w:space="0" w:color="auto"/>
        <w:left w:val="none" w:sz="0" w:space="0" w:color="auto"/>
        <w:bottom w:val="none" w:sz="0" w:space="0" w:color="auto"/>
        <w:right w:val="none" w:sz="0" w:space="0" w:color="auto"/>
      </w:divBdr>
    </w:div>
    <w:div w:id="1967155150">
      <w:bodyDiv w:val="1"/>
      <w:marLeft w:val="0"/>
      <w:marRight w:val="0"/>
      <w:marTop w:val="0"/>
      <w:marBottom w:val="0"/>
      <w:divBdr>
        <w:top w:val="none" w:sz="0" w:space="0" w:color="auto"/>
        <w:left w:val="none" w:sz="0" w:space="0" w:color="auto"/>
        <w:bottom w:val="none" w:sz="0" w:space="0" w:color="auto"/>
        <w:right w:val="none" w:sz="0" w:space="0" w:color="auto"/>
      </w:divBdr>
    </w:div>
    <w:div w:id="1974627473">
      <w:bodyDiv w:val="1"/>
      <w:marLeft w:val="0"/>
      <w:marRight w:val="0"/>
      <w:marTop w:val="0"/>
      <w:marBottom w:val="0"/>
      <w:divBdr>
        <w:top w:val="none" w:sz="0" w:space="0" w:color="auto"/>
        <w:left w:val="none" w:sz="0" w:space="0" w:color="auto"/>
        <w:bottom w:val="none" w:sz="0" w:space="0" w:color="auto"/>
        <w:right w:val="none" w:sz="0" w:space="0" w:color="auto"/>
      </w:divBdr>
    </w:div>
    <w:div w:id="1985505323">
      <w:bodyDiv w:val="1"/>
      <w:marLeft w:val="0"/>
      <w:marRight w:val="0"/>
      <w:marTop w:val="0"/>
      <w:marBottom w:val="0"/>
      <w:divBdr>
        <w:top w:val="none" w:sz="0" w:space="0" w:color="auto"/>
        <w:left w:val="none" w:sz="0" w:space="0" w:color="auto"/>
        <w:bottom w:val="none" w:sz="0" w:space="0" w:color="auto"/>
        <w:right w:val="none" w:sz="0" w:space="0" w:color="auto"/>
      </w:divBdr>
    </w:div>
    <w:div w:id="1990017234">
      <w:bodyDiv w:val="1"/>
      <w:marLeft w:val="0"/>
      <w:marRight w:val="0"/>
      <w:marTop w:val="0"/>
      <w:marBottom w:val="0"/>
      <w:divBdr>
        <w:top w:val="none" w:sz="0" w:space="0" w:color="auto"/>
        <w:left w:val="none" w:sz="0" w:space="0" w:color="auto"/>
        <w:bottom w:val="none" w:sz="0" w:space="0" w:color="auto"/>
        <w:right w:val="none" w:sz="0" w:space="0" w:color="auto"/>
      </w:divBdr>
    </w:div>
    <w:div w:id="2000961723">
      <w:bodyDiv w:val="1"/>
      <w:marLeft w:val="0"/>
      <w:marRight w:val="0"/>
      <w:marTop w:val="0"/>
      <w:marBottom w:val="0"/>
      <w:divBdr>
        <w:top w:val="none" w:sz="0" w:space="0" w:color="auto"/>
        <w:left w:val="none" w:sz="0" w:space="0" w:color="auto"/>
        <w:bottom w:val="none" w:sz="0" w:space="0" w:color="auto"/>
        <w:right w:val="none" w:sz="0" w:space="0" w:color="auto"/>
      </w:divBdr>
    </w:div>
    <w:div w:id="2010015614">
      <w:bodyDiv w:val="1"/>
      <w:marLeft w:val="0"/>
      <w:marRight w:val="0"/>
      <w:marTop w:val="0"/>
      <w:marBottom w:val="0"/>
      <w:divBdr>
        <w:top w:val="none" w:sz="0" w:space="0" w:color="auto"/>
        <w:left w:val="none" w:sz="0" w:space="0" w:color="auto"/>
        <w:bottom w:val="none" w:sz="0" w:space="0" w:color="auto"/>
        <w:right w:val="none" w:sz="0" w:space="0" w:color="auto"/>
      </w:divBdr>
    </w:div>
    <w:div w:id="2012172639">
      <w:bodyDiv w:val="1"/>
      <w:marLeft w:val="0"/>
      <w:marRight w:val="0"/>
      <w:marTop w:val="0"/>
      <w:marBottom w:val="0"/>
      <w:divBdr>
        <w:top w:val="none" w:sz="0" w:space="0" w:color="auto"/>
        <w:left w:val="none" w:sz="0" w:space="0" w:color="auto"/>
        <w:bottom w:val="none" w:sz="0" w:space="0" w:color="auto"/>
        <w:right w:val="none" w:sz="0" w:space="0" w:color="auto"/>
      </w:divBdr>
    </w:div>
    <w:div w:id="2012947106">
      <w:bodyDiv w:val="1"/>
      <w:marLeft w:val="0"/>
      <w:marRight w:val="0"/>
      <w:marTop w:val="0"/>
      <w:marBottom w:val="0"/>
      <w:divBdr>
        <w:top w:val="none" w:sz="0" w:space="0" w:color="auto"/>
        <w:left w:val="none" w:sz="0" w:space="0" w:color="auto"/>
        <w:bottom w:val="none" w:sz="0" w:space="0" w:color="auto"/>
        <w:right w:val="none" w:sz="0" w:space="0" w:color="auto"/>
      </w:divBdr>
    </w:div>
    <w:div w:id="2027318023">
      <w:bodyDiv w:val="1"/>
      <w:marLeft w:val="0"/>
      <w:marRight w:val="0"/>
      <w:marTop w:val="0"/>
      <w:marBottom w:val="0"/>
      <w:divBdr>
        <w:top w:val="none" w:sz="0" w:space="0" w:color="auto"/>
        <w:left w:val="none" w:sz="0" w:space="0" w:color="auto"/>
        <w:bottom w:val="none" w:sz="0" w:space="0" w:color="auto"/>
        <w:right w:val="none" w:sz="0" w:space="0" w:color="auto"/>
      </w:divBdr>
    </w:div>
    <w:div w:id="2029746643">
      <w:bodyDiv w:val="1"/>
      <w:marLeft w:val="0"/>
      <w:marRight w:val="0"/>
      <w:marTop w:val="0"/>
      <w:marBottom w:val="0"/>
      <w:divBdr>
        <w:top w:val="none" w:sz="0" w:space="0" w:color="auto"/>
        <w:left w:val="none" w:sz="0" w:space="0" w:color="auto"/>
        <w:bottom w:val="none" w:sz="0" w:space="0" w:color="auto"/>
        <w:right w:val="none" w:sz="0" w:space="0" w:color="auto"/>
      </w:divBdr>
    </w:div>
    <w:div w:id="2040011474">
      <w:bodyDiv w:val="1"/>
      <w:marLeft w:val="0"/>
      <w:marRight w:val="0"/>
      <w:marTop w:val="0"/>
      <w:marBottom w:val="0"/>
      <w:divBdr>
        <w:top w:val="none" w:sz="0" w:space="0" w:color="auto"/>
        <w:left w:val="none" w:sz="0" w:space="0" w:color="auto"/>
        <w:bottom w:val="none" w:sz="0" w:space="0" w:color="auto"/>
        <w:right w:val="none" w:sz="0" w:space="0" w:color="auto"/>
      </w:divBdr>
    </w:div>
    <w:div w:id="2065137437">
      <w:bodyDiv w:val="1"/>
      <w:marLeft w:val="0"/>
      <w:marRight w:val="0"/>
      <w:marTop w:val="0"/>
      <w:marBottom w:val="0"/>
      <w:divBdr>
        <w:top w:val="none" w:sz="0" w:space="0" w:color="auto"/>
        <w:left w:val="none" w:sz="0" w:space="0" w:color="auto"/>
        <w:bottom w:val="none" w:sz="0" w:space="0" w:color="auto"/>
        <w:right w:val="none" w:sz="0" w:space="0" w:color="auto"/>
      </w:divBdr>
    </w:div>
    <w:div w:id="2068796101">
      <w:bodyDiv w:val="1"/>
      <w:marLeft w:val="0"/>
      <w:marRight w:val="0"/>
      <w:marTop w:val="0"/>
      <w:marBottom w:val="0"/>
      <w:divBdr>
        <w:top w:val="none" w:sz="0" w:space="0" w:color="auto"/>
        <w:left w:val="none" w:sz="0" w:space="0" w:color="auto"/>
        <w:bottom w:val="none" w:sz="0" w:space="0" w:color="auto"/>
        <w:right w:val="none" w:sz="0" w:space="0" w:color="auto"/>
      </w:divBdr>
    </w:div>
    <w:div w:id="2085489554">
      <w:bodyDiv w:val="1"/>
      <w:marLeft w:val="0"/>
      <w:marRight w:val="0"/>
      <w:marTop w:val="0"/>
      <w:marBottom w:val="0"/>
      <w:divBdr>
        <w:top w:val="none" w:sz="0" w:space="0" w:color="auto"/>
        <w:left w:val="none" w:sz="0" w:space="0" w:color="auto"/>
        <w:bottom w:val="none" w:sz="0" w:space="0" w:color="auto"/>
        <w:right w:val="none" w:sz="0" w:space="0" w:color="auto"/>
      </w:divBdr>
    </w:div>
    <w:div w:id="2089762071">
      <w:bodyDiv w:val="1"/>
      <w:marLeft w:val="0"/>
      <w:marRight w:val="0"/>
      <w:marTop w:val="0"/>
      <w:marBottom w:val="0"/>
      <w:divBdr>
        <w:top w:val="none" w:sz="0" w:space="0" w:color="auto"/>
        <w:left w:val="none" w:sz="0" w:space="0" w:color="auto"/>
        <w:bottom w:val="none" w:sz="0" w:space="0" w:color="auto"/>
        <w:right w:val="none" w:sz="0" w:space="0" w:color="auto"/>
      </w:divBdr>
    </w:div>
    <w:div w:id="2098209831">
      <w:bodyDiv w:val="1"/>
      <w:marLeft w:val="0"/>
      <w:marRight w:val="0"/>
      <w:marTop w:val="0"/>
      <w:marBottom w:val="0"/>
      <w:divBdr>
        <w:top w:val="none" w:sz="0" w:space="0" w:color="auto"/>
        <w:left w:val="none" w:sz="0" w:space="0" w:color="auto"/>
        <w:bottom w:val="none" w:sz="0" w:space="0" w:color="auto"/>
        <w:right w:val="none" w:sz="0" w:space="0" w:color="auto"/>
      </w:divBdr>
    </w:div>
    <w:div w:id="214153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nrc.gov/reading-rm/doc-collections/cfr/part050/"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alisa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DE25F-886B-45F6-872E-92FDC450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6647</Words>
  <Characters>37893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2019-02-28T15:54:00Z</dcterms:created>
  <dcterms:modified xsi:type="dcterms:W3CDTF">2019-02-28T15:54:00Z</dcterms:modified>
</cp:coreProperties>
</file>