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D7373" w14:textId="38CC09FC" w:rsidR="00447C1E" w:rsidRPr="00AB326D" w:rsidRDefault="00447C1E" w:rsidP="0028387F">
      <w:pPr>
        <w:tabs>
          <w:tab w:val="center" w:pos="4680"/>
        </w:tabs>
        <w:suppressAutoHyphens/>
        <w:spacing w:line="480" w:lineRule="auto"/>
        <w:jc w:val="center"/>
        <w:rPr>
          <w:rFonts w:ascii="Times New Roman" w:hAnsi="Times New Roman"/>
          <w:b/>
          <w:szCs w:val="24"/>
        </w:rPr>
      </w:pPr>
      <w:bookmarkStart w:id="0" w:name="_GoBack"/>
      <w:bookmarkEnd w:id="0"/>
      <w:r w:rsidRPr="00AB326D">
        <w:rPr>
          <w:rFonts w:ascii="Times New Roman" w:hAnsi="Times New Roman"/>
          <w:b/>
          <w:szCs w:val="24"/>
        </w:rPr>
        <w:t>SUPPORTING STATEMENT</w:t>
      </w:r>
      <w:r w:rsidR="0062567E" w:rsidRPr="00AB326D">
        <w:rPr>
          <w:rFonts w:ascii="Times New Roman" w:hAnsi="Times New Roman"/>
          <w:b/>
          <w:szCs w:val="24"/>
        </w:rPr>
        <w:t xml:space="preserve"> for</w:t>
      </w:r>
    </w:p>
    <w:p w14:paraId="7E4B00BA" w14:textId="17B8F7F4" w:rsidR="0015143A" w:rsidRPr="0015143A" w:rsidRDefault="0015143A" w:rsidP="0015143A">
      <w:pPr>
        <w:tabs>
          <w:tab w:val="right" w:pos="9360"/>
        </w:tabs>
        <w:spacing w:line="480" w:lineRule="auto"/>
        <w:jc w:val="center"/>
        <w:rPr>
          <w:rFonts w:ascii="Times New Roman" w:hAnsi="Times New Roman"/>
          <w:b/>
          <w:szCs w:val="24"/>
        </w:rPr>
      </w:pPr>
      <w:r w:rsidRPr="0015143A">
        <w:rPr>
          <w:rFonts w:ascii="Times New Roman" w:hAnsi="Times New Roman"/>
          <w:b/>
          <w:szCs w:val="24"/>
        </w:rPr>
        <w:t>SUPPLEMENTAL NUTRITION ASSISTANCE PROGRAM EMPLOYMENT AND TRAINING PROGRAM PERFORMANCE MEASUREMENT, MONITO</w:t>
      </w:r>
      <w:r>
        <w:rPr>
          <w:rFonts w:ascii="Times New Roman" w:hAnsi="Times New Roman"/>
          <w:b/>
          <w:szCs w:val="24"/>
        </w:rPr>
        <w:t>RING AND REPORTING REQUIREMENTS</w:t>
      </w:r>
    </w:p>
    <w:p w14:paraId="60E9DEFF" w14:textId="66CD9774" w:rsidR="00AB326D" w:rsidRDefault="0015143A" w:rsidP="00447C1E">
      <w:pPr>
        <w:tabs>
          <w:tab w:val="right" w:pos="9360"/>
        </w:tabs>
        <w:spacing w:line="480" w:lineRule="auto"/>
        <w:jc w:val="center"/>
        <w:rPr>
          <w:rFonts w:ascii="Times New Roman" w:hAnsi="Times New Roman"/>
          <w:szCs w:val="24"/>
        </w:rPr>
      </w:pPr>
      <w:r w:rsidRPr="0015143A">
        <w:rPr>
          <w:rFonts w:ascii="Times New Roman" w:hAnsi="Times New Roman"/>
          <w:b/>
          <w:szCs w:val="24"/>
        </w:rPr>
        <w:t>OMB No. 0584–0614</w:t>
      </w:r>
    </w:p>
    <w:p w14:paraId="59AF1575" w14:textId="66640A21" w:rsidR="00AB326D" w:rsidRDefault="00AB326D" w:rsidP="00447C1E">
      <w:pPr>
        <w:tabs>
          <w:tab w:val="right" w:pos="9360"/>
        </w:tabs>
        <w:spacing w:line="480" w:lineRule="auto"/>
        <w:jc w:val="center"/>
        <w:rPr>
          <w:rFonts w:ascii="Times New Roman" w:hAnsi="Times New Roman"/>
          <w:szCs w:val="24"/>
        </w:rPr>
      </w:pPr>
    </w:p>
    <w:p w14:paraId="26E58AC0" w14:textId="4542EF02" w:rsidR="0028387F" w:rsidRDefault="0028387F" w:rsidP="00447C1E">
      <w:pPr>
        <w:tabs>
          <w:tab w:val="right" w:pos="9360"/>
        </w:tabs>
        <w:spacing w:line="480" w:lineRule="auto"/>
        <w:jc w:val="center"/>
        <w:rPr>
          <w:rFonts w:ascii="Times New Roman" w:hAnsi="Times New Roman"/>
          <w:szCs w:val="24"/>
        </w:rPr>
      </w:pPr>
    </w:p>
    <w:p w14:paraId="33D80136" w14:textId="00B33429" w:rsidR="0028387F" w:rsidRDefault="0028387F" w:rsidP="00447C1E">
      <w:pPr>
        <w:tabs>
          <w:tab w:val="right" w:pos="9360"/>
        </w:tabs>
        <w:spacing w:line="480" w:lineRule="auto"/>
        <w:jc w:val="center"/>
        <w:rPr>
          <w:rFonts w:ascii="Times New Roman" w:hAnsi="Times New Roman"/>
          <w:szCs w:val="24"/>
        </w:rPr>
      </w:pPr>
    </w:p>
    <w:p w14:paraId="75E4BD91" w14:textId="6349581D" w:rsidR="0028387F" w:rsidRDefault="0028387F" w:rsidP="00447C1E">
      <w:pPr>
        <w:tabs>
          <w:tab w:val="right" w:pos="9360"/>
        </w:tabs>
        <w:spacing w:line="480" w:lineRule="auto"/>
        <w:jc w:val="center"/>
        <w:rPr>
          <w:rFonts w:ascii="Times New Roman" w:hAnsi="Times New Roman"/>
          <w:szCs w:val="24"/>
        </w:rPr>
      </w:pPr>
    </w:p>
    <w:p w14:paraId="0FC64042" w14:textId="439BD0C9" w:rsidR="0028387F" w:rsidRDefault="0028387F" w:rsidP="00447C1E">
      <w:pPr>
        <w:tabs>
          <w:tab w:val="right" w:pos="9360"/>
        </w:tabs>
        <w:spacing w:line="480" w:lineRule="auto"/>
        <w:jc w:val="center"/>
        <w:rPr>
          <w:rFonts w:ascii="Times New Roman" w:hAnsi="Times New Roman"/>
          <w:szCs w:val="24"/>
        </w:rPr>
      </w:pPr>
    </w:p>
    <w:p w14:paraId="4BA57A52" w14:textId="26528AAF" w:rsidR="0028387F" w:rsidRDefault="0028387F" w:rsidP="00447C1E">
      <w:pPr>
        <w:tabs>
          <w:tab w:val="right" w:pos="9360"/>
        </w:tabs>
        <w:spacing w:line="480" w:lineRule="auto"/>
        <w:jc w:val="center"/>
        <w:rPr>
          <w:rFonts w:ascii="Times New Roman" w:hAnsi="Times New Roman"/>
          <w:szCs w:val="24"/>
        </w:rPr>
      </w:pPr>
    </w:p>
    <w:p w14:paraId="479F2ED2" w14:textId="3DBE352E" w:rsidR="0028387F" w:rsidRDefault="0028387F" w:rsidP="00447C1E">
      <w:pPr>
        <w:tabs>
          <w:tab w:val="right" w:pos="9360"/>
        </w:tabs>
        <w:spacing w:line="480" w:lineRule="auto"/>
        <w:jc w:val="center"/>
        <w:rPr>
          <w:rFonts w:ascii="Times New Roman" w:hAnsi="Times New Roman"/>
          <w:szCs w:val="24"/>
        </w:rPr>
      </w:pPr>
    </w:p>
    <w:p w14:paraId="450AFDD4" w14:textId="2B892E33" w:rsidR="009B37C9" w:rsidRDefault="009B37C9" w:rsidP="00447C1E">
      <w:pPr>
        <w:tabs>
          <w:tab w:val="right" w:pos="9360"/>
        </w:tabs>
        <w:spacing w:line="480" w:lineRule="auto"/>
        <w:jc w:val="center"/>
        <w:rPr>
          <w:rFonts w:ascii="Times New Roman" w:hAnsi="Times New Roman"/>
          <w:szCs w:val="24"/>
        </w:rPr>
      </w:pPr>
    </w:p>
    <w:p w14:paraId="48BE187E" w14:textId="77777777" w:rsidR="009B37C9" w:rsidRDefault="009B37C9" w:rsidP="00447C1E">
      <w:pPr>
        <w:tabs>
          <w:tab w:val="right" w:pos="9360"/>
        </w:tabs>
        <w:spacing w:line="480" w:lineRule="auto"/>
        <w:jc w:val="center"/>
        <w:rPr>
          <w:rFonts w:ascii="Times New Roman" w:hAnsi="Times New Roman"/>
          <w:szCs w:val="24"/>
        </w:rPr>
      </w:pPr>
    </w:p>
    <w:p w14:paraId="202658B9" w14:textId="77777777" w:rsidR="0028387F" w:rsidRPr="00AB326D" w:rsidRDefault="0028387F" w:rsidP="00447C1E">
      <w:pPr>
        <w:tabs>
          <w:tab w:val="right" w:pos="9360"/>
        </w:tabs>
        <w:spacing w:line="480" w:lineRule="auto"/>
        <w:jc w:val="center"/>
        <w:rPr>
          <w:rFonts w:ascii="Times New Roman" w:hAnsi="Times New Roman"/>
          <w:szCs w:val="24"/>
        </w:rPr>
      </w:pPr>
    </w:p>
    <w:p w14:paraId="578C0E08"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Loretta Robertson, Senior Program Analyst</w:t>
      </w:r>
    </w:p>
    <w:p w14:paraId="33032631"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Office of Employment and Training</w:t>
      </w:r>
    </w:p>
    <w:p w14:paraId="1ADD051D"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Food and Nutrition Service, USDA</w:t>
      </w:r>
    </w:p>
    <w:p w14:paraId="2C19DED0"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3101 Park Center Drive, Room 800</w:t>
      </w:r>
    </w:p>
    <w:p w14:paraId="77858AA8"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Alexandria, VA  22310</w:t>
      </w:r>
    </w:p>
    <w:p w14:paraId="5925389B"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r w:rsidRPr="0028387F">
        <w:rPr>
          <w:rFonts w:ascii="Times New Roman" w:hAnsi="Times New Roman"/>
          <w:szCs w:val="24"/>
        </w:rPr>
        <w:t>PH: 703-605-3214</w:t>
      </w:r>
    </w:p>
    <w:p w14:paraId="03F9699B" w14:textId="77777777" w:rsidR="0028387F" w:rsidRPr="0028387F" w:rsidRDefault="0028387F" w:rsidP="0028387F">
      <w:pPr>
        <w:widowControl/>
        <w:overflowPunct/>
        <w:autoSpaceDE/>
        <w:autoSpaceDN/>
        <w:adjustRightInd/>
        <w:spacing w:line="480" w:lineRule="auto"/>
        <w:jc w:val="center"/>
        <w:textAlignment w:val="auto"/>
        <w:rPr>
          <w:rFonts w:ascii="Times New Roman" w:hAnsi="Times New Roman"/>
          <w:szCs w:val="24"/>
        </w:rPr>
      </w:pPr>
    </w:p>
    <w:p w14:paraId="125503E0" w14:textId="30110DD6" w:rsidR="0028387F" w:rsidRPr="0028387F" w:rsidRDefault="00B118DB" w:rsidP="0028387F">
      <w:pPr>
        <w:widowControl/>
        <w:overflowPunct/>
        <w:autoSpaceDE/>
        <w:autoSpaceDN/>
        <w:adjustRightInd/>
        <w:spacing w:line="480" w:lineRule="auto"/>
        <w:jc w:val="center"/>
        <w:textAlignment w:val="auto"/>
        <w:rPr>
          <w:rFonts w:ascii="Times New Roman" w:hAnsi="Times New Roman"/>
          <w:szCs w:val="24"/>
        </w:rPr>
      </w:pPr>
      <w:hyperlink r:id="rId13" w:history="1">
        <w:r w:rsidR="0028387F" w:rsidRPr="005B54F0">
          <w:rPr>
            <w:rStyle w:val="Hyperlink"/>
            <w:rFonts w:ascii="Times New Roman" w:hAnsi="Times New Roman"/>
            <w:szCs w:val="24"/>
          </w:rPr>
          <w:t>loretta.robertson@usda.gov</w:t>
        </w:r>
      </w:hyperlink>
      <w:r w:rsidR="0028387F">
        <w:rPr>
          <w:rFonts w:ascii="Times New Roman" w:hAnsi="Times New Roman"/>
          <w:szCs w:val="24"/>
        </w:rPr>
        <w:t xml:space="preserve"> </w:t>
      </w:r>
    </w:p>
    <w:p w14:paraId="05A04D0D"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lastRenderedPageBreak/>
        <w:t>Table of Contents</w:t>
      </w:r>
    </w:p>
    <w:p w14:paraId="71B88FAF" w14:textId="7EF77737" w:rsidR="00BD1DD0" w:rsidRPr="00AB326D" w:rsidRDefault="00905A5F">
      <w:pPr>
        <w:pStyle w:val="TOC1"/>
        <w:rPr>
          <w:rFonts w:asciiTheme="minorHAnsi" w:eastAsiaTheme="minorEastAsia" w:hAnsiTheme="minorHAnsi" w:cstheme="minorBidi"/>
          <w:b w:val="0"/>
          <w:bCs w:val="0"/>
          <w:caps w:val="0"/>
          <w:sz w:val="22"/>
          <w:szCs w:val="22"/>
        </w:rPr>
      </w:pPr>
      <w:r w:rsidRPr="00AB326D">
        <w:rPr>
          <w:szCs w:val="24"/>
        </w:rPr>
        <w:fldChar w:fldCharType="begin"/>
      </w:r>
      <w:r w:rsidRPr="00AB326D">
        <w:rPr>
          <w:szCs w:val="24"/>
        </w:rPr>
        <w:instrText xml:space="preserve"> TOC \o "1-2" \h \z \u </w:instrText>
      </w:r>
      <w:r w:rsidRPr="00AB326D">
        <w:rPr>
          <w:szCs w:val="24"/>
        </w:rPr>
        <w:fldChar w:fldCharType="separate"/>
      </w:r>
      <w:hyperlink w:anchor="_Toc401832401" w:history="1">
        <w:r w:rsidR="00BD1DD0" w:rsidRPr="00AB326D">
          <w:rPr>
            <w:rStyle w:val="Hyperlink"/>
          </w:rPr>
          <w:t>A1. Circumstances that make the collection of information necessary.</w:t>
        </w:r>
        <w:r w:rsidR="00BD1DD0" w:rsidRPr="00AB326D">
          <w:rPr>
            <w:webHidden/>
          </w:rPr>
          <w:tab/>
        </w:r>
        <w:r w:rsidR="00BD1DD0" w:rsidRPr="00AB326D">
          <w:rPr>
            <w:webHidden/>
          </w:rPr>
          <w:fldChar w:fldCharType="begin"/>
        </w:r>
        <w:r w:rsidR="00BD1DD0" w:rsidRPr="00AB326D">
          <w:rPr>
            <w:webHidden/>
          </w:rPr>
          <w:instrText xml:space="preserve"> PAGEREF _Toc401832401 \h </w:instrText>
        </w:r>
        <w:r w:rsidR="00BD1DD0" w:rsidRPr="00AB326D">
          <w:rPr>
            <w:webHidden/>
          </w:rPr>
        </w:r>
        <w:r w:rsidR="00BD1DD0" w:rsidRPr="00AB326D">
          <w:rPr>
            <w:webHidden/>
          </w:rPr>
          <w:fldChar w:fldCharType="separate"/>
        </w:r>
        <w:r w:rsidR="009B37C9">
          <w:rPr>
            <w:webHidden/>
          </w:rPr>
          <w:t>3</w:t>
        </w:r>
        <w:r w:rsidR="00BD1DD0" w:rsidRPr="00AB326D">
          <w:rPr>
            <w:webHidden/>
          </w:rPr>
          <w:fldChar w:fldCharType="end"/>
        </w:r>
      </w:hyperlink>
    </w:p>
    <w:p w14:paraId="506D33F8" w14:textId="3E017D8A" w:rsidR="00BD1DD0" w:rsidRPr="00AB326D" w:rsidRDefault="00B118DB">
      <w:pPr>
        <w:pStyle w:val="TOC1"/>
        <w:rPr>
          <w:rFonts w:asciiTheme="minorHAnsi" w:eastAsiaTheme="minorEastAsia" w:hAnsiTheme="minorHAnsi" w:cstheme="minorBidi"/>
          <w:b w:val="0"/>
          <w:bCs w:val="0"/>
          <w:caps w:val="0"/>
          <w:sz w:val="22"/>
          <w:szCs w:val="22"/>
        </w:rPr>
      </w:pPr>
      <w:hyperlink w:anchor="_Toc401832402" w:history="1">
        <w:r w:rsidR="00BD1DD0" w:rsidRPr="00AB326D">
          <w:rPr>
            <w:rStyle w:val="Hyperlink"/>
          </w:rPr>
          <w:t>A2. Purpose and Use of the Information.</w:t>
        </w:r>
        <w:r w:rsidR="00BD1DD0" w:rsidRPr="00AB326D">
          <w:rPr>
            <w:webHidden/>
          </w:rPr>
          <w:tab/>
        </w:r>
        <w:r w:rsidR="00BD1DD0" w:rsidRPr="00AB326D">
          <w:rPr>
            <w:webHidden/>
          </w:rPr>
          <w:fldChar w:fldCharType="begin"/>
        </w:r>
        <w:r w:rsidR="00BD1DD0" w:rsidRPr="00AB326D">
          <w:rPr>
            <w:webHidden/>
          </w:rPr>
          <w:instrText xml:space="preserve"> PAGEREF _Toc401832402 \h </w:instrText>
        </w:r>
        <w:r w:rsidR="00BD1DD0" w:rsidRPr="00AB326D">
          <w:rPr>
            <w:webHidden/>
          </w:rPr>
        </w:r>
        <w:r w:rsidR="00BD1DD0" w:rsidRPr="00AB326D">
          <w:rPr>
            <w:webHidden/>
          </w:rPr>
          <w:fldChar w:fldCharType="separate"/>
        </w:r>
        <w:r w:rsidR="009B37C9">
          <w:rPr>
            <w:webHidden/>
          </w:rPr>
          <w:t>4</w:t>
        </w:r>
        <w:r w:rsidR="00BD1DD0" w:rsidRPr="00AB326D">
          <w:rPr>
            <w:webHidden/>
          </w:rPr>
          <w:fldChar w:fldCharType="end"/>
        </w:r>
      </w:hyperlink>
    </w:p>
    <w:p w14:paraId="086F93A1" w14:textId="6B897F3D" w:rsidR="00BD1DD0" w:rsidRPr="00AB326D" w:rsidRDefault="00B118DB">
      <w:pPr>
        <w:pStyle w:val="TOC1"/>
        <w:rPr>
          <w:rFonts w:asciiTheme="minorHAnsi" w:eastAsiaTheme="minorEastAsia" w:hAnsiTheme="minorHAnsi" w:cstheme="minorBidi"/>
          <w:b w:val="0"/>
          <w:bCs w:val="0"/>
          <w:caps w:val="0"/>
          <w:sz w:val="22"/>
          <w:szCs w:val="22"/>
        </w:rPr>
      </w:pPr>
      <w:hyperlink w:anchor="_Toc401832403" w:history="1">
        <w:r w:rsidR="00BD1DD0" w:rsidRPr="00AB326D">
          <w:rPr>
            <w:rStyle w:val="Hyperlink"/>
          </w:rPr>
          <w:t>A3.  Use of information technology and burden reduction.</w:t>
        </w:r>
        <w:r w:rsidR="00BD1DD0" w:rsidRPr="00AB326D">
          <w:rPr>
            <w:webHidden/>
          </w:rPr>
          <w:tab/>
        </w:r>
        <w:r w:rsidR="00BD1DD0" w:rsidRPr="00AB326D">
          <w:rPr>
            <w:webHidden/>
          </w:rPr>
          <w:fldChar w:fldCharType="begin"/>
        </w:r>
        <w:r w:rsidR="00BD1DD0" w:rsidRPr="00AB326D">
          <w:rPr>
            <w:webHidden/>
          </w:rPr>
          <w:instrText xml:space="preserve"> PAGEREF _Toc401832403 \h </w:instrText>
        </w:r>
        <w:r w:rsidR="00BD1DD0" w:rsidRPr="00AB326D">
          <w:rPr>
            <w:webHidden/>
          </w:rPr>
        </w:r>
        <w:r w:rsidR="00BD1DD0" w:rsidRPr="00AB326D">
          <w:rPr>
            <w:webHidden/>
          </w:rPr>
          <w:fldChar w:fldCharType="separate"/>
        </w:r>
        <w:r w:rsidR="009B37C9">
          <w:rPr>
            <w:webHidden/>
          </w:rPr>
          <w:t>4</w:t>
        </w:r>
        <w:r w:rsidR="00BD1DD0" w:rsidRPr="00AB326D">
          <w:rPr>
            <w:webHidden/>
          </w:rPr>
          <w:fldChar w:fldCharType="end"/>
        </w:r>
      </w:hyperlink>
    </w:p>
    <w:p w14:paraId="3B7F357F" w14:textId="588ECA02" w:rsidR="00BD1DD0" w:rsidRPr="00AB326D" w:rsidRDefault="00B118DB">
      <w:pPr>
        <w:pStyle w:val="TOC1"/>
        <w:rPr>
          <w:rFonts w:asciiTheme="minorHAnsi" w:eastAsiaTheme="minorEastAsia" w:hAnsiTheme="minorHAnsi" w:cstheme="minorBidi"/>
          <w:b w:val="0"/>
          <w:bCs w:val="0"/>
          <w:caps w:val="0"/>
          <w:sz w:val="22"/>
          <w:szCs w:val="22"/>
        </w:rPr>
      </w:pPr>
      <w:hyperlink w:anchor="_Toc401832404" w:history="1">
        <w:r w:rsidR="00BD1DD0" w:rsidRPr="00AB326D">
          <w:rPr>
            <w:rStyle w:val="Hyperlink"/>
          </w:rPr>
          <w:t>A4.  Efforts to identify duplication.</w:t>
        </w:r>
        <w:r w:rsidR="00BD1DD0" w:rsidRPr="00AB326D">
          <w:rPr>
            <w:webHidden/>
          </w:rPr>
          <w:tab/>
        </w:r>
        <w:r w:rsidR="00BD1DD0" w:rsidRPr="00AB326D">
          <w:rPr>
            <w:webHidden/>
          </w:rPr>
          <w:fldChar w:fldCharType="begin"/>
        </w:r>
        <w:r w:rsidR="00BD1DD0" w:rsidRPr="00AB326D">
          <w:rPr>
            <w:webHidden/>
          </w:rPr>
          <w:instrText xml:space="preserve"> PAGEREF _Toc401832404 \h </w:instrText>
        </w:r>
        <w:r w:rsidR="00BD1DD0" w:rsidRPr="00AB326D">
          <w:rPr>
            <w:webHidden/>
          </w:rPr>
        </w:r>
        <w:r w:rsidR="00BD1DD0" w:rsidRPr="00AB326D">
          <w:rPr>
            <w:webHidden/>
          </w:rPr>
          <w:fldChar w:fldCharType="separate"/>
        </w:r>
        <w:r w:rsidR="009B37C9">
          <w:rPr>
            <w:webHidden/>
          </w:rPr>
          <w:t>5</w:t>
        </w:r>
        <w:r w:rsidR="00BD1DD0" w:rsidRPr="00AB326D">
          <w:rPr>
            <w:webHidden/>
          </w:rPr>
          <w:fldChar w:fldCharType="end"/>
        </w:r>
      </w:hyperlink>
    </w:p>
    <w:p w14:paraId="1A3410D9" w14:textId="70D3B7E1" w:rsidR="00BD1DD0" w:rsidRPr="00AB326D" w:rsidRDefault="00B118DB">
      <w:pPr>
        <w:pStyle w:val="TOC1"/>
        <w:rPr>
          <w:rFonts w:asciiTheme="minorHAnsi" w:eastAsiaTheme="minorEastAsia" w:hAnsiTheme="minorHAnsi" w:cstheme="minorBidi"/>
          <w:b w:val="0"/>
          <w:bCs w:val="0"/>
          <w:caps w:val="0"/>
          <w:sz w:val="22"/>
          <w:szCs w:val="22"/>
        </w:rPr>
      </w:pPr>
      <w:hyperlink w:anchor="_Toc401832405" w:history="1">
        <w:r w:rsidR="00BD1DD0" w:rsidRPr="00AB326D">
          <w:rPr>
            <w:rStyle w:val="Hyperlink"/>
          </w:rPr>
          <w:t>A5.  Impacts on small businesses or other small entities.</w:t>
        </w:r>
        <w:r w:rsidR="00BD1DD0" w:rsidRPr="00AB326D">
          <w:rPr>
            <w:webHidden/>
          </w:rPr>
          <w:tab/>
        </w:r>
        <w:r w:rsidR="00BD1DD0" w:rsidRPr="00AB326D">
          <w:rPr>
            <w:webHidden/>
          </w:rPr>
          <w:fldChar w:fldCharType="begin"/>
        </w:r>
        <w:r w:rsidR="00BD1DD0" w:rsidRPr="00AB326D">
          <w:rPr>
            <w:webHidden/>
          </w:rPr>
          <w:instrText xml:space="preserve"> PAGEREF _Toc401832405 \h </w:instrText>
        </w:r>
        <w:r w:rsidR="00BD1DD0" w:rsidRPr="00AB326D">
          <w:rPr>
            <w:webHidden/>
          </w:rPr>
        </w:r>
        <w:r w:rsidR="00BD1DD0" w:rsidRPr="00AB326D">
          <w:rPr>
            <w:webHidden/>
          </w:rPr>
          <w:fldChar w:fldCharType="separate"/>
        </w:r>
        <w:r w:rsidR="009B37C9">
          <w:rPr>
            <w:webHidden/>
          </w:rPr>
          <w:t>5</w:t>
        </w:r>
        <w:r w:rsidR="00BD1DD0" w:rsidRPr="00AB326D">
          <w:rPr>
            <w:webHidden/>
          </w:rPr>
          <w:fldChar w:fldCharType="end"/>
        </w:r>
      </w:hyperlink>
    </w:p>
    <w:p w14:paraId="5A7701CA" w14:textId="215C2771" w:rsidR="00BD1DD0" w:rsidRPr="00AB326D" w:rsidRDefault="00B118DB">
      <w:pPr>
        <w:pStyle w:val="TOC1"/>
        <w:rPr>
          <w:rFonts w:asciiTheme="minorHAnsi" w:eastAsiaTheme="minorEastAsia" w:hAnsiTheme="minorHAnsi" w:cstheme="minorBidi"/>
          <w:b w:val="0"/>
          <w:bCs w:val="0"/>
          <w:caps w:val="0"/>
          <w:sz w:val="22"/>
          <w:szCs w:val="22"/>
        </w:rPr>
      </w:pPr>
      <w:hyperlink w:anchor="_Toc401832406" w:history="1">
        <w:r w:rsidR="00BD1DD0" w:rsidRPr="00AB326D">
          <w:rPr>
            <w:rStyle w:val="Hyperlink"/>
          </w:rPr>
          <w:t>A6.  Consequences of collecting the information less frequently.</w:t>
        </w:r>
        <w:r w:rsidR="00BD1DD0" w:rsidRPr="00AB326D">
          <w:rPr>
            <w:webHidden/>
          </w:rPr>
          <w:tab/>
        </w:r>
        <w:r w:rsidR="00BD1DD0" w:rsidRPr="00AB326D">
          <w:rPr>
            <w:webHidden/>
          </w:rPr>
          <w:fldChar w:fldCharType="begin"/>
        </w:r>
        <w:r w:rsidR="00BD1DD0" w:rsidRPr="00AB326D">
          <w:rPr>
            <w:webHidden/>
          </w:rPr>
          <w:instrText xml:space="preserve"> PAGEREF _Toc401832406 \h </w:instrText>
        </w:r>
        <w:r w:rsidR="00BD1DD0" w:rsidRPr="00AB326D">
          <w:rPr>
            <w:webHidden/>
          </w:rPr>
        </w:r>
        <w:r w:rsidR="00BD1DD0" w:rsidRPr="00AB326D">
          <w:rPr>
            <w:webHidden/>
          </w:rPr>
          <w:fldChar w:fldCharType="separate"/>
        </w:r>
        <w:r w:rsidR="009B37C9">
          <w:rPr>
            <w:webHidden/>
          </w:rPr>
          <w:t>6</w:t>
        </w:r>
        <w:r w:rsidR="00BD1DD0" w:rsidRPr="00AB326D">
          <w:rPr>
            <w:webHidden/>
          </w:rPr>
          <w:fldChar w:fldCharType="end"/>
        </w:r>
      </w:hyperlink>
    </w:p>
    <w:p w14:paraId="228C7BA0" w14:textId="153CFAE9" w:rsidR="00BD1DD0" w:rsidRPr="00AB326D" w:rsidRDefault="00B118DB">
      <w:pPr>
        <w:pStyle w:val="TOC1"/>
        <w:rPr>
          <w:rFonts w:asciiTheme="minorHAnsi" w:eastAsiaTheme="minorEastAsia" w:hAnsiTheme="minorHAnsi" w:cstheme="minorBidi"/>
          <w:b w:val="0"/>
          <w:bCs w:val="0"/>
          <w:caps w:val="0"/>
          <w:sz w:val="22"/>
          <w:szCs w:val="22"/>
        </w:rPr>
      </w:pPr>
      <w:hyperlink w:anchor="_Toc401832407" w:history="1">
        <w:r w:rsidR="00BD1DD0" w:rsidRPr="00AB326D">
          <w:rPr>
            <w:rStyle w:val="Hyperlink"/>
          </w:rPr>
          <w:t>A7.  Special circumstances relating to the Guidelines of 5 CFR 1320.5.</w:t>
        </w:r>
        <w:r w:rsidR="00BD1DD0" w:rsidRPr="00AB326D">
          <w:rPr>
            <w:webHidden/>
          </w:rPr>
          <w:tab/>
        </w:r>
        <w:r w:rsidR="00BD1DD0" w:rsidRPr="00AB326D">
          <w:rPr>
            <w:webHidden/>
          </w:rPr>
          <w:fldChar w:fldCharType="begin"/>
        </w:r>
        <w:r w:rsidR="00BD1DD0" w:rsidRPr="00AB326D">
          <w:rPr>
            <w:webHidden/>
          </w:rPr>
          <w:instrText xml:space="preserve"> PAGEREF _Toc401832407 \h </w:instrText>
        </w:r>
        <w:r w:rsidR="00BD1DD0" w:rsidRPr="00AB326D">
          <w:rPr>
            <w:webHidden/>
          </w:rPr>
        </w:r>
        <w:r w:rsidR="00BD1DD0" w:rsidRPr="00AB326D">
          <w:rPr>
            <w:webHidden/>
          </w:rPr>
          <w:fldChar w:fldCharType="separate"/>
        </w:r>
        <w:r w:rsidR="009B37C9">
          <w:rPr>
            <w:webHidden/>
          </w:rPr>
          <w:t>6</w:t>
        </w:r>
        <w:r w:rsidR="00BD1DD0" w:rsidRPr="00AB326D">
          <w:rPr>
            <w:webHidden/>
          </w:rPr>
          <w:fldChar w:fldCharType="end"/>
        </w:r>
      </w:hyperlink>
    </w:p>
    <w:p w14:paraId="026F696B" w14:textId="28EA8754" w:rsidR="00BD1DD0" w:rsidRPr="00AB326D" w:rsidRDefault="00B118DB">
      <w:pPr>
        <w:pStyle w:val="TOC1"/>
        <w:rPr>
          <w:rFonts w:asciiTheme="minorHAnsi" w:eastAsiaTheme="minorEastAsia" w:hAnsiTheme="minorHAnsi" w:cstheme="minorBidi"/>
          <w:b w:val="0"/>
          <w:bCs w:val="0"/>
          <w:caps w:val="0"/>
          <w:sz w:val="22"/>
          <w:szCs w:val="22"/>
        </w:rPr>
      </w:pPr>
      <w:hyperlink w:anchor="_Toc401832408" w:history="1">
        <w:r w:rsidR="00BD1DD0" w:rsidRPr="00AB326D">
          <w:rPr>
            <w:rStyle w:val="Hyperlink"/>
          </w:rPr>
          <w:t>A8.  Comments to the Federal Register Notice and efforts for consultation.</w:t>
        </w:r>
        <w:r w:rsidR="00BD1DD0" w:rsidRPr="00AB326D">
          <w:rPr>
            <w:webHidden/>
          </w:rPr>
          <w:tab/>
        </w:r>
        <w:r w:rsidR="00BD1DD0" w:rsidRPr="00AB326D">
          <w:rPr>
            <w:webHidden/>
          </w:rPr>
          <w:fldChar w:fldCharType="begin"/>
        </w:r>
        <w:r w:rsidR="00BD1DD0" w:rsidRPr="00AB326D">
          <w:rPr>
            <w:webHidden/>
          </w:rPr>
          <w:instrText xml:space="preserve"> PAGEREF _Toc401832408 \h </w:instrText>
        </w:r>
        <w:r w:rsidR="00BD1DD0" w:rsidRPr="00AB326D">
          <w:rPr>
            <w:webHidden/>
          </w:rPr>
        </w:r>
        <w:r w:rsidR="00BD1DD0" w:rsidRPr="00AB326D">
          <w:rPr>
            <w:webHidden/>
          </w:rPr>
          <w:fldChar w:fldCharType="separate"/>
        </w:r>
        <w:r w:rsidR="009B37C9">
          <w:rPr>
            <w:webHidden/>
          </w:rPr>
          <w:t>7</w:t>
        </w:r>
        <w:r w:rsidR="00BD1DD0" w:rsidRPr="00AB326D">
          <w:rPr>
            <w:webHidden/>
          </w:rPr>
          <w:fldChar w:fldCharType="end"/>
        </w:r>
      </w:hyperlink>
    </w:p>
    <w:p w14:paraId="072BDB82" w14:textId="29E0FCD0" w:rsidR="00BD1DD0" w:rsidRPr="00AB326D" w:rsidRDefault="00B118DB">
      <w:pPr>
        <w:pStyle w:val="TOC1"/>
        <w:rPr>
          <w:rFonts w:asciiTheme="minorHAnsi" w:eastAsiaTheme="minorEastAsia" w:hAnsiTheme="minorHAnsi" w:cstheme="minorBidi"/>
          <w:b w:val="0"/>
          <w:bCs w:val="0"/>
          <w:caps w:val="0"/>
          <w:sz w:val="22"/>
          <w:szCs w:val="22"/>
        </w:rPr>
      </w:pPr>
      <w:hyperlink w:anchor="_Toc401832409" w:history="1">
        <w:r w:rsidR="00BD1DD0" w:rsidRPr="00AB326D">
          <w:rPr>
            <w:rStyle w:val="Hyperlink"/>
          </w:rPr>
          <w:t>A9.  Explain any decisions to provide any payment or gift to respondents.</w:t>
        </w:r>
        <w:r w:rsidR="00BD1DD0" w:rsidRPr="00AB326D">
          <w:rPr>
            <w:webHidden/>
          </w:rPr>
          <w:tab/>
        </w:r>
        <w:r w:rsidR="00BD1DD0" w:rsidRPr="00AB326D">
          <w:rPr>
            <w:webHidden/>
          </w:rPr>
          <w:fldChar w:fldCharType="begin"/>
        </w:r>
        <w:r w:rsidR="00BD1DD0" w:rsidRPr="00AB326D">
          <w:rPr>
            <w:webHidden/>
          </w:rPr>
          <w:instrText xml:space="preserve"> PAGEREF _Toc401832409 \h </w:instrText>
        </w:r>
        <w:r w:rsidR="00BD1DD0" w:rsidRPr="00AB326D">
          <w:rPr>
            <w:webHidden/>
          </w:rPr>
        </w:r>
        <w:r w:rsidR="00BD1DD0" w:rsidRPr="00AB326D">
          <w:rPr>
            <w:webHidden/>
          </w:rPr>
          <w:fldChar w:fldCharType="separate"/>
        </w:r>
        <w:r w:rsidR="009B37C9">
          <w:rPr>
            <w:webHidden/>
          </w:rPr>
          <w:t>8</w:t>
        </w:r>
        <w:r w:rsidR="00BD1DD0" w:rsidRPr="00AB326D">
          <w:rPr>
            <w:webHidden/>
          </w:rPr>
          <w:fldChar w:fldCharType="end"/>
        </w:r>
      </w:hyperlink>
    </w:p>
    <w:p w14:paraId="3890AF18" w14:textId="3E40FD2F" w:rsidR="00BD1DD0" w:rsidRPr="00AB326D" w:rsidRDefault="00B118DB">
      <w:pPr>
        <w:pStyle w:val="TOC1"/>
        <w:rPr>
          <w:rFonts w:asciiTheme="minorHAnsi" w:eastAsiaTheme="minorEastAsia" w:hAnsiTheme="minorHAnsi" w:cstheme="minorBidi"/>
          <w:b w:val="0"/>
          <w:bCs w:val="0"/>
          <w:caps w:val="0"/>
          <w:sz w:val="22"/>
          <w:szCs w:val="22"/>
        </w:rPr>
      </w:pPr>
      <w:hyperlink w:anchor="_Toc401832410" w:history="1">
        <w:r w:rsidR="00BD1DD0" w:rsidRPr="00AB326D">
          <w:rPr>
            <w:rStyle w:val="Hyperlink"/>
          </w:rPr>
          <w:t>A10.  Assurances of confidentiality provided to respondents.</w:t>
        </w:r>
        <w:r w:rsidR="00BD1DD0" w:rsidRPr="00AB326D">
          <w:rPr>
            <w:webHidden/>
          </w:rPr>
          <w:tab/>
        </w:r>
        <w:r w:rsidR="00BD1DD0" w:rsidRPr="00AB326D">
          <w:rPr>
            <w:webHidden/>
          </w:rPr>
          <w:fldChar w:fldCharType="begin"/>
        </w:r>
        <w:r w:rsidR="00BD1DD0" w:rsidRPr="00AB326D">
          <w:rPr>
            <w:webHidden/>
          </w:rPr>
          <w:instrText xml:space="preserve"> PAGEREF _Toc401832410 \h </w:instrText>
        </w:r>
        <w:r w:rsidR="00BD1DD0" w:rsidRPr="00AB326D">
          <w:rPr>
            <w:webHidden/>
          </w:rPr>
        </w:r>
        <w:r w:rsidR="00BD1DD0" w:rsidRPr="00AB326D">
          <w:rPr>
            <w:webHidden/>
          </w:rPr>
          <w:fldChar w:fldCharType="separate"/>
        </w:r>
        <w:r w:rsidR="009B37C9">
          <w:rPr>
            <w:webHidden/>
          </w:rPr>
          <w:t>8</w:t>
        </w:r>
        <w:r w:rsidR="00BD1DD0" w:rsidRPr="00AB326D">
          <w:rPr>
            <w:webHidden/>
          </w:rPr>
          <w:fldChar w:fldCharType="end"/>
        </w:r>
      </w:hyperlink>
    </w:p>
    <w:p w14:paraId="219A0447" w14:textId="28F6FB9A" w:rsidR="00BD1DD0" w:rsidRPr="00AB326D" w:rsidRDefault="00B118DB">
      <w:pPr>
        <w:pStyle w:val="TOC1"/>
        <w:rPr>
          <w:rFonts w:asciiTheme="minorHAnsi" w:eastAsiaTheme="minorEastAsia" w:hAnsiTheme="minorHAnsi" w:cstheme="minorBidi"/>
          <w:b w:val="0"/>
          <w:bCs w:val="0"/>
          <w:caps w:val="0"/>
          <w:sz w:val="22"/>
          <w:szCs w:val="22"/>
        </w:rPr>
      </w:pPr>
      <w:hyperlink w:anchor="_Toc401832411" w:history="1">
        <w:r w:rsidR="00BD1DD0" w:rsidRPr="00AB326D">
          <w:rPr>
            <w:rStyle w:val="Hyperlink"/>
          </w:rPr>
          <w:t>A11.  Justification for any questions of a sensitive nature.</w:t>
        </w:r>
        <w:r w:rsidR="00BD1DD0" w:rsidRPr="00AB326D">
          <w:rPr>
            <w:webHidden/>
          </w:rPr>
          <w:tab/>
        </w:r>
        <w:r w:rsidR="00BD1DD0" w:rsidRPr="00AB326D">
          <w:rPr>
            <w:webHidden/>
          </w:rPr>
          <w:fldChar w:fldCharType="begin"/>
        </w:r>
        <w:r w:rsidR="00BD1DD0" w:rsidRPr="00AB326D">
          <w:rPr>
            <w:webHidden/>
          </w:rPr>
          <w:instrText xml:space="preserve"> PAGEREF _Toc401832411 \h </w:instrText>
        </w:r>
        <w:r w:rsidR="00BD1DD0" w:rsidRPr="00AB326D">
          <w:rPr>
            <w:webHidden/>
          </w:rPr>
        </w:r>
        <w:r w:rsidR="00BD1DD0" w:rsidRPr="00AB326D">
          <w:rPr>
            <w:webHidden/>
          </w:rPr>
          <w:fldChar w:fldCharType="separate"/>
        </w:r>
        <w:r w:rsidR="009B37C9">
          <w:rPr>
            <w:webHidden/>
          </w:rPr>
          <w:t>8</w:t>
        </w:r>
        <w:r w:rsidR="00BD1DD0" w:rsidRPr="00AB326D">
          <w:rPr>
            <w:webHidden/>
          </w:rPr>
          <w:fldChar w:fldCharType="end"/>
        </w:r>
      </w:hyperlink>
    </w:p>
    <w:p w14:paraId="2CA2D6CF" w14:textId="5ED76EA3" w:rsidR="00BD1DD0" w:rsidRPr="00AB326D" w:rsidRDefault="00B118DB">
      <w:pPr>
        <w:pStyle w:val="TOC1"/>
        <w:rPr>
          <w:rFonts w:asciiTheme="minorHAnsi" w:eastAsiaTheme="minorEastAsia" w:hAnsiTheme="minorHAnsi" w:cstheme="minorBidi"/>
          <w:b w:val="0"/>
          <w:bCs w:val="0"/>
          <w:caps w:val="0"/>
          <w:sz w:val="22"/>
          <w:szCs w:val="22"/>
        </w:rPr>
      </w:pPr>
      <w:hyperlink w:anchor="_Toc401832412" w:history="1">
        <w:r w:rsidR="00BD1DD0" w:rsidRPr="00AB326D">
          <w:rPr>
            <w:rStyle w:val="Hyperlink"/>
          </w:rPr>
          <w:t>A12.  Estimates of the hour burden of the collection of information.</w:t>
        </w:r>
        <w:r w:rsidR="00BD1DD0" w:rsidRPr="00AB326D">
          <w:rPr>
            <w:webHidden/>
          </w:rPr>
          <w:tab/>
        </w:r>
        <w:r w:rsidR="00BD1DD0" w:rsidRPr="00AB326D">
          <w:rPr>
            <w:webHidden/>
          </w:rPr>
          <w:fldChar w:fldCharType="begin"/>
        </w:r>
        <w:r w:rsidR="00BD1DD0" w:rsidRPr="00AB326D">
          <w:rPr>
            <w:webHidden/>
          </w:rPr>
          <w:instrText xml:space="preserve"> PAGEREF _Toc401832412 \h </w:instrText>
        </w:r>
        <w:r w:rsidR="00BD1DD0" w:rsidRPr="00AB326D">
          <w:rPr>
            <w:webHidden/>
          </w:rPr>
        </w:r>
        <w:r w:rsidR="00BD1DD0" w:rsidRPr="00AB326D">
          <w:rPr>
            <w:webHidden/>
          </w:rPr>
          <w:fldChar w:fldCharType="separate"/>
        </w:r>
        <w:r w:rsidR="009B37C9">
          <w:rPr>
            <w:webHidden/>
          </w:rPr>
          <w:t>8</w:t>
        </w:r>
        <w:r w:rsidR="00BD1DD0" w:rsidRPr="00AB326D">
          <w:rPr>
            <w:webHidden/>
          </w:rPr>
          <w:fldChar w:fldCharType="end"/>
        </w:r>
      </w:hyperlink>
    </w:p>
    <w:p w14:paraId="7E1793D2" w14:textId="4500B497" w:rsidR="00BD1DD0" w:rsidRPr="00AB326D" w:rsidRDefault="00B118DB">
      <w:pPr>
        <w:pStyle w:val="TOC1"/>
        <w:rPr>
          <w:rFonts w:asciiTheme="minorHAnsi" w:eastAsiaTheme="minorEastAsia" w:hAnsiTheme="minorHAnsi" w:cstheme="minorBidi"/>
          <w:b w:val="0"/>
          <w:bCs w:val="0"/>
          <w:caps w:val="0"/>
          <w:sz w:val="22"/>
          <w:szCs w:val="22"/>
        </w:rPr>
      </w:pPr>
      <w:hyperlink w:anchor="_Toc401832413" w:history="1">
        <w:r w:rsidR="00BD1DD0" w:rsidRPr="00AB326D">
          <w:rPr>
            <w:rStyle w:val="Hyperlink"/>
          </w:rPr>
          <w:t>A13.  Estimates of other total annual cost burden.</w:t>
        </w:r>
        <w:r w:rsidR="00BD1DD0" w:rsidRPr="00AB326D">
          <w:rPr>
            <w:webHidden/>
          </w:rPr>
          <w:tab/>
        </w:r>
        <w:r w:rsidR="00BD1DD0" w:rsidRPr="00AB326D">
          <w:rPr>
            <w:webHidden/>
          </w:rPr>
          <w:fldChar w:fldCharType="begin"/>
        </w:r>
        <w:r w:rsidR="00BD1DD0" w:rsidRPr="00AB326D">
          <w:rPr>
            <w:webHidden/>
          </w:rPr>
          <w:instrText xml:space="preserve"> PAGEREF _Toc401832413 \h </w:instrText>
        </w:r>
        <w:r w:rsidR="00BD1DD0" w:rsidRPr="00AB326D">
          <w:rPr>
            <w:webHidden/>
          </w:rPr>
        </w:r>
        <w:r w:rsidR="00BD1DD0" w:rsidRPr="00AB326D">
          <w:rPr>
            <w:webHidden/>
          </w:rPr>
          <w:fldChar w:fldCharType="separate"/>
        </w:r>
        <w:r w:rsidR="009B37C9">
          <w:rPr>
            <w:webHidden/>
          </w:rPr>
          <w:t>11</w:t>
        </w:r>
        <w:r w:rsidR="00BD1DD0" w:rsidRPr="00AB326D">
          <w:rPr>
            <w:webHidden/>
          </w:rPr>
          <w:fldChar w:fldCharType="end"/>
        </w:r>
      </w:hyperlink>
    </w:p>
    <w:p w14:paraId="698ECA36" w14:textId="4087542C" w:rsidR="00BD1DD0" w:rsidRPr="00AB326D" w:rsidRDefault="00B118DB">
      <w:pPr>
        <w:pStyle w:val="TOC1"/>
        <w:rPr>
          <w:rFonts w:asciiTheme="minorHAnsi" w:eastAsiaTheme="minorEastAsia" w:hAnsiTheme="minorHAnsi" w:cstheme="minorBidi"/>
          <w:b w:val="0"/>
          <w:bCs w:val="0"/>
          <w:caps w:val="0"/>
          <w:sz w:val="22"/>
          <w:szCs w:val="22"/>
        </w:rPr>
      </w:pPr>
      <w:hyperlink w:anchor="_Toc401832414" w:history="1">
        <w:r w:rsidR="00BD1DD0" w:rsidRPr="00AB326D">
          <w:rPr>
            <w:rStyle w:val="Hyperlink"/>
          </w:rPr>
          <w:t>A14.  Provide estimates of annualized cost to the Federal government.</w:t>
        </w:r>
        <w:r w:rsidR="00BD1DD0" w:rsidRPr="00AB326D">
          <w:rPr>
            <w:webHidden/>
          </w:rPr>
          <w:tab/>
        </w:r>
        <w:r w:rsidR="00BD1DD0" w:rsidRPr="00AB326D">
          <w:rPr>
            <w:webHidden/>
          </w:rPr>
          <w:fldChar w:fldCharType="begin"/>
        </w:r>
        <w:r w:rsidR="00BD1DD0" w:rsidRPr="00AB326D">
          <w:rPr>
            <w:webHidden/>
          </w:rPr>
          <w:instrText xml:space="preserve"> PAGEREF _Toc401832414 \h </w:instrText>
        </w:r>
        <w:r w:rsidR="00BD1DD0" w:rsidRPr="00AB326D">
          <w:rPr>
            <w:webHidden/>
          </w:rPr>
        </w:r>
        <w:r w:rsidR="00BD1DD0" w:rsidRPr="00AB326D">
          <w:rPr>
            <w:webHidden/>
          </w:rPr>
          <w:fldChar w:fldCharType="separate"/>
        </w:r>
        <w:r w:rsidR="009B37C9">
          <w:rPr>
            <w:webHidden/>
          </w:rPr>
          <w:t>11</w:t>
        </w:r>
        <w:r w:rsidR="00BD1DD0" w:rsidRPr="00AB326D">
          <w:rPr>
            <w:webHidden/>
          </w:rPr>
          <w:fldChar w:fldCharType="end"/>
        </w:r>
      </w:hyperlink>
    </w:p>
    <w:p w14:paraId="25F05B40" w14:textId="3EEB5B3A" w:rsidR="00BD1DD0" w:rsidRPr="00AB326D" w:rsidRDefault="00B118DB">
      <w:pPr>
        <w:pStyle w:val="TOC1"/>
        <w:rPr>
          <w:rFonts w:asciiTheme="minorHAnsi" w:eastAsiaTheme="minorEastAsia" w:hAnsiTheme="minorHAnsi" w:cstheme="minorBidi"/>
          <w:b w:val="0"/>
          <w:bCs w:val="0"/>
          <w:caps w:val="0"/>
          <w:sz w:val="22"/>
          <w:szCs w:val="22"/>
        </w:rPr>
      </w:pPr>
      <w:hyperlink w:anchor="_Toc401832415" w:history="1">
        <w:r w:rsidR="00BD1DD0" w:rsidRPr="00AB326D">
          <w:rPr>
            <w:rStyle w:val="Hyperlink"/>
          </w:rPr>
          <w:t>A15.  Explanation of program changes or adjustments.</w:t>
        </w:r>
        <w:r w:rsidR="00BD1DD0" w:rsidRPr="00AB326D">
          <w:rPr>
            <w:webHidden/>
          </w:rPr>
          <w:tab/>
        </w:r>
        <w:r w:rsidR="00BD1DD0" w:rsidRPr="00AB326D">
          <w:rPr>
            <w:webHidden/>
          </w:rPr>
          <w:fldChar w:fldCharType="begin"/>
        </w:r>
        <w:r w:rsidR="00BD1DD0" w:rsidRPr="00AB326D">
          <w:rPr>
            <w:webHidden/>
          </w:rPr>
          <w:instrText xml:space="preserve"> PAGEREF _Toc401832415 \h </w:instrText>
        </w:r>
        <w:r w:rsidR="00BD1DD0" w:rsidRPr="00AB326D">
          <w:rPr>
            <w:webHidden/>
          </w:rPr>
        </w:r>
        <w:r w:rsidR="00BD1DD0" w:rsidRPr="00AB326D">
          <w:rPr>
            <w:webHidden/>
          </w:rPr>
          <w:fldChar w:fldCharType="separate"/>
        </w:r>
        <w:r w:rsidR="009B37C9">
          <w:rPr>
            <w:webHidden/>
          </w:rPr>
          <w:t>11</w:t>
        </w:r>
        <w:r w:rsidR="00BD1DD0" w:rsidRPr="00AB326D">
          <w:rPr>
            <w:webHidden/>
          </w:rPr>
          <w:fldChar w:fldCharType="end"/>
        </w:r>
      </w:hyperlink>
    </w:p>
    <w:p w14:paraId="10E973BB" w14:textId="3D7E2C33" w:rsidR="00BD1DD0" w:rsidRPr="00AB326D" w:rsidRDefault="00B118DB">
      <w:pPr>
        <w:pStyle w:val="TOC1"/>
        <w:rPr>
          <w:rFonts w:asciiTheme="minorHAnsi" w:eastAsiaTheme="minorEastAsia" w:hAnsiTheme="minorHAnsi" w:cstheme="minorBidi"/>
          <w:b w:val="0"/>
          <w:bCs w:val="0"/>
          <w:caps w:val="0"/>
          <w:sz w:val="22"/>
          <w:szCs w:val="22"/>
        </w:rPr>
      </w:pPr>
      <w:hyperlink w:anchor="_Toc401832416" w:history="1">
        <w:r w:rsidR="00BD1DD0" w:rsidRPr="00AB326D">
          <w:rPr>
            <w:rStyle w:val="Hyperlink"/>
          </w:rPr>
          <w:t>A16.  Plans for tabulation, and publication and project time schedule.</w:t>
        </w:r>
        <w:r w:rsidR="00BD1DD0" w:rsidRPr="00AB326D">
          <w:rPr>
            <w:webHidden/>
          </w:rPr>
          <w:tab/>
        </w:r>
        <w:r w:rsidR="00BD1DD0" w:rsidRPr="00AB326D">
          <w:rPr>
            <w:webHidden/>
          </w:rPr>
          <w:fldChar w:fldCharType="begin"/>
        </w:r>
        <w:r w:rsidR="00BD1DD0" w:rsidRPr="00AB326D">
          <w:rPr>
            <w:webHidden/>
          </w:rPr>
          <w:instrText xml:space="preserve"> PAGEREF _Toc401832416 \h </w:instrText>
        </w:r>
        <w:r w:rsidR="00BD1DD0" w:rsidRPr="00AB326D">
          <w:rPr>
            <w:webHidden/>
          </w:rPr>
        </w:r>
        <w:r w:rsidR="00BD1DD0" w:rsidRPr="00AB326D">
          <w:rPr>
            <w:webHidden/>
          </w:rPr>
          <w:fldChar w:fldCharType="separate"/>
        </w:r>
        <w:r w:rsidR="009B37C9">
          <w:rPr>
            <w:webHidden/>
          </w:rPr>
          <w:t>12</w:t>
        </w:r>
        <w:r w:rsidR="00BD1DD0" w:rsidRPr="00AB326D">
          <w:rPr>
            <w:webHidden/>
          </w:rPr>
          <w:fldChar w:fldCharType="end"/>
        </w:r>
      </w:hyperlink>
    </w:p>
    <w:p w14:paraId="6709795D" w14:textId="6A864593" w:rsidR="00BD1DD0" w:rsidRPr="00AB326D" w:rsidRDefault="00B118DB">
      <w:pPr>
        <w:pStyle w:val="TOC1"/>
        <w:rPr>
          <w:rFonts w:asciiTheme="minorHAnsi" w:eastAsiaTheme="minorEastAsia" w:hAnsiTheme="minorHAnsi" w:cstheme="minorBidi"/>
          <w:b w:val="0"/>
          <w:bCs w:val="0"/>
          <w:caps w:val="0"/>
          <w:sz w:val="22"/>
          <w:szCs w:val="22"/>
        </w:rPr>
      </w:pPr>
      <w:hyperlink w:anchor="_Toc401832417" w:history="1">
        <w:r w:rsidR="00BD1DD0" w:rsidRPr="00AB326D">
          <w:rPr>
            <w:rStyle w:val="Hyperlink"/>
          </w:rPr>
          <w:t>A17.  Displaying the OMB Approval Expiration Date.</w:t>
        </w:r>
        <w:r w:rsidR="00BD1DD0" w:rsidRPr="00AB326D">
          <w:rPr>
            <w:webHidden/>
          </w:rPr>
          <w:tab/>
        </w:r>
        <w:r w:rsidR="00BD1DD0" w:rsidRPr="00AB326D">
          <w:rPr>
            <w:webHidden/>
          </w:rPr>
          <w:fldChar w:fldCharType="begin"/>
        </w:r>
        <w:r w:rsidR="00BD1DD0" w:rsidRPr="00AB326D">
          <w:rPr>
            <w:webHidden/>
          </w:rPr>
          <w:instrText xml:space="preserve"> PAGEREF _Toc401832417 \h </w:instrText>
        </w:r>
        <w:r w:rsidR="00BD1DD0" w:rsidRPr="00AB326D">
          <w:rPr>
            <w:webHidden/>
          </w:rPr>
        </w:r>
        <w:r w:rsidR="00BD1DD0" w:rsidRPr="00AB326D">
          <w:rPr>
            <w:webHidden/>
          </w:rPr>
          <w:fldChar w:fldCharType="separate"/>
        </w:r>
        <w:r w:rsidR="009B37C9">
          <w:rPr>
            <w:webHidden/>
          </w:rPr>
          <w:t>12</w:t>
        </w:r>
        <w:r w:rsidR="00BD1DD0" w:rsidRPr="00AB326D">
          <w:rPr>
            <w:webHidden/>
          </w:rPr>
          <w:fldChar w:fldCharType="end"/>
        </w:r>
      </w:hyperlink>
    </w:p>
    <w:p w14:paraId="7181D9F8" w14:textId="0CD3FB0C" w:rsidR="00BD1DD0" w:rsidRPr="00AB326D" w:rsidRDefault="00B118DB">
      <w:pPr>
        <w:pStyle w:val="TOC1"/>
        <w:rPr>
          <w:rFonts w:asciiTheme="minorHAnsi" w:eastAsiaTheme="minorEastAsia" w:hAnsiTheme="minorHAnsi" w:cstheme="minorBidi"/>
          <w:b w:val="0"/>
          <w:bCs w:val="0"/>
          <w:caps w:val="0"/>
          <w:sz w:val="22"/>
          <w:szCs w:val="22"/>
        </w:rPr>
      </w:pPr>
      <w:hyperlink w:anchor="_Toc401832418" w:history="1">
        <w:r w:rsidR="00BD1DD0" w:rsidRPr="00AB326D">
          <w:rPr>
            <w:rStyle w:val="Hyperlink"/>
          </w:rPr>
          <w:t>A18.  Exceptions to the certification statement identified in Item 19.</w:t>
        </w:r>
        <w:r w:rsidR="00BD1DD0" w:rsidRPr="00AB326D">
          <w:rPr>
            <w:webHidden/>
          </w:rPr>
          <w:tab/>
        </w:r>
        <w:r w:rsidR="00BD1DD0" w:rsidRPr="00AB326D">
          <w:rPr>
            <w:webHidden/>
          </w:rPr>
          <w:fldChar w:fldCharType="begin"/>
        </w:r>
        <w:r w:rsidR="00BD1DD0" w:rsidRPr="00AB326D">
          <w:rPr>
            <w:webHidden/>
          </w:rPr>
          <w:instrText xml:space="preserve"> PAGEREF _Toc401832418 \h </w:instrText>
        </w:r>
        <w:r w:rsidR="00BD1DD0" w:rsidRPr="00AB326D">
          <w:rPr>
            <w:webHidden/>
          </w:rPr>
        </w:r>
        <w:r w:rsidR="00BD1DD0" w:rsidRPr="00AB326D">
          <w:rPr>
            <w:webHidden/>
          </w:rPr>
          <w:fldChar w:fldCharType="separate"/>
        </w:r>
        <w:r w:rsidR="009B37C9">
          <w:rPr>
            <w:webHidden/>
          </w:rPr>
          <w:t>12</w:t>
        </w:r>
        <w:r w:rsidR="00BD1DD0" w:rsidRPr="00AB326D">
          <w:rPr>
            <w:webHidden/>
          </w:rPr>
          <w:fldChar w:fldCharType="end"/>
        </w:r>
      </w:hyperlink>
    </w:p>
    <w:p w14:paraId="1D940298" w14:textId="77777777" w:rsidR="00905A5F"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fldChar w:fldCharType="end"/>
      </w:r>
    </w:p>
    <w:p w14:paraId="523452AA" w14:textId="77777777" w:rsidR="00905A5F" w:rsidRPr="00AB326D" w:rsidRDefault="00905A5F" w:rsidP="009F7E1A">
      <w:pPr>
        <w:tabs>
          <w:tab w:val="center" w:pos="4680"/>
        </w:tabs>
        <w:rPr>
          <w:rFonts w:ascii="Times New Roman" w:hAnsi="Times New Roman"/>
          <w:b/>
          <w:szCs w:val="24"/>
          <w:u w:val="single"/>
        </w:rPr>
      </w:pPr>
    </w:p>
    <w:p w14:paraId="3C542E9B" w14:textId="77777777" w:rsidR="00905A5F" w:rsidRPr="00AB326D" w:rsidRDefault="00905A5F" w:rsidP="009F7E1A">
      <w:pPr>
        <w:tabs>
          <w:tab w:val="center" w:pos="4680"/>
        </w:tabs>
        <w:rPr>
          <w:rFonts w:ascii="Times New Roman" w:hAnsi="Times New Roman"/>
          <w:b/>
          <w:szCs w:val="24"/>
          <w:u w:val="single"/>
        </w:rPr>
      </w:pPr>
    </w:p>
    <w:p w14:paraId="048CCAE7" w14:textId="77777777" w:rsidR="002568E6" w:rsidRPr="00AB326D" w:rsidRDefault="00905A5F" w:rsidP="009F7E1A">
      <w:pPr>
        <w:tabs>
          <w:tab w:val="center" w:pos="4680"/>
        </w:tabs>
        <w:rPr>
          <w:rFonts w:ascii="Times New Roman" w:hAnsi="Times New Roman"/>
          <w:b/>
          <w:szCs w:val="24"/>
          <w:u w:val="single"/>
        </w:rPr>
      </w:pPr>
      <w:r w:rsidRPr="00AB326D">
        <w:rPr>
          <w:rFonts w:ascii="Times New Roman" w:hAnsi="Times New Roman"/>
          <w:b/>
          <w:szCs w:val="24"/>
          <w:u w:val="single"/>
        </w:rPr>
        <w:t>App</w:t>
      </w:r>
      <w:r w:rsidR="002568E6" w:rsidRPr="00AB326D">
        <w:rPr>
          <w:rFonts w:ascii="Times New Roman" w:hAnsi="Times New Roman"/>
          <w:b/>
          <w:szCs w:val="24"/>
          <w:u w:val="single"/>
        </w:rPr>
        <w:t>endices</w:t>
      </w:r>
    </w:p>
    <w:p w14:paraId="2850A42F" w14:textId="3F7F2825" w:rsidR="002568E6" w:rsidRDefault="008A72A5" w:rsidP="009F7E1A">
      <w:pPr>
        <w:tabs>
          <w:tab w:val="center" w:pos="4680"/>
        </w:tabs>
        <w:rPr>
          <w:rFonts w:ascii="Times New Roman" w:hAnsi="Times New Roman"/>
          <w:szCs w:val="24"/>
        </w:rPr>
      </w:pPr>
      <w:r w:rsidRPr="00AB326D">
        <w:rPr>
          <w:rFonts w:ascii="Times New Roman" w:hAnsi="Times New Roman"/>
          <w:szCs w:val="24"/>
        </w:rPr>
        <w:t>Appendix A</w:t>
      </w:r>
      <w:r w:rsidR="0028387F">
        <w:rPr>
          <w:rFonts w:ascii="Times New Roman" w:hAnsi="Times New Roman"/>
          <w:szCs w:val="24"/>
        </w:rPr>
        <w:t xml:space="preserve">: </w:t>
      </w:r>
      <w:r w:rsidR="0028387F" w:rsidRPr="0028387F">
        <w:rPr>
          <w:rFonts w:ascii="Times New Roman" w:hAnsi="Times New Roman"/>
          <w:szCs w:val="24"/>
        </w:rPr>
        <w:t>Legal Authority</w:t>
      </w:r>
    </w:p>
    <w:p w14:paraId="38B7759E" w14:textId="21D56279" w:rsidR="00723DDF" w:rsidRPr="00AB326D" w:rsidRDefault="00723DDF" w:rsidP="009F7E1A">
      <w:pPr>
        <w:tabs>
          <w:tab w:val="center" w:pos="4680"/>
        </w:tabs>
        <w:rPr>
          <w:rFonts w:ascii="Times New Roman" w:hAnsi="Times New Roman"/>
          <w:szCs w:val="24"/>
        </w:rPr>
      </w:pPr>
      <w:r w:rsidRPr="00CD3149">
        <w:rPr>
          <w:rFonts w:ascii="Times New Roman" w:hAnsi="Times New Roman"/>
          <w:szCs w:val="24"/>
        </w:rPr>
        <w:t xml:space="preserve">Appendix </w:t>
      </w:r>
      <w:r w:rsidR="0028387F">
        <w:rPr>
          <w:rFonts w:ascii="Times New Roman" w:hAnsi="Times New Roman"/>
          <w:szCs w:val="24"/>
        </w:rPr>
        <w:t>B: Burden Table</w:t>
      </w:r>
    </w:p>
    <w:p w14:paraId="26A30B6A" w14:textId="77777777" w:rsidR="002568E6" w:rsidRPr="00AB326D" w:rsidRDefault="002568E6">
      <w:pPr>
        <w:widowControl/>
        <w:overflowPunct/>
        <w:autoSpaceDE/>
        <w:autoSpaceDN/>
        <w:adjustRightInd/>
        <w:textAlignment w:val="auto"/>
        <w:rPr>
          <w:rFonts w:ascii="Times New Roman" w:hAnsi="Times New Roman"/>
          <w:szCs w:val="24"/>
        </w:rPr>
      </w:pPr>
      <w:r w:rsidRPr="00AB326D">
        <w:rPr>
          <w:rFonts w:ascii="Times New Roman" w:hAnsi="Times New Roman"/>
          <w:szCs w:val="24"/>
        </w:rPr>
        <w:br w:type="page"/>
      </w:r>
    </w:p>
    <w:p w14:paraId="1E620760" w14:textId="77777777" w:rsidR="005A3F80" w:rsidRPr="00AB326D" w:rsidRDefault="005A3F80" w:rsidP="0062567E">
      <w:pPr>
        <w:pStyle w:val="Heading1"/>
        <w:rPr>
          <w:szCs w:val="24"/>
        </w:rPr>
      </w:pPr>
      <w:bookmarkStart w:id="1" w:name="_Toc401831357"/>
      <w:bookmarkStart w:id="2" w:name="_Toc401832401"/>
      <w:r w:rsidRPr="00AB326D">
        <w:rPr>
          <w:szCs w:val="24"/>
        </w:rPr>
        <w:lastRenderedPageBreak/>
        <w:t xml:space="preserve">A1. </w:t>
      </w:r>
      <w:r w:rsidR="002568E6" w:rsidRPr="00AB326D">
        <w:rPr>
          <w:szCs w:val="24"/>
        </w:rPr>
        <w:t>C</w:t>
      </w:r>
      <w:r w:rsidRPr="00AB326D">
        <w:rPr>
          <w:szCs w:val="24"/>
        </w:rPr>
        <w:t>ircumstances that make the collection of information necessary.</w:t>
      </w:r>
      <w:bookmarkEnd w:id="1"/>
      <w:bookmarkEnd w:id="2"/>
    </w:p>
    <w:p w14:paraId="31C1A7A5" w14:textId="77777777" w:rsidR="003333DF" w:rsidRPr="00AB326D" w:rsidRDefault="003333DF" w:rsidP="003333DF">
      <w:pPr>
        <w:tabs>
          <w:tab w:val="left" w:pos="-720"/>
        </w:tabs>
        <w:suppressAutoHyphens/>
        <w:rPr>
          <w:rFonts w:ascii="Times New Roman" w:hAnsi="Times New Roman"/>
          <w:b/>
          <w:szCs w:val="24"/>
        </w:rPr>
      </w:pPr>
    </w:p>
    <w:p w14:paraId="6D494080" w14:textId="77777777" w:rsidR="004F6D33" w:rsidRPr="00AB326D" w:rsidRDefault="003333DF" w:rsidP="008A72A5">
      <w:pPr>
        <w:tabs>
          <w:tab w:val="left" w:pos="-720"/>
        </w:tabs>
        <w:suppressAutoHyphens/>
        <w:rPr>
          <w:rFonts w:ascii="Times New Roman" w:hAnsi="Times New Roman"/>
          <w:b/>
          <w:szCs w:val="24"/>
        </w:rPr>
      </w:pPr>
      <w:r w:rsidRPr="00AB326D">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w:t>
      </w:r>
      <w:r w:rsidR="004F6D33" w:rsidRPr="00AB326D">
        <w:rPr>
          <w:rFonts w:ascii="Times New Roman" w:hAnsi="Times New Roman"/>
          <w:b/>
          <w:szCs w:val="24"/>
        </w:rPr>
        <w:t>ion.</w:t>
      </w:r>
    </w:p>
    <w:p w14:paraId="2E3C6D5B" w14:textId="77777777" w:rsidR="004F6D33" w:rsidRPr="00AB326D" w:rsidRDefault="004F6D33" w:rsidP="008A72A5">
      <w:pPr>
        <w:tabs>
          <w:tab w:val="left" w:pos="-720"/>
        </w:tabs>
        <w:suppressAutoHyphens/>
        <w:rPr>
          <w:rFonts w:ascii="Times New Roman" w:hAnsi="Times New Roman"/>
          <w:b/>
          <w:szCs w:val="24"/>
        </w:rPr>
      </w:pPr>
    </w:p>
    <w:p w14:paraId="6E62C4B2" w14:textId="651D1B9F" w:rsidR="00305AB6" w:rsidRDefault="0028387F" w:rsidP="00813793">
      <w:pPr>
        <w:tabs>
          <w:tab w:val="left" w:pos="-720"/>
        </w:tabs>
        <w:suppressAutoHyphens/>
        <w:spacing w:line="480" w:lineRule="auto"/>
        <w:rPr>
          <w:rFonts w:ascii="Times New Roman" w:hAnsi="Times New Roman"/>
          <w:szCs w:val="24"/>
        </w:rPr>
      </w:pPr>
      <w:r w:rsidRPr="0028387F">
        <w:rPr>
          <w:rFonts w:ascii="Times New Roman" w:hAnsi="Times New Roman"/>
          <w:szCs w:val="24"/>
        </w:rPr>
        <w:t xml:space="preserve">This is an extension, without change, of a currently approved collection.  In accordance with Section 16(h)(5) of the Food and Nutrition Act (FNA), as amended by section 4022 of the </w:t>
      </w:r>
      <w:r w:rsidR="00D74BE0" w:rsidRPr="0028387F">
        <w:rPr>
          <w:rFonts w:ascii="Times New Roman" w:hAnsi="Times New Roman"/>
          <w:szCs w:val="24"/>
        </w:rPr>
        <w:t>Agricultur</w:t>
      </w:r>
      <w:r w:rsidR="00D74BE0">
        <w:rPr>
          <w:rFonts w:ascii="Times New Roman" w:hAnsi="Times New Roman"/>
          <w:szCs w:val="24"/>
        </w:rPr>
        <w:t>e</w:t>
      </w:r>
      <w:r w:rsidR="00D74BE0" w:rsidRPr="0028387F">
        <w:rPr>
          <w:rFonts w:ascii="Times New Roman" w:hAnsi="Times New Roman"/>
          <w:szCs w:val="24"/>
        </w:rPr>
        <w:t xml:space="preserve"> </w:t>
      </w:r>
      <w:r w:rsidRPr="0028387F">
        <w:rPr>
          <w:rFonts w:ascii="Times New Roman" w:hAnsi="Times New Roman"/>
          <w:szCs w:val="24"/>
        </w:rPr>
        <w:t>Act of 2014, and 7 CFR 273.7(c)(17) the Department requires that State agencies report outcome data for the Supplemental Nutrition Employment Program (SNAP) Employment and Training (E&amp;T) programs. In order for FNS to monitor the effectiveness of E&amp;T programs State agencies are required to report outcome data on five separate reporting measures: (1) the number and percentage of E&amp;T participants who retain employment 2 quarters and 4 quarters after completing E&amp;T; (2) the median wages for participants with earnings 2 quarters after completion of E&amp;T; (3) the number and percentage of participants that completed a training, education, work experience or on-the-job training component; (4) certain unique characteristics of SNAP E&amp;T participants; and (5) additional reporting requirements for State agencies that pledge to serve all at-risk Able-bodied Adults without Dependents (ABAWDs). State agencies are also required to identify appropriate reporting measures for each proposed component that serves a threshold number of participants of at least 100 a year. State agencies identify the reporting measures for these components in State agencies’ E&amp;T plans and report the outcome data to the Food and Nutrition Service (FNS) through State agencies’ annual reports.  State agencies are required to report outcome data annually.</w:t>
      </w:r>
    </w:p>
    <w:p w14:paraId="2D0965B6" w14:textId="77777777" w:rsidR="001E49BC" w:rsidRPr="00AB326D" w:rsidRDefault="001E49BC" w:rsidP="00813793">
      <w:pPr>
        <w:tabs>
          <w:tab w:val="left" w:pos="-720"/>
        </w:tabs>
        <w:suppressAutoHyphens/>
        <w:spacing w:line="480" w:lineRule="auto"/>
        <w:rPr>
          <w:rFonts w:ascii="Times New Roman" w:hAnsi="Times New Roman"/>
          <w:szCs w:val="24"/>
        </w:rPr>
      </w:pPr>
    </w:p>
    <w:p w14:paraId="5C8FC830" w14:textId="77777777" w:rsidR="00363EDC" w:rsidRPr="00AB326D" w:rsidRDefault="00363EDC" w:rsidP="004F6D33">
      <w:pPr>
        <w:tabs>
          <w:tab w:val="left" w:pos="-720"/>
        </w:tabs>
        <w:suppressAutoHyphens/>
        <w:spacing w:line="480" w:lineRule="auto"/>
        <w:rPr>
          <w:rFonts w:ascii="Times New Roman" w:hAnsi="Times New Roman"/>
          <w:szCs w:val="24"/>
        </w:rPr>
      </w:pPr>
    </w:p>
    <w:p w14:paraId="12FFC7CF" w14:textId="77777777" w:rsidR="00A308DB" w:rsidRPr="00AB326D" w:rsidRDefault="005A3F80" w:rsidP="0062567E">
      <w:pPr>
        <w:pStyle w:val="Heading1"/>
        <w:rPr>
          <w:szCs w:val="24"/>
        </w:rPr>
      </w:pPr>
      <w:bookmarkStart w:id="3" w:name="_Toc401831358"/>
      <w:bookmarkStart w:id="4" w:name="_Toc401832402"/>
      <w:r w:rsidRPr="00AB326D">
        <w:rPr>
          <w:szCs w:val="24"/>
        </w:rPr>
        <w:t xml:space="preserve">A2. </w:t>
      </w:r>
      <w:r w:rsidR="00447C1E" w:rsidRPr="00AB326D">
        <w:rPr>
          <w:szCs w:val="24"/>
        </w:rPr>
        <w:t>Purpose and Use of the Information.</w:t>
      </w:r>
      <w:bookmarkEnd w:id="3"/>
      <w:bookmarkEnd w:id="4"/>
    </w:p>
    <w:p w14:paraId="79A11907" w14:textId="77777777" w:rsidR="003333DF" w:rsidRPr="00AB326D" w:rsidRDefault="003333DF">
      <w:pPr>
        <w:tabs>
          <w:tab w:val="left" w:pos="-720"/>
        </w:tabs>
        <w:suppressAutoHyphens/>
        <w:rPr>
          <w:rFonts w:ascii="Times New Roman" w:hAnsi="Times New Roman"/>
          <w:b/>
          <w:szCs w:val="24"/>
        </w:rPr>
      </w:pPr>
      <w:r w:rsidRPr="00AB326D">
        <w:rPr>
          <w:rFonts w:ascii="Times New Roman" w:hAnsi="Times New Roman"/>
          <w:b/>
          <w:szCs w:val="24"/>
        </w:rPr>
        <w:t>Indicate</w:t>
      </w:r>
      <w:r w:rsidR="009F0786" w:rsidRPr="00AB326D">
        <w:rPr>
          <w:rFonts w:ascii="Times New Roman" w:hAnsi="Times New Roman"/>
          <w:b/>
          <w:szCs w:val="24"/>
        </w:rPr>
        <w:t xml:space="preserve"> how, by whom, and for what pur</w:t>
      </w:r>
      <w:r w:rsidRPr="00AB326D">
        <w:rPr>
          <w:rFonts w:ascii="Times New Roman" w:hAnsi="Times New Roman"/>
          <w:b/>
          <w:szCs w:val="24"/>
        </w:rPr>
        <w:t>pose the information is to be used.</w:t>
      </w:r>
      <w:r w:rsidR="009F0786" w:rsidRPr="00AB326D">
        <w:rPr>
          <w:rFonts w:ascii="Times New Roman" w:hAnsi="Times New Roman"/>
          <w:b/>
          <w:szCs w:val="24"/>
        </w:rPr>
        <w:t xml:space="preserve">  Except for a new collec</w:t>
      </w:r>
      <w:r w:rsidRPr="00AB326D">
        <w:rPr>
          <w:rFonts w:ascii="Times New Roman" w:hAnsi="Times New Roman"/>
          <w:b/>
          <w:szCs w:val="24"/>
        </w:rPr>
        <w:t>tion, indicate how the agency has ac</w:t>
      </w:r>
      <w:r w:rsidR="00E27BE9" w:rsidRPr="00AB326D">
        <w:rPr>
          <w:rFonts w:ascii="Times New Roman" w:hAnsi="Times New Roman"/>
          <w:b/>
          <w:szCs w:val="24"/>
        </w:rPr>
        <w:t>tually used the informa</w:t>
      </w:r>
      <w:r w:rsidRPr="00AB326D">
        <w:rPr>
          <w:rFonts w:ascii="Times New Roman" w:hAnsi="Times New Roman"/>
          <w:b/>
          <w:szCs w:val="24"/>
        </w:rPr>
        <w:t>tion r</w:t>
      </w:r>
      <w:r w:rsidR="00E27BE9" w:rsidRPr="00AB326D">
        <w:rPr>
          <w:rFonts w:ascii="Times New Roman" w:hAnsi="Times New Roman"/>
          <w:b/>
          <w:szCs w:val="24"/>
        </w:rPr>
        <w:t>eceived from the current collec</w:t>
      </w:r>
      <w:r w:rsidRPr="00AB326D">
        <w:rPr>
          <w:rFonts w:ascii="Times New Roman" w:hAnsi="Times New Roman"/>
          <w:b/>
          <w:szCs w:val="24"/>
        </w:rPr>
        <w:t>tion.</w:t>
      </w:r>
    </w:p>
    <w:p w14:paraId="344A10AA" w14:textId="77777777" w:rsidR="009F7E1A" w:rsidRPr="00AB326D" w:rsidRDefault="009F7E1A" w:rsidP="009F7E1A">
      <w:pPr>
        <w:tabs>
          <w:tab w:val="left" w:pos="-720"/>
        </w:tabs>
        <w:suppressAutoHyphens/>
        <w:rPr>
          <w:rFonts w:ascii="Times New Roman" w:hAnsi="Times New Roman"/>
          <w:szCs w:val="24"/>
        </w:rPr>
      </w:pPr>
    </w:p>
    <w:p w14:paraId="206391B2" w14:textId="2437035E" w:rsidR="0028387F" w:rsidRPr="0028387F" w:rsidRDefault="0028387F" w:rsidP="0028387F">
      <w:pPr>
        <w:widowControl/>
        <w:overflowPunct/>
        <w:autoSpaceDE/>
        <w:autoSpaceDN/>
        <w:adjustRightInd/>
        <w:spacing w:line="480" w:lineRule="auto"/>
        <w:textAlignment w:val="auto"/>
        <w:rPr>
          <w:rFonts w:ascii="Times New Roman" w:hAnsi="Times New Roman"/>
          <w:szCs w:val="24"/>
        </w:rPr>
      </w:pPr>
      <w:bookmarkStart w:id="5" w:name="_Toc401831359"/>
      <w:bookmarkStart w:id="6" w:name="_Toc401832403"/>
      <w:r w:rsidRPr="0028387F">
        <w:rPr>
          <w:rFonts w:ascii="Times New Roman" w:hAnsi="Times New Roman"/>
          <w:szCs w:val="24"/>
        </w:rPr>
        <w:t xml:space="preserve">With this information, FNS is able to identify more, and less, successful E&amp;T practices and </w:t>
      </w:r>
      <w:r w:rsidR="00D74BE0">
        <w:rPr>
          <w:rFonts w:ascii="Times New Roman" w:hAnsi="Times New Roman"/>
          <w:szCs w:val="24"/>
        </w:rPr>
        <w:t xml:space="preserve">provide technical assistance to </w:t>
      </w:r>
      <w:r w:rsidRPr="0028387F">
        <w:rPr>
          <w:rFonts w:ascii="Times New Roman" w:hAnsi="Times New Roman"/>
          <w:szCs w:val="24"/>
        </w:rPr>
        <w:t>State agencies to improve their E&amp;T programs.  This process is critical to building a more effective E&amp;T operation nationally that will help move more individuals into the workforce more quickly.  As required by 7 CFR 273.7(c)(17) State agencies administering the SNAP E&amp;T program in 50 States, the District of Columbia, Guam and the U.S. Virgin Islands, must submit an annual E&amp;T report by January 1</w:t>
      </w:r>
      <w:r w:rsidRPr="0028387F">
        <w:rPr>
          <w:rFonts w:ascii="Times New Roman" w:hAnsi="Times New Roman"/>
          <w:szCs w:val="24"/>
          <w:vertAlign w:val="superscript"/>
        </w:rPr>
        <w:t>st</w:t>
      </w:r>
      <w:r w:rsidRPr="0028387F">
        <w:rPr>
          <w:rFonts w:ascii="Times New Roman" w:hAnsi="Times New Roman"/>
          <w:szCs w:val="24"/>
        </w:rPr>
        <w:t xml:space="preserve"> each year for the preceding federal fiscal year.  Information to be reported includes the number and percentage of E&amp;T participants who retain employment in the 2</w:t>
      </w:r>
      <w:r w:rsidRPr="0028387F">
        <w:rPr>
          <w:rFonts w:ascii="Times New Roman" w:hAnsi="Times New Roman"/>
          <w:szCs w:val="24"/>
          <w:vertAlign w:val="superscript"/>
        </w:rPr>
        <w:t>nd</w:t>
      </w:r>
      <w:r w:rsidRPr="0028387F">
        <w:rPr>
          <w:rFonts w:ascii="Times New Roman" w:hAnsi="Times New Roman"/>
          <w:szCs w:val="24"/>
        </w:rPr>
        <w:t xml:space="preserve"> and 4</w:t>
      </w:r>
      <w:r w:rsidRPr="0028387F">
        <w:rPr>
          <w:rFonts w:ascii="Times New Roman" w:hAnsi="Times New Roman"/>
          <w:szCs w:val="24"/>
          <w:vertAlign w:val="superscript"/>
        </w:rPr>
        <w:t>th</w:t>
      </w:r>
      <w:r w:rsidRPr="0028387F">
        <w:rPr>
          <w:rFonts w:ascii="Times New Roman" w:hAnsi="Times New Roman"/>
          <w:szCs w:val="24"/>
        </w:rPr>
        <w:t xml:space="preserve"> quarters after completion of E&amp;T; the quarterly median wages of participants in the 2</w:t>
      </w:r>
      <w:r w:rsidRPr="0028387F">
        <w:rPr>
          <w:rFonts w:ascii="Times New Roman" w:hAnsi="Times New Roman"/>
          <w:szCs w:val="24"/>
          <w:vertAlign w:val="superscript"/>
        </w:rPr>
        <w:t>nd</w:t>
      </w:r>
      <w:r w:rsidRPr="0028387F">
        <w:rPr>
          <w:rFonts w:ascii="Times New Roman" w:hAnsi="Times New Roman"/>
          <w:szCs w:val="24"/>
        </w:rPr>
        <w:t xml:space="preserve"> quarter after E&amp;T completion; the number and percent of participants that complete an educational or training activity; and certain unique characteristics of E&amp;T participants.  Additionally</w:t>
      </w:r>
      <w:r w:rsidR="00842A2A">
        <w:rPr>
          <w:rFonts w:ascii="Times New Roman" w:hAnsi="Times New Roman"/>
          <w:szCs w:val="24"/>
        </w:rPr>
        <w:t>,</w:t>
      </w:r>
      <w:r w:rsidRPr="0028387F">
        <w:rPr>
          <w:rFonts w:ascii="Times New Roman" w:hAnsi="Times New Roman"/>
          <w:szCs w:val="24"/>
        </w:rPr>
        <w:t xml:space="preserve"> State agencies are required to identify outcome reporting measures for State components in their E&amp;T State Plan and report on those outcome measures that are intended to serve at least 100 participants a year in the annual report.  In addition, State agencies who have received additional funds for committing to offering at-risk Able Bodied Adults without Dependents (ABAWDs) a position in an E&amp;T program are required to report through the annual report on the monthly average number of individuals the State offered a position in an E&amp;T program; the monthly average number of individuals who participated in an E&amp;T program; and the description of the types of E&amp;T programs the State agency offered to at-risk ABAWDs.  </w:t>
      </w:r>
    </w:p>
    <w:p w14:paraId="50C09FA3" w14:textId="77777777" w:rsidR="00A308DB" w:rsidRPr="00AB326D" w:rsidRDefault="005A3F80" w:rsidP="00880681">
      <w:pPr>
        <w:pStyle w:val="Heading1"/>
        <w:spacing w:before="240"/>
        <w:rPr>
          <w:szCs w:val="24"/>
        </w:rPr>
      </w:pPr>
      <w:r w:rsidRPr="00AB326D">
        <w:rPr>
          <w:szCs w:val="24"/>
        </w:rPr>
        <w:t xml:space="preserve">A3.  </w:t>
      </w:r>
      <w:r w:rsidR="00831EA7" w:rsidRPr="00AB326D">
        <w:rPr>
          <w:szCs w:val="24"/>
        </w:rPr>
        <w:t xml:space="preserve">Use of </w:t>
      </w:r>
      <w:r w:rsidR="00826253" w:rsidRPr="00AB326D">
        <w:rPr>
          <w:szCs w:val="24"/>
        </w:rPr>
        <w:t>i</w:t>
      </w:r>
      <w:r w:rsidR="00831EA7" w:rsidRPr="00AB326D">
        <w:rPr>
          <w:szCs w:val="24"/>
        </w:rPr>
        <w:t xml:space="preserve">nformation </w:t>
      </w:r>
      <w:r w:rsidR="00826253" w:rsidRPr="00AB326D">
        <w:rPr>
          <w:szCs w:val="24"/>
        </w:rPr>
        <w:t>t</w:t>
      </w:r>
      <w:r w:rsidR="00831EA7" w:rsidRPr="00AB326D">
        <w:rPr>
          <w:szCs w:val="24"/>
        </w:rPr>
        <w:t xml:space="preserve">echnology and </w:t>
      </w:r>
      <w:r w:rsidR="00826253" w:rsidRPr="00AB326D">
        <w:rPr>
          <w:szCs w:val="24"/>
        </w:rPr>
        <w:t>b</w:t>
      </w:r>
      <w:r w:rsidR="00831EA7" w:rsidRPr="00AB326D">
        <w:rPr>
          <w:szCs w:val="24"/>
        </w:rPr>
        <w:t xml:space="preserve">urden </w:t>
      </w:r>
      <w:r w:rsidR="00826253" w:rsidRPr="00AB326D">
        <w:rPr>
          <w:szCs w:val="24"/>
        </w:rPr>
        <w:t>r</w:t>
      </w:r>
      <w:r w:rsidR="00831EA7" w:rsidRPr="00AB326D">
        <w:rPr>
          <w:szCs w:val="24"/>
        </w:rPr>
        <w:t>eduction</w:t>
      </w:r>
      <w:r w:rsidRPr="00AB326D">
        <w:rPr>
          <w:szCs w:val="24"/>
        </w:rPr>
        <w:t>.</w:t>
      </w:r>
      <w:bookmarkEnd w:id="5"/>
      <w:bookmarkEnd w:id="6"/>
      <w:r w:rsidRPr="00AB326D">
        <w:rPr>
          <w:szCs w:val="24"/>
        </w:rPr>
        <w:t xml:space="preserve">  </w:t>
      </w:r>
    </w:p>
    <w:p w14:paraId="08B917FF"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whether, and to what extent, the collection of information involves the use of </w:t>
      </w:r>
      <w:r w:rsidR="00542C4F" w:rsidRPr="00AB326D">
        <w:rPr>
          <w:rFonts w:ascii="Times New Roman" w:hAnsi="Times New Roman"/>
          <w:b/>
          <w:szCs w:val="24"/>
        </w:rPr>
        <w:t>automated, electronic, mechanical, or other technolog</w:t>
      </w:r>
      <w:r w:rsidRPr="00AB326D">
        <w:rPr>
          <w:rFonts w:ascii="Times New Roman" w:hAnsi="Times New Roman"/>
          <w:b/>
          <w:szCs w:val="24"/>
        </w:rPr>
        <w:t>ical collection techniques or oth</w:t>
      </w:r>
      <w:r w:rsidR="00542C4F" w:rsidRPr="00AB326D">
        <w:rPr>
          <w:rFonts w:ascii="Times New Roman" w:hAnsi="Times New Roman"/>
          <w:b/>
          <w:szCs w:val="24"/>
        </w:rPr>
        <w:t>er forms of information technology, e.g., permitting electronic sub</w:t>
      </w:r>
      <w:r w:rsidRPr="00AB326D">
        <w:rPr>
          <w:rFonts w:ascii="Times New Roman" w:hAnsi="Times New Roman"/>
          <w:b/>
          <w:szCs w:val="24"/>
        </w:rPr>
        <w:t>mission of responses, and the basis for the decision for adopting this means of co</w:t>
      </w:r>
      <w:r w:rsidR="00542C4F" w:rsidRPr="00AB326D">
        <w:rPr>
          <w:rFonts w:ascii="Times New Roman" w:hAnsi="Times New Roman"/>
          <w:b/>
          <w:szCs w:val="24"/>
        </w:rPr>
        <w:t>llection. Also describe any con</w:t>
      </w:r>
      <w:r w:rsidRPr="00AB326D">
        <w:rPr>
          <w:rFonts w:ascii="Times New Roman" w:hAnsi="Times New Roman"/>
          <w:b/>
          <w:szCs w:val="24"/>
        </w:rPr>
        <w:t>sideratio</w:t>
      </w:r>
      <w:r w:rsidR="00542C4F" w:rsidRPr="00AB326D">
        <w:rPr>
          <w:rFonts w:ascii="Times New Roman" w:hAnsi="Times New Roman"/>
          <w:b/>
          <w:szCs w:val="24"/>
        </w:rPr>
        <w:t>n of using information technology to reduce bur</w:t>
      </w:r>
      <w:r w:rsidRPr="00AB326D">
        <w:rPr>
          <w:rFonts w:ascii="Times New Roman" w:hAnsi="Times New Roman"/>
          <w:b/>
          <w:szCs w:val="24"/>
        </w:rPr>
        <w:t>den.</w:t>
      </w:r>
    </w:p>
    <w:p w14:paraId="3FDA34B4" w14:textId="77777777" w:rsidR="00A308DB" w:rsidRPr="00AB326D" w:rsidRDefault="00A308DB">
      <w:pPr>
        <w:tabs>
          <w:tab w:val="left" w:pos="0"/>
        </w:tabs>
        <w:suppressAutoHyphens/>
        <w:rPr>
          <w:rFonts w:ascii="Times New Roman" w:hAnsi="Times New Roman"/>
          <w:szCs w:val="24"/>
        </w:rPr>
      </w:pPr>
    </w:p>
    <w:p w14:paraId="68A1A396" w14:textId="0B9886DC" w:rsidR="009F7E1A" w:rsidRPr="0028387F" w:rsidRDefault="0028387F" w:rsidP="0028387F">
      <w:pPr>
        <w:widowControl/>
        <w:overflowPunct/>
        <w:autoSpaceDE/>
        <w:autoSpaceDN/>
        <w:adjustRightInd/>
        <w:spacing w:line="480" w:lineRule="auto"/>
        <w:textAlignment w:val="auto"/>
        <w:rPr>
          <w:rFonts w:ascii="Times New Roman" w:hAnsi="Times New Roman"/>
          <w:color w:val="000000"/>
          <w:szCs w:val="24"/>
        </w:rPr>
      </w:pPr>
      <w:r w:rsidRPr="0028387F">
        <w:rPr>
          <w:rFonts w:ascii="Times New Roman" w:hAnsi="Times New Roman"/>
          <w:szCs w:val="24"/>
        </w:rPr>
        <w:t>SNAP is administered and operated by State and local government agencies and as such, it is their decision on how data is collected.  State agencies submit numerous reports to FNS regarding SNAP, the vast majority are generated by automated systems.  The Department supports States automation and modernization efforts and their development is funded with matching funds.  For this requirement, States are expected to automate the data collection process as much as possible and the Department will facilitate electronic submission of the information collection.  The Department is also committed to complying with the E-Government Act, to promote the use of the Internet and other information technologies to provide increased opportunities for citizen access to Government information and services, and for other purposes.</w:t>
      </w:r>
    </w:p>
    <w:p w14:paraId="1C0DA0C3" w14:textId="77777777" w:rsidR="005A3F80" w:rsidRPr="00AB326D" w:rsidRDefault="005A3F80">
      <w:pPr>
        <w:tabs>
          <w:tab w:val="left" w:pos="0"/>
        </w:tabs>
        <w:suppressAutoHyphens/>
        <w:rPr>
          <w:rFonts w:ascii="Times New Roman" w:hAnsi="Times New Roman"/>
          <w:szCs w:val="24"/>
        </w:rPr>
      </w:pPr>
    </w:p>
    <w:p w14:paraId="51DD2890" w14:textId="77777777" w:rsidR="00A308DB" w:rsidRPr="00AB326D" w:rsidRDefault="005A3F80" w:rsidP="0062567E">
      <w:pPr>
        <w:pStyle w:val="Heading1"/>
        <w:rPr>
          <w:szCs w:val="24"/>
        </w:rPr>
      </w:pPr>
      <w:bookmarkStart w:id="7" w:name="_Toc401831360"/>
      <w:bookmarkStart w:id="8" w:name="_Toc401832404"/>
      <w:r w:rsidRPr="00AB326D">
        <w:rPr>
          <w:szCs w:val="24"/>
        </w:rPr>
        <w:t xml:space="preserve">A4.  </w:t>
      </w:r>
      <w:r w:rsidR="002568E6" w:rsidRPr="00AB326D">
        <w:rPr>
          <w:szCs w:val="24"/>
        </w:rPr>
        <w:t>E</w:t>
      </w:r>
      <w:r w:rsidRPr="00AB326D">
        <w:rPr>
          <w:szCs w:val="24"/>
        </w:rPr>
        <w:t>fforts to identify duplication.</w:t>
      </w:r>
      <w:bookmarkEnd w:id="7"/>
      <w:bookmarkEnd w:id="8"/>
      <w:r w:rsidRPr="00AB326D">
        <w:rPr>
          <w:szCs w:val="24"/>
        </w:rPr>
        <w:t xml:space="preserve"> </w:t>
      </w:r>
    </w:p>
    <w:p w14:paraId="2C6A0058"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Descr</w:t>
      </w:r>
      <w:r w:rsidR="00751946" w:rsidRPr="00AB326D">
        <w:rPr>
          <w:rFonts w:ascii="Times New Roman" w:hAnsi="Times New Roman"/>
          <w:b/>
          <w:szCs w:val="24"/>
        </w:rPr>
        <w:t>ibe efforts to identify duplica</w:t>
      </w:r>
      <w:r w:rsidRPr="00AB326D">
        <w:rPr>
          <w:rFonts w:ascii="Times New Roman" w:hAnsi="Times New Roman"/>
          <w:b/>
          <w:szCs w:val="24"/>
        </w:rPr>
        <w:t>tion.</w:t>
      </w:r>
      <w:r w:rsidR="00751946" w:rsidRPr="00AB326D">
        <w:rPr>
          <w:rFonts w:ascii="Times New Roman" w:hAnsi="Times New Roman"/>
          <w:b/>
          <w:szCs w:val="24"/>
        </w:rPr>
        <w:t xml:space="preserve">  Show specifically why any similar information already avail</w:t>
      </w:r>
      <w:r w:rsidRPr="00AB326D">
        <w:rPr>
          <w:rFonts w:ascii="Times New Roman" w:hAnsi="Times New Roman"/>
          <w:b/>
          <w:szCs w:val="24"/>
        </w:rPr>
        <w:t xml:space="preserve">able cannot be used or </w:t>
      </w:r>
      <w:r w:rsidR="00751946" w:rsidRPr="00AB326D">
        <w:rPr>
          <w:rFonts w:ascii="Times New Roman" w:hAnsi="Times New Roman"/>
          <w:b/>
          <w:szCs w:val="24"/>
        </w:rPr>
        <w:t>modified for use for the purposes descri</w:t>
      </w:r>
      <w:r w:rsidRPr="00AB326D">
        <w:rPr>
          <w:rFonts w:ascii="Times New Roman" w:hAnsi="Times New Roman"/>
          <w:b/>
          <w:szCs w:val="24"/>
        </w:rPr>
        <w:t>bed in Question 2.</w:t>
      </w:r>
    </w:p>
    <w:p w14:paraId="799BF640" w14:textId="77777777" w:rsidR="009F7E1A" w:rsidRPr="00AB326D" w:rsidRDefault="009F7E1A" w:rsidP="009F7E1A">
      <w:pPr>
        <w:tabs>
          <w:tab w:val="left" w:pos="-720"/>
        </w:tabs>
        <w:suppressAutoHyphens/>
        <w:rPr>
          <w:rFonts w:ascii="Times New Roman" w:hAnsi="Times New Roman"/>
          <w:szCs w:val="24"/>
        </w:rPr>
      </w:pPr>
    </w:p>
    <w:p w14:paraId="2E464FF3" w14:textId="77777777" w:rsidR="0028387F" w:rsidRPr="0028387F" w:rsidRDefault="0028387F" w:rsidP="0028387F">
      <w:pPr>
        <w:widowControl/>
        <w:overflowPunct/>
        <w:autoSpaceDE/>
        <w:autoSpaceDN/>
        <w:adjustRightInd/>
        <w:spacing w:line="480" w:lineRule="auto"/>
        <w:textAlignment w:val="auto"/>
        <w:rPr>
          <w:rFonts w:ascii="Times New Roman" w:hAnsi="Times New Roman"/>
          <w:spacing w:val="-3"/>
          <w:szCs w:val="24"/>
        </w:rPr>
      </w:pPr>
      <w:bookmarkStart w:id="9" w:name="_Toc401831361"/>
      <w:bookmarkStart w:id="10" w:name="_Toc401832405"/>
      <w:r w:rsidRPr="0028387F">
        <w:rPr>
          <w:rFonts w:ascii="Times New Roman" w:hAnsi="Times New Roman"/>
          <w:spacing w:val="-3"/>
          <w:szCs w:val="24"/>
        </w:rPr>
        <w:t>There is no similar information collection.  Every effort has been made to avoid duplication.  FNS has reviewed USDA recordkeeping requirements, state administrative agency recordkeeping requirements, and special studies by other government and private agencies.  FNS solely monitors and administers SNAP.</w:t>
      </w:r>
    </w:p>
    <w:p w14:paraId="733D1E03" w14:textId="77777777" w:rsidR="00A308DB" w:rsidRPr="00AB326D" w:rsidRDefault="005A3F80" w:rsidP="0062567E">
      <w:pPr>
        <w:pStyle w:val="Heading1"/>
        <w:rPr>
          <w:szCs w:val="24"/>
        </w:rPr>
      </w:pPr>
      <w:r w:rsidRPr="00AB326D">
        <w:rPr>
          <w:szCs w:val="24"/>
        </w:rPr>
        <w:t>A5.  Impacts on small businesses or other small entities.</w:t>
      </w:r>
      <w:bookmarkEnd w:id="9"/>
      <w:bookmarkEnd w:id="10"/>
      <w:r w:rsidRPr="00AB326D">
        <w:rPr>
          <w:szCs w:val="24"/>
        </w:rPr>
        <w:t xml:space="preserve">  </w:t>
      </w:r>
    </w:p>
    <w:p w14:paraId="0AB53FAC" w14:textId="77777777" w:rsidR="003333DF" w:rsidRPr="00AB326D" w:rsidRDefault="003333DF">
      <w:pPr>
        <w:tabs>
          <w:tab w:val="left" w:pos="0"/>
        </w:tabs>
        <w:suppressAutoHyphens/>
        <w:rPr>
          <w:rFonts w:ascii="Times New Roman" w:hAnsi="Times New Roman"/>
          <w:szCs w:val="24"/>
        </w:rPr>
      </w:pPr>
      <w:r w:rsidRPr="00AB326D">
        <w:rPr>
          <w:rFonts w:ascii="Times New Roman" w:hAnsi="Times New Roman"/>
          <w:b/>
          <w:szCs w:val="24"/>
        </w:rPr>
        <w:t>If t</w:t>
      </w:r>
      <w:r w:rsidR="006E4B7F" w:rsidRPr="00AB326D">
        <w:rPr>
          <w:rFonts w:ascii="Times New Roman" w:hAnsi="Times New Roman"/>
          <w:b/>
          <w:szCs w:val="24"/>
        </w:rPr>
        <w:t>he collection of information im</w:t>
      </w:r>
      <w:r w:rsidRPr="00AB326D">
        <w:rPr>
          <w:rFonts w:ascii="Times New Roman" w:hAnsi="Times New Roman"/>
          <w:b/>
          <w:szCs w:val="24"/>
        </w:rPr>
        <w:t>pacts small businesses or other small entities (Item 5 of OMB Form 83-I), de</w:t>
      </w:r>
      <w:r w:rsidR="006E4B7F" w:rsidRPr="00AB326D">
        <w:rPr>
          <w:rFonts w:ascii="Times New Roman" w:hAnsi="Times New Roman"/>
          <w:b/>
          <w:szCs w:val="24"/>
        </w:rPr>
        <w:t>scribe any methods used to mini</w:t>
      </w:r>
      <w:r w:rsidRPr="00AB326D">
        <w:rPr>
          <w:rFonts w:ascii="Times New Roman" w:hAnsi="Times New Roman"/>
          <w:b/>
          <w:szCs w:val="24"/>
        </w:rPr>
        <w:t>mize burden.</w:t>
      </w:r>
    </w:p>
    <w:p w14:paraId="66585038" w14:textId="77777777" w:rsidR="00A308DB" w:rsidRPr="00AB326D" w:rsidRDefault="00A308DB">
      <w:pPr>
        <w:tabs>
          <w:tab w:val="left" w:pos="0"/>
        </w:tabs>
        <w:suppressAutoHyphens/>
        <w:rPr>
          <w:rFonts w:ascii="Times New Roman" w:hAnsi="Times New Roman"/>
          <w:szCs w:val="24"/>
        </w:rPr>
      </w:pPr>
    </w:p>
    <w:p w14:paraId="214E6A65" w14:textId="77777777" w:rsidR="0028387F" w:rsidRPr="0028387F" w:rsidRDefault="0028387F" w:rsidP="0028387F">
      <w:pPr>
        <w:widowControl/>
        <w:tabs>
          <w:tab w:val="left" w:pos="-720"/>
        </w:tabs>
        <w:suppressAutoHyphens/>
        <w:overflowPunct/>
        <w:autoSpaceDE/>
        <w:autoSpaceDN/>
        <w:adjustRightInd/>
        <w:spacing w:line="480" w:lineRule="auto"/>
        <w:textAlignment w:val="auto"/>
        <w:rPr>
          <w:rFonts w:ascii="Times New Roman" w:hAnsi="Times New Roman"/>
          <w:spacing w:val="-3"/>
          <w:szCs w:val="24"/>
        </w:rPr>
      </w:pPr>
      <w:r w:rsidRPr="0028387F">
        <w:rPr>
          <w:rFonts w:ascii="Times New Roman" w:hAnsi="Times New Roman"/>
          <w:color w:val="000000"/>
          <w:szCs w:val="24"/>
        </w:rPr>
        <w:t xml:space="preserve">Information being requested or required has been held to the minimum required for the intended use.  </w:t>
      </w:r>
      <w:r w:rsidRPr="0028387F">
        <w:rPr>
          <w:rFonts w:ascii="Times New Roman" w:hAnsi="Times New Roman"/>
          <w:spacing w:val="-3"/>
          <w:szCs w:val="24"/>
        </w:rPr>
        <w:t xml:space="preserve">No small entities are impacted by this collection of information.    </w:t>
      </w:r>
    </w:p>
    <w:p w14:paraId="5C9ED69C" w14:textId="77777777" w:rsidR="00CE48AB" w:rsidRDefault="00CE48AB" w:rsidP="009F7E1A">
      <w:pPr>
        <w:tabs>
          <w:tab w:val="left" w:pos="-720"/>
        </w:tabs>
        <w:suppressAutoHyphens/>
        <w:spacing w:line="480" w:lineRule="auto"/>
        <w:rPr>
          <w:rFonts w:ascii="Times New Roman" w:hAnsi="Times New Roman"/>
          <w:szCs w:val="24"/>
        </w:rPr>
      </w:pPr>
    </w:p>
    <w:p w14:paraId="549BF9EF" w14:textId="77777777" w:rsidR="00A308DB" w:rsidRPr="00AB326D" w:rsidRDefault="005A3F80" w:rsidP="0062567E">
      <w:pPr>
        <w:pStyle w:val="Heading1"/>
        <w:rPr>
          <w:szCs w:val="24"/>
        </w:rPr>
      </w:pPr>
      <w:bookmarkStart w:id="11" w:name="_Toc401831362"/>
      <w:bookmarkStart w:id="12" w:name="_Toc401832406"/>
      <w:r w:rsidRPr="00AB326D">
        <w:rPr>
          <w:szCs w:val="24"/>
        </w:rPr>
        <w:t xml:space="preserve">A6.  Consequences </w:t>
      </w:r>
      <w:r w:rsidR="00826253" w:rsidRPr="00AB326D">
        <w:rPr>
          <w:szCs w:val="24"/>
        </w:rPr>
        <w:t xml:space="preserve">of collecting the </w:t>
      </w:r>
      <w:r w:rsidR="00DA0E06" w:rsidRPr="00AB326D">
        <w:rPr>
          <w:szCs w:val="24"/>
        </w:rPr>
        <w:t>i</w:t>
      </w:r>
      <w:r w:rsidR="00826253" w:rsidRPr="00AB326D">
        <w:rPr>
          <w:szCs w:val="24"/>
        </w:rPr>
        <w:t xml:space="preserve">nformation </w:t>
      </w:r>
      <w:r w:rsidRPr="00AB326D">
        <w:rPr>
          <w:szCs w:val="24"/>
        </w:rPr>
        <w:t>less frequently.</w:t>
      </w:r>
      <w:bookmarkEnd w:id="11"/>
      <w:bookmarkEnd w:id="12"/>
      <w:r w:rsidRPr="00AB326D">
        <w:rPr>
          <w:szCs w:val="24"/>
        </w:rPr>
        <w:t xml:space="preserve">  </w:t>
      </w:r>
    </w:p>
    <w:p w14:paraId="7ED028CD" w14:textId="77777777" w:rsidR="003333DF" w:rsidRPr="00AB326D" w:rsidRDefault="003333DF" w:rsidP="0062567E">
      <w:pPr>
        <w:rPr>
          <w:rFonts w:ascii="Times New Roman" w:hAnsi="Times New Roman"/>
          <w:b/>
          <w:szCs w:val="24"/>
        </w:rPr>
      </w:pPr>
      <w:r w:rsidRPr="00AB326D">
        <w:rPr>
          <w:rFonts w:ascii="Times New Roman" w:hAnsi="Times New Roman"/>
          <w:b/>
          <w:szCs w:val="24"/>
        </w:rPr>
        <w:t>Describe the consequence to Federal program or policy activities if the collect</w:t>
      </w:r>
      <w:r w:rsidR="00E315C8" w:rsidRPr="00AB326D">
        <w:rPr>
          <w:rFonts w:ascii="Times New Roman" w:hAnsi="Times New Roman"/>
          <w:b/>
          <w:szCs w:val="24"/>
        </w:rPr>
        <w:t>ion is not conducted, or is conducted less frequent</w:t>
      </w:r>
      <w:r w:rsidRPr="00AB326D">
        <w:rPr>
          <w:rFonts w:ascii="Times New Roman" w:hAnsi="Times New Roman"/>
          <w:b/>
          <w:szCs w:val="24"/>
        </w:rPr>
        <w:t>ly, as well as any technical or legal obstacles to reducing burden.</w:t>
      </w:r>
    </w:p>
    <w:p w14:paraId="12BA3EA8" w14:textId="77777777" w:rsidR="00E11A38" w:rsidRPr="00AB326D" w:rsidRDefault="00E11A38" w:rsidP="00E11A38">
      <w:pPr>
        <w:tabs>
          <w:tab w:val="left" w:pos="-720"/>
        </w:tabs>
        <w:suppressAutoHyphens/>
        <w:rPr>
          <w:rFonts w:ascii="Times New Roman" w:hAnsi="Times New Roman"/>
          <w:szCs w:val="24"/>
        </w:rPr>
      </w:pPr>
    </w:p>
    <w:p w14:paraId="1A32B737" w14:textId="76100D49" w:rsidR="0028387F" w:rsidRPr="0028387F" w:rsidRDefault="0028387F" w:rsidP="0028387F">
      <w:pPr>
        <w:widowControl/>
        <w:overflowPunct/>
        <w:autoSpaceDE/>
        <w:autoSpaceDN/>
        <w:adjustRightInd/>
        <w:spacing w:line="480" w:lineRule="auto"/>
        <w:textAlignment w:val="auto"/>
        <w:rPr>
          <w:rFonts w:ascii="Times New Roman" w:hAnsi="Times New Roman"/>
          <w:bCs/>
          <w:color w:val="000000"/>
          <w:szCs w:val="24"/>
        </w:rPr>
      </w:pPr>
      <w:bookmarkStart w:id="13" w:name="_Toc401831363"/>
      <w:bookmarkStart w:id="14" w:name="_Toc401832407"/>
      <w:r>
        <w:rPr>
          <w:rFonts w:ascii="Times New Roman" w:hAnsi="Times New Roman"/>
          <w:bCs/>
          <w:color w:val="000000"/>
          <w:szCs w:val="24"/>
        </w:rPr>
        <w:t xml:space="preserve">This is an ongoing information collection request.  </w:t>
      </w:r>
      <w:r w:rsidRPr="0028387F">
        <w:rPr>
          <w:rFonts w:ascii="Times New Roman" w:hAnsi="Times New Roman"/>
          <w:bCs/>
          <w:color w:val="000000"/>
          <w:szCs w:val="24"/>
        </w:rPr>
        <w:t>Without this data collection, FNS will continue to be severely limited in understanding effective E&amp;T practices and providing assistance to States in improving their operations.  FNS considered more frequent (quarterly) collection of the reporting measures, but determined that the data would be incomplete and its usefulness uncertain.   Beyond the FNA requirement that measures be reported annually, less frequent reporting would result in FNS frequently relying on outdated information.</w:t>
      </w:r>
    </w:p>
    <w:p w14:paraId="0C76E2A9" w14:textId="77777777" w:rsidR="00A308DB" w:rsidRPr="00AB326D" w:rsidRDefault="00213436" w:rsidP="00731149">
      <w:pPr>
        <w:pStyle w:val="Heading1"/>
        <w:spacing w:before="240"/>
        <w:rPr>
          <w:szCs w:val="24"/>
        </w:rPr>
      </w:pPr>
      <w:r w:rsidRPr="00AB326D">
        <w:rPr>
          <w:szCs w:val="24"/>
        </w:rPr>
        <w:t xml:space="preserve">A7.  </w:t>
      </w:r>
      <w:r w:rsidR="00A37C87" w:rsidRPr="00AB326D">
        <w:rPr>
          <w:szCs w:val="24"/>
        </w:rPr>
        <w:t>Special c</w:t>
      </w:r>
      <w:r w:rsidRPr="00AB326D">
        <w:rPr>
          <w:szCs w:val="24"/>
        </w:rPr>
        <w:t xml:space="preserve">ircumstances </w:t>
      </w:r>
      <w:r w:rsidR="00A37C87" w:rsidRPr="00AB326D">
        <w:rPr>
          <w:szCs w:val="24"/>
        </w:rPr>
        <w:t>relating to the Guidelines of</w:t>
      </w:r>
      <w:r w:rsidRPr="00AB326D">
        <w:rPr>
          <w:szCs w:val="24"/>
        </w:rPr>
        <w:t xml:space="preserve"> 5 CFR 1320.</w:t>
      </w:r>
      <w:r w:rsidR="003C6BDD" w:rsidRPr="00AB326D">
        <w:rPr>
          <w:szCs w:val="24"/>
        </w:rPr>
        <w:t>5</w:t>
      </w:r>
      <w:r w:rsidRPr="00AB326D">
        <w:rPr>
          <w:szCs w:val="24"/>
        </w:rPr>
        <w:t>.</w:t>
      </w:r>
      <w:bookmarkEnd w:id="13"/>
      <w:bookmarkEnd w:id="14"/>
      <w:r w:rsidRPr="00AB326D">
        <w:rPr>
          <w:szCs w:val="24"/>
        </w:rPr>
        <w:t xml:space="preserve">  </w:t>
      </w:r>
    </w:p>
    <w:p w14:paraId="47E23181" w14:textId="77777777" w:rsidR="003333DF" w:rsidRPr="00AB326D" w:rsidRDefault="003333DF" w:rsidP="0062567E">
      <w:pPr>
        <w:widowControl/>
        <w:rPr>
          <w:rFonts w:ascii="Times New Roman" w:hAnsi="Times New Roman"/>
          <w:b/>
          <w:szCs w:val="24"/>
        </w:rPr>
      </w:pPr>
      <w:r w:rsidRPr="00AB326D">
        <w:rPr>
          <w:rFonts w:ascii="Times New Roman" w:hAnsi="Times New Roman"/>
          <w:b/>
          <w:szCs w:val="24"/>
        </w:rPr>
        <w:t>Explain any special circumstances that woul</w:t>
      </w:r>
      <w:r w:rsidR="00CF7CB1" w:rsidRPr="00AB326D">
        <w:rPr>
          <w:rFonts w:ascii="Times New Roman" w:hAnsi="Times New Roman"/>
          <w:b/>
          <w:szCs w:val="24"/>
        </w:rPr>
        <w:t>d cause an information collecti</w:t>
      </w:r>
      <w:r w:rsidRPr="00AB326D">
        <w:rPr>
          <w:rFonts w:ascii="Times New Roman" w:hAnsi="Times New Roman"/>
          <w:b/>
          <w:szCs w:val="24"/>
        </w:rPr>
        <w:t>on to</w:t>
      </w:r>
      <w:r w:rsidR="00CF7CB1" w:rsidRPr="00AB326D">
        <w:rPr>
          <w:rFonts w:ascii="Times New Roman" w:hAnsi="Times New Roman"/>
          <w:b/>
          <w:szCs w:val="24"/>
        </w:rPr>
        <w:t xml:space="preserve"> be con</w:t>
      </w:r>
      <w:r w:rsidRPr="00AB326D">
        <w:rPr>
          <w:rFonts w:ascii="Times New Roman" w:hAnsi="Times New Roman"/>
          <w:b/>
          <w:szCs w:val="24"/>
        </w:rPr>
        <w:t xml:space="preserve">ducted in a manner: </w:t>
      </w:r>
    </w:p>
    <w:p w14:paraId="4B91FFF9"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CF7CB1" w:rsidRPr="00AB326D">
        <w:rPr>
          <w:rFonts w:ascii="Times New Roman" w:hAnsi="Times New Roman"/>
          <w:b/>
          <w:szCs w:val="24"/>
        </w:rPr>
        <w:t>g respondents to report informa</w:t>
      </w:r>
      <w:r w:rsidRPr="00AB326D">
        <w:rPr>
          <w:rFonts w:ascii="Times New Roman" w:hAnsi="Times New Roman"/>
          <w:b/>
          <w:szCs w:val="24"/>
        </w:rPr>
        <w:t xml:space="preserve">tion to the agency more often than quarterly; </w:t>
      </w:r>
    </w:p>
    <w:p w14:paraId="3B15D2B1"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w:t>
      </w:r>
      <w:r w:rsidR="008F3F14" w:rsidRPr="00AB326D">
        <w:rPr>
          <w:rFonts w:ascii="Times New Roman" w:hAnsi="Times New Roman"/>
          <w:b/>
          <w:szCs w:val="24"/>
        </w:rPr>
        <w:t>g respondents to prepare a writ</w:t>
      </w:r>
      <w:r w:rsidRPr="00AB326D">
        <w:rPr>
          <w:rFonts w:ascii="Times New Roman" w:hAnsi="Times New Roman"/>
          <w:b/>
          <w:szCs w:val="24"/>
        </w:rPr>
        <w:t>ten re</w:t>
      </w:r>
      <w:r w:rsidR="008F3F14" w:rsidRPr="00AB326D">
        <w:rPr>
          <w:rFonts w:ascii="Times New Roman" w:hAnsi="Times New Roman"/>
          <w:b/>
          <w:szCs w:val="24"/>
        </w:rPr>
        <w:t>sponse to a collection of informa</w:t>
      </w:r>
      <w:r w:rsidRPr="00AB326D">
        <w:rPr>
          <w:rFonts w:ascii="Times New Roman" w:hAnsi="Times New Roman"/>
          <w:b/>
          <w:szCs w:val="24"/>
        </w:rPr>
        <w:t xml:space="preserve">tion in fewer than 30 days after receipt of it; </w:t>
      </w:r>
    </w:p>
    <w:p w14:paraId="4F40A4F8"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respondents to submit more than an orig</w:t>
      </w:r>
      <w:r w:rsidR="008F3F14" w:rsidRPr="00AB326D">
        <w:rPr>
          <w:rFonts w:ascii="Times New Roman" w:hAnsi="Times New Roman"/>
          <w:b/>
          <w:szCs w:val="24"/>
        </w:rPr>
        <w:t>inal and two copies of any docu</w:t>
      </w:r>
      <w:r w:rsidRPr="00AB326D">
        <w:rPr>
          <w:rFonts w:ascii="Times New Roman" w:hAnsi="Times New Roman"/>
          <w:b/>
          <w:szCs w:val="24"/>
        </w:rPr>
        <w:t xml:space="preserve">ment; </w:t>
      </w:r>
    </w:p>
    <w:p w14:paraId="7E05A1AC"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w:t>
      </w:r>
      <w:r w:rsidR="008F3F14" w:rsidRPr="00AB326D">
        <w:rPr>
          <w:rFonts w:ascii="Times New Roman" w:hAnsi="Times New Roman"/>
          <w:b/>
          <w:szCs w:val="24"/>
        </w:rPr>
        <w:t>uiring respondents to retain re</w:t>
      </w:r>
      <w:r w:rsidRPr="00AB326D">
        <w:rPr>
          <w:rFonts w:ascii="Times New Roman" w:hAnsi="Times New Roman"/>
          <w:b/>
          <w:szCs w:val="24"/>
        </w:rPr>
        <w:t>cords, othe</w:t>
      </w:r>
      <w:r w:rsidR="008F3F14" w:rsidRPr="00AB326D">
        <w:rPr>
          <w:rFonts w:ascii="Times New Roman" w:hAnsi="Times New Roman"/>
          <w:b/>
          <w:szCs w:val="24"/>
        </w:rPr>
        <w:t>r than health, medical, governm</w:t>
      </w:r>
      <w:r w:rsidRPr="00AB326D">
        <w:rPr>
          <w:rFonts w:ascii="Times New Roman" w:hAnsi="Times New Roman"/>
          <w:b/>
          <w:szCs w:val="24"/>
        </w:rPr>
        <w:t>ent contract, grant-in-aid, or tax records for more than three years</w:t>
      </w:r>
      <w:r w:rsidR="008F3F14" w:rsidRPr="00AB326D">
        <w:rPr>
          <w:rFonts w:ascii="Times New Roman" w:hAnsi="Times New Roman"/>
          <w:b/>
          <w:szCs w:val="24"/>
        </w:rPr>
        <w:t>;</w:t>
      </w:r>
    </w:p>
    <w:p w14:paraId="39182CAF"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In connection with a statistical survey, that is not de</w:t>
      </w:r>
      <w:r w:rsidR="003333DF" w:rsidRPr="00AB326D">
        <w:rPr>
          <w:rFonts w:ascii="Times New Roman" w:hAnsi="Times New Roman"/>
          <w:b/>
          <w:szCs w:val="24"/>
        </w:rPr>
        <w:t>s</w:t>
      </w:r>
      <w:r w:rsidRPr="00AB326D">
        <w:rPr>
          <w:rFonts w:ascii="Times New Roman" w:hAnsi="Times New Roman"/>
          <w:b/>
          <w:szCs w:val="24"/>
        </w:rPr>
        <w:t>igned to produce valid and reli</w:t>
      </w:r>
      <w:r w:rsidR="003333DF" w:rsidRPr="00AB326D">
        <w:rPr>
          <w:rFonts w:ascii="Times New Roman" w:hAnsi="Times New Roman"/>
          <w:b/>
          <w:szCs w:val="24"/>
        </w:rPr>
        <w:t>a</w:t>
      </w:r>
      <w:r w:rsidRPr="00AB326D">
        <w:rPr>
          <w:rFonts w:ascii="Times New Roman" w:hAnsi="Times New Roman"/>
          <w:b/>
          <w:szCs w:val="24"/>
        </w:rPr>
        <w:t>ble results that can be generalized to the uni</w:t>
      </w:r>
      <w:r w:rsidR="003333DF" w:rsidRPr="00AB326D">
        <w:rPr>
          <w:rFonts w:ascii="Times New Roman" w:hAnsi="Times New Roman"/>
          <w:b/>
          <w:szCs w:val="24"/>
        </w:rPr>
        <w:t xml:space="preserve">verse of study; </w:t>
      </w:r>
    </w:p>
    <w:p w14:paraId="6F77104F" w14:textId="77777777" w:rsidR="003333DF" w:rsidRPr="00AB326D"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Requiring the use of a statistical data classi</w:t>
      </w:r>
      <w:r w:rsidR="003333DF" w:rsidRPr="00AB326D">
        <w:rPr>
          <w:rFonts w:ascii="Times New Roman" w:hAnsi="Times New Roman"/>
          <w:b/>
          <w:szCs w:val="24"/>
        </w:rPr>
        <w:t>fication that has not been</w:t>
      </w:r>
      <w:r w:rsidRPr="00AB326D">
        <w:rPr>
          <w:rFonts w:ascii="Times New Roman" w:hAnsi="Times New Roman"/>
          <w:b/>
          <w:szCs w:val="24"/>
        </w:rPr>
        <w:t xml:space="preserve"> reviewed and approved by OMB;</w:t>
      </w:r>
    </w:p>
    <w:p w14:paraId="45B9A5A1" w14:textId="77777777" w:rsidR="003333DF" w:rsidRPr="00AB326D"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AB326D">
        <w:rPr>
          <w:rFonts w:ascii="Times New Roman" w:hAnsi="Times New Roman"/>
          <w:b/>
          <w:szCs w:val="24"/>
        </w:rPr>
        <w:t>That includ</w:t>
      </w:r>
      <w:r w:rsidR="00383C0A" w:rsidRPr="00AB326D">
        <w:rPr>
          <w:rFonts w:ascii="Times New Roman" w:hAnsi="Times New Roman"/>
          <w:b/>
          <w:szCs w:val="24"/>
        </w:rPr>
        <w:t>es a pledge of confidentiality that is not supported by authority established in statute or regulation, that is not supported by dis</w:t>
      </w:r>
      <w:r w:rsidRPr="00AB326D">
        <w:rPr>
          <w:rFonts w:ascii="Times New Roman" w:hAnsi="Times New Roman"/>
          <w:b/>
          <w:szCs w:val="24"/>
        </w:rPr>
        <w:t>closure and data security policies that are consistent wi</w:t>
      </w:r>
      <w:r w:rsidR="00383C0A" w:rsidRPr="00AB326D">
        <w:rPr>
          <w:rFonts w:ascii="Times New Roman" w:hAnsi="Times New Roman"/>
          <w:b/>
          <w:szCs w:val="24"/>
        </w:rPr>
        <w:t>th the pledge, or which unnecessarily impedes shar</w:t>
      </w:r>
      <w:r w:rsidRPr="00AB326D">
        <w:rPr>
          <w:rFonts w:ascii="Times New Roman" w:hAnsi="Times New Roman"/>
          <w:b/>
          <w:szCs w:val="24"/>
        </w:rPr>
        <w:t>ing of d</w:t>
      </w:r>
      <w:r w:rsidR="00383C0A" w:rsidRPr="00AB326D">
        <w:rPr>
          <w:rFonts w:ascii="Times New Roman" w:hAnsi="Times New Roman"/>
          <w:b/>
          <w:szCs w:val="24"/>
        </w:rPr>
        <w:t>ata with other agencies for com</w:t>
      </w:r>
      <w:r w:rsidR="00D3753F" w:rsidRPr="00AB326D">
        <w:rPr>
          <w:rFonts w:ascii="Times New Roman" w:hAnsi="Times New Roman"/>
          <w:b/>
          <w:szCs w:val="24"/>
        </w:rPr>
        <w:t>patible confiden</w:t>
      </w:r>
      <w:r w:rsidRPr="00AB326D">
        <w:rPr>
          <w:rFonts w:ascii="Times New Roman" w:hAnsi="Times New Roman"/>
          <w:b/>
          <w:szCs w:val="24"/>
        </w:rPr>
        <w:t xml:space="preserve">tial use; or </w:t>
      </w:r>
    </w:p>
    <w:p w14:paraId="7E13DFEF" w14:textId="77777777" w:rsidR="003333DF" w:rsidRPr="00AB326D" w:rsidRDefault="003333DF" w:rsidP="0062567E">
      <w:pPr>
        <w:pStyle w:val="BodyText"/>
        <w:numPr>
          <w:ilvl w:val="0"/>
          <w:numId w:val="19"/>
        </w:numPr>
        <w:rPr>
          <w:b w:val="0"/>
          <w:szCs w:val="24"/>
        </w:rPr>
      </w:pPr>
      <w:r w:rsidRPr="00AB326D">
        <w:rPr>
          <w:szCs w:val="24"/>
        </w:rPr>
        <w:t>Requiri</w:t>
      </w:r>
      <w:r w:rsidR="0032533B" w:rsidRPr="00AB326D">
        <w:rPr>
          <w:szCs w:val="24"/>
        </w:rPr>
        <w:t>ng respondents to submit propri</w:t>
      </w:r>
      <w:r w:rsidRPr="00AB326D">
        <w:rPr>
          <w:szCs w:val="24"/>
        </w:rPr>
        <w:t>etary trade secret, or other confidential informat</w:t>
      </w:r>
      <w:r w:rsidR="0032533B" w:rsidRPr="00AB326D">
        <w:rPr>
          <w:szCs w:val="24"/>
        </w:rPr>
        <w:t>ion unless the agency can demon</w:t>
      </w:r>
      <w:r w:rsidRPr="00AB326D">
        <w:rPr>
          <w:szCs w:val="24"/>
        </w:rPr>
        <w:t>strate that it has instituted procedures to protect the information's confidentiali</w:t>
      </w:r>
      <w:r w:rsidR="0032533B" w:rsidRPr="00AB326D">
        <w:rPr>
          <w:szCs w:val="24"/>
        </w:rPr>
        <w:t>ty to the extent permit</w:t>
      </w:r>
      <w:r w:rsidRPr="00AB326D">
        <w:rPr>
          <w:szCs w:val="24"/>
        </w:rPr>
        <w:t>ted by law.</w:t>
      </w:r>
    </w:p>
    <w:p w14:paraId="5B82DAD8" w14:textId="77777777" w:rsidR="003333DF" w:rsidRPr="00AB326D" w:rsidRDefault="003333DF" w:rsidP="00213436">
      <w:pPr>
        <w:tabs>
          <w:tab w:val="left" w:pos="0"/>
        </w:tabs>
        <w:suppressAutoHyphens/>
        <w:rPr>
          <w:rFonts w:ascii="Times New Roman" w:hAnsi="Times New Roman"/>
          <w:szCs w:val="24"/>
        </w:rPr>
      </w:pPr>
    </w:p>
    <w:p w14:paraId="46127699" w14:textId="77777777" w:rsidR="00E11A38" w:rsidRPr="00AB326D" w:rsidRDefault="0071703F" w:rsidP="00E11A38">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special circumstances that cause this information collection to be conducted in a manner that is inconsistent with 5 CFR 1320.5.</w:t>
      </w:r>
    </w:p>
    <w:p w14:paraId="4D5C9529" w14:textId="77777777" w:rsidR="00BE0B08" w:rsidRPr="00AB326D" w:rsidRDefault="00BE0B08" w:rsidP="00BE0B08">
      <w:pPr>
        <w:tabs>
          <w:tab w:val="left" w:pos="0"/>
        </w:tabs>
        <w:suppressAutoHyphens/>
        <w:rPr>
          <w:rFonts w:ascii="Times New Roman" w:hAnsi="Times New Roman"/>
          <w:szCs w:val="24"/>
        </w:rPr>
      </w:pPr>
    </w:p>
    <w:p w14:paraId="73D32DF8" w14:textId="77777777" w:rsidR="00BE0B08" w:rsidRPr="00AB326D" w:rsidRDefault="00BE0B08" w:rsidP="0062567E">
      <w:pPr>
        <w:pStyle w:val="Heading1"/>
        <w:rPr>
          <w:szCs w:val="24"/>
        </w:rPr>
      </w:pPr>
      <w:bookmarkStart w:id="15" w:name="_Toc401831364"/>
      <w:bookmarkStart w:id="16" w:name="_Toc401832408"/>
      <w:r w:rsidRPr="00AB326D">
        <w:rPr>
          <w:szCs w:val="24"/>
        </w:rPr>
        <w:t xml:space="preserve">A8.  </w:t>
      </w:r>
      <w:r w:rsidR="005917B8" w:rsidRPr="00AB326D">
        <w:rPr>
          <w:szCs w:val="24"/>
        </w:rPr>
        <w:t xml:space="preserve">Comments to the Federal Register Notice and efforts </w:t>
      </w:r>
      <w:r w:rsidR="002568E6" w:rsidRPr="00AB326D">
        <w:rPr>
          <w:szCs w:val="24"/>
        </w:rPr>
        <w:t xml:space="preserve">for </w:t>
      </w:r>
      <w:r w:rsidR="005917B8" w:rsidRPr="00AB326D">
        <w:rPr>
          <w:szCs w:val="24"/>
        </w:rPr>
        <w:t>consult</w:t>
      </w:r>
      <w:r w:rsidR="002568E6" w:rsidRPr="00AB326D">
        <w:rPr>
          <w:szCs w:val="24"/>
        </w:rPr>
        <w:t>ation</w:t>
      </w:r>
      <w:r w:rsidR="005917B8" w:rsidRPr="00AB326D">
        <w:rPr>
          <w:szCs w:val="24"/>
        </w:rPr>
        <w:t>.</w:t>
      </w:r>
      <w:bookmarkEnd w:id="15"/>
      <w:bookmarkEnd w:id="16"/>
      <w:r w:rsidRPr="00AB326D">
        <w:rPr>
          <w:szCs w:val="24"/>
        </w:rPr>
        <w:t xml:space="preserve">  </w:t>
      </w:r>
    </w:p>
    <w:p w14:paraId="07976867" w14:textId="77777777" w:rsidR="003333DF" w:rsidRPr="00AB326D" w:rsidRDefault="003333DF" w:rsidP="0062567E">
      <w:pPr>
        <w:rPr>
          <w:rFonts w:ascii="Times New Roman" w:hAnsi="Times New Roman"/>
          <w:b/>
          <w:szCs w:val="24"/>
        </w:rPr>
      </w:pPr>
      <w:r w:rsidRPr="00AB326D">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AB326D">
        <w:rPr>
          <w:rFonts w:ascii="Times New Roman" w:hAnsi="Times New Roman"/>
          <w:b/>
          <w:szCs w:val="24"/>
        </w:rPr>
        <w:tab/>
      </w:r>
    </w:p>
    <w:p w14:paraId="568CDAB5" w14:textId="77777777" w:rsidR="003333DF" w:rsidRPr="00AB326D" w:rsidRDefault="003333DF" w:rsidP="0062567E">
      <w:pPr>
        <w:rPr>
          <w:rFonts w:ascii="Times New Roman" w:hAnsi="Times New Roman"/>
          <w:b/>
          <w:szCs w:val="24"/>
        </w:rPr>
      </w:pPr>
    </w:p>
    <w:p w14:paraId="74AF40CB" w14:textId="77777777" w:rsidR="003333DF" w:rsidRPr="00AB326D" w:rsidRDefault="003333DF" w:rsidP="0062567E">
      <w:pPr>
        <w:rPr>
          <w:rFonts w:ascii="Times New Roman" w:hAnsi="Times New Roman"/>
          <w:b/>
          <w:szCs w:val="24"/>
        </w:rPr>
      </w:pPr>
      <w:r w:rsidRPr="00AB326D">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0255B34C" w14:textId="77777777" w:rsidR="003333DF" w:rsidRPr="00AB326D" w:rsidRDefault="003333DF" w:rsidP="0062567E">
      <w:pPr>
        <w:rPr>
          <w:rFonts w:ascii="Times New Roman" w:hAnsi="Times New Roman"/>
          <w:b/>
          <w:szCs w:val="24"/>
        </w:rPr>
      </w:pPr>
    </w:p>
    <w:p w14:paraId="2CCC0E5A" w14:textId="77777777" w:rsidR="003333DF" w:rsidRPr="00AB326D" w:rsidRDefault="003333DF" w:rsidP="0062567E">
      <w:pPr>
        <w:rPr>
          <w:rFonts w:ascii="Times New Roman" w:hAnsi="Times New Roman"/>
          <w:b/>
          <w:szCs w:val="24"/>
        </w:rPr>
      </w:pPr>
      <w:r w:rsidRPr="00AB326D">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2B4F5ED4" w14:textId="77777777" w:rsidR="00ED28F2" w:rsidRPr="00AB326D" w:rsidRDefault="00ED28F2" w:rsidP="00ED28F2">
      <w:pPr>
        <w:tabs>
          <w:tab w:val="left" w:pos="-720"/>
        </w:tabs>
        <w:suppressAutoHyphens/>
        <w:rPr>
          <w:rFonts w:ascii="Times New Roman" w:hAnsi="Times New Roman"/>
          <w:szCs w:val="24"/>
        </w:rPr>
      </w:pPr>
    </w:p>
    <w:p w14:paraId="23C37C5E" w14:textId="63C1A31C" w:rsidR="0028387F" w:rsidRDefault="0028387F" w:rsidP="0028387F">
      <w:pPr>
        <w:pStyle w:val="NoSpacing"/>
        <w:spacing w:line="480" w:lineRule="auto"/>
      </w:pPr>
      <w:r w:rsidRPr="00CD4CBB">
        <w:t>On May 7, 2019, FNS published the notice in the</w:t>
      </w:r>
      <w:r w:rsidRPr="00CD4CBB">
        <w:rPr>
          <w:i/>
        </w:rPr>
        <w:t xml:space="preserve"> Federal Register</w:t>
      </w:r>
      <w:r w:rsidRPr="00CD4CBB">
        <w:t xml:space="preserve"> (FR) Volume 84, Page 19901.    </w:t>
      </w:r>
      <w:r>
        <w:t>FNS received t</w:t>
      </w:r>
      <w:r w:rsidRPr="00CD4CBB">
        <w:t>wo (2) public comments however the comments were beyond the scope of the information collection.</w:t>
      </w:r>
      <w:r w:rsidR="00B20CBC">
        <w:t xml:space="preserve">  </w:t>
      </w:r>
      <w:r>
        <w:t xml:space="preserve">The following individuals/organizations have been consulted about burden estimates associated with this data collection:  1)Ed Bolen, Center for Public Policy Priorities, </w:t>
      </w:r>
      <w:hyperlink r:id="rId14" w:history="1">
        <w:r w:rsidRPr="007B2E34">
          <w:rPr>
            <w:rStyle w:val="Hyperlink"/>
          </w:rPr>
          <w:t>ed.bolen@cbpp.org</w:t>
        </w:r>
      </w:hyperlink>
      <w:r>
        <w:t xml:space="preserve">; </w:t>
      </w:r>
      <w:r w:rsidRPr="0087035E">
        <w:t xml:space="preserve">2) Kermit Kaleba, National Skills Coalition, </w:t>
      </w:r>
      <w:hyperlink r:id="rId15" w:history="1">
        <w:r w:rsidRPr="00BB6E0A">
          <w:rPr>
            <w:rStyle w:val="Hyperlink"/>
          </w:rPr>
          <w:t>kermitk@nationalskillscoalition.org</w:t>
        </w:r>
      </w:hyperlink>
      <w:r w:rsidRPr="0087035E">
        <w:t>; and 3)David</w:t>
      </w:r>
      <w:r>
        <w:t xml:space="preserve"> Kaz, Seattle Jobs Initiative, </w:t>
      </w:r>
      <w:hyperlink r:id="rId16" w:history="1">
        <w:r w:rsidRPr="007B2E34">
          <w:rPr>
            <w:rStyle w:val="Hyperlink"/>
          </w:rPr>
          <w:t>dkaz@seattlejobsinit.com</w:t>
        </w:r>
      </w:hyperlink>
    </w:p>
    <w:p w14:paraId="56014344" w14:textId="69A0938B" w:rsidR="00DF1907" w:rsidRDefault="00DF1907" w:rsidP="002E33F3">
      <w:pPr>
        <w:tabs>
          <w:tab w:val="left" w:pos="-720"/>
        </w:tabs>
        <w:suppressAutoHyphens/>
        <w:spacing w:line="480" w:lineRule="auto"/>
        <w:rPr>
          <w:rFonts w:ascii="Times New Roman" w:hAnsi="Times New Roman"/>
          <w:szCs w:val="24"/>
        </w:rPr>
      </w:pPr>
    </w:p>
    <w:p w14:paraId="097E7E51" w14:textId="77777777" w:rsidR="00ED28F2" w:rsidRPr="00AB326D" w:rsidRDefault="00ED28F2" w:rsidP="00ED28F2">
      <w:pPr>
        <w:tabs>
          <w:tab w:val="left" w:pos="-720"/>
        </w:tabs>
        <w:suppressAutoHyphens/>
        <w:spacing w:line="480" w:lineRule="auto"/>
        <w:rPr>
          <w:rFonts w:ascii="Times New Roman" w:hAnsi="Times New Roman"/>
          <w:szCs w:val="24"/>
        </w:rPr>
      </w:pPr>
    </w:p>
    <w:p w14:paraId="54C0B181" w14:textId="77777777" w:rsidR="00BE0B08" w:rsidRPr="00AB326D" w:rsidRDefault="00BE0B08" w:rsidP="0062567E">
      <w:pPr>
        <w:pStyle w:val="Heading1"/>
        <w:rPr>
          <w:szCs w:val="24"/>
        </w:rPr>
      </w:pPr>
      <w:bookmarkStart w:id="17" w:name="_Toc401831365"/>
      <w:bookmarkStart w:id="18" w:name="_Toc401832409"/>
      <w:r w:rsidRPr="00AB326D">
        <w:rPr>
          <w:szCs w:val="24"/>
        </w:rPr>
        <w:t>A9.  Explain any decisions to provide any payment or gift to respondents.</w:t>
      </w:r>
      <w:bookmarkEnd w:id="17"/>
      <w:bookmarkEnd w:id="18"/>
      <w:r w:rsidRPr="00AB326D">
        <w:rPr>
          <w:szCs w:val="24"/>
        </w:rPr>
        <w:t xml:space="preserve">  </w:t>
      </w:r>
    </w:p>
    <w:p w14:paraId="7F669806" w14:textId="77777777" w:rsidR="003333DF" w:rsidRPr="00AB326D" w:rsidRDefault="003333DF" w:rsidP="00BE0B08">
      <w:pPr>
        <w:tabs>
          <w:tab w:val="left" w:pos="0"/>
        </w:tabs>
        <w:suppressAutoHyphens/>
        <w:rPr>
          <w:rFonts w:ascii="Times New Roman" w:hAnsi="Times New Roman"/>
          <w:szCs w:val="24"/>
        </w:rPr>
      </w:pPr>
    </w:p>
    <w:p w14:paraId="1DE3092E"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Explain any decision to provide any payment or gift to respondents, other than remuneration of contractors or grantees.</w:t>
      </w:r>
    </w:p>
    <w:p w14:paraId="29E3EBE0" w14:textId="77777777" w:rsidR="00ED28F2" w:rsidRPr="00AB326D" w:rsidRDefault="00ED28F2" w:rsidP="00ED28F2">
      <w:pPr>
        <w:tabs>
          <w:tab w:val="left" w:pos="-720"/>
        </w:tabs>
        <w:suppressAutoHyphens/>
        <w:rPr>
          <w:rFonts w:ascii="Times New Roman" w:hAnsi="Times New Roman"/>
          <w:szCs w:val="24"/>
        </w:rPr>
      </w:pPr>
    </w:p>
    <w:p w14:paraId="27DCB2C3" w14:textId="77777777" w:rsidR="00ED28F2" w:rsidRPr="00AB326D"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No payments or gifts are provided to respondents under this collection.</w:t>
      </w:r>
    </w:p>
    <w:p w14:paraId="58C2BA21" w14:textId="77777777" w:rsidR="00BE0B08" w:rsidRPr="00AB326D" w:rsidRDefault="00BE0B08" w:rsidP="0062567E">
      <w:pPr>
        <w:pStyle w:val="Heading1"/>
        <w:rPr>
          <w:szCs w:val="24"/>
        </w:rPr>
      </w:pPr>
      <w:bookmarkStart w:id="19" w:name="_Toc401831366"/>
      <w:bookmarkStart w:id="20" w:name="_Toc401832410"/>
      <w:r w:rsidRPr="00AB326D">
        <w:rPr>
          <w:szCs w:val="24"/>
        </w:rPr>
        <w:t>A10.  Assurances of confidentiality provided to respondents.</w:t>
      </w:r>
      <w:bookmarkEnd w:id="19"/>
      <w:bookmarkEnd w:id="20"/>
      <w:r w:rsidRPr="00AB326D">
        <w:rPr>
          <w:szCs w:val="24"/>
        </w:rPr>
        <w:t xml:space="preserve">  </w:t>
      </w:r>
    </w:p>
    <w:p w14:paraId="416B7548" w14:textId="77777777" w:rsidR="003333DF" w:rsidRPr="00AB326D" w:rsidRDefault="003333DF" w:rsidP="00BE0B08">
      <w:pPr>
        <w:rPr>
          <w:rFonts w:ascii="Times New Roman" w:hAnsi="Times New Roman"/>
          <w:szCs w:val="24"/>
        </w:rPr>
      </w:pPr>
    </w:p>
    <w:p w14:paraId="527F1735" w14:textId="77777777" w:rsidR="003333DF" w:rsidRPr="00AB326D" w:rsidRDefault="003333DF" w:rsidP="0062567E">
      <w:pPr>
        <w:pStyle w:val="ListParagraph"/>
        <w:spacing w:line="240" w:lineRule="auto"/>
        <w:ind w:left="0"/>
        <w:rPr>
          <w:b/>
          <w:szCs w:val="24"/>
        </w:rPr>
      </w:pPr>
      <w:r w:rsidRPr="00AB326D">
        <w:rPr>
          <w:b/>
          <w:szCs w:val="24"/>
        </w:rPr>
        <w:t>Describe any assurance of confidentiality provided to respondents and the basis for the assurance in statute, regulation, or agency policy.</w:t>
      </w:r>
    </w:p>
    <w:p w14:paraId="70AA341A" w14:textId="77777777" w:rsidR="003333DF" w:rsidRPr="00AB326D" w:rsidRDefault="003333DF" w:rsidP="00BE0B08">
      <w:pPr>
        <w:rPr>
          <w:rFonts w:ascii="Times New Roman" w:hAnsi="Times New Roman"/>
          <w:szCs w:val="24"/>
        </w:rPr>
      </w:pPr>
    </w:p>
    <w:p w14:paraId="4C9DC035" w14:textId="77777777" w:rsidR="00C14486" w:rsidRPr="00AB326D" w:rsidRDefault="00BC7A74" w:rsidP="00C14486">
      <w:pPr>
        <w:tabs>
          <w:tab w:val="left" w:pos="-720"/>
        </w:tabs>
        <w:suppressAutoHyphens/>
        <w:spacing w:after="240" w:line="480" w:lineRule="auto"/>
        <w:rPr>
          <w:rFonts w:ascii="Times New Roman" w:hAnsi="Times New Roman"/>
          <w:szCs w:val="24"/>
        </w:rPr>
      </w:pPr>
      <w:r w:rsidRPr="00AB326D">
        <w:rPr>
          <w:rFonts w:ascii="Times New Roman" w:hAnsi="Times New Roman"/>
          <w:szCs w:val="24"/>
        </w:rPr>
        <w:t>FNS does not offer any assurance of confidentiality to the respondents.</w:t>
      </w:r>
    </w:p>
    <w:p w14:paraId="5AE38758" w14:textId="77777777" w:rsidR="00A308DB" w:rsidRPr="00AB326D" w:rsidRDefault="00BE0B08" w:rsidP="0062567E">
      <w:pPr>
        <w:pStyle w:val="Heading1"/>
        <w:rPr>
          <w:szCs w:val="24"/>
        </w:rPr>
      </w:pPr>
      <w:bookmarkStart w:id="21" w:name="_Toc401831367"/>
      <w:bookmarkStart w:id="22" w:name="_Toc401832411"/>
      <w:r w:rsidRPr="00AB326D">
        <w:rPr>
          <w:szCs w:val="24"/>
        </w:rPr>
        <w:t>A11.  Justification for any questions of a sensitive nature.</w:t>
      </w:r>
      <w:bookmarkEnd w:id="21"/>
      <w:bookmarkEnd w:id="22"/>
      <w:r w:rsidRPr="00AB326D">
        <w:rPr>
          <w:szCs w:val="24"/>
        </w:rPr>
        <w:t xml:space="preserve">  </w:t>
      </w:r>
      <w:r w:rsidR="005A3F80" w:rsidRPr="00AB326D">
        <w:rPr>
          <w:szCs w:val="24"/>
        </w:rPr>
        <w:t xml:space="preserve">  </w:t>
      </w:r>
    </w:p>
    <w:p w14:paraId="65CC2FDB" w14:textId="77777777" w:rsidR="003333DF" w:rsidRPr="00AB326D" w:rsidRDefault="003333DF" w:rsidP="00BE0B08">
      <w:pPr>
        <w:tabs>
          <w:tab w:val="left" w:pos="0"/>
        </w:tabs>
        <w:suppressAutoHyphens/>
        <w:rPr>
          <w:rFonts w:ascii="Times New Roman" w:hAnsi="Times New Roman"/>
          <w:b/>
          <w:szCs w:val="24"/>
        </w:rPr>
      </w:pPr>
      <w:r w:rsidRPr="00AB326D">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554CC2F" w14:textId="77777777" w:rsidR="00ED28F2" w:rsidRPr="00AB326D" w:rsidRDefault="00ED28F2" w:rsidP="00ED28F2">
      <w:pPr>
        <w:tabs>
          <w:tab w:val="left" w:pos="-720"/>
        </w:tabs>
        <w:suppressAutoHyphens/>
        <w:rPr>
          <w:rFonts w:ascii="Times New Roman" w:hAnsi="Times New Roman"/>
          <w:szCs w:val="24"/>
        </w:rPr>
      </w:pPr>
    </w:p>
    <w:p w14:paraId="094CDD25" w14:textId="77777777" w:rsidR="009B37C9" w:rsidRPr="009B37C9" w:rsidRDefault="009B37C9" w:rsidP="009B37C9">
      <w:pPr>
        <w:widowControl/>
        <w:rPr>
          <w:rFonts w:ascii="Times New Roman" w:hAnsi="Times New Roman"/>
        </w:rPr>
      </w:pPr>
      <w:bookmarkStart w:id="23" w:name="_Toc401831368"/>
      <w:bookmarkStart w:id="24" w:name="_Toc401832412"/>
      <w:r w:rsidRPr="009B37C9">
        <w:rPr>
          <w:rFonts w:ascii="Times New Roman" w:hAnsi="Times New Roman"/>
        </w:rPr>
        <w:t>There are no sensitive questions involved in this information collection.</w:t>
      </w:r>
    </w:p>
    <w:p w14:paraId="0E48C44C" w14:textId="77777777" w:rsidR="009B37C9" w:rsidRDefault="009B37C9" w:rsidP="0062567E">
      <w:pPr>
        <w:pStyle w:val="Heading1"/>
        <w:rPr>
          <w:szCs w:val="24"/>
        </w:rPr>
      </w:pPr>
    </w:p>
    <w:p w14:paraId="44A574D8" w14:textId="0FC4DC6C" w:rsidR="000438E8" w:rsidRPr="00AB326D" w:rsidRDefault="000438E8" w:rsidP="0062567E">
      <w:pPr>
        <w:pStyle w:val="Heading1"/>
        <w:rPr>
          <w:szCs w:val="24"/>
        </w:rPr>
      </w:pPr>
      <w:r w:rsidRPr="00AB326D">
        <w:rPr>
          <w:szCs w:val="24"/>
        </w:rPr>
        <w:t>A12.  Estimates of the hour burden of the collection of information.</w:t>
      </w:r>
      <w:bookmarkEnd w:id="23"/>
      <w:bookmarkEnd w:id="24"/>
      <w:r w:rsidRPr="00AB326D">
        <w:rPr>
          <w:szCs w:val="24"/>
        </w:rPr>
        <w:t xml:space="preserve">  </w:t>
      </w:r>
    </w:p>
    <w:p w14:paraId="1A8048E8" w14:textId="77777777" w:rsidR="003333DF" w:rsidRPr="00AB326D" w:rsidRDefault="003333DF" w:rsidP="000438E8">
      <w:pPr>
        <w:tabs>
          <w:tab w:val="left" w:pos="0"/>
        </w:tabs>
        <w:suppressAutoHyphens/>
        <w:rPr>
          <w:rFonts w:ascii="Times New Roman" w:hAnsi="Times New Roman"/>
          <w:b/>
          <w:szCs w:val="24"/>
        </w:rPr>
      </w:pPr>
    </w:p>
    <w:p w14:paraId="4679A155" w14:textId="77777777" w:rsidR="003333DF" w:rsidRPr="00AB326D" w:rsidRDefault="003333DF"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14:paraId="432F046F" w14:textId="77777777" w:rsidR="003333DF" w:rsidRPr="00AB326D" w:rsidRDefault="003333DF" w:rsidP="000438E8">
      <w:pPr>
        <w:tabs>
          <w:tab w:val="left" w:pos="0"/>
        </w:tabs>
        <w:suppressAutoHyphens/>
        <w:rPr>
          <w:rFonts w:ascii="Times New Roman" w:hAnsi="Times New Roman"/>
          <w:b/>
          <w:szCs w:val="24"/>
        </w:rPr>
      </w:pPr>
    </w:p>
    <w:p w14:paraId="7DC9E5E5" w14:textId="77777777" w:rsidR="003333DF" w:rsidRPr="00AB326D" w:rsidRDefault="003333DF" w:rsidP="003333DF">
      <w:pPr>
        <w:tabs>
          <w:tab w:val="left" w:pos="0"/>
        </w:tabs>
        <w:suppressAutoHyphens/>
        <w:rPr>
          <w:rFonts w:ascii="Times New Roman" w:hAnsi="Times New Roman"/>
          <w:b/>
          <w:szCs w:val="24"/>
        </w:rPr>
      </w:pPr>
      <w:r w:rsidRPr="00AB326D">
        <w:rPr>
          <w:rFonts w:ascii="Times New Roman" w:hAnsi="Times New Roman"/>
          <w:b/>
          <w:szCs w:val="24"/>
        </w:rPr>
        <w:t>A.</w:t>
      </w:r>
      <w:r w:rsidRPr="00AB326D">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5857EA6" w14:textId="77777777" w:rsidR="00ED28F2" w:rsidRPr="00AB326D" w:rsidRDefault="00ED28F2" w:rsidP="00ED28F2">
      <w:pPr>
        <w:tabs>
          <w:tab w:val="left" w:pos="-720"/>
        </w:tabs>
        <w:suppressAutoHyphens/>
        <w:rPr>
          <w:rFonts w:ascii="Times New Roman" w:hAnsi="Times New Roman"/>
          <w:szCs w:val="24"/>
        </w:rPr>
      </w:pPr>
    </w:p>
    <w:p w14:paraId="34571B69" w14:textId="7F3AFC0E" w:rsidR="009B37C9" w:rsidRPr="009B37C9" w:rsidRDefault="009B37C9" w:rsidP="009B37C9">
      <w:pPr>
        <w:widowControl/>
        <w:overflowPunct/>
        <w:autoSpaceDE/>
        <w:autoSpaceDN/>
        <w:adjustRightInd/>
        <w:spacing w:line="480" w:lineRule="auto"/>
        <w:textAlignment w:val="auto"/>
        <w:rPr>
          <w:rFonts w:ascii="Times New Roman" w:hAnsi="Times New Roman"/>
          <w:szCs w:val="24"/>
        </w:rPr>
      </w:pPr>
      <w:r w:rsidRPr="009B37C9">
        <w:rPr>
          <w:rFonts w:ascii="Times New Roman" w:hAnsi="Times New Roman"/>
          <w:szCs w:val="24"/>
        </w:rPr>
        <w:t>State agencies will continue to use a combination of methods to collect the outcome data, including existing automated data systems, sampling methods, and some direct contact with SNAP E&amp;T participants.  FNS estimates that the ongoing burden will average no more than 231 hours annually per State on average</w:t>
      </w:r>
      <w:r w:rsidR="00FC1F4A">
        <w:rPr>
          <w:rFonts w:ascii="Times New Roman" w:hAnsi="Times New Roman"/>
          <w:szCs w:val="24"/>
        </w:rPr>
        <w:t>, or</w:t>
      </w:r>
      <w:r w:rsidRPr="009B37C9">
        <w:rPr>
          <w:rFonts w:ascii="Times New Roman" w:hAnsi="Times New Roman"/>
          <w:bCs/>
          <w:color w:val="000000"/>
          <w:szCs w:val="24"/>
        </w:rPr>
        <w:t>12,233</w:t>
      </w:r>
      <w:r w:rsidRPr="009B37C9">
        <w:rPr>
          <w:rFonts w:ascii="Times New Roman" w:hAnsi="Times New Roman"/>
          <w:b/>
          <w:color w:val="000000"/>
          <w:szCs w:val="24"/>
        </w:rPr>
        <w:t xml:space="preserve"> </w:t>
      </w:r>
      <w:r w:rsidRPr="009B37C9">
        <w:rPr>
          <w:rFonts w:ascii="Times New Roman" w:hAnsi="Times New Roman"/>
          <w:szCs w:val="24"/>
        </w:rPr>
        <w:t>hours per year for all States)</w:t>
      </w:r>
      <w:r w:rsidR="00842A2A">
        <w:rPr>
          <w:rFonts w:ascii="Times New Roman" w:hAnsi="Times New Roman"/>
          <w:szCs w:val="24"/>
        </w:rPr>
        <w:t>.</w:t>
      </w:r>
      <w:r w:rsidRPr="009B37C9">
        <w:rPr>
          <w:rFonts w:ascii="Times New Roman" w:hAnsi="Times New Roman"/>
          <w:szCs w:val="24"/>
        </w:rPr>
        <w:t xml:space="preserve">The breakdown of the 231 hours is itemized in the table below.  FNS believes this estimate may be somewhat high since data that can be collected through automated data systems is expected to require less time than data collected through direct contact with SNAP E&amp;T participants.  </w:t>
      </w:r>
    </w:p>
    <w:tbl>
      <w:tblPr>
        <w:tblpPr w:leftFromText="180" w:rightFromText="180" w:vertAnchor="text" w:horzAnchor="margin" w:tblpXSpec="center" w:tblpY="398"/>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182"/>
        <w:gridCol w:w="1523"/>
        <w:gridCol w:w="1083"/>
        <w:gridCol w:w="1270"/>
        <w:gridCol w:w="1742"/>
        <w:gridCol w:w="1176"/>
      </w:tblGrid>
      <w:tr w:rsidR="009B37C9" w:rsidRPr="009B37C9" w14:paraId="3DC3F7B4" w14:textId="77777777" w:rsidTr="00F52FA2">
        <w:trPr>
          <w:trHeight w:val="620"/>
        </w:trPr>
        <w:tc>
          <w:tcPr>
            <w:tcW w:w="10879" w:type="dxa"/>
            <w:gridSpan w:val="7"/>
            <w:shd w:val="clear" w:color="auto" w:fill="auto"/>
            <w:vAlign w:val="center"/>
            <w:hideMark/>
          </w:tcPr>
          <w:p w14:paraId="0CC35C98" w14:textId="77777777" w:rsidR="009B37C9" w:rsidRPr="009B37C9" w:rsidRDefault="009B37C9" w:rsidP="009B37C9">
            <w:pPr>
              <w:widowControl/>
              <w:overflowPunct/>
              <w:autoSpaceDE/>
              <w:autoSpaceDN/>
              <w:adjustRightInd/>
              <w:jc w:val="center"/>
              <w:textAlignment w:val="auto"/>
              <w:rPr>
                <w:rFonts w:ascii="Times New Roman" w:hAnsi="Times New Roman"/>
                <w:b/>
                <w:bCs/>
                <w:szCs w:val="24"/>
              </w:rPr>
            </w:pPr>
            <w:r w:rsidRPr="009B37C9">
              <w:rPr>
                <w:rFonts w:ascii="Times New Roman" w:hAnsi="Times New Roman"/>
                <w:b/>
                <w:bCs/>
                <w:szCs w:val="24"/>
              </w:rPr>
              <w:t>Estimated Ongoing Reporting and Recordkeeping Burden Hours</w:t>
            </w:r>
          </w:p>
        </w:tc>
      </w:tr>
      <w:tr w:rsidR="009B37C9" w:rsidRPr="009B37C9" w14:paraId="3F0E1098" w14:textId="77777777" w:rsidTr="00F52FA2">
        <w:trPr>
          <w:trHeight w:val="1035"/>
        </w:trPr>
        <w:tc>
          <w:tcPr>
            <w:tcW w:w="1903" w:type="dxa"/>
            <w:shd w:val="clear" w:color="auto" w:fill="auto"/>
            <w:hideMark/>
          </w:tcPr>
          <w:p w14:paraId="22028EFB"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Regulation Section</w:t>
            </w:r>
          </w:p>
        </w:tc>
        <w:tc>
          <w:tcPr>
            <w:tcW w:w="2182" w:type="dxa"/>
            <w:shd w:val="clear" w:color="auto" w:fill="auto"/>
            <w:hideMark/>
          </w:tcPr>
          <w:p w14:paraId="5733FDD0"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Description of Activity</w:t>
            </w:r>
          </w:p>
        </w:tc>
        <w:tc>
          <w:tcPr>
            <w:tcW w:w="1523" w:type="dxa"/>
            <w:shd w:val="clear" w:color="auto" w:fill="auto"/>
            <w:hideMark/>
          </w:tcPr>
          <w:p w14:paraId="009CEB1C"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Number of Respondents </w:t>
            </w:r>
          </w:p>
        </w:tc>
        <w:tc>
          <w:tcPr>
            <w:tcW w:w="1083" w:type="dxa"/>
            <w:shd w:val="clear" w:color="auto" w:fill="auto"/>
            <w:hideMark/>
          </w:tcPr>
          <w:p w14:paraId="1EF43CC8"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Annual Report/</w:t>
            </w:r>
          </w:p>
          <w:p w14:paraId="1ACC938F"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Record Filed </w:t>
            </w:r>
          </w:p>
        </w:tc>
        <w:tc>
          <w:tcPr>
            <w:tcW w:w="1270" w:type="dxa"/>
            <w:shd w:val="clear" w:color="auto" w:fill="auto"/>
            <w:hideMark/>
          </w:tcPr>
          <w:p w14:paraId="35459E31"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Total Annual Responses </w:t>
            </w:r>
          </w:p>
        </w:tc>
        <w:tc>
          <w:tcPr>
            <w:tcW w:w="1742" w:type="dxa"/>
            <w:shd w:val="clear" w:color="auto" w:fill="auto"/>
            <w:hideMark/>
          </w:tcPr>
          <w:p w14:paraId="4AD299B3"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Average Burden Hours Per Response </w:t>
            </w:r>
          </w:p>
        </w:tc>
        <w:tc>
          <w:tcPr>
            <w:tcW w:w="1176" w:type="dxa"/>
            <w:shd w:val="clear" w:color="auto" w:fill="auto"/>
            <w:hideMark/>
          </w:tcPr>
          <w:p w14:paraId="0C5F4CB2"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Total Burden Hours </w:t>
            </w:r>
          </w:p>
        </w:tc>
      </w:tr>
      <w:tr w:rsidR="009B37C9" w:rsidRPr="009B37C9" w14:paraId="6229C5DF" w14:textId="77777777" w:rsidTr="00F52FA2">
        <w:trPr>
          <w:trHeight w:val="1035"/>
        </w:trPr>
        <w:tc>
          <w:tcPr>
            <w:tcW w:w="1903" w:type="dxa"/>
            <w:shd w:val="clear" w:color="auto" w:fill="auto"/>
          </w:tcPr>
          <w:p w14:paraId="199F7F72"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 xml:space="preserve">272.1(f) Recordkeeping </w:t>
            </w:r>
          </w:p>
        </w:tc>
        <w:tc>
          <w:tcPr>
            <w:tcW w:w="2182" w:type="dxa"/>
            <w:shd w:val="clear" w:color="auto" w:fill="auto"/>
            <w:vAlign w:val="bottom"/>
          </w:tcPr>
          <w:p w14:paraId="16E9054B" w14:textId="77777777" w:rsidR="009B37C9" w:rsidRPr="009B37C9" w:rsidRDefault="009B37C9" w:rsidP="009B37C9">
            <w:pPr>
              <w:widowControl/>
              <w:overflowPunct/>
              <w:autoSpaceDE/>
              <w:autoSpaceDN/>
              <w:adjustRightInd/>
              <w:textAlignment w:val="auto"/>
              <w:rPr>
                <w:rFonts w:ascii="Times New Roman" w:hAnsi="Times New Roman"/>
                <w:b/>
                <w:bCs/>
                <w:szCs w:val="24"/>
              </w:rPr>
            </w:pPr>
          </w:p>
        </w:tc>
        <w:tc>
          <w:tcPr>
            <w:tcW w:w="1523" w:type="dxa"/>
            <w:shd w:val="clear" w:color="auto" w:fill="auto"/>
          </w:tcPr>
          <w:p w14:paraId="047CCFAA"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color w:val="000000"/>
                <w:szCs w:val="24"/>
              </w:rPr>
              <w:t>53</w:t>
            </w:r>
          </w:p>
        </w:tc>
        <w:tc>
          <w:tcPr>
            <w:tcW w:w="1083" w:type="dxa"/>
            <w:shd w:val="clear" w:color="auto" w:fill="auto"/>
          </w:tcPr>
          <w:p w14:paraId="43374FD3"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color w:val="000000"/>
                <w:szCs w:val="24"/>
              </w:rPr>
              <w:t>1</w:t>
            </w:r>
          </w:p>
        </w:tc>
        <w:tc>
          <w:tcPr>
            <w:tcW w:w="1270" w:type="dxa"/>
            <w:shd w:val="clear" w:color="auto" w:fill="auto"/>
          </w:tcPr>
          <w:p w14:paraId="3BFE2BCB"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color w:val="000000"/>
                <w:szCs w:val="24"/>
              </w:rPr>
              <w:t>53</w:t>
            </w:r>
          </w:p>
        </w:tc>
        <w:tc>
          <w:tcPr>
            <w:tcW w:w="1742" w:type="dxa"/>
            <w:shd w:val="clear" w:color="auto" w:fill="auto"/>
          </w:tcPr>
          <w:p w14:paraId="20E2D1EE"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color w:val="000000"/>
                <w:szCs w:val="24"/>
              </w:rPr>
              <w:t>1</w:t>
            </w:r>
          </w:p>
        </w:tc>
        <w:tc>
          <w:tcPr>
            <w:tcW w:w="1176" w:type="dxa"/>
            <w:shd w:val="clear" w:color="auto" w:fill="auto"/>
          </w:tcPr>
          <w:p w14:paraId="389C605E"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color w:val="000000"/>
                <w:szCs w:val="24"/>
              </w:rPr>
              <w:t>53</w:t>
            </w:r>
          </w:p>
        </w:tc>
      </w:tr>
      <w:tr w:rsidR="009B37C9" w:rsidRPr="009B37C9" w14:paraId="4D287614" w14:textId="77777777" w:rsidTr="00F52FA2">
        <w:trPr>
          <w:trHeight w:val="619"/>
        </w:trPr>
        <w:tc>
          <w:tcPr>
            <w:tcW w:w="1903" w:type="dxa"/>
            <w:shd w:val="clear" w:color="auto" w:fill="auto"/>
            <w:noWrap/>
            <w:hideMark/>
          </w:tcPr>
          <w:p w14:paraId="7798E00A"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273.7(c)(17)(i)</w:t>
            </w:r>
          </w:p>
          <w:p w14:paraId="3ED7CC47"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Reporting</w:t>
            </w:r>
          </w:p>
        </w:tc>
        <w:tc>
          <w:tcPr>
            <w:tcW w:w="2182" w:type="dxa"/>
            <w:shd w:val="clear" w:color="auto" w:fill="auto"/>
            <w:vAlign w:val="bottom"/>
            <w:hideMark/>
          </w:tcPr>
          <w:p w14:paraId="77C4A851"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szCs w:val="24"/>
              </w:rPr>
              <w:t xml:space="preserve">E&amp;T participants who have earnings in the second quarter after completion of E&amp;T </w:t>
            </w:r>
          </w:p>
        </w:tc>
        <w:tc>
          <w:tcPr>
            <w:tcW w:w="1523" w:type="dxa"/>
            <w:shd w:val="clear" w:color="auto" w:fill="auto"/>
            <w:noWrap/>
            <w:hideMark/>
          </w:tcPr>
          <w:p w14:paraId="4E7A142D"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083" w:type="dxa"/>
            <w:shd w:val="clear" w:color="auto" w:fill="auto"/>
            <w:noWrap/>
            <w:hideMark/>
          </w:tcPr>
          <w:p w14:paraId="3C64D9CA"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w:t>
            </w:r>
          </w:p>
        </w:tc>
        <w:tc>
          <w:tcPr>
            <w:tcW w:w="1270" w:type="dxa"/>
            <w:shd w:val="clear" w:color="auto" w:fill="auto"/>
            <w:noWrap/>
            <w:hideMark/>
          </w:tcPr>
          <w:p w14:paraId="0403F340"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742" w:type="dxa"/>
            <w:shd w:val="clear" w:color="auto" w:fill="auto"/>
            <w:noWrap/>
            <w:hideMark/>
          </w:tcPr>
          <w:p w14:paraId="2697A210"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40</w:t>
            </w:r>
          </w:p>
        </w:tc>
        <w:tc>
          <w:tcPr>
            <w:tcW w:w="1176" w:type="dxa"/>
            <w:shd w:val="clear" w:color="auto" w:fill="auto"/>
            <w:noWrap/>
            <w:hideMark/>
          </w:tcPr>
          <w:p w14:paraId="2231020D"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2120</w:t>
            </w:r>
          </w:p>
        </w:tc>
      </w:tr>
      <w:tr w:rsidR="009B37C9" w:rsidRPr="009B37C9" w14:paraId="6E4B6976" w14:textId="77777777" w:rsidTr="00F52FA2">
        <w:trPr>
          <w:trHeight w:val="610"/>
        </w:trPr>
        <w:tc>
          <w:tcPr>
            <w:tcW w:w="1903" w:type="dxa"/>
            <w:shd w:val="clear" w:color="auto" w:fill="auto"/>
            <w:noWrap/>
            <w:hideMark/>
          </w:tcPr>
          <w:p w14:paraId="2446B070"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273.7(c)(17)(ii)  Reporting</w:t>
            </w:r>
          </w:p>
        </w:tc>
        <w:tc>
          <w:tcPr>
            <w:tcW w:w="2182" w:type="dxa"/>
            <w:shd w:val="clear" w:color="auto" w:fill="auto"/>
            <w:hideMark/>
          </w:tcPr>
          <w:p w14:paraId="46EB83FE"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szCs w:val="24"/>
              </w:rPr>
              <w:t xml:space="preserve">E&amp;T participants who have earnings in the fourth quarter after completion of E&amp;T </w:t>
            </w:r>
          </w:p>
        </w:tc>
        <w:tc>
          <w:tcPr>
            <w:tcW w:w="1523" w:type="dxa"/>
            <w:shd w:val="clear" w:color="auto" w:fill="auto"/>
            <w:noWrap/>
            <w:hideMark/>
          </w:tcPr>
          <w:p w14:paraId="54336FCE"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083" w:type="dxa"/>
            <w:shd w:val="clear" w:color="auto" w:fill="auto"/>
            <w:noWrap/>
            <w:hideMark/>
          </w:tcPr>
          <w:p w14:paraId="54550515"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w:t>
            </w:r>
          </w:p>
        </w:tc>
        <w:tc>
          <w:tcPr>
            <w:tcW w:w="1270" w:type="dxa"/>
            <w:shd w:val="clear" w:color="auto" w:fill="auto"/>
            <w:noWrap/>
            <w:hideMark/>
          </w:tcPr>
          <w:p w14:paraId="5CB0C8E6"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742" w:type="dxa"/>
            <w:shd w:val="clear" w:color="auto" w:fill="auto"/>
            <w:noWrap/>
            <w:hideMark/>
          </w:tcPr>
          <w:p w14:paraId="05180A55"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40</w:t>
            </w:r>
          </w:p>
        </w:tc>
        <w:tc>
          <w:tcPr>
            <w:tcW w:w="1176" w:type="dxa"/>
            <w:shd w:val="clear" w:color="auto" w:fill="auto"/>
            <w:noWrap/>
            <w:hideMark/>
          </w:tcPr>
          <w:p w14:paraId="06510C24"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2120</w:t>
            </w:r>
          </w:p>
        </w:tc>
      </w:tr>
      <w:tr w:rsidR="009B37C9" w:rsidRPr="009B37C9" w14:paraId="0DA987F6" w14:textId="77777777" w:rsidTr="00F52FA2">
        <w:trPr>
          <w:trHeight w:val="637"/>
        </w:trPr>
        <w:tc>
          <w:tcPr>
            <w:tcW w:w="1903" w:type="dxa"/>
            <w:shd w:val="clear" w:color="auto" w:fill="auto"/>
            <w:noWrap/>
            <w:hideMark/>
          </w:tcPr>
          <w:p w14:paraId="5E19D066"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273.7(c)(17)(iii)  Reporting</w:t>
            </w:r>
          </w:p>
        </w:tc>
        <w:tc>
          <w:tcPr>
            <w:tcW w:w="2182" w:type="dxa"/>
            <w:shd w:val="clear" w:color="auto" w:fill="auto"/>
            <w:hideMark/>
          </w:tcPr>
          <w:p w14:paraId="1F5CAEB3"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szCs w:val="24"/>
              </w:rPr>
              <w:t>Median quarterly earnings</w:t>
            </w:r>
          </w:p>
        </w:tc>
        <w:tc>
          <w:tcPr>
            <w:tcW w:w="1523" w:type="dxa"/>
            <w:shd w:val="clear" w:color="auto" w:fill="auto"/>
            <w:noWrap/>
            <w:hideMark/>
          </w:tcPr>
          <w:p w14:paraId="41A6D41B"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083" w:type="dxa"/>
            <w:shd w:val="clear" w:color="auto" w:fill="auto"/>
            <w:noWrap/>
            <w:hideMark/>
          </w:tcPr>
          <w:p w14:paraId="3823E9CC"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w:t>
            </w:r>
          </w:p>
        </w:tc>
        <w:tc>
          <w:tcPr>
            <w:tcW w:w="1270" w:type="dxa"/>
            <w:shd w:val="clear" w:color="auto" w:fill="auto"/>
            <w:noWrap/>
            <w:hideMark/>
          </w:tcPr>
          <w:p w14:paraId="54CD16B8"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742" w:type="dxa"/>
            <w:shd w:val="clear" w:color="auto" w:fill="auto"/>
            <w:noWrap/>
            <w:hideMark/>
          </w:tcPr>
          <w:p w14:paraId="5AED61FD"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40</w:t>
            </w:r>
          </w:p>
        </w:tc>
        <w:tc>
          <w:tcPr>
            <w:tcW w:w="1176" w:type="dxa"/>
            <w:shd w:val="clear" w:color="auto" w:fill="auto"/>
            <w:noWrap/>
            <w:hideMark/>
          </w:tcPr>
          <w:p w14:paraId="5FD51C3F"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2120</w:t>
            </w:r>
          </w:p>
        </w:tc>
      </w:tr>
      <w:tr w:rsidR="009B37C9" w:rsidRPr="009B37C9" w14:paraId="3F306383" w14:textId="77777777" w:rsidTr="00F52FA2">
        <w:trPr>
          <w:trHeight w:val="780"/>
        </w:trPr>
        <w:tc>
          <w:tcPr>
            <w:tcW w:w="1903" w:type="dxa"/>
            <w:shd w:val="clear" w:color="auto" w:fill="auto"/>
            <w:noWrap/>
            <w:hideMark/>
          </w:tcPr>
          <w:p w14:paraId="3BD1B17F"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273.7(c)(17)(iv)  Reporting</w:t>
            </w:r>
          </w:p>
        </w:tc>
        <w:tc>
          <w:tcPr>
            <w:tcW w:w="2182" w:type="dxa"/>
            <w:shd w:val="clear" w:color="auto" w:fill="auto"/>
            <w:hideMark/>
          </w:tcPr>
          <w:p w14:paraId="769339C3"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szCs w:val="24"/>
              </w:rPr>
              <w:t>E&amp;T participants that completed a training, educational, work experience or an on-the-job training component within 6 months after completion of participation in E&amp;T</w:t>
            </w:r>
            <w:r w:rsidRPr="009B37C9" w:rsidDel="00455922">
              <w:rPr>
                <w:rFonts w:ascii="Times New Roman" w:hAnsi="Times New Roman"/>
                <w:szCs w:val="24"/>
              </w:rPr>
              <w:t xml:space="preserve"> </w:t>
            </w:r>
          </w:p>
        </w:tc>
        <w:tc>
          <w:tcPr>
            <w:tcW w:w="1523" w:type="dxa"/>
            <w:shd w:val="clear" w:color="auto" w:fill="auto"/>
            <w:noWrap/>
            <w:hideMark/>
          </w:tcPr>
          <w:p w14:paraId="091BEBDF"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 xml:space="preserve">45 </w:t>
            </w:r>
          </w:p>
        </w:tc>
        <w:tc>
          <w:tcPr>
            <w:tcW w:w="1083" w:type="dxa"/>
            <w:shd w:val="clear" w:color="auto" w:fill="auto"/>
            <w:noWrap/>
            <w:hideMark/>
          </w:tcPr>
          <w:p w14:paraId="0F349192"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w:t>
            </w:r>
          </w:p>
        </w:tc>
        <w:tc>
          <w:tcPr>
            <w:tcW w:w="1270" w:type="dxa"/>
            <w:shd w:val="clear" w:color="auto" w:fill="auto"/>
            <w:noWrap/>
            <w:hideMark/>
          </w:tcPr>
          <w:p w14:paraId="6EC1536C"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45</w:t>
            </w:r>
          </w:p>
        </w:tc>
        <w:tc>
          <w:tcPr>
            <w:tcW w:w="1742" w:type="dxa"/>
            <w:shd w:val="clear" w:color="auto" w:fill="auto"/>
            <w:noWrap/>
            <w:hideMark/>
          </w:tcPr>
          <w:p w14:paraId="09AA37B8"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80</w:t>
            </w:r>
          </w:p>
        </w:tc>
        <w:tc>
          <w:tcPr>
            <w:tcW w:w="1176" w:type="dxa"/>
            <w:shd w:val="clear" w:color="auto" w:fill="auto"/>
            <w:noWrap/>
            <w:hideMark/>
          </w:tcPr>
          <w:p w14:paraId="62284D75"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3600</w:t>
            </w:r>
          </w:p>
        </w:tc>
      </w:tr>
      <w:tr w:rsidR="009B37C9" w:rsidRPr="009B37C9" w14:paraId="484D261A" w14:textId="77777777" w:rsidTr="00F52FA2">
        <w:trPr>
          <w:trHeight w:val="961"/>
        </w:trPr>
        <w:tc>
          <w:tcPr>
            <w:tcW w:w="1903" w:type="dxa"/>
            <w:shd w:val="clear" w:color="auto" w:fill="auto"/>
            <w:noWrap/>
            <w:hideMark/>
          </w:tcPr>
          <w:p w14:paraId="3E66628B"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273.7(c)(17)(v) &amp; (vi)  Reporting</w:t>
            </w:r>
          </w:p>
        </w:tc>
        <w:tc>
          <w:tcPr>
            <w:tcW w:w="2182" w:type="dxa"/>
            <w:shd w:val="clear" w:color="auto" w:fill="auto"/>
            <w:hideMark/>
          </w:tcPr>
          <w:p w14:paraId="78DF530C"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szCs w:val="24"/>
              </w:rPr>
              <w:t>Characteristics of  E&amp;T participants, some broken out by 4 above measures</w:t>
            </w:r>
          </w:p>
        </w:tc>
        <w:tc>
          <w:tcPr>
            <w:tcW w:w="1523" w:type="dxa"/>
            <w:shd w:val="clear" w:color="auto" w:fill="auto"/>
            <w:noWrap/>
            <w:hideMark/>
          </w:tcPr>
          <w:p w14:paraId="2A81EA6C"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083" w:type="dxa"/>
            <w:shd w:val="clear" w:color="auto" w:fill="auto"/>
            <w:noWrap/>
            <w:hideMark/>
          </w:tcPr>
          <w:p w14:paraId="550AFCD6"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w:t>
            </w:r>
          </w:p>
        </w:tc>
        <w:tc>
          <w:tcPr>
            <w:tcW w:w="1270" w:type="dxa"/>
            <w:shd w:val="clear" w:color="auto" w:fill="auto"/>
            <w:noWrap/>
            <w:hideMark/>
          </w:tcPr>
          <w:p w14:paraId="21928226"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53</w:t>
            </w:r>
          </w:p>
        </w:tc>
        <w:tc>
          <w:tcPr>
            <w:tcW w:w="1742" w:type="dxa"/>
            <w:shd w:val="clear" w:color="auto" w:fill="auto"/>
            <w:noWrap/>
            <w:hideMark/>
          </w:tcPr>
          <w:p w14:paraId="0C97AE92"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20</w:t>
            </w:r>
          </w:p>
        </w:tc>
        <w:tc>
          <w:tcPr>
            <w:tcW w:w="1176" w:type="dxa"/>
            <w:shd w:val="clear" w:color="auto" w:fill="auto"/>
            <w:noWrap/>
            <w:hideMark/>
          </w:tcPr>
          <w:p w14:paraId="3210C472" w14:textId="77777777" w:rsidR="009B37C9" w:rsidRPr="009B37C9" w:rsidRDefault="009B37C9" w:rsidP="009B37C9">
            <w:pPr>
              <w:widowControl/>
              <w:overflowPunct/>
              <w:autoSpaceDE/>
              <w:autoSpaceDN/>
              <w:adjustRightInd/>
              <w:textAlignment w:val="auto"/>
              <w:rPr>
                <w:rFonts w:ascii="Times New Roman" w:hAnsi="Times New Roman"/>
                <w:color w:val="000000"/>
                <w:szCs w:val="24"/>
              </w:rPr>
            </w:pPr>
            <w:r w:rsidRPr="009B37C9">
              <w:rPr>
                <w:rFonts w:ascii="Times New Roman" w:hAnsi="Times New Roman"/>
                <w:color w:val="000000"/>
                <w:szCs w:val="24"/>
              </w:rPr>
              <w:t>1060</w:t>
            </w:r>
          </w:p>
        </w:tc>
      </w:tr>
      <w:tr w:rsidR="009B37C9" w:rsidRPr="009B37C9" w14:paraId="47F1935C" w14:textId="77777777" w:rsidTr="00F52FA2">
        <w:trPr>
          <w:trHeight w:val="780"/>
        </w:trPr>
        <w:tc>
          <w:tcPr>
            <w:tcW w:w="1903" w:type="dxa"/>
            <w:shd w:val="clear" w:color="auto" w:fill="auto"/>
            <w:noWrap/>
            <w:hideMark/>
          </w:tcPr>
          <w:p w14:paraId="52BB815F"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273.7(c)(17)(vii)  Reporting</w:t>
            </w:r>
          </w:p>
        </w:tc>
        <w:tc>
          <w:tcPr>
            <w:tcW w:w="2182" w:type="dxa"/>
            <w:shd w:val="clear" w:color="auto" w:fill="auto"/>
            <w:hideMark/>
          </w:tcPr>
          <w:p w14:paraId="7E5EEFC0"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szCs w:val="24"/>
              </w:rPr>
              <w:t>Measures in a State agencies’ E&amp;T  plan for components that are designed to serve at least 100 E&amp;T participants a year</w:t>
            </w:r>
          </w:p>
        </w:tc>
        <w:tc>
          <w:tcPr>
            <w:tcW w:w="1523" w:type="dxa"/>
            <w:shd w:val="clear" w:color="auto" w:fill="auto"/>
            <w:noWrap/>
            <w:hideMark/>
          </w:tcPr>
          <w:p w14:paraId="1B209B94"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 xml:space="preserve">53 </w:t>
            </w:r>
          </w:p>
        </w:tc>
        <w:tc>
          <w:tcPr>
            <w:tcW w:w="1083" w:type="dxa"/>
            <w:shd w:val="clear" w:color="auto" w:fill="auto"/>
            <w:noWrap/>
            <w:hideMark/>
          </w:tcPr>
          <w:p w14:paraId="4CFD35EF"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w:t>
            </w:r>
          </w:p>
        </w:tc>
        <w:tc>
          <w:tcPr>
            <w:tcW w:w="1270" w:type="dxa"/>
            <w:shd w:val="clear" w:color="auto" w:fill="auto"/>
            <w:noWrap/>
            <w:hideMark/>
          </w:tcPr>
          <w:p w14:paraId="290B025E"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53</w:t>
            </w:r>
          </w:p>
        </w:tc>
        <w:tc>
          <w:tcPr>
            <w:tcW w:w="1742" w:type="dxa"/>
            <w:shd w:val="clear" w:color="auto" w:fill="auto"/>
            <w:noWrap/>
            <w:hideMark/>
          </w:tcPr>
          <w:p w14:paraId="2666A33F"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20</w:t>
            </w:r>
          </w:p>
        </w:tc>
        <w:tc>
          <w:tcPr>
            <w:tcW w:w="1176" w:type="dxa"/>
            <w:shd w:val="clear" w:color="auto" w:fill="auto"/>
            <w:noWrap/>
            <w:hideMark/>
          </w:tcPr>
          <w:p w14:paraId="4A916C39"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1060</w:t>
            </w:r>
          </w:p>
        </w:tc>
      </w:tr>
      <w:tr w:rsidR="009B37C9" w:rsidRPr="009B37C9" w14:paraId="6DD1B3D5" w14:textId="77777777" w:rsidTr="00F52FA2">
        <w:trPr>
          <w:trHeight w:val="525"/>
        </w:trPr>
        <w:tc>
          <w:tcPr>
            <w:tcW w:w="1903" w:type="dxa"/>
            <w:shd w:val="clear" w:color="auto" w:fill="auto"/>
            <w:noWrap/>
            <w:hideMark/>
          </w:tcPr>
          <w:p w14:paraId="19AF034C"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b/>
                <w:bCs/>
                <w:szCs w:val="24"/>
              </w:rPr>
              <w:t>273.7(c)(17)(viii)  Reporting</w:t>
            </w:r>
          </w:p>
        </w:tc>
        <w:tc>
          <w:tcPr>
            <w:tcW w:w="2182" w:type="dxa"/>
            <w:shd w:val="clear" w:color="auto" w:fill="auto"/>
            <w:hideMark/>
          </w:tcPr>
          <w:p w14:paraId="6A1E2A09" w14:textId="77777777" w:rsidR="009B37C9" w:rsidRPr="009B37C9" w:rsidRDefault="009B37C9" w:rsidP="009B37C9">
            <w:pPr>
              <w:widowControl/>
              <w:overflowPunct/>
              <w:autoSpaceDE/>
              <w:autoSpaceDN/>
              <w:adjustRightInd/>
              <w:textAlignment w:val="auto"/>
              <w:rPr>
                <w:rFonts w:ascii="Times New Roman" w:hAnsi="Times New Roman"/>
                <w:b/>
                <w:bCs/>
                <w:szCs w:val="24"/>
              </w:rPr>
            </w:pPr>
            <w:r w:rsidRPr="009B37C9">
              <w:rPr>
                <w:rFonts w:ascii="Times New Roman" w:hAnsi="Times New Roman"/>
                <w:szCs w:val="24"/>
              </w:rPr>
              <w:t>Information about ABAWDs from State agencies that have committed to offering them participation in a qualifying activity</w:t>
            </w:r>
          </w:p>
        </w:tc>
        <w:tc>
          <w:tcPr>
            <w:tcW w:w="1523" w:type="dxa"/>
            <w:shd w:val="clear" w:color="auto" w:fill="auto"/>
            <w:noWrap/>
            <w:hideMark/>
          </w:tcPr>
          <w:p w14:paraId="223F9AA6"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10</w:t>
            </w:r>
          </w:p>
        </w:tc>
        <w:tc>
          <w:tcPr>
            <w:tcW w:w="1083" w:type="dxa"/>
            <w:shd w:val="clear" w:color="auto" w:fill="auto"/>
            <w:noWrap/>
            <w:hideMark/>
          </w:tcPr>
          <w:p w14:paraId="7D1CA40C"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w:t>
            </w:r>
          </w:p>
        </w:tc>
        <w:tc>
          <w:tcPr>
            <w:tcW w:w="1270" w:type="dxa"/>
            <w:shd w:val="clear" w:color="auto" w:fill="auto"/>
            <w:noWrap/>
            <w:hideMark/>
          </w:tcPr>
          <w:p w14:paraId="4ECE6714"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10</w:t>
            </w:r>
          </w:p>
        </w:tc>
        <w:tc>
          <w:tcPr>
            <w:tcW w:w="1742" w:type="dxa"/>
            <w:shd w:val="clear" w:color="auto" w:fill="auto"/>
            <w:noWrap/>
            <w:hideMark/>
          </w:tcPr>
          <w:p w14:paraId="5F555AE2"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10</w:t>
            </w:r>
          </w:p>
        </w:tc>
        <w:tc>
          <w:tcPr>
            <w:tcW w:w="1176" w:type="dxa"/>
            <w:shd w:val="clear" w:color="auto" w:fill="auto"/>
            <w:noWrap/>
            <w:hideMark/>
          </w:tcPr>
          <w:p w14:paraId="688C6A2A" w14:textId="77777777" w:rsidR="009B37C9" w:rsidRPr="009B37C9" w:rsidRDefault="009B37C9" w:rsidP="009B37C9">
            <w:pPr>
              <w:widowControl/>
              <w:overflowPunct/>
              <w:autoSpaceDE/>
              <w:autoSpaceDN/>
              <w:adjustRightInd/>
              <w:textAlignment w:val="auto"/>
              <w:rPr>
                <w:rFonts w:ascii="Times New Roman" w:hAnsi="Times New Roman"/>
                <w:bCs/>
                <w:szCs w:val="24"/>
              </w:rPr>
            </w:pPr>
            <w:r w:rsidRPr="009B37C9">
              <w:rPr>
                <w:rFonts w:ascii="Times New Roman" w:hAnsi="Times New Roman"/>
                <w:bCs/>
                <w:szCs w:val="24"/>
              </w:rPr>
              <w:t>100</w:t>
            </w:r>
          </w:p>
        </w:tc>
      </w:tr>
      <w:tr w:rsidR="009B37C9" w:rsidRPr="009B37C9" w14:paraId="749C6E75" w14:textId="77777777" w:rsidTr="00F52FA2">
        <w:trPr>
          <w:trHeight w:val="270"/>
        </w:trPr>
        <w:tc>
          <w:tcPr>
            <w:tcW w:w="4085" w:type="dxa"/>
            <w:gridSpan w:val="2"/>
            <w:shd w:val="clear" w:color="000000" w:fill="D9D9D9"/>
            <w:vAlign w:val="bottom"/>
            <w:hideMark/>
          </w:tcPr>
          <w:p w14:paraId="20ECE5C5"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Total Reporting</w:t>
            </w:r>
          </w:p>
        </w:tc>
        <w:tc>
          <w:tcPr>
            <w:tcW w:w="1523" w:type="dxa"/>
            <w:shd w:val="clear" w:color="000000" w:fill="D9D9D9"/>
            <w:noWrap/>
            <w:hideMark/>
          </w:tcPr>
          <w:p w14:paraId="3B3785EB"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szCs w:val="24"/>
              </w:rPr>
              <w:t xml:space="preserve"> 53 </w:t>
            </w:r>
          </w:p>
        </w:tc>
        <w:tc>
          <w:tcPr>
            <w:tcW w:w="1083" w:type="dxa"/>
            <w:shd w:val="clear" w:color="000000" w:fill="D9D9D9"/>
            <w:noWrap/>
            <w:hideMark/>
          </w:tcPr>
          <w:p w14:paraId="5C19498F"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szCs w:val="24"/>
              </w:rPr>
              <w:t xml:space="preserve"> 7</w:t>
            </w:r>
          </w:p>
        </w:tc>
        <w:tc>
          <w:tcPr>
            <w:tcW w:w="1270" w:type="dxa"/>
            <w:shd w:val="clear" w:color="000000" w:fill="D9D9D9"/>
            <w:noWrap/>
            <w:hideMark/>
          </w:tcPr>
          <w:p w14:paraId="5127CDD6"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szCs w:val="24"/>
              </w:rPr>
              <w:t xml:space="preserve"> 320 </w:t>
            </w:r>
          </w:p>
        </w:tc>
        <w:tc>
          <w:tcPr>
            <w:tcW w:w="1742" w:type="dxa"/>
            <w:shd w:val="clear" w:color="000000" w:fill="D9D9D9"/>
            <w:noWrap/>
            <w:hideMark/>
          </w:tcPr>
          <w:p w14:paraId="7F10713E"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szCs w:val="24"/>
              </w:rPr>
              <w:t>38</w:t>
            </w:r>
          </w:p>
        </w:tc>
        <w:tc>
          <w:tcPr>
            <w:tcW w:w="1176" w:type="dxa"/>
            <w:shd w:val="clear" w:color="000000" w:fill="D9D9D9"/>
            <w:noWrap/>
            <w:hideMark/>
          </w:tcPr>
          <w:p w14:paraId="34D543F2"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szCs w:val="24"/>
              </w:rPr>
              <w:t>12,180</w:t>
            </w:r>
          </w:p>
        </w:tc>
      </w:tr>
      <w:tr w:rsidR="009B37C9" w:rsidRPr="009B37C9" w14:paraId="6BF51882" w14:textId="77777777" w:rsidTr="00F52FA2">
        <w:trPr>
          <w:trHeight w:val="270"/>
        </w:trPr>
        <w:tc>
          <w:tcPr>
            <w:tcW w:w="4085" w:type="dxa"/>
            <w:gridSpan w:val="2"/>
            <w:shd w:val="clear" w:color="000000" w:fill="D9D9D9"/>
            <w:noWrap/>
            <w:vAlign w:val="bottom"/>
            <w:hideMark/>
          </w:tcPr>
          <w:p w14:paraId="30466CA6"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 xml:space="preserve">Total Recordkeeping </w:t>
            </w:r>
          </w:p>
        </w:tc>
        <w:tc>
          <w:tcPr>
            <w:tcW w:w="1523" w:type="dxa"/>
            <w:shd w:val="clear" w:color="000000" w:fill="D9D9D9"/>
            <w:noWrap/>
            <w:vAlign w:val="bottom"/>
            <w:hideMark/>
          </w:tcPr>
          <w:p w14:paraId="18C2F6BF"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53</w:t>
            </w:r>
          </w:p>
        </w:tc>
        <w:tc>
          <w:tcPr>
            <w:tcW w:w="1083" w:type="dxa"/>
            <w:shd w:val="clear" w:color="000000" w:fill="D9D9D9"/>
            <w:noWrap/>
            <w:vAlign w:val="bottom"/>
            <w:hideMark/>
          </w:tcPr>
          <w:p w14:paraId="0A80BA15"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 1</w:t>
            </w:r>
          </w:p>
        </w:tc>
        <w:tc>
          <w:tcPr>
            <w:tcW w:w="1270" w:type="dxa"/>
            <w:shd w:val="clear" w:color="000000" w:fill="D9D9D9"/>
            <w:noWrap/>
            <w:vAlign w:val="bottom"/>
            <w:hideMark/>
          </w:tcPr>
          <w:p w14:paraId="076F700E"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53</w:t>
            </w:r>
          </w:p>
        </w:tc>
        <w:tc>
          <w:tcPr>
            <w:tcW w:w="1742" w:type="dxa"/>
            <w:shd w:val="clear" w:color="000000" w:fill="D9D9D9"/>
            <w:noWrap/>
            <w:vAlign w:val="bottom"/>
            <w:hideMark/>
          </w:tcPr>
          <w:p w14:paraId="592A73F2"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 1</w:t>
            </w:r>
          </w:p>
        </w:tc>
        <w:tc>
          <w:tcPr>
            <w:tcW w:w="1176" w:type="dxa"/>
            <w:shd w:val="clear" w:color="000000" w:fill="D9D9D9"/>
            <w:noWrap/>
            <w:vAlign w:val="bottom"/>
            <w:hideMark/>
          </w:tcPr>
          <w:p w14:paraId="4CAEE0DB"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53</w:t>
            </w:r>
          </w:p>
        </w:tc>
      </w:tr>
      <w:tr w:rsidR="009B37C9" w:rsidRPr="009B37C9" w14:paraId="74AC1AAF" w14:textId="77777777" w:rsidTr="00F52FA2">
        <w:trPr>
          <w:trHeight w:val="270"/>
        </w:trPr>
        <w:tc>
          <w:tcPr>
            <w:tcW w:w="4085" w:type="dxa"/>
            <w:gridSpan w:val="2"/>
            <w:shd w:val="clear" w:color="000000" w:fill="D9D9D9"/>
            <w:noWrap/>
            <w:vAlign w:val="bottom"/>
          </w:tcPr>
          <w:p w14:paraId="34BA2318"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Total</w:t>
            </w:r>
          </w:p>
        </w:tc>
        <w:tc>
          <w:tcPr>
            <w:tcW w:w="1523" w:type="dxa"/>
            <w:shd w:val="clear" w:color="000000" w:fill="D9D9D9"/>
            <w:noWrap/>
            <w:vAlign w:val="center"/>
          </w:tcPr>
          <w:p w14:paraId="63E130E6"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53</w:t>
            </w:r>
          </w:p>
        </w:tc>
        <w:tc>
          <w:tcPr>
            <w:tcW w:w="1083" w:type="dxa"/>
            <w:shd w:val="clear" w:color="000000" w:fill="D9D9D9"/>
            <w:noWrap/>
            <w:vAlign w:val="center"/>
          </w:tcPr>
          <w:p w14:paraId="511DD7F2"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7.03774</w:t>
            </w:r>
          </w:p>
        </w:tc>
        <w:tc>
          <w:tcPr>
            <w:tcW w:w="1270" w:type="dxa"/>
            <w:shd w:val="clear" w:color="000000" w:fill="D9D9D9"/>
            <w:noWrap/>
            <w:vAlign w:val="center"/>
          </w:tcPr>
          <w:p w14:paraId="00F24A71"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373</w:t>
            </w:r>
          </w:p>
        </w:tc>
        <w:tc>
          <w:tcPr>
            <w:tcW w:w="1742" w:type="dxa"/>
            <w:shd w:val="clear" w:color="000000" w:fill="D9D9D9"/>
            <w:noWrap/>
            <w:vAlign w:val="center"/>
          </w:tcPr>
          <w:p w14:paraId="6A1E7743"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32.7962</w:t>
            </w:r>
          </w:p>
        </w:tc>
        <w:tc>
          <w:tcPr>
            <w:tcW w:w="1176" w:type="dxa"/>
            <w:shd w:val="clear" w:color="000000" w:fill="D9D9D9"/>
            <w:noWrap/>
            <w:vAlign w:val="center"/>
          </w:tcPr>
          <w:p w14:paraId="2DD2379C" w14:textId="77777777" w:rsidR="009B37C9" w:rsidRPr="009B37C9" w:rsidRDefault="009B37C9" w:rsidP="009B37C9">
            <w:pPr>
              <w:widowControl/>
              <w:overflowPunct/>
              <w:autoSpaceDE/>
              <w:autoSpaceDN/>
              <w:adjustRightInd/>
              <w:textAlignment w:val="auto"/>
              <w:rPr>
                <w:rFonts w:ascii="Times New Roman" w:hAnsi="Times New Roman"/>
                <w:b/>
                <w:bCs/>
                <w:color w:val="000000"/>
                <w:szCs w:val="24"/>
              </w:rPr>
            </w:pPr>
            <w:r w:rsidRPr="009B37C9">
              <w:rPr>
                <w:rFonts w:ascii="Times New Roman" w:hAnsi="Times New Roman"/>
                <w:b/>
                <w:bCs/>
                <w:color w:val="000000"/>
                <w:szCs w:val="24"/>
              </w:rPr>
              <w:t>12,233</w:t>
            </w:r>
          </w:p>
        </w:tc>
      </w:tr>
    </w:tbl>
    <w:p w14:paraId="382A9C7C" w14:textId="77777777" w:rsidR="00353AD5" w:rsidRDefault="00353AD5" w:rsidP="000438E8">
      <w:pPr>
        <w:tabs>
          <w:tab w:val="left" w:pos="0"/>
        </w:tabs>
        <w:suppressAutoHyphens/>
        <w:rPr>
          <w:rFonts w:ascii="Times New Roman" w:hAnsi="Times New Roman"/>
          <w:b/>
          <w:szCs w:val="24"/>
        </w:rPr>
      </w:pPr>
    </w:p>
    <w:p w14:paraId="55C21424" w14:textId="77777777" w:rsidR="0062567E" w:rsidRPr="00AB326D" w:rsidRDefault="00FD71D3" w:rsidP="000438E8">
      <w:pPr>
        <w:tabs>
          <w:tab w:val="left" w:pos="0"/>
        </w:tabs>
        <w:suppressAutoHyphens/>
        <w:rPr>
          <w:rFonts w:ascii="Times New Roman" w:hAnsi="Times New Roman"/>
          <w:b/>
          <w:szCs w:val="24"/>
        </w:rPr>
      </w:pPr>
      <w:r w:rsidRPr="00AB326D">
        <w:rPr>
          <w:rFonts w:ascii="Times New Roman" w:hAnsi="Times New Roman"/>
          <w:b/>
          <w:szCs w:val="24"/>
        </w:rPr>
        <w:t>B.</w:t>
      </w:r>
      <w:r w:rsidRPr="00AB326D">
        <w:rPr>
          <w:rFonts w:ascii="Times New Roman" w:hAnsi="Times New Roman"/>
          <w:b/>
          <w:szCs w:val="24"/>
        </w:rPr>
        <w:tab/>
        <w:t>Provide estimates of annualized cost to respondents for the hour burdens for collections of information, identifying and using appropriate wage rate categories.</w:t>
      </w:r>
    </w:p>
    <w:p w14:paraId="118B93C7" w14:textId="77777777" w:rsidR="00A308DB" w:rsidRPr="00AB326D" w:rsidRDefault="00A308DB" w:rsidP="000438E8">
      <w:pPr>
        <w:tabs>
          <w:tab w:val="left" w:pos="0"/>
        </w:tabs>
        <w:suppressAutoHyphens/>
        <w:rPr>
          <w:rFonts w:ascii="Times New Roman" w:hAnsi="Times New Roman"/>
          <w:b/>
          <w:szCs w:val="24"/>
        </w:rPr>
      </w:pPr>
    </w:p>
    <w:p w14:paraId="1F529BB7" w14:textId="4C61F3A1" w:rsidR="00ED28F2" w:rsidRPr="009B37C9" w:rsidRDefault="009B37C9" w:rsidP="005C3401">
      <w:pPr>
        <w:widowControl/>
        <w:spacing w:line="480" w:lineRule="auto"/>
        <w:rPr>
          <w:rFonts w:ascii="Times New Roman" w:hAnsi="Times New Roman"/>
          <w:bCs/>
          <w:color w:val="000000"/>
          <w:szCs w:val="24"/>
        </w:rPr>
      </w:pPr>
      <w:r w:rsidRPr="009B37C9">
        <w:rPr>
          <w:rFonts w:ascii="Times New Roman" w:hAnsi="Times New Roman"/>
          <w:color w:val="000000"/>
          <w:szCs w:val="24"/>
        </w:rPr>
        <w:t xml:space="preserve">We anticipate that the information collection requirements described in this submission will be performed by administrative type staff at the State agency level.  </w:t>
      </w:r>
      <w:r w:rsidRPr="009B37C9">
        <w:rPr>
          <w:rFonts w:ascii="Times New Roman" w:hAnsi="Times New Roman"/>
          <w:bCs/>
          <w:szCs w:val="24"/>
        </w:rPr>
        <w:t xml:space="preserve">According to the Bureau of Labor Statistics, the average compensation cost per hour for state employees was $50.89 in March 2019.  The </w:t>
      </w:r>
      <w:r w:rsidR="00842A2A">
        <w:rPr>
          <w:rFonts w:ascii="Times New Roman" w:hAnsi="Times New Roman"/>
          <w:bCs/>
          <w:szCs w:val="24"/>
        </w:rPr>
        <w:t xml:space="preserve">base </w:t>
      </w:r>
      <w:r w:rsidRPr="009B37C9">
        <w:rPr>
          <w:rFonts w:ascii="Times New Roman" w:hAnsi="Times New Roman"/>
          <w:bCs/>
          <w:szCs w:val="24"/>
        </w:rPr>
        <w:t xml:space="preserve">annual cost to States of the reporting requirements is estimated to be $622,537.  </w:t>
      </w:r>
      <w:r w:rsidR="00842A2A">
        <w:rPr>
          <w:rFonts w:ascii="Times New Roman" w:hAnsi="Times New Roman"/>
          <w:bCs/>
          <w:szCs w:val="24"/>
        </w:rPr>
        <w:t>Including 33% for fringe benefits, the fully loaded cost is estimated to be $807,974.  However, t</w:t>
      </w:r>
      <w:r w:rsidRPr="009B37C9">
        <w:rPr>
          <w:rFonts w:ascii="Times New Roman" w:hAnsi="Times New Roman"/>
          <w:szCs w:val="24"/>
        </w:rPr>
        <w:t xml:space="preserve">he Department funds SNAP E&amp;T programs through $103.9 million in E&amp;T grants and an additional $20 million in grants for State agencies that pledge to serve all ABAWDs at-risk of losing eligibility due to time-limited participation.  In addition to these grants, the Department reimburses State agencies for 50 percent of approved administrative costs beyond the E&amp;T grant. Therefore, the cost to States for implementation and ongoing reporting of performance measures may be paid for in their entirety by their Federal grant. </w:t>
      </w:r>
      <w:r w:rsidR="00842A2A">
        <w:rPr>
          <w:rFonts w:ascii="Times New Roman" w:hAnsi="Times New Roman"/>
          <w:szCs w:val="24"/>
        </w:rPr>
        <w:t xml:space="preserve">As such, the Department estimates </w:t>
      </w:r>
      <w:r w:rsidR="005C3401">
        <w:rPr>
          <w:rFonts w:ascii="Times New Roman" w:hAnsi="Times New Roman"/>
          <w:szCs w:val="24"/>
        </w:rPr>
        <w:t>the net cost to State agencies for these activities is $0.</w:t>
      </w:r>
    </w:p>
    <w:p w14:paraId="3F2C7FE4" w14:textId="77777777" w:rsidR="000438E8" w:rsidRPr="00AB326D" w:rsidRDefault="00FD71D3" w:rsidP="0062567E">
      <w:pPr>
        <w:pStyle w:val="Heading1"/>
        <w:rPr>
          <w:szCs w:val="24"/>
        </w:rPr>
      </w:pPr>
      <w:bookmarkStart w:id="25" w:name="_Toc401831369"/>
      <w:bookmarkStart w:id="26" w:name="_Toc401832413"/>
      <w:r w:rsidRPr="00AB326D">
        <w:rPr>
          <w:szCs w:val="24"/>
        </w:rPr>
        <w:t xml:space="preserve">A13.  Estimates of other total annual cost </w:t>
      </w:r>
      <w:r w:rsidR="00ED28F2" w:rsidRPr="00AB326D">
        <w:rPr>
          <w:szCs w:val="24"/>
        </w:rPr>
        <w:t>burden</w:t>
      </w:r>
      <w:r w:rsidRPr="00AB326D">
        <w:rPr>
          <w:szCs w:val="24"/>
        </w:rPr>
        <w:t>.</w:t>
      </w:r>
      <w:bookmarkEnd w:id="25"/>
      <w:bookmarkEnd w:id="26"/>
    </w:p>
    <w:p w14:paraId="29332173"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29970787" w14:textId="77777777" w:rsidR="00ED28F2" w:rsidRPr="00AB326D" w:rsidRDefault="00ED28F2" w:rsidP="00ED28F2">
      <w:pPr>
        <w:tabs>
          <w:tab w:val="left" w:pos="-720"/>
        </w:tabs>
        <w:suppressAutoHyphens/>
        <w:rPr>
          <w:rFonts w:ascii="Times New Roman" w:hAnsi="Times New Roman"/>
          <w:szCs w:val="24"/>
        </w:rPr>
      </w:pPr>
    </w:p>
    <w:p w14:paraId="22089C36" w14:textId="77777777" w:rsidR="00ED28F2" w:rsidRDefault="00C14486" w:rsidP="00ED28F2">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capital/start-up or ongoing operation or maintenance costs associated with this information collection.</w:t>
      </w:r>
    </w:p>
    <w:p w14:paraId="3F5D991C" w14:textId="77777777" w:rsidR="00C760F1" w:rsidRPr="00AB326D" w:rsidRDefault="00C760F1" w:rsidP="00ED28F2">
      <w:pPr>
        <w:tabs>
          <w:tab w:val="left" w:pos="-720"/>
        </w:tabs>
        <w:suppressAutoHyphens/>
        <w:spacing w:line="480" w:lineRule="auto"/>
        <w:rPr>
          <w:rFonts w:ascii="Times New Roman" w:hAnsi="Times New Roman"/>
          <w:szCs w:val="24"/>
        </w:rPr>
      </w:pPr>
    </w:p>
    <w:p w14:paraId="04C7AAAE" w14:textId="77777777" w:rsidR="00A308DB" w:rsidRPr="00AB326D" w:rsidRDefault="000438E8" w:rsidP="0062567E">
      <w:pPr>
        <w:pStyle w:val="Heading1"/>
        <w:rPr>
          <w:szCs w:val="24"/>
        </w:rPr>
      </w:pPr>
      <w:bookmarkStart w:id="27" w:name="_Toc401831370"/>
      <w:bookmarkStart w:id="28" w:name="_Toc401832414"/>
      <w:r w:rsidRPr="00AB326D">
        <w:rPr>
          <w:szCs w:val="24"/>
        </w:rPr>
        <w:t>A14.  Provide estimates of annualized cost to the Federal government.</w:t>
      </w:r>
      <w:bookmarkEnd w:id="27"/>
      <w:bookmarkEnd w:id="28"/>
      <w:r w:rsidR="0088245A" w:rsidRPr="00AB326D">
        <w:rPr>
          <w:szCs w:val="24"/>
        </w:rPr>
        <w:t xml:space="preserve">  </w:t>
      </w:r>
    </w:p>
    <w:p w14:paraId="7AEB9113" w14:textId="77777777" w:rsidR="0062567E" w:rsidRPr="00AB326D" w:rsidRDefault="0062567E" w:rsidP="0062567E">
      <w:pPr>
        <w:pStyle w:val="ListParagraph"/>
        <w:widowControl/>
        <w:spacing w:line="240" w:lineRule="auto"/>
        <w:ind w:left="0"/>
        <w:rPr>
          <w:b/>
          <w:szCs w:val="24"/>
        </w:rPr>
      </w:pPr>
      <w:r w:rsidRPr="00AB326D">
        <w:rPr>
          <w:b/>
          <w:szCs w:val="24"/>
        </w:rPr>
        <w:t>Provide estimates of annualized cost to the Federal government.  Provide a description of the method used to estimate cost and any other expense that would not have been incurred without this collection of information.</w:t>
      </w:r>
    </w:p>
    <w:p w14:paraId="3A298B20" w14:textId="77777777" w:rsidR="0062567E" w:rsidRPr="00AB326D" w:rsidRDefault="0062567E" w:rsidP="000438E8">
      <w:pPr>
        <w:tabs>
          <w:tab w:val="left" w:pos="0"/>
        </w:tabs>
        <w:suppressAutoHyphens/>
        <w:rPr>
          <w:rFonts w:ascii="Times New Roman" w:hAnsi="Times New Roman"/>
          <w:szCs w:val="24"/>
        </w:rPr>
      </w:pPr>
    </w:p>
    <w:p w14:paraId="42360BF9" w14:textId="1DCB7710" w:rsidR="009B37C9" w:rsidRDefault="009845FA" w:rsidP="009B37C9">
      <w:pPr>
        <w:widowControl/>
        <w:spacing w:line="480" w:lineRule="auto"/>
        <w:rPr>
          <w:rFonts w:ascii="Times New Roman" w:hAnsi="Times New Roman"/>
        </w:rPr>
      </w:pPr>
      <w:bookmarkStart w:id="29" w:name="_Toc401831371"/>
      <w:bookmarkStart w:id="30" w:name="_Toc401832415"/>
      <w:r>
        <w:rPr>
          <w:rFonts w:ascii="Times New Roman" w:hAnsi="Times New Roman"/>
        </w:rPr>
        <w:t>The annual estimated cost to the Federal government to</w:t>
      </w:r>
      <w:r w:rsidR="009B37C9" w:rsidRPr="009B37C9">
        <w:rPr>
          <w:rFonts w:ascii="Times New Roman" w:hAnsi="Times New Roman"/>
        </w:rPr>
        <w:t xml:space="preserve"> </w:t>
      </w:r>
      <w:r w:rsidR="005C3401">
        <w:rPr>
          <w:rFonts w:ascii="Times New Roman" w:hAnsi="Times New Roman"/>
        </w:rPr>
        <w:t>review</w:t>
      </w:r>
      <w:r w:rsidR="005C3401" w:rsidRPr="009B37C9">
        <w:rPr>
          <w:rFonts w:ascii="Times New Roman" w:hAnsi="Times New Roman"/>
        </w:rPr>
        <w:t xml:space="preserve"> </w:t>
      </w:r>
      <w:r>
        <w:rPr>
          <w:rFonts w:ascii="Times New Roman" w:hAnsi="Times New Roman"/>
        </w:rPr>
        <w:t xml:space="preserve">and analyze </w:t>
      </w:r>
      <w:r w:rsidR="009B37C9" w:rsidRPr="009B37C9">
        <w:rPr>
          <w:rFonts w:ascii="Times New Roman" w:hAnsi="Times New Roman"/>
        </w:rPr>
        <w:t>outcome data provided by State agencies</w:t>
      </w:r>
      <w:r>
        <w:rPr>
          <w:rFonts w:ascii="Times New Roman" w:hAnsi="Times New Roman"/>
        </w:rPr>
        <w:t xml:space="preserve"> is $</w:t>
      </w:r>
      <w:r w:rsidR="00923C5E">
        <w:rPr>
          <w:rFonts w:ascii="Times New Roman" w:hAnsi="Times New Roman"/>
        </w:rPr>
        <w:t>7,617.15</w:t>
      </w:r>
      <w:r w:rsidR="009B37C9" w:rsidRPr="009B37C9">
        <w:rPr>
          <w:rFonts w:ascii="Times New Roman" w:hAnsi="Times New Roman"/>
        </w:rPr>
        <w:t xml:space="preserve">.  </w:t>
      </w:r>
      <w:r>
        <w:rPr>
          <w:rFonts w:ascii="Times New Roman" w:hAnsi="Times New Roman"/>
        </w:rPr>
        <w:t>FNS has calculated the cost as follows.</w:t>
      </w:r>
    </w:p>
    <w:p w14:paraId="2102985E" w14:textId="1C5F5C36" w:rsidR="009845FA" w:rsidRPr="009B37C9" w:rsidRDefault="009845FA" w:rsidP="009B37C9">
      <w:pPr>
        <w:widowControl/>
        <w:spacing w:line="480" w:lineRule="auto"/>
        <w:rPr>
          <w:rFonts w:ascii="Times New Roman" w:hAnsi="Times New Roman"/>
        </w:rPr>
      </w:pPr>
      <w:r>
        <w:rPr>
          <w:rFonts w:ascii="Times New Roman" w:hAnsi="Times New Roman"/>
        </w:rPr>
        <w:t xml:space="preserve">Using the 2019 GS Salary Table, we estimate it takes two hours for a GS-13 (step 5) to review and analyze the outcome data provided by each of the 53 State agencies for a total of $5,727.18 (2 hours x $53.03 an hour x 53 State agencies = $5,727.18).  </w:t>
      </w:r>
      <w:r w:rsidR="00923C5E">
        <w:rPr>
          <w:rFonts w:ascii="Times New Roman" w:hAnsi="Times New Roman"/>
        </w:rPr>
        <w:t>Adding in 33% for fringe benefits, that brings the total cost to $7,617.15.</w:t>
      </w:r>
    </w:p>
    <w:p w14:paraId="30894311" w14:textId="77777777" w:rsidR="0011107C" w:rsidRDefault="0011107C" w:rsidP="00C14486">
      <w:pPr>
        <w:pStyle w:val="Heading1"/>
        <w:spacing w:before="240"/>
        <w:rPr>
          <w:szCs w:val="24"/>
        </w:rPr>
      </w:pPr>
    </w:p>
    <w:p w14:paraId="1CDEA6D7" w14:textId="77777777" w:rsidR="000438E8" w:rsidRPr="00AB326D" w:rsidRDefault="000438E8" w:rsidP="00C14486">
      <w:pPr>
        <w:pStyle w:val="Heading1"/>
        <w:spacing w:before="240"/>
        <w:rPr>
          <w:szCs w:val="24"/>
        </w:rPr>
      </w:pPr>
      <w:r w:rsidRPr="00AB326D">
        <w:rPr>
          <w:szCs w:val="24"/>
        </w:rPr>
        <w:t xml:space="preserve">A15.  </w:t>
      </w:r>
      <w:r w:rsidR="00C619D0" w:rsidRPr="00AB326D">
        <w:rPr>
          <w:szCs w:val="24"/>
        </w:rPr>
        <w:t xml:space="preserve">Explanation of </w:t>
      </w:r>
      <w:r w:rsidR="00E0371E" w:rsidRPr="00AB326D">
        <w:rPr>
          <w:szCs w:val="24"/>
        </w:rPr>
        <w:t xml:space="preserve">program </w:t>
      </w:r>
      <w:r w:rsidR="00C619D0" w:rsidRPr="00AB326D">
        <w:rPr>
          <w:szCs w:val="24"/>
        </w:rPr>
        <w:t>changes or adjustments</w:t>
      </w:r>
      <w:r w:rsidR="005E0A1A" w:rsidRPr="00AB326D">
        <w:rPr>
          <w:szCs w:val="24"/>
        </w:rPr>
        <w:t>.</w:t>
      </w:r>
      <w:bookmarkEnd w:id="29"/>
      <w:bookmarkEnd w:id="30"/>
    </w:p>
    <w:p w14:paraId="24B33A68" w14:textId="77777777" w:rsidR="0062567E" w:rsidRPr="00AB326D" w:rsidRDefault="0062567E" w:rsidP="0062567E">
      <w:pPr>
        <w:pStyle w:val="ListParagraph"/>
        <w:widowControl/>
        <w:spacing w:line="360" w:lineRule="auto"/>
        <w:ind w:left="0"/>
        <w:rPr>
          <w:b/>
          <w:szCs w:val="24"/>
        </w:rPr>
      </w:pPr>
      <w:r w:rsidRPr="00AB326D">
        <w:rPr>
          <w:b/>
          <w:szCs w:val="24"/>
        </w:rPr>
        <w:t>Explain the reasons for any program changes or adjustments reported in Items 13 or 14 of the OMB Form 83-</w:t>
      </w:r>
      <w:r w:rsidR="00ED28F2" w:rsidRPr="00AB326D">
        <w:rPr>
          <w:b/>
          <w:szCs w:val="24"/>
        </w:rPr>
        <w:t>I</w:t>
      </w:r>
      <w:r w:rsidRPr="00AB326D">
        <w:rPr>
          <w:b/>
          <w:szCs w:val="24"/>
        </w:rPr>
        <w:t>.</w:t>
      </w:r>
    </w:p>
    <w:p w14:paraId="0AD47962" w14:textId="77777777" w:rsidR="00ED28F2" w:rsidRPr="00AB326D" w:rsidRDefault="00ED28F2" w:rsidP="00ED28F2">
      <w:pPr>
        <w:tabs>
          <w:tab w:val="left" w:pos="-720"/>
        </w:tabs>
        <w:suppressAutoHyphens/>
        <w:rPr>
          <w:rFonts w:ascii="Times New Roman" w:hAnsi="Times New Roman"/>
          <w:szCs w:val="24"/>
        </w:rPr>
      </w:pPr>
    </w:p>
    <w:p w14:paraId="1C843C5D" w14:textId="77777777" w:rsidR="009B37C9" w:rsidRPr="009B37C9" w:rsidRDefault="009B37C9" w:rsidP="009B37C9">
      <w:pPr>
        <w:widowControl/>
        <w:spacing w:line="480" w:lineRule="auto"/>
        <w:rPr>
          <w:rFonts w:ascii="Times New Roman" w:hAnsi="Times New Roman"/>
          <w:color w:val="000000"/>
          <w:szCs w:val="24"/>
        </w:rPr>
      </w:pPr>
      <w:r w:rsidRPr="009B37C9">
        <w:rPr>
          <w:rFonts w:ascii="Times New Roman" w:hAnsi="Times New Roman"/>
          <w:color w:val="000000"/>
          <w:szCs w:val="24"/>
        </w:rPr>
        <w:t xml:space="preserve">This is an extension, without change, for a currently approved data collection.  There are no changes to the information collection since the last OMB approval.  </w:t>
      </w:r>
    </w:p>
    <w:p w14:paraId="28C035BE" w14:textId="77777777" w:rsidR="006B4BFE" w:rsidRPr="00AB326D" w:rsidRDefault="006B4BFE" w:rsidP="000438E8">
      <w:pPr>
        <w:tabs>
          <w:tab w:val="left" w:pos="0"/>
        </w:tabs>
        <w:suppressAutoHyphens/>
        <w:rPr>
          <w:rFonts w:ascii="Times New Roman" w:hAnsi="Times New Roman"/>
          <w:szCs w:val="24"/>
        </w:rPr>
      </w:pPr>
    </w:p>
    <w:p w14:paraId="70DA8566" w14:textId="77777777" w:rsidR="00A308DB" w:rsidRPr="00AB326D" w:rsidRDefault="000438E8" w:rsidP="0062567E">
      <w:pPr>
        <w:pStyle w:val="Heading1"/>
        <w:rPr>
          <w:szCs w:val="24"/>
        </w:rPr>
      </w:pPr>
      <w:bookmarkStart w:id="31" w:name="_Toc401831372"/>
      <w:bookmarkStart w:id="32" w:name="_Toc401832416"/>
      <w:r w:rsidRPr="00AB326D">
        <w:rPr>
          <w:szCs w:val="24"/>
        </w:rPr>
        <w:t xml:space="preserve">A16.  </w:t>
      </w:r>
      <w:r w:rsidR="00842E02" w:rsidRPr="00AB326D">
        <w:rPr>
          <w:szCs w:val="24"/>
        </w:rPr>
        <w:t>Plans</w:t>
      </w:r>
      <w:r w:rsidRPr="00AB326D">
        <w:rPr>
          <w:szCs w:val="24"/>
        </w:rPr>
        <w:t xml:space="preserve"> for tabulation, and publication</w:t>
      </w:r>
      <w:r w:rsidR="00842E02" w:rsidRPr="00AB326D">
        <w:rPr>
          <w:szCs w:val="24"/>
        </w:rPr>
        <w:t xml:space="preserve"> and project time schedule</w:t>
      </w:r>
      <w:r w:rsidRPr="00AB326D">
        <w:rPr>
          <w:szCs w:val="24"/>
        </w:rPr>
        <w:t>.</w:t>
      </w:r>
      <w:bookmarkEnd w:id="31"/>
      <w:bookmarkEnd w:id="32"/>
      <w:r w:rsidRPr="00AB326D">
        <w:rPr>
          <w:szCs w:val="24"/>
        </w:rPr>
        <w:t xml:space="preserve"> </w:t>
      </w:r>
    </w:p>
    <w:p w14:paraId="0A3C8FEC" w14:textId="77777777" w:rsidR="0062567E" w:rsidRPr="00AB326D" w:rsidRDefault="0062567E" w:rsidP="0062567E">
      <w:pPr>
        <w:pStyle w:val="ListParagraph"/>
        <w:widowControl/>
        <w:spacing w:line="360" w:lineRule="auto"/>
        <w:ind w:left="0"/>
        <w:rPr>
          <w:b/>
          <w:szCs w:val="24"/>
        </w:rPr>
      </w:pPr>
      <w:r w:rsidRPr="00AB326D">
        <w:rPr>
          <w:b/>
          <w:szCs w:val="24"/>
        </w:rPr>
        <w:t>For collections of information whose results are planned to be published, outline plans for tabulation and publication.</w:t>
      </w:r>
    </w:p>
    <w:p w14:paraId="5069F992" w14:textId="77777777" w:rsidR="00ED28F2" w:rsidRPr="00AB326D" w:rsidRDefault="00ED28F2" w:rsidP="00ED28F2">
      <w:pPr>
        <w:tabs>
          <w:tab w:val="left" w:pos="-720"/>
        </w:tabs>
        <w:suppressAutoHyphens/>
        <w:rPr>
          <w:rFonts w:ascii="Times New Roman" w:hAnsi="Times New Roman"/>
          <w:szCs w:val="24"/>
        </w:rPr>
      </w:pPr>
    </w:p>
    <w:p w14:paraId="4568FCCC" w14:textId="2B855DD5" w:rsidR="000438E8" w:rsidRDefault="009B37C9" w:rsidP="000438E8">
      <w:pPr>
        <w:tabs>
          <w:tab w:val="left" w:pos="0"/>
        </w:tabs>
        <w:suppressAutoHyphens/>
        <w:rPr>
          <w:rFonts w:ascii="Times New Roman" w:hAnsi="Times New Roman"/>
          <w:szCs w:val="24"/>
        </w:rPr>
      </w:pPr>
      <w:r w:rsidRPr="009B37C9">
        <w:rPr>
          <w:rFonts w:ascii="Times New Roman" w:hAnsi="Times New Roman"/>
          <w:szCs w:val="24"/>
        </w:rPr>
        <w:t>There are no plans for tabulation and publication of this information collection.</w:t>
      </w:r>
    </w:p>
    <w:p w14:paraId="366D756B" w14:textId="77777777" w:rsidR="009B37C9" w:rsidRPr="00AB326D" w:rsidRDefault="009B37C9" w:rsidP="000438E8">
      <w:pPr>
        <w:tabs>
          <w:tab w:val="left" w:pos="0"/>
        </w:tabs>
        <w:suppressAutoHyphens/>
        <w:rPr>
          <w:rFonts w:ascii="Times New Roman" w:hAnsi="Times New Roman"/>
          <w:szCs w:val="24"/>
        </w:rPr>
      </w:pPr>
    </w:p>
    <w:p w14:paraId="67B703DC" w14:textId="77777777" w:rsidR="00A308DB" w:rsidRPr="00AB326D" w:rsidRDefault="000438E8" w:rsidP="0062567E">
      <w:pPr>
        <w:pStyle w:val="Heading1"/>
        <w:rPr>
          <w:szCs w:val="24"/>
        </w:rPr>
      </w:pPr>
      <w:bookmarkStart w:id="33" w:name="_Toc401831373"/>
      <w:bookmarkStart w:id="34" w:name="_Toc401832417"/>
      <w:r w:rsidRPr="00AB326D">
        <w:rPr>
          <w:szCs w:val="24"/>
        </w:rPr>
        <w:t xml:space="preserve">A17.  </w:t>
      </w:r>
      <w:r w:rsidR="001C6CBE" w:rsidRPr="00AB326D">
        <w:rPr>
          <w:szCs w:val="24"/>
        </w:rPr>
        <w:t>Displaying the OMB Approval Expiration Date.</w:t>
      </w:r>
      <w:bookmarkEnd w:id="33"/>
      <w:bookmarkEnd w:id="34"/>
    </w:p>
    <w:p w14:paraId="731C0262" w14:textId="77777777" w:rsidR="0062567E" w:rsidRPr="00AB326D" w:rsidRDefault="0062567E" w:rsidP="0062567E">
      <w:pPr>
        <w:pStyle w:val="ListParagraph"/>
        <w:widowControl/>
        <w:spacing w:line="240" w:lineRule="auto"/>
        <w:ind w:left="0"/>
        <w:rPr>
          <w:b/>
          <w:szCs w:val="24"/>
        </w:rPr>
      </w:pPr>
      <w:r w:rsidRPr="00AB326D">
        <w:rPr>
          <w:b/>
          <w:szCs w:val="24"/>
        </w:rPr>
        <w:t>If seeking approval to not display the expiration date for OMB approval of the information collection, explain the reasons that display would be inappropriate.</w:t>
      </w:r>
    </w:p>
    <w:p w14:paraId="14946649" w14:textId="77777777" w:rsidR="00ED28F2" w:rsidRPr="00AB326D" w:rsidRDefault="00ED28F2" w:rsidP="00ED28F2">
      <w:pPr>
        <w:tabs>
          <w:tab w:val="left" w:pos="-720"/>
        </w:tabs>
        <w:suppressAutoHyphens/>
        <w:rPr>
          <w:rFonts w:ascii="Times New Roman" w:hAnsi="Times New Roman"/>
          <w:szCs w:val="24"/>
        </w:rPr>
      </w:pPr>
    </w:p>
    <w:p w14:paraId="483D44C1" w14:textId="75004F5E" w:rsidR="004D7D41" w:rsidRDefault="009B37C9" w:rsidP="000438E8">
      <w:pPr>
        <w:tabs>
          <w:tab w:val="left" w:pos="0"/>
        </w:tabs>
        <w:suppressAutoHyphens/>
        <w:rPr>
          <w:rFonts w:ascii="Times New Roman" w:hAnsi="Times New Roman"/>
          <w:szCs w:val="24"/>
        </w:rPr>
      </w:pPr>
      <w:r w:rsidRPr="009B37C9">
        <w:rPr>
          <w:rFonts w:ascii="Times New Roman" w:hAnsi="Times New Roman"/>
          <w:szCs w:val="24"/>
        </w:rPr>
        <w:t>We are not seeking approval concerning the display of the expiration date.</w:t>
      </w:r>
    </w:p>
    <w:p w14:paraId="27F1D0D8" w14:textId="77777777" w:rsidR="009B37C9" w:rsidRPr="00AB326D" w:rsidRDefault="009B37C9" w:rsidP="000438E8">
      <w:pPr>
        <w:tabs>
          <w:tab w:val="left" w:pos="0"/>
        </w:tabs>
        <w:suppressAutoHyphens/>
        <w:rPr>
          <w:rFonts w:ascii="Times New Roman" w:hAnsi="Times New Roman"/>
          <w:szCs w:val="24"/>
        </w:rPr>
      </w:pPr>
    </w:p>
    <w:p w14:paraId="71838317" w14:textId="77777777" w:rsidR="00A308DB" w:rsidRPr="00AB326D" w:rsidRDefault="000438E8" w:rsidP="0062567E">
      <w:pPr>
        <w:pStyle w:val="Heading1"/>
        <w:rPr>
          <w:szCs w:val="24"/>
        </w:rPr>
      </w:pPr>
      <w:bookmarkStart w:id="35" w:name="_Toc401831374"/>
      <w:bookmarkStart w:id="36" w:name="_Toc401832418"/>
      <w:r w:rsidRPr="00AB326D">
        <w:rPr>
          <w:szCs w:val="24"/>
        </w:rPr>
        <w:t>A18.  Exception</w:t>
      </w:r>
      <w:r w:rsidR="002568E6" w:rsidRPr="00AB326D">
        <w:rPr>
          <w:szCs w:val="24"/>
        </w:rPr>
        <w:t>s</w:t>
      </w:r>
      <w:r w:rsidRPr="00AB326D">
        <w:rPr>
          <w:szCs w:val="24"/>
        </w:rPr>
        <w:t xml:space="preserve"> to the certification statement identified in Item 19.</w:t>
      </w:r>
      <w:bookmarkEnd w:id="35"/>
      <w:bookmarkEnd w:id="36"/>
      <w:r w:rsidR="006F346E" w:rsidRPr="00AB326D">
        <w:rPr>
          <w:szCs w:val="24"/>
        </w:rPr>
        <w:t xml:space="preserve">  </w:t>
      </w:r>
    </w:p>
    <w:p w14:paraId="5D490789" w14:textId="77777777" w:rsidR="0062567E" w:rsidRPr="00AB326D" w:rsidRDefault="0062567E" w:rsidP="000438E8">
      <w:pPr>
        <w:tabs>
          <w:tab w:val="left" w:pos="0"/>
        </w:tabs>
        <w:suppressAutoHyphens/>
        <w:rPr>
          <w:rFonts w:ascii="Times New Roman" w:hAnsi="Times New Roman"/>
          <w:b/>
          <w:szCs w:val="24"/>
        </w:rPr>
      </w:pPr>
      <w:r w:rsidRPr="00AB326D">
        <w:rPr>
          <w:rFonts w:ascii="Times New Roman" w:hAnsi="Times New Roman"/>
          <w:b/>
          <w:szCs w:val="24"/>
        </w:rPr>
        <w:t>Explain each exception to the certification statement identified in Item 19 of the OMB 83-I" Certification for Paperwork Reduction Act."</w:t>
      </w:r>
    </w:p>
    <w:p w14:paraId="55B2E81D" w14:textId="77777777" w:rsidR="00ED28F2" w:rsidRPr="00AB326D" w:rsidRDefault="00ED28F2" w:rsidP="00ED28F2">
      <w:pPr>
        <w:tabs>
          <w:tab w:val="left" w:pos="-720"/>
        </w:tabs>
        <w:suppressAutoHyphens/>
        <w:rPr>
          <w:rFonts w:ascii="Times New Roman" w:hAnsi="Times New Roman"/>
          <w:szCs w:val="24"/>
        </w:rPr>
      </w:pPr>
    </w:p>
    <w:p w14:paraId="4B7F761A" w14:textId="77777777" w:rsidR="006F346E" w:rsidRPr="00AB326D" w:rsidRDefault="004D7D41" w:rsidP="00C760F1">
      <w:pPr>
        <w:tabs>
          <w:tab w:val="left" w:pos="-720"/>
        </w:tabs>
        <w:suppressAutoHyphens/>
        <w:spacing w:line="480" w:lineRule="auto"/>
        <w:rPr>
          <w:rFonts w:ascii="Times New Roman" w:hAnsi="Times New Roman"/>
          <w:szCs w:val="24"/>
        </w:rPr>
      </w:pPr>
      <w:r w:rsidRPr="00AB326D">
        <w:rPr>
          <w:rFonts w:ascii="Times New Roman" w:hAnsi="Times New Roman"/>
          <w:szCs w:val="24"/>
        </w:rPr>
        <w:t>There are no exceptions to the certification statement.</w:t>
      </w:r>
    </w:p>
    <w:sectPr w:rsidR="006F346E" w:rsidRPr="00AB326D" w:rsidSect="002568E6">
      <w:footerReference w:type="default" r:id="rId17"/>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623B9" w14:textId="77777777" w:rsidR="00F52FA2" w:rsidRDefault="00F52FA2">
      <w:pPr>
        <w:spacing w:line="20" w:lineRule="exact"/>
      </w:pPr>
    </w:p>
    <w:p w14:paraId="14C51719" w14:textId="77777777" w:rsidR="00F52FA2" w:rsidRDefault="00F52FA2"/>
  </w:endnote>
  <w:endnote w:type="continuationSeparator" w:id="0">
    <w:p w14:paraId="5C5146A5" w14:textId="77777777" w:rsidR="00F52FA2" w:rsidRDefault="00F52FA2">
      <w:r>
        <w:t xml:space="preserve"> </w:t>
      </w:r>
    </w:p>
    <w:p w14:paraId="351003F4" w14:textId="77777777" w:rsidR="00F52FA2" w:rsidRDefault="00F52FA2"/>
  </w:endnote>
  <w:endnote w:type="continuationNotice" w:id="1">
    <w:p w14:paraId="0AE899BD" w14:textId="77777777" w:rsidR="00F52FA2" w:rsidRDefault="00F52FA2">
      <w:r>
        <w:t xml:space="preserve"> </w:t>
      </w:r>
    </w:p>
    <w:p w14:paraId="185E9A64" w14:textId="77777777" w:rsidR="00F52FA2" w:rsidRDefault="00F5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4C81944E" w14:textId="3DEF31B2" w:rsidR="0028387F" w:rsidRPr="00363EDC" w:rsidRDefault="0028387F" w:rsidP="00363EDC">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B118DB">
          <w:rPr>
            <w:rFonts w:ascii="Times New Roman" w:hAnsi="Times New Roman"/>
            <w:noProof/>
          </w:rPr>
          <w:t>2</w:t>
        </w:r>
        <w:r w:rsidRPr="002568E6">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43BC9" w14:textId="77777777" w:rsidR="00F52FA2" w:rsidRDefault="00F52FA2">
      <w:r>
        <w:separator/>
      </w:r>
    </w:p>
    <w:p w14:paraId="4B965234" w14:textId="77777777" w:rsidR="00F52FA2" w:rsidRDefault="00F52FA2"/>
  </w:footnote>
  <w:footnote w:type="continuationSeparator" w:id="0">
    <w:p w14:paraId="053FFA36" w14:textId="77777777" w:rsidR="00F52FA2" w:rsidRDefault="00F52FA2">
      <w:r>
        <w:continuationSeparator/>
      </w:r>
    </w:p>
    <w:p w14:paraId="026E984D" w14:textId="77777777" w:rsidR="00F52FA2" w:rsidRDefault="00F52FA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8C4DFE"/>
    <w:multiLevelType w:val="hybridMultilevel"/>
    <w:tmpl w:val="AA76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C5151"/>
    <w:multiLevelType w:val="hybridMultilevel"/>
    <w:tmpl w:val="07E647B6"/>
    <w:lvl w:ilvl="0" w:tplc="66705504">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9">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11"/>
  </w:num>
  <w:num w:numId="5">
    <w:abstractNumId w:val="20"/>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4"/>
  </w:num>
  <w:num w:numId="19">
    <w:abstractNumId w:val="1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U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1F7"/>
    <w:rsid w:val="000223C1"/>
    <w:rsid w:val="00022592"/>
    <w:rsid w:val="000234FF"/>
    <w:rsid w:val="00023BFF"/>
    <w:rsid w:val="00027233"/>
    <w:rsid w:val="00032621"/>
    <w:rsid w:val="000329F0"/>
    <w:rsid w:val="000373C7"/>
    <w:rsid w:val="000377B5"/>
    <w:rsid w:val="00040718"/>
    <w:rsid w:val="00041740"/>
    <w:rsid w:val="000417D2"/>
    <w:rsid w:val="000431A5"/>
    <w:rsid w:val="0004364B"/>
    <w:rsid w:val="000438E8"/>
    <w:rsid w:val="000447C0"/>
    <w:rsid w:val="0004539F"/>
    <w:rsid w:val="00045ADA"/>
    <w:rsid w:val="000460EC"/>
    <w:rsid w:val="0004668E"/>
    <w:rsid w:val="00047338"/>
    <w:rsid w:val="000507EA"/>
    <w:rsid w:val="00052C5C"/>
    <w:rsid w:val="0005328E"/>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770C3"/>
    <w:rsid w:val="000808F2"/>
    <w:rsid w:val="00080C3F"/>
    <w:rsid w:val="000812F7"/>
    <w:rsid w:val="000814FD"/>
    <w:rsid w:val="00084B36"/>
    <w:rsid w:val="00086831"/>
    <w:rsid w:val="00090155"/>
    <w:rsid w:val="00090C98"/>
    <w:rsid w:val="0009250B"/>
    <w:rsid w:val="00093427"/>
    <w:rsid w:val="00093E74"/>
    <w:rsid w:val="0009567D"/>
    <w:rsid w:val="00095C26"/>
    <w:rsid w:val="000A28C4"/>
    <w:rsid w:val="000A34BE"/>
    <w:rsid w:val="000A3781"/>
    <w:rsid w:val="000A4F8D"/>
    <w:rsid w:val="000A7424"/>
    <w:rsid w:val="000B26F3"/>
    <w:rsid w:val="000B50C9"/>
    <w:rsid w:val="000B7836"/>
    <w:rsid w:val="000C089B"/>
    <w:rsid w:val="000C10F7"/>
    <w:rsid w:val="000C1DC2"/>
    <w:rsid w:val="000C463D"/>
    <w:rsid w:val="000C55A2"/>
    <w:rsid w:val="000C5B0F"/>
    <w:rsid w:val="000D0C93"/>
    <w:rsid w:val="000D17F6"/>
    <w:rsid w:val="000D19AE"/>
    <w:rsid w:val="000D279A"/>
    <w:rsid w:val="000D2CCF"/>
    <w:rsid w:val="000D5750"/>
    <w:rsid w:val="000D6419"/>
    <w:rsid w:val="000D724C"/>
    <w:rsid w:val="000E1CA0"/>
    <w:rsid w:val="000E2E6E"/>
    <w:rsid w:val="000E3CC6"/>
    <w:rsid w:val="000E4107"/>
    <w:rsid w:val="000E61B9"/>
    <w:rsid w:val="000E6CC9"/>
    <w:rsid w:val="000E76A0"/>
    <w:rsid w:val="000E7D6D"/>
    <w:rsid w:val="000E7E46"/>
    <w:rsid w:val="000F1BD4"/>
    <w:rsid w:val="000F24C8"/>
    <w:rsid w:val="000F2BAE"/>
    <w:rsid w:val="000F3E64"/>
    <w:rsid w:val="000F4EE7"/>
    <w:rsid w:val="001052BD"/>
    <w:rsid w:val="0010698D"/>
    <w:rsid w:val="00110773"/>
    <w:rsid w:val="0011107C"/>
    <w:rsid w:val="00114BF6"/>
    <w:rsid w:val="00115E73"/>
    <w:rsid w:val="001170E4"/>
    <w:rsid w:val="00117A58"/>
    <w:rsid w:val="00120E7F"/>
    <w:rsid w:val="00121633"/>
    <w:rsid w:val="00122007"/>
    <w:rsid w:val="0012249E"/>
    <w:rsid w:val="0012531F"/>
    <w:rsid w:val="00127364"/>
    <w:rsid w:val="00130FB4"/>
    <w:rsid w:val="0013149F"/>
    <w:rsid w:val="00131771"/>
    <w:rsid w:val="00132EF8"/>
    <w:rsid w:val="00132F0C"/>
    <w:rsid w:val="0013306C"/>
    <w:rsid w:val="001334EF"/>
    <w:rsid w:val="0013469F"/>
    <w:rsid w:val="001363FB"/>
    <w:rsid w:val="00143411"/>
    <w:rsid w:val="0014383A"/>
    <w:rsid w:val="00143852"/>
    <w:rsid w:val="00145FCB"/>
    <w:rsid w:val="0015139F"/>
    <w:rsid w:val="0015143A"/>
    <w:rsid w:val="00151DF5"/>
    <w:rsid w:val="00154D85"/>
    <w:rsid w:val="00156839"/>
    <w:rsid w:val="00157282"/>
    <w:rsid w:val="00160DAC"/>
    <w:rsid w:val="001613F6"/>
    <w:rsid w:val="00166501"/>
    <w:rsid w:val="00167686"/>
    <w:rsid w:val="001707E2"/>
    <w:rsid w:val="00171619"/>
    <w:rsid w:val="00172B17"/>
    <w:rsid w:val="0017348C"/>
    <w:rsid w:val="00174C42"/>
    <w:rsid w:val="00180150"/>
    <w:rsid w:val="00180C8C"/>
    <w:rsid w:val="00181BE4"/>
    <w:rsid w:val="00182728"/>
    <w:rsid w:val="001829D2"/>
    <w:rsid w:val="0018306B"/>
    <w:rsid w:val="001834A9"/>
    <w:rsid w:val="0018456B"/>
    <w:rsid w:val="00185175"/>
    <w:rsid w:val="00185270"/>
    <w:rsid w:val="0018740F"/>
    <w:rsid w:val="001912C2"/>
    <w:rsid w:val="001964E8"/>
    <w:rsid w:val="001A01C9"/>
    <w:rsid w:val="001A1753"/>
    <w:rsid w:val="001A2B18"/>
    <w:rsid w:val="001A3AAF"/>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49BC"/>
    <w:rsid w:val="001E5E66"/>
    <w:rsid w:val="001F054A"/>
    <w:rsid w:val="001F549E"/>
    <w:rsid w:val="001F6E85"/>
    <w:rsid w:val="001F6FD3"/>
    <w:rsid w:val="001F73D9"/>
    <w:rsid w:val="00201068"/>
    <w:rsid w:val="00201287"/>
    <w:rsid w:val="00204E6E"/>
    <w:rsid w:val="00205B44"/>
    <w:rsid w:val="002062CF"/>
    <w:rsid w:val="002075EB"/>
    <w:rsid w:val="00210D68"/>
    <w:rsid w:val="00210FA8"/>
    <w:rsid w:val="002124B5"/>
    <w:rsid w:val="00212905"/>
    <w:rsid w:val="00213436"/>
    <w:rsid w:val="00215CC6"/>
    <w:rsid w:val="00215EB0"/>
    <w:rsid w:val="00222EDC"/>
    <w:rsid w:val="0022443A"/>
    <w:rsid w:val="002251B2"/>
    <w:rsid w:val="00231C61"/>
    <w:rsid w:val="00235403"/>
    <w:rsid w:val="00235EB3"/>
    <w:rsid w:val="002370B7"/>
    <w:rsid w:val="00241834"/>
    <w:rsid w:val="00245150"/>
    <w:rsid w:val="00245CF0"/>
    <w:rsid w:val="00246457"/>
    <w:rsid w:val="002468EE"/>
    <w:rsid w:val="00250CEF"/>
    <w:rsid w:val="00252CF2"/>
    <w:rsid w:val="00253ECC"/>
    <w:rsid w:val="00255137"/>
    <w:rsid w:val="00255956"/>
    <w:rsid w:val="0025683E"/>
    <w:rsid w:val="002568E6"/>
    <w:rsid w:val="00262817"/>
    <w:rsid w:val="0026333C"/>
    <w:rsid w:val="002649A9"/>
    <w:rsid w:val="00265623"/>
    <w:rsid w:val="00267E64"/>
    <w:rsid w:val="00270D71"/>
    <w:rsid w:val="00272DD6"/>
    <w:rsid w:val="002737E9"/>
    <w:rsid w:val="00275494"/>
    <w:rsid w:val="00275958"/>
    <w:rsid w:val="0027695F"/>
    <w:rsid w:val="00283364"/>
    <w:rsid w:val="0028387F"/>
    <w:rsid w:val="002861C0"/>
    <w:rsid w:val="002871B4"/>
    <w:rsid w:val="002900F6"/>
    <w:rsid w:val="002954B1"/>
    <w:rsid w:val="002A1B3D"/>
    <w:rsid w:val="002A7390"/>
    <w:rsid w:val="002B037B"/>
    <w:rsid w:val="002B0654"/>
    <w:rsid w:val="002B46E1"/>
    <w:rsid w:val="002B4F85"/>
    <w:rsid w:val="002B6598"/>
    <w:rsid w:val="002B6B16"/>
    <w:rsid w:val="002C05AC"/>
    <w:rsid w:val="002C22B1"/>
    <w:rsid w:val="002C2401"/>
    <w:rsid w:val="002C4936"/>
    <w:rsid w:val="002C6748"/>
    <w:rsid w:val="002C7B26"/>
    <w:rsid w:val="002D0DED"/>
    <w:rsid w:val="002D1E33"/>
    <w:rsid w:val="002D4140"/>
    <w:rsid w:val="002D47CD"/>
    <w:rsid w:val="002D7CF2"/>
    <w:rsid w:val="002E1315"/>
    <w:rsid w:val="002E1A35"/>
    <w:rsid w:val="002E33F3"/>
    <w:rsid w:val="002E3B1B"/>
    <w:rsid w:val="002E3D8B"/>
    <w:rsid w:val="002E3E5E"/>
    <w:rsid w:val="002E40A9"/>
    <w:rsid w:val="002E6B5E"/>
    <w:rsid w:val="002E7427"/>
    <w:rsid w:val="002F2888"/>
    <w:rsid w:val="002F28FD"/>
    <w:rsid w:val="002F3249"/>
    <w:rsid w:val="002F4036"/>
    <w:rsid w:val="002F5951"/>
    <w:rsid w:val="002F5E92"/>
    <w:rsid w:val="00304807"/>
    <w:rsid w:val="00305AB6"/>
    <w:rsid w:val="00306B4F"/>
    <w:rsid w:val="00307D2B"/>
    <w:rsid w:val="0031071F"/>
    <w:rsid w:val="003125D7"/>
    <w:rsid w:val="00312A60"/>
    <w:rsid w:val="00313A06"/>
    <w:rsid w:val="003140B5"/>
    <w:rsid w:val="003140F4"/>
    <w:rsid w:val="00315029"/>
    <w:rsid w:val="003164E9"/>
    <w:rsid w:val="00324C06"/>
    <w:rsid w:val="00325195"/>
    <w:rsid w:val="0032533B"/>
    <w:rsid w:val="00326F10"/>
    <w:rsid w:val="00327593"/>
    <w:rsid w:val="00333190"/>
    <w:rsid w:val="003333DF"/>
    <w:rsid w:val="00333D3D"/>
    <w:rsid w:val="00334437"/>
    <w:rsid w:val="00334635"/>
    <w:rsid w:val="0033630C"/>
    <w:rsid w:val="0033721D"/>
    <w:rsid w:val="00341DA8"/>
    <w:rsid w:val="00341DEE"/>
    <w:rsid w:val="00342170"/>
    <w:rsid w:val="00343967"/>
    <w:rsid w:val="0034535B"/>
    <w:rsid w:val="0034537B"/>
    <w:rsid w:val="00350550"/>
    <w:rsid w:val="003521A9"/>
    <w:rsid w:val="00353AD5"/>
    <w:rsid w:val="00356D92"/>
    <w:rsid w:val="00360B8B"/>
    <w:rsid w:val="00361FFF"/>
    <w:rsid w:val="003637E7"/>
    <w:rsid w:val="00363EDC"/>
    <w:rsid w:val="0036497A"/>
    <w:rsid w:val="00366BB8"/>
    <w:rsid w:val="0037115C"/>
    <w:rsid w:val="00372784"/>
    <w:rsid w:val="00375AC5"/>
    <w:rsid w:val="00376E39"/>
    <w:rsid w:val="003770FE"/>
    <w:rsid w:val="00383C0A"/>
    <w:rsid w:val="00385A58"/>
    <w:rsid w:val="00386068"/>
    <w:rsid w:val="003874A5"/>
    <w:rsid w:val="00393405"/>
    <w:rsid w:val="00395831"/>
    <w:rsid w:val="00396E91"/>
    <w:rsid w:val="003A222F"/>
    <w:rsid w:val="003A4F9D"/>
    <w:rsid w:val="003A556E"/>
    <w:rsid w:val="003A7277"/>
    <w:rsid w:val="003A7703"/>
    <w:rsid w:val="003B0FD0"/>
    <w:rsid w:val="003B10E4"/>
    <w:rsid w:val="003B1199"/>
    <w:rsid w:val="003B1D07"/>
    <w:rsid w:val="003B28E2"/>
    <w:rsid w:val="003B4C92"/>
    <w:rsid w:val="003B4FBA"/>
    <w:rsid w:val="003B7A97"/>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061"/>
    <w:rsid w:val="004459C6"/>
    <w:rsid w:val="00446314"/>
    <w:rsid w:val="004470D5"/>
    <w:rsid w:val="00447C1E"/>
    <w:rsid w:val="00451DEC"/>
    <w:rsid w:val="00452E03"/>
    <w:rsid w:val="00453B6B"/>
    <w:rsid w:val="00455134"/>
    <w:rsid w:val="004600D7"/>
    <w:rsid w:val="00462097"/>
    <w:rsid w:val="00462B00"/>
    <w:rsid w:val="00462C4E"/>
    <w:rsid w:val="0046423B"/>
    <w:rsid w:val="004703FD"/>
    <w:rsid w:val="004708FD"/>
    <w:rsid w:val="004714B1"/>
    <w:rsid w:val="00472A8F"/>
    <w:rsid w:val="00472E23"/>
    <w:rsid w:val="00473487"/>
    <w:rsid w:val="00474A8E"/>
    <w:rsid w:val="004752E2"/>
    <w:rsid w:val="0047544E"/>
    <w:rsid w:val="0047561A"/>
    <w:rsid w:val="00476676"/>
    <w:rsid w:val="00477E91"/>
    <w:rsid w:val="00481146"/>
    <w:rsid w:val="00483781"/>
    <w:rsid w:val="00483CCC"/>
    <w:rsid w:val="00483F2C"/>
    <w:rsid w:val="00494A82"/>
    <w:rsid w:val="004A2D34"/>
    <w:rsid w:val="004A2F08"/>
    <w:rsid w:val="004A48CA"/>
    <w:rsid w:val="004A543C"/>
    <w:rsid w:val="004A6286"/>
    <w:rsid w:val="004A6581"/>
    <w:rsid w:val="004B46EC"/>
    <w:rsid w:val="004C0EFB"/>
    <w:rsid w:val="004C2E49"/>
    <w:rsid w:val="004C50AE"/>
    <w:rsid w:val="004C615B"/>
    <w:rsid w:val="004C69A7"/>
    <w:rsid w:val="004C71BA"/>
    <w:rsid w:val="004C7BCA"/>
    <w:rsid w:val="004D04AD"/>
    <w:rsid w:val="004D1FDB"/>
    <w:rsid w:val="004D3638"/>
    <w:rsid w:val="004D43D3"/>
    <w:rsid w:val="004D5E86"/>
    <w:rsid w:val="004D7D41"/>
    <w:rsid w:val="004E11D8"/>
    <w:rsid w:val="004E160F"/>
    <w:rsid w:val="004E1830"/>
    <w:rsid w:val="004E4959"/>
    <w:rsid w:val="004E5D8C"/>
    <w:rsid w:val="004E5F80"/>
    <w:rsid w:val="004E6BFA"/>
    <w:rsid w:val="004E72D3"/>
    <w:rsid w:val="004E7651"/>
    <w:rsid w:val="004E7FD0"/>
    <w:rsid w:val="004F116C"/>
    <w:rsid w:val="004F2540"/>
    <w:rsid w:val="004F2F54"/>
    <w:rsid w:val="004F4886"/>
    <w:rsid w:val="004F6D33"/>
    <w:rsid w:val="004F6EDF"/>
    <w:rsid w:val="004F72C7"/>
    <w:rsid w:val="004F77ED"/>
    <w:rsid w:val="0050255B"/>
    <w:rsid w:val="00503920"/>
    <w:rsid w:val="00503F52"/>
    <w:rsid w:val="00505C81"/>
    <w:rsid w:val="00506D32"/>
    <w:rsid w:val="005072CD"/>
    <w:rsid w:val="00510518"/>
    <w:rsid w:val="0051085D"/>
    <w:rsid w:val="005108C2"/>
    <w:rsid w:val="00511375"/>
    <w:rsid w:val="00511668"/>
    <w:rsid w:val="00511934"/>
    <w:rsid w:val="00512C6B"/>
    <w:rsid w:val="00520A94"/>
    <w:rsid w:val="005234BE"/>
    <w:rsid w:val="00525B7B"/>
    <w:rsid w:val="005266CA"/>
    <w:rsid w:val="005330B3"/>
    <w:rsid w:val="005358BC"/>
    <w:rsid w:val="005364A3"/>
    <w:rsid w:val="0053713F"/>
    <w:rsid w:val="00540608"/>
    <w:rsid w:val="00542038"/>
    <w:rsid w:val="00542051"/>
    <w:rsid w:val="00542C4F"/>
    <w:rsid w:val="005445BE"/>
    <w:rsid w:val="00545890"/>
    <w:rsid w:val="00546A1D"/>
    <w:rsid w:val="00550A3B"/>
    <w:rsid w:val="00550E21"/>
    <w:rsid w:val="0055158F"/>
    <w:rsid w:val="005524A2"/>
    <w:rsid w:val="005547E1"/>
    <w:rsid w:val="005601C3"/>
    <w:rsid w:val="00560A01"/>
    <w:rsid w:val="00563EAF"/>
    <w:rsid w:val="0056518C"/>
    <w:rsid w:val="00565D5B"/>
    <w:rsid w:val="005674F7"/>
    <w:rsid w:val="00567DE7"/>
    <w:rsid w:val="005721E3"/>
    <w:rsid w:val="005744BB"/>
    <w:rsid w:val="00577B00"/>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A653B"/>
    <w:rsid w:val="005B172E"/>
    <w:rsid w:val="005B2A87"/>
    <w:rsid w:val="005B2AB4"/>
    <w:rsid w:val="005B67AF"/>
    <w:rsid w:val="005C04BB"/>
    <w:rsid w:val="005C286E"/>
    <w:rsid w:val="005C33B4"/>
    <w:rsid w:val="005C3401"/>
    <w:rsid w:val="005C423C"/>
    <w:rsid w:val="005C50AB"/>
    <w:rsid w:val="005C50FC"/>
    <w:rsid w:val="005C54B0"/>
    <w:rsid w:val="005C6321"/>
    <w:rsid w:val="005D021A"/>
    <w:rsid w:val="005D4603"/>
    <w:rsid w:val="005D532E"/>
    <w:rsid w:val="005D7CF3"/>
    <w:rsid w:val="005E0A1A"/>
    <w:rsid w:val="005E22A5"/>
    <w:rsid w:val="005E292E"/>
    <w:rsid w:val="005E33D7"/>
    <w:rsid w:val="005E6A3C"/>
    <w:rsid w:val="005E6F6B"/>
    <w:rsid w:val="005E7295"/>
    <w:rsid w:val="005F0A77"/>
    <w:rsid w:val="005F2D36"/>
    <w:rsid w:val="005F31C0"/>
    <w:rsid w:val="005F43D7"/>
    <w:rsid w:val="005F5FFE"/>
    <w:rsid w:val="005F6830"/>
    <w:rsid w:val="005F7C5A"/>
    <w:rsid w:val="0060083D"/>
    <w:rsid w:val="00600B7F"/>
    <w:rsid w:val="00600F05"/>
    <w:rsid w:val="0060103C"/>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5457"/>
    <w:rsid w:val="0063688D"/>
    <w:rsid w:val="00640767"/>
    <w:rsid w:val="00640F7D"/>
    <w:rsid w:val="0064229A"/>
    <w:rsid w:val="006469D1"/>
    <w:rsid w:val="00646DDA"/>
    <w:rsid w:val="0065006B"/>
    <w:rsid w:val="00650EBF"/>
    <w:rsid w:val="0065355A"/>
    <w:rsid w:val="00655D39"/>
    <w:rsid w:val="0065657E"/>
    <w:rsid w:val="00657F71"/>
    <w:rsid w:val="0066069C"/>
    <w:rsid w:val="00661AF9"/>
    <w:rsid w:val="00661B51"/>
    <w:rsid w:val="00664AD0"/>
    <w:rsid w:val="00664C7C"/>
    <w:rsid w:val="0066583A"/>
    <w:rsid w:val="00665B4D"/>
    <w:rsid w:val="0066688F"/>
    <w:rsid w:val="00666F6E"/>
    <w:rsid w:val="00673B20"/>
    <w:rsid w:val="00673E6A"/>
    <w:rsid w:val="00675EDB"/>
    <w:rsid w:val="00676148"/>
    <w:rsid w:val="00676E4D"/>
    <w:rsid w:val="00677034"/>
    <w:rsid w:val="0068067E"/>
    <w:rsid w:val="00682090"/>
    <w:rsid w:val="0068319C"/>
    <w:rsid w:val="00683817"/>
    <w:rsid w:val="00686481"/>
    <w:rsid w:val="00686BB3"/>
    <w:rsid w:val="00687C66"/>
    <w:rsid w:val="00691D71"/>
    <w:rsid w:val="006929FB"/>
    <w:rsid w:val="00694161"/>
    <w:rsid w:val="00694A12"/>
    <w:rsid w:val="00695911"/>
    <w:rsid w:val="00696634"/>
    <w:rsid w:val="00697475"/>
    <w:rsid w:val="006A131B"/>
    <w:rsid w:val="006A3E01"/>
    <w:rsid w:val="006A55FE"/>
    <w:rsid w:val="006A7A14"/>
    <w:rsid w:val="006A7F48"/>
    <w:rsid w:val="006B005F"/>
    <w:rsid w:val="006B3BF8"/>
    <w:rsid w:val="006B4BFE"/>
    <w:rsid w:val="006C0F33"/>
    <w:rsid w:val="006C2B18"/>
    <w:rsid w:val="006C4942"/>
    <w:rsid w:val="006C4BE5"/>
    <w:rsid w:val="006C5470"/>
    <w:rsid w:val="006C571B"/>
    <w:rsid w:val="006C60D2"/>
    <w:rsid w:val="006C6AF5"/>
    <w:rsid w:val="006C6F61"/>
    <w:rsid w:val="006C7186"/>
    <w:rsid w:val="006D0EAD"/>
    <w:rsid w:val="006D0FF5"/>
    <w:rsid w:val="006D2901"/>
    <w:rsid w:val="006D3FB9"/>
    <w:rsid w:val="006D4339"/>
    <w:rsid w:val="006D5D1F"/>
    <w:rsid w:val="006D668F"/>
    <w:rsid w:val="006D6B2A"/>
    <w:rsid w:val="006D7835"/>
    <w:rsid w:val="006D7F73"/>
    <w:rsid w:val="006D7F88"/>
    <w:rsid w:val="006E3793"/>
    <w:rsid w:val="006E4AC6"/>
    <w:rsid w:val="006E4B7F"/>
    <w:rsid w:val="006E5418"/>
    <w:rsid w:val="006E5E54"/>
    <w:rsid w:val="006F05C3"/>
    <w:rsid w:val="006F15B1"/>
    <w:rsid w:val="006F174B"/>
    <w:rsid w:val="006F19A3"/>
    <w:rsid w:val="006F3032"/>
    <w:rsid w:val="006F346E"/>
    <w:rsid w:val="006F5428"/>
    <w:rsid w:val="006F5B38"/>
    <w:rsid w:val="006F6A9F"/>
    <w:rsid w:val="00700579"/>
    <w:rsid w:val="00700F3B"/>
    <w:rsid w:val="00701E5A"/>
    <w:rsid w:val="00702822"/>
    <w:rsid w:val="0070367B"/>
    <w:rsid w:val="00707ED6"/>
    <w:rsid w:val="00710CF7"/>
    <w:rsid w:val="0071282D"/>
    <w:rsid w:val="007135AF"/>
    <w:rsid w:val="0071703F"/>
    <w:rsid w:val="00717835"/>
    <w:rsid w:val="00720489"/>
    <w:rsid w:val="0072072E"/>
    <w:rsid w:val="00720BC7"/>
    <w:rsid w:val="00722B78"/>
    <w:rsid w:val="00723374"/>
    <w:rsid w:val="00723DDF"/>
    <w:rsid w:val="00724EBA"/>
    <w:rsid w:val="00730697"/>
    <w:rsid w:val="0073096B"/>
    <w:rsid w:val="00731149"/>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38BE"/>
    <w:rsid w:val="00754981"/>
    <w:rsid w:val="00756119"/>
    <w:rsid w:val="00760434"/>
    <w:rsid w:val="00761877"/>
    <w:rsid w:val="00763D19"/>
    <w:rsid w:val="007642E8"/>
    <w:rsid w:val="00764AB6"/>
    <w:rsid w:val="007704A9"/>
    <w:rsid w:val="00772867"/>
    <w:rsid w:val="00772B26"/>
    <w:rsid w:val="0077330C"/>
    <w:rsid w:val="00775DF3"/>
    <w:rsid w:val="00776D16"/>
    <w:rsid w:val="00783919"/>
    <w:rsid w:val="00783DA7"/>
    <w:rsid w:val="00784603"/>
    <w:rsid w:val="0078653A"/>
    <w:rsid w:val="00792C32"/>
    <w:rsid w:val="00794AFB"/>
    <w:rsid w:val="00797164"/>
    <w:rsid w:val="007A238A"/>
    <w:rsid w:val="007A293E"/>
    <w:rsid w:val="007A2BBA"/>
    <w:rsid w:val="007A2DA4"/>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B14"/>
    <w:rsid w:val="007D1FBD"/>
    <w:rsid w:val="007D3C35"/>
    <w:rsid w:val="007D46EC"/>
    <w:rsid w:val="007D4D5F"/>
    <w:rsid w:val="007D76FB"/>
    <w:rsid w:val="007E0B9B"/>
    <w:rsid w:val="007E22BA"/>
    <w:rsid w:val="007E23C3"/>
    <w:rsid w:val="007E3170"/>
    <w:rsid w:val="007E4256"/>
    <w:rsid w:val="007E5364"/>
    <w:rsid w:val="007F2B2C"/>
    <w:rsid w:val="00800EE9"/>
    <w:rsid w:val="00801786"/>
    <w:rsid w:val="00803F61"/>
    <w:rsid w:val="008050EE"/>
    <w:rsid w:val="008071C5"/>
    <w:rsid w:val="00810BB3"/>
    <w:rsid w:val="00813793"/>
    <w:rsid w:val="00813EE2"/>
    <w:rsid w:val="00816EB4"/>
    <w:rsid w:val="0082083D"/>
    <w:rsid w:val="00821AC8"/>
    <w:rsid w:val="008221AA"/>
    <w:rsid w:val="0082448C"/>
    <w:rsid w:val="00825D59"/>
    <w:rsid w:val="00826253"/>
    <w:rsid w:val="0082671D"/>
    <w:rsid w:val="00826DD8"/>
    <w:rsid w:val="008270DC"/>
    <w:rsid w:val="0083118E"/>
    <w:rsid w:val="00831EA7"/>
    <w:rsid w:val="00833324"/>
    <w:rsid w:val="00835A63"/>
    <w:rsid w:val="008377B5"/>
    <w:rsid w:val="00841477"/>
    <w:rsid w:val="00842A2A"/>
    <w:rsid w:val="00842E02"/>
    <w:rsid w:val="008502C2"/>
    <w:rsid w:val="008507EF"/>
    <w:rsid w:val="00850904"/>
    <w:rsid w:val="008525DD"/>
    <w:rsid w:val="00853829"/>
    <w:rsid w:val="00853BF9"/>
    <w:rsid w:val="00854AB5"/>
    <w:rsid w:val="00856AB0"/>
    <w:rsid w:val="00861FED"/>
    <w:rsid w:val="00862349"/>
    <w:rsid w:val="00862910"/>
    <w:rsid w:val="00862A3F"/>
    <w:rsid w:val="008648BF"/>
    <w:rsid w:val="00866EA5"/>
    <w:rsid w:val="00867C20"/>
    <w:rsid w:val="00870BB1"/>
    <w:rsid w:val="0087187D"/>
    <w:rsid w:val="00871E93"/>
    <w:rsid w:val="00872351"/>
    <w:rsid w:val="00872B95"/>
    <w:rsid w:val="008733D8"/>
    <w:rsid w:val="008745A8"/>
    <w:rsid w:val="00880681"/>
    <w:rsid w:val="0088245A"/>
    <w:rsid w:val="008832DB"/>
    <w:rsid w:val="00884B5C"/>
    <w:rsid w:val="0088500E"/>
    <w:rsid w:val="00886AC1"/>
    <w:rsid w:val="008876AB"/>
    <w:rsid w:val="00887A0A"/>
    <w:rsid w:val="008915FB"/>
    <w:rsid w:val="0089577E"/>
    <w:rsid w:val="00895CB0"/>
    <w:rsid w:val="00897DE4"/>
    <w:rsid w:val="008A1A85"/>
    <w:rsid w:val="008A1F39"/>
    <w:rsid w:val="008A2948"/>
    <w:rsid w:val="008A4CA0"/>
    <w:rsid w:val="008A72A5"/>
    <w:rsid w:val="008A7380"/>
    <w:rsid w:val="008B0F94"/>
    <w:rsid w:val="008B25E6"/>
    <w:rsid w:val="008B282A"/>
    <w:rsid w:val="008B3FDA"/>
    <w:rsid w:val="008B4683"/>
    <w:rsid w:val="008B472E"/>
    <w:rsid w:val="008B57A8"/>
    <w:rsid w:val="008C00B4"/>
    <w:rsid w:val="008C1668"/>
    <w:rsid w:val="008C28F6"/>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37A"/>
    <w:rsid w:val="008F2DEC"/>
    <w:rsid w:val="008F3F14"/>
    <w:rsid w:val="008F5B4A"/>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813"/>
    <w:rsid w:val="00920B77"/>
    <w:rsid w:val="00921A94"/>
    <w:rsid w:val="0092248C"/>
    <w:rsid w:val="00922DEC"/>
    <w:rsid w:val="00922FC1"/>
    <w:rsid w:val="009231B2"/>
    <w:rsid w:val="009232EE"/>
    <w:rsid w:val="00923C5E"/>
    <w:rsid w:val="00923F25"/>
    <w:rsid w:val="0092466F"/>
    <w:rsid w:val="00925D56"/>
    <w:rsid w:val="0092640D"/>
    <w:rsid w:val="0092668F"/>
    <w:rsid w:val="00927269"/>
    <w:rsid w:val="00930FCC"/>
    <w:rsid w:val="00934E48"/>
    <w:rsid w:val="009361A2"/>
    <w:rsid w:val="009379DE"/>
    <w:rsid w:val="00941227"/>
    <w:rsid w:val="0094179F"/>
    <w:rsid w:val="00944853"/>
    <w:rsid w:val="009500BC"/>
    <w:rsid w:val="009536A2"/>
    <w:rsid w:val="00955E7D"/>
    <w:rsid w:val="00956D8E"/>
    <w:rsid w:val="009575CF"/>
    <w:rsid w:val="00961994"/>
    <w:rsid w:val="00962F5F"/>
    <w:rsid w:val="00964E59"/>
    <w:rsid w:val="0096521F"/>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5FA"/>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37C9"/>
    <w:rsid w:val="009B4B0D"/>
    <w:rsid w:val="009B6105"/>
    <w:rsid w:val="009C1A67"/>
    <w:rsid w:val="009C32A5"/>
    <w:rsid w:val="009C419C"/>
    <w:rsid w:val="009C5170"/>
    <w:rsid w:val="009C5B28"/>
    <w:rsid w:val="009C7411"/>
    <w:rsid w:val="009D0936"/>
    <w:rsid w:val="009D2D86"/>
    <w:rsid w:val="009D2F27"/>
    <w:rsid w:val="009D4F8D"/>
    <w:rsid w:val="009D5A73"/>
    <w:rsid w:val="009D5B4E"/>
    <w:rsid w:val="009D5C70"/>
    <w:rsid w:val="009D7A98"/>
    <w:rsid w:val="009E07EA"/>
    <w:rsid w:val="009E0DFB"/>
    <w:rsid w:val="009E1059"/>
    <w:rsid w:val="009E120D"/>
    <w:rsid w:val="009E1234"/>
    <w:rsid w:val="009E32B9"/>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0333A"/>
    <w:rsid w:val="00A1154D"/>
    <w:rsid w:val="00A12F4D"/>
    <w:rsid w:val="00A13F72"/>
    <w:rsid w:val="00A15D98"/>
    <w:rsid w:val="00A160BF"/>
    <w:rsid w:val="00A170AC"/>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57AF9"/>
    <w:rsid w:val="00A616E0"/>
    <w:rsid w:val="00A6232F"/>
    <w:rsid w:val="00A641B0"/>
    <w:rsid w:val="00A64291"/>
    <w:rsid w:val="00A649BB"/>
    <w:rsid w:val="00A66DF7"/>
    <w:rsid w:val="00A6703B"/>
    <w:rsid w:val="00A70A16"/>
    <w:rsid w:val="00A70E02"/>
    <w:rsid w:val="00A7252E"/>
    <w:rsid w:val="00A73197"/>
    <w:rsid w:val="00A73507"/>
    <w:rsid w:val="00A7459E"/>
    <w:rsid w:val="00A75998"/>
    <w:rsid w:val="00A7688B"/>
    <w:rsid w:val="00A77785"/>
    <w:rsid w:val="00A81B52"/>
    <w:rsid w:val="00A824C7"/>
    <w:rsid w:val="00A82AA1"/>
    <w:rsid w:val="00A82BB4"/>
    <w:rsid w:val="00A83498"/>
    <w:rsid w:val="00A83FB0"/>
    <w:rsid w:val="00A905F5"/>
    <w:rsid w:val="00A92366"/>
    <w:rsid w:val="00A925C9"/>
    <w:rsid w:val="00A92D91"/>
    <w:rsid w:val="00A95DB5"/>
    <w:rsid w:val="00A969EB"/>
    <w:rsid w:val="00A96B59"/>
    <w:rsid w:val="00AA4282"/>
    <w:rsid w:val="00AA55D2"/>
    <w:rsid w:val="00AA6A3F"/>
    <w:rsid w:val="00AA6BEE"/>
    <w:rsid w:val="00AB326D"/>
    <w:rsid w:val="00AB5F42"/>
    <w:rsid w:val="00AB67B2"/>
    <w:rsid w:val="00AB6B56"/>
    <w:rsid w:val="00AC0DA1"/>
    <w:rsid w:val="00AC183D"/>
    <w:rsid w:val="00AC1CF7"/>
    <w:rsid w:val="00AC2B52"/>
    <w:rsid w:val="00AC3D3F"/>
    <w:rsid w:val="00AC6069"/>
    <w:rsid w:val="00AC61A8"/>
    <w:rsid w:val="00AD1B31"/>
    <w:rsid w:val="00AD1FEB"/>
    <w:rsid w:val="00AD2642"/>
    <w:rsid w:val="00AD2800"/>
    <w:rsid w:val="00AD4629"/>
    <w:rsid w:val="00AD6ECF"/>
    <w:rsid w:val="00AE0DA1"/>
    <w:rsid w:val="00AE38D8"/>
    <w:rsid w:val="00AE4F48"/>
    <w:rsid w:val="00AE5974"/>
    <w:rsid w:val="00AE64CE"/>
    <w:rsid w:val="00AE6A0B"/>
    <w:rsid w:val="00AE7A2F"/>
    <w:rsid w:val="00AF143D"/>
    <w:rsid w:val="00AF32EA"/>
    <w:rsid w:val="00AF55EF"/>
    <w:rsid w:val="00AF7AC8"/>
    <w:rsid w:val="00B01286"/>
    <w:rsid w:val="00B01769"/>
    <w:rsid w:val="00B01B6B"/>
    <w:rsid w:val="00B06CD9"/>
    <w:rsid w:val="00B102F2"/>
    <w:rsid w:val="00B118DB"/>
    <w:rsid w:val="00B12FBB"/>
    <w:rsid w:val="00B1326F"/>
    <w:rsid w:val="00B20CBC"/>
    <w:rsid w:val="00B20CD9"/>
    <w:rsid w:val="00B20E43"/>
    <w:rsid w:val="00B20E9B"/>
    <w:rsid w:val="00B2117C"/>
    <w:rsid w:val="00B21889"/>
    <w:rsid w:val="00B22E0E"/>
    <w:rsid w:val="00B2677B"/>
    <w:rsid w:val="00B303B9"/>
    <w:rsid w:val="00B30A20"/>
    <w:rsid w:val="00B335C9"/>
    <w:rsid w:val="00B33FB9"/>
    <w:rsid w:val="00B35F66"/>
    <w:rsid w:val="00B36C39"/>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0648"/>
    <w:rsid w:val="00B73492"/>
    <w:rsid w:val="00B77958"/>
    <w:rsid w:val="00B77C3D"/>
    <w:rsid w:val="00B8307A"/>
    <w:rsid w:val="00B8362B"/>
    <w:rsid w:val="00B92C27"/>
    <w:rsid w:val="00B9315A"/>
    <w:rsid w:val="00B932BE"/>
    <w:rsid w:val="00B9352B"/>
    <w:rsid w:val="00B93A5E"/>
    <w:rsid w:val="00B94086"/>
    <w:rsid w:val="00B942FD"/>
    <w:rsid w:val="00B94644"/>
    <w:rsid w:val="00B95B69"/>
    <w:rsid w:val="00B96662"/>
    <w:rsid w:val="00BA0965"/>
    <w:rsid w:val="00BA2E7F"/>
    <w:rsid w:val="00BA4BA8"/>
    <w:rsid w:val="00BA7641"/>
    <w:rsid w:val="00BB1681"/>
    <w:rsid w:val="00BB4B24"/>
    <w:rsid w:val="00BB6B52"/>
    <w:rsid w:val="00BC1F50"/>
    <w:rsid w:val="00BC207F"/>
    <w:rsid w:val="00BC23B8"/>
    <w:rsid w:val="00BC6ABA"/>
    <w:rsid w:val="00BC723D"/>
    <w:rsid w:val="00BC799F"/>
    <w:rsid w:val="00BC7A74"/>
    <w:rsid w:val="00BD1DD0"/>
    <w:rsid w:val="00BD29F1"/>
    <w:rsid w:val="00BD4DF6"/>
    <w:rsid w:val="00BD5404"/>
    <w:rsid w:val="00BD5862"/>
    <w:rsid w:val="00BD63BE"/>
    <w:rsid w:val="00BD6F9A"/>
    <w:rsid w:val="00BE0B08"/>
    <w:rsid w:val="00BE294C"/>
    <w:rsid w:val="00BE308A"/>
    <w:rsid w:val="00BE4553"/>
    <w:rsid w:val="00BE4BD8"/>
    <w:rsid w:val="00BE5423"/>
    <w:rsid w:val="00BE589F"/>
    <w:rsid w:val="00BF0F97"/>
    <w:rsid w:val="00BF2B93"/>
    <w:rsid w:val="00BF2C40"/>
    <w:rsid w:val="00BF2DF4"/>
    <w:rsid w:val="00BF4B90"/>
    <w:rsid w:val="00BF780B"/>
    <w:rsid w:val="00C00128"/>
    <w:rsid w:val="00C02236"/>
    <w:rsid w:val="00C02C23"/>
    <w:rsid w:val="00C02C6A"/>
    <w:rsid w:val="00C032DC"/>
    <w:rsid w:val="00C05443"/>
    <w:rsid w:val="00C05589"/>
    <w:rsid w:val="00C070AD"/>
    <w:rsid w:val="00C075A4"/>
    <w:rsid w:val="00C10D1F"/>
    <w:rsid w:val="00C13E67"/>
    <w:rsid w:val="00C14486"/>
    <w:rsid w:val="00C15742"/>
    <w:rsid w:val="00C15AB7"/>
    <w:rsid w:val="00C16031"/>
    <w:rsid w:val="00C17A13"/>
    <w:rsid w:val="00C24355"/>
    <w:rsid w:val="00C24C23"/>
    <w:rsid w:val="00C25057"/>
    <w:rsid w:val="00C25696"/>
    <w:rsid w:val="00C25CE6"/>
    <w:rsid w:val="00C279DD"/>
    <w:rsid w:val="00C315EE"/>
    <w:rsid w:val="00C32B1D"/>
    <w:rsid w:val="00C32DEF"/>
    <w:rsid w:val="00C333A0"/>
    <w:rsid w:val="00C33CE8"/>
    <w:rsid w:val="00C34CD9"/>
    <w:rsid w:val="00C34D0E"/>
    <w:rsid w:val="00C351B7"/>
    <w:rsid w:val="00C365BA"/>
    <w:rsid w:val="00C36E90"/>
    <w:rsid w:val="00C376DA"/>
    <w:rsid w:val="00C37760"/>
    <w:rsid w:val="00C379C4"/>
    <w:rsid w:val="00C408EC"/>
    <w:rsid w:val="00C40BC0"/>
    <w:rsid w:val="00C41E75"/>
    <w:rsid w:val="00C427D6"/>
    <w:rsid w:val="00C45064"/>
    <w:rsid w:val="00C4592B"/>
    <w:rsid w:val="00C5330F"/>
    <w:rsid w:val="00C5484B"/>
    <w:rsid w:val="00C54A1A"/>
    <w:rsid w:val="00C557D4"/>
    <w:rsid w:val="00C55A6C"/>
    <w:rsid w:val="00C5617B"/>
    <w:rsid w:val="00C6025D"/>
    <w:rsid w:val="00C619D0"/>
    <w:rsid w:val="00C61B37"/>
    <w:rsid w:val="00C67736"/>
    <w:rsid w:val="00C7097C"/>
    <w:rsid w:val="00C70AD9"/>
    <w:rsid w:val="00C72374"/>
    <w:rsid w:val="00C7412F"/>
    <w:rsid w:val="00C760F1"/>
    <w:rsid w:val="00C77545"/>
    <w:rsid w:val="00C77CDA"/>
    <w:rsid w:val="00C81187"/>
    <w:rsid w:val="00C82339"/>
    <w:rsid w:val="00C84D5A"/>
    <w:rsid w:val="00C851FC"/>
    <w:rsid w:val="00C860DE"/>
    <w:rsid w:val="00C860E3"/>
    <w:rsid w:val="00C867FB"/>
    <w:rsid w:val="00C90227"/>
    <w:rsid w:val="00C90CF0"/>
    <w:rsid w:val="00C915DE"/>
    <w:rsid w:val="00C929DD"/>
    <w:rsid w:val="00C93698"/>
    <w:rsid w:val="00C97AC6"/>
    <w:rsid w:val="00CA0412"/>
    <w:rsid w:val="00CA1F00"/>
    <w:rsid w:val="00CA2EE6"/>
    <w:rsid w:val="00CA33C7"/>
    <w:rsid w:val="00CA5F04"/>
    <w:rsid w:val="00CA61A0"/>
    <w:rsid w:val="00CB022F"/>
    <w:rsid w:val="00CB3F5A"/>
    <w:rsid w:val="00CB462E"/>
    <w:rsid w:val="00CB4BAA"/>
    <w:rsid w:val="00CC03DA"/>
    <w:rsid w:val="00CC3B51"/>
    <w:rsid w:val="00CC400E"/>
    <w:rsid w:val="00CC5EE3"/>
    <w:rsid w:val="00CC78E0"/>
    <w:rsid w:val="00CC7D21"/>
    <w:rsid w:val="00CD11B6"/>
    <w:rsid w:val="00CD3149"/>
    <w:rsid w:val="00CD4EFE"/>
    <w:rsid w:val="00CE2F33"/>
    <w:rsid w:val="00CE337B"/>
    <w:rsid w:val="00CE48AB"/>
    <w:rsid w:val="00CE5472"/>
    <w:rsid w:val="00CE5DF7"/>
    <w:rsid w:val="00CF0312"/>
    <w:rsid w:val="00CF091C"/>
    <w:rsid w:val="00CF0BBA"/>
    <w:rsid w:val="00CF198E"/>
    <w:rsid w:val="00CF2F46"/>
    <w:rsid w:val="00CF3028"/>
    <w:rsid w:val="00CF7201"/>
    <w:rsid w:val="00CF7CB1"/>
    <w:rsid w:val="00D0059B"/>
    <w:rsid w:val="00D01018"/>
    <w:rsid w:val="00D04910"/>
    <w:rsid w:val="00D04B01"/>
    <w:rsid w:val="00D0728D"/>
    <w:rsid w:val="00D076D5"/>
    <w:rsid w:val="00D100BF"/>
    <w:rsid w:val="00D12812"/>
    <w:rsid w:val="00D13013"/>
    <w:rsid w:val="00D15723"/>
    <w:rsid w:val="00D165FA"/>
    <w:rsid w:val="00D1795D"/>
    <w:rsid w:val="00D17F46"/>
    <w:rsid w:val="00D20D81"/>
    <w:rsid w:val="00D2213B"/>
    <w:rsid w:val="00D227C2"/>
    <w:rsid w:val="00D245FB"/>
    <w:rsid w:val="00D254A5"/>
    <w:rsid w:val="00D33375"/>
    <w:rsid w:val="00D352D9"/>
    <w:rsid w:val="00D369F1"/>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4BE0"/>
    <w:rsid w:val="00D757F7"/>
    <w:rsid w:val="00D7624B"/>
    <w:rsid w:val="00D76CF7"/>
    <w:rsid w:val="00D77B69"/>
    <w:rsid w:val="00D77F76"/>
    <w:rsid w:val="00D803BD"/>
    <w:rsid w:val="00D815E8"/>
    <w:rsid w:val="00D82746"/>
    <w:rsid w:val="00D83489"/>
    <w:rsid w:val="00D84706"/>
    <w:rsid w:val="00D84C83"/>
    <w:rsid w:val="00D87C58"/>
    <w:rsid w:val="00D910FB"/>
    <w:rsid w:val="00D91BC2"/>
    <w:rsid w:val="00D91CEF"/>
    <w:rsid w:val="00D93106"/>
    <w:rsid w:val="00D93DB0"/>
    <w:rsid w:val="00D94CD1"/>
    <w:rsid w:val="00D94D35"/>
    <w:rsid w:val="00D95EED"/>
    <w:rsid w:val="00D96C21"/>
    <w:rsid w:val="00DA0E06"/>
    <w:rsid w:val="00DA15C8"/>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62"/>
    <w:rsid w:val="00DD7880"/>
    <w:rsid w:val="00DD7A23"/>
    <w:rsid w:val="00DE13FD"/>
    <w:rsid w:val="00DE1D1B"/>
    <w:rsid w:val="00DE23F4"/>
    <w:rsid w:val="00DE2494"/>
    <w:rsid w:val="00DE283C"/>
    <w:rsid w:val="00DE4085"/>
    <w:rsid w:val="00DF0354"/>
    <w:rsid w:val="00DF1907"/>
    <w:rsid w:val="00DF2C39"/>
    <w:rsid w:val="00DF2F7E"/>
    <w:rsid w:val="00DF394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28E"/>
    <w:rsid w:val="00E368D6"/>
    <w:rsid w:val="00E37B85"/>
    <w:rsid w:val="00E37CF7"/>
    <w:rsid w:val="00E403BF"/>
    <w:rsid w:val="00E41111"/>
    <w:rsid w:val="00E41819"/>
    <w:rsid w:val="00E41939"/>
    <w:rsid w:val="00E4401A"/>
    <w:rsid w:val="00E44A78"/>
    <w:rsid w:val="00E44AE6"/>
    <w:rsid w:val="00E46F66"/>
    <w:rsid w:val="00E47383"/>
    <w:rsid w:val="00E51BDA"/>
    <w:rsid w:val="00E52126"/>
    <w:rsid w:val="00E534EB"/>
    <w:rsid w:val="00E5460E"/>
    <w:rsid w:val="00E546CF"/>
    <w:rsid w:val="00E55327"/>
    <w:rsid w:val="00E55B13"/>
    <w:rsid w:val="00E563A4"/>
    <w:rsid w:val="00E57A43"/>
    <w:rsid w:val="00E60144"/>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99F"/>
    <w:rsid w:val="00E96E76"/>
    <w:rsid w:val="00E973BF"/>
    <w:rsid w:val="00E97E45"/>
    <w:rsid w:val="00EA0C3D"/>
    <w:rsid w:val="00EA2B59"/>
    <w:rsid w:val="00EA2F5B"/>
    <w:rsid w:val="00EA369C"/>
    <w:rsid w:val="00EA3C99"/>
    <w:rsid w:val="00EA52B6"/>
    <w:rsid w:val="00EA5B71"/>
    <w:rsid w:val="00EA755E"/>
    <w:rsid w:val="00EB0163"/>
    <w:rsid w:val="00EB2A7D"/>
    <w:rsid w:val="00EB3649"/>
    <w:rsid w:val="00EB3985"/>
    <w:rsid w:val="00EB4A80"/>
    <w:rsid w:val="00EB5F0C"/>
    <w:rsid w:val="00EB7D33"/>
    <w:rsid w:val="00EC0443"/>
    <w:rsid w:val="00EC17A9"/>
    <w:rsid w:val="00EC1D6A"/>
    <w:rsid w:val="00EC35EA"/>
    <w:rsid w:val="00EC59E2"/>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C98"/>
    <w:rsid w:val="00F05414"/>
    <w:rsid w:val="00F05D6B"/>
    <w:rsid w:val="00F07336"/>
    <w:rsid w:val="00F10753"/>
    <w:rsid w:val="00F10FA6"/>
    <w:rsid w:val="00F1599B"/>
    <w:rsid w:val="00F15ACC"/>
    <w:rsid w:val="00F178A6"/>
    <w:rsid w:val="00F20AEF"/>
    <w:rsid w:val="00F2149B"/>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6F8"/>
    <w:rsid w:val="00F507F6"/>
    <w:rsid w:val="00F51A73"/>
    <w:rsid w:val="00F52FA2"/>
    <w:rsid w:val="00F54087"/>
    <w:rsid w:val="00F55F14"/>
    <w:rsid w:val="00F56142"/>
    <w:rsid w:val="00F56824"/>
    <w:rsid w:val="00F570E0"/>
    <w:rsid w:val="00F62E54"/>
    <w:rsid w:val="00F63FAF"/>
    <w:rsid w:val="00F64EFC"/>
    <w:rsid w:val="00F65818"/>
    <w:rsid w:val="00F7052B"/>
    <w:rsid w:val="00F7632B"/>
    <w:rsid w:val="00F80F6C"/>
    <w:rsid w:val="00F8269D"/>
    <w:rsid w:val="00F82BCE"/>
    <w:rsid w:val="00F84248"/>
    <w:rsid w:val="00F84876"/>
    <w:rsid w:val="00F854FE"/>
    <w:rsid w:val="00F85901"/>
    <w:rsid w:val="00F868A2"/>
    <w:rsid w:val="00F8793E"/>
    <w:rsid w:val="00F91587"/>
    <w:rsid w:val="00F943AD"/>
    <w:rsid w:val="00F95373"/>
    <w:rsid w:val="00F960C4"/>
    <w:rsid w:val="00F96207"/>
    <w:rsid w:val="00F97372"/>
    <w:rsid w:val="00FA03F2"/>
    <w:rsid w:val="00FA1A51"/>
    <w:rsid w:val="00FA2369"/>
    <w:rsid w:val="00FA2D95"/>
    <w:rsid w:val="00FA3474"/>
    <w:rsid w:val="00FA37DD"/>
    <w:rsid w:val="00FA5256"/>
    <w:rsid w:val="00FB41E1"/>
    <w:rsid w:val="00FB6150"/>
    <w:rsid w:val="00FB6862"/>
    <w:rsid w:val="00FB7807"/>
    <w:rsid w:val="00FB7AB0"/>
    <w:rsid w:val="00FC1F4A"/>
    <w:rsid w:val="00FC26B5"/>
    <w:rsid w:val="00FC54F6"/>
    <w:rsid w:val="00FC5505"/>
    <w:rsid w:val="00FC5EF5"/>
    <w:rsid w:val="00FD1306"/>
    <w:rsid w:val="00FD14C0"/>
    <w:rsid w:val="00FD1B1E"/>
    <w:rsid w:val="00FD48F4"/>
    <w:rsid w:val="00FD60C4"/>
    <w:rsid w:val="00FD65F1"/>
    <w:rsid w:val="00FD71D3"/>
    <w:rsid w:val="00FE01B7"/>
    <w:rsid w:val="00FE09E0"/>
    <w:rsid w:val="00FE1B20"/>
    <w:rsid w:val="00FE21EF"/>
    <w:rsid w:val="00FE37C1"/>
    <w:rsid w:val="00FE4809"/>
    <w:rsid w:val="00FE4AC5"/>
    <w:rsid w:val="00FE7D9F"/>
    <w:rsid w:val="00FF0466"/>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195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paragraph" w:styleId="BodyTextIndent3">
    <w:name w:val="Body Text Indent 3"/>
    <w:basedOn w:val="Normal"/>
    <w:link w:val="BodyTextIndent3Char"/>
    <w:semiHidden/>
    <w:unhideWhenUsed/>
    <w:rsid w:val="0028387F"/>
    <w:pPr>
      <w:spacing w:after="120"/>
      <w:ind w:left="360"/>
    </w:pPr>
    <w:rPr>
      <w:sz w:val="16"/>
      <w:szCs w:val="16"/>
    </w:rPr>
  </w:style>
  <w:style w:type="character" w:customStyle="1" w:styleId="BodyTextIndent3Char">
    <w:name w:val="Body Text Indent 3 Char"/>
    <w:basedOn w:val="DefaultParagraphFont"/>
    <w:link w:val="BodyTextIndent3"/>
    <w:semiHidden/>
    <w:rsid w:val="0028387F"/>
    <w:rPr>
      <w:rFonts w:ascii="Courier" w:hAnsi="Courier"/>
      <w:sz w:val="16"/>
      <w:szCs w:val="16"/>
    </w:rPr>
  </w:style>
  <w:style w:type="paragraph" w:styleId="NoSpacing">
    <w:name w:val="No Spacing"/>
    <w:uiPriority w:val="1"/>
    <w:qFormat/>
    <w:rsid w:val="0028387F"/>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880681"/>
    <w:pPr>
      <w:keepNext/>
      <w:tabs>
        <w:tab w:val="center" w:pos="4680"/>
      </w:tabs>
      <w:suppressAutoHyphens/>
      <w:spacing w:before="120" w:after="240"/>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FootnoteTextChar">
    <w:name w:val="Footnote Text Char"/>
    <w:link w:val="FootnoteText"/>
    <w:uiPriority w:val="99"/>
    <w:semiHidden/>
    <w:rsid w:val="00BE4BD8"/>
    <w:rPr>
      <w:rFonts w:ascii="Courier" w:hAnsi="Courier"/>
      <w:sz w:val="24"/>
    </w:rPr>
  </w:style>
  <w:style w:type="paragraph" w:styleId="BodyTextIndent3">
    <w:name w:val="Body Text Indent 3"/>
    <w:basedOn w:val="Normal"/>
    <w:link w:val="BodyTextIndent3Char"/>
    <w:semiHidden/>
    <w:unhideWhenUsed/>
    <w:rsid w:val="0028387F"/>
    <w:pPr>
      <w:spacing w:after="120"/>
      <w:ind w:left="360"/>
    </w:pPr>
    <w:rPr>
      <w:sz w:val="16"/>
      <w:szCs w:val="16"/>
    </w:rPr>
  </w:style>
  <w:style w:type="character" w:customStyle="1" w:styleId="BodyTextIndent3Char">
    <w:name w:val="Body Text Indent 3 Char"/>
    <w:basedOn w:val="DefaultParagraphFont"/>
    <w:link w:val="BodyTextIndent3"/>
    <w:semiHidden/>
    <w:rsid w:val="0028387F"/>
    <w:rPr>
      <w:rFonts w:ascii="Courier" w:hAnsi="Courier"/>
      <w:sz w:val="16"/>
      <w:szCs w:val="16"/>
    </w:rPr>
  </w:style>
  <w:style w:type="paragraph" w:styleId="NoSpacing">
    <w:name w:val="No Spacing"/>
    <w:uiPriority w:val="1"/>
    <w:qFormat/>
    <w:rsid w:val="0028387F"/>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628825427">
      <w:bodyDiv w:val="1"/>
      <w:marLeft w:val="0"/>
      <w:marRight w:val="0"/>
      <w:marTop w:val="0"/>
      <w:marBottom w:val="0"/>
      <w:divBdr>
        <w:top w:val="none" w:sz="0" w:space="0" w:color="auto"/>
        <w:left w:val="none" w:sz="0" w:space="0" w:color="auto"/>
        <w:bottom w:val="none" w:sz="0" w:space="0" w:color="auto"/>
        <w:right w:val="none" w:sz="0" w:space="0" w:color="auto"/>
      </w:divBdr>
    </w:div>
    <w:div w:id="708186506">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59006662">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oretta.robertson@us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kaz@seattlejobsini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ermitk@nationalskillscoalition.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d.bolen@cbp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www.w3.org/XML/1998/namespace"/>
    <ds:schemaRef ds:uri="9dbcbb5a-2d39-43bd-b6c7-d27f844c7fb7"/>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F270039-944C-4F57-8BE8-94FD0F2F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20588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SYSTEM</cp:lastModifiedBy>
  <cp:revision>2</cp:revision>
  <cp:lastPrinted>2018-07-13T14:06:00Z</cp:lastPrinted>
  <dcterms:created xsi:type="dcterms:W3CDTF">2019-09-19T17:35:00Z</dcterms:created>
  <dcterms:modified xsi:type="dcterms:W3CDTF">2019-09-19T17:35:00Z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